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亭湖区城市排水防涝基础设施改造提升工程-排水防涝设备采购项目</w:t>
      </w:r>
      <w:r/>
    </w:p>
    <w:p>
      <w:pPr>
        <w:pStyle w:val="716"/>
        <w:ind w:firstLine="643"/>
        <w:jc w:val="both"/>
        <w:spacing w:before="120" w:beforeAutospacing="0" w:after="120" w:afterAutospacing="0" w:line="360" w:lineRule="auto"/>
        <w:rPr>
          <w:rFonts w:hint="default" w:eastAsia="宋体"/>
          <w:color w:val="auto"/>
          <w:highlight w:val="none"/>
          <w:lang w:val="en-US" w:eastAsia="zh-CN"/>
        </w:rPr>
      </w:pPr>
      <w:r>
        <w:rPr>
          <w:rFonts w:ascii="Arial" w:hAnsi="Arial" w:cs="Arial"/>
          <w:b/>
          <w:color w:val="auto"/>
          <w:sz w:val="32"/>
          <w:szCs w:val="32"/>
          <w:highlight w:val="none"/>
        </w:rPr>
        <w:t xml:space="preserve">项目编号：</w:t>
      </w:r>
      <w:r>
        <w:rPr>
          <w:rFonts w:hint="eastAsia" w:ascii="Arial" w:hAnsi="Arial" w:eastAsia="宋体" w:cs="Arial"/>
          <w:b/>
          <w:color w:val="auto"/>
          <w:sz w:val="32"/>
          <w:szCs w:val="32"/>
          <w:highlight w:val="none"/>
          <w:lang w:val="en-US" w:eastAsia="zh-CN"/>
        </w:rPr>
        <w:t xml:space="preserve">JSZC-320902-YCSJ-G2026-0004</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盐城市亭湖区住房和城乡建设局</w:t>
      </w:r>
      <w:r/>
    </w:p>
    <w:p>
      <w:pPr>
        <w:pStyle w:val="71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4</w:t>
      </w:r>
      <w:r>
        <w:rPr>
          <w:rFonts w:ascii="Arial" w:hAnsi="Arial" w:cs="Arial"/>
          <w:b/>
          <w:color w:val="auto"/>
          <w:sz w:val="32"/>
          <w:szCs w:val="32"/>
          <w:highlight w:val="none"/>
        </w:rPr>
        <w:t xml:space="preserve">月</w:t>
      </w:r>
      <w:r/>
    </w:p>
    <w:p>
      <w:pPr>
        <w:pStyle w:val="71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16"/>
        <w:jc w:val="center"/>
        <w:spacing w:before="120" w:beforeAutospacing="0" w:after="120" w:afterAutospacing="0" w:line="360" w:lineRule="auto"/>
        <w:rPr>
          <w:color w:val="auto"/>
          <w:highlight w:val="none"/>
        </w:rPr>
      </w:pPr>
      <w:r>
        <w:rPr>
          <w:color w:val="auto"/>
          <w:highlight w:val="none"/>
        </w:rPr>
        <w:t xml:space="preserve"> </w:t>
      </w:r>
      <w:r/>
    </w:p>
    <w:p>
      <w:pPr>
        <w:pStyle w:val="71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523127445"/>
      <w:r/>
      <w:bookmarkStart w:id="2" w:name="_Toc20823272"/>
      <w:r/>
      <w:bookmarkStart w:id="3" w:name="_Toc16938516"/>
      <w:r/>
      <w:bookmarkStart w:id="4" w:name="_Toc479757206"/>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6"/>
        <w:jc w:val="both"/>
        <w:spacing w:beforeAutospacing="0" w:afterAutospacing="0" w:line="480" w:lineRule="auto"/>
        <w:rPr>
          <w:color w:val="auto"/>
          <w:highlight w:val="none"/>
        </w:rPr>
      </w:pPr>
      <w:r>
        <w:rPr>
          <w:color w:val="auto"/>
          <w:highlight w:val="none"/>
        </w:rPr>
        <w:t xml:space="preserve"> </w:t>
      </w:r>
      <w:r/>
    </w:p>
    <w:p>
      <w:pPr>
        <w:pStyle w:val="71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71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71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71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35</w:t>
      </w:r>
      <w:r/>
    </w:p>
    <w:p>
      <w:pPr>
        <w:pStyle w:val="71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38</w:t>
      </w:r>
      <w:r/>
    </w:p>
    <w:p>
      <w:pPr>
        <w:pStyle w:val="71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42</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716"/>
        <w:jc w:val="both"/>
        <w:spacing w:beforeAutospacing="0" w:afterAutospacing="0"/>
        <w:rPr>
          <w:color w:val="auto"/>
          <w:highlight w:val="none"/>
        </w:rPr>
      </w:pPr>
      <w:r>
        <w:rPr>
          <w:color w:val="auto"/>
          <w:highlight w:val="none"/>
        </w:rPr>
        <w:t xml:space="preserve"> </w:t>
      </w:r>
      <w:r/>
    </w:p>
    <w:p>
      <w:pPr>
        <w:pStyle w:val="716"/>
        <w:jc w:val="center"/>
        <w:spacing w:beforeAutospacing="0" w:afterAutospacing="0"/>
        <w:rPr>
          <w:rFonts w:hint="default" w:eastAsia="黑体"/>
          <w:color w:val="auto"/>
          <w:highlight w:val="none"/>
          <w:lang w:val="en-US" w:eastAsia="zh-CN"/>
        </w:rPr>
        <w:outlineLvl w:val="0"/>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1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1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亭湖区城市排水防涝基础设施改造提升工程-排水防涝设备采购项目JSZC-320902-YCSJ-G2026-0004</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1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35393621"/>
      <w:r/>
      <w:bookmarkStart w:id="8" w:name="_Toc28359002"/>
      <w:r/>
      <w:bookmarkStart w:id="9" w:name="_Toc38985263"/>
      <w:r/>
      <w:bookmarkStart w:id="10" w:name="_Toc35393790"/>
      <w:r/>
      <w:bookmarkStart w:id="11" w:name="_Toc28359079"/>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16"/>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JSZC-320902-YCSJ-G2026-0004</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亭湖区城市排水防涝基础设施改造提升工程-排水防涝设备采购项目</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150万</w:t>
      </w:r>
      <w:r>
        <w:rPr>
          <w:rFonts w:hint="eastAsia" w:ascii="宋体" w:hAnsi="宋体" w:eastAsia="宋体" w:cs="宋体"/>
          <w:color w:val="auto"/>
          <w:sz w:val="24"/>
          <w:szCs w:val="24"/>
          <w:highlight w:val="none"/>
        </w:rPr>
        <w:t xml:space="preserve">元</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cs="宋体"/>
          <w:b w:val="0"/>
          <w:bCs w:val="0"/>
          <w:sz w:val="24"/>
          <w:szCs w:val="24"/>
          <w:highlight w:val="none"/>
        </w:rPr>
        <w:t xml:space="preserve">投标报价高于最高限价的，视为无效标书</w:t>
      </w:r>
      <w:r>
        <w:rPr>
          <w:rFonts w:hint="eastAsia" w:ascii="宋体" w:hAnsi="宋体" w:cs="宋体"/>
          <w:b w:val="0"/>
          <w:bCs w:val="0"/>
          <w:sz w:val="24"/>
          <w:szCs w:val="24"/>
          <w:highlight w:val="none"/>
          <w:lang w:eastAsia="zh-CN"/>
        </w:rPr>
        <w:t xml:space="preserve">。</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sz w:val="24"/>
          <w:szCs w:val="24"/>
          <w:highlight w:val="none"/>
          <w:lang w:val="en-US" w:eastAsia="zh-CN" w:bidi="ar-SA"/>
        </w:rPr>
        <w:t xml:space="preserve">亭湖区城市排水防涝基础设施改造提升工程-排水防涝设备采购项目，主要内容包括拖拽式一体化水泵、柴油机水泵、移动式柴油机排水泵车、便携式大流量排水单元及防护栏等</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sz w:val="24"/>
          <w:highlight w:val="none"/>
        </w:rPr>
        <w:t xml:space="preserve">合同签订后</w:t>
      </w:r>
      <w:r>
        <w:rPr>
          <w:rFonts w:hint="eastAsia" w:ascii="宋体" w:hAnsi="宋体" w:cs="宋体"/>
          <w:sz w:val="24"/>
          <w:highlight w:val="none"/>
          <w:u w:val="single"/>
        </w:rPr>
        <w:t xml:space="preserve"> </w:t>
      </w:r>
      <w:r>
        <w:rPr>
          <w:rFonts w:hint="eastAsia" w:ascii="Times New Roman" w:hAnsi="Times New Roman"/>
          <w:b/>
          <w:bCs/>
          <w:sz w:val="24"/>
          <w:highlight w:val="none"/>
          <w:u w:val="single"/>
        </w:rPr>
        <w:t xml:space="preserve">30</w:t>
      </w:r>
      <w:r>
        <w:rPr>
          <w:rFonts w:ascii="Times New Roman" w:hAnsi="Times New Roman"/>
          <w:b/>
          <w:bCs/>
          <w:sz w:val="24"/>
          <w:highlight w:val="none"/>
          <w:u w:val="single"/>
        </w:rPr>
        <w:t xml:space="preserve"> </w:t>
      </w:r>
      <w:r>
        <w:rPr>
          <w:rFonts w:hint="eastAsia" w:ascii="宋体" w:hAnsi="宋体" w:cs="宋体"/>
          <w:sz w:val="24"/>
          <w:highlight w:val="none"/>
        </w:rPr>
        <w:t xml:space="preserve">日历天内完成所需</w:t>
      </w:r>
      <w:r>
        <w:rPr>
          <w:rFonts w:hint="eastAsia" w:ascii="宋体" w:hAnsi="宋体" w:cs="宋体"/>
          <w:sz w:val="24"/>
          <w:highlight w:val="none"/>
          <w:lang w:eastAsia="zh-CN"/>
        </w:rPr>
        <w:t xml:space="preserve">全部</w:t>
      </w:r>
      <w:r>
        <w:rPr>
          <w:rFonts w:hint="eastAsia" w:ascii="宋体" w:hAnsi="宋体" w:cs="宋体"/>
          <w:sz w:val="24"/>
          <w:szCs w:val="24"/>
          <w:highlight w:val="none"/>
          <w:lang w:eastAsia="zh-CN" w:bidi="ar"/>
        </w:rPr>
        <w:t xml:space="preserve">货物</w:t>
      </w:r>
      <w:r>
        <w:rPr>
          <w:rFonts w:hint="eastAsia" w:ascii="宋体" w:hAnsi="宋体" w:cs="宋体"/>
          <w:sz w:val="24"/>
          <w:highlight w:val="none"/>
        </w:rPr>
        <w:t xml:space="preserve">的采购、供应、安装、调试等相关伴随服务</w:t>
      </w:r>
      <w:r>
        <w:rPr>
          <w:rFonts w:hint="eastAsia" w:ascii="宋体" w:hAnsi="宋体" w:cs="宋体"/>
          <w:sz w:val="24"/>
          <w:highlight w:val="none"/>
          <w:lang w:eastAsia="zh-CN"/>
        </w:rPr>
        <w:t xml:space="preserve">工作</w:t>
      </w:r>
      <w:r>
        <w:rPr>
          <w:rFonts w:hint="eastAsia" w:ascii="宋体" w:hAnsi="宋体" w:cs="宋体"/>
          <w:sz w:val="24"/>
          <w:highlight w:val="none"/>
        </w:rPr>
        <w:t xml:space="preserve">，并通过验收合格</w:t>
      </w:r>
      <w:r>
        <w:rPr>
          <w:rFonts w:hint="eastAsia" w:ascii="宋体" w:hAnsi="宋体" w:cs="宋体"/>
          <w:sz w:val="24"/>
          <w:highlight w:val="none"/>
          <w:lang w:eastAsia="zh-CN"/>
        </w:rPr>
        <w:t xml:space="preserve">交付</w:t>
      </w:r>
      <w:r>
        <w:rPr>
          <w:rFonts w:hint="eastAsia" w:ascii="宋体" w:hAnsi="宋体" w:eastAsia="宋体" w:cs="宋体"/>
          <w:color w:val="auto"/>
          <w:sz w:val="24"/>
          <w:szCs w:val="24"/>
          <w:highlight w:val="none"/>
        </w:rPr>
        <w:t xml:space="preserve">。</w:t>
      </w:r>
      <w:r/>
    </w:p>
    <w:p>
      <w:pPr>
        <w:pStyle w:val="716"/>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8.质量要求：</w:t>
      </w:r>
      <w:r>
        <w:rPr>
          <w:rFonts w:hint="eastAsia" w:ascii="宋体" w:hAnsi="宋体" w:cs="宋体"/>
          <w:color w:val="auto"/>
          <w:sz w:val="24"/>
          <w:highlight w:val="none"/>
          <w:lang w:eastAsia="zh-CN"/>
        </w:rPr>
        <w:t xml:space="preserve">货物</w:t>
      </w:r>
      <w:r>
        <w:rPr>
          <w:rFonts w:hint="eastAsia" w:ascii="宋体" w:hAnsi="宋体" w:cs="宋体"/>
          <w:color w:val="auto"/>
          <w:sz w:val="24"/>
          <w:highlight w:val="none"/>
        </w:rPr>
        <w:t xml:space="preserve">质量等级为</w:t>
      </w:r>
      <w:r>
        <w:rPr>
          <w:rFonts w:hint="eastAsia" w:ascii="宋体" w:hAnsi="宋体" w:cs="宋体"/>
          <w:color w:val="auto"/>
          <w:sz w:val="24"/>
          <w:highlight w:val="none"/>
          <w:u w:val="single"/>
        </w:rPr>
        <w:t xml:space="preserve">“合格”</w:t>
      </w:r>
      <w:r>
        <w:rPr>
          <w:rFonts w:hint="eastAsia" w:ascii="宋体" w:hAnsi="宋体" w:cs="宋体"/>
          <w:color w:val="auto"/>
          <w:sz w:val="24"/>
          <w:highlight w:val="none"/>
        </w:rPr>
        <w:t xml:space="preserve">，并符合招标文件中技术要求、国家现行的相关规范标准；项目确保按规范和标准验收，且达国家合格标准</w:t>
      </w:r>
      <w:r>
        <w:rPr>
          <w:rFonts w:hint="eastAsia" w:ascii="宋体" w:hAnsi="宋体" w:cs="宋体"/>
          <w:color w:val="auto"/>
          <w:sz w:val="24"/>
          <w:szCs w:val="24"/>
          <w:highlight w:val="none"/>
          <w:lang w:bidi="ar"/>
        </w:rPr>
        <w:t xml:space="preserve">。</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71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5393622"/>
      <w:r/>
      <w:bookmarkStart w:id="14" w:name="_Toc35393791"/>
      <w:r/>
      <w:bookmarkStart w:id="15" w:name="_Toc28359003"/>
      <w:r/>
      <w:bookmarkStart w:id="16" w:name="_Toc38985264"/>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上一年度的财务状况报表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2025年财务状况表未出的，可使用2024年度报表，</w:t>
      </w:r>
      <w:r>
        <w:rPr>
          <w:rFonts w:hint="eastAsia" w:ascii="宋体" w:hAnsi="宋体" w:eastAsia="宋体" w:cs="宋体"/>
          <w:color w:val="auto"/>
          <w:sz w:val="24"/>
          <w:szCs w:val="24"/>
          <w:highlight w:val="none"/>
        </w:rPr>
        <w:t xml:space="preserve">至少提供资产负债表、利润表、现金流量表，成立不满一年无需提供）；</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716"/>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需按照招标文件的要求提供相应的《中小企业声明函》。企业标准请参照《关于印发中小企业划型标准规定的通知》（工信部联企业[2011]300号）文件规定自行填写</w:t>
      </w:r>
      <w:r>
        <w:rPr>
          <w:rFonts w:hint="eastAsia" w:eastAsia="宋体"/>
          <w:b/>
          <w:color w:val="auto"/>
          <w:highlight w:val="none"/>
          <w:lang w:eastAsia="zh-CN"/>
        </w:rPr>
        <w:t xml:space="preserve">。</w:t>
      </w:r>
      <w:r/>
    </w:p>
    <w:p>
      <w:pPr>
        <w:pStyle w:val="716"/>
        <w:ind w:right="0" w:firstLine="480"/>
        <w:jc w:val="both"/>
        <w:keepLines w:val="0"/>
        <w:keepNext w:val="0"/>
        <w:pageBreakBefore w:val="0"/>
        <w:spacing w:beforeAutospacing="0" w:afterAutospacing="0" w:line="500" w:lineRule="exact"/>
        <w:shd w:val="clear" w:color="auto"/>
        <w:widowControl/>
        <w:rPr>
          <w:rFonts w:hint="default"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71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28359005"/>
      <w:r/>
      <w:bookmarkStart w:id="20" w:name="_Toc35393793"/>
      <w:r/>
      <w:bookmarkStart w:id="21" w:name="_Toc28359082"/>
      <w:r/>
      <w:bookmarkStart w:id="22" w:name="_Toc35393624"/>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1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13</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71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71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3" w:name="_Toc38985267"/>
      <w:r/>
      <w:bookmarkStart w:id="24" w:name="_Toc28359007"/>
      <w:r/>
      <w:bookmarkStart w:id="25" w:name="_Toc35393794"/>
      <w:r/>
      <w:bookmarkStart w:id="26" w:name="_Toc28359084"/>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1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通过苏采云系统参与政府采购项目，需要更换CA数字证书和电子签章。具体办理指南：在盐城市政府采购网点击【办事指南】-【供应商参与政府采购活动相关资料】。</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default" w:ascii="宋体" w:hAnsi="宋体" w:eastAsia="宋体" w:cs="宋体"/>
          <w:i w:val="0"/>
          <w:iCs w:val="0"/>
          <w:caps w:val="0"/>
          <w:color w:val="ff0000"/>
          <w:spacing w:val="0"/>
          <w:sz w:val="24"/>
          <w:szCs w:val="24"/>
          <w:highlight w:val="none"/>
          <w:shd w:val="clear" w:color="auto" w:fill="ffffff"/>
          <w:lang w:val="en-US" w:eastAsia="zh-CN"/>
        </w:rPr>
        <w:t xml:space="preserve">盐城市府西路1号盐城市公共资源交易中心四楼大厅10号，11号窗口办理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2.2 潜在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访问“苏采云”系统方法：江苏省政府采购网首页-“苏采云”链接。</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如潜在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未按上述要求操作，将自行承担所产生的风险。</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采购代理机构</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在“中国政府采购网”“江苏政府采购网”“盐城市政府采购网”发布的更正公告。</w:t>
      </w:r>
      <w:r/>
    </w:p>
    <w:p>
      <w:pPr>
        <w:pStyle w:val="716"/>
        <w:ind w:left="0" w:right="0" w:firstLine="560"/>
        <w:jc w:val="both"/>
        <w:keepLines w:val="0"/>
        <w:keepNext w:val="0"/>
        <w:pageBreakBefore w:val="0"/>
        <w:spacing w:beforeAutospacing="0" w:afterAutospacing="0" w:line="50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81"/>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称：盐城市亭湖区住房和城乡建设局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highlight w:val="none"/>
        </w:rPr>
        <w:t xml:space="preserve">盐城市亭湖区机场路和小新河路交界处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联系人：陈主任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联系方式：18351487019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称：盐城市建业工程咨询有限公司</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szCs w:val="24"/>
          <w:highlight w:val="none"/>
          <w:lang w:bidi="ar"/>
        </w:rPr>
        <w:t xml:space="preserve">盐城市亭湖区范公中路89号嘉元广场东区北栋17层</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联系人：武工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项目联系人：武工</w:t>
      </w:r>
      <w:r/>
    </w:p>
    <w:p>
      <w:pPr>
        <w:pStyle w:val="71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716"/>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20823274"/>
      <w:r/>
      <w:bookmarkStart w:id="38" w:name="_Toc513029202"/>
      <w:r/>
      <w:bookmarkStart w:id="39" w:name="_Toc120614213"/>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6"/>
      <w:r/>
      <w:bookmarkEnd w:id="37"/>
      <w:r/>
      <w:bookmarkEnd w:id="38"/>
      <w:r/>
      <w:bookmarkEnd w:id="39"/>
      <w:r/>
      <w:r/>
    </w:p>
    <w:p>
      <w:pPr>
        <w:pStyle w:val="716"/>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0" w:name="_Toc120614214"/>
      <w:r/>
      <w:bookmarkStart w:id="41" w:name="_Toc20823275"/>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49" w:name="_Toc513029205"/>
      <w:r/>
      <w:bookmarkStart w:id="50" w:name="_Toc16938521"/>
      <w:r/>
      <w:bookmarkStart w:id="51" w:name="_Toc20823277"/>
      <w:r>
        <w:rPr>
          <w:rFonts w:hint="eastAsia" w:ascii="宋体" w:hAnsi="宋体" w:eastAsia="宋体" w:cs="宋体"/>
          <w:color w:val="auto"/>
          <w:sz w:val="24"/>
          <w:szCs w:val="24"/>
          <w:highlight w:val="none"/>
        </w:rPr>
        <w:t xml:space="preserve">2、合格的</w:t>
      </w:r>
      <w:bookmarkEnd w:id="49"/>
      <w:r/>
      <w:bookmarkEnd w:id="50"/>
      <w:r/>
      <w:bookmarkEnd w:id="51"/>
      <w:r>
        <w:rPr>
          <w:rFonts w:hint="eastAsia" w:ascii="宋体" w:hAnsi="宋体" w:eastAsia="宋体" w:cs="宋体"/>
          <w:color w:val="auto"/>
          <w:sz w:val="24"/>
          <w:szCs w:val="24"/>
          <w:highlight w:val="none"/>
          <w:lang w:eastAsia="zh-CN"/>
        </w:rPr>
        <w:t xml:space="preserve">供应商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5" w:name="_Toc20823279"/>
      <w:r/>
      <w:bookmarkStart w:id="56" w:name="_Toc16938523"/>
      <w:r/>
      <w:bookmarkStart w:id="57" w:name="_Toc462564067"/>
      <w:r/>
      <w:bookmarkStart w:id="58" w:name="_Toc513029207"/>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应自行承担所有与参加投标有关的费用，无论投标过程中的做法和结果如何，采购人和代理机构在任何情况下均无义务和责任承担这些费用。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4.2本项目的招标代理服务费由中标人承担，</w:t>
      </w:r>
      <w:r>
        <w:rPr>
          <w:rFonts w:hint="eastAsia" w:ascii="宋体" w:hAnsi="宋体" w:eastAsia="宋体" w:cs="宋体"/>
          <w:color w:val="auto"/>
          <w:sz w:val="24"/>
          <w:szCs w:val="24"/>
          <w:highlight w:val="none"/>
          <w:lang w:val="en-US" w:eastAsia="zh-CN"/>
        </w:rPr>
        <w:t xml:space="preserve">根据预算金额</w:t>
      </w:r>
      <w:r>
        <w:rPr>
          <w:rFonts w:hint="eastAsia" w:ascii="宋体" w:hAnsi="宋体" w:eastAsia="宋体" w:cs="宋体"/>
          <w:color w:val="auto"/>
          <w:sz w:val="24"/>
          <w:szCs w:val="24"/>
          <w:highlight w:val="none"/>
        </w:rPr>
        <w:t xml:space="preserve">按《关于印发江苏省招标代理服务收费的指导意见的通知》（苏招协（2022）002号）的取费方式计取。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在投标时应将此费用自行考虑在投标报价中，不单列，中标后由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在领取中标通知书前直接向代理机构一次性付清</w:t>
      </w:r>
      <w:r>
        <w:rPr>
          <w:rFonts w:hint="eastAsia" w:ascii="宋体" w:hAnsi="宋体" w:eastAsia="宋体" w:cs="宋体"/>
          <w:color w:val="auto"/>
          <w:sz w:val="24"/>
          <w:szCs w:val="24"/>
          <w:highlight w:val="none"/>
          <w:lang w:eastAsia="zh-CN"/>
        </w:rPr>
        <w:t xml:space="preserve">。</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716"/>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9" w:name="_Toc20823281"/>
      <w:r/>
      <w:bookmarkStart w:id="60" w:name="_Toc16938525"/>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3" w:name="_Toc16938526"/>
      <w:r/>
      <w:bookmarkStart w:id="64" w:name="_Toc20823282"/>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条款</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请仔细检查招标文件是否齐全，如有缺漏请立即与招标代理机构联系解决。</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可以对招标文件进行修改。</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rPr>
        <w:t xml:space="preserve">招标代理机构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71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4" w:name="_Toc462564072"/>
      <w:r/>
      <w:bookmarkStart w:id="75" w:name="_Toc20823285"/>
      <w:r/>
      <w:bookmarkStart w:id="76" w:name="_Toc513029213"/>
      <w:r/>
      <w:bookmarkStart w:id="77" w:name="_Toc16938529"/>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9" w:name="_Toc462564073"/>
      <w:r/>
      <w:bookmarkStart w:id="80" w:name="_Toc513029214"/>
      <w:r/>
      <w:bookmarkStart w:id="81" w:name="_Toc16938530"/>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3" w:name="_Toc462564074"/>
      <w:r/>
      <w:bookmarkStart w:id="84" w:name="_Toc16938531"/>
      <w:r/>
      <w:bookmarkStart w:id="85" w:name="_Toc20823287"/>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7" w:name="_Toc49090507"/>
      <w:r/>
      <w:bookmarkStart w:id="88" w:name="_Toc14577357"/>
      <w:r/>
      <w:bookmarkStart w:id="89" w:name="_Toc513029216"/>
      <w:r/>
      <w:bookmarkStart w:id="90" w:name="_Toc14577355"/>
      <w:r/>
      <w:bookmarkStart w:id="91" w:name="_Toc14577354"/>
      <w:r/>
      <w:bookmarkStart w:id="92" w:name="_Toc49090509"/>
      <w:r/>
      <w:bookmarkStart w:id="93" w:name="_Toc513029219"/>
      <w:r/>
      <w:bookmarkStart w:id="94" w:name="_Toc49090508"/>
      <w:r/>
      <w:bookmarkStart w:id="95" w:name="_Hlt26670360"/>
      <w:r/>
      <w:bookmarkStart w:id="96" w:name="_Hlt26954838"/>
      <w:r/>
      <w:bookmarkStart w:id="97" w:name="_Hlt26668975"/>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7"/>
      <w:r/>
      <w:bookmarkEnd w:id="88"/>
      <w:r/>
      <w:bookmarkEnd w:id="89"/>
      <w:r/>
      <w:bookmarkEnd w:id="90"/>
      <w:r/>
      <w:bookmarkEnd w:id="91"/>
      <w:r/>
      <w:bookmarkEnd w:id="92"/>
      <w:r/>
      <w:bookmarkEnd w:id="93"/>
      <w:r/>
      <w:bookmarkEnd w:id="94"/>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并进行相关服务所需的所有费用</w:t>
      </w:r>
      <w:r>
        <w:rPr>
          <w:rFonts w:hint="eastAsia" w:ascii="宋体" w:hAnsi="宋体" w:eastAsia="宋体" w:cs="宋体"/>
          <w:color w:val="auto"/>
          <w:sz w:val="24"/>
          <w:szCs w:val="24"/>
          <w:highlight w:val="none"/>
          <w:lang w:eastAsia="zh-CN"/>
        </w:rPr>
        <w:t xml:space="preserve">，即主要包括（但不限于）：</w:t>
      </w:r>
      <w:r>
        <w:rPr>
          <w:rFonts w:hint="eastAsia" w:ascii="宋体" w:hAnsi="宋体" w:eastAsia="宋体" w:cs="宋体"/>
          <w:color w:val="auto"/>
          <w:sz w:val="24"/>
          <w:szCs w:val="24"/>
          <w:highlight w:val="none"/>
          <w:lang w:val="en-US" w:eastAsia="zh-CN"/>
        </w:rPr>
        <w:t xml:space="preserve">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8" w:name="_Hlt26670482"/>
      <w:r/>
      <w:bookmarkStart w:id="99" w:name="_Hlt26670486"/>
      <w:r/>
      <w:bookmarkStart w:id="100" w:name="_Hlt26954731"/>
      <w:r/>
      <w:bookmarkStart w:id="101" w:name="_Hlt26954848"/>
      <w:r/>
      <w:bookmarkStart w:id="102" w:name="_Hlt26954846"/>
      <w:r>
        <w:rPr>
          <w:rFonts w:hint="eastAsia" w:ascii="宋体" w:hAnsi="宋体" w:eastAsia="宋体" w:cs="宋体"/>
          <w:color w:val="auto"/>
          <w:sz w:val="24"/>
          <w:szCs w:val="24"/>
          <w:highlight w:val="none"/>
        </w:rPr>
        <w:t xml:space="preserve">13、技术要求响应及偏离表、商务要求响应及偏离表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71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7" w:name="_Toc16938540"/>
      <w:r/>
      <w:bookmarkStart w:id="108" w:name="_Toc120614217"/>
      <w:r/>
      <w:bookmarkStart w:id="109" w:name="_Toc20823296"/>
      <w:r/>
      <w:bookmarkStart w:id="110" w:name="_Toc513029224"/>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3" w:name="_Toc20823297"/>
      <w:r/>
      <w:bookmarkStart w:id="114" w:name="_Toc513029225"/>
      <w:r/>
      <w:bookmarkStart w:id="115" w:name="_Toc16938541"/>
      <w:r/>
      <w:bookmarkStart w:id="116" w:name="_Toc462564084"/>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716"/>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自身原因造成的电子投标文件上传不成功的按照本招标文件第二章第27.1.2条规定做无效投标处理。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16938544"/>
      <w:r/>
      <w:bookmarkStart w:id="124" w:name="_Toc20823300"/>
      <w:r/>
      <w:bookmarkStart w:id="125" w:name="_Toc513029228"/>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71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6" w:name="_Toc16938545"/>
      <w:r/>
      <w:bookmarkStart w:id="127" w:name="_Toc20823301"/>
      <w:r/>
      <w:bookmarkStart w:id="128" w:name="_Toc120614218"/>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20823303"/>
      <w:r/>
      <w:bookmarkStart w:id="134" w:name="_Toc513029231"/>
      <w:r/>
      <w:bookmarkStart w:id="135" w:name="_Toc16938547"/>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6" w:name="_Toc16938548"/>
      <w:r/>
      <w:bookmarkStart w:id="137" w:name="_Toc20823304"/>
      <w:r/>
      <w:bookmarkStart w:id="138" w:name="_Toc513029232"/>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9" w:name="_Toc20823305"/>
      <w:r/>
      <w:bookmarkStart w:id="140" w:name="_Toc513029233"/>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39"/>
      <w:r/>
      <w:bookmarkEnd w:id="140"/>
      <w:r/>
      <w:bookmarkEnd w:id="141"/>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将不再告知未通过资格审查或符合性审查的原因。</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不得通过修改或撤销不合要求的偏离或保留而使其投标成为实质性响应的投标。</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2" w:name="_Toc16938550"/>
      <w:r/>
      <w:bookmarkStart w:id="143" w:name="_Toc513029234"/>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2"/>
      <w:r/>
      <w:bookmarkEnd w:id="143"/>
      <w:r/>
      <w:bookmarkEnd w:id="144"/>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71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71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及评标委员会联系。</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5" w:name="_Toc16938551"/>
      <w:r/>
      <w:bookmarkStart w:id="146" w:name="_Toc20823307"/>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（一）评审过程中出现下列情形之一的，评标委员会应当启动异常低价投标审查程序：</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3.投标（响应）报价低于采购项目最高限价45%的，即投标（响应）报价&lt;采购项目最高限价×45%；</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4.评审委员会基于专业判断，认为供应商报价过低，有可能影响产品质量或者不能诚信履约的其他情形。</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相关法律法规对供应商报价有规定的，从其规定。</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6"/>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71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1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行贿或者提供其他不正当利益的。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2"/>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16"/>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、采购人将只对供应商第一次质疑作出答复。</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负责答复。</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1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1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120614220"/>
      <w:r/>
      <w:bookmarkStart w:id="154" w:name="_Toc16938552"/>
      <w:r/>
      <w:bookmarkStart w:id="155" w:name="_Toc513029236"/>
      <w:r/>
      <w:bookmarkStart w:id="156" w:name="_Toc20823308"/>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7" w:name="_Toc513029237"/>
      <w:r/>
      <w:bookmarkStart w:id="158" w:name="_Toc20823309"/>
      <w:r/>
      <w:bookmarkStart w:id="159" w:name="_Toc16938553"/>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7"/>
      <w:r/>
      <w:bookmarkEnd w:id="158"/>
      <w:r/>
      <w:bookmarkEnd w:id="159"/>
      <w:r/>
      <w:r/>
    </w:p>
    <w:p>
      <w:pPr>
        <w:pStyle w:val="71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1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1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16"/>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c00000"/>
          <w:sz w:val="24"/>
          <w:szCs w:val="24"/>
          <w:highlight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24"/>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部门备案的第三方信用报告，且信用报告通过“信用盐城网”可查实），按一半金额缴纳。</w:t>
      </w:r>
      <w:r/>
    </w:p>
    <w:p>
      <w:pPr>
        <w:pStyle w:val="71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outlineLvl w:val="0"/>
      </w:pPr>
      <w:r>
        <w:rPr>
          <w:color w:val="auto"/>
          <w:sz w:val="36"/>
          <w:szCs w:val="44"/>
          <w:highlight w:val="none"/>
        </w:rPr>
        <w:t xml:space="preserve"> </w:t>
      </w:r>
      <w:bookmarkStart w:id="160" w:name="_Toc479757211"/>
      <w:r/>
      <w:bookmarkStart w:id="161" w:name="_Toc20823346"/>
      <w:r/>
      <w:bookmarkStart w:id="162" w:name="_Hlt16619350"/>
      <w:r/>
      <w:bookmarkStart w:id="163" w:name="_Toc16938590"/>
      <w:r/>
      <w:bookmarkStart w:id="164" w:name="_Toc462564139"/>
      <w:r/>
      <w:bookmarkStart w:id="165" w:name="_Toc120614244"/>
      <w:r/>
      <w:bookmarkStart w:id="166"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jc w:val="both"/>
        <w:spacing w:before="156" w:after="156"/>
        <w:rPr>
          <w:rFonts w:hint="eastAsia" w:ascii="宋体" w:hAnsi="宋体" w:eastAsia="宋体" w:cs="宋体"/>
          <w:b/>
          <w:color w:val="auto"/>
          <w:sz w:val="24"/>
          <w:szCs w:val="24"/>
          <w:highlight w:val="none"/>
        </w:rPr>
        <w:outlineLvl w:val="0"/>
      </w:pPr>
      <w:r/>
      <w:bookmarkStart w:id="167" w:name="EB6d2006462e294de090c16e672cecc3bd"/>
      <w:r/>
      <w:bookmarkEnd w:id="167"/>
      <w:r/>
      <w:r/>
    </w:p>
    <w:p>
      <w:pPr>
        <w:jc w:val="center"/>
        <w:spacing w:before="156" w:after="156"/>
        <w:rPr>
          <w:rFonts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政府采购合同</w:t>
      </w:r>
      <w:r/>
    </w:p>
    <w:p>
      <w:pPr>
        <w:pStyle w:val="701"/>
        <w:spacing w:before="120" w:after="12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亭湖区城市排水防涝基础设施改造提升工程-排水防涝设备采购项目</w:t>
      </w:r>
      <w:r/>
    </w:p>
    <w:p>
      <w:pPr>
        <w:pStyle w:val="885"/>
        <w:spacing w:line="520" w:lineRule="exact"/>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盐城市亭湖区住房和城乡建设局</w:t>
      </w:r>
      <w:r>
        <w:rPr>
          <w:rFonts w:ascii="宋体" w:hAnsi="宋体" w:cs="楷体_GB2312"/>
          <w:color w:val="auto"/>
          <w:sz w:val="24"/>
          <w:szCs w:val="24"/>
          <w:highlight w:val="none"/>
        </w:rPr>
        <w:t xml:space="preserve">（以下简称甲方）</w:t>
      </w:r>
      <w:r/>
    </w:p>
    <w:p>
      <w:pPr>
        <w:pStyle w:val="885"/>
        <w:spacing w:line="520" w:lineRule="exact"/>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885"/>
        <w:ind w:firstLine="588"/>
        <w:spacing w:line="520" w:lineRule="exact"/>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亭湖区城市排水防涝基础设施改造提升工程-排水防涝设备采购项目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885"/>
        <w:ind w:firstLine="482"/>
        <w:spacing w:line="520" w:lineRule="exact"/>
        <w:rPr>
          <w:rFonts w:hint="eastAsia"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JSZC-320902-YCSJ-G2026-0004</w:t>
      </w:r>
      <w:r/>
    </w:p>
    <w:p>
      <w:pPr>
        <w:pStyle w:val="885"/>
        <w:ind w:firstLine="482"/>
        <w:spacing w:line="52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市亭湖区内</w:t>
      </w:r>
      <w:r>
        <w:rPr>
          <w:rFonts w:hint="eastAsia" w:ascii="宋体" w:hAnsi="宋体"/>
          <w:color w:val="auto"/>
          <w:sz w:val="24"/>
          <w:szCs w:val="24"/>
          <w:highlight w:val="none"/>
        </w:rPr>
        <w:t xml:space="preserve">。</w:t>
      </w:r>
      <w:r/>
    </w:p>
    <w:p>
      <w:pPr>
        <w:pStyle w:val="885"/>
        <w:ind w:firstLine="482"/>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sz w:val="24"/>
          <w:szCs w:val="24"/>
          <w:highlight w:val="none"/>
          <w:lang w:val="en-US" w:eastAsia="zh-CN" w:bidi="ar-SA"/>
        </w:rPr>
        <w:t xml:space="preserve">亭湖区城市排水防涝基础设施改造提升工程-排水防涝设备</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包括拖拽式一体化水泵、柴油机水泵、移动式柴油机排水泵车、便携式大流量排水单元及防护栏</w:t>
      </w:r>
      <w:r>
        <w:rPr>
          <w:rFonts w:hint="eastAsia" w:ascii="宋体" w:hAnsi="宋体" w:cs="宋体"/>
          <w:sz w:val="24"/>
          <w:szCs w:val="24"/>
          <w:highlight w:val="none"/>
          <w:lang w:val="en-US" w:eastAsia="zh-CN" w:bidi="ar-SA"/>
        </w:rPr>
        <w:t xml:space="preserve">）的</w:t>
      </w:r>
      <w:r>
        <w:rPr>
          <w:rFonts w:hint="eastAsia" w:ascii="宋体" w:hAnsi="宋体" w:eastAsia="宋体" w:cs="Times New Roman"/>
          <w:color w:val="auto"/>
          <w:sz w:val="24"/>
          <w:szCs w:val="24"/>
          <w:highlight w:val="none"/>
          <w:lang w:val="en-US" w:eastAsia="zh-CN"/>
        </w:rPr>
        <w:t xml:space="preserve">采购、供应、安装、调试、售后等相关伴随服务，具体内容及要求详见</w:t>
      </w:r>
      <w:r>
        <w:rPr>
          <w:rFonts w:hint="eastAsia" w:ascii="宋体" w:hAnsi="宋体" w:cs="宋体"/>
          <w:color w:val="auto"/>
          <w:sz w:val="24"/>
          <w:szCs w:val="24"/>
          <w:highlight w:val="none"/>
          <w:lang w:eastAsia="zh-CN"/>
        </w:rPr>
        <w:t xml:space="preserve">本合同</w:t>
      </w:r>
      <w:r>
        <w:rPr>
          <w:rFonts w:hint="eastAsia" w:ascii="宋体" w:hAnsi="宋体" w:eastAsia="宋体" w:cs="Times New Roman"/>
          <w:color w:val="auto"/>
          <w:sz w:val="24"/>
          <w:szCs w:val="24"/>
          <w:highlight w:val="none"/>
          <w:lang w:val="en-US" w:eastAsia="zh-CN" w:bidi="ar-SA"/>
        </w:rPr>
        <w:t xml:space="preserve">。</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885"/>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的所有内容，乙方已充分考虑为完成上述内容所必须的全部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并进行相关服务所需的所有费用，即主要包括（但不限于）：</w:t>
      </w:r>
      <w:r>
        <w:rPr>
          <w:rFonts w:hint="eastAsia" w:ascii="宋体" w:hAnsi="宋体" w:eastAsia="宋体" w:cs="宋体"/>
          <w:color w:val="auto"/>
          <w:sz w:val="24"/>
          <w:szCs w:val="24"/>
          <w:highlight w:val="none"/>
          <w:lang w:val="en-US" w:eastAsia="zh-CN"/>
        </w:rPr>
        <w:t xml:space="preserve">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color w:val="auto"/>
          <w:sz w:val="24"/>
          <w:szCs w:val="24"/>
          <w:highlight w:val="none"/>
        </w:rPr>
        <w:t xml:space="preserve">，甲方不另行增加费用。各类风险和政策性调整等风险已包括在合同价中，最终结算时除合同约定调整外一律不予调整。</w:t>
      </w:r>
      <w:r/>
    </w:p>
    <w:p>
      <w:pPr>
        <w:pStyle w:val="885"/>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885"/>
        <w:ind w:firstLine="588"/>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4.3如合同履行过程中根据现场实际情况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885"/>
        <w:spacing w:line="52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，并需对投标文件涉及到专利负责，保证在任何情况下，不伤害甲方利益。</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要求和投标承诺中无相应规定，则应符合相应的国家现行的相关规范标准。</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885"/>
        <w:ind w:firstLine="435"/>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885"/>
        <w:ind w:firstLine="482"/>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885"/>
        <w:ind w:firstLine="470"/>
        <w:jc w:val="lef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885"/>
        <w:ind w:firstLine="435"/>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w:t>
      </w:r>
      <w:r>
        <w:rPr>
          <w:rFonts w:hint="eastAsia" w:ascii="宋体" w:hAnsi="宋体" w:cs="宋体"/>
          <w:sz w:val="24"/>
          <w:highlight w:val="none"/>
        </w:rPr>
        <w:t xml:space="preserve">合同签订后</w:t>
      </w:r>
      <w:r>
        <w:rPr>
          <w:rFonts w:hint="eastAsia" w:ascii="宋体" w:hAnsi="宋体" w:cs="宋体"/>
          <w:sz w:val="24"/>
          <w:highlight w:val="none"/>
          <w:u w:val="single"/>
        </w:rPr>
        <w:t xml:space="preserve"> </w:t>
      </w:r>
      <w:r>
        <w:rPr>
          <w:rFonts w:hint="eastAsia" w:ascii="Times New Roman" w:hAnsi="Times New Roman"/>
          <w:b/>
          <w:bCs/>
          <w:sz w:val="24"/>
          <w:highlight w:val="none"/>
          <w:u w:val="single"/>
        </w:rPr>
        <w:t xml:space="preserve">30</w:t>
      </w:r>
      <w:r>
        <w:rPr>
          <w:rFonts w:ascii="Times New Roman" w:hAnsi="Times New Roman"/>
          <w:b/>
          <w:bCs/>
          <w:sz w:val="24"/>
          <w:highlight w:val="none"/>
          <w:u w:val="single"/>
        </w:rPr>
        <w:t xml:space="preserve"> </w:t>
      </w:r>
      <w:r>
        <w:rPr>
          <w:rFonts w:hint="eastAsia" w:ascii="宋体" w:hAnsi="宋体" w:cs="宋体"/>
          <w:sz w:val="24"/>
          <w:highlight w:val="none"/>
        </w:rPr>
        <w:t xml:space="preserve">日历天内完成所需</w:t>
      </w:r>
      <w:r>
        <w:rPr>
          <w:rFonts w:hint="eastAsia" w:ascii="宋体" w:hAnsi="宋体" w:cs="宋体"/>
          <w:sz w:val="24"/>
          <w:highlight w:val="none"/>
          <w:lang w:eastAsia="zh-CN"/>
        </w:rPr>
        <w:t xml:space="preserve">全部</w:t>
      </w:r>
      <w:r>
        <w:rPr>
          <w:rFonts w:hint="eastAsia" w:ascii="宋体" w:hAnsi="宋体" w:cs="宋体"/>
          <w:sz w:val="24"/>
          <w:szCs w:val="24"/>
          <w:highlight w:val="none"/>
          <w:lang w:eastAsia="zh-CN" w:bidi="ar"/>
        </w:rPr>
        <w:t xml:space="preserve">货物</w:t>
      </w:r>
      <w:r>
        <w:rPr>
          <w:rFonts w:hint="eastAsia" w:ascii="宋体" w:hAnsi="宋体" w:cs="宋体"/>
          <w:sz w:val="24"/>
          <w:highlight w:val="none"/>
        </w:rPr>
        <w:t xml:space="preserve">的采购、供应、安装、调试等相关伴随服务</w:t>
      </w:r>
      <w:r>
        <w:rPr>
          <w:rFonts w:hint="eastAsia" w:ascii="宋体" w:hAnsi="宋体" w:cs="宋体"/>
          <w:sz w:val="24"/>
          <w:highlight w:val="none"/>
          <w:lang w:eastAsia="zh-CN"/>
        </w:rPr>
        <w:t xml:space="preserve">工作</w:t>
      </w:r>
      <w:r>
        <w:rPr>
          <w:rFonts w:hint="eastAsia" w:ascii="宋体" w:hAnsi="宋体" w:cs="宋体"/>
          <w:sz w:val="24"/>
          <w:highlight w:val="none"/>
        </w:rPr>
        <w:t xml:space="preserve">，并通过验收合格</w:t>
      </w:r>
      <w:r>
        <w:rPr>
          <w:rFonts w:hint="eastAsia" w:ascii="宋体" w:hAnsi="宋体" w:cs="宋体"/>
          <w:sz w:val="24"/>
          <w:highlight w:val="none"/>
          <w:lang w:eastAsia="zh-CN"/>
        </w:rPr>
        <w:t xml:space="preserve">交付</w:t>
      </w:r>
      <w:r>
        <w:rPr>
          <w:rFonts w:hint="eastAsia" w:ascii="宋体" w:hAnsi="宋体"/>
          <w:color w:val="auto"/>
          <w:sz w:val="24"/>
          <w:szCs w:val="24"/>
          <w:highlight w:val="none"/>
        </w:rPr>
        <w:t xml:space="preserve">。</w:t>
      </w:r>
      <w:r/>
    </w:p>
    <w:p>
      <w:pPr>
        <w:pStyle w:val="885"/>
        <w:ind w:firstLine="477"/>
        <w:jc w:val="left"/>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由乙方按期、按质、按量供货及安装、调试完毕，经过验收合格（达到甲方可投入使用条件）并提供相关文件后，甲、乙双方办理正式移交手续并从次日起开始计算质量保修期。</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ind w:firstLine="480"/>
        <w:spacing w:line="520" w:lineRule="exact"/>
        <w:rPr>
          <w:rStyle w:val="882"/>
          <w:rFonts w:hint="eastAsia" w:ascii="宋体" w:hAnsi="宋体"/>
          <w:sz w:val="24"/>
          <w:szCs w:val="24"/>
          <w:highlight w:val="none"/>
        </w:rPr>
      </w:pPr>
      <w:r>
        <w:rPr>
          <w:rStyle w:val="882"/>
          <w:rFonts w:hint="eastAsia" w:ascii="宋体" w:hAnsi="宋体" w:eastAsia="宋体"/>
          <w:sz w:val="24"/>
          <w:szCs w:val="24"/>
          <w:highlight w:val="none"/>
          <w:lang w:val="en-US" w:eastAsia="zh-CN"/>
        </w:rPr>
        <w:t xml:space="preserve">11.1</w:t>
      </w:r>
      <w:r>
        <w:rPr>
          <w:rStyle w:val="882"/>
          <w:rFonts w:hint="eastAsia" w:ascii="宋体" w:hAnsi="宋体"/>
          <w:sz w:val="24"/>
          <w:szCs w:val="24"/>
          <w:highlight w:val="none"/>
        </w:rPr>
        <w:t xml:space="preserve">合同签订后，</w:t>
      </w:r>
      <w:r>
        <w:rPr>
          <w:rFonts w:hint="eastAsia" w:ascii="宋体" w:hAnsi="宋体" w:cs="宋体"/>
          <w:color w:val="000000"/>
          <w:sz w:val="24"/>
          <w:highlight w:val="none"/>
          <w:lang w:val="zh-TW"/>
        </w:rPr>
        <w:t xml:space="preserve">甲方收到</w:t>
      </w:r>
      <w:r>
        <w:rPr>
          <w:rFonts w:hint="eastAsia"/>
          <w:sz w:val="24"/>
          <w:szCs w:val="20"/>
          <w:highlight w:val="none"/>
          <w:lang w:val="zh-CN"/>
        </w:rPr>
        <w:t xml:space="preserve">发票后10个工作日内</w:t>
      </w:r>
      <w:r>
        <w:rPr>
          <w:rFonts w:hint="eastAsia" w:ascii="宋体" w:hAnsi="宋体" w:cs="宋体"/>
          <w:color w:val="000000"/>
          <w:sz w:val="24"/>
          <w:highlight w:val="none"/>
          <w:lang w:val="zh-TW"/>
        </w:rPr>
        <w:t xml:space="preserve">，向乙方支付合同总价的30%作为预付款（签订合同时，乙方明确表示无需预付款的或主动要求降低预付款比例的，可作出相应调整）；</w:t>
      </w:r>
      <w:r>
        <w:rPr>
          <w:rFonts w:hint="eastAsia" w:ascii="宋体" w:hAnsi="宋体" w:cs="宋体"/>
          <w:color w:val="000000"/>
          <w:sz w:val="24"/>
          <w:highlight w:val="none"/>
          <w:lang w:val="en-US" w:eastAsia="zh-CN"/>
        </w:rPr>
        <w:t xml:space="preserve">所有货物</w:t>
      </w:r>
      <w:r>
        <w:rPr>
          <w:rFonts w:hint="eastAsia" w:ascii="宋体" w:hAnsi="宋体" w:cs="宋体"/>
          <w:color w:val="000000"/>
          <w:sz w:val="24"/>
          <w:highlight w:val="none"/>
          <w:lang w:val="zh-TW"/>
        </w:rPr>
        <w:t xml:space="preserve">供货完</w:t>
      </w:r>
      <w:r>
        <w:rPr>
          <w:rFonts w:hint="eastAsia" w:ascii="宋体" w:hAnsi="宋体"/>
          <w:sz w:val="24"/>
          <w:szCs w:val="24"/>
          <w:highlight w:val="none"/>
        </w:rPr>
        <w:t xml:space="preserve">成</w:t>
      </w:r>
      <w:r>
        <w:rPr>
          <w:rFonts w:hint="eastAsia" w:ascii="宋体" w:hAnsi="宋体"/>
          <w:sz w:val="24"/>
          <w:szCs w:val="24"/>
          <w:highlight w:val="none"/>
          <w:lang w:eastAsia="zh-CN"/>
        </w:rPr>
        <w:t xml:space="preserve">且安装、调试结束</w:t>
      </w:r>
      <w:r>
        <w:rPr>
          <w:rFonts w:hint="eastAsia" w:ascii="宋体" w:hAnsi="宋体"/>
          <w:sz w:val="24"/>
          <w:szCs w:val="24"/>
          <w:highlight w:val="none"/>
        </w:rPr>
        <w:t xml:space="preserve">，经甲方验收合格</w:t>
      </w:r>
      <w:r>
        <w:rPr>
          <w:rFonts w:hint="eastAsia" w:ascii="宋体" w:hAnsi="宋体" w:eastAsia="宋体"/>
          <w:sz w:val="24"/>
          <w:szCs w:val="24"/>
          <w:highlight w:val="none"/>
          <w:lang w:val="en-US" w:eastAsia="zh-CN"/>
        </w:rPr>
        <w:t xml:space="preserve">后</w:t>
      </w:r>
      <w:r>
        <w:rPr>
          <w:rFonts w:hint="eastAsia" w:ascii="宋体" w:hAnsi="宋体"/>
          <w:sz w:val="24"/>
          <w:szCs w:val="24"/>
          <w:highlight w:val="none"/>
        </w:rPr>
        <w:t xml:space="preserve">付至</w:t>
      </w:r>
      <w:r>
        <w:rPr>
          <w:rFonts w:hint="eastAsia" w:ascii="宋体" w:hAnsi="宋体"/>
          <w:sz w:val="24"/>
          <w:szCs w:val="24"/>
          <w:highlight w:val="none"/>
          <w:lang w:val="en-US" w:eastAsia="zh-CN"/>
        </w:rPr>
        <w:t xml:space="preserve">合同总价</w:t>
      </w:r>
      <w:r>
        <w:rPr>
          <w:rFonts w:hint="eastAsia" w:ascii="宋体" w:hAnsi="宋体"/>
          <w:sz w:val="24"/>
          <w:szCs w:val="24"/>
          <w:highlight w:val="none"/>
        </w:rPr>
        <w:t xml:space="preserve">的</w:t>
      </w:r>
      <w:r>
        <w:rPr>
          <w:rFonts w:hint="eastAsia" w:ascii="宋体" w:hAnsi="宋体" w:eastAsia="宋体"/>
          <w:sz w:val="24"/>
          <w:szCs w:val="24"/>
          <w:highlight w:val="none"/>
          <w:lang w:val="en-US" w:eastAsia="zh-CN"/>
        </w:rPr>
        <w:t xml:space="preserve">8</w:t>
      </w:r>
      <w:r>
        <w:rPr>
          <w:rFonts w:hint="eastAsia" w:ascii="宋体" w:hAnsi="宋体"/>
          <w:sz w:val="24"/>
          <w:szCs w:val="24"/>
          <w:highlight w:val="none"/>
        </w:rPr>
        <w:t xml:space="preserve">0%</w:t>
      </w:r>
      <w:r>
        <w:rPr>
          <w:rFonts w:hint="eastAsia" w:ascii="宋体" w:hAnsi="宋体" w:eastAsia="宋体"/>
          <w:sz w:val="24"/>
          <w:szCs w:val="24"/>
          <w:highlight w:val="none"/>
          <w:lang w:eastAsia="zh-CN"/>
        </w:rPr>
        <w:t xml:space="preserve">；</w:t>
      </w:r>
      <w:r>
        <w:rPr>
          <w:rFonts w:hint="eastAsia" w:ascii="宋体" w:hAnsi="宋体"/>
          <w:sz w:val="24"/>
          <w:szCs w:val="24"/>
          <w:highlight w:val="none"/>
          <w:lang w:val="en-US" w:eastAsia="zh-CN"/>
        </w:rPr>
        <w:t xml:space="preserve">审计完成</w:t>
      </w:r>
      <w:r>
        <w:rPr>
          <w:rFonts w:hint="eastAsia" w:ascii="宋体" w:hAnsi="宋体"/>
          <w:sz w:val="24"/>
          <w:szCs w:val="24"/>
          <w:highlight w:val="none"/>
        </w:rPr>
        <w:t xml:space="preserve">后，付至</w:t>
      </w:r>
      <w:r>
        <w:rPr>
          <w:rFonts w:hint="eastAsia" w:ascii="宋体" w:hAnsi="宋体"/>
          <w:sz w:val="24"/>
          <w:szCs w:val="24"/>
          <w:highlight w:val="none"/>
          <w:lang w:val="en-US" w:eastAsia="zh-CN"/>
        </w:rPr>
        <w:t xml:space="preserve">审计</w:t>
      </w:r>
      <w:r>
        <w:rPr>
          <w:rFonts w:hint="eastAsia" w:ascii="宋体" w:hAnsi="宋体"/>
          <w:sz w:val="24"/>
          <w:szCs w:val="24"/>
          <w:highlight w:val="none"/>
        </w:rPr>
        <w:t xml:space="preserve">结算</w:t>
      </w:r>
      <w:r>
        <w:rPr>
          <w:rFonts w:hint="eastAsia" w:ascii="宋体" w:hAnsi="宋体" w:eastAsia="宋体"/>
          <w:sz w:val="24"/>
          <w:szCs w:val="24"/>
          <w:highlight w:val="none"/>
          <w:lang w:eastAsia="zh-CN"/>
        </w:rPr>
        <w:t xml:space="preserve">总</w:t>
      </w:r>
      <w:r>
        <w:rPr>
          <w:rFonts w:hint="eastAsia" w:ascii="宋体" w:hAnsi="宋体"/>
          <w:sz w:val="24"/>
          <w:szCs w:val="24"/>
          <w:highlight w:val="none"/>
        </w:rPr>
        <w:t xml:space="preserve">价的</w:t>
      </w:r>
      <w:r>
        <w:rPr>
          <w:rFonts w:hint="eastAsia" w:ascii="宋体" w:hAnsi="宋体" w:eastAsia="宋体"/>
          <w:sz w:val="24"/>
          <w:szCs w:val="24"/>
          <w:highlight w:val="none"/>
          <w:lang w:val="en-US" w:eastAsia="zh-CN"/>
        </w:rPr>
        <w:t xml:space="preserve">9</w:t>
      </w:r>
      <w:r>
        <w:rPr>
          <w:rFonts w:hint="eastAsia" w:ascii="宋体" w:hAnsi="宋体"/>
          <w:sz w:val="24"/>
          <w:szCs w:val="24"/>
          <w:highlight w:val="none"/>
        </w:rPr>
        <w:t xml:space="preserve">0%</w:t>
      </w:r>
      <w:r>
        <w:rPr>
          <w:rStyle w:val="882"/>
          <w:rFonts w:hint="eastAsia" w:ascii="宋体" w:hAnsi="宋体"/>
          <w:sz w:val="24"/>
          <w:szCs w:val="24"/>
          <w:highlight w:val="none"/>
        </w:rPr>
        <w:t xml:space="preserve">；所有</w:t>
      </w:r>
      <w:r>
        <w:rPr>
          <w:rStyle w:val="882"/>
          <w:rFonts w:hint="eastAsia" w:ascii="宋体" w:hAnsi="宋体"/>
          <w:sz w:val="24"/>
          <w:szCs w:val="24"/>
          <w:highlight w:val="none"/>
          <w:lang w:eastAsia="zh-CN"/>
        </w:rPr>
        <w:t xml:space="preserve">货物验收合格且</w:t>
      </w:r>
      <w:r>
        <w:rPr>
          <w:rStyle w:val="882"/>
          <w:rFonts w:hint="eastAsia" w:ascii="宋体" w:hAnsi="宋体"/>
          <w:sz w:val="24"/>
          <w:szCs w:val="24"/>
          <w:highlight w:val="none"/>
        </w:rPr>
        <w:t xml:space="preserve">正常运行满</w:t>
      </w:r>
      <w:r>
        <w:rPr>
          <w:rStyle w:val="882"/>
          <w:rFonts w:hint="eastAsia" w:ascii="宋体" w:hAnsi="宋体" w:eastAsia="宋体"/>
          <w:sz w:val="24"/>
          <w:szCs w:val="24"/>
          <w:highlight w:val="none"/>
          <w:lang w:val="en-US" w:eastAsia="zh-CN"/>
        </w:rPr>
        <w:t xml:space="preserve">三</w:t>
      </w:r>
      <w:r>
        <w:rPr>
          <w:rStyle w:val="882"/>
          <w:rFonts w:hint="eastAsia" w:ascii="宋体" w:hAnsi="宋体"/>
          <w:sz w:val="24"/>
          <w:szCs w:val="24"/>
          <w:highlight w:val="none"/>
        </w:rPr>
        <w:t xml:space="preserve">年后一次性结清余款。</w:t>
      </w:r>
      <w:r/>
    </w:p>
    <w:p>
      <w:pPr>
        <w:ind w:firstLine="460"/>
        <w:spacing w:line="500" w:lineRule="exact"/>
        <w:rPr>
          <w:rStyle w:val="882"/>
          <w:rFonts w:hint="eastAsia" w:ascii="宋体" w:hAnsi="宋体"/>
          <w:color w:val="000000"/>
          <w:sz w:val="24"/>
          <w:szCs w:val="24"/>
          <w:highlight w:val="none"/>
        </w:rPr>
      </w:pPr>
      <w:r>
        <w:rPr>
          <w:rStyle w:val="882"/>
          <w:rFonts w:hint="eastAsia" w:ascii="宋体" w:hAnsi="宋体"/>
          <w:color w:val="000000"/>
          <w:sz w:val="24"/>
          <w:szCs w:val="24"/>
          <w:highlight w:val="none"/>
        </w:rPr>
        <w:t xml:space="preserve">注：</w:t>
      </w:r>
      <w:r>
        <w:rPr>
          <w:rFonts w:hint="eastAsia" w:ascii="宋体" w:hAnsi="宋体"/>
          <w:color w:val="000000"/>
          <w:sz w:val="24"/>
          <w:highlight w:val="none"/>
        </w:rPr>
        <w:t xml:space="preserve">（1）</w:t>
      </w:r>
      <w:r>
        <w:rPr>
          <w:rFonts w:hint="eastAsia" w:ascii="宋体" w:hAnsi="宋体"/>
          <w:color w:val="000000"/>
          <w:sz w:val="24"/>
          <w:highlight w:val="none"/>
          <w:lang w:val="zh-TW"/>
        </w:rPr>
        <w:t xml:space="preserve">上述付款不计利息</w:t>
      </w:r>
      <w:r>
        <w:rPr>
          <w:rFonts w:hint="eastAsia" w:ascii="宋体" w:hAnsi="宋体"/>
          <w:color w:val="000000"/>
          <w:sz w:val="24"/>
          <w:highlight w:val="none"/>
        </w:rPr>
        <w:t xml:space="preserve">，一律通过银行结转；（2）</w:t>
      </w:r>
      <w:r>
        <w:rPr>
          <w:rFonts w:hint="eastAsia" w:ascii="宋体" w:hAnsi="宋体"/>
          <w:color w:val="000000"/>
          <w:sz w:val="24"/>
          <w:highlight w:val="none"/>
          <w:lang w:val="zh-TW"/>
        </w:rPr>
        <w:t xml:space="preserve">每次付款前乙方需提供增值税发票，如因乙方提供发票不及时或不合格导致甲方逾期付款的，不视为甲方违约</w:t>
      </w:r>
      <w:r>
        <w:rPr>
          <w:rStyle w:val="882"/>
          <w:rFonts w:hint="eastAsia" w:ascii="宋体" w:hAnsi="宋体"/>
          <w:color w:val="000000"/>
          <w:sz w:val="24"/>
          <w:szCs w:val="24"/>
          <w:highlight w:val="none"/>
        </w:rPr>
        <w:t xml:space="preserve">；（3）本合同执行中相关的一切税费均由乙方负担。与本合同有关的一切税费均适用中华人民共和国法律的相关规定。</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20" w:lineRule="exact"/>
        <w:rPr>
          <w:rFonts w:ascii="宋体" w:hAnsi="宋体" w:cs="宋体"/>
          <w:sz w:val="24"/>
          <w:szCs w:val="24"/>
          <w:highlight w:val="none"/>
        </w:rPr>
      </w:pPr>
      <w:r>
        <w:rPr>
          <w:rFonts w:hint="eastAsia" w:ascii="宋体" w:hAnsi="宋体"/>
          <w:color w:val="auto"/>
          <w:sz w:val="24"/>
          <w:szCs w:val="24"/>
          <w:highlight w:val="none"/>
        </w:rPr>
        <w:t xml:space="preserve">12.1</w:t>
      </w:r>
      <w:r>
        <w:rPr>
          <w:rFonts w:hint="eastAsia" w:ascii="宋体" w:hAnsi="宋体" w:cs="宋体"/>
          <w:sz w:val="24"/>
          <w:szCs w:val="24"/>
          <w:highlight w:val="none"/>
        </w:rPr>
        <w:t xml:space="preserve">项目结算总价=∑中标综合单价×实际供货量±甲方调整项目内容或合同约定调整价款；其中中标综合单价结算时一律不予调整（除甲方调整项目内容或合同约定调整外），供货量按实结算。</w:t>
      </w:r>
      <w:r/>
    </w:p>
    <w:p>
      <w:pPr>
        <w:ind w:firstLine="480"/>
        <w:keepLines w:val="0"/>
        <w:keepNext w:val="0"/>
        <w:pageBreakBefore w:val="0"/>
        <w:spacing w:line="520" w:lineRule="exact"/>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12.2</w:t>
      </w:r>
      <w:r>
        <w:rPr>
          <w:rFonts w:hint="eastAsia" w:ascii="宋体" w:hAnsi="宋体" w:cs="宋体"/>
          <w:sz w:val="24"/>
          <w:szCs w:val="24"/>
          <w:highlight w:val="none"/>
        </w:rPr>
        <w:t xml:space="preserve">甲方调整项目内容或合同约定调整价款的确定：</w:t>
      </w:r>
      <w:r/>
    </w:p>
    <w:p>
      <w:pPr>
        <w:ind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1）在投标报价书中有相同单价的，执行投标报价书中的单价；</w:t>
      </w:r>
      <w:r/>
    </w:p>
    <w:p>
      <w:pPr>
        <w:ind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2）在投标报价书中有类似单价的，参照投标报价书中的类似单价执行；</w:t>
      </w:r>
      <w:r/>
    </w:p>
    <w:p>
      <w:pPr>
        <w:ind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3）在投标报价书中没有单价或类似单价的，其单价由乙方提出，经甲方认可执行。</w:t>
      </w:r>
      <w:r/>
    </w:p>
    <w:p>
      <w:pPr>
        <w:pStyle w:val="885"/>
        <w:ind w:firstLine="480"/>
        <w:spacing w:line="520" w:lineRule="exact"/>
        <w:rPr>
          <w:rFonts w:hint="eastAsia" w:ascii="宋体" w:hAnsi="宋体"/>
          <w:color w:val="auto"/>
          <w:sz w:val="24"/>
          <w:szCs w:val="24"/>
          <w:highlight w:val="none"/>
        </w:rPr>
      </w:pPr>
      <w:r>
        <w:rPr>
          <w:rFonts w:hint="eastAsia" w:ascii="宋体" w:hAnsi="宋体" w:cs="宋体"/>
          <w:sz w:val="24"/>
          <w:szCs w:val="24"/>
          <w:highlight w:val="none"/>
          <w:lang w:val="en-US" w:eastAsia="zh-CN"/>
        </w:rPr>
        <w:t xml:space="preserve">12.3</w:t>
      </w:r>
      <w:r>
        <w:rPr>
          <w:rFonts w:hint="eastAsia" w:ascii="宋体" w:hAnsi="宋体" w:cs="宋体"/>
          <w:sz w:val="24"/>
          <w:szCs w:val="24"/>
          <w:highlight w:val="none"/>
        </w:rPr>
        <w:t xml:space="preserve">因乙方自身原因造成供货量增加的，乙方无权要求任何补偿</w:t>
      </w:r>
      <w:r>
        <w:rPr>
          <w:rFonts w:hint="eastAsia" w:ascii="宋体" w:hAnsi="宋体"/>
          <w:color w:val="auto"/>
          <w:sz w:val="24"/>
          <w:szCs w:val="24"/>
          <w:highlight w:val="none"/>
        </w:rPr>
        <w:t xml:space="preserve">。</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到现场，甲方可委托具备该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检测能力的检测机构对其质量进行检测，其检测费由乙方承担。如检测结果不合格，则乙方承担本合同规定的违约责任。</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运抵现场后，甲方将对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的质量、性能、品牌型号、技术要求、数量等进行初步检验（或取样送检）。如发现</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的质量、性能、品牌型号、技术要求、数量等与</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要求和投标承诺、国家现行的相关规范标准不符时（或检测不合格时），乙方应按甲方规定的时间内将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运出安装场地，重新采购符合要求的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，并承担由此发生的一切损失和责任，由此延误的工期不予顺延（如乙方不服从或拒绝按甲方要求的时间运出安装场地，甲方有权单独采购符合要求的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，其一切费用均在乙方款项中扣除）。甲方根据当地质检部门出具的检验结果向乙方提出索赔。</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13.6</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安装、调试结束后，提供安装、调试报告，报告中要有各项检测数据和详细的验收标准、验收手册。</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13.7乙方提供技术文件资料的约定：乙方在交付验收合格后15日内，向甲方提供技术文件资料叁套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注：乙方提供的书面技术文件资料应能满足确保</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正常所需的使用、维护及管理有关的全套文件资料。</w:t>
      </w:r>
      <w:r/>
    </w:p>
    <w:p>
      <w:pPr>
        <w:pStyle w:val="885"/>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14.1安装地点：</w:t>
      </w:r>
      <w:r>
        <w:rPr>
          <w:rFonts w:hint="eastAsia" w:ascii="宋体" w:hAnsi="宋体" w:cs="宋体"/>
          <w:color w:val="auto"/>
          <w:sz w:val="24"/>
          <w:szCs w:val="24"/>
          <w:highlight w:val="none"/>
          <w:lang w:eastAsia="zh-CN"/>
        </w:rPr>
        <w:t xml:space="preserve">亭湖</w:t>
      </w:r>
      <w:r>
        <w:rPr>
          <w:rFonts w:hint="eastAsia" w:ascii="宋体" w:hAnsi="宋体" w:cs="宋体"/>
          <w:color w:val="auto"/>
          <w:sz w:val="24"/>
          <w:szCs w:val="24"/>
          <w:highlight w:val="none"/>
          <w:lang w:val="en-US" w:eastAsia="zh-CN"/>
        </w:rPr>
        <w:t xml:space="preserve">区甲方指定地点</w:t>
      </w:r>
      <w:r>
        <w:rPr>
          <w:rFonts w:hint="eastAsia" w:ascii="宋体" w:hAnsi="宋体" w:eastAsia="宋体" w:cs="Times New Roman"/>
          <w:color w:val="auto"/>
          <w:sz w:val="24"/>
          <w:szCs w:val="24"/>
          <w:highlight w:val="none"/>
          <w:lang w:val="en-US" w:eastAsia="zh-CN" w:bidi="ar-SA"/>
        </w:rPr>
        <w:t xml:space="preserve">内</w:t>
      </w:r>
      <w:r>
        <w:rPr>
          <w:rFonts w:hint="eastAsia" w:ascii="宋体" w:hAnsi="宋体"/>
          <w:color w:val="auto"/>
          <w:sz w:val="24"/>
          <w:szCs w:val="24"/>
          <w:highlight w:val="none"/>
        </w:rPr>
        <w:t xml:space="preserve">。</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14.3乙方应在准备部署本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安装、调试期间，乙方负责组织专业技术人员进行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安装、调试，甲方将提供必须的基本条件和专人配合，保证各项安装工作顺利进行。</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的安装，承担与安装项目相关的一切费用（包括食宿等费用）。</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14.6乙方安装过程中必须做到文明安装，安装结束的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及其环境应清理干净。</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885"/>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15.1按合同定期到货和安装，安装前乙方需把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885"/>
        <w:ind w:firstLine="480"/>
        <w:spacing w:line="520" w:lineRule="exact"/>
        <w:rPr>
          <w:rFonts w:hint="eastAsia"/>
          <w:color w:val="auto"/>
          <w:sz w:val="24"/>
          <w:szCs w:val="24"/>
          <w:highlight w:val="none"/>
        </w:rPr>
      </w:pPr>
      <w:r>
        <w:rPr>
          <w:rFonts w:hint="eastAsia" w:ascii="宋体" w:hAnsi="宋体"/>
          <w:color w:val="auto"/>
          <w:sz w:val="24"/>
          <w:szCs w:val="24"/>
          <w:highlight w:val="none"/>
        </w:rPr>
        <w:t xml:space="preserve">15.2在质量保修期内，除责任事故外，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rPr>
        <w:t xml:space="preserve">质量保修期为</w:t>
      </w: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年；</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质量合格证（或权威部门检测报告）和证明书。乙方均须按投标承诺的品牌型号进行采购。</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中技术要求、国家现行的相关规范标准；项目确保按规范和标准验收，且达国家合格标准。</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15.5在质量保修期内的工作应包括对所有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出现故障时，乙方须积极响应。在质量保修期内，乙方须建立7*24小时报修电话。如果出现质量、技术问题，甲方通过电话通知乙方，乙方接到报修电话后，在10分钟内作出响应，在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注：在质量保修期内，乙方应免费向甲方提供所有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质量保修期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在质量保修期内因乙方责任出现十分严重的缺陷，则质量保修期将自该缺陷修复后开始重新计算。</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经正确安装、正常使用在其使用寿命期内应具有满意的性能。在质量保修期内，乙方应对由于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的质量、品牌型号、技术要求、性能、数量等与合同不符，或在规定的质量保修期内证实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15.14在质量保修期内，如发现乙方提供的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费、安装费（含运费）、保险费等一切费用和按合同有关条款的规定进行赔偿。</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85"/>
        <w:ind w:firstLine="477"/>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16.1如对照国家标准或当地质检部门出具的质检证书证实其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的质量不合格或达不到招标要求的，甲方有权根据国家检验标准或当地质检部门出具的检验结果向乙方提出索赔。</w:t>
      </w:r>
      <w:r/>
    </w:p>
    <w:p>
      <w:pPr>
        <w:pStyle w:val="88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16.2在根据合同规定的质量保修期内，乙方对甲方提出的索赔和差异负有责任，乙方应按照甲方同意的下列一种或多种方式解决索赔事宜：</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来更换有缺陷的部分或修补缺陷部分，乙方应承担一切费用和风险，并负担甲方所发生的一切直接费用。甲方应按合同规定，相应延长修补或更换件的质量保修期。</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发生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%金额赔偿费计算），但违约赔偿费的最高限额为合同价的15%。如果乙方在达到最高限额后仍不能交付和提供服务，甲方可终止合同，且履约保证金不予退还。</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17.3甲、乙双方均应遵守本合同约定，若任何一方违约，违约方应按《中华人民共和国民法典》和本合同的约定承担其违约责任，赔偿因其违约给守约方造成的损失。</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说明书中的描述的技术功能和技术标准，甲方有权解除合同；解除合同不影响违约金条款执行及损害赔偿的追索。</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885"/>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885"/>
        <w:ind w:firstLine="45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885"/>
        <w:numPr>
          <w:ilvl w:val="0"/>
          <w:numId w:val="1"/>
        </w:numPr>
        <w:ind w:firstLine="482"/>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spacing w:line="500" w:lineRule="exact"/>
        <w:rPr>
          <w:rFonts w:hint="eastAsia" w:ascii="宋体" w:hAnsi="宋体" w:cs="宋体"/>
          <w:sz w:val="24"/>
          <w:szCs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.1、乙方</w:t>
      </w:r>
      <w:r>
        <w:rPr>
          <w:rFonts w:hint="eastAsia" w:ascii="宋体" w:hAnsi="宋体" w:cs="宋体"/>
          <w:sz w:val="24"/>
          <w:szCs w:val="20"/>
          <w:highlight w:val="none"/>
        </w:rPr>
        <w:t xml:space="preserve">交纳人民币_________元作为本合同的履约保证金。</w:t>
      </w:r>
      <w:r>
        <w:rPr>
          <w:rFonts w:hint="eastAsia" w:cs="宋体"/>
          <w:sz w:val="24"/>
          <w:szCs w:val="20"/>
          <w:highlight w:val="none"/>
        </w:rPr>
        <w:t xml:space="preserve">【</w:t>
      </w:r>
      <w:r>
        <w:rPr>
          <w:rFonts w:hint="eastAsia" w:ascii="宋体" w:hAnsi="宋体" w:cs="宋体"/>
          <w:sz w:val="24"/>
          <w:szCs w:val="20"/>
          <w:highlight w:val="none"/>
        </w:rPr>
        <w:t xml:space="preserve">备注：合同金额的10%，</w:t>
      </w:r>
      <w:r>
        <w:rPr>
          <w:rFonts w:hint="eastAsia" w:cs="宋体"/>
          <w:sz w:val="24"/>
          <w:szCs w:val="20"/>
          <w:highlight w:val="none"/>
        </w:rPr>
        <w:t xml:space="preserve">甲方</w:t>
      </w:r>
      <w:r>
        <w:rPr>
          <w:rFonts w:hint="eastAsia" w:ascii="宋体" w:hAnsi="宋体" w:cs="宋体"/>
          <w:sz w:val="24"/>
          <w:szCs w:val="20"/>
          <w:highlight w:val="none"/>
        </w:rPr>
        <w:t xml:space="preserve">应当对AA评级及以上政府采购供应商（需提供信用管理部门备案的第三方信用报告，</w:t>
      </w:r>
      <w:r>
        <w:rPr>
          <w:rFonts w:hint="eastAsia" w:ascii="宋体" w:hAnsi="宋体" w:cs="宋体"/>
          <w:sz w:val="24"/>
          <w:szCs w:val="24"/>
          <w:highlight w:val="none"/>
        </w:rPr>
        <w:t xml:space="preserve">且信用报告通过“信用盐城网”可查实</w:t>
      </w:r>
      <w:r>
        <w:rPr>
          <w:rFonts w:hint="eastAsia" w:ascii="宋体" w:hAnsi="宋体" w:cs="宋体"/>
          <w:sz w:val="24"/>
          <w:szCs w:val="20"/>
          <w:highlight w:val="none"/>
        </w:rPr>
        <w:t xml:space="preserve">）免收履约保证金或降低履约保证金缴纳比例（</w:t>
      </w:r>
      <w:r>
        <w:rPr>
          <w:rFonts w:hint="eastAsia" w:ascii="宋体" w:hAnsi="宋体" w:cs="宋体"/>
          <w:color w:val="000000"/>
          <w:sz w:val="24"/>
          <w:szCs w:val="20"/>
          <w:highlight w:val="none"/>
        </w:rPr>
        <w:t xml:space="preserve">本项目约定降低履约保证金比例，即为合同金额的5%</w:t>
      </w:r>
      <w:r>
        <w:rPr>
          <w:rFonts w:hint="eastAsia" w:ascii="宋体" w:hAnsi="宋体" w:cs="宋体"/>
          <w:sz w:val="24"/>
          <w:szCs w:val="20"/>
          <w:highlight w:val="none"/>
        </w:rPr>
        <w:t xml:space="preserve">）</w:t>
      </w:r>
      <w:r>
        <w:rPr>
          <w:rFonts w:hint="eastAsia" w:cs="宋体"/>
          <w:sz w:val="24"/>
          <w:szCs w:val="20"/>
          <w:highlight w:val="none"/>
        </w:rPr>
        <w:t xml:space="preserve">】</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.2、确需收取履约保证金的，履约保证金的缴纳形式：</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.2.2 如以履约保函（保险）形式缴纳履约保证金，乙方可通过政府采购电子履约保函（保险）平台（www.jsdzbh.com）在线申请履约保函（保险）。</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.3、合同履行结束后，甲方应及时退还交纳的履约保证金。</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.4、履约保证金的退还：</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.4.1方式：无息退还至乙方缴纳履约保证金的账户。如为保函，在到期时自行失效。</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.4.2时间：验收合格且甲方收到发票后30日内。</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.4.3条件：按合同要求全部履约完成并经甲方验收合格，且甲方收到乙方出具的发票。</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w:t>
      </w:r>
      <w:r>
        <w:rPr>
          <w:rStyle w:val="883"/>
          <w:rFonts w:hint="eastAsia" w:ascii="宋体" w:hAnsi="宋体" w:cs="宋体"/>
          <w:sz w:val="24"/>
          <w:highlight w:val="none"/>
          <w:lang w:val="en-US"/>
        </w:rPr>
        <w:t xml:space="preserve">9</w:t>
      </w:r>
      <w:r>
        <w:rPr>
          <w:rStyle w:val="883"/>
          <w:rFonts w:hint="eastAsia" w:ascii="宋体" w:hAnsi="宋体" w:cs="宋体"/>
          <w:sz w:val="24"/>
          <w:highlight w:val="none"/>
        </w:rPr>
        <w:t xml:space="preserve">.4.4不予退还情形：</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除不可抗力情况外，乙方出现下列情形之一的，其履约保证金，甲方将视情节决定不予退还或部分不予退还。</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（1）乙方无正当理由拒绝签订合同的，或者在签订合同时向甲方提出附加条件或者更改合同实质性内容要求的；</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（2）乙方不履行与甲方订立的合同的；</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（3）乙方服务不符合招标文件规定要求的；</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（4）乙方采取欺骗、弄虚作假方式投标的或与其它供应商串通投标的；</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（5）乙方将合同内容转包、违法分包的；</w:t>
      </w:r>
      <w:r/>
    </w:p>
    <w:p>
      <w:pPr>
        <w:ind w:firstLine="480"/>
        <w:spacing w:line="500" w:lineRule="exact"/>
        <w:rPr>
          <w:rStyle w:val="883"/>
          <w:rFonts w:hint="eastAsia" w:ascii="宋体" w:hAnsi="宋体" w:cs="宋体"/>
          <w:sz w:val="24"/>
          <w:highlight w:val="none"/>
        </w:rPr>
      </w:pPr>
      <w:r>
        <w:rPr>
          <w:rStyle w:val="883"/>
          <w:rFonts w:hint="eastAsia" w:ascii="宋体" w:hAnsi="宋体" w:cs="宋体"/>
          <w:sz w:val="24"/>
          <w:highlight w:val="none"/>
        </w:rPr>
        <w:t xml:space="preserve">（6）乙方故意捏造事实或伪造证明材料，进行虚假恶意投诉或反映的。</w:t>
      </w:r>
      <w:r/>
    </w:p>
    <w:p>
      <w:pPr>
        <w:ind w:firstLine="480"/>
        <w:spacing w:line="520" w:lineRule="exact"/>
        <w:rPr>
          <w:rFonts w:hint="eastAsia" w:ascii="宋体" w:hAnsi="宋体"/>
          <w:b/>
          <w:bCs/>
          <w:color w:val="auto"/>
          <w:sz w:val="24"/>
          <w:szCs w:val="24"/>
          <w:highlight w:val="none"/>
        </w:rPr>
      </w:pPr>
      <w:r>
        <w:rPr>
          <w:rStyle w:val="883"/>
          <w:rFonts w:hint="eastAsia" w:ascii="宋体" w:hAnsi="宋体"/>
          <w:sz w:val="24"/>
          <w:highlight w:val="none"/>
        </w:rPr>
        <w:t xml:space="preserve">1</w:t>
      </w:r>
      <w:r>
        <w:rPr>
          <w:rStyle w:val="883"/>
          <w:rFonts w:hint="eastAsia" w:ascii="宋体" w:hAnsi="宋体"/>
          <w:sz w:val="24"/>
          <w:highlight w:val="none"/>
          <w:lang w:val="en-US"/>
        </w:rPr>
        <w:t xml:space="preserve">9</w:t>
      </w:r>
      <w:r>
        <w:rPr>
          <w:rStyle w:val="883"/>
          <w:rFonts w:hint="eastAsia" w:ascii="宋体" w:hAnsi="宋体"/>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882"/>
          <w:rFonts w:hint="eastAsia"/>
          <w:sz w:val="24"/>
          <w:szCs w:val="24"/>
          <w:highlight w:val="none"/>
        </w:rPr>
        <w:t xml:space="preserve">。</w:t>
      </w:r>
      <w:r/>
    </w:p>
    <w:p>
      <w:pPr>
        <w:pStyle w:val="885"/>
        <w:ind w:firstLine="482"/>
        <w:spacing w:line="52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安装、调试并交付甲方验收。</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885"/>
        <w:ind w:firstLine="47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甲方不允许乙方将本项目转包和分包给任何第三方，否则，甲方有权立即终止合同，乙方负违约责任，向甲方支付违约金，从到期的合同款中扣除。</w:t>
      </w:r>
      <w:r/>
    </w:p>
    <w:p>
      <w:pPr>
        <w:pStyle w:val="885"/>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23.1本项目质量确保达到国家合格标准，且要求一次检测合格，检测不合格者，必须无偿修复至合格，非甲方原因，质量整改期间工期不顺延。</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及材料的自行保护。乙方不得擅自外运任何置于项目现场或周转场地的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及材料，否则由此造成的一切损失及后果均由乙方承担。</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23.4安装期间所有安全、消防、市容保洁、环境噪声、成品保护、治安保卫、文明安装均由乙方负责，非甲方原因发生的一切问题和责任与甲方无关，费用由乙方自理。</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23.5乙方进场后，必须服从甲方的统一调度和指挥。如出现不服从管理现象的，甲方将视情节轻重认定乙方是否违约，并根据情况要求乙方承担违约责任，支付违约金。</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维修等履约过程中必须确保安全，如造成各种人身伤害、财产损失或其他事故，均由乙方负责处理和经济赔偿，甲方不承担任何责任。乙方在安装、维修等履约过程未按照标准、规范、要求进行或使用劣质、不达标材料和工艺引起的事故如造成各种人身伤害、财产损失或其他事故，均由乙方负责处理和经济赔偿，甲方不承担任何责任。</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在本合同履行过程中，如乙方发生如下情形之一，甲方将视乙方严重违约，立即解除合同，冻结专户资金，乙方承担违约责任并承担由此造成的一切损失，乙方在现场的人员无条件退场，乙方在现场的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停工或拖延安装进度或影响安装质量；</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885"/>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887"/>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要求采购，向甲方提供质量保证书、出厂合格证及现场抽样报告等证明材料，对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质量负责。如不符合质量及相关规定要求或规格有差异的，应禁止使用。</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本项目价款一律通过银行非现金结算，实行专款专用。</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合同修改：欲对合同条款进行任何改动，均须由甲、乙双方签署书面的合同修改书。</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885"/>
        <w:ind w:firstLine="4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合同未尽事宜，按《中华人民共和国民法典》和国家其他相关法律法规的有关规定及甲、乙双方协商解决。</w:t>
      </w:r>
      <w:r/>
    </w:p>
    <w:p>
      <w:pPr>
        <w:pStyle w:val="885"/>
        <w:ind w:firstLine="470"/>
        <w:spacing w:line="520" w:lineRule="exact"/>
        <w:rPr>
          <w:rStyle w:val="689"/>
          <w:rFonts w:hint="eastAsia" w:ascii="宋体" w:hAnsi="宋体" w:eastAsia="宋体" w:cs="Times New Roman"/>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887"/>
        <w:ind w:firstLine="480"/>
        <w:spacing w:line="500" w:lineRule="exact"/>
        <w:rPr>
          <w:rStyle w:val="689"/>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87"/>
        <w:ind w:firstLine="480"/>
        <w:spacing w:line="500" w:lineRule="exact"/>
        <w:rPr>
          <w:rStyle w:val="689"/>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87"/>
        <w:ind w:firstLine="480"/>
        <w:spacing w:line="500" w:lineRule="exact"/>
        <w:rPr>
          <w:rStyle w:val="689"/>
          <w:rFonts w:hint="eastAsia" w:ascii="宋体" w:hAnsi="宋体" w:eastAsia="宋体" w:cs="Times New Roman"/>
          <w:sz w:val="24"/>
          <w:szCs w:val="24"/>
          <w:highlight w:val="none"/>
          <w:lang w:eastAsia="zh-CN"/>
        </w:rPr>
      </w:pPr>
      <w:r>
        <w:rPr>
          <w:rStyle w:val="689"/>
          <w:rFonts w:hint="eastAsia" w:ascii="宋体" w:hAnsi="宋体" w:eastAsia="宋体" w:cs="Times New Roman"/>
          <w:sz w:val="24"/>
          <w:szCs w:val="24"/>
          <w:highlight w:val="none"/>
          <w:lang w:eastAsia="zh-CN"/>
        </w:rPr>
        <w:t xml:space="preserve">甲方（盖章）：                             乙方（盖章）：</w:t>
      </w:r>
      <w:r/>
    </w:p>
    <w:p>
      <w:pPr>
        <w:pStyle w:val="887"/>
        <w:ind w:firstLine="480"/>
        <w:spacing w:line="500" w:lineRule="exact"/>
        <w:rPr>
          <w:rStyle w:val="689"/>
          <w:rFonts w:hint="eastAsia" w:ascii="宋体" w:hAnsi="宋体" w:eastAsia="宋体" w:cs="Times New Roman"/>
          <w:sz w:val="24"/>
          <w:szCs w:val="24"/>
          <w:highlight w:val="none"/>
          <w:lang w:eastAsia="zh-CN"/>
        </w:rPr>
      </w:pPr>
      <w:r>
        <w:rPr>
          <w:rStyle w:val="689"/>
          <w:rFonts w:hint="eastAsia" w:ascii="宋体" w:hAnsi="宋体" w:eastAsia="宋体" w:cs="Times New Roman"/>
          <w:sz w:val="24"/>
          <w:szCs w:val="24"/>
          <w:highlight w:val="none"/>
          <w:lang w:eastAsia="zh-CN"/>
        </w:rPr>
        <w:t xml:space="preserve">单位地址：                               </w:t>
      </w:r>
      <w:r>
        <w:rPr>
          <w:rStyle w:val="689"/>
          <w:rFonts w:hint="eastAsia" w:ascii="宋体" w:hAnsi="宋体" w:eastAsia="宋体" w:cs="Times New Roman"/>
          <w:sz w:val="24"/>
          <w:szCs w:val="24"/>
          <w:highlight w:val="none"/>
          <w:lang w:val="en-US" w:eastAsia="zh-CN"/>
        </w:rPr>
        <w:t xml:space="preserve"> </w:t>
      </w:r>
      <w:r>
        <w:rPr>
          <w:rStyle w:val="689"/>
          <w:rFonts w:hint="eastAsia" w:ascii="宋体" w:hAnsi="宋体" w:cs="Times New Roman"/>
          <w:sz w:val="24"/>
          <w:szCs w:val="24"/>
          <w:highlight w:val="none"/>
          <w:lang w:val="en-US" w:eastAsia="zh-CN"/>
        </w:rPr>
        <w:t xml:space="preserve"> </w:t>
      </w:r>
      <w:r>
        <w:rPr>
          <w:rStyle w:val="689"/>
          <w:rFonts w:hint="eastAsia" w:ascii="宋体" w:hAnsi="宋体" w:eastAsia="宋体" w:cs="Times New Roman"/>
          <w:sz w:val="24"/>
          <w:szCs w:val="24"/>
          <w:highlight w:val="none"/>
          <w:lang w:eastAsia="zh-CN"/>
        </w:rPr>
        <w:t xml:space="preserve">单位地址：</w:t>
      </w:r>
      <w:r/>
    </w:p>
    <w:p>
      <w:pPr>
        <w:pStyle w:val="887"/>
        <w:ind w:firstLine="480"/>
        <w:spacing w:line="500" w:lineRule="exact"/>
        <w:rPr>
          <w:rStyle w:val="689"/>
          <w:rFonts w:hint="eastAsia" w:ascii="宋体" w:hAnsi="宋体" w:eastAsia="宋体" w:cs="Times New Roman"/>
          <w:sz w:val="24"/>
          <w:szCs w:val="24"/>
          <w:highlight w:val="none"/>
          <w:lang w:eastAsia="zh-CN"/>
        </w:rPr>
      </w:pPr>
      <w:r>
        <w:rPr>
          <w:rStyle w:val="689"/>
          <w:rFonts w:hint="eastAsia" w:ascii="宋体" w:hAnsi="宋体" w:eastAsia="宋体" w:cs="Times New Roman"/>
          <w:sz w:val="24"/>
          <w:szCs w:val="24"/>
          <w:highlight w:val="none"/>
          <w:lang w:eastAsia="zh-CN"/>
        </w:rPr>
        <w:t xml:space="preserve">法定代表人（</w:t>
      </w:r>
      <w:r>
        <w:rPr>
          <w:rStyle w:val="689"/>
          <w:rFonts w:hint="eastAsia" w:ascii="宋体" w:hAnsi="宋体" w:cs="Times New Roman"/>
          <w:sz w:val="24"/>
          <w:szCs w:val="24"/>
          <w:highlight w:val="none"/>
          <w:lang w:eastAsia="zh-CN"/>
        </w:rPr>
        <w:t xml:space="preserve">签字或盖章</w:t>
      </w:r>
      <w:r>
        <w:rPr>
          <w:rStyle w:val="689"/>
          <w:rFonts w:hint="eastAsia" w:ascii="宋体" w:hAnsi="宋体" w:eastAsia="宋体" w:cs="Times New Roman"/>
          <w:sz w:val="24"/>
          <w:szCs w:val="24"/>
          <w:highlight w:val="none"/>
          <w:lang w:eastAsia="zh-CN"/>
        </w:rPr>
        <w:t xml:space="preserve">）：                 法定代表人（</w:t>
      </w:r>
      <w:r>
        <w:rPr>
          <w:rStyle w:val="689"/>
          <w:rFonts w:hint="eastAsia" w:ascii="宋体" w:hAnsi="宋体" w:cs="Times New Roman"/>
          <w:sz w:val="24"/>
          <w:szCs w:val="24"/>
          <w:highlight w:val="none"/>
          <w:lang w:eastAsia="zh-CN"/>
        </w:rPr>
        <w:t xml:space="preserve">签字或盖章</w:t>
      </w:r>
      <w:r>
        <w:rPr>
          <w:rStyle w:val="689"/>
          <w:rFonts w:hint="eastAsia" w:ascii="宋体" w:hAnsi="宋体" w:eastAsia="宋体" w:cs="Times New Roman"/>
          <w:sz w:val="24"/>
          <w:szCs w:val="24"/>
          <w:highlight w:val="none"/>
          <w:lang w:eastAsia="zh-CN"/>
        </w:rPr>
        <w:t xml:space="preserve">）：</w:t>
      </w:r>
      <w:r/>
    </w:p>
    <w:p>
      <w:pPr>
        <w:pStyle w:val="887"/>
        <w:ind w:firstLine="480"/>
        <w:spacing w:line="500" w:lineRule="exact"/>
        <w:rPr>
          <w:rStyle w:val="689"/>
          <w:rFonts w:hint="eastAsia" w:ascii="宋体" w:hAnsi="宋体" w:eastAsia="宋体" w:cs="Times New Roman"/>
          <w:sz w:val="24"/>
          <w:szCs w:val="24"/>
          <w:highlight w:val="none"/>
          <w:lang w:eastAsia="zh-CN"/>
        </w:rPr>
      </w:pPr>
      <w:r>
        <w:rPr>
          <w:rStyle w:val="689"/>
          <w:rFonts w:hint="eastAsia" w:ascii="宋体" w:hAnsi="宋体" w:eastAsia="宋体" w:cs="Times New Roman"/>
          <w:sz w:val="24"/>
          <w:szCs w:val="24"/>
          <w:highlight w:val="none"/>
          <w:lang w:eastAsia="zh-CN"/>
        </w:rPr>
        <w:t xml:space="preserve">委托代理人（签字）：                       委托代理人（签字）：</w:t>
      </w:r>
      <w:r/>
    </w:p>
    <w:p>
      <w:pPr>
        <w:pStyle w:val="887"/>
        <w:ind w:firstLine="480"/>
        <w:spacing w:line="500" w:lineRule="exact"/>
        <w:rPr>
          <w:rStyle w:val="689"/>
          <w:rFonts w:hint="eastAsia" w:ascii="宋体" w:hAnsi="宋体" w:eastAsia="宋体" w:cs="Times New Roman"/>
          <w:sz w:val="24"/>
          <w:szCs w:val="24"/>
          <w:highlight w:val="none"/>
          <w:lang w:eastAsia="zh-CN"/>
        </w:rPr>
      </w:pPr>
      <w:r>
        <w:rPr>
          <w:rStyle w:val="689"/>
          <w:rFonts w:hint="eastAsia" w:ascii="宋体" w:hAnsi="宋体" w:eastAsia="宋体" w:cs="Times New Roman"/>
          <w:sz w:val="24"/>
          <w:szCs w:val="24"/>
          <w:highlight w:val="none"/>
          <w:lang w:eastAsia="zh-CN"/>
        </w:rPr>
        <w:t xml:space="preserve">电    话：                              </w:t>
      </w:r>
      <w:r>
        <w:rPr>
          <w:rStyle w:val="689"/>
          <w:rFonts w:hint="eastAsia" w:ascii="宋体" w:hAnsi="宋体" w:eastAsia="宋体" w:cs="Times New Roman"/>
          <w:sz w:val="24"/>
          <w:szCs w:val="24"/>
          <w:highlight w:val="none"/>
          <w:lang w:val="en-US" w:eastAsia="zh-CN"/>
        </w:rPr>
        <w:t xml:space="preserve">  </w:t>
      </w:r>
      <w:r>
        <w:rPr>
          <w:rStyle w:val="689"/>
          <w:rFonts w:hint="eastAsia" w:ascii="宋体" w:hAnsi="宋体" w:cs="Times New Roman"/>
          <w:sz w:val="24"/>
          <w:szCs w:val="24"/>
          <w:highlight w:val="none"/>
          <w:lang w:val="en-US" w:eastAsia="zh-CN"/>
        </w:rPr>
        <w:t xml:space="preserve"> </w:t>
      </w:r>
      <w:r>
        <w:rPr>
          <w:rStyle w:val="689"/>
          <w:rFonts w:hint="eastAsia" w:ascii="宋体" w:hAnsi="宋体" w:eastAsia="宋体" w:cs="Times New Roman"/>
          <w:sz w:val="24"/>
          <w:szCs w:val="24"/>
          <w:highlight w:val="none"/>
          <w:lang w:eastAsia="zh-CN"/>
        </w:rPr>
        <w:t xml:space="preserve">电    话：</w:t>
      </w:r>
      <w:r/>
    </w:p>
    <w:p>
      <w:pPr>
        <w:pStyle w:val="716"/>
        <w:ind w:right="139" w:firstLine="480"/>
        <w:jc w:val="both"/>
        <w:keepLines w:val="0"/>
        <w:keepNext w:val="0"/>
        <w:pageBreakBefore w:val="0"/>
        <w:spacing w:before="0" w:beforeAutospacing="0" w:after="0" w:afterAutospacing="0" w:line="500" w:lineRule="exact"/>
        <w:widowControl w:val="off"/>
        <w:rPr>
          <w:rFonts w:hint="eastAsia"/>
          <w:highlight w:val="none"/>
          <w:lang w:bidi="ar"/>
        </w:rPr>
      </w:pPr>
      <w:r>
        <w:rPr>
          <w:rStyle w:val="689"/>
          <w:rFonts w:hint="eastAsia" w:ascii="宋体" w:hAnsi="宋体" w:eastAsia="宋体" w:cs="Times New Roman"/>
          <w:sz w:val="24"/>
          <w:szCs w:val="24"/>
          <w:highlight w:val="none"/>
          <w:lang w:eastAsia="zh-CN"/>
        </w:rPr>
        <w:t xml:space="preserve">签订日期：</w:t>
      </w:r>
      <w:r>
        <w:rPr>
          <w:rStyle w:val="689"/>
          <w:rFonts w:hint="eastAsia" w:ascii="宋体" w:hAnsi="宋体" w:eastAsia="宋体" w:cs="Times New Roman"/>
          <w:sz w:val="24"/>
          <w:szCs w:val="24"/>
          <w:highlight w:val="none"/>
          <w:lang w:val="en-US" w:eastAsia="zh-CN"/>
        </w:rPr>
        <w:t xml:space="preserve">                                 </w:t>
      </w:r>
      <w:r>
        <w:rPr>
          <w:rStyle w:val="689"/>
          <w:rFonts w:hint="eastAsia" w:ascii="宋体" w:hAnsi="宋体" w:eastAsia="宋体" w:cs="Times New Roman"/>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16"/>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716"/>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68" w:name="_Toc49090575"/>
      <w:r/>
      <w:bookmarkStart w:id="169"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r>
        <w:rPr>
          <w:rFonts w:hint="eastAsia" w:ascii="宋体" w:hAnsi="宋体" w:eastAsia="宋体" w:cs="宋体"/>
          <w:color w:val="auto"/>
          <w:sz w:val="24"/>
          <w:szCs w:val="24"/>
          <w:highlight w:val="none"/>
          <w:shd w:val="clear" w:color="auto" w:fill="auto"/>
        </w:rPr>
        <w:t xml:space="preserve">。</w:t>
      </w:r>
      <w:bookmarkEnd w:id="168"/>
      <w:r/>
      <w:bookmarkEnd w:id="169"/>
      <w:r/>
      <w:r/>
    </w:p>
    <w:p>
      <w:pPr>
        <w:ind w:firstLine="482"/>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采购标的对应的中小企业划分标准所属行业一览表</w:t>
      </w:r>
      <w:r/>
    </w:p>
    <w:tbl>
      <w:tblPr>
        <w:tblStyle w:val="690"/>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tcPr>
          <w:p>
            <w:pPr>
              <w:pStyle w:val="881"/>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tcPr>
          <w:p>
            <w:pPr>
              <w:pStyle w:val="881"/>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tcPr>
          <w:p>
            <w:pPr>
              <w:pStyle w:val="881"/>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对应中小微企业划分标准所属行业</w:t>
            </w:r>
            <w:r/>
          </w:p>
        </w:tc>
      </w:tr>
      <w:tr>
        <w:trPr>
          <w:jc w:val="center"/>
          <w:tblCellSpacing w:w="0" w:type="dxa"/>
          <w:trHeight w:val="291"/>
        </w:trPr>
        <w:tc>
          <w:tcPr>
            <w:tcW w:w="971" w:type="dxa"/>
            <w:vAlign w:val="center"/>
            <w:textDirection w:val="lrTb"/>
            <w:noWrap/>
          </w:tcPr>
          <w:p>
            <w:pPr>
              <w:pStyle w:val="881"/>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tcPr>
          <w:p>
            <w:pPr>
              <w:pStyle w:val="881"/>
              <w:jc w:val="center"/>
              <w:keepLines w:val="0"/>
              <w:keepNext w:val="0"/>
              <w:pageBreakBefore w:val="0"/>
              <w:spacing w:beforeAutospacing="0" w:afterAutospacing="0" w:line="500" w:lineRule="exact"/>
              <w:rPr>
                <w:rFonts w:hint="eastAsia" w:eastAsia="宋体"/>
                <w:color w:val="auto"/>
                <w:highlight w:val="none"/>
                <w:lang w:eastAsia="zh-CN"/>
              </w:rPr>
            </w:pPr>
            <w:r>
              <w:rPr>
                <w:color w:val="auto"/>
                <w:highlight w:val="none"/>
              </w:rPr>
              <w:t xml:space="preserve"> </w:t>
            </w:r>
            <w:r>
              <w:rPr>
                <w:rFonts w:hint="eastAsia" w:eastAsia="宋体"/>
                <w:color w:val="auto"/>
                <w:highlight w:val="none"/>
                <w:lang w:eastAsia="zh-CN"/>
              </w:rPr>
              <w:t xml:space="preserve">亭湖区城市排水防涝基础设施改造提升工程-排水防涝设备采购项目</w:t>
            </w:r>
            <w:r/>
          </w:p>
        </w:tc>
        <w:tc>
          <w:tcPr>
            <w:tcW w:w="3889" w:type="dxa"/>
            <w:vAlign w:val="center"/>
            <w:textDirection w:val="lrTb"/>
            <w:noWrap/>
          </w:tcPr>
          <w:p>
            <w:pPr>
              <w:pStyle w:val="881"/>
              <w:jc w:val="center"/>
              <w:keepLines w:val="0"/>
              <w:keepNext w:val="0"/>
              <w:pageBreakBefore w:val="0"/>
              <w:spacing w:beforeAutospacing="0" w:afterAutospacing="0" w:line="500" w:lineRule="exact"/>
              <w:rPr>
                <w:color w:val="auto"/>
                <w:highlight w:val="none"/>
              </w:rPr>
            </w:pPr>
            <w:r>
              <w:rPr>
                <w:rFonts w:hint="eastAsia" w:eastAsia="宋体"/>
                <w:color w:val="auto"/>
                <w:highlight w:val="none"/>
                <w:lang w:val="en-US" w:eastAsia="zh-CN"/>
              </w:rPr>
              <w:t xml:space="preserve">工</w:t>
            </w:r>
            <w:r>
              <w:rPr>
                <w:rFonts w:hint="eastAsia"/>
                <w:color w:val="auto"/>
                <w:highlight w:val="none"/>
              </w:rPr>
              <w:t xml:space="preserve">业</w:t>
            </w:r>
            <w:r/>
          </w:p>
        </w:tc>
      </w:tr>
    </w:tbl>
    <w:p>
      <w:pPr>
        <w:pStyle w:val="71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jc w:val="center"/>
        <w:spacing w:beforeAutospacing="0" w:afterAutospacing="0" w:line="0" w:lineRule="atLeast"/>
        <w:rPr>
          <w:rFonts w:hint="default" w:ascii="宋体" w:hAnsi="宋体" w:eastAsia="宋体" w:cs="宋体"/>
          <w:b/>
          <w:bCs/>
          <w:color w:val="auto"/>
          <w:sz w:val="24"/>
          <w:szCs w:val="24"/>
          <w:highlight w:val="none"/>
          <w:lang w:val="en-US"/>
        </w:rPr>
      </w:pPr>
      <w:r>
        <w:rPr>
          <w:rFonts w:hint="eastAsia" w:eastAsia="宋体"/>
          <w:b/>
          <w:bCs/>
          <w:color w:val="auto"/>
          <w:highlight w:val="none"/>
          <w:lang w:val="en-US" w:eastAsia="zh-CN"/>
        </w:rPr>
        <w:t xml:space="preserve">1、</w:t>
      </w:r>
      <w:r>
        <w:rPr>
          <w:rFonts w:hint="eastAsia" w:eastAsia="宋体"/>
          <w:b/>
          <w:bCs/>
          <w:color w:val="auto"/>
          <w:highlight w:val="none"/>
          <w:lang w:eastAsia="zh-CN"/>
        </w:rPr>
        <w:t xml:space="preserve">亭湖区城市排水防涝基础设施改造提升工程-排水防涝设备采购项目</w:t>
      </w:r>
      <w:r>
        <w:rPr>
          <w:rFonts w:hint="eastAsia" w:eastAsia="宋体"/>
          <w:b/>
          <w:bCs/>
          <w:color w:val="auto"/>
          <w:highlight w:val="none"/>
          <w:lang w:val="en-US" w:eastAsia="zh-CN"/>
        </w:rPr>
        <w:t xml:space="preserve">采购需求表</w:t>
      </w:r>
      <w:r/>
    </w:p>
    <w:tbl>
      <w:tblPr>
        <w:tblStyle w:val="690"/>
        <w:tblW w:w="52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5"/>
        <w:gridCol w:w="763"/>
        <w:gridCol w:w="4875"/>
        <w:gridCol w:w="588"/>
        <w:gridCol w:w="647"/>
        <w:gridCol w:w="1305"/>
        <w:gridCol w:w="765"/>
      </w:tblGrid>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拖拽式一体化水泵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1、最大流量≥550（m³/h）。</w:t>
            </w:r>
            <w:r>
              <w:rPr>
                <w:rFonts w:hint="eastAsia" w:ascii="宋体" w:hAnsi="宋体" w:eastAsia="宋体" w:cs="宋体"/>
                <w:i w:val="0"/>
                <w:iCs w:val="0"/>
                <w:color w:val="000000"/>
                <w:sz w:val="22"/>
                <w:szCs w:val="22"/>
                <w:highlight w:val="none"/>
                <w:u w:val="none"/>
                <w:lang w:val="en-US" w:eastAsia="zh-CN" w:bidi="ar"/>
              </w:rPr>
              <w:br/>
            </w:r>
            <w:r>
              <w:rPr>
                <w:rFonts w:ascii="宋体" w:eastAsia="宋体" w:cs="Segoe UI Symbol"/>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2、最大扬程≥30（m）（</w:t>
            </w:r>
            <w:r>
              <w:rPr>
                <w:rFonts w:hint="eastAsia" w:ascii="宋体" w:hAnsi="宋体" w:eastAsia="宋体" w:cs="宋体"/>
                <w:b/>
                <w:bCs/>
                <w:i w:val="0"/>
                <w:iCs w:val="0"/>
                <w:color w:val="000000"/>
                <w:sz w:val="22"/>
                <w:szCs w:val="22"/>
                <w:highlight w:val="none"/>
                <w:u w:val="none"/>
                <w:lang w:val="en-US" w:eastAsia="zh-CN" w:bidi="ar"/>
              </w:rPr>
              <w:t xml:space="preserve">需提供具有CNAS和CMA标志的检测报告</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3、最大垂直吸程≥8（m）。</w:t>
            </w:r>
            <w:r>
              <w:rPr>
                <w:rFonts w:hint="eastAsia" w:ascii="宋体" w:hAnsi="宋体" w:eastAsia="宋体" w:cs="宋体"/>
                <w:i w:val="0"/>
                <w:iCs w:val="0"/>
                <w:color w:val="000000"/>
                <w:sz w:val="22"/>
                <w:szCs w:val="22"/>
                <w:highlight w:val="none"/>
                <w:u w:val="none"/>
                <w:lang w:val="en-US" w:eastAsia="zh-CN" w:bidi="ar"/>
              </w:rPr>
              <w:br/>
            </w:r>
            <w:r>
              <w:rPr>
                <w:rFonts w:ascii="宋体" w:eastAsia="宋体" w:cs="Segoe UI Symbol"/>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4、最大通过固体颗粒直径≥75（mm）（</w:t>
            </w:r>
            <w:r>
              <w:rPr>
                <w:rFonts w:hint="eastAsia" w:ascii="宋体" w:hAnsi="宋体" w:eastAsia="宋体" w:cs="宋体"/>
                <w:b/>
                <w:bCs/>
                <w:i w:val="0"/>
                <w:iCs w:val="0"/>
                <w:color w:val="000000"/>
                <w:sz w:val="22"/>
                <w:szCs w:val="22"/>
                <w:highlight w:val="none"/>
                <w:u w:val="none"/>
                <w:lang w:val="en-US" w:eastAsia="zh-CN" w:bidi="ar"/>
              </w:rPr>
              <w:t xml:space="preserve">需提供具有CNAS和CMA标志的检测报告</w:t>
            </w:r>
            <w:r>
              <w:rPr>
                <w:rFonts w:hint="eastAsia" w:ascii="宋体" w:hAnsi="宋体" w:eastAsia="宋体" w:cs="宋体"/>
                <w:i w:val="0"/>
                <w:iCs w:val="0"/>
                <w:color w:val="000000"/>
                <w:sz w:val="22"/>
                <w:szCs w:val="22"/>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5、油箱：容量≥1</w:t>
            </w:r>
            <w:r>
              <w:rPr>
                <w:rFonts w:hint="default"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0L。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6、启动方式：电启动。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7、功率：≥30 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8、排放标准：国四排放。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9、发动机：进口品牌（与康明斯、珀金斯、洋马等同等及以上品牌）、采用水冷四缸。</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ascii="宋体" w:eastAsia="宋体" w:cs="Segoe UI Symbol"/>
                <w:color w:val="000000"/>
                <w:szCs w:val="21"/>
                <w:highlight w:val="none"/>
              </w:rPr>
              <w:t xml:space="preserve">★</w:t>
            </w:r>
            <w:r>
              <w:rPr>
                <w:rFonts w:hint="eastAsia" w:ascii="宋体" w:eastAsia="宋体" w:cs="Segoe UI Symbol"/>
                <w:color w:val="000000"/>
                <w:szCs w:val="21"/>
                <w:highlight w:val="none"/>
                <w:lang w:val="en-US" w:eastAsia="zh-CN"/>
              </w:rPr>
              <w:t xml:space="preserve">10、</w:t>
            </w:r>
            <w:r>
              <w:rPr>
                <w:rFonts w:hint="eastAsia" w:ascii="宋体" w:hAnsi="宋体" w:eastAsia="宋体" w:cs="宋体"/>
                <w:i w:val="0"/>
                <w:iCs w:val="0"/>
                <w:color w:val="000000"/>
                <w:sz w:val="22"/>
                <w:szCs w:val="22"/>
                <w:highlight w:val="none"/>
                <w:u w:val="none"/>
                <w:lang w:val="en-US" w:eastAsia="zh-CN" w:bidi="ar"/>
              </w:rPr>
              <w:t xml:space="preserve">设备在使用前泵体里无需加水，采用“真空辅助自吸式水泵”，</w:t>
            </w:r>
            <w:r>
              <w:rPr>
                <w:rFonts w:hint="eastAsia" w:ascii="宋体" w:hAnsi="宋体" w:eastAsia="宋体" w:cs="宋体"/>
                <w:b/>
                <w:bCs/>
                <w:i w:val="0"/>
                <w:iCs w:val="0"/>
                <w:color w:val="000000"/>
                <w:sz w:val="22"/>
                <w:szCs w:val="22"/>
                <w:highlight w:val="none"/>
                <w:u w:val="none"/>
                <w:lang w:val="en-US" w:eastAsia="zh-CN" w:bidi="ar"/>
              </w:rPr>
              <w:t xml:space="preserve">需提供相关证明材料</w:t>
            </w:r>
            <w:r>
              <w:rPr>
                <w:rFonts w:hint="eastAsia" w:ascii="宋体" w:hAnsi="宋体" w:eastAsia="宋体" w:cs="宋体"/>
                <w:i w:val="0"/>
                <w:iCs w:val="0"/>
                <w:color w:val="000000"/>
                <w:sz w:val="22"/>
                <w:szCs w:val="22"/>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ascii="宋体" w:eastAsia="宋体" w:cs="Segoe UI Symbol"/>
                <w:color w:val="000000"/>
                <w:szCs w:val="21"/>
                <w:highlight w:val="none"/>
              </w:rPr>
              <w:t xml:space="preserve">★</w:t>
            </w:r>
            <w:r>
              <w:rPr>
                <w:rFonts w:hint="eastAsia" w:ascii="宋体" w:hAnsi="宋体" w:eastAsia="宋体" w:cs="宋体"/>
                <w:i w:val="0"/>
                <w:iCs w:val="0"/>
                <w:color w:val="000000"/>
                <w:sz w:val="22"/>
                <w:szCs w:val="22"/>
                <w:highlight w:val="none"/>
                <w:lang w:val="en-US" w:eastAsia="zh-CN" w:bidi="ar"/>
              </w:rPr>
              <w:t xml:space="preserve">11、</w:t>
            </w:r>
            <w:r>
              <w:rPr>
                <w:rFonts w:hint="eastAsia" w:ascii="宋体" w:hAnsi="宋体" w:eastAsia="宋体" w:cs="宋体"/>
                <w:i w:val="0"/>
                <w:iCs w:val="0"/>
                <w:color w:val="000000"/>
                <w:sz w:val="22"/>
                <w:szCs w:val="22"/>
                <w:highlight w:val="none"/>
                <w:u w:val="none"/>
                <w:lang w:val="en-US" w:eastAsia="zh-CN" w:bidi="ar"/>
              </w:rPr>
              <w:t xml:space="preserve">真空泵工作方式：真空泵与发动机需要同时工作，无需控制启停，保证使用的连续性，</w:t>
            </w:r>
            <w:r>
              <w:rPr>
                <w:rFonts w:hint="eastAsia" w:ascii="宋体" w:hAnsi="宋体" w:eastAsia="宋体" w:cs="宋体"/>
                <w:b/>
                <w:bCs/>
                <w:i w:val="0"/>
                <w:iCs w:val="0"/>
                <w:color w:val="000000"/>
                <w:sz w:val="22"/>
                <w:szCs w:val="22"/>
                <w:highlight w:val="none"/>
                <w:u w:val="none"/>
                <w:lang w:val="en-US" w:eastAsia="zh-CN" w:bidi="ar"/>
              </w:rPr>
              <w:t xml:space="preserve">需提供相关证明材料</w:t>
            </w:r>
            <w:r>
              <w:rPr>
                <w:rFonts w:hint="eastAsia" w:ascii="宋体" w:hAnsi="宋体" w:eastAsia="宋体" w:cs="宋体"/>
                <w:i w:val="0"/>
                <w:iCs w:val="0"/>
                <w:color w:val="000000"/>
                <w:sz w:val="22"/>
                <w:szCs w:val="22"/>
                <w:highlight w:val="none"/>
                <w:u w:val="none"/>
                <w:lang w:val="en-US" w:eastAsia="zh-CN" w:bidi="ar"/>
              </w:rPr>
              <w:t xml:space="preserve">。</w:t>
            </w:r>
            <w:r/>
          </w:p>
          <w:p>
            <w:pPr>
              <w:numPr>
                <w:ilvl w:val="0"/>
                <w:numId w:val="0"/>
              </w:numPr>
              <w:jc w:val="left"/>
              <w:keepLines w:val="0"/>
              <w:keepNext w:val="0"/>
              <w:widowControl/>
              <w:rPr>
                <w:rFonts w:hint="default"/>
                <w:highlight w:val="none"/>
                <w:lang w:val="en-US" w:eastAsia="zh-CN"/>
              </w:rPr>
              <w:suppressLineNumbers w:val="0"/>
            </w:pPr>
            <w:r>
              <w:rPr>
                <w:rFonts w:hint="default" w:ascii="宋体" w:hAnsi="宋体" w:eastAsia="宋体" w:cs="宋体"/>
                <w:i w:val="0"/>
                <w:iCs w:val="0"/>
                <w:color w:val="000000"/>
                <w:sz w:val="22"/>
                <w:szCs w:val="22"/>
                <w:highlight w:val="none"/>
                <w:lang w:val="en-US" w:eastAsia="zh-CN" w:bidi="ar"/>
              </w:rPr>
              <w:t xml:space="preserve">1</w:t>
            </w:r>
            <w:r>
              <w:rPr>
                <w:rFonts w:hint="eastAsia" w:ascii="宋体" w:hAnsi="宋体" w:eastAsia="宋体" w:cs="宋体"/>
                <w:i w:val="0"/>
                <w:iCs w:val="0"/>
                <w:color w:val="000000"/>
                <w:sz w:val="22"/>
                <w:szCs w:val="22"/>
                <w:highlight w:val="none"/>
                <w:lang w:val="en-US" w:eastAsia="zh-CN" w:bidi="ar"/>
              </w:rPr>
              <w:t xml:space="preserve">2</w:t>
            </w:r>
            <w:r>
              <w:rPr>
                <w:rFonts w:hint="default" w:asciiTheme="minorHAnsi" w:hAnsiTheme="minorHAnsi" w:eastAsiaTheme="minorEastAsia" w:cstheme="minorBidi"/>
                <w:sz w:val="21"/>
                <w:szCs w:val="24"/>
                <w:highlight w:val="none"/>
                <w:lang w:val="en-US" w:eastAsia="zh-CN" w:bidi="ar-SA"/>
              </w:rPr>
              <w:t xml:space="preserve">、</w:t>
            </w:r>
            <w:r>
              <w:rPr>
                <w:rFonts w:hint="eastAsia" w:ascii="宋体" w:hAnsi="宋体" w:eastAsia="宋体" w:cs="宋体"/>
                <w:i w:val="0"/>
                <w:iCs w:val="0"/>
                <w:color w:val="000000"/>
                <w:sz w:val="22"/>
                <w:szCs w:val="22"/>
                <w:highlight w:val="none"/>
                <w:u w:val="none"/>
                <w:lang w:val="en-US" w:eastAsia="zh-CN" w:bidi="ar"/>
              </w:rPr>
              <w:t xml:space="preserve">口径：150mm；6寸。</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98425</wp:posOffset>
                      </wp:positionV>
                      <wp:extent cx="767080" cy="1315085"/>
                      <wp:effectExtent l="0" t="0" r="13970" b="18415"/>
                      <wp:wrapNone/>
                      <wp:docPr id="2" name="图片_16"/>
                      <wp:cNvGraphicFramePr/>
                      <a:graphic xmlns:a="http://schemas.openxmlformats.org/drawingml/2006/main">
                        <a:graphicData uri="http://schemas.openxmlformats.org/drawingml/2006/picture">
                          <pic:pic xmlns:pic="http://schemas.openxmlformats.org/drawingml/2006/picture">
                            <pic:nvPicPr>
                              <pic:cNvPr id="6" name="图片_16"/>
                              <pic:cNvPicPr/>
                              <pic:nvPr/>
                            </pic:nvPicPr>
                            <pic:blipFill>
                              <a:blip r:embed="rId11"/>
                              <a:stretch/>
                            </pic:blipFill>
                            <pic:spPr bwMode="auto">
                              <a:xfrm>
                                <a:off x="0" y="0"/>
                                <a:ext cx="767079" cy="131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7.8pt;mso-position-vertical:absolute;width:60.4pt;height:103.5pt;mso-wrap-distance-left:9.0pt;mso-wrap-distance-top:0.0pt;mso-wrap-distance-right:9.0pt;mso-wrap-distance-bottom:0.0pt;" stroked="f">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6寸柴油机水泵</w:t>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val="false"/>
          </w:tcPr>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suppressLineNumbers w:val="0"/>
            </w:pPr>
            <w:r>
              <w:rPr>
                <w:rFonts w:ascii="宋体" w:eastAsia="宋体" w:cs="Segoe UI Symbol"/>
                <w:color w:val="000000"/>
                <w:szCs w:val="21"/>
                <w:highlight w:val="none"/>
              </w:rPr>
              <w:t xml:space="preserve">★</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1、发动机：发动机功率≥8.5KW；</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需提供具有CNAS和CMA标志的检测报告</w:t>
            </w:r>
            <w:r>
              <w:rPr>
                <w:rFonts w:hint="eastAsia" w:ascii="宋体" w:hAnsi="宋体" w:eastAsia="宋体" w:cs="宋体"/>
                <w:i w:val="0"/>
                <w:iCs w:val="0"/>
                <w:color w:val="000000"/>
                <w:sz w:val="22"/>
                <w:szCs w:val="22"/>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2、进水口径/出水口径：≥6寸</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3、最大扬程≥18M</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4、吸水扬程≥6M</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ffffff"/>
                <w:lang w:val="en-US" w:eastAsia="zh-CN"/>
                <w14:textFill>
                  <w14:solidFill>
                    <w14:schemeClr w14:val="tx1"/>
                  </w14:solidFill>
                </w14:textFill>
              </w:rPr>
              <w:t xml:space="preserve">最大</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流量≥150m³/h</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6、启动方式：手拉反冲启动+电启动</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7、燃油：柴油 燃油箱容量：≥12L</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8、配备≥6米6寸口径</w:t>
            </w:r>
            <w:r>
              <w:rPr>
                <w:rFonts w:hint="eastAsia" w:ascii="宋体" w:hAnsi="宋体" w:eastAsia="宋体" w:cs="宋体"/>
                <w:bCs/>
                <w:color w:val="000000" w:themeColor="text1"/>
                <w:sz w:val="24"/>
                <w:szCs w:val="24"/>
                <w:highlight w:val="none"/>
                <w:shd w:val="clear" w:color="auto" w:fill="ffffff"/>
                <w:lang w:val="en-US" w:eastAsia="zh-CN"/>
                <w14:textFill>
                  <w14:solidFill>
                    <w14:schemeClr w14:val="tx1"/>
                  </w14:solidFill>
                </w14:textFill>
              </w:rPr>
              <w:t xml:space="preserve">PVC透明钢丝进</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水管；配备≥18米6寸、≥10㎏压力有衬里</w:t>
            </w:r>
            <w:r>
              <w:rPr>
                <w:rFonts w:hint="eastAsia" w:ascii="宋体" w:hAnsi="宋体" w:eastAsia="宋体" w:cs="宋体"/>
                <w:bCs/>
                <w:color w:val="000000" w:themeColor="text1"/>
                <w:sz w:val="24"/>
                <w:szCs w:val="24"/>
                <w:highlight w:val="none"/>
                <w:shd w:val="clear" w:color="auto" w:fill="ffffff"/>
                <w:lang w:val="en-US" w:eastAsia="zh-CN"/>
                <w14:textFill>
                  <w14:solidFill>
                    <w14:schemeClr w14:val="tx1"/>
                  </w14:solidFill>
                </w14:textFill>
              </w:rPr>
              <w:t xml:space="preserve">涤纶长丝消防</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水带</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ffffff"/>
                <w:lang w:val="en-US" w:eastAsia="zh-CN"/>
                <w14:textFill>
                  <w14:solidFill>
                    <w14:schemeClr w14:val="tx1"/>
                  </w14:solidFill>
                </w14:textFill>
              </w:rPr>
              <w:t xml:space="preserve">带两端内扣式铝接头</w:t>
            </w:r>
            <w:r>
              <w:rPr>
                <w:rFonts w:hint="eastAsia" w:ascii="宋体" w:hAnsi="宋体" w:eastAsia="宋体" w:cs="宋体"/>
                <w:bCs/>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wp:posOffset>
                      </wp:positionH>
                      <wp:positionV relativeFrom="paragraph">
                        <wp:posOffset>161925</wp:posOffset>
                      </wp:positionV>
                      <wp:extent cx="692785" cy="1190625"/>
                      <wp:effectExtent l="0" t="0" r="12065" b="9525"/>
                      <wp:wrapNone/>
                      <wp:docPr id="3"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12"/>
                              <a:stretch/>
                            </pic:blipFill>
                            <pic:spPr bwMode="auto">
                              <a:xfrm>
                                <a:off x="0" y="0"/>
                                <a:ext cx="692785"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8pt;mso-position-horizontal:absolute;mso-position-vertical-relative:text;margin-top:12.8pt;mso-position-vertical:absolute;width:54.5pt;height:93.8pt;mso-wrap-distance-left:9.0pt;mso-wrap-distance-top:0.0pt;mso-wrap-distance-right:9.0pt;mso-wrap-distance-bottom:0.0pt;" stroked="f">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6寸移动式柴油机排水泵车　</w:t>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进出口≥DN150mm。</w:t>
            </w:r>
            <w:r>
              <w:rPr>
                <w:rFonts w:hint="eastAsia" w:ascii="宋体" w:hAnsi="宋体" w:eastAsia="宋体" w:cs="宋体"/>
                <w:i w:val="0"/>
                <w:iCs w:val="0"/>
                <w:color w:val="000000"/>
                <w:sz w:val="22"/>
                <w:szCs w:val="22"/>
                <w:highlight w:val="none"/>
                <w:u w:val="none"/>
                <w:lang w:val="en-US" w:eastAsia="zh-CN" w:bidi="ar"/>
              </w:rPr>
              <w:br/>
            </w:r>
            <w:r>
              <w:rPr>
                <w:rFonts w:ascii="宋体" w:eastAsia="宋体" w:cs="Segoe UI Symbol"/>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2、最大流量≥550m³/h，最高扬程≥25m（</w:t>
            </w:r>
            <w:r>
              <w:rPr>
                <w:rFonts w:hint="eastAsia" w:ascii="宋体" w:hAnsi="宋体"/>
                <w:b/>
                <w:bCs w:val="0"/>
                <w:sz w:val="24"/>
                <w:szCs w:val="24"/>
                <w:highlight w:val="none"/>
                <w:lang w:val="en-US" w:eastAsia="zh-CN"/>
              </w:rPr>
              <w:t xml:space="preserve">需提供</w:t>
            </w:r>
            <w:r>
              <w:rPr>
                <w:rFonts w:hint="eastAsia" w:ascii="宋体" w:hAnsi="宋体"/>
                <w:b/>
                <w:bCs w:val="0"/>
                <w:sz w:val="24"/>
                <w:szCs w:val="24"/>
                <w:highlight w:val="none"/>
              </w:rPr>
              <w:t xml:space="preserve">具有CNAS和CMA标志的检测报告</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3、最大自吸高度≥8m。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4、发动机最大功率≥40kw。</w:t>
            </w:r>
            <w:r/>
          </w:p>
          <w:p>
            <w:pPr>
              <w:numPr>
                <w:ilvl w:val="0"/>
                <w:numId w:val="0"/>
              </w:numPr>
              <w:jc w:val="left"/>
              <w:keepLines w:val="0"/>
              <w:keepNext w:val="0"/>
              <w:spacing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通过颗粒直径≥60mm</w:t>
            </w:r>
            <w:r/>
          </w:p>
          <w:p>
            <w:pPr>
              <w:numPr>
                <w:ilvl w:val="0"/>
                <w:numId w:val="0"/>
              </w:numPr>
              <w:jc w:val="left"/>
              <w:keepLines w:val="0"/>
              <w:keepNext w:val="0"/>
              <w:spacing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6、油箱容积≥100L。                        </w:t>
            </w:r>
            <w:r/>
          </w:p>
          <w:p>
            <w:pPr>
              <w:numPr>
                <w:ilvl w:val="0"/>
                <w:numId w:val="0"/>
              </w:numPr>
              <w:jc w:val="left"/>
              <w:keepLines w:val="0"/>
              <w:keepNext w:val="0"/>
              <w:spacing w:line="240" w:lineRule="auto"/>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移动式拖车：整车带弹簧钢板车桥减震和独立悬挂，牵引上下可伸缩可调，拖车链接器满足各种车辆与之牵引；拖车采用电子制动，驻车机械制动，牵引行驶刹车时，拖车通过电子制动系统同时刹车；拖车尾部配备转向灯、刹车灯、尾灯，通过快速插头与牵引车连接通电工作。</w:t>
            </w:r>
            <w:r/>
          </w:p>
          <w:p>
            <w:pPr>
              <w:numPr>
                <w:ilvl w:val="0"/>
                <w:numId w:val="0"/>
              </w:numPr>
              <w:jc w:val="left"/>
              <w:keepLines w:val="0"/>
              <w:keepNext w:val="0"/>
              <w:spacing w:line="240" w:lineRule="auto"/>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8、配备≥6米6寸口径钢丝软管进水管;配备≥18米6寸口径、≥10Kg压力有衬里水带。    </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117475</wp:posOffset>
                      </wp:positionV>
                      <wp:extent cx="716915" cy="1087755"/>
                      <wp:effectExtent l="0" t="0" r="6985" b="17145"/>
                      <wp:wrapNone/>
                      <wp:docPr id="4" name="图片_2"/>
                      <wp:cNvGraphicFramePr/>
                      <a:graphic xmlns:a="http://schemas.openxmlformats.org/drawingml/2006/main">
                        <a:graphicData uri="http://schemas.openxmlformats.org/drawingml/2006/picture">
                          <pic:pic xmlns:pic="http://schemas.openxmlformats.org/drawingml/2006/picture">
                            <pic:nvPicPr>
                              <pic:cNvPr id="8" name="图片_2"/>
                              <pic:cNvPicPr/>
                              <pic:nvPr/>
                            </pic:nvPicPr>
                            <pic:blipFill>
                              <a:blip r:embed="rId13"/>
                              <a:stretch/>
                            </pic:blipFill>
                            <pic:spPr bwMode="auto">
                              <a:xfrm>
                                <a:off x="0" y="0"/>
                                <a:ext cx="716915"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8pt;mso-position-horizontal:absolute;mso-position-vertical-relative:text;margin-top:9.2pt;mso-position-vertical:absolute;width:56.4pt;height:85.6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58"/>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eastAsia="宋体"/>
                <w:sz w:val="24"/>
                <w:szCs w:val="24"/>
                <w:highlight w:val="none"/>
              </w:rPr>
              <w:t xml:space="preserve">便携式大流量排水单元</w:t>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val="false"/>
          </w:tcPr>
          <w:p>
            <w:pPr>
              <w:spacing w:line="240" w:lineRule="auto"/>
              <w:rPr>
                <w:rFonts w:ascii="宋体" w:eastAsia="宋体"/>
                <w:color w:val="auto"/>
                <w:szCs w:val="21"/>
                <w:highlight w:val="none"/>
              </w:rPr>
            </w:pPr>
            <w:r>
              <w:rPr>
                <w:rFonts w:ascii="宋体" w:eastAsia="宋体" w:cs="Segoe UI Symbol"/>
                <w:color w:val="000000"/>
                <w:szCs w:val="21"/>
                <w:highlight w:val="none"/>
              </w:rPr>
              <w:t xml:space="preserve">★</w:t>
            </w:r>
            <w:r>
              <w:rPr>
                <w:rFonts w:ascii="宋体" w:eastAsia="宋体"/>
                <w:color w:val="000000"/>
                <w:szCs w:val="21"/>
                <w:highlight w:val="none"/>
              </w:rPr>
              <w:t xml:space="preserve">1</w:t>
            </w:r>
            <w:r>
              <w:rPr>
                <w:rFonts w:ascii="宋体" w:eastAsia="宋体"/>
                <w:color w:val="auto"/>
                <w:szCs w:val="21"/>
                <w:highlight w:val="none"/>
              </w:rPr>
              <w:t xml:space="preserve">、排水量要求</w:t>
            </w:r>
            <w:r>
              <w:rPr>
                <w:rFonts w:hint="eastAsia" w:ascii="宋体" w:eastAsia="宋体"/>
                <w:color w:val="auto"/>
                <w:szCs w:val="21"/>
                <w:highlight w:val="none"/>
              </w:rPr>
              <w:t xml:space="preserve">：扬程≥</w:t>
            </w:r>
            <w:r>
              <w:rPr>
                <w:rFonts w:hint="eastAsia" w:ascii="宋体" w:eastAsia="宋体"/>
                <w:color w:val="auto"/>
                <w:szCs w:val="21"/>
                <w:highlight w:val="none"/>
                <w:lang w:val="en-US" w:eastAsia="zh-CN"/>
              </w:rPr>
              <w:t xml:space="preserve">8</w:t>
            </w:r>
            <w:r>
              <w:rPr>
                <w:rFonts w:ascii="宋体" w:eastAsia="宋体"/>
                <w:color w:val="auto"/>
                <w:szCs w:val="21"/>
                <w:highlight w:val="none"/>
              </w:rPr>
              <w:t xml:space="preserve">m</w:t>
            </w:r>
            <w:r>
              <w:rPr>
                <w:rFonts w:hint="eastAsia" w:ascii="宋体" w:eastAsia="宋体"/>
                <w:color w:val="auto"/>
                <w:szCs w:val="21"/>
                <w:highlight w:val="none"/>
              </w:rPr>
              <w:t xml:space="preserve">，流量≥</w:t>
            </w:r>
            <w:r>
              <w:rPr>
                <w:rFonts w:ascii="宋体" w:eastAsia="宋体"/>
                <w:color w:val="auto"/>
                <w:szCs w:val="21"/>
                <w:highlight w:val="none"/>
              </w:rPr>
              <w:t xml:space="preserve">550m³/h。</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b/>
                <w:bCs w:val="0"/>
                <w:sz w:val="24"/>
                <w:szCs w:val="24"/>
                <w:highlight w:val="none"/>
                <w:lang w:val="en-US" w:eastAsia="zh-CN"/>
              </w:rPr>
              <w:t xml:space="preserve">需提供</w:t>
            </w:r>
            <w:r>
              <w:rPr>
                <w:rFonts w:hint="eastAsia" w:ascii="宋体" w:hAnsi="宋体"/>
                <w:b/>
                <w:bCs w:val="0"/>
                <w:sz w:val="24"/>
                <w:szCs w:val="24"/>
                <w:highlight w:val="none"/>
              </w:rPr>
              <w:t xml:space="preserve">具有CNAS和CMA标志的检测报告</w:t>
            </w:r>
            <w:r>
              <w:rPr>
                <w:rFonts w:hint="eastAsia" w:ascii="宋体" w:hAnsi="宋体" w:eastAsia="宋体" w:cs="宋体"/>
                <w:i w:val="0"/>
                <w:iCs w:val="0"/>
                <w:color w:val="auto"/>
                <w:sz w:val="22"/>
                <w:szCs w:val="22"/>
                <w:highlight w:val="none"/>
                <w:u w:val="none"/>
                <w:lang w:val="en-US" w:eastAsia="zh-CN" w:bidi="ar"/>
              </w:rPr>
              <w:t xml:space="preserve">）</w:t>
            </w:r>
            <w:r/>
          </w:p>
          <w:p>
            <w:pPr>
              <w:spacing w:line="240" w:lineRule="auto"/>
              <w:rPr>
                <w:rFonts w:ascii="宋体" w:eastAsia="宋体"/>
                <w:color w:val="auto"/>
                <w:szCs w:val="21"/>
                <w:highlight w:val="none"/>
              </w:rPr>
            </w:pPr>
            <w:r>
              <w:rPr>
                <w:rFonts w:ascii="宋体" w:eastAsia="宋体"/>
                <w:color w:val="auto"/>
                <w:szCs w:val="21"/>
                <w:highlight w:val="none"/>
              </w:rPr>
              <w:t xml:space="preserve">2、材质</w:t>
            </w:r>
            <w:r>
              <w:rPr>
                <w:rFonts w:hint="eastAsia" w:ascii="宋体" w:eastAsia="宋体"/>
                <w:color w:val="auto"/>
                <w:szCs w:val="21"/>
                <w:highlight w:val="none"/>
              </w:rPr>
              <w:t xml:space="preserve">要求：叶轮</w:t>
            </w:r>
            <w:r>
              <w:rPr>
                <w:rFonts w:ascii="宋体" w:eastAsia="宋体"/>
                <w:color w:val="auto"/>
                <w:szCs w:val="21"/>
                <w:highlight w:val="none"/>
              </w:rPr>
              <w:t xml:space="preserve">采用</w:t>
            </w:r>
            <w:r>
              <w:rPr>
                <w:rFonts w:hint="eastAsia" w:ascii="宋体" w:eastAsia="宋体"/>
                <w:color w:val="auto"/>
                <w:szCs w:val="21"/>
                <w:highlight w:val="none"/>
              </w:rPr>
              <w:t xml:space="preserve">3</w:t>
            </w:r>
            <w:r>
              <w:rPr>
                <w:rFonts w:ascii="宋体" w:eastAsia="宋体"/>
                <w:color w:val="auto"/>
                <w:szCs w:val="21"/>
                <w:highlight w:val="none"/>
              </w:rPr>
              <w:t xml:space="preserve">04不锈钢材质</w:t>
            </w:r>
            <w:r>
              <w:rPr>
                <w:rFonts w:hint="eastAsia" w:ascii="宋体" w:eastAsia="宋体"/>
                <w:color w:val="auto"/>
                <w:szCs w:val="21"/>
                <w:highlight w:val="none"/>
              </w:rPr>
              <w:t xml:space="preserve">;泵体采用铝镁材质。</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3</w:t>
            </w:r>
            <w:r>
              <w:rPr>
                <w:rFonts w:ascii="宋体" w:eastAsia="宋体"/>
                <w:color w:val="000000"/>
                <w:szCs w:val="21"/>
                <w:highlight w:val="none"/>
              </w:rPr>
              <w:t xml:space="preserve">、</w:t>
            </w:r>
            <w:r>
              <w:rPr>
                <w:rFonts w:hint="eastAsia" w:ascii="宋体" w:eastAsia="宋体"/>
                <w:color w:val="000000"/>
                <w:szCs w:val="21"/>
                <w:highlight w:val="none"/>
              </w:rPr>
              <w:t xml:space="preserve">旋扣式</w:t>
            </w:r>
            <w:r>
              <w:rPr>
                <w:rFonts w:ascii="宋体" w:eastAsia="宋体"/>
                <w:color w:val="000000"/>
                <w:szCs w:val="21"/>
                <w:highlight w:val="none"/>
              </w:rPr>
              <w:t xml:space="preserve">水泵出水口需一体成型，</w:t>
            </w:r>
            <w:r>
              <w:rPr>
                <w:rFonts w:hint="eastAsia" w:ascii="宋体" w:eastAsia="宋体"/>
                <w:color w:val="000000"/>
                <w:szCs w:val="21"/>
                <w:highlight w:val="none"/>
              </w:rPr>
              <w:t xml:space="preserve">为</w:t>
            </w:r>
            <w:r>
              <w:rPr>
                <w:rFonts w:ascii="宋体" w:eastAsia="宋体"/>
                <w:color w:val="000000"/>
                <w:szCs w:val="21"/>
                <w:highlight w:val="none"/>
              </w:rPr>
              <w:t xml:space="preserve">节省抢险</w:t>
            </w:r>
            <w:r>
              <w:rPr>
                <w:rFonts w:hint="eastAsia" w:ascii="宋体" w:eastAsia="宋体"/>
                <w:color w:val="000000"/>
                <w:szCs w:val="21"/>
                <w:highlight w:val="none"/>
              </w:rPr>
              <w:t xml:space="preserve">设备</w:t>
            </w:r>
            <w:r>
              <w:rPr>
                <w:rFonts w:ascii="宋体" w:eastAsia="宋体"/>
                <w:color w:val="000000"/>
                <w:szCs w:val="21"/>
                <w:highlight w:val="none"/>
              </w:rPr>
              <w:t xml:space="preserve">安装时间</w:t>
            </w:r>
            <w:r>
              <w:rPr>
                <w:rFonts w:hint="eastAsia" w:ascii="宋体" w:eastAsia="宋体"/>
                <w:color w:val="000000"/>
                <w:szCs w:val="21"/>
                <w:highlight w:val="none"/>
              </w:rPr>
              <w:t xml:space="preserve">，连接水泵出水口的接头须采用铝合金材质材质旋扣式具备自锁装置设计，无需蝴蝶卡箍的快速安装设计，水泵出水口与水带连接所有附件须全部安装于水泵和水带接口处。</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4</w:t>
            </w:r>
            <w:r>
              <w:rPr>
                <w:rFonts w:hint="eastAsia" w:ascii="宋体" w:eastAsia="宋体"/>
                <w:color w:val="000000"/>
                <w:szCs w:val="21"/>
                <w:highlight w:val="none"/>
              </w:rPr>
              <w:t xml:space="preserve">、电缆材质要求：潜水电缆JHS3*10+1*6</w:t>
            </w:r>
            <w:r/>
          </w:p>
          <w:p>
            <w:pPr>
              <w:spacing w:line="240" w:lineRule="auto"/>
              <w:rPr>
                <w:rFonts w:ascii="宋体" w:eastAsia="宋体"/>
                <w:color w:val="000000"/>
                <w:szCs w:val="21"/>
                <w:highlight w:val="none"/>
              </w:rPr>
            </w:pPr>
            <w:r>
              <w:rPr>
                <w:rFonts w:hint="eastAsia" w:ascii="宋体" w:eastAsia="宋体"/>
                <w:color w:val="000000"/>
                <w:szCs w:val="21"/>
                <w:highlight w:val="none"/>
              </w:rPr>
              <w:t xml:space="preserve">数量要求：电源至控制柜20米，控制柜到水泵</w:t>
            </w:r>
            <w:r>
              <w:rPr>
                <w:rFonts w:ascii="宋体" w:eastAsia="宋体"/>
                <w:color w:val="000000"/>
                <w:szCs w:val="21"/>
                <w:highlight w:val="none"/>
              </w:rPr>
              <w:t xml:space="preserve">2</w:t>
            </w:r>
            <w:r>
              <w:rPr>
                <w:rFonts w:hint="eastAsia" w:ascii="宋体" w:eastAsia="宋体"/>
                <w:color w:val="000000"/>
                <w:szCs w:val="21"/>
                <w:highlight w:val="none"/>
              </w:rPr>
              <w:t xml:space="preserve">0米，电缆两头配备防水等级IP6接头。</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5</w:t>
            </w:r>
            <w:r>
              <w:rPr>
                <w:rFonts w:hint="eastAsia" w:ascii="宋体" w:eastAsia="宋体"/>
                <w:color w:val="000000"/>
                <w:szCs w:val="21"/>
                <w:highlight w:val="none"/>
              </w:rPr>
              <w:t xml:space="preserve">、排水管材质：材料为软性材料，长轴编织，合成纤维，内外涂耐磨防水树脂，可折叠式卷起，必须耐磨防刺穿。配置：单台水泵配</w:t>
            </w:r>
            <w:bookmarkStart w:id="170" w:name="OLE_LINK2"/>
            <w:r/>
            <w:bookmarkStart w:id="171" w:name="OLE_LINK1"/>
            <w:r>
              <w:rPr>
                <w:rFonts w:ascii="宋体" w:eastAsia="宋体"/>
                <w:color w:val="000000"/>
                <w:szCs w:val="21"/>
                <w:highlight w:val="none"/>
              </w:rPr>
              <w:t xml:space="preserve">8</w:t>
            </w:r>
            <w:r>
              <w:rPr>
                <w:rFonts w:hint="eastAsia" w:ascii="宋体" w:eastAsia="宋体"/>
                <w:color w:val="000000"/>
                <w:szCs w:val="21"/>
                <w:highlight w:val="none"/>
              </w:rPr>
              <w:t xml:space="preserve">寸排水管总长度≥</w:t>
            </w:r>
            <w:r>
              <w:rPr>
                <w:rFonts w:ascii="宋体" w:eastAsia="宋体"/>
                <w:color w:val="000000"/>
                <w:szCs w:val="21"/>
                <w:highlight w:val="none"/>
              </w:rPr>
              <w:t xml:space="preserve">2</w:t>
            </w:r>
            <w:r>
              <w:rPr>
                <w:rFonts w:hint="eastAsia" w:ascii="宋体" w:eastAsia="宋体"/>
                <w:color w:val="000000"/>
                <w:szCs w:val="21"/>
                <w:highlight w:val="none"/>
              </w:rPr>
              <w:t xml:space="preserve">0米</w:t>
            </w:r>
            <w:bookmarkEnd w:id="170"/>
            <w:r/>
            <w:bookmarkEnd w:id="171"/>
            <w:r>
              <w:rPr>
                <w:rFonts w:hint="eastAsia" w:ascii="宋体" w:eastAsia="宋体"/>
                <w:color w:val="000000"/>
                <w:szCs w:val="21"/>
                <w:highlight w:val="none"/>
              </w:rPr>
              <w:t xml:space="preserve">。</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6</w:t>
            </w:r>
            <w:r>
              <w:rPr>
                <w:rFonts w:ascii="宋体" w:eastAsia="宋体"/>
                <w:color w:val="000000"/>
                <w:szCs w:val="21"/>
                <w:highlight w:val="none"/>
              </w:rPr>
              <w:t xml:space="preserve">、控制系统技术要求</w:t>
            </w:r>
            <w:r>
              <w:rPr>
                <w:rFonts w:hint="eastAsia" w:ascii="宋体" w:eastAsia="宋体"/>
                <w:color w:val="000000"/>
                <w:szCs w:val="21"/>
                <w:highlight w:val="none"/>
              </w:rPr>
              <w:t xml:space="preserve">:</w:t>
            </w:r>
            <w:r>
              <w:rPr>
                <w:rFonts w:ascii="宋体" w:eastAsia="宋体"/>
                <w:color w:val="000000"/>
                <w:szCs w:val="21"/>
                <w:highlight w:val="none"/>
              </w:rPr>
              <w:t xml:space="preserve">每台水泵配有单独的控制系统，控制系统有可视化操作界面;实时监测运行参数，带有漏电、电流过载、缺相、过压、欠压、过频、欠频、电机过热等保护。</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7</w:t>
            </w:r>
            <w:r>
              <w:rPr>
                <w:rFonts w:hint="eastAsia" w:ascii="宋体" w:eastAsia="宋体"/>
                <w:color w:val="000000"/>
                <w:szCs w:val="21"/>
                <w:highlight w:val="none"/>
              </w:rPr>
              <w:t xml:space="preserve">、运行状态要求：须设置两条LED运行指示灯，以不同颜色区分设备待机、运行、停机、故障的运行状态</w:t>
            </w:r>
            <w:r>
              <w:rPr>
                <w:rFonts w:ascii="宋体" w:eastAsia="宋体"/>
                <w:color w:val="000000"/>
                <w:szCs w:val="21"/>
                <w:highlight w:val="none"/>
              </w:rPr>
              <w:t xml:space="preserve">。</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8</w:t>
            </w:r>
            <w:r>
              <w:rPr>
                <w:rFonts w:hint="eastAsia" w:ascii="宋体" w:eastAsia="宋体"/>
                <w:color w:val="000000"/>
                <w:szCs w:val="21"/>
                <w:highlight w:val="none"/>
              </w:rPr>
              <w:t xml:space="preserve">、叶轮符合GB/T20878-2024国家标准。</w:t>
            </w:r>
            <w:r/>
          </w:p>
          <w:p>
            <w:pPr>
              <w:spacing w:line="240" w:lineRule="auto"/>
              <w:rPr>
                <w:rFonts w:ascii="宋体" w:eastAsia="宋体"/>
                <w:color w:val="000000"/>
                <w:szCs w:val="21"/>
                <w:highlight w:val="none"/>
              </w:rPr>
            </w:pPr>
            <w:r>
              <w:rPr>
                <w:rFonts w:hint="eastAsia" w:ascii="宋体" w:eastAsia="宋体"/>
                <w:color w:val="000000"/>
                <w:szCs w:val="21"/>
                <w:highlight w:val="none"/>
                <w:lang w:val="en-US" w:eastAsia="zh-CN"/>
              </w:rPr>
              <w:t xml:space="preserve">9</w:t>
            </w:r>
            <w:r>
              <w:rPr>
                <w:rFonts w:hint="eastAsia" w:ascii="宋体" w:eastAsia="宋体"/>
                <w:color w:val="000000"/>
                <w:szCs w:val="21"/>
                <w:highlight w:val="none"/>
              </w:rPr>
              <w:t xml:space="preserve">、泵体符合GB/T1173-2013国家标准。</w:t>
            </w:r>
            <w:r/>
          </w:p>
          <w:p>
            <w:pPr>
              <w:spacing w:line="240" w:lineRule="auto"/>
              <w:rPr>
                <w:rFonts w:hint="default"/>
                <w:highlight w:val="none"/>
                <w:lang w:val="en-US" w:eastAsia="zh-CN"/>
              </w:rPr>
            </w:pPr>
            <w:r>
              <w:rPr>
                <w:rFonts w:hint="eastAsia" w:ascii="宋体" w:eastAsia="宋体"/>
                <w:color w:val="000000"/>
                <w:szCs w:val="21"/>
                <w:highlight w:val="none"/>
              </w:rPr>
              <w:t xml:space="preserve">1</w:t>
            </w:r>
            <w:r>
              <w:rPr>
                <w:rFonts w:hint="eastAsia" w:ascii="宋体" w:eastAsia="宋体"/>
                <w:color w:val="000000"/>
                <w:szCs w:val="21"/>
                <w:highlight w:val="none"/>
                <w:lang w:val="en-US" w:eastAsia="zh-CN"/>
              </w:rPr>
              <w:t xml:space="preserve">0</w:t>
            </w:r>
            <w:r>
              <w:rPr>
                <w:rFonts w:hint="eastAsia" w:ascii="宋体" w:eastAsia="宋体"/>
                <w:color w:val="000000"/>
                <w:szCs w:val="21"/>
                <w:highlight w:val="none"/>
              </w:rPr>
              <w:t xml:space="preserve">、控制柜符合GB/T4208-2017国家标准。</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highlight w:val="none"/>
              </w:rPr>
              <w:suppressLineNumbers w:val="0"/>
            </w:pPr>
            <w:r>
              <w:rPr>
                <w:highlight w:val="none"/>
              </w:rPr>
              <mc:AlternateContent>
                <mc:Choice Requires="wpg">
                  <w:drawing>
                    <wp:inline xmlns:wp="http://schemas.openxmlformats.org/drawingml/2006/wordprocessingDrawing" distT="0" distB="0" distL="0" distR="0">
                      <wp:extent cx="755650" cy="1204595"/>
                      <wp:effectExtent l="0" t="0" r="6350" b="14604"/>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755650" cy="1204595"/>
                              </a:xfrm>
                              <a:prstGeom prst="rect">
                                <a:avLst/>
                              </a:prstGeom>
                              <a:noFill/>
                              <a:ln w="12700"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5pt;height:94.8pt;mso-wrap-distance-left:0.0pt;mso-wrap-distance-top:0.0pt;mso-wrap-distance-right:0.0pt;mso-wrap-distance-bottom:0.0pt;" stroked="f" strokeweight="1.00pt">
                      <v:path textboxrect="0,0,0,0"/>
                      <v:imagedata r:id="rId14" o:title=""/>
                    </v:shape>
                  </w:pict>
                </mc:Fallback>
              </mc:AlternateContent>
            </w:r>
            <w:r/>
          </w:p>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746125" cy="652780"/>
                      <wp:effectExtent l="0" t="0" r="15875" b="139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746125" cy="65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8pt;height:51.4pt;mso-wrap-distance-left:0.0pt;mso-wrap-distance-top:0.0pt;mso-wrap-distance-right:0.0pt;mso-wrap-distance-bottom:0.0pt;" stroked="f">
                      <v:path textboxrect="0,0,0,0"/>
                      <v:imagedata r:id="rId15" o:title=""/>
                    </v:shape>
                  </w:pict>
                </mc:Fallback>
              </mc:AlternateContent>
            </w:r>
            <w:r>
              <w:rPr>
                <w:rFonts w:ascii="宋体" w:hAnsi="宋体" w:cs="宋体"/>
                <w:sz w:val="24"/>
                <w:szCs w:val="24"/>
                <w:highlight w:val="none"/>
              </w:rPr>
              <mc:AlternateContent>
                <mc:Choice Requires="wpg">
                  <w:drawing>
                    <wp:inline xmlns:wp="http://schemas.openxmlformats.org/drawingml/2006/wordprocessingDrawing" distT="0" distB="0" distL="0" distR="0">
                      <wp:extent cx="782955" cy="915035"/>
                      <wp:effectExtent l="0" t="0" r="17145" b="18415"/>
                      <wp:docPr id="7" name="图片 10" descr="D:\xwechat_files\wxid_8hg9svf7lyp622_e757\temp\RWTemp\2026-03\6595b31dd4678a4ca606d3fc17ed01be\f0e33b982d2894b0cbc195a74100e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xwechat_files\wxid_8hg9svf7lyp622_e757\temp\RWTemp\2026-03\6595b31dd4678a4ca606d3fc17ed01be\f0e33b982d2894b0cbc195a74100e169.jpg"/>
                              <pic:cNvPicPr>
                                <a:picLocks noChangeAspect="1"/>
                              </pic:cNvPicPr>
                              <pic:nvPr/>
                            </pic:nvPicPr>
                            <pic:blipFill>
                              <a:blip r:embed="rId16"/>
                              <a:stretch/>
                            </pic:blipFill>
                            <pic:spPr bwMode="auto">
                              <a:xfrm>
                                <a:off x="0" y="0"/>
                                <a:ext cx="782955" cy="915035"/>
                              </a:xfrm>
                              <a:prstGeom prst="rect">
                                <a:avLst/>
                              </a:prstGeom>
                              <a:noFill/>
                              <a:ln w="12700"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6pt;height:72.0pt;mso-wrap-distance-left:0.0pt;mso-wrap-distance-top:0.0pt;mso-wrap-distance-right:0.0pt;mso-wrap-distance-bottom:0.0pt;" stroked="f" strokeweight="1.00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防护栏</w:t>
            </w:r>
            <w:r/>
          </w:p>
        </w:tc>
        <w:tc>
          <w:tcPr>
            <w:shd w:val="clear" w:color="auto" w:fill="auto"/>
            <w:tcBorders>
              <w:top w:val="single" w:color="000000" w:sz="4" w:space="0"/>
              <w:left w:val="single" w:color="000000" w:sz="4" w:space="0"/>
              <w:bottom w:val="single" w:color="000000" w:sz="4" w:space="0"/>
              <w:right w:val="single" w:color="000000" w:sz="4" w:space="0"/>
            </w:tcBorders>
            <w:tcW w:w="2515" w:type="pct"/>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eastAsia="宋体"/>
                <w:color w:val="000000"/>
                <w:szCs w:val="21"/>
                <w:highlight w:val="none"/>
                <w:lang w:val="en-US" w:eastAsia="zh-CN"/>
              </w:rPr>
              <w:t xml:space="preserve">材质：热镀锌钢管、外径80mm、壁厚≥3.5mm，长度1.5米、高0.8米、底座长0.7米。样式如图。</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3175</wp:posOffset>
                      </wp:positionV>
                      <wp:extent cx="716915" cy="560705"/>
                      <wp:effectExtent l="0" t="0" r="6985" b="10795"/>
                      <wp:wrapNone/>
                      <wp:docPr id="8" name="图片_1"/>
                      <wp:cNvGraphicFramePr/>
                      <a:graphic xmlns:a="http://schemas.openxmlformats.org/drawingml/2006/main">
                        <a:graphicData uri="http://schemas.openxmlformats.org/drawingml/2006/picture">
                          <pic:pic xmlns:pic="http://schemas.openxmlformats.org/drawingml/2006/picture">
                            <pic:nvPicPr>
                              <pic:cNvPr id="9" name="图片_1"/>
                              <pic:cNvPicPr/>
                              <pic:nvPr/>
                            </pic:nvPicPr>
                            <pic:blipFill>
                              <a:blip r:embed="rId17"/>
                              <a:stretch/>
                            </pic:blipFill>
                            <pic:spPr bwMode="auto">
                              <a:xfrm>
                                <a:off x="0" y="0"/>
                                <a:ext cx="716915"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4pt;mso-position-horizontal:absolute;mso-position-vertical-relative:text;margin-top:0.2pt;mso-position-vertical:absolute;width:56.4pt;height:44.1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eastAsia" w:eastAsia="宋体"/>
          <w:b/>
          <w:bCs/>
          <w:color w:val="auto"/>
          <w:highlight w:val="none"/>
          <w:lang w:val="en-US" w:eastAsia="zh-CN"/>
        </w:rPr>
        <w:t xml:space="preserve">、</w:t>
      </w:r>
      <w:r>
        <w:rPr>
          <w:rFonts w:hint="eastAsia" w:ascii="宋体" w:hAnsi="宋体" w:cs="宋体"/>
          <w:sz w:val="24"/>
          <w:highlight w:val="none"/>
          <w:lang w:val="en-US" w:eastAsia="zh-CN"/>
        </w:rPr>
        <w:t xml:space="preserve">服务方案</w:t>
      </w:r>
      <w:r/>
    </w:p>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1、货物</w:t>
      </w:r>
      <w:r>
        <w:rPr>
          <w:rFonts w:hint="eastAsia" w:ascii="宋体" w:hAnsi="宋体" w:cs="宋体"/>
          <w:sz w:val="24"/>
          <w:highlight w:val="none"/>
          <w:lang w:val="en-US" w:eastAsia="zh-CN"/>
        </w:rPr>
        <w:t xml:space="preserve">方案</w:t>
      </w:r>
      <w:r/>
    </w:p>
    <w:p>
      <w:pPr>
        <w:ind w:firstLine="480"/>
        <w:spacing w:line="460" w:lineRule="exact"/>
        <w:rPr>
          <w:rFonts w:hint="eastAsia" w:ascii="宋体" w:hAnsi="宋体" w:cs="宋体"/>
          <w:sz w:val="24"/>
          <w:highlight w:val="none"/>
          <w:lang w:val="zh-CN" w:eastAsia="zh-CN"/>
        </w:rPr>
      </w:pPr>
      <w:r>
        <w:rPr>
          <w:rFonts w:hint="eastAsia" w:ascii="宋体" w:hAnsi="宋体" w:cs="宋体"/>
          <w:sz w:val="24"/>
          <w:highlight w:val="none"/>
          <w:lang w:val="zh-CN"/>
        </w:rPr>
        <w:t xml:space="preserve">货物方案至少包括</w:t>
      </w:r>
      <w:r>
        <w:rPr>
          <w:rFonts w:hint="eastAsia" w:ascii="宋体" w:hAnsi="宋体" w:eastAsia="宋体" w:cs="宋体"/>
          <w:sz w:val="24"/>
          <w:szCs w:val="24"/>
          <w:highlight w:val="none"/>
          <w:lang w:val="zh-CN"/>
        </w:rPr>
        <w:t xml:space="preserve">包括</w:t>
      </w:r>
      <w:r>
        <w:rPr>
          <w:rFonts w:hint="eastAsia" w:ascii="宋体" w:hAnsi="宋体"/>
          <w:color w:val="auto"/>
          <w:sz w:val="24"/>
          <w:szCs w:val="24"/>
          <w:highlight w:val="none"/>
          <w:lang w:val="en-US" w:eastAsia="zh-CN"/>
        </w:rPr>
        <w:t xml:space="preserve">供货周期、运输方式、</w:t>
      </w:r>
      <w:r>
        <w:rPr>
          <w:rFonts w:hint="eastAsia" w:ascii="宋体" w:hAnsi="宋体"/>
          <w:color w:val="auto"/>
          <w:sz w:val="24"/>
          <w:highlight w:val="none"/>
        </w:rPr>
        <w:t xml:space="preserve">进度保证措施</w:t>
      </w:r>
      <w:r>
        <w:rPr>
          <w:rFonts w:hint="eastAsia" w:ascii="宋体" w:hAnsi="宋体" w:eastAsia="宋体" w:cs="宋体"/>
          <w:sz w:val="24"/>
          <w:szCs w:val="24"/>
          <w:highlight w:val="none"/>
          <w:lang w:val="en-US" w:eastAsia="zh-CN"/>
        </w:rPr>
        <w:t xml:space="preserve">、质量保证措施、安全保证措施等</w:t>
      </w:r>
      <w:r>
        <w:rPr>
          <w:rFonts w:hint="eastAsia" w:ascii="宋体" w:hAnsi="宋体" w:cs="宋体"/>
          <w:sz w:val="24"/>
          <w:highlight w:val="none"/>
          <w:lang w:val="zh-CN" w:eastAsia="zh-CN"/>
        </w:rPr>
        <w:t xml:space="preserve">。</w:t>
      </w:r>
      <w:r/>
    </w:p>
    <w:p>
      <w:pPr>
        <w:ind w:firstLine="480"/>
        <w:spacing w:line="460" w:lineRule="exact"/>
        <w:rPr>
          <w:rFonts w:hint="eastAsia" w:ascii="宋体" w:hAnsi="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2、安装、调试和验收方案</w:t>
      </w:r>
      <w:r/>
    </w:p>
    <w:p>
      <w:pPr>
        <w:ind w:firstLine="480"/>
        <w:spacing w:line="460" w:lineRule="exact"/>
        <w:rPr>
          <w:rFonts w:hint="eastAsia" w:ascii="宋体" w:hAnsi="宋体" w:cs="宋体"/>
          <w:sz w:val="24"/>
          <w:highlight w:val="none"/>
          <w:lang w:val="zh-CN" w:eastAsia="zh-CN"/>
        </w:rPr>
      </w:pPr>
      <w:r>
        <w:rPr>
          <w:rFonts w:hint="eastAsia" w:ascii="宋体" w:hAnsi="宋体" w:cs="宋体"/>
          <w:sz w:val="24"/>
          <w:highlight w:val="none"/>
          <w:lang w:val="zh-CN"/>
        </w:rPr>
        <w:t xml:space="preserve">安装、调试和验收方案至少</w:t>
      </w:r>
      <w:r>
        <w:rPr>
          <w:rFonts w:hint="eastAsia" w:ascii="宋体" w:hAnsi="宋体" w:eastAsia="宋体" w:cs="宋体"/>
          <w:sz w:val="24"/>
          <w:szCs w:val="24"/>
          <w:highlight w:val="none"/>
          <w:lang w:val="zh-CN"/>
        </w:rPr>
        <w:t xml:space="preserve">包括安装、</w:t>
      </w:r>
      <w:r>
        <w:rPr>
          <w:rFonts w:hint="eastAsia" w:ascii="宋体" w:hAnsi="宋体" w:eastAsia="宋体" w:cs="宋体"/>
          <w:sz w:val="24"/>
          <w:szCs w:val="24"/>
          <w:highlight w:val="none"/>
          <w:lang w:val="zh-CN" w:eastAsia="zh-CN"/>
        </w:rPr>
        <w:t xml:space="preserve">调试过程及保障措施</w:t>
      </w:r>
      <w:r>
        <w:rPr>
          <w:rFonts w:hint="eastAsia" w:ascii="宋体" w:hAnsi="宋体" w:eastAsia="宋体" w:cs="宋体"/>
          <w:sz w:val="24"/>
          <w:szCs w:val="24"/>
          <w:highlight w:val="none"/>
          <w:lang w:val="zh-CN"/>
        </w:rPr>
        <w:t xml:space="preserve">、技术和人员力量</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eastAsia="zh-CN"/>
        </w:rPr>
        <w:t xml:space="preserve">验收过程及标准（</w:t>
      </w:r>
      <w:r>
        <w:rPr>
          <w:rFonts w:hint="eastAsia" w:ascii="宋体" w:hAnsi="宋体" w:eastAsia="宋体" w:cs="宋体"/>
          <w:sz w:val="24"/>
          <w:szCs w:val="24"/>
          <w:highlight w:val="none"/>
          <w:lang w:val="zh-CN"/>
        </w:rPr>
        <w:t xml:space="preserve">验收依据和相关的技术标准、验收的方法、组织形式、程序、注意事项、验收环节及内容等</w:t>
      </w:r>
      <w:r>
        <w:rPr>
          <w:rFonts w:hint="eastAsia" w:ascii="宋体" w:hAnsi="宋体" w:eastAsia="宋体" w:cs="宋体"/>
          <w:sz w:val="24"/>
          <w:szCs w:val="24"/>
          <w:highlight w:val="none"/>
          <w:lang w:val="zh-CN" w:eastAsia="zh-CN"/>
        </w:rPr>
        <w:t xml:space="preserve">）等</w:t>
      </w:r>
      <w:r>
        <w:rPr>
          <w:rFonts w:hint="eastAsia" w:ascii="宋体" w:hAnsi="宋体" w:cs="宋体"/>
          <w:sz w:val="24"/>
          <w:highlight w:val="none"/>
          <w:lang w:val="zh-CN" w:eastAsia="zh-CN"/>
        </w:rPr>
        <w:t xml:space="preserve">。</w:t>
      </w:r>
      <w:r/>
    </w:p>
    <w:p>
      <w:pPr>
        <w:ind w:firstLine="480"/>
        <w:spacing w:line="460" w:lineRule="exact"/>
        <w:rPr>
          <w:rFonts w:hint="eastAsia" w:ascii="宋体" w:hAnsi="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3、培训方案</w:t>
      </w:r>
      <w:r/>
    </w:p>
    <w:p>
      <w:pPr>
        <w:ind w:firstLine="480"/>
        <w:spacing w:line="460" w:lineRule="exact"/>
        <w:rPr>
          <w:rFonts w:hint="eastAsia" w:ascii="宋体" w:hAnsi="宋体" w:cs="宋体"/>
          <w:sz w:val="24"/>
          <w:highlight w:val="none"/>
          <w:lang w:val="zh-CN" w:eastAsia="zh-CN"/>
        </w:rPr>
      </w:pPr>
      <w:r>
        <w:rPr>
          <w:rFonts w:hint="eastAsia" w:ascii="宋体" w:hAnsi="宋体" w:cs="宋体"/>
          <w:sz w:val="24"/>
          <w:highlight w:val="none"/>
          <w:lang w:val="zh-CN"/>
        </w:rPr>
        <w:t xml:space="preserve">培训方案至少</w:t>
      </w:r>
      <w:r>
        <w:rPr>
          <w:rFonts w:hint="eastAsia" w:ascii="宋体" w:hAnsi="宋体" w:eastAsia="宋体" w:cs="宋体"/>
          <w:sz w:val="24"/>
          <w:szCs w:val="24"/>
          <w:highlight w:val="none"/>
          <w:lang w:val="zh-CN"/>
        </w:rPr>
        <w:t xml:space="preserve">包括</w:t>
      </w:r>
      <w:r>
        <w:rPr>
          <w:rFonts w:hint="eastAsia" w:ascii="宋体" w:hAnsi="宋体" w:eastAsiaTheme="minorEastAsia" w:cstheme="minorBidi"/>
          <w:color w:val="auto"/>
          <w:sz w:val="24"/>
          <w:szCs w:val="21"/>
          <w:highlight w:val="none"/>
          <w:lang w:val="zh-CN" w:eastAsia="zh-CN" w:bidi="ar-SA"/>
        </w:rPr>
        <w:t xml:space="preserve">培训内容、培训方式、培训时间等</w:t>
      </w:r>
      <w:r>
        <w:rPr>
          <w:rFonts w:hint="eastAsia" w:ascii="宋体" w:hAnsi="宋体" w:cs="宋体"/>
          <w:sz w:val="24"/>
          <w:highlight w:val="none"/>
          <w:lang w:val="zh-CN" w:eastAsia="zh-CN"/>
        </w:rPr>
        <w:t xml:space="preserve">。</w:t>
      </w:r>
      <w:r/>
    </w:p>
    <w:p>
      <w:pPr>
        <w:ind w:firstLine="480"/>
        <w:spacing w:line="460" w:lineRule="exact"/>
        <w:rPr>
          <w:rFonts w:hint="eastAsia" w:ascii="宋体" w:hAnsi="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eastAsia="zh-CN"/>
        </w:rPr>
        <w:t xml:space="preserve">4、</w:t>
      </w:r>
      <w:r>
        <w:rPr>
          <w:rFonts w:hint="eastAsia" w:ascii="宋体" w:hAnsi="宋体" w:cs="宋体"/>
          <w:sz w:val="24"/>
          <w:highlight w:val="none"/>
        </w:rPr>
        <w:t xml:space="preserve">售后服务</w:t>
      </w:r>
      <w:r>
        <w:rPr>
          <w:rFonts w:hint="eastAsia" w:ascii="宋体" w:hAnsi="宋体" w:cs="宋体"/>
          <w:sz w:val="24"/>
          <w:highlight w:val="none"/>
          <w:lang w:eastAsia="zh-CN"/>
        </w:rPr>
        <w:t xml:space="preserve">方案</w:t>
      </w:r>
      <w:r/>
    </w:p>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rPr>
        <w:t xml:space="preserve">售后服务方案至少包括</w:t>
      </w:r>
      <w:r>
        <w:rPr>
          <w:rFonts w:hint="eastAsia" w:ascii="宋体" w:hAnsi="宋体" w:cs="宋体"/>
          <w:bCs/>
          <w:color w:val="auto"/>
          <w:sz w:val="24"/>
          <w:szCs w:val="24"/>
          <w:highlight w:val="none"/>
        </w:rPr>
        <w:t xml:space="preserve">服务体系、服务响应时间，回访巡检方案、故障解决措施、技术人员保障、质保期满后备品配件价格</w:t>
      </w:r>
      <w:r>
        <w:rPr>
          <w:rFonts w:hint="eastAsia" w:ascii="宋体" w:hAnsi="宋体" w:cs="宋体"/>
          <w:bCs/>
          <w:color w:val="auto"/>
          <w:sz w:val="24"/>
          <w:szCs w:val="24"/>
          <w:highlight w:val="none"/>
          <w:lang w:eastAsia="zh-CN"/>
        </w:rPr>
        <w:t xml:space="preserve">等</w:t>
      </w:r>
      <w:r>
        <w:rPr>
          <w:rFonts w:hint="eastAsia" w:ascii="宋体" w:hAnsi="宋体" w:cs="宋体"/>
          <w:sz w:val="24"/>
          <w:highlight w:val="none"/>
          <w:lang w:val="en-US" w:eastAsia="zh-CN"/>
        </w:rPr>
        <w:t xml:space="preserve">。</w:t>
      </w:r>
      <w:r/>
    </w:p>
    <w:p>
      <w:pPr>
        <w:ind w:firstLine="480"/>
        <w:spacing w:line="46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2.5</w:t>
      </w:r>
      <w:r>
        <w:rPr>
          <w:rFonts w:hint="eastAsia" w:ascii="宋体" w:hAnsi="宋体" w:cs="宋体"/>
          <w:sz w:val="24"/>
          <w:highlight w:val="none"/>
          <w:lang w:val="zh-CN" w:eastAsia="zh-CN"/>
        </w:rPr>
        <w:t xml:space="preserve">、</w:t>
      </w:r>
      <w:r>
        <w:rPr>
          <w:rFonts w:hint="eastAsia" w:ascii="宋体" w:hAnsi="宋体" w:cs="宋体"/>
          <w:sz w:val="24"/>
          <w:highlight w:val="none"/>
          <w:lang w:val="en-US" w:eastAsia="zh-CN"/>
        </w:rPr>
        <w:t xml:space="preserve">应急方案</w:t>
      </w:r>
      <w:r/>
    </w:p>
    <w:p>
      <w:pPr>
        <w:ind w:firstLine="48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应急方案至少包括</w:t>
      </w:r>
      <w:r>
        <w:rPr>
          <w:rStyle w:val="888"/>
          <w:rFonts w:hint="eastAsia" w:hAnsi="宋体"/>
          <w:bCs/>
          <w:color w:val="auto"/>
          <w:sz w:val="24"/>
          <w:szCs w:val="24"/>
          <w:highlight w:val="none"/>
        </w:rPr>
        <w:t xml:space="preserve">应急响应机制</w:t>
      </w:r>
      <w:r>
        <w:rPr>
          <w:rStyle w:val="888"/>
          <w:rFonts w:hint="eastAsia" w:hAnsi="宋体" w:eastAsia="宋体"/>
          <w:bCs/>
          <w:color w:val="auto"/>
          <w:sz w:val="24"/>
          <w:szCs w:val="24"/>
          <w:highlight w:val="none"/>
          <w:lang w:eastAsia="zh-CN"/>
        </w:rPr>
        <w:t xml:space="preserve">、</w:t>
      </w:r>
      <w:r>
        <w:rPr>
          <w:rStyle w:val="888"/>
          <w:rFonts w:hint="eastAsia" w:hAnsi="宋体"/>
          <w:bCs/>
          <w:color w:val="auto"/>
          <w:sz w:val="24"/>
          <w:szCs w:val="24"/>
          <w:highlight w:val="none"/>
        </w:rPr>
        <w:t xml:space="preserve">应急操作支持</w:t>
      </w:r>
      <w:r>
        <w:rPr>
          <w:rStyle w:val="888"/>
          <w:rFonts w:hint="eastAsia" w:hAnsi="宋体" w:eastAsia="宋体"/>
          <w:bCs/>
          <w:color w:val="auto"/>
          <w:sz w:val="24"/>
          <w:szCs w:val="24"/>
          <w:highlight w:val="none"/>
          <w:lang w:eastAsia="zh-CN"/>
        </w:rPr>
        <w:t xml:space="preserve">等</w:t>
      </w:r>
      <w:r>
        <w:rPr>
          <w:rFonts w:hint="eastAsia" w:ascii="宋体" w:hAnsi="宋体" w:cs="宋体"/>
          <w:sz w:val="24"/>
          <w:highlight w:val="none"/>
          <w:lang w:val="en-US" w:eastAsia="zh-CN"/>
        </w:rPr>
        <w:t xml:space="preserve">。</w:t>
      </w:r>
      <w:r/>
    </w:p>
    <w:p>
      <w:pPr>
        <w:ind w:firstLine="480"/>
        <w:spacing w:line="460" w:lineRule="exact"/>
        <w:rPr>
          <w:rFonts w:hint="eastAsia" w:ascii="宋体" w:hAnsi="宋体" w:cs="宋体"/>
          <w:sz w:val="24"/>
          <w:highlight w:val="none"/>
          <w:lang w:eastAsia="zh-CN"/>
        </w:rPr>
      </w:pPr>
      <w:r>
        <w:rPr>
          <w:rFonts w:hint="eastAsia" w:ascii="宋体" w:hAnsi="宋体" w:cs="宋体"/>
          <w:sz w:val="24"/>
          <w:highlight w:val="none"/>
          <w:lang w:eastAsia="zh-CN"/>
        </w:rPr>
      </w:r>
      <w:r/>
    </w:p>
    <w:p>
      <w:pPr>
        <w:rPr>
          <w:color w:val="auto"/>
          <w:sz w:val="28"/>
          <w:szCs w:val="28"/>
          <w:highlight w:val="none"/>
        </w:rPr>
      </w:pPr>
      <w:r>
        <w:rPr>
          <w:color w:val="auto"/>
          <w:highlight w:val="none"/>
        </w:rPr>
        <w:br w:type="page" w:clear="all"/>
      </w:r>
      <w:r/>
    </w:p>
    <w:p>
      <w:pPr>
        <w:pStyle w:val="716"/>
        <w:jc w:val="center"/>
        <w:spacing w:beforeAutospacing="0" w:afterAutospacing="0"/>
        <w:rPr>
          <w:color w:val="auto"/>
          <w:highlight w:val="none"/>
        </w:rPr>
        <w:outlineLvl w:val="0"/>
      </w:pPr>
      <w:r/>
      <w:bookmarkStart w:id="172"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16"/>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16"/>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（2）监狱企业参加政府采购活动时，需提供由省级以上监狱管理局、戒毒管理局(含新疆生产建设兵团)出具的属于监狱企业的证明文件。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（3）监狱企业标准请参照《关于政府采购支持监狱企业发展有关问题的通知》（财库[2014]68号）。</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u w:val="none"/>
          <w:lang w:val="en-US" w:eastAsia="zh-CN" w:bidi="ar-SA"/>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cs="宋体"/>
          <w:sz w:val="24"/>
          <w:szCs w:val="20"/>
          <w:highlight w:val="none"/>
        </w:rPr>
      </w:pPr>
      <w:r>
        <w:rPr>
          <w:rFonts w:hint="eastAsia" w:ascii="宋体" w:hAnsi="宋体" w:eastAsia="宋体"/>
          <w:bCs/>
          <w:color w:val="auto"/>
          <w:sz w:val="24"/>
          <w:highlight w:val="none"/>
          <w:lang w:val="en-US" w:eastAsia="zh-CN"/>
        </w:rPr>
        <w:t xml:space="preserve">6</w:t>
      </w:r>
      <w:r>
        <w:rPr>
          <w:rFonts w:hint="eastAsia" w:ascii="宋体" w:hAnsi="宋体"/>
          <w:bCs/>
          <w:color w:val="auto"/>
          <w:sz w:val="24"/>
          <w:highlight w:val="none"/>
        </w:rPr>
        <w:t xml:space="preserve">、严格执行政府采购关于支</w:t>
      </w:r>
      <w:r>
        <w:rPr>
          <w:rFonts w:hint="eastAsia" w:ascii="宋体" w:hAnsi="宋体"/>
          <w:bCs/>
          <w:color w:val="auto"/>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 w:val="24"/>
          <w:szCs w:val="20"/>
          <w:highlight w:val="none"/>
        </w:rPr>
        <w:t xml:space="preserve">。</w:t>
      </w:r>
      <w:r/>
    </w:p>
    <w:p>
      <w:pPr>
        <w:pStyle w:val="71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690"/>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763"/>
        <w:gridCol w:w="7088"/>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cs="宋体"/>
                <w:b/>
                <w:sz w:val="21"/>
                <w:szCs w:val="21"/>
                <w:highlight w:val="none"/>
              </w:rPr>
            </w:pPr>
            <w:r/>
            <w:bookmarkStart w:id="173" w:name="_Hlk132382716"/>
            <w:r>
              <w:rPr>
                <w:rFonts w:hint="eastAsia" w:ascii="宋体" w:hAnsi="宋体" w:cs="宋体"/>
                <w:b/>
                <w:bCs/>
                <w:sz w:val="21"/>
                <w:szCs w:val="21"/>
                <w:highlight w:val="none"/>
              </w:rPr>
              <w:t xml:space="preserve">序号</w:t>
            </w:r>
            <w:r/>
          </w:p>
        </w:tc>
        <w:tc>
          <w:tcPr>
            <w:tcMar>
              <w:left w:w="108" w:type="dxa"/>
              <w:top w:w="0" w:type="dxa"/>
              <w:right w:w="108" w:type="dxa"/>
              <w:bottom w:w="0" w:type="dxa"/>
            </w:tcMar>
            <w:tcW w:w="763" w:type="dxa"/>
            <w:vAlign w:val="center"/>
            <w:textDirection w:val="lrTb"/>
            <w:noWrap/>
          </w:tcPr>
          <w:p>
            <w:pPr>
              <w:contextualSpacing/>
              <w:jc w:val="cente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评分因素</w:t>
            </w:r>
            <w:r/>
          </w:p>
        </w:tc>
        <w:tc>
          <w:tcPr>
            <w:tcMar>
              <w:left w:w="108" w:type="dxa"/>
              <w:top w:w="0" w:type="dxa"/>
              <w:right w:w="108" w:type="dxa"/>
              <w:bottom w:w="0" w:type="dxa"/>
            </w:tcMar>
            <w:tcW w:w="7088" w:type="dxa"/>
            <w:vAlign w:val="center"/>
            <w:textDirection w:val="lrTb"/>
            <w:noWrap/>
          </w:tcPr>
          <w:p>
            <w:pPr>
              <w:contextualSpacing/>
              <w:jc w:val="center"/>
              <w:spacing w:line="360" w:lineRule="auto"/>
              <w:rPr>
                <w:rFonts w:hint="eastAsia" w:ascii="宋体" w:hAnsi="宋体" w:cs="宋体"/>
                <w:b/>
                <w:sz w:val="21"/>
                <w:szCs w:val="21"/>
                <w:highlight w:val="none"/>
              </w:rPr>
            </w:pPr>
            <w:r>
              <w:rPr>
                <w:rFonts w:hint="eastAsia" w:ascii="宋体" w:hAnsi="宋体" w:cs="宋体"/>
                <w:b/>
                <w:bCs/>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hint="eastAsia" w:ascii="宋体" w:hAnsi="宋体" w:cs="宋体"/>
                <w:b/>
                <w:sz w:val="21"/>
                <w:szCs w:val="21"/>
                <w:highlight w:val="none"/>
              </w:rPr>
            </w:pPr>
            <w:r>
              <w:rPr>
                <w:rFonts w:hint="eastAsia" w:ascii="宋体" w:hAnsi="宋体" w:cs="宋体"/>
                <w:b/>
                <w:bCs/>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jc w:val="center"/>
              <w:widowControl/>
              <w:rPr>
                <w:rFonts w:hint="eastAsia"/>
                <w:sz w:val="24"/>
                <w:szCs w:val="24"/>
                <w:highlight w:val="none"/>
              </w:rPr>
            </w:pPr>
            <w:r>
              <w:rPr>
                <w:rFonts w:hint="eastAsia"/>
                <w:sz w:val="24"/>
                <w:szCs w:val="24"/>
                <w:highlight w:val="none"/>
              </w:rPr>
              <w:t xml:space="preserve">1</w:t>
            </w:r>
            <w:r/>
          </w:p>
        </w:tc>
        <w:tc>
          <w:tcPr>
            <w:tcMar>
              <w:left w:w="108" w:type="dxa"/>
              <w:top w:w="0" w:type="dxa"/>
              <w:right w:w="108" w:type="dxa"/>
              <w:bottom w:w="0" w:type="dxa"/>
            </w:tcMar>
            <w:tcW w:w="763" w:type="dxa"/>
            <w:vAlign w:val="center"/>
            <w:textDirection w:val="lrTb"/>
            <w:noWrap/>
          </w:tcPr>
          <w:p>
            <w:pPr>
              <w:widowControl/>
              <w:rPr>
                <w:rFonts w:hint="eastAsia"/>
                <w:sz w:val="24"/>
                <w:szCs w:val="24"/>
                <w:highlight w:val="none"/>
              </w:rPr>
            </w:pPr>
            <w:r>
              <w:rPr>
                <w:rFonts w:hint="eastAsia"/>
                <w:sz w:val="24"/>
                <w:szCs w:val="24"/>
                <w:highlight w:val="none"/>
              </w:rPr>
              <w:t xml:space="preserve">报价</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的投标报价得分按下列公式计算：</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Mar>
              <w:left w:w="108" w:type="dxa"/>
              <w:top w:w="0" w:type="dxa"/>
              <w:right w:w="108" w:type="dxa"/>
              <w:bottom w:w="0" w:type="dxa"/>
            </w:tcMar>
            <w:tcW w:w="763" w:type="dxa"/>
            <w:vAlign w:val="center"/>
            <w:textDirection w:val="lrTb"/>
            <w:noWrap/>
          </w:tcPr>
          <w:p>
            <w:pPr>
              <w:widowControl/>
              <w:rPr>
                <w:rFonts w:hint="eastAsia" w:ascii="宋体" w:hAnsi="宋体" w:cs="宋体"/>
                <w:sz w:val="21"/>
                <w:szCs w:val="21"/>
                <w:highlight w:val="none"/>
              </w:rPr>
            </w:pPr>
            <w:r>
              <w:rPr>
                <w:rFonts w:hint="eastAsia"/>
                <w:sz w:val="24"/>
                <w:szCs w:val="24"/>
                <w:highlight w:val="none"/>
              </w:rPr>
              <w:t xml:space="preserve">技术要求响应</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所投货物技术参数及</w:t>
            </w:r>
            <w:r>
              <w:rPr>
                <w:rFonts w:hint="eastAsia" w:ascii="宋体" w:hAnsi="宋体" w:eastAsia="宋体" w:cs="宋体"/>
                <w:sz w:val="24"/>
                <w:szCs w:val="24"/>
                <w:highlight w:val="none"/>
                <w:lang w:eastAsia="zh-CN"/>
              </w:rPr>
              <w:t xml:space="preserve">配置</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eastAsia="zh-CN"/>
              </w:rPr>
              <w:t xml:space="preserve">全部</w:t>
            </w:r>
            <w:r>
              <w:rPr>
                <w:rFonts w:hint="eastAsia" w:ascii="宋体" w:hAnsi="宋体" w:eastAsia="宋体" w:cs="宋体"/>
                <w:sz w:val="24"/>
                <w:szCs w:val="24"/>
                <w:highlight w:val="none"/>
              </w:rPr>
              <w:t xml:space="preserve">满足招标文件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第四章、</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需求”的，得</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分；其中带有标★号的技术要求，如有负偏离的，每项扣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分；未带有标★号的技术要求，如有负偏离的，每项扣0.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分，扣完为止。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注：1、带有标★号的技术要求，须按技术要求中规定的要求提供相关证明材料为</w:t>
            </w:r>
            <w:r>
              <w:rPr>
                <w:rFonts w:hint="eastAsia" w:ascii="宋体" w:hAnsi="宋体" w:eastAsia="宋体" w:cs="宋体"/>
                <w:sz w:val="24"/>
                <w:szCs w:val="24"/>
                <w:highlight w:val="none"/>
                <w:lang w:eastAsia="zh-CN"/>
              </w:rPr>
              <w:t xml:space="preserve">依据</w:t>
            </w:r>
            <w:r>
              <w:rPr>
                <w:rFonts w:hint="eastAsia" w:ascii="宋体" w:hAnsi="宋体" w:eastAsia="宋体" w:cs="宋体"/>
                <w:sz w:val="24"/>
                <w:szCs w:val="24"/>
                <w:highlight w:val="none"/>
              </w:rPr>
              <w:t xml:space="preserve">，否则视为负偏离。</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2、未带有标★号的技术要求，须提供《技术</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响应及偏离表》为</w:t>
            </w:r>
            <w:r>
              <w:rPr>
                <w:rFonts w:hint="eastAsia" w:ascii="宋体" w:hAnsi="宋体" w:eastAsia="宋体" w:cs="宋体"/>
                <w:sz w:val="24"/>
                <w:szCs w:val="24"/>
                <w:highlight w:val="none"/>
                <w:lang w:eastAsia="zh-CN"/>
              </w:rPr>
              <w:t xml:space="preserve">依据</w:t>
            </w:r>
            <w:r>
              <w:rPr>
                <w:rFonts w:hint="eastAsia" w:ascii="宋体" w:hAnsi="宋体" w:eastAsia="宋体" w:cs="宋体"/>
                <w:sz w:val="24"/>
                <w:szCs w:val="24"/>
                <w:highlight w:val="none"/>
              </w:rPr>
              <w:t xml:space="preserve">，否则视为负偏离。</w:t>
            </w:r>
            <w:r/>
          </w:p>
          <w:p>
            <w:pPr>
              <w:spacing w:line="240" w:lineRule="auto"/>
              <w:rPr>
                <w:rFonts w:hint="eastAsia"/>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响应及偏离表》中的内容须是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eastAsia="zh-CN"/>
              </w:rPr>
              <w:t xml:space="preserve">货物</w:t>
            </w:r>
            <w:r>
              <w:rPr>
                <w:rFonts w:hint="eastAsia" w:ascii="宋体" w:hAnsi="宋体" w:eastAsia="宋体" w:cs="宋体"/>
                <w:sz w:val="24"/>
                <w:szCs w:val="24"/>
                <w:highlight w:val="none"/>
              </w:rPr>
              <w:t xml:space="preserve">的真实反映，</w:t>
            </w:r>
            <w:r>
              <w:rPr>
                <w:rFonts w:hint="eastAsia" w:ascii="宋体" w:hAnsi="宋体" w:eastAsia="宋体" w:cs="宋体"/>
                <w:sz w:val="24"/>
                <w:szCs w:val="24"/>
                <w:highlight w:val="none"/>
                <w:lang w:eastAsia="zh-CN"/>
              </w:rPr>
              <w:t xml:space="preserve">各供应商</w:t>
            </w:r>
            <w:r>
              <w:rPr>
                <w:rFonts w:hint="eastAsia" w:ascii="宋体" w:hAnsi="宋体" w:eastAsia="宋体" w:cs="宋体"/>
                <w:sz w:val="24"/>
                <w:szCs w:val="24"/>
                <w:highlight w:val="none"/>
              </w:rPr>
              <w:t xml:space="preserve">在投标时不得虚假响应和虚假承诺，否则将取消其投标资格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已中标的，将取消其中标资格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终止合同并没收履约保证金，如</w:t>
            </w:r>
            <w:r>
              <w:rPr>
                <w:rFonts w:hint="eastAsia" w:ascii="宋体" w:hAnsi="宋体" w:eastAsia="宋体" w:cs="宋体"/>
                <w:sz w:val="24"/>
                <w:szCs w:val="24"/>
                <w:highlight w:val="none"/>
                <w:lang w:eastAsia="zh-CN"/>
              </w:rPr>
              <w:t xml:space="preserve">给</w:t>
            </w:r>
            <w:r>
              <w:rPr>
                <w:rFonts w:hint="eastAsia" w:ascii="宋体" w:hAnsi="宋体" w:eastAsia="宋体" w:cs="宋体"/>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35</w:t>
            </w:r>
            <w:r>
              <w:rPr>
                <w:rFonts w:hint="eastAsia" w:ascii="宋体" w:hAnsi="宋体" w:cs="宋体"/>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jc w:val="center"/>
              <w:widowControl/>
              <w:rPr>
                <w:rFonts w:hint="eastAsia"/>
                <w:sz w:val="24"/>
                <w:szCs w:val="24"/>
                <w:highlight w:val="none"/>
              </w:rPr>
            </w:pPr>
            <w:r>
              <w:rPr>
                <w:rFonts w:hint="eastAsia"/>
                <w:sz w:val="24"/>
                <w:szCs w:val="24"/>
                <w:highlight w:val="none"/>
                <w:lang w:val="en-US" w:eastAsia="zh-CN"/>
              </w:rPr>
              <w:t xml:space="preserve">3</w:t>
            </w:r>
            <w:r/>
          </w:p>
        </w:tc>
        <w:tc>
          <w:tcPr>
            <w:tcMar>
              <w:left w:w="108" w:type="dxa"/>
              <w:top w:w="0" w:type="dxa"/>
              <w:right w:w="108" w:type="dxa"/>
              <w:bottom w:w="0" w:type="dxa"/>
            </w:tcMar>
            <w:tcW w:w="763" w:type="dxa"/>
            <w:vAlign w:val="center"/>
            <w:textDirection w:val="lrTb"/>
            <w:noWrap/>
          </w:tcPr>
          <w:p>
            <w:pPr>
              <w:widowControl/>
              <w:rPr>
                <w:rFonts w:hint="eastAsia"/>
                <w:sz w:val="24"/>
                <w:szCs w:val="24"/>
                <w:highlight w:val="none"/>
              </w:rPr>
            </w:pPr>
            <w:r>
              <w:rPr>
                <w:rFonts w:hint="eastAsia"/>
                <w:sz w:val="24"/>
                <w:szCs w:val="24"/>
                <w:highlight w:val="none"/>
                <w:lang w:val="en-US" w:eastAsia="zh-CN"/>
              </w:rPr>
              <w:t xml:space="preserve">业绩</w:t>
            </w:r>
            <w:r/>
          </w:p>
        </w:tc>
        <w:tc>
          <w:tcPr>
            <w:tcMar>
              <w:left w:w="108" w:type="dxa"/>
              <w:top w:w="0" w:type="dxa"/>
              <w:right w:w="108" w:type="dxa"/>
              <w:bottom w:w="0" w:type="dxa"/>
            </w:tcMar>
            <w:tcW w:w="7088" w:type="dxa"/>
            <w:vAlign w:val="center"/>
            <w:textDirection w:val="lrTb"/>
            <w:noWrap/>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供应商具有自2023年1月1日以来（以合同签订的时间为准），承接过类似本项目业绩的，每有一个得2分，最多得10分（</w:t>
            </w:r>
            <w:r>
              <w:rPr>
                <w:rFonts w:hint="eastAsia" w:ascii="宋体" w:hAnsi="宋体" w:eastAsia="宋体" w:cs="宋体"/>
                <w:b/>
                <w:bCs/>
                <w:sz w:val="24"/>
                <w:szCs w:val="24"/>
                <w:highlight w:val="none"/>
                <w:lang w:val="en-US" w:eastAsia="zh-CN"/>
              </w:rPr>
              <w:t xml:space="preserve">以合同原件及</w:t>
            </w:r>
            <w:r>
              <w:rPr>
                <w:rFonts w:hint="eastAsia" w:ascii="宋体" w:hAnsi="宋体" w:cs="宋体"/>
                <w:b/>
                <w:bCs/>
                <w:sz w:val="24"/>
                <w:szCs w:val="24"/>
                <w:highlight w:val="none"/>
                <w:lang w:val="en-US" w:eastAsia="zh-CN"/>
              </w:rPr>
              <w:t xml:space="preserve">对应</w:t>
            </w:r>
            <w:r>
              <w:rPr>
                <w:rFonts w:hint="eastAsia" w:ascii="宋体" w:hAnsi="宋体" w:eastAsia="宋体" w:cs="宋体"/>
                <w:b/>
                <w:bCs/>
                <w:sz w:val="24"/>
                <w:szCs w:val="24"/>
                <w:highlight w:val="none"/>
                <w:lang w:val="en-US" w:eastAsia="zh-CN"/>
              </w:rPr>
              <w:t xml:space="preserve">发票原件的扫描件为依据，否则不得分</w:t>
            </w:r>
            <w:r>
              <w:rPr>
                <w:rFonts w:hint="eastAsia" w:ascii="宋体" w:hAnsi="宋体" w:eastAsia="宋体" w:cs="宋体"/>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10分</w:t>
            </w:r>
            <w:r/>
          </w:p>
        </w:tc>
      </w:tr>
      <w:tr>
        <w:trPr>
          <w:jc w:val="center"/>
          <w:trHeight w:val="1638"/>
        </w:trPr>
        <w:tc>
          <w:tcPr>
            <w:tcMar>
              <w:left w:w="108" w:type="dxa"/>
              <w:top w:w="0" w:type="dxa"/>
              <w:right w:w="108" w:type="dxa"/>
              <w:bottom w:w="0" w:type="dxa"/>
            </w:tcMar>
            <w:tcW w:w="722" w:type="dxa"/>
            <w:vAlign w:val="center"/>
            <w:textDirection w:val="lrTb"/>
            <w:noWrap/>
          </w:tcPr>
          <w:p>
            <w:pPr>
              <w:contextualSpacing/>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Mar>
              <w:left w:w="108" w:type="dxa"/>
              <w:top w:w="0" w:type="dxa"/>
              <w:right w:w="108" w:type="dxa"/>
              <w:bottom w:w="0" w:type="dxa"/>
            </w:tcMar>
            <w:tcW w:w="763" w:type="dxa"/>
            <w:vAlign w:val="center"/>
            <w:textDirection w:val="lrTb"/>
            <w:noWrap/>
          </w:tcPr>
          <w:p>
            <w:pPr>
              <w:spacing w:line="360" w:lineRule="auto"/>
              <w:rPr>
                <w:rFonts w:hint="default" w:eastAsia="宋体"/>
                <w:sz w:val="24"/>
                <w:szCs w:val="24"/>
                <w:highlight w:val="none"/>
                <w:lang w:val="en-US" w:eastAsia="zh-CN"/>
              </w:rPr>
            </w:pPr>
            <w:r>
              <w:rPr>
                <w:rFonts w:hint="eastAsia"/>
                <w:sz w:val="24"/>
                <w:szCs w:val="24"/>
                <w:highlight w:val="none"/>
                <w:lang w:val="en-US" w:eastAsia="zh-CN"/>
              </w:rPr>
              <w:t xml:space="preserve">服务方案</w:t>
            </w:r>
            <w:r/>
          </w:p>
        </w:tc>
        <w:tc>
          <w:tcPr>
            <w:tcMar>
              <w:left w:w="108" w:type="dxa"/>
              <w:top w:w="0" w:type="dxa"/>
              <w:right w:w="108" w:type="dxa"/>
              <w:bottom w:w="0" w:type="dxa"/>
            </w:tcMar>
            <w:tcW w:w="7088" w:type="dxa"/>
            <w:vAlign w:val="center"/>
            <w:textDirection w:val="lrTb"/>
            <w:noWrap/>
          </w:tcPr>
          <w:p>
            <w:pPr>
              <w:ind w:left="0" w:firstLine="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1、供货</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提供的项目供货方案进行评分，方案至少包括</w:t>
            </w:r>
            <w:r>
              <w:rPr>
                <w:rFonts w:hint="eastAsia" w:ascii="宋体" w:hAnsi="宋体"/>
                <w:color w:val="auto"/>
                <w:sz w:val="24"/>
                <w:szCs w:val="24"/>
                <w:highlight w:val="none"/>
                <w:lang w:val="en-US" w:eastAsia="zh-CN"/>
              </w:rPr>
              <w:t xml:space="preserve">供货周期、运输方式、</w:t>
            </w:r>
            <w:r>
              <w:rPr>
                <w:rFonts w:hint="eastAsia" w:ascii="宋体" w:hAnsi="宋体"/>
                <w:color w:val="auto"/>
                <w:sz w:val="24"/>
                <w:highlight w:val="none"/>
              </w:rPr>
              <w:t xml:space="preserve">进度保证措施</w:t>
            </w:r>
            <w:r>
              <w:rPr>
                <w:rFonts w:hint="eastAsia" w:ascii="宋体" w:hAnsi="宋体" w:eastAsia="宋体" w:cs="宋体"/>
                <w:sz w:val="24"/>
                <w:szCs w:val="24"/>
                <w:highlight w:val="none"/>
                <w:lang w:val="en-US" w:eastAsia="zh-CN"/>
              </w:rPr>
              <w:t xml:space="preserve">、质量保证措施、安全保证措施等</w:t>
            </w:r>
            <w:r>
              <w:rPr>
                <w:rFonts w:hint="eastAsia" w:ascii="宋体" w:hAnsi="宋体" w:eastAsia="宋体" w:cs="宋体"/>
                <w:sz w:val="24"/>
                <w:szCs w:val="24"/>
                <w:highlight w:val="none"/>
                <w:lang w:val="zh-CN" w:eastAsia="zh-CN"/>
              </w:rPr>
              <w:t xml:space="preserve">。</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优于本项目采购需求的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满足本项目采购需求的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不满足</w:t>
            </w:r>
            <w:r>
              <w:rPr>
                <w:rFonts w:hint="eastAsia" w:ascii="宋体" w:hAnsi="宋体" w:eastAsia="宋体" w:cs="宋体"/>
                <w:sz w:val="24"/>
                <w:szCs w:val="24"/>
                <w:highlight w:val="none"/>
                <w:lang w:val="en-US" w:eastAsia="zh-CN"/>
              </w:rPr>
              <w:t xml:space="preserve">本项目采购需求或不提供的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eastAsia="zh-CN"/>
              </w:rPr>
              <w:t xml:space="preserve">。</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2、安装、调试和验收方案（</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根据</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提供的项目安装、调试和验收方案进行评分，方案至少包括安装、</w:t>
            </w:r>
            <w:r>
              <w:rPr>
                <w:rFonts w:hint="eastAsia" w:ascii="宋体" w:hAnsi="宋体" w:eastAsia="宋体" w:cs="宋体"/>
                <w:sz w:val="24"/>
                <w:szCs w:val="24"/>
                <w:highlight w:val="none"/>
                <w:lang w:val="zh-CN" w:eastAsia="zh-CN"/>
              </w:rPr>
              <w:t xml:space="preserve">调试过程及保障措施</w:t>
            </w:r>
            <w:r>
              <w:rPr>
                <w:rFonts w:hint="eastAsia" w:ascii="宋体" w:hAnsi="宋体" w:eastAsia="宋体" w:cs="宋体"/>
                <w:sz w:val="24"/>
                <w:szCs w:val="24"/>
                <w:highlight w:val="none"/>
                <w:lang w:val="zh-CN"/>
              </w:rPr>
              <w:t xml:space="preserve">、技术和人员力量</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eastAsia="zh-CN"/>
              </w:rPr>
              <w:t xml:space="preserve">验收过程及标准（</w:t>
            </w:r>
            <w:r>
              <w:rPr>
                <w:rFonts w:hint="eastAsia" w:ascii="宋体" w:hAnsi="宋体" w:eastAsia="宋体" w:cs="宋体"/>
                <w:sz w:val="24"/>
                <w:szCs w:val="24"/>
                <w:highlight w:val="none"/>
                <w:lang w:val="zh-CN"/>
              </w:rPr>
              <w:t xml:space="preserve">验收依据和相关的技术标准、验收的方法、组织形式、程序、注意事项、验收环节及内容等</w:t>
            </w:r>
            <w:r>
              <w:rPr>
                <w:rFonts w:hint="eastAsia" w:ascii="宋体" w:hAnsi="宋体" w:eastAsia="宋体" w:cs="宋体"/>
                <w:sz w:val="24"/>
                <w:szCs w:val="24"/>
                <w:highlight w:val="none"/>
                <w:lang w:val="zh-CN" w:eastAsia="zh-CN"/>
              </w:rPr>
              <w:t xml:space="preserve">）等。</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优于本项目采购需求的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满足本项目采购需求的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不满足</w:t>
            </w:r>
            <w:r>
              <w:rPr>
                <w:rFonts w:hint="eastAsia" w:ascii="宋体" w:hAnsi="宋体" w:eastAsia="宋体" w:cs="宋体"/>
                <w:sz w:val="24"/>
                <w:szCs w:val="24"/>
                <w:highlight w:val="none"/>
                <w:lang w:val="en-US" w:eastAsia="zh-CN"/>
              </w:rPr>
              <w:t xml:space="preserve">本项目采购需求或不提供的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eastAsia="zh-CN"/>
              </w:rPr>
              <w:t xml:space="preserve">。</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3、培训方案（</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根据</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提供的项目培训方案进行评分，方案至少包括</w:t>
            </w:r>
            <w:r>
              <w:rPr>
                <w:rFonts w:hint="eastAsia" w:ascii="宋体" w:hAnsi="宋体" w:eastAsiaTheme="minorEastAsia" w:cstheme="minorBidi"/>
                <w:color w:val="auto"/>
                <w:sz w:val="24"/>
                <w:szCs w:val="21"/>
                <w:highlight w:val="none"/>
                <w:lang w:val="zh-CN" w:eastAsia="zh-CN" w:bidi="ar-SA"/>
              </w:rPr>
              <w:t xml:space="preserve">培训内容、培训方式、培训时间等</w:t>
            </w:r>
            <w:r>
              <w:rPr>
                <w:rFonts w:hint="eastAsia" w:ascii="宋体" w:hAnsi="宋体" w:cstheme="minorBidi"/>
                <w:color w:val="auto"/>
                <w:sz w:val="24"/>
                <w:szCs w:val="21"/>
                <w:highlight w:val="none"/>
                <w:lang w:val="zh-CN" w:eastAsia="zh-CN" w:bidi="ar-SA"/>
              </w:rPr>
              <w:t xml:space="preserve">。</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优于本项目采购需求的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满足本项目采购需求的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不满足</w:t>
            </w:r>
            <w:r>
              <w:rPr>
                <w:rFonts w:hint="eastAsia" w:ascii="宋体" w:hAnsi="宋体" w:eastAsia="宋体" w:cs="宋体"/>
                <w:sz w:val="24"/>
                <w:szCs w:val="24"/>
                <w:highlight w:val="none"/>
                <w:lang w:val="en-US" w:eastAsia="zh-CN"/>
              </w:rPr>
              <w:t xml:space="preserve">本项目采购需求或不提供的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eastAsia="zh-CN"/>
              </w:rPr>
              <w:t xml:space="preserve">。</w:t>
            </w:r>
            <w:r/>
          </w:p>
          <w:p>
            <w:pPr>
              <w:ind w:left="0" w:firstLine="0"/>
              <w:spacing w:line="24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rPr>
              <w:t xml:space="preserve">售后服务</w:t>
            </w:r>
            <w:r>
              <w:rPr>
                <w:rFonts w:hint="eastAsia" w:ascii="宋体" w:hAnsi="宋体" w:cs="宋体"/>
                <w:sz w:val="24"/>
                <w:szCs w:val="24"/>
                <w:highlight w:val="none"/>
                <w:lang w:eastAsia="zh-CN"/>
              </w:rPr>
              <w:t xml:space="preserve">方案</w:t>
            </w: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numPr>
                <w:ilvl w:val="0"/>
                <w:numId w:val="0"/>
              </w:numPr>
              <w:spacing w:line="240" w:lineRule="auto"/>
              <w:rPr>
                <w:rFonts w:hint="eastAsia" w:ascii="宋体" w:hAnsi="宋体" w:eastAsia="宋体" w:cs="宋体"/>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售后服务方案进行评分，方案至少包括服务体系、服务响应时间，回访巡检方案、故障解决措施、技术人员保障、质保期满后备品配件价格</w:t>
            </w:r>
            <w:r>
              <w:rPr>
                <w:rFonts w:hint="eastAsia" w:ascii="宋体" w:hAnsi="宋体" w:cs="宋体"/>
                <w:bCs/>
                <w:color w:val="auto"/>
                <w:sz w:val="24"/>
                <w:szCs w:val="24"/>
                <w:highlight w:val="none"/>
                <w:lang w:eastAsia="zh-CN"/>
              </w:rPr>
              <w:t xml:space="preserve">等。</w:t>
            </w:r>
            <w:r/>
          </w:p>
          <w:p>
            <w:pPr>
              <w:numPr>
                <w:ilvl w:val="0"/>
                <w:numId w:val="0"/>
              </w:numP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优于本项目采购需求的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numPr>
                <w:ilvl w:val="0"/>
                <w:numId w:val="0"/>
              </w:numPr>
              <w:ind w:left="0" w:firstLine="0"/>
              <w:spacing w:line="24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方案</w:t>
            </w:r>
            <w:r>
              <w:rPr>
                <w:rFonts w:hint="eastAsia" w:ascii="宋体" w:hAnsi="宋体" w:cs="宋体"/>
                <w:sz w:val="24"/>
                <w:szCs w:val="24"/>
                <w:highlight w:val="none"/>
                <w:lang w:val="en-US" w:eastAsia="zh-CN"/>
              </w:rPr>
              <w:t xml:space="preserve">满足本项目采购需求的</w:t>
            </w:r>
            <w:r>
              <w:rPr>
                <w:rFonts w:hint="eastAsia" w:ascii="宋体" w:hAnsi="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方案不满足</w:t>
            </w:r>
            <w:r>
              <w:rPr>
                <w:rFonts w:hint="eastAsia" w:ascii="宋体" w:hAnsi="宋体" w:cs="宋体"/>
                <w:sz w:val="24"/>
                <w:szCs w:val="24"/>
                <w:highlight w:val="none"/>
                <w:lang w:val="en-US" w:eastAsia="zh-CN"/>
              </w:rPr>
              <w:t xml:space="preserve">本项目采购需求或不提供的</w:t>
            </w:r>
            <w:r>
              <w:rPr>
                <w:rFonts w:hint="eastAsia" w:ascii="宋体" w:hAnsi="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spacing w:line="240" w:lineRule="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应急方案（5</w:t>
            </w:r>
            <w:r>
              <w:rPr>
                <w:rFonts w:hint="eastAsia" w:ascii="宋体" w:hAnsi="宋体" w:cs="宋体"/>
                <w:sz w:val="24"/>
                <w:szCs w:val="24"/>
                <w:highlight w:val="none"/>
                <w:lang w:val="zh-CN" w:eastAsia="zh-CN"/>
              </w:rPr>
              <w:t xml:space="preserve">分</w:t>
            </w:r>
            <w:r>
              <w:rPr>
                <w:rFonts w:hint="eastAsia" w:ascii="宋体" w:hAnsi="宋体" w:cs="宋体"/>
                <w:sz w:val="24"/>
                <w:szCs w:val="24"/>
                <w:highlight w:val="none"/>
                <w:lang w:val="en-US" w:eastAsia="zh-CN"/>
              </w:rPr>
              <w:t xml:space="preserve">）</w:t>
            </w:r>
            <w:r/>
          </w:p>
          <w:p>
            <w:pPr>
              <w:numPr>
                <w:ilvl w:val="0"/>
                <w:numId w:val="0"/>
              </w:numPr>
              <w:spacing w:line="24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根据供应商提供的项目应急方案进行评分，方案至少包括</w:t>
            </w:r>
            <w:bookmarkStart w:id="174" w:name="OLE_LINK58"/>
            <w:r>
              <w:rPr>
                <w:rStyle w:val="888"/>
                <w:rFonts w:hint="eastAsia" w:hAnsi="宋体"/>
                <w:bCs/>
                <w:color w:val="auto"/>
                <w:sz w:val="24"/>
                <w:szCs w:val="24"/>
                <w:highlight w:val="none"/>
              </w:rPr>
              <w:t xml:space="preserve">应急响应机制</w:t>
            </w:r>
            <w:r>
              <w:rPr>
                <w:rStyle w:val="888"/>
                <w:rFonts w:hint="eastAsia" w:hAnsi="宋体" w:eastAsia="宋体"/>
                <w:bCs/>
                <w:color w:val="auto"/>
                <w:sz w:val="24"/>
                <w:szCs w:val="24"/>
                <w:highlight w:val="none"/>
                <w:lang w:eastAsia="zh-CN"/>
              </w:rPr>
              <w:t xml:space="preserve">、</w:t>
            </w:r>
            <w:r>
              <w:rPr>
                <w:rStyle w:val="888"/>
                <w:rFonts w:hint="eastAsia" w:hAnsi="宋体"/>
                <w:bCs/>
                <w:color w:val="auto"/>
                <w:sz w:val="24"/>
                <w:szCs w:val="24"/>
                <w:highlight w:val="none"/>
              </w:rPr>
              <w:t xml:space="preserve">应急操作支持</w:t>
            </w:r>
            <w:r>
              <w:rPr>
                <w:rStyle w:val="888"/>
                <w:rFonts w:hint="eastAsia" w:hAnsi="宋体" w:eastAsia="宋体"/>
                <w:bCs/>
                <w:color w:val="auto"/>
                <w:sz w:val="24"/>
                <w:szCs w:val="24"/>
                <w:highlight w:val="none"/>
                <w:lang w:eastAsia="zh-CN"/>
              </w:rPr>
              <w:t xml:space="preserve">等</w:t>
            </w:r>
            <w:r>
              <w:rPr>
                <w:rStyle w:val="888"/>
                <w:rFonts w:hint="eastAsia" w:hAnsi="宋体"/>
                <w:bCs/>
                <w:color w:val="auto"/>
                <w:sz w:val="24"/>
                <w:szCs w:val="24"/>
                <w:highlight w:val="none"/>
              </w:rPr>
              <w:t xml:space="preserve">。</w:t>
            </w:r>
            <w:bookmarkEnd w:id="174"/>
            <w:r/>
            <w:r/>
          </w:p>
          <w:p>
            <w:pPr>
              <w:numPr>
                <w:ilvl w:val="0"/>
                <w:numId w:val="0"/>
              </w:numP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en-US" w:eastAsia="zh-CN"/>
              </w:rPr>
              <w:t xml:space="preserve">优于本项目采购需求的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p>
            <w:pPr>
              <w:numPr>
                <w:ilvl w:val="0"/>
                <w:numId w:val="0"/>
              </w:numPr>
              <w:ind w:left="0" w:firstLine="0"/>
              <w:spacing w:line="24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方案</w:t>
            </w:r>
            <w:r>
              <w:rPr>
                <w:rFonts w:hint="eastAsia" w:ascii="宋体" w:hAnsi="宋体" w:cs="宋体"/>
                <w:sz w:val="24"/>
                <w:szCs w:val="24"/>
                <w:highlight w:val="none"/>
                <w:lang w:val="en-US" w:eastAsia="zh-CN"/>
              </w:rPr>
              <w:t xml:space="preserve">满足本项目采购需求的</w:t>
            </w:r>
            <w:r>
              <w:rPr>
                <w:rFonts w:hint="eastAsia" w:ascii="宋体" w:hAnsi="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分；</w:t>
            </w:r>
            <w:r/>
          </w:p>
          <w:p>
            <w:pPr>
              <w:numPr>
                <w:ilvl w:val="0"/>
                <w:numId w:val="0"/>
              </w:numPr>
              <w:ind w:left="0" w:firstLine="0"/>
              <w:spacing w:line="24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方案不满足</w:t>
            </w:r>
            <w:r>
              <w:rPr>
                <w:rFonts w:hint="eastAsia" w:ascii="宋体" w:hAnsi="宋体" w:cs="宋体"/>
                <w:sz w:val="24"/>
                <w:szCs w:val="24"/>
                <w:highlight w:val="none"/>
                <w:lang w:val="en-US" w:eastAsia="zh-CN"/>
              </w:rPr>
              <w:t xml:space="preserve">本项目采购需求或不提供的</w:t>
            </w:r>
            <w:r>
              <w:rPr>
                <w:rFonts w:hint="eastAsia" w:ascii="宋体" w:hAnsi="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lang w:val="zh-CN" w:eastAsia="zh-CN"/>
              </w:rPr>
              <w:t xml:space="preserve">分。</w:t>
            </w:r>
            <w:r/>
          </w:p>
          <w:p>
            <w:pPr>
              <w:numPr>
                <w:ilvl w:val="0"/>
                <w:numId w:val="0"/>
              </w:numPr>
              <w:ind w:left="0" w:firstLine="0"/>
              <w:spacing w:line="240" w:lineRule="auto"/>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分</w:t>
            </w:r>
            <w:bookmarkEnd w:id="173"/>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716"/>
        <w:jc w:val="center"/>
        <w:spacing w:beforeAutospacing="0" w:afterAutospacing="0"/>
        <w:rPr>
          <w:rFonts w:hint="eastAsia" w:ascii="宋体" w:hAnsi="宋体" w:eastAsia="宋体" w:cs="宋体"/>
          <w:b/>
          <w:color w:val="auto"/>
          <w:sz w:val="72"/>
          <w:szCs w:val="72"/>
          <w:highlight w:val="none"/>
        </w:rPr>
      </w:pPr>
      <w:r/>
      <w:bookmarkStart w:id="175" w:name="_Toc120614282"/>
      <w:r/>
      <w:bookmarkEnd w:id="175"/>
      <w:r/>
      <w:bookmarkStart w:id="176" w:name="_Toc49090576"/>
      <w:r/>
      <w:bookmarkEnd w:id="176"/>
      <w:r/>
      <w:bookmarkStart w:id="177" w:name="_Toc26554094"/>
      <w:r/>
      <w:bookmarkStart w:id="178" w:name="_Hlt26955039"/>
      <w:r/>
      <w:bookmarkStart w:id="179" w:name="_Hlt26671244"/>
      <w:r/>
      <w:r/>
    </w:p>
    <w:p>
      <w:pPr>
        <w:pStyle w:val="71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1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1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w:t>
      </w:r>
      <w:r/>
    </w:p>
    <w:p>
      <w:pPr>
        <w:pStyle w:val="71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二、上一年度的财务状况报表（供应商2025年财务状况表未出的，可使用2024年度报表，</w:t>
      </w:r>
      <w:r>
        <w:rPr>
          <w:rFonts w:hint="eastAsia" w:ascii="宋体" w:hAnsi="宋体" w:cs="宋体"/>
          <w:i/>
          <w:sz w:val="24"/>
          <w:szCs w:val="24"/>
          <w:highlight w:val="none"/>
          <w:u w:val="single"/>
        </w:rPr>
        <w:t xml:space="preserve">至少提供资产负债表、利润表、现金流量表</w:t>
      </w:r>
      <w:r>
        <w:rPr>
          <w:rFonts w:hint="eastAsia" w:ascii="宋体" w:hAnsi="宋体" w:eastAsia="宋体" w:cs="宋体"/>
          <w:i/>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71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71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71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71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六、特定资格要求的证明文件（如果本项目设置特定资格要求，则需要提供）</w:t>
      </w:r>
      <w:r/>
    </w:p>
    <w:p>
      <w:pPr>
        <w:pStyle w:val="71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七、法人授权书</w:t>
      </w:r>
      <w:r/>
    </w:p>
    <w:p>
      <w:pPr>
        <w:pStyle w:val="71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八、投标函</w:t>
      </w:r>
      <w:r/>
    </w:p>
    <w:p>
      <w:pPr>
        <w:pStyle w:val="71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九、</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71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二</w:t>
      </w:r>
      <w:r>
        <w:rPr>
          <w:rFonts w:hint="eastAsia" w:ascii="宋体" w:hAnsi="宋体" w:eastAsia="宋体" w:cs="宋体"/>
          <w:i/>
          <w:iCs w:val="0"/>
          <w:color w:val="auto"/>
          <w:highlight w:val="none"/>
          <w:u w:val="single"/>
        </w:rPr>
        <w:t xml:space="preserve">、投标分项报价表</w:t>
      </w:r>
      <w:r/>
    </w:p>
    <w:p>
      <w:pPr>
        <w:pStyle w:val="716"/>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716"/>
        <w:ind w:firstLine="480"/>
        <w:jc w:val="both"/>
        <w:keepLines w:val="0"/>
        <w:keepNext w:val="0"/>
        <w:pageBreakBefore w:val="0"/>
        <w:spacing w:beforeAutospacing="0" w:afterAutospacing="0" w:line="50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71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、开标一览表</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十六、服务方案等</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w:t>
      </w:r>
      <w:r>
        <w:rPr>
          <w:rFonts w:hint="eastAsia" w:ascii="宋体" w:hAnsi="宋体" w:eastAsia="宋体" w:cs="宋体"/>
          <w:i w:val="0"/>
          <w:iCs/>
          <w:color w:val="auto"/>
          <w:highlight w:val="none"/>
          <w:u w:val="none"/>
          <w:lang w:val="en-US" w:eastAsia="zh-CN"/>
        </w:rPr>
        <w:t xml:space="preserve">亭湖区</w:t>
      </w:r>
      <w:r>
        <w:rPr>
          <w:rFonts w:hint="eastAsia" w:ascii="宋体" w:hAnsi="宋体" w:eastAsia="宋体" w:cs="宋体"/>
          <w:i w:val="0"/>
          <w:iCs/>
          <w:color w:val="auto"/>
          <w:highlight w:val="none"/>
          <w:u w:val="none"/>
        </w:rPr>
        <w:t xml:space="preserve">政府采购事前信用承诺书</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十八、其他</w:t>
      </w:r>
      <w:r/>
    </w:p>
    <w:p>
      <w:pPr>
        <w:pStyle w:val="71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rPr>
          <w:rFonts w:hint="default" w:eastAsia="黑体"/>
          <w:color w:val="auto"/>
          <w:highlight w:val="non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eastAsia="zh-CN"/>
        </w:rPr>
        <w:t xml:space="preserve">上一年度</w:t>
      </w:r>
      <w:r>
        <w:rPr>
          <w:rFonts w:hint="eastAsia" w:ascii="黑体" w:hAnsi="宋体" w:eastAsia="黑体" w:cs="黑体"/>
          <w:i/>
          <w:color w:val="auto"/>
          <w:sz w:val="32"/>
          <w:szCs w:val="32"/>
          <w:highlight w:val="none"/>
          <w:u w:val="single"/>
        </w:rPr>
        <w:t xml:space="preserve">的财务状况</w:t>
      </w:r>
      <w:r>
        <w:rPr>
          <w:rFonts w:hint="eastAsia" w:ascii="黑体" w:hAnsi="宋体" w:eastAsia="黑体" w:cs="黑体"/>
          <w:i/>
          <w:color w:val="auto"/>
          <w:sz w:val="32"/>
          <w:szCs w:val="32"/>
          <w:highlight w:val="none"/>
          <w:u w:val="single"/>
          <w:lang w:eastAsia="zh-CN"/>
        </w:rPr>
        <w:t xml:space="preserve">报</w:t>
      </w:r>
      <w:r>
        <w:rPr>
          <w:rFonts w:hint="eastAsia" w:ascii="黑体" w:hAnsi="宋体" w:eastAsia="黑体" w:cs="黑体"/>
          <w:i/>
          <w:color w:val="auto"/>
          <w:sz w:val="32"/>
          <w:szCs w:val="32"/>
          <w:highlight w:val="none"/>
          <w:u w:val="single"/>
          <w:lang w:val="en-US" w:eastAsia="zh-CN"/>
        </w:rPr>
        <w:t xml:space="preserve">表</w:t>
      </w:r>
      <w:r/>
    </w:p>
    <w:p>
      <w:pPr>
        <w:pStyle w:val="71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供应商2025年财务状况表未出的，可使用2024年度报表，至少提供资产负债表、利润表、现金流量表，成立不满一年无需提供</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1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1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16"/>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1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16"/>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六、特定资格要求的证明文件</w:t>
      </w:r>
      <w:r/>
    </w:p>
    <w:p>
      <w:pPr>
        <w:pStyle w:val="71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6"/>
        <w:jc w:val="center"/>
        <w:spacing w:beforeAutospacing="0" w:afterAutospacing="0"/>
        <w:rPr>
          <w:rFonts w:ascii="黑体" w:hAnsi="宋体" w:eastAsia="黑体" w:cs="黑体"/>
          <w:i/>
          <w:color w:val="auto"/>
          <w:sz w:val="32"/>
          <w:szCs w:val="32"/>
          <w:highlight w:val="none"/>
          <w:u w:val="single"/>
        </w:rPr>
      </w:pPr>
      <w:r/>
      <w:bookmarkStart w:id="180" w:name="_Toc120614284"/>
      <w:r/>
      <w:r/>
    </w:p>
    <w:p>
      <w:pPr>
        <w:pStyle w:val="71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6"/>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七、法人授权书</w:t>
      </w:r>
      <w:r/>
    </w:p>
    <w:p>
      <w:pPr>
        <w:pStyle w:val="71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JSZC-320902-YCSJ-G2026-0004</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1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1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16"/>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1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1" w:name="_格式3__银行出具的资信证明"/>
      <w:r/>
      <w:bookmarkStart w:id="182" w:name="_Hlt26671380"/>
      <w:r/>
      <w:bookmarkStart w:id="183" w:name="_Hlt26955070"/>
      <w:r>
        <w:rPr>
          <w:rFonts w:ascii="Times New Roman" w:hAnsi="Times New Roman"/>
          <w:color w:val="auto"/>
          <w:highlight w:val="none"/>
          <w:u w:val="single"/>
        </w:rPr>
        <w:t xml:space="preserve">                                         </w:t>
      </w:r>
      <w:r/>
    </w:p>
    <w:p>
      <w:pPr>
        <w:pStyle w:val="716"/>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6"/>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716"/>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16"/>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rPr>
        <w:t xml:space="preserve">八、投标函</w:t>
      </w:r>
      <w:r/>
    </w:p>
    <w:p>
      <w:pPr>
        <w:pStyle w:val="716"/>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盐城市亭湖区住房和城乡建设局 </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JSZC-320902-YCSJ-G2026-0004</w:t>
      </w:r>
      <w:r>
        <w:rPr>
          <w:rFonts w:hint="eastAsia" w:ascii="宋体" w:hAnsi="宋体" w:eastAsia="宋体" w:cs="宋体"/>
          <w:color w:val="auto"/>
          <w:highlight w:val="none"/>
        </w:rPr>
        <w:t xml:space="preserve">号招标文件，正式授权下述签字人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或机打签名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_________________(姓名)代表我方______________（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bookmarkStart w:id="198" w:name="_GoBack"/>
      <w:r/>
      <w:bookmarkEnd w:id="198"/>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6"/>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71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716"/>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盐城市亭湖区住房和城乡建设局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JSZC-320902-YCSJ-G2026-0004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亭湖区城市排水防涝基础设施改造提升工程-排水防涝设备采购项目</w:t>
      </w:r>
      <w:r>
        <w:rPr>
          <w:rFonts w:hint="eastAsia" w:ascii="宋体" w:hAnsi="宋体" w:eastAsia="宋体" w:cs="宋体"/>
          <w:color w:val="auto"/>
          <w:sz w:val="24"/>
          <w:szCs w:val="24"/>
          <w:highlight w:val="none"/>
          <w:u w:val="single"/>
          <w:lang w:val="en-US" w:eastAsia="zh-CN" w:bidi="ar"/>
        </w:rPr>
        <w:t xml:space="preserve">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716"/>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十、残疾人福利性单位声明函</w:t>
      </w:r>
      <w:r/>
    </w:p>
    <w:p>
      <w:pPr>
        <w:pStyle w:val="71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lang w:val="en-US" w:eastAsia="zh-CN"/>
        </w:rPr>
        <w:t xml:space="preserve"> 盐城市亭湖区住房和城乡建设局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JSZC-320902-YCSJ-G2026-0004</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亭湖区城市排水防涝基础设施改造提升工程-排水防涝设备采购项目</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auto"/>
          <w:highlight w:val="none"/>
        </w:rPr>
        <w:t xml:space="preserve">。</w:t>
      </w:r>
      <w:r/>
    </w:p>
    <w:p>
      <w:pPr>
        <w:pStyle w:val="71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6"/>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6"/>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16"/>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6"/>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6"/>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6"/>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t xml:space="preserve"> </w:t>
      </w:r>
      <w:r/>
    </w:p>
    <w:p>
      <w:pPr>
        <w:pStyle w:val="695"/>
        <w:ind w:left="1537"/>
        <w:spacing w:before="168" w:line="207" w:lineRule="auto"/>
        <w:rPr>
          <w:spacing w:val="27"/>
          <w:sz w:val="39"/>
          <w:szCs w:val="39"/>
          <w:highlight w:val="none"/>
        </w:rPr>
      </w:pPr>
      <w:r>
        <w:rPr>
          <w:spacing w:val="27"/>
          <w:sz w:val="39"/>
          <w:szCs w:val="39"/>
          <w:highlight w:val="none"/>
        </w:rPr>
      </w:r>
      <w:r/>
    </w:p>
    <w:p>
      <w:pPr>
        <w:pStyle w:val="716"/>
        <w:ind w:left="0" w:right="0"/>
        <w:jc w:val="center"/>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716"/>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716"/>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71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71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71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716"/>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716"/>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71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716"/>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16"/>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716"/>
        <w:jc w:val="center"/>
        <w:spacing w:beforeAutospacing="0" w:afterAutospacing="0" w:line="0" w:lineRule="atLeast"/>
        <w:rPr>
          <w:highlight w:val="none"/>
        </w:rPr>
      </w:pPr>
      <w:r>
        <w:rPr>
          <w:highlight w:val="none"/>
        </w:rPr>
        <w:t xml:space="preserve"> </w:t>
      </w:r>
      <w:r/>
    </w:p>
    <w:p>
      <w:pPr>
        <w:pStyle w:val="71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、分项报价表</w:t>
      </w:r>
      <w:r/>
    </w:p>
    <w:p>
      <w:pPr>
        <w:pStyle w:val="71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JSZC-320902-YCSJ-G2026-0004</w:t>
      </w:r>
      <w:r/>
    </w:p>
    <w:p>
      <w:pPr>
        <w:pStyle w:val="71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项目名称：亭湖区城市排水防涝基础设施改造提升工程-排水防涝设备采购项目</w:t>
      </w:r>
      <w:r/>
    </w:p>
    <w:tbl>
      <w:tblPr>
        <w:tblStyle w:val="690"/>
        <w:tblW w:w="495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8"/>
        <w:gridCol w:w="2079"/>
        <w:gridCol w:w="1551"/>
        <w:gridCol w:w="705"/>
        <w:gridCol w:w="735"/>
        <w:gridCol w:w="1485"/>
        <w:gridCol w:w="1273"/>
        <w:gridCol w:w="719"/>
      </w:tblGrid>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拖拽式一体化水泵</w:t>
            </w:r>
            <w:r/>
          </w:p>
        </w:tc>
        <w:tc>
          <w:tcPr>
            <w:shd w:val="clear" w:color="auto" w:fill="auto"/>
            <w:tcBorders>
              <w:top w:val="single" w:color="000000" w:sz="4" w:space="0"/>
              <w:left w:val="single" w:color="000000" w:sz="4" w:space="0"/>
              <w:right w:val="single" w:color="000000" w:sz="4" w:space="0"/>
            </w:tcBorders>
            <w:tcW w:w="839" w:type="pct"/>
            <w:vAlign w:val="center"/>
            <w:vMerge w:val="restart"/>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详见招标文件第四章 采购需求</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6寸柴油机水泵</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6寸移动式柴油机排水泵车</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便携式大流量排水单元</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防护栏</w:t>
            </w:r>
            <w:r/>
          </w:p>
        </w:tc>
        <w:tc>
          <w:tcPr>
            <w:shd w:val="clear" w:color="auto" w:fill="auto"/>
            <w:tcBorders>
              <w:left w:val="single" w:color="000000" w:sz="4" w:space="0"/>
              <w:right w:val="single" w:color="000000" w:sz="4" w:space="0"/>
            </w:tcBorders>
            <w:tcW w:w="839"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总计：人民币（大写）：                小写：</w:t>
            </w:r>
            <w:r/>
          </w:p>
        </w:tc>
      </w:tr>
    </w:tbl>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auto"/>
          <w:sz w:val="24"/>
          <w:szCs w:val="24"/>
          <w:highlight w:val="none"/>
        </w:rPr>
        <w:t xml:space="preserve">注：1、</w:t>
      </w:r>
      <w:r>
        <w:rPr>
          <w:rFonts w:hint="eastAsia" w:ascii="宋体" w:hAnsi="宋体" w:eastAsia="宋体" w:cs="宋体"/>
          <w:i w:val="0"/>
          <w:iCs w:val="0"/>
          <w:color w:val="000000"/>
          <w:sz w:val="24"/>
          <w:szCs w:val="24"/>
          <w:highlight w:val="none"/>
          <w:u w:val="none"/>
          <w:lang w:val="en-US" w:eastAsia="zh-CN" w:bidi="ar"/>
        </w:rPr>
        <w:t xml:space="preserve">供应商根据现场实际情况、采购人提供的采购需求、自身实力、结合市场行情报价，此报价应包括为完成招标文件中的所有内容。</w:t>
      </w:r>
      <w:r>
        <w:rPr>
          <w:rFonts w:hint="eastAsia" w:ascii="宋体" w:hAnsi="宋体" w:eastAsia="宋体" w:cs="宋体"/>
          <w:i w:val="0"/>
          <w:iCs w:val="0"/>
          <w:color w:val="000000"/>
          <w:sz w:val="24"/>
          <w:szCs w:val="24"/>
          <w:highlight w:val="none"/>
          <w:u w:val="none"/>
          <w:lang w:val="en-US" w:eastAsia="zh-CN" w:bidi="ar"/>
        </w:rPr>
        <w:t xml:space="preserve">供应商应充分考虑为完成上述内容所必须的全部货物并进行相关服务所需的所有费用，即主要包括（但不限于）：货物费用（含全套设备、辅材、配件、附件、备品备件、专用工具、技术资料等）、劳务费、清洁费、包装费、运杂费（含运输费）、装卸费、调试费、保修费、保险费、配合费、安装费、检测费、技术（含操作、维护等）培训及售后服务费、管理费、税金、利润、不可预见费及其他一切相关费用等所需的全部费用，凡漏项或少计均视为优惠，采购人不另行增加费用。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供货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690"/>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4" w:name="_Hlt26955054"/>
      <w:r>
        <w:rPr>
          <w:rFonts w:hint="eastAsia" w:ascii="黑体" w:hAnsi="宋体" w:eastAsia="黑体" w:cs="黑体"/>
          <w:b/>
          <w:color w:val="auto"/>
          <w:sz w:val="32"/>
          <w:szCs w:val="32"/>
          <w:highlight w:val="none"/>
        </w:rPr>
        <w:br w:type="page" w:clear="all"/>
      </w:r>
      <w:r/>
    </w:p>
    <w:p>
      <w:pPr>
        <w:pStyle w:val="716"/>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690"/>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bookmarkStart w:id="185" w:name="_Hlt26580838"/>
            <w:r/>
            <w:bookmarkStart w:id="186" w:name="_Hlt26671343"/>
            <w:r/>
            <w:bookmarkStart w:id="187" w:name="_Hlt26671372"/>
            <w:r/>
            <w:bookmarkStart w:id="188" w:name="_Hlt26609391"/>
            <w:r/>
            <w:bookmarkStart w:id="189" w:name="_Hlt26782999"/>
            <w:r/>
            <w:bookmarkStart w:id="190" w:name="_Hlt26955056"/>
            <w:r/>
            <w:bookmarkStart w:id="191" w:name="_Hlt24879081"/>
            <w:r/>
            <w:bookmarkStart w:id="192" w:name="_Hlt26955064"/>
            <w:r>
              <w:rPr>
                <w:rFonts w:hint="eastAsia" w:ascii="宋体" w:hAnsi="宋体" w:eastAsia="宋体" w:cs="宋体"/>
                <w:color w:val="auto"/>
                <w:highlight w:val="none"/>
              </w:rPr>
              <w:t xml:space="preserve">序号</w:t>
            </w:r>
            <w:bookmarkEnd w:id="185"/>
            <w:r/>
            <w:bookmarkEnd w:id="186"/>
            <w:r/>
            <w:bookmarkEnd w:id="187"/>
            <w:r/>
            <w:bookmarkEnd w:id="188"/>
            <w:r/>
            <w:bookmarkEnd w:id="189"/>
            <w:r/>
            <w:bookmarkEnd w:id="190"/>
            <w:r/>
            <w:bookmarkEnd w:id="191"/>
            <w:r/>
            <w:bookmarkEnd w:id="192"/>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both"/>
        <w:spacing w:beforeAutospacing="0" w:afterAutospacing="0" w:line="480" w:lineRule="auto"/>
        <w:rPr>
          <w:color w:val="auto"/>
          <w:highlight w:val="none"/>
        </w:rPr>
      </w:pPr>
      <w:r>
        <w:rPr>
          <w:color w:val="auto"/>
          <w:highlight w:val="none"/>
        </w:rPr>
        <w:t xml:space="preserve"> </w:t>
      </w:r>
      <w:r/>
    </w:p>
    <w:p>
      <w:pPr>
        <w:pStyle w:val="716"/>
        <w:jc w:val="both"/>
        <w:spacing w:beforeAutospacing="0" w:afterAutospacing="0" w:line="480" w:lineRule="auto"/>
        <w:rPr>
          <w:color w:val="auto"/>
          <w:highlight w:val="none"/>
        </w:rPr>
      </w:pPr>
      <w:r>
        <w:rPr>
          <w:color w:val="auto"/>
          <w:highlight w:val="none"/>
        </w:rPr>
        <w:t xml:space="preserve"> </w:t>
      </w:r>
      <w:r/>
    </w:p>
    <w:p>
      <w:pPr>
        <w:pStyle w:val="716"/>
        <w:jc w:val="center"/>
        <w:spacing w:beforeAutospacing="0" w:afterAutospacing="0"/>
        <w:rPr>
          <w:color w:val="auto"/>
          <w:highlight w:val="none"/>
        </w:rPr>
      </w:pPr>
      <w:r/>
      <w:bookmarkStart w:id="193" w:name="_Hlt26955066"/>
      <w:r/>
      <w:bookmarkStart w:id="194" w:name="_Hlt26609389"/>
      <w:r/>
      <w:bookmarkStart w:id="195" w:name="_格式2__法定代表人授权书"/>
      <w:r/>
      <w:bookmarkStart w:id="196" w:name="_Hlt26671374"/>
      <w:r/>
      <w:bookmarkStart w:id="197" w:name="_Toc462564146"/>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716"/>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spacing w:beforeAutospacing="0" w:afterAutospacing="0"/>
        <w:rPr>
          <w:rFonts w:hint="eastAsia" w:ascii="宋体" w:hAnsi="宋体" w:eastAsia="宋体" w:cs="宋体"/>
          <w:color w:val="auto"/>
          <w:highlight w:val="none"/>
        </w:rPr>
      </w:pPr>
      <w:r>
        <w:rPr>
          <w:rFonts w:hint="eastAsia" w:eastAsia="宋体"/>
          <w:highlight w:val="none"/>
          <w:lang w:eastAsia="zh-CN"/>
        </w:rPr>
        <w:t xml:space="preserve">供应商</w:t>
      </w:r>
      <w:r>
        <w:rPr>
          <w:rFonts w:hint="eastAsia"/>
          <w:highlight w:val="none"/>
        </w:rPr>
        <w:t xml:space="preserve">全称（CA公章）：</w:t>
      </w:r>
      <w:r/>
    </w:p>
    <w:p>
      <w:pPr>
        <w:pStyle w:val="71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亭湖区城市排水防涝基础设施改造提升工程-排水防涝设备采购项目</w:t>
      </w:r>
      <w:r/>
    </w:p>
    <w:p>
      <w:pPr>
        <w:pStyle w:val="71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JSZC-320902-YCSJ-G2026-0004</w:t>
      </w:r>
      <w:r/>
    </w:p>
    <w:p>
      <w:pPr>
        <w:pStyle w:val="71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690"/>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81"/>
              <w:ind w:firstLine="0"/>
              <w:jc w:val="center"/>
              <w:spacing w:line="240" w:lineRule="auto"/>
              <w:rPr>
                <w:highlight w:val="none"/>
              </w:rPr>
            </w:pPr>
            <w:r>
              <w:rPr>
                <w:rFonts w:hint="eastAsia"/>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81"/>
              <w:ind w:firstLine="0"/>
              <w:rPr>
                <w:highlight w:val="none"/>
              </w:rPr>
            </w:pPr>
            <w:r>
              <w:rPr>
                <w:rFonts w:hint="eastAsia"/>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highlight w:val="none"/>
              </w:rPr>
              <w:pBdr>
                <w:top w:val="none" w:color="000000" w:sz="0" w:space="0"/>
                <w:left w:val="none" w:color="000000" w:sz="0" w:space="0"/>
                <w:bottom w:val="none" w:color="000000" w:sz="0" w:space="0"/>
                <w:right w:val="none" w:color="000000" w:sz="0" w:space="0"/>
              </w:pBdr>
            </w:pPr>
            <w:r>
              <w:rPr>
                <w:sz w:val="24"/>
                <w:highlight w:val="none"/>
              </w:rPr>
              <w:t xml:space="preserve">报价（大写）：</w:t>
            </w:r>
            <w:r/>
          </w:p>
        </w:tc>
      </w:tr>
    </w:tbl>
    <w:p>
      <w:pPr>
        <w:pStyle w:val="881"/>
        <w:ind w:firstLine="480"/>
        <w:rPr>
          <w:highlight w:val="none"/>
        </w:rPr>
      </w:pPr>
      <w:r>
        <w:rPr>
          <w:rFonts w:hint="eastAsia"/>
          <w:highlight w:val="none"/>
        </w:rPr>
        <w:t xml:space="preserve"> </w:t>
      </w:r>
      <w:r/>
    </w:p>
    <w:p>
      <w:pPr>
        <w:pStyle w:val="716"/>
        <w:ind w:firstLine="480"/>
        <w:jc w:val="right"/>
        <w:spacing w:beforeAutospacing="0" w:afterAutospacing="0"/>
        <w:rPr>
          <w:rFonts w:hint="eastAsia"/>
          <w:color w:val="auto"/>
          <w:highlight w:val="none"/>
        </w:rPr>
      </w:pPr>
      <w:r>
        <w:rPr>
          <w:rFonts w:hint="eastAsia"/>
          <w:highlight w:val="none"/>
        </w:rPr>
        <w:t xml:space="preserve">                                         日期：</w:t>
      </w:r>
      <w:r>
        <w:rPr>
          <w:rFonts w:hint="eastAsia"/>
          <w:highlight w:val="none"/>
          <w:u w:val="single"/>
        </w:rPr>
        <w:t xml:space="preserve">  </w:t>
      </w:r>
      <w:r>
        <w:rPr>
          <w:rFonts w:hint="eastAsia" w:eastAsia="宋体"/>
          <w:highlight w:val="none"/>
          <w:u w:val="single"/>
          <w:lang w:val="en-US" w:eastAsia="zh-CN"/>
        </w:rPr>
        <w:t xml:space="preserve">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eastAsia="宋体"/>
          <w:highlight w:val="none"/>
          <w:u w:val="single"/>
          <w:lang w:val="en-US" w:eastAsia="zh-CN"/>
        </w:rPr>
        <w:t xml:space="preserve">  </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eastAsia="宋体"/>
          <w:highlight w:val="none"/>
          <w:u w:val="single"/>
          <w:lang w:val="en-US" w:eastAsia="zh-CN"/>
        </w:rPr>
        <w:t xml:space="preserve">  </w:t>
      </w:r>
      <w:r>
        <w:rPr>
          <w:rFonts w:hint="eastAsia"/>
          <w:highlight w:val="none"/>
          <w:u w:val="single"/>
        </w:rPr>
        <w:t xml:space="preserve"> </w:t>
      </w:r>
      <w:r>
        <w:rPr>
          <w:rFonts w:hint="eastAsia"/>
          <w:highlight w:val="none"/>
        </w:rPr>
        <w:t xml:space="preserve">日</w:t>
      </w:r>
      <w:r/>
    </w:p>
    <w:p>
      <w:pPr>
        <w:pStyle w:val="7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十六、服务方案等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24"/>
          <w:highlight w:val="none"/>
        </w:rPr>
        <w:outlineLvl w:val="1"/>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、盐城市</w:t>
      </w:r>
      <w:r>
        <w:rPr>
          <w:rFonts w:hint="eastAsia" w:ascii="宋体" w:hAnsi="宋体" w:eastAsia="宋体" w:cs="宋体"/>
          <w:color w:val="auto"/>
          <w:sz w:val="32"/>
          <w:szCs w:val="32"/>
          <w:highlight w:val="none"/>
          <w:lang w:val="en-US" w:eastAsia="zh-CN"/>
        </w:rPr>
        <w:t xml:space="preserve">亭湖区</w:t>
      </w:r>
      <w:r>
        <w:rPr>
          <w:rFonts w:hint="eastAsia" w:ascii="宋体" w:hAnsi="宋体" w:eastAsia="宋体" w:cs="宋体"/>
          <w:color w:val="auto"/>
          <w:sz w:val="32"/>
          <w:szCs w:val="32"/>
          <w:highlight w:val="non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（八）本人已认真阅读了上述承诺，并向本单位员工作了宣传教育。</w:t>
      </w:r>
      <w:r/>
    </w:p>
    <w:p>
      <w:pPr>
        <w:pStyle w:val="726"/>
        <w:rPr>
          <w:highlight w:val="none"/>
        </w:rPr>
      </w:pPr>
      <w:r>
        <w:rPr>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77"/>
      <w:r/>
      <w:bookmarkEnd w:id="178"/>
      <w:r/>
      <w:bookmarkEnd w:id="179"/>
      <w:r/>
      <w:bookmarkEnd w:id="180"/>
      <w:r/>
      <w:bookmarkEnd w:id="181"/>
      <w:r/>
      <w:bookmarkEnd w:id="182"/>
      <w:r/>
      <w:bookmarkEnd w:id="183"/>
      <w:r/>
      <w:bookmarkEnd w:id="184"/>
      <w:r/>
      <w:bookmarkEnd w:id="193"/>
      <w:r/>
      <w:bookmarkEnd w:id="194"/>
      <w:r/>
      <w:bookmarkEnd w:id="195"/>
      <w:r/>
      <w:bookmarkEnd w:id="196"/>
      <w:r/>
      <w:bookmarkEnd w:id="197"/>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十八、其他</w:t>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6"/>
        <w:spacing w:beforeAutospacing="0" w:afterAutospacing="0"/>
        <w:rPr>
          <w:color w:val="auto"/>
          <w:highlight w:val="none"/>
        </w:rPr>
      </w:pPr>
      <w:r>
        <w:rPr>
          <w:color w:val="auto"/>
          <w:highlight w:val="none"/>
        </w:rPr>
      </w:r>
      <w:r/>
    </w:p>
    <w:sectPr>
      <w:footerReference w:type="default" r:id="rId9"/>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0">
    <w:name w:val="Heading 1"/>
    <w:basedOn w:val="679"/>
    <w:next w:val="679"/>
    <w:link w:val="727"/>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2">
    <w:name w:val="Heading 3"/>
    <w:basedOn w:val="679"/>
    <w:next w:val="679"/>
    <w:uiPriority w:val="0"/>
    <w:qFormat/>
    <w:pPr>
      <w:keepLines/>
      <w:keepNext/>
      <w:spacing w:before="260" w:after="260" w:line="416" w:lineRule="auto"/>
      <w:outlineLvl w:val="2"/>
    </w:pPr>
    <w:rPr>
      <w:rFonts w:ascii="Calibri" w:hAnsi="Calibri"/>
      <w:b/>
      <w:bCs/>
      <w:sz w:val="32"/>
      <w:szCs w:val="32"/>
    </w:rPr>
  </w:style>
  <w:style w:type="paragraph" w:styleId="683">
    <w:name w:val="Heading 4"/>
    <w:basedOn w:val="679"/>
    <w:next w:val="679"/>
    <w:link w:val="730"/>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31"/>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32"/>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34"/>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5"/>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Normal Indent"/>
    <w:basedOn w:val="679"/>
    <w:uiPriority w:val="0"/>
    <w:qFormat/>
    <w:pPr>
      <w:ind w:firstLine="420"/>
    </w:pPr>
  </w:style>
  <w:style w:type="paragraph" w:styleId="693">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79"/>
    <w:uiPriority w:val="0"/>
    <w:qFormat/>
    <w:pPr>
      <w:jc w:val="left"/>
    </w:pPr>
  </w:style>
  <w:style w:type="paragraph" w:styleId="695">
    <w:name w:val="Body Text"/>
    <w:basedOn w:val="679"/>
    <w:uiPriority w:val="0"/>
    <w:unhideWhenUsed/>
    <w:qFormat/>
    <w:pPr>
      <w:spacing w:after="120"/>
    </w:pPr>
    <w:rPr>
      <w:rFonts w:ascii="Calibri" w:hAnsi="Calibri"/>
      <w:szCs w:val="22"/>
    </w:rPr>
  </w:style>
  <w:style w:type="paragraph" w:styleId="696">
    <w:name w:val="Body Text Indent"/>
    <w:basedOn w:val="679"/>
    <w:next w:val="697"/>
    <w:uiPriority w:val="0"/>
    <w:qFormat/>
    <w:pPr>
      <w:ind w:firstLine="645"/>
    </w:pPr>
    <w:rPr>
      <w:rFonts w:ascii="KaiTi_GB2312" w:eastAsia="KaiTi_GB2312"/>
      <w:sz w:val="32"/>
      <w:szCs w:val="32"/>
    </w:rPr>
  </w:style>
  <w:style w:type="paragraph" w:styleId="697">
    <w:name w:val="envelope return"/>
    <w:basedOn w:val="679"/>
    <w:uiPriority w:val="99"/>
    <w:qFormat/>
    <w:rPr>
      <w:rFonts w:ascii="Arial" w:hAnsi="Arial" w:cs="Arial"/>
    </w:rPr>
  </w:style>
  <w:style w:type="paragraph" w:styleId="698">
    <w:name w:val="Block Text"/>
    <w:basedOn w:val="679"/>
    <w:next w:val="683"/>
    <w:uiPriority w:val="99"/>
    <w:qFormat/>
    <w:pPr>
      <w:ind w:left="1440" w:right="1440"/>
      <w:spacing w:after="120"/>
      <w:tabs>
        <w:tab w:val="left" w:pos="9000" w:leader="none"/>
      </w:tabs>
    </w:pPr>
  </w:style>
  <w:style w:type="paragraph" w:styleId="699">
    <w:name w:val="toc 5"/>
    <w:basedOn w:val="679"/>
    <w:next w:val="679"/>
    <w:uiPriority w:val="39"/>
    <w:unhideWhenUsed/>
    <w:qFormat/>
    <w:pPr>
      <w:ind w:left="1134" w:right="0" w:firstLine="0"/>
      <w:spacing w:after="57"/>
    </w:pPr>
  </w:style>
  <w:style w:type="paragraph" w:styleId="700">
    <w:name w:val="toc 3"/>
    <w:basedOn w:val="679"/>
    <w:next w:val="679"/>
    <w:uiPriority w:val="39"/>
    <w:unhideWhenUsed/>
    <w:qFormat/>
    <w:pPr>
      <w:ind w:left="567" w:right="0" w:firstLine="0"/>
      <w:spacing w:after="57"/>
    </w:pPr>
  </w:style>
  <w:style w:type="paragraph" w:styleId="701">
    <w:name w:val="Plain Text"/>
    <w:basedOn w:val="679"/>
    <w:uiPriority w:val="0"/>
    <w:unhideWhenUsed/>
    <w:qFormat/>
    <w:rPr>
      <w:rFonts w:ascii="宋体" w:hAnsi="Courier New" w:cs="Courier New"/>
      <w:szCs w:val="21"/>
    </w:rPr>
  </w:style>
  <w:style w:type="paragraph" w:styleId="702">
    <w:name w:val="toc 8"/>
    <w:basedOn w:val="679"/>
    <w:next w:val="679"/>
    <w:uiPriority w:val="39"/>
    <w:unhideWhenUsed/>
    <w:qFormat/>
    <w:pPr>
      <w:ind w:left="1984" w:right="0" w:firstLine="0"/>
      <w:spacing w:after="57"/>
    </w:pPr>
  </w:style>
  <w:style w:type="paragraph" w:styleId="703">
    <w:name w:val="endnote text"/>
    <w:basedOn w:val="679"/>
    <w:link w:val="873"/>
    <w:uiPriority w:val="99"/>
    <w:semiHidden/>
    <w:unhideWhenUsed/>
    <w:qFormat/>
    <w:pPr>
      <w:spacing w:after="0" w:line="240" w:lineRule="auto"/>
    </w:pPr>
    <w:rPr>
      <w:sz w:val="20"/>
    </w:rPr>
  </w:style>
  <w:style w:type="paragraph" w:styleId="704">
    <w:name w:val="Footer"/>
    <w:basedOn w:val="679"/>
    <w:link w:val="876"/>
    <w:uiPriority w:val="0"/>
    <w:qFormat/>
    <w:pPr>
      <w:jc w:val="left"/>
      <w:tabs>
        <w:tab w:val="center" w:pos="4153" w:leader="none"/>
        <w:tab w:val="right" w:pos="8306" w:leader="none"/>
      </w:tabs>
    </w:pPr>
    <w:rPr>
      <w:sz w:val="18"/>
      <w:szCs w:val="18"/>
    </w:rPr>
  </w:style>
  <w:style w:type="paragraph" w:styleId="705">
    <w:name w:val="Header"/>
    <w:basedOn w:val="679"/>
    <w:link w:val="875"/>
    <w:uiPriority w:val="0"/>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9"/>
    <w:next w:val="679"/>
    <w:uiPriority w:val="39"/>
    <w:unhideWhenUsed/>
    <w:qFormat/>
    <w:pPr>
      <w:ind w:left="0" w:right="0" w:firstLine="0"/>
      <w:spacing w:after="57"/>
    </w:pPr>
  </w:style>
  <w:style w:type="paragraph" w:styleId="707">
    <w:name w:val="toc 4"/>
    <w:basedOn w:val="679"/>
    <w:next w:val="679"/>
    <w:uiPriority w:val="39"/>
    <w:unhideWhenUsed/>
    <w:qFormat/>
    <w:pPr>
      <w:ind w:left="850" w:right="0" w:firstLine="0"/>
      <w:spacing w:after="57"/>
    </w:pPr>
  </w:style>
  <w:style w:type="paragraph" w:styleId="708">
    <w:name w:val="Subtitle"/>
    <w:basedOn w:val="679"/>
    <w:next w:val="679"/>
    <w:link w:val="739"/>
    <w:uiPriority w:val="11"/>
    <w:qFormat/>
    <w:pPr>
      <w:spacing w:before="200" w:after="200"/>
    </w:pPr>
    <w:rPr>
      <w:sz w:val="24"/>
      <w:szCs w:val="24"/>
    </w:rPr>
  </w:style>
  <w:style w:type="paragraph" w:styleId="709">
    <w:name w:val="List"/>
    <w:basedOn w:val="679"/>
    <w:uiPriority w:val="0"/>
    <w:qFormat/>
    <w:pPr>
      <w:ind w:left="200" w:hanging="200"/>
    </w:pPr>
  </w:style>
  <w:style w:type="paragraph" w:styleId="710">
    <w:name w:val="footnote text"/>
    <w:basedOn w:val="679"/>
    <w:link w:val="872"/>
    <w:uiPriority w:val="99"/>
    <w:semiHidden/>
    <w:unhideWhenUsed/>
    <w:qFormat/>
    <w:pPr>
      <w:spacing w:after="40" w:line="240" w:lineRule="auto"/>
    </w:pPr>
    <w:rPr>
      <w:sz w:val="18"/>
    </w:rPr>
  </w:style>
  <w:style w:type="paragraph" w:styleId="711">
    <w:name w:val="toc 6"/>
    <w:basedOn w:val="679"/>
    <w:next w:val="679"/>
    <w:uiPriority w:val="39"/>
    <w:unhideWhenUsed/>
    <w:qFormat/>
    <w:pPr>
      <w:ind w:left="1417" w:right="0" w:firstLine="0"/>
      <w:spacing w:after="57"/>
    </w:pPr>
  </w:style>
  <w:style w:type="paragraph" w:styleId="712">
    <w:name w:val="table of figures"/>
    <w:basedOn w:val="679"/>
    <w:next w:val="679"/>
    <w:uiPriority w:val="99"/>
    <w:unhideWhenUsed/>
    <w:qFormat/>
    <w:pPr>
      <w:spacing w:after="0" w:afterAutospacing="0"/>
    </w:pPr>
  </w:style>
  <w:style w:type="paragraph" w:styleId="713">
    <w:name w:val="toc 2"/>
    <w:basedOn w:val="679"/>
    <w:next w:val="679"/>
    <w:uiPriority w:val="39"/>
    <w:unhideWhenUsed/>
    <w:qFormat/>
    <w:pPr>
      <w:ind w:left="283" w:right="0" w:firstLine="0"/>
      <w:spacing w:after="57"/>
    </w:pPr>
  </w:style>
  <w:style w:type="paragraph" w:styleId="714">
    <w:name w:val="toc 9"/>
    <w:basedOn w:val="679"/>
    <w:next w:val="679"/>
    <w:uiPriority w:val="39"/>
    <w:unhideWhenUsed/>
    <w:qFormat/>
    <w:pPr>
      <w:ind w:left="2268" w:right="0" w:firstLine="0"/>
      <w:spacing w:after="57"/>
    </w:pPr>
  </w:style>
  <w:style w:type="paragraph" w:styleId="715">
    <w:name w:val="Body Text 2"/>
    <w:basedOn w:val="679"/>
    <w:uiPriority w:val="0"/>
    <w:qFormat/>
    <w:pPr>
      <w:jc w:val="center"/>
      <w:widowControl/>
    </w:pPr>
    <w:rPr>
      <w:rFonts w:ascii="KaiTi_GB2312" w:eastAsia="KaiTi_GB2312"/>
      <w:sz w:val="28"/>
      <w:szCs w:val="28"/>
    </w:rPr>
  </w:style>
  <w:style w:type="paragraph" w:styleId="716">
    <w:name w:val="Normal (Web)"/>
    <w:basedOn w:val="679"/>
    <w:uiPriority w:val="0"/>
    <w:qFormat/>
    <w:pPr>
      <w:jc w:val="left"/>
      <w:spacing w:beforeAutospacing="1" w:afterAutospacing="1"/>
    </w:pPr>
    <w:rPr>
      <w:rFonts w:cs="Times New Roman"/>
      <w:sz w:val="24"/>
    </w:rPr>
  </w:style>
  <w:style w:type="paragraph" w:styleId="717">
    <w:name w:val="Title"/>
    <w:basedOn w:val="679"/>
    <w:next w:val="679"/>
    <w:link w:val="738"/>
    <w:uiPriority w:val="10"/>
    <w:qFormat/>
    <w:pPr>
      <w:contextualSpacing/>
      <w:spacing w:before="300" w:after="200"/>
    </w:pPr>
    <w:rPr>
      <w:sz w:val="48"/>
      <w:szCs w:val="48"/>
    </w:rPr>
  </w:style>
  <w:style w:type="paragraph" w:styleId="718">
    <w:name w:val="Body Text First Indent 2"/>
    <w:basedOn w:val="696"/>
    <w:uiPriority w:val="0"/>
    <w:qFormat/>
    <w:pPr>
      <w:ind w:left="420" w:firstLine="420"/>
      <w:spacing w:after="120"/>
    </w:pPr>
    <w:rPr>
      <w:sz w:val="21"/>
    </w:rPr>
  </w:style>
  <w:style w:type="table" w:styleId="719">
    <w:name w:val="Table Grid"/>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9"/>
    <w:uiPriority w:val="0"/>
    <w:qFormat/>
    <w:rPr>
      <w:b/>
    </w:rPr>
  </w:style>
  <w:style w:type="character" w:styleId="721">
    <w:name w:val="endnote reference"/>
    <w:basedOn w:val="689"/>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footnote reference"/>
    <w:basedOn w:val="689"/>
    <w:uiPriority w:val="99"/>
    <w:unhideWhenUsed/>
    <w:qFormat/>
    <w:rPr>
      <w:vertAlign w:val="superscript"/>
    </w:rPr>
  </w:style>
  <w:style w:type="paragraph" w:styleId="724" w:customStyle="1">
    <w:name w:val="正文首行缩进 21"/>
    <w:basedOn w:val="725"/>
    <w:uiPriority w:val="0"/>
    <w:qFormat/>
    <w:pPr>
      <w:ind w:firstLine="420"/>
    </w:pPr>
  </w:style>
  <w:style w:type="paragraph" w:styleId="725" w:customStyle="1">
    <w:name w:val="正文文本缩进1"/>
    <w:basedOn w:val="679"/>
    <w:uiPriority w:val="0"/>
    <w:qFormat/>
    <w:pPr>
      <w:ind w:left="420"/>
      <w:spacing w:after="120"/>
    </w:pPr>
  </w:style>
  <w:style w:type="paragraph" w:styleId="726" w:customStyle="1">
    <w:name w:val="Default"/>
    <w:basedOn w:val="679"/>
    <w:uiPriority w:val="0"/>
    <w:semiHidden/>
    <w:qFormat/>
    <w:pPr>
      <w:jc w:val="left"/>
    </w:pPr>
    <w:rPr>
      <w:rFonts w:ascii="宋体" w:hAnsi="Calibri" w:cs="宋体"/>
      <w:color w:val="000000"/>
      <w:sz w:val="24"/>
    </w:rPr>
  </w:style>
  <w:style w:type="character" w:styleId="727" w:customStyle="1">
    <w:name w:val="Heading 1 Char"/>
    <w:basedOn w:val="689"/>
    <w:link w:val="680"/>
    <w:uiPriority w:val="9"/>
    <w:qFormat/>
    <w:rPr>
      <w:rFonts w:ascii="Arial" w:hAnsi="Arial" w:eastAsia="Arial" w:cs="Arial"/>
      <w:sz w:val="40"/>
      <w:szCs w:val="40"/>
    </w:rPr>
  </w:style>
  <w:style w:type="character" w:styleId="728" w:customStyle="1">
    <w:name w:val="Heading 2 Char"/>
    <w:basedOn w:val="689"/>
    <w:uiPriority w:val="9"/>
    <w:qFormat/>
    <w:rPr>
      <w:rFonts w:ascii="Arial" w:hAnsi="Arial" w:eastAsia="Arial" w:cs="Arial"/>
      <w:sz w:val="34"/>
    </w:rPr>
  </w:style>
  <w:style w:type="character" w:styleId="729" w:customStyle="1">
    <w:name w:val="Heading 3 Char"/>
    <w:basedOn w:val="689"/>
    <w:uiPriority w:val="9"/>
    <w:qFormat/>
    <w:rPr>
      <w:rFonts w:ascii="Arial" w:hAnsi="Arial" w:eastAsia="Arial" w:cs="Arial"/>
      <w:sz w:val="30"/>
      <w:szCs w:val="30"/>
    </w:rPr>
  </w:style>
  <w:style w:type="character" w:styleId="730" w:customStyle="1">
    <w:name w:val="Heading 4 Char"/>
    <w:basedOn w:val="689"/>
    <w:link w:val="683"/>
    <w:uiPriority w:val="9"/>
    <w:qFormat/>
    <w:rPr>
      <w:rFonts w:ascii="Arial" w:hAnsi="Arial" w:eastAsia="Arial" w:cs="Arial"/>
      <w:b/>
      <w:bCs/>
      <w:sz w:val="26"/>
      <w:szCs w:val="26"/>
    </w:rPr>
  </w:style>
  <w:style w:type="character" w:styleId="731" w:customStyle="1">
    <w:name w:val="Heading 5 Char"/>
    <w:basedOn w:val="689"/>
    <w:link w:val="684"/>
    <w:uiPriority w:val="9"/>
    <w:qFormat/>
    <w:rPr>
      <w:rFonts w:ascii="Arial" w:hAnsi="Arial" w:eastAsia="Arial" w:cs="Arial"/>
      <w:b/>
      <w:bCs/>
      <w:sz w:val="24"/>
      <w:szCs w:val="24"/>
    </w:rPr>
  </w:style>
  <w:style w:type="character" w:styleId="732" w:customStyle="1">
    <w:name w:val="Heading 6 Char"/>
    <w:basedOn w:val="689"/>
    <w:link w:val="685"/>
    <w:uiPriority w:val="9"/>
    <w:qFormat/>
    <w:rPr>
      <w:rFonts w:ascii="Arial" w:hAnsi="Arial" w:eastAsia="Arial" w:cs="Arial"/>
      <w:b/>
      <w:bCs/>
      <w:sz w:val="22"/>
      <w:szCs w:val="22"/>
    </w:rPr>
  </w:style>
  <w:style w:type="character" w:styleId="733" w:customStyle="1">
    <w:name w:val="Heading 7 Char"/>
    <w:basedOn w:val="689"/>
    <w:link w:val="686"/>
    <w:uiPriority w:val="9"/>
    <w:qFormat/>
    <w:rPr>
      <w:rFonts w:ascii="Arial" w:hAnsi="Arial" w:eastAsia="Arial" w:cs="Arial"/>
      <w:b/>
      <w:bCs/>
      <w:i/>
      <w:iCs/>
      <w:sz w:val="22"/>
      <w:szCs w:val="22"/>
    </w:rPr>
  </w:style>
  <w:style w:type="character" w:styleId="734" w:customStyle="1">
    <w:name w:val="Heading 8 Char"/>
    <w:basedOn w:val="689"/>
    <w:link w:val="687"/>
    <w:uiPriority w:val="9"/>
    <w:qFormat/>
    <w:rPr>
      <w:rFonts w:ascii="Arial" w:hAnsi="Arial" w:eastAsia="Arial" w:cs="Arial"/>
      <w:i/>
      <w:iCs/>
      <w:sz w:val="22"/>
      <w:szCs w:val="22"/>
    </w:rPr>
  </w:style>
  <w:style w:type="character" w:styleId="735" w:customStyle="1">
    <w:name w:val="Heading 9 Char"/>
    <w:basedOn w:val="689"/>
    <w:link w:val="688"/>
    <w:uiPriority w:val="9"/>
    <w:qFormat/>
    <w:rPr>
      <w:rFonts w:ascii="Arial" w:hAnsi="Arial" w:eastAsia="Arial" w:cs="Arial"/>
      <w:i/>
      <w:iCs/>
      <w:sz w:val="21"/>
      <w:szCs w:val="21"/>
    </w:rPr>
  </w:style>
  <w:style w:type="paragraph" w:styleId="736">
    <w:name w:val="List Paragraph"/>
    <w:basedOn w:val="679"/>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basedOn w:val="689"/>
    <w:link w:val="717"/>
    <w:uiPriority w:val="10"/>
    <w:qFormat/>
    <w:rPr>
      <w:sz w:val="48"/>
      <w:szCs w:val="48"/>
    </w:rPr>
  </w:style>
  <w:style w:type="character" w:styleId="739" w:customStyle="1">
    <w:name w:val="Subtitle Char"/>
    <w:basedOn w:val="689"/>
    <w:link w:val="708"/>
    <w:uiPriority w:val="11"/>
    <w:qFormat/>
    <w:rPr>
      <w:sz w:val="24"/>
      <w:szCs w:val="24"/>
    </w:rPr>
  </w:style>
  <w:style w:type="paragraph" w:styleId="740">
    <w:name w:val="Quote"/>
    <w:basedOn w:val="679"/>
    <w:next w:val="679"/>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79"/>
    <w:next w:val="679"/>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689"/>
    <w:uiPriority w:val="99"/>
    <w:qFormat/>
  </w:style>
  <w:style w:type="character" w:styleId="745" w:customStyle="1">
    <w:name w:val="Footer Char"/>
    <w:basedOn w:val="689"/>
    <w:uiPriority w:val="99"/>
    <w:qFormat/>
  </w:style>
  <w:style w:type="character" w:styleId="746" w:customStyle="1">
    <w:name w:val="Caption Char"/>
    <w:uiPriority w:val="99"/>
    <w:qFormat/>
  </w:style>
  <w:style w:type="table" w:styleId="747"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6"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7"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9"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4"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9"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0"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1"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2" w:customStyle="1">
    <w:name w:val="List Table 6 Colorful - Accent 5"/>
    <w:basedOn w:val="6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3"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4"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Bordered &amp; Lined - Accent 3"/>
    <w:basedOn w:val="6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Bordered &amp; Lined - Accent 5"/>
    <w:basedOn w:val="6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8"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0"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1"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customStyle="1">
    <w:name w:val="Footnote Text Char"/>
    <w:link w:val="710"/>
    <w:uiPriority w:val="99"/>
    <w:qFormat/>
    <w:rPr>
      <w:sz w:val="18"/>
    </w:rPr>
  </w:style>
  <w:style w:type="character" w:styleId="873" w:customStyle="1">
    <w:name w:val="Endnote Text Char"/>
    <w:link w:val="703"/>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character" w:styleId="875" w:customStyle="1">
    <w:name w:val="页眉 Char"/>
    <w:basedOn w:val="689"/>
    <w:link w:val="705"/>
    <w:uiPriority w:val="0"/>
    <w:qFormat/>
    <w:rPr>
      <w:rFonts w:asciiTheme="minorHAnsi" w:hAnsiTheme="minorHAnsi" w:eastAsiaTheme="minorEastAsia" w:cstheme="minorBidi"/>
      <w:sz w:val="18"/>
      <w:szCs w:val="18"/>
    </w:rPr>
  </w:style>
  <w:style w:type="character" w:styleId="876" w:customStyle="1">
    <w:name w:val="页脚 Char"/>
    <w:basedOn w:val="689"/>
    <w:link w:val="704"/>
    <w:uiPriority w:val="0"/>
    <w:qFormat/>
    <w:rPr>
      <w:rFonts w:asciiTheme="minorHAnsi" w:hAnsiTheme="minorHAnsi" w:eastAsiaTheme="minorEastAsia" w:cstheme="minorBidi"/>
      <w:sz w:val="18"/>
      <w:szCs w:val="18"/>
    </w:rPr>
  </w:style>
  <w:style w:type="paragraph" w:styleId="8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8" w:customStyle="1">
    <w:name w:val="页脚1"/>
    <w:basedOn w:val="679"/>
    <w:uiPriority w:val="99"/>
    <w:unhideWhenUsed/>
    <w:qFormat/>
    <w:pPr>
      <w:jc w:val="left"/>
      <w:tabs>
        <w:tab w:val="center" w:pos="4153" w:leader="none"/>
        <w:tab w:val="right" w:pos="8306" w:leader="none"/>
      </w:tabs>
    </w:pPr>
    <w:rPr>
      <w:sz w:val="18"/>
      <w:szCs w:val="18"/>
    </w:rPr>
  </w:style>
  <w:style w:type="paragraph" w:styleId="879" w:customStyle="1">
    <w:name w:val="普通正文"/>
    <w:basedOn w:val="679"/>
    <w:uiPriority w:val="0"/>
    <w:qFormat/>
    <w:pPr>
      <w:ind w:firstLine="480"/>
      <w:jc w:val="left"/>
      <w:spacing w:before="120" w:after="120" w:line="360" w:lineRule="auto"/>
    </w:pPr>
    <w:rPr>
      <w:rFonts w:ascii="Arial" w:hAnsi="Arial" w:eastAsia="等线" w:cs="Arial"/>
      <w:sz w:val="24"/>
      <w:szCs w:val="24"/>
    </w:rPr>
  </w:style>
  <w:style w:type="paragraph" w:styleId="880" w:customStyle="1">
    <w:name w:val="文本块1"/>
    <w:basedOn w:val="679"/>
    <w:uiPriority w:val="99"/>
    <w:qFormat/>
    <w:pPr>
      <w:ind w:left="1440" w:right="1440"/>
      <w:spacing w:after="120"/>
      <w:tabs>
        <w:tab w:val="left" w:pos="9000" w:leader="none"/>
      </w:tabs>
    </w:pPr>
    <w:rPr>
      <w:rFonts w:ascii="Times New Roman" w:hAnsi="Times New Roman"/>
    </w:rPr>
  </w:style>
  <w:style w:type="paragraph" w:styleId="881" w:customStyle="1">
    <w:name w:val="普通(网站)1"/>
    <w:basedOn w:val="679"/>
    <w:uiPriority w:val="0"/>
    <w:unhideWhenUsed/>
    <w:qFormat/>
    <w:pPr>
      <w:jc w:val="left"/>
      <w:spacing w:before="100" w:beforeAutospacing="1" w:after="100" w:afterAutospacing="1"/>
      <w:widowControl/>
    </w:pPr>
    <w:rPr>
      <w:rFonts w:ascii="宋体" w:hAnsi="宋体" w:cs="宋体"/>
      <w:sz w:val="24"/>
    </w:rPr>
  </w:style>
  <w:style w:type="character" w:styleId="882" w:customStyle="1">
    <w:name w:val="10"/>
    <w:uiPriority w:val="0"/>
    <w:qFormat/>
    <w:rPr>
      <w:rFonts w:ascii="Times New Roman" w:hAnsi="Times New Roman" w:cs="Times New Roman"/>
    </w:rPr>
  </w:style>
  <w:style w:type="character" w:styleId="883" w:customStyle="1">
    <w:name w:val="NormalCharacter12"/>
    <w:uiPriority w:val="0"/>
    <w:qFormat/>
    <w:rPr>
      <w:rFonts w:ascii="Calibri" w:hAnsi="Calibri" w:eastAsia="宋体" w:cs="Times New Roman"/>
      <w:sz w:val="28"/>
      <w:szCs w:val="22"/>
      <w:lang w:val="en-US" w:eastAsia="zh-CN" w:bidi="ar-SA"/>
    </w:rPr>
  </w:style>
  <w:style w:type="paragraph" w:styleId="884" w:customStyle="1">
    <w:name w:val="正文_2_1"/>
    <w:basedOn w:val="679"/>
    <w:uiPriority w:val="0"/>
    <w:qFormat/>
    <w:rPr>
      <w:rFonts w:cs="宋体"/>
      <w:sz w:val="21"/>
      <w:szCs w:val="21"/>
    </w:rPr>
  </w:style>
  <w:style w:type="paragraph" w:styleId="885" w:customStyle="1">
    <w:name w:val="正文_1_0"/>
    <w:basedOn w:val="886"/>
    <w:uiPriority w:val="0"/>
    <w:qFormat/>
    <w:rPr>
      <w:rFonts w:ascii="Calibri" w:hAnsi="Calibri" w:cs="宋体"/>
      <w:szCs w:val="21"/>
    </w:rPr>
  </w:style>
  <w:style w:type="paragraph" w:styleId="88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8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character" w:styleId="888" w:customStyle="1">
    <w:name w:val="NormalCharacter"/>
    <w:uiPriority w:val="0"/>
    <w:qFormat/>
    <w:rPr>
      <w:rFonts w:ascii="Times New Roman" w:hAnsi="Times New Roman" w:eastAsia="宋体" w:cs="Times New Roman"/>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罗茂文</cp:lastModifiedBy>
  <cp:revision>129</cp:revision>
  <dcterms:created xsi:type="dcterms:W3CDTF">2014-10-29T12:08:00Z</dcterms:created>
  <dcterms:modified xsi:type="dcterms:W3CDTF">2026-05-08T07:55:16Z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0DEDAF917315464DBADFBD522A20376F_13</vt:lpwstr>
  </property>
  <property fmtid="{D5CDD505-2E9C-101B-9397-08002B2CF9AE}" pid="4" name="KSOTemplateDocerSaveRecord">
    <vt:lpwstr>eyJoZGlkIjoiZjkzMzJjYTM4ZjE2MTQyZWI3OWYzNGJhZWZjNDlkMzciLCJ1c2VySWQiOiIxMTQxMTA0ODUzIn0=</vt:lpwstr>
  </property>
</Properties>
</file>