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75EE7">
      <w:pPr>
        <w:spacing w:before="120" w:after="120"/>
        <w:ind w:firstLine="0"/>
        <w:rPr>
          <w:b/>
          <w:bCs/>
          <w:color w:val="auto"/>
          <w:sz w:val="84"/>
          <w:szCs w:val="24"/>
          <w:highlight w:val="none"/>
        </w:rPr>
      </w:pPr>
    </w:p>
    <w:p w14:paraId="65CE6C60">
      <w:pPr>
        <w:spacing w:before="120" w:after="120"/>
        <w:ind w:firstLine="0"/>
        <w:rPr>
          <w:b/>
          <w:bCs/>
          <w:color w:val="auto"/>
          <w:sz w:val="28"/>
          <w:szCs w:val="28"/>
          <w:highlight w:val="none"/>
        </w:rPr>
      </w:pPr>
      <w:r>
        <w:rPr>
          <w:rFonts w:hint="eastAsia"/>
          <w:b/>
          <w:bCs/>
          <w:color w:val="auto"/>
          <w:sz w:val="84"/>
          <w:szCs w:val="24"/>
          <w:highlight w:val="none"/>
        </w:rPr>
        <w:t xml:space="preserve">     招 标 文 件</w:t>
      </w:r>
      <w:r>
        <w:rPr>
          <w:rFonts w:hint="eastAsia"/>
          <w:b/>
          <w:bCs/>
          <w:color w:val="auto"/>
          <w:sz w:val="28"/>
          <w:szCs w:val="28"/>
          <w:highlight w:val="none"/>
        </w:rPr>
        <w:t xml:space="preserve"> </w:t>
      </w:r>
    </w:p>
    <w:p w14:paraId="2A838ADC">
      <w:pPr>
        <w:spacing w:before="120" w:after="120"/>
        <w:ind w:left="3627" w:hanging="2711"/>
        <w:jc w:val="both"/>
        <w:rPr>
          <w:b/>
          <w:bCs/>
          <w:color w:val="auto"/>
          <w:sz w:val="30"/>
          <w:szCs w:val="30"/>
          <w:highlight w:val="none"/>
        </w:rPr>
      </w:pPr>
    </w:p>
    <w:p w14:paraId="49DF7F48">
      <w:pPr>
        <w:pStyle w:val="36"/>
        <w:spacing w:beforeAutospacing="0" w:afterAutospacing="0"/>
        <w:ind w:firstLine="0"/>
        <w:rPr>
          <w:rFonts w:hint="eastAsia" w:ascii="Times New Roman" w:hAnsi="Times New Roman" w:eastAsia="宋体"/>
          <w:color w:val="auto"/>
          <w:sz w:val="32"/>
          <w:szCs w:val="32"/>
          <w:highlight w:val="none"/>
          <w:lang w:eastAsia="zh-CN"/>
        </w:rPr>
      </w:pPr>
    </w:p>
    <w:p w14:paraId="51032E7B">
      <w:pPr>
        <w:pStyle w:val="36"/>
        <w:spacing w:beforeAutospacing="0" w:afterAutospacing="0"/>
        <w:ind w:firstLine="0"/>
        <w:jc w:val="center"/>
        <w:rPr>
          <w:rFonts w:ascii="Times New Roman" w:hAnsi="Times New Roman"/>
          <w:color w:val="auto"/>
          <w:sz w:val="32"/>
          <w:szCs w:val="32"/>
          <w:highlight w:val="none"/>
        </w:rPr>
      </w:pPr>
    </w:p>
    <w:p w14:paraId="0ECD2952">
      <w:pPr>
        <w:pStyle w:val="36"/>
        <w:spacing w:beforeAutospacing="0" w:afterAutospacing="0"/>
        <w:ind w:firstLine="643" w:firstLineChars="200"/>
        <w:jc w:val="both"/>
        <w:rPr>
          <w:rFonts w:ascii="Times New Roman" w:hAnsi="Times New Roman"/>
          <w:color w:val="auto"/>
          <w:sz w:val="32"/>
          <w:szCs w:val="32"/>
          <w:highlight w:val="none"/>
          <w14:ligatures w14:val="none"/>
        </w:rPr>
      </w:pPr>
      <w:r>
        <w:rPr>
          <w:rFonts w:ascii="Times New Roman" w:hAnsi="Times New Roman"/>
          <w:color w:val="auto"/>
          <w:sz w:val="32"/>
          <w:szCs w:val="32"/>
          <w:highlight w:val="none"/>
        </w:rPr>
        <w:t>项目编号：JSZC-320902-JZCG-G2026-0034</w:t>
      </w:r>
    </w:p>
    <w:p w14:paraId="39346B60">
      <w:pPr>
        <w:pStyle w:val="36"/>
        <w:spacing w:before="120" w:beforeAutospacing="0" w:after="120" w:afterAutospacing="0"/>
        <w:ind w:firstLine="0"/>
        <w:jc w:val="center"/>
        <w:rPr>
          <w:rFonts w:ascii="Arial" w:hAnsi="Arial" w:cs="Arial"/>
          <w:color w:val="auto"/>
          <w:sz w:val="32"/>
          <w:szCs w:val="32"/>
          <w:highlight w:val="none"/>
        </w:rPr>
      </w:pPr>
    </w:p>
    <w:p w14:paraId="736CAD70">
      <w:pPr>
        <w:spacing w:before="120" w:after="120"/>
        <w:ind w:firstLine="0"/>
        <w:jc w:val="center"/>
        <w:rPr>
          <w:rFonts w:hint="eastAsia" w:ascii="Arial" w:hAnsi="Arial" w:cs="Arial"/>
          <w:b/>
          <w:bCs/>
          <w:color w:val="auto"/>
          <w:sz w:val="32"/>
          <w:szCs w:val="32"/>
          <w:highlight w:val="none"/>
          <w:lang w:eastAsia="zh-CN"/>
        </w:rPr>
      </w:pPr>
      <w:r>
        <w:rPr>
          <w:rFonts w:ascii="Arial" w:hAnsi="Arial" w:cs="Arial"/>
          <w:b/>
          <w:bCs/>
          <w:color w:val="auto"/>
          <w:sz w:val="32"/>
          <w:szCs w:val="32"/>
          <w:highlight w:val="none"/>
        </w:rPr>
        <w:t>项目名称：</w:t>
      </w:r>
      <w:r>
        <w:rPr>
          <w:rFonts w:hint="eastAsia" w:ascii="Arial" w:hAnsi="Arial" w:cs="Arial"/>
          <w:b/>
          <w:bCs/>
          <w:color w:val="auto"/>
          <w:sz w:val="32"/>
          <w:szCs w:val="32"/>
          <w:highlight w:val="none"/>
          <w:lang w:eastAsia="zh-CN"/>
        </w:rPr>
        <w:t>盐城市亭湖区东亭湖街道社区卫生服务中心</w:t>
      </w:r>
    </w:p>
    <w:p w14:paraId="0AF410D1">
      <w:pPr>
        <w:spacing w:before="120" w:after="120"/>
        <w:ind w:firstLine="0"/>
        <w:jc w:val="center"/>
        <w:rPr>
          <w:b/>
          <w:bCs/>
          <w:color w:val="auto"/>
          <w:sz w:val="28"/>
          <w:szCs w:val="28"/>
          <w:highlight w:val="none"/>
        </w:rPr>
      </w:pPr>
      <w:r>
        <w:rPr>
          <w:rFonts w:hint="eastAsia" w:ascii="Arial" w:hAnsi="Arial" w:cs="Arial"/>
          <w:b/>
          <w:bCs/>
          <w:color w:val="auto"/>
          <w:sz w:val="32"/>
          <w:szCs w:val="32"/>
          <w:highlight w:val="none"/>
          <w:lang w:eastAsia="zh-CN"/>
        </w:rPr>
        <w:t>物业服务项目</w:t>
      </w:r>
    </w:p>
    <w:p w14:paraId="573657D8">
      <w:pPr>
        <w:spacing w:before="120" w:after="120"/>
        <w:ind w:firstLine="0"/>
        <w:rPr>
          <w:b/>
          <w:bCs/>
          <w:color w:val="auto"/>
          <w:sz w:val="28"/>
          <w:szCs w:val="28"/>
          <w:highlight w:val="none"/>
        </w:rPr>
      </w:pPr>
      <w:bookmarkStart w:id="166" w:name="_GoBack"/>
      <w:bookmarkEnd w:id="166"/>
    </w:p>
    <w:p w14:paraId="4BABED0E">
      <w:pPr>
        <w:ind w:firstLine="0"/>
        <w:rPr>
          <w:rFonts w:hint="eastAsia"/>
          <w:color w:val="auto"/>
          <w:sz w:val="28"/>
          <w:szCs w:val="28"/>
          <w:highlight w:val="none"/>
        </w:rPr>
      </w:pPr>
      <w:r>
        <w:rPr>
          <w:rFonts w:hint="eastAsia"/>
          <w:color w:val="auto"/>
          <w:sz w:val="28"/>
          <w:szCs w:val="28"/>
          <w:highlight w:val="none"/>
        </w:rPr>
        <w:t xml:space="preserve">   </w:t>
      </w:r>
    </w:p>
    <w:p w14:paraId="7AEFCCF8">
      <w:pPr>
        <w:pStyle w:val="46"/>
        <w:rPr>
          <w:color w:val="auto"/>
          <w:highlight w:val="none"/>
        </w:rPr>
      </w:pPr>
    </w:p>
    <w:p w14:paraId="26B88DEB">
      <w:pPr>
        <w:spacing w:line="240" w:lineRule="auto"/>
        <w:ind w:firstLine="0"/>
        <w:jc w:val="center"/>
        <w:rPr>
          <w:b/>
          <w:bCs/>
          <w:color w:val="auto"/>
          <w:sz w:val="28"/>
          <w:szCs w:val="28"/>
          <w:highlight w:val="none"/>
        </w:rPr>
      </w:pPr>
      <w:r>
        <w:rPr>
          <w:rFonts w:hint="eastAsia"/>
          <w:b/>
          <w:bCs/>
          <w:color w:val="auto"/>
          <w:sz w:val="28"/>
          <w:szCs w:val="28"/>
          <w:highlight w:val="none"/>
        </w:rPr>
        <w:t xml:space="preserve">   </w:t>
      </w:r>
    </w:p>
    <w:p w14:paraId="27432D7B">
      <w:pPr>
        <w:spacing w:line="240" w:lineRule="auto"/>
        <w:ind w:firstLine="0"/>
        <w:jc w:val="center"/>
        <w:rPr>
          <w:b/>
          <w:bCs/>
          <w:color w:val="auto"/>
          <w:sz w:val="28"/>
          <w:szCs w:val="28"/>
          <w:highlight w:val="none"/>
        </w:rPr>
      </w:pPr>
    </w:p>
    <w:p w14:paraId="4BA38CA5">
      <w:pPr>
        <w:spacing w:before="120" w:after="120" w:line="400" w:lineRule="exact"/>
        <w:ind w:firstLine="0"/>
        <w:jc w:val="center"/>
        <w:rPr>
          <w:rFonts w:hint="eastAsia" w:ascii="Times New Roman" w:hAnsi="Times New Roman" w:eastAsia="黑体" w:cs="Times New Roman"/>
          <w:bCs/>
          <w:color w:val="auto"/>
          <w:sz w:val="32"/>
          <w:szCs w:val="32"/>
          <w:highlight w:val="none"/>
          <w:lang w:eastAsia="zh-CN"/>
        </w:rPr>
      </w:pPr>
      <w:r>
        <w:rPr>
          <w:rFonts w:hint="eastAsia" w:ascii="Times New Roman" w:hAnsi="Times New Roman" w:eastAsia="黑体" w:cs="Times New Roman"/>
          <w:bCs/>
          <w:color w:val="auto"/>
          <w:sz w:val="32"/>
          <w:szCs w:val="32"/>
          <w:highlight w:val="none"/>
          <w:lang w:eastAsia="zh-CN"/>
        </w:rPr>
        <w:t>盐城市亭湖区东亭湖街道社区卫生服务中心</w:t>
      </w:r>
    </w:p>
    <w:p w14:paraId="7AD50D3D">
      <w:pPr>
        <w:spacing w:before="120" w:after="120" w:line="400" w:lineRule="exact"/>
        <w:ind w:firstLine="0"/>
        <w:jc w:val="center"/>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hint="eastAsia" w:ascii="黑体" w:hAnsi="黑体" w:eastAsia="黑体" w:cs="黑体"/>
          <w:bCs/>
          <w:color w:val="auto"/>
          <w:sz w:val="32"/>
          <w:szCs w:val="32"/>
          <w:highlight w:val="none"/>
          <w:lang w:val="en-US" w:eastAsia="zh-CN"/>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7</w:t>
      </w:r>
      <w:r>
        <w:rPr>
          <w:rFonts w:hint="eastAsia" w:ascii="黑体" w:hAnsi="黑体" w:eastAsia="黑体" w:cs="黑体"/>
          <w:bCs/>
          <w:color w:val="auto"/>
          <w:sz w:val="32"/>
          <w:szCs w:val="32"/>
          <w:highlight w:val="none"/>
        </w:rPr>
        <w:t>月</w:t>
      </w:r>
    </w:p>
    <w:p w14:paraId="192FB9C6">
      <w:pPr>
        <w:spacing w:line="240" w:lineRule="auto"/>
        <w:ind w:firstLine="0"/>
        <w:jc w:val="center"/>
        <w:rPr>
          <w:color w:val="auto"/>
          <w:sz w:val="28"/>
          <w:szCs w:val="28"/>
          <w:highlight w:val="none"/>
        </w:rPr>
      </w:pPr>
    </w:p>
    <w:p w14:paraId="14BFFB89">
      <w:pPr>
        <w:tabs>
          <w:tab w:val="left" w:pos="3206"/>
          <w:tab w:val="center" w:pos="4725"/>
        </w:tabs>
        <w:ind w:firstLine="0"/>
        <w:rPr>
          <w:b/>
          <w:color w:val="auto"/>
          <w:sz w:val="28"/>
          <w:szCs w:val="28"/>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68" w:right="1196" w:bottom="1491" w:left="1429" w:header="851" w:footer="907" w:gutter="0"/>
          <w:cols w:space="1701" w:num="1"/>
          <w:titlePg/>
          <w:docGrid w:linePitch="360" w:charSpace="0"/>
        </w:sectPr>
      </w:pPr>
      <w:r>
        <w:rPr>
          <w:color w:val="auto"/>
          <w:sz w:val="28"/>
          <w:szCs w:val="28"/>
          <w:highlight w:val="none"/>
        </w:rPr>
        <w:tab/>
      </w:r>
    </w:p>
    <w:p w14:paraId="15D828F8">
      <w:pPr>
        <w:spacing w:line="240" w:lineRule="auto"/>
        <w:ind w:firstLine="0"/>
        <w:jc w:val="center"/>
        <w:rPr>
          <w:rFonts w:ascii="黑体" w:hAnsi="黑体" w:eastAsia="黑体" w:cs="黑体"/>
          <w:bCs/>
          <w:color w:val="auto"/>
          <w:sz w:val="44"/>
          <w:szCs w:val="24"/>
          <w:highlight w:val="none"/>
        </w:rPr>
      </w:pPr>
    </w:p>
    <w:p w14:paraId="15C687E2">
      <w:pPr>
        <w:spacing w:line="240" w:lineRule="auto"/>
        <w:ind w:firstLine="0"/>
        <w:jc w:val="center"/>
        <w:rPr>
          <w:rFonts w:ascii="黑体" w:hAnsi="黑体" w:eastAsia="黑体" w:cs="黑体"/>
          <w:bCs/>
          <w:color w:val="auto"/>
          <w:sz w:val="44"/>
          <w:szCs w:val="24"/>
          <w:highlight w:val="none"/>
        </w:rPr>
      </w:pPr>
      <w:r>
        <w:rPr>
          <w:rFonts w:hint="eastAsia" w:ascii="黑体" w:hAnsi="黑体" w:eastAsia="黑体" w:cs="黑体"/>
          <w:bCs/>
          <w:color w:val="auto"/>
          <w:sz w:val="44"/>
          <w:szCs w:val="24"/>
          <w:highlight w:val="none"/>
        </w:rPr>
        <w:t>总  目  录</w:t>
      </w:r>
    </w:p>
    <w:p w14:paraId="426B37D5">
      <w:pPr>
        <w:spacing w:line="240" w:lineRule="auto"/>
        <w:ind w:firstLine="0"/>
        <w:jc w:val="center"/>
        <w:rPr>
          <w:rFonts w:ascii="黑体" w:hAnsi="黑体" w:eastAsia="黑体" w:cs="黑体"/>
          <w:bCs/>
          <w:color w:val="auto"/>
          <w:sz w:val="44"/>
          <w:szCs w:val="24"/>
          <w:highlight w:val="none"/>
        </w:rPr>
      </w:pPr>
    </w:p>
    <w:p w14:paraId="078393F6">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招标公告……………………………</w:t>
      </w:r>
      <w:r>
        <w:rPr>
          <w:rFonts w:hint="eastAsia" w:ascii="黑体" w:hAnsi="Showcard Gothic" w:eastAsia="黑体" w:cs="Times New Roman"/>
          <w:color w:val="auto"/>
          <w:sz w:val="36"/>
          <w:szCs w:val="24"/>
          <w:highlight w:val="none"/>
          <w:lang w:val="en-US" w:eastAsia="zh-CN"/>
        </w:rPr>
        <w:t>2</w:t>
      </w:r>
    </w:p>
    <w:p w14:paraId="7BE8D18F">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投标人须知…………………………</w:t>
      </w:r>
      <w:r>
        <w:rPr>
          <w:rFonts w:hint="eastAsia" w:ascii="黑体" w:hAnsi="Showcard Gothic" w:eastAsia="黑体" w:cs="Times New Roman"/>
          <w:color w:val="auto"/>
          <w:sz w:val="36"/>
          <w:szCs w:val="24"/>
          <w:highlight w:val="none"/>
          <w:lang w:val="en-US" w:eastAsia="zh-CN"/>
        </w:rPr>
        <w:t>5</w:t>
      </w:r>
    </w:p>
    <w:p w14:paraId="01BB5CD5">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合同文本……………………………2</w:t>
      </w:r>
      <w:r>
        <w:rPr>
          <w:rFonts w:hint="eastAsia" w:ascii="黑体" w:hAnsi="Showcard Gothic" w:eastAsia="黑体" w:cs="Times New Roman"/>
          <w:color w:val="auto"/>
          <w:sz w:val="36"/>
          <w:szCs w:val="24"/>
          <w:highlight w:val="none"/>
          <w:lang w:val="en-US" w:eastAsia="zh-CN"/>
        </w:rPr>
        <w:t>1</w:t>
      </w:r>
    </w:p>
    <w:p w14:paraId="4686E44D">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第四章  采购需求……………………………</w:t>
      </w:r>
      <w:r>
        <w:rPr>
          <w:rFonts w:hint="eastAsia" w:ascii="黑体" w:hAnsi="Showcard Gothic" w:eastAsia="黑体" w:cs="Times New Roman"/>
          <w:color w:val="auto"/>
          <w:sz w:val="36"/>
          <w:szCs w:val="24"/>
          <w:highlight w:val="none"/>
          <w:lang w:val="en-US" w:eastAsia="zh-CN"/>
        </w:rPr>
        <w:t>38</w:t>
      </w:r>
    </w:p>
    <w:p w14:paraId="08DF75DF">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第五章  评标方法与评标标准………………</w:t>
      </w:r>
      <w:r>
        <w:rPr>
          <w:rFonts w:hint="eastAsia" w:ascii="黑体" w:hAnsi="Showcard Gothic" w:eastAsia="黑体" w:cs="Times New Roman"/>
          <w:color w:val="auto"/>
          <w:sz w:val="36"/>
          <w:szCs w:val="24"/>
          <w:highlight w:val="none"/>
          <w:lang w:val="en-US" w:eastAsia="zh-CN"/>
        </w:rPr>
        <w:t>49</w:t>
      </w:r>
    </w:p>
    <w:p w14:paraId="69110DE3">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第六章  投标文件格式………………………</w:t>
      </w:r>
      <w:r>
        <w:rPr>
          <w:rFonts w:hint="eastAsia" w:ascii="黑体" w:hAnsi="Showcard Gothic" w:eastAsia="黑体" w:cs="Times New Roman"/>
          <w:color w:val="auto"/>
          <w:sz w:val="36"/>
          <w:szCs w:val="24"/>
          <w:highlight w:val="none"/>
          <w:lang w:val="en-US" w:eastAsia="zh-CN"/>
        </w:rPr>
        <w:t>55</w:t>
      </w:r>
    </w:p>
    <w:p w14:paraId="4B913E4A">
      <w:pPr>
        <w:widowControl/>
        <w:ind w:left="0" w:firstLine="0"/>
        <w:jc w:val="center"/>
        <w:outlineLvl w:val="0"/>
        <w:rPr>
          <w:bCs/>
          <w:color w:val="auto"/>
          <w:highlight w:val="none"/>
        </w:rPr>
      </w:pPr>
      <w:r>
        <w:rPr>
          <w:rFonts w:hint="eastAsia"/>
          <w:color w:val="auto"/>
          <w:highlight w:val="none"/>
        </w:rPr>
        <w:br w:type="page" w:clear="all"/>
      </w:r>
      <w:r>
        <w:rPr>
          <w:rFonts w:hint="eastAsia" w:ascii="黑体" w:eastAsia="黑体" w:cs="黑体"/>
          <w:color w:val="auto"/>
          <w:sz w:val="44"/>
          <w:szCs w:val="44"/>
          <w:highlight w:val="none"/>
        </w:rPr>
        <w:t xml:space="preserve">第一章 </w:t>
      </w:r>
      <w:r>
        <w:rPr>
          <w:rFonts w:hint="eastAsia"/>
          <w:color w:val="auto"/>
          <w:highlight w:val="none"/>
        </w:rPr>
        <w:t xml:space="preserve"> </w:t>
      </w:r>
      <w:r>
        <w:rPr>
          <w:rFonts w:hint="eastAsia" w:ascii="黑体" w:eastAsia="黑体" w:cs="黑体"/>
          <w:color w:val="auto"/>
          <w:sz w:val="44"/>
          <w:szCs w:val="44"/>
          <w:highlight w:val="none"/>
        </w:rPr>
        <w:t>招标公告</w:t>
      </w:r>
    </w:p>
    <w:p w14:paraId="2DE4B716">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40" w:lineRule="exact"/>
        <w:ind w:firstLine="480"/>
        <w:textAlignment w:val="auto"/>
        <w:rPr>
          <w:color w:val="auto"/>
          <w:sz w:val="24"/>
          <w:szCs w:val="20"/>
          <w:highlight w:val="none"/>
        </w:rPr>
      </w:pPr>
      <w:r>
        <w:rPr>
          <w:rFonts w:hint="eastAsia"/>
          <w:color w:val="auto"/>
          <w:sz w:val="24"/>
          <w:szCs w:val="20"/>
          <w:highlight w:val="none"/>
        </w:rPr>
        <w:t>项目概况</w:t>
      </w:r>
    </w:p>
    <w:p w14:paraId="141B3A74">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40" w:lineRule="exact"/>
        <w:ind w:firstLine="480"/>
        <w:textAlignment w:val="auto"/>
        <w:rPr>
          <w:color w:val="auto"/>
          <w:sz w:val="24"/>
          <w:szCs w:val="20"/>
          <w:highlight w:val="none"/>
        </w:rPr>
      </w:pPr>
      <w:bookmarkStart w:id="0" w:name="_Toc35393629"/>
      <w:bookmarkStart w:id="1" w:name="_Toc28359012"/>
      <w:bookmarkStart w:id="2" w:name="_Toc35393798"/>
      <w:bookmarkStart w:id="3" w:name="_Toc28359089"/>
      <w:r>
        <w:rPr>
          <w:rFonts w:hint="eastAsia"/>
          <w:color w:val="auto"/>
          <w:sz w:val="24"/>
          <w:szCs w:val="20"/>
          <w:highlight w:val="none"/>
          <w:u w:val="single"/>
          <w:lang w:eastAsia="zh-CN"/>
        </w:rPr>
        <w:t>盐城市亭湖区东亭湖街道社区卫生服务中心物业服务项目</w:t>
      </w:r>
      <w:r>
        <w:rPr>
          <w:rFonts w:hint="eastAsia"/>
          <w:color w:val="auto"/>
          <w:sz w:val="24"/>
          <w:szCs w:val="20"/>
          <w:highlight w:val="none"/>
        </w:rPr>
        <w:t>的潜在投标人</w:t>
      </w:r>
      <w:r>
        <w:rPr>
          <w:rFonts w:hint="eastAsia"/>
          <w:color w:val="auto"/>
          <w:sz w:val="24"/>
          <w:szCs w:val="24"/>
          <w:highlight w:val="none"/>
          <w:lang w:val="en-US" w:eastAsia="zh-CN"/>
        </w:rPr>
        <w:t>应</w:t>
      </w:r>
      <w:r>
        <w:rPr>
          <w:rFonts w:hint="eastAsia"/>
          <w:color w:val="auto"/>
          <w:sz w:val="24"/>
          <w:szCs w:val="20"/>
          <w:highlight w:val="none"/>
        </w:rPr>
        <w:t>在</w:t>
      </w:r>
      <w:r>
        <w:rPr>
          <w:rFonts w:hint="eastAsia"/>
          <w:color w:val="auto"/>
          <w:sz w:val="24"/>
          <w:szCs w:val="20"/>
          <w:highlight w:val="none"/>
          <w:u w:val="single"/>
        </w:rPr>
        <w:t>“苏采云”系统内免费下载（投标人必须在苏采云系统中获取</w:t>
      </w:r>
      <w:r>
        <w:rPr>
          <w:rFonts w:hint="eastAsia"/>
          <w:color w:val="auto"/>
          <w:sz w:val="24"/>
          <w:szCs w:val="20"/>
          <w:highlight w:val="none"/>
          <w:u w:val="single"/>
          <w:lang w:eastAsia="zh-CN"/>
        </w:rPr>
        <w:t>招标文件</w:t>
      </w:r>
      <w:r>
        <w:rPr>
          <w:rFonts w:hint="eastAsia"/>
          <w:color w:val="auto"/>
          <w:sz w:val="24"/>
          <w:szCs w:val="20"/>
          <w:highlight w:val="none"/>
          <w:u w:val="single"/>
        </w:rPr>
        <w:t>，方能参与政府采购项目）</w:t>
      </w:r>
      <w:r>
        <w:rPr>
          <w:rFonts w:hint="eastAsia"/>
          <w:color w:val="auto"/>
          <w:sz w:val="24"/>
          <w:szCs w:val="20"/>
          <w:highlight w:val="none"/>
        </w:rPr>
        <w:t>获取招标文件，</w:t>
      </w:r>
      <w:bookmarkEnd w:id="0"/>
      <w:bookmarkEnd w:id="1"/>
      <w:bookmarkEnd w:id="2"/>
      <w:bookmarkEnd w:id="3"/>
      <w:r>
        <w:rPr>
          <w:rFonts w:hint="eastAsia"/>
          <w:color w:val="auto"/>
          <w:sz w:val="24"/>
          <w:szCs w:val="20"/>
          <w:highlight w:val="none"/>
        </w:rPr>
        <w:t>并于</w:t>
      </w:r>
      <w:r>
        <w:rPr>
          <w:rFonts w:hint="eastAsia"/>
          <w:color w:val="0000FF"/>
          <w:sz w:val="24"/>
          <w:szCs w:val="20"/>
          <w:highlight w:val="none"/>
          <w:u w:val="single"/>
        </w:rPr>
        <w:t>202</w:t>
      </w:r>
      <w:r>
        <w:rPr>
          <w:rFonts w:hint="eastAsia"/>
          <w:color w:val="0000FF"/>
          <w:sz w:val="24"/>
          <w:szCs w:val="20"/>
          <w:highlight w:val="none"/>
          <w:u w:val="single"/>
          <w:lang w:val="en-US" w:eastAsia="zh-CN"/>
        </w:rPr>
        <w:t>6</w:t>
      </w:r>
      <w:r>
        <w:rPr>
          <w:rFonts w:hint="eastAsia"/>
          <w:color w:val="0000FF"/>
          <w:sz w:val="24"/>
          <w:szCs w:val="20"/>
          <w:highlight w:val="none"/>
          <w:u w:val="single"/>
        </w:rPr>
        <w:t>年</w:t>
      </w:r>
      <w:r>
        <w:rPr>
          <w:rFonts w:hint="eastAsia"/>
          <w:color w:val="0000FF"/>
          <w:sz w:val="24"/>
          <w:szCs w:val="20"/>
          <w:highlight w:val="none"/>
          <w:u w:val="single"/>
          <w:lang w:val="en-US" w:eastAsia="zh-CN"/>
        </w:rPr>
        <w:t xml:space="preserve"> 8 </w:t>
      </w:r>
      <w:r>
        <w:rPr>
          <w:rFonts w:hint="eastAsia"/>
          <w:color w:val="0000FF"/>
          <w:sz w:val="24"/>
          <w:szCs w:val="20"/>
          <w:highlight w:val="none"/>
          <w:u w:val="single"/>
        </w:rPr>
        <w:t>月</w:t>
      </w:r>
      <w:r>
        <w:rPr>
          <w:rFonts w:hint="eastAsia"/>
          <w:color w:val="0000FF"/>
          <w:sz w:val="24"/>
          <w:szCs w:val="20"/>
          <w:highlight w:val="none"/>
          <w:u w:val="single"/>
          <w:lang w:val="en-US" w:eastAsia="zh-CN"/>
        </w:rPr>
        <w:t xml:space="preserve"> 17 </w:t>
      </w:r>
      <w:r>
        <w:rPr>
          <w:rFonts w:hint="eastAsia"/>
          <w:color w:val="0000FF"/>
          <w:sz w:val="24"/>
          <w:szCs w:val="20"/>
          <w:highlight w:val="none"/>
          <w:u w:val="single"/>
        </w:rPr>
        <w:t>日9点00分</w:t>
      </w:r>
      <w:r>
        <w:rPr>
          <w:rFonts w:hint="eastAsia"/>
          <w:color w:val="auto"/>
          <w:sz w:val="24"/>
          <w:szCs w:val="20"/>
          <w:highlight w:val="none"/>
        </w:rPr>
        <w:t>（北京时间）前递交投标文件。</w:t>
      </w:r>
    </w:p>
    <w:p w14:paraId="0886C5D5">
      <w:pPr>
        <w:keepNext w:val="0"/>
        <w:keepLines w:val="0"/>
        <w:pageBreakBefore w:val="0"/>
        <w:widowControl/>
        <w:kinsoku/>
        <w:wordWrap/>
        <w:overflowPunct/>
        <w:topLinePunct w:val="0"/>
        <w:autoSpaceDE/>
        <w:autoSpaceDN/>
        <w:bidi w:val="0"/>
        <w:adjustRightInd/>
        <w:snapToGrid/>
        <w:spacing w:line="440" w:lineRule="exact"/>
        <w:ind w:firstLine="482"/>
        <w:textAlignment w:val="auto"/>
        <w:rPr>
          <w:b/>
          <w:bCs/>
          <w:color w:val="auto"/>
          <w:sz w:val="24"/>
          <w:szCs w:val="20"/>
          <w:highlight w:val="none"/>
        </w:rPr>
      </w:pPr>
      <w:r>
        <w:rPr>
          <w:rFonts w:hint="eastAsia"/>
          <w:b/>
          <w:bCs/>
          <w:color w:val="auto"/>
          <w:sz w:val="24"/>
          <w:szCs w:val="20"/>
          <w:highlight w:val="none"/>
        </w:rPr>
        <w:t>一、项目基本情况</w:t>
      </w:r>
    </w:p>
    <w:p w14:paraId="6B3C3A1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color w:val="auto"/>
          <w:sz w:val="24"/>
          <w:szCs w:val="24"/>
          <w:highlight w:val="none"/>
          <w:lang w:eastAsia="zh-CN"/>
          <w14:ligatures w14:val="none"/>
        </w:rPr>
      </w:pPr>
      <w:r>
        <w:rPr>
          <w:rFonts w:hint="eastAsia"/>
          <w:color w:val="auto"/>
          <w:sz w:val="24"/>
          <w:szCs w:val="20"/>
          <w:highlight w:val="none"/>
        </w:rPr>
        <w:t>1.项目编</w:t>
      </w:r>
      <w:r>
        <w:rPr>
          <w:rFonts w:hint="eastAsia"/>
          <w:color w:val="auto"/>
          <w:sz w:val="24"/>
          <w:szCs w:val="24"/>
          <w:highlight w:val="none"/>
          <w:lang w:eastAsia="zh-CN"/>
        </w:rPr>
        <w:t>号：JSZC-320902-JZCG-G2026-0034</w:t>
      </w:r>
      <w:r>
        <w:rPr>
          <w:rFonts w:hint="eastAsia"/>
          <w:color w:val="auto"/>
          <w:sz w:val="24"/>
          <w:szCs w:val="24"/>
          <w:highlight w:val="none"/>
          <w:lang w:val="en-US" w:eastAsia="zh-CN"/>
        </w:rPr>
        <w:t xml:space="preserve"> </w:t>
      </w:r>
    </w:p>
    <w:p w14:paraId="7D420144">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0"/>
          <w:highlight w:val="none"/>
        </w:rPr>
      </w:pPr>
      <w:r>
        <w:rPr>
          <w:rFonts w:hint="eastAsia"/>
          <w:color w:val="auto"/>
          <w:sz w:val="24"/>
          <w:szCs w:val="20"/>
          <w:highlight w:val="none"/>
        </w:rPr>
        <w:t>2.项目名称：</w:t>
      </w:r>
      <w:r>
        <w:rPr>
          <w:rFonts w:hint="eastAsia"/>
          <w:color w:val="auto"/>
          <w:sz w:val="24"/>
          <w:szCs w:val="20"/>
          <w:highlight w:val="none"/>
          <w:lang w:eastAsia="zh-CN"/>
        </w:rPr>
        <w:t>盐城市亭湖区东亭湖街道社区卫生服务中心物业服务项目</w:t>
      </w:r>
    </w:p>
    <w:p w14:paraId="209F7C1F">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0"/>
          <w:highlight w:val="none"/>
        </w:rPr>
      </w:pPr>
      <w:r>
        <w:rPr>
          <w:rFonts w:hint="eastAsia"/>
          <w:color w:val="auto"/>
          <w:sz w:val="24"/>
          <w:szCs w:val="20"/>
          <w:highlight w:val="none"/>
        </w:rPr>
        <w:t>3.采购方式：公开招标</w:t>
      </w:r>
    </w:p>
    <w:p w14:paraId="7F19C86F">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4.预算金额：</w:t>
      </w:r>
      <w:bookmarkStart w:id="4" w:name="_Toc35393805"/>
      <w:bookmarkStart w:id="5" w:name="_Toc35393636"/>
      <w:bookmarkStart w:id="6" w:name="_Toc28359018"/>
      <w:bookmarkStart w:id="7" w:name="_Toc28359095"/>
      <w:r>
        <w:rPr>
          <w:rFonts w:hint="eastAsia"/>
          <w:color w:val="auto"/>
          <w:sz w:val="24"/>
          <w:szCs w:val="20"/>
          <w:highlight w:val="none"/>
          <w:lang w:val="en-US" w:eastAsia="zh-CN"/>
        </w:rPr>
        <w:t>31</w:t>
      </w:r>
      <w:r>
        <w:rPr>
          <w:rFonts w:hint="eastAsia"/>
          <w:color w:val="auto"/>
          <w:sz w:val="24"/>
          <w:szCs w:val="20"/>
          <w:highlight w:val="none"/>
        </w:rPr>
        <w:t xml:space="preserve">万元 </w:t>
      </w:r>
    </w:p>
    <w:p w14:paraId="7A0490D7">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default" w:eastAsia="宋体"/>
          <w:color w:val="auto"/>
          <w:sz w:val="24"/>
          <w:szCs w:val="20"/>
          <w:highlight w:val="none"/>
          <w:lang w:val="en-US" w:eastAsia="zh-CN"/>
        </w:rPr>
      </w:pPr>
      <w:r>
        <w:rPr>
          <w:rFonts w:hint="eastAsia"/>
          <w:color w:val="auto"/>
          <w:sz w:val="24"/>
          <w:szCs w:val="20"/>
          <w:highlight w:val="none"/>
        </w:rPr>
        <w:t>5.最高限价：</w:t>
      </w:r>
      <w:r>
        <w:rPr>
          <w:rFonts w:hint="eastAsia"/>
          <w:color w:val="auto"/>
          <w:sz w:val="24"/>
          <w:szCs w:val="20"/>
          <w:highlight w:val="none"/>
          <w:lang w:val="en-US" w:eastAsia="zh-CN"/>
        </w:rPr>
        <w:t>31</w:t>
      </w:r>
      <w:r>
        <w:rPr>
          <w:rFonts w:hint="eastAsia"/>
          <w:color w:val="auto"/>
          <w:sz w:val="24"/>
          <w:szCs w:val="20"/>
          <w:highlight w:val="none"/>
        </w:rPr>
        <w:t>万元</w:t>
      </w:r>
    </w:p>
    <w:p w14:paraId="042A060F">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6.采购需求：</w:t>
      </w:r>
      <w:r>
        <w:rPr>
          <w:rFonts w:hint="eastAsia" w:cs="宋体"/>
          <w:color w:val="auto"/>
          <w:sz w:val="24"/>
          <w:szCs w:val="20"/>
          <w:highlight w:val="none"/>
          <w:lang w:eastAsia="zh-CN"/>
        </w:rPr>
        <w:t>盐城市亭湖区东亭湖街道社区卫生服务中心物业服务项目</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具体内容及要求详见招标文件第四章采购需求，采购人保留对服务内容进行适当调整的权利</w:t>
      </w:r>
      <w:r>
        <w:rPr>
          <w:rFonts w:hint="eastAsia" w:ascii="宋体" w:hAnsi="宋体" w:eastAsia="宋体" w:cs="宋体"/>
          <w:color w:val="auto"/>
          <w:sz w:val="24"/>
          <w:szCs w:val="20"/>
          <w:highlight w:val="none"/>
          <w:lang w:val="en-US" w:eastAsia="zh-CN"/>
        </w:rPr>
        <w:t>。</w:t>
      </w:r>
    </w:p>
    <w:p w14:paraId="1F52790F">
      <w:pPr>
        <w:pStyle w:val="46"/>
        <w:keepNext w:val="0"/>
        <w:keepLines w:val="0"/>
        <w:pageBreakBefore w:val="0"/>
        <w:widowControl w:val="0"/>
        <w:kinsoku/>
        <w:wordWrap/>
        <w:overflowPunct/>
        <w:topLinePunct w:val="0"/>
        <w:autoSpaceDE/>
        <w:autoSpaceDN/>
        <w:bidi w:val="0"/>
        <w:adjustRightInd/>
        <w:snapToGrid/>
        <w:spacing w:line="400" w:lineRule="exact"/>
        <w:ind w:left="0" w:firstLine="482"/>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0"/>
          <w:highlight w:val="none"/>
        </w:rPr>
        <w:t>7.合同履行期限：</w:t>
      </w:r>
      <w:r>
        <w:rPr>
          <w:rFonts w:hint="eastAsia" w:ascii="宋体" w:hAnsi="宋体" w:cs="宋体"/>
          <w:color w:val="auto"/>
          <w:sz w:val="24"/>
          <w:szCs w:val="20"/>
          <w:highlight w:val="none"/>
          <w:lang w:val="en-US" w:eastAsia="zh-CN"/>
        </w:rPr>
        <w:t>服务期一年</w:t>
      </w:r>
      <w:r>
        <w:rPr>
          <w:rFonts w:hint="eastAsia" w:ascii="宋体" w:hAnsi="宋体" w:eastAsia="宋体" w:cs="宋体"/>
          <w:color w:val="auto"/>
          <w:sz w:val="24"/>
          <w:szCs w:val="20"/>
          <w:highlight w:val="none"/>
        </w:rPr>
        <w:t>。</w:t>
      </w:r>
    </w:p>
    <w:p w14:paraId="107DE98D">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8.本项目（是/否）接受联合体投标：否。</w:t>
      </w:r>
    </w:p>
    <w:p w14:paraId="2F8615CB">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二、申请人的资格要求</w:t>
      </w:r>
    </w:p>
    <w:p w14:paraId="4449A09A">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1.满足《中华人民共和国政府采购法》第二十二条规定，并提供下列材料：</w:t>
      </w:r>
    </w:p>
    <w:p w14:paraId="4CE7DC6D">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1.1 法人或者其他组织的营业执照等证明文件</w:t>
      </w:r>
      <w:r>
        <w:rPr>
          <w:rFonts w:hint="eastAsia"/>
          <w:color w:val="auto"/>
          <w:sz w:val="24"/>
          <w:szCs w:val="20"/>
          <w:highlight w:val="none"/>
          <w:lang w:val="en-US" w:eastAsia="zh-CN"/>
        </w:rPr>
        <w:t>或</w:t>
      </w:r>
      <w:r>
        <w:rPr>
          <w:rFonts w:hint="eastAsia"/>
          <w:color w:val="auto"/>
          <w:sz w:val="24"/>
          <w:szCs w:val="20"/>
          <w:highlight w:val="none"/>
        </w:rPr>
        <w:t>自然人的身份证明；</w:t>
      </w:r>
    </w:p>
    <w:p w14:paraId="3FEF793B">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1.2</w:t>
      </w:r>
      <w:r>
        <w:rPr>
          <w:rFonts w:hint="eastAsia"/>
          <w:color w:val="auto"/>
          <w:sz w:val="24"/>
          <w:szCs w:val="20"/>
          <w:highlight w:val="none"/>
          <w:lang w:val="en-US" w:eastAsia="zh-CN"/>
        </w:rPr>
        <w:t xml:space="preserve"> 上一年度</w:t>
      </w:r>
      <w:r>
        <w:rPr>
          <w:rFonts w:hint="eastAsia"/>
          <w:color w:val="auto"/>
          <w:sz w:val="24"/>
          <w:szCs w:val="20"/>
          <w:highlight w:val="none"/>
        </w:rPr>
        <w:t>的财务状况报告（</w:t>
      </w:r>
      <w:r>
        <w:rPr>
          <w:rFonts w:hint="eastAsia" w:ascii="宋体" w:hAnsi="宋体" w:cs="宋体"/>
          <w:color w:val="auto"/>
          <w:sz w:val="24"/>
          <w:szCs w:val="24"/>
          <w:highlight w:val="none"/>
        </w:rPr>
        <w:t>至少提供资产负债表、利润表、现金流量表，</w:t>
      </w:r>
      <w:r>
        <w:rPr>
          <w:rFonts w:hint="eastAsia" w:cs="宋体"/>
          <w:color w:val="auto"/>
          <w:sz w:val="24"/>
          <w:szCs w:val="24"/>
          <w:highlight w:val="none"/>
          <w:lang w:eastAsia="zh-CN"/>
        </w:rPr>
        <w:t>投标人</w:t>
      </w:r>
      <w:r>
        <w:rPr>
          <w:rFonts w:hint="eastAsia" w:ascii="宋体" w:hAnsi="宋体" w:cs="宋体"/>
          <w:color w:val="auto"/>
          <w:sz w:val="24"/>
          <w:szCs w:val="24"/>
          <w:highlight w:val="none"/>
        </w:rPr>
        <w:t>成立不满一年无需提供</w:t>
      </w:r>
      <w:r>
        <w:rPr>
          <w:rFonts w:hint="eastAsia"/>
          <w:color w:val="auto"/>
          <w:sz w:val="24"/>
          <w:szCs w:val="20"/>
          <w:highlight w:val="none"/>
        </w:rPr>
        <w:t>）；</w:t>
      </w:r>
    </w:p>
    <w:p w14:paraId="63AB495A">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1.3具备履行合同所必需的设备和专业技术能力的书面声明；</w:t>
      </w:r>
    </w:p>
    <w:p w14:paraId="351FFDC8">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1.4依法缴纳税收和社会保障资金的相关材料（提供提交投标文件截止时间前一年内至少一个月依法缴纳税收及缴纳社会保障资金的证明材料。</w:t>
      </w:r>
      <w:r>
        <w:rPr>
          <w:rFonts w:hint="eastAsia"/>
          <w:color w:val="auto"/>
          <w:sz w:val="24"/>
          <w:szCs w:val="20"/>
          <w:highlight w:val="none"/>
          <w:lang w:eastAsia="zh-CN"/>
        </w:rPr>
        <w:t>投标人</w:t>
      </w:r>
      <w:r>
        <w:rPr>
          <w:rFonts w:hint="eastAsia"/>
          <w:color w:val="auto"/>
          <w:sz w:val="24"/>
          <w:szCs w:val="20"/>
          <w:highlight w:val="none"/>
        </w:rPr>
        <w:t>依法享受缓缴、免缴税收、社会保障资金的提供证明材料。）</w:t>
      </w:r>
    </w:p>
    <w:p w14:paraId="67C38CA6">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1.5参加政府采购活动前3年内在经营活动中没有重大违法记录的书面声明。</w:t>
      </w:r>
    </w:p>
    <w:p w14:paraId="0AF11180">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1.6法律、行政法规规定的其他条件。</w:t>
      </w:r>
    </w:p>
    <w:p w14:paraId="47FCC8E3">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7794F94">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1.8单位负责人为同一人或者存在直接控股、管理关系的不同</w:t>
      </w:r>
      <w:r>
        <w:rPr>
          <w:rFonts w:hint="eastAsia"/>
          <w:color w:val="auto"/>
          <w:sz w:val="24"/>
          <w:szCs w:val="20"/>
          <w:highlight w:val="none"/>
          <w:lang w:eastAsia="zh-CN"/>
        </w:rPr>
        <w:t>投标人</w:t>
      </w:r>
      <w:r>
        <w:rPr>
          <w:rFonts w:hint="eastAsia"/>
          <w:color w:val="auto"/>
          <w:sz w:val="24"/>
          <w:szCs w:val="20"/>
          <w:highlight w:val="none"/>
        </w:rPr>
        <w:t>，不得参加同一合同项下的政府采购活动。</w:t>
      </w:r>
    </w:p>
    <w:p w14:paraId="523F6A4C">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2.落实政府采购政策需满足的资格要求：</w:t>
      </w:r>
      <w:r>
        <w:rPr>
          <w:rFonts w:hint="eastAsia"/>
          <w:b/>
          <w:bCs/>
          <w:color w:val="auto"/>
          <w:sz w:val="24"/>
          <w:szCs w:val="20"/>
          <w:highlight w:val="none"/>
        </w:rPr>
        <w:t>本项目专门面向中小企业采购。采购标的的所属行业为物业管理，投标人需按照</w:t>
      </w:r>
      <w:r>
        <w:rPr>
          <w:rFonts w:hint="eastAsia"/>
          <w:b/>
          <w:bCs/>
          <w:color w:val="auto"/>
          <w:sz w:val="24"/>
          <w:szCs w:val="20"/>
          <w:highlight w:val="none"/>
          <w:lang w:eastAsia="zh-CN"/>
        </w:rPr>
        <w:t>招标文件</w:t>
      </w:r>
      <w:r>
        <w:rPr>
          <w:rFonts w:hint="eastAsia"/>
          <w:b/>
          <w:bCs/>
          <w:color w:val="auto"/>
          <w:sz w:val="24"/>
          <w:szCs w:val="20"/>
          <w:highlight w:val="none"/>
        </w:rPr>
        <w:t>的要求提供相应的《中小企业声明函》。企业标准请参照《关于印发中小企业划型标准规定的通知》（工信部联企业[2011]300号）文件规定自行填写。</w:t>
      </w:r>
    </w:p>
    <w:p w14:paraId="4CA30A95">
      <w:pPr>
        <w:keepNext w:val="0"/>
        <w:keepLines w:val="0"/>
        <w:pageBreakBefore w:val="0"/>
        <w:widowControl/>
        <w:kinsoku/>
        <w:wordWrap/>
        <w:overflowPunct/>
        <w:topLinePunct w:val="0"/>
        <w:autoSpaceDE/>
        <w:autoSpaceDN/>
        <w:bidi w:val="0"/>
        <w:adjustRightInd/>
        <w:snapToGrid/>
        <w:spacing w:line="400" w:lineRule="exact"/>
        <w:ind w:firstLine="482"/>
        <w:textAlignment w:val="auto"/>
        <w:rPr>
          <w:strike/>
          <w:color w:val="auto"/>
          <w:sz w:val="24"/>
          <w:szCs w:val="20"/>
          <w:highlight w:val="none"/>
        </w:rPr>
      </w:pPr>
      <w:r>
        <w:rPr>
          <w:rFonts w:hint="eastAsia"/>
          <w:color w:val="auto"/>
          <w:sz w:val="24"/>
          <w:szCs w:val="20"/>
          <w:highlight w:val="none"/>
        </w:rPr>
        <w:t>3.本项目的特定资格要求：无。</w:t>
      </w:r>
    </w:p>
    <w:p w14:paraId="198C1B09">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三、获取招标文件</w:t>
      </w:r>
    </w:p>
    <w:p w14:paraId="041F4639">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bookmarkStart w:id="8" w:name="_Toc28359005"/>
      <w:bookmarkStart w:id="9" w:name="_Toc35393624"/>
      <w:bookmarkStart w:id="10" w:name="_Toc35393793"/>
      <w:bookmarkStart w:id="11" w:name="_Toc28359082"/>
      <w:bookmarkStart w:id="12" w:name="_Toc38985266"/>
      <w:r>
        <w:rPr>
          <w:rFonts w:hint="eastAsia"/>
          <w:color w:val="auto"/>
          <w:sz w:val="24"/>
          <w:szCs w:val="20"/>
          <w:highlight w:val="none"/>
        </w:rPr>
        <w:t>1.时间：</w:t>
      </w:r>
      <w:bookmarkEnd w:id="8"/>
      <w:bookmarkEnd w:id="9"/>
      <w:bookmarkEnd w:id="10"/>
      <w:bookmarkEnd w:id="11"/>
      <w:bookmarkEnd w:id="12"/>
      <w:r>
        <w:rPr>
          <w:rFonts w:hint="eastAsia"/>
          <w:color w:val="auto"/>
          <w:sz w:val="24"/>
          <w:szCs w:val="20"/>
          <w:highlight w:val="none"/>
        </w:rPr>
        <w:t>自招标文件公告发布之日起5个工作日</w:t>
      </w:r>
    </w:p>
    <w:p w14:paraId="3E93F101">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2.地点：“苏采云”系统内免费下载（投标人必须在苏采云系统中获取</w:t>
      </w:r>
      <w:r>
        <w:rPr>
          <w:rFonts w:hint="eastAsia"/>
          <w:color w:val="auto"/>
          <w:sz w:val="24"/>
          <w:szCs w:val="20"/>
          <w:highlight w:val="none"/>
          <w:lang w:eastAsia="zh-CN"/>
        </w:rPr>
        <w:t>招标文件</w:t>
      </w:r>
      <w:r>
        <w:rPr>
          <w:rFonts w:hint="eastAsia"/>
          <w:color w:val="auto"/>
          <w:sz w:val="24"/>
          <w:szCs w:val="20"/>
          <w:highlight w:val="none"/>
        </w:rPr>
        <w:t xml:space="preserve">，方能参与政府采购项目） </w:t>
      </w:r>
    </w:p>
    <w:p w14:paraId="521185CF">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 xml:space="preserve">3.方式：本项目采用网上注册登记方式。 </w:t>
      </w:r>
    </w:p>
    <w:p w14:paraId="361CC45F">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4.售价：0元</w:t>
      </w:r>
    </w:p>
    <w:p w14:paraId="7F7AFF23">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四、提交投标文件截止时间、开标时间和地点</w:t>
      </w:r>
    </w:p>
    <w:p w14:paraId="34A3A3A0">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0000FF"/>
          <w:sz w:val="24"/>
          <w:szCs w:val="20"/>
          <w:highlight w:val="none"/>
        </w:rPr>
      </w:pPr>
      <w:r>
        <w:rPr>
          <w:rFonts w:hint="eastAsia"/>
          <w:color w:val="0000FF"/>
          <w:sz w:val="24"/>
          <w:szCs w:val="20"/>
          <w:highlight w:val="none"/>
        </w:rPr>
        <w:t>1.时间：202</w:t>
      </w:r>
      <w:r>
        <w:rPr>
          <w:rFonts w:hint="eastAsia"/>
          <w:color w:val="0000FF"/>
          <w:sz w:val="24"/>
          <w:szCs w:val="20"/>
          <w:highlight w:val="none"/>
          <w:lang w:val="en-US" w:eastAsia="zh-CN"/>
        </w:rPr>
        <w:t>6</w:t>
      </w:r>
      <w:r>
        <w:rPr>
          <w:rFonts w:hint="eastAsia"/>
          <w:color w:val="0000FF"/>
          <w:sz w:val="24"/>
          <w:szCs w:val="20"/>
          <w:highlight w:val="none"/>
        </w:rPr>
        <w:t>年</w:t>
      </w:r>
      <w:r>
        <w:rPr>
          <w:rFonts w:hint="eastAsia"/>
          <w:color w:val="0000FF"/>
          <w:sz w:val="24"/>
          <w:szCs w:val="20"/>
          <w:highlight w:val="none"/>
          <w:lang w:val="en-US" w:eastAsia="zh-CN"/>
        </w:rPr>
        <w:t xml:space="preserve"> 8 </w:t>
      </w:r>
      <w:r>
        <w:rPr>
          <w:rFonts w:hint="eastAsia"/>
          <w:color w:val="0000FF"/>
          <w:sz w:val="24"/>
          <w:szCs w:val="20"/>
          <w:highlight w:val="none"/>
        </w:rPr>
        <w:t>月</w:t>
      </w:r>
      <w:r>
        <w:rPr>
          <w:rFonts w:hint="eastAsia"/>
          <w:color w:val="0000FF"/>
          <w:sz w:val="24"/>
          <w:szCs w:val="20"/>
          <w:highlight w:val="none"/>
          <w:lang w:val="en-US" w:eastAsia="zh-CN"/>
        </w:rPr>
        <w:t xml:space="preserve"> 17 </w:t>
      </w:r>
      <w:r>
        <w:rPr>
          <w:rFonts w:hint="eastAsia"/>
          <w:color w:val="0000FF"/>
          <w:sz w:val="24"/>
          <w:szCs w:val="20"/>
          <w:highlight w:val="none"/>
        </w:rPr>
        <w:t>日</w:t>
      </w:r>
      <w:r>
        <w:rPr>
          <w:rFonts w:hint="eastAsia"/>
          <w:color w:val="0000FF"/>
          <w:sz w:val="24"/>
          <w:szCs w:val="20"/>
          <w:highlight w:val="none"/>
          <w:lang w:val="en-US" w:eastAsia="zh-CN"/>
        </w:rPr>
        <w:t xml:space="preserve"> 9</w:t>
      </w:r>
      <w:r>
        <w:rPr>
          <w:rFonts w:hint="eastAsia"/>
          <w:color w:val="0000FF"/>
          <w:sz w:val="24"/>
          <w:szCs w:val="20"/>
          <w:highlight w:val="none"/>
        </w:rPr>
        <w:t>点00分（北京时间）</w:t>
      </w:r>
    </w:p>
    <w:p w14:paraId="1619EC2C">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2.地点：苏采云“不见面”开标大厅。</w:t>
      </w:r>
    </w:p>
    <w:p w14:paraId="74FDB607">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bookmarkStart w:id="13" w:name="_Toc35393625"/>
      <w:bookmarkStart w:id="14" w:name="_Toc28359007"/>
      <w:bookmarkStart w:id="15" w:name="_Toc35393794"/>
      <w:bookmarkStart w:id="16" w:name="_Toc38985267"/>
      <w:bookmarkStart w:id="17" w:name="_Toc28359084"/>
      <w:r>
        <w:rPr>
          <w:rFonts w:hint="eastAsia"/>
          <w:b/>
          <w:bCs/>
          <w:color w:val="auto"/>
          <w:sz w:val="24"/>
          <w:szCs w:val="20"/>
          <w:highlight w:val="none"/>
        </w:rPr>
        <w:t>五、公告期限</w:t>
      </w:r>
      <w:bookmarkEnd w:id="13"/>
      <w:bookmarkEnd w:id="14"/>
      <w:bookmarkEnd w:id="15"/>
      <w:bookmarkEnd w:id="16"/>
      <w:bookmarkEnd w:id="17"/>
    </w:p>
    <w:p w14:paraId="1D4CF749">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bookmarkStart w:id="18" w:name="_Toc35393795"/>
      <w:bookmarkStart w:id="19" w:name="_Toc38985268"/>
      <w:bookmarkStart w:id="20" w:name="_Toc35393626"/>
      <w:r>
        <w:rPr>
          <w:rFonts w:hint="eastAsia"/>
          <w:color w:val="auto"/>
          <w:sz w:val="24"/>
          <w:szCs w:val="20"/>
          <w:highlight w:val="none"/>
        </w:rPr>
        <w:t>自本公告发布之日起5个工作日。</w:t>
      </w:r>
      <w:bookmarkEnd w:id="18"/>
      <w:bookmarkEnd w:id="19"/>
      <w:bookmarkEnd w:id="20"/>
    </w:p>
    <w:p w14:paraId="4FEB5EB5">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六、其他补充事宜</w:t>
      </w:r>
    </w:p>
    <w:p w14:paraId="3DB628B5">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color w:val="auto"/>
          <w:sz w:val="24"/>
          <w:szCs w:val="20"/>
          <w:highlight w:val="none"/>
          <w:lang w:eastAsia="zh-CN"/>
        </w:rPr>
        <w:t>投标人</w:t>
      </w:r>
      <w:r>
        <w:rPr>
          <w:rFonts w:hint="eastAsia"/>
          <w:color w:val="auto"/>
          <w:sz w:val="24"/>
          <w:szCs w:val="20"/>
          <w:highlight w:val="none"/>
        </w:rPr>
        <w:t>参与政府采购活动相关资料】。</w:t>
      </w:r>
    </w:p>
    <w:p w14:paraId="70AA9C7C">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领取CA和办理电子签章（请至盐城市府西路1号市公共资源交易中心4楼窗口办理，联系电话：15051556883，办理邮箱：yancheng@ideabank.net.cn，具体联系方式见《苏采云系统</w:t>
      </w:r>
      <w:r>
        <w:rPr>
          <w:rFonts w:hint="eastAsia"/>
          <w:color w:val="auto"/>
          <w:sz w:val="24"/>
          <w:szCs w:val="20"/>
          <w:highlight w:val="none"/>
          <w:lang w:eastAsia="zh-CN"/>
        </w:rPr>
        <w:t>投标人</w:t>
      </w:r>
      <w:r>
        <w:rPr>
          <w:rFonts w:hint="eastAsia"/>
          <w:color w:val="auto"/>
          <w:sz w:val="24"/>
          <w:szCs w:val="20"/>
          <w:highlight w:val="none"/>
        </w:rPr>
        <w:t>操作手册》（以下简称《操作手册》））、进行注册并按《操作手册》要求制作、上传电子投标文件,《苏采云系统</w:t>
      </w:r>
      <w:r>
        <w:rPr>
          <w:rFonts w:hint="eastAsia"/>
          <w:color w:val="auto"/>
          <w:sz w:val="24"/>
          <w:szCs w:val="20"/>
          <w:highlight w:val="none"/>
          <w:lang w:eastAsia="zh-CN"/>
        </w:rPr>
        <w:t>投标人</w:t>
      </w:r>
      <w:r>
        <w:rPr>
          <w:rFonts w:hint="eastAsia"/>
          <w:color w:val="auto"/>
          <w:sz w:val="24"/>
          <w:szCs w:val="20"/>
          <w:highlight w:val="none"/>
        </w:rPr>
        <w:t>操作手册》：在盐城市政府采购网点击【办事指南】-【</w:t>
      </w:r>
      <w:r>
        <w:rPr>
          <w:rFonts w:hint="eastAsia"/>
          <w:color w:val="auto"/>
          <w:sz w:val="24"/>
          <w:szCs w:val="20"/>
          <w:highlight w:val="none"/>
          <w:lang w:eastAsia="zh-CN"/>
        </w:rPr>
        <w:t>投标人</w:t>
      </w:r>
      <w:r>
        <w:rPr>
          <w:rFonts w:hint="eastAsia"/>
          <w:color w:val="auto"/>
          <w:sz w:val="24"/>
          <w:szCs w:val="20"/>
          <w:highlight w:val="none"/>
        </w:rPr>
        <w:t>参与政府采购活动相关资料】。</w:t>
      </w:r>
    </w:p>
    <w:p w14:paraId="4F521BCB">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2.潜在</w:t>
      </w:r>
      <w:r>
        <w:rPr>
          <w:rFonts w:hint="eastAsia"/>
          <w:color w:val="auto"/>
          <w:sz w:val="24"/>
          <w:szCs w:val="20"/>
          <w:highlight w:val="none"/>
          <w:lang w:eastAsia="zh-CN"/>
        </w:rPr>
        <w:t>投标人</w:t>
      </w:r>
      <w:r>
        <w:rPr>
          <w:rFonts w:hint="eastAsia"/>
          <w:color w:val="auto"/>
          <w:sz w:val="24"/>
          <w:szCs w:val="20"/>
          <w:highlight w:val="none"/>
        </w:rPr>
        <w:t xml:space="preserve">访问电子招标响应交易平台的网络地址和方法： </w:t>
      </w:r>
    </w:p>
    <w:p w14:paraId="4CEBA206">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2.1“苏采云”系统用户注册--获取“CA 数字证书”--CA 绑定与登录--参与投标--下载</w:t>
      </w:r>
      <w:r>
        <w:rPr>
          <w:rFonts w:hint="eastAsia"/>
          <w:color w:val="auto"/>
          <w:sz w:val="24"/>
          <w:szCs w:val="20"/>
          <w:highlight w:val="none"/>
          <w:lang w:eastAsia="zh-CN"/>
        </w:rPr>
        <w:t>招标文件</w:t>
      </w:r>
      <w:r>
        <w:rPr>
          <w:rFonts w:hint="eastAsia"/>
          <w:color w:val="auto"/>
          <w:sz w:val="24"/>
          <w:szCs w:val="20"/>
          <w:highlight w:val="none"/>
        </w:rPr>
        <w:t>（后缀名为“.kedt”）--将后缀名为“.kedt”的</w:t>
      </w:r>
      <w:r>
        <w:rPr>
          <w:rFonts w:hint="eastAsia"/>
          <w:color w:val="auto"/>
          <w:sz w:val="24"/>
          <w:szCs w:val="20"/>
          <w:highlight w:val="none"/>
          <w:lang w:eastAsia="zh-CN"/>
        </w:rPr>
        <w:t>招标文件</w:t>
      </w:r>
      <w:r>
        <w:rPr>
          <w:rFonts w:hint="eastAsia"/>
          <w:color w:val="auto"/>
          <w:sz w:val="24"/>
          <w:szCs w:val="20"/>
          <w:highlight w:val="none"/>
        </w:rPr>
        <w:t>导入政府采购客户端工具--制作响应文件--导出加密的响应文件（后缀名为 zip）--通过“苏采云”系统上传响应文件。具体见《“苏采云”系统</w:t>
      </w:r>
      <w:r>
        <w:rPr>
          <w:rFonts w:hint="eastAsia"/>
          <w:color w:val="auto"/>
          <w:sz w:val="24"/>
          <w:szCs w:val="20"/>
          <w:highlight w:val="none"/>
          <w:lang w:eastAsia="zh-CN"/>
        </w:rPr>
        <w:t>投标人</w:t>
      </w:r>
      <w:r>
        <w:rPr>
          <w:rFonts w:hint="eastAsia"/>
          <w:color w:val="auto"/>
          <w:sz w:val="24"/>
          <w:szCs w:val="20"/>
          <w:highlight w:val="none"/>
        </w:rPr>
        <w:t xml:space="preserve">操作手册》（手册下载地址：苏采云系统-右侧消息通知栏）。 </w:t>
      </w:r>
    </w:p>
    <w:p w14:paraId="175FF307">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2.2 潜在投标人访问“苏采云”系统方法：江苏省政府采购网首页-“苏采云”链接。</w:t>
      </w:r>
    </w:p>
    <w:p w14:paraId="1BB69905">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 xml:space="preserve">2.3 </w:t>
      </w:r>
      <w:r>
        <w:rPr>
          <w:rFonts w:hint="eastAsia"/>
          <w:color w:val="auto"/>
          <w:sz w:val="24"/>
          <w:szCs w:val="20"/>
          <w:highlight w:val="none"/>
          <w:lang w:eastAsia="zh-CN"/>
        </w:rPr>
        <w:t>招标文件</w:t>
      </w:r>
      <w:r>
        <w:rPr>
          <w:rFonts w:hint="eastAsia"/>
          <w:color w:val="auto"/>
          <w:sz w:val="24"/>
          <w:szCs w:val="20"/>
          <w:highlight w:val="none"/>
        </w:rPr>
        <w:t>（后缀名为“.kedt”）、</w:t>
      </w:r>
      <w:r>
        <w:rPr>
          <w:rFonts w:hint="eastAsia"/>
          <w:color w:val="auto"/>
          <w:sz w:val="24"/>
          <w:szCs w:val="20"/>
          <w:highlight w:val="none"/>
          <w:lang w:eastAsia="zh-CN"/>
        </w:rPr>
        <w:t>投标人</w:t>
      </w:r>
      <w:r>
        <w:rPr>
          <w:rFonts w:hint="eastAsia"/>
          <w:color w:val="auto"/>
          <w:sz w:val="24"/>
          <w:szCs w:val="20"/>
          <w:highlight w:val="none"/>
        </w:rPr>
        <w:t xml:space="preserve">操作手册及政府采购客户端工具可通过“苏采云”系统相应链接进行下载。 </w:t>
      </w:r>
    </w:p>
    <w:p w14:paraId="11828276">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2.4 采购代理机构将数据电文形式的</w:t>
      </w:r>
      <w:r>
        <w:rPr>
          <w:rFonts w:hint="eastAsia"/>
          <w:color w:val="auto"/>
          <w:sz w:val="24"/>
          <w:szCs w:val="20"/>
          <w:highlight w:val="none"/>
          <w:lang w:eastAsia="zh-CN"/>
        </w:rPr>
        <w:t>招标文件</w:t>
      </w:r>
      <w:r>
        <w:rPr>
          <w:rFonts w:hint="eastAsia"/>
          <w:color w:val="auto"/>
          <w:sz w:val="24"/>
          <w:szCs w:val="20"/>
          <w:highlight w:val="none"/>
        </w:rPr>
        <w:t>加载至“苏采云”系统，供潜在</w:t>
      </w:r>
      <w:r>
        <w:rPr>
          <w:rFonts w:hint="eastAsia"/>
          <w:color w:val="auto"/>
          <w:sz w:val="24"/>
          <w:szCs w:val="20"/>
          <w:highlight w:val="none"/>
          <w:lang w:eastAsia="zh-CN"/>
        </w:rPr>
        <w:t>投标人</w:t>
      </w:r>
      <w:r>
        <w:rPr>
          <w:rFonts w:hint="eastAsia"/>
          <w:color w:val="auto"/>
          <w:sz w:val="24"/>
          <w:szCs w:val="20"/>
          <w:highlight w:val="none"/>
        </w:rPr>
        <w:t xml:space="preserve">下载或者查阅。 </w:t>
      </w:r>
    </w:p>
    <w:p w14:paraId="1B6EF747">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2.5 请潜在投标单位提前安装相应的控件（详见《“苏采云”系统</w:t>
      </w:r>
      <w:r>
        <w:rPr>
          <w:rFonts w:hint="eastAsia"/>
          <w:color w:val="auto"/>
          <w:sz w:val="24"/>
          <w:szCs w:val="20"/>
          <w:highlight w:val="none"/>
          <w:lang w:eastAsia="zh-CN"/>
        </w:rPr>
        <w:t>投标人</w:t>
      </w:r>
      <w:r>
        <w:rPr>
          <w:rFonts w:hint="eastAsia"/>
          <w:color w:val="auto"/>
          <w:sz w:val="24"/>
          <w:szCs w:val="20"/>
          <w:highlight w:val="none"/>
        </w:rPr>
        <w:t xml:space="preserve">操作手册》）并使用谷歌浏览器登录“苏采云”系统参与不见面开评标。 </w:t>
      </w:r>
    </w:p>
    <w:p w14:paraId="3D147D57">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如潜在投标人未按上述要求操作，将自行承担所产生的风险。</w:t>
      </w:r>
    </w:p>
    <w:p w14:paraId="3C9C8E39">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3.有关本次招标的事项若存在变动或修改，敬请及时关注</w:t>
      </w:r>
      <w:r>
        <w:rPr>
          <w:rFonts w:hint="eastAsia"/>
          <w:color w:val="auto"/>
          <w:sz w:val="24"/>
          <w:szCs w:val="20"/>
          <w:highlight w:val="none"/>
          <w:lang w:eastAsia="zh-CN"/>
        </w:rPr>
        <w:t>盐城市亭湖区公共资源交易中心</w:t>
      </w:r>
      <w:r>
        <w:rPr>
          <w:rFonts w:hint="eastAsia"/>
          <w:color w:val="auto"/>
          <w:sz w:val="24"/>
          <w:szCs w:val="20"/>
          <w:highlight w:val="none"/>
        </w:rPr>
        <w:t>在“中国政府采购网”、“江苏政府采购网”、“盐城市政府采购网”发布的更正公告。</w:t>
      </w:r>
    </w:p>
    <w:p w14:paraId="65EEBFC2">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4.本次招标不收取投标保证金，不收取质量保证金。</w:t>
      </w:r>
    </w:p>
    <w:p w14:paraId="04C1FC0F">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七、</w:t>
      </w:r>
      <w:bookmarkEnd w:id="4"/>
      <w:bookmarkEnd w:id="5"/>
      <w:bookmarkEnd w:id="6"/>
      <w:bookmarkEnd w:id="7"/>
      <w:r>
        <w:rPr>
          <w:rFonts w:hint="eastAsia"/>
          <w:b/>
          <w:bCs/>
          <w:color w:val="auto"/>
          <w:sz w:val="24"/>
          <w:szCs w:val="20"/>
          <w:highlight w:val="none"/>
        </w:rPr>
        <w:t>对本次招标提出询问，请按以下方式联系。</w:t>
      </w:r>
    </w:p>
    <w:p w14:paraId="5DECCDB1">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bookmarkStart w:id="21" w:name="_Toc28359096"/>
      <w:bookmarkStart w:id="22" w:name="_Toc35393637"/>
      <w:bookmarkStart w:id="23" w:name="_Toc28359019"/>
      <w:bookmarkStart w:id="24" w:name="_Toc35393806"/>
      <w:bookmarkStart w:id="25" w:name="_Toc61149549"/>
      <w:bookmarkStart w:id="26" w:name="_Toc14577347"/>
      <w:bookmarkStart w:id="27" w:name="_Toc513029209"/>
      <w:r>
        <w:rPr>
          <w:rFonts w:hint="eastAsia"/>
          <w:b/>
          <w:bCs/>
          <w:color w:val="auto"/>
          <w:sz w:val="24"/>
          <w:szCs w:val="20"/>
          <w:highlight w:val="none"/>
        </w:rPr>
        <w:t>1.采购人信息</w:t>
      </w:r>
      <w:bookmarkEnd w:id="21"/>
      <w:bookmarkEnd w:id="22"/>
      <w:bookmarkEnd w:id="23"/>
      <w:bookmarkEnd w:id="24"/>
    </w:p>
    <w:p w14:paraId="3A7D6D25">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lang w:eastAsia="zh-CN"/>
        </w:rPr>
      </w:pPr>
      <w:r>
        <w:rPr>
          <w:rFonts w:hint="eastAsia"/>
          <w:color w:val="auto"/>
          <w:sz w:val="24"/>
          <w:szCs w:val="20"/>
          <w:highlight w:val="none"/>
        </w:rPr>
        <w:t>名    称：</w:t>
      </w:r>
      <w:r>
        <w:rPr>
          <w:rFonts w:hint="eastAsia"/>
          <w:color w:val="auto"/>
          <w:sz w:val="24"/>
          <w:szCs w:val="20"/>
          <w:highlight w:val="none"/>
          <w:lang w:eastAsia="zh-CN"/>
        </w:rPr>
        <w:t>盐城市亭湖区东亭湖街道社区卫生服务中心</w:t>
      </w:r>
    </w:p>
    <w:p w14:paraId="77A03BEC">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lang w:val="en-US" w:eastAsia="zh-CN"/>
        </w:rPr>
      </w:pPr>
      <w:r>
        <w:rPr>
          <w:rFonts w:hint="eastAsia"/>
          <w:color w:val="auto"/>
          <w:sz w:val="24"/>
          <w:szCs w:val="20"/>
          <w:highlight w:val="none"/>
          <w:lang w:val="en-US" w:eastAsia="zh-CN"/>
        </w:rPr>
        <w:t>地    址：盐城市亭湖区文榭路1号</w:t>
      </w:r>
    </w:p>
    <w:p w14:paraId="18CE962D">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r>
        <w:rPr>
          <w:rFonts w:hint="eastAsia"/>
          <w:color w:val="auto"/>
          <w:sz w:val="24"/>
          <w:szCs w:val="20"/>
          <w:highlight w:val="none"/>
        </w:rPr>
        <w:t>联</w:t>
      </w:r>
      <w:r>
        <w:rPr>
          <w:rFonts w:hint="eastAsia"/>
          <w:color w:val="auto"/>
          <w:sz w:val="24"/>
          <w:szCs w:val="20"/>
          <w:highlight w:val="none"/>
          <w:lang w:val="en-US" w:eastAsia="zh-CN"/>
        </w:rPr>
        <w:t xml:space="preserve"> </w:t>
      </w:r>
      <w:r>
        <w:rPr>
          <w:rFonts w:hint="eastAsia"/>
          <w:color w:val="auto"/>
          <w:sz w:val="24"/>
          <w:szCs w:val="20"/>
          <w:highlight w:val="none"/>
        </w:rPr>
        <w:t>系</w:t>
      </w:r>
      <w:r>
        <w:rPr>
          <w:rFonts w:hint="eastAsia"/>
          <w:color w:val="auto"/>
          <w:sz w:val="24"/>
          <w:szCs w:val="20"/>
          <w:highlight w:val="none"/>
          <w:lang w:val="en-US" w:eastAsia="zh-CN"/>
        </w:rPr>
        <w:t xml:space="preserve"> </w:t>
      </w:r>
      <w:r>
        <w:rPr>
          <w:rFonts w:hint="eastAsia"/>
          <w:color w:val="auto"/>
          <w:sz w:val="24"/>
          <w:szCs w:val="20"/>
          <w:highlight w:val="none"/>
        </w:rPr>
        <w:t>人：</w:t>
      </w:r>
      <w:r>
        <w:rPr>
          <w:rFonts w:hint="eastAsia"/>
          <w:color w:val="auto"/>
          <w:sz w:val="24"/>
          <w:szCs w:val="20"/>
          <w:highlight w:val="none"/>
          <w:lang w:val="en-US" w:eastAsia="zh-CN"/>
        </w:rPr>
        <w:t xml:space="preserve">仲主任 </w:t>
      </w:r>
      <w:r>
        <w:rPr>
          <w:rFonts w:hint="eastAsia"/>
          <w:color w:val="auto"/>
          <w:sz w:val="24"/>
          <w:szCs w:val="20"/>
          <w:highlight w:val="none"/>
        </w:rPr>
        <w:t xml:space="preserve">  </w:t>
      </w:r>
    </w:p>
    <w:p w14:paraId="31629C46">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eastAsia="宋体"/>
          <w:color w:val="auto"/>
          <w:sz w:val="24"/>
          <w:szCs w:val="20"/>
          <w:highlight w:val="none"/>
          <w:lang w:eastAsia="zh-CN"/>
        </w:rPr>
      </w:pPr>
      <w:r>
        <w:rPr>
          <w:rFonts w:hint="eastAsia"/>
          <w:color w:val="auto"/>
          <w:sz w:val="24"/>
          <w:szCs w:val="20"/>
          <w:highlight w:val="none"/>
          <w:lang w:val="en-US" w:eastAsia="zh-CN"/>
        </w:rPr>
        <w:t xml:space="preserve">联系电话：13815580405 </w:t>
      </w:r>
    </w:p>
    <w:p w14:paraId="09145016">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2.采购代理机构信息</w:t>
      </w:r>
      <w:bookmarkEnd w:id="25"/>
      <w:bookmarkEnd w:id="26"/>
      <w:bookmarkEnd w:id="27"/>
    </w:p>
    <w:p w14:paraId="36D1B417">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bookmarkStart w:id="28" w:name="_Toc28359010"/>
      <w:bookmarkStart w:id="29" w:name="_Toc28359087"/>
      <w:r>
        <w:rPr>
          <w:rFonts w:hint="eastAsia"/>
          <w:color w:val="auto"/>
          <w:sz w:val="24"/>
          <w:szCs w:val="20"/>
          <w:highlight w:val="none"/>
        </w:rPr>
        <w:t xml:space="preserve">名    称：盐城市亭湖区公共资源交易中心 </w:t>
      </w:r>
    </w:p>
    <w:p w14:paraId="5E008075">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r>
        <w:rPr>
          <w:rFonts w:hint="eastAsia"/>
          <w:color w:val="auto"/>
          <w:sz w:val="24"/>
          <w:szCs w:val="20"/>
          <w:highlight w:val="none"/>
        </w:rPr>
        <w:t>地    址：盐城市亭湖区希望大道中路18号</w:t>
      </w:r>
    </w:p>
    <w:p w14:paraId="5243C3C3">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r>
        <w:rPr>
          <w:rFonts w:hint="eastAsia"/>
          <w:color w:val="auto"/>
          <w:sz w:val="24"/>
          <w:szCs w:val="20"/>
          <w:highlight w:val="none"/>
        </w:rPr>
        <w:t xml:space="preserve">联 系 人：纪先生                     </w:t>
      </w:r>
    </w:p>
    <w:p w14:paraId="778D2172">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联系方式：0515-89802019    </w:t>
      </w:r>
      <w:bookmarkEnd w:id="28"/>
      <w:bookmarkEnd w:id="29"/>
    </w:p>
    <w:p w14:paraId="27569C82">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bookmarkStart w:id="30" w:name="_Toc28359021"/>
      <w:r>
        <w:rPr>
          <w:rFonts w:hint="eastAsia"/>
          <w:b/>
          <w:bCs/>
          <w:color w:val="auto"/>
          <w:sz w:val="24"/>
          <w:szCs w:val="20"/>
          <w:highlight w:val="none"/>
        </w:rPr>
        <w:t>3.</w:t>
      </w:r>
      <w:bookmarkEnd w:id="30"/>
      <w:r>
        <w:rPr>
          <w:rFonts w:hint="eastAsia"/>
          <w:b/>
          <w:bCs/>
          <w:color w:val="auto"/>
          <w:sz w:val="24"/>
          <w:szCs w:val="20"/>
          <w:highlight w:val="none"/>
        </w:rPr>
        <w:t>项目联系方式</w:t>
      </w:r>
    </w:p>
    <w:p w14:paraId="1BCBBE78">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lang w:eastAsia="zh-CN"/>
        </w:rPr>
      </w:pPr>
      <w:r>
        <w:rPr>
          <w:rFonts w:hint="eastAsia"/>
          <w:color w:val="auto"/>
          <w:sz w:val="24"/>
          <w:szCs w:val="20"/>
          <w:highlight w:val="none"/>
        </w:rPr>
        <w:t>项目联系人：纪先生</w:t>
      </w:r>
      <w:r>
        <w:rPr>
          <w:rFonts w:hint="eastAsia"/>
          <w:color w:val="auto"/>
          <w:sz w:val="24"/>
          <w:szCs w:val="20"/>
          <w:highlight w:val="none"/>
          <w:lang w:val="en-US" w:eastAsia="zh-CN"/>
        </w:rPr>
        <w:t xml:space="preserve"> </w:t>
      </w:r>
    </w:p>
    <w:p w14:paraId="6F924891">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eastAsia="宋体"/>
          <w:color w:val="0000FF"/>
          <w:sz w:val="24"/>
          <w:szCs w:val="20"/>
          <w:highlight w:val="none"/>
          <w:lang w:eastAsia="zh-CN"/>
        </w:rPr>
      </w:pPr>
      <w:r>
        <w:rPr>
          <w:rFonts w:hint="eastAsia"/>
          <w:color w:val="auto"/>
          <w:sz w:val="24"/>
          <w:szCs w:val="20"/>
          <w:highlight w:val="none"/>
        </w:rPr>
        <w:t>联系电话：</w:t>
      </w:r>
      <w:r>
        <w:rPr>
          <w:rFonts w:hint="eastAsia"/>
          <w:color w:val="auto"/>
          <w:sz w:val="24"/>
          <w:szCs w:val="20"/>
          <w:highlight w:val="none"/>
          <w:lang w:val="en-US" w:eastAsia="zh-CN"/>
        </w:rPr>
        <w:t xml:space="preserve"> </w:t>
      </w:r>
      <w:r>
        <w:rPr>
          <w:rFonts w:hint="eastAsia"/>
          <w:color w:val="auto"/>
          <w:sz w:val="24"/>
          <w:szCs w:val="20"/>
          <w:highlight w:val="none"/>
        </w:rPr>
        <w:t>0515-89802019</w:t>
      </w:r>
    </w:p>
    <w:p w14:paraId="59B86D60">
      <w:pPr>
        <w:widowControl/>
        <w:spacing w:line="560" w:lineRule="exact"/>
        <w:ind w:firstLine="480"/>
        <w:rPr>
          <w:color w:val="auto"/>
          <w:sz w:val="24"/>
          <w:szCs w:val="20"/>
          <w:highlight w:val="none"/>
        </w:rPr>
      </w:pPr>
      <w:r>
        <w:rPr>
          <w:rFonts w:hint="eastAsia"/>
          <w:color w:val="auto"/>
          <w:sz w:val="24"/>
          <w:szCs w:val="20"/>
          <w:highlight w:val="none"/>
        </w:rPr>
        <w:br w:type="page" w:clear="all"/>
      </w:r>
    </w:p>
    <w:p w14:paraId="0D9D6647">
      <w:pPr>
        <w:pStyle w:val="285"/>
        <w:spacing w:line="240" w:lineRule="auto"/>
        <w:ind w:left="0" w:firstLine="0"/>
        <w:jc w:val="center"/>
        <w:rPr>
          <w:color w:val="auto"/>
          <w:highlight w:val="none"/>
        </w:rPr>
      </w:pPr>
      <w:r>
        <w:rPr>
          <w:rFonts w:hint="eastAsia"/>
          <w:b w:val="0"/>
          <w:bCs/>
          <w:color w:val="auto"/>
          <w:highlight w:val="none"/>
        </w:rPr>
        <w:t>第二章</w:t>
      </w:r>
      <w:bookmarkStart w:id="31" w:name="_Toc20823274"/>
      <w:bookmarkStart w:id="32" w:name="_Toc120614213"/>
      <w:bookmarkStart w:id="33" w:name="_Toc16938518"/>
      <w:bookmarkStart w:id="34" w:name="_Toc513029202"/>
      <w:r>
        <w:rPr>
          <w:rFonts w:hint="eastAsia"/>
          <w:b w:val="0"/>
          <w:bCs/>
          <w:color w:val="auto"/>
          <w:highlight w:val="none"/>
        </w:rPr>
        <w:t>  投标人须知</w:t>
      </w:r>
      <w:bookmarkEnd w:id="31"/>
      <w:bookmarkEnd w:id="32"/>
      <w:bookmarkEnd w:id="33"/>
      <w:bookmarkEnd w:id="34"/>
    </w:p>
    <w:p w14:paraId="5F5028D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35" w:name="_Toc16938519"/>
      <w:bookmarkStart w:id="36" w:name="_Toc120614214"/>
      <w:bookmarkStart w:id="37" w:name="_Toc513029203"/>
      <w:bookmarkStart w:id="38" w:name="_Toc20823275"/>
      <w:r>
        <w:rPr>
          <w:rFonts w:hint="eastAsia" w:eastAsia="Arial"/>
          <w:b/>
          <w:bCs/>
          <w:color w:val="auto"/>
          <w:sz w:val="24"/>
          <w:szCs w:val="20"/>
          <w:highlight w:val="none"/>
          <w:lang w:val="zh-CN"/>
        </w:rPr>
        <w:t>一、总则</w:t>
      </w:r>
      <w:bookmarkEnd w:id="35"/>
      <w:bookmarkEnd w:id="36"/>
      <w:bookmarkEnd w:id="37"/>
      <w:bookmarkEnd w:id="38"/>
    </w:p>
    <w:p w14:paraId="200980A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39" w:name="_Toc16938520"/>
      <w:bookmarkStart w:id="40" w:name="_Toc513029204"/>
      <w:bookmarkStart w:id="41" w:name="_Toc20823276"/>
      <w:bookmarkStart w:id="42" w:name="_Toc458694821"/>
      <w:r>
        <w:rPr>
          <w:rFonts w:hint="eastAsia" w:eastAsia="Arial"/>
          <w:b/>
          <w:bCs/>
          <w:color w:val="auto"/>
          <w:sz w:val="24"/>
          <w:szCs w:val="20"/>
          <w:highlight w:val="none"/>
          <w:lang w:val="zh-CN"/>
        </w:rPr>
        <w:t>1</w:t>
      </w:r>
      <w:bookmarkEnd w:id="39"/>
      <w:r>
        <w:rPr>
          <w:rFonts w:hint="eastAsia" w:eastAsia="Arial"/>
          <w:b/>
          <w:bCs/>
          <w:color w:val="auto"/>
          <w:sz w:val="24"/>
          <w:szCs w:val="20"/>
          <w:highlight w:val="none"/>
          <w:lang w:val="zh-CN"/>
        </w:rPr>
        <w:t>、招标方式</w:t>
      </w:r>
      <w:bookmarkEnd w:id="40"/>
      <w:bookmarkEnd w:id="41"/>
      <w:bookmarkEnd w:id="42"/>
    </w:p>
    <w:p w14:paraId="53FA339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1.1本次招标采取公开招标方式，本招标文件仅适用于招标公告中所述项目。</w:t>
      </w:r>
    </w:p>
    <w:p w14:paraId="6E451E6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43" w:name="_Toc513029205"/>
      <w:bookmarkStart w:id="44" w:name="_Toc16938521"/>
      <w:bookmarkStart w:id="45" w:name="_Toc20823277"/>
      <w:r>
        <w:rPr>
          <w:rFonts w:hint="eastAsia" w:eastAsia="Arial"/>
          <w:b/>
          <w:bCs/>
          <w:color w:val="auto"/>
          <w:sz w:val="24"/>
          <w:szCs w:val="20"/>
          <w:highlight w:val="none"/>
          <w:lang w:val="zh-CN"/>
        </w:rPr>
        <w:t>2、合格的投标人</w:t>
      </w:r>
      <w:bookmarkEnd w:id="43"/>
      <w:bookmarkEnd w:id="44"/>
      <w:bookmarkEnd w:id="45"/>
    </w:p>
    <w:p w14:paraId="5913C5A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2.1满足招标公告中</w:t>
      </w:r>
      <w:r>
        <w:rPr>
          <w:rFonts w:hint="eastAsia" w:eastAsia="宋体"/>
          <w:color w:val="auto"/>
          <w:sz w:val="24"/>
          <w:szCs w:val="20"/>
          <w:highlight w:val="none"/>
          <w:lang w:eastAsia="zh-CN"/>
        </w:rPr>
        <w:t>投标人</w:t>
      </w:r>
      <w:r>
        <w:rPr>
          <w:rFonts w:hint="eastAsia" w:eastAsia="Arial"/>
          <w:color w:val="auto"/>
          <w:sz w:val="24"/>
          <w:szCs w:val="20"/>
          <w:highlight w:val="none"/>
        </w:rPr>
        <w:t>的资格要求的规定。</w:t>
      </w:r>
    </w:p>
    <w:p w14:paraId="2E5056E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2.2满足本文件实质性要求和条件的规定。</w:t>
      </w:r>
    </w:p>
    <w:p w14:paraId="7792CF6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46" w:name="_Toc20823278"/>
      <w:bookmarkStart w:id="47" w:name="_Toc16938522"/>
      <w:bookmarkStart w:id="48" w:name="_Toc513029206"/>
      <w:r>
        <w:rPr>
          <w:rFonts w:hint="eastAsia" w:eastAsia="Arial"/>
          <w:b/>
          <w:bCs/>
          <w:color w:val="auto"/>
          <w:sz w:val="24"/>
          <w:szCs w:val="20"/>
          <w:highlight w:val="none"/>
          <w:lang w:val="zh-CN"/>
        </w:rPr>
        <w:t>3、适用法律</w:t>
      </w:r>
      <w:bookmarkEnd w:id="46"/>
      <w:bookmarkEnd w:id="47"/>
      <w:bookmarkEnd w:id="48"/>
    </w:p>
    <w:p w14:paraId="42AC2DE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3.1本次招标及由此产生的合同受中华人民共和国有关的法律法规制约和保护。</w:t>
      </w:r>
    </w:p>
    <w:p w14:paraId="26236B9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49" w:name="_Toc20823279"/>
      <w:bookmarkStart w:id="50" w:name="_Toc462564067"/>
      <w:bookmarkStart w:id="51" w:name="_Toc16938523"/>
      <w:bookmarkStart w:id="52" w:name="_Toc513029207"/>
      <w:r>
        <w:rPr>
          <w:rFonts w:hint="eastAsia" w:eastAsia="Arial"/>
          <w:b/>
          <w:bCs/>
          <w:color w:val="auto"/>
          <w:sz w:val="24"/>
          <w:szCs w:val="20"/>
          <w:highlight w:val="none"/>
          <w:lang w:val="zh-CN"/>
        </w:rPr>
        <w:t>4、投标费用</w:t>
      </w:r>
      <w:bookmarkEnd w:id="49"/>
      <w:bookmarkEnd w:id="50"/>
      <w:bookmarkEnd w:id="51"/>
      <w:bookmarkEnd w:id="52"/>
    </w:p>
    <w:p w14:paraId="100AADA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4.1投标人应自行承担所有与参加投标有关的费用，无论投标过程中的做法和结果如何，</w:t>
      </w:r>
      <w:r>
        <w:rPr>
          <w:rFonts w:hint="eastAsia" w:eastAsia="宋体"/>
          <w:color w:val="auto"/>
          <w:sz w:val="24"/>
          <w:szCs w:val="20"/>
          <w:highlight w:val="none"/>
          <w:lang w:eastAsia="zh-CN"/>
        </w:rPr>
        <w:t>盐城市亭湖区公共资源交易中心</w:t>
      </w:r>
      <w:r>
        <w:rPr>
          <w:rFonts w:hint="eastAsia" w:eastAsia="Arial"/>
          <w:color w:val="auto"/>
          <w:sz w:val="24"/>
          <w:szCs w:val="20"/>
          <w:highlight w:val="none"/>
        </w:rPr>
        <w:t>（以下简称</w:t>
      </w:r>
      <w:r>
        <w:rPr>
          <w:rFonts w:hint="eastAsia" w:eastAsia="宋体"/>
          <w:color w:val="auto"/>
          <w:sz w:val="24"/>
          <w:szCs w:val="20"/>
          <w:highlight w:val="none"/>
          <w:lang w:eastAsia="zh-CN"/>
        </w:rPr>
        <w:t>交易中心</w:t>
      </w:r>
      <w:r>
        <w:rPr>
          <w:rFonts w:hint="eastAsia" w:eastAsia="Arial"/>
          <w:color w:val="auto"/>
          <w:sz w:val="24"/>
          <w:szCs w:val="20"/>
          <w:highlight w:val="none"/>
        </w:rPr>
        <w:t>）在任何情况下均无义务和责任承担这些费用。</w:t>
      </w:r>
    </w:p>
    <w:p w14:paraId="529E7FC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4.2本次招标</w:t>
      </w:r>
      <w:r>
        <w:rPr>
          <w:rFonts w:hint="eastAsia" w:eastAsia="宋体"/>
          <w:color w:val="auto"/>
          <w:sz w:val="24"/>
          <w:szCs w:val="20"/>
          <w:highlight w:val="none"/>
          <w:lang w:eastAsia="zh-CN"/>
        </w:rPr>
        <w:t>交易中心</w:t>
      </w:r>
      <w:r>
        <w:rPr>
          <w:rFonts w:hint="eastAsia" w:eastAsia="Arial"/>
          <w:color w:val="auto"/>
          <w:sz w:val="24"/>
          <w:szCs w:val="20"/>
          <w:highlight w:val="none"/>
        </w:rPr>
        <w:t>和采购人不收取标书工本费与中标服务费。</w:t>
      </w:r>
    </w:p>
    <w:p w14:paraId="6360458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5、招标文件的约束力</w:t>
      </w:r>
    </w:p>
    <w:p w14:paraId="70929DE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5.1投标人一旦参加本项目采购活动，即被认为接受了本招标文件的规定和约束。</w:t>
      </w:r>
    </w:p>
    <w:p w14:paraId="0FBB1F1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53" w:name="_Toc16938525"/>
      <w:bookmarkStart w:id="54" w:name="_Toc120614215"/>
      <w:bookmarkStart w:id="55" w:name="_Toc20823281"/>
      <w:r>
        <w:rPr>
          <w:rFonts w:hint="eastAsia" w:eastAsia="Arial"/>
          <w:b/>
          <w:bCs/>
          <w:color w:val="auto"/>
          <w:sz w:val="24"/>
          <w:szCs w:val="20"/>
          <w:highlight w:val="none"/>
          <w:lang w:val="zh-CN"/>
        </w:rPr>
        <w:t>二、招标文件</w:t>
      </w:r>
      <w:bookmarkEnd w:id="53"/>
      <w:bookmarkEnd w:id="54"/>
      <w:bookmarkEnd w:id="55"/>
    </w:p>
    <w:p w14:paraId="121B5F0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56" w:name="_Toc16938526"/>
      <w:bookmarkStart w:id="57" w:name="_Toc20823282"/>
      <w:bookmarkStart w:id="58" w:name="_Toc513029210"/>
      <w:r>
        <w:rPr>
          <w:rFonts w:hint="eastAsia" w:eastAsia="Arial"/>
          <w:b/>
          <w:bCs/>
          <w:color w:val="auto"/>
          <w:sz w:val="24"/>
          <w:szCs w:val="20"/>
          <w:highlight w:val="none"/>
          <w:lang w:val="zh-CN"/>
        </w:rPr>
        <w:t>6、招标文件构成</w:t>
      </w:r>
      <w:bookmarkEnd w:id="56"/>
      <w:bookmarkEnd w:id="57"/>
      <w:bookmarkEnd w:id="58"/>
    </w:p>
    <w:p w14:paraId="3C35795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6.1 招标文件由以下部分组成：</w:t>
      </w:r>
    </w:p>
    <w:p w14:paraId="15F1FE1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（1）招标公告</w:t>
      </w:r>
    </w:p>
    <w:p w14:paraId="124D1D2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（2）投标人须知</w:t>
      </w:r>
    </w:p>
    <w:p w14:paraId="75125FF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（3）合同文本</w:t>
      </w:r>
    </w:p>
    <w:p w14:paraId="61295DE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（4）采购需求</w:t>
      </w:r>
    </w:p>
    <w:p w14:paraId="4AC43F9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（5）评标方法与评标标准</w:t>
      </w:r>
    </w:p>
    <w:p w14:paraId="7C4047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（6）投标文件格式</w:t>
      </w:r>
    </w:p>
    <w:p w14:paraId="0692A50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请仔细检查招标文件是否齐全，如有缺漏请立即与</w:t>
      </w:r>
      <w:r>
        <w:rPr>
          <w:rFonts w:hint="eastAsia" w:eastAsia="宋体"/>
          <w:color w:val="auto"/>
          <w:sz w:val="24"/>
          <w:szCs w:val="20"/>
          <w:highlight w:val="none"/>
          <w:lang w:eastAsia="zh-CN"/>
        </w:rPr>
        <w:t>交易中心</w:t>
      </w:r>
      <w:r>
        <w:rPr>
          <w:rFonts w:hint="eastAsia" w:eastAsia="Arial"/>
          <w:color w:val="auto"/>
          <w:sz w:val="24"/>
          <w:szCs w:val="20"/>
          <w:highlight w:val="none"/>
        </w:rPr>
        <w:t>联系解决。</w:t>
      </w:r>
    </w:p>
    <w:p w14:paraId="5C6FE1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0E52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59" w:name="_Toc513029211"/>
      <w:bookmarkStart w:id="60" w:name="_Toc16938527"/>
      <w:bookmarkStart w:id="61" w:name="_Toc20823283"/>
      <w:bookmarkStart w:id="62" w:name="_Toc462564070"/>
      <w:r>
        <w:rPr>
          <w:rFonts w:hint="eastAsia" w:eastAsia="Arial"/>
          <w:b/>
          <w:bCs/>
          <w:color w:val="auto"/>
          <w:sz w:val="24"/>
          <w:szCs w:val="20"/>
          <w:highlight w:val="none"/>
          <w:lang w:val="zh-CN"/>
        </w:rPr>
        <w:t>7、招标文件的澄清</w:t>
      </w:r>
      <w:bookmarkEnd w:id="59"/>
      <w:bookmarkEnd w:id="60"/>
      <w:bookmarkEnd w:id="61"/>
      <w:bookmarkEnd w:id="62"/>
    </w:p>
    <w:p w14:paraId="1FC5D93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7.1任何要求对招标文件进行澄清的投标人，应在投标截止期</w:t>
      </w:r>
      <w:r>
        <w:rPr>
          <w:rFonts w:hint="eastAsia" w:eastAsia="Arial"/>
          <w:b/>
          <w:bCs/>
          <w:color w:val="auto"/>
          <w:sz w:val="24"/>
          <w:szCs w:val="20"/>
          <w:highlight w:val="none"/>
        </w:rPr>
        <w:t>十日</w:t>
      </w:r>
      <w:r>
        <w:rPr>
          <w:rFonts w:hint="eastAsia" w:eastAsia="Arial"/>
          <w:color w:val="auto"/>
          <w:sz w:val="24"/>
          <w:szCs w:val="20"/>
          <w:highlight w:val="none"/>
        </w:rPr>
        <w:t>前按招标公告中的通讯地址，以书面形式通知</w:t>
      </w:r>
      <w:r>
        <w:rPr>
          <w:rFonts w:hint="eastAsia" w:eastAsia="宋体"/>
          <w:color w:val="auto"/>
          <w:sz w:val="24"/>
          <w:szCs w:val="20"/>
          <w:highlight w:val="none"/>
          <w:lang w:eastAsia="zh-CN"/>
        </w:rPr>
        <w:t>交易中心</w:t>
      </w:r>
      <w:r>
        <w:rPr>
          <w:rFonts w:hint="eastAsia" w:eastAsia="Arial"/>
          <w:color w:val="auto"/>
          <w:sz w:val="24"/>
          <w:szCs w:val="20"/>
          <w:highlight w:val="none"/>
        </w:rPr>
        <w:t>。</w:t>
      </w:r>
    </w:p>
    <w:p w14:paraId="3CE08EC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63" w:name="_Toc20823284"/>
      <w:bookmarkStart w:id="64" w:name="_Toc462564071"/>
      <w:bookmarkStart w:id="65" w:name="_Toc513029212"/>
      <w:bookmarkStart w:id="66" w:name="_Toc16938528"/>
      <w:r>
        <w:rPr>
          <w:rFonts w:hint="eastAsia" w:eastAsia="Arial"/>
          <w:b/>
          <w:bCs/>
          <w:color w:val="auto"/>
          <w:sz w:val="24"/>
          <w:szCs w:val="20"/>
          <w:highlight w:val="none"/>
          <w:lang w:val="zh-CN"/>
        </w:rPr>
        <w:t>8、招标文件的修改</w:t>
      </w:r>
      <w:bookmarkEnd w:id="63"/>
      <w:bookmarkEnd w:id="64"/>
      <w:bookmarkEnd w:id="65"/>
      <w:bookmarkEnd w:id="66"/>
    </w:p>
    <w:p w14:paraId="21852A6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8.1在投标截止时间前，</w:t>
      </w:r>
      <w:r>
        <w:rPr>
          <w:rFonts w:hint="eastAsia" w:eastAsia="宋体"/>
          <w:color w:val="auto"/>
          <w:sz w:val="24"/>
          <w:szCs w:val="20"/>
          <w:highlight w:val="none"/>
          <w:lang w:eastAsia="zh-CN"/>
        </w:rPr>
        <w:t>交易中心</w:t>
      </w:r>
      <w:r>
        <w:rPr>
          <w:rFonts w:hint="eastAsia" w:eastAsia="Arial"/>
          <w:color w:val="auto"/>
          <w:sz w:val="24"/>
          <w:szCs w:val="20"/>
          <w:highlight w:val="none"/>
        </w:rPr>
        <w:t>可以对招标文件进行修改。</w:t>
      </w:r>
    </w:p>
    <w:p w14:paraId="0C12521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8.2</w:t>
      </w:r>
      <w:r>
        <w:rPr>
          <w:rFonts w:hint="eastAsia" w:eastAsia="宋体"/>
          <w:color w:val="auto"/>
          <w:sz w:val="24"/>
          <w:szCs w:val="20"/>
          <w:highlight w:val="none"/>
          <w:lang w:eastAsia="zh-CN"/>
        </w:rPr>
        <w:t>交易中心</w:t>
      </w:r>
      <w:r>
        <w:rPr>
          <w:rFonts w:hint="eastAsia" w:eastAsia="Arial"/>
          <w:color w:val="auto"/>
          <w:sz w:val="24"/>
          <w:szCs w:val="20"/>
          <w:highlight w:val="none"/>
        </w:rPr>
        <w:t>有权按照法定的要求推迟投标截止日期和开标日期。</w:t>
      </w:r>
    </w:p>
    <w:p w14:paraId="1FEDD3B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8.3招标文件的修改将在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公布，补充文件将作为招标文件的组成部分，并对投标人具有约束力。</w:t>
      </w:r>
    </w:p>
    <w:p w14:paraId="68E01CC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67" w:name="_Toc513029213"/>
      <w:bookmarkStart w:id="68" w:name="_Toc462564072"/>
      <w:bookmarkStart w:id="69" w:name="_Toc20823285"/>
      <w:bookmarkStart w:id="70" w:name="_Toc120614216"/>
      <w:bookmarkStart w:id="71" w:name="_Toc16938529"/>
      <w:r>
        <w:rPr>
          <w:rFonts w:hint="eastAsia" w:eastAsia="Arial"/>
          <w:b/>
          <w:bCs/>
          <w:color w:val="auto"/>
          <w:sz w:val="24"/>
          <w:szCs w:val="20"/>
          <w:highlight w:val="none"/>
          <w:lang w:val="zh-CN"/>
        </w:rPr>
        <w:t>三、投标文件的编制</w:t>
      </w:r>
      <w:bookmarkEnd w:id="67"/>
      <w:bookmarkEnd w:id="68"/>
      <w:bookmarkEnd w:id="69"/>
      <w:bookmarkEnd w:id="70"/>
      <w:bookmarkEnd w:id="71"/>
    </w:p>
    <w:p w14:paraId="0323B55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72" w:name="_Toc513029214"/>
      <w:bookmarkStart w:id="73" w:name="_Toc20823286"/>
      <w:bookmarkStart w:id="74" w:name="_Toc16938530"/>
      <w:bookmarkStart w:id="75" w:name="_Toc462564073"/>
      <w:r>
        <w:rPr>
          <w:rFonts w:hint="eastAsia" w:eastAsia="Arial"/>
          <w:b/>
          <w:bCs/>
          <w:color w:val="auto"/>
          <w:sz w:val="24"/>
          <w:szCs w:val="20"/>
          <w:highlight w:val="none"/>
          <w:lang w:val="zh-CN"/>
        </w:rPr>
        <w:t>9、投标文件的语言及度量衡单位</w:t>
      </w:r>
      <w:bookmarkEnd w:id="72"/>
      <w:bookmarkEnd w:id="73"/>
      <w:bookmarkEnd w:id="74"/>
      <w:bookmarkEnd w:id="75"/>
    </w:p>
    <w:p w14:paraId="6BC31D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9.1投标人提交的投标文件以及投标人与</w:t>
      </w:r>
      <w:r>
        <w:rPr>
          <w:rFonts w:hint="eastAsia" w:eastAsia="宋体"/>
          <w:color w:val="auto"/>
          <w:sz w:val="24"/>
          <w:szCs w:val="20"/>
          <w:highlight w:val="none"/>
          <w:lang w:eastAsia="zh-CN"/>
        </w:rPr>
        <w:t>交易中心</w:t>
      </w:r>
      <w:r>
        <w:rPr>
          <w:rFonts w:hint="eastAsia" w:eastAsia="Arial"/>
          <w:color w:val="auto"/>
          <w:sz w:val="24"/>
          <w:szCs w:val="20"/>
          <w:highlight w:val="none"/>
        </w:rPr>
        <w:t>就有关投标的所有来往通知、函件和文件均应使用</w:t>
      </w:r>
      <w:r>
        <w:rPr>
          <w:rFonts w:hint="eastAsia" w:eastAsia="Arial"/>
          <w:b/>
          <w:bCs/>
          <w:color w:val="auto"/>
          <w:sz w:val="24"/>
          <w:szCs w:val="20"/>
          <w:highlight w:val="none"/>
        </w:rPr>
        <w:t>简体中文</w:t>
      </w:r>
      <w:r>
        <w:rPr>
          <w:rFonts w:hint="eastAsia" w:eastAsia="Arial"/>
          <w:color w:val="auto"/>
          <w:sz w:val="24"/>
          <w:szCs w:val="20"/>
          <w:highlight w:val="none"/>
        </w:rPr>
        <w:t>。</w:t>
      </w:r>
    </w:p>
    <w:p w14:paraId="3A091F7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9.2除技术性能另有规定外，投标文件所使用的度量衡单位，均须采用国家法定计量单位。</w:t>
      </w:r>
    </w:p>
    <w:p w14:paraId="3CFB42C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76" w:name="_Toc462564074"/>
      <w:bookmarkStart w:id="77" w:name="_Toc513029215"/>
      <w:bookmarkStart w:id="78" w:name="_Toc16938531"/>
      <w:bookmarkStart w:id="79" w:name="_Toc20823287"/>
      <w:r>
        <w:rPr>
          <w:rFonts w:hint="eastAsia" w:eastAsia="Arial"/>
          <w:b/>
          <w:bCs/>
          <w:color w:val="auto"/>
          <w:sz w:val="24"/>
          <w:szCs w:val="20"/>
          <w:highlight w:val="none"/>
          <w:lang w:val="zh-CN"/>
        </w:rPr>
        <w:t>10、投标文件构成</w:t>
      </w:r>
      <w:bookmarkEnd w:id="76"/>
      <w:bookmarkEnd w:id="77"/>
      <w:bookmarkEnd w:id="78"/>
      <w:bookmarkEnd w:id="79"/>
    </w:p>
    <w:p w14:paraId="144AE29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10.1投标人编写的投标文件应包括资格证明文件、符合性证明文件、投标分项报价表、技术要求响应及偏离表、商务要求响应及偏离表、其他证明文件、投标函、开标一览表等部分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bCs/>
          <w:color w:val="auto"/>
          <w:sz w:val="24"/>
          <w:szCs w:val="24"/>
          <w:highlight w:val="none"/>
          <w:lang w:val="zh-CN"/>
        </w:rPr>
        <w:t>（</w:t>
      </w:r>
      <w:r>
        <w:rPr>
          <w:rFonts w:hint="eastAsia" w:ascii="宋体" w:hAnsi="宋体" w:cs="宋体"/>
          <w:b/>
          <w:color w:val="auto"/>
          <w:sz w:val="24"/>
          <w:szCs w:val="24"/>
          <w:highlight w:val="none"/>
          <w:lang w:val="zh-CN"/>
        </w:rPr>
        <w:t>格式详见招标文件“第六章  投标文件格式”</w:t>
      </w:r>
      <w:r>
        <w:rPr>
          <w:rFonts w:hint="eastAsia" w:ascii="宋体" w:hAnsi="宋体" w:cs="宋体"/>
          <w:bCs/>
          <w:color w:val="auto"/>
          <w:sz w:val="24"/>
          <w:szCs w:val="24"/>
          <w:highlight w:val="none"/>
          <w:lang w:val="zh-CN"/>
        </w:rPr>
        <w:t>）</w:t>
      </w:r>
      <w:r>
        <w:rPr>
          <w:rFonts w:hint="eastAsia" w:eastAsia="Arial"/>
          <w:color w:val="auto"/>
          <w:sz w:val="24"/>
          <w:szCs w:val="20"/>
          <w:highlight w:val="none"/>
        </w:rPr>
        <w:t>。</w:t>
      </w:r>
    </w:p>
    <w:p w14:paraId="099BC7B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bookmarkStart w:id="80" w:name="_Toc14577357"/>
      <w:bookmarkStart w:id="81" w:name="_Toc49090509"/>
      <w:bookmarkStart w:id="82" w:name="_Toc14577354"/>
      <w:bookmarkStart w:id="83" w:name="_Toc513029216"/>
      <w:bookmarkStart w:id="84" w:name="_Toc513029219"/>
      <w:bookmarkStart w:id="85" w:name="_Toc49090507"/>
      <w:r>
        <w:rPr>
          <w:rFonts w:hint="eastAsia" w:eastAsia="Arial"/>
          <w:color w:val="auto"/>
          <w:sz w:val="24"/>
          <w:szCs w:val="20"/>
          <w:highlight w:val="none"/>
        </w:rPr>
        <w:t>10.2如标书制作工具中格式和内容与</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发布的招标文件不一致，请以</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发布的招标文件为准。</w:t>
      </w:r>
    </w:p>
    <w:p w14:paraId="2D474C0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11、证明投标人及投标标的符合招标文件规定的文件</w:t>
      </w:r>
      <w:bookmarkEnd w:id="80"/>
      <w:bookmarkEnd w:id="81"/>
      <w:bookmarkEnd w:id="82"/>
      <w:bookmarkEnd w:id="83"/>
      <w:bookmarkEnd w:id="84"/>
      <w:bookmarkEnd w:id="85"/>
    </w:p>
    <w:p w14:paraId="18B770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bookmarkStart w:id="86" w:name="_Toc49090508"/>
      <w:bookmarkStart w:id="87" w:name="_Toc14577355"/>
      <w:r>
        <w:rPr>
          <w:rFonts w:hint="eastAsia" w:eastAsia="Arial"/>
          <w:color w:val="auto"/>
          <w:sz w:val="24"/>
          <w:szCs w:val="20"/>
          <w:highlight w:val="none"/>
        </w:rPr>
        <w:t>11.1投标人应按照法律、法规、规章和规范性文件以及招标文件要求提交证明文件，证明其及投标标的符合招标文件规定。</w:t>
      </w:r>
      <w:bookmarkEnd w:id="86"/>
      <w:bookmarkEnd w:id="87"/>
    </w:p>
    <w:p w14:paraId="14C477C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11.2招标文件对证明文件无明确形式要求的，证明文件可以以文字资料、图纸和数据等形式提交。</w:t>
      </w:r>
    </w:p>
    <w:p w14:paraId="05A01A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12、投标分项报价表</w:t>
      </w:r>
    </w:p>
    <w:p w14:paraId="00FB03D8">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0"/>
          <w:highlight w:val="none"/>
        </w:rPr>
      </w:pPr>
      <w:r>
        <w:rPr>
          <w:rFonts w:hint="eastAsia"/>
          <w:color w:val="auto"/>
          <w:sz w:val="24"/>
          <w:szCs w:val="20"/>
          <w:highlight w:val="none"/>
        </w:rPr>
        <w:t>12.1投标人应按照招标文件规定格式填报投标分项报价表。</w:t>
      </w:r>
    </w:p>
    <w:p w14:paraId="64A9ABB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12.2投标货币。投标文件中的单价和总价无特殊规定的采用人民币报价，以元为单位标注。招标文件中另有规定的按规定执行。</w:t>
      </w:r>
    </w:p>
    <w:p w14:paraId="618469F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rPr>
        <w:t>12.3</w:t>
      </w:r>
      <w:r>
        <w:rPr>
          <w:rFonts w:hint="eastAsia" w:ascii="宋体" w:hAnsi="宋体" w:eastAsia="宋体" w:cs="宋体"/>
          <w:color w:val="auto"/>
          <w:sz w:val="24"/>
          <w:szCs w:val="20"/>
          <w:highlight w:val="none"/>
          <w:lang w:val="en-US" w:eastAsia="zh-CN"/>
        </w:rPr>
        <w:t>本项目设定投标报价的最高限价，最高限价为：</w:t>
      </w:r>
      <w:r>
        <w:rPr>
          <w:rFonts w:hint="eastAsia" w:cs="宋体"/>
          <w:color w:val="auto"/>
          <w:sz w:val="24"/>
          <w:szCs w:val="20"/>
          <w:highlight w:val="none"/>
          <w:lang w:val="en-US" w:eastAsia="zh-CN"/>
        </w:rPr>
        <w:t>31</w:t>
      </w:r>
      <w:r>
        <w:rPr>
          <w:rFonts w:hint="eastAsia" w:ascii="宋体" w:hAnsi="宋体" w:eastAsia="宋体" w:cs="宋体"/>
          <w:color w:val="auto"/>
          <w:sz w:val="24"/>
          <w:szCs w:val="20"/>
          <w:highlight w:val="none"/>
          <w:lang w:val="en-US" w:eastAsia="zh-CN"/>
        </w:rPr>
        <w:t>万元</w:t>
      </w:r>
      <w:r>
        <w:rPr>
          <w:rFonts w:hint="eastAsia" w:cs="宋体"/>
          <w:color w:val="auto"/>
          <w:sz w:val="24"/>
          <w:szCs w:val="20"/>
          <w:highlight w:val="none"/>
          <w:lang w:val="en-US" w:eastAsia="zh-CN"/>
        </w:rPr>
        <w:t>/年</w:t>
      </w:r>
      <w:r>
        <w:rPr>
          <w:rFonts w:hint="eastAsia" w:ascii="宋体" w:hAnsi="宋体" w:eastAsia="宋体" w:cs="宋体"/>
          <w:color w:val="auto"/>
          <w:sz w:val="24"/>
          <w:szCs w:val="20"/>
          <w:highlight w:val="none"/>
          <w:lang w:val="en-US" w:eastAsia="zh-CN"/>
        </w:rPr>
        <w:t>，</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将拒绝高于最高限价的投标报价</w:t>
      </w:r>
      <w:r>
        <w:rPr>
          <w:rFonts w:hint="eastAsia" w:ascii="宋体" w:hAnsi="宋体" w:eastAsia="宋体" w:cs="宋体"/>
          <w:color w:val="auto"/>
          <w:sz w:val="24"/>
          <w:szCs w:val="20"/>
          <w:highlight w:val="none"/>
          <w:lang w:val="zh-CN" w:eastAsia="zh-CN"/>
        </w:rPr>
        <w:t>。</w:t>
      </w:r>
    </w:p>
    <w:p w14:paraId="02F97C8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lang w:val="zh-CN"/>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lang w:val="zh-CN"/>
        </w:rPr>
        <w:t xml:space="preserve"> 投标分项报价表，不仅应包括所有配备人员的工资、社保、公积金、福利费，</w:t>
      </w:r>
      <w:r>
        <w:rPr>
          <w:rFonts w:hint="eastAsia" w:ascii="宋体" w:hAnsi="宋体" w:eastAsia="宋体" w:cs="宋体"/>
          <w:color w:val="auto"/>
          <w:sz w:val="24"/>
          <w:szCs w:val="20"/>
          <w:highlight w:val="none"/>
          <w:lang w:val="zh-CN" w:eastAsia="zh-CN"/>
        </w:rPr>
        <w:t>体检费</w:t>
      </w:r>
      <w:r>
        <w:rPr>
          <w:rFonts w:hint="eastAsia" w:cs="宋体"/>
          <w:color w:val="auto"/>
          <w:sz w:val="24"/>
          <w:szCs w:val="20"/>
          <w:highlight w:val="none"/>
          <w:lang w:val="zh-CN" w:eastAsia="zh-CN"/>
        </w:rPr>
        <w:t>及不低于</w:t>
      </w:r>
      <w:r>
        <w:rPr>
          <w:rFonts w:hint="eastAsia" w:cs="宋体"/>
          <w:color w:val="auto"/>
          <w:sz w:val="24"/>
          <w:szCs w:val="20"/>
          <w:highlight w:val="none"/>
          <w:lang w:val="en-US" w:eastAsia="zh-CN"/>
        </w:rPr>
        <w:t>2人的</w:t>
      </w:r>
      <w:r>
        <w:rPr>
          <w:rFonts w:hint="eastAsia" w:ascii="宋体" w:hAnsi="宋体" w:eastAsia="宋体" w:cs="宋体"/>
          <w:color w:val="auto"/>
          <w:sz w:val="24"/>
          <w:szCs w:val="20"/>
          <w:highlight w:val="none"/>
          <w:lang w:val="zh-CN"/>
        </w:rPr>
        <w:t>法定节假日加班费</w:t>
      </w:r>
      <w:r>
        <w:rPr>
          <w:rFonts w:hint="eastAsia" w:ascii="宋体" w:hAnsi="宋体" w:eastAsia="宋体" w:cs="宋体"/>
          <w:color w:val="auto"/>
          <w:sz w:val="24"/>
          <w:szCs w:val="20"/>
          <w:highlight w:val="none"/>
          <w:lang w:val="zh-CN" w:eastAsia="zh-CN"/>
        </w:rPr>
        <w:t>，</w:t>
      </w:r>
      <w:r>
        <w:rPr>
          <w:rFonts w:hint="eastAsia" w:ascii="宋体" w:hAnsi="宋体" w:eastAsia="宋体" w:cs="宋体"/>
          <w:color w:val="auto"/>
          <w:sz w:val="24"/>
          <w:szCs w:val="20"/>
          <w:highlight w:val="none"/>
          <w:lang w:val="zh-CN"/>
        </w:rPr>
        <w:t>还应包括</w:t>
      </w:r>
      <w:r>
        <w:rPr>
          <w:rFonts w:hint="eastAsia" w:ascii="宋体" w:hAnsi="宋体" w:eastAsia="宋体" w:cs="宋体"/>
          <w:color w:val="auto"/>
          <w:sz w:val="24"/>
          <w:szCs w:val="20"/>
          <w:highlight w:val="none"/>
          <w:lang w:val="en-US" w:eastAsia="zh-CN"/>
        </w:rPr>
        <w:t>办公费(</w:t>
      </w:r>
      <w:r>
        <w:rPr>
          <w:rFonts w:hint="eastAsia" w:cs="宋体"/>
          <w:color w:val="auto"/>
          <w:sz w:val="24"/>
          <w:szCs w:val="20"/>
          <w:highlight w:val="none"/>
          <w:lang w:val="zh-CN"/>
        </w:rPr>
        <w:t>含</w:t>
      </w:r>
      <w:r>
        <w:rPr>
          <w:rFonts w:hint="eastAsia" w:ascii="宋体" w:hAnsi="宋体" w:eastAsia="宋体" w:cs="宋体"/>
          <w:color w:val="auto"/>
          <w:sz w:val="24"/>
          <w:szCs w:val="20"/>
          <w:highlight w:val="none"/>
          <w:lang w:val="zh-CN"/>
        </w:rPr>
        <w:t>耗材、文具、电脑、打印机等</w:t>
      </w:r>
      <w:r>
        <w:rPr>
          <w:rFonts w:hint="eastAsia" w:ascii="宋体" w:hAnsi="宋体" w:eastAsia="宋体" w:cs="宋体"/>
          <w:color w:val="auto"/>
          <w:sz w:val="24"/>
          <w:szCs w:val="20"/>
          <w:highlight w:val="none"/>
          <w:lang w:val="en-US" w:eastAsia="zh-CN"/>
        </w:rPr>
        <w:t>)、固定资产折旧费（</w:t>
      </w:r>
      <w:r>
        <w:rPr>
          <w:rFonts w:hint="eastAsia" w:ascii="宋体" w:hAnsi="宋体" w:eastAsia="宋体" w:cs="宋体"/>
          <w:color w:val="auto"/>
          <w:sz w:val="24"/>
          <w:szCs w:val="20"/>
          <w:highlight w:val="none"/>
          <w:lang w:val="zh-CN" w:eastAsia="zh-CN"/>
        </w:rPr>
        <w:t>主要办公家具由采购人提供</w:t>
      </w:r>
      <w:r>
        <w:rPr>
          <w:rFonts w:hint="eastAsia" w:ascii="宋体" w:hAnsi="宋体" w:eastAsia="宋体" w:cs="宋体"/>
          <w:color w:val="auto"/>
          <w:sz w:val="24"/>
          <w:szCs w:val="20"/>
          <w:highlight w:val="none"/>
          <w:lang w:val="en-US" w:eastAsia="zh-CN"/>
        </w:rPr>
        <w:t>）、公众责任保险费、意外伤害保险费、高温补助费、服装费、垃圾收集清运费（至垃圾中转箱）、保洁设备、工具及耗材费、</w:t>
      </w:r>
      <w:r>
        <w:rPr>
          <w:rFonts w:hint="eastAsia" w:eastAsia="Arial" w:cs="宋体"/>
          <w:color w:val="auto"/>
          <w:sz w:val="24"/>
          <w:szCs w:val="20"/>
          <w:highlight w:val="none"/>
          <w:lang w:val="en-US" w:eastAsia="zh-CN"/>
        </w:rPr>
        <w:t>消防</w:t>
      </w:r>
      <w:r>
        <w:rPr>
          <w:rFonts w:hint="eastAsia" w:ascii="宋体" w:hAnsi="宋体" w:eastAsia="Arial" w:cs="宋体"/>
          <w:color w:val="auto"/>
          <w:sz w:val="24"/>
          <w:szCs w:val="20"/>
          <w:highlight w:val="none"/>
          <w:lang w:val="zh-CN" w:eastAsia="zh-CN"/>
        </w:rPr>
        <w:t>治安保卫装备费（</w:t>
      </w:r>
      <w:r>
        <w:rPr>
          <w:rFonts w:hint="eastAsia" w:eastAsia="Arial" w:cs="宋体"/>
          <w:color w:val="auto"/>
          <w:sz w:val="24"/>
          <w:szCs w:val="20"/>
          <w:highlight w:val="none"/>
          <w:lang w:val="zh-CN" w:eastAsia="zh-CN"/>
        </w:rPr>
        <w:t>含</w:t>
      </w:r>
      <w:r>
        <w:rPr>
          <w:rFonts w:hint="eastAsia" w:ascii="宋体" w:hAnsi="宋体" w:eastAsia="Arial" w:cs="宋体"/>
          <w:color w:val="auto"/>
          <w:sz w:val="24"/>
          <w:szCs w:val="20"/>
          <w:highlight w:val="none"/>
          <w:lang w:val="zh-CN" w:eastAsia="zh-CN"/>
        </w:rPr>
        <w:t>器械</w:t>
      </w:r>
      <w:r>
        <w:rPr>
          <w:rFonts w:hint="eastAsia" w:eastAsia="Arial" w:cs="宋体"/>
          <w:color w:val="auto"/>
          <w:sz w:val="24"/>
          <w:szCs w:val="20"/>
          <w:highlight w:val="none"/>
          <w:lang w:val="zh-CN" w:eastAsia="zh-CN"/>
        </w:rPr>
        <w:t>、工具等</w:t>
      </w:r>
      <w:r>
        <w:rPr>
          <w:rFonts w:hint="eastAsia" w:ascii="宋体" w:hAnsi="宋体" w:eastAsia="Arial" w:cs="宋体"/>
          <w:color w:val="auto"/>
          <w:sz w:val="24"/>
          <w:szCs w:val="20"/>
          <w:highlight w:val="none"/>
          <w:lang w:val="zh-CN" w:eastAsia="zh-CN"/>
        </w:rPr>
        <w:t>）</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lang w:val="zh-CN"/>
        </w:rPr>
        <w:t>绿化</w:t>
      </w:r>
      <w:r>
        <w:rPr>
          <w:rFonts w:hint="eastAsia" w:cs="宋体"/>
          <w:color w:val="auto"/>
          <w:sz w:val="24"/>
          <w:szCs w:val="20"/>
          <w:highlight w:val="none"/>
          <w:lang w:val="zh-CN"/>
        </w:rPr>
        <w:t>维护工具</w:t>
      </w:r>
      <w:r>
        <w:rPr>
          <w:rFonts w:hint="eastAsia" w:ascii="宋体" w:hAnsi="宋体" w:eastAsia="宋体" w:cs="宋体"/>
          <w:color w:val="auto"/>
          <w:sz w:val="24"/>
          <w:szCs w:val="20"/>
          <w:highlight w:val="none"/>
          <w:lang w:val="zh-CN"/>
        </w:rPr>
        <w:t>及耗材费</w:t>
      </w:r>
      <w:r>
        <w:rPr>
          <w:rFonts w:hint="eastAsia" w:ascii="宋体" w:hAnsi="宋体" w:eastAsia="宋体" w:cs="宋体"/>
          <w:color w:val="auto"/>
          <w:sz w:val="24"/>
          <w:szCs w:val="20"/>
          <w:highlight w:val="none"/>
          <w:lang w:val="en-US" w:eastAsia="zh-CN"/>
        </w:rPr>
        <w:t>、</w:t>
      </w:r>
      <w:r>
        <w:rPr>
          <w:rFonts w:hint="eastAsia" w:cs="宋体"/>
          <w:color w:val="auto"/>
          <w:sz w:val="24"/>
          <w:szCs w:val="20"/>
          <w:highlight w:val="none"/>
          <w:lang w:val="en-US" w:eastAsia="zh-CN"/>
        </w:rPr>
        <w:t>被服洗涤耗材费、</w:t>
      </w:r>
      <w:r>
        <w:rPr>
          <w:rFonts w:hint="eastAsia" w:ascii="宋体" w:hAnsi="宋体" w:eastAsia="宋体" w:cs="宋体"/>
          <w:color w:val="auto"/>
          <w:sz w:val="24"/>
          <w:szCs w:val="20"/>
          <w:highlight w:val="none"/>
          <w:lang w:val="zh-CN"/>
        </w:rPr>
        <w:t>管理费、劳务费、工作日和休息日加班费、培训费、宣传服务费、风险费、税金、合理利润及政策性文件规定等各项应有费用，以及为完成招标文件规定的物业服务工作所涉及到的一切相关费用。</w:t>
      </w:r>
    </w:p>
    <w:p w14:paraId="483C58A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注：（</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lang w:val="zh-CN"/>
        </w:rPr>
        <w:t>本项目所有服务人员的服装由中标人购置并承担费用（服装需符合国家标准，且各工种的服装需要区分）。</w:t>
      </w:r>
    </w:p>
    <w:p w14:paraId="70D634C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rPr>
        <w:t>（</w:t>
      </w:r>
      <w:r>
        <w:rPr>
          <w:rFonts w:hint="eastAsia" w:ascii="宋体" w:hAnsi="宋体" w:eastAsia="宋体" w:cs="宋体"/>
          <w:color w:val="auto"/>
          <w:sz w:val="24"/>
          <w:szCs w:val="20"/>
          <w:highlight w:val="none"/>
          <w:lang w:val="en-US" w:eastAsia="zh-CN"/>
        </w:rPr>
        <w:t>2）</w:t>
      </w:r>
      <w:r>
        <w:rPr>
          <w:rFonts w:hint="eastAsia" w:eastAsia="Arial" w:cs="宋体"/>
          <w:color w:val="auto"/>
          <w:sz w:val="24"/>
          <w:szCs w:val="20"/>
          <w:highlight w:val="none"/>
          <w:lang w:val="zh-CN"/>
        </w:rPr>
        <w:t>本项目</w:t>
      </w:r>
      <w:r>
        <w:rPr>
          <w:rFonts w:hint="eastAsia" w:ascii="宋体" w:hAnsi="宋体" w:eastAsia="Arial" w:cs="宋体"/>
          <w:color w:val="auto"/>
          <w:sz w:val="24"/>
          <w:szCs w:val="20"/>
          <w:highlight w:val="none"/>
          <w:lang w:val="en-US" w:eastAsia="zh-CN"/>
        </w:rPr>
        <w:t>用于日常卫生保洁的设备、工具及耗材（</w:t>
      </w:r>
      <w:r>
        <w:rPr>
          <w:rFonts w:hint="eastAsia" w:ascii="宋体" w:hAnsi="宋体" w:eastAsia="Arial" w:cs="宋体"/>
          <w:color w:val="auto"/>
          <w:sz w:val="24"/>
          <w:szCs w:val="20"/>
          <w:highlight w:val="none"/>
          <w:lang w:val="zh-CN" w:eastAsia="zh-CN"/>
        </w:rPr>
        <w:t>包括</w:t>
      </w:r>
      <w:r>
        <w:rPr>
          <w:rFonts w:hint="eastAsia" w:eastAsia="Arial" w:cs="宋体"/>
          <w:color w:val="auto"/>
          <w:sz w:val="24"/>
          <w:szCs w:val="20"/>
          <w:highlight w:val="none"/>
          <w:lang w:val="zh-CN"/>
        </w:rPr>
        <w:t>洗地机、</w:t>
      </w:r>
      <w:r>
        <w:rPr>
          <w:rFonts w:hint="eastAsia" w:ascii="宋体" w:hAnsi="宋体" w:eastAsia="Arial" w:cs="宋体"/>
          <w:color w:val="auto"/>
          <w:sz w:val="24"/>
          <w:szCs w:val="20"/>
          <w:highlight w:val="none"/>
          <w:lang w:val="zh-CN"/>
        </w:rPr>
        <w:t>清洁剂、消毒剂、消杀药品、除臭剂、清香剂、洗衣粉/液、玻璃清洁水、不锈钢抛光剂、拖把、扫把、簸箕、手套</w:t>
      </w:r>
      <w:r>
        <w:rPr>
          <w:rFonts w:hint="eastAsia" w:eastAsia="Arial" w:cs="宋体"/>
          <w:color w:val="auto"/>
          <w:sz w:val="24"/>
          <w:szCs w:val="20"/>
          <w:highlight w:val="none"/>
          <w:lang w:val="zh-CN"/>
        </w:rPr>
        <w:t>、垃圾袋</w:t>
      </w:r>
      <w:r>
        <w:rPr>
          <w:rFonts w:hint="eastAsia" w:ascii="宋体" w:hAnsi="宋体" w:eastAsia="Arial" w:cs="宋体"/>
          <w:color w:val="auto"/>
          <w:sz w:val="24"/>
          <w:szCs w:val="20"/>
          <w:highlight w:val="none"/>
          <w:lang w:val="zh-CN" w:eastAsia="zh-CN"/>
        </w:rPr>
        <w:t>等</w:t>
      </w:r>
      <w:r>
        <w:rPr>
          <w:rFonts w:hint="eastAsia" w:ascii="宋体" w:hAnsi="宋体" w:eastAsia="Arial" w:cs="宋体"/>
          <w:color w:val="auto"/>
          <w:sz w:val="24"/>
          <w:szCs w:val="20"/>
          <w:highlight w:val="none"/>
          <w:lang w:val="en-US" w:eastAsia="zh-CN"/>
        </w:rPr>
        <w:t>）均由中标人购置并承担费用</w:t>
      </w:r>
      <w:r>
        <w:rPr>
          <w:rFonts w:hint="eastAsia" w:ascii="宋体" w:hAnsi="宋体" w:eastAsia="Arial" w:cs="宋体"/>
          <w:color w:val="auto"/>
          <w:sz w:val="24"/>
          <w:szCs w:val="20"/>
          <w:highlight w:val="none"/>
          <w:lang w:val="zh-CN"/>
        </w:rPr>
        <w:t>。</w:t>
      </w:r>
    </w:p>
    <w:p w14:paraId="393491D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rPr>
        <w:t>（</w:t>
      </w:r>
      <w:r>
        <w:rPr>
          <w:rFonts w:hint="eastAsia" w:ascii="宋体" w:hAnsi="宋体" w:eastAsia="宋体" w:cs="宋体"/>
          <w:color w:val="auto"/>
          <w:sz w:val="24"/>
          <w:szCs w:val="20"/>
          <w:highlight w:val="none"/>
          <w:lang w:val="en-US" w:eastAsia="zh-CN"/>
        </w:rPr>
        <w:t>3）</w:t>
      </w:r>
      <w:r>
        <w:rPr>
          <w:rFonts w:hint="eastAsia" w:eastAsia="Arial" w:cs="宋体"/>
          <w:color w:val="auto"/>
          <w:sz w:val="24"/>
          <w:szCs w:val="20"/>
          <w:highlight w:val="none"/>
          <w:lang w:val="en-US" w:eastAsia="zh-CN"/>
        </w:rPr>
        <w:t>本项目消防</w:t>
      </w:r>
      <w:r>
        <w:rPr>
          <w:rFonts w:hint="eastAsia" w:ascii="宋体" w:hAnsi="宋体" w:eastAsia="Arial" w:cs="宋体"/>
          <w:color w:val="auto"/>
          <w:sz w:val="24"/>
          <w:szCs w:val="20"/>
          <w:highlight w:val="none"/>
          <w:lang w:val="zh-CN" w:eastAsia="zh-CN"/>
        </w:rPr>
        <w:t>治安保卫人员相关</w:t>
      </w:r>
      <w:r>
        <w:rPr>
          <w:rFonts w:hint="eastAsia" w:ascii="宋体" w:hAnsi="宋体" w:eastAsia="Arial" w:cs="宋体"/>
          <w:color w:val="auto"/>
          <w:sz w:val="24"/>
          <w:szCs w:val="20"/>
          <w:highlight w:val="none"/>
          <w:lang w:val="zh-CN"/>
        </w:rPr>
        <w:t>装备（</w:t>
      </w:r>
      <w:r>
        <w:rPr>
          <w:rFonts w:hint="eastAsia" w:eastAsia="Arial" w:cs="宋体"/>
          <w:color w:val="auto"/>
          <w:sz w:val="24"/>
          <w:szCs w:val="20"/>
          <w:highlight w:val="none"/>
          <w:lang w:val="zh-CN"/>
        </w:rPr>
        <w:t>包括</w:t>
      </w:r>
      <w:r>
        <w:rPr>
          <w:rFonts w:hint="eastAsia" w:ascii="宋体" w:hAnsi="宋体" w:eastAsia="Arial" w:cs="宋体"/>
          <w:color w:val="auto"/>
          <w:sz w:val="24"/>
          <w:szCs w:val="20"/>
          <w:highlight w:val="none"/>
          <w:lang w:val="zh-CN"/>
        </w:rPr>
        <w:t>对讲机、警棍、头盔、防护钢叉、防刺服、防刺手套</w:t>
      </w:r>
      <w:r>
        <w:rPr>
          <w:rFonts w:hint="eastAsia" w:ascii="宋体" w:hAnsi="宋体" w:eastAsia="Arial" w:cs="宋体"/>
          <w:color w:val="auto"/>
          <w:sz w:val="24"/>
          <w:szCs w:val="20"/>
          <w:highlight w:val="none"/>
          <w:lang w:val="zh-CN" w:eastAsia="zh-CN"/>
        </w:rPr>
        <w:t>等）</w:t>
      </w:r>
      <w:r>
        <w:rPr>
          <w:rFonts w:hint="eastAsia" w:ascii="宋体" w:hAnsi="宋体" w:eastAsia="Arial" w:cs="宋体"/>
          <w:color w:val="auto"/>
          <w:sz w:val="24"/>
          <w:szCs w:val="20"/>
          <w:highlight w:val="none"/>
          <w:lang w:val="zh-CN"/>
        </w:rPr>
        <w:t>由</w:t>
      </w:r>
      <w:r>
        <w:rPr>
          <w:rFonts w:hint="eastAsia" w:ascii="宋体" w:hAnsi="宋体" w:eastAsia="Arial" w:cs="宋体"/>
          <w:color w:val="auto"/>
          <w:sz w:val="24"/>
          <w:szCs w:val="20"/>
          <w:highlight w:val="none"/>
          <w:lang w:val="en-US" w:eastAsia="zh-CN"/>
        </w:rPr>
        <w:t>中</w:t>
      </w:r>
      <w:r>
        <w:rPr>
          <w:rFonts w:hint="eastAsia" w:ascii="宋体" w:hAnsi="宋体" w:eastAsia="Arial" w:cs="宋体"/>
          <w:color w:val="auto"/>
          <w:sz w:val="24"/>
          <w:szCs w:val="20"/>
          <w:highlight w:val="none"/>
          <w:lang w:val="zh-CN"/>
        </w:rPr>
        <w:t>标人购置并承担费用</w:t>
      </w:r>
      <w:r>
        <w:rPr>
          <w:rFonts w:hint="eastAsia" w:ascii="宋体" w:hAnsi="宋体" w:eastAsia="宋体" w:cs="宋体"/>
          <w:color w:val="auto"/>
          <w:sz w:val="24"/>
          <w:szCs w:val="20"/>
          <w:highlight w:val="none"/>
          <w:lang w:val="en-US" w:eastAsia="zh-CN"/>
        </w:rPr>
        <w:t>。</w:t>
      </w:r>
    </w:p>
    <w:p w14:paraId="7943D0B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（4）</w:t>
      </w:r>
      <w:r>
        <w:rPr>
          <w:rFonts w:hint="eastAsia" w:cs="宋体"/>
          <w:color w:val="auto"/>
          <w:sz w:val="24"/>
          <w:szCs w:val="20"/>
          <w:highlight w:val="none"/>
          <w:lang w:val="en-US" w:eastAsia="zh-CN"/>
        </w:rPr>
        <w:t>本项目被服</w:t>
      </w:r>
      <w:r>
        <w:rPr>
          <w:rFonts w:hint="eastAsia" w:ascii="宋体" w:hAnsi="宋体" w:eastAsia="宋体" w:cs="宋体"/>
          <w:color w:val="auto"/>
          <w:sz w:val="24"/>
          <w:szCs w:val="20"/>
          <w:highlight w:val="none"/>
          <w:lang w:val="en-US" w:eastAsia="zh-CN"/>
        </w:rPr>
        <w:t>洗涤用具（洗衣机、消毒机等）由</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提供，无偿供中标人使用，在服务期限满后由</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收回。</w:t>
      </w:r>
      <w:r>
        <w:rPr>
          <w:rFonts w:hint="eastAsia" w:cs="宋体"/>
          <w:color w:val="auto"/>
          <w:sz w:val="24"/>
          <w:szCs w:val="20"/>
          <w:highlight w:val="none"/>
          <w:lang w:val="en-US" w:eastAsia="zh-CN"/>
        </w:rPr>
        <w:t>耗材</w:t>
      </w:r>
      <w:r>
        <w:rPr>
          <w:rFonts w:hint="eastAsia" w:ascii="宋体" w:hAnsi="宋体" w:eastAsia="宋体" w:cs="宋体"/>
          <w:color w:val="auto"/>
          <w:sz w:val="24"/>
          <w:szCs w:val="20"/>
          <w:highlight w:val="none"/>
          <w:lang w:val="en-US" w:eastAsia="zh-CN"/>
        </w:rPr>
        <w:t>（洗衣液、洗衣粉等）由</w:t>
      </w:r>
      <w:r>
        <w:rPr>
          <w:rFonts w:hint="eastAsia" w:ascii="宋体" w:hAnsi="宋体" w:eastAsia="Arial" w:cs="宋体"/>
          <w:color w:val="auto"/>
          <w:sz w:val="24"/>
          <w:szCs w:val="20"/>
          <w:highlight w:val="none"/>
          <w:lang w:val="en-US" w:eastAsia="zh-CN"/>
        </w:rPr>
        <w:t>中</w:t>
      </w:r>
      <w:r>
        <w:rPr>
          <w:rFonts w:hint="eastAsia" w:ascii="宋体" w:hAnsi="宋体" w:eastAsia="Arial" w:cs="宋体"/>
          <w:color w:val="auto"/>
          <w:sz w:val="24"/>
          <w:szCs w:val="20"/>
          <w:highlight w:val="none"/>
          <w:lang w:val="zh-CN"/>
        </w:rPr>
        <w:t>标人购置并承担费用</w:t>
      </w:r>
      <w:r>
        <w:rPr>
          <w:rFonts w:hint="eastAsia" w:ascii="宋体" w:hAnsi="宋体" w:eastAsia="宋体" w:cs="宋体"/>
          <w:color w:val="auto"/>
          <w:sz w:val="24"/>
          <w:szCs w:val="20"/>
          <w:highlight w:val="none"/>
          <w:lang w:val="en-US" w:eastAsia="zh-CN"/>
        </w:rPr>
        <w:t>。</w:t>
      </w:r>
    </w:p>
    <w:p w14:paraId="7990FB9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default" w:cs="宋体"/>
          <w:color w:val="auto"/>
          <w:sz w:val="24"/>
          <w:szCs w:val="20"/>
          <w:highlight w:val="none"/>
          <w:lang w:val="en-US" w:eastAsia="zh-CN"/>
        </w:rPr>
      </w:pPr>
      <w:r>
        <w:rPr>
          <w:rFonts w:hint="eastAsia" w:cs="宋体"/>
          <w:color w:val="auto"/>
          <w:sz w:val="24"/>
          <w:szCs w:val="20"/>
          <w:highlight w:val="none"/>
          <w:lang w:val="en-US" w:eastAsia="zh-CN"/>
        </w:rPr>
        <w:t>（5）</w:t>
      </w:r>
      <w:r>
        <w:rPr>
          <w:rFonts w:hint="eastAsia" w:ascii="宋体" w:hAnsi="宋体" w:eastAsia="宋体" w:cs="宋体"/>
          <w:color w:val="auto"/>
          <w:sz w:val="24"/>
          <w:szCs w:val="20"/>
          <w:highlight w:val="none"/>
          <w:lang w:val="en-US" w:eastAsia="zh-CN"/>
        </w:rPr>
        <w:t>本项目医废垃圾袋由</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提供。</w:t>
      </w:r>
    </w:p>
    <w:p w14:paraId="0FBF796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（6）本项目</w:t>
      </w:r>
      <w:r>
        <w:rPr>
          <w:rFonts w:hint="eastAsia" w:ascii="宋体" w:hAnsi="宋体" w:eastAsia="宋体" w:cs="宋体"/>
          <w:color w:val="auto"/>
          <w:sz w:val="24"/>
          <w:szCs w:val="20"/>
          <w:highlight w:val="none"/>
          <w:lang w:val="en-US" w:eastAsia="zh-CN"/>
        </w:rPr>
        <w:t>绿化</w:t>
      </w:r>
      <w:r>
        <w:rPr>
          <w:rFonts w:hint="eastAsia" w:cs="宋体"/>
          <w:color w:val="auto"/>
          <w:sz w:val="24"/>
          <w:szCs w:val="20"/>
          <w:highlight w:val="none"/>
          <w:lang w:val="en-US" w:eastAsia="zh-CN"/>
        </w:rPr>
        <w:t>维护所需的工具及耗材（</w:t>
      </w:r>
      <w:r>
        <w:rPr>
          <w:rFonts w:hint="eastAsia" w:ascii="宋体" w:hAnsi="宋体" w:eastAsia="宋体" w:cs="宋体"/>
          <w:color w:val="auto"/>
          <w:sz w:val="24"/>
          <w:szCs w:val="20"/>
          <w:highlight w:val="none"/>
          <w:lang w:val="en-US" w:eastAsia="zh-CN"/>
        </w:rPr>
        <w:t>药水、肥料等</w:t>
      </w:r>
      <w:r>
        <w:rPr>
          <w:rFonts w:hint="eastAsia" w:cs="宋体"/>
          <w:color w:val="auto"/>
          <w:sz w:val="24"/>
          <w:szCs w:val="20"/>
          <w:highlight w:val="none"/>
          <w:lang w:val="en-US" w:eastAsia="zh-CN"/>
        </w:rPr>
        <w:t>）</w:t>
      </w:r>
      <w:r>
        <w:rPr>
          <w:rFonts w:hint="eastAsia" w:ascii="宋体" w:hAnsi="宋体" w:eastAsia="宋体" w:cs="宋体"/>
          <w:color w:val="auto"/>
          <w:sz w:val="24"/>
          <w:szCs w:val="20"/>
          <w:highlight w:val="none"/>
          <w:lang w:val="en-US" w:eastAsia="zh-CN"/>
        </w:rPr>
        <w:t>均由</w:t>
      </w:r>
      <w:r>
        <w:rPr>
          <w:rFonts w:hint="eastAsia" w:ascii="宋体" w:hAnsi="宋体" w:eastAsia="Arial" w:cs="宋体"/>
          <w:color w:val="auto"/>
          <w:sz w:val="24"/>
          <w:szCs w:val="20"/>
          <w:highlight w:val="none"/>
          <w:lang w:val="en-US" w:eastAsia="zh-CN"/>
        </w:rPr>
        <w:t>中</w:t>
      </w:r>
      <w:r>
        <w:rPr>
          <w:rFonts w:hint="eastAsia" w:ascii="宋体" w:hAnsi="宋体" w:eastAsia="Arial" w:cs="宋体"/>
          <w:color w:val="auto"/>
          <w:sz w:val="24"/>
          <w:szCs w:val="20"/>
          <w:highlight w:val="none"/>
          <w:lang w:val="zh-CN"/>
        </w:rPr>
        <w:t>标人购置并承担费用</w:t>
      </w:r>
      <w:r>
        <w:rPr>
          <w:rFonts w:hint="eastAsia" w:ascii="宋体" w:hAnsi="宋体" w:eastAsia="宋体" w:cs="宋体"/>
          <w:color w:val="auto"/>
          <w:sz w:val="24"/>
          <w:szCs w:val="20"/>
          <w:highlight w:val="none"/>
          <w:lang w:val="en-US" w:eastAsia="zh-CN"/>
        </w:rPr>
        <w:t>。</w:t>
      </w:r>
    </w:p>
    <w:p w14:paraId="629496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（7）</w:t>
      </w:r>
      <w:r>
        <w:rPr>
          <w:rFonts w:hint="eastAsia" w:ascii="宋体" w:hAnsi="宋体" w:eastAsia="宋体" w:cs="宋体"/>
          <w:color w:val="auto"/>
          <w:sz w:val="24"/>
          <w:szCs w:val="20"/>
          <w:highlight w:val="none"/>
          <w:lang w:val="en-US" w:eastAsia="zh-CN"/>
        </w:rPr>
        <w:t>保管物品用房（一间）、洗衣房（一间）、办公用房（一间）均由</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提供，无偿供</w:t>
      </w:r>
      <w:r>
        <w:rPr>
          <w:rFonts w:hint="eastAsia" w:cs="宋体"/>
          <w:color w:val="auto"/>
          <w:sz w:val="24"/>
          <w:szCs w:val="20"/>
          <w:highlight w:val="none"/>
          <w:lang w:val="en-US" w:eastAsia="zh-CN"/>
        </w:rPr>
        <w:t>中标人</w:t>
      </w:r>
      <w:r>
        <w:rPr>
          <w:rFonts w:hint="eastAsia" w:ascii="宋体" w:hAnsi="宋体" w:eastAsia="宋体" w:cs="宋体"/>
          <w:color w:val="auto"/>
          <w:sz w:val="24"/>
          <w:szCs w:val="20"/>
          <w:highlight w:val="none"/>
          <w:lang w:val="en-US" w:eastAsia="zh-CN"/>
        </w:rPr>
        <w:t>使用，在服务期限满后由</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收回。</w:t>
      </w:r>
    </w:p>
    <w:p w14:paraId="0DBD6BB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default" w:cs="宋体"/>
          <w:color w:val="auto"/>
          <w:sz w:val="24"/>
          <w:szCs w:val="20"/>
          <w:highlight w:val="none"/>
          <w:lang w:val="en-US" w:eastAsia="zh-CN"/>
        </w:rPr>
      </w:pPr>
      <w:r>
        <w:rPr>
          <w:rFonts w:hint="eastAsia" w:cs="宋体"/>
          <w:color w:val="auto"/>
          <w:sz w:val="24"/>
          <w:szCs w:val="20"/>
          <w:highlight w:val="none"/>
          <w:lang w:val="zh-CN" w:eastAsia="zh-CN"/>
        </w:rPr>
        <w:t>（</w:t>
      </w:r>
      <w:r>
        <w:rPr>
          <w:rFonts w:hint="eastAsia" w:cs="宋体"/>
          <w:color w:val="auto"/>
          <w:sz w:val="24"/>
          <w:szCs w:val="20"/>
          <w:highlight w:val="none"/>
          <w:lang w:val="en-US" w:eastAsia="zh-CN"/>
        </w:rPr>
        <w:t>8）</w:t>
      </w:r>
      <w:r>
        <w:rPr>
          <w:rFonts w:hint="eastAsia" w:ascii="宋体" w:hAnsi="宋体" w:eastAsia="Arial" w:cs="宋体"/>
          <w:color w:val="auto"/>
          <w:sz w:val="24"/>
          <w:szCs w:val="20"/>
          <w:highlight w:val="none"/>
          <w:lang w:val="zh-CN"/>
        </w:rPr>
        <w:t>本项目办公家具由采购人提供，</w:t>
      </w:r>
      <w:r>
        <w:rPr>
          <w:rFonts w:hint="eastAsia" w:ascii="宋体" w:hAnsi="宋体" w:eastAsia="宋体" w:cs="宋体"/>
          <w:color w:val="auto"/>
          <w:sz w:val="24"/>
          <w:szCs w:val="20"/>
          <w:highlight w:val="none"/>
          <w:lang w:val="en-US" w:eastAsia="zh-CN"/>
        </w:rPr>
        <w:t>无偿供中标人使用，在服务期限满后由</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收回</w:t>
      </w:r>
      <w:r>
        <w:rPr>
          <w:rFonts w:hint="eastAsia" w:ascii="宋体" w:hAnsi="宋体" w:eastAsia="Arial" w:cs="宋体"/>
          <w:color w:val="auto"/>
          <w:sz w:val="24"/>
          <w:szCs w:val="20"/>
          <w:highlight w:val="none"/>
          <w:lang w:val="zh-CN"/>
        </w:rPr>
        <w:t>。</w:t>
      </w:r>
    </w:p>
    <w:p w14:paraId="1AC947D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eastAsia="zh-CN"/>
        </w:rPr>
      </w:pPr>
      <w:r>
        <w:rPr>
          <w:rFonts w:hint="eastAsia" w:cs="宋体"/>
          <w:color w:val="auto"/>
          <w:sz w:val="24"/>
          <w:szCs w:val="20"/>
          <w:highlight w:val="none"/>
          <w:lang w:val="zh-CN" w:eastAsia="zh-CN"/>
        </w:rPr>
        <w:t>（</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zh-CN" w:eastAsia="zh-CN"/>
        </w:rPr>
        <w:t>各投标人自行根据采购人提供的服务内容、招标文件及答疑文件等资料要求，并根据市场行情、结合自身公司实力、管理水平等因素，按要求进行报价。</w:t>
      </w:r>
    </w:p>
    <w:p w14:paraId="2A7D0616">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color w:val="auto"/>
          <w:sz w:val="24"/>
          <w:szCs w:val="20"/>
          <w:highlight w:val="none"/>
          <w:lang w:val="zh-CN"/>
        </w:rPr>
      </w:pPr>
      <w:r>
        <w:rPr>
          <w:rFonts w:hint="eastAsia" w:eastAsia="Arial"/>
          <w:b/>
          <w:bCs/>
          <w:color w:val="auto"/>
          <w:sz w:val="24"/>
          <w:szCs w:val="20"/>
          <w:highlight w:val="none"/>
          <w:lang w:val="en-US" w:eastAsia="zh-CN"/>
        </w:rPr>
        <w:t>12.5</w:t>
      </w:r>
      <w:r>
        <w:rPr>
          <w:rFonts w:hint="eastAsia" w:eastAsia="Arial"/>
          <w:b/>
          <w:bCs/>
          <w:color w:val="auto"/>
          <w:sz w:val="24"/>
          <w:szCs w:val="20"/>
          <w:highlight w:val="none"/>
          <w:lang w:val="zh-CN"/>
        </w:rPr>
        <w:t>所有人员工资不低于本市最低工资标准</w:t>
      </w:r>
      <w:r>
        <w:rPr>
          <w:rFonts w:hint="eastAsia" w:eastAsia="Arial"/>
          <w:b/>
          <w:bCs/>
          <w:color w:val="auto"/>
          <w:sz w:val="24"/>
          <w:szCs w:val="20"/>
          <w:highlight w:val="none"/>
        </w:rPr>
        <w:t>2430</w:t>
      </w:r>
      <w:r>
        <w:rPr>
          <w:rFonts w:hint="eastAsia" w:eastAsia="Arial"/>
          <w:b/>
          <w:bCs/>
          <w:color w:val="auto"/>
          <w:sz w:val="24"/>
          <w:szCs w:val="20"/>
          <w:highlight w:val="none"/>
          <w:lang w:val="zh-CN"/>
        </w:rPr>
        <w:t>元/人</w:t>
      </w:r>
      <w:r>
        <w:rPr>
          <w:rFonts w:hint="eastAsia" w:eastAsia="宋体"/>
          <w:b/>
          <w:bCs/>
          <w:color w:val="auto"/>
          <w:sz w:val="24"/>
          <w:szCs w:val="20"/>
          <w:highlight w:val="none"/>
          <w:lang w:val="en-US" w:eastAsia="zh-CN"/>
        </w:rPr>
        <w:t>/</w:t>
      </w:r>
      <w:r>
        <w:rPr>
          <w:rFonts w:hint="eastAsia" w:eastAsia="Arial"/>
          <w:b/>
          <w:bCs/>
          <w:color w:val="auto"/>
          <w:sz w:val="24"/>
          <w:szCs w:val="20"/>
          <w:highlight w:val="none"/>
          <w:lang w:val="zh-CN"/>
        </w:rPr>
        <w:t>月，所有人员必须足额缴纳社保费用，社保（企业部分）不得低于</w:t>
      </w:r>
      <w:r>
        <w:rPr>
          <w:rFonts w:hint="eastAsia" w:eastAsia="Arial"/>
          <w:b/>
          <w:bCs/>
          <w:color w:val="auto"/>
          <w:sz w:val="24"/>
          <w:szCs w:val="20"/>
          <w:highlight w:val="none"/>
        </w:rPr>
        <w:t>1292.47</w:t>
      </w:r>
      <w:r>
        <w:rPr>
          <w:rFonts w:hint="eastAsia" w:eastAsia="Arial"/>
          <w:b/>
          <w:bCs/>
          <w:color w:val="auto"/>
          <w:sz w:val="24"/>
          <w:szCs w:val="20"/>
          <w:highlight w:val="none"/>
          <w:lang w:val="zh-CN"/>
        </w:rPr>
        <w:t>元/人/月，</w:t>
      </w:r>
      <w:r>
        <w:rPr>
          <w:rFonts w:hint="eastAsia" w:eastAsia="Arial"/>
          <w:b/>
          <w:bCs/>
          <w:color w:val="auto"/>
          <w:sz w:val="24"/>
          <w:szCs w:val="20"/>
          <w:highlight w:val="none"/>
        </w:rPr>
        <w:t>住房公积金不得低于</w:t>
      </w:r>
      <w:r>
        <w:rPr>
          <w:rFonts w:hint="eastAsia"/>
          <w:b/>
          <w:bCs/>
          <w:color w:val="auto"/>
          <w:sz w:val="24"/>
          <w:szCs w:val="20"/>
          <w:highlight w:val="none"/>
          <w:lang w:val="en-US" w:eastAsia="zh-CN"/>
        </w:rPr>
        <w:t>122</w:t>
      </w:r>
      <w:r>
        <w:rPr>
          <w:rFonts w:hint="eastAsia" w:eastAsia="Arial"/>
          <w:b/>
          <w:bCs/>
          <w:color w:val="auto"/>
          <w:sz w:val="24"/>
          <w:szCs w:val="20"/>
          <w:highlight w:val="none"/>
        </w:rPr>
        <w:t>元</w:t>
      </w:r>
      <w:r>
        <w:rPr>
          <w:rFonts w:hint="eastAsia" w:eastAsia="宋体"/>
          <w:b/>
          <w:bCs/>
          <w:color w:val="auto"/>
          <w:sz w:val="24"/>
          <w:szCs w:val="20"/>
          <w:highlight w:val="none"/>
          <w:lang w:val="en-US" w:eastAsia="zh-CN"/>
        </w:rPr>
        <w:t>/</w:t>
      </w:r>
      <w:r>
        <w:rPr>
          <w:rFonts w:hint="eastAsia" w:eastAsia="Arial"/>
          <w:b/>
          <w:bCs/>
          <w:color w:val="auto"/>
          <w:sz w:val="24"/>
          <w:szCs w:val="20"/>
          <w:highlight w:val="none"/>
          <w:lang w:val="zh-CN"/>
        </w:rPr>
        <w:t>人/月（</w:t>
      </w:r>
      <w:r>
        <w:rPr>
          <w:rFonts w:hint="eastAsia"/>
          <w:b/>
          <w:bCs/>
          <w:color w:val="auto"/>
          <w:sz w:val="24"/>
          <w:szCs w:val="20"/>
          <w:highlight w:val="none"/>
          <w:lang w:val="en-US" w:eastAsia="zh-CN"/>
        </w:rPr>
        <w:t>上述部分</w:t>
      </w:r>
      <w:r>
        <w:rPr>
          <w:rFonts w:hint="eastAsia" w:eastAsia="Arial"/>
          <w:b/>
          <w:bCs/>
          <w:color w:val="auto"/>
          <w:sz w:val="24"/>
          <w:szCs w:val="20"/>
          <w:highlight w:val="none"/>
          <w:lang w:val="zh-CN"/>
        </w:rPr>
        <w:t>投标时按全员测算）；</w:t>
      </w:r>
      <w:r>
        <w:rPr>
          <w:rFonts w:hint="eastAsia" w:eastAsia="Arial"/>
          <w:b/>
          <w:bCs/>
          <w:color w:val="auto"/>
          <w:sz w:val="24"/>
          <w:szCs w:val="20"/>
          <w:highlight w:val="none"/>
        </w:rPr>
        <w:t>法定节假日加班不得低于</w:t>
      </w:r>
      <w:r>
        <w:rPr>
          <w:rFonts w:hint="eastAsia"/>
          <w:b/>
          <w:bCs/>
          <w:color w:val="auto"/>
          <w:sz w:val="24"/>
          <w:szCs w:val="20"/>
          <w:highlight w:val="none"/>
          <w:lang w:val="en-US" w:eastAsia="zh-CN"/>
        </w:rPr>
        <w:t>2</w:t>
      </w:r>
      <w:r>
        <w:rPr>
          <w:rFonts w:hint="eastAsia" w:eastAsia="Arial"/>
          <w:b/>
          <w:bCs/>
          <w:color w:val="auto"/>
          <w:sz w:val="24"/>
          <w:szCs w:val="20"/>
          <w:highlight w:val="none"/>
        </w:rPr>
        <w:t>人</w:t>
      </w:r>
      <w:r>
        <w:rPr>
          <w:rFonts w:hint="eastAsia"/>
          <w:b/>
          <w:bCs/>
          <w:color w:val="auto"/>
          <w:sz w:val="24"/>
          <w:szCs w:val="20"/>
          <w:highlight w:val="none"/>
          <w:lang w:eastAsia="zh-CN"/>
        </w:rPr>
        <w:t>且</w:t>
      </w:r>
      <w:r>
        <w:rPr>
          <w:rFonts w:hint="eastAsia" w:eastAsia="Arial"/>
          <w:b/>
          <w:bCs/>
          <w:color w:val="auto"/>
          <w:sz w:val="24"/>
          <w:szCs w:val="20"/>
          <w:highlight w:val="none"/>
        </w:rPr>
        <w:t>加班费不得低于4357.25元/人/年，</w:t>
      </w:r>
      <w:r>
        <w:rPr>
          <w:rFonts w:hint="eastAsia" w:ascii="宋体" w:hAnsi="宋体" w:eastAsia="宋体" w:cs="宋体"/>
          <w:b/>
          <w:bCs/>
          <w:color w:val="auto"/>
          <w:sz w:val="24"/>
          <w:szCs w:val="20"/>
          <w:highlight w:val="none"/>
          <w:lang w:val="zh-CN"/>
        </w:rPr>
        <w:t>税金费率统一按6.72%进行</w:t>
      </w:r>
      <w:r>
        <w:rPr>
          <w:rFonts w:hint="eastAsia" w:ascii="宋体" w:hAnsi="宋体" w:eastAsia="宋体" w:cs="宋体"/>
          <w:b/>
          <w:bCs/>
          <w:color w:val="auto"/>
          <w:sz w:val="24"/>
          <w:szCs w:val="20"/>
          <w:highlight w:val="none"/>
          <w:lang w:val="en-US" w:eastAsia="zh-CN"/>
        </w:rPr>
        <w:t>计算</w:t>
      </w:r>
      <w:r>
        <w:rPr>
          <w:rFonts w:hint="eastAsia" w:ascii="宋体" w:hAnsi="宋体" w:eastAsia="宋体" w:cs="宋体"/>
          <w:b/>
          <w:bCs/>
          <w:color w:val="auto"/>
          <w:sz w:val="24"/>
          <w:szCs w:val="20"/>
          <w:highlight w:val="none"/>
          <w:lang w:val="zh-CN"/>
        </w:rPr>
        <w:t>。</w:t>
      </w:r>
    </w:p>
    <w:p w14:paraId="43F8507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8CEFD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default" w:eastAsia="宋体"/>
          <w:b/>
          <w:bCs/>
          <w:color w:val="auto"/>
          <w:sz w:val="24"/>
          <w:szCs w:val="20"/>
          <w:highlight w:val="none"/>
          <w:lang w:val="en-US" w:eastAsia="zh-CN"/>
        </w:rPr>
      </w:pPr>
      <w:r>
        <w:rPr>
          <w:rFonts w:hint="eastAsia"/>
          <w:b/>
          <w:bCs/>
          <w:color w:val="auto"/>
          <w:sz w:val="24"/>
          <w:szCs w:val="20"/>
          <w:highlight w:val="none"/>
          <w:lang w:val="en-US" w:eastAsia="zh-CN"/>
        </w:rPr>
        <w:t>12.6</w:t>
      </w:r>
      <w:r>
        <w:rPr>
          <w:rFonts w:hint="eastAsia" w:eastAsia="Arial"/>
          <w:b/>
          <w:bCs/>
          <w:sz w:val="24"/>
          <w:szCs w:val="20"/>
          <w:highlight w:val="none"/>
          <w:lang w:val="zh-CN" w:eastAsia="zh-CN"/>
        </w:rPr>
        <w:t>服务期内，如政府出台文件对盐城市最低工资标准、社保费率或基数、住房公积金费率或基数、税金费率等进行政策性调整的，中标人应按相关规定执行，但中标价（合同价）不变，投标人将此风险考虑在报价中。</w:t>
      </w:r>
    </w:p>
    <w:p w14:paraId="4D193CE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rPr>
      </w:pPr>
      <w:r>
        <w:rPr>
          <w:rFonts w:hint="eastAsia" w:eastAsia="Arial"/>
          <w:color w:val="auto"/>
          <w:sz w:val="24"/>
          <w:szCs w:val="20"/>
          <w:highlight w:val="none"/>
          <w:lang w:val="zh-CN"/>
        </w:rPr>
        <w:t>1</w:t>
      </w:r>
      <w:r>
        <w:rPr>
          <w:rFonts w:hint="eastAsia" w:eastAsia="Arial"/>
          <w:color w:val="auto"/>
          <w:sz w:val="24"/>
          <w:szCs w:val="20"/>
          <w:highlight w:val="none"/>
          <w:lang w:val="zh-CN" w:eastAsia="zh-CN"/>
        </w:rPr>
        <w:t>2</w:t>
      </w:r>
      <w:r>
        <w:rPr>
          <w:rFonts w:hint="eastAsia" w:eastAsia="Arial"/>
          <w:color w:val="auto"/>
          <w:sz w:val="24"/>
          <w:szCs w:val="20"/>
          <w:highlight w:val="none"/>
          <w:lang w:val="zh-CN"/>
        </w:rPr>
        <w:t>.</w:t>
      </w:r>
      <w:r>
        <w:rPr>
          <w:rFonts w:hint="eastAsia" w:eastAsia="Arial"/>
          <w:color w:val="auto"/>
          <w:sz w:val="24"/>
          <w:szCs w:val="20"/>
          <w:highlight w:val="none"/>
          <w:lang w:val="en-US" w:eastAsia="zh-CN"/>
        </w:rPr>
        <w:t>7</w:t>
      </w:r>
      <w:r>
        <w:rPr>
          <w:rFonts w:hint="eastAsia" w:eastAsia="Arial"/>
          <w:color w:val="auto"/>
          <w:sz w:val="24"/>
          <w:szCs w:val="20"/>
          <w:highlight w:val="none"/>
          <w:lang w:val="zh-CN"/>
        </w:rPr>
        <w:t>投标人根据招标内容的要求准确报价，一经报出，不得更改。</w:t>
      </w:r>
    </w:p>
    <w:p w14:paraId="6F5CB53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rPr>
      </w:pPr>
      <w:r>
        <w:rPr>
          <w:rFonts w:hint="eastAsia" w:eastAsia="Arial"/>
          <w:color w:val="auto"/>
          <w:sz w:val="24"/>
          <w:szCs w:val="20"/>
          <w:highlight w:val="none"/>
          <w:lang w:val="zh-CN"/>
        </w:rPr>
        <w:t>1</w:t>
      </w:r>
      <w:r>
        <w:rPr>
          <w:rFonts w:hint="eastAsia" w:eastAsia="Arial"/>
          <w:color w:val="auto"/>
          <w:sz w:val="24"/>
          <w:szCs w:val="20"/>
          <w:highlight w:val="none"/>
          <w:lang w:val="zh-CN" w:eastAsia="zh-CN"/>
        </w:rPr>
        <w:t>2</w:t>
      </w:r>
      <w:r>
        <w:rPr>
          <w:rFonts w:hint="eastAsia" w:eastAsia="Arial"/>
          <w:color w:val="auto"/>
          <w:sz w:val="24"/>
          <w:szCs w:val="20"/>
          <w:highlight w:val="none"/>
          <w:lang w:val="zh-CN"/>
        </w:rPr>
        <w:t>.</w:t>
      </w:r>
      <w:r>
        <w:rPr>
          <w:rFonts w:hint="eastAsia" w:eastAsia="Arial"/>
          <w:color w:val="auto"/>
          <w:sz w:val="24"/>
          <w:szCs w:val="20"/>
          <w:highlight w:val="none"/>
          <w:lang w:val="en-US" w:eastAsia="zh-CN"/>
        </w:rPr>
        <w:t>8</w:t>
      </w:r>
      <w:r>
        <w:rPr>
          <w:rFonts w:hint="eastAsia" w:eastAsia="Arial"/>
          <w:color w:val="auto"/>
          <w:sz w:val="24"/>
          <w:szCs w:val="20"/>
          <w:highlight w:val="none"/>
          <w:lang w:val="zh-CN"/>
        </w:rPr>
        <w:t>投标报价的单位为人民币(元)/年。如果未能按合同、招标投标文件履约的，终止合同，履约保证金不予退还，并不支付服务期间的物业服务费用。采购人有权终止合同的履行，受托单位应承担相应的完全责任，包括赔偿因此而给采购人及第三人带来的相应损失。合同期满并完成与后续物业服务企业的衔接后，方可退出，经采购人验收合格，退出本物业管理时必须向</w:t>
      </w:r>
      <w:r>
        <w:rPr>
          <w:rFonts w:hint="eastAsia" w:eastAsia="Arial"/>
          <w:color w:val="auto"/>
          <w:sz w:val="24"/>
          <w:szCs w:val="20"/>
          <w:highlight w:val="none"/>
          <w:lang w:val="zh-CN" w:eastAsia="zh-CN"/>
        </w:rPr>
        <w:t>采购人</w:t>
      </w:r>
      <w:r>
        <w:rPr>
          <w:rFonts w:hint="eastAsia" w:eastAsia="Arial"/>
          <w:color w:val="auto"/>
          <w:sz w:val="24"/>
          <w:szCs w:val="20"/>
          <w:highlight w:val="none"/>
          <w:lang w:val="zh-CN"/>
        </w:rPr>
        <w:t>移交全套档案等资料，同时退还履约保证金。</w:t>
      </w:r>
    </w:p>
    <w:p w14:paraId="4D36AF8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13、技术要求响应及偏离表、商务要求响应及偏离表</w:t>
      </w:r>
    </w:p>
    <w:p w14:paraId="16870DC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13.1投标人需对招标文件中的技术要求与商务要求逐项作出响应或偏离，并说明原因。</w:t>
      </w:r>
    </w:p>
    <w:p w14:paraId="4E46C28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13.2投标人可在投标文件中提供认为需要的其他技术文件或说明。</w:t>
      </w:r>
    </w:p>
    <w:p w14:paraId="0F4F344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88" w:name="_Toc49090510"/>
      <w:bookmarkStart w:id="89" w:name="_Toc14577359"/>
      <w:r>
        <w:rPr>
          <w:rFonts w:hint="eastAsia" w:eastAsia="Arial"/>
          <w:b/>
          <w:bCs/>
          <w:color w:val="auto"/>
          <w:sz w:val="24"/>
          <w:szCs w:val="20"/>
          <w:highlight w:val="none"/>
          <w:lang w:val="zh-CN"/>
        </w:rPr>
        <w:t>14、投标函和开标一览表</w:t>
      </w:r>
      <w:bookmarkEnd w:id="88"/>
      <w:bookmarkEnd w:id="89"/>
    </w:p>
    <w:p w14:paraId="4630284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14.1投标人应按照招标文件中提供的格式完整、正确填写投标函、开标一览表。</w:t>
      </w:r>
    </w:p>
    <w:p w14:paraId="1B013A3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14.2对于采用货币报价的项目，开标一览表中的投标总报价应与投标分项报价表中的投标总报价一致，如不一致，不作为无效投标处理，但评标时按开标一览表中价格为准。</w:t>
      </w:r>
    </w:p>
    <w:p w14:paraId="300C409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14.3投标文件的大写金额和小写金额不一致的，以大写金额为准；对不同文字文本投标的解释发生异议的，以中文文本为准。</w:t>
      </w:r>
    </w:p>
    <w:p w14:paraId="72342A7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90" w:name="_Toc14577360"/>
      <w:bookmarkStart w:id="91" w:name="_Toc49090511"/>
      <w:r>
        <w:rPr>
          <w:rFonts w:hint="eastAsia" w:eastAsia="Arial"/>
          <w:b/>
          <w:bCs/>
          <w:color w:val="auto"/>
          <w:sz w:val="24"/>
          <w:szCs w:val="20"/>
          <w:highlight w:val="none"/>
          <w:lang w:val="zh-CN"/>
        </w:rPr>
        <w:t>15、投标有效期</w:t>
      </w:r>
      <w:bookmarkEnd w:id="90"/>
      <w:bookmarkEnd w:id="91"/>
    </w:p>
    <w:p w14:paraId="1164B0C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15.1投标有效期为交易中心规定的开标之日后</w:t>
      </w:r>
      <w:r>
        <w:rPr>
          <w:rFonts w:hint="eastAsia" w:eastAsia="Arial"/>
          <w:b/>
          <w:bCs/>
          <w:color w:val="auto"/>
          <w:sz w:val="24"/>
          <w:szCs w:val="20"/>
          <w:highlight w:val="none"/>
          <w:u w:val="single"/>
          <w:lang w:val="zh-CN"/>
        </w:rPr>
        <w:t>九十（90）天</w:t>
      </w:r>
      <w:r>
        <w:rPr>
          <w:rFonts w:hint="eastAsia"/>
          <w:color w:val="auto"/>
          <w:sz w:val="24"/>
          <w:szCs w:val="24"/>
          <w:highlight w:val="none"/>
        </w:rPr>
        <w:t>。投标有效期比规定</w:t>
      </w:r>
      <w:r>
        <w:rPr>
          <w:rFonts w:hint="eastAsia" w:eastAsia="Arial"/>
          <w:color w:val="auto"/>
          <w:sz w:val="24"/>
          <w:szCs w:val="20"/>
          <w:highlight w:val="none"/>
          <w:lang w:val="zh-CN"/>
        </w:rPr>
        <w:t>短的将被视为未实质性响应招标文件而予以拒绝。</w:t>
      </w:r>
    </w:p>
    <w:p w14:paraId="54CF94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16、投标有效期的延长</w:t>
      </w:r>
    </w:p>
    <w:p w14:paraId="0CF5B41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70A3FE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92" w:name="_Toc513029224"/>
      <w:bookmarkStart w:id="93" w:name="_Toc120614217"/>
      <w:bookmarkStart w:id="94" w:name="_Toc16938540"/>
      <w:bookmarkStart w:id="95" w:name="_Toc20823296"/>
      <w:r>
        <w:rPr>
          <w:rFonts w:hint="eastAsia" w:eastAsia="Arial"/>
          <w:b/>
          <w:bCs/>
          <w:color w:val="auto"/>
          <w:sz w:val="24"/>
          <w:szCs w:val="20"/>
          <w:highlight w:val="none"/>
          <w:lang w:val="zh-CN"/>
        </w:rPr>
        <w:t>四、投标文件的递交</w:t>
      </w:r>
      <w:bookmarkEnd w:id="92"/>
      <w:bookmarkEnd w:id="93"/>
      <w:bookmarkEnd w:id="94"/>
      <w:bookmarkEnd w:id="95"/>
    </w:p>
    <w:p w14:paraId="7B2E45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96" w:name="_Toc462564084"/>
      <w:bookmarkStart w:id="97" w:name="_Toc20823297"/>
      <w:bookmarkStart w:id="98" w:name="_Toc513029225"/>
      <w:bookmarkStart w:id="99" w:name="_Toc16938541"/>
      <w:r>
        <w:rPr>
          <w:rFonts w:hint="eastAsia" w:eastAsia="Arial"/>
          <w:b/>
          <w:bCs/>
          <w:color w:val="auto"/>
          <w:sz w:val="24"/>
          <w:szCs w:val="20"/>
          <w:highlight w:val="none"/>
          <w:lang w:val="zh-CN"/>
        </w:rPr>
        <w:t>17、投标文件</w:t>
      </w:r>
      <w:bookmarkEnd w:id="96"/>
      <w:bookmarkEnd w:id="97"/>
      <w:bookmarkEnd w:id="98"/>
      <w:bookmarkEnd w:id="99"/>
      <w:r>
        <w:rPr>
          <w:rFonts w:hint="eastAsia" w:eastAsia="Arial"/>
          <w:b/>
          <w:bCs/>
          <w:color w:val="auto"/>
          <w:sz w:val="24"/>
          <w:szCs w:val="20"/>
          <w:highlight w:val="none"/>
          <w:lang w:val="zh-CN"/>
        </w:rPr>
        <w:t>的递交</w:t>
      </w:r>
    </w:p>
    <w:p w14:paraId="0748627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17.1 电子投标文件的递交</w:t>
      </w:r>
    </w:p>
    <w:p w14:paraId="20B69D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投标人应当按照《操作手册》规定，在投标截止时间前制作并上传电子投标</w:t>
      </w:r>
      <w:bookmarkStart w:id="100" w:name="_Toc16938542"/>
      <w:bookmarkEnd w:id="100"/>
      <w:bookmarkStart w:id="101" w:name="_Toc20823298"/>
      <w:bookmarkEnd w:id="101"/>
      <w:r>
        <w:rPr>
          <w:rFonts w:hint="eastAsia" w:eastAsia="Arial"/>
          <w:color w:val="auto"/>
          <w:sz w:val="24"/>
          <w:szCs w:val="20"/>
          <w:highlight w:val="none"/>
          <w:lang w:val="zh-CN"/>
        </w:rPr>
        <w:t>文件。</w:t>
      </w:r>
    </w:p>
    <w:p w14:paraId="4B432154">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textAlignment w:val="auto"/>
        <w:rPr>
          <w:rFonts w:hint="eastAsia" w:ascii="宋体" w:hAnsi="宋体" w:eastAsia="宋体" w:cs="宋体"/>
          <w:color w:val="0000FF"/>
          <w:sz w:val="24"/>
          <w:szCs w:val="24"/>
          <w:highlight w:val="non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3C508DC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18、投标截止时间</w:t>
      </w:r>
    </w:p>
    <w:p w14:paraId="55999AD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i/>
          <w:iCs/>
          <w:color w:val="auto"/>
          <w:sz w:val="24"/>
          <w:szCs w:val="20"/>
          <w:highlight w:val="none"/>
          <w:u w:val="single"/>
          <w:lang w:val="zh-CN"/>
        </w:rPr>
        <w:t>18.1投标人上传电子投标文件的时间不得迟于招标公告中规定的投标截止时间</w:t>
      </w:r>
      <w:r>
        <w:rPr>
          <w:rFonts w:hint="eastAsia" w:eastAsia="Arial"/>
          <w:color w:val="auto"/>
          <w:sz w:val="24"/>
          <w:szCs w:val="20"/>
          <w:highlight w:val="none"/>
          <w:lang w:val="zh-CN"/>
        </w:rPr>
        <w:t>。</w:t>
      </w:r>
    </w:p>
    <w:p w14:paraId="6AC4A56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投标人应充分考虑到网络环境、网络带宽等风险因素，如因投标人自身原因造成的电子投标文件上传不成功的按照本招标文件第二章第26.1.2条规定做无效投标处理。</w:t>
      </w:r>
    </w:p>
    <w:p w14:paraId="444E98A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18.2交易中心可以按照规定，通过修改招标文件酌情延长投标截止时间，在此情况下，投标人的所有权利和义务以及投标人受制的截止时间均应以延长后新的截止时间为准。</w:t>
      </w:r>
    </w:p>
    <w:p w14:paraId="333B15E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02" w:name="_Toc513029227"/>
      <w:bookmarkStart w:id="103" w:name="_Toc16938543"/>
      <w:bookmarkStart w:id="104" w:name="_Toc20823299"/>
      <w:r>
        <w:rPr>
          <w:rFonts w:hint="eastAsia" w:eastAsia="Arial"/>
          <w:b/>
          <w:bCs/>
          <w:color w:val="auto"/>
          <w:sz w:val="24"/>
          <w:szCs w:val="20"/>
          <w:highlight w:val="none"/>
          <w:lang w:val="zh-CN"/>
        </w:rPr>
        <w:t>19、投标文件</w:t>
      </w:r>
      <w:bookmarkEnd w:id="102"/>
      <w:bookmarkEnd w:id="103"/>
      <w:bookmarkEnd w:id="104"/>
      <w:r>
        <w:rPr>
          <w:rFonts w:hint="eastAsia" w:eastAsia="Arial"/>
          <w:b/>
          <w:bCs/>
          <w:color w:val="auto"/>
          <w:sz w:val="24"/>
          <w:szCs w:val="20"/>
          <w:highlight w:val="none"/>
          <w:lang w:val="zh-CN"/>
        </w:rPr>
        <w:t>的拒收</w:t>
      </w:r>
    </w:p>
    <w:p w14:paraId="7E1138D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19.1交易中心拒绝接收在其规定的投标截止时间后上传的任何投标文件。</w:t>
      </w:r>
    </w:p>
    <w:p w14:paraId="0BF826A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05" w:name="_Toc513029228"/>
      <w:bookmarkStart w:id="106" w:name="_Toc20823300"/>
      <w:bookmarkStart w:id="107" w:name="_Toc16938544"/>
      <w:r>
        <w:rPr>
          <w:rFonts w:hint="eastAsia" w:eastAsia="Arial"/>
          <w:b/>
          <w:bCs/>
          <w:color w:val="auto"/>
          <w:sz w:val="24"/>
          <w:szCs w:val="20"/>
          <w:highlight w:val="none"/>
          <w:lang w:val="zh-CN"/>
        </w:rPr>
        <w:t>20、投标文件的撤回和修改</w:t>
      </w:r>
      <w:bookmarkEnd w:id="105"/>
      <w:bookmarkEnd w:id="106"/>
      <w:bookmarkEnd w:id="107"/>
    </w:p>
    <w:p w14:paraId="5515E29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20.1投标文件的撤回</w:t>
      </w:r>
    </w:p>
    <w:p w14:paraId="5036147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20.1.1电子投标文件的撤回</w:t>
      </w:r>
    </w:p>
    <w:p w14:paraId="2A3F330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投标人可在投标截止时间前，撤回其电子投标文件，具体操作方法见《操作手册》。</w:t>
      </w:r>
    </w:p>
    <w:p w14:paraId="2E2F7A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w:t>
      </w:r>
      <w:r>
        <w:rPr>
          <w:rFonts w:hint="eastAsia"/>
          <w:color w:val="auto"/>
          <w:sz w:val="24"/>
          <w:szCs w:val="20"/>
          <w:highlight w:val="none"/>
        </w:rPr>
        <w:t>0</w:t>
      </w:r>
      <w:r>
        <w:rPr>
          <w:rFonts w:hint="eastAsia" w:eastAsia="Arial"/>
          <w:color w:val="auto"/>
          <w:sz w:val="24"/>
          <w:szCs w:val="20"/>
          <w:highlight w:val="none"/>
          <w:lang w:val="zh-CN"/>
        </w:rPr>
        <w:t>.1.2投标人撤回电子投标文件，则认为其不再参与本项目投标活动。</w:t>
      </w:r>
    </w:p>
    <w:p w14:paraId="4BE6083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20.2 投标文件的修改</w:t>
      </w:r>
    </w:p>
    <w:p w14:paraId="571CDC0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20.2.1投标人可在投标截止时间前，对其电子投标文件进行修改，具体操作方法见《操作手册》。</w:t>
      </w:r>
    </w:p>
    <w:p w14:paraId="7D136AC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20.2.2在投标截止时间之后，投标人不得对其电子投标文件作任何修改。</w:t>
      </w:r>
    </w:p>
    <w:p w14:paraId="06E323B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20.3在投标截止时间至招标文件中规定的投标有效期满之间的这段时间内，投标人不得撤回其投标。</w:t>
      </w:r>
    </w:p>
    <w:p w14:paraId="0977776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08" w:name="_Toc120614218"/>
      <w:bookmarkStart w:id="109" w:name="_Toc20823301"/>
      <w:bookmarkStart w:id="110" w:name="_Toc513029229"/>
      <w:bookmarkStart w:id="111" w:name="_Toc16938545"/>
      <w:r>
        <w:rPr>
          <w:rFonts w:hint="eastAsia" w:eastAsia="Arial"/>
          <w:b/>
          <w:bCs/>
          <w:color w:val="auto"/>
          <w:sz w:val="24"/>
          <w:szCs w:val="20"/>
          <w:highlight w:val="none"/>
          <w:lang w:val="zh-CN"/>
        </w:rPr>
        <w:t>五、开标与评标</w:t>
      </w:r>
      <w:bookmarkEnd w:id="108"/>
      <w:bookmarkEnd w:id="109"/>
      <w:bookmarkEnd w:id="110"/>
      <w:bookmarkEnd w:id="111"/>
    </w:p>
    <w:p w14:paraId="4EF2221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12" w:name="_Toc20823302"/>
      <w:bookmarkStart w:id="113" w:name="_Toc16938546"/>
      <w:bookmarkStart w:id="114" w:name="_Toc513029230"/>
      <w:r>
        <w:rPr>
          <w:rFonts w:hint="eastAsia" w:eastAsia="Arial"/>
          <w:b/>
          <w:bCs/>
          <w:color w:val="auto"/>
          <w:sz w:val="24"/>
          <w:szCs w:val="20"/>
          <w:highlight w:val="none"/>
          <w:lang w:val="zh-CN"/>
        </w:rPr>
        <w:t>21、开标</w:t>
      </w:r>
      <w:bookmarkEnd w:id="112"/>
      <w:bookmarkEnd w:id="113"/>
      <w:bookmarkEnd w:id="114"/>
    </w:p>
    <w:p w14:paraId="3E6FAF8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21.1交易中心将在招标公告中规定的时间和地点组织公开开标。投标人应当按照《操作手册》规定，参加开标活动和在苏采云系统规定的时间内对投标文件进行解密。</w:t>
      </w:r>
    </w:p>
    <w:p w14:paraId="18B14B3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21.2开标仪式由交易中心组织。苏采云系统将自动对项目进行开标，并宣布各投标人名称和投标价格。</w:t>
      </w:r>
    </w:p>
    <w:p w14:paraId="6FCFB3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21.3投标人在开标过程中涉及到的投标文件解密、开标结果确认等工作，应按照《操作手册》规定执行。</w:t>
      </w:r>
    </w:p>
    <w:p w14:paraId="6CACAEF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21.4投标人如果对开标过程和开标记录有疑义，应当根据《操作手册》规定提出，如苏采云系统中《开标记录表》宣布后5分钟内未提出的，视同认可开标结果。</w:t>
      </w:r>
    </w:p>
    <w:p w14:paraId="4B351A4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15" w:name="_Toc513029231"/>
      <w:bookmarkStart w:id="116" w:name="_Toc16938547"/>
      <w:bookmarkStart w:id="117" w:name="_Toc20823303"/>
      <w:r>
        <w:rPr>
          <w:rFonts w:hint="eastAsia" w:eastAsia="Arial"/>
          <w:b/>
          <w:bCs/>
          <w:color w:val="auto"/>
          <w:sz w:val="24"/>
          <w:szCs w:val="20"/>
          <w:highlight w:val="none"/>
          <w:lang w:val="zh-CN"/>
        </w:rPr>
        <w:t>22、评标委员会</w:t>
      </w:r>
      <w:bookmarkEnd w:id="115"/>
      <w:bookmarkEnd w:id="116"/>
      <w:bookmarkEnd w:id="117"/>
    </w:p>
    <w:p w14:paraId="005790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22.1开标后，交易中心将立即组织评标委员会（以下简称评委会）进行评标。</w:t>
      </w:r>
    </w:p>
    <w:p w14:paraId="399C102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22.2评委会由采购人代表和有关技术、经济等方面的专家组成，且人员构成符合政府采购有关规定。</w:t>
      </w:r>
    </w:p>
    <w:p w14:paraId="33FF08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22.3评委会独立工作，负责评审所有投标文件并确定中标</w:t>
      </w:r>
      <w:r>
        <w:rPr>
          <w:rFonts w:hint="eastAsia"/>
          <w:color w:val="auto"/>
          <w:sz w:val="24"/>
          <w:szCs w:val="20"/>
          <w:highlight w:val="none"/>
        </w:rPr>
        <w:t>候选人</w:t>
      </w:r>
      <w:r>
        <w:rPr>
          <w:rFonts w:hint="eastAsia" w:eastAsia="Arial"/>
          <w:color w:val="auto"/>
          <w:sz w:val="24"/>
          <w:szCs w:val="20"/>
          <w:highlight w:val="none"/>
          <w:lang w:val="zh-CN"/>
        </w:rPr>
        <w:t>。</w:t>
      </w:r>
    </w:p>
    <w:p w14:paraId="502A4B8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23、评标过程的保密与公正</w:t>
      </w:r>
    </w:p>
    <w:p w14:paraId="6B1AC45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23.1凡是与审查、澄清、评价和比较投标的有关资料以及授标建议等，采购人、评委、交易中心均不得向投标人或与评标无关的其他人员透露。</w:t>
      </w:r>
    </w:p>
    <w:p w14:paraId="0D0655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23.2在评标过程中，投标人不得以任何行为影响评标过程，否则其投标文件将被作为无效投标文件。</w:t>
      </w:r>
    </w:p>
    <w:p w14:paraId="2801E64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23.3交易中心和评标委员会不向未中标的投标人解释未中标原因，也不公布评标过程中的相关细节。</w:t>
      </w:r>
    </w:p>
    <w:p w14:paraId="1F76043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23.4采用综合评分法的项目，未中标的投标人可于中标结果公告期限届满之日起通过苏采云系统查看自己的评审得分及排序情况。</w:t>
      </w:r>
    </w:p>
    <w:p w14:paraId="2622088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18" w:name="_Toc16938548"/>
      <w:bookmarkStart w:id="119" w:name="_Toc513029232"/>
      <w:bookmarkStart w:id="120" w:name="_Toc20823304"/>
      <w:r>
        <w:rPr>
          <w:rFonts w:hint="eastAsia" w:eastAsia="Arial"/>
          <w:b/>
          <w:bCs/>
          <w:color w:val="auto"/>
          <w:sz w:val="24"/>
          <w:szCs w:val="20"/>
          <w:highlight w:val="none"/>
          <w:lang w:val="zh-CN"/>
        </w:rPr>
        <w:t>24、投标文件的澄清</w:t>
      </w:r>
      <w:bookmarkEnd w:id="118"/>
      <w:bookmarkEnd w:id="119"/>
      <w:bookmarkEnd w:id="120"/>
    </w:p>
    <w:p w14:paraId="02B578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24.1评标期间，评委会对投标文件中含义不明确、同类问题表述不一致或者有明显文字和计算错误的内容，有权要求投标人作出必要的澄清、说明或者补正。</w:t>
      </w:r>
    </w:p>
    <w:p w14:paraId="7E5BA2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投标人的澄清、说明或者补正不得超出投标文件的范围或者改变投标文件的实质性内容。</w:t>
      </w:r>
    </w:p>
    <w:p w14:paraId="1235460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评标委员会并非对每个投标人都做澄清要求。</w:t>
      </w:r>
    </w:p>
    <w:p w14:paraId="5948708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0A5854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24.3接到评委会澄清、说明和补正要求的投标人如未按规定做出澄清、说明和补正，其风险由投标人自行承担。</w:t>
      </w:r>
    </w:p>
    <w:p w14:paraId="6F6D84E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21" w:name="_Toc16938549"/>
      <w:bookmarkStart w:id="122" w:name="_Toc513029233"/>
      <w:bookmarkStart w:id="123" w:name="_Toc20823305"/>
      <w:r>
        <w:rPr>
          <w:rFonts w:hint="eastAsia" w:eastAsia="Arial"/>
          <w:b/>
          <w:bCs/>
          <w:color w:val="auto"/>
          <w:sz w:val="24"/>
          <w:szCs w:val="20"/>
          <w:highlight w:val="none"/>
          <w:lang w:val="zh-CN"/>
        </w:rPr>
        <w:t>25、对投标文件的初审</w:t>
      </w:r>
      <w:bookmarkEnd w:id="121"/>
      <w:bookmarkEnd w:id="122"/>
      <w:bookmarkEnd w:id="123"/>
    </w:p>
    <w:p w14:paraId="37E3361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25.1投标文件初审分为资格审查和符合性审查。</w:t>
      </w:r>
    </w:p>
    <w:p w14:paraId="6EBDC57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25.1.1资格审查：依据法律法规和招标文件的规定，由采购人对投标文件中的资格证明文件进行审查。资格审查的结论，采购人以书面形式向评委会进行反馈。</w:t>
      </w:r>
    </w:p>
    <w:p w14:paraId="3B46C03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采购人在进行资格性审查的同时，将在“信用中国”网站（www.creditchina.gov.cn）查询投标人的信用记录，以确定投标人是否具备投标资格,查询结果留存并归档。</w:t>
      </w:r>
    </w:p>
    <w:p w14:paraId="29D6997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接受联合体的项目，两个以上的自然人、法人或者其他组织组成一个联合体，以一个投标人的身份共同参加政府采购活动的,联合体成员存在不良信用记录的，视同联合体存在不良应用记录。</w:t>
      </w:r>
    </w:p>
    <w:p w14:paraId="2CF027A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4"/>
          <w:highlight w:val="none"/>
          <w:lang w:val="zh-CN"/>
        </w:rPr>
      </w:pPr>
      <w:r>
        <w:rPr>
          <w:rFonts w:hint="eastAsia" w:eastAsia="Arial"/>
          <w:color w:val="auto"/>
          <w:sz w:val="24"/>
          <w:szCs w:val="20"/>
          <w:highlight w:val="none"/>
          <w:lang w:val="zh-CN"/>
        </w:rPr>
        <w:t>25.1.2符合性审查：依据招标文件的规定，由评委会从投标文件的有效性、完整性和对招标文件的响应程度进行审查，以确定是否对招标文件的实质性要求作出响应。</w:t>
      </w:r>
    </w:p>
    <w:p w14:paraId="1AC0C97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4"/>
          <w:highlight w:val="none"/>
          <w:lang w:val="zh-CN"/>
        </w:rPr>
      </w:pPr>
      <w:r>
        <w:rPr>
          <w:rFonts w:hint="eastAsia" w:eastAsia="Arial"/>
          <w:color w:val="auto"/>
          <w:sz w:val="24"/>
          <w:szCs w:val="20"/>
          <w:highlight w:val="none"/>
          <w:lang w:val="zh-CN"/>
        </w:rPr>
        <w:t>25.1.3未通过资格审查或符合性审查的投标人，交易中心将在苏采云系统中告知未通过资格审查或符合性审查的原因，评标结束后，交易中心将不再告知未通过资格审查和符合性审查的原因。</w:t>
      </w:r>
    </w:p>
    <w:p w14:paraId="65D72A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71C3F3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1D9CD7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25.3如果投标文件实质上没有响应招标文件的要求，评委会将予以拒绝，投标人不得通过修改或撤销不合要求的偏离或保留而使其投标成为实质性响应的投标。</w:t>
      </w:r>
    </w:p>
    <w:p w14:paraId="563381F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25.4评委会将对确定为实质性响应的投标进行进一步审核，确定其是否有计算上或累加上的算术错误，修正错误的原则如下：</w:t>
      </w:r>
    </w:p>
    <w:p w14:paraId="7AF2A55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（1）投标文件中开标一览表内容与投标文件中相应内容不一致的，以开标一览表为准。</w:t>
      </w:r>
    </w:p>
    <w:p w14:paraId="429B346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（2）大写金额和小写金额不一致的，以大写金额为准。</w:t>
      </w:r>
    </w:p>
    <w:p w14:paraId="65AC02B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（3）单价金额小数点或者百分比有明显错位的，以开标一览表的总价为准，并修改单价。</w:t>
      </w:r>
    </w:p>
    <w:p w14:paraId="4D4DF83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（4）总价金额与按单价汇总金额不一致的，以单价金额计算结果为准。</w:t>
      </w:r>
    </w:p>
    <w:p w14:paraId="622AB4B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同时出现两种以上错误的，按照前款规定的顺序修正。</w:t>
      </w:r>
    </w:p>
    <w:p w14:paraId="71EA0F7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25.5评委会将按上述修正错误的方法调整投标文件中的投标报价，并通过苏采云系统告知投标人，调整后的价格应对投标人具有约束力。如果投标人不接受修正后的价格，则其投标将被拒绝。</w:t>
      </w:r>
    </w:p>
    <w:p w14:paraId="50102C3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bookmarkStart w:id="124" w:name="_Toc513029234"/>
      <w:bookmarkStart w:id="125" w:name="_Toc16938550"/>
      <w:bookmarkStart w:id="126" w:name="_Toc20823306"/>
      <w:r>
        <w:rPr>
          <w:rFonts w:hint="eastAsia" w:eastAsia="Arial"/>
          <w:color w:val="auto"/>
          <w:sz w:val="24"/>
          <w:szCs w:val="20"/>
          <w:highlight w:val="none"/>
          <w:lang w:val="zh-CN"/>
        </w:rPr>
        <w:t>25.6投标人在开、评标全过程中应保持通讯畅通，及时登录苏采云系统查阅、答复相关信息，并安排专人与交易中心及评标委员会联系。</w:t>
      </w:r>
      <w:bookmarkEnd w:id="124"/>
      <w:bookmarkEnd w:id="125"/>
      <w:bookmarkEnd w:id="126"/>
    </w:p>
    <w:p w14:paraId="485F42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26、无效投标条款和废标条款</w:t>
      </w:r>
    </w:p>
    <w:p w14:paraId="36031E0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bookmarkStart w:id="127" w:name="_Toc513029235"/>
      <w:bookmarkStart w:id="128" w:name="_Toc16938551"/>
      <w:bookmarkStart w:id="129" w:name="_Toc20823307"/>
      <w:r>
        <w:rPr>
          <w:rFonts w:hint="eastAsia" w:eastAsia="Arial"/>
          <w:color w:val="auto"/>
          <w:sz w:val="24"/>
          <w:szCs w:val="20"/>
          <w:highlight w:val="none"/>
          <w:lang w:val="zh-CN"/>
        </w:rPr>
        <w:t>26.1无效投标条款</w:t>
      </w:r>
      <w:bookmarkEnd w:id="127"/>
      <w:bookmarkEnd w:id="128"/>
      <w:bookmarkEnd w:id="129"/>
    </w:p>
    <w:p w14:paraId="39A6AD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26.1.1投标人在苏采云系统规定的时间内未成功解密电子投标文件的。</w:t>
      </w:r>
    </w:p>
    <w:p w14:paraId="31A7E06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26.1.2投标人未按照招标文件要求上传电子投标文件的。</w:t>
      </w:r>
    </w:p>
    <w:p w14:paraId="46363C7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26.1.3同一投标人提交两个（含两个）以上不同的投标报价的。</w:t>
      </w:r>
    </w:p>
    <w:p w14:paraId="2A0E4C5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26.1.4投标人不具备招标文件中规定资格要求的。</w:t>
      </w:r>
    </w:p>
    <w:p w14:paraId="7E5B0FD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26.1.5投标人的报价超过了采购预算或最高限价的。</w:t>
      </w:r>
    </w:p>
    <w:p w14:paraId="61752E3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26.1.6未通过符合性审查的。</w:t>
      </w:r>
    </w:p>
    <w:p w14:paraId="4ABB27D1">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4"/>
          <w:highlight w:val="none"/>
        </w:rPr>
      </w:pPr>
      <w:r>
        <w:rPr>
          <w:rFonts w:hint="eastAsia" w:eastAsia="Arial"/>
          <w:color w:val="auto"/>
          <w:sz w:val="24"/>
          <w:szCs w:val="20"/>
          <w:highlight w:val="none"/>
          <w:lang w:val="zh-CN"/>
        </w:rPr>
        <w:t>26.1.7不符合招标文件中规定的实质性要求和条件的</w:t>
      </w:r>
      <w:r>
        <w:rPr>
          <w:rFonts w:hint="eastAsia"/>
          <w:i/>
          <w:iCs/>
          <w:color w:val="auto"/>
          <w:sz w:val="24"/>
          <w:szCs w:val="24"/>
          <w:highlight w:val="none"/>
          <w:u w:val="single"/>
        </w:rPr>
        <w:t>（本招标文件中斜体且有下划线部分为实质性要求和条件）</w:t>
      </w:r>
      <w:r>
        <w:rPr>
          <w:rFonts w:hint="eastAsia"/>
          <w:color w:val="auto"/>
          <w:sz w:val="24"/>
          <w:szCs w:val="24"/>
          <w:highlight w:val="none"/>
        </w:rPr>
        <w:t>。</w:t>
      </w:r>
    </w:p>
    <w:p w14:paraId="4DFCFAB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26.1.8</w:t>
      </w:r>
      <w:r>
        <w:rPr>
          <w:rFonts w:hint="eastAsia" w:eastAsia="Arial"/>
          <w:color w:val="auto"/>
          <w:sz w:val="24"/>
          <w:szCs w:val="20"/>
          <w:highlight w:val="none"/>
          <w:lang w:val="zh-CN"/>
        </w:rPr>
        <w:t>投标人被</w:t>
      </w:r>
      <w:r>
        <w:rPr>
          <w:rFonts w:hint="eastAsia" w:eastAsia="Arial"/>
          <w:color w:val="auto"/>
          <w:sz w:val="24"/>
          <w:szCs w:val="20"/>
          <w:highlight w:val="none"/>
        </w:rPr>
        <w:t>“</w:t>
      </w:r>
      <w:r>
        <w:rPr>
          <w:rFonts w:hint="eastAsia" w:eastAsia="Arial"/>
          <w:color w:val="auto"/>
          <w:sz w:val="24"/>
          <w:szCs w:val="20"/>
          <w:highlight w:val="none"/>
          <w:lang w:val="zh-CN"/>
        </w:rPr>
        <w:t>信用中国</w:t>
      </w:r>
      <w:r>
        <w:rPr>
          <w:rFonts w:hint="eastAsia" w:eastAsia="Arial"/>
          <w:color w:val="auto"/>
          <w:sz w:val="24"/>
          <w:szCs w:val="20"/>
          <w:highlight w:val="none"/>
        </w:rPr>
        <w:t>”</w:t>
      </w:r>
      <w:r>
        <w:rPr>
          <w:rFonts w:hint="eastAsia" w:eastAsia="Arial"/>
          <w:color w:val="auto"/>
          <w:sz w:val="24"/>
          <w:szCs w:val="20"/>
          <w:highlight w:val="none"/>
          <w:lang w:val="zh-CN"/>
        </w:rPr>
        <w:t>网站</w:t>
      </w:r>
      <w:r>
        <w:rPr>
          <w:rFonts w:hint="eastAsia" w:eastAsia="Arial"/>
          <w:color w:val="auto"/>
          <w:sz w:val="24"/>
          <w:szCs w:val="20"/>
          <w:highlight w:val="none"/>
        </w:rPr>
        <w:t>（www.creditchina.gov.cn）</w:t>
      </w:r>
      <w:r>
        <w:rPr>
          <w:rFonts w:hint="eastAsia" w:eastAsia="Arial"/>
          <w:color w:val="auto"/>
          <w:sz w:val="24"/>
          <w:szCs w:val="2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691925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26.1.9投标文件含有采购人不能接受的附加条件的。</w:t>
      </w:r>
    </w:p>
    <w:p w14:paraId="4651B7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rPr>
        <w:t>26.1.10</w:t>
      </w:r>
      <w:r>
        <w:rPr>
          <w:rFonts w:hint="eastAsia" w:eastAsia="Arial"/>
          <w:color w:val="auto"/>
          <w:sz w:val="24"/>
          <w:szCs w:val="20"/>
          <w:highlight w:val="none"/>
          <w:lang w:val="zh-CN" w:eastAsia="zh-CN"/>
        </w:rPr>
        <w:t>投标人不能证明其报价合理性的，评标委员会应当将其作为无效投标处理。</w:t>
      </w:r>
    </w:p>
    <w:p w14:paraId="05439E7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（一）评审过程中出现下列情形之一的，评标委员会应当启动异常低价投标审查程序：</w:t>
      </w:r>
    </w:p>
    <w:p w14:paraId="5FEE51B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1.投标（响应）报价低于全部通过符合性审查投标人投标（响应）报价平均值50%的，即投标（响应）报价&lt;全部通过符合性审查投标人投标（响应）报价平均值×50%；</w:t>
      </w:r>
    </w:p>
    <w:p w14:paraId="0A4C135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2.投标（响应）报价低于通过符合性审查的次低报价投标人投标（响应）报价50%的，即投标（响应）报价&lt;通过符合性审查的次低报价投标人投标（响应）报价×50%；</w:t>
      </w:r>
    </w:p>
    <w:p w14:paraId="45F3EAB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3.投标（响应）报价低于采购项目最高限价45%的，即投标（响应）报价&lt;采购项目最高限价×45%；</w:t>
      </w:r>
    </w:p>
    <w:p w14:paraId="47DDA72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0000FF"/>
          <w:sz w:val="24"/>
          <w:szCs w:val="20"/>
          <w:highlight w:val="none"/>
          <w:lang w:val="zh-CN" w:eastAsia="zh-CN"/>
        </w:rPr>
      </w:pPr>
      <w:r>
        <w:rPr>
          <w:rFonts w:hint="eastAsia" w:eastAsia="Arial"/>
          <w:color w:val="0000FF"/>
          <w:sz w:val="24"/>
          <w:szCs w:val="20"/>
          <w:highlight w:val="none"/>
          <w:lang w:val="zh-CN" w:eastAsia="zh-CN"/>
        </w:rPr>
        <w:t>4.评审委员会基于专业判断，认为投标人报价过低，有可能影响产品质量或者不能诚信履约的其他情形。</w:t>
      </w:r>
    </w:p>
    <w:p w14:paraId="216A85B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0000FF"/>
          <w:sz w:val="24"/>
          <w:szCs w:val="20"/>
          <w:highlight w:val="none"/>
          <w:lang w:val="zh-CN" w:eastAsia="zh-CN"/>
        </w:rPr>
        <w:t>相关法律法规对投标人报价有规定的，从其规定。</w:t>
      </w:r>
    </w:p>
    <w:p w14:paraId="6026D49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3FE90C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05941A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51A07A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异常低价投标（响应）审查的启动原因、审查意见和审查结果应当在评审报告中记录，并随投标人提供的相关书面说明及证明材料，以及评审委员会有关互联网浏览、查询历史一并归档。</w:t>
      </w:r>
    </w:p>
    <w:p w14:paraId="183F54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26.1.11投标文件未按照招标文件要求加盖CA电子公章的。</w:t>
      </w:r>
    </w:p>
    <w:p w14:paraId="4B8E69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26.1.12其他法律、法规及本招标文件规定的属无效投标的情形。</w:t>
      </w:r>
    </w:p>
    <w:p w14:paraId="3E53FE0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26.2废标条款</w:t>
      </w:r>
    </w:p>
    <w:p w14:paraId="5BC69F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26.2.1符合专业条件的投标人或者对招标文件作实质响应的投标人不足三家的。</w:t>
      </w:r>
    </w:p>
    <w:p w14:paraId="0C637D8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26.2.2出现影响采购公正的违法、违规行为的。</w:t>
      </w:r>
    </w:p>
    <w:p w14:paraId="74A0C43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26.2.3因重大变故，采购任务取消的。</w:t>
      </w:r>
    </w:p>
    <w:p w14:paraId="5B901A9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26.2.4评标委员会认定招标文件存在歧义、重大缺陷导致评审工作无法进行。</w:t>
      </w:r>
    </w:p>
    <w:p w14:paraId="0D946B5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26.2.5因苏采云系统系统故障原因造成开标不成功的。</w:t>
      </w:r>
    </w:p>
    <w:p w14:paraId="6E5094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26.3 投标截止时间结束后参加投标的投标人不足三家的处理：</w:t>
      </w:r>
    </w:p>
    <w:p w14:paraId="2541463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26.3.1如出现投标截止时间结束后参加投标的投标人或者在评标期间对招标文件做出实质响应的投标人不足三家情况，按政府采购相关规定执行。</w:t>
      </w:r>
    </w:p>
    <w:p w14:paraId="658B010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0" w:name="_Toc120614219"/>
      <w:r>
        <w:rPr>
          <w:rFonts w:hint="eastAsia" w:eastAsia="Arial"/>
          <w:b/>
          <w:bCs/>
          <w:color w:val="auto"/>
          <w:sz w:val="24"/>
          <w:szCs w:val="20"/>
          <w:highlight w:val="none"/>
          <w:lang w:val="zh-CN"/>
        </w:rPr>
        <w:t>六、定标</w:t>
      </w:r>
      <w:bookmarkEnd w:id="130"/>
    </w:p>
    <w:p w14:paraId="4FE03DB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1" w:name="_Toc20823310"/>
      <w:bookmarkStart w:id="132" w:name="_Toc513029238"/>
      <w:bookmarkStart w:id="133" w:name="_Toc16938554"/>
      <w:r>
        <w:rPr>
          <w:rFonts w:hint="eastAsia" w:eastAsia="Arial"/>
          <w:b/>
          <w:bCs/>
          <w:color w:val="auto"/>
          <w:sz w:val="24"/>
          <w:szCs w:val="20"/>
          <w:highlight w:val="none"/>
          <w:lang w:val="zh-CN"/>
        </w:rPr>
        <w:t>27、</w:t>
      </w:r>
      <w:bookmarkEnd w:id="131"/>
      <w:r>
        <w:rPr>
          <w:rFonts w:hint="eastAsia" w:eastAsia="Arial"/>
          <w:b/>
          <w:bCs/>
          <w:color w:val="auto"/>
          <w:sz w:val="24"/>
          <w:szCs w:val="20"/>
          <w:highlight w:val="none"/>
          <w:lang w:val="zh-CN"/>
        </w:rPr>
        <w:t>确定</w:t>
      </w:r>
      <w:bookmarkEnd w:id="132"/>
      <w:bookmarkEnd w:id="133"/>
      <w:r>
        <w:rPr>
          <w:rFonts w:hint="eastAsia" w:eastAsia="Arial"/>
          <w:b/>
          <w:bCs/>
          <w:color w:val="auto"/>
          <w:sz w:val="24"/>
          <w:szCs w:val="20"/>
          <w:highlight w:val="none"/>
          <w:lang w:val="zh-CN"/>
        </w:rPr>
        <w:t>中标单位</w:t>
      </w:r>
    </w:p>
    <w:p w14:paraId="2E8B7C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 xml:space="preserve">27.1中标候选人的选取原则和数量见招标文件第五章规定。 </w:t>
      </w:r>
    </w:p>
    <w:p w14:paraId="102639A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27.2采购人应根据评委会推荐的中标候选人确定中标人。</w:t>
      </w:r>
    </w:p>
    <w:p w14:paraId="3E326B8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27.3交易中心将在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lang w:val="zh-CN"/>
        </w:rPr>
        <w:t>发布中标公告，公告期限为1个工作日。</w:t>
      </w:r>
    </w:p>
    <w:p w14:paraId="3470294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27.4若有充分证据证明，中标人出现下列情况之一的，一经查实，将被取消中标资格：</w:t>
      </w:r>
    </w:p>
    <w:p w14:paraId="64F6AB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27.4.1提供虚假材料谋取中标的。</w:t>
      </w:r>
    </w:p>
    <w:p w14:paraId="31C2BE9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27.4.2向采购人、交易中心行贿或者提供其他不正当利益的。</w:t>
      </w:r>
    </w:p>
    <w:p w14:paraId="7129413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27.4.3属于本文件规定的无效条件，但在评标过程中又未被评委会发现的。</w:t>
      </w:r>
    </w:p>
    <w:p w14:paraId="2C1133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27.4.4与采购人或者其他投标人恶意串通的。</w:t>
      </w:r>
    </w:p>
    <w:p w14:paraId="3546EA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27.4.5采取不正当手段诋毁、排挤其他投标人的。</w:t>
      </w:r>
    </w:p>
    <w:p w14:paraId="4F436E6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bookmarkStart w:id="134" w:name="_Toc200451960"/>
      <w:r>
        <w:rPr>
          <w:rFonts w:hint="eastAsia" w:eastAsia="Arial"/>
          <w:color w:val="auto"/>
          <w:sz w:val="24"/>
          <w:szCs w:val="20"/>
          <w:highlight w:val="none"/>
          <w:lang w:val="zh-CN"/>
        </w:rPr>
        <w:t>27.5 有下列情形之一的，视为投标人串通投标，投标无效：</w:t>
      </w:r>
      <w:bookmarkEnd w:id="134"/>
    </w:p>
    <w:p w14:paraId="2F50B7E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27.5.1不同投标人的投标文件由同一单位或者个人编制。</w:t>
      </w:r>
    </w:p>
    <w:p w14:paraId="44B8F43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27.5.2不同投标人委托同一单位或者个人办理投标事宜。</w:t>
      </w:r>
    </w:p>
    <w:p w14:paraId="17A3DA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27.5.3不同投标人的投标文件载明的项目管理成员或者联系人员为同一人。</w:t>
      </w:r>
    </w:p>
    <w:p w14:paraId="65DAA41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27.5.4不同投标人的投标文件异常一致或者投标报价呈规律性差异。</w:t>
      </w:r>
    </w:p>
    <w:p w14:paraId="43997B0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28、质疑处理</w:t>
      </w:r>
    </w:p>
    <w:p w14:paraId="661E47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28.1提出质疑的投标人应当是参与所质疑项目采购活动的投标人。潜在投标人依法获取其可质疑的招标文件的，可以对招标文件提出质疑。</w:t>
      </w:r>
    </w:p>
    <w:p w14:paraId="1F2E096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投标人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p>
    <w:p w14:paraId="1BC4E94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28.2.1对可以质疑的招标文件提出质疑的，为收到招标文件之日或者招标文件公告期限届满之日；</w:t>
      </w:r>
    </w:p>
    <w:p w14:paraId="4778277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28.2.2对采购过程提出质疑的，为各采购程序环节结束之日；</w:t>
      </w:r>
    </w:p>
    <w:p w14:paraId="0E35D33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28.2.3对中标或者成交结果提出质疑的，为中标或者成交结果公告期限届满之日。</w:t>
      </w:r>
    </w:p>
    <w:p w14:paraId="58B863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投标人应当在法定质疑期内一次性提出针对同一采购程序环节的质疑。投标人如在法定期限内对同一采购程序环节提出多次质疑的，交易中心、采购人将只对投标人第一次质疑作出答复。</w:t>
      </w:r>
    </w:p>
    <w:p w14:paraId="31CA171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28.3质疑函必须按照本招标文件中《质疑函范本》要求的格式和内容进行填写。投标人如组成联合体参加投标，则《质疑函范本》中要求签字、盖章、加盖公章之处，联合体各方均须按要求签字、盖章、加盖公章。</w:t>
      </w:r>
    </w:p>
    <w:p w14:paraId="22FED58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28.4投标人（含潜在投标人）对采购方式、采购需求、投标人资格条件及审查结果、评标方法和评标标准、合同文本的询问、质疑请向采购人提出，由采购人负责答复。投标人对除上述事项以外其他事项的询问、质疑请向交易中心提出，由交易中心负责答复。</w:t>
      </w:r>
    </w:p>
    <w:p w14:paraId="4D9C532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交易中心及采购人只接收以纸质原件形式送达的质疑,采购人和交易中心不接受未填写快递运单的快件。质疑接收部门为盐城市亭湖区公共资源交易中心，联系地址：盐城市亭湖区希望大道中路18号，联系电话：0515-89802019。</w:t>
      </w:r>
    </w:p>
    <w:p w14:paraId="3F4685E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 以下情形的质疑不予受理</w:t>
      </w:r>
    </w:p>
    <w:p w14:paraId="4099375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28.5.1内容不符合《政府采购质疑和投诉办法》第十二条规定的质疑。</w:t>
      </w:r>
    </w:p>
    <w:p w14:paraId="306FF2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28.5.2超出政府采购法定期限的质疑。</w:t>
      </w:r>
    </w:p>
    <w:p w14:paraId="04DC60A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28.5.3以传真、电子邮件等方式递交的非原件形式的质疑。</w:t>
      </w:r>
    </w:p>
    <w:p w14:paraId="1C45E1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28.5.4未参加投标活动的投标人或在投标活动中自身权益未受到损害的投标人所提出的质疑。</w:t>
      </w:r>
    </w:p>
    <w:p w14:paraId="39301B8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28.5.5投标人组成联合体参加投标，联合体中任何一方或多方未按要求签字、盖章、加盖公章的质疑。</w:t>
      </w:r>
    </w:p>
    <w:p w14:paraId="3475E20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28.6投标人提出书面质疑必须有理、有据，不得捏造事实、提供虚假材料进行恶意质疑。否则，一经查实，交易中心有权依据政府采购的有关规定，报请政府采购监管部门对该投标人进行相应的行政处罚和记录该投标人的失信信息。</w:t>
      </w:r>
    </w:p>
    <w:p w14:paraId="30CFBD7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29、中标通知书</w:t>
      </w:r>
    </w:p>
    <w:p w14:paraId="1FC8AF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12F69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29.2中标通知书将是合同的一个组成部分。对采购人和中标人均具有法律效力。中标通知书发出后，采购人改变中标结果的，或者中标人放弃中标项目的，应当依法承担法律责任。</w:t>
      </w:r>
    </w:p>
    <w:p w14:paraId="66A6679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5" w:name="_Toc513029236"/>
      <w:bookmarkStart w:id="136" w:name="_Toc20823308"/>
      <w:bookmarkStart w:id="137" w:name="_Toc16938552"/>
      <w:bookmarkStart w:id="138" w:name="_Toc120614220"/>
      <w:r>
        <w:rPr>
          <w:rFonts w:hint="eastAsia" w:eastAsia="Arial"/>
          <w:b/>
          <w:bCs/>
          <w:color w:val="auto"/>
          <w:sz w:val="24"/>
          <w:szCs w:val="20"/>
          <w:highlight w:val="none"/>
          <w:lang w:val="zh-CN"/>
        </w:rPr>
        <w:t>七、授予合同</w:t>
      </w:r>
      <w:bookmarkEnd w:id="135"/>
      <w:bookmarkEnd w:id="136"/>
      <w:bookmarkEnd w:id="137"/>
      <w:bookmarkEnd w:id="138"/>
    </w:p>
    <w:p w14:paraId="0380A1D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9" w:name="_Toc513029237"/>
      <w:bookmarkStart w:id="140" w:name="_Toc20823309"/>
      <w:bookmarkStart w:id="141" w:name="_Toc16938553"/>
      <w:r>
        <w:rPr>
          <w:rFonts w:hint="eastAsia" w:eastAsia="Arial"/>
          <w:b/>
          <w:bCs/>
          <w:color w:val="auto"/>
          <w:sz w:val="24"/>
          <w:szCs w:val="20"/>
          <w:highlight w:val="none"/>
          <w:lang w:val="zh-CN"/>
        </w:rPr>
        <w:t>30、签订合同</w:t>
      </w:r>
      <w:bookmarkEnd w:id="139"/>
      <w:bookmarkEnd w:id="140"/>
      <w:bookmarkEnd w:id="141"/>
    </w:p>
    <w:p w14:paraId="08A2C2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30</w:t>
      </w:r>
      <w:r>
        <w:rPr>
          <w:rFonts w:hint="eastAsia"/>
          <w:color w:val="auto"/>
          <w:sz w:val="24"/>
          <w:szCs w:val="20"/>
          <w:highlight w:val="none"/>
        </w:rPr>
        <w:t>.1</w:t>
      </w:r>
      <w:r>
        <w:rPr>
          <w:rFonts w:hint="eastAsia" w:eastAsia="Arial"/>
          <w:color w:val="auto"/>
          <w:sz w:val="24"/>
          <w:szCs w:val="20"/>
          <w:highlight w:val="none"/>
          <w:lang w:val="zh-CN"/>
        </w:rPr>
        <w:t>中标人应当在中标通知书发出之日起三十日内，按照招标文件确定的事项与采购人签订政府采购合同。</w:t>
      </w:r>
    </w:p>
    <w:p w14:paraId="0219E3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30.2招标文件、中标人的投标文件及招标过程中有关澄清、承诺文件均应作为合同附件。</w:t>
      </w:r>
    </w:p>
    <w:p w14:paraId="385210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30.3签订合同后，</w:t>
      </w:r>
      <w:r>
        <w:rPr>
          <w:rFonts w:hint="eastAsia"/>
          <w:i/>
          <w:iCs/>
          <w:color w:val="auto"/>
          <w:sz w:val="24"/>
          <w:szCs w:val="24"/>
          <w:highlight w:val="none"/>
          <w:u w:val="single"/>
        </w:rPr>
        <w:t>中标人不得将合同标的进行转包</w:t>
      </w:r>
      <w:r>
        <w:rPr>
          <w:rFonts w:hint="eastAsia"/>
          <w:color w:val="auto"/>
          <w:sz w:val="24"/>
          <w:szCs w:val="24"/>
          <w:highlight w:val="none"/>
        </w:rPr>
        <w:t>。</w:t>
      </w:r>
      <w:r>
        <w:rPr>
          <w:rFonts w:hint="eastAsia" w:eastAsia="Arial"/>
          <w:color w:val="auto"/>
          <w:sz w:val="24"/>
          <w:szCs w:val="20"/>
          <w:highlight w:val="none"/>
          <w:lang w:val="zh-CN"/>
        </w:rPr>
        <w:t>未经采购人同意，中标人也不得采用分包的形式履行合同，否则采购人有权终止合同。转包或分包造成采购人损失的，中标人应承担相应赔偿责任。</w:t>
      </w:r>
    </w:p>
    <w:p w14:paraId="0DB26C8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31、服务（包含与服务相关的货物）的追加</w:t>
      </w:r>
    </w:p>
    <w:p w14:paraId="6069D1D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Start w:id="142" w:name="_Toc479757207"/>
      <w:bookmarkEnd w:id="142"/>
      <w:bookmarkStart w:id="143" w:name="_Toc20823314"/>
      <w:bookmarkEnd w:id="143"/>
      <w:bookmarkStart w:id="144" w:name="_Toc16938558"/>
      <w:bookmarkEnd w:id="144"/>
      <w:bookmarkStart w:id="145" w:name="_Toc120614221"/>
      <w:bookmarkEnd w:id="145"/>
      <w:bookmarkStart w:id="146" w:name="_Toc513029242"/>
      <w:bookmarkEnd w:id="146"/>
    </w:p>
    <w:p w14:paraId="057FC8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bookmarkStart w:id="147" w:name="_Toc16938559"/>
      <w:bookmarkStart w:id="148" w:name="_Toc20823315"/>
      <w:bookmarkStart w:id="149" w:name="_Toc513029243"/>
      <w:r>
        <w:rPr>
          <w:rFonts w:hint="eastAsia" w:eastAsia="Arial"/>
          <w:b/>
          <w:bCs/>
          <w:color w:val="auto"/>
          <w:sz w:val="24"/>
          <w:szCs w:val="20"/>
          <w:highlight w:val="none"/>
        </w:rPr>
        <w:t>32.政府采购政策功能落实</w:t>
      </w:r>
    </w:p>
    <w:p w14:paraId="0B52D46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rPr>
        <w:t>32.1</w:t>
      </w:r>
      <w:r>
        <w:rPr>
          <w:rFonts w:hint="eastAsia" w:eastAsia="Arial"/>
          <w:b/>
          <w:bCs/>
          <w:color w:val="auto"/>
          <w:sz w:val="24"/>
          <w:szCs w:val="20"/>
          <w:highlight w:val="none"/>
          <w:lang w:val="zh-CN"/>
        </w:rPr>
        <w:t>政府采购线上合同信用融资政策</w:t>
      </w:r>
    </w:p>
    <w:p w14:paraId="349B6A7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216942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32.2进口产品</w:t>
      </w:r>
    </w:p>
    <w:p w14:paraId="3213F30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进口产品</w:t>
      </w:r>
      <w:r>
        <w:rPr>
          <w:rFonts w:hint="eastAsia" w:eastAsia="Arial"/>
          <w:color w:val="auto"/>
          <w:sz w:val="24"/>
          <w:szCs w:val="20"/>
          <w:highlight w:val="none"/>
          <w:lang w:val="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AE8A7C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32.3中小企业、监狱企业及残疾人福利性单位</w:t>
      </w:r>
    </w:p>
    <w:p w14:paraId="343D17F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.3.1中小企业定义：</w:t>
      </w:r>
    </w:p>
    <w:p w14:paraId="443C00A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956145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.3.2投标人提供的货物、工程或者服务符合下列情形的，享受中小企业扶持政策：</w:t>
      </w:r>
    </w:p>
    <w:p w14:paraId="32587A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.3.2.1在货物采购项目中，货物由中小企业制造，即货物由中小企业生产且使用该中小企业商号或者注册商标；</w:t>
      </w:r>
    </w:p>
    <w:p w14:paraId="1D2A9F1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.3.2.2在工程采购项目中，工程由中小企业承建，即工程施工单位为中小企业；</w:t>
      </w:r>
    </w:p>
    <w:p w14:paraId="73F2617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.3.2.3在服务采购项目中，服务由中小企业承接，即提供服务的人员为中小企业依照《中华人民共和国劳动合同法》订立劳动合同的从业人员。</w:t>
      </w:r>
    </w:p>
    <w:p w14:paraId="6E5A96D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.3.3在货物采购项目中，投标人提供的货物既有中小企业制造货物，也有大型企业制造货物的，不享受中小企业扶持政策。</w:t>
      </w:r>
    </w:p>
    <w:p w14:paraId="64B269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.3.4以联合体形式参加政府采购活动，联合体各方均为中小企业的，联合体视同中小企业。其中，联合体各方均为小微企业的，联合体视同小微企业。</w:t>
      </w:r>
    </w:p>
    <w:p w14:paraId="0324F3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1AA77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.3.6残疾人福利单位定义：享受政府采购支持政策的残疾人福利性单位应当同时满足以下条件：</w:t>
      </w:r>
    </w:p>
    <w:p w14:paraId="758216F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.3.6.1安置的残疾人占本单位在职职工人数的比例不低于25%（含25%），并且安置的残疾人人数不少于10 人（含10 人）；</w:t>
      </w:r>
    </w:p>
    <w:p w14:paraId="295610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.3.6.2依法与安置的每位残疾人签订了一年以上（含一年）的劳动合同或服务协议；</w:t>
      </w:r>
    </w:p>
    <w:p w14:paraId="51B2E02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.3.6.3为安置的每位残疾人按月足额缴纳了基本养老保险、基本医疗保险、失业保险、工伤保险和生育保险等社会保险费；</w:t>
      </w:r>
    </w:p>
    <w:p w14:paraId="774F0FB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.3.6.4通过银行等金融机构向安置的每位残疾人，按月支付了不低于单位所在区县适用的经省级人民政府批准的月最低工资标准的工资；</w:t>
      </w:r>
    </w:p>
    <w:p w14:paraId="6F9B9A2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.3.6.5提供本单位制造的货物、承担的工程或者服务（以下简称产品），或者提供其他残疾人福利性单位制造的货物（不包括使用非残疾人福利性单位注册商标的货物）；</w:t>
      </w:r>
    </w:p>
    <w:p w14:paraId="0CF841A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0D51D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.3.7本项目是否专门面向中小企业预留采购份额见第一章《</w:t>
      </w:r>
      <w:r>
        <w:rPr>
          <w:rFonts w:hint="eastAsia" w:eastAsia="Arial"/>
          <w:color w:val="auto"/>
          <w:sz w:val="24"/>
          <w:szCs w:val="20"/>
          <w:highlight w:val="none"/>
        </w:rPr>
        <w:t>招标公告</w:t>
      </w:r>
      <w:r>
        <w:rPr>
          <w:rFonts w:hint="eastAsia" w:eastAsia="Arial"/>
          <w:color w:val="auto"/>
          <w:sz w:val="24"/>
          <w:szCs w:val="20"/>
          <w:highlight w:val="none"/>
          <w:lang w:val="zh-CN"/>
        </w:rPr>
        <w:t>》。</w:t>
      </w:r>
    </w:p>
    <w:p w14:paraId="54578A6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32</w:t>
      </w:r>
      <w:r>
        <w:rPr>
          <w:rFonts w:hint="eastAsia" w:eastAsia="Arial"/>
          <w:color w:val="auto"/>
          <w:sz w:val="24"/>
          <w:szCs w:val="20"/>
          <w:highlight w:val="none"/>
          <w:lang w:val="zh-CN"/>
        </w:rPr>
        <w:t>.3.8采购标的对应的中小企业划分标准所属行业见第四章《采购需求》。</w:t>
      </w:r>
    </w:p>
    <w:p w14:paraId="3636793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.3.9小微企业价格评审优惠的政策见第</w:t>
      </w:r>
      <w:r>
        <w:rPr>
          <w:rFonts w:hint="eastAsia" w:asciiTheme="minorEastAsia" w:hAnsiTheme="minorEastAsia" w:eastAsiaTheme="minorEastAsia" w:cstheme="minorEastAsia"/>
          <w:color w:val="auto"/>
          <w:sz w:val="24"/>
          <w:szCs w:val="20"/>
          <w:highlight w:val="none"/>
          <w:lang w:val="zh-CN"/>
        </w:rPr>
        <w:t>五章《评标方法和评标标</w:t>
      </w:r>
      <w:r>
        <w:rPr>
          <w:rFonts w:hint="eastAsia" w:eastAsia="Arial"/>
          <w:color w:val="auto"/>
          <w:sz w:val="24"/>
          <w:szCs w:val="20"/>
          <w:highlight w:val="none"/>
          <w:lang w:val="zh-CN"/>
        </w:rPr>
        <w:t>准》。</w:t>
      </w:r>
    </w:p>
    <w:p w14:paraId="1A57824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32.4政府采购节能产品、环境标志产品</w:t>
      </w:r>
    </w:p>
    <w:p w14:paraId="1F4EEAD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lang w:val="zh-CN"/>
        </w:rPr>
        <w:t>如属政府强制采购产品未提供认证证书的或认证证书提供不全的将视为未实质性响应采购要求</w:t>
      </w:r>
      <w:r>
        <w:rPr>
          <w:rFonts w:hint="eastAsia" w:eastAsia="Arial"/>
          <w:color w:val="auto"/>
          <w:sz w:val="24"/>
          <w:szCs w:val="20"/>
          <w:highlight w:val="none"/>
          <w:lang w:val="zh-CN"/>
        </w:rPr>
        <w:t>。其他条件相同情况下，应当优先采购节能产品、环境标志产品。</w:t>
      </w:r>
    </w:p>
    <w:p w14:paraId="2D3DCE0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F447A9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32.5绿色包装</w:t>
      </w:r>
    </w:p>
    <w:p w14:paraId="5E71275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46729C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32.6政府采购创新产品</w:t>
      </w:r>
    </w:p>
    <w:p w14:paraId="745A00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采购人优先采购各级政府部门公开发布的有效期内的创新产品、创新服务、首台套、首购首用等《目录》的创新产品</w:t>
      </w:r>
      <w:r>
        <w:rPr>
          <w:rFonts w:hint="eastAsia" w:eastAsia="Arial"/>
          <w:color w:val="auto"/>
          <w:sz w:val="24"/>
          <w:szCs w:val="20"/>
          <w:highlight w:val="none"/>
          <w:lang w:val="zh-CN"/>
        </w:rPr>
        <w:t>。</w:t>
      </w:r>
    </w:p>
    <w:p w14:paraId="0E1348E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 xml:space="preserve">32.7绿色数据中心政策 </w:t>
      </w:r>
    </w:p>
    <w:p w14:paraId="2DAA537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color w:val="auto"/>
          <w:sz w:val="24"/>
          <w:szCs w:val="20"/>
          <w:highlight w:val="none"/>
          <w:lang w:eastAsia="zh-CN"/>
        </w:rPr>
        <w:t>招标文件</w:t>
      </w:r>
      <w:r>
        <w:rPr>
          <w:rFonts w:hint="eastAsia" w:eastAsia="Arial"/>
          <w:color w:val="auto"/>
          <w:sz w:val="24"/>
          <w:szCs w:val="20"/>
          <w:highlight w:val="none"/>
        </w:rPr>
        <w:t>，并在合同中明确对相关指标的验收方式和违约责任。采购人应当在履约验收中对</w:t>
      </w:r>
      <w:r>
        <w:rPr>
          <w:rFonts w:hint="eastAsia" w:eastAsia="宋体"/>
          <w:color w:val="auto"/>
          <w:sz w:val="24"/>
          <w:szCs w:val="20"/>
          <w:highlight w:val="none"/>
          <w:lang w:eastAsia="zh-CN"/>
        </w:rPr>
        <w:t>投标人</w:t>
      </w:r>
      <w:r>
        <w:rPr>
          <w:rFonts w:hint="eastAsia" w:eastAsia="Arial"/>
          <w:color w:val="auto"/>
          <w:sz w:val="24"/>
          <w:szCs w:val="20"/>
          <w:highlight w:val="none"/>
        </w:rPr>
        <w:t>提供的产品或服务进行抽查检测，必要时可委托取得相关资质的第三方机构对其进行检测、认证。因检测、认证涉及生产过程或检测时间长等原因，不能在验收过程中开展检测、认证的，可要求</w:t>
      </w:r>
      <w:r>
        <w:rPr>
          <w:rFonts w:hint="eastAsia" w:eastAsia="宋体"/>
          <w:color w:val="auto"/>
          <w:sz w:val="24"/>
          <w:szCs w:val="20"/>
          <w:highlight w:val="none"/>
          <w:lang w:eastAsia="zh-CN"/>
        </w:rPr>
        <w:t>投标人</w:t>
      </w:r>
      <w:r>
        <w:rPr>
          <w:rFonts w:hint="eastAsia" w:eastAsia="Arial"/>
          <w:color w:val="auto"/>
          <w:sz w:val="24"/>
          <w:szCs w:val="20"/>
          <w:highlight w:val="none"/>
        </w:rPr>
        <w:t>在验收阶段提供相关检测报告、认证报告。</w:t>
      </w:r>
    </w:p>
    <w:p w14:paraId="0712EBE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w:t>
      </w:r>
      <w:r>
        <w:rPr>
          <w:rFonts w:hint="eastAsia"/>
          <w:b/>
          <w:bCs/>
          <w:color w:val="auto"/>
          <w:sz w:val="24"/>
          <w:szCs w:val="20"/>
          <w:highlight w:val="none"/>
          <w:lang w:val="en-US" w:eastAsia="zh-CN"/>
        </w:rPr>
        <w:t>8</w:t>
      </w:r>
      <w:r>
        <w:rPr>
          <w:rFonts w:hint="eastAsia" w:eastAsia="Arial"/>
          <w:b/>
          <w:bCs/>
          <w:color w:val="auto"/>
          <w:sz w:val="24"/>
          <w:szCs w:val="20"/>
          <w:highlight w:val="none"/>
        </w:rPr>
        <w:t>履约保证金政策</w:t>
      </w:r>
    </w:p>
    <w:p w14:paraId="31EBB8A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确需收取履约保证金的，履约保证金的缴纳形式：</w:t>
      </w:r>
    </w:p>
    <w:p w14:paraId="038623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宋体"/>
          <w:color w:val="auto"/>
          <w:sz w:val="24"/>
          <w:szCs w:val="20"/>
          <w:highlight w:val="none"/>
          <w:lang w:eastAsia="zh-CN"/>
        </w:rPr>
        <w:t>投标人</w:t>
      </w:r>
      <w:r>
        <w:rPr>
          <w:rFonts w:hint="eastAsia" w:eastAsia="Arial"/>
          <w:color w:val="auto"/>
          <w:sz w:val="24"/>
          <w:szCs w:val="20"/>
          <w:highlight w:val="none"/>
        </w:rPr>
        <w:t>应当以支票、汇票、本票或者金融机构、担保机构出具的保函等非现金形式提交履约保证金。依据《关于在全省政府采购领域推行电子履约保函（保险）的通知》，鼓励</w:t>
      </w:r>
      <w:r>
        <w:rPr>
          <w:rFonts w:hint="eastAsia" w:eastAsia="宋体"/>
          <w:color w:val="auto"/>
          <w:sz w:val="24"/>
          <w:szCs w:val="20"/>
          <w:highlight w:val="none"/>
          <w:lang w:eastAsia="zh-CN"/>
        </w:rPr>
        <w:t>投标人</w:t>
      </w:r>
      <w:r>
        <w:rPr>
          <w:rFonts w:hint="eastAsia" w:eastAsia="Arial"/>
          <w:color w:val="auto"/>
          <w:sz w:val="24"/>
          <w:szCs w:val="20"/>
          <w:highlight w:val="none"/>
        </w:rPr>
        <w:t>自愿使用电子履约保函（保险）代替缴纳履约保证金。</w:t>
      </w:r>
    </w:p>
    <w:p w14:paraId="484D0D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 xml:space="preserve"> 如以履约保函（保险）形式缴纳履约保证金，</w:t>
      </w:r>
      <w:r>
        <w:rPr>
          <w:rFonts w:hint="eastAsia" w:eastAsia="宋体"/>
          <w:color w:val="auto"/>
          <w:sz w:val="24"/>
          <w:szCs w:val="20"/>
          <w:highlight w:val="none"/>
          <w:lang w:eastAsia="zh-CN"/>
        </w:rPr>
        <w:t>投标人</w:t>
      </w:r>
      <w:r>
        <w:rPr>
          <w:rFonts w:hint="eastAsia" w:eastAsia="Arial"/>
          <w:color w:val="auto"/>
          <w:sz w:val="24"/>
          <w:szCs w:val="20"/>
          <w:highlight w:val="none"/>
        </w:rPr>
        <w:t>可通过政府采购电子履约保函（保险）平台（www.jsdzbh.com）在线申请履约保函（保险）。</w:t>
      </w:r>
    </w:p>
    <w:p w14:paraId="273764E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履约保证金金额不得超过合同金额的10%，采购人对第三方信用服务机构依据标准规范评定为 AA 级及以上的政府采购</w:t>
      </w:r>
      <w:r>
        <w:rPr>
          <w:rFonts w:hint="eastAsia" w:eastAsia="宋体"/>
          <w:color w:val="auto"/>
          <w:sz w:val="24"/>
          <w:szCs w:val="20"/>
          <w:highlight w:val="none"/>
          <w:lang w:eastAsia="zh-CN"/>
        </w:rPr>
        <w:t>投标人</w:t>
      </w:r>
      <w:r>
        <w:rPr>
          <w:rFonts w:hint="eastAsia" w:eastAsia="Arial"/>
          <w:color w:val="auto"/>
          <w:sz w:val="24"/>
          <w:szCs w:val="20"/>
          <w:highlight w:val="none"/>
        </w:rPr>
        <w:t>（需在签订采购合同前提供信用管理 部门备案的第三方信用报告，且信用报告通过“信用盐城网”可查实），</w:t>
      </w:r>
      <w:r>
        <w:rPr>
          <w:rFonts w:hint="eastAsia" w:eastAsia="Arial"/>
          <w:color w:val="auto"/>
          <w:sz w:val="24"/>
          <w:szCs w:val="20"/>
          <w:highlight w:val="none"/>
          <w:lang w:val="en-US" w:eastAsia="zh-CN"/>
        </w:rPr>
        <w:t>免收履约保证金或降低履约保证金缴纳比例。</w:t>
      </w:r>
    </w:p>
    <w:p w14:paraId="1A96CF2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33.预付款制度</w:t>
      </w:r>
    </w:p>
    <w:p w14:paraId="46BD808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本项目落实预付款制度，预付款比例为</w:t>
      </w:r>
      <w:r>
        <w:rPr>
          <w:rFonts w:hint="eastAsia" w:eastAsia="Arial"/>
          <w:color w:val="auto"/>
          <w:sz w:val="24"/>
          <w:szCs w:val="20"/>
          <w:highlight w:val="none"/>
          <w:u w:val="single"/>
        </w:rPr>
        <w:t>30%</w:t>
      </w:r>
      <w:r>
        <w:rPr>
          <w:rFonts w:hint="eastAsia" w:eastAsia="Arial"/>
          <w:color w:val="auto"/>
          <w:sz w:val="24"/>
          <w:szCs w:val="20"/>
          <w:highlight w:val="none"/>
        </w:rPr>
        <w:t>。在签订合同时，中标、成交</w:t>
      </w:r>
      <w:r>
        <w:rPr>
          <w:rFonts w:hint="eastAsia" w:eastAsia="宋体"/>
          <w:color w:val="auto"/>
          <w:sz w:val="24"/>
          <w:szCs w:val="20"/>
          <w:highlight w:val="none"/>
          <w:lang w:eastAsia="zh-CN"/>
        </w:rPr>
        <w:t>投标人</w:t>
      </w:r>
      <w:r>
        <w:rPr>
          <w:rFonts w:hint="eastAsia" w:eastAsia="Arial"/>
          <w:color w:val="auto"/>
          <w:sz w:val="24"/>
          <w:szCs w:val="20"/>
          <w:highlight w:val="none"/>
        </w:rPr>
        <w:t>明确书面表示无需预付款或者主动要求降低预付款比例的，采购人可就预付款比例作相应调整。</w:t>
      </w:r>
    </w:p>
    <w:p w14:paraId="2E7A607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 </w:t>
      </w:r>
      <w:r>
        <w:rPr>
          <w:rFonts w:hint="eastAsia" w:eastAsia="Arial"/>
          <w:color w:val="auto"/>
          <w:sz w:val="24"/>
          <w:szCs w:val="20"/>
          <w:highlight w:val="none"/>
          <w:lang w:val="zh-CN"/>
        </w:rPr>
        <w:br w:type="page" w:clear="all"/>
      </w:r>
      <w:bookmarkEnd w:id="147"/>
      <w:bookmarkEnd w:id="148"/>
      <w:bookmarkEnd w:id="149"/>
    </w:p>
    <w:p w14:paraId="1B114389">
      <w:pPr>
        <w:widowControl/>
        <w:spacing w:line="240" w:lineRule="auto"/>
        <w:ind w:firstLine="0"/>
        <w:jc w:val="center"/>
        <w:outlineLvl w:val="0"/>
        <w:rPr>
          <w:rFonts w:hint="eastAsia" w:ascii="黑体" w:eastAsia="黑体" w:cs="黑体"/>
          <w:color w:val="auto"/>
          <w:sz w:val="44"/>
          <w:szCs w:val="44"/>
          <w:highlight w:val="none"/>
          <w:lang w:val="en-US" w:eastAsia="zh-CN"/>
        </w:rPr>
      </w:pPr>
      <w:r>
        <w:rPr>
          <w:rFonts w:hint="eastAsia" w:ascii="黑体" w:eastAsia="黑体" w:cs="黑体"/>
          <w:color w:val="auto"/>
          <w:sz w:val="44"/>
          <w:szCs w:val="44"/>
          <w:highlight w:val="none"/>
        </w:rPr>
        <w:t>第三章 合同</w:t>
      </w:r>
      <w:r>
        <w:rPr>
          <w:rFonts w:hint="eastAsia" w:ascii="黑体" w:eastAsia="黑体" w:cs="黑体"/>
          <w:color w:val="auto"/>
          <w:sz w:val="44"/>
          <w:szCs w:val="44"/>
          <w:highlight w:val="none"/>
          <w:lang w:val="en-US" w:eastAsia="zh-CN"/>
        </w:rPr>
        <w:t>文本</w:t>
      </w:r>
    </w:p>
    <w:p w14:paraId="77202CAD">
      <w:pPr>
        <w:widowControl/>
        <w:spacing w:line="500" w:lineRule="exact"/>
        <w:ind w:firstLine="480"/>
        <w:rPr>
          <w:color w:val="auto"/>
          <w:sz w:val="24"/>
          <w:szCs w:val="20"/>
          <w:highlight w:val="none"/>
        </w:rPr>
      </w:pPr>
      <w:r>
        <w:rPr>
          <w:rFonts w:hint="eastAsia"/>
          <w:color w:val="auto"/>
          <w:sz w:val="24"/>
          <w:szCs w:val="20"/>
          <w:highlight w:val="none"/>
        </w:rPr>
        <w:t>以下为中标后签订本项目合同的通用条款，中标人不得提出实质性的修改。</w:t>
      </w:r>
    </w:p>
    <w:p w14:paraId="770D8E3D">
      <w:pPr>
        <w:widowControl/>
        <w:spacing w:line="500" w:lineRule="exact"/>
        <w:ind w:firstLine="480"/>
        <w:jc w:val="center"/>
        <w:rPr>
          <w:rFonts w:hint="eastAsia" w:eastAsia="宋体"/>
          <w:b/>
          <w:bCs/>
          <w:color w:val="auto"/>
          <w:sz w:val="28"/>
          <w:highlight w:val="none"/>
          <w:lang w:eastAsia="zh-CN"/>
        </w:rPr>
      </w:pPr>
      <w:r>
        <w:rPr>
          <w:rFonts w:hint="eastAsia"/>
          <w:b/>
          <w:bCs/>
          <w:color w:val="auto"/>
          <w:sz w:val="28"/>
          <w:highlight w:val="none"/>
        </w:rPr>
        <w:t>政府采购合同</w:t>
      </w:r>
      <w:r>
        <w:rPr>
          <w:rFonts w:hint="eastAsia"/>
          <w:b/>
          <w:bCs/>
          <w:color w:val="auto"/>
          <w:sz w:val="28"/>
          <w:highlight w:val="none"/>
          <w:lang w:eastAsia="zh-CN"/>
        </w:rPr>
        <w:t>（</w:t>
      </w:r>
      <w:r>
        <w:rPr>
          <w:rFonts w:hint="eastAsia"/>
          <w:b/>
          <w:bCs/>
          <w:color w:val="auto"/>
          <w:sz w:val="28"/>
          <w:highlight w:val="none"/>
          <w:lang w:val="en-US" w:eastAsia="zh-CN"/>
        </w:rPr>
        <w:t>服务</w:t>
      </w:r>
      <w:r>
        <w:rPr>
          <w:rFonts w:hint="eastAsia"/>
          <w:b/>
          <w:bCs/>
          <w:color w:val="auto"/>
          <w:sz w:val="28"/>
          <w:highlight w:val="none"/>
          <w:lang w:eastAsia="zh-CN"/>
        </w:rPr>
        <w:t>）</w:t>
      </w:r>
    </w:p>
    <w:p w14:paraId="69237C7A">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635E7C91">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color w:val="auto"/>
          <w:sz w:val="24"/>
          <w:szCs w:val="24"/>
          <w:highlight w:val="none"/>
          <w:u w:val="single"/>
          <w:lang w:eastAsia="zh-CN"/>
        </w:rPr>
        <w:t>盐城市亭湖区东亭湖街道社区卫生服务中心物业服务项目</w:t>
      </w:r>
    </w:p>
    <w:p w14:paraId="17279B5A">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rPr>
        <w:t>甲方（买方）：</w:t>
      </w:r>
      <w:r>
        <w:rPr>
          <w:rFonts w:hint="eastAsia" w:ascii="宋体" w:hAnsi="宋体" w:eastAsia="宋体" w:cs="宋体"/>
          <w:color w:val="auto"/>
          <w:sz w:val="24"/>
          <w:szCs w:val="24"/>
          <w:highlight w:val="none"/>
          <w:u w:val="single"/>
          <w:lang w:eastAsia="zh-CN"/>
        </w:rPr>
        <w:t>盐城市亭湖区东亭湖街道社区卫生服务中心</w:t>
      </w:r>
      <w:r>
        <w:rPr>
          <w:rFonts w:hint="eastAsia" w:ascii="宋体" w:hAnsi="宋体" w:eastAsia="宋体" w:cs="宋体"/>
          <w:sz w:val="24"/>
          <w:szCs w:val="24"/>
          <w:u w:val="none"/>
          <w:lang w:eastAsia="zh-CN"/>
        </w:rPr>
        <w:t>（简称甲方）</w:t>
      </w:r>
    </w:p>
    <w:p w14:paraId="50E37F57">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rPr>
        <w:t>乙方（卖方）：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（简称乙方）</w:t>
      </w:r>
    </w:p>
    <w:p w14:paraId="5C75FBB2">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left="460" w:leftChars="0" w:firstLine="420" w:firstLineChars="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乙双方根据盐城市</w:t>
      </w:r>
      <w:r>
        <w:rPr>
          <w:rFonts w:hint="eastAsia" w:ascii="宋体" w:hAnsi="宋体" w:eastAsia="宋体" w:cs="宋体"/>
          <w:b w:val="0"/>
          <w:bCs w:val="0"/>
          <w:sz w:val="24"/>
          <w:szCs w:val="24"/>
          <w:lang w:val="en-US" w:eastAsia="zh-CN"/>
        </w:rPr>
        <w:t>亭湖区公共资源交易</w:t>
      </w:r>
      <w:r>
        <w:rPr>
          <w:rFonts w:hint="eastAsia" w:ascii="宋体" w:hAnsi="宋体" w:eastAsia="宋体" w:cs="宋体"/>
          <w:b w:val="0"/>
          <w:bCs w:val="0"/>
          <w:sz w:val="24"/>
          <w:szCs w:val="24"/>
        </w:rPr>
        <w:t>中心</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项目公开招标的结果，签署本合同。</w:t>
      </w:r>
    </w:p>
    <w:p w14:paraId="45A842F1">
      <w:pPr>
        <w:pStyle w:val="19"/>
        <w:keepNext w:val="0"/>
        <w:keepLines w:val="0"/>
        <w:pageBreakBefore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一、合同内容</w:t>
      </w:r>
    </w:p>
    <w:p w14:paraId="056BACF5">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1、标的名称</w:t>
      </w:r>
    </w:p>
    <w:p w14:paraId="7874516F">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u w:val="single"/>
          <w:lang w:eastAsia="zh-CN"/>
        </w:rPr>
        <w:t>盐城市亭湖区东亭湖街道社区卫生服务中心物业服务项目</w:t>
      </w:r>
    </w:p>
    <w:p w14:paraId="42A1EB8C">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2、标的质量</w:t>
      </w:r>
    </w:p>
    <w:p w14:paraId="48467926">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按照考核标准考核合格。</w:t>
      </w:r>
    </w:p>
    <w:p w14:paraId="21E78E29">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3、合同数量</w:t>
      </w:r>
    </w:p>
    <w:p w14:paraId="3B32F96A">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3.1本项目合同总价包含的全部物业服务，包含但不限于人员工资、工器具费用、</w:t>
      </w:r>
      <w:r>
        <w:rPr>
          <w:rFonts w:hint="eastAsia" w:ascii="宋体" w:hAnsi="宋体" w:eastAsia="宋体" w:cs="宋体"/>
          <w:sz w:val="24"/>
          <w:szCs w:val="24"/>
          <w:lang w:val="en-US" w:eastAsia="zh-CN"/>
        </w:rPr>
        <w:t>日常耗材费用、</w:t>
      </w:r>
      <w:r>
        <w:rPr>
          <w:rFonts w:hint="eastAsia" w:ascii="宋体" w:hAnsi="宋体" w:eastAsia="宋体" w:cs="宋体"/>
          <w:sz w:val="24"/>
          <w:szCs w:val="24"/>
          <w:lang w:eastAsia="zh-CN"/>
        </w:rPr>
        <w:t>加班费、福利费、工作服费用、税金、公众责任保险费、管理费、风险费及政策性文件规定等各项费用及政策性文件规定等各项应有费用，以及为完成招标文件规定的服务所涉及到的一切费用。</w:t>
      </w:r>
    </w:p>
    <w:p w14:paraId="6CB659D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3.2本项目需聘用保洁员</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名，</w:t>
      </w:r>
      <w:r>
        <w:rPr>
          <w:rFonts w:hint="eastAsia" w:ascii="宋体" w:hAnsi="宋体" w:eastAsia="宋体" w:cs="宋体"/>
          <w:color w:val="auto"/>
          <w:sz w:val="24"/>
          <w:szCs w:val="24"/>
          <w:highlight w:val="none"/>
          <w:lang w:val="en-US" w:eastAsia="zh-CN"/>
        </w:rPr>
        <w:t>保安员2</w:t>
      </w:r>
      <w:r>
        <w:rPr>
          <w:rFonts w:hint="eastAsia" w:ascii="宋体" w:hAnsi="宋体" w:eastAsia="宋体" w:cs="宋体"/>
          <w:color w:val="auto"/>
          <w:sz w:val="24"/>
          <w:szCs w:val="24"/>
          <w:highlight w:val="none"/>
          <w:lang w:eastAsia="zh-CN"/>
        </w:rPr>
        <w:t>名</w:t>
      </w:r>
      <w:r>
        <w:rPr>
          <w:rFonts w:hint="eastAsia" w:cs="宋体"/>
          <w:color w:val="auto"/>
          <w:sz w:val="24"/>
          <w:szCs w:val="24"/>
          <w:highlight w:val="none"/>
          <w:lang w:eastAsia="zh-CN"/>
        </w:rPr>
        <w:t>（</w:t>
      </w:r>
      <w:r>
        <w:rPr>
          <w:rFonts w:hint="eastAsia" w:cs="宋体"/>
          <w:color w:val="auto"/>
          <w:sz w:val="24"/>
          <w:szCs w:val="24"/>
          <w:highlight w:val="none"/>
          <w:lang w:val="en-US" w:eastAsia="zh-CN"/>
        </w:rPr>
        <w:t>其中1名兼项目负责人</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45CDA63D">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3.3甲方根据公开招标的结果，有权根据实际发展需要调整服务范围。</w:t>
      </w:r>
    </w:p>
    <w:p w14:paraId="41361E94">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3.4乙方在履行合同过程中必须执行相关法律法规规定。</w:t>
      </w:r>
    </w:p>
    <w:p w14:paraId="512EC633">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4、履行期限</w:t>
      </w:r>
    </w:p>
    <w:p w14:paraId="2CC5BBBF">
      <w:pPr>
        <w:keepNext w:val="0"/>
        <w:keepLines w:val="0"/>
        <w:pageBreakBefore w:val="0"/>
        <w:tabs>
          <w:tab w:val="left" w:pos="900"/>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4.1</w:t>
      </w:r>
      <w:r>
        <w:rPr>
          <w:rFonts w:hint="eastAsia" w:ascii="宋体" w:hAnsi="宋体" w:eastAsia="宋体" w:cs="宋体"/>
          <w:color w:val="000000" w:themeColor="text1"/>
          <w:sz w:val="24"/>
          <w:szCs w:val="24"/>
          <w14:textFill>
            <w14:solidFill>
              <w14:schemeClr w14:val="tx1"/>
            </w14:solidFill>
          </w14:textFill>
        </w:rPr>
        <w:t>本项目服务期限为一年，签定合同日期起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止。</w:t>
      </w:r>
    </w:p>
    <w:p w14:paraId="56D5A7DA">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4.2 本合同终止或合同期满后，甲方选聘了新的服务企业的，乙方与新的服务企业之间应当做好交接工作，乙方应移交所有的服务管理档案资料和电子文档，经甲方或甲方委托的新的服务企业确认合格后方可退场。</w:t>
      </w:r>
    </w:p>
    <w:p w14:paraId="2684987A">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5、履行地点</w:t>
      </w:r>
    </w:p>
    <w:p w14:paraId="6139FBF4">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盐城市亭湖区东亭湖街道社区卫生服务中心。</w:t>
      </w:r>
    </w:p>
    <w:p w14:paraId="420BA248">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6、履行方式</w:t>
      </w:r>
    </w:p>
    <w:p w14:paraId="3117FB2D">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现场履行。</w:t>
      </w:r>
    </w:p>
    <w:p w14:paraId="79864C3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物业服务工作内容包括且不限于中心区域内的公共安全巡逻防范、门前三包、门口及院内车辆秩序管理、消防安全、卫生保洁、被服洗涤、医疗废弃物管理、病区保管、绿化养护及管理等，采购人保留对服务范围及内容进行适当调整的权利。</w:t>
      </w:r>
    </w:p>
    <w:p w14:paraId="44B15983">
      <w:pPr>
        <w:keepNext w:val="0"/>
        <w:keepLines w:val="0"/>
        <w:pageBreakBefore w:val="0"/>
        <w:widowControl/>
        <w:numPr>
          <w:ilvl w:val="0"/>
          <w:numId w:val="3"/>
        </w:numPr>
        <w:kinsoku/>
        <w:wordWrap/>
        <w:overflowPunct/>
        <w:topLinePunct w:val="0"/>
        <w:autoSpaceDE/>
        <w:autoSpaceDN/>
        <w:bidi w:val="0"/>
        <w:spacing w:line="440" w:lineRule="exact"/>
        <w:ind w:firstLine="480"/>
        <w:textAlignment w:val="auto"/>
        <w:rPr>
          <w:rFonts w:hint="eastAsia" w:ascii="宋体" w:hAnsi="宋体" w:eastAsia="宋体" w:cs="宋体"/>
          <w:b/>
          <w:sz w:val="24"/>
          <w:szCs w:val="24"/>
        </w:rPr>
      </w:pPr>
      <w:r>
        <w:rPr>
          <w:rFonts w:hint="eastAsia" w:ascii="宋体" w:hAnsi="宋体" w:eastAsia="宋体" w:cs="宋体"/>
          <w:b/>
          <w:sz w:val="24"/>
          <w:szCs w:val="24"/>
        </w:rPr>
        <w:t>合同</w:t>
      </w:r>
      <w:r>
        <w:rPr>
          <w:rFonts w:hint="eastAsia" w:ascii="宋体" w:hAnsi="宋体" w:eastAsia="宋体" w:cs="宋体"/>
          <w:b/>
          <w:sz w:val="24"/>
          <w:szCs w:val="24"/>
          <w:lang w:val="en-US" w:eastAsia="zh-CN"/>
        </w:rPr>
        <w:t>金额</w:t>
      </w:r>
    </w:p>
    <w:p w14:paraId="16A023A3">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）人民币，该合同价是指乙方为完成招标文件中所确定的全部服务工作内容所发生的一切费用，</w:t>
      </w:r>
      <w:r>
        <w:rPr>
          <w:rFonts w:hint="eastAsia" w:ascii="宋体" w:hAnsi="宋体" w:eastAsia="宋体" w:cs="宋体"/>
          <w:color w:val="auto"/>
          <w:sz w:val="24"/>
          <w:szCs w:val="24"/>
          <w:highlight w:val="none"/>
          <w:lang w:val="zh-CN"/>
        </w:rPr>
        <w:t>不仅应包括所有配备人员的工资、社保、公积金、福利费，</w:t>
      </w:r>
      <w:r>
        <w:rPr>
          <w:rFonts w:hint="eastAsia" w:ascii="宋体" w:hAnsi="宋体" w:eastAsia="宋体" w:cs="宋体"/>
          <w:color w:val="auto"/>
          <w:sz w:val="24"/>
          <w:szCs w:val="24"/>
          <w:highlight w:val="none"/>
          <w:lang w:val="zh-CN" w:eastAsia="zh-CN"/>
        </w:rPr>
        <w:t>体检费及不低于</w:t>
      </w:r>
      <w:r>
        <w:rPr>
          <w:rFonts w:hint="eastAsia" w:ascii="宋体" w:hAnsi="宋体" w:eastAsia="宋体" w:cs="宋体"/>
          <w:color w:val="auto"/>
          <w:sz w:val="24"/>
          <w:szCs w:val="24"/>
          <w:highlight w:val="none"/>
          <w:lang w:val="en-US" w:eastAsia="zh-CN"/>
        </w:rPr>
        <w:t>2人的</w:t>
      </w:r>
      <w:r>
        <w:rPr>
          <w:rFonts w:hint="eastAsia" w:ascii="宋体" w:hAnsi="宋体" w:eastAsia="宋体" w:cs="宋体"/>
          <w:color w:val="auto"/>
          <w:sz w:val="24"/>
          <w:szCs w:val="24"/>
          <w:highlight w:val="none"/>
          <w:lang w:val="zh-CN"/>
        </w:rPr>
        <w:t>法定节假日加班费</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还应包括</w:t>
      </w:r>
      <w:r>
        <w:rPr>
          <w:rFonts w:hint="eastAsia" w:ascii="宋体" w:hAnsi="宋体" w:eastAsia="宋体" w:cs="宋体"/>
          <w:color w:val="auto"/>
          <w:sz w:val="24"/>
          <w:szCs w:val="24"/>
          <w:highlight w:val="none"/>
          <w:lang w:val="en-US" w:eastAsia="zh-CN"/>
        </w:rPr>
        <w:t>办公费(</w:t>
      </w:r>
      <w:r>
        <w:rPr>
          <w:rFonts w:hint="eastAsia" w:ascii="宋体" w:hAnsi="宋体" w:eastAsia="宋体" w:cs="宋体"/>
          <w:color w:val="auto"/>
          <w:sz w:val="24"/>
          <w:szCs w:val="24"/>
          <w:highlight w:val="none"/>
          <w:lang w:val="zh-CN"/>
        </w:rPr>
        <w:t>含耗材、文具、电脑、打印机等</w:t>
      </w:r>
      <w:r>
        <w:rPr>
          <w:rFonts w:hint="eastAsia" w:ascii="宋体" w:hAnsi="宋体" w:eastAsia="宋体" w:cs="宋体"/>
          <w:color w:val="auto"/>
          <w:sz w:val="24"/>
          <w:szCs w:val="24"/>
          <w:highlight w:val="none"/>
          <w:lang w:val="en-US" w:eastAsia="zh-CN"/>
        </w:rPr>
        <w:t>)、固定资产折旧费（</w:t>
      </w:r>
      <w:r>
        <w:rPr>
          <w:rFonts w:hint="eastAsia" w:ascii="宋体" w:hAnsi="宋体" w:eastAsia="宋体" w:cs="宋体"/>
          <w:color w:val="auto"/>
          <w:sz w:val="24"/>
          <w:szCs w:val="24"/>
          <w:highlight w:val="none"/>
          <w:lang w:val="zh-CN" w:eastAsia="zh-CN"/>
        </w:rPr>
        <w:t>主要办公家具由甲方提供</w:t>
      </w:r>
      <w:r>
        <w:rPr>
          <w:rFonts w:hint="eastAsia" w:ascii="宋体" w:hAnsi="宋体" w:eastAsia="宋体" w:cs="宋体"/>
          <w:color w:val="auto"/>
          <w:sz w:val="24"/>
          <w:szCs w:val="24"/>
          <w:highlight w:val="none"/>
          <w:lang w:val="en-US" w:eastAsia="zh-CN"/>
        </w:rPr>
        <w:t>）、公众责任保险费、意外伤害保险费、高温补助费、服装费、垃圾收集清运费（至垃圾中转箱）、保洁设备、工具及耗材费、消防</w:t>
      </w:r>
      <w:r>
        <w:rPr>
          <w:rFonts w:hint="eastAsia" w:ascii="宋体" w:hAnsi="宋体" w:eastAsia="宋体" w:cs="宋体"/>
          <w:color w:val="auto"/>
          <w:sz w:val="24"/>
          <w:szCs w:val="24"/>
          <w:highlight w:val="none"/>
          <w:lang w:val="zh-CN" w:eastAsia="zh-CN"/>
        </w:rPr>
        <w:t>治安保卫装备费（含器械、工具等）</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绿化维护工具及耗材费</w:t>
      </w:r>
      <w:r>
        <w:rPr>
          <w:rFonts w:hint="eastAsia" w:ascii="宋体" w:hAnsi="宋体" w:eastAsia="宋体" w:cs="宋体"/>
          <w:color w:val="auto"/>
          <w:sz w:val="24"/>
          <w:szCs w:val="24"/>
          <w:highlight w:val="none"/>
          <w:lang w:val="en-US" w:eastAsia="zh-CN"/>
        </w:rPr>
        <w:t>、被服洗涤耗材费、</w:t>
      </w:r>
      <w:r>
        <w:rPr>
          <w:rFonts w:hint="eastAsia" w:ascii="宋体" w:hAnsi="宋体" w:eastAsia="宋体" w:cs="宋体"/>
          <w:color w:val="auto"/>
          <w:sz w:val="24"/>
          <w:szCs w:val="24"/>
          <w:highlight w:val="none"/>
          <w:lang w:val="zh-CN"/>
        </w:rPr>
        <w:t>管理费、劳务费、工作日和休息日加班费、培训费、宣传服务费、风险费、税金、合理利润及政策性文件规定等各项应有费用，以及为完成招标文件规定的物业服务工作所涉及到的一切相关费用。</w:t>
      </w:r>
    </w:p>
    <w:p w14:paraId="3B4E5FF6">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本项目所有服务人员的服装由乙方购置并承担费用（服装需符合国家标准，且各工种的服装需要区分）。</w:t>
      </w:r>
    </w:p>
    <w:p w14:paraId="36FCFD3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lang w:val="en-US" w:eastAsia="zh-CN"/>
        </w:rPr>
        <w:t>用于日常卫生保洁的设备、工具及耗材（</w:t>
      </w:r>
      <w:r>
        <w:rPr>
          <w:rFonts w:hint="eastAsia" w:ascii="宋体" w:hAnsi="宋体" w:eastAsia="宋体" w:cs="宋体"/>
          <w:color w:val="auto"/>
          <w:sz w:val="24"/>
          <w:szCs w:val="24"/>
          <w:highlight w:val="none"/>
          <w:lang w:val="zh-CN" w:eastAsia="zh-CN"/>
        </w:rPr>
        <w:t>包括</w:t>
      </w:r>
      <w:r>
        <w:rPr>
          <w:rFonts w:hint="eastAsia" w:ascii="宋体" w:hAnsi="宋体" w:eastAsia="宋体" w:cs="宋体"/>
          <w:color w:val="auto"/>
          <w:sz w:val="24"/>
          <w:szCs w:val="24"/>
          <w:highlight w:val="none"/>
          <w:lang w:val="zh-CN"/>
        </w:rPr>
        <w:t>洗地机、清洁剂、消毒剂、消杀药品、除臭剂、清香剂、洗衣粉/液、玻璃清洁水、不锈钢抛光剂、拖把、扫把、簸箕、手套、垃圾袋</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lang w:val="en-US" w:eastAsia="zh-CN"/>
        </w:rPr>
        <w:t>）均由乙方购置并承担费用</w:t>
      </w:r>
      <w:r>
        <w:rPr>
          <w:rFonts w:hint="eastAsia" w:ascii="宋体" w:hAnsi="宋体" w:eastAsia="宋体" w:cs="宋体"/>
          <w:color w:val="auto"/>
          <w:sz w:val="24"/>
          <w:szCs w:val="24"/>
          <w:highlight w:val="none"/>
          <w:lang w:val="zh-CN"/>
        </w:rPr>
        <w:t>。</w:t>
      </w:r>
    </w:p>
    <w:p w14:paraId="0434845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3）本项目消防</w:t>
      </w:r>
      <w:r>
        <w:rPr>
          <w:rFonts w:hint="eastAsia" w:ascii="宋体" w:hAnsi="宋体" w:eastAsia="宋体" w:cs="宋体"/>
          <w:color w:val="auto"/>
          <w:sz w:val="24"/>
          <w:szCs w:val="24"/>
          <w:highlight w:val="none"/>
          <w:lang w:val="zh-CN" w:eastAsia="zh-CN"/>
        </w:rPr>
        <w:t>治安保卫人员相关</w:t>
      </w:r>
      <w:r>
        <w:rPr>
          <w:rFonts w:hint="eastAsia" w:ascii="宋体" w:hAnsi="宋体" w:eastAsia="宋体" w:cs="宋体"/>
          <w:color w:val="auto"/>
          <w:sz w:val="24"/>
          <w:szCs w:val="24"/>
          <w:highlight w:val="none"/>
          <w:lang w:val="zh-CN"/>
        </w:rPr>
        <w:t>装备（包括对讲机、警棍、头盔、防护钢叉、防刺服、防刺手套</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lang w:val="zh-CN"/>
        </w:rPr>
        <w:t>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购置并承担费用</w:t>
      </w:r>
      <w:r>
        <w:rPr>
          <w:rFonts w:hint="eastAsia" w:ascii="宋体" w:hAnsi="宋体" w:eastAsia="宋体" w:cs="宋体"/>
          <w:color w:val="auto"/>
          <w:sz w:val="24"/>
          <w:szCs w:val="24"/>
          <w:highlight w:val="none"/>
          <w:lang w:val="en-US" w:eastAsia="zh-CN"/>
        </w:rPr>
        <w:t>。</w:t>
      </w:r>
    </w:p>
    <w:p w14:paraId="5266B2F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（4）本项目被服洗涤用具（洗衣机、消毒机等）由甲方提供，无偿供乙方使用，在服务期限满后由甲方收回。耗材（洗衣液、洗衣粉等）由乙方</w:t>
      </w:r>
      <w:r>
        <w:rPr>
          <w:rFonts w:hint="eastAsia" w:ascii="宋体" w:hAnsi="宋体" w:eastAsia="宋体" w:cs="宋体"/>
          <w:color w:val="auto"/>
          <w:sz w:val="24"/>
          <w:szCs w:val="24"/>
          <w:highlight w:val="none"/>
          <w:lang w:val="zh-CN"/>
        </w:rPr>
        <w:t>购置并承担费用</w:t>
      </w:r>
      <w:r>
        <w:rPr>
          <w:rFonts w:hint="eastAsia" w:ascii="宋体" w:hAnsi="宋体" w:eastAsia="宋体" w:cs="宋体"/>
          <w:color w:val="auto"/>
          <w:sz w:val="24"/>
          <w:szCs w:val="24"/>
          <w:highlight w:val="none"/>
          <w:lang w:val="en-US" w:eastAsia="zh-CN"/>
        </w:rPr>
        <w:t>。</w:t>
      </w:r>
    </w:p>
    <w:p w14:paraId="4147A8E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（5）本项目医废垃圾袋由甲方提供。</w:t>
      </w:r>
    </w:p>
    <w:p w14:paraId="68AC2ED2">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（6）本项目绿化维护所需的工具及耗材（药水、肥料等）均由乙方</w:t>
      </w:r>
      <w:r>
        <w:rPr>
          <w:rFonts w:hint="eastAsia" w:ascii="宋体" w:hAnsi="宋体" w:eastAsia="宋体" w:cs="宋体"/>
          <w:color w:val="auto"/>
          <w:sz w:val="24"/>
          <w:szCs w:val="24"/>
          <w:highlight w:val="none"/>
          <w:lang w:val="zh-CN"/>
        </w:rPr>
        <w:t>购置并承担费用</w:t>
      </w:r>
      <w:r>
        <w:rPr>
          <w:rFonts w:hint="eastAsia" w:ascii="宋体" w:hAnsi="宋体" w:eastAsia="宋体" w:cs="宋体"/>
          <w:color w:val="auto"/>
          <w:sz w:val="24"/>
          <w:szCs w:val="24"/>
          <w:highlight w:val="none"/>
          <w:lang w:val="en-US" w:eastAsia="zh-CN"/>
        </w:rPr>
        <w:t>。</w:t>
      </w:r>
    </w:p>
    <w:p w14:paraId="267E80D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（7）保管物品用房（一间）、洗衣房（一间）、办公用房（一间）均由甲方提供，无偿供乙方使用，在服务期限满后由甲方收回。</w:t>
      </w:r>
    </w:p>
    <w:p w14:paraId="0059F98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本项目办公家具由甲方提供，</w:t>
      </w:r>
      <w:r>
        <w:rPr>
          <w:rFonts w:hint="eastAsia" w:ascii="宋体" w:hAnsi="宋体" w:eastAsia="宋体" w:cs="宋体"/>
          <w:color w:val="auto"/>
          <w:sz w:val="24"/>
          <w:szCs w:val="24"/>
          <w:highlight w:val="none"/>
          <w:lang w:val="en-US" w:eastAsia="zh-CN"/>
        </w:rPr>
        <w:t>无偿供乙方使用，在服务期限满后由甲方收回</w:t>
      </w:r>
      <w:r>
        <w:rPr>
          <w:rFonts w:hint="eastAsia" w:ascii="宋体" w:hAnsi="宋体" w:eastAsia="宋体" w:cs="宋体"/>
          <w:color w:val="auto"/>
          <w:sz w:val="24"/>
          <w:szCs w:val="24"/>
          <w:highlight w:val="none"/>
          <w:lang w:val="zh-CN"/>
        </w:rPr>
        <w:t>。</w:t>
      </w:r>
    </w:p>
    <w:p w14:paraId="2009AF4D">
      <w:pPr>
        <w:pStyle w:val="336"/>
        <w:keepNext w:val="0"/>
        <w:keepLines w:val="0"/>
        <w:pageBreakBefore w:val="0"/>
        <w:kinsoku/>
        <w:wordWrap/>
        <w:overflowPunct/>
        <w:topLinePunct w:val="0"/>
        <w:autoSpaceDE/>
        <w:autoSpaceDN/>
        <w:bidi w:val="0"/>
        <w:spacing w:line="440" w:lineRule="exact"/>
        <w:ind w:firstLine="422"/>
        <w:textAlignment w:val="auto"/>
        <w:rPr>
          <w:rFonts w:hint="eastAsia" w:ascii="宋体" w:hAnsi="宋体" w:eastAsia="宋体" w:cs="宋体"/>
          <w:b/>
          <w:sz w:val="24"/>
          <w:szCs w:val="24"/>
        </w:rPr>
      </w:pPr>
      <w:r>
        <w:rPr>
          <w:rFonts w:hint="eastAsia" w:hAnsi="宋体" w:cs="宋体"/>
          <w:b/>
          <w:sz w:val="24"/>
          <w:szCs w:val="24"/>
          <w:lang w:val="en-US" w:eastAsia="zh-CN"/>
        </w:rPr>
        <w:t>三</w:t>
      </w:r>
      <w:r>
        <w:rPr>
          <w:rFonts w:hint="eastAsia" w:ascii="宋体" w:hAnsi="宋体" w:eastAsia="宋体" w:cs="宋体"/>
          <w:b/>
          <w:sz w:val="24"/>
          <w:szCs w:val="24"/>
        </w:rPr>
        <w:t>、知识产权</w:t>
      </w:r>
    </w:p>
    <w:p w14:paraId="465014BA">
      <w:pPr>
        <w:pStyle w:val="336"/>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hAnsi="宋体" w:cs="宋体"/>
          <w:sz w:val="24"/>
          <w:szCs w:val="24"/>
          <w:lang w:val="en-US" w:eastAsia="zh-CN"/>
        </w:rPr>
        <w:t>3</w:t>
      </w:r>
      <w:r>
        <w:rPr>
          <w:rFonts w:hint="eastAsia" w:ascii="宋体" w:hAnsi="宋体" w:eastAsia="宋体" w:cs="宋体"/>
          <w:sz w:val="24"/>
          <w:szCs w:val="24"/>
        </w:rPr>
        <w:t>.1乙方应保证甲方在使用、接受本合同服务（包含与服务相关的货物）或其任何一部分时不受第三方提出侵犯其专利权、版权、商标权和工业设计权等知识产权的起诉。一旦出现侵权，由乙方负全部责任。</w:t>
      </w:r>
    </w:p>
    <w:p w14:paraId="4AD53A80">
      <w:pPr>
        <w:keepNext w:val="0"/>
        <w:keepLines w:val="0"/>
        <w:pageBreakBefore w:val="0"/>
        <w:widowControl/>
        <w:numPr>
          <w:ilvl w:val="0"/>
          <w:numId w:val="0"/>
        </w:numPr>
        <w:kinsoku/>
        <w:wordWrap/>
        <w:overflowPunct/>
        <w:topLinePunct w:val="0"/>
        <w:autoSpaceDE/>
        <w:autoSpaceDN/>
        <w:bidi w:val="0"/>
        <w:spacing w:line="440" w:lineRule="exact"/>
        <w:ind w:left="440" w:leftChars="0"/>
        <w:textAlignment w:val="auto"/>
        <w:rPr>
          <w:rFonts w:hint="eastAsia" w:ascii="宋体" w:hAnsi="宋体" w:eastAsia="宋体" w:cs="宋体"/>
          <w:b/>
          <w:sz w:val="24"/>
          <w:szCs w:val="24"/>
        </w:rPr>
      </w:pPr>
      <w:r>
        <w:rPr>
          <w:rFonts w:hint="eastAsia" w:cs="宋体"/>
          <w:b/>
          <w:sz w:val="24"/>
          <w:szCs w:val="24"/>
          <w:lang w:val="en-US" w:eastAsia="zh-CN"/>
        </w:rPr>
        <w:t>四、</w:t>
      </w:r>
      <w:r>
        <w:rPr>
          <w:rFonts w:hint="eastAsia" w:ascii="宋体" w:hAnsi="宋体" w:eastAsia="宋体" w:cs="宋体"/>
          <w:b/>
          <w:sz w:val="24"/>
          <w:szCs w:val="24"/>
        </w:rPr>
        <w:t>合同款项支付</w:t>
      </w:r>
    </w:p>
    <w:p w14:paraId="2D0AF57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sz w:val="24"/>
          <w:szCs w:val="24"/>
        </w:rPr>
      </w:pPr>
      <w:r>
        <w:rPr>
          <w:rFonts w:hint="eastAsia" w:cs="宋体"/>
          <w:b/>
          <w:sz w:val="24"/>
          <w:szCs w:val="24"/>
          <w:lang w:val="en-US" w:eastAsia="zh-CN"/>
        </w:rPr>
        <w:t>4</w:t>
      </w:r>
      <w:r>
        <w:rPr>
          <w:rFonts w:hint="eastAsia" w:ascii="宋体" w:hAnsi="宋体" w:eastAsia="宋体" w:cs="宋体"/>
          <w:b/>
          <w:sz w:val="24"/>
          <w:szCs w:val="24"/>
          <w:lang w:val="en-US" w:eastAsia="zh-CN"/>
        </w:rPr>
        <w:t>.1</w:t>
      </w:r>
      <w:r>
        <w:rPr>
          <w:rFonts w:hint="eastAsia" w:ascii="宋体" w:hAnsi="宋体" w:eastAsia="宋体" w:cs="宋体"/>
          <w:b/>
          <w:sz w:val="24"/>
          <w:szCs w:val="24"/>
        </w:rPr>
        <w:t>合同款项的支付方式及进度安排</w:t>
      </w:r>
    </w:p>
    <w:p w14:paraId="6FF98F9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zh-CN"/>
        </w:rPr>
      </w:pPr>
      <w:r>
        <w:rPr>
          <w:rFonts w:hint="eastAsia" w:cs="宋体"/>
          <w:b/>
          <w:bCs/>
          <w:color w:val="auto"/>
          <w:sz w:val="24"/>
          <w:szCs w:val="24"/>
          <w:lang w:val="en-US" w:eastAsia="zh-CN"/>
        </w:rPr>
        <w:t>4</w:t>
      </w:r>
      <w:r>
        <w:rPr>
          <w:rFonts w:hint="eastAsia" w:ascii="宋体" w:hAnsi="宋体" w:eastAsia="宋体" w:cs="宋体"/>
          <w:b/>
          <w:bCs/>
          <w:color w:val="auto"/>
          <w:sz w:val="24"/>
          <w:szCs w:val="24"/>
          <w:lang w:val="en-US" w:eastAsia="zh-CN"/>
        </w:rPr>
        <w:t xml:space="preserve">.1.1预付款 </w:t>
      </w:r>
      <w:r>
        <w:rPr>
          <w:rFonts w:hint="eastAsia" w:ascii="宋体" w:hAnsi="宋体" w:eastAsia="宋体" w:cs="宋体"/>
          <w:b/>
          <w:bCs/>
          <w:color w:val="auto"/>
          <w:sz w:val="24"/>
          <w:szCs w:val="24"/>
          <w:highlight w:val="none"/>
          <w:lang w:val="zh-CN"/>
        </w:rPr>
        <w:t>预付款</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支付时间：合同签订后，甲方收到预付款发票后10个工作日内，预付款支付比例：合同金额的30%</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w:t>
      </w:r>
    </w:p>
    <w:p w14:paraId="1B48B4C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 xml:space="preserve">.1.2 尾款 </w:t>
      </w:r>
      <w:r>
        <w:rPr>
          <w:rFonts w:hint="eastAsia" w:ascii="宋体" w:hAnsi="宋体" w:eastAsia="宋体" w:cs="宋体"/>
          <w:b/>
          <w:bCs/>
          <w:color w:val="auto"/>
          <w:sz w:val="24"/>
          <w:szCs w:val="24"/>
          <w:highlight w:val="none"/>
          <w:lang w:val="zh-CN"/>
        </w:rPr>
        <w:t>支付时间：物业管理费按月进行考核，按</w:t>
      </w:r>
      <w:r>
        <w:rPr>
          <w:rFonts w:hint="eastAsia" w:ascii="宋体" w:hAnsi="宋体" w:eastAsia="宋体" w:cs="宋体"/>
          <w:b/>
          <w:bCs/>
          <w:color w:val="auto"/>
          <w:sz w:val="24"/>
          <w:szCs w:val="24"/>
          <w:highlight w:val="none"/>
          <w:lang w:val="zh-CN" w:eastAsia="zh-CN"/>
        </w:rPr>
        <w:t>季度</w:t>
      </w:r>
      <w:r>
        <w:rPr>
          <w:rFonts w:hint="eastAsia" w:ascii="宋体" w:hAnsi="宋体" w:eastAsia="宋体" w:cs="宋体"/>
          <w:b/>
          <w:bCs/>
          <w:color w:val="auto"/>
          <w:sz w:val="24"/>
          <w:szCs w:val="24"/>
          <w:highlight w:val="none"/>
          <w:lang w:val="zh-CN"/>
        </w:rPr>
        <w:t>支付，支付时间为</w:t>
      </w:r>
      <w:r>
        <w:rPr>
          <w:rFonts w:hint="eastAsia" w:ascii="宋体" w:hAnsi="宋体" w:eastAsia="宋体" w:cs="宋体"/>
          <w:b/>
          <w:bCs/>
          <w:color w:val="auto"/>
          <w:sz w:val="24"/>
          <w:szCs w:val="24"/>
          <w:highlight w:val="none"/>
          <w:lang w:val="zh-CN" w:eastAsia="zh-CN"/>
        </w:rPr>
        <w:t>下一个季度10号之前支付上一个季度的服务费（后期费用结算方式以此类推）</w:t>
      </w:r>
      <w:r>
        <w:rPr>
          <w:rFonts w:hint="eastAsia" w:ascii="宋体" w:hAnsi="宋体" w:eastAsia="宋体" w:cs="宋体"/>
          <w:b/>
          <w:bCs/>
          <w:color w:val="auto"/>
          <w:sz w:val="24"/>
          <w:szCs w:val="24"/>
          <w:highlight w:val="none"/>
          <w:lang w:val="zh-CN"/>
        </w:rPr>
        <w:t>（扣除对应的预付款</w:t>
      </w:r>
      <w:r>
        <w:rPr>
          <w:rFonts w:hint="eastAsia" w:ascii="宋体" w:hAnsi="宋体" w:eastAsia="宋体" w:cs="宋体"/>
          <w:b/>
          <w:bCs/>
          <w:color w:val="auto"/>
          <w:sz w:val="24"/>
          <w:szCs w:val="24"/>
          <w:highlight w:val="none"/>
          <w:lang w:val="zh-CN" w:eastAsia="zh-CN"/>
        </w:rPr>
        <w:t>，如不够则在后期付款中扣除</w:t>
      </w:r>
      <w:r>
        <w:rPr>
          <w:rFonts w:hint="eastAsia" w:ascii="宋体" w:hAnsi="宋体" w:eastAsia="宋体" w:cs="宋体"/>
          <w:b/>
          <w:bCs/>
          <w:color w:val="auto"/>
          <w:sz w:val="24"/>
          <w:szCs w:val="24"/>
          <w:highlight w:val="none"/>
          <w:lang w:val="zh-CN"/>
        </w:rPr>
        <w:t>）。(在乙方向甲方</w:t>
      </w:r>
      <w:r>
        <w:rPr>
          <w:rFonts w:hint="eastAsia" w:ascii="宋体" w:hAnsi="宋体" w:eastAsia="宋体" w:cs="宋体"/>
          <w:b/>
          <w:bCs/>
          <w:color w:val="auto"/>
          <w:sz w:val="24"/>
          <w:szCs w:val="24"/>
          <w:highlight w:val="none"/>
          <w:lang w:val="zh-CN" w:eastAsia="zh-CN"/>
        </w:rPr>
        <w:t>提供</w:t>
      </w:r>
      <w:r>
        <w:rPr>
          <w:rFonts w:hint="eastAsia" w:ascii="宋体" w:hAnsi="宋体" w:eastAsia="宋体" w:cs="宋体"/>
          <w:b/>
          <w:bCs/>
          <w:color w:val="auto"/>
          <w:sz w:val="24"/>
          <w:szCs w:val="24"/>
          <w:highlight w:val="none"/>
          <w:lang w:val="zh-CN"/>
        </w:rPr>
        <w:t>等额增值税发票</w:t>
      </w:r>
      <w:r>
        <w:rPr>
          <w:rFonts w:hint="eastAsia" w:ascii="宋体" w:hAnsi="宋体" w:eastAsia="宋体" w:cs="宋体"/>
          <w:b/>
          <w:bCs/>
          <w:color w:val="auto"/>
          <w:sz w:val="24"/>
          <w:szCs w:val="24"/>
          <w:highlight w:val="none"/>
          <w:lang w:val="zh-CN" w:eastAsia="zh-CN"/>
        </w:rPr>
        <w:t>、人员</w:t>
      </w:r>
      <w:r>
        <w:rPr>
          <w:rFonts w:hint="eastAsia" w:ascii="宋体" w:hAnsi="宋体" w:eastAsia="宋体" w:cs="宋体"/>
          <w:b/>
          <w:bCs/>
          <w:color w:val="auto"/>
          <w:sz w:val="24"/>
          <w:szCs w:val="24"/>
          <w:highlight w:val="none"/>
          <w:lang w:val="zh-CN"/>
        </w:rPr>
        <w:t>工资清单和人员社保缴纳凭证后，甲方在10个工作日内以转账形式支付给乙方上</w:t>
      </w:r>
      <w:r>
        <w:rPr>
          <w:rFonts w:hint="eastAsia" w:ascii="宋体" w:hAnsi="宋体" w:eastAsia="宋体" w:cs="宋体"/>
          <w:b/>
          <w:bCs/>
          <w:color w:val="auto"/>
          <w:sz w:val="24"/>
          <w:szCs w:val="24"/>
          <w:highlight w:val="none"/>
          <w:lang w:val="en-US" w:eastAsia="zh-CN"/>
        </w:rPr>
        <w:t>季度</w:t>
      </w:r>
      <w:r>
        <w:rPr>
          <w:rFonts w:hint="eastAsia" w:ascii="宋体" w:hAnsi="宋体" w:eastAsia="宋体" w:cs="宋体"/>
          <w:b/>
          <w:bCs/>
          <w:color w:val="auto"/>
          <w:sz w:val="24"/>
          <w:szCs w:val="24"/>
          <w:highlight w:val="none"/>
          <w:lang w:val="zh-CN"/>
        </w:rPr>
        <w:t>物业管理服务费</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如果乙方不能按时提供或提供的</w:t>
      </w:r>
      <w:r>
        <w:rPr>
          <w:rFonts w:hint="eastAsia" w:ascii="宋体" w:hAnsi="宋体" w:eastAsia="宋体" w:cs="宋体"/>
          <w:b/>
          <w:bCs/>
          <w:color w:val="auto"/>
          <w:sz w:val="24"/>
          <w:szCs w:val="24"/>
          <w:highlight w:val="none"/>
          <w:lang w:val="zh-CN" w:eastAsia="zh-CN"/>
        </w:rPr>
        <w:t>材料</w:t>
      </w:r>
      <w:r>
        <w:rPr>
          <w:rFonts w:hint="eastAsia" w:ascii="宋体" w:hAnsi="宋体" w:eastAsia="宋体" w:cs="宋体"/>
          <w:b/>
          <w:bCs/>
          <w:color w:val="auto"/>
          <w:sz w:val="24"/>
          <w:szCs w:val="24"/>
          <w:highlight w:val="none"/>
          <w:lang w:val="zh-CN"/>
        </w:rPr>
        <w:t>不齐全或不符要求，甲方有权拒付物业</w:t>
      </w:r>
      <w:r>
        <w:rPr>
          <w:rFonts w:hint="eastAsia" w:ascii="宋体" w:hAnsi="宋体" w:eastAsia="宋体" w:cs="宋体"/>
          <w:b/>
          <w:bCs/>
          <w:color w:val="auto"/>
          <w:sz w:val="24"/>
          <w:szCs w:val="24"/>
          <w:highlight w:val="none"/>
          <w:lang w:val="zh-CN" w:eastAsia="zh-CN"/>
        </w:rPr>
        <w:t>管理</w:t>
      </w:r>
      <w:r>
        <w:rPr>
          <w:rFonts w:hint="eastAsia" w:ascii="宋体" w:hAnsi="宋体" w:eastAsia="宋体" w:cs="宋体"/>
          <w:b/>
          <w:bCs/>
          <w:color w:val="auto"/>
          <w:sz w:val="24"/>
          <w:szCs w:val="24"/>
          <w:highlight w:val="none"/>
          <w:lang w:val="zh-CN"/>
        </w:rPr>
        <w:t>服务费并</w:t>
      </w:r>
      <w:r>
        <w:rPr>
          <w:rFonts w:hint="eastAsia" w:ascii="宋体" w:hAnsi="宋体" w:eastAsia="宋体" w:cs="宋体"/>
          <w:b/>
          <w:bCs/>
          <w:color w:val="auto"/>
          <w:sz w:val="24"/>
          <w:szCs w:val="24"/>
          <w:highlight w:val="none"/>
          <w:lang w:val="zh-CN" w:eastAsia="zh-CN"/>
        </w:rPr>
        <w:t>终止</w:t>
      </w:r>
      <w:r>
        <w:rPr>
          <w:rFonts w:hint="eastAsia" w:ascii="宋体" w:hAnsi="宋体" w:eastAsia="宋体" w:cs="宋体"/>
          <w:b/>
          <w:bCs/>
          <w:color w:val="auto"/>
          <w:sz w:val="24"/>
          <w:szCs w:val="24"/>
          <w:highlight w:val="none"/>
          <w:lang w:val="zh-CN"/>
        </w:rPr>
        <w:t>合同)。如一年中连续有两个月考核不合格或累计三个月考核不合格，则甲方有权终止合同，且不予退还履约保证金，同时乙方承担违约责任，甲方重新选择新的物业管理服务企业。</w:t>
      </w:r>
    </w:p>
    <w:p w14:paraId="66C1C56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、履约保证金</w:t>
      </w:r>
    </w:p>
    <w:p w14:paraId="5A12F67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.1乙方交纳人民币_________元作为本合同的履约保证金。</w:t>
      </w:r>
    </w:p>
    <w:p w14:paraId="5FDD948F">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备注：履约保证金金额为合同金额的10%，甲方对AA评级及以上政府采购投标人（需提供信用管理部门备案的第三方信用报告，且信用报告通过“信用盐城网”可查实），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rPr>
        <w:t>免收履约保证金。</w:t>
      </w:r>
    </w:p>
    <w:p w14:paraId="7C1994B9">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.2确需收取履约保证金的，履约保证金的缴纳形式：</w:t>
      </w:r>
    </w:p>
    <w:p w14:paraId="4B0C89EB">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66571A9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.2.2如以履约保函（保险）形式缴纳履约保证金，乙方可通过政府采购电子履约保函（保险）平台（www.jsdzbh.com）在线申请履约保函（保险）。</w:t>
      </w:r>
    </w:p>
    <w:p w14:paraId="2F440962">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.3合同履行结束后，甲方应及时退还交纳的履约保证金。</w:t>
      </w:r>
    </w:p>
    <w:p w14:paraId="333DC2C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.4履约保证金的退还：</w:t>
      </w:r>
    </w:p>
    <w:p w14:paraId="382294AC">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.4.1方式：无息退还至乙方缴纳履约保证金的账户。如为保函，在到期时自行失效。</w:t>
      </w:r>
    </w:p>
    <w:p w14:paraId="19B6538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.4.2时间：验收合格且甲方收到发票后30日内。</w:t>
      </w:r>
    </w:p>
    <w:p w14:paraId="2F8F34D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.4.3条件：按合同要求全部履约完成并经甲方验收合格，且甲方收到乙方出具的发票。</w:t>
      </w:r>
    </w:p>
    <w:p w14:paraId="67ABBE2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.4.4不予退还情形：</w:t>
      </w:r>
    </w:p>
    <w:p w14:paraId="18E88D5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除不可抗力情况外，乙方出现下列情形之一的，其履约保证金，甲方将视情节决定不予退还或部分不予退还。</w:t>
      </w:r>
    </w:p>
    <w:p w14:paraId="0FC88F3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（1）乙方无正当理由拒绝签订合同的，或者在签订合同时向甲方提出附加条件或者更改合同实质性内容要求的；</w:t>
      </w:r>
    </w:p>
    <w:p w14:paraId="7F062FE9">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（2）乙方不履行与甲方订立的合同的；</w:t>
      </w:r>
    </w:p>
    <w:p w14:paraId="388DB25C">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（3）乙方所供货物或服务不符合招标文件规定要求的；</w:t>
      </w:r>
    </w:p>
    <w:p w14:paraId="311503F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（4）乙方采取欺骗、弄虚作假方式投标的或与其它投标人串通投标的；</w:t>
      </w:r>
    </w:p>
    <w:p w14:paraId="054E2AC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（5）乙方将合同内容转包、违法分包的；</w:t>
      </w:r>
    </w:p>
    <w:p w14:paraId="5C73FAC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（6）乙方故意捏造事实或伪造证明材料，进行虚假恶意投诉或反映的。</w:t>
      </w:r>
    </w:p>
    <w:p w14:paraId="054103E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.4.5逾期退还的违约责任：甲方逾期无故未退还履约保证金的，按中国人民银行同期贷款基准利率上浮20%后的利率支付超期资金占用费，但因乙方自身原因导致无法及时退还的除外。</w:t>
      </w:r>
    </w:p>
    <w:p w14:paraId="710D8EE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、权利和义务</w:t>
      </w:r>
    </w:p>
    <w:p w14:paraId="6979F40F">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cs="宋体"/>
          <w:b/>
          <w:bCs/>
          <w:sz w:val="24"/>
          <w:szCs w:val="24"/>
          <w:lang w:val="en-US" w:eastAsia="zh-CN"/>
        </w:rPr>
        <w:t>6</w:t>
      </w:r>
      <w:r>
        <w:rPr>
          <w:rFonts w:hint="eastAsia" w:ascii="宋体" w:hAnsi="宋体" w:eastAsia="宋体" w:cs="宋体"/>
          <w:b/>
          <w:bCs/>
          <w:sz w:val="24"/>
          <w:szCs w:val="24"/>
        </w:rPr>
        <w:t>.1甲方权利和义务</w:t>
      </w:r>
    </w:p>
    <w:p w14:paraId="666CA37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.1审定乙方拟定的服务计划和方案；</w:t>
      </w:r>
    </w:p>
    <w:p w14:paraId="243ECF7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p>
    <w:p w14:paraId="198EB387">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.3在合同履行期间，如乙方中途退出或发生责任事故，给甲方带来不良影响的，或者因乙方工作严重不力，影响甲方正常工作秩序的，甲方有权终止本合同，并要求乙方给予经济赔偿；</w:t>
      </w:r>
    </w:p>
    <w:p w14:paraId="7976C91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.4对拒绝、不服从或抵触甲方领导指挥的乙方使用人员严加教育，屡教不改的，甲方有权要求乙方进行调换，否则甲方有权终止本合同，并对乙方进行经济处罚；</w:t>
      </w:r>
    </w:p>
    <w:p w14:paraId="38A31FE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.5监督、指导乙方人员在区域内的一切行为和活动；</w:t>
      </w:r>
    </w:p>
    <w:p w14:paraId="5A9F860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.6依据相关法律、法规规定享有的其他权利。</w:t>
      </w:r>
    </w:p>
    <w:p w14:paraId="7CDAA084">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cs="宋体"/>
          <w:b/>
          <w:bCs/>
          <w:sz w:val="24"/>
          <w:szCs w:val="24"/>
          <w:lang w:val="en-US" w:eastAsia="zh-CN"/>
        </w:rPr>
        <w:t>6</w:t>
      </w:r>
      <w:r>
        <w:rPr>
          <w:rFonts w:hint="eastAsia" w:ascii="宋体" w:hAnsi="宋体" w:eastAsia="宋体" w:cs="宋体"/>
          <w:b/>
          <w:bCs/>
          <w:sz w:val="24"/>
          <w:szCs w:val="24"/>
        </w:rPr>
        <w:t>.2乙方权利和义务</w:t>
      </w:r>
    </w:p>
    <w:p w14:paraId="17503525">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.2.1乙方收到甲方进驻现场书面通知后，要积极做好准备，准时进驻现场。</w:t>
      </w:r>
    </w:p>
    <w:p w14:paraId="11C1DCCB">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.2.2认真完成合同约定的作业内容并达到乙方方案中承诺的质量标准。</w:t>
      </w:r>
    </w:p>
    <w:p w14:paraId="4CE57E7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.2.3依照有关规定和本合同约定，制定</w:t>
      </w:r>
      <w:r>
        <w:rPr>
          <w:rFonts w:hint="eastAsia" w:ascii="宋体" w:hAnsi="宋体" w:eastAsia="宋体" w:cs="宋体"/>
          <w:sz w:val="24"/>
          <w:szCs w:val="24"/>
          <w:lang w:val="en-US" w:eastAsia="zh-CN"/>
        </w:rPr>
        <w:t>物业</w:t>
      </w:r>
      <w:r>
        <w:rPr>
          <w:rFonts w:hint="eastAsia" w:ascii="宋体" w:hAnsi="宋体" w:eastAsia="宋体" w:cs="宋体"/>
          <w:sz w:val="24"/>
          <w:szCs w:val="24"/>
        </w:rPr>
        <w:t>服务制度。</w:t>
      </w:r>
    </w:p>
    <w:p w14:paraId="4C575E22">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.2.4按照服务管理情况及要求进行服务与管理。</w:t>
      </w:r>
    </w:p>
    <w:p w14:paraId="7A82F897">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.2.5依照本合同约定向甲方收取服务费。</w:t>
      </w:r>
    </w:p>
    <w:p w14:paraId="5AD44926">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.2.6工作人员在业务上受乙方的领导，同时受甲方的监督，所有人员服从甲方调配。</w:t>
      </w:r>
    </w:p>
    <w:p w14:paraId="0C08F623">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.2.7负责提供服务必须的工具及其它耗材。</w:t>
      </w:r>
    </w:p>
    <w:p w14:paraId="36DBEDF7">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.2.8乙方为保证服务质量，须根据不同材质，采用相适应的清洁原料和操作方法。</w:t>
      </w:r>
    </w:p>
    <w:p w14:paraId="5AE9E4ED">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.2.9爱护甲方内、外各项设备设施，注意节水节电。</w:t>
      </w:r>
    </w:p>
    <w:p w14:paraId="2DE907AF">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.2.10乙方在清洁作业中应严格要求服务人员，做好各项防护措施，非紧急和必要不得擅自挪用甲方的物品。</w:t>
      </w:r>
    </w:p>
    <w:p w14:paraId="7E0363F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.2.11乙方负责对派出员工的安全生产教育，对派出的员工在服务过程中的安全生产责任负责，并给所有派遣员工缴纳社会保险，费用由乙方自行承担。</w:t>
      </w:r>
    </w:p>
    <w:p w14:paraId="3138E125">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eastAsia="Arial" w:cs="宋体"/>
          <w:color w:val="auto"/>
          <w:sz w:val="24"/>
          <w:szCs w:val="24"/>
          <w:highlight w:val="none"/>
          <w:lang w:val="en-US" w:eastAsia="zh-CN"/>
        </w:rPr>
        <w:t>6</w:t>
      </w:r>
      <w:r>
        <w:rPr>
          <w:rFonts w:hint="eastAsia" w:ascii="宋体" w:hAnsi="宋体" w:eastAsia="Arial" w:cs="宋体"/>
          <w:color w:val="auto"/>
          <w:sz w:val="24"/>
          <w:szCs w:val="24"/>
          <w:highlight w:val="none"/>
          <w:lang w:val="en-US" w:eastAsia="zh-CN"/>
        </w:rPr>
        <w:t>.2.12乙方服务人员必须文明服务、安全操作，所有服务人员的人身安全和经济责任【如服务人员在上班期间（包括上下班途中）发生任何安全责任事故】，均由乙方负责。</w:t>
      </w:r>
    </w:p>
    <w:p w14:paraId="425DFC03">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3</w:t>
      </w:r>
      <w:r>
        <w:rPr>
          <w:rFonts w:hint="eastAsia" w:ascii="宋体" w:hAnsi="宋体" w:eastAsia="宋体" w:cs="宋体"/>
          <w:sz w:val="24"/>
          <w:szCs w:val="24"/>
        </w:rPr>
        <w:t>乙方清洁作业应按照规范流程实施并遵守甲方规定的时间要求，如有变更，双方协商解决。</w:t>
      </w:r>
    </w:p>
    <w:p w14:paraId="6896B7BD">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4</w:t>
      </w:r>
      <w:r>
        <w:rPr>
          <w:rFonts w:hint="eastAsia" w:ascii="宋体" w:hAnsi="宋体" w:eastAsia="宋体" w:cs="宋体"/>
          <w:sz w:val="24"/>
          <w:szCs w:val="24"/>
        </w:rPr>
        <w:t>本合同终止乙方不再管理本服务项目时，必须向甲方移交全部借用的物品、管理用房及管理的全部档案资料。</w:t>
      </w:r>
    </w:p>
    <w:p w14:paraId="28C60989">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5</w:t>
      </w:r>
      <w:r>
        <w:rPr>
          <w:rFonts w:hint="eastAsia" w:ascii="宋体" w:hAnsi="宋体" w:eastAsia="宋体" w:cs="宋体"/>
          <w:sz w:val="24"/>
          <w:szCs w:val="24"/>
        </w:rPr>
        <w:t>在本服务管理区域内遇到冰雪等恶劣天气和设施损坏（水管破裂、龙头损坏、感应器损坏等）等问题应第一时间向</w:t>
      </w:r>
      <w:r>
        <w:rPr>
          <w:rFonts w:hint="eastAsia" w:ascii="宋体" w:hAnsi="宋体" w:eastAsia="宋体" w:cs="宋体"/>
          <w:sz w:val="24"/>
          <w:szCs w:val="24"/>
          <w:lang w:val="en-US" w:eastAsia="zh-CN"/>
        </w:rPr>
        <w:t>甲方</w:t>
      </w:r>
      <w:r>
        <w:rPr>
          <w:rFonts w:hint="eastAsia" w:ascii="宋体" w:hAnsi="宋体" w:eastAsia="宋体" w:cs="宋体"/>
          <w:sz w:val="24"/>
          <w:szCs w:val="24"/>
        </w:rPr>
        <w:t>报告并做好保洁协助工作。</w:t>
      </w:r>
    </w:p>
    <w:p w14:paraId="4875EA5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6</w:t>
      </w:r>
      <w:r>
        <w:rPr>
          <w:rFonts w:hint="eastAsia" w:ascii="宋体" w:hAnsi="宋体" w:eastAsia="Arial" w:cs="宋体"/>
          <w:color w:val="auto"/>
          <w:sz w:val="24"/>
          <w:szCs w:val="24"/>
          <w:highlight w:val="none"/>
          <w:lang w:val="en-US" w:eastAsia="zh-CN"/>
        </w:rPr>
        <w:t>由于乙方的原因，给国家、甲方或第三方造成的损失与伤害，所涉及的民事、行政等一切责任均由乙方全部承担。</w:t>
      </w:r>
    </w:p>
    <w:p w14:paraId="6F8D1B9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6</w:t>
      </w:r>
      <w:r>
        <w:rPr>
          <w:rFonts w:hint="eastAsia" w:ascii="宋体" w:hAnsi="宋体" w:eastAsia="Arial" w:cs="宋体"/>
          <w:color w:val="auto"/>
          <w:sz w:val="24"/>
          <w:szCs w:val="24"/>
          <w:highlight w:val="none"/>
          <w:lang w:val="en-US" w:eastAsia="zh-CN"/>
        </w:rPr>
        <w:t>.2.17乙方服务人员工作期间必须遵守甲方的工作时间, 不能影响甲方正常办公秩序。在重大活动和突击性工作中,甲方对服务人员可以直接指挥和调度。</w:t>
      </w:r>
    </w:p>
    <w:p w14:paraId="58F9AD8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6</w:t>
      </w:r>
      <w:r>
        <w:rPr>
          <w:rFonts w:hint="eastAsia" w:ascii="宋体" w:hAnsi="宋体" w:eastAsia="Arial" w:cs="宋体"/>
          <w:color w:val="auto"/>
          <w:sz w:val="24"/>
          <w:szCs w:val="24"/>
          <w:highlight w:val="none"/>
          <w:lang w:val="en-US" w:eastAsia="zh-CN"/>
        </w:rPr>
        <w:t>.2.18所有物管工作不受节假日、昼夜、天气、季节的影响，无条件服从甲方的作息时间和要求。</w:t>
      </w:r>
    </w:p>
    <w:p w14:paraId="340D0754">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9</w:t>
      </w:r>
      <w:r>
        <w:rPr>
          <w:rFonts w:hint="eastAsia" w:ascii="宋体" w:hAnsi="宋体" w:eastAsia="宋体" w:cs="宋体"/>
          <w:sz w:val="24"/>
          <w:szCs w:val="24"/>
        </w:rPr>
        <w:t>乙方管理人员进行如下服务活动时，对甲方造成的财产损失可不承担民事赔偿责任；</w:t>
      </w:r>
    </w:p>
    <w:p w14:paraId="7BE34FA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⑴为救助他人生命而造成的必要财产损失；</w:t>
      </w:r>
    </w:p>
    <w:p w14:paraId="4A5D7E7F">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⑵为避免甲方财产受损或可能受损而造成的必要财产损失（如失火又无人在内，为不使其造成巨大损失，物业管理者强行入内救助）；</w:t>
      </w:r>
    </w:p>
    <w:p w14:paraId="0F4C9B99">
      <w:pPr>
        <w:keepNext w:val="0"/>
        <w:keepLines w:val="0"/>
        <w:pageBreakBefore w:val="0"/>
        <w:widowControl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⑶为抓捕违法犯罪分子、制止不法侵害行为而造成的必要财产损失。</w:t>
      </w:r>
    </w:p>
    <w:p w14:paraId="5FADC47E">
      <w:pPr>
        <w:pStyle w:val="19"/>
        <w:keepNext w:val="0"/>
        <w:keepLines w:val="0"/>
        <w:pageBreakBefore w:val="0"/>
        <w:widowControl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sz w:val="24"/>
          <w:szCs w:val="24"/>
        </w:rPr>
      </w:pPr>
      <w:r>
        <w:rPr>
          <w:rFonts w:hint="eastAsia" w:hAnsi="宋体" w:eastAsia="宋体" w:cs="宋体"/>
          <w:b/>
          <w:sz w:val="24"/>
          <w:szCs w:val="24"/>
          <w:lang w:val="en-US" w:eastAsia="zh-CN"/>
        </w:rPr>
        <w:t>七</w:t>
      </w:r>
      <w:r>
        <w:rPr>
          <w:rFonts w:hint="eastAsia" w:ascii="宋体" w:hAnsi="宋体" w:eastAsia="宋体" w:cs="宋体"/>
          <w:b/>
          <w:sz w:val="24"/>
          <w:szCs w:val="24"/>
        </w:rPr>
        <w:t>、违约责任</w:t>
      </w:r>
    </w:p>
    <w:p w14:paraId="6E50531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000000"/>
          <w:sz w:val="24"/>
          <w:szCs w:val="24"/>
        </w:rPr>
      </w:pPr>
      <w:r>
        <w:rPr>
          <w:rFonts w:hint="eastAsia" w:cs="宋体"/>
          <w:color w:val="000000"/>
          <w:sz w:val="24"/>
          <w:szCs w:val="24"/>
          <w:lang w:val="en-US" w:eastAsia="zh-CN"/>
        </w:rPr>
        <w:t>7</w:t>
      </w:r>
      <w:r>
        <w:rPr>
          <w:rFonts w:hint="eastAsia" w:ascii="宋体" w:hAnsi="宋体" w:eastAsia="宋体" w:cs="宋体"/>
          <w:color w:val="000000"/>
          <w:sz w:val="24"/>
          <w:szCs w:val="24"/>
        </w:rPr>
        <w:t>.1 甲方不履行本合同约定的义务，乙方可要求甲方履行，由此造成的损失，甲方应承担相应的责任。</w:t>
      </w:r>
    </w:p>
    <w:p w14:paraId="59307ED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7</w:t>
      </w:r>
      <w:r>
        <w:rPr>
          <w:rFonts w:hint="eastAsia" w:ascii="宋体" w:hAnsi="宋体" w:eastAsia="宋体" w:cs="宋体"/>
          <w:sz w:val="24"/>
          <w:szCs w:val="24"/>
        </w:rPr>
        <w:t>.2乙方不服从甲方管理，甲方有权终止合同，乙方所交的履约保证金作违约金不予退还。</w:t>
      </w:r>
    </w:p>
    <w:p w14:paraId="3B9AB697">
      <w:pPr>
        <w:keepNext w:val="0"/>
        <w:keepLines w:val="0"/>
        <w:pageBreakBefore w:val="0"/>
        <w:widowControl w:val="0"/>
        <w:kinsoku/>
        <w:wordWrap/>
        <w:overflowPunct/>
        <w:topLinePunct w:val="0"/>
        <w:autoSpaceDE/>
        <w:autoSpaceDN/>
        <w:bidi w:val="0"/>
        <w:spacing w:line="440" w:lineRule="exact"/>
        <w:ind w:firstLine="360" w:firstLineChars="150"/>
        <w:textAlignment w:val="auto"/>
        <w:rPr>
          <w:rFonts w:hint="eastAsia" w:ascii="宋体" w:hAnsi="宋体" w:eastAsia="宋体" w:cs="宋体"/>
          <w:sz w:val="24"/>
          <w:szCs w:val="24"/>
        </w:rPr>
      </w:pPr>
      <w:r>
        <w:rPr>
          <w:rFonts w:hint="eastAsia" w:cs="宋体"/>
          <w:sz w:val="24"/>
          <w:szCs w:val="24"/>
          <w:lang w:val="en-US" w:eastAsia="zh-CN"/>
        </w:rPr>
        <w:t>7</w:t>
      </w:r>
      <w:r>
        <w:rPr>
          <w:rFonts w:hint="eastAsia" w:ascii="宋体" w:hAnsi="宋体" w:eastAsia="宋体" w:cs="宋体"/>
          <w:sz w:val="24"/>
          <w:szCs w:val="24"/>
        </w:rPr>
        <w:t>.3乙方擅自转包和分包的，甲方有权终止合同。同时乙方交的履约保证金作合同违约金不予退还。</w:t>
      </w:r>
    </w:p>
    <w:p w14:paraId="5D5FE89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sz w:val="24"/>
          <w:szCs w:val="24"/>
          <w:lang w:eastAsia="zh-CN"/>
        </w:rPr>
      </w:pPr>
      <w:r>
        <w:rPr>
          <w:rFonts w:hint="eastAsia" w:cs="宋体"/>
          <w:sz w:val="24"/>
          <w:szCs w:val="24"/>
          <w:lang w:val="en-US" w:eastAsia="zh-CN"/>
        </w:rPr>
        <w:t>7</w:t>
      </w:r>
      <w:r>
        <w:rPr>
          <w:rFonts w:hint="eastAsia" w:ascii="宋体" w:hAnsi="宋体" w:eastAsia="宋体" w:cs="宋体"/>
          <w:sz w:val="24"/>
          <w:szCs w:val="24"/>
        </w:rPr>
        <w:t>.4乙方在用工等方面如违反《劳动法》及相关规定，乙方承担由此造成的后果，甲方有权终止本合同。同时视乙方为违约，所交履约保证金作违约金不予退回</w:t>
      </w:r>
      <w:r>
        <w:rPr>
          <w:rFonts w:hint="eastAsia" w:cs="宋体"/>
          <w:sz w:val="24"/>
          <w:szCs w:val="24"/>
          <w:lang w:eastAsia="zh-CN"/>
        </w:rPr>
        <w:t>。</w:t>
      </w:r>
    </w:p>
    <w:p w14:paraId="08E7892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sz w:val="24"/>
          <w:szCs w:val="24"/>
          <w:lang w:val="en-US" w:eastAsia="zh-CN"/>
        </w:rPr>
      </w:pPr>
      <w:r>
        <w:rPr>
          <w:rFonts w:hint="eastAsia" w:cs="宋体"/>
          <w:color w:val="000000"/>
          <w:sz w:val="24"/>
          <w:szCs w:val="24"/>
          <w:lang w:val="en-US" w:eastAsia="zh-CN"/>
        </w:rPr>
        <w:t>7.5双方约定，在下列条件下所致的损害，可构成对乙方的免责事由：</w:t>
      </w:r>
    </w:p>
    <w:p w14:paraId="7C679A4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(1)因不可抗力而导致的中断服务或物业价值的贬损；</w:t>
      </w:r>
    </w:p>
    <w:p w14:paraId="62FC90A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(2)因物业本身固有的瑕疵造成的损害；</w:t>
      </w:r>
    </w:p>
    <w:p w14:paraId="3B384DB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(3)因维修、养护共用部位、共用设施设备需要而暂时停水、停电或停止共用设施设备的使用的(除排危抢险情形以外，乙方应事先通知甲方);</w:t>
      </w:r>
    </w:p>
    <w:p w14:paraId="194CEE5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(4)因政府有关部门原因而非乙方责任造成的供水、供电、供热、供冷、通 讯、有线电视及其他共用设施设备的故障和损失。</w:t>
      </w:r>
    </w:p>
    <w:p w14:paraId="058EF391">
      <w:pPr>
        <w:keepNext w:val="0"/>
        <w:keepLines w:val="0"/>
        <w:pageBreakBefore w:val="0"/>
        <w:widowControl w:val="0"/>
        <w:kinsoku/>
        <w:wordWrap/>
        <w:overflowPunct/>
        <w:topLinePunct w:val="0"/>
        <w:autoSpaceDE/>
        <w:autoSpaceDN/>
        <w:bidi w:val="0"/>
        <w:adjustRightInd w:val="0"/>
        <w:snapToGrid w:val="0"/>
        <w:spacing w:line="440" w:lineRule="exact"/>
        <w:ind w:firstLine="504" w:firstLineChars="200"/>
        <w:textAlignment w:val="auto"/>
        <w:rPr>
          <w:rFonts w:hint="eastAsia" w:ascii="宋体" w:hAnsi="宋体" w:eastAsia="宋体" w:cs="宋体"/>
          <w:spacing w:val="5"/>
          <w:sz w:val="24"/>
          <w:szCs w:val="24"/>
        </w:rPr>
      </w:pPr>
      <w:r>
        <w:rPr>
          <w:rFonts w:hint="eastAsia" w:cs="宋体"/>
          <w:spacing w:val="6"/>
          <w:sz w:val="24"/>
          <w:szCs w:val="24"/>
          <w:lang w:val="en-US" w:eastAsia="zh-CN"/>
        </w:rPr>
        <w:t>7</w:t>
      </w:r>
      <w:r>
        <w:rPr>
          <w:rFonts w:hint="eastAsia" w:ascii="宋体" w:hAnsi="宋体" w:eastAsia="宋体" w:cs="宋体"/>
          <w:spacing w:val="6"/>
          <w:sz w:val="24"/>
          <w:szCs w:val="24"/>
        </w:rPr>
        <w:t>.</w:t>
      </w:r>
      <w:r>
        <w:rPr>
          <w:rFonts w:hint="eastAsia" w:ascii="宋体" w:hAnsi="宋体" w:eastAsia="宋体" w:cs="宋体"/>
          <w:spacing w:val="6"/>
          <w:sz w:val="24"/>
          <w:szCs w:val="24"/>
          <w:lang w:val="en-US" w:eastAsia="zh-CN"/>
        </w:rPr>
        <w:t>6</w:t>
      </w:r>
      <w:r>
        <w:rPr>
          <w:rFonts w:hint="eastAsia" w:ascii="宋体" w:hAnsi="宋体" w:eastAsia="宋体" w:cs="宋体"/>
          <w:spacing w:val="6"/>
          <w:sz w:val="24"/>
          <w:szCs w:val="24"/>
        </w:rPr>
        <w:t>甲乙双方均应严格履行合同的约定，若任何一方导致合同不能正常履行</w:t>
      </w:r>
      <w:r>
        <w:rPr>
          <w:rFonts w:hint="eastAsia" w:ascii="宋体" w:hAnsi="宋体" w:eastAsia="宋体" w:cs="宋体"/>
          <w:spacing w:val="11"/>
          <w:sz w:val="24"/>
          <w:szCs w:val="24"/>
        </w:rPr>
        <w:t xml:space="preserve"> </w:t>
      </w:r>
      <w:r>
        <w:rPr>
          <w:rFonts w:hint="eastAsia" w:ascii="宋体" w:hAnsi="宋体" w:eastAsia="宋体" w:cs="宋体"/>
          <w:spacing w:val="9"/>
          <w:sz w:val="24"/>
          <w:szCs w:val="24"/>
        </w:rPr>
        <w:t>或无故单方解除合同，则应承</w:t>
      </w:r>
      <w:r>
        <w:rPr>
          <w:rFonts w:hint="eastAsia" w:ascii="宋体" w:hAnsi="宋体" w:eastAsia="宋体" w:cs="宋体"/>
          <w:spacing w:val="9"/>
          <w:sz w:val="24"/>
          <w:szCs w:val="24"/>
          <w:u w:val="single" w:color="auto"/>
        </w:rPr>
        <w:t>担</w:t>
      </w:r>
      <w:r>
        <w:rPr>
          <w:rFonts w:hint="eastAsia" w:ascii="宋体" w:hAnsi="宋体" w:eastAsia="宋体" w:cs="宋体"/>
          <w:spacing w:val="-32"/>
          <w:sz w:val="24"/>
          <w:szCs w:val="24"/>
          <w:u w:val="single" w:color="auto"/>
        </w:rPr>
        <w:t xml:space="preserve"> </w:t>
      </w:r>
      <w:r>
        <w:rPr>
          <w:rFonts w:hint="eastAsia" w:ascii="宋体" w:hAnsi="宋体" w:eastAsia="宋体" w:cs="宋体"/>
          <w:spacing w:val="9"/>
          <w:sz w:val="24"/>
          <w:szCs w:val="24"/>
          <w:u w:val="single" w:color="auto"/>
        </w:rPr>
        <w:t>贰</w:t>
      </w:r>
      <w:r>
        <w:rPr>
          <w:rFonts w:hint="eastAsia" w:ascii="宋体" w:hAnsi="宋体" w:eastAsia="宋体" w:cs="宋体"/>
          <w:spacing w:val="-33"/>
          <w:sz w:val="24"/>
          <w:szCs w:val="24"/>
          <w:u w:val="single" w:color="auto"/>
        </w:rPr>
        <w:t xml:space="preserve"> </w:t>
      </w:r>
      <w:r>
        <w:rPr>
          <w:rFonts w:hint="eastAsia" w:ascii="宋体" w:hAnsi="宋体" w:eastAsia="宋体" w:cs="宋体"/>
          <w:spacing w:val="9"/>
          <w:sz w:val="24"/>
          <w:szCs w:val="24"/>
          <w:u w:val="single" w:color="auto"/>
        </w:rPr>
        <w:t>万</w:t>
      </w:r>
      <w:r>
        <w:rPr>
          <w:rFonts w:hint="eastAsia" w:ascii="宋体" w:hAnsi="宋体" w:eastAsia="宋体" w:cs="宋体"/>
          <w:spacing w:val="9"/>
          <w:sz w:val="24"/>
          <w:szCs w:val="24"/>
        </w:rPr>
        <w:t>元整(¥</w:t>
      </w:r>
      <w:r>
        <w:rPr>
          <w:rFonts w:hint="eastAsia" w:ascii="宋体" w:hAnsi="宋体" w:eastAsia="宋体" w:cs="宋体"/>
          <w:spacing w:val="9"/>
          <w:sz w:val="24"/>
          <w:szCs w:val="24"/>
          <w:u w:val="single" w:color="auto"/>
        </w:rPr>
        <w:t>20000</w:t>
      </w:r>
      <w:r>
        <w:rPr>
          <w:rFonts w:hint="eastAsia" w:ascii="宋体" w:hAnsi="宋体" w:eastAsia="宋体" w:cs="宋体"/>
          <w:spacing w:val="9"/>
          <w:sz w:val="24"/>
          <w:szCs w:val="24"/>
          <w:u w:val="single" w:color="auto"/>
          <w:lang w:val="en-US" w:eastAsia="zh-CN"/>
        </w:rPr>
        <w:t>元</w:t>
      </w:r>
      <w:r>
        <w:rPr>
          <w:rFonts w:hint="eastAsia" w:ascii="宋体" w:hAnsi="宋体" w:eastAsia="宋体" w:cs="宋体"/>
          <w:spacing w:val="9"/>
          <w:sz w:val="24"/>
          <w:szCs w:val="24"/>
        </w:rPr>
        <w:t>)人民币违约金和由此造</w:t>
      </w:r>
      <w:r>
        <w:rPr>
          <w:rFonts w:hint="eastAsia" w:ascii="宋体" w:hAnsi="宋体" w:eastAsia="宋体" w:cs="宋体"/>
          <w:spacing w:val="5"/>
          <w:sz w:val="24"/>
          <w:szCs w:val="24"/>
        </w:rPr>
        <w:t>成的后果，给对方造成的损失，应赔偿相应损失。</w:t>
      </w:r>
    </w:p>
    <w:p w14:paraId="6B05EAB0">
      <w:pPr>
        <w:pStyle w:val="36"/>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cs="宋体"/>
          <w:b/>
          <w:color w:val="auto"/>
          <w:sz w:val="24"/>
          <w:szCs w:val="24"/>
          <w:highlight w:val="none"/>
          <w:lang w:val="en-US" w:eastAsia="zh-CN"/>
        </w:rPr>
        <w:t>八</w:t>
      </w:r>
      <w:r>
        <w:rPr>
          <w:rFonts w:hint="eastAsia" w:ascii="宋体" w:hAnsi="宋体" w:eastAsia="宋体" w:cs="宋体"/>
          <w:b/>
          <w:color w:val="auto"/>
          <w:sz w:val="24"/>
          <w:szCs w:val="24"/>
          <w:highlight w:val="none"/>
        </w:rPr>
        <w:t>、税费</w:t>
      </w:r>
    </w:p>
    <w:p w14:paraId="346B084F">
      <w:pPr>
        <w:pStyle w:val="36"/>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40B334F2">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 考核标准及履约办法</w:t>
      </w:r>
    </w:p>
    <w:p w14:paraId="3FFEB622">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甲方根据《考核办法》对乙方进行考核，乙方如在服务过程中管理指标未达到承诺标准，且一年中连续有两个月考核不合格或累计三个月考核不合格，则甲方有权单方面解除本合同，</w:t>
      </w:r>
      <w:r>
        <w:rPr>
          <w:rFonts w:hint="eastAsia" w:ascii="宋体" w:hAnsi="宋体" w:eastAsia="宋体" w:cs="宋体"/>
          <w:color w:val="auto"/>
          <w:sz w:val="24"/>
          <w:szCs w:val="24"/>
          <w:highlight w:val="none"/>
          <w:lang w:val="en-US" w:eastAsia="zh-CN"/>
        </w:rPr>
        <w:t>并扣除履约保证金</w:t>
      </w:r>
      <w:r>
        <w:rPr>
          <w:rFonts w:hint="eastAsia" w:ascii="宋体" w:hAnsi="宋体" w:eastAsia="宋体" w:cs="宋体"/>
          <w:b/>
          <w:bCs/>
          <w:color w:val="auto"/>
          <w:sz w:val="24"/>
          <w:szCs w:val="24"/>
          <w:highlight w:val="none"/>
          <w:lang w:eastAsia="zh-CN"/>
        </w:rPr>
        <w:t>（考核办法详见本合同附件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合同期满后，如未因故扣除履约保证金，在双方完成交接后甲方无息退还履约保证金。</w:t>
      </w:r>
    </w:p>
    <w:p w14:paraId="4226BB93">
      <w:pPr>
        <w:pStyle w:val="19"/>
        <w:keepNext w:val="0"/>
        <w:keepLines w:val="0"/>
        <w:pageBreakBefore w:val="0"/>
        <w:widowControl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十、不可抗力事件处理</w:t>
      </w:r>
    </w:p>
    <w:p w14:paraId="6B2C65F2">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0</w:t>
      </w:r>
      <w:r>
        <w:rPr>
          <w:rFonts w:hint="eastAsia" w:ascii="宋体" w:hAnsi="宋体" w:eastAsia="宋体" w:cs="宋体"/>
          <w:sz w:val="24"/>
          <w:szCs w:val="24"/>
        </w:rPr>
        <w:t>.1 在合同有效期内，任何一方因不可抗力事件导致不能履行合同，则合同履行期可延长，其延长期与不可抗力影响期相同。</w:t>
      </w:r>
    </w:p>
    <w:p w14:paraId="5DAF24A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0</w:t>
      </w:r>
      <w:r>
        <w:rPr>
          <w:rFonts w:hint="eastAsia" w:ascii="宋体" w:hAnsi="宋体" w:eastAsia="宋体" w:cs="宋体"/>
          <w:sz w:val="24"/>
          <w:szCs w:val="24"/>
        </w:rPr>
        <w:t>.2 不可抗力事件发生后，应立即通知对方，并寄送有关权威机构出具的证明，乙方必须按甲方要求撤场，甲方不再支付服务费。</w:t>
      </w:r>
    </w:p>
    <w:p w14:paraId="49CE25C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0</w:t>
      </w:r>
      <w:r>
        <w:rPr>
          <w:rFonts w:hint="eastAsia" w:ascii="宋体" w:hAnsi="宋体" w:eastAsia="宋体" w:cs="宋体"/>
          <w:sz w:val="24"/>
          <w:szCs w:val="24"/>
        </w:rPr>
        <w:t>.3 不可抗力事件延续120天以上，双方应通过友好协商，确定是否继续履行合同。</w:t>
      </w:r>
    </w:p>
    <w:p w14:paraId="30F48FC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、其它事项</w:t>
      </w:r>
    </w:p>
    <w:p w14:paraId="634113A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.1双方可对本合同的条款进行修订更改或补充，以书面签订补充协议，补充协议与本合同具有同等效力。</w:t>
      </w:r>
    </w:p>
    <w:p w14:paraId="6AB6210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.2合同规定的管理期满，本合同自然终止。</w:t>
      </w:r>
      <w:r>
        <w:rPr>
          <w:rFonts w:hint="eastAsia" w:ascii="宋体" w:hAnsi="宋体" w:eastAsia="宋体" w:cs="宋体"/>
          <w:color w:val="auto"/>
          <w:sz w:val="24"/>
          <w:szCs w:val="24"/>
          <w:highlight w:val="none"/>
          <w:lang w:val="zh-CN" w:eastAsia="zh-CN"/>
        </w:rPr>
        <w:t>合同期满经甲方验收合格</w:t>
      </w:r>
      <w:r>
        <w:rPr>
          <w:rFonts w:hint="eastAsia" w:ascii="宋体" w:hAnsi="宋体" w:eastAsia="宋体" w:cs="宋体"/>
          <w:color w:val="auto"/>
          <w:sz w:val="24"/>
          <w:szCs w:val="24"/>
          <w:highlight w:val="none"/>
          <w:lang w:val="en-US" w:eastAsia="zh-CN"/>
        </w:rPr>
        <w:t>并完成与后续物业管理服务</w:t>
      </w:r>
      <w:r>
        <w:rPr>
          <w:rFonts w:hint="eastAsia" w:ascii="宋体" w:hAnsi="宋体" w:eastAsia="宋体" w:cs="宋体"/>
          <w:color w:val="auto"/>
          <w:sz w:val="24"/>
          <w:szCs w:val="24"/>
          <w:highlight w:val="none"/>
          <w:lang w:val="zh-CN" w:eastAsia="zh-CN"/>
        </w:rPr>
        <w:t>企业的衔接后，方可退出，同时退还履约保证金（</w:t>
      </w:r>
      <w:r>
        <w:rPr>
          <w:rFonts w:hint="eastAsia" w:ascii="宋体" w:hAnsi="宋体" w:eastAsia="宋体" w:cs="宋体"/>
          <w:color w:val="auto"/>
          <w:sz w:val="24"/>
          <w:szCs w:val="24"/>
          <w:highlight w:val="none"/>
          <w:lang w:val="en-US" w:eastAsia="zh-CN"/>
        </w:rPr>
        <w:t>退出本物业管理时必须向甲方移交全套档案等资料</w:t>
      </w:r>
      <w:r>
        <w:rPr>
          <w:rFonts w:hint="eastAsia" w:ascii="宋体" w:hAnsi="宋体" w:eastAsia="宋体" w:cs="宋体"/>
          <w:color w:val="auto"/>
          <w:sz w:val="24"/>
          <w:szCs w:val="24"/>
          <w:highlight w:val="none"/>
          <w:lang w:val="zh-CN" w:eastAsia="zh-CN"/>
        </w:rPr>
        <w:t>）。</w:t>
      </w:r>
    </w:p>
    <w:p w14:paraId="2EDA922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.3物业服务合同签订后，乙方须与前一轮物业管理服务企业之间应当做好交接工作。合同终止时，乙方须与后续物业管理服务企业之间应当做好交接工作。</w:t>
      </w:r>
    </w:p>
    <w:p w14:paraId="1D4CC6B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.4在履行合同中发生纠纷，双方应协商解决。协商不成时，双方均有权向甲方所在地人民法院提起诉讼，因此而产生的包括但不限于诉讼费、律师费、保 全申请费、保全保险费用、交通费等均由败诉方承担。除诉争事项外，合同中的其他内容仍需履行。</w:t>
      </w:r>
    </w:p>
    <w:p w14:paraId="156206F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.5合同未尽事宜，按《中华人民共和国民法典》和国家其他相关法律法规的有关规定由甲、乙双方协商解决。</w:t>
      </w:r>
    </w:p>
    <w:p w14:paraId="6D499E8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.6本合同连同附件共  页，一式陆份，甲方执肆份，乙方执贰份，自签订之日起生效。</w:t>
      </w:r>
    </w:p>
    <w:p w14:paraId="248C471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附件1：物业服务安全协议</w:t>
      </w:r>
    </w:p>
    <w:p w14:paraId="207C9F1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附件2：考核办法</w:t>
      </w:r>
    </w:p>
    <w:p w14:paraId="27E9613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p>
    <w:p w14:paraId="3228350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p>
    <w:p w14:paraId="239CB5B6">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甲方（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乙方（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xml:space="preserve">）:     </w:t>
      </w:r>
    </w:p>
    <w:p w14:paraId="6801E4C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法定代表人：                      法定代表人：</w:t>
      </w:r>
    </w:p>
    <w:p w14:paraId="327A5E7C">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或委托代理人（签字或盖章）：      或委托代理人（签字或盖章）：</w:t>
      </w:r>
    </w:p>
    <w:p w14:paraId="12C9F81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 </w:t>
      </w:r>
    </w:p>
    <w:p w14:paraId="101B0AE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电话号码：                        电话号码： </w:t>
      </w:r>
    </w:p>
    <w:p w14:paraId="69D3B9A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签订日期：                        签订日期：</w:t>
      </w:r>
    </w:p>
    <w:p w14:paraId="3490EE26">
      <w:pPr>
        <w:pStyle w:val="286"/>
        <w:ind w:firstLine="1440"/>
        <w:rPr>
          <w:rFonts w:hint="eastAsia" w:ascii="宋体" w:hAnsi="宋体"/>
          <w:bCs/>
          <w:color w:val="auto"/>
          <w:sz w:val="24"/>
          <w:highlight w:val="none"/>
        </w:rPr>
      </w:pPr>
    </w:p>
    <w:p w14:paraId="28065401">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AE4B45F">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F7DA4BB">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2018D6FC">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103DCB8">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E5CE720">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C089234">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194C58D8">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1D8C31EA">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94D16B4">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37DB9D1">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6AA5A3F0">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6E10D1E">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3781C31">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2F2B0EEA">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150FE072">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7618A4E">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3B7F25A">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38A323D6">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686E8798">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BCBA1DE">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25E1C463">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7CF169BC">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D1175C1">
      <w:pPr>
        <w:keepNext w:val="0"/>
        <w:keepLines w:val="0"/>
        <w:pageBreakBefore w:val="0"/>
        <w:widowControl w:val="0"/>
        <w:spacing w:line="440" w:lineRule="exact"/>
        <w:ind w:left="0" w:firstLine="0"/>
        <w:jc w:val="left"/>
        <w:rPr>
          <w:rFonts w:hint="eastAsia" w:ascii="方正小标宋_GBK" w:hAnsi="方正小标宋_GBK" w:eastAsia="方正小标宋_GBK" w:cs="方正小标宋_GBK"/>
          <w:color w:val="auto"/>
          <w:sz w:val="32"/>
          <w:szCs w:val="32"/>
          <w:highlight w:val="none"/>
        </w:rPr>
      </w:pPr>
      <w:r>
        <w:rPr>
          <w:rFonts w:hint="eastAsia" w:ascii="宋体" w:hAnsi="宋体" w:eastAsia="Arial" w:cs="宋体"/>
          <w:color w:val="auto"/>
          <w:sz w:val="24"/>
          <w:szCs w:val="24"/>
          <w:highlight w:val="none"/>
          <w:lang w:val="en-US" w:eastAsia="zh-CN"/>
        </w:rPr>
        <w:t>附件1：物业服务安全协议</w:t>
      </w:r>
    </w:p>
    <w:p w14:paraId="5DE372BB">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物业服务安全协议</w:t>
      </w:r>
    </w:p>
    <w:p w14:paraId="33928A3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委托单位：</w:t>
      </w:r>
      <w:r>
        <w:rPr>
          <w:rFonts w:hint="eastAsia" w:eastAsia="Arial" w:cs="宋体"/>
          <w:color w:val="auto"/>
          <w:sz w:val="24"/>
          <w:szCs w:val="24"/>
          <w:highlight w:val="none"/>
          <w:u w:val="single"/>
          <w:lang w:val="en-US" w:eastAsia="zh-CN"/>
        </w:rPr>
        <w:t>盐城市亭湖区东亭湖街道社区卫生服务中心</w:t>
      </w:r>
      <w:r>
        <w:rPr>
          <w:rFonts w:hint="eastAsia" w:ascii="宋体" w:hAnsi="宋体" w:eastAsia="Arial" w:cs="宋体"/>
          <w:color w:val="auto"/>
          <w:sz w:val="24"/>
          <w:szCs w:val="24"/>
          <w:highlight w:val="none"/>
          <w:u w:val="single"/>
          <w:lang w:val="en-US" w:eastAsia="zh-CN"/>
        </w:rPr>
        <w:t xml:space="preserve"> </w:t>
      </w:r>
      <w:r>
        <w:rPr>
          <w:rFonts w:hint="eastAsia" w:ascii="宋体" w:hAnsi="宋体" w:eastAsia="Arial" w:cs="宋体"/>
          <w:color w:val="auto"/>
          <w:sz w:val="24"/>
          <w:szCs w:val="24"/>
          <w:highlight w:val="none"/>
          <w:lang w:val="en-US" w:eastAsia="zh-CN"/>
        </w:rPr>
        <w:t xml:space="preserve"> （以下简称甲方）</w:t>
      </w:r>
    </w:p>
    <w:p w14:paraId="03B7F7C0">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受托单位：</w:t>
      </w:r>
      <w:r>
        <w:rPr>
          <w:rFonts w:hint="eastAsia" w:ascii="宋体" w:hAnsi="宋体" w:eastAsia="Arial" w:cs="宋体"/>
          <w:color w:val="auto"/>
          <w:sz w:val="24"/>
          <w:szCs w:val="24"/>
          <w:highlight w:val="none"/>
          <w:u w:val="single"/>
          <w:lang w:val="en-US" w:eastAsia="zh-CN"/>
        </w:rPr>
        <w:t xml:space="preserve">                   </w:t>
      </w:r>
      <w:r>
        <w:rPr>
          <w:rFonts w:hint="eastAsia" w:ascii="宋体" w:hAnsi="宋体" w:eastAsia="Arial" w:cs="宋体"/>
          <w:color w:val="auto"/>
          <w:sz w:val="24"/>
          <w:szCs w:val="24"/>
          <w:highlight w:val="none"/>
          <w:lang w:val="en-US" w:eastAsia="zh-CN"/>
        </w:rPr>
        <w:t xml:space="preserve"> （以下简称乙方）</w:t>
      </w:r>
    </w:p>
    <w:p w14:paraId="05B1CA8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p>
    <w:p w14:paraId="4D3C3D81">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一、服务范围</w:t>
      </w:r>
    </w:p>
    <w:p w14:paraId="3FCE8316">
      <w:pPr>
        <w:widowControl/>
        <w:spacing w:line="520" w:lineRule="exact"/>
        <w:ind w:firstLine="480"/>
        <w:rPr>
          <w:rFonts w:hint="eastAsia" w:cs="宋体" w:eastAsiaTheme="minorEastAsia"/>
          <w:color w:val="auto"/>
          <w:sz w:val="24"/>
          <w:szCs w:val="20"/>
          <w:highlight w:val="none"/>
          <w:lang w:val="zh-CN" w:eastAsia="zh-CN"/>
        </w:rPr>
      </w:pPr>
      <w:r>
        <w:rPr>
          <w:rFonts w:hint="eastAsia" w:cs="宋体" w:eastAsiaTheme="minorEastAsia"/>
          <w:color w:val="auto"/>
          <w:sz w:val="24"/>
          <w:szCs w:val="20"/>
          <w:highlight w:val="none"/>
          <w:lang w:val="zh-CN" w:eastAsia="zh-CN"/>
        </w:rPr>
        <w:t>盐城市亭湖区东亭湖街道社区卫生服务中心物业服务项目，包括</w:t>
      </w:r>
      <w:r>
        <w:rPr>
          <w:rFonts w:hint="eastAsia" w:cs="宋体" w:eastAsiaTheme="minorEastAsia"/>
          <w:color w:val="auto"/>
          <w:sz w:val="24"/>
          <w:szCs w:val="20"/>
          <w:highlight w:val="none"/>
          <w:lang w:val="en-US" w:eastAsia="zh-CN"/>
        </w:rPr>
        <w:t>但不限于</w:t>
      </w:r>
      <w:r>
        <w:rPr>
          <w:rFonts w:hint="eastAsia" w:ascii="宋体" w:hAnsi="宋体" w:eastAsia="宋体" w:cs="宋体"/>
          <w:color w:val="auto"/>
          <w:sz w:val="24"/>
          <w:szCs w:val="20"/>
          <w:highlight w:val="none"/>
          <w:lang w:val="en-US" w:eastAsia="zh-CN"/>
        </w:rPr>
        <w:t>中心区域内的公共安全巡逻防范、门前三包、门口及院内车辆秩序管理、消防安全、卫生保洁、被服洗涤、医疗废弃物管理、病区保管、绿化养护及管理等，甲方保留对服务范围及内容进行适当调整的权利。</w:t>
      </w:r>
    </w:p>
    <w:p w14:paraId="2DE3284E">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二、协议期限</w:t>
      </w:r>
    </w:p>
    <w:p w14:paraId="5BB7E788">
      <w:pPr>
        <w:widowControl/>
        <w:spacing w:line="520" w:lineRule="exact"/>
        <w:ind w:firstLine="480"/>
        <w:rPr>
          <w:rFonts w:hint="eastAsia"/>
          <w:color w:val="auto"/>
          <w:sz w:val="21"/>
          <w:szCs w:val="21"/>
          <w:highlight w:val="none"/>
        </w:rPr>
      </w:pPr>
      <w:r>
        <w:rPr>
          <w:rFonts w:hint="eastAsia" w:ascii="宋体" w:hAnsi="宋体" w:eastAsia="Arial" w:cs="宋体"/>
          <w:color w:val="auto"/>
          <w:sz w:val="24"/>
          <w:szCs w:val="24"/>
          <w:highlight w:val="none"/>
          <w:lang w:val="en-US" w:eastAsia="zh-CN"/>
        </w:rPr>
        <w:t>本协议期限为</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一</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lang w:eastAsia="zh-CN"/>
        </w:rPr>
        <w:t>，</w:t>
      </w:r>
      <w:r>
        <w:rPr>
          <w:rFonts w:hint="eastAsia"/>
          <w:color w:val="auto"/>
          <w:sz w:val="24"/>
          <w:szCs w:val="24"/>
          <w:highlight w:val="none"/>
        </w:rPr>
        <w:t>自</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日起至</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日止。</w:t>
      </w:r>
    </w:p>
    <w:p w14:paraId="1E0F3908">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三、甲方权利及安全责任</w:t>
      </w:r>
    </w:p>
    <w:p w14:paraId="0920FBC3">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1、与乙方议定年度管理计划、费用概预算、决算报告。</w:t>
      </w:r>
    </w:p>
    <w:p w14:paraId="5C79FD0F">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2、对乙方的管理实施监督检查，每月全面进行一次考核评定，如因乙方管理不善，造成重大经济损失或管理失误，有权终止合同。</w:t>
      </w:r>
    </w:p>
    <w:p w14:paraId="2AD106E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3、甲方有权对乙方的安全管理工作及质量进行监督，若发现问题及时告知乙方，并有权要求乙方改善，达到甲方标准。</w:t>
      </w:r>
    </w:p>
    <w:p w14:paraId="31998018">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4、甲方有权监督乙方员工的工作，可以要求乙方随时更换，由此产生的责任甲方可要求进行赔偿。</w:t>
      </w:r>
    </w:p>
    <w:p w14:paraId="3957702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5、甲方应向乙方提供要求所需的非管理有关资料，支持乙方工作。</w:t>
      </w:r>
    </w:p>
    <w:p w14:paraId="4C3B36BB">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6、甲方依据实际情况向乙方无偿提供安全有效的取水、用电资源。</w:t>
      </w:r>
    </w:p>
    <w:p w14:paraId="61DCA67F">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7、甲方有义务教育乙方员工遵守现场安全管理要求，服从有关管理，共同安全环境。</w:t>
      </w:r>
    </w:p>
    <w:p w14:paraId="084F196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8、甲方允许乙方使用乙方公司的工作证件在甲方项目现场</w:t>
      </w:r>
      <w:r>
        <w:rPr>
          <w:rFonts w:hint="eastAsia" w:eastAsia="Arial" w:cs="宋体"/>
          <w:color w:val="auto"/>
          <w:sz w:val="24"/>
          <w:szCs w:val="24"/>
          <w:highlight w:val="none"/>
          <w:lang w:val="en-US" w:eastAsia="zh-CN"/>
        </w:rPr>
        <w:t>佩</w:t>
      </w:r>
      <w:r>
        <w:rPr>
          <w:rFonts w:hint="eastAsia" w:ascii="宋体" w:hAnsi="宋体" w:eastAsia="Arial" w:cs="宋体"/>
          <w:color w:val="auto"/>
          <w:sz w:val="24"/>
          <w:szCs w:val="24"/>
          <w:highlight w:val="none"/>
          <w:lang w:val="en-US" w:eastAsia="zh-CN"/>
        </w:rPr>
        <w:t>戴使用。</w:t>
      </w:r>
    </w:p>
    <w:p w14:paraId="355AA91A">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9、法规政策规定由甲方承担的其他责任。</w:t>
      </w:r>
    </w:p>
    <w:p w14:paraId="4536A10F">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四、乙方权利及安全责任</w:t>
      </w:r>
    </w:p>
    <w:p w14:paraId="1EC86EAC">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p>
    <w:p w14:paraId="779EE025">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3、未经甲方书面同意，乙方不得将本合约议定项目直接或者间接方式转包或者分包给第三方及其他个人。</w:t>
      </w:r>
    </w:p>
    <w:p w14:paraId="0E84822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4、接受主管部门及有关部门的监督、指导，并接受甲方的监督。</w:t>
      </w:r>
    </w:p>
    <w:p w14:paraId="64CC41C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5、乙方有义务按照本协议书约定的工作范围和执行标准，遵照甲方规定时限，保质保量完成工作任务。</w:t>
      </w:r>
    </w:p>
    <w:p w14:paraId="0F58BA0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6、乙方保证有安全管理队伍负责承揽的安全管理工作项目（包含管理人员、轮换休假人员），必须保证甲方提出的安全管理任务。乙方须向甲方提供有关《人员编制表》、《岗位责任制度》及其他管理制度。</w:t>
      </w:r>
    </w:p>
    <w:p w14:paraId="23DE3BF3">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7、乙方有责任按照本协议书约定工作内容提供必要的人力和安全管理需要的装备。</w:t>
      </w:r>
    </w:p>
    <w:p w14:paraId="5260D6B9">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8、乙方必须做好物业管理区域内的安全防范工作。发生安全事故时，乙方在采取应急措施的同时，应当及时向甲方有关行政管理部门报告，协助做好救助工作。</w:t>
      </w:r>
    </w:p>
    <w:p w14:paraId="1D84D077">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9、乙方有义务接受甲方的工作监督和检查。乙方所有员工禁止在甲方范围内吸烟、打牌及赌博、严禁饮酒。</w:t>
      </w:r>
    </w:p>
    <w:p w14:paraId="28ECAA92">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10、乙方员工在工作期间,若因乙方管理的过失造成的甲方人员伤亡、财产损失和乙方人员伤亡、财产损失均由乙方负责。</w:t>
      </w:r>
    </w:p>
    <w:p w14:paraId="4EFA097C">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11、乙方员工在做好安全管理服务的同时，必须遵守甲方有关的管理制度，严守甲方、病人保密制度，配合维护好甲方的整体形象。</w:t>
      </w:r>
    </w:p>
    <w:p w14:paraId="45BEAEA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12、建立本物业的物业管理档案并负责及时记载有关变更情况。</w:t>
      </w:r>
    </w:p>
    <w:p w14:paraId="42BFDEB2">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13、乙方需按照</w:t>
      </w:r>
      <w:r>
        <w:rPr>
          <w:rFonts w:hint="eastAsia" w:eastAsia="Arial" w:cs="宋体"/>
          <w:color w:val="auto"/>
          <w:sz w:val="24"/>
          <w:szCs w:val="24"/>
          <w:highlight w:val="none"/>
          <w:lang w:val="en-US" w:eastAsia="zh-CN"/>
        </w:rPr>
        <w:t>相关法律</w:t>
      </w:r>
      <w:r>
        <w:rPr>
          <w:rFonts w:hint="eastAsia" w:ascii="宋体" w:hAnsi="宋体" w:eastAsia="Arial" w:cs="宋体"/>
          <w:color w:val="auto"/>
          <w:sz w:val="24"/>
          <w:szCs w:val="24"/>
          <w:highlight w:val="none"/>
          <w:lang w:val="en-US" w:eastAsia="zh-CN"/>
        </w:rPr>
        <w:t>法规</w:t>
      </w:r>
      <w:r>
        <w:rPr>
          <w:rFonts w:hint="eastAsia" w:eastAsia="Arial" w:cs="宋体"/>
          <w:color w:val="auto"/>
          <w:sz w:val="24"/>
          <w:szCs w:val="24"/>
          <w:highlight w:val="none"/>
          <w:lang w:val="en-US" w:eastAsia="zh-CN"/>
        </w:rPr>
        <w:t>的规定</w:t>
      </w:r>
      <w:r>
        <w:rPr>
          <w:rFonts w:hint="eastAsia" w:ascii="宋体" w:hAnsi="宋体" w:eastAsia="Arial" w:cs="宋体"/>
          <w:color w:val="auto"/>
          <w:sz w:val="24"/>
          <w:szCs w:val="24"/>
          <w:highlight w:val="none"/>
          <w:lang w:val="en-US" w:eastAsia="zh-CN"/>
        </w:rPr>
        <w:t>，为员工办理有关劳动雇佣手续和劳动保障手续及相关劳动保险。</w:t>
      </w:r>
    </w:p>
    <w:p w14:paraId="785A6D3C">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五、违约责任</w:t>
      </w:r>
    </w:p>
    <w:p w14:paraId="01C2109B">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如乙方违反安全生产规定，造成甲方未完成规定管理目标或直接造成甲方经济损失的，乙方应给予甲方全额赔偿。甲方有权要求乙方限期整改，如在限期内不整改的，超时一天罚款1000元，并且甲方有权终止合同。</w:t>
      </w:r>
    </w:p>
    <w:p w14:paraId="2B52A16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2、因乙方管理不善或宣布或被地方法院判定破产，本合同自动终止，双方不承担对方任何经济纠纷。</w:t>
      </w:r>
    </w:p>
    <w:p w14:paraId="1025D433">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六、工作联系和保密制度</w:t>
      </w:r>
    </w:p>
    <w:p w14:paraId="0A14048E">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1、甲、乙双方应建立工作联系制度，相互通报管理组织架构，每季度不少于一次召开工作联系会议,洽商和协调处理有关安全管理及日常管理工作。</w:t>
      </w:r>
    </w:p>
    <w:p w14:paraId="561A75A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2、乙方派驻管理人员变更应提前1个月以书面形式告知对方，并确认相关派驻管理人员紧急联络方式。</w:t>
      </w:r>
    </w:p>
    <w:p w14:paraId="5E60DEFB">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3、甲、乙双方工作衔接均以书面形式进行，并由双方全权派驻代表签署意见。</w:t>
      </w:r>
    </w:p>
    <w:p w14:paraId="1E23BCF4">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七、其他事项</w:t>
      </w:r>
    </w:p>
    <w:p w14:paraId="51445E8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1、双方可对本协议的条款进行修订更改或补充，以书面签订补充协议，补充协议与本协议具有同等效力。</w:t>
      </w:r>
    </w:p>
    <w:p w14:paraId="19C4B0E3">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2、协议规定的管理期满，本合同自然终止。</w:t>
      </w:r>
      <w:r>
        <w:rPr>
          <w:rFonts w:hint="eastAsia" w:ascii="宋体" w:hAnsi="宋体" w:eastAsia="Arial" w:cs="宋体"/>
          <w:color w:val="auto"/>
          <w:sz w:val="24"/>
          <w:szCs w:val="24"/>
          <w:highlight w:val="none"/>
          <w:lang w:val="zh-CN" w:eastAsia="zh-CN"/>
        </w:rPr>
        <w:t>协议期满</w:t>
      </w:r>
      <w:r>
        <w:rPr>
          <w:rFonts w:hint="eastAsia" w:ascii="宋体" w:hAnsi="宋体" w:eastAsia="Arial" w:cs="宋体"/>
          <w:color w:val="auto"/>
          <w:sz w:val="24"/>
          <w:szCs w:val="24"/>
          <w:highlight w:val="none"/>
          <w:lang w:val="en-US" w:eastAsia="zh-CN"/>
        </w:rPr>
        <w:t>并完成与后续物业服务</w:t>
      </w:r>
      <w:r>
        <w:rPr>
          <w:rFonts w:hint="eastAsia" w:ascii="宋体" w:hAnsi="宋体" w:eastAsia="Arial" w:cs="宋体"/>
          <w:color w:val="auto"/>
          <w:sz w:val="24"/>
          <w:szCs w:val="24"/>
          <w:highlight w:val="none"/>
          <w:lang w:val="zh-CN" w:eastAsia="zh-CN"/>
        </w:rPr>
        <w:t>企业的衔接后，方可退出，经甲方验收合格，</w:t>
      </w:r>
      <w:r>
        <w:rPr>
          <w:rFonts w:hint="eastAsia" w:ascii="宋体" w:hAnsi="宋体" w:eastAsia="Arial" w:cs="宋体"/>
          <w:color w:val="auto"/>
          <w:sz w:val="24"/>
          <w:szCs w:val="24"/>
          <w:highlight w:val="none"/>
          <w:lang w:val="en-US" w:eastAsia="zh-CN"/>
        </w:rPr>
        <w:t>退出本物业管理时必须向甲方移交全套档案等资料</w:t>
      </w:r>
      <w:r>
        <w:rPr>
          <w:rFonts w:hint="eastAsia" w:ascii="宋体" w:hAnsi="宋体" w:eastAsia="Arial" w:cs="宋体"/>
          <w:color w:val="auto"/>
          <w:sz w:val="24"/>
          <w:szCs w:val="24"/>
          <w:highlight w:val="none"/>
          <w:lang w:val="zh-CN" w:eastAsia="zh-CN"/>
        </w:rPr>
        <w:t>，同时退还履约保证金</w:t>
      </w:r>
      <w:r>
        <w:rPr>
          <w:rFonts w:hint="eastAsia" w:ascii="宋体" w:hAnsi="宋体" w:eastAsia="Arial" w:cs="宋体"/>
          <w:color w:val="auto"/>
          <w:sz w:val="24"/>
          <w:szCs w:val="24"/>
          <w:highlight w:val="none"/>
          <w:lang w:val="en-US" w:eastAsia="zh-CN"/>
        </w:rPr>
        <w:t>。</w:t>
      </w:r>
    </w:p>
    <w:p w14:paraId="36A0C2BE">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3、本协议执行期间，如遇不可抗力,致使合同无法履行时，双方均不承担违约责任并按有关法规政策规定及时协商处理。</w:t>
      </w:r>
    </w:p>
    <w:p w14:paraId="7C71DBB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4、在履行协议中发生纠纷，双方应协商解决。协商不成时，双方均有权向甲方所在地人民法院提起诉讼，因此而产生的包括但不限于诉讼费、律师费、保 全申请费、保全保险费用、交通费等均由败诉方承担。除诉争事项外，协议中的其他内容仍需履行。</w:t>
      </w:r>
    </w:p>
    <w:p w14:paraId="798FC6B3">
      <w:pPr>
        <w:widowControl/>
        <w:spacing w:line="520" w:lineRule="exact"/>
        <w:ind w:firstLine="480"/>
        <w:rPr>
          <w:rFonts w:hint="eastAsia" w:ascii="宋体" w:hAnsi="宋体" w:eastAsia="Arial" w:cs="宋体"/>
          <w:color w:val="auto"/>
          <w:sz w:val="24"/>
          <w:szCs w:val="24"/>
          <w:highlight w:val="none"/>
          <w:lang w:val="zh-CN" w:eastAsia="zh-CN"/>
        </w:rPr>
      </w:pPr>
      <w:r>
        <w:rPr>
          <w:rFonts w:hint="eastAsia" w:ascii="宋体" w:hAnsi="宋体" w:eastAsia="Arial" w:cs="宋体"/>
          <w:color w:val="auto"/>
          <w:sz w:val="24"/>
          <w:szCs w:val="24"/>
          <w:highlight w:val="none"/>
          <w:lang w:val="zh-CN" w:eastAsia="zh-CN"/>
        </w:rPr>
        <w:t>5、本协议连同附件共</w:t>
      </w:r>
      <w:r>
        <w:rPr>
          <w:rFonts w:hint="eastAsia" w:ascii="宋体" w:hAnsi="宋体" w:eastAsia="Arial" w:cs="宋体"/>
          <w:color w:val="auto"/>
          <w:sz w:val="24"/>
          <w:szCs w:val="24"/>
          <w:highlight w:val="none"/>
          <w:u w:val="single"/>
          <w:lang w:val="zh-CN" w:eastAsia="zh-CN"/>
        </w:rPr>
        <w:t xml:space="preserve">  </w:t>
      </w:r>
      <w:r>
        <w:rPr>
          <w:rFonts w:hint="eastAsia" w:ascii="宋体" w:hAnsi="宋体" w:eastAsia="Arial" w:cs="宋体"/>
          <w:color w:val="auto"/>
          <w:sz w:val="24"/>
          <w:szCs w:val="24"/>
          <w:highlight w:val="none"/>
          <w:lang w:val="zh-CN" w:eastAsia="zh-CN"/>
        </w:rPr>
        <w:t>页，一式陆份，甲方执肆份，乙方执贰份，自签订之日起生效。</w:t>
      </w:r>
    </w:p>
    <w:p w14:paraId="5B33C3D9">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6、本协议自签订之日起生效。</w:t>
      </w:r>
    </w:p>
    <w:p w14:paraId="5DE4FA94">
      <w:pPr>
        <w:widowControl/>
        <w:spacing w:line="520" w:lineRule="exact"/>
        <w:ind w:firstLine="480"/>
        <w:rPr>
          <w:rFonts w:hint="eastAsia" w:ascii="宋体" w:hAnsi="宋体" w:eastAsia="Arial" w:cs="宋体"/>
          <w:color w:val="auto"/>
          <w:sz w:val="24"/>
          <w:szCs w:val="24"/>
          <w:highlight w:val="none"/>
          <w:lang w:val="en-US" w:eastAsia="zh-CN"/>
        </w:rPr>
      </w:pPr>
    </w:p>
    <w:p w14:paraId="422FEA3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甲方（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乙方（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xml:space="preserve">）:     </w:t>
      </w:r>
    </w:p>
    <w:p w14:paraId="393634D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法定代表人：                      法定代表人：</w:t>
      </w:r>
    </w:p>
    <w:p w14:paraId="5BFAC2F7">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或委托代理人（签字或盖章）：      或委托代理人（签字或盖章）：</w:t>
      </w:r>
    </w:p>
    <w:p w14:paraId="072DCC50">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 </w:t>
      </w:r>
    </w:p>
    <w:p w14:paraId="55901A58">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电话号码：                        电话号码： </w:t>
      </w:r>
    </w:p>
    <w:p w14:paraId="290F0D7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签订日期：                        签订日期：  </w:t>
      </w:r>
    </w:p>
    <w:p w14:paraId="780A1D22">
      <w:pPr>
        <w:widowControl/>
        <w:spacing w:line="520" w:lineRule="exact"/>
        <w:ind w:firstLine="480"/>
        <w:rPr>
          <w:rFonts w:hint="eastAsia" w:ascii="宋体" w:hAnsi="宋体" w:eastAsia="Arial" w:cs="宋体"/>
          <w:color w:val="auto"/>
          <w:sz w:val="24"/>
          <w:szCs w:val="24"/>
          <w:highlight w:val="none"/>
          <w:lang w:val="en-US" w:eastAsia="zh-CN"/>
        </w:rPr>
      </w:pPr>
    </w:p>
    <w:p w14:paraId="2966C416">
      <w:pPr>
        <w:rPr>
          <w:rFonts w:hint="eastAsia" w:ascii="宋体" w:hAnsi="宋体"/>
          <w:bCs/>
          <w:color w:val="auto"/>
          <w:sz w:val="24"/>
          <w:highlight w:val="none"/>
        </w:rPr>
      </w:pPr>
    </w:p>
    <w:p w14:paraId="69750B83">
      <w:pPr>
        <w:rPr>
          <w:rFonts w:hint="eastAsia" w:ascii="宋体" w:hAnsi="宋体"/>
          <w:bCs/>
          <w:color w:val="auto"/>
          <w:sz w:val="24"/>
          <w:highlight w:val="none"/>
        </w:rPr>
      </w:pPr>
    </w:p>
    <w:p w14:paraId="3221C7DF">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p>
    <w:p w14:paraId="32A8E259">
      <w:pPr>
        <w:pStyle w:val="286"/>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附件2：考核办法</w:t>
      </w:r>
    </w:p>
    <w:tbl>
      <w:tblPr>
        <w:tblStyle w:val="40"/>
        <w:tblW w:w="8915" w:type="dxa"/>
        <w:jc w:val="center"/>
        <w:tblLayout w:type="fixed"/>
        <w:tblCellMar>
          <w:top w:w="0" w:type="dxa"/>
          <w:left w:w="108" w:type="dxa"/>
          <w:bottom w:w="0" w:type="dxa"/>
          <w:right w:w="108" w:type="dxa"/>
        </w:tblCellMar>
      </w:tblPr>
      <w:tblGrid>
        <w:gridCol w:w="950"/>
        <w:gridCol w:w="76"/>
        <w:gridCol w:w="67"/>
        <w:gridCol w:w="2312"/>
        <w:gridCol w:w="800"/>
        <w:gridCol w:w="136"/>
        <w:gridCol w:w="152"/>
        <w:gridCol w:w="675"/>
        <w:gridCol w:w="757"/>
        <w:gridCol w:w="393"/>
        <w:gridCol w:w="188"/>
        <w:gridCol w:w="709"/>
        <w:gridCol w:w="15"/>
        <w:gridCol w:w="680"/>
        <w:gridCol w:w="13"/>
        <w:gridCol w:w="992"/>
      </w:tblGrid>
      <w:tr w14:paraId="34DAA39F">
        <w:tblPrEx>
          <w:tblCellMar>
            <w:top w:w="0" w:type="dxa"/>
            <w:left w:w="108" w:type="dxa"/>
            <w:bottom w:w="0" w:type="dxa"/>
            <w:right w:w="108" w:type="dxa"/>
          </w:tblCellMar>
        </w:tblPrEx>
        <w:trPr>
          <w:trHeight w:val="90" w:hRule="atLeast"/>
          <w:jc w:val="center"/>
        </w:trPr>
        <w:tc>
          <w:tcPr>
            <w:tcW w:w="8915" w:type="dxa"/>
            <w:gridSpan w:val="16"/>
            <w:tcBorders>
              <w:top w:val="nil"/>
              <w:left w:val="nil"/>
              <w:bottom w:val="single" w:color="000000" w:sz="4" w:space="0"/>
              <w:right w:val="nil"/>
            </w:tcBorders>
            <w:noWrap w:val="0"/>
            <w:vAlign w:val="center"/>
          </w:tcPr>
          <w:p w14:paraId="6FB0A6C2">
            <w:pPr>
              <w:widowControl/>
              <w:jc w:val="left"/>
              <w:rPr>
                <w:rFonts w:hint="eastAsia" w:ascii="宋体" w:hAnsi="宋体" w:eastAsia="宋体" w:cs="宋体"/>
                <w:b/>
                <w:bCs/>
                <w:color w:val="auto"/>
                <w:sz w:val="20"/>
                <w:szCs w:val="20"/>
                <w:highlight w:val="none"/>
                <w:lang w:eastAsia="zh-CN"/>
              </w:rPr>
            </w:pPr>
            <w:r>
              <w:rPr>
                <w:rFonts w:hint="eastAsia" w:ascii="宋体" w:hAnsi="宋体" w:cs="宋体"/>
                <w:b/>
                <w:bCs/>
                <w:color w:val="auto"/>
                <w:sz w:val="20"/>
                <w:szCs w:val="20"/>
                <w:highlight w:val="none"/>
              </w:rPr>
              <w:t>附件</w:t>
            </w:r>
            <w:r>
              <w:rPr>
                <w:rFonts w:hint="eastAsia" w:ascii="宋体" w:hAnsi="宋体" w:cs="宋体"/>
                <w:b/>
                <w:bCs/>
                <w:color w:val="auto"/>
                <w:sz w:val="20"/>
                <w:szCs w:val="20"/>
                <w:highlight w:val="none"/>
                <w:lang w:val="en-US" w:eastAsia="zh-CN"/>
              </w:rPr>
              <w:t>2-</w:t>
            </w:r>
            <w:r>
              <w:rPr>
                <w:rFonts w:hint="eastAsia" w:ascii="宋体" w:hAnsi="宋体" w:cs="宋体"/>
                <w:b/>
                <w:bCs/>
                <w:color w:val="auto"/>
                <w:sz w:val="20"/>
                <w:szCs w:val="20"/>
                <w:highlight w:val="none"/>
              </w:rPr>
              <w:t>1</w:t>
            </w:r>
            <w:r>
              <w:rPr>
                <w:rFonts w:hint="eastAsia" w:ascii="宋体" w:hAnsi="宋体" w:cs="宋体"/>
                <w:b/>
                <w:bCs/>
                <w:color w:val="auto"/>
                <w:sz w:val="20"/>
                <w:szCs w:val="20"/>
                <w:highlight w:val="none"/>
                <w:lang w:eastAsia="zh-CN"/>
              </w:rPr>
              <w:t>：</w:t>
            </w:r>
          </w:p>
          <w:p w14:paraId="13712899">
            <w:pPr>
              <w:widowControl/>
              <w:jc w:val="center"/>
              <w:rPr>
                <w:rFonts w:ascii="宋体" w:hAnsi="宋体" w:cs="宋体"/>
                <w:color w:val="auto"/>
                <w:sz w:val="32"/>
                <w:szCs w:val="32"/>
                <w:highlight w:val="none"/>
              </w:rPr>
            </w:pPr>
            <w:r>
              <w:rPr>
                <w:rFonts w:hint="eastAsia" w:ascii="宋体" w:hAnsi="宋体" w:eastAsia="宋体" w:cs="宋体"/>
                <w:b/>
                <w:bCs/>
                <w:color w:val="auto"/>
                <w:sz w:val="32"/>
                <w:szCs w:val="32"/>
                <w:highlight w:val="none"/>
              </w:rPr>
              <w:t>物业管理服务综合</w:t>
            </w:r>
            <w:r>
              <w:rPr>
                <w:rFonts w:hint="eastAsia" w:ascii="宋体" w:hAnsi="宋体" w:eastAsia="宋体" w:cs="宋体"/>
                <w:b/>
                <w:bCs/>
                <w:color w:val="auto"/>
                <w:sz w:val="32"/>
                <w:szCs w:val="32"/>
                <w:highlight w:val="none"/>
                <w:lang w:eastAsia="zh-CN"/>
              </w:rPr>
              <w:t>考核</w:t>
            </w:r>
            <w:r>
              <w:rPr>
                <w:rFonts w:hint="eastAsia" w:ascii="宋体" w:hAnsi="宋体" w:eastAsia="宋体" w:cs="宋体"/>
                <w:b/>
                <w:bCs/>
                <w:color w:val="auto"/>
                <w:sz w:val="32"/>
                <w:szCs w:val="32"/>
                <w:highlight w:val="none"/>
              </w:rPr>
              <w:t>标准</w:t>
            </w:r>
          </w:p>
        </w:tc>
      </w:tr>
      <w:tr w14:paraId="1C5A9C72">
        <w:tblPrEx>
          <w:tblCellMar>
            <w:top w:w="0" w:type="dxa"/>
            <w:left w:w="108" w:type="dxa"/>
            <w:bottom w:w="0" w:type="dxa"/>
            <w:right w:w="108" w:type="dxa"/>
          </w:tblCellMar>
        </w:tblPrEx>
        <w:trPr>
          <w:trHeight w:val="472"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5D9D3F08">
            <w:pPr>
              <w:keepNext w:val="0"/>
              <w:keepLines w:val="0"/>
              <w:pageBreakBefore w:val="0"/>
              <w:widowControl/>
              <w:spacing w:line="260" w:lineRule="exact"/>
              <w:ind w:left="0" w:firstLine="0"/>
              <w:jc w:val="center"/>
              <w:rPr>
                <w:rFonts w:ascii="宋体" w:hAnsi="宋体" w:cs="宋体"/>
                <w:color w:val="auto"/>
                <w:sz w:val="16"/>
                <w:szCs w:val="16"/>
                <w:highlight w:val="none"/>
              </w:rPr>
            </w:pPr>
            <w:r>
              <w:rPr>
                <w:rFonts w:hint="eastAsia" w:ascii="宋体" w:hAnsi="宋体" w:cs="宋体"/>
                <w:color w:val="auto"/>
                <w:sz w:val="16"/>
                <w:szCs w:val="16"/>
                <w:highlight w:val="none"/>
              </w:rPr>
              <w:t>项目</w:t>
            </w:r>
          </w:p>
        </w:tc>
        <w:tc>
          <w:tcPr>
            <w:tcW w:w="3248" w:type="dxa"/>
            <w:gridSpan w:val="3"/>
            <w:tcBorders>
              <w:top w:val="nil"/>
              <w:left w:val="nil"/>
              <w:bottom w:val="single" w:color="000000" w:sz="4" w:space="0"/>
              <w:right w:val="single" w:color="000000" w:sz="4" w:space="0"/>
            </w:tcBorders>
            <w:noWrap w:val="0"/>
            <w:vAlign w:val="center"/>
          </w:tcPr>
          <w:p w14:paraId="2913D013">
            <w:pPr>
              <w:keepNext w:val="0"/>
              <w:keepLines w:val="0"/>
              <w:pageBreakBefore w:val="0"/>
              <w:widowControl/>
              <w:spacing w:line="260" w:lineRule="exact"/>
              <w:ind w:left="0" w:firstLine="0"/>
              <w:jc w:val="center"/>
              <w:rPr>
                <w:rFonts w:ascii="宋体" w:hAnsi="宋体" w:cs="宋体"/>
                <w:color w:val="auto"/>
                <w:sz w:val="16"/>
                <w:szCs w:val="16"/>
                <w:highlight w:val="none"/>
              </w:rPr>
            </w:pPr>
            <w:r>
              <w:rPr>
                <w:rFonts w:hint="eastAsia" w:ascii="宋体" w:hAnsi="宋体" w:cs="宋体"/>
                <w:color w:val="auto"/>
                <w:sz w:val="16"/>
                <w:szCs w:val="16"/>
                <w:highlight w:val="none"/>
                <w:lang w:eastAsia="zh-CN"/>
              </w:rPr>
              <w:t>标准要求</w:t>
            </w:r>
          </w:p>
        </w:tc>
        <w:tc>
          <w:tcPr>
            <w:tcW w:w="827" w:type="dxa"/>
            <w:gridSpan w:val="2"/>
            <w:tcBorders>
              <w:top w:val="nil"/>
              <w:left w:val="nil"/>
              <w:bottom w:val="single" w:color="000000" w:sz="4" w:space="0"/>
              <w:right w:val="single" w:color="000000" w:sz="4" w:space="0"/>
            </w:tcBorders>
            <w:noWrap w:val="0"/>
            <w:vAlign w:val="center"/>
          </w:tcPr>
          <w:p w14:paraId="73B7BAB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lang w:eastAsia="zh-CN"/>
              </w:rPr>
              <w:t>扣分</w:t>
            </w:r>
          </w:p>
        </w:tc>
        <w:tc>
          <w:tcPr>
            <w:tcW w:w="757" w:type="dxa"/>
            <w:tcBorders>
              <w:top w:val="nil"/>
              <w:left w:val="nil"/>
              <w:bottom w:val="single" w:color="000000" w:sz="4" w:space="0"/>
              <w:right w:val="single" w:color="000000" w:sz="4" w:space="0"/>
            </w:tcBorders>
            <w:noWrap w:val="0"/>
            <w:vAlign w:val="center"/>
          </w:tcPr>
          <w:p w14:paraId="5F4E43D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rPr>
              <w:t>分值</w:t>
            </w:r>
          </w:p>
        </w:tc>
        <w:tc>
          <w:tcPr>
            <w:tcW w:w="1985" w:type="dxa"/>
            <w:gridSpan w:val="5"/>
            <w:tcBorders>
              <w:top w:val="nil"/>
              <w:left w:val="nil"/>
              <w:bottom w:val="single" w:color="000000" w:sz="4" w:space="0"/>
              <w:right w:val="single" w:color="000000" w:sz="4" w:space="0"/>
            </w:tcBorders>
            <w:noWrap w:val="0"/>
            <w:vAlign w:val="center"/>
          </w:tcPr>
          <w:p w14:paraId="5DB3188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lang w:eastAsia="zh-CN"/>
              </w:rPr>
              <w:t>扣分标准</w:t>
            </w:r>
          </w:p>
        </w:tc>
        <w:tc>
          <w:tcPr>
            <w:tcW w:w="1005" w:type="dxa"/>
            <w:gridSpan w:val="2"/>
            <w:tcBorders>
              <w:top w:val="nil"/>
              <w:left w:val="nil"/>
              <w:bottom w:val="single" w:color="000000" w:sz="4" w:space="0"/>
              <w:right w:val="single" w:color="000000" w:sz="4" w:space="0"/>
            </w:tcBorders>
            <w:noWrap w:val="0"/>
            <w:vAlign w:val="center"/>
          </w:tcPr>
          <w:p w14:paraId="54995A0B">
            <w:pPr>
              <w:keepNext w:val="0"/>
              <w:keepLines w:val="0"/>
              <w:pageBreakBefore w:val="0"/>
              <w:widowControl/>
              <w:spacing w:line="260" w:lineRule="exact"/>
              <w:ind w:left="0" w:firstLine="0"/>
              <w:jc w:val="center"/>
              <w:rPr>
                <w:rFonts w:ascii="宋体" w:hAnsi="宋体" w:cs="宋体"/>
                <w:color w:val="auto"/>
                <w:sz w:val="16"/>
                <w:szCs w:val="16"/>
                <w:highlight w:val="none"/>
              </w:rPr>
            </w:pPr>
            <w:r>
              <w:rPr>
                <w:rFonts w:hint="eastAsia" w:ascii="宋体" w:hAnsi="宋体" w:cs="宋体"/>
                <w:color w:val="auto"/>
                <w:sz w:val="16"/>
                <w:szCs w:val="16"/>
                <w:highlight w:val="none"/>
              </w:rPr>
              <w:t>得分</w:t>
            </w:r>
            <w:r>
              <w:rPr>
                <w:rFonts w:hint="eastAsia" w:ascii="宋体" w:hAnsi="宋体" w:cs="宋体"/>
                <w:color w:val="auto"/>
                <w:sz w:val="16"/>
                <w:szCs w:val="16"/>
                <w:highlight w:val="none"/>
                <w:lang w:eastAsia="zh-CN"/>
              </w:rPr>
              <w:t>（满分</w:t>
            </w:r>
            <w:r>
              <w:rPr>
                <w:rFonts w:hint="eastAsia" w:ascii="宋体" w:hAnsi="宋体" w:cs="宋体"/>
                <w:color w:val="auto"/>
                <w:sz w:val="16"/>
                <w:szCs w:val="16"/>
                <w:highlight w:val="none"/>
                <w:lang w:val="en-US" w:eastAsia="zh-CN"/>
              </w:rPr>
              <w:t>100分</w:t>
            </w:r>
            <w:r>
              <w:rPr>
                <w:rFonts w:hint="eastAsia" w:ascii="宋体" w:hAnsi="宋体" w:cs="宋体"/>
                <w:color w:val="auto"/>
                <w:sz w:val="16"/>
                <w:szCs w:val="16"/>
                <w:highlight w:val="none"/>
                <w:lang w:eastAsia="zh-CN"/>
              </w:rPr>
              <w:t>）</w:t>
            </w:r>
          </w:p>
        </w:tc>
      </w:tr>
      <w:tr w14:paraId="1A8D3230">
        <w:tblPrEx>
          <w:tblCellMar>
            <w:top w:w="0" w:type="dxa"/>
            <w:left w:w="108" w:type="dxa"/>
            <w:bottom w:w="0" w:type="dxa"/>
            <w:right w:w="108" w:type="dxa"/>
          </w:tblCellMar>
        </w:tblPrEx>
        <w:trPr>
          <w:trHeight w:val="255"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71D4503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物业服务</w:t>
            </w:r>
            <w:r>
              <w:rPr>
                <w:rFonts w:hint="eastAsia" w:ascii="宋体" w:hAnsi="宋体" w:eastAsia="宋体" w:cs="宋体"/>
                <w:color w:val="auto"/>
                <w:sz w:val="16"/>
                <w:szCs w:val="16"/>
                <w:highlight w:val="none"/>
              </w:rPr>
              <w:t>满意率</w:t>
            </w:r>
          </w:p>
        </w:tc>
        <w:tc>
          <w:tcPr>
            <w:tcW w:w="2312" w:type="dxa"/>
            <w:tcBorders>
              <w:top w:val="nil"/>
              <w:left w:val="nil"/>
              <w:bottom w:val="single" w:color="000000" w:sz="4" w:space="0"/>
              <w:right w:val="single" w:color="000000" w:sz="4" w:space="0"/>
            </w:tcBorders>
            <w:noWrap w:val="0"/>
            <w:vAlign w:val="center"/>
          </w:tcPr>
          <w:p w14:paraId="209BD55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物业</w:t>
            </w:r>
            <w:r>
              <w:rPr>
                <w:rFonts w:hint="eastAsia" w:ascii="宋体" w:hAnsi="宋体" w:eastAsia="宋体" w:cs="宋体"/>
                <w:color w:val="auto"/>
                <w:sz w:val="16"/>
                <w:szCs w:val="16"/>
                <w:highlight w:val="none"/>
              </w:rPr>
              <w:t>工作各项指标服务满意的比率</w:t>
            </w:r>
          </w:p>
        </w:tc>
        <w:tc>
          <w:tcPr>
            <w:tcW w:w="936" w:type="dxa"/>
            <w:gridSpan w:val="2"/>
            <w:tcBorders>
              <w:top w:val="nil"/>
              <w:left w:val="nil"/>
              <w:bottom w:val="single" w:color="000000" w:sz="4" w:space="0"/>
              <w:right w:val="single" w:color="000000" w:sz="4" w:space="0"/>
            </w:tcBorders>
            <w:noWrap w:val="0"/>
            <w:vAlign w:val="center"/>
          </w:tcPr>
          <w:p w14:paraId="6B94461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1858121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71490D4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rPr>
            </w:pPr>
            <w:r>
              <w:rPr>
                <w:rFonts w:hint="eastAsia" w:ascii="宋体" w:hAnsi="宋体" w:eastAsia="宋体" w:cs="宋体"/>
                <w:color w:val="auto"/>
                <w:sz w:val="16"/>
                <w:szCs w:val="16"/>
                <w:highlight w:val="none"/>
                <w:lang w:val="en-US" w:eastAsia="zh-CN"/>
              </w:rPr>
              <w:t>15</w:t>
            </w:r>
          </w:p>
        </w:tc>
        <w:tc>
          <w:tcPr>
            <w:tcW w:w="1985" w:type="dxa"/>
            <w:gridSpan w:val="5"/>
            <w:tcBorders>
              <w:top w:val="nil"/>
              <w:left w:val="nil"/>
              <w:bottom w:val="single" w:color="000000" w:sz="4" w:space="0"/>
              <w:right w:val="single" w:color="000000" w:sz="4" w:space="0"/>
            </w:tcBorders>
            <w:noWrap w:val="0"/>
            <w:vAlign w:val="center"/>
          </w:tcPr>
          <w:p w14:paraId="70F4FDD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03EA59E8">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619FBA27">
        <w:tblPrEx>
          <w:tblCellMar>
            <w:top w:w="0" w:type="dxa"/>
            <w:left w:w="108" w:type="dxa"/>
            <w:bottom w:w="0" w:type="dxa"/>
            <w:right w:w="108" w:type="dxa"/>
          </w:tblCellMar>
        </w:tblPrEx>
        <w:trPr>
          <w:trHeight w:val="696"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50F2D9A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保洁率</w:t>
            </w:r>
          </w:p>
        </w:tc>
        <w:tc>
          <w:tcPr>
            <w:tcW w:w="2312" w:type="dxa"/>
            <w:tcBorders>
              <w:top w:val="nil"/>
              <w:left w:val="nil"/>
              <w:bottom w:val="single" w:color="000000" w:sz="4" w:space="0"/>
              <w:right w:val="single" w:color="000000" w:sz="4" w:space="0"/>
            </w:tcBorders>
            <w:noWrap w:val="0"/>
            <w:vAlign w:val="center"/>
          </w:tcPr>
          <w:p w14:paraId="2D85265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保洁人员按物业标准进行操作，主管监督检查得力</w:t>
            </w:r>
          </w:p>
        </w:tc>
        <w:tc>
          <w:tcPr>
            <w:tcW w:w="936" w:type="dxa"/>
            <w:gridSpan w:val="2"/>
            <w:tcBorders>
              <w:top w:val="nil"/>
              <w:left w:val="nil"/>
              <w:bottom w:val="single" w:color="000000" w:sz="4" w:space="0"/>
              <w:right w:val="single" w:color="000000" w:sz="4" w:space="0"/>
            </w:tcBorders>
            <w:noWrap w:val="0"/>
            <w:vAlign w:val="center"/>
          </w:tcPr>
          <w:p w14:paraId="1ECF476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≥99%</w:t>
            </w:r>
          </w:p>
        </w:tc>
        <w:tc>
          <w:tcPr>
            <w:tcW w:w="827" w:type="dxa"/>
            <w:gridSpan w:val="2"/>
            <w:tcBorders>
              <w:top w:val="nil"/>
              <w:left w:val="nil"/>
              <w:bottom w:val="single" w:color="000000" w:sz="4" w:space="0"/>
              <w:right w:val="single" w:color="000000" w:sz="4" w:space="0"/>
            </w:tcBorders>
            <w:noWrap w:val="0"/>
            <w:vAlign w:val="center"/>
          </w:tcPr>
          <w:p w14:paraId="54BEE48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6532DD8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9EF501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3222F4C7">
            <w:pPr>
              <w:keepNext w:val="0"/>
              <w:keepLines w:val="0"/>
              <w:pageBreakBefore w:val="0"/>
              <w:widowControl/>
              <w:spacing w:line="260" w:lineRule="exact"/>
              <w:jc w:val="center"/>
              <w:rPr>
                <w:color w:val="auto"/>
                <w:sz w:val="16"/>
                <w:szCs w:val="16"/>
                <w:highlight w:val="none"/>
              </w:rPr>
            </w:pPr>
            <w:r>
              <w:rPr>
                <w:color w:val="auto"/>
                <w:sz w:val="16"/>
                <w:szCs w:val="16"/>
                <w:highlight w:val="none"/>
              </w:rPr>
              <w:t>　</w:t>
            </w:r>
          </w:p>
        </w:tc>
      </w:tr>
      <w:tr w14:paraId="463F702D">
        <w:tblPrEx>
          <w:tblCellMar>
            <w:top w:w="0" w:type="dxa"/>
            <w:left w:w="108" w:type="dxa"/>
            <w:bottom w:w="0" w:type="dxa"/>
            <w:right w:w="108" w:type="dxa"/>
          </w:tblCellMar>
        </w:tblPrEx>
        <w:trPr>
          <w:trHeight w:val="848"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263349C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物业突发事件处理率</w:t>
            </w:r>
          </w:p>
        </w:tc>
        <w:tc>
          <w:tcPr>
            <w:tcW w:w="2312" w:type="dxa"/>
            <w:tcBorders>
              <w:top w:val="nil"/>
              <w:left w:val="nil"/>
              <w:bottom w:val="single" w:color="000000" w:sz="4" w:space="0"/>
              <w:right w:val="single" w:color="000000" w:sz="4" w:space="0"/>
            </w:tcBorders>
            <w:noWrap w:val="0"/>
            <w:vAlign w:val="center"/>
          </w:tcPr>
          <w:p w14:paraId="4278EAD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对有关物业突发事件如漏水、暴雨等处理比率</w:t>
            </w:r>
          </w:p>
        </w:tc>
        <w:tc>
          <w:tcPr>
            <w:tcW w:w="936" w:type="dxa"/>
            <w:gridSpan w:val="2"/>
            <w:tcBorders>
              <w:top w:val="nil"/>
              <w:left w:val="nil"/>
              <w:bottom w:val="single" w:color="000000" w:sz="4" w:space="0"/>
              <w:right w:val="single" w:color="000000" w:sz="4" w:space="0"/>
            </w:tcBorders>
            <w:noWrap w:val="0"/>
            <w:vAlign w:val="center"/>
          </w:tcPr>
          <w:p w14:paraId="19EA7AB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63621BA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03966E5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50A288C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3A5CF13">
            <w:pPr>
              <w:keepNext w:val="0"/>
              <w:keepLines w:val="0"/>
              <w:pageBreakBefore w:val="0"/>
              <w:widowControl/>
              <w:spacing w:line="260" w:lineRule="exact"/>
              <w:jc w:val="center"/>
              <w:rPr>
                <w:color w:val="auto"/>
                <w:sz w:val="16"/>
                <w:szCs w:val="16"/>
                <w:highlight w:val="none"/>
              </w:rPr>
            </w:pPr>
            <w:r>
              <w:rPr>
                <w:color w:val="auto"/>
                <w:sz w:val="16"/>
                <w:szCs w:val="16"/>
                <w:highlight w:val="none"/>
              </w:rPr>
              <w:t>　</w:t>
            </w:r>
          </w:p>
        </w:tc>
      </w:tr>
      <w:tr w14:paraId="28646300">
        <w:tblPrEx>
          <w:tblCellMar>
            <w:top w:w="0" w:type="dxa"/>
            <w:left w:w="108" w:type="dxa"/>
            <w:bottom w:w="0" w:type="dxa"/>
            <w:right w:w="108" w:type="dxa"/>
          </w:tblCellMar>
        </w:tblPrEx>
        <w:trPr>
          <w:trHeight w:val="690"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0DF4119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cs="宋体"/>
                <w:color w:val="auto"/>
                <w:sz w:val="16"/>
                <w:szCs w:val="16"/>
                <w:highlight w:val="none"/>
                <w:lang w:eastAsia="zh-CN"/>
              </w:rPr>
              <w:t>病人和医护人员</w:t>
            </w:r>
            <w:r>
              <w:rPr>
                <w:rFonts w:hint="eastAsia" w:ascii="宋体" w:hAnsi="宋体" w:eastAsia="宋体" w:cs="宋体"/>
                <w:color w:val="auto"/>
                <w:sz w:val="16"/>
                <w:szCs w:val="16"/>
                <w:highlight w:val="none"/>
              </w:rPr>
              <w:t>满意率</w:t>
            </w:r>
          </w:p>
        </w:tc>
        <w:tc>
          <w:tcPr>
            <w:tcW w:w="2312" w:type="dxa"/>
            <w:tcBorders>
              <w:top w:val="nil"/>
              <w:left w:val="nil"/>
              <w:bottom w:val="single" w:color="000000" w:sz="4" w:space="0"/>
              <w:right w:val="single" w:color="000000" w:sz="4" w:space="0"/>
            </w:tcBorders>
            <w:noWrap w:val="0"/>
            <w:vAlign w:val="center"/>
          </w:tcPr>
          <w:p w14:paraId="7136CE3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cs="宋体"/>
                <w:color w:val="auto"/>
                <w:sz w:val="16"/>
                <w:szCs w:val="16"/>
                <w:highlight w:val="none"/>
                <w:lang w:eastAsia="zh-CN"/>
              </w:rPr>
              <w:t>病人和医护人员</w:t>
            </w:r>
            <w:r>
              <w:rPr>
                <w:rFonts w:hint="eastAsia" w:ascii="宋体" w:hAnsi="宋体" w:eastAsia="宋体" w:cs="宋体"/>
                <w:color w:val="auto"/>
                <w:sz w:val="16"/>
                <w:szCs w:val="16"/>
                <w:highlight w:val="none"/>
              </w:rPr>
              <w:t>对物业服务的综合评定达到合格的比率</w:t>
            </w:r>
          </w:p>
        </w:tc>
        <w:tc>
          <w:tcPr>
            <w:tcW w:w="936" w:type="dxa"/>
            <w:gridSpan w:val="2"/>
            <w:tcBorders>
              <w:top w:val="nil"/>
              <w:left w:val="nil"/>
              <w:bottom w:val="single" w:color="000000" w:sz="4" w:space="0"/>
              <w:right w:val="single" w:color="000000" w:sz="4" w:space="0"/>
            </w:tcBorders>
            <w:noWrap w:val="0"/>
            <w:vAlign w:val="center"/>
          </w:tcPr>
          <w:p w14:paraId="08678DD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≥90%</w:t>
            </w:r>
          </w:p>
        </w:tc>
        <w:tc>
          <w:tcPr>
            <w:tcW w:w="827" w:type="dxa"/>
            <w:gridSpan w:val="2"/>
            <w:tcBorders>
              <w:top w:val="nil"/>
              <w:left w:val="nil"/>
              <w:bottom w:val="single" w:color="000000" w:sz="4" w:space="0"/>
              <w:right w:val="single" w:color="000000" w:sz="4" w:space="0"/>
            </w:tcBorders>
            <w:noWrap w:val="0"/>
            <w:vAlign w:val="center"/>
          </w:tcPr>
          <w:p w14:paraId="4E109CB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4472F3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524F77A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023E263B">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3AD27BF0">
        <w:tblPrEx>
          <w:tblCellMar>
            <w:top w:w="0" w:type="dxa"/>
            <w:left w:w="108" w:type="dxa"/>
            <w:bottom w:w="0" w:type="dxa"/>
            <w:right w:w="108" w:type="dxa"/>
          </w:tblCellMar>
        </w:tblPrEx>
        <w:trPr>
          <w:trHeight w:val="700"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58BE3F0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每月差错次数</w:t>
            </w:r>
          </w:p>
        </w:tc>
        <w:tc>
          <w:tcPr>
            <w:tcW w:w="2312" w:type="dxa"/>
            <w:tcBorders>
              <w:top w:val="nil"/>
              <w:left w:val="nil"/>
              <w:bottom w:val="single" w:color="000000" w:sz="4" w:space="0"/>
              <w:right w:val="single" w:color="000000" w:sz="4" w:space="0"/>
            </w:tcBorders>
            <w:noWrap w:val="0"/>
            <w:vAlign w:val="center"/>
          </w:tcPr>
          <w:p w14:paraId="1748212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在符合合同的范围内出现的工作失误</w:t>
            </w:r>
          </w:p>
        </w:tc>
        <w:tc>
          <w:tcPr>
            <w:tcW w:w="936" w:type="dxa"/>
            <w:gridSpan w:val="2"/>
            <w:tcBorders>
              <w:top w:val="nil"/>
              <w:left w:val="nil"/>
              <w:bottom w:val="single" w:color="000000" w:sz="4" w:space="0"/>
              <w:right w:val="single" w:color="000000" w:sz="4" w:space="0"/>
            </w:tcBorders>
            <w:noWrap w:val="0"/>
            <w:vAlign w:val="center"/>
          </w:tcPr>
          <w:p w14:paraId="56404FC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≤5次</w:t>
            </w:r>
          </w:p>
        </w:tc>
        <w:tc>
          <w:tcPr>
            <w:tcW w:w="827" w:type="dxa"/>
            <w:gridSpan w:val="2"/>
            <w:tcBorders>
              <w:top w:val="nil"/>
              <w:left w:val="nil"/>
              <w:bottom w:val="single" w:color="000000" w:sz="4" w:space="0"/>
              <w:right w:val="single" w:color="000000" w:sz="4" w:space="0"/>
            </w:tcBorders>
            <w:noWrap w:val="0"/>
            <w:vAlign w:val="center"/>
          </w:tcPr>
          <w:p w14:paraId="3A041C4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16E2B3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5807BFC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w:t>
            </w:r>
            <w:r>
              <w:rPr>
                <w:rFonts w:hint="eastAsia" w:ascii="宋体" w:hAnsi="宋体" w:eastAsia="宋体" w:cs="宋体"/>
                <w:color w:val="auto"/>
                <w:sz w:val="16"/>
                <w:szCs w:val="16"/>
                <w:highlight w:val="none"/>
                <w:lang w:eastAsia="zh-CN"/>
              </w:rPr>
              <w:t>次</w:t>
            </w:r>
            <w:r>
              <w:rPr>
                <w:rFonts w:hint="eastAsia" w:ascii="宋体" w:hAnsi="宋体" w:eastAsia="宋体" w:cs="宋体"/>
                <w:color w:val="auto"/>
                <w:sz w:val="16"/>
                <w:szCs w:val="16"/>
                <w:highlight w:val="none"/>
              </w:rPr>
              <w:t>扣一分</w:t>
            </w:r>
          </w:p>
        </w:tc>
        <w:tc>
          <w:tcPr>
            <w:tcW w:w="1005" w:type="dxa"/>
            <w:gridSpan w:val="2"/>
            <w:tcBorders>
              <w:top w:val="nil"/>
              <w:left w:val="nil"/>
              <w:bottom w:val="single" w:color="000000" w:sz="4" w:space="0"/>
              <w:right w:val="single" w:color="000000" w:sz="4" w:space="0"/>
            </w:tcBorders>
            <w:noWrap w:val="0"/>
            <w:vAlign w:val="center"/>
          </w:tcPr>
          <w:p w14:paraId="2121FBBF">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3A622F2D">
        <w:tblPrEx>
          <w:tblCellMar>
            <w:top w:w="0" w:type="dxa"/>
            <w:left w:w="108" w:type="dxa"/>
            <w:bottom w:w="0" w:type="dxa"/>
            <w:right w:w="108" w:type="dxa"/>
          </w:tblCellMar>
        </w:tblPrEx>
        <w:trPr>
          <w:trHeight w:val="710"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068D57C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有效投诉率</w:t>
            </w:r>
          </w:p>
        </w:tc>
        <w:tc>
          <w:tcPr>
            <w:tcW w:w="2312" w:type="dxa"/>
            <w:tcBorders>
              <w:top w:val="nil"/>
              <w:left w:val="nil"/>
              <w:bottom w:val="single" w:color="000000" w:sz="4" w:space="0"/>
              <w:right w:val="single" w:color="000000" w:sz="4" w:space="0"/>
            </w:tcBorders>
            <w:noWrap w:val="0"/>
            <w:vAlign w:val="center"/>
          </w:tcPr>
          <w:p w14:paraId="5BC1EA5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收到病人或医护人员在符合合同范围内的各类投诉的比率</w:t>
            </w:r>
          </w:p>
        </w:tc>
        <w:tc>
          <w:tcPr>
            <w:tcW w:w="936" w:type="dxa"/>
            <w:gridSpan w:val="2"/>
            <w:tcBorders>
              <w:top w:val="nil"/>
              <w:left w:val="nil"/>
              <w:bottom w:val="single" w:color="000000" w:sz="4" w:space="0"/>
              <w:right w:val="single" w:color="000000" w:sz="4" w:space="0"/>
            </w:tcBorders>
            <w:noWrap w:val="0"/>
            <w:vAlign w:val="center"/>
          </w:tcPr>
          <w:p w14:paraId="7FAF8C7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827" w:type="dxa"/>
            <w:gridSpan w:val="2"/>
            <w:tcBorders>
              <w:top w:val="nil"/>
              <w:left w:val="nil"/>
              <w:bottom w:val="single" w:color="000000" w:sz="4" w:space="0"/>
              <w:right w:val="single" w:color="000000" w:sz="4" w:space="0"/>
            </w:tcBorders>
            <w:noWrap w:val="0"/>
            <w:vAlign w:val="center"/>
          </w:tcPr>
          <w:p w14:paraId="34EC059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049FC6B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725366E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052F6F31">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194B18A0">
        <w:tblPrEx>
          <w:tblCellMar>
            <w:top w:w="0" w:type="dxa"/>
            <w:left w:w="108" w:type="dxa"/>
            <w:bottom w:w="0" w:type="dxa"/>
            <w:right w:w="108" w:type="dxa"/>
          </w:tblCellMar>
        </w:tblPrEx>
        <w:trPr>
          <w:trHeight w:val="472"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4A0A4B6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有效服务提供率</w:t>
            </w:r>
          </w:p>
        </w:tc>
        <w:tc>
          <w:tcPr>
            <w:tcW w:w="2312" w:type="dxa"/>
            <w:tcBorders>
              <w:top w:val="nil"/>
              <w:left w:val="nil"/>
              <w:bottom w:val="single" w:color="000000" w:sz="4" w:space="0"/>
              <w:right w:val="single" w:color="000000" w:sz="4" w:space="0"/>
            </w:tcBorders>
            <w:noWrap w:val="0"/>
            <w:vAlign w:val="center"/>
          </w:tcPr>
          <w:p w14:paraId="5D71C3F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规定前提下，满足服务要求的比率</w:t>
            </w:r>
          </w:p>
        </w:tc>
        <w:tc>
          <w:tcPr>
            <w:tcW w:w="936" w:type="dxa"/>
            <w:gridSpan w:val="2"/>
            <w:tcBorders>
              <w:top w:val="nil"/>
              <w:left w:val="nil"/>
              <w:bottom w:val="single" w:color="000000" w:sz="4" w:space="0"/>
              <w:right w:val="single" w:color="000000" w:sz="4" w:space="0"/>
            </w:tcBorders>
            <w:noWrap w:val="0"/>
            <w:vAlign w:val="center"/>
          </w:tcPr>
          <w:p w14:paraId="2E3E622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258D27E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4CEA517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55A045D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27011D27">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7C086EF0">
        <w:tblPrEx>
          <w:tblCellMar>
            <w:top w:w="0" w:type="dxa"/>
            <w:left w:w="108" w:type="dxa"/>
            <w:bottom w:w="0" w:type="dxa"/>
            <w:right w:w="108" w:type="dxa"/>
          </w:tblCellMar>
        </w:tblPrEx>
        <w:trPr>
          <w:trHeight w:val="630"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3FED8F3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服务响应时间</w:t>
            </w:r>
          </w:p>
        </w:tc>
        <w:tc>
          <w:tcPr>
            <w:tcW w:w="2312" w:type="dxa"/>
            <w:tcBorders>
              <w:top w:val="nil"/>
              <w:left w:val="nil"/>
              <w:bottom w:val="single" w:color="000000" w:sz="4" w:space="0"/>
              <w:right w:val="single" w:color="000000" w:sz="4" w:space="0"/>
            </w:tcBorders>
            <w:noWrap w:val="0"/>
            <w:vAlign w:val="center"/>
          </w:tcPr>
          <w:p w14:paraId="23F3712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从接到服务指令到提供服务的时间</w:t>
            </w:r>
          </w:p>
        </w:tc>
        <w:tc>
          <w:tcPr>
            <w:tcW w:w="936" w:type="dxa"/>
            <w:gridSpan w:val="2"/>
            <w:tcBorders>
              <w:top w:val="nil"/>
              <w:left w:val="nil"/>
              <w:bottom w:val="single" w:color="000000" w:sz="4" w:space="0"/>
              <w:right w:val="single" w:color="000000" w:sz="4" w:space="0"/>
            </w:tcBorders>
            <w:noWrap w:val="0"/>
            <w:vAlign w:val="center"/>
          </w:tcPr>
          <w:p w14:paraId="6766B02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15分钟</w:t>
            </w:r>
          </w:p>
        </w:tc>
        <w:tc>
          <w:tcPr>
            <w:tcW w:w="827" w:type="dxa"/>
            <w:gridSpan w:val="2"/>
            <w:tcBorders>
              <w:top w:val="nil"/>
              <w:left w:val="nil"/>
              <w:bottom w:val="single" w:color="000000" w:sz="4" w:space="0"/>
              <w:right w:val="single" w:color="000000" w:sz="4" w:space="0"/>
            </w:tcBorders>
            <w:noWrap w:val="0"/>
            <w:vAlign w:val="center"/>
          </w:tcPr>
          <w:p w14:paraId="7848819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17AFA6D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3DAF2DB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达不到本标准时每分钟扣一分</w:t>
            </w:r>
          </w:p>
        </w:tc>
        <w:tc>
          <w:tcPr>
            <w:tcW w:w="1005" w:type="dxa"/>
            <w:gridSpan w:val="2"/>
            <w:tcBorders>
              <w:top w:val="nil"/>
              <w:left w:val="nil"/>
              <w:bottom w:val="single" w:color="000000" w:sz="4" w:space="0"/>
              <w:right w:val="single" w:color="000000" w:sz="4" w:space="0"/>
            </w:tcBorders>
            <w:noWrap w:val="0"/>
            <w:vAlign w:val="center"/>
          </w:tcPr>
          <w:p w14:paraId="1907606C">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33561B17">
        <w:tblPrEx>
          <w:tblCellMar>
            <w:top w:w="0" w:type="dxa"/>
            <w:left w:w="108" w:type="dxa"/>
            <w:bottom w:w="0" w:type="dxa"/>
            <w:right w:w="108" w:type="dxa"/>
          </w:tblCellMar>
        </w:tblPrEx>
        <w:trPr>
          <w:trHeight w:val="696"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2B0F432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投诉回复率</w:t>
            </w:r>
          </w:p>
        </w:tc>
        <w:tc>
          <w:tcPr>
            <w:tcW w:w="2312" w:type="dxa"/>
            <w:tcBorders>
              <w:top w:val="nil"/>
              <w:left w:val="nil"/>
              <w:bottom w:val="single" w:color="000000" w:sz="4" w:space="0"/>
              <w:right w:val="single" w:color="000000" w:sz="4" w:space="0"/>
            </w:tcBorders>
            <w:noWrap w:val="0"/>
            <w:vAlign w:val="center"/>
          </w:tcPr>
          <w:p w14:paraId="5946C0A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保证各项投诉后两小时内给予初步回复的比率</w:t>
            </w:r>
          </w:p>
        </w:tc>
        <w:tc>
          <w:tcPr>
            <w:tcW w:w="936" w:type="dxa"/>
            <w:gridSpan w:val="2"/>
            <w:tcBorders>
              <w:top w:val="nil"/>
              <w:left w:val="nil"/>
              <w:bottom w:val="single" w:color="000000" w:sz="4" w:space="0"/>
              <w:right w:val="single" w:color="000000" w:sz="4" w:space="0"/>
            </w:tcBorders>
            <w:noWrap w:val="0"/>
            <w:vAlign w:val="center"/>
          </w:tcPr>
          <w:p w14:paraId="35F14D2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1E6A1BF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D480B4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C77CD6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273D9AA9">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42FE4DF8">
        <w:tblPrEx>
          <w:tblCellMar>
            <w:top w:w="0" w:type="dxa"/>
            <w:left w:w="108" w:type="dxa"/>
            <w:bottom w:w="0" w:type="dxa"/>
            <w:right w:w="108" w:type="dxa"/>
          </w:tblCellMar>
        </w:tblPrEx>
        <w:trPr>
          <w:trHeight w:val="472"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4263262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服务规范率</w:t>
            </w:r>
          </w:p>
        </w:tc>
        <w:tc>
          <w:tcPr>
            <w:tcW w:w="2312" w:type="dxa"/>
            <w:tcBorders>
              <w:top w:val="nil"/>
              <w:left w:val="nil"/>
              <w:bottom w:val="single" w:color="000000" w:sz="4" w:space="0"/>
              <w:right w:val="single" w:color="000000" w:sz="4" w:space="0"/>
            </w:tcBorders>
            <w:noWrap w:val="0"/>
            <w:vAlign w:val="center"/>
          </w:tcPr>
          <w:p w14:paraId="1946A04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仪容仪表以及礼貌用语等各项服务态度达到回复的比率</w:t>
            </w:r>
          </w:p>
        </w:tc>
        <w:tc>
          <w:tcPr>
            <w:tcW w:w="936" w:type="dxa"/>
            <w:gridSpan w:val="2"/>
            <w:tcBorders>
              <w:top w:val="nil"/>
              <w:left w:val="nil"/>
              <w:bottom w:val="single" w:color="000000" w:sz="4" w:space="0"/>
              <w:right w:val="single" w:color="000000" w:sz="4" w:space="0"/>
            </w:tcBorders>
            <w:noWrap w:val="0"/>
            <w:vAlign w:val="center"/>
          </w:tcPr>
          <w:p w14:paraId="0075555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6A46FA7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636555E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67DF831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7FC3845">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24407218">
        <w:tblPrEx>
          <w:tblCellMar>
            <w:top w:w="0" w:type="dxa"/>
            <w:left w:w="108" w:type="dxa"/>
            <w:bottom w:w="0" w:type="dxa"/>
            <w:right w:w="108" w:type="dxa"/>
          </w:tblCellMar>
        </w:tblPrEx>
        <w:trPr>
          <w:trHeight w:val="642"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56AD662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操作达标率</w:t>
            </w:r>
          </w:p>
        </w:tc>
        <w:tc>
          <w:tcPr>
            <w:tcW w:w="2312" w:type="dxa"/>
            <w:tcBorders>
              <w:top w:val="nil"/>
              <w:left w:val="nil"/>
              <w:bottom w:val="single" w:color="000000" w:sz="4" w:space="0"/>
              <w:right w:val="single" w:color="000000" w:sz="4" w:space="0"/>
            </w:tcBorders>
            <w:noWrap w:val="0"/>
            <w:vAlign w:val="center"/>
          </w:tcPr>
          <w:p w14:paraId="37B9F17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物业服务的各项操作达标比率</w:t>
            </w:r>
          </w:p>
        </w:tc>
        <w:tc>
          <w:tcPr>
            <w:tcW w:w="936" w:type="dxa"/>
            <w:gridSpan w:val="2"/>
            <w:tcBorders>
              <w:top w:val="nil"/>
              <w:left w:val="nil"/>
              <w:bottom w:val="single" w:color="000000" w:sz="4" w:space="0"/>
              <w:right w:val="single" w:color="000000" w:sz="4" w:space="0"/>
            </w:tcBorders>
            <w:noWrap w:val="0"/>
            <w:vAlign w:val="center"/>
          </w:tcPr>
          <w:p w14:paraId="4A2B69C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5ECD547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42DB5AC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2AD7B20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395595E6">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4A702B7C">
        <w:tblPrEx>
          <w:tblCellMar>
            <w:top w:w="0" w:type="dxa"/>
            <w:left w:w="108" w:type="dxa"/>
            <w:bottom w:w="0" w:type="dxa"/>
            <w:right w:w="108" w:type="dxa"/>
          </w:tblCellMar>
        </w:tblPrEx>
        <w:trPr>
          <w:trHeight w:val="694"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7FE4BE1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培训上岗率</w:t>
            </w:r>
          </w:p>
        </w:tc>
        <w:tc>
          <w:tcPr>
            <w:tcW w:w="2312" w:type="dxa"/>
            <w:tcBorders>
              <w:top w:val="nil"/>
              <w:left w:val="nil"/>
              <w:bottom w:val="single" w:color="000000" w:sz="4" w:space="0"/>
              <w:right w:val="single" w:color="000000" w:sz="4" w:space="0"/>
            </w:tcBorders>
            <w:noWrap w:val="0"/>
            <w:vAlign w:val="center"/>
          </w:tcPr>
          <w:p w14:paraId="6DEA8CE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经培训考试合格后上岗的比率</w:t>
            </w:r>
          </w:p>
        </w:tc>
        <w:tc>
          <w:tcPr>
            <w:tcW w:w="936" w:type="dxa"/>
            <w:gridSpan w:val="2"/>
            <w:tcBorders>
              <w:top w:val="nil"/>
              <w:left w:val="nil"/>
              <w:bottom w:val="single" w:color="000000" w:sz="4" w:space="0"/>
              <w:right w:val="single" w:color="000000" w:sz="4" w:space="0"/>
            </w:tcBorders>
            <w:noWrap w:val="0"/>
            <w:vAlign w:val="center"/>
          </w:tcPr>
          <w:p w14:paraId="35A18B4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0C34420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228A2A6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51D21D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B21C3A7">
            <w:pPr>
              <w:keepNext w:val="0"/>
              <w:keepLines w:val="0"/>
              <w:pageBreakBefore w:val="0"/>
              <w:widowControl/>
              <w:spacing w:line="260" w:lineRule="exact"/>
              <w:jc w:val="center"/>
              <w:rPr>
                <w:rFonts w:hint="eastAsia" w:ascii="宋体" w:hAnsi="宋体" w:eastAsia="宋体" w:cs="宋体"/>
                <w:color w:val="auto"/>
                <w:sz w:val="16"/>
                <w:szCs w:val="16"/>
                <w:highlight w:val="none"/>
                <w:lang w:val="en-US" w:eastAsia="zh-CN"/>
              </w:rPr>
            </w:pPr>
          </w:p>
        </w:tc>
      </w:tr>
      <w:tr w14:paraId="6F7E13BA">
        <w:tblPrEx>
          <w:tblCellMar>
            <w:top w:w="0" w:type="dxa"/>
            <w:left w:w="108" w:type="dxa"/>
            <w:bottom w:w="0" w:type="dxa"/>
            <w:right w:w="108" w:type="dxa"/>
          </w:tblCellMar>
        </w:tblPrEx>
        <w:trPr>
          <w:trHeight w:val="472"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57358EF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物业设施配备齐全率</w:t>
            </w:r>
          </w:p>
        </w:tc>
        <w:tc>
          <w:tcPr>
            <w:tcW w:w="2312" w:type="dxa"/>
            <w:tcBorders>
              <w:top w:val="nil"/>
              <w:left w:val="nil"/>
              <w:bottom w:val="single" w:color="000000" w:sz="4" w:space="0"/>
              <w:right w:val="single" w:color="000000" w:sz="4" w:space="0"/>
            </w:tcBorders>
            <w:noWrap w:val="0"/>
            <w:vAlign w:val="center"/>
          </w:tcPr>
          <w:p w14:paraId="0761D45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在符合合同的范围内</w:t>
            </w:r>
          </w:p>
        </w:tc>
        <w:tc>
          <w:tcPr>
            <w:tcW w:w="936" w:type="dxa"/>
            <w:gridSpan w:val="2"/>
            <w:tcBorders>
              <w:top w:val="nil"/>
              <w:left w:val="nil"/>
              <w:bottom w:val="single" w:color="000000" w:sz="4" w:space="0"/>
              <w:right w:val="single" w:color="000000" w:sz="4" w:space="0"/>
            </w:tcBorders>
            <w:noWrap w:val="0"/>
            <w:vAlign w:val="center"/>
          </w:tcPr>
          <w:p w14:paraId="14CF6DF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0B8CC1A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1BF3EA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5D574D9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71DBD96">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030FCCA7">
        <w:tblPrEx>
          <w:tblCellMar>
            <w:top w:w="0" w:type="dxa"/>
            <w:left w:w="108" w:type="dxa"/>
            <w:bottom w:w="0" w:type="dxa"/>
            <w:right w:w="108" w:type="dxa"/>
          </w:tblCellMar>
        </w:tblPrEx>
        <w:trPr>
          <w:trHeight w:val="421"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79C7C52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其它工作满意率</w:t>
            </w:r>
          </w:p>
        </w:tc>
        <w:tc>
          <w:tcPr>
            <w:tcW w:w="2312" w:type="dxa"/>
            <w:tcBorders>
              <w:top w:val="nil"/>
              <w:left w:val="nil"/>
              <w:bottom w:val="single" w:color="000000" w:sz="4" w:space="0"/>
              <w:right w:val="single" w:color="000000" w:sz="4" w:space="0"/>
            </w:tcBorders>
            <w:noWrap w:val="0"/>
            <w:vAlign w:val="center"/>
          </w:tcPr>
          <w:p w14:paraId="712628A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根据</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要求制定的其它工作指标完成的比率</w:t>
            </w:r>
          </w:p>
        </w:tc>
        <w:tc>
          <w:tcPr>
            <w:tcW w:w="936" w:type="dxa"/>
            <w:gridSpan w:val="2"/>
            <w:tcBorders>
              <w:top w:val="nil"/>
              <w:left w:val="nil"/>
              <w:bottom w:val="single" w:color="000000" w:sz="4" w:space="0"/>
              <w:right w:val="single" w:color="000000" w:sz="4" w:space="0"/>
            </w:tcBorders>
            <w:noWrap w:val="0"/>
            <w:vAlign w:val="center"/>
          </w:tcPr>
          <w:p w14:paraId="3CF25F1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497C323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69275F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25E9FBC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76B82F88">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6A4F81A6">
        <w:tblPrEx>
          <w:tblCellMar>
            <w:top w:w="0" w:type="dxa"/>
            <w:left w:w="108" w:type="dxa"/>
            <w:bottom w:w="0" w:type="dxa"/>
            <w:right w:w="108" w:type="dxa"/>
          </w:tblCellMar>
        </w:tblPrEx>
        <w:trPr>
          <w:trHeight w:val="90"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4595272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垃圾分类合格</w:t>
            </w:r>
            <w:r>
              <w:rPr>
                <w:rFonts w:hint="eastAsia" w:ascii="宋体" w:hAnsi="宋体" w:eastAsia="宋体" w:cs="宋体"/>
                <w:color w:val="auto"/>
                <w:sz w:val="16"/>
                <w:szCs w:val="16"/>
                <w:highlight w:val="none"/>
              </w:rPr>
              <w:t>率</w:t>
            </w:r>
          </w:p>
        </w:tc>
        <w:tc>
          <w:tcPr>
            <w:tcW w:w="2312" w:type="dxa"/>
            <w:tcBorders>
              <w:top w:val="nil"/>
              <w:left w:val="nil"/>
              <w:bottom w:val="single" w:color="000000" w:sz="4" w:space="0"/>
              <w:right w:val="single" w:color="000000" w:sz="4" w:space="0"/>
            </w:tcBorders>
            <w:noWrap w:val="0"/>
            <w:vAlign w:val="center"/>
          </w:tcPr>
          <w:p w14:paraId="628118B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按</w:t>
            </w:r>
            <w:r>
              <w:rPr>
                <w:rFonts w:hint="eastAsia" w:ascii="宋体" w:hAnsi="宋体" w:eastAsia="宋体" w:cs="宋体"/>
                <w:color w:val="auto"/>
                <w:sz w:val="16"/>
                <w:szCs w:val="16"/>
                <w:highlight w:val="none"/>
                <w:lang w:val="en-US" w:eastAsia="zh-CN"/>
              </w:rPr>
              <w:t>垃圾分类</w:t>
            </w:r>
            <w:r>
              <w:rPr>
                <w:rFonts w:hint="eastAsia" w:ascii="宋体" w:hAnsi="宋体" w:eastAsia="宋体" w:cs="宋体"/>
                <w:color w:val="auto"/>
                <w:sz w:val="16"/>
                <w:szCs w:val="16"/>
                <w:highlight w:val="none"/>
              </w:rPr>
              <w:t>标准进行操作，主管监督检查得力</w:t>
            </w:r>
          </w:p>
        </w:tc>
        <w:tc>
          <w:tcPr>
            <w:tcW w:w="936" w:type="dxa"/>
            <w:gridSpan w:val="2"/>
            <w:tcBorders>
              <w:top w:val="nil"/>
              <w:left w:val="nil"/>
              <w:bottom w:val="single" w:color="000000" w:sz="4" w:space="0"/>
              <w:right w:val="single" w:color="000000" w:sz="4" w:space="0"/>
            </w:tcBorders>
            <w:noWrap w:val="0"/>
            <w:vAlign w:val="center"/>
          </w:tcPr>
          <w:p w14:paraId="38BCBFA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100%</w:t>
            </w:r>
          </w:p>
        </w:tc>
        <w:tc>
          <w:tcPr>
            <w:tcW w:w="827" w:type="dxa"/>
            <w:gridSpan w:val="2"/>
            <w:tcBorders>
              <w:top w:val="nil"/>
              <w:left w:val="nil"/>
              <w:bottom w:val="single" w:color="000000" w:sz="4" w:space="0"/>
              <w:right w:val="single" w:color="000000" w:sz="4" w:space="0"/>
            </w:tcBorders>
            <w:noWrap w:val="0"/>
            <w:vAlign w:val="center"/>
          </w:tcPr>
          <w:p w14:paraId="4BC0992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49A757B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53CDFA5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12DCEA2">
            <w:pPr>
              <w:keepNext w:val="0"/>
              <w:keepLines w:val="0"/>
              <w:pageBreakBefore w:val="0"/>
              <w:widowControl/>
              <w:spacing w:line="260" w:lineRule="exact"/>
              <w:jc w:val="center"/>
              <w:rPr>
                <w:rFonts w:hint="eastAsia" w:ascii="宋体" w:hAnsi="宋体" w:cs="宋体"/>
                <w:color w:val="auto"/>
                <w:sz w:val="16"/>
                <w:szCs w:val="16"/>
                <w:highlight w:val="none"/>
              </w:rPr>
            </w:pPr>
          </w:p>
        </w:tc>
      </w:tr>
      <w:tr w14:paraId="08B66981">
        <w:tblPrEx>
          <w:tblCellMar>
            <w:top w:w="0" w:type="dxa"/>
            <w:left w:w="108" w:type="dxa"/>
            <w:bottom w:w="0" w:type="dxa"/>
            <w:right w:w="108" w:type="dxa"/>
          </w:tblCellMar>
        </w:tblPrEx>
        <w:trPr>
          <w:trHeight w:val="325"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22F5DDF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安全生产合格率</w:t>
            </w:r>
          </w:p>
        </w:tc>
        <w:tc>
          <w:tcPr>
            <w:tcW w:w="2312" w:type="dxa"/>
            <w:tcBorders>
              <w:top w:val="nil"/>
              <w:left w:val="nil"/>
              <w:bottom w:val="single" w:color="000000" w:sz="4" w:space="0"/>
              <w:right w:val="single" w:color="000000" w:sz="4" w:space="0"/>
            </w:tcBorders>
            <w:noWrap w:val="0"/>
            <w:vAlign w:val="center"/>
          </w:tcPr>
          <w:p w14:paraId="0FB54A7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在符合合同的范围内</w:t>
            </w:r>
          </w:p>
        </w:tc>
        <w:tc>
          <w:tcPr>
            <w:tcW w:w="936" w:type="dxa"/>
            <w:gridSpan w:val="2"/>
            <w:tcBorders>
              <w:top w:val="nil"/>
              <w:left w:val="nil"/>
              <w:bottom w:val="single" w:color="000000" w:sz="4" w:space="0"/>
              <w:right w:val="single" w:color="000000" w:sz="4" w:space="0"/>
            </w:tcBorders>
            <w:noWrap w:val="0"/>
            <w:vAlign w:val="center"/>
          </w:tcPr>
          <w:p w14:paraId="25BF9F1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567112C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0D35EC6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5</w:t>
            </w:r>
          </w:p>
        </w:tc>
        <w:tc>
          <w:tcPr>
            <w:tcW w:w="1985" w:type="dxa"/>
            <w:gridSpan w:val="5"/>
            <w:tcBorders>
              <w:top w:val="nil"/>
              <w:left w:val="nil"/>
              <w:bottom w:val="single" w:color="000000" w:sz="4" w:space="0"/>
              <w:right w:val="single" w:color="000000" w:sz="4" w:space="0"/>
            </w:tcBorders>
            <w:noWrap w:val="0"/>
            <w:vAlign w:val="center"/>
          </w:tcPr>
          <w:p w14:paraId="07446A9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B68CE45">
            <w:pPr>
              <w:keepNext w:val="0"/>
              <w:keepLines w:val="0"/>
              <w:pageBreakBefore w:val="0"/>
              <w:widowControl/>
              <w:spacing w:line="260" w:lineRule="exact"/>
              <w:jc w:val="center"/>
              <w:rPr>
                <w:rFonts w:hint="eastAsia" w:ascii="宋体" w:hAnsi="宋体" w:cs="宋体"/>
                <w:color w:val="auto"/>
                <w:sz w:val="16"/>
                <w:szCs w:val="16"/>
                <w:highlight w:val="none"/>
              </w:rPr>
            </w:pPr>
          </w:p>
        </w:tc>
      </w:tr>
      <w:tr w14:paraId="5947B065">
        <w:tblPrEx>
          <w:tblCellMar>
            <w:top w:w="0" w:type="dxa"/>
            <w:left w:w="108" w:type="dxa"/>
            <w:bottom w:w="0" w:type="dxa"/>
            <w:right w:w="108" w:type="dxa"/>
          </w:tblCellMar>
        </w:tblPrEx>
        <w:trPr>
          <w:trHeight w:val="667" w:hRule="atLeast"/>
          <w:jc w:val="center"/>
        </w:trPr>
        <w:tc>
          <w:tcPr>
            <w:tcW w:w="1093" w:type="dxa"/>
            <w:gridSpan w:val="3"/>
            <w:tcBorders>
              <w:top w:val="nil"/>
              <w:left w:val="single" w:color="000000" w:sz="4" w:space="0"/>
              <w:bottom w:val="single" w:color="000000" w:sz="4" w:space="0"/>
              <w:right w:val="single" w:color="000000" w:sz="4" w:space="0"/>
            </w:tcBorders>
            <w:noWrap w:val="0"/>
            <w:vAlign w:val="center"/>
          </w:tcPr>
          <w:p w14:paraId="5927AD5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其它</w:t>
            </w:r>
          </w:p>
        </w:tc>
        <w:tc>
          <w:tcPr>
            <w:tcW w:w="2312" w:type="dxa"/>
            <w:tcBorders>
              <w:top w:val="nil"/>
              <w:left w:val="nil"/>
              <w:bottom w:val="single" w:color="000000" w:sz="4" w:space="0"/>
              <w:right w:val="single" w:color="000000" w:sz="4" w:space="0"/>
            </w:tcBorders>
            <w:noWrap w:val="0"/>
            <w:vAlign w:val="center"/>
          </w:tcPr>
          <w:p w14:paraId="0F610DD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因卫生质量引起社会和上级批评或对</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造成不良影响</w:t>
            </w:r>
          </w:p>
        </w:tc>
        <w:tc>
          <w:tcPr>
            <w:tcW w:w="936" w:type="dxa"/>
            <w:gridSpan w:val="2"/>
            <w:tcBorders>
              <w:top w:val="nil"/>
              <w:left w:val="nil"/>
              <w:bottom w:val="single" w:color="000000" w:sz="4" w:space="0"/>
              <w:right w:val="single" w:color="000000" w:sz="4" w:space="0"/>
            </w:tcBorders>
            <w:noWrap w:val="0"/>
            <w:vAlign w:val="center"/>
          </w:tcPr>
          <w:p w14:paraId="233B47B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0</w:t>
            </w:r>
          </w:p>
        </w:tc>
        <w:tc>
          <w:tcPr>
            <w:tcW w:w="827" w:type="dxa"/>
            <w:gridSpan w:val="2"/>
            <w:tcBorders>
              <w:top w:val="nil"/>
              <w:left w:val="nil"/>
              <w:bottom w:val="single" w:color="000000" w:sz="4" w:space="0"/>
              <w:right w:val="single" w:color="000000" w:sz="4" w:space="0"/>
            </w:tcBorders>
            <w:noWrap w:val="0"/>
            <w:vAlign w:val="center"/>
          </w:tcPr>
          <w:p w14:paraId="44B1B96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61BAC7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w:t>
            </w:r>
          </w:p>
        </w:tc>
        <w:tc>
          <w:tcPr>
            <w:tcW w:w="1985" w:type="dxa"/>
            <w:gridSpan w:val="5"/>
            <w:tcBorders>
              <w:top w:val="single" w:color="000000" w:sz="4" w:space="0"/>
              <w:left w:val="nil"/>
              <w:bottom w:val="single" w:color="000000" w:sz="4" w:space="0"/>
              <w:right w:val="single" w:color="000000" w:sz="4" w:space="0"/>
            </w:tcBorders>
            <w:noWrap w:val="0"/>
            <w:vAlign w:val="center"/>
          </w:tcPr>
          <w:p w14:paraId="1A81A48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有一次批评或不良影响扣</w:t>
            </w:r>
            <w:r>
              <w:rPr>
                <w:rFonts w:hint="eastAsia" w:ascii="宋体" w:hAnsi="宋体" w:eastAsia="宋体" w:cs="宋体"/>
                <w:color w:val="auto"/>
                <w:sz w:val="16"/>
                <w:szCs w:val="16"/>
                <w:highlight w:val="none"/>
                <w:lang w:val="en-US" w:eastAsia="zh-CN"/>
              </w:rPr>
              <w:t>二</w:t>
            </w:r>
            <w:r>
              <w:rPr>
                <w:rFonts w:hint="eastAsia" w:ascii="宋体" w:hAnsi="宋体" w:eastAsia="宋体" w:cs="宋体"/>
                <w:color w:val="auto"/>
                <w:sz w:val="16"/>
                <w:szCs w:val="16"/>
                <w:highlight w:val="none"/>
              </w:rPr>
              <w:t>分，造成严重不良影响的扣</w:t>
            </w:r>
            <w:r>
              <w:rPr>
                <w:rFonts w:hint="eastAsia" w:ascii="宋体" w:hAnsi="宋体" w:eastAsia="宋体" w:cs="宋体"/>
                <w:color w:val="auto"/>
                <w:sz w:val="16"/>
                <w:szCs w:val="16"/>
                <w:highlight w:val="none"/>
                <w:lang w:val="en-US" w:eastAsia="zh-CN"/>
              </w:rPr>
              <w:t>五</w:t>
            </w:r>
            <w:r>
              <w:rPr>
                <w:rFonts w:hint="eastAsia" w:ascii="宋体" w:hAnsi="宋体" w:eastAsia="宋体" w:cs="宋体"/>
                <w:color w:val="auto"/>
                <w:sz w:val="16"/>
                <w:szCs w:val="16"/>
                <w:highlight w:val="none"/>
              </w:rPr>
              <w:t>分　</w:t>
            </w:r>
          </w:p>
        </w:tc>
        <w:tc>
          <w:tcPr>
            <w:tcW w:w="1005" w:type="dxa"/>
            <w:gridSpan w:val="2"/>
            <w:tcBorders>
              <w:top w:val="single" w:color="000000" w:sz="4" w:space="0"/>
              <w:left w:val="nil"/>
              <w:bottom w:val="single" w:color="000000" w:sz="4" w:space="0"/>
              <w:right w:val="single" w:color="000000" w:sz="4" w:space="0"/>
            </w:tcBorders>
            <w:noWrap w:val="0"/>
            <w:vAlign w:val="center"/>
          </w:tcPr>
          <w:p w14:paraId="0AB0DB89">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62A4620B">
        <w:tblPrEx>
          <w:tblCellMar>
            <w:top w:w="0" w:type="dxa"/>
            <w:left w:w="108" w:type="dxa"/>
            <w:bottom w:w="0" w:type="dxa"/>
            <w:right w:w="108" w:type="dxa"/>
          </w:tblCellMar>
        </w:tblPrEx>
        <w:trPr>
          <w:trHeight w:val="667" w:hRule="atLeast"/>
          <w:jc w:val="center"/>
        </w:trPr>
        <w:tc>
          <w:tcPr>
            <w:tcW w:w="7910" w:type="dxa"/>
            <w:gridSpan w:val="14"/>
            <w:tcBorders>
              <w:top w:val="nil"/>
              <w:left w:val="single" w:color="000000" w:sz="4" w:space="0"/>
              <w:bottom w:val="single" w:color="000000" w:sz="4" w:space="0"/>
              <w:right w:val="single" w:color="000000" w:sz="4" w:space="0"/>
            </w:tcBorders>
            <w:noWrap w:val="0"/>
            <w:vAlign w:val="center"/>
          </w:tcPr>
          <w:p w14:paraId="04F36E97">
            <w:pPr>
              <w:keepNext w:val="0"/>
              <w:keepLines w:val="0"/>
              <w:pageBreakBefore w:val="0"/>
              <w:widowControl/>
              <w:spacing w:line="260" w:lineRule="exact"/>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lang w:eastAsia="zh-CN"/>
              </w:rPr>
              <w:t>总得分</w:t>
            </w:r>
          </w:p>
        </w:tc>
        <w:tc>
          <w:tcPr>
            <w:tcW w:w="1005" w:type="dxa"/>
            <w:gridSpan w:val="2"/>
            <w:tcBorders>
              <w:top w:val="single" w:color="000000" w:sz="4" w:space="0"/>
              <w:left w:val="nil"/>
              <w:bottom w:val="single" w:color="000000" w:sz="4" w:space="0"/>
              <w:right w:val="single" w:color="000000" w:sz="4" w:space="0"/>
            </w:tcBorders>
            <w:noWrap w:val="0"/>
            <w:vAlign w:val="center"/>
          </w:tcPr>
          <w:p w14:paraId="4624D53C">
            <w:pPr>
              <w:keepNext w:val="0"/>
              <w:keepLines w:val="0"/>
              <w:pageBreakBefore w:val="0"/>
              <w:widowControl/>
              <w:spacing w:line="260" w:lineRule="exact"/>
              <w:jc w:val="center"/>
              <w:rPr>
                <w:rFonts w:hint="eastAsia" w:ascii="宋体" w:hAnsi="宋体" w:cs="宋体"/>
                <w:color w:val="auto"/>
                <w:sz w:val="16"/>
                <w:szCs w:val="16"/>
                <w:highlight w:val="none"/>
              </w:rPr>
            </w:pPr>
          </w:p>
        </w:tc>
      </w:tr>
      <w:tr w14:paraId="5A681308">
        <w:tblPrEx>
          <w:tblCellMar>
            <w:top w:w="0" w:type="dxa"/>
            <w:left w:w="108" w:type="dxa"/>
            <w:bottom w:w="0" w:type="dxa"/>
            <w:right w:w="108" w:type="dxa"/>
          </w:tblCellMar>
        </w:tblPrEx>
        <w:trPr>
          <w:trHeight w:val="340" w:hRule="atLeast"/>
          <w:jc w:val="center"/>
        </w:trPr>
        <w:tc>
          <w:tcPr>
            <w:tcW w:w="8915" w:type="dxa"/>
            <w:gridSpan w:val="16"/>
            <w:tcBorders>
              <w:top w:val="nil"/>
              <w:left w:val="nil"/>
              <w:bottom w:val="nil"/>
              <w:right w:val="nil"/>
            </w:tcBorders>
            <w:noWrap w:val="0"/>
            <w:vAlign w:val="center"/>
          </w:tcPr>
          <w:p w14:paraId="39D2D0F9">
            <w:pPr>
              <w:widowControl/>
              <w:jc w:val="left"/>
              <w:rPr>
                <w:rFonts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rPr>
              <w:t>附件2</w:t>
            </w:r>
            <w:r>
              <w:rPr>
                <w:rFonts w:hint="eastAsia" w:ascii="宋体" w:hAnsi="宋体" w:cs="宋体"/>
                <w:b/>
                <w:bCs/>
                <w:color w:val="auto"/>
                <w:sz w:val="20"/>
                <w:szCs w:val="20"/>
                <w:highlight w:val="none"/>
                <w:lang w:val="en-US" w:eastAsia="zh-CN"/>
              </w:rPr>
              <w:t>-2：</w:t>
            </w:r>
          </w:p>
          <w:p w14:paraId="2F653C6A">
            <w:pPr>
              <w:widowControl/>
              <w:jc w:val="center"/>
              <w:rPr>
                <w:rFonts w:ascii="方正小标宋_GBK" w:hAnsi="宋体" w:eastAsia="方正小标宋_GBK" w:cs="宋体"/>
                <w:color w:val="auto"/>
                <w:sz w:val="40"/>
                <w:szCs w:val="40"/>
                <w:highlight w:val="none"/>
              </w:rPr>
            </w:pPr>
            <w:r>
              <w:rPr>
                <w:rFonts w:hint="eastAsia" w:ascii="宋体" w:hAnsi="宋体" w:eastAsia="宋体" w:cs="宋体"/>
                <w:b/>
                <w:bCs/>
                <w:color w:val="auto"/>
                <w:sz w:val="32"/>
                <w:szCs w:val="32"/>
                <w:highlight w:val="none"/>
                <w:lang w:eastAsia="zh-CN"/>
              </w:rPr>
              <w:t>保洁服务</w:t>
            </w:r>
            <w:r>
              <w:rPr>
                <w:rFonts w:hint="eastAsia" w:ascii="宋体" w:hAnsi="宋体" w:eastAsia="宋体" w:cs="宋体"/>
                <w:b/>
                <w:bCs/>
                <w:color w:val="auto"/>
                <w:sz w:val="32"/>
                <w:szCs w:val="32"/>
                <w:highlight w:val="none"/>
              </w:rPr>
              <w:t>考核标准</w:t>
            </w:r>
          </w:p>
        </w:tc>
      </w:tr>
      <w:tr w14:paraId="76883E82">
        <w:tblPrEx>
          <w:tblCellMar>
            <w:top w:w="0" w:type="dxa"/>
            <w:left w:w="108" w:type="dxa"/>
            <w:bottom w:w="0" w:type="dxa"/>
            <w:right w:w="108" w:type="dxa"/>
          </w:tblCellMar>
        </w:tblPrEx>
        <w:trPr>
          <w:trHeight w:val="574" w:hRule="atLeast"/>
          <w:jc w:val="center"/>
        </w:trPr>
        <w:tc>
          <w:tcPr>
            <w:tcW w:w="1026" w:type="dxa"/>
            <w:gridSpan w:val="2"/>
            <w:tcBorders>
              <w:top w:val="single" w:color="000000" w:sz="4" w:space="0"/>
              <w:left w:val="single" w:color="000000" w:sz="4" w:space="0"/>
              <w:bottom w:val="single" w:color="000000" w:sz="4" w:space="0"/>
              <w:right w:val="single" w:color="000000" w:sz="4" w:space="0"/>
            </w:tcBorders>
            <w:noWrap w:val="0"/>
            <w:vAlign w:val="center"/>
          </w:tcPr>
          <w:p w14:paraId="4A015B9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项目</w:t>
            </w: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84FEA8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标准</w:t>
            </w:r>
            <w:r>
              <w:rPr>
                <w:rFonts w:hint="eastAsia" w:ascii="宋体" w:hAnsi="宋体" w:eastAsia="宋体" w:cs="宋体"/>
                <w:color w:val="auto"/>
                <w:sz w:val="16"/>
                <w:szCs w:val="16"/>
                <w:highlight w:val="none"/>
                <w:lang w:eastAsia="zh-CN"/>
              </w:rPr>
              <w:t>要求</w:t>
            </w:r>
          </w:p>
        </w:tc>
        <w:tc>
          <w:tcPr>
            <w:tcW w:w="1825" w:type="dxa"/>
            <w:gridSpan w:val="3"/>
            <w:tcBorders>
              <w:top w:val="single" w:color="000000" w:sz="4" w:space="0"/>
              <w:left w:val="nil"/>
              <w:bottom w:val="single" w:color="000000" w:sz="4" w:space="0"/>
              <w:right w:val="single" w:color="000000" w:sz="4" w:space="0"/>
            </w:tcBorders>
            <w:noWrap w:val="0"/>
            <w:vAlign w:val="center"/>
          </w:tcPr>
          <w:p w14:paraId="2F0A79A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扣分标准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213D96B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扣分</w:t>
            </w: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32FD69F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eastAsia="zh-CN"/>
              </w:rPr>
              <w:t>分值</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D7CB13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得分（满分</w:t>
            </w:r>
            <w:r>
              <w:rPr>
                <w:rFonts w:hint="eastAsia" w:ascii="宋体" w:hAnsi="宋体" w:eastAsia="宋体" w:cs="宋体"/>
                <w:color w:val="auto"/>
                <w:sz w:val="16"/>
                <w:szCs w:val="16"/>
                <w:highlight w:val="none"/>
                <w:lang w:val="en-US" w:eastAsia="zh-CN"/>
              </w:rPr>
              <w:t>100分）</w:t>
            </w:r>
          </w:p>
        </w:tc>
      </w:tr>
      <w:tr w14:paraId="3B46627F">
        <w:tblPrEx>
          <w:tblCellMar>
            <w:top w:w="0" w:type="dxa"/>
            <w:left w:w="108" w:type="dxa"/>
            <w:bottom w:w="0" w:type="dxa"/>
            <w:right w:w="108" w:type="dxa"/>
          </w:tblCellMar>
        </w:tblPrEx>
        <w:trPr>
          <w:trHeight w:val="574" w:hRule="atLeast"/>
          <w:jc w:val="center"/>
        </w:trPr>
        <w:tc>
          <w:tcPr>
            <w:tcW w:w="1026" w:type="dxa"/>
            <w:gridSpan w:val="2"/>
            <w:vMerge w:val="restart"/>
            <w:tcBorders>
              <w:top w:val="single" w:color="000000" w:sz="4" w:space="0"/>
              <w:left w:val="single" w:color="000000" w:sz="4" w:space="0"/>
              <w:bottom w:val="nil"/>
              <w:right w:val="single" w:color="000000" w:sz="4" w:space="0"/>
            </w:tcBorders>
            <w:noWrap w:val="0"/>
            <w:vAlign w:val="center"/>
          </w:tcPr>
          <w:p w14:paraId="2F0C727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基本要求</w:t>
            </w: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01D4A31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对于检查发现的问题、甲方建议应及时做出整改。</w:t>
            </w:r>
          </w:p>
        </w:tc>
        <w:tc>
          <w:tcPr>
            <w:tcW w:w="1825" w:type="dxa"/>
            <w:gridSpan w:val="3"/>
            <w:tcBorders>
              <w:top w:val="single" w:color="000000" w:sz="4" w:space="0"/>
              <w:left w:val="nil"/>
              <w:bottom w:val="single" w:color="000000" w:sz="4" w:space="0"/>
              <w:right w:val="single" w:color="000000" w:sz="4" w:space="0"/>
            </w:tcBorders>
            <w:noWrap w:val="0"/>
            <w:vAlign w:val="center"/>
          </w:tcPr>
          <w:p w14:paraId="544E295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68E7BBD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5B0EC7B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C685EF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A6A3C6F">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000000" w:sz="4" w:space="0"/>
              <w:bottom w:val="nil"/>
              <w:right w:val="single" w:color="000000" w:sz="4" w:space="0"/>
            </w:tcBorders>
            <w:noWrap w:val="0"/>
            <w:vAlign w:val="center"/>
          </w:tcPr>
          <w:p w14:paraId="27187F7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79F9DA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必须按甲方认可的人数安排保洁人员。</w:t>
            </w:r>
          </w:p>
        </w:tc>
        <w:tc>
          <w:tcPr>
            <w:tcW w:w="1825" w:type="dxa"/>
            <w:gridSpan w:val="3"/>
            <w:tcBorders>
              <w:top w:val="single" w:color="000000" w:sz="4" w:space="0"/>
              <w:left w:val="nil"/>
              <w:bottom w:val="single" w:color="000000" w:sz="4" w:space="0"/>
              <w:right w:val="single" w:color="000000" w:sz="4" w:space="0"/>
            </w:tcBorders>
            <w:noWrap w:val="0"/>
            <w:vAlign w:val="center"/>
          </w:tcPr>
          <w:p w14:paraId="38F66F2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7C37792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4FE6716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A4E85B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1C1513FB">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000000" w:sz="4" w:space="0"/>
              <w:bottom w:val="nil"/>
              <w:right w:val="single" w:color="000000" w:sz="4" w:space="0"/>
            </w:tcBorders>
            <w:noWrap w:val="0"/>
            <w:vAlign w:val="center"/>
          </w:tcPr>
          <w:p w14:paraId="0302BF9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5865377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统一服装，文明、主动服务， 佩戴胸牌上岗，在岗在位，不得串岗。</w:t>
            </w:r>
          </w:p>
        </w:tc>
        <w:tc>
          <w:tcPr>
            <w:tcW w:w="1825" w:type="dxa"/>
            <w:gridSpan w:val="3"/>
            <w:tcBorders>
              <w:top w:val="single" w:color="000000" w:sz="4" w:space="0"/>
              <w:left w:val="nil"/>
              <w:bottom w:val="single" w:color="000000" w:sz="4" w:space="0"/>
              <w:right w:val="single" w:color="000000" w:sz="4" w:space="0"/>
            </w:tcBorders>
            <w:noWrap w:val="0"/>
            <w:vAlign w:val="center"/>
          </w:tcPr>
          <w:p w14:paraId="6CD06F0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104B3BC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1FF3E9E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AA4079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F39C6F8">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000000" w:sz="4" w:space="0"/>
              <w:bottom w:val="nil"/>
              <w:right w:val="single" w:color="000000" w:sz="4" w:space="0"/>
            </w:tcBorders>
            <w:noWrap w:val="0"/>
            <w:vAlign w:val="center"/>
          </w:tcPr>
          <w:p w14:paraId="73A6D4F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4DE7C5E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严格遵守</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各项规章制度和注意事项</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15D902F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4A9FCCF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460F089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98F2C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834F56F">
        <w:tblPrEx>
          <w:tblCellMar>
            <w:top w:w="0" w:type="dxa"/>
            <w:left w:w="108" w:type="dxa"/>
            <w:bottom w:w="0" w:type="dxa"/>
            <w:right w:w="108" w:type="dxa"/>
          </w:tblCellMar>
        </w:tblPrEx>
        <w:trPr>
          <w:trHeight w:val="574" w:hRule="atLeast"/>
          <w:jc w:val="center"/>
        </w:trPr>
        <w:tc>
          <w:tcPr>
            <w:tcW w:w="1026" w:type="dxa"/>
            <w:gridSpan w:val="2"/>
            <w:vMerge w:val="restart"/>
            <w:tcBorders>
              <w:top w:val="single" w:color="000000" w:sz="4" w:space="0"/>
              <w:left w:val="single" w:color="auto" w:sz="4" w:space="0"/>
              <w:bottom w:val="nil"/>
              <w:right w:val="single" w:color="000000" w:sz="4" w:space="0"/>
            </w:tcBorders>
            <w:noWrap w:val="0"/>
            <w:vAlign w:val="center"/>
          </w:tcPr>
          <w:p w14:paraId="3CE6E03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保洁</w:t>
            </w: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5DC6DF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PVC、 大理石等地面干净、</w:t>
            </w:r>
            <w:r>
              <w:rPr>
                <w:rFonts w:hint="eastAsia" w:ascii="宋体" w:hAnsi="宋体" w:eastAsia="宋体" w:cs="宋体"/>
                <w:color w:val="auto"/>
                <w:sz w:val="16"/>
                <w:szCs w:val="16"/>
                <w:highlight w:val="none"/>
              </w:rPr>
              <w:t>无垃圾、无浮灰、无烟蒂、无水迹</w:t>
            </w:r>
            <w:r>
              <w:rPr>
                <w:rFonts w:hint="eastAsia" w:ascii="宋体" w:hAnsi="宋体" w:eastAsia="宋体" w:cs="宋体"/>
                <w:color w:val="auto"/>
                <w:sz w:val="16"/>
                <w:szCs w:val="16"/>
                <w:highlight w:val="none"/>
                <w:lang w:eastAsia="zh-CN"/>
              </w:rPr>
              <w:t>、</w:t>
            </w:r>
            <w:r>
              <w:rPr>
                <w:rFonts w:hint="eastAsia" w:ascii="宋体" w:hAnsi="宋体" w:eastAsia="宋体" w:cs="宋体"/>
                <w:color w:val="auto"/>
                <w:sz w:val="16"/>
                <w:szCs w:val="16"/>
                <w:highlight w:val="none"/>
                <w:lang w:val="en-US" w:eastAsia="zh-CN"/>
              </w:rPr>
              <w:t>有光泽等。</w:t>
            </w:r>
          </w:p>
        </w:tc>
        <w:tc>
          <w:tcPr>
            <w:tcW w:w="1825" w:type="dxa"/>
            <w:gridSpan w:val="3"/>
            <w:tcBorders>
              <w:top w:val="single" w:color="000000" w:sz="4" w:space="0"/>
              <w:left w:val="nil"/>
              <w:bottom w:val="single" w:color="000000" w:sz="4" w:space="0"/>
              <w:right w:val="single" w:color="000000" w:sz="4" w:space="0"/>
            </w:tcBorders>
            <w:noWrap w:val="0"/>
            <w:vAlign w:val="center"/>
          </w:tcPr>
          <w:p w14:paraId="200B528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2FF213E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3179E44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B9E356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E1EE67A">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390F225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0FCDC2B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墙壁、 墙砖没有浮灰、蜘蛛网</w:t>
            </w:r>
            <w:r>
              <w:rPr>
                <w:rFonts w:hint="eastAsia" w:ascii="宋体" w:hAnsi="宋体" w:eastAsia="宋体" w:cs="宋体"/>
                <w:color w:val="auto"/>
                <w:sz w:val="16"/>
                <w:szCs w:val="16"/>
                <w:highlight w:val="none"/>
                <w:lang w:eastAsia="zh-CN"/>
              </w:rPr>
              <w:t>、</w:t>
            </w:r>
            <w:r>
              <w:rPr>
                <w:rFonts w:hint="eastAsia" w:ascii="宋体" w:hAnsi="宋体" w:eastAsia="宋体" w:cs="宋体"/>
                <w:color w:val="auto"/>
                <w:sz w:val="16"/>
                <w:szCs w:val="16"/>
                <w:highlight w:val="none"/>
              </w:rPr>
              <w:t>污渍、水迹</w:t>
            </w:r>
            <w:r>
              <w:rPr>
                <w:rFonts w:hint="eastAsia" w:ascii="宋体" w:hAnsi="宋体" w:eastAsia="宋体" w:cs="宋体"/>
                <w:color w:val="auto"/>
                <w:sz w:val="16"/>
                <w:szCs w:val="16"/>
                <w:highlight w:val="none"/>
                <w:lang w:val="en-US" w:eastAsia="zh-CN"/>
              </w:rPr>
              <w:t>， 标识标牌干净无浮灰，内外玻璃洁净光亮，窗槽没有烟灰等杂物。</w:t>
            </w:r>
          </w:p>
        </w:tc>
        <w:tc>
          <w:tcPr>
            <w:tcW w:w="1825" w:type="dxa"/>
            <w:gridSpan w:val="3"/>
            <w:tcBorders>
              <w:top w:val="single" w:color="000000" w:sz="4" w:space="0"/>
              <w:left w:val="nil"/>
              <w:bottom w:val="single" w:color="000000" w:sz="4" w:space="0"/>
              <w:right w:val="single" w:color="000000" w:sz="4" w:space="0"/>
            </w:tcBorders>
            <w:noWrap w:val="0"/>
            <w:vAlign w:val="center"/>
          </w:tcPr>
          <w:p w14:paraId="3BF4E54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3C47627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387B4CC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CD936F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041D25CE">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1225A8A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7BDC738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走廊、</w:t>
            </w:r>
            <w:r>
              <w:rPr>
                <w:rFonts w:hint="eastAsia" w:ascii="宋体" w:hAnsi="宋体" w:eastAsia="宋体" w:cs="宋体"/>
                <w:color w:val="auto"/>
                <w:sz w:val="16"/>
                <w:szCs w:val="16"/>
                <w:highlight w:val="none"/>
                <w:lang w:val="en-US" w:eastAsia="zh-CN"/>
              </w:rPr>
              <w:t>楼梯间干净整洁，扶手没有浮灰，地面没有烟头。</w:t>
            </w:r>
          </w:p>
        </w:tc>
        <w:tc>
          <w:tcPr>
            <w:tcW w:w="1825" w:type="dxa"/>
            <w:gridSpan w:val="3"/>
            <w:tcBorders>
              <w:top w:val="single" w:color="000000" w:sz="4" w:space="0"/>
              <w:left w:val="nil"/>
              <w:bottom w:val="single" w:color="000000" w:sz="4" w:space="0"/>
              <w:right w:val="single" w:color="000000" w:sz="4" w:space="0"/>
            </w:tcBorders>
            <w:noWrap w:val="0"/>
            <w:vAlign w:val="center"/>
          </w:tcPr>
          <w:p w14:paraId="12400D5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4354734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3E0923F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6554E9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52FB3C6">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16246DF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3B4504D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处置间无异味、无污垢等，垃圾袋定时更换</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37EA22B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092837E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26C6525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69AE24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44F098BC">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47F3CDA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061D20A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电梯门、轿厢内表面无灰尘、无污迹、无手印、 洁净光亮。 电梯厢地面无垃圾、纸屑、 烟头、杂物等。</w:t>
            </w:r>
          </w:p>
        </w:tc>
        <w:tc>
          <w:tcPr>
            <w:tcW w:w="1825" w:type="dxa"/>
            <w:gridSpan w:val="3"/>
            <w:tcBorders>
              <w:top w:val="single" w:color="000000" w:sz="4" w:space="0"/>
              <w:left w:val="nil"/>
              <w:bottom w:val="single" w:color="000000" w:sz="4" w:space="0"/>
              <w:right w:val="single" w:color="000000" w:sz="4" w:space="0"/>
            </w:tcBorders>
            <w:noWrap w:val="0"/>
            <w:vAlign w:val="center"/>
          </w:tcPr>
          <w:p w14:paraId="522707F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38ACD12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1F7CF7B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4F962E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44D7C5CC">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62AE710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0AD2EA5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诊察桌、输液椅、输液架无积灰、无污渍等</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5D3AE13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45E5574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0DFEBF5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9E7143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8C9CE56">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4EEAE09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22A0F45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轮椅、推车无结灰、无异响等</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79BCC56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5677E01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143EA41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3</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0DFA7F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C04F926">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57F21E1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D993E4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天花板、出风口干净，没有蛛网、没有黑斑、霉点。</w:t>
            </w:r>
          </w:p>
        </w:tc>
        <w:tc>
          <w:tcPr>
            <w:tcW w:w="1825" w:type="dxa"/>
            <w:gridSpan w:val="3"/>
            <w:tcBorders>
              <w:top w:val="single" w:color="000000" w:sz="4" w:space="0"/>
              <w:left w:val="nil"/>
              <w:bottom w:val="single" w:color="000000" w:sz="4" w:space="0"/>
              <w:right w:val="single" w:color="000000" w:sz="4" w:space="0"/>
            </w:tcBorders>
            <w:noWrap w:val="0"/>
            <w:vAlign w:val="center"/>
          </w:tcPr>
          <w:p w14:paraId="6616597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7A36309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5649CE6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BA2EB6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7E7C309D">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0A6FB46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77F2212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中央空调风口、灯具无污渍，无积灰等，过滤网每月清洗</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056EB34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7A7C776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4E75BD6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7BF035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653D3B6">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2D6BB4B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63CB4FA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床单元无垃圾、无污渍、无积灰等，消毒到位、病人出院及时清理</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1BFB832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67859A2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6FACAA6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6A43A1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1993F093">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076E274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82A267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桌面、床、床头柜、台面等各种器具表面干净整洁，没有灰尘；床、床头柜底下等隐蔽区域打扫到位，边角没有污渍。</w:t>
            </w:r>
          </w:p>
        </w:tc>
        <w:tc>
          <w:tcPr>
            <w:tcW w:w="1825" w:type="dxa"/>
            <w:gridSpan w:val="3"/>
            <w:tcBorders>
              <w:top w:val="single" w:color="000000" w:sz="4" w:space="0"/>
              <w:left w:val="nil"/>
              <w:bottom w:val="single" w:color="000000" w:sz="4" w:space="0"/>
              <w:right w:val="single" w:color="000000" w:sz="4" w:space="0"/>
            </w:tcBorders>
            <w:noWrap w:val="0"/>
            <w:vAlign w:val="center"/>
          </w:tcPr>
          <w:p w14:paraId="3D00B75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3890473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721A787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2CFB8B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7B959ACF">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2A2C286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D0660B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卫生间无异味、无污垢等，垃圾袋定时更换、完好、无堵塞、无滴漏、无污迹等</w:t>
            </w:r>
            <w:r>
              <w:rPr>
                <w:rFonts w:hint="eastAsia" w:ascii="宋体" w:hAnsi="宋体" w:eastAsia="宋体" w:cs="宋体"/>
                <w:color w:val="auto"/>
                <w:sz w:val="16"/>
                <w:szCs w:val="16"/>
                <w:highlight w:val="none"/>
                <w:lang w:eastAsia="zh-CN"/>
              </w:rPr>
              <w:t>。</w:t>
            </w:r>
          </w:p>
        </w:tc>
        <w:tc>
          <w:tcPr>
            <w:tcW w:w="1825" w:type="dxa"/>
            <w:gridSpan w:val="3"/>
            <w:tcBorders>
              <w:top w:val="single" w:color="000000" w:sz="4" w:space="0"/>
              <w:left w:val="nil"/>
              <w:bottom w:val="single" w:color="000000" w:sz="4" w:space="0"/>
              <w:right w:val="single" w:color="000000" w:sz="4" w:space="0"/>
            </w:tcBorders>
            <w:noWrap w:val="0"/>
            <w:vAlign w:val="center"/>
          </w:tcPr>
          <w:p w14:paraId="729C0CC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09BF4B5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4FA4855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99B0EB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77A70448">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33C11C3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4E5C50B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治疗车、抢救车等及时消毒、擦拭干净。</w:t>
            </w:r>
          </w:p>
        </w:tc>
        <w:tc>
          <w:tcPr>
            <w:tcW w:w="1825" w:type="dxa"/>
            <w:gridSpan w:val="3"/>
            <w:tcBorders>
              <w:top w:val="single" w:color="000000" w:sz="4" w:space="0"/>
              <w:left w:val="nil"/>
              <w:bottom w:val="single" w:color="000000" w:sz="4" w:space="0"/>
              <w:right w:val="single" w:color="000000" w:sz="4" w:space="0"/>
            </w:tcBorders>
            <w:noWrap w:val="0"/>
            <w:vAlign w:val="center"/>
          </w:tcPr>
          <w:p w14:paraId="514AAAB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239B845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5B9C79F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3</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51F6D2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4CF2689">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4096614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266AC28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污洗间摆放整洁、有条理， 拖把、一床一巾摆放符合规范，没有私人物品。</w:t>
            </w:r>
          </w:p>
        </w:tc>
        <w:tc>
          <w:tcPr>
            <w:tcW w:w="1825" w:type="dxa"/>
            <w:gridSpan w:val="3"/>
            <w:tcBorders>
              <w:top w:val="single" w:color="000000" w:sz="4" w:space="0"/>
              <w:left w:val="nil"/>
              <w:bottom w:val="single" w:color="000000" w:sz="4" w:space="0"/>
              <w:right w:val="single" w:color="000000" w:sz="4" w:space="0"/>
            </w:tcBorders>
            <w:noWrap w:val="0"/>
            <w:vAlign w:val="center"/>
          </w:tcPr>
          <w:p w14:paraId="5840234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2B96698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7FFDC21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D22EEC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78EB90BB">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nil"/>
              <w:right w:val="single" w:color="000000" w:sz="4" w:space="0"/>
            </w:tcBorders>
            <w:noWrap w:val="0"/>
            <w:vAlign w:val="center"/>
          </w:tcPr>
          <w:p w14:paraId="4628A1F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000000" w:sz="4" w:space="0"/>
              <w:right w:val="single" w:color="000000" w:sz="4" w:space="0"/>
            </w:tcBorders>
            <w:noWrap w:val="0"/>
            <w:vAlign w:val="center"/>
          </w:tcPr>
          <w:p w14:paraId="1C5D1D2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室外路灯、指示牌等公共设施干净、不倾斜、 没有破损。</w:t>
            </w:r>
          </w:p>
        </w:tc>
        <w:tc>
          <w:tcPr>
            <w:tcW w:w="1825" w:type="dxa"/>
            <w:gridSpan w:val="3"/>
            <w:tcBorders>
              <w:top w:val="single" w:color="000000" w:sz="4" w:space="0"/>
              <w:left w:val="nil"/>
              <w:bottom w:val="single" w:color="000000" w:sz="4" w:space="0"/>
              <w:right w:val="single" w:color="000000" w:sz="4" w:space="0"/>
            </w:tcBorders>
            <w:noWrap w:val="0"/>
            <w:vAlign w:val="center"/>
          </w:tcPr>
          <w:p w14:paraId="267C41C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000000" w:sz="4" w:space="0"/>
              <w:right w:val="single" w:color="000000" w:sz="4" w:space="0"/>
            </w:tcBorders>
            <w:noWrap w:val="0"/>
            <w:vAlign w:val="center"/>
          </w:tcPr>
          <w:p w14:paraId="3B53707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000000" w:sz="4" w:space="0"/>
              <w:right w:val="single" w:color="000000" w:sz="4" w:space="0"/>
            </w:tcBorders>
            <w:noWrap w:val="0"/>
            <w:vAlign w:val="center"/>
          </w:tcPr>
          <w:p w14:paraId="7D48A77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B220F9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44145E53">
        <w:tblPrEx>
          <w:tblCellMar>
            <w:top w:w="0" w:type="dxa"/>
            <w:left w:w="108" w:type="dxa"/>
            <w:bottom w:w="0" w:type="dxa"/>
            <w:right w:w="108" w:type="dxa"/>
          </w:tblCellMar>
        </w:tblPrEx>
        <w:trPr>
          <w:trHeight w:val="574" w:hRule="atLeast"/>
          <w:jc w:val="center"/>
        </w:trPr>
        <w:tc>
          <w:tcPr>
            <w:tcW w:w="1026" w:type="dxa"/>
            <w:gridSpan w:val="2"/>
            <w:vMerge w:val="continue"/>
            <w:tcBorders>
              <w:top w:val="nil"/>
              <w:left w:val="single" w:color="auto" w:sz="4" w:space="0"/>
              <w:bottom w:val="single" w:color="auto" w:sz="4" w:space="0"/>
              <w:right w:val="single" w:color="000000" w:sz="4" w:space="0"/>
            </w:tcBorders>
            <w:noWrap w:val="0"/>
            <w:vAlign w:val="center"/>
          </w:tcPr>
          <w:p w14:paraId="50A8A93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000000" w:sz="4" w:space="0"/>
              <w:left w:val="single" w:color="000000" w:sz="4" w:space="0"/>
              <w:bottom w:val="single" w:color="auto" w:sz="4" w:space="0"/>
              <w:right w:val="single" w:color="000000" w:sz="4" w:space="0"/>
            </w:tcBorders>
            <w:noWrap w:val="0"/>
            <w:vAlign w:val="center"/>
          </w:tcPr>
          <w:p w14:paraId="3A3EF89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水池、龙头、马桶、 淋浴房等擦拭洁净光亮， 没有黑斑、霉点，垃圾桶（篓）及时更换，没有外溢。</w:t>
            </w:r>
          </w:p>
        </w:tc>
        <w:tc>
          <w:tcPr>
            <w:tcW w:w="1825" w:type="dxa"/>
            <w:gridSpan w:val="3"/>
            <w:tcBorders>
              <w:top w:val="single" w:color="000000" w:sz="4" w:space="0"/>
              <w:left w:val="nil"/>
              <w:bottom w:val="single" w:color="auto" w:sz="4" w:space="0"/>
              <w:right w:val="single" w:color="000000" w:sz="4" w:space="0"/>
            </w:tcBorders>
            <w:noWrap w:val="0"/>
            <w:vAlign w:val="center"/>
          </w:tcPr>
          <w:p w14:paraId="1F79E23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000000" w:sz="4" w:space="0"/>
              <w:left w:val="single" w:color="000000" w:sz="4" w:space="0"/>
              <w:bottom w:val="single" w:color="auto" w:sz="4" w:space="0"/>
              <w:right w:val="single" w:color="000000" w:sz="4" w:space="0"/>
            </w:tcBorders>
            <w:noWrap w:val="0"/>
            <w:vAlign w:val="center"/>
          </w:tcPr>
          <w:p w14:paraId="55D5A9B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000000" w:sz="4" w:space="0"/>
              <w:left w:val="single" w:color="000000" w:sz="4" w:space="0"/>
              <w:bottom w:val="single" w:color="auto" w:sz="4" w:space="0"/>
              <w:right w:val="single" w:color="000000" w:sz="4" w:space="0"/>
            </w:tcBorders>
            <w:noWrap w:val="0"/>
            <w:vAlign w:val="center"/>
          </w:tcPr>
          <w:p w14:paraId="7BB3B62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9AEFBF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F555C94">
        <w:tblPrEx>
          <w:tblCellMar>
            <w:top w:w="0" w:type="dxa"/>
            <w:left w:w="108" w:type="dxa"/>
            <w:bottom w:w="0" w:type="dxa"/>
            <w:right w:w="108" w:type="dxa"/>
          </w:tblCellMar>
        </w:tblPrEx>
        <w:trPr>
          <w:trHeight w:val="574" w:hRule="atLeast"/>
          <w:jc w:val="center"/>
        </w:trPr>
        <w:tc>
          <w:tcPr>
            <w:tcW w:w="10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74545B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auto" w:sz="4" w:space="0"/>
              <w:left w:val="single" w:color="auto" w:sz="4" w:space="0"/>
              <w:bottom w:val="single" w:color="auto" w:sz="4" w:space="0"/>
              <w:right w:val="single" w:color="auto" w:sz="4" w:space="0"/>
            </w:tcBorders>
            <w:noWrap w:val="0"/>
            <w:vAlign w:val="center"/>
          </w:tcPr>
          <w:p w14:paraId="13ABCD3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每日清运垃圾无积压，垃圾桶、堆场及时清洗、无严重异味等</w:t>
            </w:r>
          </w:p>
        </w:tc>
        <w:tc>
          <w:tcPr>
            <w:tcW w:w="1825" w:type="dxa"/>
            <w:gridSpan w:val="3"/>
            <w:tcBorders>
              <w:top w:val="single" w:color="auto" w:sz="4" w:space="0"/>
              <w:left w:val="single" w:color="auto" w:sz="4" w:space="0"/>
              <w:bottom w:val="single" w:color="auto" w:sz="4" w:space="0"/>
              <w:right w:val="single" w:color="auto" w:sz="4" w:space="0"/>
            </w:tcBorders>
            <w:noWrap w:val="0"/>
            <w:vAlign w:val="center"/>
          </w:tcPr>
          <w:p w14:paraId="1BA040B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auto" w:sz="4" w:space="0"/>
              <w:left w:val="single" w:color="auto" w:sz="4" w:space="0"/>
              <w:bottom w:val="single" w:color="auto" w:sz="4" w:space="0"/>
              <w:right w:val="single" w:color="auto" w:sz="4" w:space="0"/>
            </w:tcBorders>
            <w:noWrap w:val="0"/>
            <w:vAlign w:val="center"/>
          </w:tcPr>
          <w:p w14:paraId="3C66F11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auto" w:sz="4" w:space="0"/>
              <w:left w:val="single" w:color="auto" w:sz="4" w:space="0"/>
              <w:bottom w:val="single" w:color="auto" w:sz="4" w:space="0"/>
              <w:right w:val="single" w:color="auto" w:sz="4" w:space="0"/>
            </w:tcBorders>
            <w:noWrap w:val="0"/>
            <w:vAlign w:val="center"/>
          </w:tcPr>
          <w:p w14:paraId="5CD1A17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3DEA3D3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3D5CFF57">
        <w:tblPrEx>
          <w:tblCellMar>
            <w:top w:w="0" w:type="dxa"/>
            <w:left w:w="108" w:type="dxa"/>
            <w:bottom w:w="0" w:type="dxa"/>
            <w:right w:w="108" w:type="dxa"/>
          </w:tblCellMar>
        </w:tblPrEx>
        <w:trPr>
          <w:trHeight w:val="574" w:hRule="atLeast"/>
          <w:jc w:val="center"/>
        </w:trPr>
        <w:tc>
          <w:tcPr>
            <w:tcW w:w="10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09033B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auto" w:sz="4" w:space="0"/>
              <w:left w:val="single" w:color="auto" w:sz="4" w:space="0"/>
              <w:bottom w:val="single" w:color="auto" w:sz="4" w:space="0"/>
              <w:right w:val="single" w:color="auto" w:sz="4" w:space="0"/>
            </w:tcBorders>
            <w:noWrap w:val="0"/>
            <w:vAlign w:val="center"/>
          </w:tcPr>
          <w:p w14:paraId="2231758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电梯机房及</w:t>
            </w:r>
            <w:r>
              <w:rPr>
                <w:rFonts w:hint="eastAsia" w:ascii="宋体" w:hAnsi="宋体" w:eastAsia="宋体" w:cs="宋体"/>
                <w:color w:val="auto"/>
                <w:sz w:val="16"/>
                <w:szCs w:val="16"/>
                <w:highlight w:val="none"/>
                <w:lang w:eastAsia="zh-CN"/>
              </w:rPr>
              <w:t>房屋</w:t>
            </w:r>
            <w:r>
              <w:rPr>
                <w:rFonts w:hint="eastAsia" w:ascii="宋体" w:hAnsi="宋体" w:eastAsia="宋体" w:cs="宋体"/>
                <w:color w:val="auto"/>
                <w:sz w:val="16"/>
                <w:szCs w:val="16"/>
                <w:highlight w:val="none"/>
              </w:rPr>
              <w:t>屋顶外围无积灰、无垃圾、无烟蒂等，下水通畅</w:t>
            </w:r>
            <w:r>
              <w:rPr>
                <w:rFonts w:hint="eastAsia" w:ascii="宋体" w:hAnsi="宋体" w:eastAsia="宋体" w:cs="宋体"/>
                <w:color w:val="auto"/>
                <w:sz w:val="16"/>
                <w:szCs w:val="16"/>
                <w:highlight w:val="none"/>
                <w:lang w:eastAsia="zh-CN"/>
              </w:rPr>
              <w:t>。</w:t>
            </w:r>
          </w:p>
        </w:tc>
        <w:tc>
          <w:tcPr>
            <w:tcW w:w="1825" w:type="dxa"/>
            <w:gridSpan w:val="3"/>
            <w:tcBorders>
              <w:top w:val="single" w:color="auto" w:sz="4" w:space="0"/>
              <w:left w:val="single" w:color="auto" w:sz="4" w:space="0"/>
              <w:bottom w:val="single" w:color="auto" w:sz="4" w:space="0"/>
              <w:right w:val="single" w:color="auto" w:sz="4" w:space="0"/>
            </w:tcBorders>
            <w:noWrap w:val="0"/>
            <w:vAlign w:val="center"/>
          </w:tcPr>
          <w:p w14:paraId="5355019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auto" w:sz="4" w:space="0"/>
              <w:left w:val="single" w:color="auto" w:sz="4" w:space="0"/>
              <w:bottom w:val="single" w:color="auto" w:sz="4" w:space="0"/>
              <w:right w:val="single" w:color="auto" w:sz="4" w:space="0"/>
            </w:tcBorders>
            <w:noWrap w:val="0"/>
            <w:vAlign w:val="center"/>
          </w:tcPr>
          <w:p w14:paraId="551FCC2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auto" w:sz="4" w:space="0"/>
              <w:left w:val="single" w:color="auto" w:sz="4" w:space="0"/>
              <w:bottom w:val="single" w:color="auto" w:sz="4" w:space="0"/>
              <w:right w:val="single" w:color="auto" w:sz="4" w:space="0"/>
            </w:tcBorders>
            <w:noWrap w:val="0"/>
            <w:vAlign w:val="center"/>
          </w:tcPr>
          <w:p w14:paraId="14BC65B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161270A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666F939">
        <w:tblPrEx>
          <w:tblCellMar>
            <w:top w:w="0" w:type="dxa"/>
            <w:left w:w="108" w:type="dxa"/>
            <w:bottom w:w="0" w:type="dxa"/>
            <w:right w:w="108" w:type="dxa"/>
          </w:tblCellMar>
        </w:tblPrEx>
        <w:trPr>
          <w:trHeight w:val="574" w:hRule="atLeast"/>
          <w:jc w:val="center"/>
        </w:trPr>
        <w:tc>
          <w:tcPr>
            <w:tcW w:w="10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D226C8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467" w:type="dxa"/>
            <w:gridSpan w:val="5"/>
            <w:tcBorders>
              <w:top w:val="single" w:color="auto" w:sz="4" w:space="0"/>
              <w:left w:val="single" w:color="auto" w:sz="4" w:space="0"/>
              <w:bottom w:val="single" w:color="auto" w:sz="4" w:space="0"/>
              <w:right w:val="single" w:color="auto" w:sz="4" w:space="0"/>
            </w:tcBorders>
            <w:noWrap w:val="0"/>
            <w:vAlign w:val="center"/>
          </w:tcPr>
          <w:p w14:paraId="1C90572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室外环境无垃圾、无烟蒂等，下水通畅。</w:t>
            </w:r>
          </w:p>
        </w:tc>
        <w:tc>
          <w:tcPr>
            <w:tcW w:w="1825" w:type="dxa"/>
            <w:gridSpan w:val="3"/>
            <w:tcBorders>
              <w:top w:val="single" w:color="auto" w:sz="4" w:space="0"/>
              <w:left w:val="single" w:color="auto" w:sz="4" w:space="0"/>
              <w:bottom w:val="single" w:color="auto" w:sz="4" w:space="0"/>
              <w:right w:val="single" w:color="auto" w:sz="4" w:space="0"/>
            </w:tcBorders>
            <w:noWrap w:val="0"/>
            <w:vAlign w:val="center"/>
          </w:tcPr>
          <w:p w14:paraId="0F0CE75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912" w:type="dxa"/>
            <w:gridSpan w:val="3"/>
            <w:tcBorders>
              <w:top w:val="single" w:color="auto" w:sz="4" w:space="0"/>
              <w:left w:val="single" w:color="auto" w:sz="4" w:space="0"/>
              <w:bottom w:val="single" w:color="auto" w:sz="4" w:space="0"/>
              <w:right w:val="single" w:color="auto" w:sz="4" w:space="0"/>
            </w:tcBorders>
            <w:noWrap w:val="0"/>
            <w:vAlign w:val="center"/>
          </w:tcPr>
          <w:p w14:paraId="0106331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auto" w:sz="4" w:space="0"/>
              <w:left w:val="single" w:color="auto" w:sz="4" w:space="0"/>
              <w:bottom w:val="single" w:color="auto" w:sz="4" w:space="0"/>
              <w:right w:val="single" w:color="auto" w:sz="4" w:space="0"/>
            </w:tcBorders>
            <w:noWrap w:val="0"/>
            <w:vAlign w:val="center"/>
          </w:tcPr>
          <w:p w14:paraId="35CB25C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11063BC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316FDF21">
        <w:tblPrEx>
          <w:tblCellMar>
            <w:top w:w="0" w:type="dxa"/>
            <w:left w:w="108" w:type="dxa"/>
            <w:bottom w:w="0" w:type="dxa"/>
            <w:right w:w="108" w:type="dxa"/>
          </w:tblCellMar>
        </w:tblPrEx>
        <w:trPr>
          <w:trHeight w:val="574" w:hRule="atLeast"/>
          <w:jc w:val="center"/>
        </w:trPr>
        <w:tc>
          <w:tcPr>
            <w:tcW w:w="1026" w:type="dxa"/>
            <w:gridSpan w:val="2"/>
            <w:tcBorders>
              <w:top w:val="single" w:color="auto" w:sz="4" w:space="0"/>
              <w:left w:val="single" w:color="auto" w:sz="4" w:space="0"/>
              <w:bottom w:val="single" w:color="auto" w:sz="4" w:space="0"/>
              <w:right w:val="single" w:color="auto" w:sz="4" w:space="0"/>
            </w:tcBorders>
            <w:noWrap w:val="0"/>
            <w:vAlign w:val="center"/>
          </w:tcPr>
          <w:p w14:paraId="2D06E97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满意度</w:t>
            </w:r>
          </w:p>
        </w:tc>
        <w:tc>
          <w:tcPr>
            <w:tcW w:w="3467" w:type="dxa"/>
            <w:gridSpan w:val="5"/>
            <w:tcBorders>
              <w:top w:val="single" w:color="auto" w:sz="4" w:space="0"/>
              <w:left w:val="single" w:color="auto" w:sz="4" w:space="0"/>
              <w:bottom w:val="single" w:color="auto" w:sz="4" w:space="0"/>
              <w:right w:val="single" w:color="auto" w:sz="4" w:space="0"/>
            </w:tcBorders>
            <w:noWrap w:val="0"/>
            <w:vAlign w:val="center"/>
          </w:tcPr>
          <w:p w14:paraId="498DE70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服务质量达标，</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满意，每月无</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投诉。</w:t>
            </w:r>
          </w:p>
        </w:tc>
        <w:tc>
          <w:tcPr>
            <w:tcW w:w="1825" w:type="dxa"/>
            <w:gridSpan w:val="3"/>
            <w:tcBorders>
              <w:top w:val="single" w:color="auto" w:sz="4" w:space="0"/>
              <w:left w:val="single" w:color="auto" w:sz="4" w:space="0"/>
              <w:bottom w:val="single" w:color="auto" w:sz="4" w:space="0"/>
              <w:right w:val="single" w:color="auto" w:sz="4" w:space="0"/>
            </w:tcBorders>
            <w:noWrap w:val="0"/>
            <w:vAlign w:val="center"/>
          </w:tcPr>
          <w:p w14:paraId="1BE8387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912" w:type="dxa"/>
            <w:gridSpan w:val="3"/>
            <w:tcBorders>
              <w:top w:val="single" w:color="auto" w:sz="4" w:space="0"/>
              <w:left w:val="single" w:color="auto" w:sz="4" w:space="0"/>
              <w:bottom w:val="single" w:color="auto" w:sz="4" w:space="0"/>
              <w:right w:val="single" w:color="auto" w:sz="4" w:space="0"/>
            </w:tcBorders>
            <w:noWrap w:val="0"/>
            <w:vAlign w:val="center"/>
          </w:tcPr>
          <w:p w14:paraId="7E6B398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693" w:type="dxa"/>
            <w:gridSpan w:val="2"/>
            <w:tcBorders>
              <w:top w:val="single" w:color="auto" w:sz="4" w:space="0"/>
              <w:left w:val="single" w:color="auto" w:sz="4" w:space="0"/>
              <w:bottom w:val="single" w:color="auto" w:sz="4" w:space="0"/>
              <w:right w:val="single" w:color="auto" w:sz="4" w:space="0"/>
            </w:tcBorders>
            <w:noWrap w:val="0"/>
            <w:vAlign w:val="center"/>
          </w:tcPr>
          <w:p w14:paraId="33E9472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7B82E8F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　</w:t>
            </w:r>
          </w:p>
        </w:tc>
      </w:tr>
      <w:tr w14:paraId="2E193688">
        <w:tblPrEx>
          <w:tblCellMar>
            <w:top w:w="0" w:type="dxa"/>
            <w:left w:w="108" w:type="dxa"/>
            <w:bottom w:w="0" w:type="dxa"/>
            <w:right w:w="108" w:type="dxa"/>
          </w:tblCellMar>
        </w:tblPrEx>
        <w:trPr>
          <w:trHeight w:val="574" w:hRule="atLeast"/>
          <w:jc w:val="center"/>
        </w:trPr>
        <w:tc>
          <w:tcPr>
            <w:tcW w:w="7923" w:type="dxa"/>
            <w:gridSpan w:val="15"/>
            <w:tcBorders>
              <w:top w:val="single" w:color="auto" w:sz="4" w:space="0"/>
              <w:left w:val="single" w:color="auto" w:sz="4" w:space="0"/>
              <w:bottom w:val="single" w:color="auto" w:sz="4" w:space="0"/>
              <w:right w:val="single" w:color="auto" w:sz="4" w:space="0"/>
            </w:tcBorders>
            <w:noWrap w:val="0"/>
            <w:vAlign w:val="center"/>
          </w:tcPr>
          <w:p w14:paraId="593850E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总得分</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54DF4BA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4035E303">
        <w:tblPrEx>
          <w:tblCellMar>
            <w:top w:w="0" w:type="dxa"/>
            <w:left w:w="108" w:type="dxa"/>
            <w:bottom w:w="0" w:type="dxa"/>
            <w:right w:w="108" w:type="dxa"/>
          </w:tblCellMar>
        </w:tblPrEx>
        <w:trPr>
          <w:trHeight w:val="1450" w:hRule="atLeast"/>
          <w:jc w:val="center"/>
        </w:trPr>
        <w:tc>
          <w:tcPr>
            <w:tcW w:w="8915" w:type="dxa"/>
            <w:gridSpan w:val="16"/>
            <w:tcBorders>
              <w:top w:val="nil"/>
              <w:left w:val="nil"/>
              <w:bottom w:val="single" w:color="auto" w:sz="4" w:space="0"/>
              <w:right w:val="nil"/>
            </w:tcBorders>
            <w:noWrap w:val="0"/>
            <w:vAlign w:val="center"/>
          </w:tcPr>
          <w:p w14:paraId="3C23DD42">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4643BA0D">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5C058A7A">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2509B18B">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404FA7D8">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54270093">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1A80BF71">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1311453F">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77C627EA">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48DB5F2E">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277D1D93">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658BE885">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21417381">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13DC626B">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28326044">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74C5944B">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588527E1">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3CE995F2">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675F228A">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53935BE1">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0CF33CD0">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367EC09B">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3FF0A236">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146A36CF">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2D480271">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7B4E31B1">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3055A809">
            <w:pPr>
              <w:keepNext w:val="0"/>
              <w:keepLines w:val="0"/>
              <w:pageBreakBefore w:val="0"/>
              <w:widowControl/>
              <w:spacing w:line="400" w:lineRule="exact"/>
              <w:ind w:firstLine="0"/>
              <w:jc w:val="both"/>
              <w:rPr>
                <w:rFonts w:hint="eastAsia" w:ascii="宋体" w:hAnsi="宋体" w:cs="宋体"/>
                <w:b/>
                <w:bCs/>
                <w:color w:val="auto"/>
                <w:sz w:val="20"/>
                <w:szCs w:val="20"/>
                <w:highlight w:val="none"/>
              </w:rPr>
            </w:pPr>
          </w:p>
          <w:p w14:paraId="5ED72333">
            <w:pPr>
              <w:keepNext w:val="0"/>
              <w:keepLines w:val="0"/>
              <w:pageBreakBefore w:val="0"/>
              <w:widowControl/>
              <w:spacing w:line="400" w:lineRule="exact"/>
              <w:ind w:firstLine="0"/>
              <w:jc w:val="both"/>
              <w:rPr>
                <w:rFonts w:hint="eastAsia" w:ascii="宋体" w:hAnsi="宋体" w:cs="宋体"/>
                <w:b/>
                <w:bCs/>
                <w:color w:val="auto"/>
                <w:sz w:val="20"/>
                <w:szCs w:val="20"/>
                <w:highlight w:val="none"/>
                <w:lang w:val="en-US" w:eastAsia="zh-CN"/>
              </w:rPr>
            </w:pPr>
            <w:r>
              <w:rPr>
                <w:rFonts w:hint="eastAsia" w:ascii="宋体" w:hAnsi="宋体" w:cs="宋体"/>
                <w:b/>
                <w:bCs/>
                <w:color w:val="auto"/>
                <w:sz w:val="20"/>
                <w:szCs w:val="20"/>
                <w:highlight w:val="none"/>
              </w:rPr>
              <w:t>附件</w:t>
            </w:r>
            <w:r>
              <w:rPr>
                <w:rFonts w:hint="eastAsia" w:ascii="宋体" w:hAnsi="宋体" w:cs="宋体"/>
                <w:b/>
                <w:bCs/>
                <w:color w:val="auto"/>
                <w:sz w:val="20"/>
                <w:szCs w:val="20"/>
                <w:highlight w:val="none"/>
                <w:lang w:val="en-US" w:eastAsia="zh-CN"/>
              </w:rPr>
              <w:t>2-</w:t>
            </w:r>
            <w:r>
              <w:rPr>
                <w:rFonts w:hint="eastAsia" w:cs="宋体"/>
                <w:b/>
                <w:bCs/>
                <w:color w:val="auto"/>
                <w:sz w:val="20"/>
                <w:szCs w:val="20"/>
                <w:highlight w:val="none"/>
                <w:lang w:val="en-US" w:eastAsia="zh-CN"/>
              </w:rPr>
              <w:t>3</w:t>
            </w:r>
            <w:r>
              <w:rPr>
                <w:rFonts w:hint="eastAsia" w:ascii="宋体" w:hAnsi="宋体" w:cs="宋体"/>
                <w:b/>
                <w:bCs/>
                <w:color w:val="auto"/>
                <w:sz w:val="20"/>
                <w:szCs w:val="20"/>
                <w:highlight w:val="none"/>
                <w:lang w:eastAsia="zh-CN"/>
              </w:rPr>
              <w:t>：</w:t>
            </w:r>
            <w:r>
              <w:rPr>
                <w:rFonts w:hint="eastAsia" w:ascii="宋体" w:hAnsi="宋体" w:cs="宋体"/>
                <w:b/>
                <w:bCs/>
                <w:color w:val="auto"/>
                <w:sz w:val="20"/>
                <w:szCs w:val="20"/>
                <w:highlight w:val="none"/>
                <w:lang w:val="en-US" w:eastAsia="zh-CN"/>
              </w:rPr>
              <w:t xml:space="preserve"> </w:t>
            </w:r>
          </w:p>
          <w:p w14:paraId="5D6E4AF9">
            <w:pPr>
              <w:widowControl/>
              <w:jc w:val="center"/>
              <w:rPr>
                <w:rFonts w:ascii="方正小标宋_GBK" w:hAnsi="宋体" w:eastAsia="方正小标宋_GBK" w:cs="宋体"/>
                <w:color w:val="auto"/>
                <w:sz w:val="40"/>
                <w:szCs w:val="40"/>
                <w:highlight w:val="none"/>
              </w:rPr>
            </w:pPr>
            <w:r>
              <w:rPr>
                <w:rFonts w:hint="eastAsia" w:ascii="宋体" w:hAnsi="宋体" w:eastAsia="宋体" w:cs="宋体"/>
                <w:b/>
                <w:bCs/>
                <w:color w:val="auto"/>
                <w:sz w:val="32"/>
                <w:szCs w:val="32"/>
                <w:highlight w:val="none"/>
                <w:lang w:val="en-US" w:eastAsia="zh-CN"/>
              </w:rPr>
              <w:t>保安（含消防）服务考核标准</w:t>
            </w:r>
          </w:p>
        </w:tc>
      </w:tr>
      <w:tr w14:paraId="3B7AFE8F">
        <w:tblPrEx>
          <w:tblCellMar>
            <w:top w:w="0" w:type="dxa"/>
            <w:left w:w="108" w:type="dxa"/>
            <w:bottom w:w="0" w:type="dxa"/>
            <w:right w:w="108" w:type="dxa"/>
          </w:tblCellMar>
        </w:tblPrEx>
        <w:trPr>
          <w:trHeight w:val="605" w:hRule="atLeast"/>
          <w:jc w:val="center"/>
        </w:trPr>
        <w:tc>
          <w:tcPr>
            <w:tcW w:w="950" w:type="dxa"/>
            <w:tcBorders>
              <w:top w:val="single" w:color="auto" w:sz="4" w:space="0"/>
              <w:left w:val="single" w:color="auto" w:sz="4" w:space="0"/>
              <w:bottom w:val="single" w:color="auto" w:sz="4" w:space="0"/>
              <w:right w:val="single" w:color="auto" w:sz="4" w:space="0"/>
            </w:tcBorders>
            <w:noWrap w:val="0"/>
            <w:vAlign w:val="center"/>
          </w:tcPr>
          <w:p w14:paraId="2E22567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项目</w:t>
            </w: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659B7B0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标准</w:t>
            </w:r>
            <w:r>
              <w:rPr>
                <w:rFonts w:hint="eastAsia" w:ascii="宋体" w:hAnsi="宋体" w:eastAsia="宋体" w:cs="宋体"/>
                <w:color w:val="auto"/>
                <w:sz w:val="16"/>
                <w:szCs w:val="16"/>
                <w:highlight w:val="none"/>
                <w:lang w:eastAsia="zh-CN"/>
              </w:rPr>
              <w:t>要求</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6A15550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扣分标准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9385C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扣分</w:t>
            </w: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DA0090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分值</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C03A2E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得分（满分</w:t>
            </w:r>
            <w:r>
              <w:rPr>
                <w:rFonts w:hint="eastAsia" w:ascii="宋体" w:hAnsi="宋体" w:eastAsia="宋体" w:cs="宋体"/>
                <w:color w:val="auto"/>
                <w:sz w:val="16"/>
                <w:szCs w:val="16"/>
                <w:highlight w:val="none"/>
                <w:lang w:val="en-US" w:eastAsia="zh-CN"/>
              </w:rPr>
              <w:t>100分）</w:t>
            </w:r>
          </w:p>
        </w:tc>
      </w:tr>
      <w:tr w14:paraId="5CF0B5AD">
        <w:tblPrEx>
          <w:tblCellMar>
            <w:top w:w="0" w:type="dxa"/>
            <w:left w:w="108" w:type="dxa"/>
            <w:bottom w:w="0" w:type="dxa"/>
            <w:right w:w="108" w:type="dxa"/>
          </w:tblCellMar>
        </w:tblPrEx>
        <w:trPr>
          <w:trHeight w:val="555" w:hRule="atLeast"/>
          <w:jc w:val="center"/>
        </w:trPr>
        <w:tc>
          <w:tcPr>
            <w:tcW w:w="950" w:type="dxa"/>
            <w:vMerge w:val="restart"/>
            <w:tcBorders>
              <w:top w:val="single" w:color="auto" w:sz="4" w:space="0"/>
              <w:left w:val="single" w:color="auto" w:sz="4" w:space="0"/>
              <w:bottom w:val="single" w:color="auto" w:sz="4" w:space="0"/>
              <w:right w:val="single" w:color="auto" w:sz="4" w:space="0"/>
            </w:tcBorders>
            <w:noWrap w:val="0"/>
            <w:vAlign w:val="center"/>
          </w:tcPr>
          <w:p w14:paraId="66B4086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基本要求</w:t>
            </w: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007B5F0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必须按甲方认可的人数安排保安人员。</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374F534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CA9D0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2E6D7B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0964C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EC8196F">
        <w:tblPrEx>
          <w:tblCellMar>
            <w:top w:w="0" w:type="dxa"/>
            <w:left w:w="108" w:type="dxa"/>
            <w:bottom w:w="0" w:type="dxa"/>
            <w:right w:w="108" w:type="dxa"/>
          </w:tblCellMar>
        </w:tblPrEx>
        <w:trPr>
          <w:trHeight w:val="555" w:hRule="atLeast"/>
          <w:jc w:val="center"/>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14:paraId="2D5EED5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4AE34E9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统一服装，文明、主动服务， 佩戴胸牌上岗，在岗在位，不得串岗。</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659CFD2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97FDA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EC35C1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1DB93F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6EFF6EC9">
        <w:tblPrEx>
          <w:tblCellMar>
            <w:top w:w="0" w:type="dxa"/>
            <w:left w:w="108" w:type="dxa"/>
            <w:bottom w:w="0" w:type="dxa"/>
            <w:right w:w="108" w:type="dxa"/>
          </w:tblCellMar>
        </w:tblPrEx>
        <w:trPr>
          <w:trHeight w:val="555" w:hRule="atLeast"/>
          <w:jc w:val="center"/>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14:paraId="0A3416D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54B0D41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严格遵守</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各项规章制度和注意事项</w:t>
            </w:r>
            <w:r>
              <w:rPr>
                <w:rFonts w:hint="eastAsia" w:ascii="宋体" w:hAnsi="宋体" w:eastAsia="宋体" w:cs="宋体"/>
                <w:color w:val="auto"/>
                <w:sz w:val="16"/>
                <w:szCs w:val="16"/>
                <w:highlight w:val="none"/>
                <w:lang w:eastAsia="zh-CN"/>
              </w:rPr>
              <w:t>。</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6260173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A124A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5CC2696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AA28E2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44C71B3F">
        <w:tblPrEx>
          <w:tblCellMar>
            <w:top w:w="0" w:type="dxa"/>
            <w:left w:w="108" w:type="dxa"/>
            <w:bottom w:w="0" w:type="dxa"/>
            <w:right w:w="108" w:type="dxa"/>
          </w:tblCellMar>
        </w:tblPrEx>
        <w:trPr>
          <w:trHeight w:val="558" w:hRule="atLeast"/>
          <w:jc w:val="center"/>
        </w:trPr>
        <w:tc>
          <w:tcPr>
            <w:tcW w:w="950" w:type="dxa"/>
            <w:vMerge w:val="restart"/>
            <w:tcBorders>
              <w:top w:val="single" w:color="auto" w:sz="4" w:space="0"/>
              <w:left w:val="single" w:color="auto" w:sz="4" w:space="0"/>
              <w:right w:val="single" w:color="auto" w:sz="4" w:space="0"/>
            </w:tcBorders>
            <w:noWrap w:val="0"/>
            <w:vAlign w:val="center"/>
          </w:tcPr>
          <w:p w14:paraId="3BE7475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cs="宋体"/>
                <w:color w:val="auto"/>
                <w:sz w:val="16"/>
                <w:szCs w:val="16"/>
                <w:highlight w:val="none"/>
                <w:lang w:val="en-US" w:eastAsia="zh-CN"/>
              </w:rPr>
              <w:t>保安（含消防）</w:t>
            </w: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2AC437A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遇重大突发事件或发生医疗纠纷时，保安员应全力稳定局势，并立即向甲方领导、总值班报告或打110报警。</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2E70D41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DCE55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4B5ACC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FF8D01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1F8FED0E">
        <w:tblPrEx>
          <w:tblCellMar>
            <w:top w:w="0" w:type="dxa"/>
            <w:left w:w="108" w:type="dxa"/>
            <w:bottom w:w="0" w:type="dxa"/>
            <w:right w:w="108" w:type="dxa"/>
          </w:tblCellMar>
        </w:tblPrEx>
        <w:trPr>
          <w:trHeight w:val="561" w:hRule="atLeast"/>
          <w:jc w:val="center"/>
        </w:trPr>
        <w:tc>
          <w:tcPr>
            <w:tcW w:w="950" w:type="dxa"/>
            <w:vMerge w:val="continue"/>
            <w:tcBorders>
              <w:left w:val="single" w:color="auto" w:sz="4" w:space="0"/>
              <w:right w:val="single" w:color="auto" w:sz="4" w:space="0"/>
            </w:tcBorders>
            <w:noWrap w:val="0"/>
            <w:vAlign w:val="center"/>
          </w:tcPr>
          <w:p w14:paraId="15D743B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7DBE66B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门卫（含</w:t>
            </w:r>
            <w:r>
              <w:rPr>
                <w:rFonts w:hint="eastAsia" w:ascii="宋体" w:hAnsi="宋体" w:eastAsia="宋体" w:cs="宋体"/>
                <w:color w:val="auto"/>
                <w:sz w:val="16"/>
                <w:szCs w:val="16"/>
                <w:highlight w:val="none"/>
                <w:lang w:val="en-US" w:eastAsia="zh-CN"/>
              </w:rPr>
              <w:t>消监控室</w:t>
            </w:r>
            <w:r>
              <w:rPr>
                <w:rFonts w:hint="eastAsia" w:cs="宋体"/>
                <w:color w:val="auto"/>
                <w:sz w:val="16"/>
                <w:szCs w:val="16"/>
                <w:highlight w:val="none"/>
                <w:lang w:val="en-US" w:eastAsia="zh-CN"/>
              </w:rPr>
              <w:t>）</w:t>
            </w:r>
            <w:r>
              <w:rPr>
                <w:rFonts w:hint="eastAsia" w:ascii="宋体" w:hAnsi="宋体" w:eastAsia="宋体" w:cs="宋体"/>
                <w:color w:val="auto"/>
                <w:sz w:val="16"/>
                <w:szCs w:val="16"/>
                <w:highlight w:val="none"/>
                <w:lang w:val="en-US" w:eastAsia="zh-CN"/>
              </w:rPr>
              <w:t>值班人员实行24小时值班，值班期间禁止睡觉，做与工作无关的事。</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7E9DD8E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594526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2BAA54C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5338A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5D2995ED">
        <w:tblPrEx>
          <w:tblCellMar>
            <w:top w:w="0" w:type="dxa"/>
            <w:left w:w="108" w:type="dxa"/>
            <w:bottom w:w="0" w:type="dxa"/>
            <w:right w:w="108" w:type="dxa"/>
          </w:tblCellMar>
        </w:tblPrEx>
        <w:trPr>
          <w:trHeight w:val="657" w:hRule="atLeast"/>
          <w:jc w:val="center"/>
        </w:trPr>
        <w:tc>
          <w:tcPr>
            <w:tcW w:w="950" w:type="dxa"/>
            <w:vMerge w:val="continue"/>
            <w:tcBorders>
              <w:left w:val="single" w:color="auto" w:sz="4" w:space="0"/>
              <w:right w:val="single" w:color="auto" w:sz="4" w:space="0"/>
            </w:tcBorders>
            <w:noWrap w:val="0"/>
            <w:vAlign w:val="center"/>
          </w:tcPr>
          <w:p w14:paraId="7F5EB7C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28F0323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熟练掌握各种消防、安防技术设备的使用。</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3A08CA1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4E09F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4B1CA4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2CAC6C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543FCB54">
        <w:tblPrEx>
          <w:tblCellMar>
            <w:top w:w="0" w:type="dxa"/>
            <w:left w:w="108" w:type="dxa"/>
            <w:bottom w:w="0" w:type="dxa"/>
            <w:right w:w="108" w:type="dxa"/>
          </w:tblCellMar>
        </w:tblPrEx>
        <w:trPr>
          <w:trHeight w:val="575" w:hRule="atLeast"/>
          <w:jc w:val="center"/>
        </w:trPr>
        <w:tc>
          <w:tcPr>
            <w:tcW w:w="950" w:type="dxa"/>
            <w:vMerge w:val="continue"/>
            <w:tcBorders>
              <w:left w:val="single" w:color="auto" w:sz="4" w:space="0"/>
              <w:right w:val="single" w:color="auto" w:sz="4" w:space="0"/>
            </w:tcBorders>
            <w:noWrap w:val="0"/>
            <w:vAlign w:val="center"/>
          </w:tcPr>
          <w:p w14:paraId="2A1888E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58FC2FB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做好火灾自动报警设备的管理和记录工作。</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3584C3B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6A0F2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594F8B4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891578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72935C31">
        <w:tblPrEx>
          <w:tblCellMar>
            <w:top w:w="0" w:type="dxa"/>
            <w:left w:w="108" w:type="dxa"/>
            <w:bottom w:w="0" w:type="dxa"/>
            <w:right w:w="108" w:type="dxa"/>
          </w:tblCellMar>
        </w:tblPrEx>
        <w:trPr>
          <w:trHeight w:val="447" w:hRule="atLeast"/>
          <w:jc w:val="center"/>
        </w:trPr>
        <w:tc>
          <w:tcPr>
            <w:tcW w:w="950" w:type="dxa"/>
            <w:vMerge w:val="continue"/>
            <w:tcBorders>
              <w:left w:val="single" w:color="auto" w:sz="4" w:space="0"/>
              <w:right w:val="single" w:color="auto" w:sz="4" w:space="0"/>
            </w:tcBorders>
            <w:noWrap w:val="0"/>
            <w:vAlign w:val="center"/>
          </w:tcPr>
          <w:p w14:paraId="72DF800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25401C2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做好消防、视频监控系统的管理和记录工作。</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62E7EE9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39687D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4003B2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52CB2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7AC88E15">
        <w:tblPrEx>
          <w:tblCellMar>
            <w:top w:w="0" w:type="dxa"/>
            <w:left w:w="108" w:type="dxa"/>
            <w:bottom w:w="0" w:type="dxa"/>
            <w:right w:w="108" w:type="dxa"/>
          </w:tblCellMar>
        </w:tblPrEx>
        <w:trPr>
          <w:trHeight w:val="447" w:hRule="atLeast"/>
          <w:jc w:val="center"/>
        </w:trPr>
        <w:tc>
          <w:tcPr>
            <w:tcW w:w="950" w:type="dxa"/>
            <w:vMerge w:val="continue"/>
            <w:tcBorders>
              <w:left w:val="single" w:color="auto" w:sz="4" w:space="0"/>
              <w:right w:val="single" w:color="auto" w:sz="4" w:space="0"/>
            </w:tcBorders>
            <w:noWrap w:val="0"/>
            <w:vAlign w:val="center"/>
          </w:tcPr>
          <w:p w14:paraId="75D5870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7BC7462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夜间做好110自动报警系统的设防和记录工作。</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44A99E7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69B96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045C07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8A0D9A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4568C196">
        <w:tblPrEx>
          <w:tblCellMar>
            <w:top w:w="0" w:type="dxa"/>
            <w:left w:w="108" w:type="dxa"/>
            <w:bottom w:w="0" w:type="dxa"/>
            <w:right w:w="108" w:type="dxa"/>
          </w:tblCellMar>
        </w:tblPrEx>
        <w:trPr>
          <w:trHeight w:val="590" w:hRule="atLeast"/>
          <w:jc w:val="center"/>
        </w:trPr>
        <w:tc>
          <w:tcPr>
            <w:tcW w:w="950" w:type="dxa"/>
            <w:vMerge w:val="continue"/>
            <w:tcBorders>
              <w:left w:val="single" w:color="auto" w:sz="4" w:space="0"/>
              <w:right w:val="single" w:color="auto" w:sz="4" w:space="0"/>
            </w:tcBorders>
            <w:noWrap w:val="0"/>
            <w:vAlign w:val="center"/>
          </w:tcPr>
          <w:p w14:paraId="6327DB0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085462A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做好每日防火巡查和记录工作，发现紧急情况按消防应急预案规定及时处理。</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1341A71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FD395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82F658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DD87EA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5DF13783">
        <w:tblPrEx>
          <w:tblCellMar>
            <w:top w:w="0" w:type="dxa"/>
            <w:left w:w="108" w:type="dxa"/>
            <w:bottom w:w="0" w:type="dxa"/>
            <w:right w:w="108" w:type="dxa"/>
          </w:tblCellMar>
        </w:tblPrEx>
        <w:trPr>
          <w:trHeight w:val="552" w:hRule="atLeast"/>
          <w:jc w:val="center"/>
        </w:trPr>
        <w:tc>
          <w:tcPr>
            <w:tcW w:w="950" w:type="dxa"/>
            <w:vMerge w:val="continue"/>
            <w:tcBorders>
              <w:left w:val="single" w:color="auto" w:sz="4" w:space="0"/>
              <w:right w:val="single" w:color="auto" w:sz="4" w:space="0"/>
            </w:tcBorders>
            <w:noWrap w:val="0"/>
            <w:vAlign w:val="center"/>
          </w:tcPr>
          <w:p w14:paraId="3A0B42E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7DF6591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对散发非法医疗广告、医托及小偷进行驱赶、抓获，及时汇报并妥善处理。</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3DB9251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16D66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263C5FE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76F870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309000C0">
        <w:tblPrEx>
          <w:tblCellMar>
            <w:top w:w="0" w:type="dxa"/>
            <w:left w:w="108" w:type="dxa"/>
            <w:bottom w:w="0" w:type="dxa"/>
            <w:right w:w="108" w:type="dxa"/>
          </w:tblCellMar>
        </w:tblPrEx>
        <w:trPr>
          <w:trHeight w:val="505" w:hRule="atLeast"/>
          <w:jc w:val="center"/>
        </w:trPr>
        <w:tc>
          <w:tcPr>
            <w:tcW w:w="950" w:type="dxa"/>
            <w:vMerge w:val="continue"/>
            <w:tcBorders>
              <w:left w:val="single" w:color="auto" w:sz="4" w:space="0"/>
              <w:right w:val="single" w:color="auto" w:sz="4" w:space="0"/>
            </w:tcBorders>
            <w:noWrap w:val="0"/>
            <w:vAlign w:val="center"/>
          </w:tcPr>
          <w:p w14:paraId="4D8F9C2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490FD06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进行每日消防安全检查，做好巡查记录。</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4DD603A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D5947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50EBE6F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1F87DE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2BF0AA9A">
        <w:tblPrEx>
          <w:tblCellMar>
            <w:top w:w="0" w:type="dxa"/>
            <w:left w:w="108" w:type="dxa"/>
            <w:bottom w:w="0" w:type="dxa"/>
            <w:right w:w="108" w:type="dxa"/>
          </w:tblCellMar>
        </w:tblPrEx>
        <w:trPr>
          <w:trHeight w:val="552" w:hRule="atLeast"/>
          <w:jc w:val="center"/>
        </w:trPr>
        <w:tc>
          <w:tcPr>
            <w:tcW w:w="950" w:type="dxa"/>
            <w:vMerge w:val="continue"/>
            <w:tcBorders>
              <w:left w:val="single" w:color="auto" w:sz="4" w:space="0"/>
              <w:right w:val="single" w:color="auto" w:sz="4" w:space="0"/>
            </w:tcBorders>
            <w:noWrap w:val="0"/>
            <w:vAlign w:val="center"/>
          </w:tcPr>
          <w:p w14:paraId="2AD84D5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4A8982B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协助病区护士长做好病区的医疗秩序维护</w:t>
            </w:r>
            <w:r>
              <w:rPr>
                <w:rFonts w:hint="eastAsia" w:cs="宋体"/>
                <w:color w:val="auto"/>
                <w:sz w:val="16"/>
                <w:szCs w:val="16"/>
                <w:highlight w:val="none"/>
                <w:lang w:val="en-US" w:eastAsia="zh-CN"/>
              </w:rPr>
              <w:t>工作</w:t>
            </w:r>
            <w:r>
              <w:rPr>
                <w:rFonts w:hint="eastAsia" w:ascii="宋体" w:hAnsi="宋体" w:eastAsia="宋体" w:cs="宋体"/>
                <w:color w:val="auto"/>
                <w:sz w:val="16"/>
                <w:szCs w:val="16"/>
                <w:highlight w:val="none"/>
                <w:lang w:val="en-US" w:eastAsia="zh-CN"/>
              </w:rPr>
              <w:t>。</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4B156F7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66C5D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8C8E5E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4AACDD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3F120773">
        <w:tblPrEx>
          <w:tblCellMar>
            <w:top w:w="0" w:type="dxa"/>
            <w:left w:w="108" w:type="dxa"/>
            <w:bottom w:w="0" w:type="dxa"/>
            <w:right w:w="108" w:type="dxa"/>
          </w:tblCellMar>
        </w:tblPrEx>
        <w:trPr>
          <w:trHeight w:val="552" w:hRule="atLeast"/>
          <w:jc w:val="center"/>
        </w:trPr>
        <w:tc>
          <w:tcPr>
            <w:tcW w:w="950" w:type="dxa"/>
            <w:vMerge w:val="continue"/>
            <w:tcBorders>
              <w:left w:val="single" w:color="auto" w:sz="4" w:space="0"/>
              <w:right w:val="single" w:color="auto" w:sz="4" w:space="0"/>
            </w:tcBorders>
            <w:noWrap w:val="0"/>
            <w:vAlign w:val="center"/>
          </w:tcPr>
          <w:p w14:paraId="23496DB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6AB1B90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对</w:t>
            </w:r>
            <w:r>
              <w:rPr>
                <w:rFonts w:hint="eastAsia" w:cs="宋体"/>
                <w:color w:val="auto"/>
                <w:sz w:val="16"/>
                <w:szCs w:val="16"/>
                <w:highlight w:val="none"/>
                <w:lang w:val="en-US" w:eastAsia="zh-CN"/>
              </w:rPr>
              <w:t>卫生服务中心</w:t>
            </w:r>
            <w:r>
              <w:rPr>
                <w:rFonts w:hint="eastAsia" w:ascii="宋体" w:hAnsi="宋体" w:eastAsia="宋体" w:cs="宋体"/>
                <w:color w:val="auto"/>
                <w:sz w:val="16"/>
                <w:szCs w:val="16"/>
                <w:highlight w:val="none"/>
                <w:lang w:val="en-US" w:eastAsia="zh-CN"/>
              </w:rPr>
              <w:t>范围内实行</w:t>
            </w:r>
            <w:r>
              <w:rPr>
                <w:rFonts w:hint="eastAsia" w:cs="宋体"/>
                <w:color w:val="auto"/>
                <w:sz w:val="16"/>
                <w:szCs w:val="16"/>
                <w:highlight w:val="none"/>
                <w:lang w:val="en-US" w:eastAsia="zh-CN"/>
              </w:rPr>
              <w:t>定时</w:t>
            </w:r>
            <w:r>
              <w:rPr>
                <w:rFonts w:hint="eastAsia" w:ascii="宋体" w:hAnsi="宋体" w:eastAsia="宋体" w:cs="宋体"/>
                <w:color w:val="auto"/>
                <w:sz w:val="16"/>
                <w:szCs w:val="16"/>
                <w:highlight w:val="none"/>
                <w:lang w:val="en-US" w:eastAsia="zh-CN"/>
              </w:rPr>
              <w:t>巡逻，加强对</w:t>
            </w:r>
            <w:r>
              <w:rPr>
                <w:rFonts w:hint="eastAsia" w:cs="宋体"/>
                <w:color w:val="auto"/>
                <w:sz w:val="16"/>
                <w:szCs w:val="16"/>
                <w:highlight w:val="none"/>
                <w:lang w:val="en-US" w:eastAsia="zh-CN"/>
              </w:rPr>
              <w:t>卫生服务中心</w:t>
            </w:r>
            <w:r>
              <w:rPr>
                <w:rFonts w:hint="eastAsia" w:ascii="宋体" w:hAnsi="宋体" w:eastAsia="宋体" w:cs="宋体"/>
                <w:color w:val="auto"/>
                <w:sz w:val="16"/>
                <w:szCs w:val="16"/>
                <w:highlight w:val="none"/>
                <w:lang w:val="en-US" w:eastAsia="zh-CN"/>
              </w:rPr>
              <w:t>的巡视。</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7B8D138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25D439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83BAB5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C0DBD5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25DC693C">
        <w:tblPrEx>
          <w:tblCellMar>
            <w:top w:w="0" w:type="dxa"/>
            <w:left w:w="108" w:type="dxa"/>
            <w:bottom w:w="0" w:type="dxa"/>
            <w:right w:w="108" w:type="dxa"/>
          </w:tblCellMar>
        </w:tblPrEx>
        <w:trPr>
          <w:trHeight w:val="90" w:hRule="atLeast"/>
          <w:jc w:val="center"/>
        </w:trPr>
        <w:tc>
          <w:tcPr>
            <w:tcW w:w="950" w:type="dxa"/>
            <w:vMerge w:val="continue"/>
            <w:tcBorders>
              <w:left w:val="single" w:color="auto" w:sz="4" w:space="0"/>
              <w:right w:val="single" w:color="auto" w:sz="4" w:space="0"/>
            </w:tcBorders>
            <w:noWrap w:val="0"/>
            <w:vAlign w:val="center"/>
          </w:tcPr>
          <w:p w14:paraId="3716AE5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4C41DE3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甲方下班后，保安员应及时检查各诊室、办公室、仓库门锁。发现异常情况应立即报告甲方总值班。 做好保安轮休时，岗位接替工作。</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48EFAEC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721E72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8E1772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FF4100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07F017BB">
        <w:tblPrEx>
          <w:tblCellMar>
            <w:top w:w="0" w:type="dxa"/>
            <w:left w:w="108" w:type="dxa"/>
            <w:bottom w:w="0" w:type="dxa"/>
            <w:right w:w="108" w:type="dxa"/>
          </w:tblCellMar>
        </w:tblPrEx>
        <w:trPr>
          <w:trHeight w:val="827" w:hRule="atLeast"/>
          <w:jc w:val="center"/>
        </w:trPr>
        <w:tc>
          <w:tcPr>
            <w:tcW w:w="950" w:type="dxa"/>
            <w:vMerge w:val="continue"/>
            <w:tcBorders>
              <w:left w:val="single" w:color="auto" w:sz="4" w:space="0"/>
              <w:right w:val="single" w:color="auto" w:sz="4" w:space="0"/>
            </w:tcBorders>
            <w:noWrap w:val="0"/>
            <w:vAlign w:val="center"/>
          </w:tcPr>
          <w:p w14:paraId="6F4B2C5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19257A6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大门的管理，控制好车辆进出入。制止和清理门前无关车辆的停放，对进出大门的车辆进行指挥，保障道路畅通。</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7AB40A2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D4C2A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7995D3D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047204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37CAF5E9">
        <w:tblPrEx>
          <w:tblCellMar>
            <w:top w:w="0" w:type="dxa"/>
            <w:left w:w="108" w:type="dxa"/>
            <w:bottom w:w="0" w:type="dxa"/>
            <w:right w:w="108" w:type="dxa"/>
          </w:tblCellMar>
        </w:tblPrEx>
        <w:trPr>
          <w:trHeight w:val="687" w:hRule="atLeast"/>
          <w:jc w:val="center"/>
        </w:trPr>
        <w:tc>
          <w:tcPr>
            <w:tcW w:w="950" w:type="dxa"/>
            <w:vMerge w:val="continue"/>
            <w:tcBorders>
              <w:left w:val="single" w:color="auto" w:sz="4" w:space="0"/>
              <w:right w:val="single" w:color="auto" w:sz="4" w:space="0"/>
            </w:tcBorders>
            <w:noWrap w:val="0"/>
            <w:vAlign w:val="center"/>
          </w:tcPr>
          <w:p w14:paraId="2439DAB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484B284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严禁病人或家属带私人大件物品（如电器、家具等）或宠物进入</w:t>
            </w:r>
            <w:r>
              <w:rPr>
                <w:rFonts w:hint="eastAsia" w:cs="宋体"/>
                <w:color w:val="auto"/>
                <w:sz w:val="16"/>
                <w:szCs w:val="16"/>
                <w:highlight w:val="none"/>
                <w:lang w:val="en-US" w:eastAsia="zh-CN"/>
              </w:rPr>
              <w:t>卫生服务中心</w:t>
            </w:r>
            <w:r>
              <w:rPr>
                <w:rFonts w:hint="eastAsia" w:ascii="宋体" w:hAnsi="宋体" w:eastAsia="宋体" w:cs="宋体"/>
                <w:color w:val="auto"/>
                <w:sz w:val="16"/>
                <w:szCs w:val="16"/>
                <w:highlight w:val="none"/>
                <w:lang w:val="en-US" w:eastAsia="zh-CN"/>
              </w:rPr>
              <w:t>。</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53613FC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71E70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32C3DD0">
            <w:pPr>
              <w:keepNext w:val="0"/>
              <w:keepLines w:val="0"/>
              <w:pageBreakBefore w:val="0"/>
              <w:widowControl/>
              <w:spacing w:line="200" w:lineRule="exact"/>
              <w:ind w:left="0" w:firstLine="0"/>
              <w:jc w:val="center"/>
              <w:rPr>
                <w:rFonts w:hint="default"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32440C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6227C818">
        <w:tblPrEx>
          <w:tblCellMar>
            <w:top w:w="0" w:type="dxa"/>
            <w:left w:w="108" w:type="dxa"/>
            <w:bottom w:w="0" w:type="dxa"/>
            <w:right w:w="108" w:type="dxa"/>
          </w:tblCellMar>
        </w:tblPrEx>
        <w:trPr>
          <w:trHeight w:val="945" w:hRule="atLeast"/>
          <w:jc w:val="center"/>
        </w:trPr>
        <w:tc>
          <w:tcPr>
            <w:tcW w:w="950" w:type="dxa"/>
            <w:tcBorders>
              <w:top w:val="single" w:color="auto" w:sz="4" w:space="0"/>
              <w:left w:val="single" w:color="auto" w:sz="4" w:space="0"/>
              <w:bottom w:val="single" w:color="auto" w:sz="4" w:space="0"/>
              <w:right w:val="single" w:color="auto" w:sz="4" w:space="0"/>
            </w:tcBorders>
            <w:noWrap w:val="0"/>
            <w:vAlign w:val="center"/>
          </w:tcPr>
          <w:p w14:paraId="2210DB9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满意度</w:t>
            </w:r>
          </w:p>
        </w:tc>
        <w:tc>
          <w:tcPr>
            <w:tcW w:w="3255" w:type="dxa"/>
            <w:gridSpan w:val="4"/>
            <w:tcBorders>
              <w:top w:val="single" w:color="auto" w:sz="4" w:space="0"/>
              <w:left w:val="single" w:color="auto" w:sz="4" w:space="0"/>
              <w:bottom w:val="single" w:color="auto" w:sz="4" w:space="0"/>
              <w:right w:val="single" w:color="auto" w:sz="4" w:space="0"/>
            </w:tcBorders>
            <w:noWrap w:val="0"/>
            <w:vAlign w:val="center"/>
          </w:tcPr>
          <w:p w14:paraId="1DB6E07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服务质量达标，</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满意，每月无</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投诉。</w:t>
            </w:r>
          </w:p>
        </w:tc>
        <w:tc>
          <w:tcPr>
            <w:tcW w:w="2301" w:type="dxa"/>
            <w:gridSpan w:val="6"/>
            <w:tcBorders>
              <w:top w:val="single" w:color="auto" w:sz="4" w:space="0"/>
              <w:left w:val="single" w:color="auto" w:sz="4" w:space="0"/>
              <w:bottom w:val="single" w:color="auto" w:sz="4" w:space="0"/>
              <w:right w:val="single" w:color="auto" w:sz="4" w:space="0"/>
            </w:tcBorders>
            <w:noWrap w:val="0"/>
            <w:vAlign w:val="center"/>
          </w:tcPr>
          <w:p w14:paraId="2EBAF0C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491B1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5BB12C9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328127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3C6923B7">
        <w:tblPrEx>
          <w:tblCellMar>
            <w:top w:w="0" w:type="dxa"/>
            <w:left w:w="108" w:type="dxa"/>
            <w:bottom w:w="0" w:type="dxa"/>
            <w:right w:w="108" w:type="dxa"/>
          </w:tblCellMar>
        </w:tblPrEx>
        <w:trPr>
          <w:trHeight w:val="628" w:hRule="atLeast"/>
          <w:jc w:val="center"/>
        </w:trPr>
        <w:tc>
          <w:tcPr>
            <w:tcW w:w="7923" w:type="dxa"/>
            <w:gridSpan w:val="15"/>
            <w:tcBorders>
              <w:top w:val="single" w:color="auto" w:sz="4" w:space="0"/>
              <w:left w:val="single" w:color="auto" w:sz="4" w:space="0"/>
              <w:bottom w:val="single" w:color="auto" w:sz="4" w:space="0"/>
              <w:right w:val="single" w:color="auto" w:sz="4" w:space="0"/>
            </w:tcBorders>
            <w:noWrap w:val="0"/>
            <w:vAlign w:val="center"/>
          </w:tcPr>
          <w:p w14:paraId="074CC5C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总得分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D9775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bl>
    <w:p w14:paraId="376E9960">
      <w:pP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br w:type="page" w:clear="all"/>
      </w:r>
    </w:p>
    <w:p w14:paraId="49E427DF">
      <w:pPr>
        <w:keepNext w:val="0"/>
        <w:keepLines w:val="0"/>
        <w:pageBreakBefore w:val="0"/>
        <w:widowControl/>
        <w:spacing w:line="500" w:lineRule="exact"/>
        <w:ind w:firstLine="482"/>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一、考核的组织人员与实施</w:t>
      </w:r>
    </w:p>
    <w:p w14:paraId="09D26DCE">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甲方成立物业管理考核小组，具体负责相关考核工作。考核小组依据百分考核情况（满分为100分）。</w:t>
      </w:r>
    </w:p>
    <w:p w14:paraId="5CFE1FCE">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考核小组定期对物管服务进行考核，编制物业管理工作考核表。</w:t>
      </w:r>
    </w:p>
    <w:p w14:paraId="5C12CCB3">
      <w:pPr>
        <w:keepNext w:val="0"/>
        <w:keepLines w:val="0"/>
        <w:pageBreakBefore w:val="0"/>
        <w:widowControl/>
        <w:spacing w:line="500" w:lineRule="exact"/>
        <w:ind w:firstLine="482"/>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二、考核的认定与评判</w:t>
      </w:r>
    </w:p>
    <w:p w14:paraId="40B3162D">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1、考核标准：综合得分90分及以上为合格；90分以下为不合格。（综合得分=保安（含消防）总得分*权重</w:t>
      </w:r>
      <w:r>
        <w:rPr>
          <w:rFonts w:hint="eastAsia" w:cs="宋体" w:eastAsiaTheme="minorEastAsia"/>
          <w:color w:val="auto"/>
          <w:sz w:val="24"/>
          <w:szCs w:val="20"/>
          <w:highlight w:val="none"/>
          <w:lang w:val="en-US" w:eastAsia="zh-CN"/>
        </w:rPr>
        <w:t>30</w:t>
      </w:r>
      <w:r>
        <w:rPr>
          <w:rFonts w:hint="eastAsia" w:ascii="宋体" w:hAnsi="宋体" w:cs="宋体" w:eastAsiaTheme="minorEastAsia"/>
          <w:color w:val="auto"/>
          <w:sz w:val="24"/>
          <w:szCs w:val="20"/>
          <w:highlight w:val="none"/>
          <w:lang w:val="en-US" w:eastAsia="zh-CN"/>
        </w:rPr>
        <w:t>%+保洁总得分*权重</w:t>
      </w:r>
      <w:r>
        <w:rPr>
          <w:rFonts w:hint="eastAsia" w:cs="宋体" w:eastAsiaTheme="minorEastAsia"/>
          <w:color w:val="auto"/>
          <w:sz w:val="24"/>
          <w:szCs w:val="20"/>
          <w:highlight w:val="none"/>
          <w:lang w:val="en-US" w:eastAsia="zh-CN"/>
        </w:rPr>
        <w:t>30</w:t>
      </w:r>
      <w:r>
        <w:rPr>
          <w:rFonts w:hint="eastAsia" w:ascii="宋体" w:hAnsi="宋体" w:cs="宋体" w:eastAsiaTheme="minorEastAsia"/>
          <w:color w:val="auto"/>
          <w:sz w:val="24"/>
          <w:szCs w:val="20"/>
          <w:highlight w:val="none"/>
          <w:lang w:val="en-US" w:eastAsia="zh-CN"/>
        </w:rPr>
        <w:t>%+物业管理服务总得分*权重</w:t>
      </w:r>
      <w:r>
        <w:rPr>
          <w:rFonts w:hint="eastAsia" w:cs="宋体" w:eastAsiaTheme="minorEastAsia"/>
          <w:color w:val="auto"/>
          <w:sz w:val="24"/>
          <w:szCs w:val="20"/>
          <w:highlight w:val="none"/>
          <w:lang w:val="en-US" w:eastAsia="zh-CN"/>
        </w:rPr>
        <w:t>40</w:t>
      </w:r>
      <w:r>
        <w:rPr>
          <w:rFonts w:hint="eastAsia" w:ascii="宋体" w:hAnsi="宋体" w:cs="宋体" w:eastAsiaTheme="minorEastAsia"/>
          <w:color w:val="auto"/>
          <w:sz w:val="24"/>
          <w:szCs w:val="20"/>
          <w:highlight w:val="none"/>
          <w:lang w:val="en-US" w:eastAsia="zh-CN"/>
        </w:rPr>
        <w:t>%）</w:t>
      </w:r>
    </w:p>
    <w:p w14:paraId="1DF59A93">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2、意见反馈：甲方将考核结果三日内反馈乙方，乙方必须在一周内整改到位，考核不合格将按照合同约定中的条款进行处理，直至解除合同。</w:t>
      </w:r>
    </w:p>
    <w:p w14:paraId="2573C298">
      <w:pPr>
        <w:keepNext w:val="0"/>
        <w:keepLines w:val="0"/>
        <w:pageBreakBefore w:val="0"/>
        <w:widowControl/>
        <w:spacing w:line="500" w:lineRule="exact"/>
        <w:ind w:firstLine="482"/>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三、考核奖惩</w:t>
      </w:r>
    </w:p>
    <w:p w14:paraId="0B8324DA">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甲方将对乙方每月的物业服务进行考核，对考核办法中的每项进行考核打分。</w:t>
      </w:r>
    </w:p>
    <w:p w14:paraId="1C5B6ED5">
      <w:pPr>
        <w:widowControl/>
        <w:spacing w:line="560" w:lineRule="exact"/>
        <w:ind w:firstLine="480"/>
        <w:jc w:val="left"/>
        <w:rPr>
          <w:rFonts w:hint="eastAsia" w:ascii="黑体" w:hAnsi="黑体" w:eastAsia="黑体" w:cs="黑体"/>
          <w:b w:val="0"/>
          <w:bCs/>
          <w:color w:val="auto"/>
          <w:highlight w:val="none"/>
        </w:rPr>
      </w:pPr>
      <w:r>
        <w:rPr>
          <w:rFonts w:hint="eastAsia" w:ascii="宋体" w:hAnsi="宋体" w:cs="宋体" w:eastAsiaTheme="minorEastAsia"/>
          <w:color w:val="auto"/>
          <w:sz w:val="24"/>
          <w:szCs w:val="20"/>
          <w:highlight w:val="none"/>
          <w:lang w:val="en-US" w:eastAsia="zh-CN"/>
        </w:rPr>
        <w:t>乙方每月考核综合得分低于90分的，每低1分将对乙方进行1000元的惩罚，从履约保证金或物业管理服务费中扣除并要求乙方整改。如一年中连续两个月考核不合格或累计三个月考核不合格，甲方有权终止合同，重新选择新的物业管理服务企业，一切责任由乙方承担。</w:t>
      </w:r>
    </w:p>
    <w:p w14:paraId="57D687C9">
      <w:pPr>
        <w:pStyle w:val="285"/>
        <w:keepNext w:val="0"/>
        <w:keepLines w:val="0"/>
        <w:pageBreakBefore/>
        <w:widowControl/>
        <w:spacing w:line="500" w:lineRule="exact"/>
        <w:ind w:firstLine="0"/>
        <w:rPr>
          <w:rFonts w:hint="eastAsia" w:ascii="黑体" w:hAnsi="黑体" w:eastAsia="黑体" w:cs="黑体"/>
          <w:b w:val="0"/>
          <w:bCs w:val="0"/>
          <w:color w:val="auto"/>
          <w:highlight w:val="none"/>
        </w:rPr>
      </w:pPr>
      <w:r>
        <w:rPr>
          <w:rFonts w:hint="eastAsia" w:ascii="黑体" w:hAnsi="黑体" w:eastAsia="黑体" w:cs="黑体"/>
          <w:b w:val="0"/>
          <w:bCs/>
          <w:color w:val="auto"/>
          <w:highlight w:val="none"/>
        </w:rPr>
        <w:t>第四章  采购需求</w:t>
      </w:r>
    </w:p>
    <w:p w14:paraId="5C89A871">
      <w:pPr>
        <w:keepNext w:val="0"/>
        <w:keepLines w:val="0"/>
        <w:pageBreakBefore w:val="0"/>
        <w:widowControl/>
        <w:spacing w:line="560" w:lineRule="exact"/>
        <w:ind w:firstLine="480"/>
        <w:rPr>
          <w:rFonts w:hint="eastAsia" w:ascii="宋体" w:hAnsi="宋体" w:eastAsia="Arial" w:cs="宋体"/>
          <w:b/>
          <w:bCs/>
          <w:color w:val="auto"/>
          <w:sz w:val="24"/>
          <w:szCs w:val="20"/>
          <w:highlight w:val="none"/>
          <w:lang w:val="zh-CN"/>
        </w:rPr>
      </w:pPr>
      <w:bookmarkStart w:id="150" w:name="_Toc49090575"/>
      <w:bookmarkStart w:id="151" w:name="_Toc26554093"/>
      <w:r>
        <w:rPr>
          <w:rFonts w:hint="eastAsia" w:ascii="宋体" w:hAnsi="宋体" w:eastAsia="Arial" w:cs="宋体"/>
          <w:b/>
          <w:bCs/>
          <w:color w:val="auto"/>
          <w:sz w:val="24"/>
          <w:szCs w:val="20"/>
          <w:highlight w:val="none"/>
          <w:lang w:val="zh-CN"/>
        </w:rPr>
        <w:t>项目属性:服务类项目。</w:t>
      </w:r>
    </w:p>
    <w:p w14:paraId="04F47D49">
      <w:pPr>
        <w:keepNext w:val="0"/>
        <w:keepLines w:val="0"/>
        <w:pageBreakBefore w:val="0"/>
        <w:widowControl/>
        <w:spacing w:line="560" w:lineRule="exact"/>
        <w:ind w:firstLine="480"/>
        <w:rPr>
          <w:rFonts w:hint="eastAsia"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一、项目基本概况</w:t>
      </w:r>
    </w:p>
    <w:tbl>
      <w:tblPr>
        <w:tblStyle w:val="41"/>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4"/>
        <w:gridCol w:w="3824"/>
      </w:tblGrid>
      <w:tr w14:paraId="20E0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jc w:val="center"/>
        </w:trPr>
        <w:tc>
          <w:tcPr>
            <w:tcW w:w="2791" w:type="pct"/>
            <w:noWrap w:val="0"/>
            <w:vAlign w:val="center"/>
          </w:tcPr>
          <w:p w14:paraId="6425DCF4">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物业名称</w:t>
            </w:r>
          </w:p>
        </w:tc>
        <w:tc>
          <w:tcPr>
            <w:tcW w:w="2208" w:type="pct"/>
            <w:noWrap w:val="0"/>
            <w:vAlign w:val="center"/>
          </w:tcPr>
          <w:p w14:paraId="1300C533">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物业地址</w:t>
            </w:r>
          </w:p>
        </w:tc>
      </w:tr>
      <w:tr w14:paraId="55B7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791" w:type="pct"/>
            <w:noWrap w:val="0"/>
            <w:vAlign w:val="center"/>
          </w:tcPr>
          <w:p w14:paraId="150171C3">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eastAsia="zh-CN"/>
              </w:rPr>
              <w:t>盐城市亭湖区东亭湖街道社区卫生服务中心物业服务项目</w:t>
            </w:r>
          </w:p>
        </w:tc>
        <w:tc>
          <w:tcPr>
            <w:tcW w:w="2208" w:type="pct"/>
            <w:noWrap w:val="0"/>
            <w:vAlign w:val="center"/>
          </w:tcPr>
          <w:p w14:paraId="76BFDB59">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color w:val="auto"/>
                <w:sz w:val="24"/>
                <w:szCs w:val="20"/>
                <w:highlight w:val="none"/>
                <w:lang w:val="en-US" w:eastAsia="zh-CN"/>
              </w:rPr>
              <w:t>盐城市亭湖区文榭路1号</w:t>
            </w:r>
          </w:p>
        </w:tc>
      </w:tr>
    </w:tbl>
    <w:p w14:paraId="2A4A7725">
      <w:pPr>
        <w:widowControl/>
        <w:spacing w:line="520" w:lineRule="exact"/>
        <w:ind w:firstLine="472"/>
        <w:rPr>
          <w:rFonts w:hint="eastAsia"/>
          <w:b/>
          <w:bCs/>
          <w:color w:val="auto"/>
          <w:sz w:val="24"/>
          <w:szCs w:val="20"/>
          <w:highlight w:val="none"/>
        </w:rPr>
      </w:pPr>
      <w:r>
        <w:rPr>
          <w:rFonts w:hint="eastAsia"/>
          <w:b/>
          <w:bCs/>
          <w:color w:val="auto"/>
          <w:sz w:val="24"/>
          <w:szCs w:val="20"/>
          <w:highlight w:val="none"/>
        </w:rPr>
        <w:t>二、</w:t>
      </w:r>
      <w:r>
        <w:rPr>
          <w:rFonts w:hint="eastAsia"/>
          <w:b/>
          <w:bCs/>
          <w:color w:val="auto"/>
          <w:sz w:val="24"/>
          <w:szCs w:val="20"/>
          <w:highlight w:val="none"/>
          <w:lang w:val="zh-CN"/>
        </w:rPr>
        <w:t>物业服务范围</w:t>
      </w:r>
    </w:p>
    <w:p w14:paraId="73DBE76F">
      <w:pPr>
        <w:widowControl/>
        <w:spacing w:line="520" w:lineRule="exact"/>
        <w:ind w:firstLine="472"/>
        <w:rPr>
          <w:rFonts w:hint="eastAsia"/>
          <w:b/>
          <w:bCs/>
          <w:color w:val="auto"/>
          <w:sz w:val="24"/>
          <w:szCs w:val="20"/>
          <w:highlight w:val="none"/>
        </w:rPr>
      </w:pPr>
      <w:r>
        <w:rPr>
          <w:rFonts w:hint="eastAsia"/>
          <w:b/>
          <w:bCs/>
          <w:color w:val="auto"/>
          <w:sz w:val="24"/>
          <w:szCs w:val="20"/>
          <w:highlight w:val="none"/>
          <w:lang w:val="zh-CN"/>
        </w:rPr>
        <w:t>（1）物业管理</w:t>
      </w:r>
    </w:p>
    <w:p w14:paraId="07DD0DAC">
      <w:pPr>
        <w:widowControl/>
        <w:spacing w:line="520" w:lineRule="exact"/>
        <w:ind w:firstLine="480"/>
        <w:rPr>
          <w:rFonts w:hint="eastAsia" w:cs="宋体" w:eastAsiaTheme="minorEastAsia"/>
          <w:color w:val="auto"/>
          <w:sz w:val="24"/>
          <w:szCs w:val="20"/>
          <w:highlight w:val="none"/>
          <w:lang w:val="zh-CN" w:eastAsia="zh-CN"/>
        </w:rPr>
      </w:pPr>
      <w:r>
        <w:rPr>
          <w:rFonts w:hint="eastAsia" w:cs="宋体" w:eastAsiaTheme="minorEastAsia"/>
          <w:color w:val="auto"/>
          <w:sz w:val="24"/>
          <w:szCs w:val="20"/>
          <w:highlight w:val="none"/>
          <w:lang w:val="zh-CN" w:eastAsia="zh-CN"/>
        </w:rPr>
        <w:t>盐城市亭湖区东亭湖街道社区卫生服务中心物业服务项目，包括</w:t>
      </w:r>
      <w:r>
        <w:rPr>
          <w:rFonts w:hint="eastAsia" w:cs="宋体" w:eastAsiaTheme="minorEastAsia"/>
          <w:color w:val="auto"/>
          <w:sz w:val="24"/>
          <w:szCs w:val="20"/>
          <w:highlight w:val="none"/>
          <w:lang w:val="en-US" w:eastAsia="zh-CN"/>
        </w:rPr>
        <w:t>但不限于</w:t>
      </w:r>
      <w:r>
        <w:rPr>
          <w:rFonts w:hint="eastAsia" w:ascii="宋体" w:hAnsi="宋体" w:eastAsia="宋体" w:cs="宋体"/>
          <w:color w:val="auto"/>
          <w:sz w:val="24"/>
          <w:szCs w:val="20"/>
          <w:highlight w:val="none"/>
          <w:lang w:val="en-US" w:eastAsia="zh-CN"/>
        </w:rPr>
        <w:t>中心区域内的公共安全巡逻防范、门前三包、门口及院内车辆秩序管理、消防安全、卫生保洁、被服洗涤、医疗废弃物管理、病区保管、绿化养护及管理等，甲方保留对服务范围及内容进行适当调整的权利。</w:t>
      </w:r>
    </w:p>
    <w:p w14:paraId="08DA04C2">
      <w:pPr>
        <w:widowControl/>
        <w:spacing w:line="520" w:lineRule="exact"/>
        <w:ind w:firstLine="472"/>
        <w:rPr>
          <w:rFonts w:hint="eastAsia"/>
          <w:b/>
          <w:bCs/>
          <w:color w:val="auto"/>
          <w:sz w:val="24"/>
          <w:szCs w:val="20"/>
          <w:highlight w:val="none"/>
          <w:lang w:val="zh-CN"/>
        </w:rPr>
      </w:pPr>
      <w:r>
        <w:rPr>
          <w:rFonts w:hint="eastAsia"/>
          <w:b/>
          <w:bCs/>
          <w:color w:val="auto"/>
          <w:sz w:val="24"/>
          <w:szCs w:val="20"/>
          <w:highlight w:val="none"/>
          <w:lang w:val="zh-CN"/>
        </w:rPr>
        <w:t>（</w:t>
      </w:r>
      <w:r>
        <w:rPr>
          <w:rFonts w:hint="eastAsia"/>
          <w:b/>
          <w:bCs/>
          <w:color w:val="auto"/>
          <w:sz w:val="24"/>
          <w:szCs w:val="20"/>
          <w:highlight w:val="none"/>
          <w:lang w:val="en-US" w:eastAsia="zh-CN"/>
        </w:rPr>
        <w:t>2）</w:t>
      </w:r>
      <w:r>
        <w:rPr>
          <w:rFonts w:hint="eastAsia"/>
          <w:b/>
          <w:bCs/>
          <w:color w:val="auto"/>
          <w:sz w:val="24"/>
          <w:szCs w:val="20"/>
          <w:highlight w:val="none"/>
          <w:lang w:val="zh-CN"/>
        </w:rPr>
        <w:t>物业管理目标</w:t>
      </w:r>
    </w:p>
    <w:p w14:paraId="49F5D278">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eastAsia="宋体" w:cs="宋体"/>
          <w:color w:val="auto"/>
          <w:sz w:val="24"/>
          <w:szCs w:val="24"/>
          <w:highlight w:val="none"/>
        </w:rPr>
        <w:t>需实现的功能或者目标</w:t>
      </w:r>
      <w:r>
        <w:rPr>
          <w:rFonts w:hint="eastAsia" w:ascii="宋体" w:hAnsi="宋体" w:eastAsia="宋体" w:cs="宋体"/>
          <w:color w:val="auto"/>
          <w:sz w:val="24"/>
          <w:szCs w:val="24"/>
          <w:highlight w:val="none"/>
          <w:u w:val="single"/>
        </w:rPr>
        <w:t>为</w:t>
      </w:r>
      <w:r>
        <w:rPr>
          <w:rFonts w:hint="eastAsia" w:cs="宋体"/>
          <w:color w:val="auto"/>
          <w:sz w:val="24"/>
          <w:szCs w:val="24"/>
          <w:highlight w:val="none"/>
          <w:u w:val="single"/>
          <w:lang w:eastAsia="zh-CN"/>
        </w:rPr>
        <w:t>卫生服务中心</w:t>
      </w:r>
      <w:r>
        <w:rPr>
          <w:rFonts w:hint="eastAsia" w:ascii="宋体" w:hAnsi="宋体" w:eastAsia="宋体" w:cs="宋体"/>
          <w:color w:val="auto"/>
          <w:sz w:val="24"/>
          <w:szCs w:val="24"/>
          <w:highlight w:val="none"/>
          <w:u w:val="single"/>
        </w:rPr>
        <w:t>的运行提供全面、高效、节约、有偿的服务</w:t>
      </w:r>
      <w:r>
        <w:rPr>
          <w:rFonts w:hint="eastAsia" w:ascii="宋体" w:hAnsi="宋体" w:eastAsia="宋体" w:cs="宋体"/>
          <w:color w:val="auto"/>
          <w:sz w:val="24"/>
          <w:szCs w:val="24"/>
          <w:highlight w:val="none"/>
        </w:rPr>
        <w:t>，属于《政府采购需求管理办法》第</w:t>
      </w:r>
      <w:r>
        <w:rPr>
          <w:rFonts w:hint="eastAsia" w:ascii="宋体" w:hAnsi="宋体" w:eastAsia="宋体" w:cs="宋体"/>
          <w:color w:val="auto"/>
          <w:sz w:val="24"/>
          <w:szCs w:val="24"/>
          <w:highlight w:val="none"/>
          <w:u w:val="single"/>
        </w:rPr>
        <w:t xml:space="preserve"> 六 </w:t>
      </w:r>
      <w:r>
        <w:rPr>
          <w:rFonts w:hint="eastAsia" w:ascii="宋体" w:hAnsi="宋体" w:eastAsia="宋体" w:cs="宋体"/>
          <w:color w:val="auto"/>
          <w:sz w:val="24"/>
          <w:szCs w:val="24"/>
          <w:highlight w:val="none"/>
        </w:rPr>
        <w:t>条规定的：</w:t>
      </w:r>
      <w:r>
        <w:rPr>
          <w:rFonts w:hint="eastAsia" w:ascii="宋体" w:hAnsi="宋体" w:eastAsia="宋体" w:cs="宋体"/>
          <w:color w:val="auto"/>
          <w:sz w:val="24"/>
          <w:szCs w:val="24"/>
          <w:highlight w:val="none"/>
          <w:u w:val="single"/>
          <w:lang w:val="zh-TW" w:eastAsia="zh-CN"/>
        </w:rPr>
        <w:t>本办法所称采购需求，是指采购人为实现项目目标，拟采购的标的及其需要满足的技术、商务要求</w:t>
      </w:r>
      <w:r>
        <w:rPr>
          <w:rFonts w:hint="eastAsia" w:ascii="宋体" w:hAnsi="宋体" w:eastAsia="宋体" w:cs="宋体"/>
          <w:color w:val="auto"/>
          <w:sz w:val="24"/>
          <w:szCs w:val="24"/>
          <w:highlight w:val="none"/>
          <w:lang w:val="zh-TW" w:eastAsia="zh-CN"/>
        </w:rPr>
        <w:t>。</w:t>
      </w:r>
    </w:p>
    <w:p w14:paraId="23A8EC9B">
      <w:pPr>
        <w:widowControl/>
        <w:spacing w:line="560" w:lineRule="exact"/>
        <w:ind w:firstLine="480"/>
        <w:jc w:val="left"/>
        <w:rPr>
          <w:rFonts w:hint="eastAsia" w:ascii="宋体" w:hAnsi="宋体" w:cs="宋体" w:eastAsiaTheme="minorEastAsia"/>
          <w:b/>
          <w:bCs/>
          <w:color w:val="auto"/>
          <w:sz w:val="24"/>
          <w:szCs w:val="20"/>
          <w:highlight w:val="none"/>
          <w:lang w:val="zh-CN"/>
        </w:rPr>
      </w:pPr>
      <w:r>
        <w:rPr>
          <w:rFonts w:hint="eastAsia" w:ascii="宋体" w:hAnsi="宋体" w:cs="宋体" w:eastAsiaTheme="minorEastAsia"/>
          <w:b/>
          <w:bCs/>
          <w:color w:val="auto"/>
          <w:sz w:val="24"/>
          <w:szCs w:val="20"/>
          <w:highlight w:val="none"/>
          <w:lang w:val="zh-CN" w:eastAsia="zh-CN"/>
        </w:rPr>
        <w:t>三</w:t>
      </w:r>
      <w:r>
        <w:rPr>
          <w:rFonts w:hint="eastAsia" w:ascii="宋体" w:hAnsi="宋体" w:cs="宋体" w:eastAsiaTheme="minorEastAsia"/>
          <w:b/>
          <w:bCs/>
          <w:color w:val="auto"/>
          <w:sz w:val="24"/>
          <w:szCs w:val="20"/>
          <w:highlight w:val="none"/>
          <w:lang w:val="zh-CN"/>
        </w:rPr>
        <w:t>、</w:t>
      </w:r>
      <w:r>
        <w:rPr>
          <w:rFonts w:hint="eastAsia" w:ascii="宋体" w:hAnsi="宋体" w:cs="宋体" w:eastAsiaTheme="minorEastAsia"/>
          <w:b/>
          <w:bCs/>
          <w:color w:val="auto"/>
          <w:sz w:val="24"/>
          <w:szCs w:val="20"/>
          <w:highlight w:val="none"/>
          <w:lang w:val="zh-CN" w:eastAsia="zh-CN"/>
        </w:rPr>
        <w:t>物业管理服务</w:t>
      </w:r>
      <w:r>
        <w:rPr>
          <w:rFonts w:hint="eastAsia" w:ascii="宋体" w:hAnsi="宋体" w:cs="宋体" w:eastAsiaTheme="minorEastAsia"/>
          <w:b/>
          <w:bCs/>
          <w:color w:val="auto"/>
          <w:sz w:val="24"/>
          <w:szCs w:val="20"/>
          <w:highlight w:val="none"/>
          <w:lang w:val="zh-CN"/>
        </w:rPr>
        <w:t>内容及要求</w:t>
      </w:r>
    </w:p>
    <w:p w14:paraId="3BB79FC1">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（一）保安员</w:t>
      </w:r>
    </w:p>
    <w:p w14:paraId="36DB9114">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工作职责：</w:t>
      </w:r>
    </w:p>
    <w:p w14:paraId="1711145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负责</w:t>
      </w:r>
      <w:r>
        <w:rPr>
          <w:rFonts w:hint="eastAsia" w:ascii="宋体" w:hAnsi="宋体" w:eastAsia="宋体" w:cs="宋体"/>
          <w:b w:val="0"/>
          <w:bCs/>
          <w:sz w:val="24"/>
          <w:szCs w:val="24"/>
          <w:lang w:val="en-US" w:eastAsia="zh-CN"/>
        </w:rPr>
        <w:t>中心区域</w:t>
      </w:r>
      <w:r>
        <w:rPr>
          <w:rFonts w:hint="eastAsia" w:ascii="宋体" w:hAnsi="宋体" w:eastAsia="宋体" w:cs="宋体"/>
          <w:b w:val="0"/>
          <w:bCs/>
          <w:sz w:val="24"/>
          <w:szCs w:val="24"/>
        </w:rPr>
        <w:t>内巡查、秩序维持、车辆停放等安全防范工作，维护上述地域内的人身财物安全，以及工作正常有序运转。</w:t>
      </w:r>
    </w:p>
    <w:p w14:paraId="7F531E8A">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自觉遵守国家法律，服从领导，听从指挥，热爱本职。负责</w:t>
      </w:r>
      <w:r>
        <w:rPr>
          <w:rFonts w:hint="eastAsia" w:ascii="宋体" w:hAnsi="宋体" w:eastAsia="宋体" w:cs="宋体"/>
          <w:b w:val="0"/>
          <w:bCs/>
          <w:sz w:val="24"/>
          <w:szCs w:val="24"/>
          <w:lang w:val="en-US" w:eastAsia="zh-CN"/>
        </w:rPr>
        <w:t>中心</w:t>
      </w:r>
      <w:r>
        <w:rPr>
          <w:rFonts w:hint="eastAsia" w:ascii="宋体" w:hAnsi="宋体" w:eastAsia="宋体" w:cs="宋体"/>
          <w:b w:val="0"/>
          <w:bCs/>
          <w:sz w:val="24"/>
          <w:szCs w:val="24"/>
        </w:rPr>
        <w:t>安全保卫工作，维持</w:t>
      </w:r>
      <w:r>
        <w:rPr>
          <w:rFonts w:hint="eastAsia" w:ascii="宋体" w:hAnsi="宋体" w:eastAsia="宋体" w:cs="宋体"/>
          <w:b w:val="0"/>
          <w:bCs/>
          <w:sz w:val="24"/>
          <w:szCs w:val="24"/>
          <w:lang w:val="en-US" w:eastAsia="zh-CN"/>
        </w:rPr>
        <w:t>中心</w:t>
      </w:r>
      <w:r>
        <w:rPr>
          <w:rFonts w:hint="eastAsia" w:ascii="宋体" w:hAnsi="宋体" w:eastAsia="宋体" w:cs="宋体"/>
          <w:b w:val="0"/>
          <w:bCs/>
          <w:sz w:val="24"/>
          <w:szCs w:val="24"/>
        </w:rPr>
        <w:t>正常工作和治安秩序。</w:t>
      </w:r>
    </w:p>
    <w:p w14:paraId="6E648B1C">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牢固树立“客户至上，服务第一”的服务宗旨、“忠诚工作，爱岗敬业”的职业道德。认真学习，加强培训，保证工作质量和服务技能。 坚守岗位、 恪尽职守，不准脱岗、离岗、睡岗。</w:t>
      </w:r>
    </w:p>
    <w:p w14:paraId="56786B2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保持着装整洁,姿态威武；遵守制度，文明执勤，注意工作方法，全面提升整个</w:t>
      </w:r>
      <w:r>
        <w:rPr>
          <w:rFonts w:hint="eastAsia" w:ascii="宋体" w:hAnsi="宋体" w:eastAsia="宋体" w:cs="宋体"/>
          <w:b w:val="0"/>
          <w:bCs/>
          <w:sz w:val="24"/>
          <w:szCs w:val="24"/>
          <w:lang w:val="en-US" w:eastAsia="zh-CN"/>
        </w:rPr>
        <w:t>中心</w:t>
      </w:r>
      <w:r>
        <w:rPr>
          <w:rFonts w:hint="eastAsia" w:ascii="宋体" w:hAnsi="宋体" w:eastAsia="宋体" w:cs="宋体"/>
          <w:b w:val="0"/>
          <w:bCs/>
          <w:sz w:val="24"/>
          <w:szCs w:val="24"/>
        </w:rPr>
        <w:t>的物业品质。</w:t>
      </w:r>
    </w:p>
    <w:p w14:paraId="565E7DD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保持警惕，明辨是非；坚持原则，敢抓敢管。加强治安巡逻，防患于未然。发现可疑人和事要机智灵活，及时检查处置上报。</w:t>
      </w:r>
    </w:p>
    <w:p w14:paraId="10F0C3F1">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对进出车辆和停放车辆要统一指挥，严格管理，不准乱停乱放，对运送易燃易爆危险品的车辆未经允许不得进入。及时处理各类突发和纠纷事件，保障卫生院安全工作秩序。</w:t>
      </w:r>
    </w:p>
    <w:p w14:paraId="682F907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夜间值班时，要注意增强反应、机动能力。对大楼重要部位要加强巡查力度，并作好值班记录。</w:t>
      </w:r>
    </w:p>
    <w:p w14:paraId="1B0AE960">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掌握必要的安全常识与技能，熟练大楼消防设施的使用方法，及时有效的处理安全事故隐患。并和上级公安、消防等部门保持联系，遇到紧急情况及时反馈并作应急处理。</w:t>
      </w:r>
    </w:p>
    <w:p w14:paraId="6C47DFAB">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8</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严格遵守交接班制度，按规定的时间交接班。交班人员应告知本班发生的情况和处理结果，并交待需要继续办理的事项。接班者未到或未办理交接班手续，当班者不能离开。</w:t>
      </w:r>
    </w:p>
    <w:p w14:paraId="6B307CB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 xml:space="preserve">对来投诉与处理纠纷人员，保安员要维护好现场秩序，控制劝解大声喧哗与争吵，维护大楼内的安静和有序的环境协助领导处理发生的纠纷，维护正常工作秩序。 </w:t>
      </w:r>
    </w:p>
    <w:p w14:paraId="5FB882DC">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10</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完成交办的其他工作。</w:t>
      </w:r>
    </w:p>
    <w:p w14:paraId="6F5BB689">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保安员工作要求：</w:t>
      </w:r>
    </w:p>
    <w:p w14:paraId="378FC691">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统一着装</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设专人24小时</w:t>
      </w:r>
      <w:r>
        <w:rPr>
          <w:rFonts w:hint="eastAsia" w:ascii="宋体" w:hAnsi="宋体" w:eastAsia="宋体" w:cs="宋体"/>
          <w:b w:val="0"/>
          <w:bCs/>
          <w:sz w:val="24"/>
          <w:szCs w:val="24"/>
          <w:lang w:val="en-US" w:eastAsia="zh-CN"/>
        </w:rPr>
        <w:t>在岗在位</w:t>
      </w:r>
      <w:r>
        <w:rPr>
          <w:rFonts w:hint="eastAsia" w:ascii="宋体" w:hAnsi="宋体" w:eastAsia="宋体" w:cs="宋体"/>
          <w:b w:val="0"/>
          <w:bCs/>
          <w:sz w:val="24"/>
          <w:szCs w:val="24"/>
        </w:rPr>
        <w:t>值勤，对机动、非机动车辆出入验证</w:t>
      </w:r>
      <w:r>
        <w:rPr>
          <w:rFonts w:hint="eastAsia" w:ascii="宋体" w:hAnsi="宋体" w:eastAsia="宋体" w:cs="宋体"/>
          <w:b w:val="0"/>
          <w:bCs/>
          <w:sz w:val="24"/>
          <w:szCs w:val="24"/>
          <w:lang w:val="en-US" w:eastAsia="zh-CN"/>
        </w:rPr>
        <w:t>管理</w:t>
      </w:r>
      <w:r>
        <w:rPr>
          <w:rFonts w:hint="eastAsia" w:ascii="宋体" w:hAnsi="宋体" w:eastAsia="宋体" w:cs="宋体"/>
          <w:b w:val="0"/>
          <w:bCs/>
          <w:sz w:val="24"/>
          <w:szCs w:val="24"/>
        </w:rPr>
        <w:t>。</w:t>
      </w:r>
    </w:p>
    <w:p w14:paraId="1DD53C89">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坚守岗位，服从指挥，文明服务，礼貌待人，做好值班记录接班要准时并做好交接班记录。</w:t>
      </w:r>
    </w:p>
    <w:p w14:paraId="19D4D082">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严格执行</w:t>
      </w:r>
      <w:r>
        <w:rPr>
          <w:rFonts w:hint="eastAsia" w:ascii="宋体" w:hAnsi="宋体" w:eastAsia="宋体" w:cs="宋体"/>
          <w:b w:val="0"/>
          <w:bCs/>
          <w:sz w:val="24"/>
          <w:szCs w:val="24"/>
          <w:lang w:val="en-US" w:eastAsia="zh-CN"/>
        </w:rPr>
        <w:t>各项管理</w:t>
      </w:r>
      <w:r>
        <w:rPr>
          <w:rFonts w:hint="eastAsia" w:ascii="宋体" w:hAnsi="宋体" w:eastAsia="宋体" w:cs="宋体"/>
          <w:b w:val="0"/>
          <w:bCs/>
          <w:sz w:val="24"/>
          <w:szCs w:val="24"/>
        </w:rPr>
        <w:t>制度，</w:t>
      </w:r>
      <w:r>
        <w:rPr>
          <w:rFonts w:hint="eastAsia" w:ascii="宋体" w:hAnsi="宋体" w:eastAsia="宋体" w:cs="宋体"/>
          <w:b w:val="0"/>
          <w:bCs/>
          <w:sz w:val="24"/>
          <w:szCs w:val="24"/>
          <w:lang w:val="en-US" w:eastAsia="zh-CN"/>
        </w:rPr>
        <w:t>协助做好中心入口进入人员</w:t>
      </w:r>
      <w:r>
        <w:rPr>
          <w:rFonts w:hint="eastAsia" w:ascii="宋体" w:hAnsi="宋体" w:eastAsia="宋体" w:cs="宋体"/>
          <w:b w:val="0"/>
          <w:bCs/>
          <w:sz w:val="24"/>
          <w:szCs w:val="24"/>
        </w:rPr>
        <w:t>登记和引导</w:t>
      </w:r>
      <w:r>
        <w:rPr>
          <w:rFonts w:hint="eastAsia" w:ascii="宋体" w:hAnsi="宋体" w:eastAsia="宋体" w:cs="宋体"/>
          <w:b w:val="0"/>
          <w:bCs/>
          <w:sz w:val="24"/>
          <w:szCs w:val="24"/>
          <w:lang w:val="en-US" w:eastAsia="zh-CN"/>
        </w:rPr>
        <w:t>等工作</w:t>
      </w:r>
      <w:r>
        <w:rPr>
          <w:rFonts w:hint="eastAsia" w:ascii="宋体" w:hAnsi="宋体" w:eastAsia="宋体" w:cs="宋体"/>
          <w:b w:val="0"/>
          <w:bCs/>
          <w:sz w:val="24"/>
          <w:szCs w:val="24"/>
        </w:rPr>
        <w:t>。</w:t>
      </w:r>
    </w:p>
    <w:p w14:paraId="7ED036A9">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发现异常情况及可疑人员应以询问查清，发现火警或治安隐患、事故等紧急情况应立即处置，并及时报告有关部门。</w:t>
      </w:r>
      <w:r>
        <w:rPr>
          <w:rFonts w:hint="eastAsia" w:ascii="宋体" w:hAnsi="宋体" w:eastAsia="宋体" w:cs="宋体"/>
          <w:b w:val="0"/>
          <w:bCs/>
          <w:sz w:val="24"/>
          <w:szCs w:val="24"/>
        </w:rPr>
        <w:br w:type="textWrapping"/>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二</w:t>
      </w:r>
      <w:r>
        <w:rPr>
          <w:rFonts w:hint="eastAsia" w:ascii="宋体" w:hAnsi="宋体" w:eastAsia="宋体" w:cs="宋体"/>
          <w:b/>
          <w:sz w:val="24"/>
          <w:szCs w:val="24"/>
          <w:lang w:eastAsia="zh-CN"/>
        </w:rPr>
        <w:t>）</w:t>
      </w:r>
      <w:r>
        <w:rPr>
          <w:rFonts w:hint="eastAsia" w:ascii="宋体" w:hAnsi="宋体" w:eastAsia="宋体" w:cs="宋体"/>
          <w:b/>
          <w:sz w:val="24"/>
          <w:szCs w:val="24"/>
        </w:rPr>
        <w:t>保洁员</w:t>
      </w:r>
    </w:p>
    <w:p w14:paraId="52BB2AC7">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岗位职责</w:t>
      </w:r>
    </w:p>
    <w:p w14:paraId="042E617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严格遵守上下班时间及值班规律，上岗须穿着统一</w:t>
      </w:r>
      <w:r>
        <w:rPr>
          <w:rFonts w:hint="eastAsia" w:ascii="宋体" w:hAnsi="宋体" w:eastAsia="宋体" w:cs="宋体"/>
          <w:b w:val="0"/>
          <w:bCs/>
          <w:sz w:val="24"/>
          <w:szCs w:val="24"/>
          <w:lang w:val="en-US" w:eastAsia="zh-CN"/>
        </w:rPr>
        <w:t>着装</w:t>
      </w:r>
      <w:r>
        <w:rPr>
          <w:rFonts w:hint="eastAsia" w:ascii="宋体" w:hAnsi="宋体" w:eastAsia="宋体" w:cs="宋体"/>
          <w:b w:val="0"/>
          <w:bCs/>
          <w:sz w:val="24"/>
          <w:szCs w:val="24"/>
        </w:rPr>
        <w:t>，佩带工号牌。尊重业主，优质服务，在任何情况下员工都不得与客户发生争执。</w:t>
      </w:r>
    </w:p>
    <w:p w14:paraId="14D8841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对所负责的区域卫生全面清理除尘，保证区域的地面干净整洁光亮，无垃圾，无积水，无污渍。</w:t>
      </w:r>
    </w:p>
    <w:p w14:paraId="21DC19B8">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保证玻璃窗，墙壁，玻璃门等干净明亮，无划痕、手印，果皮箱垃圾的清理及擦洗。大小标识牌保持整洁。</w:t>
      </w:r>
    </w:p>
    <w:p w14:paraId="4D7AF66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洗手间的清洗，要随时注意地面、台面的清洁，清除异味，并及时补充卫生纸和洗手液等相关用品。</w:t>
      </w:r>
    </w:p>
    <w:p w14:paraId="2B08F59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及时清理区域内花卉盆里的杂物。雨雪天气及时的摆放防滑地毯，以及“小心地滑”的指示牌。发现公共设施的损坏，要及时的上报维修。</w:t>
      </w:r>
    </w:p>
    <w:p w14:paraId="0E86540B">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及时完成每次会议的桌椅摆放任务，完成会议室的卫生工作及会前准备工作，如：开水等必备用品。</w:t>
      </w:r>
    </w:p>
    <w:p w14:paraId="5A61808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爱护卫生用具，修旧利废，节约开支。工具用毕后按规定的地点存放，及时清洗。</w:t>
      </w:r>
    </w:p>
    <w:p w14:paraId="142EB48D">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保洁工作范围</w:t>
      </w:r>
    </w:p>
    <w:p w14:paraId="58C8A5E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室内：大厅、病房、楼梯、通道及扶手、走廊、茶水间、楼层卫生间、洗衣间、会议室、电梯轿厢、扶梯、门窗、标牌、消防箱等公共设施的卫生保洁</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消毒</w:t>
      </w:r>
      <w:r>
        <w:rPr>
          <w:rFonts w:hint="eastAsia" w:ascii="宋体" w:hAnsi="宋体" w:eastAsia="宋体" w:cs="宋体"/>
          <w:b w:val="0"/>
          <w:bCs/>
          <w:sz w:val="24"/>
          <w:szCs w:val="24"/>
        </w:rPr>
        <w:t>及垃圾清运至垃圾房。</w:t>
      </w:r>
    </w:p>
    <w:p w14:paraId="0F8D772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室外：医院范围内的道路、广场、画廊、宣传牌、绿化区、景观灯具、标牌、屋面、雨篷等的卫生保洁及垃圾清运至垃圾房。</w:t>
      </w:r>
    </w:p>
    <w:p w14:paraId="723C4D10">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保洁工作要求</w:t>
      </w:r>
    </w:p>
    <w:p w14:paraId="187DC304">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门厅、大堂</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门厅入口处应铺设防尘脚垫，每天清洁两次，确保脚垫无尘土积压；入口区域及时除尘，随时擦拭脚印等污迹，每20-30分钟（视人流量及其他因素而定）巡回清扫1次，确保地面持续处于清洁状态；地面每天清扫拖擦2次，每30分钟巡回保洁1次，确保持续清洁，无明显杂物和污渍；门厅的玻璃门、玻璃隔断每天维护1次，确保无明显水渍、污迹；垃圾筒每天及时清倒，并更换垃圾袋1次，确定筒内垃圾不超过1/2</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墙面、地脚线、标牌、开关盒、壁灯等，每天掸尘1次，两天擦拭1次。</w:t>
      </w:r>
    </w:p>
    <w:p w14:paraId="25074FB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走道、楼梯</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清扫楼梯自上而下倒退作业，不能让垃圾、尘土等从楼梯边洒落，拖擦时拖把不能太湿，不能让楼梯边侧留下污水痕迹，每天拖擦2次，巡回保洁若干次；走道每天拖擦2次，每30分钟巡视保洁1次</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电梯内地面每天拖擦2次，每30分钟巡回保洁1次电梯轿厢内壁不锈钢材质，在使用的过程中易与人手接触留下印痕，应及时擦拭并用不锈钢光亮剂维护，确保不锈钢材质的清洁、光亮；楼梯扶手每天擦拭1次；垃圾桶每天清倒1次，并冲洗抹擦干净；窗户、窗台、墙壁、地脚线、消防箱、开关标牌等每天保洁1次，发现污迹及时清洁。</w:t>
      </w:r>
    </w:p>
    <w:p w14:paraId="0C525C2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卫生间</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经常冲刷便池，确保无污垢，每天定时清洗2次，不定时巡视若干次并保洁；及时清倒手纸篓，篓内手纸不得多于1/2；地面保持干爽、洁净；每天拖擦2次，巡视保洁若干次；门窗、隔断、墙壁、窗台、云台、洗手盆及时擦拭、维护，确保洁净无渍；每周喷洒1次除臭剂，及时清除异味。</w:t>
      </w:r>
    </w:p>
    <w:p w14:paraId="6FD5A88A">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病房</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地面每天拖擦2次，每2小时维护1次；每天喷洒消毒液1次；室内垃圾篓每天清倒不少于1次，确保篓内垃圾不多于1/2；室内病床、床头柜每天消毒1次，卫生间每天清洗1次，每天维护1次；门、窗、窗台、墙壁、地脚线、开关及时维护，无明显污渍。</w:t>
      </w:r>
    </w:p>
    <w:p w14:paraId="69D9A1D9">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输液室</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地面每天拖擦3次，每小时维护1次，每天喷洒消毒液1次；室内垃圾篓每天清倒不少于2次，确保篓内垃圾不多于1/2；门、窗、窗台、墙壁、地脚线、开关及时维护，无明显污渍；隔断、座椅、沙发及时擦拭，每天消毒2次，并及时维护。</w:t>
      </w:r>
    </w:p>
    <w:p w14:paraId="3D57340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被服洗涤服务</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负责病区被服、床单、枕套、手术巾、治疗巾等送洗和收发。</w:t>
      </w:r>
    </w:p>
    <w:p w14:paraId="12299E5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其它有关说明</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对区域内的垃圾每天清运2次，保证无垃圾积压</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医院遇有重大活动或重大节日，进行卫生突击</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配合医疗废物的收集</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按要求每天对公共区域等部位消毒2次；医疗废物、</w:t>
      </w:r>
      <w:r>
        <w:rPr>
          <w:rFonts w:hint="eastAsia" w:ascii="宋体" w:hAnsi="宋体" w:eastAsia="宋体" w:cs="宋体"/>
          <w:b w:val="0"/>
          <w:bCs/>
          <w:sz w:val="24"/>
          <w:szCs w:val="24"/>
        </w:rPr>
        <w:t>生活垃圾的收集并送至医院内指定垃圾房</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因物管工作需要的各种办公用品、专业工具、劳保用品均由中标人购置并承担费用</w:t>
      </w:r>
      <w:r>
        <w:rPr>
          <w:rFonts w:hint="eastAsia" w:ascii="宋体" w:hAnsi="宋体" w:eastAsia="宋体" w:cs="宋体"/>
          <w:b w:val="0"/>
          <w:bCs/>
          <w:sz w:val="24"/>
          <w:szCs w:val="24"/>
          <w:lang w:eastAsia="zh-CN"/>
        </w:rPr>
        <w:t>。</w:t>
      </w:r>
    </w:p>
    <w:p w14:paraId="50DA0977">
      <w:pPr>
        <w:widowControl/>
        <w:spacing w:line="560" w:lineRule="exact"/>
        <w:ind w:firstLine="480"/>
        <w:jc w:val="left"/>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 xml:space="preserve"> 绿化养护</w:t>
      </w:r>
    </w:p>
    <w:p w14:paraId="7F8A7292">
      <w:pPr>
        <w:widowControl/>
        <w:spacing w:line="560" w:lineRule="exact"/>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定期给花草树木修剪、治虫、施肥、除草、抹芽等。</w:t>
      </w:r>
    </w:p>
    <w:p w14:paraId="07D216E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（四） 管理制度</w:t>
      </w:r>
    </w:p>
    <w:p w14:paraId="0CAFD489">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根据招标人的具体情况，受托单位应建立健全详细的内部管理制度、日常服务的运作管理制度等相关制度。</w:t>
      </w:r>
    </w:p>
    <w:p w14:paraId="2FB2CBC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(1)物业管理员工行为规范;</w:t>
      </w:r>
    </w:p>
    <w:p w14:paraId="53234D71">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(2)保洁工作职责;</w:t>
      </w:r>
    </w:p>
    <w:p w14:paraId="1C66FD8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(3)考核奖惩制度;</w:t>
      </w:r>
    </w:p>
    <w:p w14:paraId="450BABFB">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(4)综合服务制度;</w:t>
      </w:r>
    </w:p>
    <w:p w14:paraId="481B5E4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(5)其他。</w:t>
      </w:r>
    </w:p>
    <w:p w14:paraId="2B2E261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（五） 人员要求</w:t>
      </w:r>
    </w:p>
    <w:p w14:paraId="667B62AF">
      <w:pPr>
        <w:widowControl/>
        <w:spacing w:line="560" w:lineRule="exact"/>
        <w:ind w:firstLine="48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人员基本原则：精干 高效 专业 敬业 健康。</w:t>
      </w:r>
    </w:p>
    <w:p w14:paraId="3AA829AF">
      <w:pPr>
        <w:widowControl/>
        <w:spacing w:line="560" w:lineRule="exact"/>
        <w:ind w:firstLine="48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人员配置要求</w:t>
      </w:r>
    </w:p>
    <w:p w14:paraId="09849911">
      <w:pPr>
        <w:widowControl/>
        <w:spacing w:line="560" w:lineRule="exact"/>
        <w:ind w:firstLine="480"/>
        <w:jc w:val="left"/>
        <w:rPr>
          <w:rFonts w:hint="eastAsia" w:eastAsia="Arial"/>
          <w:b/>
          <w:bCs/>
          <w:color w:val="0000FF"/>
          <w:sz w:val="24"/>
          <w:szCs w:val="20"/>
          <w:highlight w:val="none"/>
          <w:lang w:val="en-US" w:eastAsia="zh-CN"/>
        </w:rPr>
      </w:pPr>
      <w:r>
        <w:rPr>
          <w:rFonts w:hint="eastAsia" w:ascii="宋体" w:hAnsi="宋体" w:eastAsia="宋体" w:cs="宋体"/>
          <w:color w:val="auto"/>
          <w:sz w:val="24"/>
          <w:szCs w:val="24"/>
          <w:highlight w:val="none"/>
        </w:rPr>
        <w:t>①项目负责人（</w:t>
      </w:r>
      <w:r>
        <w:rPr>
          <w:rFonts w:hint="eastAsia" w:cs="宋体"/>
          <w:color w:val="auto"/>
          <w:sz w:val="24"/>
          <w:szCs w:val="24"/>
          <w:highlight w:val="none"/>
          <w:lang w:eastAsia="zh-CN"/>
        </w:rPr>
        <w:t>兼保</w:t>
      </w:r>
      <w:r>
        <w:rPr>
          <w:rFonts w:hint="eastAsia" w:cs="宋体"/>
          <w:color w:val="auto"/>
          <w:sz w:val="24"/>
          <w:szCs w:val="24"/>
          <w:highlight w:val="none"/>
          <w:lang w:val="en-US" w:eastAsia="zh-CN"/>
        </w:rPr>
        <w:t>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初中</w:t>
      </w:r>
      <w:r>
        <w:rPr>
          <w:rFonts w:hint="eastAsia" w:cs="宋体"/>
          <w:color w:val="auto"/>
          <w:sz w:val="24"/>
          <w:szCs w:val="24"/>
          <w:highlight w:val="none"/>
          <w:lang w:eastAsia="zh-CN"/>
        </w:rPr>
        <w:t>及</w:t>
      </w:r>
      <w:r>
        <w:rPr>
          <w:rFonts w:hint="eastAsia" w:ascii="宋体" w:hAnsi="宋体" w:eastAsia="宋体" w:cs="宋体"/>
          <w:color w:val="auto"/>
          <w:sz w:val="24"/>
          <w:szCs w:val="24"/>
          <w:highlight w:val="none"/>
        </w:rPr>
        <w:t>以上学历，知识面广，专业技能熟练，有较强的组织领导能力和协调能力，身体健康，</w:t>
      </w:r>
      <w:r>
        <w:rPr>
          <w:rFonts w:hint="eastAsia" w:ascii="宋体" w:hAnsi="宋体" w:eastAsia="宋体" w:cs="宋体"/>
          <w:b/>
          <w:bCs/>
          <w:color w:val="auto"/>
          <w:sz w:val="24"/>
          <w:szCs w:val="24"/>
          <w:highlight w:val="none"/>
        </w:rPr>
        <w:t>并持有有效期内的健康证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0"/>
          <w:highlight w:val="none"/>
          <w:lang w:val="en-US" w:eastAsia="zh-CN"/>
        </w:rPr>
        <w:t>保安员证</w:t>
      </w:r>
      <w:r>
        <w:rPr>
          <w:rFonts w:hint="eastAsia" w:cs="宋体"/>
          <w:b/>
          <w:bCs/>
          <w:color w:val="auto"/>
          <w:sz w:val="24"/>
          <w:szCs w:val="20"/>
          <w:highlight w:val="none"/>
          <w:lang w:val="en-US" w:eastAsia="zh-CN"/>
        </w:rPr>
        <w:t>书</w:t>
      </w:r>
      <w:r>
        <w:rPr>
          <w:rFonts w:hint="eastAsia" w:ascii="宋体" w:hAnsi="宋体" w:eastAsia="宋体" w:cs="宋体"/>
          <w:b/>
          <w:bCs/>
          <w:color w:val="auto"/>
          <w:sz w:val="24"/>
          <w:szCs w:val="20"/>
          <w:highlight w:val="none"/>
          <w:lang w:val="en-US" w:eastAsia="zh-CN"/>
        </w:rPr>
        <w:t>或初级（五级）</w:t>
      </w:r>
      <w:r>
        <w:rPr>
          <w:rFonts w:hint="eastAsia" w:cs="宋体"/>
          <w:b/>
          <w:bCs/>
          <w:color w:val="auto"/>
          <w:sz w:val="24"/>
          <w:szCs w:val="20"/>
          <w:highlight w:val="none"/>
          <w:lang w:val="en-US" w:eastAsia="zh-CN"/>
        </w:rPr>
        <w:t>及以上</w:t>
      </w:r>
      <w:r>
        <w:rPr>
          <w:rFonts w:hint="eastAsia" w:eastAsia="Arial"/>
          <w:b/>
          <w:bCs/>
          <w:color w:val="auto"/>
          <w:sz w:val="24"/>
          <w:szCs w:val="20"/>
          <w:highlight w:val="none"/>
          <w:lang w:val="en-US" w:eastAsia="zh-CN"/>
        </w:rPr>
        <w:t>保安员职业资格证书</w:t>
      </w:r>
      <w:r>
        <w:rPr>
          <w:rFonts w:hint="eastAsia" w:cs="宋体"/>
          <w:b/>
          <w:bCs/>
          <w:color w:val="auto"/>
          <w:sz w:val="24"/>
          <w:szCs w:val="24"/>
          <w:highlight w:val="none"/>
          <w:lang w:val="en-US" w:eastAsia="zh-CN"/>
        </w:rPr>
        <w:t>及</w:t>
      </w:r>
      <w:r>
        <w:rPr>
          <w:rFonts w:hint="eastAsia" w:ascii="宋体" w:hAnsi="宋体" w:eastAsia="宋体" w:cs="宋体"/>
          <w:b/>
          <w:bCs/>
          <w:color w:val="auto"/>
          <w:sz w:val="24"/>
          <w:szCs w:val="24"/>
          <w:highlight w:val="none"/>
        </w:rPr>
        <w:t>中级（四级）及以上消防设施操作员证</w:t>
      </w:r>
      <w:r>
        <w:rPr>
          <w:rFonts w:hint="eastAsia" w:eastAsia="Arial"/>
          <w:b/>
          <w:bCs/>
          <w:color w:val="auto"/>
          <w:sz w:val="24"/>
          <w:szCs w:val="20"/>
          <w:highlight w:val="none"/>
          <w:lang w:val="en-US" w:eastAsia="zh-CN"/>
        </w:rPr>
        <w:t>书或建(构)筑物消防员证书</w:t>
      </w:r>
      <w:r>
        <w:rPr>
          <w:rFonts w:hint="eastAsia" w:eastAsia="Arial"/>
          <w:b/>
          <w:bCs/>
          <w:i/>
          <w:iCs/>
          <w:color w:val="0000FF"/>
          <w:sz w:val="24"/>
          <w:szCs w:val="20"/>
          <w:highlight w:val="none"/>
          <w:lang w:val="en-US" w:eastAsia="zh-CN"/>
        </w:rPr>
        <w:t>（签订合同前需提供相关证书）</w:t>
      </w:r>
      <w:r>
        <w:rPr>
          <w:rFonts w:hint="eastAsia" w:eastAsia="Arial"/>
          <w:b/>
          <w:bCs/>
          <w:color w:val="0000FF"/>
          <w:sz w:val="24"/>
          <w:szCs w:val="20"/>
          <w:highlight w:val="none"/>
          <w:lang w:val="en-US" w:eastAsia="zh-CN"/>
        </w:rPr>
        <w:t>。</w:t>
      </w:r>
    </w:p>
    <w:p w14:paraId="217EC257">
      <w:pPr>
        <w:widowControl/>
        <w:spacing w:line="560" w:lineRule="exact"/>
        <w:ind w:firstLine="480"/>
        <w:jc w:val="left"/>
        <w:rPr>
          <w:rFonts w:hint="eastAsia" w:eastAsia="Arial"/>
          <w:b/>
          <w:bCs/>
          <w:color w:val="0000FF"/>
          <w:sz w:val="24"/>
          <w:szCs w:val="20"/>
          <w:highlight w:val="none"/>
          <w:lang w:val="en-US" w:eastAsia="zh-CN"/>
        </w:rPr>
      </w:pPr>
      <w:r>
        <w:rPr>
          <w:rFonts w:hint="eastAsia" w:ascii="宋体" w:hAnsi="宋体" w:eastAsia="宋体" w:cs="宋体"/>
          <w:color w:val="auto"/>
          <w:sz w:val="24"/>
          <w:szCs w:val="24"/>
          <w:highlight w:val="none"/>
        </w:rPr>
        <w:t>②保安人员：初中及以上学历，责任心强，思想品质好，作风正派,无不良记录，身体健康，</w:t>
      </w:r>
      <w:r>
        <w:rPr>
          <w:rFonts w:hint="eastAsia" w:ascii="宋体" w:hAnsi="宋体" w:eastAsia="宋体" w:cs="宋体"/>
          <w:b/>
          <w:bCs/>
          <w:color w:val="auto"/>
          <w:sz w:val="24"/>
          <w:szCs w:val="24"/>
          <w:highlight w:val="none"/>
        </w:rPr>
        <w:t>并持有有效期内的健康证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0"/>
          <w:highlight w:val="none"/>
          <w:lang w:val="en-US" w:eastAsia="zh-CN"/>
        </w:rPr>
        <w:t>保安员证</w:t>
      </w:r>
      <w:r>
        <w:rPr>
          <w:rFonts w:hint="eastAsia" w:cs="宋体"/>
          <w:b/>
          <w:bCs/>
          <w:color w:val="auto"/>
          <w:sz w:val="24"/>
          <w:szCs w:val="20"/>
          <w:highlight w:val="none"/>
          <w:lang w:val="en-US" w:eastAsia="zh-CN"/>
        </w:rPr>
        <w:t>书</w:t>
      </w:r>
      <w:r>
        <w:rPr>
          <w:rFonts w:hint="eastAsia" w:ascii="宋体" w:hAnsi="宋体" w:eastAsia="宋体" w:cs="宋体"/>
          <w:b/>
          <w:bCs/>
          <w:color w:val="auto"/>
          <w:sz w:val="24"/>
          <w:szCs w:val="20"/>
          <w:highlight w:val="none"/>
          <w:lang w:val="en-US" w:eastAsia="zh-CN"/>
        </w:rPr>
        <w:t>或初级（五级）</w:t>
      </w:r>
      <w:r>
        <w:rPr>
          <w:rFonts w:hint="eastAsia" w:cs="宋体"/>
          <w:b/>
          <w:bCs/>
          <w:color w:val="auto"/>
          <w:sz w:val="24"/>
          <w:szCs w:val="20"/>
          <w:highlight w:val="none"/>
          <w:lang w:val="en-US" w:eastAsia="zh-CN"/>
        </w:rPr>
        <w:t>及以上</w:t>
      </w:r>
      <w:r>
        <w:rPr>
          <w:rFonts w:hint="eastAsia" w:eastAsia="Arial"/>
          <w:b/>
          <w:bCs/>
          <w:color w:val="auto"/>
          <w:sz w:val="24"/>
          <w:szCs w:val="20"/>
          <w:highlight w:val="none"/>
          <w:lang w:val="en-US" w:eastAsia="zh-CN"/>
        </w:rPr>
        <w:t>保安员职业资格证书</w:t>
      </w:r>
      <w:r>
        <w:rPr>
          <w:rFonts w:hint="eastAsia" w:cs="宋体"/>
          <w:b/>
          <w:bCs/>
          <w:color w:val="auto"/>
          <w:sz w:val="24"/>
          <w:szCs w:val="24"/>
          <w:highlight w:val="none"/>
          <w:lang w:val="en-US" w:eastAsia="zh-CN"/>
        </w:rPr>
        <w:t>及</w:t>
      </w:r>
      <w:r>
        <w:rPr>
          <w:rFonts w:hint="eastAsia" w:ascii="宋体" w:hAnsi="宋体" w:eastAsia="宋体" w:cs="宋体"/>
          <w:b/>
          <w:bCs/>
          <w:color w:val="auto"/>
          <w:sz w:val="24"/>
          <w:szCs w:val="24"/>
          <w:highlight w:val="none"/>
        </w:rPr>
        <w:t>中级（四级）及以上消防设施操作员证</w:t>
      </w:r>
      <w:r>
        <w:rPr>
          <w:rFonts w:hint="eastAsia" w:eastAsia="Arial"/>
          <w:b/>
          <w:bCs/>
          <w:color w:val="auto"/>
          <w:sz w:val="24"/>
          <w:szCs w:val="20"/>
          <w:highlight w:val="none"/>
          <w:lang w:val="en-US" w:eastAsia="zh-CN"/>
        </w:rPr>
        <w:t>书或建(构)筑物消防员证书</w:t>
      </w:r>
      <w:r>
        <w:rPr>
          <w:rFonts w:hint="eastAsia" w:eastAsia="Arial"/>
          <w:b/>
          <w:bCs/>
          <w:i/>
          <w:iCs/>
          <w:color w:val="0000FF"/>
          <w:sz w:val="24"/>
          <w:szCs w:val="20"/>
          <w:highlight w:val="none"/>
          <w:lang w:val="en-US" w:eastAsia="zh-CN"/>
        </w:rPr>
        <w:t>（签订合同前需提供相关证书）</w:t>
      </w:r>
      <w:r>
        <w:rPr>
          <w:rFonts w:hint="eastAsia" w:eastAsia="Arial"/>
          <w:b/>
          <w:bCs/>
          <w:color w:val="0000FF"/>
          <w:sz w:val="24"/>
          <w:szCs w:val="20"/>
          <w:highlight w:val="none"/>
          <w:lang w:val="en-US" w:eastAsia="zh-CN"/>
        </w:rPr>
        <w:t>。</w:t>
      </w:r>
    </w:p>
    <w:p w14:paraId="24175D36">
      <w:pPr>
        <w:widowControl/>
        <w:spacing w:line="5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③保洁人员：初中及以上学历，品行端正，熟悉保洁业务，身体健康，有吃苦耐劳精神，责任心强，作风正派,无不良记录，并持有有效期内的健康证。</w:t>
      </w:r>
    </w:p>
    <w:p w14:paraId="3A647FD7">
      <w:pPr>
        <w:widowControl/>
        <w:spacing w:line="560" w:lineRule="exact"/>
        <w:ind w:firstLine="48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人员配备及工作内容</w:t>
      </w:r>
    </w:p>
    <w:tbl>
      <w:tblPr>
        <w:tblStyle w:val="40"/>
        <w:tblW w:w="9762" w:type="dxa"/>
        <w:jc w:val="center"/>
        <w:tblLayout w:type="fixed"/>
        <w:tblCellMar>
          <w:top w:w="15" w:type="dxa"/>
          <w:left w:w="15" w:type="dxa"/>
          <w:bottom w:w="15" w:type="dxa"/>
          <w:right w:w="15" w:type="dxa"/>
        </w:tblCellMar>
      </w:tblPr>
      <w:tblGrid>
        <w:gridCol w:w="863"/>
        <w:gridCol w:w="2115"/>
        <w:gridCol w:w="3760"/>
        <w:gridCol w:w="1125"/>
        <w:gridCol w:w="1899"/>
      </w:tblGrid>
      <w:tr w14:paraId="74A00132">
        <w:tblPrEx>
          <w:tblCellMar>
            <w:top w:w="15" w:type="dxa"/>
            <w:left w:w="15" w:type="dxa"/>
            <w:bottom w:w="15" w:type="dxa"/>
            <w:right w:w="15" w:type="dxa"/>
          </w:tblCellMar>
        </w:tblPrEx>
        <w:trPr>
          <w:trHeight w:val="528" w:hRule="atLeast"/>
          <w:jc w:val="center"/>
        </w:trPr>
        <w:tc>
          <w:tcPr>
            <w:tcW w:w="863" w:type="dxa"/>
            <w:tcBorders>
              <w:top w:val="single" w:color="auto" w:sz="4" w:space="0"/>
              <w:left w:val="single" w:color="auto" w:sz="4" w:space="0"/>
              <w:bottom w:val="single" w:color="000000" w:sz="4" w:space="0"/>
              <w:right w:val="single" w:color="000000" w:sz="4" w:space="0"/>
            </w:tcBorders>
            <w:shd w:val="clear" w:color="auto" w:fill="D8D8D8"/>
            <w:noWrap w:val="0"/>
            <w:vAlign w:val="center"/>
          </w:tcPr>
          <w:p w14:paraId="6F23D59A">
            <w:pPr>
              <w:keepNext w:val="0"/>
              <w:keepLines w:val="0"/>
              <w:pageBreakBefore w:val="0"/>
              <w:widowControl/>
              <w:spacing w:line="240" w:lineRule="auto"/>
              <w:ind w:lef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15"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5A930D24">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cs="宋体"/>
                <w:color w:val="auto"/>
                <w:sz w:val="24"/>
                <w:szCs w:val="24"/>
                <w:lang w:eastAsia="zh-CN"/>
              </w:rPr>
              <w:t>职务</w:t>
            </w:r>
          </w:p>
        </w:tc>
        <w:tc>
          <w:tcPr>
            <w:tcW w:w="3760"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0AE8FD6B">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cs="宋体"/>
                <w:color w:val="auto"/>
                <w:sz w:val="24"/>
                <w:szCs w:val="24"/>
                <w:lang w:eastAsia="zh-CN"/>
              </w:rPr>
              <w:t>工作内容</w:t>
            </w:r>
          </w:p>
        </w:tc>
        <w:tc>
          <w:tcPr>
            <w:tcW w:w="1125"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10443F5C">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人数</w:t>
            </w:r>
          </w:p>
        </w:tc>
        <w:tc>
          <w:tcPr>
            <w:tcW w:w="1899" w:type="dxa"/>
            <w:tcBorders>
              <w:top w:val="single" w:color="auto" w:sz="4" w:space="0"/>
              <w:left w:val="single" w:color="000000" w:sz="4" w:space="0"/>
              <w:bottom w:val="single" w:color="000000" w:sz="4" w:space="0"/>
              <w:right w:val="single" w:color="auto" w:sz="4" w:space="0"/>
            </w:tcBorders>
            <w:shd w:val="clear" w:color="auto" w:fill="D8D8D8"/>
            <w:noWrap w:val="0"/>
            <w:vAlign w:val="center"/>
          </w:tcPr>
          <w:p w14:paraId="0A1960BB">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6452A19">
        <w:tblPrEx>
          <w:tblCellMar>
            <w:top w:w="15" w:type="dxa"/>
            <w:left w:w="15" w:type="dxa"/>
            <w:bottom w:w="15" w:type="dxa"/>
            <w:right w:w="15" w:type="dxa"/>
          </w:tblCellMar>
        </w:tblPrEx>
        <w:trPr>
          <w:trHeight w:val="641" w:hRule="atLeast"/>
          <w:jc w:val="center"/>
        </w:trPr>
        <w:tc>
          <w:tcPr>
            <w:tcW w:w="863" w:type="dxa"/>
            <w:tcBorders>
              <w:top w:val="single" w:color="000000" w:sz="4" w:space="0"/>
              <w:left w:val="single" w:color="auto" w:sz="4" w:space="0"/>
              <w:bottom w:val="single" w:color="000000" w:sz="4" w:space="0"/>
              <w:right w:val="single" w:color="000000" w:sz="4" w:space="0"/>
            </w:tcBorders>
            <w:noWrap w:val="0"/>
            <w:vAlign w:val="center"/>
          </w:tcPr>
          <w:p w14:paraId="3B912FD6">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15" w:type="dxa"/>
            <w:tcBorders>
              <w:top w:val="single" w:color="000000" w:sz="4" w:space="0"/>
              <w:left w:val="single" w:color="000000" w:sz="4" w:space="0"/>
              <w:bottom w:val="single" w:color="auto" w:sz="4" w:space="0"/>
              <w:right w:val="single" w:color="000000" w:sz="4" w:space="0"/>
            </w:tcBorders>
            <w:noWrap w:val="0"/>
            <w:vAlign w:val="center"/>
          </w:tcPr>
          <w:p w14:paraId="48C022F9">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项目负责人</w:t>
            </w:r>
          </w:p>
        </w:tc>
        <w:tc>
          <w:tcPr>
            <w:tcW w:w="3760" w:type="dxa"/>
            <w:tcBorders>
              <w:top w:val="single" w:color="000000" w:sz="4" w:space="0"/>
              <w:left w:val="single" w:color="000000" w:sz="4" w:space="0"/>
              <w:bottom w:val="single" w:color="auto" w:sz="4" w:space="0"/>
              <w:right w:val="single" w:color="000000" w:sz="4" w:space="0"/>
            </w:tcBorders>
            <w:noWrap w:val="0"/>
            <w:vAlign w:val="center"/>
          </w:tcPr>
          <w:p w14:paraId="134F9888">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兼保安</w:t>
            </w:r>
          </w:p>
        </w:tc>
        <w:tc>
          <w:tcPr>
            <w:tcW w:w="1125" w:type="dxa"/>
            <w:tcBorders>
              <w:top w:val="single" w:color="000000" w:sz="4" w:space="0"/>
              <w:left w:val="single" w:color="000000" w:sz="4" w:space="0"/>
              <w:bottom w:val="single" w:color="auto" w:sz="4" w:space="0"/>
              <w:right w:val="single" w:color="000000" w:sz="4" w:space="0"/>
            </w:tcBorders>
            <w:noWrap w:val="0"/>
            <w:vAlign w:val="center"/>
          </w:tcPr>
          <w:p w14:paraId="260B8691">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899" w:type="dxa"/>
            <w:tcBorders>
              <w:top w:val="single" w:color="000000" w:sz="4" w:space="0"/>
              <w:left w:val="single" w:color="000000" w:sz="4" w:space="0"/>
              <w:bottom w:val="single" w:color="auto" w:sz="4" w:space="0"/>
              <w:right w:val="single" w:color="auto" w:sz="4" w:space="0"/>
            </w:tcBorders>
            <w:noWrap w:val="0"/>
            <w:vAlign w:val="center"/>
          </w:tcPr>
          <w:p w14:paraId="3D2D72B8">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b w:val="0"/>
                <w:bCs/>
                <w:color w:val="auto"/>
                <w:sz w:val="24"/>
                <w:szCs w:val="24"/>
                <w:lang w:val="en-US" w:eastAsia="zh-CN"/>
              </w:rPr>
              <w:t>年龄在法定退休年龄以内</w:t>
            </w:r>
          </w:p>
        </w:tc>
      </w:tr>
      <w:tr w14:paraId="1872E441">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4739C029">
            <w:pPr>
              <w:keepNext w:val="0"/>
              <w:keepLines w:val="0"/>
              <w:pageBreakBefore w:val="0"/>
              <w:widowControl/>
              <w:spacing w:line="240" w:lineRule="auto"/>
              <w:ind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6870BDB6">
            <w:pPr>
              <w:keepNext w:val="0"/>
              <w:keepLines w:val="0"/>
              <w:pageBreakBefore w:val="0"/>
              <w:widowControl/>
              <w:spacing w:line="240" w:lineRule="auto"/>
              <w:ind w:firstLine="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保安员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0F2B7055">
            <w:pPr>
              <w:keepNext w:val="0"/>
              <w:keepLines w:val="0"/>
              <w:pageBreakBefore w:val="0"/>
              <w:widowControl/>
              <w:spacing w:line="240" w:lineRule="auto"/>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000000" w:themeColor="text1"/>
                <w:sz w:val="24"/>
                <w:highlight w:val="none"/>
                <w14:textFill>
                  <w14:solidFill>
                    <w14:schemeClr w14:val="tx1"/>
                  </w14:solidFill>
                </w14:textFill>
              </w:rPr>
              <w:t>安保和消防监控</w:t>
            </w: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234E33E0">
            <w:pPr>
              <w:keepNext w:val="0"/>
              <w:keepLines w:val="0"/>
              <w:pageBreakBefore w:val="0"/>
              <w:widowControl/>
              <w:spacing w:line="240" w:lineRule="auto"/>
              <w:ind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2C86715B">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b w:val="0"/>
                <w:bCs/>
                <w:color w:val="auto"/>
                <w:sz w:val="24"/>
                <w:szCs w:val="24"/>
                <w:lang w:val="en-US" w:eastAsia="zh-CN"/>
              </w:rPr>
              <w:t>年龄在法定退休年龄以内</w:t>
            </w:r>
          </w:p>
        </w:tc>
      </w:tr>
      <w:tr w14:paraId="2D719C96">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7E6F4799">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463BD215">
            <w:pPr>
              <w:keepNext w:val="0"/>
              <w:keepLines w:val="0"/>
              <w:pageBreakBefore w:val="0"/>
              <w:widowControl/>
              <w:spacing w:line="240" w:lineRule="auto"/>
              <w:ind w:firstLine="0"/>
              <w:jc w:val="center"/>
              <w:rPr>
                <w:rFonts w:hint="default" w:ascii="宋体" w:hAnsi="宋体" w:eastAsia="宋体" w:cs="宋体"/>
                <w:color w:val="auto"/>
                <w:sz w:val="24"/>
                <w:szCs w:val="24"/>
                <w:lang w:val="en-US"/>
              </w:rPr>
            </w:pPr>
            <w:r>
              <w:rPr>
                <w:rFonts w:hint="eastAsia" w:ascii="宋体" w:hAnsi="宋体" w:eastAsia="宋体" w:cs="宋体"/>
                <w:color w:val="auto"/>
                <w:sz w:val="24"/>
                <w:szCs w:val="24"/>
                <w:highlight w:val="none"/>
                <w:lang w:val="en-US" w:eastAsia="zh-CN" w:bidi="ar-SA"/>
              </w:rPr>
              <w:t>保洁员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709143DA">
            <w:pPr>
              <w:keepNext w:val="0"/>
              <w:keepLines w:val="0"/>
              <w:pageBreakBefore w:val="0"/>
              <w:widowControl/>
              <w:spacing w:line="240" w:lineRule="auto"/>
              <w:ind w:firstLine="0"/>
              <w:jc w:val="center"/>
              <w:rPr>
                <w:rFonts w:hint="default" w:ascii="宋体" w:hAnsi="宋体" w:eastAsia="宋体" w:cs="宋体"/>
                <w:color w:val="auto"/>
                <w:sz w:val="24"/>
                <w:szCs w:val="24"/>
                <w:lang w:val="en-US" w:eastAsia="zh-CN"/>
              </w:rPr>
            </w:pP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289E1E7F">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1E6E6E0D">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b w:val="0"/>
                <w:bCs/>
                <w:color w:val="auto"/>
                <w:sz w:val="24"/>
                <w:szCs w:val="24"/>
                <w:lang w:val="en-US" w:eastAsia="zh-CN"/>
              </w:rPr>
              <w:t>年龄在法定退休年龄以内</w:t>
            </w:r>
          </w:p>
        </w:tc>
      </w:tr>
    </w:tbl>
    <w:p w14:paraId="7EADD8BC">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（六）其它要求</w:t>
      </w:r>
    </w:p>
    <w:p w14:paraId="1C996498">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1、服务区域未完善内容根据实际情况进行增减。</w:t>
      </w:r>
    </w:p>
    <w:p w14:paraId="168B636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2</w:t>
      </w:r>
      <w:r>
        <w:rPr>
          <w:rFonts w:hint="eastAsia" w:ascii="宋体" w:hAnsi="宋体" w:eastAsia="宋体" w:cs="宋体"/>
          <w:b w:val="0"/>
          <w:bCs/>
          <w:sz w:val="24"/>
          <w:szCs w:val="24"/>
          <w:lang w:val="en-US" w:eastAsia="zh-CN"/>
        </w:rPr>
        <w:t>、按招标、投标文件岗位配置配足员工，不得擅自减少、变更专职管理人员。经抽查，发现员工数减少，投标人无正当理由的，必须补足规定人数。本项目配备人员详见人员附表。</w:t>
      </w:r>
    </w:p>
    <w:p w14:paraId="25C05D5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3</w:t>
      </w:r>
      <w:r>
        <w:rPr>
          <w:rFonts w:hint="eastAsia" w:ascii="宋体" w:hAnsi="宋体" w:eastAsia="宋体" w:cs="宋体"/>
          <w:b w:val="0"/>
          <w:bCs/>
          <w:sz w:val="24"/>
          <w:szCs w:val="24"/>
          <w:lang w:val="en-US" w:eastAsia="zh-CN"/>
        </w:rPr>
        <w:t>、本项目工作人员的服装需得到采购人认可。</w:t>
      </w:r>
    </w:p>
    <w:p w14:paraId="3D26067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4</w:t>
      </w:r>
      <w:r>
        <w:rPr>
          <w:rFonts w:hint="eastAsia" w:ascii="宋体" w:hAnsi="宋体" w:eastAsia="宋体" w:cs="宋体"/>
          <w:b w:val="0"/>
          <w:bCs/>
          <w:sz w:val="24"/>
          <w:szCs w:val="24"/>
          <w:lang w:val="en-US" w:eastAsia="zh-CN"/>
        </w:rPr>
        <w:t>、投标报价应包括所有的费用：人员工资、法定的社会保险、住房公积金、法定税费、服装费、管理费等（含为完成招标文件规定的服务工作所涉及到的一切相关费用）。</w:t>
      </w:r>
    </w:p>
    <w:p w14:paraId="50A128D3">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5</w:t>
      </w:r>
      <w:r>
        <w:rPr>
          <w:rFonts w:hint="eastAsia" w:ascii="宋体" w:hAnsi="宋体" w:eastAsia="宋体" w:cs="宋体"/>
          <w:b w:val="0"/>
          <w:bCs/>
          <w:sz w:val="24"/>
          <w:szCs w:val="24"/>
          <w:lang w:val="en-US" w:eastAsia="zh-CN"/>
        </w:rPr>
        <w:t>、各项物业管理档案资料是物业管理的重要资源，档案资料要保证完整，各项运行记录、故障记录、统计分析等都应纳入档案管理，以便应用于指导实际工作。合同期满后，应将物业管理的全部档案资料无条件移交采购人。</w:t>
      </w:r>
    </w:p>
    <w:p w14:paraId="3BBA49F0">
      <w:pPr>
        <w:widowControl/>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cs="宋体"/>
          <w:b/>
          <w:bCs/>
          <w:color w:val="auto"/>
          <w:sz w:val="24"/>
          <w:szCs w:val="20"/>
          <w:highlight w:val="none"/>
          <w:lang w:val="en-US" w:eastAsia="zh-CN"/>
        </w:rPr>
        <w:t>四</w:t>
      </w:r>
      <w:r>
        <w:rPr>
          <w:rFonts w:hint="eastAsia" w:ascii="宋体" w:hAnsi="宋体" w:cs="宋体"/>
          <w:b/>
          <w:bCs/>
          <w:color w:val="auto"/>
          <w:sz w:val="24"/>
          <w:szCs w:val="20"/>
          <w:highlight w:val="none"/>
          <w:lang w:val="en-US" w:eastAsia="zh-CN"/>
        </w:rPr>
        <w:t>、</w:t>
      </w:r>
      <w:r>
        <w:rPr>
          <w:rFonts w:hint="eastAsia" w:ascii="宋体" w:hAnsi="宋体" w:eastAsia="宋体" w:cs="宋体"/>
          <w:b/>
          <w:bCs/>
          <w:color w:val="auto"/>
          <w:sz w:val="24"/>
          <w:szCs w:val="20"/>
          <w:highlight w:val="none"/>
          <w:lang w:val="zh-CN" w:eastAsia="zh-CN"/>
        </w:rPr>
        <w:t>商务要求 </w:t>
      </w:r>
    </w:p>
    <w:p w14:paraId="7CBD8CBA">
      <w:pPr>
        <w:widowControl/>
        <w:spacing w:line="560" w:lineRule="exact"/>
        <w:ind w:firstLine="480"/>
        <w:jc w:val="left"/>
        <w:rPr>
          <w:rFonts w:hint="eastAsia" w:ascii="宋体" w:hAnsi="宋体" w:eastAsia="宋体" w:cs="宋体"/>
          <w:color w:val="auto"/>
          <w:sz w:val="22"/>
          <w:szCs w:val="22"/>
          <w:highlight w:val="none"/>
          <w:lang w:eastAsia="zh-CN"/>
        </w:rPr>
      </w:pPr>
      <w:r>
        <w:rPr>
          <w:rFonts w:hint="eastAsia" w:cs="宋体"/>
          <w:color w:val="auto"/>
          <w:sz w:val="24"/>
          <w:szCs w:val="20"/>
          <w:highlight w:val="none"/>
          <w:lang w:val="en-US" w:eastAsia="zh-CN"/>
        </w:rPr>
        <w:t>1、</w:t>
      </w:r>
      <w:r>
        <w:rPr>
          <w:rFonts w:hint="eastAsia" w:ascii="宋体" w:hAnsi="宋体" w:eastAsia="宋体" w:cs="宋体"/>
          <w:color w:val="auto"/>
          <w:sz w:val="24"/>
          <w:szCs w:val="20"/>
          <w:highlight w:val="none"/>
          <w:lang w:val="zh-CN" w:eastAsia="zh-CN"/>
        </w:rPr>
        <w:t>服务期：自合同签订之日起算一年。</w:t>
      </w:r>
    </w:p>
    <w:p w14:paraId="391B2694">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2、</w:t>
      </w:r>
      <w:r>
        <w:rPr>
          <w:rFonts w:hint="eastAsia" w:ascii="宋体" w:hAnsi="宋体" w:eastAsia="宋体" w:cs="宋体"/>
          <w:color w:val="auto"/>
          <w:sz w:val="24"/>
          <w:szCs w:val="20"/>
          <w:highlight w:val="none"/>
          <w:lang w:val="zh-CN" w:eastAsia="zh-CN"/>
        </w:rPr>
        <w:t>服务地点：</w:t>
      </w:r>
      <w:r>
        <w:rPr>
          <w:rFonts w:hint="eastAsia" w:cs="宋体"/>
          <w:color w:val="auto"/>
          <w:sz w:val="24"/>
          <w:szCs w:val="20"/>
          <w:highlight w:val="none"/>
          <w:lang w:val="zh-CN" w:eastAsia="zh-CN"/>
        </w:rPr>
        <w:t>盐城市亭湖区东亭湖街道社区卫生服务中心</w:t>
      </w:r>
    </w:p>
    <w:p w14:paraId="089DF853">
      <w:pPr>
        <w:widowControl/>
        <w:spacing w:line="560" w:lineRule="exact"/>
        <w:ind w:firstLine="480"/>
        <w:jc w:val="left"/>
        <w:rPr>
          <w:rFonts w:hint="eastAsia" w:ascii="宋体" w:hAnsi="宋体" w:eastAsia="宋体" w:cs="宋体"/>
          <w:color w:val="auto"/>
          <w:sz w:val="24"/>
          <w:szCs w:val="20"/>
          <w:highlight w:val="none"/>
          <w:lang w:val="zh-CN" w:eastAsia="zh-CN"/>
        </w:rPr>
      </w:pPr>
      <w:r>
        <w:rPr>
          <w:rFonts w:hint="eastAsia" w:cs="宋体"/>
          <w:color w:val="auto"/>
          <w:sz w:val="24"/>
          <w:szCs w:val="20"/>
          <w:highlight w:val="none"/>
          <w:lang w:val="en-US" w:eastAsia="zh-CN"/>
        </w:rPr>
        <w:t>3、</w:t>
      </w:r>
      <w:r>
        <w:rPr>
          <w:rFonts w:hint="eastAsia" w:ascii="宋体" w:hAnsi="宋体" w:eastAsia="宋体" w:cs="宋体"/>
          <w:color w:val="auto"/>
          <w:sz w:val="24"/>
          <w:szCs w:val="20"/>
          <w:highlight w:val="none"/>
          <w:lang w:val="zh-CN" w:eastAsia="zh-CN"/>
        </w:rPr>
        <w:t>质量要求：为做好</w:t>
      </w:r>
      <w:r>
        <w:rPr>
          <w:rFonts w:hint="eastAsia" w:cs="宋体"/>
          <w:color w:val="auto"/>
          <w:sz w:val="24"/>
          <w:szCs w:val="20"/>
          <w:highlight w:val="none"/>
          <w:lang w:val="zh-CN" w:eastAsia="zh-CN"/>
        </w:rPr>
        <w:t>盐城市亭湖区东亭湖街道社区卫生服务中心</w:t>
      </w:r>
      <w:r>
        <w:rPr>
          <w:rFonts w:hint="eastAsia" w:ascii="宋体" w:hAnsi="宋体" w:eastAsia="宋体" w:cs="宋体"/>
          <w:color w:val="auto"/>
          <w:sz w:val="24"/>
          <w:szCs w:val="20"/>
          <w:highlight w:val="none"/>
          <w:lang w:val="zh-CN" w:eastAsia="zh-CN"/>
        </w:rPr>
        <w:t>管理服务，促进中标人能够切实履行物业承包合同，更好地落实管理措施，使物业管理工作标准化、制度化、规范化，创建优美、整洁、安全、方便、舒适、文明的医疗就诊环境，特制订考核办法</w:t>
      </w:r>
      <w:r>
        <w:rPr>
          <w:rFonts w:hint="eastAsia" w:cs="宋体"/>
          <w:color w:val="auto"/>
          <w:sz w:val="24"/>
          <w:szCs w:val="20"/>
          <w:highlight w:val="none"/>
          <w:lang w:val="zh-CN" w:eastAsia="zh-CN"/>
        </w:rPr>
        <w:t>（详见合同附件）</w:t>
      </w:r>
      <w:r>
        <w:rPr>
          <w:rFonts w:hint="eastAsia" w:ascii="宋体" w:hAnsi="宋体" w:eastAsia="宋体" w:cs="宋体"/>
          <w:color w:val="auto"/>
          <w:sz w:val="24"/>
          <w:szCs w:val="20"/>
          <w:highlight w:val="none"/>
          <w:lang w:val="zh-CN" w:eastAsia="zh-CN"/>
        </w:rPr>
        <w:t>。</w:t>
      </w:r>
    </w:p>
    <w:p w14:paraId="15A1649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sz w:val="24"/>
          <w:szCs w:val="24"/>
        </w:rPr>
      </w:pPr>
      <w:r>
        <w:rPr>
          <w:rFonts w:hint="eastAsia" w:cs="宋体"/>
          <w:color w:val="auto"/>
          <w:sz w:val="24"/>
          <w:szCs w:val="20"/>
          <w:highlight w:val="none"/>
          <w:lang w:val="en-US" w:eastAsia="zh-CN"/>
        </w:rPr>
        <w:t>4、</w:t>
      </w:r>
      <w:r>
        <w:rPr>
          <w:rFonts w:hint="eastAsia" w:ascii="宋体" w:hAnsi="宋体" w:eastAsia="宋体" w:cs="宋体"/>
          <w:b/>
          <w:sz w:val="24"/>
          <w:szCs w:val="24"/>
        </w:rPr>
        <w:t>合同款项的支付方式及进度安排</w:t>
      </w:r>
    </w:p>
    <w:p w14:paraId="5816394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zh-CN"/>
        </w:rPr>
      </w:pPr>
      <w:r>
        <w:rPr>
          <w:rFonts w:hint="eastAsia" w:cs="宋体"/>
          <w:b/>
          <w:bCs/>
          <w:color w:val="auto"/>
          <w:sz w:val="24"/>
          <w:szCs w:val="24"/>
          <w:lang w:val="en-US" w:eastAsia="zh-CN"/>
        </w:rPr>
        <w:t>4.1</w:t>
      </w:r>
      <w:r>
        <w:rPr>
          <w:rFonts w:hint="eastAsia" w:ascii="宋体" w:hAnsi="宋体" w:eastAsia="宋体" w:cs="宋体"/>
          <w:b/>
          <w:bCs/>
          <w:color w:val="auto"/>
          <w:sz w:val="24"/>
          <w:szCs w:val="24"/>
          <w:lang w:val="en-US" w:eastAsia="zh-CN"/>
        </w:rPr>
        <w:t xml:space="preserve">预付款 </w:t>
      </w:r>
      <w:r>
        <w:rPr>
          <w:rFonts w:hint="eastAsia" w:ascii="宋体" w:hAnsi="宋体" w:eastAsia="宋体" w:cs="宋体"/>
          <w:b/>
          <w:bCs/>
          <w:color w:val="auto"/>
          <w:sz w:val="24"/>
          <w:szCs w:val="24"/>
          <w:highlight w:val="none"/>
          <w:lang w:val="zh-CN"/>
        </w:rPr>
        <w:t>预付款</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支付时间：合同签订后，甲方收到预付款发票后10个工作日内，预付款支付比例：合同金额的30%</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w:t>
      </w:r>
    </w:p>
    <w:p w14:paraId="5D08476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zh-CN"/>
        </w:rPr>
      </w:pPr>
      <w:r>
        <w:rPr>
          <w:rFonts w:hint="eastAsia" w:cs="宋体"/>
          <w:b/>
          <w:bCs/>
          <w:color w:val="auto"/>
          <w:sz w:val="24"/>
          <w:szCs w:val="24"/>
          <w:highlight w:val="none"/>
          <w:lang w:val="en-US" w:eastAsia="zh-CN"/>
        </w:rPr>
        <w:t>4.2</w:t>
      </w:r>
      <w:r>
        <w:rPr>
          <w:rFonts w:hint="eastAsia" w:ascii="宋体" w:hAnsi="宋体" w:eastAsia="宋体" w:cs="宋体"/>
          <w:b/>
          <w:bCs/>
          <w:color w:val="auto"/>
          <w:sz w:val="24"/>
          <w:szCs w:val="24"/>
          <w:highlight w:val="none"/>
          <w:lang w:val="en-US" w:eastAsia="zh-CN"/>
        </w:rPr>
        <w:t xml:space="preserve">尾款 </w:t>
      </w:r>
      <w:r>
        <w:rPr>
          <w:rFonts w:hint="eastAsia" w:ascii="宋体" w:hAnsi="宋体" w:eastAsia="宋体" w:cs="宋体"/>
          <w:b/>
          <w:bCs/>
          <w:color w:val="auto"/>
          <w:sz w:val="24"/>
          <w:szCs w:val="24"/>
          <w:highlight w:val="none"/>
          <w:lang w:val="zh-CN"/>
        </w:rPr>
        <w:t>支付时间：物业管理费按月进行考核，按</w:t>
      </w:r>
      <w:r>
        <w:rPr>
          <w:rFonts w:hint="eastAsia" w:ascii="宋体" w:hAnsi="宋体" w:eastAsia="宋体" w:cs="宋体"/>
          <w:b/>
          <w:bCs/>
          <w:color w:val="auto"/>
          <w:sz w:val="24"/>
          <w:szCs w:val="24"/>
          <w:highlight w:val="none"/>
          <w:lang w:val="zh-CN" w:eastAsia="zh-CN"/>
        </w:rPr>
        <w:t>季度</w:t>
      </w:r>
      <w:r>
        <w:rPr>
          <w:rFonts w:hint="eastAsia" w:ascii="宋体" w:hAnsi="宋体" w:eastAsia="宋体" w:cs="宋体"/>
          <w:b/>
          <w:bCs/>
          <w:color w:val="auto"/>
          <w:sz w:val="24"/>
          <w:szCs w:val="24"/>
          <w:highlight w:val="none"/>
          <w:lang w:val="zh-CN"/>
        </w:rPr>
        <w:t>支付，支付时间为</w:t>
      </w:r>
      <w:r>
        <w:rPr>
          <w:rFonts w:hint="eastAsia" w:ascii="宋体" w:hAnsi="宋体" w:eastAsia="宋体" w:cs="宋体"/>
          <w:b/>
          <w:bCs/>
          <w:color w:val="auto"/>
          <w:sz w:val="24"/>
          <w:szCs w:val="24"/>
          <w:highlight w:val="none"/>
          <w:lang w:val="zh-CN" w:eastAsia="zh-CN"/>
        </w:rPr>
        <w:t>下一个季度10号之前支付上一个季度的服务费（后期费用结算方式以此类推）</w:t>
      </w:r>
      <w:r>
        <w:rPr>
          <w:rFonts w:hint="eastAsia" w:ascii="宋体" w:hAnsi="宋体" w:eastAsia="宋体" w:cs="宋体"/>
          <w:b/>
          <w:bCs/>
          <w:color w:val="auto"/>
          <w:sz w:val="24"/>
          <w:szCs w:val="24"/>
          <w:highlight w:val="none"/>
          <w:lang w:val="zh-CN"/>
        </w:rPr>
        <w:t>（扣除对应的预付款</w:t>
      </w:r>
      <w:r>
        <w:rPr>
          <w:rFonts w:hint="eastAsia" w:ascii="宋体" w:hAnsi="宋体" w:eastAsia="宋体" w:cs="宋体"/>
          <w:b/>
          <w:bCs/>
          <w:color w:val="auto"/>
          <w:sz w:val="24"/>
          <w:szCs w:val="24"/>
          <w:highlight w:val="none"/>
          <w:lang w:val="zh-CN" w:eastAsia="zh-CN"/>
        </w:rPr>
        <w:t>，如不够则在后期付款中扣除</w:t>
      </w:r>
      <w:r>
        <w:rPr>
          <w:rFonts w:hint="eastAsia" w:ascii="宋体" w:hAnsi="宋体" w:eastAsia="宋体" w:cs="宋体"/>
          <w:b/>
          <w:bCs/>
          <w:color w:val="auto"/>
          <w:sz w:val="24"/>
          <w:szCs w:val="24"/>
          <w:highlight w:val="none"/>
          <w:lang w:val="zh-CN"/>
        </w:rPr>
        <w:t>）。(在乙方向甲方</w:t>
      </w:r>
      <w:r>
        <w:rPr>
          <w:rFonts w:hint="eastAsia" w:ascii="宋体" w:hAnsi="宋体" w:eastAsia="宋体" w:cs="宋体"/>
          <w:b/>
          <w:bCs/>
          <w:color w:val="auto"/>
          <w:sz w:val="24"/>
          <w:szCs w:val="24"/>
          <w:highlight w:val="none"/>
          <w:lang w:val="zh-CN" w:eastAsia="zh-CN"/>
        </w:rPr>
        <w:t>提供</w:t>
      </w:r>
      <w:r>
        <w:rPr>
          <w:rFonts w:hint="eastAsia" w:ascii="宋体" w:hAnsi="宋体" w:eastAsia="宋体" w:cs="宋体"/>
          <w:b/>
          <w:bCs/>
          <w:color w:val="auto"/>
          <w:sz w:val="24"/>
          <w:szCs w:val="24"/>
          <w:highlight w:val="none"/>
          <w:lang w:val="zh-CN"/>
        </w:rPr>
        <w:t>等额增值税发票</w:t>
      </w:r>
      <w:r>
        <w:rPr>
          <w:rFonts w:hint="eastAsia" w:ascii="宋体" w:hAnsi="宋体" w:eastAsia="宋体" w:cs="宋体"/>
          <w:b/>
          <w:bCs/>
          <w:color w:val="auto"/>
          <w:sz w:val="24"/>
          <w:szCs w:val="24"/>
          <w:highlight w:val="none"/>
          <w:lang w:val="zh-CN" w:eastAsia="zh-CN"/>
        </w:rPr>
        <w:t>、人员</w:t>
      </w:r>
      <w:r>
        <w:rPr>
          <w:rFonts w:hint="eastAsia" w:ascii="宋体" w:hAnsi="宋体" w:eastAsia="宋体" w:cs="宋体"/>
          <w:b/>
          <w:bCs/>
          <w:color w:val="auto"/>
          <w:sz w:val="24"/>
          <w:szCs w:val="24"/>
          <w:highlight w:val="none"/>
          <w:lang w:val="zh-CN"/>
        </w:rPr>
        <w:t>工资清单和人员社保缴纳凭证后，甲方在10个工作日内以转账形式支付给乙方上</w:t>
      </w:r>
      <w:r>
        <w:rPr>
          <w:rFonts w:hint="eastAsia" w:ascii="宋体" w:hAnsi="宋体" w:eastAsia="宋体" w:cs="宋体"/>
          <w:b/>
          <w:bCs/>
          <w:color w:val="auto"/>
          <w:sz w:val="24"/>
          <w:szCs w:val="24"/>
          <w:highlight w:val="none"/>
          <w:lang w:val="en-US" w:eastAsia="zh-CN"/>
        </w:rPr>
        <w:t>季度</w:t>
      </w:r>
      <w:r>
        <w:rPr>
          <w:rFonts w:hint="eastAsia" w:ascii="宋体" w:hAnsi="宋体" w:eastAsia="宋体" w:cs="宋体"/>
          <w:b/>
          <w:bCs/>
          <w:color w:val="auto"/>
          <w:sz w:val="24"/>
          <w:szCs w:val="24"/>
          <w:highlight w:val="none"/>
          <w:lang w:val="zh-CN"/>
        </w:rPr>
        <w:t>物业管理服务费</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如果乙方不能按时提供或提供的</w:t>
      </w:r>
      <w:r>
        <w:rPr>
          <w:rFonts w:hint="eastAsia" w:ascii="宋体" w:hAnsi="宋体" w:eastAsia="宋体" w:cs="宋体"/>
          <w:b/>
          <w:bCs/>
          <w:color w:val="auto"/>
          <w:sz w:val="24"/>
          <w:szCs w:val="24"/>
          <w:highlight w:val="none"/>
          <w:lang w:val="zh-CN" w:eastAsia="zh-CN"/>
        </w:rPr>
        <w:t>材料</w:t>
      </w:r>
      <w:r>
        <w:rPr>
          <w:rFonts w:hint="eastAsia" w:ascii="宋体" w:hAnsi="宋体" w:eastAsia="宋体" w:cs="宋体"/>
          <w:b/>
          <w:bCs/>
          <w:color w:val="auto"/>
          <w:sz w:val="24"/>
          <w:szCs w:val="24"/>
          <w:highlight w:val="none"/>
          <w:lang w:val="zh-CN"/>
        </w:rPr>
        <w:t>不齐全或不符要求，甲方有权拒付物业</w:t>
      </w:r>
      <w:r>
        <w:rPr>
          <w:rFonts w:hint="eastAsia" w:ascii="宋体" w:hAnsi="宋体" w:eastAsia="宋体" w:cs="宋体"/>
          <w:b/>
          <w:bCs/>
          <w:color w:val="auto"/>
          <w:sz w:val="24"/>
          <w:szCs w:val="24"/>
          <w:highlight w:val="none"/>
          <w:lang w:val="zh-CN" w:eastAsia="zh-CN"/>
        </w:rPr>
        <w:t>管理</w:t>
      </w:r>
      <w:r>
        <w:rPr>
          <w:rFonts w:hint="eastAsia" w:ascii="宋体" w:hAnsi="宋体" w:eastAsia="宋体" w:cs="宋体"/>
          <w:b/>
          <w:bCs/>
          <w:color w:val="auto"/>
          <w:sz w:val="24"/>
          <w:szCs w:val="24"/>
          <w:highlight w:val="none"/>
          <w:lang w:val="zh-CN"/>
        </w:rPr>
        <w:t>服务费并</w:t>
      </w:r>
      <w:r>
        <w:rPr>
          <w:rFonts w:hint="eastAsia" w:ascii="宋体" w:hAnsi="宋体" w:eastAsia="宋体" w:cs="宋体"/>
          <w:b/>
          <w:bCs/>
          <w:color w:val="auto"/>
          <w:sz w:val="24"/>
          <w:szCs w:val="24"/>
          <w:highlight w:val="none"/>
          <w:lang w:val="zh-CN" w:eastAsia="zh-CN"/>
        </w:rPr>
        <w:t>终止</w:t>
      </w:r>
      <w:r>
        <w:rPr>
          <w:rFonts w:hint="eastAsia" w:ascii="宋体" w:hAnsi="宋体" w:eastAsia="宋体" w:cs="宋体"/>
          <w:b/>
          <w:bCs/>
          <w:color w:val="auto"/>
          <w:sz w:val="24"/>
          <w:szCs w:val="24"/>
          <w:highlight w:val="none"/>
          <w:lang w:val="zh-CN"/>
        </w:rPr>
        <w:t>合同)。如一年中连续有两个月考核不合格或累计三个月考核不合格，则甲方有权终止合同，且不予退还履约保证金，同时乙方承担违约责任，甲方重新选择新的物业管理服务企业。</w:t>
      </w:r>
    </w:p>
    <w:p w14:paraId="0E55059F">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cs="宋体"/>
          <w:b/>
          <w:bCs/>
          <w:color w:val="auto"/>
          <w:sz w:val="24"/>
          <w:szCs w:val="20"/>
          <w:highlight w:val="none"/>
          <w:lang w:val="en-US" w:eastAsia="zh-CN"/>
        </w:rPr>
        <w:t>五</w:t>
      </w:r>
      <w:r>
        <w:rPr>
          <w:rFonts w:hint="eastAsia" w:ascii="宋体" w:hAnsi="宋体" w:eastAsia="宋体" w:cs="宋体"/>
          <w:b/>
          <w:bCs/>
          <w:color w:val="auto"/>
          <w:sz w:val="24"/>
          <w:szCs w:val="20"/>
          <w:highlight w:val="none"/>
          <w:lang w:val="en-US" w:eastAsia="zh-CN"/>
        </w:rPr>
        <w:t>、项目管理服务方案及其他</w:t>
      </w:r>
    </w:p>
    <w:p w14:paraId="4BEADD9A">
      <w:pPr>
        <w:widowControl/>
        <w:spacing w:line="560" w:lineRule="exact"/>
        <w:ind w:firstLine="480"/>
        <w:jc w:val="left"/>
        <w:rPr>
          <w:rFonts w:hint="eastAsia" w:cs="宋体"/>
          <w:b/>
          <w:bCs/>
          <w:color w:val="auto"/>
          <w:sz w:val="24"/>
          <w:szCs w:val="20"/>
          <w:highlight w:val="none"/>
          <w:lang w:val="en-US" w:eastAsia="zh-CN"/>
        </w:rPr>
      </w:pPr>
      <w:r>
        <w:rPr>
          <w:rFonts w:hint="eastAsia" w:cs="宋体"/>
          <w:b/>
          <w:bCs/>
          <w:color w:val="auto"/>
          <w:sz w:val="24"/>
          <w:szCs w:val="20"/>
          <w:highlight w:val="none"/>
          <w:lang w:val="en-US" w:eastAsia="zh-CN"/>
        </w:rPr>
        <w:t>（一）</w:t>
      </w:r>
      <w:r>
        <w:rPr>
          <w:rFonts w:hint="eastAsia" w:ascii="宋体" w:hAnsi="宋体" w:eastAsia="宋体" w:cs="宋体"/>
          <w:b/>
          <w:bCs/>
          <w:color w:val="auto"/>
          <w:sz w:val="24"/>
          <w:szCs w:val="20"/>
          <w:highlight w:val="none"/>
          <w:lang w:val="en-US" w:eastAsia="zh-CN"/>
        </w:rPr>
        <w:t>项目管理服务方案</w:t>
      </w:r>
    </w:p>
    <w:p w14:paraId="56C90824">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1.</w:t>
      </w:r>
      <w:r>
        <w:rPr>
          <w:rFonts w:hint="eastAsia"/>
          <w:b/>
          <w:bCs/>
          <w:color w:val="auto"/>
          <w:sz w:val="24"/>
          <w:szCs w:val="20"/>
          <w:highlight w:val="none"/>
        </w:rPr>
        <w:t>管理服务综合方案</w:t>
      </w:r>
    </w:p>
    <w:p w14:paraId="69F01972">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投标人</w:t>
      </w:r>
      <w:r>
        <w:rPr>
          <w:rFonts w:hint="eastAsia" w:ascii="宋体" w:hAnsi="宋体" w:eastAsia="宋体" w:cs="宋体"/>
          <w:b w:val="0"/>
          <w:bCs w:val="0"/>
          <w:color w:val="auto"/>
          <w:sz w:val="24"/>
          <w:szCs w:val="20"/>
          <w:highlight w:val="none"/>
          <w:lang w:val="en-US" w:eastAsia="zh-CN"/>
        </w:rPr>
        <w:t>应根据采购需求和本项目实际，提供本项目运营和管理的总体服务方案，方案应包括但不限于：</w:t>
      </w:r>
    </w:p>
    <w:p w14:paraId="3F56FBA7">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（1）项目管理理念</w:t>
      </w:r>
      <w:r>
        <w:rPr>
          <w:rFonts w:hint="eastAsia" w:cs="宋体"/>
          <w:b w:val="0"/>
          <w:bCs w:val="0"/>
          <w:color w:val="auto"/>
          <w:sz w:val="24"/>
          <w:szCs w:val="20"/>
          <w:highlight w:val="none"/>
          <w:lang w:val="en-US" w:eastAsia="zh-CN"/>
        </w:rPr>
        <w:t>：</w:t>
      </w:r>
      <w:r>
        <w:rPr>
          <w:rFonts w:ascii="Arial" w:hAnsi="Arial" w:eastAsia="Arial" w:cs="Arial"/>
          <w:i w:val="0"/>
          <w:iCs w:val="0"/>
          <w:caps w:val="0"/>
          <w:color w:val="auto"/>
          <w:spacing w:val="0"/>
          <w:sz w:val="24"/>
          <w:szCs w:val="24"/>
          <w:highlight w:val="none"/>
          <w:shd w:val="clear" w:color="auto" w:fill="FFFFFF"/>
        </w:rPr>
        <w:t>主要体现在以患者为中心、注重安全与服务质量、强调环境管理三个方面</w:t>
      </w:r>
      <w:r>
        <w:rPr>
          <w:rFonts w:hint="eastAsia" w:ascii="Arial" w:hAnsi="Arial" w:eastAsia="宋体" w:cs="Arial"/>
          <w:i w:val="0"/>
          <w:iCs w:val="0"/>
          <w:caps w:val="0"/>
          <w:color w:val="auto"/>
          <w:spacing w:val="0"/>
          <w:sz w:val="24"/>
          <w:szCs w:val="24"/>
          <w:highlight w:val="none"/>
          <w:shd w:val="clear" w:color="auto" w:fill="FFFFFF"/>
          <w:lang w:eastAsia="zh-CN"/>
        </w:rPr>
        <w:t>。</w:t>
      </w:r>
    </w:p>
    <w:p w14:paraId="63AA5EB4">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（2）管理工作目标</w:t>
      </w:r>
      <w:r>
        <w:rPr>
          <w:rFonts w:hint="eastAsia" w:cs="宋体"/>
          <w:b w:val="0"/>
          <w:bCs w:val="0"/>
          <w:color w:val="auto"/>
          <w:sz w:val="24"/>
          <w:szCs w:val="20"/>
          <w:highlight w:val="none"/>
          <w:lang w:val="en-US" w:eastAsia="zh-CN"/>
        </w:rPr>
        <w:t>：通过高效的物业管理和维护，为卫生服务中心提供舒适、安全和优质的工作和治疗环境，支持医疗服务的顺利进行。</w:t>
      </w:r>
    </w:p>
    <w:p w14:paraId="150AC891">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（3)项目服务定位</w:t>
      </w:r>
      <w:r>
        <w:rPr>
          <w:rFonts w:hint="eastAsia" w:cs="宋体"/>
          <w:b w:val="0"/>
          <w:bCs w:val="0"/>
          <w:color w:val="auto"/>
          <w:sz w:val="24"/>
          <w:szCs w:val="20"/>
          <w:highlight w:val="none"/>
          <w:lang w:val="en-US" w:eastAsia="zh-CN"/>
        </w:rPr>
        <w:t>：</w:t>
      </w:r>
      <w:r>
        <w:rPr>
          <w:rFonts w:hint="eastAsia" w:ascii="宋体" w:hAnsi="宋体" w:eastAsia="宋体" w:cs="宋体"/>
          <w:b w:val="0"/>
          <w:bCs w:val="0"/>
          <w:color w:val="auto"/>
          <w:sz w:val="24"/>
          <w:szCs w:val="20"/>
          <w:highlight w:val="none"/>
          <w:lang w:val="en-US" w:eastAsia="zh-CN"/>
        </w:rPr>
        <w:t>以</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的需求为中心，提供专业化和个性化的物业管理服务，注重科技创新，积极参与</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的规划和建设，助力</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的稳定运营和长远发展。</w:t>
      </w:r>
    </w:p>
    <w:p w14:paraId="2E82E012">
      <w:pPr>
        <w:widowControl/>
        <w:spacing w:line="560" w:lineRule="exact"/>
        <w:ind w:firstLine="480"/>
        <w:jc w:val="left"/>
        <w:rPr>
          <w:rFonts w:hint="eastAsia"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（4)服务设想及策划</w:t>
      </w:r>
      <w:r>
        <w:rPr>
          <w:rFonts w:hint="eastAsia" w:cs="宋体"/>
          <w:b w:val="0"/>
          <w:bCs w:val="0"/>
          <w:color w:val="auto"/>
          <w:sz w:val="24"/>
          <w:szCs w:val="20"/>
          <w:highlight w:val="none"/>
          <w:lang w:val="en-US" w:eastAsia="zh-CN"/>
        </w:rPr>
        <w:t>：锁定“三个一"的服务目标，借助“四化”管理手段，植入“五种”意识，打造“六方”满意。</w:t>
      </w:r>
    </w:p>
    <w:p w14:paraId="374F85E5">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①锁定“三个一”的服务目标</w:t>
      </w:r>
    </w:p>
    <w:p w14:paraId="1DF5AF17">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设计一套无时无处不在的一体化服务模式，建立一套全方位高标准全联动的应变和安全保障体系，营造一个安全舒适、环境优美、医患和谐的文明院区。</w:t>
      </w:r>
    </w:p>
    <w:p w14:paraId="4EA72375">
      <w:pPr>
        <w:widowControl/>
        <w:spacing w:line="560" w:lineRule="exact"/>
        <w:ind w:firstLine="480"/>
        <w:jc w:val="left"/>
        <w:rPr>
          <w:rFonts w:hint="eastAsia"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②借助“四化”管理手段</w:t>
      </w:r>
    </w:p>
    <w:p w14:paraId="7289A8BC">
      <w:pPr>
        <w:widowControl/>
        <w:spacing w:line="560" w:lineRule="exact"/>
        <w:ind w:firstLine="480"/>
        <w:jc w:val="left"/>
        <w:rPr>
          <w:rFonts w:hint="eastAsia"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“四化”是指规范化、标准化、技术化、体系化。</w:t>
      </w:r>
    </w:p>
    <w:p w14:paraId="66C1F1F4">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③植入“五种”意识</w:t>
      </w:r>
    </w:p>
    <w:p w14:paraId="2B68F73D">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包括服务意识、奉献意识、质量意识、成本意识和创新意识。</w:t>
      </w:r>
    </w:p>
    <w:p w14:paraId="10F574EE">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④打造“六方”满意</w:t>
      </w:r>
    </w:p>
    <w:p w14:paraId="4CE6AA19">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医护人员满意、医患人员满意、社会满意、政府满意、公司满意以及员工满意。</w:t>
      </w:r>
    </w:p>
    <w:p w14:paraId="51621F4F">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（5)重点、难点把控等情况的分析应对</w:t>
      </w:r>
      <w:r>
        <w:rPr>
          <w:rFonts w:hint="eastAsia" w:cs="宋体"/>
          <w:b w:val="0"/>
          <w:bCs w:val="0"/>
          <w:color w:val="auto"/>
          <w:sz w:val="24"/>
          <w:szCs w:val="20"/>
          <w:highlight w:val="none"/>
          <w:lang w:val="en-US" w:eastAsia="zh-CN"/>
        </w:rPr>
        <w:t>。</w:t>
      </w:r>
    </w:p>
    <w:p w14:paraId="6AE9681D">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①卫生服务中心</w:t>
      </w:r>
      <w:r>
        <w:rPr>
          <w:rFonts w:hint="eastAsia" w:ascii="宋体" w:hAnsi="宋体" w:eastAsia="宋体" w:cs="宋体"/>
          <w:b w:val="0"/>
          <w:bCs w:val="0"/>
          <w:color w:val="auto"/>
          <w:sz w:val="24"/>
          <w:szCs w:val="20"/>
          <w:highlight w:val="none"/>
          <w:lang w:val="en-US" w:eastAsia="zh-CN"/>
        </w:rPr>
        <w:t>物业服务的重点</w:t>
      </w:r>
      <w:r>
        <w:rPr>
          <w:rFonts w:hint="eastAsia" w:cs="宋体"/>
          <w:b w:val="0"/>
          <w:bCs w:val="0"/>
          <w:color w:val="auto"/>
          <w:sz w:val="24"/>
          <w:szCs w:val="20"/>
          <w:highlight w:val="none"/>
          <w:lang w:val="en-US" w:eastAsia="zh-CN"/>
        </w:rPr>
        <w:t>：</w:t>
      </w:r>
    </w:p>
    <w:p w14:paraId="0D9A9261">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卫生和保洁管理:</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是一个公共场所，卫生和保洁是</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物业服务的重点之一、</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物业服务应保持</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各个区域的清洁和卫生，及时清扫垃圾，消毒消杀，定期进行大扫除等，确保</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环境整洁，减少交叉感染的风险。</w:t>
      </w:r>
    </w:p>
    <w:p w14:paraId="295BC608">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②卫生服务中心</w:t>
      </w:r>
      <w:r>
        <w:rPr>
          <w:rFonts w:hint="eastAsia" w:ascii="宋体" w:hAnsi="宋体" w:eastAsia="宋体" w:cs="宋体"/>
          <w:b w:val="0"/>
          <w:bCs w:val="0"/>
          <w:color w:val="auto"/>
          <w:sz w:val="24"/>
          <w:szCs w:val="20"/>
          <w:highlight w:val="none"/>
          <w:lang w:val="en-US" w:eastAsia="zh-CN"/>
        </w:rPr>
        <w:t>物业服务的难点及对应措施</w:t>
      </w:r>
      <w:r>
        <w:rPr>
          <w:rFonts w:hint="eastAsia" w:cs="宋体"/>
          <w:b w:val="0"/>
          <w:bCs w:val="0"/>
          <w:color w:val="auto"/>
          <w:sz w:val="24"/>
          <w:szCs w:val="20"/>
          <w:highlight w:val="none"/>
          <w:lang w:val="en-US" w:eastAsia="zh-CN"/>
        </w:rPr>
        <w:t>：</w:t>
      </w:r>
    </w:p>
    <w:p w14:paraId="629D30C0">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卫生难点:</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是一个容易产生垃圾和污物的地方，保洁工作较为复杂。对于卫生难点，可以加强保洁人员的培训，提高他们的专业素质，增加清洁设备的使用效率，确保卫生工作的质量。同时，</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物业服务可以与</w:t>
      </w:r>
      <w:r>
        <w:rPr>
          <w:rFonts w:hint="eastAsia" w:cs="宋体"/>
          <w:b w:val="0"/>
          <w:bCs w:val="0"/>
          <w:color w:val="auto"/>
          <w:sz w:val="24"/>
          <w:szCs w:val="20"/>
          <w:highlight w:val="none"/>
          <w:lang w:val="en-US" w:eastAsia="zh-CN"/>
        </w:rPr>
        <w:t>卫生服务中心</w:t>
      </w:r>
      <w:r>
        <w:rPr>
          <w:rFonts w:hint="eastAsia" w:ascii="宋体" w:hAnsi="宋体" w:eastAsia="宋体" w:cs="宋体"/>
          <w:b w:val="0"/>
          <w:bCs w:val="0"/>
          <w:color w:val="auto"/>
          <w:sz w:val="24"/>
          <w:szCs w:val="20"/>
          <w:highlight w:val="none"/>
          <w:lang w:val="en-US" w:eastAsia="zh-CN"/>
        </w:rPr>
        <w:t>卫生</w:t>
      </w:r>
      <w:r>
        <w:rPr>
          <w:rFonts w:hint="eastAsia" w:cs="宋体"/>
          <w:b w:val="0"/>
          <w:bCs w:val="0"/>
          <w:color w:val="auto"/>
          <w:sz w:val="24"/>
          <w:szCs w:val="20"/>
          <w:highlight w:val="none"/>
          <w:lang w:val="en-US" w:eastAsia="zh-CN"/>
        </w:rPr>
        <w:t>部门</w:t>
      </w:r>
      <w:r>
        <w:rPr>
          <w:rFonts w:hint="eastAsia" w:ascii="宋体" w:hAnsi="宋体" w:eastAsia="宋体" w:cs="宋体"/>
          <w:b w:val="0"/>
          <w:bCs w:val="0"/>
          <w:color w:val="auto"/>
          <w:sz w:val="24"/>
          <w:szCs w:val="20"/>
          <w:highlight w:val="none"/>
          <w:lang w:val="en-US" w:eastAsia="zh-CN"/>
        </w:rPr>
        <w:t>合作，制定清洁工作的标准和流程，建立与卫生安全相关的评估和奖惩机制，对保洁工作进行监督和管理，提高卫生工作的水平。</w:t>
      </w:r>
    </w:p>
    <w:p w14:paraId="7EC0EA35">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（6)制度建设</w:t>
      </w:r>
      <w:r>
        <w:rPr>
          <w:rFonts w:hint="eastAsia" w:cs="宋体"/>
          <w:b w:val="0"/>
          <w:bCs w:val="0"/>
          <w:color w:val="auto"/>
          <w:sz w:val="24"/>
          <w:szCs w:val="20"/>
          <w:highlight w:val="none"/>
          <w:lang w:val="en-US" w:eastAsia="zh-CN"/>
        </w:rPr>
        <w:t>：</w:t>
      </w:r>
      <w:r>
        <w:rPr>
          <w:rFonts w:hint="eastAsia" w:ascii="宋体" w:hAnsi="宋体" w:cs="宋体" w:eastAsiaTheme="minorEastAsia"/>
          <w:color w:val="auto"/>
          <w:sz w:val="24"/>
          <w:szCs w:val="20"/>
          <w:highlight w:val="none"/>
          <w:lang w:val="en-US" w:eastAsia="zh-CN"/>
        </w:rPr>
        <w:t>在实施本项目经营管理时须符合国家相关的政策法规，无条件执行国家、地方政府、行业协会最新的标准和条例。中标人要围绕采购人物业服务制定各种管理服务标准（</w:t>
      </w:r>
      <w:r>
        <w:rPr>
          <w:rFonts w:hint="eastAsia" w:cs="宋体" w:eastAsiaTheme="minorEastAsia"/>
          <w:color w:val="auto"/>
          <w:sz w:val="24"/>
          <w:szCs w:val="20"/>
          <w:highlight w:val="none"/>
          <w:lang w:val="en-US" w:eastAsia="zh-CN"/>
        </w:rPr>
        <w:t>管理办法</w:t>
      </w:r>
      <w:r>
        <w:rPr>
          <w:rFonts w:hint="eastAsia" w:ascii="宋体" w:hAnsi="宋体" w:cs="宋体" w:eastAsiaTheme="minorEastAsia"/>
          <w:color w:val="auto"/>
          <w:sz w:val="24"/>
          <w:szCs w:val="20"/>
          <w:highlight w:val="none"/>
          <w:lang w:val="en-US" w:eastAsia="zh-CN"/>
        </w:rPr>
        <w:t>）、规章制度，实施</w:t>
      </w:r>
      <w:r>
        <w:rPr>
          <w:rFonts w:hint="eastAsia" w:cs="宋体" w:eastAsiaTheme="minorEastAsia"/>
          <w:color w:val="auto"/>
          <w:sz w:val="24"/>
          <w:szCs w:val="20"/>
          <w:highlight w:val="none"/>
          <w:lang w:val="en-US" w:eastAsia="zh-CN"/>
        </w:rPr>
        <w:t>细则</w:t>
      </w:r>
      <w:r>
        <w:rPr>
          <w:rFonts w:hint="eastAsia" w:ascii="宋体" w:hAnsi="宋体" w:cs="宋体" w:eastAsiaTheme="minorEastAsia"/>
          <w:color w:val="auto"/>
          <w:sz w:val="24"/>
          <w:szCs w:val="20"/>
          <w:highlight w:val="none"/>
          <w:lang w:val="en-US" w:eastAsia="zh-CN"/>
        </w:rPr>
        <w:t>等，并报采购人审定备案后方可实施</w:t>
      </w:r>
      <w:r>
        <w:rPr>
          <w:rFonts w:hint="eastAsia" w:cs="宋体" w:eastAsiaTheme="minorEastAsia"/>
          <w:color w:val="auto"/>
          <w:sz w:val="24"/>
          <w:szCs w:val="20"/>
          <w:highlight w:val="none"/>
          <w:lang w:val="en-US" w:eastAsia="zh-CN"/>
        </w:rPr>
        <w:t>。</w:t>
      </w:r>
    </w:p>
    <w:p w14:paraId="2EF7A7B9">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（7)档案</w:t>
      </w:r>
      <w:r>
        <w:rPr>
          <w:rFonts w:hint="eastAsia" w:cs="宋体"/>
          <w:b w:val="0"/>
          <w:bCs w:val="0"/>
          <w:color w:val="auto"/>
          <w:sz w:val="24"/>
          <w:szCs w:val="20"/>
          <w:highlight w:val="none"/>
          <w:lang w:val="en-US" w:eastAsia="zh-CN"/>
        </w:rPr>
        <w:t>和资料</w:t>
      </w:r>
      <w:r>
        <w:rPr>
          <w:rFonts w:hint="eastAsia" w:ascii="宋体" w:hAnsi="宋体" w:eastAsia="宋体" w:cs="宋体"/>
          <w:b w:val="0"/>
          <w:bCs w:val="0"/>
          <w:color w:val="auto"/>
          <w:sz w:val="24"/>
          <w:szCs w:val="20"/>
          <w:highlight w:val="none"/>
          <w:lang w:val="en-US" w:eastAsia="zh-CN"/>
        </w:rPr>
        <w:t>管理</w:t>
      </w:r>
      <w:r>
        <w:rPr>
          <w:rFonts w:hint="eastAsia" w:cs="宋体"/>
          <w:b w:val="0"/>
          <w:bCs w:val="0"/>
          <w:color w:val="auto"/>
          <w:sz w:val="24"/>
          <w:szCs w:val="20"/>
          <w:highlight w:val="none"/>
          <w:lang w:val="en-US" w:eastAsia="zh-CN"/>
        </w:rPr>
        <w:t>：</w:t>
      </w:r>
      <w:r>
        <w:rPr>
          <w:rFonts w:hint="eastAsia"/>
          <w:color w:val="auto"/>
          <w:sz w:val="24"/>
          <w:szCs w:val="20"/>
          <w:highlight w:val="none"/>
        </w:rPr>
        <w:t>加强有关物业的档案和资料管理</w:t>
      </w:r>
      <w:r>
        <w:rPr>
          <w:rFonts w:hint="eastAsia"/>
          <w:color w:val="auto"/>
          <w:sz w:val="24"/>
          <w:szCs w:val="20"/>
          <w:highlight w:val="none"/>
          <w:lang w:eastAsia="zh-CN"/>
        </w:rPr>
        <w:t>，</w:t>
      </w:r>
      <w:r>
        <w:rPr>
          <w:rFonts w:hint="eastAsia"/>
          <w:color w:val="auto"/>
          <w:sz w:val="24"/>
          <w:szCs w:val="20"/>
          <w:highlight w:val="none"/>
        </w:rPr>
        <w:t>档案和资料的管理包括：</w:t>
      </w:r>
      <w:r>
        <w:rPr>
          <w:rFonts w:hint="eastAsia"/>
          <w:color w:val="auto"/>
          <w:sz w:val="24"/>
          <w:szCs w:val="20"/>
          <w:highlight w:val="none"/>
          <w:lang w:eastAsia="zh-CN"/>
        </w:rPr>
        <w:t>医护、医患人员</w:t>
      </w:r>
      <w:r>
        <w:rPr>
          <w:rFonts w:hint="eastAsia"/>
          <w:color w:val="auto"/>
          <w:sz w:val="24"/>
          <w:szCs w:val="20"/>
          <w:highlight w:val="none"/>
        </w:rPr>
        <w:t>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i w:val="0"/>
          <w:iCs w:val="0"/>
          <w:caps w:val="0"/>
          <w:color w:val="auto"/>
          <w:spacing w:val="0"/>
          <w:sz w:val="24"/>
          <w:szCs w:val="24"/>
          <w:highlight w:val="none"/>
          <w:shd w:val="clear" w:color="auto" w:fill="FFFFFF"/>
          <w:lang w:eastAsia="zh-CN"/>
        </w:rPr>
        <w:t>（纸质档案一套，电子档案一份）。</w:t>
      </w:r>
    </w:p>
    <w:p w14:paraId="3C4C98FB">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（8)进场交接过渡方案</w:t>
      </w:r>
      <w:r>
        <w:rPr>
          <w:rFonts w:hint="eastAsia" w:cs="宋体"/>
          <w:b w:val="0"/>
          <w:bCs w:val="0"/>
          <w:color w:val="auto"/>
          <w:sz w:val="24"/>
          <w:szCs w:val="20"/>
          <w:highlight w:val="none"/>
          <w:lang w:val="en-US" w:eastAsia="zh-CN"/>
        </w:rPr>
        <w:t>：</w:t>
      </w:r>
      <w:r>
        <w:rPr>
          <w:rFonts w:ascii="Arial" w:hAnsi="Arial" w:eastAsia="Arial" w:cs="Arial"/>
          <w:i w:val="0"/>
          <w:iCs w:val="0"/>
          <w:caps w:val="0"/>
          <w:color w:val="auto"/>
          <w:spacing w:val="0"/>
          <w:sz w:val="24"/>
          <w:szCs w:val="24"/>
          <w:highlight w:val="none"/>
          <w:shd w:val="clear" w:color="auto" w:fill="FFFFFF"/>
        </w:rPr>
        <w:t>在接管</w:t>
      </w:r>
      <w:r>
        <w:rPr>
          <w:rFonts w:hint="eastAsia" w:ascii="Arial" w:hAnsi="Arial" w:cs="Arial"/>
          <w:i w:val="0"/>
          <w:iCs w:val="0"/>
          <w:caps w:val="0"/>
          <w:color w:val="auto"/>
          <w:spacing w:val="0"/>
          <w:sz w:val="24"/>
          <w:szCs w:val="24"/>
          <w:highlight w:val="none"/>
          <w:shd w:val="clear" w:color="auto" w:fill="FFFFFF"/>
          <w:lang w:eastAsia="zh-CN"/>
        </w:rPr>
        <w:t>卫生服务中心</w:t>
      </w:r>
      <w:r>
        <w:rPr>
          <w:rFonts w:hint="eastAsia" w:ascii="Arial" w:hAnsi="Arial" w:eastAsia="宋体" w:cs="Arial"/>
          <w:i w:val="0"/>
          <w:iCs w:val="0"/>
          <w:caps w:val="0"/>
          <w:color w:val="auto"/>
          <w:spacing w:val="0"/>
          <w:sz w:val="24"/>
          <w:szCs w:val="24"/>
          <w:highlight w:val="none"/>
          <w:shd w:val="clear" w:color="auto" w:fill="FFFFFF"/>
          <w:lang w:eastAsia="zh-CN"/>
        </w:rPr>
        <w:t>物业</w:t>
      </w:r>
      <w:r>
        <w:rPr>
          <w:rFonts w:ascii="Arial" w:hAnsi="Arial" w:eastAsia="Arial" w:cs="Arial"/>
          <w:i w:val="0"/>
          <w:iCs w:val="0"/>
          <w:caps w:val="0"/>
          <w:color w:val="auto"/>
          <w:spacing w:val="0"/>
          <w:sz w:val="24"/>
          <w:szCs w:val="24"/>
          <w:highlight w:val="none"/>
          <w:shd w:val="clear" w:color="auto" w:fill="FFFFFF"/>
        </w:rPr>
        <w:t>服务时，通过系统化安排确保服务平稳过渡的方案，主要包括人员、设备、流程等要素的交接管理</w:t>
      </w:r>
      <w:r>
        <w:rPr>
          <w:rFonts w:hint="eastAsia" w:ascii="Arial" w:hAnsi="Arial" w:eastAsia="宋体" w:cs="Arial"/>
          <w:i w:val="0"/>
          <w:iCs w:val="0"/>
          <w:caps w:val="0"/>
          <w:color w:val="auto"/>
          <w:spacing w:val="0"/>
          <w:sz w:val="24"/>
          <w:szCs w:val="24"/>
          <w:highlight w:val="none"/>
          <w:shd w:val="clear" w:color="auto" w:fill="FFFFFF"/>
          <w:lang w:eastAsia="zh-CN"/>
        </w:rPr>
        <w:t>。</w:t>
      </w:r>
    </w:p>
    <w:p w14:paraId="65561FF7">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要求方案细致完整、针对性强、措施有力，方案的贯彻应能满足本项目各项服务要求。</w:t>
      </w:r>
    </w:p>
    <w:p w14:paraId="423C3DFF">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2.组织机构设置、人员配置</w:t>
      </w:r>
    </w:p>
    <w:p w14:paraId="6ED7A7E3">
      <w:pPr>
        <w:widowControl/>
        <w:spacing w:line="560" w:lineRule="exact"/>
        <w:ind w:firstLine="480"/>
        <w:jc w:val="left"/>
        <w:rPr>
          <w:rFonts w:hint="eastAsia" w:ascii="宋体" w:hAnsi="宋体" w:eastAsia="宋体" w:cs="宋体"/>
          <w:color w:val="auto"/>
          <w:sz w:val="24"/>
          <w:highlight w:val="none"/>
          <w:lang w:eastAsia="zh-CN"/>
        </w:rPr>
      </w:pPr>
      <w:r>
        <w:rPr>
          <w:rFonts w:hint="eastAsia" w:cs="宋体"/>
          <w:color w:val="auto"/>
          <w:sz w:val="24"/>
          <w:highlight w:val="none"/>
          <w:lang w:eastAsia="zh-CN"/>
        </w:rPr>
        <w:t>投标人应</w:t>
      </w:r>
      <w:r>
        <w:rPr>
          <w:rFonts w:hint="eastAsia" w:ascii="宋体" w:hAnsi="宋体" w:eastAsia="宋体" w:cs="宋体"/>
          <w:color w:val="auto"/>
          <w:sz w:val="24"/>
          <w:highlight w:val="none"/>
          <w:lang w:eastAsia="zh-CN"/>
        </w:rPr>
        <w:t>根据采购需求</w:t>
      </w:r>
      <w:r>
        <w:rPr>
          <w:rFonts w:hint="eastAsia" w:cs="宋体"/>
          <w:color w:val="auto"/>
          <w:sz w:val="24"/>
          <w:highlight w:val="none"/>
          <w:lang w:eastAsia="zh-CN"/>
        </w:rPr>
        <w:t>提供</w:t>
      </w:r>
      <w:r>
        <w:rPr>
          <w:rFonts w:hint="eastAsia" w:ascii="宋体" w:hAnsi="宋体" w:eastAsia="宋体" w:cs="宋体"/>
          <w:color w:val="auto"/>
          <w:sz w:val="24"/>
          <w:highlight w:val="none"/>
          <w:lang w:eastAsia="zh-CN"/>
        </w:rPr>
        <w:t>组织机构设置、人员配备、培训与管理方案</w:t>
      </w:r>
      <w:r>
        <w:rPr>
          <w:rFonts w:hint="eastAsia" w:cs="宋体"/>
          <w:color w:val="auto"/>
          <w:sz w:val="24"/>
          <w:highlight w:val="none"/>
          <w:lang w:eastAsia="zh-CN"/>
        </w:rPr>
        <w:t>，</w:t>
      </w:r>
      <w:r>
        <w:rPr>
          <w:rFonts w:hint="eastAsia" w:ascii="宋体" w:hAnsi="宋体" w:eastAsia="宋体" w:cs="宋体"/>
          <w:b w:val="0"/>
          <w:bCs w:val="0"/>
          <w:color w:val="auto"/>
          <w:sz w:val="24"/>
          <w:szCs w:val="20"/>
          <w:highlight w:val="none"/>
          <w:lang w:val="en-US" w:eastAsia="zh-CN"/>
        </w:rPr>
        <w:t>方案应包括但不限于</w:t>
      </w:r>
      <w:r>
        <w:rPr>
          <w:rFonts w:hint="eastAsia" w:ascii="宋体" w:hAnsi="宋体" w:eastAsia="宋体" w:cs="宋体"/>
          <w:color w:val="auto"/>
          <w:sz w:val="24"/>
          <w:highlight w:val="none"/>
          <w:lang w:eastAsia="zh-CN"/>
        </w:rPr>
        <w:t>：</w:t>
      </w:r>
    </w:p>
    <w:p w14:paraId="32D47683">
      <w:pPr>
        <w:widowControl/>
        <w:spacing w:line="56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应针对本项目实际运行状况及服务要求，拟定配备员工人数,</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负责提供岗位人员配备清单等</w:t>
      </w:r>
      <w:r>
        <w:rPr>
          <w:rFonts w:hint="eastAsia" w:cs="宋体"/>
          <w:color w:val="auto"/>
          <w:sz w:val="24"/>
          <w:highlight w:val="none"/>
          <w:lang w:eastAsia="zh-CN"/>
        </w:rPr>
        <w:t>。</w:t>
      </w:r>
    </w:p>
    <w:p w14:paraId="5070A5FB">
      <w:pPr>
        <w:widowControl/>
        <w:spacing w:line="560" w:lineRule="exact"/>
        <w:ind w:firstLine="480"/>
        <w:jc w:val="left"/>
        <w:rPr>
          <w:rFonts w:hint="eastAsia"/>
          <w:color w:val="auto"/>
          <w:sz w:val="24"/>
          <w:highlight w:val="none"/>
          <w:lang w:eastAsia="zh-CN"/>
        </w:rPr>
      </w:pPr>
      <w:r>
        <w:rPr>
          <w:rFonts w:hint="eastAsia" w:ascii="宋体" w:hAnsi="宋体" w:eastAsia="宋体" w:cs="宋体"/>
          <w:color w:val="auto"/>
          <w:sz w:val="24"/>
          <w:highlight w:val="none"/>
          <w:lang w:eastAsia="zh-CN"/>
        </w:rPr>
        <w:t>（2)</w:t>
      </w:r>
      <w:r>
        <w:rPr>
          <w:rFonts w:hint="eastAsia"/>
          <w:color w:val="auto"/>
          <w:sz w:val="24"/>
          <w:highlight w:val="none"/>
          <w:lang w:eastAsia="zh-CN"/>
        </w:rPr>
        <w:t>投标人</w:t>
      </w:r>
      <w:r>
        <w:rPr>
          <w:color w:val="auto"/>
          <w:sz w:val="24"/>
          <w:highlight w:val="none"/>
        </w:rPr>
        <w:t>为</w:t>
      </w:r>
      <w:r>
        <w:rPr>
          <w:rFonts w:hint="eastAsia"/>
          <w:color w:val="auto"/>
          <w:sz w:val="24"/>
          <w:highlight w:val="none"/>
          <w:lang w:eastAsia="zh-CN"/>
        </w:rPr>
        <w:t>采购人</w:t>
      </w:r>
      <w:r>
        <w:rPr>
          <w:color w:val="auto"/>
          <w:sz w:val="24"/>
          <w:highlight w:val="none"/>
        </w:rPr>
        <w:t>提供规范细致、热情周到的物业服务，本项目管理人员一经确定，未经采购人同意不得随意更换</w:t>
      </w:r>
      <w:r>
        <w:rPr>
          <w:rFonts w:hint="eastAsia"/>
          <w:color w:val="auto"/>
          <w:sz w:val="24"/>
          <w:highlight w:val="none"/>
          <w:lang w:eastAsia="zh-CN"/>
        </w:rPr>
        <w:t>。</w:t>
      </w:r>
    </w:p>
    <w:p w14:paraId="26AECAA9">
      <w:pPr>
        <w:widowControl/>
        <w:spacing w:line="560" w:lineRule="exact"/>
        <w:ind w:firstLine="480"/>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（3)项目负责人要求具备良好的沟通和协调能力，团队合作精神和领导能力，能够带领团队高效完成工作任务，能快速融入新环境</w:t>
      </w:r>
      <w:r>
        <w:rPr>
          <w:rFonts w:hint="eastAsia" w:cs="宋体"/>
          <w:color w:val="auto"/>
          <w:sz w:val="24"/>
          <w:highlight w:val="none"/>
          <w:lang w:eastAsia="zh-CN"/>
        </w:rPr>
        <w:t>。</w:t>
      </w:r>
    </w:p>
    <w:p w14:paraId="4F9AF2A8">
      <w:pPr>
        <w:widowControl/>
        <w:spacing w:line="560" w:lineRule="exact"/>
        <w:ind w:firstLine="480"/>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（4)所有员工必须经过岗前培训，培训合格方能入职，物业员工需具有垃圾分类、节能环保等意识</w:t>
      </w:r>
      <w:r>
        <w:rPr>
          <w:rFonts w:hint="eastAsia" w:cs="宋体"/>
          <w:color w:val="auto"/>
          <w:sz w:val="24"/>
          <w:highlight w:val="none"/>
          <w:lang w:eastAsia="zh-CN"/>
        </w:rPr>
        <w:t>。</w:t>
      </w:r>
    </w:p>
    <w:p w14:paraId="02ADA1F6">
      <w:pPr>
        <w:widowControl/>
        <w:spacing w:line="560" w:lineRule="exact"/>
        <w:ind w:left="240" w:firstLine="283"/>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（5)</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所投服务所有人员(含管理人员)必须专职为采购人服务，不得兼职</w:t>
      </w:r>
      <w:r>
        <w:rPr>
          <w:rFonts w:hint="eastAsia" w:cs="宋体"/>
          <w:color w:val="auto"/>
          <w:sz w:val="24"/>
          <w:highlight w:val="none"/>
          <w:lang w:eastAsia="zh-CN"/>
        </w:rPr>
        <w:t>。</w:t>
      </w:r>
    </w:p>
    <w:p w14:paraId="3BDAD1BD">
      <w:pPr>
        <w:widowControl/>
        <w:spacing w:line="560" w:lineRule="exact"/>
        <w:ind w:left="240" w:firstLine="283"/>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（6</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有岗前培训，服务人员100%经过岗前或在岗培训，考试合格才能独立上岗。</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需为保障服务有序开展设置培训内容，针对普通一线员工培训教程，制定培训计划(包含培训内容、培训时间等内容)</w:t>
      </w:r>
      <w:r>
        <w:rPr>
          <w:rFonts w:hint="eastAsia" w:cs="宋体"/>
          <w:color w:val="auto"/>
          <w:sz w:val="24"/>
          <w:highlight w:val="none"/>
          <w:lang w:eastAsia="zh-CN"/>
        </w:rPr>
        <w:t>。</w:t>
      </w:r>
    </w:p>
    <w:p w14:paraId="3581C6AD">
      <w:pPr>
        <w:widowControl/>
        <w:spacing w:line="560" w:lineRule="exact"/>
        <w:ind w:left="240" w:firstLine="283"/>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（7）要求每周有班会、每月至少对员工进行一次再培训，</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的各岗位员工必须参与采购人组织的安全生产、消防安全、应急演练等专业培训。</w:t>
      </w:r>
    </w:p>
    <w:p w14:paraId="22513EE5">
      <w:pPr>
        <w:widowControl/>
        <w:spacing w:line="560" w:lineRule="exact"/>
        <w:ind w:left="240" w:firstLine="283"/>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highlight w:val="none"/>
          <w:lang w:eastAsia="zh-CN"/>
        </w:rPr>
        <w:t>要求方案细致完整、针对性强、措施有力，方案的贯彻应能满足本项目各项服务要求。</w:t>
      </w:r>
    </w:p>
    <w:p w14:paraId="2AA55613">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3.日常管理措施</w:t>
      </w:r>
    </w:p>
    <w:p w14:paraId="5E68F664">
      <w:pPr>
        <w:widowControl/>
        <w:numPr>
          <w:ilvl w:val="0"/>
          <w:numId w:val="0"/>
        </w:numPr>
        <w:spacing w:line="560" w:lineRule="exact"/>
        <w:ind w:firstLine="480"/>
        <w:jc w:val="left"/>
        <w:rPr>
          <w:color w:val="auto"/>
          <w:sz w:val="24"/>
          <w:highlight w:val="none"/>
        </w:rPr>
      </w:pPr>
      <w:r>
        <w:rPr>
          <w:rFonts w:hint="eastAsia"/>
          <w:color w:val="auto"/>
          <w:sz w:val="24"/>
          <w:highlight w:val="none"/>
          <w:lang w:eastAsia="zh-CN"/>
        </w:rPr>
        <w:t>投标人</w:t>
      </w:r>
      <w:r>
        <w:rPr>
          <w:color w:val="auto"/>
          <w:sz w:val="24"/>
          <w:highlight w:val="none"/>
        </w:rPr>
        <w:t>应根据采购需求</w:t>
      </w:r>
      <w:r>
        <w:rPr>
          <w:rFonts w:hint="eastAsia"/>
          <w:b w:val="0"/>
          <w:bCs w:val="0"/>
          <w:color w:val="auto"/>
          <w:sz w:val="24"/>
          <w:highlight w:val="none"/>
          <w:lang w:val="en-US" w:eastAsia="zh-CN"/>
        </w:rPr>
        <w:t>第三项“</w:t>
      </w:r>
      <w:r>
        <w:rPr>
          <w:rFonts w:hint="eastAsia" w:ascii="宋体" w:hAnsi="宋体" w:cs="宋体" w:eastAsiaTheme="minorEastAsia"/>
          <w:b w:val="0"/>
          <w:bCs w:val="0"/>
          <w:color w:val="auto"/>
          <w:sz w:val="24"/>
          <w:szCs w:val="20"/>
          <w:highlight w:val="none"/>
          <w:lang w:val="zh-CN" w:eastAsia="zh-CN"/>
        </w:rPr>
        <w:t>物业管理服务内容及要求</w:t>
      </w:r>
      <w:r>
        <w:rPr>
          <w:rFonts w:hint="eastAsia"/>
          <w:b w:val="0"/>
          <w:bCs w:val="0"/>
          <w:color w:val="auto"/>
          <w:sz w:val="24"/>
          <w:highlight w:val="none"/>
          <w:lang w:val="en-US" w:eastAsia="zh-CN"/>
        </w:rPr>
        <w:t>”</w:t>
      </w:r>
      <w:r>
        <w:rPr>
          <w:rFonts w:hint="eastAsia" w:ascii="宋体" w:hAnsi="宋体" w:cs="宋体" w:eastAsiaTheme="minorEastAsia"/>
          <w:b w:val="0"/>
          <w:bCs w:val="0"/>
          <w:color w:val="auto"/>
          <w:sz w:val="24"/>
          <w:szCs w:val="20"/>
          <w:highlight w:val="none"/>
          <w:lang w:val="zh-CN" w:eastAsia="zh-CN"/>
        </w:rPr>
        <w:t>和本项目实际，提供规范</w:t>
      </w:r>
      <w:r>
        <w:rPr>
          <w:rFonts w:hint="eastAsia" w:ascii="宋体" w:hAnsi="宋体" w:eastAsia="宋体" w:cs="宋体"/>
          <w:color w:val="auto"/>
          <w:sz w:val="24"/>
          <w:highlight w:val="none"/>
        </w:rPr>
        <w:t>而完善的</w:t>
      </w:r>
      <w:r>
        <w:rPr>
          <w:rFonts w:hint="eastAsia" w:ascii="宋体" w:hAnsi="宋体" w:eastAsia="宋体" w:cs="宋体"/>
          <w:color w:val="auto"/>
          <w:sz w:val="24"/>
          <w:highlight w:val="none"/>
          <w:lang w:val="en-US" w:eastAsia="zh-CN"/>
        </w:rPr>
        <w:t>物业</w:t>
      </w:r>
      <w:r>
        <w:rPr>
          <w:color w:val="auto"/>
          <w:sz w:val="24"/>
          <w:highlight w:val="none"/>
        </w:rPr>
        <w:t>日常管理措施</w:t>
      </w:r>
      <w:r>
        <w:rPr>
          <w:rFonts w:hint="eastAsia" w:ascii="宋体" w:hAnsi="宋体" w:eastAsia="宋体" w:cs="宋体"/>
          <w:color w:val="auto"/>
          <w:sz w:val="24"/>
          <w:highlight w:val="none"/>
          <w:lang w:val="en-US" w:eastAsia="zh-CN"/>
        </w:rPr>
        <w:t>方案，</w:t>
      </w:r>
      <w:r>
        <w:rPr>
          <w:rFonts w:hint="eastAsia"/>
          <w:color w:val="auto"/>
          <w:sz w:val="24"/>
          <w:highlight w:val="none"/>
          <w:lang w:eastAsia="zh-CN"/>
        </w:rPr>
        <w:t>方案应</w:t>
      </w:r>
      <w:r>
        <w:rPr>
          <w:color w:val="auto"/>
          <w:sz w:val="24"/>
          <w:highlight w:val="none"/>
        </w:rPr>
        <w:t>包括但不限于：</w:t>
      </w:r>
      <w:r>
        <w:rPr>
          <w:rFonts w:hint="eastAsia"/>
          <w:color w:val="auto"/>
          <w:sz w:val="24"/>
          <w:highlight w:val="none"/>
          <w:lang w:eastAsia="zh-CN"/>
        </w:rPr>
        <w:t>保洁</w:t>
      </w:r>
      <w:r>
        <w:rPr>
          <w:color w:val="auto"/>
          <w:sz w:val="24"/>
          <w:highlight w:val="none"/>
        </w:rPr>
        <w:t>日常管理措施</w:t>
      </w:r>
      <w:r>
        <w:rPr>
          <w:rFonts w:hint="eastAsia"/>
          <w:color w:val="auto"/>
          <w:sz w:val="24"/>
          <w:highlight w:val="none"/>
          <w:lang w:eastAsia="zh-CN"/>
        </w:rPr>
        <w:t>方案、医疗废物</w:t>
      </w:r>
      <w:r>
        <w:rPr>
          <w:color w:val="auto"/>
          <w:sz w:val="24"/>
          <w:highlight w:val="none"/>
        </w:rPr>
        <w:t>日常管理措施</w:t>
      </w:r>
      <w:r>
        <w:rPr>
          <w:rFonts w:hint="eastAsia"/>
          <w:color w:val="auto"/>
          <w:sz w:val="24"/>
          <w:highlight w:val="none"/>
          <w:lang w:eastAsia="zh-CN"/>
        </w:rPr>
        <w:t>方案、工勤服务中心</w:t>
      </w:r>
      <w:r>
        <w:rPr>
          <w:color w:val="auto"/>
          <w:sz w:val="24"/>
          <w:highlight w:val="none"/>
        </w:rPr>
        <w:t>日常管理措施</w:t>
      </w:r>
      <w:r>
        <w:rPr>
          <w:rFonts w:hint="eastAsia"/>
          <w:color w:val="auto"/>
          <w:sz w:val="24"/>
          <w:highlight w:val="none"/>
          <w:lang w:eastAsia="zh-CN"/>
        </w:rPr>
        <w:t>方案、洗衣房</w:t>
      </w:r>
      <w:r>
        <w:rPr>
          <w:color w:val="auto"/>
          <w:sz w:val="24"/>
          <w:highlight w:val="none"/>
        </w:rPr>
        <w:t>日常管理措施</w:t>
      </w:r>
      <w:r>
        <w:rPr>
          <w:rFonts w:hint="eastAsia"/>
          <w:color w:val="auto"/>
          <w:sz w:val="24"/>
          <w:highlight w:val="none"/>
          <w:lang w:eastAsia="zh-CN"/>
        </w:rPr>
        <w:t>方案、后勤水电</w:t>
      </w:r>
      <w:r>
        <w:rPr>
          <w:color w:val="auto"/>
          <w:sz w:val="24"/>
          <w:highlight w:val="none"/>
        </w:rPr>
        <w:t>日常管理措施</w:t>
      </w:r>
      <w:r>
        <w:rPr>
          <w:rFonts w:hint="eastAsia"/>
          <w:color w:val="auto"/>
          <w:sz w:val="24"/>
          <w:highlight w:val="none"/>
          <w:lang w:eastAsia="zh-CN"/>
        </w:rPr>
        <w:t>方案及其他服务</w:t>
      </w:r>
      <w:r>
        <w:rPr>
          <w:color w:val="auto"/>
          <w:sz w:val="24"/>
          <w:highlight w:val="none"/>
        </w:rPr>
        <w:t>日常管理措施</w:t>
      </w:r>
      <w:r>
        <w:rPr>
          <w:rFonts w:hint="eastAsia"/>
          <w:color w:val="auto"/>
          <w:sz w:val="24"/>
          <w:highlight w:val="none"/>
          <w:lang w:eastAsia="zh-CN"/>
        </w:rPr>
        <w:t>方案等</w:t>
      </w:r>
      <w:r>
        <w:rPr>
          <w:rFonts w:hint="eastAsia" w:ascii="宋体" w:hAnsi="宋体" w:eastAsia="宋体" w:cs="宋体"/>
          <w:color w:val="auto"/>
          <w:sz w:val="24"/>
          <w:highlight w:val="none"/>
        </w:rPr>
        <w:t>。</w:t>
      </w:r>
    </w:p>
    <w:p w14:paraId="01B9E3BD">
      <w:pPr>
        <w:widowControl/>
        <w:spacing w:line="560" w:lineRule="exact"/>
        <w:ind w:firstLine="480"/>
        <w:jc w:val="left"/>
        <w:rPr>
          <w:rFonts w:hint="eastAsia" w:ascii="宋体" w:hAnsi="宋体" w:eastAsia="宋体" w:cs="宋体"/>
          <w:color w:val="auto"/>
          <w:sz w:val="24"/>
          <w:szCs w:val="20"/>
          <w:highlight w:val="none"/>
          <w:lang w:val="en-US" w:eastAsia="zh-CN"/>
        </w:rPr>
      </w:pPr>
      <w:r>
        <w:rPr>
          <w:color w:val="auto"/>
          <w:sz w:val="24"/>
          <w:highlight w:val="none"/>
        </w:rPr>
        <w:t>要求方案细致完整、针对性强、措施有力，方案的贯彻应能满足本项目服务要求</w:t>
      </w:r>
      <w:r>
        <w:rPr>
          <w:rFonts w:hint="eastAsia"/>
          <w:color w:val="auto"/>
          <w:sz w:val="24"/>
          <w:highlight w:val="none"/>
          <w:lang w:eastAsia="zh-CN"/>
        </w:rPr>
        <w:t>。</w:t>
      </w:r>
    </w:p>
    <w:p w14:paraId="2EBE3CE7">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4.适合本项目的各种突发事件的处理预案</w:t>
      </w:r>
    </w:p>
    <w:p w14:paraId="5F4D660D">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color w:val="auto"/>
          <w:sz w:val="24"/>
          <w:highlight w:val="none"/>
          <w:lang w:eastAsia="zh-CN"/>
        </w:rPr>
        <w:t>投标人</w:t>
      </w:r>
      <w:r>
        <w:rPr>
          <w:color w:val="auto"/>
          <w:sz w:val="24"/>
          <w:highlight w:val="none"/>
        </w:rPr>
        <w:t>应根据采购需求和本项目实际，</w:t>
      </w:r>
      <w:r>
        <w:rPr>
          <w:rFonts w:hint="eastAsia" w:ascii="宋体" w:hAnsi="宋体" w:eastAsia="宋体" w:cs="宋体"/>
          <w:color w:val="auto"/>
          <w:sz w:val="24"/>
          <w:szCs w:val="20"/>
          <w:highlight w:val="none"/>
          <w:lang w:val="en-US" w:eastAsia="zh-CN"/>
        </w:rPr>
        <w:t>制定</w:t>
      </w:r>
      <w:r>
        <w:rPr>
          <w:rFonts w:hint="eastAsia" w:cs="宋体"/>
          <w:color w:val="auto"/>
          <w:sz w:val="24"/>
          <w:szCs w:val="20"/>
          <w:highlight w:val="none"/>
          <w:lang w:val="en-US" w:eastAsia="zh-CN"/>
        </w:rPr>
        <w:t>适合本</w:t>
      </w:r>
      <w:r>
        <w:rPr>
          <w:rFonts w:hint="eastAsia" w:ascii="宋体" w:hAnsi="宋体" w:eastAsia="宋体" w:cs="宋体"/>
          <w:color w:val="auto"/>
          <w:sz w:val="24"/>
          <w:szCs w:val="20"/>
          <w:highlight w:val="none"/>
          <w:lang w:val="en-US" w:eastAsia="zh-CN"/>
        </w:rPr>
        <w:t>项目</w:t>
      </w:r>
      <w:r>
        <w:rPr>
          <w:rFonts w:hint="eastAsia" w:cs="宋体"/>
          <w:color w:val="auto"/>
          <w:sz w:val="24"/>
          <w:szCs w:val="20"/>
          <w:highlight w:val="none"/>
          <w:lang w:val="en-US" w:eastAsia="zh-CN"/>
        </w:rPr>
        <w:t>的</w:t>
      </w:r>
      <w:r>
        <w:rPr>
          <w:rFonts w:hint="eastAsia" w:ascii="宋体" w:hAnsi="宋体" w:eastAsia="宋体" w:cs="宋体"/>
          <w:color w:val="auto"/>
          <w:sz w:val="24"/>
          <w:szCs w:val="20"/>
          <w:highlight w:val="none"/>
          <w:lang w:val="en-US" w:eastAsia="zh-CN"/>
        </w:rPr>
        <w:t>各种突发事件的处理预案，</w:t>
      </w:r>
      <w:r>
        <w:rPr>
          <w:rFonts w:hint="eastAsia" w:ascii="宋体" w:hAnsi="宋体" w:eastAsia="宋体" w:cs="宋体"/>
          <w:b w:val="0"/>
          <w:bCs w:val="0"/>
          <w:color w:val="auto"/>
          <w:sz w:val="24"/>
          <w:szCs w:val="20"/>
          <w:highlight w:val="none"/>
          <w:lang w:val="en-US" w:eastAsia="zh-CN"/>
        </w:rPr>
        <w:t>方案应包括但不限于</w:t>
      </w:r>
      <w:r>
        <w:rPr>
          <w:rFonts w:hint="eastAsia" w:cs="宋体"/>
          <w:b w:val="0"/>
          <w:bCs w:val="0"/>
          <w:color w:val="auto"/>
          <w:sz w:val="24"/>
          <w:szCs w:val="20"/>
          <w:highlight w:val="none"/>
          <w:lang w:val="en-US" w:eastAsia="zh-CN"/>
        </w:rPr>
        <w:t>：</w:t>
      </w:r>
    </w:p>
    <w:p w14:paraId="2D0FD014">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（1）</w:t>
      </w:r>
      <w:r>
        <w:rPr>
          <w:rFonts w:hint="eastAsia" w:ascii="宋体" w:hAnsi="宋体" w:eastAsia="宋体" w:cs="宋体"/>
          <w:color w:val="auto"/>
          <w:sz w:val="24"/>
          <w:szCs w:val="20"/>
          <w:highlight w:val="none"/>
          <w:lang w:val="en-US" w:eastAsia="zh-CN"/>
        </w:rPr>
        <w:t>应急预案内容</w:t>
      </w:r>
    </w:p>
    <w:p w14:paraId="1AD8FF61">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①火灾事故应急预案:包括火灾报警、人员疏散、灭火救援、医疗救治等环节。</w:t>
      </w:r>
    </w:p>
    <w:p w14:paraId="288A2B36">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②自然灾害应急预案:包括地震、洪水、台风等自然灾害的预警、响应、处置和恢复。</w:t>
      </w:r>
    </w:p>
    <w:p w14:paraId="415969A2">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③公共卫生事件应急预案:包括传染病疫情等公共卫生事件的预防控制和处置。</w:t>
      </w:r>
    </w:p>
    <w:p w14:paraId="6E37231E">
      <w:pPr>
        <w:widowControl/>
        <w:spacing w:line="560" w:lineRule="exact"/>
        <w:ind w:firstLine="480"/>
        <w:jc w:val="left"/>
        <w:rPr>
          <w:rFonts w:hint="eastAsia" w:eastAsia="宋体"/>
          <w:color w:val="auto"/>
          <w:sz w:val="24"/>
          <w:highlight w:val="none"/>
          <w:lang w:val="en-US" w:eastAsia="zh-CN"/>
        </w:rPr>
      </w:pPr>
      <w:r>
        <w:rPr>
          <w:rFonts w:hint="eastAsia"/>
          <w:color w:val="auto"/>
          <w:sz w:val="24"/>
          <w:highlight w:val="none"/>
          <w:lang w:val="en-US" w:eastAsia="zh-CN"/>
        </w:rPr>
        <w:t>④安全事故应急预案:包括医疗事故、交通事故、设备故障等安全事故的应急处置。</w:t>
      </w:r>
    </w:p>
    <w:p w14:paraId="0CC84965">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⑤停电事故应急预案:包括应急照明、应急电源、设备运行等方面的保障。</w:t>
      </w:r>
    </w:p>
    <w:p w14:paraId="7D46D515">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⑥电梯事故应急预案:包括电梯困人、电梯故障等问题的应急处置。</w:t>
      </w:r>
    </w:p>
    <w:p w14:paraId="7C34196E">
      <w:pPr>
        <w:widowControl/>
        <w:spacing w:line="560" w:lineRule="exact"/>
        <w:ind w:firstLine="480"/>
        <w:jc w:val="left"/>
        <w:rPr>
          <w:rFonts w:hint="eastAsia" w:cs="宋体"/>
          <w:color w:val="auto"/>
          <w:sz w:val="24"/>
          <w:szCs w:val="20"/>
          <w:highlight w:val="none"/>
          <w:lang w:val="en-US" w:eastAsia="zh-CN"/>
        </w:rPr>
      </w:pPr>
      <w:r>
        <w:rPr>
          <w:rFonts w:hint="eastAsia" w:cs="宋体"/>
          <w:color w:val="auto"/>
          <w:sz w:val="24"/>
          <w:szCs w:val="20"/>
          <w:highlight w:val="none"/>
          <w:lang w:val="en-US" w:eastAsia="zh-CN"/>
        </w:rPr>
        <w:t>（2）应急预案体系保障措施</w:t>
      </w:r>
    </w:p>
    <w:p w14:paraId="2C3C15A1">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①加强宣传教育，提高员工应急意识。</w:t>
      </w:r>
    </w:p>
    <w:p w14:paraId="61C0B8D6">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②定期对应急预案进行修订和完善，确保预案的实用性。</w:t>
      </w:r>
    </w:p>
    <w:p w14:paraId="57D1597D">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③加强应急队伍建设，提高应急队伍的专业素质。</w:t>
      </w:r>
    </w:p>
    <w:p w14:paraId="644613EE">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④加强应急物资管理，确保应急物资储备充足。</w:t>
      </w:r>
    </w:p>
    <w:p w14:paraId="287EA0E1">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⑤加强应急演练，提高应急队伍的实战能力。</w:t>
      </w:r>
    </w:p>
    <w:p w14:paraId="5478F154">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⑥加强与相关部门的沟通协作，形成应急合力。</w:t>
      </w:r>
    </w:p>
    <w:p w14:paraId="2115CAF2">
      <w:pPr>
        <w:widowControl/>
        <w:spacing w:line="560" w:lineRule="exact"/>
        <w:ind w:firstLine="480"/>
        <w:jc w:val="left"/>
        <w:rPr>
          <w:rFonts w:hint="eastAsia" w:cs="宋体"/>
          <w:color w:val="auto"/>
          <w:sz w:val="24"/>
          <w:szCs w:val="20"/>
          <w:highlight w:val="none"/>
          <w:lang w:val="en-US" w:eastAsia="zh-CN"/>
        </w:rPr>
      </w:pPr>
      <w:r>
        <w:rPr>
          <w:rFonts w:hint="eastAsia"/>
          <w:color w:val="auto"/>
          <w:sz w:val="24"/>
          <w:highlight w:val="none"/>
          <w:lang w:val="en-US" w:eastAsia="zh-CN"/>
        </w:rPr>
        <w:t>⑦</w:t>
      </w:r>
      <w:r>
        <w:rPr>
          <w:rFonts w:hint="eastAsia" w:cs="宋体"/>
          <w:color w:val="auto"/>
          <w:sz w:val="24"/>
          <w:szCs w:val="20"/>
          <w:highlight w:val="none"/>
          <w:lang w:val="en-US" w:eastAsia="zh-CN"/>
        </w:rPr>
        <w:t>加强信息沟通，确保应急信息畅通。</w:t>
      </w:r>
    </w:p>
    <w:p w14:paraId="4887FC8F">
      <w:pPr>
        <w:widowControl/>
        <w:spacing w:line="560" w:lineRule="exact"/>
        <w:ind w:firstLine="480"/>
        <w:jc w:val="left"/>
        <w:rPr>
          <w:rFonts w:hint="eastAsia" w:cs="宋体"/>
          <w:color w:val="auto"/>
          <w:sz w:val="24"/>
          <w:szCs w:val="20"/>
          <w:highlight w:val="none"/>
          <w:lang w:val="en-US" w:eastAsia="zh-CN"/>
        </w:rPr>
      </w:pPr>
      <w:r>
        <w:rPr>
          <w:rFonts w:hint="eastAsia" w:cs="宋体"/>
          <w:color w:val="auto"/>
          <w:sz w:val="24"/>
          <w:szCs w:val="20"/>
          <w:highlight w:val="none"/>
          <w:lang w:val="en-US" w:eastAsia="zh-CN"/>
        </w:rPr>
        <w:t>⑧建立健全应急信息报告制度，确保突发事件得到及时报告和处理。</w:t>
      </w:r>
    </w:p>
    <w:p w14:paraId="4CFEDD12">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highlight w:val="none"/>
          <w:lang w:eastAsia="zh-CN"/>
        </w:rPr>
        <w:t>要求方案细致完整、针对性强、措施有力，方案的贯彻应能满足本项目各项服务要求。</w:t>
      </w:r>
    </w:p>
    <w:p w14:paraId="4D915BDE">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cs="宋体"/>
          <w:b/>
          <w:bCs/>
          <w:color w:val="auto"/>
          <w:sz w:val="24"/>
          <w:szCs w:val="20"/>
          <w:highlight w:val="none"/>
          <w:lang w:val="en-US" w:eastAsia="zh-CN"/>
        </w:rPr>
        <w:t>（二）</w:t>
      </w:r>
      <w:r>
        <w:rPr>
          <w:rFonts w:hint="eastAsia" w:ascii="宋体" w:hAnsi="宋体" w:cs="宋体"/>
          <w:b/>
          <w:bCs/>
          <w:color w:val="auto"/>
          <w:sz w:val="24"/>
          <w:szCs w:val="20"/>
          <w:highlight w:val="none"/>
          <w:lang w:val="en-US" w:eastAsia="zh-CN"/>
        </w:rPr>
        <w:t>综合实力</w:t>
      </w:r>
    </w:p>
    <w:p w14:paraId="43BB550F">
      <w:pPr>
        <w:widowControl/>
        <w:spacing w:line="56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具备各种良好的管理体系，规范日常管理与服务流程，确保物业服务质量稳定,积极保障员工健康，提升工作环境，诚信经营等，整合管理流程，减少重复工作，提高资源利用效率，以保障本项目的顺利实施，具有全国认证认可信息公共服务平台的有效期内的</w:t>
      </w:r>
      <w:r>
        <w:rPr>
          <w:rFonts w:hint="eastAsia" w:ascii="宋体" w:hAnsi="宋体" w:eastAsia="宋体" w:cs="宋体"/>
          <w:color w:val="auto"/>
          <w:sz w:val="24"/>
          <w:szCs w:val="20"/>
          <w:highlight w:val="none"/>
          <w:lang w:val="zh-CN"/>
        </w:rPr>
        <w:t>质量管理体系认证证书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0"/>
          <w:highlight w:val="none"/>
          <w:lang w:val="zh-CN"/>
        </w:rPr>
        <w:t>环境管理体系认证证书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0"/>
          <w:highlight w:val="none"/>
          <w:lang w:val="zh-CN"/>
        </w:rPr>
        <w:t>职业健康安全管理体系认证证书</w:t>
      </w:r>
      <w:r>
        <w:rPr>
          <w:rFonts w:hint="eastAsia" w:cs="宋体"/>
          <w:color w:val="auto"/>
          <w:sz w:val="24"/>
          <w:szCs w:val="20"/>
          <w:highlight w:val="none"/>
          <w:lang w:val="zh-CN"/>
        </w:rPr>
        <w:t>、企业诚信管理体系认证证书</w:t>
      </w:r>
      <w:r>
        <w:rPr>
          <w:rFonts w:hint="eastAsia" w:ascii="宋体" w:hAnsi="宋体" w:eastAsia="宋体" w:cs="宋体"/>
          <w:color w:val="auto"/>
          <w:sz w:val="24"/>
          <w:szCs w:val="24"/>
          <w:highlight w:val="none"/>
          <w:lang w:val="en-US" w:eastAsia="zh-CN"/>
        </w:rPr>
        <w:t>的</w:t>
      </w:r>
      <w:r>
        <w:rPr>
          <w:rFonts w:hint="eastAsia" w:ascii="宋体" w:hAnsi="宋体" w:eastAsia="宋体" w:cs="宋体"/>
          <w:b/>
          <w:bCs/>
          <w:color w:val="auto"/>
          <w:sz w:val="24"/>
          <w:szCs w:val="24"/>
          <w:highlight w:val="none"/>
          <w:lang w:val="en-US" w:eastAsia="zh-CN"/>
        </w:rPr>
        <w:t>优先</w:t>
      </w:r>
      <w:r>
        <w:rPr>
          <w:rFonts w:hint="eastAsia" w:ascii="宋体" w:hAnsi="宋体" w:eastAsia="宋体" w:cs="宋体"/>
          <w:color w:val="auto"/>
          <w:sz w:val="24"/>
          <w:szCs w:val="24"/>
          <w:highlight w:val="none"/>
          <w:lang w:val="en-US" w:eastAsia="zh-CN"/>
        </w:rPr>
        <w:t>。</w:t>
      </w:r>
    </w:p>
    <w:p w14:paraId="747C8C16">
      <w:pPr>
        <w:keepNext w:val="0"/>
        <w:keepLines w:val="0"/>
        <w:pageBreakBefore w:val="0"/>
        <w:widowControl/>
        <w:spacing w:after="0" w:line="500" w:lineRule="exact"/>
        <w:ind w:firstLine="482"/>
        <w:rPr>
          <w:rFonts w:hint="eastAsia" w:ascii="宋体" w:hAnsi="宋体" w:eastAsia="宋体" w:cs="宋体"/>
          <w:b/>
          <w:bCs/>
          <w:color w:val="auto"/>
          <w:sz w:val="24"/>
          <w:szCs w:val="24"/>
          <w:highlight w:val="none"/>
          <w:lang w:val="en-US" w:eastAsia="zh-CN"/>
        </w:rPr>
      </w:pPr>
      <w:r>
        <w:rPr>
          <w:rFonts w:hint="eastAsia" w:cs="宋体"/>
          <w:b/>
          <w:bCs/>
          <w:color w:val="auto"/>
          <w:sz w:val="24"/>
          <w:szCs w:val="20"/>
          <w:highlight w:val="none"/>
          <w:lang w:val="en-US" w:eastAsia="zh-CN"/>
        </w:rPr>
        <w:t>（三）</w:t>
      </w:r>
      <w:r>
        <w:rPr>
          <w:rFonts w:hint="eastAsia" w:ascii="宋体" w:hAnsi="宋体" w:eastAsia="宋体" w:cs="宋体"/>
          <w:b/>
          <w:bCs/>
          <w:color w:val="auto"/>
          <w:sz w:val="24"/>
          <w:szCs w:val="24"/>
          <w:highlight w:val="none"/>
          <w:lang w:val="en-US" w:eastAsia="zh-CN"/>
        </w:rPr>
        <w:t>业绩</w:t>
      </w:r>
    </w:p>
    <w:p w14:paraId="46B2838E">
      <w:pPr>
        <w:widowControl/>
        <w:spacing w:line="560" w:lineRule="exact"/>
        <w:ind w:firstLine="480"/>
        <w:jc w:val="lef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需要具备丰富的物业服务相关承接经验，确保本项目的顺利实施，</w:t>
      </w:r>
      <w:r>
        <w:rPr>
          <w:rFonts w:hint="eastAsia" w:cs="Times New Roman"/>
          <w:color w:val="auto"/>
          <w:sz w:val="24"/>
          <w:highlight w:val="none"/>
          <w:lang w:val="en-US" w:eastAsia="zh-CN"/>
        </w:rPr>
        <w:t>投标人</w:t>
      </w:r>
      <w:r>
        <w:rPr>
          <w:rFonts w:hint="eastAsia" w:ascii="宋体" w:hAnsi="宋体" w:eastAsia="宋体" w:cs="宋体"/>
          <w:color w:val="auto"/>
          <w:sz w:val="24"/>
          <w:szCs w:val="24"/>
          <w:highlight w:val="none"/>
          <w:lang w:val="en-US" w:eastAsia="zh-CN"/>
        </w:rPr>
        <w:t>自202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年1月1日（含）以来（以合同签订日期为准），承接过</w:t>
      </w:r>
      <w:r>
        <w:rPr>
          <w:rFonts w:hint="eastAsia" w:cs="宋体"/>
          <w:color w:val="auto"/>
          <w:sz w:val="24"/>
          <w:highlight w:val="none"/>
          <w:lang w:eastAsia="zh-CN"/>
        </w:rPr>
        <w:t>类似公共建筑物业服务业绩（不包含住宅及厂区物业项目）</w:t>
      </w:r>
      <w:r>
        <w:rPr>
          <w:rFonts w:hint="eastAsia" w:cs="宋体"/>
          <w:color w:val="auto"/>
          <w:sz w:val="24"/>
          <w:szCs w:val="24"/>
          <w:highlight w:val="none"/>
          <w:lang w:val="en-US" w:eastAsia="zh-CN"/>
        </w:rPr>
        <w:t>的</w:t>
      </w:r>
      <w:r>
        <w:rPr>
          <w:rFonts w:hint="eastAsia" w:ascii="宋体" w:hAnsi="宋体" w:eastAsia="宋体" w:cs="宋体"/>
          <w:b/>
          <w:bCs/>
          <w:color w:val="auto"/>
          <w:sz w:val="24"/>
          <w:szCs w:val="24"/>
          <w:highlight w:val="none"/>
          <w:lang w:val="zh-CN" w:eastAsia="zh-CN"/>
        </w:rPr>
        <w:t>优先</w:t>
      </w:r>
      <w:r>
        <w:rPr>
          <w:rFonts w:hint="eastAsia" w:ascii="宋体" w:hAnsi="宋体" w:eastAsia="宋体" w:cs="宋体"/>
          <w:color w:val="auto"/>
          <w:sz w:val="24"/>
          <w:szCs w:val="24"/>
          <w:highlight w:val="none"/>
          <w:lang w:val="zh-CN" w:eastAsia="zh-CN"/>
        </w:rPr>
        <w:t>。</w:t>
      </w:r>
    </w:p>
    <w:p w14:paraId="4CDCD2A1">
      <w:pPr>
        <w:keepNext w:val="0"/>
        <w:keepLines w:val="0"/>
        <w:pageBreakBefore w:val="0"/>
        <w:widowControl/>
        <w:spacing w:after="0" w:line="500" w:lineRule="exact"/>
        <w:ind w:firstLine="482"/>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管理人员</w:t>
      </w:r>
    </w:p>
    <w:p w14:paraId="2FC69E00">
      <w:pPr>
        <w:widowControl/>
        <w:spacing w:line="5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投标人应为本项目配备具有丰富物业管理经验的</w:t>
      </w:r>
      <w:r>
        <w:rPr>
          <w:rFonts w:hint="eastAsia" w:cs="宋体"/>
          <w:color w:val="auto"/>
          <w:sz w:val="24"/>
          <w:szCs w:val="24"/>
          <w:highlight w:val="none"/>
          <w:lang w:val="zh-CN" w:eastAsia="zh-CN"/>
        </w:rPr>
        <w:t>服务人员</w:t>
      </w:r>
      <w:r>
        <w:rPr>
          <w:rFonts w:hint="eastAsia" w:ascii="宋体" w:hAnsi="宋体" w:eastAsia="宋体" w:cs="宋体"/>
          <w:color w:val="auto"/>
          <w:sz w:val="24"/>
          <w:szCs w:val="24"/>
          <w:highlight w:val="none"/>
          <w:lang w:val="zh-CN" w:eastAsia="zh-CN"/>
        </w:rPr>
        <w:t>，投标人提供人员相关</w:t>
      </w:r>
      <w:r>
        <w:rPr>
          <w:rFonts w:hint="eastAsia" w:cs="宋体"/>
          <w:color w:val="auto"/>
          <w:sz w:val="24"/>
          <w:szCs w:val="24"/>
          <w:highlight w:val="none"/>
          <w:lang w:val="zh-CN" w:eastAsia="zh-CN"/>
        </w:rPr>
        <w:t>学历</w:t>
      </w:r>
      <w:r>
        <w:rPr>
          <w:rFonts w:hint="eastAsia" w:ascii="宋体" w:hAnsi="宋体" w:eastAsia="宋体" w:cs="宋体"/>
          <w:color w:val="auto"/>
          <w:sz w:val="24"/>
          <w:szCs w:val="24"/>
          <w:highlight w:val="none"/>
          <w:lang w:val="zh-CN" w:eastAsia="zh-CN"/>
        </w:rPr>
        <w:t>证书</w:t>
      </w:r>
      <w:r>
        <w:rPr>
          <w:rFonts w:hint="eastAsia" w:cs="宋体"/>
          <w:color w:val="auto"/>
          <w:sz w:val="24"/>
          <w:szCs w:val="24"/>
          <w:highlight w:val="none"/>
          <w:lang w:val="en-US" w:eastAsia="zh-CN"/>
        </w:rPr>
        <w:t>及在</w:t>
      </w:r>
      <w:r>
        <w:rPr>
          <w:rFonts w:hint="eastAsia" w:cs="宋体"/>
          <w:color w:val="auto"/>
          <w:sz w:val="24"/>
          <w:szCs w:val="20"/>
          <w:highlight w:val="none"/>
          <w:lang w:val="en-US" w:eastAsia="zh-CN"/>
        </w:rPr>
        <w:t>招标</w:t>
      </w:r>
      <w:r>
        <w:rPr>
          <w:rFonts w:hint="eastAsia" w:ascii="宋体" w:hAnsi="宋体" w:eastAsia="宋体" w:cs="宋体"/>
          <w:color w:val="auto"/>
          <w:sz w:val="24"/>
          <w:szCs w:val="20"/>
          <w:highlight w:val="none"/>
          <w:lang w:val="en-US" w:eastAsia="zh-CN"/>
        </w:rPr>
        <w:t>公告</w:t>
      </w:r>
      <w:r>
        <w:rPr>
          <w:rFonts w:hint="eastAsia" w:cs="宋体"/>
          <w:color w:val="auto"/>
          <w:sz w:val="24"/>
          <w:szCs w:val="20"/>
          <w:highlight w:val="none"/>
          <w:lang w:val="en-US" w:eastAsia="zh-CN"/>
        </w:rPr>
        <w:t>发布</w:t>
      </w:r>
      <w:r>
        <w:rPr>
          <w:rFonts w:hint="eastAsia" w:ascii="宋体" w:hAnsi="宋体" w:eastAsia="宋体" w:cs="宋体"/>
          <w:color w:val="auto"/>
          <w:sz w:val="24"/>
          <w:szCs w:val="20"/>
          <w:highlight w:val="none"/>
          <w:lang w:val="en-US" w:eastAsia="zh-CN"/>
        </w:rPr>
        <w:t>前</w:t>
      </w:r>
      <w:r>
        <w:rPr>
          <w:rFonts w:hint="eastAsia" w:cs="宋体"/>
          <w:color w:val="auto"/>
          <w:sz w:val="24"/>
          <w:szCs w:val="20"/>
          <w:highlight w:val="none"/>
          <w:lang w:val="en-US" w:eastAsia="zh-CN"/>
        </w:rPr>
        <w:t>3</w:t>
      </w:r>
      <w:r>
        <w:rPr>
          <w:rFonts w:hint="eastAsia" w:ascii="宋体" w:hAnsi="宋体" w:eastAsia="宋体" w:cs="宋体"/>
          <w:color w:val="auto"/>
          <w:sz w:val="24"/>
          <w:szCs w:val="20"/>
          <w:highlight w:val="none"/>
          <w:lang w:val="en-US" w:eastAsia="zh-CN"/>
        </w:rPr>
        <w:t>个月</w:t>
      </w:r>
      <w:r>
        <w:rPr>
          <w:rFonts w:hint="eastAsia" w:cs="宋体"/>
          <w:color w:val="auto"/>
          <w:sz w:val="24"/>
          <w:szCs w:val="20"/>
          <w:highlight w:val="none"/>
          <w:lang w:val="en-US" w:eastAsia="zh-CN"/>
        </w:rPr>
        <w:t>内任意一个月</w:t>
      </w:r>
      <w:r>
        <w:rPr>
          <w:rFonts w:hint="eastAsia" w:ascii="宋体" w:hAnsi="宋体" w:eastAsia="宋体" w:cs="宋体"/>
          <w:color w:val="auto"/>
          <w:sz w:val="24"/>
          <w:szCs w:val="24"/>
          <w:highlight w:val="none"/>
          <w:lang w:val="en-US" w:eastAsia="zh-CN"/>
        </w:rPr>
        <w:t>在投标人单位缴纳社保的相关证明材料</w:t>
      </w:r>
      <w:r>
        <w:rPr>
          <w:rFonts w:hint="eastAsia" w:ascii="宋体" w:hAnsi="宋体" w:eastAsia="宋体" w:cs="宋体"/>
          <w:color w:val="auto"/>
          <w:sz w:val="24"/>
          <w:szCs w:val="24"/>
          <w:highlight w:val="none"/>
          <w:lang w:val="zh-CN" w:eastAsia="zh-CN"/>
        </w:rPr>
        <w:t>。以上人员未经采购人认可，不可随意更换</w:t>
      </w:r>
      <w:r>
        <w:rPr>
          <w:rFonts w:hint="eastAsia" w:cs="宋体"/>
          <w:color w:val="auto"/>
          <w:sz w:val="24"/>
          <w:szCs w:val="24"/>
          <w:highlight w:val="none"/>
          <w:lang w:val="zh-CN" w:eastAsia="zh-CN"/>
        </w:rPr>
        <w:t>。</w:t>
      </w:r>
    </w:p>
    <w:p w14:paraId="2471C94C">
      <w:pPr>
        <w:widowControl/>
        <w:numPr>
          <w:ilvl w:val="0"/>
          <w:numId w:val="4"/>
        </w:numPr>
        <w:spacing w:line="5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项目负责人具有</w:t>
      </w:r>
      <w:r>
        <w:rPr>
          <w:rFonts w:hint="default"/>
          <w:color w:val="auto"/>
          <w:sz w:val="24"/>
          <w:szCs w:val="24"/>
          <w:highlight w:val="none"/>
        </w:rPr>
        <w:t>大专</w:t>
      </w:r>
      <w:r>
        <w:rPr>
          <w:rFonts w:hint="eastAsia" w:ascii="宋体" w:hAnsi="宋体" w:eastAsia="宋体" w:cs="宋体"/>
          <w:color w:val="auto"/>
          <w:sz w:val="24"/>
          <w:szCs w:val="24"/>
          <w:highlight w:val="none"/>
          <w:lang w:val="en-US" w:eastAsia="zh-CN"/>
        </w:rPr>
        <w:t>及以上学历</w:t>
      </w:r>
      <w:r>
        <w:rPr>
          <w:rFonts w:hint="eastAsia" w:cs="宋体"/>
          <w:color w:val="auto"/>
          <w:sz w:val="24"/>
          <w:szCs w:val="24"/>
          <w:highlight w:val="none"/>
          <w:lang w:val="en-US" w:eastAsia="zh-CN"/>
        </w:rPr>
        <w:t>、具有中级及以上保安员证、获得过政府部门（不含协会表彰）颁发的荣誉</w:t>
      </w:r>
      <w:r>
        <w:rPr>
          <w:rFonts w:hint="eastAsia" w:ascii="宋体" w:hAnsi="宋体" w:eastAsia="宋体" w:cs="宋体"/>
          <w:color w:val="auto"/>
          <w:sz w:val="24"/>
          <w:szCs w:val="24"/>
          <w:highlight w:val="none"/>
          <w:lang w:val="zh-CN" w:eastAsia="zh-CN"/>
        </w:rPr>
        <w:t>的</w:t>
      </w:r>
      <w:r>
        <w:rPr>
          <w:rFonts w:hint="eastAsia" w:ascii="宋体" w:hAnsi="宋体" w:eastAsia="宋体" w:cs="宋体"/>
          <w:b/>
          <w:bCs/>
          <w:color w:val="auto"/>
          <w:sz w:val="24"/>
          <w:szCs w:val="24"/>
          <w:highlight w:val="none"/>
          <w:lang w:val="zh-CN" w:eastAsia="zh-CN"/>
        </w:rPr>
        <w:t>优先</w:t>
      </w:r>
      <w:r>
        <w:rPr>
          <w:rFonts w:hint="eastAsia" w:ascii="宋体" w:hAnsi="宋体" w:eastAsia="宋体" w:cs="宋体"/>
          <w:color w:val="auto"/>
          <w:sz w:val="24"/>
          <w:szCs w:val="24"/>
          <w:highlight w:val="none"/>
          <w:lang w:val="zh-CN" w:eastAsia="zh-CN"/>
        </w:rPr>
        <w:t>；</w:t>
      </w:r>
    </w:p>
    <w:p w14:paraId="127E8655">
      <w:pPr>
        <w:keepNext w:val="0"/>
        <w:keepLines w:val="0"/>
        <w:pageBreakBefore w:val="0"/>
        <w:widowControl/>
        <w:spacing w:after="0" w:line="500" w:lineRule="exact"/>
        <w:ind w:firstLine="482"/>
        <w:rPr>
          <w:rFonts w:hint="eastAsia" w:ascii="宋体" w:hAnsi="宋体" w:eastAsia="宋体" w:cs="宋体"/>
          <w:b/>
          <w:bCs/>
          <w:color w:val="auto"/>
          <w:sz w:val="24"/>
          <w:szCs w:val="24"/>
          <w:highlight w:val="none"/>
          <w:lang w:val="zh-CN" w:eastAsia="zh-CN"/>
        </w:rPr>
      </w:pPr>
      <w:r>
        <w:rPr>
          <w:rFonts w:hint="eastAsia"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采购标的对应的中小企业划分标准所属行业一览表</w:t>
      </w:r>
    </w:p>
    <w:tbl>
      <w:tblPr>
        <w:tblStyle w:val="40"/>
        <w:tblW w:w="8710" w:type="dxa"/>
        <w:jc w:val="center"/>
        <w:tblCellSpacing w:w="0" w:type="dxa"/>
        <w:tblLayout w:type="fixed"/>
        <w:tblCellMar>
          <w:top w:w="0" w:type="dxa"/>
          <w:left w:w="108" w:type="dxa"/>
          <w:bottom w:w="0" w:type="dxa"/>
          <w:right w:w="108" w:type="dxa"/>
        </w:tblCellMar>
      </w:tblPr>
      <w:tblGrid>
        <w:gridCol w:w="778"/>
        <w:gridCol w:w="4165"/>
        <w:gridCol w:w="3767"/>
      </w:tblGrid>
      <w:tr w14:paraId="4956B683">
        <w:tblPrEx>
          <w:tblCellMar>
            <w:top w:w="0" w:type="dxa"/>
            <w:left w:w="108" w:type="dxa"/>
            <w:bottom w:w="0" w:type="dxa"/>
            <w:right w:w="108" w:type="dxa"/>
          </w:tblCellMar>
        </w:tblPrEx>
        <w:trPr>
          <w:trHeight w:val="890" w:hRule="atLeast"/>
          <w:tblCellSpacing w:w="0" w:type="dxa"/>
          <w:jc w:val="center"/>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7A789E6">
            <w:pPr>
              <w:widowControl/>
              <w:spacing w:line="500" w:lineRule="exact"/>
              <w:ind w:firstLine="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序号</w:t>
            </w:r>
          </w:p>
        </w:tc>
        <w:tc>
          <w:tcPr>
            <w:tcW w:w="4165" w:type="dxa"/>
            <w:tcBorders>
              <w:top w:val="single" w:color="000000" w:sz="4" w:space="0"/>
              <w:left w:val="single" w:color="000000" w:sz="4" w:space="0"/>
              <w:bottom w:val="single" w:color="000000" w:sz="4" w:space="0"/>
              <w:right w:val="single" w:color="000000" w:sz="4" w:space="0"/>
            </w:tcBorders>
            <w:noWrap w:val="0"/>
            <w:vAlign w:val="center"/>
          </w:tcPr>
          <w:p w14:paraId="6989E5F3">
            <w:pPr>
              <w:widowControl/>
              <w:spacing w:line="500" w:lineRule="exact"/>
              <w:ind w:firstLine="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采购标的</w:t>
            </w:r>
          </w:p>
        </w:tc>
        <w:tc>
          <w:tcPr>
            <w:tcW w:w="3767" w:type="dxa"/>
            <w:tcBorders>
              <w:top w:val="single" w:color="000000" w:sz="4" w:space="0"/>
              <w:left w:val="single" w:color="000000" w:sz="4" w:space="0"/>
              <w:bottom w:val="single" w:color="000000" w:sz="4" w:space="0"/>
              <w:right w:val="single" w:color="000000" w:sz="4" w:space="0"/>
            </w:tcBorders>
            <w:noWrap w:val="0"/>
            <w:vAlign w:val="center"/>
          </w:tcPr>
          <w:p w14:paraId="38D022F0">
            <w:pPr>
              <w:widowControl/>
              <w:spacing w:line="500" w:lineRule="exact"/>
              <w:ind w:firstLine="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对应中小企业划分标准所属行业</w:t>
            </w:r>
          </w:p>
        </w:tc>
      </w:tr>
      <w:tr w14:paraId="01807A56">
        <w:tblPrEx>
          <w:tblCellMar>
            <w:top w:w="0" w:type="dxa"/>
            <w:left w:w="108" w:type="dxa"/>
            <w:bottom w:w="0" w:type="dxa"/>
            <w:right w:w="108" w:type="dxa"/>
          </w:tblCellMar>
        </w:tblPrEx>
        <w:trPr>
          <w:trHeight w:val="1040" w:hRule="atLeast"/>
          <w:tblCellSpacing w:w="0" w:type="dxa"/>
          <w:jc w:val="center"/>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2822307">
            <w:pPr>
              <w:widowControl/>
              <w:spacing w:line="500" w:lineRule="exact"/>
              <w:ind w:firstLine="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w:t>
            </w:r>
          </w:p>
        </w:tc>
        <w:tc>
          <w:tcPr>
            <w:tcW w:w="4165" w:type="dxa"/>
            <w:tcBorders>
              <w:top w:val="single" w:color="000000" w:sz="4" w:space="0"/>
              <w:left w:val="single" w:color="000000" w:sz="4" w:space="0"/>
              <w:bottom w:val="single" w:color="000000" w:sz="4" w:space="0"/>
              <w:right w:val="single" w:color="000000" w:sz="4" w:space="0"/>
            </w:tcBorders>
            <w:noWrap w:val="0"/>
            <w:vAlign w:val="center"/>
          </w:tcPr>
          <w:p w14:paraId="099FCD08">
            <w:pPr>
              <w:widowControl/>
              <w:spacing w:line="500" w:lineRule="exact"/>
              <w:ind w:firstLine="0"/>
              <w:jc w:val="center"/>
              <w:rPr>
                <w:rFonts w:hint="eastAsia" w:asciiTheme="minorEastAsia" w:hAnsiTheme="minorEastAsia" w:eastAsiaTheme="minorEastAsia" w:cstheme="minorEastAsia"/>
                <w:bCs/>
                <w:color w:val="auto"/>
                <w:sz w:val="24"/>
                <w:highlight w:val="none"/>
              </w:rPr>
            </w:pPr>
            <w:r>
              <w:rPr>
                <w:rFonts w:hint="eastAsia" w:cs="宋体"/>
                <w:color w:val="auto"/>
                <w:sz w:val="24"/>
                <w:szCs w:val="24"/>
                <w:highlight w:val="none"/>
                <w:lang w:eastAsia="zh-CN"/>
              </w:rPr>
              <w:t>盐城市亭湖区东亭湖街道社区卫生服务中心物业服务项目</w:t>
            </w:r>
          </w:p>
        </w:tc>
        <w:tc>
          <w:tcPr>
            <w:tcW w:w="3767" w:type="dxa"/>
            <w:tcBorders>
              <w:top w:val="single" w:color="000000" w:sz="4" w:space="0"/>
              <w:left w:val="single" w:color="000000" w:sz="4" w:space="0"/>
              <w:bottom w:val="single" w:color="000000" w:sz="4" w:space="0"/>
              <w:right w:val="single" w:color="000000" w:sz="4" w:space="0"/>
            </w:tcBorders>
            <w:noWrap w:val="0"/>
            <w:vAlign w:val="center"/>
          </w:tcPr>
          <w:p w14:paraId="0A5B1419">
            <w:pPr>
              <w:widowControl/>
              <w:spacing w:line="500" w:lineRule="exact"/>
              <w:ind w:firstLine="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物业管理</w:t>
            </w:r>
            <w:bookmarkEnd w:id="150"/>
            <w:bookmarkEnd w:id="151"/>
          </w:p>
        </w:tc>
      </w:tr>
    </w:tbl>
    <w:p w14:paraId="69FCA811">
      <w:pPr>
        <w:pageBreakBefore w:val="0"/>
        <w:spacing w:line="560" w:lineRule="exact"/>
        <w:ind w:firstLine="361"/>
        <w:rPr>
          <w:rFonts w:hint="eastAsia"/>
          <w:color w:val="auto"/>
          <w:highlight w:val="none"/>
        </w:rPr>
        <w:sectPr>
          <w:footerReference r:id="rId11" w:type="default"/>
          <w:pgSz w:w="11906" w:h="16838"/>
          <w:pgMar w:top="1440" w:right="1633" w:bottom="1440" w:left="1633" w:header="851" w:footer="992" w:gutter="0"/>
          <w:pgNumType w:start="1"/>
          <w:cols w:space="1701" w:num="1"/>
          <w:docGrid w:linePitch="360" w:charSpace="0"/>
        </w:sectPr>
      </w:pPr>
    </w:p>
    <w:p w14:paraId="2AD3504C">
      <w:pPr>
        <w:pStyle w:val="36"/>
        <w:spacing w:beforeAutospacing="0" w:afterAutospacing="0" w:line="0" w:lineRule="atLeast"/>
        <w:ind w:firstLine="480"/>
        <w:jc w:val="center"/>
        <w:rPr>
          <w:rFonts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rPr>
        <w:t>第五章  评标方法与评标标准</w:t>
      </w:r>
    </w:p>
    <w:p w14:paraId="6F843F6B">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一、定标原则</w:t>
      </w:r>
    </w:p>
    <w:p w14:paraId="2AA4CFAF">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本项目采用</w:t>
      </w:r>
      <w:r>
        <w:rPr>
          <w:rFonts w:hint="eastAsia" w:ascii="宋体" w:hAnsi="宋体" w:eastAsia="宋体" w:cs="宋体"/>
          <w:color w:val="auto"/>
          <w:sz w:val="24"/>
          <w:szCs w:val="20"/>
          <w:highlight w:val="none"/>
          <w:u w:val="single"/>
          <w:lang w:val="zh-CN"/>
        </w:rPr>
        <w:t>综合评分</w:t>
      </w:r>
      <w:r>
        <w:rPr>
          <w:rFonts w:hint="eastAsia" w:ascii="宋体" w:hAnsi="宋体" w:eastAsia="宋体" w:cs="宋体"/>
          <w:color w:val="auto"/>
          <w:sz w:val="24"/>
          <w:szCs w:val="20"/>
          <w:highlight w:val="none"/>
          <w:lang w:val="zh-CN"/>
        </w:rPr>
        <w:t>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得分且投标报价相同的并列</w:t>
      </w:r>
      <w:r>
        <w:rPr>
          <w:rFonts w:hint="eastAsia" w:ascii="宋体" w:hAnsi="宋体" w:eastAsia="宋体" w:cs="宋体"/>
          <w:color w:val="auto"/>
          <w:sz w:val="24"/>
          <w:szCs w:val="20"/>
          <w:highlight w:val="none"/>
          <w:lang w:val="zh-CN"/>
        </w:rPr>
        <w:t>。投标文件满足招标文件全部实质性要求，且按照评审因素的量化指标评审得分最高的投标人为排名第一的中标候选人，本项目选取1名中标候选人。</w:t>
      </w:r>
    </w:p>
    <w:p w14:paraId="17F6C134">
      <w:pPr>
        <w:widowControl/>
        <w:spacing w:line="560" w:lineRule="exact"/>
        <w:ind w:firstLine="480"/>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政府采购政策功能落实</w:t>
      </w:r>
    </w:p>
    <w:p w14:paraId="412C6DAE">
      <w:pPr>
        <w:widowControl/>
        <w:spacing w:line="560" w:lineRule="exact"/>
        <w:ind w:firstLine="480"/>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1、小微型企业价格扣除</w:t>
      </w:r>
    </w:p>
    <w:p w14:paraId="13B94ECF">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（1）本项目专门面向中小企业采购，不再对小型和微型企业报价给予价格扣除。</w:t>
      </w:r>
    </w:p>
    <w:p w14:paraId="2128418C">
      <w:pPr>
        <w:widowControl/>
        <w:spacing w:line="560" w:lineRule="exact"/>
        <w:ind w:firstLine="480"/>
        <w:rPr>
          <w:color w:val="auto"/>
          <w:sz w:val="24"/>
          <w:szCs w:val="20"/>
          <w:highlight w:val="none"/>
          <w:lang w:val="zh-CN"/>
        </w:rPr>
      </w:pPr>
      <w:r>
        <w:rPr>
          <w:rFonts w:hint="eastAsia"/>
          <w:color w:val="auto"/>
          <w:sz w:val="24"/>
          <w:szCs w:val="20"/>
          <w:highlight w:val="none"/>
          <w:lang w:val="zh-CN"/>
        </w:rPr>
        <w:t>（2）投标人需按照招标文件的要求提供相应的《</w:t>
      </w:r>
      <w:r>
        <w:rPr>
          <w:rFonts w:hint="eastAsia"/>
          <w:color w:val="auto"/>
          <w:sz w:val="24"/>
          <w:szCs w:val="20"/>
          <w:highlight w:val="none"/>
        </w:rPr>
        <w:t>中</w:t>
      </w:r>
      <w:r>
        <w:rPr>
          <w:rFonts w:hint="eastAsia"/>
          <w:color w:val="auto"/>
          <w:sz w:val="24"/>
          <w:szCs w:val="20"/>
          <w:highlight w:val="none"/>
          <w:lang w:val="zh-CN"/>
        </w:rPr>
        <w:t>小企业声明函》。</w:t>
      </w:r>
    </w:p>
    <w:p w14:paraId="1DC1E3A8">
      <w:pPr>
        <w:widowControl/>
        <w:spacing w:line="560" w:lineRule="exact"/>
        <w:ind w:firstLine="480"/>
        <w:rPr>
          <w:color w:val="auto"/>
          <w:sz w:val="24"/>
          <w:szCs w:val="20"/>
          <w:highlight w:val="none"/>
          <w:lang w:val="zh-CN"/>
        </w:rPr>
      </w:pPr>
      <w:r>
        <w:rPr>
          <w:rFonts w:hint="eastAsia"/>
          <w:color w:val="auto"/>
          <w:sz w:val="24"/>
          <w:szCs w:val="20"/>
          <w:highlight w:val="none"/>
          <w:lang w:val="zh-CN"/>
        </w:rPr>
        <w:t>（3）企业标准请参照《关于印发中小企业划型标准规定的通知》（工信部联企业[2011]300号）文件规定自行填写。</w:t>
      </w:r>
    </w:p>
    <w:p w14:paraId="0F190FF8">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2、残疾人福利单位价格扣除</w:t>
      </w:r>
    </w:p>
    <w:p w14:paraId="4DD48F72">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（1）本项目对残疾人福利性单位视同小型、微型企业。</w:t>
      </w:r>
    </w:p>
    <w:p w14:paraId="3474D095">
      <w:pPr>
        <w:widowControl/>
        <w:spacing w:line="560" w:lineRule="exact"/>
        <w:ind w:firstLine="480"/>
        <w:rPr>
          <w:color w:val="auto"/>
          <w:sz w:val="24"/>
          <w:szCs w:val="20"/>
          <w:highlight w:val="none"/>
          <w:lang w:val="zh-CN"/>
        </w:rPr>
      </w:pPr>
      <w:r>
        <w:rPr>
          <w:rFonts w:hint="eastAsia"/>
          <w:color w:val="auto"/>
          <w:sz w:val="24"/>
          <w:szCs w:val="20"/>
          <w:highlight w:val="none"/>
          <w:lang w:val="zh-CN"/>
        </w:rPr>
        <w:t>（2）残疾人福利单位需按照招标文件的要求提供《残疾人福利性单位声明函》。</w:t>
      </w:r>
    </w:p>
    <w:p w14:paraId="187F286E">
      <w:pPr>
        <w:widowControl/>
        <w:spacing w:line="560" w:lineRule="exact"/>
        <w:ind w:firstLine="480"/>
        <w:rPr>
          <w:color w:val="auto"/>
          <w:sz w:val="24"/>
          <w:szCs w:val="20"/>
          <w:highlight w:val="none"/>
          <w:lang w:val="zh-CN"/>
        </w:rPr>
      </w:pPr>
      <w:r>
        <w:rPr>
          <w:rFonts w:hint="eastAsia"/>
          <w:color w:val="auto"/>
          <w:sz w:val="24"/>
          <w:szCs w:val="20"/>
          <w:highlight w:val="none"/>
          <w:lang w:val="zh-CN"/>
        </w:rPr>
        <w:t>（3）残疾人福利单位标准请参照《关于促进残疾人就业政府采购政策的通知》（财库〔2017〕141号）。</w:t>
      </w:r>
    </w:p>
    <w:p w14:paraId="2F9D4CE7">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3、监狱和戒毒企业价格扣除</w:t>
      </w:r>
    </w:p>
    <w:p w14:paraId="6B4EE164">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（1）本项目对监狱和戒毒企业（简称监狱企业）视同小型、微型企业。</w:t>
      </w:r>
    </w:p>
    <w:p w14:paraId="4814B222">
      <w:pPr>
        <w:widowControl/>
        <w:spacing w:line="560" w:lineRule="exact"/>
        <w:ind w:firstLine="480"/>
        <w:rPr>
          <w:color w:val="auto"/>
          <w:sz w:val="24"/>
          <w:szCs w:val="20"/>
          <w:highlight w:val="none"/>
          <w:lang w:val="zh-CN"/>
        </w:rPr>
      </w:pPr>
      <w:r>
        <w:rPr>
          <w:rFonts w:hint="eastAsia"/>
          <w:color w:val="auto"/>
          <w:sz w:val="24"/>
          <w:szCs w:val="20"/>
          <w:highlight w:val="none"/>
          <w:lang w:val="zh-CN"/>
        </w:rPr>
        <w:t>（2）监狱企业参加政府采购活动时，需提供由省级以上监狱管理局、戒毒管理局(含新疆生产建设兵团)出具的属于监狱企业的证明文件。投标人如不提供上述证明文件，价格将不做相应扣除。</w:t>
      </w:r>
    </w:p>
    <w:p w14:paraId="4F6B298C">
      <w:pPr>
        <w:widowControl/>
        <w:spacing w:line="560" w:lineRule="exact"/>
        <w:ind w:firstLine="480"/>
        <w:rPr>
          <w:color w:val="auto"/>
          <w:sz w:val="24"/>
          <w:szCs w:val="20"/>
          <w:highlight w:val="none"/>
          <w:lang w:val="zh-CN"/>
        </w:rPr>
      </w:pPr>
      <w:r>
        <w:rPr>
          <w:rFonts w:hint="eastAsia"/>
          <w:color w:val="auto"/>
          <w:sz w:val="24"/>
          <w:szCs w:val="20"/>
          <w:highlight w:val="none"/>
          <w:lang w:val="zh-CN"/>
        </w:rPr>
        <w:t>（3）监狱企业标准请参照《关于政府采购支持监狱企业发展有关问题的通知》（财库[2014]68号）。</w:t>
      </w:r>
    </w:p>
    <w:p w14:paraId="1B31C245">
      <w:pPr>
        <w:widowControl/>
        <w:spacing w:line="560" w:lineRule="exact"/>
        <w:ind w:firstLine="480"/>
        <w:rPr>
          <w:color w:val="auto"/>
          <w:sz w:val="24"/>
          <w:szCs w:val="20"/>
          <w:highlight w:val="none"/>
          <w:lang w:val="zh-CN"/>
        </w:rPr>
      </w:pPr>
      <w:r>
        <w:rPr>
          <w:rFonts w:hint="eastAsia"/>
          <w:color w:val="auto"/>
          <w:sz w:val="24"/>
          <w:szCs w:val="20"/>
          <w:highlight w:val="none"/>
          <w:lang w:val="zh-CN"/>
        </w:rPr>
        <w:t>4、残疾人福利单位、监狱企业属于小型、微型企业的，不重复享受政策。</w:t>
      </w:r>
    </w:p>
    <w:p w14:paraId="198F277F">
      <w:pPr>
        <w:widowControl/>
        <w:spacing w:line="560" w:lineRule="exact"/>
        <w:ind w:firstLine="480"/>
        <w:rPr>
          <w:rFonts w:eastAsia="Arial"/>
          <w:color w:val="auto"/>
          <w:sz w:val="24"/>
          <w:szCs w:val="20"/>
          <w:highlight w:val="none"/>
        </w:rPr>
      </w:pPr>
      <w:r>
        <w:rPr>
          <w:rFonts w:hint="eastAsia"/>
          <w:color w:val="auto"/>
          <w:sz w:val="24"/>
          <w:szCs w:val="20"/>
          <w:highlight w:val="none"/>
          <w:lang w:val="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rPr>
        <w:t>如属政府强制采购产品未提供认证证书的或认证证书提供不全的将视为未实质性响应采购要求。</w:t>
      </w:r>
      <w:r>
        <w:rPr>
          <w:rFonts w:hint="eastAsia" w:eastAsia="Arial"/>
          <w:color w:val="auto"/>
          <w:sz w:val="24"/>
          <w:szCs w:val="20"/>
          <w:highlight w:val="none"/>
        </w:rPr>
        <w:t>其他条件相同情况下，应当优先采购节能产品、环境标志产品。</w:t>
      </w:r>
    </w:p>
    <w:p w14:paraId="34238F9B">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二、评标方法与评标标准</w:t>
      </w:r>
    </w:p>
    <w:p w14:paraId="7DB9A160">
      <w:pPr>
        <w:widowControl/>
        <w:spacing w:line="520" w:lineRule="exact"/>
        <w:ind w:firstLine="480"/>
        <w:rPr>
          <w:rFonts w:hint="eastAsia" w:eastAsia="Arial"/>
          <w:color w:val="auto"/>
          <w:sz w:val="24"/>
          <w:szCs w:val="20"/>
          <w:highlight w:val="none"/>
        </w:rPr>
      </w:pPr>
      <w:r>
        <w:rPr>
          <w:rFonts w:hint="eastAsia" w:eastAsia="Arial"/>
          <w:color w:val="auto"/>
          <w:sz w:val="24"/>
          <w:szCs w:val="20"/>
          <w:highlight w:val="none"/>
        </w:rPr>
        <w:t>本项目评分总分值为100分。</w:t>
      </w:r>
    </w:p>
    <w:tbl>
      <w:tblPr>
        <w:tblStyle w:val="40"/>
        <w:tblW w:w="8650"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1075"/>
        <w:gridCol w:w="900"/>
        <w:gridCol w:w="5950"/>
      </w:tblGrid>
      <w:tr w14:paraId="3AC75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trPr>
        <w:tc>
          <w:tcPr>
            <w:tcW w:w="725" w:type="dxa"/>
            <w:noWrap w:val="0"/>
            <w:vAlign w:val="center"/>
          </w:tcPr>
          <w:p w14:paraId="52E12BB4">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075" w:type="dxa"/>
            <w:noWrap w:val="0"/>
            <w:vAlign w:val="center"/>
          </w:tcPr>
          <w:p w14:paraId="0155D8F3">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评审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项目</w:t>
            </w:r>
          </w:p>
        </w:tc>
        <w:tc>
          <w:tcPr>
            <w:tcW w:w="900" w:type="dxa"/>
            <w:noWrap w:val="0"/>
            <w:vAlign w:val="center"/>
          </w:tcPr>
          <w:p w14:paraId="4B1E83BD">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最高</w:t>
            </w:r>
            <w:r>
              <w:rPr>
                <w:rFonts w:hint="eastAsia" w:ascii="宋体" w:hAnsi="宋体" w:eastAsia="宋体" w:cs="宋体"/>
                <w:b/>
                <w:bCs/>
                <w:color w:val="auto"/>
                <w:sz w:val="24"/>
                <w:highlight w:val="none"/>
              </w:rPr>
              <w:t>分值</w:t>
            </w:r>
          </w:p>
        </w:tc>
        <w:tc>
          <w:tcPr>
            <w:tcW w:w="5950" w:type="dxa"/>
            <w:noWrap w:val="0"/>
            <w:vAlign w:val="center"/>
          </w:tcPr>
          <w:p w14:paraId="5DDAE3AC">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评审</w:t>
            </w:r>
            <w:r>
              <w:rPr>
                <w:rFonts w:hint="eastAsia" w:ascii="宋体" w:hAnsi="宋体" w:eastAsia="宋体" w:cs="宋体"/>
                <w:b/>
                <w:bCs/>
                <w:color w:val="auto"/>
                <w:sz w:val="24"/>
                <w:highlight w:val="none"/>
              </w:rPr>
              <w:t>标准</w:t>
            </w:r>
          </w:p>
        </w:tc>
      </w:tr>
      <w:tr w14:paraId="45BB1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trPr>
        <w:tc>
          <w:tcPr>
            <w:tcW w:w="725" w:type="dxa"/>
            <w:noWrap w:val="0"/>
            <w:vAlign w:val="center"/>
          </w:tcPr>
          <w:p w14:paraId="29503316">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075" w:type="dxa"/>
            <w:noWrap w:val="0"/>
            <w:vAlign w:val="center"/>
          </w:tcPr>
          <w:p w14:paraId="00EDCD2F">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报价</w:t>
            </w:r>
          </w:p>
        </w:tc>
        <w:tc>
          <w:tcPr>
            <w:tcW w:w="900" w:type="dxa"/>
            <w:noWrap w:val="0"/>
            <w:vAlign w:val="center"/>
          </w:tcPr>
          <w:p w14:paraId="31277F06">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w:t>
            </w:r>
          </w:p>
        </w:tc>
        <w:tc>
          <w:tcPr>
            <w:tcW w:w="5950" w:type="dxa"/>
            <w:noWrap w:val="0"/>
            <w:vAlign w:val="center"/>
          </w:tcPr>
          <w:p w14:paraId="7B2EA8F8">
            <w:pPr>
              <w:widowControl/>
              <w:spacing w:line="56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w:t>
            </w:r>
            <w:r>
              <w:rPr>
                <w:rFonts w:hint="eastAsia" w:cs="宋体"/>
                <w:color w:val="auto"/>
                <w:sz w:val="24"/>
                <w:szCs w:val="20"/>
                <w:highlight w:val="none"/>
                <w:lang w:val="zh-CN"/>
              </w:rPr>
              <w:t>、</w:t>
            </w:r>
            <w:r>
              <w:rPr>
                <w:rFonts w:hint="eastAsia" w:ascii="宋体" w:hAnsi="宋体" w:eastAsia="宋体" w:cs="宋体"/>
                <w:color w:val="auto"/>
                <w:sz w:val="24"/>
                <w:szCs w:val="20"/>
                <w:highlight w:val="none"/>
                <w:lang w:val="zh-CN"/>
              </w:rPr>
              <w:t>采用低价优先法，即满足招标文件要求且投标价格最低的有效投标报价为评标基准价，其价格分为满分。</w:t>
            </w:r>
          </w:p>
          <w:p w14:paraId="797C42B1">
            <w:pPr>
              <w:widowControl/>
              <w:spacing w:line="56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2</w:t>
            </w:r>
            <w:r>
              <w:rPr>
                <w:rFonts w:hint="eastAsia" w:cs="宋体"/>
                <w:color w:val="auto"/>
                <w:sz w:val="24"/>
                <w:szCs w:val="20"/>
                <w:highlight w:val="none"/>
                <w:lang w:val="zh-CN"/>
              </w:rPr>
              <w:t>、</w:t>
            </w:r>
            <w:r>
              <w:rPr>
                <w:rFonts w:hint="eastAsia" w:ascii="宋体" w:hAnsi="宋体" w:eastAsia="宋体" w:cs="宋体"/>
                <w:color w:val="auto"/>
                <w:sz w:val="24"/>
                <w:szCs w:val="20"/>
                <w:highlight w:val="none"/>
                <w:lang w:val="zh-CN"/>
              </w:rPr>
              <w:t>其他</w:t>
            </w:r>
            <w:r>
              <w:rPr>
                <w:rFonts w:hint="eastAsia" w:cs="宋体"/>
                <w:color w:val="auto"/>
                <w:sz w:val="24"/>
                <w:szCs w:val="20"/>
                <w:highlight w:val="none"/>
                <w:lang w:val="zh-CN" w:eastAsia="zh-CN"/>
              </w:rPr>
              <w:t>投标人</w:t>
            </w:r>
            <w:r>
              <w:rPr>
                <w:rFonts w:hint="eastAsia" w:ascii="宋体" w:hAnsi="宋体" w:eastAsia="宋体" w:cs="宋体"/>
                <w:color w:val="auto"/>
                <w:sz w:val="24"/>
                <w:szCs w:val="20"/>
                <w:highlight w:val="none"/>
                <w:lang w:val="zh-CN"/>
              </w:rPr>
              <w:t>的价格分统一按下列公式计算：投标报价得分为（评标基准价/投标报价）×50（小数点保留两位）。</w:t>
            </w:r>
          </w:p>
        </w:tc>
      </w:tr>
      <w:tr w14:paraId="6F214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noWrap w:val="0"/>
            <w:vAlign w:val="center"/>
          </w:tcPr>
          <w:p w14:paraId="21E3DE34">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075" w:type="dxa"/>
            <w:noWrap w:val="0"/>
            <w:vAlign w:val="center"/>
          </w:tcPr>
          <w:p w14:paraId="08186A0F">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企业</w:t>
            </w:r>
            <w:r>
              <w:rPr>
                <w:rFonts w:hint="eastAsia" w:ascii="宋体" w:hAnsi="宋体" w:eastAsia="宋体" w:cs="宋体"/>
                <w:color w:val="auto"/>
                <w:sz w:val="24"/>
                <w:highlight w:val="none"/>
                <w:lang w:eastAsia="zh-CN"/>
              </w:rPr>
              <w:t>综合实力</w:t>
            </w:r>
          </w:p>
        </w:tc>
        <w:tc>
          <w:tcPr>
            <w:tcW w:w="900" w:type="dxa"/>
            <w:noWrap w:val="0"/>
            <w:vAlign w:val="center"/>
          </w:tcPr>
          <w:p w14:paraId="01913B27">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cs="宋体"/>
                <w:color w:val="auto"/>
                <w:sz w:val="24"/>
                <w:highlight w:val="none"/>
                <w:lang w:val="en-US" w:eastAsia="zh-CN"/>
              </w:rPr>
              <w:t>3</w:t>
            </w:r>
            <w:r>
              <w:rPr>
                <w:rFonts w:hint="eastAsia" w:ascii="宋体" w:hAnsi="宋体" w:eastAsia="宋体" w:cs="宋体"/>
                <w:color w:val="auto"/>
                <w:sz w:val="24"/>
                <w:highlight w:val="none"/>
              </w:rPr>
              <w:t>分</w:t>
            </w:r>
          </w:p>
        </w:tc>
        <w:tc>
          <w:tcPr>
            <w:tcW w:w="5950" w:type="dxa"/>
            <w:noWrap w:val="0"/>
            <w:vAlign w:val="top"/>
          </w:tcPr>
          <w:p w14:paraId="536E772B">
            <w:pPr>
              <w:widowControl/>
              <w:spacing w:line="560" w:lineRule="exact"/>
              <w:ind w:firstLine="480"/>
              <w:rPr>
                <w:rFonts w:hint="eastAsia" w:ascii="宋体" w:hAnsi="宋体" w:eastAsia="宋体" w:cs="宋体"/>
                <w:color w:val="auto"/>
                <w:sz w:val="24"/>
                <w:szCs w:val="20"/>
                <w:highlight w:val="none"/>
                <w:lang w:val="zh-CN"/>
              </w:rPr>
            </w:pPr>
            <w:r>
              <w:rPr>
                <w:rFonts w:hint="eastAsia" w:cs="宋体"/>
                <w:color w:val="auto"/>
                <w:sz w:val="24"/>
                <w:szCs w:val="20"/>
                <w:highlight w:val="none"/>
                <w:lang w:val="zh-CN" w:eastAsia="zh-CN"/>
              </w:rPr>
              <w:t>投标人</w:t>
            </w:r>
            <w:r>
              <w:rPr>
                <w:rFonts w:hint="eastAsia" w:ascii="宋体" w:hAnsi="宋体" w:eastAsia="宋体" w:cs="宋体"/>
                <w:color w:val="auto"/>
                <w:sz w:val="24"/>
                <w:szCs w:val="20"/>
                <w:highlight w:val="none"/>
                <w:lang w:val="zh-CN"/>
              </w:rPr>
              <w:t>提供有效</w:t>
            </w:r>
            <w:r>
              <w:rPr>
                <w:rFonts w:hint="eastAsia" w:ascii="宋体" w:hAnsi="宋体" w:eastAsia="宋体" w:cs="宋体"/>
                <w:color w:val="auto"/>
                <w:sz w:val="24"/>
                <w:szCs w:val="20"/>
                <w:highlight w:val="none"/>
                <w:lang w:val="zh-CN" w:eastAsia="zh-CN"/>
              </w:rPr>
              <w:t>期内</w:t>
            </w:r>
            <w:r>
              <w:rPr>
                <w:rFonts w:hint="eastAsia" w:ascii="宋体" w:hAnsi="宋体" w:eastAsia="宋体" w:cs="宋体"/>
                <w:color w:val="auto"/>
                <w:sz w:val="24"/>
                <w:szCs w:val="20"/>
                <w:highlight w:val="none"/>
                <w:lang w:val="zh-CN"/>
              </w:rPr>
              <w:t>的质量管理体系认证证书</w:t>
            </w:r>
            <w:r>
              <w:rPr>
                <w:rFonts w:hint="eastAsia" w:cs="宋体"/>
                <w:color w:val="auto"/>
                <w:sz w:val="24"/>
                <w:szCs w:val="20"/>
                <w:highlight w:val="none"/>
                <w:lang w:val="zh-CN"/>
              </w:rPr>
              <w:t>、环境管理体系认证证书、职业健康安全管理体系认证证书，每一项得1分，本项最多</w:t>
            </w:r>
            <w:r>
              <w:rPr>
                <w:rFonts w:hint="eastAsia" w:cs="宋体"/>
                <w:color w:val="auto"/>
                <w:sz w:val="24"/>
                <w:szCs w:val="20"/>
                <w:highlight w:val="none"/>
                <w:lang w:val="en-US" w:eastAsia="zh-CN"/>
              </w:rPr>
              <w:t>得3</w:t>
            </w:r>
            <w:r>
              <w:rPr>
                <w:rFonts w:hint="eastAsia" w:cs="宋体"/>
                <w:color w:val="auto"/>
                <w:sz w:val="24"/>
                <w:szCs w:val="20"/>
                <w:highlight w:val="none"/>
                <w:lang w:val="zh-CN"/>
              </w:rPr>
              <w:t>分。</w:t>
            </w:r>
          </w:p>
          <w:p w14:paraId="2B9F29AC">
            <w:pPr>
              <w:widowControl/>
              <w:spacing w:line="560" w:lineRule="exact"/>
              <w:ind w:firstLine="480"/>
              <w:rPr>
                <w:rFonts w:hint="default"/>
                <w:lang w:val="en-US"/>
              </w:rPr>
            </w:pPr>
            <w:r>
              <w:rPr>
                <w:rFonts w:hint="eastAsia" w:ascii="宋体" w:hAnsi="宋体" w:eastAsia="宋体" w:cs="宋体"/>
                <w:color w:val="auto"/>
                <w:sz w:val="24"/>
                <w:szCs w:val="20"/>
                <w:highlight w:val="none"/>
                <w:lang w:val="en-US" w:eastAsia="zh-CN"/>
              </w:rPr>
              <w:t>注：投标时提供上述证书原件的扫描件，同时须提供上述证书在全国认证认可信息公共服务平台</w:t>
            </w:r>
            <w:r>
              <w:rPr>
                <w:rFonts w:hint="eastAsia" w:ascii="宋体" w:hAnsi="宋体" w:eastAsia="宋体" w:cs="宋体"/>
                <w:color w:val="auto"/>
                <w:sz w:val="22"/>
                <w:szCs w:val="18"/>
                <w:highlight w:val="none"/>
                <w:lang w:val="en-US" w:eastAsia="zh-CN"/>
              </w:rPr>
              <w:t>（http://cx.cnca.cn/CertECloud/index/index/page?currentPosition=）</w:t>
            </w:r>
            <w:r>
              <w:rPr>
                <w:rFonts w:hint="eastAsia" w:ascii="宋体" w:hAnsi="宋体" w:eastAsia="宋体" w:cs="宋体"/>
                <w:color w:val="auto"/>
                <w:sz w:val="24"/>
                <w:szCs w:val="20"/>
                <w:highlight w:val="none"/>
                <w:lang w:val="en-US" w:eastAsia="zh-CN"/>
              </w:rPr>
              <w:t>查询页面完整截图，</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应当确保证书开标当天处于有效期内，否则不予认可。以上材料均须加盖</w:t>
            </w:r>
            <w:r>
              <w:rPr>
                <w:rFonts w:hint="eastAsia" w:cs="宋体"/>
                <w:color w:val="auto"/>
                <w:sz w:val="24"/>
                <w:szCs w:val="20"/>
                <w:highlight w:val="none"/>
                <w:lang w:val="en-US" w:eastAsia="zh-CN"/>
              </w:rPr>
              <w:t>投标人</w:t>
            </w:r>
            <w:r>
              <w:rPr>
                <w:rFonts w:hint="eastAsia" w:ascii="宋体" w:hAnsi="宋体" w:eastAsia="宋体" w:cs="宋体"/>
                <w:color w:val="auto"/>
                <w:sz w:val="24"/>
                <w:szCs w:val="24"/>
                <w:highlight w:val="none"/>
                <w:lang w:val="en-US" w:eastAsia="zh-CN"/>
              </w:rPr>
              <w:t>CA电子公章</w:t>
            </w:r>
            <w:r>
              <w:rPr>
                <w:rFonts w:hint="eastAsia" w:ascii="宋体" w:hAnsi="宋体" w:eastAsia="宋体" w:cs="宋体"/>
                <w:color w:val="auto"/>
                <w:sz w:val="24"/>
                <w:szCs w:val="20"/>
                <w:highlight w:val="none"/>
                <w:lang w:val="en-US" w:eastAsia="zh-CN"/>
              </w:rPr>
              <w:t>，否则不予认可，</w:t>
            </w:r>
            <w:r>
              <w:rPr>
                <w:rFonts w:hint="eastAsia" w:cs="宋体"/>
                <w:color w:val="auto"/>
                <w:sz w:val="24"/>
                <w:highlight w:val="none"/>
                <w:lang w:val="en-US" w:eastAsia="zh-CN"/>
              </w:rPr>
              <w:t>不提供或提供不全不得分</w:t>
            </w:r>
            <w:r>
              <w:rPr>
                <w:rFonts w:hint="eastAsia" w:ascii="宋体" w:hAnsi="宋体" w:eastAsia="宋体" w:cs="宋体"/>
                <w:color w:val="auto"/>
                <w:sz w:val="24"/>
                <w:szCs w:val="20"/>
                <w:highlight w:val="none"/>
                <w:lang w:val="en-US" w:eastAsia="zh-CN"/>
              </w:rPr>
              <w:t>。</w:t>
            </w:r>
          </w:p>
        </w:tc>
      </w:tr>
      <w:tr w14:paraId="17D98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noWrap w:val="0"/>
            <w:vAlign w:val="center"/>
          </w:tcPr>
          <w:p w14:paraId="618027D8">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1075" w:type="dxa"/>
            <w:noWrap w:val="0"/>
            <w:vAlign w:val="center"/>
          </w:tcPr>
          <w:p w14:paraId="45D219A4">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业绩</w:t>
            </w:r>
          </w:p>
        </w:tc>
        <w:tc>
          <w:tcPr>
            <w:tcW w:w="900" w:type="dxa"/>
            <w:noWrap w:val="0"/>
            <w:vAlign w:val="center"/>
          </w:tcPr>
          <w:p w14:paraId="165D0C6B">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6</w:t>
            </w:r>
            <w:r>
              <w:rPr>
                <w:rFonts w:hint="eastAsia" w:ascii="宋体" w:hAnsi="宋体" w:eastAsia="宋体" w:cs="宋体"/>
                <w:color w:val="auto"/>
                <w:sz w:val="24"/>
                <w:highlight w:val="none"/>
              </w:rPr>
              <w:t>分</w:t>
            </w:r>
          </w:p>
        </w:tc>
        <w:tc>
          <w:tcPr>
            <w:tcW w:w="5950" w:type="dxa"/>
            <w:noWrap w:val="0"/>
            <w:vAlign w:val="top"/>
          </w:tcPr>
          <w:p w14:paraId="5BBBB1AB">
            <w:pPr>
              <w:widowControl/>
              <w:spacing w:line="560" w:lineRule="exact"/>
              <w:ind w:firstLine="480"/>
              <w:jc w:val="left"/>
              <w:rPr>
                <w:rFonts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自202</w:t>
            </w:r>
            <w:r>
              <w:rPr>
                <w:rFonts w:hint="eastAsia"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年1月1日</w:t>
            </w:r>
            <w:r>
              <w:rPr>
                <w:rFonts w:hint="eastAsia" w:ascii="宋体" w:hAnsi="宋体" w:eastAsia="宋体" w:cs="宋体"/>
                <w:color w:val="000000" w:themeColor="text1"/>
                <w:sz w:val="24"/>
                <w:szCs w:val="20"/>
                <w:highlight w:val="none"/>
                <w:lang w:val="en-US" w:eastAsia="zh-CN"/>
                <w14:textFill>
                  <w14:solidFill>
                    <w14:schemeClr w14:val="tx1"/>
                  </w14:solidFill>
                </w14:textFill>
              </w:rPr>
              <w:t>（含）</w:t>
            </w:r>
            <w:r>
              <w:rPr>
                <w:rFonts w:hint="eastAsia" w:ascii="宋体" w:hAnsi="宋体" w:cs="宋体"/>
                <w:color w:val="000000" w:themeColor="text1"/>
                <w:sz w:val="24"/>
                <w:highlight w:val="none"/>
                <w14:textFill>
                  <w14:solidFill>
                    <w14:schemeClr w14:val="tx1"/>
                  </w14:solidFill>
                </w14:textFill>
              </w:rPr>
              <w:t>以来（以合同签订日期为准），</w:t>
            </w:r>
            <w:r>
              <w:rPr>
                <w:rFonts w:hint="eastAsia" w:cs="宋体"/>
                <w:color w:val="000000" w:themeColor="text1"/>
                <w:sz w:val="24"/>
                <w:highlight w:val="none"/>
                <w:lang w:val="en-US" w:eastAsia="zh-CN"/>
                <w14:textFill>
                  <w14:solidFill>
                    <w14:schemeClr w14:val="tx1"/>
                  </w14:solidFill>
                </w14:textFill>
              </w:rPr>
              <w:t>承接</w:t>
            </w:r>
            <w:r>
              <w:rPr>
                <w:rFonts w:hint="eastAsia" w:ascii="宋体" w:hAnsi="宋体" w:cs="宋体"/>
                <w:color w:val="000000" w:themeColor="text1"/>
                <w:sz w:val="24"/>
                <w:highlight w:val="none"/>
                <w14:textFill>
                  <w14:solidFill>
                    <w14:schemeClr w14:val="tx1"/>
                  </w14:solidFill>
                </w14:textFill>
              </w:rPr>
              <w:t>过</w:t>
            </w:r>
            <w:r>
              <w:rPr>
                <w:rFonts w:hint="eastAsia" w:cs="宋体"/>
                <w:color w:val="000000" w:themeColor="text1"/>
                <w:sz w:val="24"/>
                <w:highlight w:val="none"/>
                <w:lang w:val="en-US" w:eastAsia="zh-CN"/>
                <w14:textFill>
                  <w14:solidFill>
                    <w14:schemeClr w14:val="tx1"/>
                  </w14:solidFill>
                </w14:textFill>
              </w:rPr>
              <w:t>类似公共建筑物业服务业绩（不包含住宅及厂区物业项目）（需含保安和保洁服务）</w:t>
            </w:r>
            <w:r>
              <w:rPr>
                <w:rFonts w:hint="eastAsia"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每提供一个业绩得2分，最高得</w:t>
            </w:r>
            <w:r>
              <w:rPr>
                <w:rFonts w:hint="eastAsia"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分。</w:t>
            </w:r>
          </w:p>
          <w:p w14:paraId="169E79FF">
            <w:pPr>
              <w:widowControl/>
              <w:spacing w:line="560" w:lineRule="exact"/>
              <w:ind w:firstLine="480"/>
              <w:rPr>
                <w:rFonts w:hint="eastAsia" w:cs="宋体"/>
                <w:color w:val="auto"/>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备注：以合同</w:t>
            </w:r>
            <w:r>
              <w:rPr>
                <w:rFonts w:hint="eastAsia" w:cs="宋体"/>
                <w:color w:val="000000" w:themeColor="text1"/>
                <w:sz w:val="24"/>
                <w:highlight w:val="none"/>
                <w:lang w:eastAsia="zh-CN"/>
                <w14:textFill>
                  <w14:solidFill>
                    <w14:schemeClr w14:val="tx1"/>
                  </w14:solidFill>
                </w14:textFill>
              </w:rPr>
              <w:t>、任意三个月及以上的服务费发票</w:t>
            </w:r>
            <w:r>
              <w:rPr>
                <w:rFonts w:hint="eastAsia" w:cs="宋体"/>
                <w:color w:val="000000" w:themeColor="text1"/>
                <w:sz w:val="24"/>
                <w:highlight w:val="none"/>
                <w:lang w:val="en-US" w:eastAsia="zh-CN"/>
                <w14:textFill>
                  <w14:solidFill>
                    <w14:schemeClr w14:val="tx1"/>
                  </w14:solidFill>
                </w14:textFill>
              </w:rPr>
              <w:t>的原件</w:t>
            </w:r>
            <w:r>
              <w:rPr>
                <w:rFonts w:hint="eastAsia" w:ascii="宋体" w:hAnsi="宋体" w:cs="宋体"/>
                <w:color w:val="000000" w:themeColor="text1"/>
                <w:sz w:val="24"/>
                <w:highlight w:val="none"/>
                <w14:textFill>
                  <w14:solidFill>
                    <w14:schemeClr w14:val="tx1"/>
                  </w14:solidFill>
                </w14:textFill>
              </w:rPr>
              <w:t>扫描件</w:t>
            </w:r>
            <w:r>
              <w:rPr>
                <w:rFonts w:hint="eastAsia" w:cs="宋体"/>
                <w:color w:val="000000" w:themeColor="text1"/>
                <w:sz w:val="24"/>
                <w:highlight w:val="none"/>
                <w:lang w:val="en-US" w:eastAsia="zh-CN"/>
                <w14:textFill>
                  <w14:solidFill>
                    <w14:schemeClr w14:val="tx1"/>
                  </w14:solidFill>
                </w14:textFill>
              </w:rPr>
              <w:t>并加盖投标人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CA电子公章</w:t>
            </w:r>
            <w:r>
              <w:rPr>
                <w:rFonts w:hint="eastAsia" w:cs="宋体"/>
                <w:color w:val="000000" w:themeColor="text1"/>
                <w:sz w:val="24"/>
                <w:highlight w:val="none"/>
                <w:lang w:val="en-US" w:eastAsia="zh-CN"/>
                <w14:textFill>
                  <w14:solidFill>
                    <w14:schemeClr w14:val="tx1"/>
                  </w14:solidFill>
                </w14:textFill>
              </w:rPr>
              <w:t>为依据</w:t>
            </w:r>
            <w:r>
              <w:rPr>
                <w:rFonts w:hint="eastAsia" w:ascii="宋体" w:hAnsi="宋体" w:cs="宋体"/>
                <w:color w:val="000000" w:themeColor="text1"/>
                <w:sz w:val="24"/>
                <w:highlight w:val="none"/>
                <w14:textFill>
                  <w14:solidFill>
                    <w14:schemeClr w14:val="tx1"/>
                  </w14:solidFill>
                </w14:textFill>
              </w:rPr>
              <w:t>，</w:t>
            </w:r>
            <w:r>
              <w:rPr>
                <w:rFonts w:hint="eastAsia" w:cs="宋体"/>
                <w:color w:val="000000" w:themeColor="text1"/>
                <w:sz w:val="24"/>
                <w:highlight w:val="none"/>
                <w:lang w:val="en-US" w:eastAsia="zh-CN"/>
                <w14:textFill>
                  <w14:solidFill>
                    <w14:schemeClr w14:val="tx1"/>
                  </w14:solidFill>
                </w14:textFill>
              </w:rPr>
              <w:t>不提供或提供不全不得分。</w:t>
            </w:r>
          </w:p>
          <w:p w14:paraId="1AE3E0F9">
            <w:pPr>
              <w:widowControl/>
              <w:spacing w:line="5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rPr>
              <w:t>合同中必须</w:t>
            </w:r>
            <w:r>
              <w:rPr>
                <w:rFonts w:hint="eastAsia" w:cs="宋体"/>
                <w:color w:val="auto"/>
                <w:sz w:val="24"/>
                <w:highlight w:val="none"/>
                <w:lang w:val="en-US" w:eastAsia="zh-CN"/>
              </w:rPr>
              <w:t>体现甲乙双方名称、服务内容或范围、签字盖章、合同签订时间等主要内容</w:t>
            </w:r>
            <w:r>
              <w:rPr>
                <w:rFonts w:hint="eastAsia" w:ascii="宋体" w:hAnsi="宋体" w:cs="宋体"/>
                <w:color w:val="auto"/>
                <w:sz w:val="24"/>
                <w:highlight w:val="none"/>
              </w:rPr>
              <w:t>，如合同内无法体现的，可提供业主单位出具的证明</w:t>
            </w:r>
            <w:r>
              <w:rPr>
                <w:rFonts w:hint="eastAsia" w:cs="宋体"/>
                <w:color w:val="auto"/>
                <w:sz w:val="24"/>
                <w:highlight w:val="none"/>
                <w:lang w:val="en-US" w:eastAsia="zh-CN"/>
              </w:rPr>
              <w:t>材料（</w:t>
            </w:r>
            <w:r>
              <w:rPr>
                <w:rFonts w:hint="eastAsia" w:ascii="宋体" w:hAnsi="宋体" w:cs="宋体"/>
                <w:color w:val="auto"/>
                <w:sz w:val="24"/>
                <w:highlight w:val="none"/>
              </w:rPr>
              <w:t>加盖</w:t>
            </w:r>
            <w:r>
              <w:rPr>
                <w:rFonts w:hint="eastAsia" w:cs="宋体"/>
                <w:color w:val="auto"/>
                <w:sz w:val="24"/>
                <w:highlight w:val="none"/>
                <w:lang w:eastAsia="zh-CN"/>
              </w:rPr>
              <w:t>业主单位</w:t>
            </w:r>
            <w:r>
              <w:rPr>
                <w:rFonts w:hint="eastAsia" w:ascii="宋体" w:hAnsi="宋体" w:cs="宋体"/>
                <w:color w:val="auto"/>
                <w:sz w:val="24"/>
                <w:highlight w:val="none"/>
              </w:rPr>
              <w:t>公章</w:t>
            </w:r>
            <w:r>
              <w:rPr>
                <w:rFonts w:hint="eastAsia" w:cs="宋体"/>
                <w:color w:val="auto"/>
                <w:sz w:val="24"/>
                <w:highlight w:val="none"/>
                <w:lang w:eastAsia="zh-CN"/>
              </w:rPr>
              <w:t>）</w:t>
            </w:r>
            <w:r>
              <w:rPr>
                <w:rFonts w:hint="eastAsia" w:ascii="宋体" w:hAnsi="宋体" w:cs="宋体"/>
                <w:color w:val="auto"/>
                <w:sz w:val="24"/>
                <w:highlight w:val="none"/>
              </w:rPr>
              <w:t>原件</w:t>
            </w:r>
            <w:r>
              <w:rPr>
                <w:rFonts w:hint="eastAsia" w:cs="宋体"/>
                <w:color w:val="auto"/>
                <w:sz w:val="24"/>
                <w:highlight w:val="none"/>
                <w:lang w:val="en-US" w:eastAsia="zh-CN"/>
              </w:rPr>
              <w:t>的</w:t>
            </w:r>
            <w:r>
              <w:rPr>
                <w:rFonts w:hint="eastAsia" w:ascii="宋体" w:hAnsi="宋体" w:cs="宋体"/>
                <w:color w:val="auto"/>
                <w:sz w:val="24"/>
                <w:highlight w:val="none"/>
                <w:lang w:val="en-US" w:eastAsia="zh-CN"/>
              </w:rPr>
              <w:t>扫描件</w:t>
            </w:r>
            <w:r>
              <w:rPr>
                <w:rFonts w:hint="eastAsia" w:cs="宋体"/>
                <w:color w:val="auto"/>
                <w:sz w:val="24"/>
                <w:highlight w:val="none"/>
                <w:lang w:val="en-US" w:eastAsia="zh-CN"/>
              </w:rPr>
              <w:t>并加盖投标人</w:t>
            </w:r>
            <w:r>
              <w:rPr>
                <w:rFonts w:hint="eastAsia" w:ascii="宋体" w:hAnsi="宋体" w:eastAsia="宋体" w:cs="宋体"/>
                <w:color w:val="auto"/>
                <w:sz w:val="24"/>
                <w:szCs w:val="24"/>
                <w:highlight w:val="none"/>
                <w:lang w:val="en-US" w:eastAsia="zh-CN"/>
              </w:rPr>
              <w:t>CA电子公章</w:t>
            </w:r>
            <w:r>
              <w:rPr>
                <w:rFonts w:hint="eastAsia" w:cs="宋体"/>
                <w:color w:val="auto"/>
                <w:sz w:val="24"/>
                <w:highlight w:val="none"/>
                <w:lang w:val="en-US" w:eastAsia="zh-CN"/>
              </w:rPr>
              <w:t>公章</w:t>
            </w:r>
            <w:r>
              <w:rPr>
                <w:rFonts w:hint="eastAsia" w:ascii="宋体" w:hAnsi="宋体" w:cs="宋体"/>
                <w:color w:val="auto"/>
                <w:sz w:val="24"/>
                <w:highlight w:val="none"/>
              </w:rPr>
              <w:t>，否则不计分。</w:t>
            </w:r>
          </w:p>
        </w:tc>
      </w:tr>
      <w:tr w14:paraId="57528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shd w:val="clear" w:color="auto" w:fill="auto"/>
            <w:noWrap w:val="0"/>
            <w:vAlign w:val="center"/>
          </w:tcPr>
          <w:p w14:paraId="170AEE4A">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highlight w:val="none"/>
                <w:lang w:val="en-US" w:eastAsia="zh-CN"/>
              </w:rPr>
              <w:t>4</w:t>
            </w:r>
          </w:p>
        </w:tc>
        <w:tc>
          <w:tcPr>
            <w:tcW w:w="1075" w:type="dxa"/>
            <w:shd w:val="clear" w:color="auto" w:fill="auto"/>
            <w:noWrap w:val="0"/>
            <w:vAlign w:val="center"/>
          </w:tcPr>
          <w:p w14:paraId="5F2E3DA0">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highlight w:val="none"/>
                <w:lang w:val="en-US" w:eastAsia="zh-CN"/>
              </w:rPr>
              <w:t>人员  配备</w:t>
            </w:r>
          </w:p>
        </w:tc>
        <w:tc>
          <w:tcPr>
            <w:tcW w:w="900" w:type="dxa"/>
            <w:shd w:val="clear" w:color="auto" w:fill="auto"/>
            <w:noWrap w:val="0"/>
            <w:vAlign w:val="center"/>
          </w:tcPr>
          <w:p w14:paraId="069AA942">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szCs w:val="21"/>
                <w:highlight w:val="none"/>
                <w:lang w:val="en-US" w:eastAsia="zh-CN" w:bidi="ar-SA"/>
              </w:rPr>
            </w:pPr>
            <w:r>
              <w:rPr>
                <w:rFonts w:hint="eastAsia" w:cs="宋体"/>
                <w:color w:val="auto"/>
                <w:sz w:val="24"/>
                <w:highlight w:val="none"/>
                <w:lang w:val="en-US" w:eastAsia="zh-CN"/>
              </w:rPr>
              <w:t>5</w:t>
            </w:r>
            <w:r>
              <w:rPr>
                <w:rFonts w:hint="eastAsia" w:ascii="宋体" w:hAnsi="宋体" w:eastAsia="宋体" w:cs="宋体"/>
                <w:color w:val="auto"/>
                <w:sz w:val="24"/>
                <w:highlight w:val="none"/>
              </w:rPr>
              <w:t>分</w:t>
            </w:r>
          </w:p>
        </w:tc>
        <w:tc>
          <w:tcPr>
            <w:tcW w:w="5950" w:type="dxa"/>
            <w:noWrap w:val="0"/>
            <w:vAlign w:val="top"/>
          </w:tcPr>
          <w:p w14:paraId="01EAF553">
            <w:pPr>
              <w:keepNext w:val="0"/>
              <w:keepLines w:val="0"/>
              <w:pageBreakBefore w:val="0"/>
              <w:spacing w:line="560" w:lineRule="exact"/>
              <w:ind w:firstLine="480"/>
              <w:rPr>
                <w:rFonts w:hint="default"/>
                <w:color w:val="auto"/>
                <w:sz w:val="24"/>
                <w:szCs w:val="24"/>
                <w:highlight w:val="none"/>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项目负责人</w:t>
            </w:r>
            <w:r>
              <w:rPr>
                <w:rFonts w:hint="eastAsia" w:cs="宋体"/>
                <w:color w:val="auto"/>
                <w:sz w:val="24"/>
                <w:szCs w:val="24"/>
                <w:highlight w:val="none"/>
                <w:lang w:val="en-US" w:eastAsia="zh-CN"/>
              </w:rPr>
              <w:t>：投标人</w:t>
            </w:r>
            <w:r>
              <w:rPr>
                <w:rFonts w:hint="default"/>
                <w:color w:val="auto"/>
                <w:sz w:val="24"/>
                <w:szCs w:val="24"/>
                <w:highlight w:val="none"/>
              </w:rPr>
              <w:t>拟派项目负责人具有大专学历</w:t>
            </w:r>
            <w:r>
              <w:rPr>
                <w:rFonts w:hint="eastAsia"/>
                <w:color w:val="auto"/>
                <w:sz w:val="24"/>
                <w:szCs w:val="24"/>
                <w:highlight w:val="none"/>
                <w:lang w:val="en-US" w:eastAsia="zh-CN"/>
              </w:rPr>
              <w:t>的</w:t>
            </w:r>
            <w:r>
              <w:rPr>
                <w:rFonts w:hint="default"/>
                <w:color w:val="auto"/>
                <w:sz w:val="24"/>
                <w:szCs w:val="24"/>
                <w:highlight w:val="none"/>
              </w:rPr>
              <w:t>得</w:t>
            </w:r>
            <w:r>
              <w:rPr>
                <w:rFonts w:hint="eastAsia"/>
                <w:color w:val="auto"/>
                <w:sz w:val="24"/>
                <w:szCs w:val="24"/>
                <w:highlight w:val="none"/>
                <w:lang w:val="en-US" w:eastAsia="zh-CN"/>
              </w:rPr>
              <w:t>1</w:t>
            </w:r>
            <w:r>
              <w:rPr>
                <w:rFonts w:hint="default"/>
                <w:color w:val="auto"/>
                <w:sz w:val="24"/>
                <w:szCs w:val="24"/>
                <w:highlight w:val="none"/>
              </w:rPr>
              <w:t>分，具有本科及以上学历</w:t>
            </w:r>
            <w:r>
              <w:rPr>
                <w:rFonts w:hint="eastAsia"/>
                <w:color w:val="auto"/>
                <w:sz w:val="24"/>
                <w:szCs w:val="24"/>
                <w:highlight w:val="none"/>
                <w:lang w:val="en-US" w:eastAsia="zh-CN"/>
              </w:rPr>
              <w:t>的</w:t>
            </w:r>
            <w:r>
              <w:rPr>
                <w:rFonts w:hint="default"/>
                <w:color w:val="auto"/>
                <w:sz w:val="24"/>
                <w:szCs w:val="24"/>
                <w:highlight w:val="none"/>
              </w:rPr>
              <w:t>得</w:t>
            </w:r>
            <w:r>
              <w:rPr>
                <w:rFonts w:hint="eastAsia"/>
                <w:color w:val="auto"/>
                <w:sz w:val="24"/>
                <w:szCs w:val="24"/>
                <w:highlight w:val="none"/>
                <w:lang w:val="en-US" w:eastAsia="zh-CN"/>
              </w:rPr>
              <w:t>2</w:t>
            </w:r>
            <w:r>
              <w:rPr>
                <w:rFonts w:hint="default"/>
                <w:color w:val="auto"/>
                <w:sz w:val="24"/>
                <w:szCs w:val="24"/>
                <w:highlight w:val="none"/>
              </w:rPr>
              <w:t>分，以最高学历计分</w:t>
            </w:r>
            <w:r>
              <w:rPr>
                <w:rFonts w:hint="eastAsia"/>
                <w:color w:val="auto"/>
                <w:sz w:val="24"/>
                <w:szCs w:val="24"/>
                <w:highlight w:val="none"/>
                <w:lang w:eastAsia="zh-CN"/>
              </w:rPr>
              <w:t>，</w:t>
            </w:r>
            <w:r>
              <w:rPr>
                <w:rFonts w:hint="default"/>
                <w:color w:val="auto"/>
                <w:sz w:val="24"/>
                <w:szCs w:val="24"/>
                <w:highlight w:val="none"/>
              </w:rPr>
              <w:t>本项最高得</w:t>
            </w:r>
            <w:r>
              <w:rPr>
                <w:rFonts w:hint="eastAsia"/>
                <w:color w:val="auto"/>
                <w:sz w:val="24"/>
                <w:szCs w:val="24"/>
                <w:highlight w:val="none"/>
                <w:lang w:val="en-US" w:eastAsia="zh-CN"/>
              </w:rPr>
              <w:t>2</w:t>
            </w:r>
            <w:r>
              <w:rPr>
                <w:rFonts w:hint="default"/>
                <w:color w:val="auto"/>
                <w:sz w:val="24"/>
                <w:szCs w:val="24"/>
                <w:highlight w:val="none"/>
              </w:rPr>
              <w:t>分。（须提供项目</w:t>
            </w:r>
            <w:r>
              <w:rPr>
                <w:rFonts w:hint="eastAsia"/>
                <w:color w:val="auto"/>
                <w:sz w:val="24"/>
                <w:szCs w:val="24"/>
                <w:highlight w:val="none"/>
                <w:lang w:val="en-US" w:eastAsia="zh-CN"/>
              </w:rPr>
              <w:t>负责人</w:t>
            </w:r>
            <w:r>
              <w:rPr>
                <w:rFonts w:hint="default"/>
                <w:color w:val="auto"/>
                <w:sz w:val="24"/>
                <w:szCs w:val="24"/>
                <w:highlight w:val="none"/>
              </w:rPr>
              <w:t>学历</w:t>
            </w:r>
            <w:r>
              <w:rPr>
                <w:rFonts w:hint="default" w:ascii="宋体" w:hAnsi="宋体" w:eastAsia="宋体" w:cs="宋体"/>
                <w:color w:val="auto"/>
                <w:sz w:val="24"/>
                <w:szCs w:val="24"/>
                <w:highlight w:val="none"/>
              </w:rPr>
              <w:t>证</w:t>
            </w:r>
            <w:r>
              <w:rPr>
                <w:rFonts w:hint="default"/>
                <w:color w:val="auto"/>
                <w:sz w:val="24"/>
                <w:szCs w:val="24"/>
                <w:highlight w:val="none"/>
              </w:rPr>
              <w:t>原件扫描件及学信网查询截图</w:t>
            </w:r>
            <w:r>
              <w:rPr>
                <w:rFonts w:hint="eastAsia"/>
                <w:color w:val="auto"/>
                <w:sz w:val="24"/>
                <w:szCs w:val="24"/>
                <w:highlight w:val="none"/>
                <w:lang w:val="en-US" w:eastAsia="zh-CN"/>
              </w:rPr>
              <w:t>并</w:t>
            </w:r>
            <w:r>
              <w:rPr>
                <w:rFonts w:hint="default"/>
                <w:color w:val="auto"/>
                <w:sz w:val="24"/>
                <w:szCs w:val="24"/>
                <w:highlight w:val="none"/>
              </w:rPr>
              <w:t>加盖</w:t>
            </w:r>
            <w:r>
              <w:rPr>
                <w:rFonts w:hint="eastAsia"/>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CA电子公章</w:t>
            </w:r>
            <w:r>
              <w:rPr>
                <w:rFonts w:hint="default"/>
                <w:color w:val="auto"/>
                <w:sz w:val="24"/>
                <w:szCs w:val="24"/>
                <w:highlight w:val="none"/>
              </w:rPr>
              <w:t>，</w:t>
            </w:r>
            <w:r>
              <w:rPr>
                <w:rFonts w:hint="eastAsia" w:cs="宋体"/>
                <w:color w:val="auto"/>
                <w:sz w:val="24"/>
                <w:highlight w:val="none"/>
                <w:lang w:val="en-US" w:eastAsia="zh-CN"/>
              </w:rPr>
              <w:t>不提供或提供不全不得分</w:t>
            </w:r>
            <w:r>
              <w:rPr>
                <w:rFonts w:hint="default"/>
                <w:color w:val="auto"/>
                <w:sz w:val="24"/>
                <w:szCs w:val="24"/>
                <w:highlight w:val="none"/>
              </w:rPr>
              <w:t>）</w:t>
            </w:r>
          </w:p>
          <w:p w14:paraId="4F860A98">
            <w:pPr>
              <w:keepNext w:val="0"/>
              <w:keepLines w:val="0"/>
              <w:pageBreakBefore w:val="0"/>
              <w:spacing w:line="560" w:lineRule="exact"/>
              <w:ind w:firstLine="480"/>
              <w:rPr>
                <w:rFonts w:hint="eastAsia" w:cs="宋体"/>
                <w:color w:val="auto"/>
                <w:sz w:val="24"/>
                <w:szCs w:val="20"/>
                <w:highlight w:val="none"/>
                <w:lang w:val="en-US" w:eastAsia="zh-CN"/>
              </w:rPr>
            </w:pPr>
            <w:r>
              <w:rPr>
                <w:rFonts w:hint="eastAsia" w:cs="宋体"/>
                <w:color w:val="auto"/>
                <w:sz w:val="24"/>
                <w:szCs w:val="20"/>
                <w:highlight w:val="none"/>
                <w:lang w:val="en-US" w:eastAsia="zh-CN"/>
              </w:rPr>
              <w:t>2、项目负责人具有职业技能鉴定部门颁发的中级保安员证的得2分；高级保安员证的得3分，最高得3分。（须提供证书原件扫描件</w:t>
            </w:r>
            <w:r>
              <w:rPr>
                <w:rFonts w:hint="eastAsia"/>
                <w:color w:val="auto"/>
                <w:sz w:val="24"/>
                <w:szCs w:val="24"/>
                <w:highlight w:val="none"/>
                <w:lang w:val="en-US" w:eastAsia="zh-CN"/>
              </w:rPr>
              <w:t>并</w:t>
            </w:r>
            <w:r>
              <w:rPr>
                <w:rFonts w:hint="default"/>
                <w:color w:val="auto"/>
                <w:sz w:val="24"/>
                <w:szCs w:val="24"/>
                <w:highlight w:val="none"/>
              </w:rPr>
              <w:t>加盖</w:t>
            </w:r>
            <w:r>
              <w:rPr>
                <w:rFonts w:hint="eastAsia"/>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CA电子公章</w:t>
            </w:r>
            <w:r>
              <w:rPr>
                <w:rFonts w:hint="eastAsia" w:cs="宋体"/>
                <w:color w:val="auto"/>
                <w:sz w:val="24"/>
                <w:szCs w:val="20"/>
                <w:highlight w:val="none"/>
                <w:lang w:val="en-US" w:eastAsia="zh-CN"/>
              </w:rPr>
              <w:t>，否则不得分）</w:t>
            </w:r>
          </w:p>
          <w:p w14:paraId="4FC986B8">
            <w:pPr>
              <w:pStyle w:val="38"/>
              <w:rPr>
                <w:rFonts w:hint="default" w:cs="宋体"/>
                <w:color w:val="auto"/>
                <w:sz w:val="24"/>
                <w:szCs w:val="20"/>
                <w:highlight w:val="none"/>
                <w:lang w:val="en-US" w:eastAsia="zh-CN"/>
              </w:rPr>
            </w:pPr>
            <w:r>
              <w:rPr>
                <w:rFonts w:hint="eastAsia" w:cs="宋体"/>
                <w:b/>
                <w:bCs/>
                <w:color w:val="auto"/>
                <w:sz w:val="24"/>
                <w:szCs w:val="20"/>
                <w:highlight w:val="none"/>
                <w:lang w:val="en-US" w:eastAsia="zh-CN"/>
              </w:rPr>
              <w:t>注：投标时须提供上述人员</w:t>
            </w:r>
            <w:r>
              <w:rPr>
                <w:rFonts w:hint="eastAsia" w:ascii="宋体" w:hAnsi="宋体" w:eastAsia="宋体" w:cs="宋体"/>
                <w:b/>
                <w:bCs/>
                <w:color w:val="auto"/>
                <w:sz w:val="24"/>
                <w:szCs w:val="20"/>
                <w:highlight w:val="none"/>
                <w:lang w:val="en-US" w:eastAsia="zh-CN"/>
              </w:rPr>
              <w:t>在</w:t>
            </w:r>
            <w:r>
              <w:rPr>
                <w:rFonts w:hint="eastAsia" w:cs="宋体"/>
                <w:b/>
                <w:bCs/>
                <w:color w:val="auto"/>
                <w:sz w:val="24"/>
                <w:szCs w:val="20"/>
                <w:highlight w:val="none"/>
                <w:lang w:val="en-US" w:eastAsia="zh-CN"/>
              </w:rPr>
              <w:t>招标</w:t>
            </w:r>
            <w:r>
              <w:rPr>
                <w:rFonts w:hint="eastAsia" w:ascii="宋体" w:hAnsi="宋体" w:eastAsia="宋体" w:cs="宋体"/>
                <w:b/>
                <w:bCs/>
                <w:color w:val="auto"/>
                <w:sz w:val="24"/>
                <w:szCs w:val="20"/>
                <w:highlight w:val="none"/>
                <w:lang w:val="en-US" w:eastAsia="zh-CN"/>
              </w:rPr>
              <w:t>公告</w:t>
            </w:r>
            <w:r>
              <w:rPr>
                <w:rFonts w:hint="eastAsia" w:cs="宋体"/>
                <w:b/>
                <w:bCs/>
                <w:color w:val="auto"/>
                <w:sz w:val="24"/>
                <w:szCs w:val="20"/>
                <w:highlight w:val="none"/>
                <w:lang w:val="en-US" w:eastAsia="zh-CN"/>
              </w:rPr>
              <w:t>发布</w:t>
            </w:r>
            <w:r>
              <w:rPr>
                <w:rFonts w:hint="eastAsia" w:ascii="宋体" w:hAnsi="宋体" w:eastAsia="宋体" w:cs="宋体"/>
                <w:b/>
                <w:bCs/>
                <w:color w:val="auto"/>
                <w:sz w:val="24"/>
                <w:szCs w:val="20"/>
                <w:highlight w:val="none"/>
                <w:lang w:val="en-US" w:eastAsia="zh-CN"/>
              </w:rPr>
              <w:t>前</w:t>
            </w:r>
            <w:r>
              <w:rPr>
                <w:rFonts w:hint="eastAsia" w:cs="宋体"/>
                <w:b/>
                <w:bCs/>
                <w:color w:val="auto"/>
                <w:sz w:val="24"/>
                <w:szCs w:val="20"/>
                <w:highlight w:val="none"/>
                <w:lang w:val="en-US" w:eastAsia="zh-CN"/>
              </w:rPr>
              <w:t>3</w:t>
            </w:r>
            <w:r>
              <w:rPr>
                <w:rFonts w:hint="eastAsia" w:ascii="宋体" w:hAnsi="宋体" w:eastAsia="宋体" w:cs="宋体"/>
                <w:b/>
                <w:bCs/>
                <w:color w:val="auto"/>
                <w:sz w:val="24"/>
                <w:szCs w:val="20"/>
                <w:highlight w:val="none"/>
                <w:lang w:val="en-US" w:eastAsia="zh-CN"/>
              </w:rPr>
              <w:t>个月</w:t>
            </w:r>
            <w:r>
              <w:rPr>
                <w:rFonts w:hint="eastAsia" w:cs="宋体"/>
                <w:b/>
                <w:bCs/>
                <w:color w:val="auto"/>
                <w:sz w:val="24"/>
                <w:szCs w:val="20"/>
                <w:highlight w:val="none"/>
                <w:lang w:val="en-US" w:eastAsia="zh-CN"/>
              </w:rPr>
              <w:t>内任意一个月</w:t>
            </w:r>
            <w:r>
              <w:rPr>
                <w:rFonts w:hint="eastAsia" w:ascii="宋体" w:hAnsi="宋体" w:eastAsia="宋体" w:cs="宋体"/>
                <w:b/>
                <w:bCs/>
                <w:color w:val="auto"/>
                <w:sz w:val="24"/>
                <w:szCs w:val="20"/>
                <w:highlight w:val="none"/>
                <w:lang w:val="en-US" w:eastAsia="zh-CN"/>
              </w:rPr>
              <w:t>在</w:t>
            </w:r>
            <w:r>
              <w:rPr>
                <w:rFonts w:hint="eastAsia" w:cs="宋体"/>
                <w:b/>
                <w:bCs/>
                <w:color w:val="auto"/>
                <w:sz w:val="24"/>
                <w:szCs w:val="20"/>
                <w:highlight w:val="none"/>
                <w:lang w:val="en-US" w:eastAsia="zh-CN"/>
              </w:rPr>
              <w:t>投标人</w:t>
            </w:r>
            <w:r>
              <w:rPr>
                <w:rFonts w:hint="eastAsia" w:ascii="宋体" w:hAnsi="宋体" w:eastAsia="宋体" w:cs="宋体"/>
                <w:b/>
                <w:bCs/>
                <w:color w:val="auto"/>
                <w:sz w:val="24"/>
                <w:szCs w:val="20"/>
                <w:highlight w:val="none"/>
                <w:lang w:val="en-US" w:eastAsia="zh-CN"/>
              </w:rPr>
              <w:t>单位缴纳社保的相关证明材料</w:t>
            </w:r>
            <w:r>
              <w:rPr>
                <w:rFonts w:hint="eastAsia" w:cs="宋体"/>
                <w:b/>
                <w:bCs/>
                <w:color w:val="auto"/>
                <w:sz w:val="24"/>
                <w:szCs w:val="20"/>
                <w:highlight w:val="none"/>
                <w:lang w:val="en-US" w:eastAsia="zh-CN"/>
              </w:rPr>
              <w:t>原件的扫描件并加盖投标人CA电子公章</w:t>
            </w:r>
            <w:r>
              <w:rPr>
                <w:rFonts w:hint="eastAsia" w:ascii="宋体" w:hAnsi="宋体" w:eastAsia="宋体" w:cs="宋体"/>
                <w:b/>
                <w:bCs/>
                <w:color w:val="auto"/>
                <w:sz w:val="24"/>
                <w:szCs w:val="20"/>
                <w:highlight w:val="none"/>
                <w:lang w:val="en-US" w:eastAsia="zh-CN"/>
              </w:rPr>
              <w:t>,否则不得分。</w:t>
            </w:r>
          </w:p>
        </w:tc>
      </w:tr>
      <w:tr w14:paraId="73828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 w:hRule="atLeast"/>
        </w:trPr>
        <w:tc>
          <w:tcPr>
            <w:tcW w:w="725" w:type="dxa"/>
            <w:vMerge w:val="restart"/>
            <w:noWrap w:val="0"/>
            <w:vAlign w:val="center"/>
          </w:tcPr>
          <w:p w14:paraId="780440E1">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1075" w:type="dxa"/>
            <w:vMerge w:val="restart"/>
            <w:noWrap w:val="0"/>
            <w:vAlign w:val="center"/>
          </w:tcPr>
          <w:p w14:paraId="46028EBB">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  方案</w:t>
            </w:r>
          </w:p>
          <w:p w14:paraId="4F22AF7C">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p>
        </w:tc>
        <w:tc>
          <w:tcPr>
            <w:tcW w:w="900" w:type="dxa"/>
            <w:vMerge w:val="restart"/>
            <w:noWrap w:val="0"/>
            <w:vAlign w:val="center"/>
          </w:tcPr>
          <w:p w14:paraId="79094221">
            <w:pPr>
              <w:pBdr>
                <w:top w:val="none" w:color="000000" w:sz="0" w:space="0"/>
                <w:left w:val="none" w:color="000000" w:sz="0" w:space="0"/>
                <w:bottom w:val="none" w:color="000000" w:sz="0" w:space="0"/>
                <w:right w:val="none" w:color="000000" w:sz="0" w:space="0"/>
              </w:pBdr>
              <w:spacing w:line="500" w:lineRule="exact"/>
              <w:ind w:firstLine="0"/>
              <w:jc w:val="center"/>
              <w:rPr>
                <w:rFonts w:hint="default" w:ascii="宋体" w:hAnsi="宋体" w:eastAsia="宋体" w:cs="宋体"/>
                <w:color w:val="auto"/>
                <w:sz w:val="24"/>
                <w:highlight w:val="none"/>
                <w:lang w:val="en-US" w:eastAsia="zh-CN"/>
              </w:rPr>
            </w:pPr>
            <w:r>
              <w:rPr>
                <w:rFonts w:hint="eastAsia" w:cs="宋体"/>
                <w:color w:val="0000FF"/>
                <w:sz w:val="24"/>
                <w:highlight w:val="none"/>
                <w:lang w:val="en-US" w:eastAsia="zh-CN"/>
              </w:rPr>
              <w:t>36分</w:t>
            </w:r>
          </w:p>
        </w:tc>
        <w:tc>
          <w:tcPr>
            <w:tcW w:w="5950" w:type="dxa"/>
            <w:noWrap w:val="0"/>
            <w:vAlign w:val="top"/>
          </w:tcPr>
          <w:p w14:paraId="1D124328">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1.管理服务综合方案（</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511AE576">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款中“1.管理服务综合方案”要求，提供有针对性的、可操作性的、科学合理的方案，评委根据投标人提供的针对本项目制定的管理服务综合方案进行综合评分。方案优于要求的得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w:t>
            </w:r>
            <w:r>
              <w:rPr>
                <w:rFonts w:hint="eastAsia" w:cs="宋体"/>
                <w:color w:val="auto"/>
                <w:sz w:val="24"/>
                <w:szCs w:val="20"/>
                <w:highlight w:val="none"/>
                <w:lang w:val="en-US" w:eastAsia="zh-CN"/>
              </w:rPr>
              <w:t>的</w:t>
            </w:r>
            <w:r>
              <w:rPr>
                <w:rFonts w:hint="eastAsia" w:ascii="宋体" w:hAnsi="宋体" w:eastAsia="宋体" w:cs="宋体"/>
                <w:color w:val="auto"/>
                <w:sz w:val="24"/>
                <w:szCs w:val="20"/>
                <w:highlight w:val="none"/>
                <w:lang w:val="en-US" w:eastAsia="zh-CN"/>
              </w:rPr>
              <w:t>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3ABAB6C4">
            <w:pPr>
              <w:widowControl/>
              <w:spacing w:line="560" w:lineRule="exact"/>
              <w:ind w:firstLine="480"/>
              <w:rPr>
                <w:rFonts w:hint="default"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8A45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5" w:hRule="atLeast"/>
        </w:trPr>
        <w:tc>
          <w:tcPr>
            <w:tcW w:w="725" w:type="dxa"/>
            <w:vMerge w:val="continue"/>
            <w:noWrap w:val="0"/>
            <w:vAlign w:val="center"/>
          </w:tcPr>
          <w:p w14:paraId="2701CDDB">
            <w:pPr>
              <w:widowControl/>
              <w:jc w:val="center"/>
              <w:rPr>
                <w:rFonts w:hint="eastAsia" w:ascii="宋体" w:hAnsi="宋体" w:cs="宋体"/>
                <w:color w:val="auto"/>
                <w:sz w:val="22"/>
                <w:highlight w:val="none"/>
              </w:rPr>
            </w:pPr>
          </w:p>
        </w:tc>
        <w:tc>
          <w:tcPr>
            <w:tcW w:w="1075" w:type="dxa"/>
            <w:vMerge w:val="continue"/>
            <w:noWrap w:val="0"/>
            <w:vAlign w:val="center"/>
          </w:tcPr>
          <w:p w14:paraId="0067B2E9">
            <w:pPr>
              <w:widowControl/>
              <w:jc w:val="center"/>
              <w:rPr>
                <w:rFonts w:hint="eastAsia" w:ascii="宋体" w:hAnsi="宋体" w:cs="宋体"/>
                <w:color w:val="auto"/>
                <w:sz w:val="22"/>
                <w:highlight w:val="none"/>
                <w:lang w:bidi="ar"/>
              </w:rPr>
            </w:pPr>
          </w:p>
        </w:tc>
        <w:tc>
          <w:tcPr>
            <w:tcW w:w="900" w:type="dxa"/>
            <w:vMerge w:val="continue"/>
            <w:noWrap w:val="0"/>
            <w:vAlign w:val="center"/>
          </w:tcPr>
          <w:p w14:paraId="1A7A0965">
            <w:pPr>
              <w:widowControl/>
              <w:jc w:val="center"/>
              <w:rPr>
                <w:rFonts w:hint="eastAsia" w:ascii="宋体" w:hAnsi="宋体" w:cs="宋体"/>
                <w:color w:val="auto"/>
                <w:sz w:val="22"/>
                <w:highlight w:val="none"/>
                <w:lang w:bidi="ar"/>
              </w:rPr>
            </w:pPr>
          </w:p>
        </w:tc>
        <w:tc>
          <w:tcPr>
            <w:tcW w:w="5950" w:type="dxa"/>
            <w:noWrap w:val="0"/>
            <w:vAlign w:val="top"/>
          </w:tcPr>
          <w:p w14:paraId="37CD2737">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2.组织机构设置、人员配备（</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1C656E9A">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款中“2.组织机构设置、人员配备”要求，提供有针对性的、可操作性的、科学合理的方案，评委根据</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提供的针对本项目制定的组织机构设置、人员配备方案进行综合评分。方案优于要求的得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分，符合要求的得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66D1FD00">
            <w:pPr>
              <w:widowControl/>
              <w:spacing w:line="560" w:lineRule="exact"/>
              <w:ind w:firstLine="480"/>
              <w:rPr>
                <w:rFonts w:hint="eastAsia"/>
                <w:color w:val="auto"/>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66EC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trPr>
        <w:tc>
          <w:tcPr>
            <w:tcW w:w="725" w:type="dxa"/>
            <w:vMerge w:val="continue"/>
            <w:noWrap w:val="0"/>
            <w:vAlign w:val="center"/>
          </w:tcPr>
          <w:p w14:paraId="4C37ED70">
            <w:pPr>
              <w:widowControl/>
              <w:jc w:val="center"/>
              <w:rPr>
                <w:rFonts w:hint="eastAsia" w:ascii="宋体" w:hAnsi="宋体" w:cs="宋体"/>
                <w:color w:val="auto"/>
                <w:sz w:val="22"/>
                <w:highlight w:val="none"/>
              </w:rPr>
            </w:pPr>
          </w:p>
        </w:tc>
        <w:tc>
          <w:tcPr>
            <w:tcW w:w="1075" w:type="dxa"/>
            <w:vMerge w:val="continue"/>
            <w:noWrap w:val="0"/>
            <w:vAlign w:val="center"/>
          </w:tcPr>
          <w:p w14:paraId="3E979F7B">
            <w:pPr>
              <w:widowControl/>
              <w:jc w:val="center"/>
              <w:rPr>
                <w:rFonts w:hint="eastAsia" w:ascii="宋体" w:hAnsi="宋体" w:cs="宋体"/>
                <w:color w:val="auto"/>
                <w:sz w:val="22"/>
                <w:highlight w:val="none"/>
                <w:lang w:bidi="ar"/>
              </w:rPr>
            </w:pPr>
          </w:p>
        </w:tc>
        <w:tc>
          <w:tcPr>
            <w:tcW w:w="900" w:type="dxa"/>
            <w:vMerge w:val="continue"/>
            <w:noWrap w:val="0"/>
            <w:vAlign w:val="center"/>
          </w:tcPr>
          <w:p w14:paraId="07E95FA1">
            <w:pPr>
              <w:widowControl/>
              <w:jc w:val="center"/>
              <w:rPr>
                <w:rFonts w:hint="eastAsia" w:ascii="宋体" w:hAnsi="宋体" w:cs="宋体"/>
                <w:color w:val="auto"/>
                <w:sz w:val="22"/>
                <w:highlight w:val="none"/>
                <w:lang w:bidi="ar"/>
              </w:rPr>
            </w:pPr>
          </w:p>
        </w:tc>
        <w:tc>
          <w:tcPr>
            <w:tcW w:w="5950" w:type="dxa"/>
            <w:noWrap w:val="0"/>
            <w:vAlign w:val="top"/>
          </w:tcPr>
          <w:p w14:paraId="39683189">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3.日常管理措施（</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0BBF658C">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款中“3.日常管理措施”要求，提供有针对性的、可操作性的、科学合理的方案，评委根据</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提供的针对本项目制定的日常管理措施方案进行综合评分。方案优于要求的得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分，符合要求的得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2D08FAA4">
            <w:pPr>
              <w:widowControl/>
              <w:spacing w:line="560" w:lineRule="exact"/>
              <w:ind w:firstLine="480"/>
              <w:rPr>
                <w:rFonts w:hint="eastAsia"/>
                <w:color w:val="auto"/>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00EE7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1" w:hRule="atLeast"/>
        </w:trPr>
        <w:tc>
          <w:tcPr>
            <w:tcW w:w="725" w:type="dxa"/>
            <w:vMerge w:val="continue"/>
            <w:noWrap w:val="0"/>
            <w:vAlign w:val="center"/>
          </w:tcPr>
          <w:p w14:paraId="0DDCEFE4">
            <w:pPr>
              <w:widowControl/>
              <w:jc w:val="center"/>
              <w:rPr>
                <w:rFonts w:hint="eastAsia" w:ascii="宋体" w:hAnsi="宋体" w:cs="宋体"/>
                <w:color w:val="auto"/>
                <w:sz w:val="22"/>
                <w:highlight w:val="none"/>
              </w:rPr>
            </w:pPr>
          </w:p>
        </w:tc>
        <w:tc>
          <w:tcPr>
            <w:tcW w:w="1075" w:type="dxa"/>
            <w:vMerge w:val="continue"/>
            <w:noWrap w:val="0"/>
            <w:vAlign w:val="center"/>
          </w:tcPr>
          <w:p w14:paraId="7880C428">
            <w:pPr>
              <w:widowControl/>
              <w:jc w:val="center"/>
              <w:rPr>
                <w:rFonts w:hint="eastAsia" w:ascii="宋体" w:hAnsi="宋体" w:cs="宋体"/>
                <w:color w:val="auto"/>
                <w:sz w:val="22"/>
                <w:highlight w:val="none"/>
                <w:lang w:bidi="ar"/>
              </w:rPr>
            </w:pPr>
          </w:p>
        </w:tc>
        <w:tc>
          <w:tcPr>
            <w:tcW w:w="900" w:type="dxa"/>
            <w:vMerge w:val="continue"/>
            <w:noWrap w:val="0"/>
            <w:vAlign w:val="center"/>
          </w:tcPr>
          <w:p w14:paraId="5C1A2316">
            <w:pPr>
              <w:widowControl/>
              <w:jc w:val="center"/>
              <w:rPr>
                <w:rFonts w:hint="eastAsia" w:ascii="宋体" w:hAnsi="宋体" w:cs="宋体"/>
                <w:color w:val="auto"/>
                <w:sz w:val="22"/>
                <w:highlight w:val="none"/>
                <w:lang w:bidi="ar"/>
              </w:rPr>
            </w:pPr>
          </w:p>
        </w:tc>
        <w:tc>
          <w:tcPr>
            <w:tcW w:w="5950" w:type="dxa"/>
            <w:noWrap w:val="0"/>
            <w:vAlign w:val="top"/>
          </w:tcPr>
          <w:p w14:paraId="32652667">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4.适合本项目的各种突发事件的处理预案（</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6E0E94E7">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款中“4.适合本项目的各种突发事件的处理预案”要求，提供有针对性的、可操作性的、科学合理的方案，评委根据</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提供的针对本项目制定的适合本项目的各种突发事件的处理预案方案进行综合评分。方案优于要求的得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分，符合要求的得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0C76146A">
            <w:pPr>
              <w:widowControl/>
              <w:spacing w:line="560" w:lineRule="exact"/>
              <w:ind w:firstLine="480"/>
              <w:rPr>
                <w:rFonts w:hint="eastAsia"/>
                <w:color w:val="auto"/>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7BF6C5EC">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textAlignment w:val="auto"/>
        <w:rPr>
          <w:rFonts w:hint="eastAsia" w:ascii="宋体" w:hAnsi="宋体" w:eastAsia="宋体" w:cs="宋体"/>
          <w:color w:val="0000FF"/>
          <w:sz w:val="24"/>
          <w:szCs w:val="24"/>
          <w:highlight w:val="non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15CCB316">
      <w:pPr>
        <w:ind w:firstLine="0"/>
        <w:jc w:val="center"/>
        <w:rPr>
          <w:rFonts w:ascii="黑体" w:eastAsia="黑体" w:cs="黑体"/>
          <w:color w:val="auto"/>
          <w:sz w:val="44"/>
          <w:szCs w:val="44"/>
          <w:highlight w:val="none"/>
        </w:rPr>
      </w:pPr>
    </w:p>
    <w:p w14:paraId="0182294D">
      <w:pPr>
        <w:ind w:left="0" w:firstLine="0"/>
        <w:rPr>
          <w:rFonts w:ascii="黑体" w:eastAsia="黑体" w:cs="黑体"/>
          <w:color w:val="auto"/>
          <w:sz w:val="44"/>
          <w:szCs w:val="44"/>
          <w:highlight w:val="none"/>
        </w:rPr>
      </w:pPr>
    </w:p>
    <w:p w14:paraId="277D3990">
      <w:pPr>
        <w:ind w:firstLine="0"/>
        <w:jc w:val="center"/>
        <w:rPr>
          <w:rFonts w:hint="eastAsia" w:ascii="黑体" w:eastAsia="黑体" w:cs="黑体"/>
          <w:color w:val="auto"/>
          <w:sz w:val="44"/>
          <w:szCs w:val="44"/>
          <w:highlight w:val="none"/>
        </w:rPr>
      </w:pPr>
    </w:p>
    <w:p w14:paraId="79ACE6CD">
      <w:pPr>
        <w:ind w:firstLine="0"/>
        <w:jc w:val="center"/>
        <w:rPr>
          <w:rFonts w:hint="eastAsia" w:ascii="黑体" w:eastAsia="黑体" w:cs="黑体"/>
          <w:color w:val="auto"/>
          <w:sz w:val="44"/>
          <w:szCs w:val="44"/>
          <w:highlight w:val="none"/>
        </w:rPr>
      </w:pPr>
    </w:p>
    <w:p w14:paraId="026FDB3C">
      <w:pPr>
        <w:ind w:firstLine="0"/>
        <w:jc w:val="center"/>
        <w:rPr>
          <w:rFonts w:hint="eastAsia" w:ascii="黑体" w:eastAsia="黑体" w:cs="黑体"/>
          <w:color w:val="auto"/>
          <w:sz w:val="44"/>
          <w:szCs w:val="44"/>
          <w:highlight w:val="none"/>
        </w:rPr>
      </w:pPr>
    </w:p>
    <w:p w14:paraId="0D6DFB45">
      <w:pPr>
        <w:ind w:firstLine="0"/>
        <w:jc w:val="center"/>
        <w:rPr>
          <w:rFonts w:hint="eastAsia" w:ascii="黑体" w:eastAsia="黑体" w:cs="黑体"/>
          <w:color w:val="auto"/>
          <w:sz w:val="44"/>
          <w:szCs w:val="44"/>
          <w:highlight w:val="none"/>
        </w:rPr>
      </w:pPr>
    </w:p>
    <w:p w14:paraId="1AB76103">
      <w:pPr>
        <w:ind w:firstLine="0"/>
        <w:jc w:val="center"/>
        <w:rPr>
          <w:rFonts w:hint="eastAsia" w:ascii="黑体" w:eastAsia="黑体" w:cs="黑体"/>
          <w:color w:val="auto"/>
          <w:sz w:val="44"/>
          <w:szCs w:val="44"/>
          <w:highlight w:val="none"/>
        </w:rPr>
      </w:pPr>
    </w:p>
    <w:p w14:paraId="6CC73B5A">
      <w:pPr>
        <w:ind w:firstLine="0"/>
        <w:jc w:val="center"/>
        <w:rPr>
          <w:rFonts w:hint="eastAsia" w:ascii="黑体" w:eastAsia="黑体" w:cs="黑体"/>
          <w:color w:val="auto"/>
          <w:sz w:val="44"/>
          <w:szCs w:val="44"/>
          <w:highlight w:val="none"/>
        </w:rPr>
      </w:pPr>
    </w:p>
    <w:p w14:paraId="5F287316">
      <w:pPr>
        <w:ind w:firstLine="0"/>
        <w:jc w:val="center"/>
        <w:rPr>
          <w:rFonts w:hint="eastAsia" w:ascii="黑体" w:eastAsia="黑体" w:cs="黑体"/>
          <w:color w:val="auto"/>
          <w:sz w:val="44"/>
          <w:szCs w:val="44"/>
          <w:highlight w:val="none"/>
        </w:rPr>
      </w:pPr>
    </w:p>
    <w:p w14:paraId="2D6D4288">
      <w:pPr>
        <w:ind w:firstLine="0"/>
        <w:jc w:val="center"/>
        <w:rPr>
          <w:rFonts w:ascii="黑体" w:eastAsia="黑体" w:cs="黑体"/>
          <w:color w:val="auto"/>
          <w:sz w:val="44"/>
          <w:szCs w:val="44"/>
          <w:highlight w:val="none"/>
        </w:rPr>
      </w:pPr>
      <w:r>
        <w:rPr>
          <w:rFonts w:hint="eastAsia" w:ascii="黑体" w:eastAsia="黑体" w:cs="黑体"/>
          <w:color w:val="auto"/>
          <w:sz w:val="44"/>
          <w:szCs w:val="44"/>
          <w:highlight w:val="none"/>
        </w:rPr>
        <w:t>第六章  投标文件格式</w:t>
      </w:r>
    </w:p>
    <w:p w14:paraId="4D5ED159">
      <w:pPr>
        <w:spacing w:line="240" w:lineRule="auto"/>
        <w:ind w:firstLine="0"/>
        <w:jc w:val="center"/>
        <w:rPr>
          <w:b/>
          <w:color w:val="auto"/>
          <w:sz w:val="72"/>
          <w:szCs w:val="72"/>
          <w:highlight w:val="none"/>
        </w:rPr>
      </w:pPr>
      <w:bookmarkStart w:id="152" w:name="_Hlt26671244"/>
      <w:bookmarkEnd w:id="152"/>
      <w:bookmarkStart w:id="153" w:name="_Toc26554094"/>
      <w:bookmarkEnd w:id="153"/>
      <w:bookmarkStart w:id="154" w:name="_Hlt26955039"/>
      <w:bookmarkEnd w:id="154"/>
    </w:p>
    <w:p w14:paraId="7A02FE31">
      <w:pPr>
        <w:spacing w:line="240" w:lineRule="auto"/>
        <w:ind w:firstLine="0"/>
        <w:jc w:val="both"/>
        <w:rPr>
          <w:b/>
          <w:color w:val="auto"/>
          <w:sz w:val="72"/>
          <w:szCs w:val="72"/>
          <w:highlight w:val="none"/>
        </w:rPr>
      </w:pPr>
    </w:p>
    <w:p w14:paraId="2C26E5A0">
      <w:pPr>
        <w:spacing w:line="240" w:lineRule="auto"/>
        <w:ind w:firstLine="0"/>
        <w:jc w:val="center"/>
        <w:rPr>
          <w:rFonts w:ascii="Calibri" w:hAnsi="Calibri" w:cs="Times New Roman"/>
          <w:color w:val="auto"/>
          <w:sz w:val="24"/>
          <w:szCs w:val="24"/>
          <w:highlight w:val="none"/>
        </w:rPr>
      </w:pPr>
      <w:r>
        <w:rPr>
          <w:rFonts w:hint="eastAsia"/>
          <w:b/>
          <w:color w:val="auto"/>
          <w:sz w:val="72"/>
          <w:szCs w:val="72"/>
          <w:highlight w:val="none"/>
        </w:rPr>
        <w:t>投 标 文 件</w:t>
      </w:r>
    </w:p>
    <w:p w14:paraId="31EDDFBE">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9A323EF">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5C2EFD0">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07DF494">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3740FF2">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68EE36C6">
      <w:pPr>
        <w:spacing w:line="240" w:lineRule="auto"/>
        <w:ind w:firstLine="0"/>
        <w:jc w:val="both"/>
        <w:rPr>
          <w:b/>
          <w:color w:val="auto"/>
          <w:sz w:val="36"/>
          <w:szCs w:val="36"/>
          <w:highlight w:val="none"/>
        </w:rPr>
      </w:pPr>
    </w:p>
    <w:p w14:paraId="31507D36">
      <w:pPr>
        <w:spacing w:line="240" w:lineRule="auto"/>
        <w:ind w:firstLine="0"/>
        <w:jc w:val="both"/>
        <w:rPr>
          <w:b/>
          <w:color w:val="auto"/>
          <w:sz w:val="36"/>
          <w:szCs w:val="36"/>
          <w:highlight w:val="none"/>
        </w:rPr>
      </w:pPr>
    </w:p>
    <w:p w14:paraId="2773CFC8">
      <w:pPr>
        <w:ind w:firstLine="1547"/>
        <w:jc w:val="both"/>
        <w:rPr>
          <w:rFonts w:ascii="Calibri" w:hAnsi="Calibri" w:cs="Times New Roman"/>
          <w:color w:val="auto"/>
          <w:sz w:val="24"/>
          <w:szCs w:val="24"/>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442743EF">
      <w:pPr>
        <w:ind w:firstLine="1547"/>
        <w:jc w:val="both"/>
        <w:rPr>
          <w:rFonts w:ascii="Calibri" w:hAnsi="Calibri" w:cs="Times New Roman"/>
          <w:color w:val="auto"/>
          <w:sz w:val="24"/>
          <w:szCs w:val="24"/>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5C8AE10A">
      <w:pPr>
        <w:ind w:firstLine="1547"/>
        <w:jc w:val="both"/>
        <w:rPr>
          <w:rFonts w:ascii="Calibri" w:hAnsi="Calibri" w:cs="Times New Roman"/>
          <w:color w:val="auto"/>
          <w:sz w:val="24"/>
          <w:szCs w:val="24"/>
          <w:highlight w:val="none"/>
        </w:rPr>
      </w:pPr>
      <w:r>
        <w:rPr>
          <w:rFonts w:hint="eastAsia"/>
          <w:b/>
          <w:color w:val="auto"/>
          <w:sz w:val="36"/>
          <w:szCs w:val="36"/>
          <w:highlight w:val="none"/>
          <w:lang w:eastAsia="zh-CN"/>
        </w:rPr>
        <w:t>投标人</w:t>
      </w:r>
      <w:r>
        <w:rPr>
          <w:rFonts w:hint="eastAsia"/>
          <w:b/>
          <w:color w:val="auto"/>
          <w:sz w:val="36"/>
          <w:szCs w:val="36"/>
          <w:highlight w:val="none"/>
        </w:rPr>
        <w:t>名称：</w:t>
      </w:r>
      <w:r>
        <w:rPr>
          <w:rFonts w:hint="eastAsia"/>
          <w:b/>
          <w:color w:val="auto"/>
          <w:sz w:val="36"/>
          <w:szCs w:val="36"/>
          <w:highlight w:val="none"/>
          <w:u w:val="single"/>
        </w:rPr>
        <w:t xml:space="preserve">（加盖CA电子公章） </w:t>
      </w:r>
    </w:p>
    <w:p w14:paraId="3B4955E1">
      <w:pPr>
        <w:ind w:firstLine="1547"/>
        <w:jc w:val="both"/>
        <w:rPr>
          <w:rFonts w:ascii="Calibri" w:hAnsi="Calibri" w:cs="Times New Roman"/>
          <w:color w:val="auto"/>
          <w:sz w:val="24"/>
          <w:szCs w:val="24"/>
          <w:highlight w:val="none"/>
        </w:rPr>
      </w:pPr>
      <w:r>
        <w:rPr>
          <w:rFonts w:hint="eastAsia"/>
          <w:b/>
          <w:color w:val="auto"/>
          <w:sz w:val="36"/>
          <w:szCs w:val="36"/>
          <w:highlight w:val="none"/>
        </w:rPr>
        <w:t>日      期：</w:t>
      </w:r>
      <w:r>
        <w:rPr>
          <w:rFonts w:hint="eastAsia"/>
          <w:b/>
          <w:color w:val="auto"/>
          <w:sz w:val="36"/>
          <w:szCs w:val="36"/>
          <w:highlight w:val="none"/>
          <w:u w:val="single"/>
        </w:rPr>
        <w:t xml:space="preserve">                   </w:t>
      </w:r>
    </w:p>
    <w:p w14:paraId="7D85A0AE">
      <w:pPr>
        <w:pStyle w:val="291"/>
        <w:rPr>
          <w:color w:val="auto"/>
          <w:highlight w:val="none"/>
        </w:rPr>
      </w:pPr>
    </w:p>
    <w:p w14:paraId="7AC0F07D">
      <w:pPr>
        <w:pStyle w:val="291"/>
        <w:rPr>
          <w:color w:val="auto"/>
          <w:highlight w:val="none"/>
        </w:rPr>
      </w:pPr>
    </w:p>
    <w:p w14:paraId="2A4FA5DD">
      <w:pPr>
        <w:rPr>
          <w:b/>
          <w:bCs/>
          <w:color w:val="auto"/>
          <w:sz w:val="28"/>
          <w:szCs w:val="28"/>
          <w:highlight w:val="none"/>
        </w:rPr>
      </w:pPr>
      <w:r>
        <w:rPr>
          <w:rFonts w:hint="eastAsia"/>
          <w:b/>
          <w:bCs/>
          <w:color w:val="auto"/>
          <w:sz w:val="28"/>
          <w:szCs w:val="22"/>
          <w:highlight w:val="none"/>
        </w:rPr>
        <w:br w:type="page" w:clear="all"/>
      </w:r>
    </w:p>
    <w:p w14:paraId="4E21FFAF">
      <w:pPr>
        <w:spacing w:line="520" w:lineRule="exact"/>
        <w:ind w:firstLine="0"/>
        <w:jc w:val="center"/>
        <w:rPr>
          <w:b/>
          <w:bCs/>
          <w:color w:val="auto"/>
          <w:sz w:val="28"/>
          <w:szCs w:val="28"/>
          <w:highlight w:val="none"/>
        </w:rPr>
      </w:pPr>
      <w:r>
        <w:rPr>
          <w:rFonts w:hint="eastAsia"/>
          <w:b/>
          <w:bCs/>
          <w:color w:val="auto"/>
          <w:sz w:val="28"/>
          <w:szCs w:val="22"/>
          <w:highlight w:val="none"/>
        </w:rPr>
        <w:t>投标文件目录</w:t>
      </w:r>
    </w:p>
    <w:p w14:paraId="57EC4BC1">
      <w:pPr>
        <w:spacing w:line="520" w:lineRule="exact"/>
        <w:ind w:firstLine="480"/>
        <w:rPr>
          <w:color w:val="auto"/>
          <w:sz w:val="24"/>
          <w:highlight w:val="none"/>
        </w:rPr>
      </w:pPr>
      <w:r>
        <w:rPr>
          <w:rFonts w:hint="eastAsia"/>
          <w:color w:val="auto"/>
          <w:sz w:val="24"/>
          <w:highlight w:val="none"/>
        </w:rPr>
        <w:t>一、法人或者其他组织的营业执照等证明文件</w:t>
      </w:r>
      <w:r>
        <w:rPr>
          <w:rFonts w:hint="eastAsia"/>
          <w:color w:val="auto"/>
          <w:sz w:val="24"/>
          <w:highlight w:val="none"/>
          <w:lang w:val="en-US" w:eastAsia="zh-CN"/>
        </w:rPr>
        <w:t>或</w:t>
      </w:r>
      <w:r>
        <w:rPr>
          <w:rFonts w:hint="eastAsia"/>
          <w:color w:val="auto"/>
          <w:sz w:val="24"/>
          <w:highlight w:val="none"/>
        </w:rPr>
        <w:t>自然人的身份证明</w:t>
      </w:r>
    </w:p>
    <w:p w14:paraId="4C8A0F56">
      <w:pPr>
        <w:spacing w:line="520" w:lineRule="exact"/>
        <w:ind w:firstLine="480"/>
        <w:rPr>
          <w:color w:val="auto"/>
          <w:sz w:val="24"/>
          <w:highlight w:val="none"/>
        </w:rPr>
      </w:pPr>
      <w:r>
        <w:rPr>
          <w:rFonts w:hint="eastAsia"/>
          <w:color w:val="auto"/>
          <w:sz w:val="24"/>
          <w:highlight w:val="none"/>
        </w:rPr>
        <w:t>二、</w:t>
      </w:r>
      <w:r>
        <w:rPr>
          <w:rFonts w:hint="eastAsia"/>
          <w:color w:val="auto"/>
          <w:sz w:val="24"/>
          <w:highlight w:val="none"/>
          <w:lang w:val="en-US" w:eastAsia="zh-CN"/>
        </w:rPr>
        <w:t>上一</w:t>
      </w:r>
      <w:r>
        <w:rPr>
          <w:rFonts w:hint="eastAsia"/>
          <w:color w:val="auto"/>
          <w:sz w:val="24"/>
          <w:highlight w:val="none"/>
        </w:rPr>
        <w:t>年度的财务状况报告（至少提供资产负债表、利润表、现金流量表，</w:t>
      </w:r>
      <w:r>
        <w:rPr>
          <w:rFonts w:hint="eastAsia"/>
          <w:color w:val="auto"/>
          <w:sz w:val="24"/>
          <w:highlight w:val="none"/>
          <w:lang w:eastAsia="zh-CN"/>
        </w:rPr>
        <w:t>投标人</w:t>
      </w:r>
      <w:r>
        <w:rPr>
          <w:rFonts w:hint="eastAsia"/>
          <w:color w:val="auto"/>
          <w:sz w:val="24"/>
          <w:highlight w:val="none"/>
        </w:rPr>
        <w:t>成立不满一年无需提供）</w:t>
      </w:r>
    </w:p>
    <w:p w14:paraId="1FAAD922">
      <w:pPr>
        <w:spacing w:line="520" w:lineRule="exact"/>
        <w:ind w:firstLine="480"/>
        <w:rPr>
          <w:color w:val="auto"/>
          <w:sz w:val="24"/>
          <w:highlight w:val="none"/>
        </w:rPr>
      </w:pPr>
      <w:r>
        <w:rPr>
          <w:rFonts w:hint="eastAsia"/>
          <w:color w:val="auto"/>
          <w:sz w:val="24"/>
          <w:highlight w:val="none"/>
        </w:rPr>
        <w:t>三、具备履行合同所必需的设备和专业技术能力的书面声明</w:t>
      </w:r>
    </w:p>
    <w:p w14:paraId="02406AE9">
      <w:pPr>
        <w:spacing w:line="520" w:lineRule="exact"/>
        <w:ind w:firstLine="480"/>
        <w:rPr>
          <w:color w:val="auto"/>
          <w:sz w:val="24"/>
          <w:highlight w:val="none"/>
        </w:rPr>
      </w:pPr>
      <w:r>
        <w:rPr>
          <w:rFonts w:hint="eastAsia"/>
          <w:color w:val="auto"/>
          <w:sz w:val="24"/>
          <w:highlight w:val="none"/>
        </w:rPr>
        <w:t>四、依法缴纳税收和社会保障资金的相关材料（提供提交投标文件截止时间前一年内至少一个月依法缴纳税收及缴纳社会保障资金的证明材料。</w:t>
      </w:r>
      <w:r>
        <w:rPr>
          <w:rFonts w:hint="eastAsia"/>
          <w:color w:val="auto"/>
          <w:sz w:val="24"/>
          <w:highlight w:val="none"/>
          <w:lang w:eastAsia="zh-CN"/>
        </w:rPr>
        <w:t>投标人</w:t>
      </w:r>
      <w:r>
        <w:rPr>
          <w:rFonts w:hint="eastAsia"/>
          <w:color w:val="auto"/>
          <w:sz w:val="24"/>
          <w:highlight w:val="none"/>
        </w:rPr>
        <w:t>依法享受缓缴、免缴税收、社会保障资金的提供证明材料）</w:t>
      </w:r>
    </w:p>
    <w:p w14:paraId="25473ABD">
      <w:pPr>
        <w:spacing w:line="520" w:lineRule="exact"/>
        <w:ind w:firstLine="480"/>
        <w:rPr>
          <w:color w:val="auto"/>
          <w:sz w:val="24"/>
          <w:highlight w:val="none"/>
        </w:rPr>
      </w:pPr>
      <w:r>
        <w:rPr>
          <w:rFonts w:hint="eastAsia"/>
          <w:color w:val="auto"/>
          <w:sz w:val="24"/>
          <w:highlight w:val="none"/>
        </w:rPr>
        <w:t>五、参加政府采购活动前3年内在经营活动中没有重大违法记录的书面声明</w:t>
      </w:r>
    </w:p>
    <w:p w14:paraId="0B40B5CA">
      <w:pPr>
        <w:spacing w:line="520" w:lineRule="exact"/>
        <w:ind w:firstLine="480"/>
        <w:rPr>
          <w:color w:val="auto"/>
          <w:sz w:val="24"/>
          <w:highlight w:val="none"/>
        </w:rPr>
      </w:pPr>
      <w:r>
        <w:rPr>
          <w:rFonts w:hint="eastAsia"/>
          <w:color w:val="auto"/>
          <w:sz w:val="24"/>
          <w:highlight w:val="none"/>
        </w:rPr>
        <w:t>六、特定资格要求的证明文件（如果本项目设置特定资格要求，则需要提供）</w:t>
      </w:r>
    </w:p>
    <w:p w14:paraId="0DFDC7E9">
      <w:pPr>
        <w:spacing w:line="520" w:lineRule="exact"/>
        <w:ind w:firstLine="480"/>
        <w:rPr>
          <w:color w:val="auto"/>
          <w:sz w:val="24"/>
          <w:highlight w:val="none"/>
        </w:rPr>
      </w:pPr>
      <w:r>
        <w:rPr>
          <w:rFonts w:hint="eastAsia"/>
          <w:color w:val="auto"/>
          <w:sz w:val="24"/>
          <w:highlight w:val="none"/>
        </w:rPr>
        <w:t>七、法人授权书</w:t>
      </w:r>
    </w:p>
    <w:p w14:paraId="7C0B555B">
      <w:pPr>
        <w:spacing w:line="520" w:lineRule="exact"/>
        <w:ind w:firstLine="480"/>
        <w:rPr>
          <w:color w:val="auto"/>
          <w:sz w:val="24"/>
          <w:highlight w:val="none"/>
        </w:rPr>
      </w:pPr>
      <w:r>
        <w:rPr>
          <w:rFonts w:hint="eastAsia"/>
          <w:color w:val="auto"/>
          <w:sz w:val="24"/>
          <w:highlight w:val="none"/>
        </w:rPr>
        <w:t>八、投标函</w:t>
      </w:r>
    </w:p>
    <w:p w14:paraId="1DB2CC35">
      <w:pPr>
        <w:spacing w:line="520" w:lineRule="exact"/>
        <w:ind w:firstLine="480"/>
        <w:rPr>
          <w:color w:val="auto"/>
          <w:sz w:val="24"/>
          <w:highlight w:val="none"/>
        </w:rPr>
      </w:pPr>
      <w:r>
        <w:rPr>
          <w:rFonts w:hint="eastAsia"/>
          <w:color w:val="auto"/>
          <w:sz w:val="24"/>
          <w:highlight w:val="none"/>
        </w:rPr>
        <w:t>九、中小企业声明函</w:t>
      </w:r>
    </w:p>
    <w:p w14:paraId="6698A21D">
      <w:pPr>
        <w:spacing w:line="520" w:lineRule="exact"/>
        <w:ind w:firstLine="480"/>
        <w:rPr>
          <w:color w:val="auto"/>
          <w:sz w:val="24"/>
          <w:highlight w:val="none"/>
        </w:rPr>
      </w:pPr>
      <w:r>
        <w:rPr>
          <w:rFonts w:hint="eastAsia"/>
          <w:color w:val="auto"/>
          <w:sz w:val="24"/>
          <w:highlight w:val="none"/>
        </w:rPr>
        <w:t>十、残疾人福利性单位声明函</w:t>
      </w:r>
    </w:p>
    <w:p w14:paraId="3B76A6B7">
      <w:pPr>
        <w:spacing w:line="520" w:lineRule="exact"/>
        <w:ind w:firstLine="480"/>
        <w:rPr>
          <w:color w:val="auto"/>
          <w:sz w:val="24"/>
          <w:highlight w:val="none"/>
        </w:rPr>
      </w:pPr>
      <w:r>
        <w:rPr>
          <w:rFonts w:hint="eastAsia"/>
          <w:color w:val="auto"/>
          <w:sz w:val="24"/>
          <w:highlight w:val="none"/>
        </w:rPr>
        <w:t>十一、投标分项报价表</w:t>
      </w:r>
    </w:p>
    <w:p w14:paraId="3CA647B5">
      <w:pPr>
        <w:spacing w:line="520" w:lineRule="exact"/>
        <w:ind w:firstLine="480"/>
        <w:rPr>
          <w:color w:val="auto"/>
          <w:sz w:val="24"/>
          <w:highlight w:val="none"/>
        </w:rPr>
      </w:pPr>
      <w:r>
        <w:rPr>
          <w:rFonts w:hint="eastAsia"/>
          <w:color w:val="auto"/>
          <w:sz w:val="24"/>
          <w:highlight w:val="none"/>
        </w:rPr>
        <w:t>十二、技术要求响应及偏离表</w:t>
      </w:r>
    </w:p>
    <w:p w14:paraId="6063DAF3">
      <w:pPr>
        <w:spacing w:line="520" w:lineRule="exact"/>
        <w:ind w:firstLine="480"/>
        <w:rPr>
          <w:color w:val="auto"/>
          <w:sz w:val="24"/>
          <w:highlight w:val="none"/>
        </w:rPr>
      </w:pPr>
      <w:r>
        <w:rPr>
          <w:rFonts w:hint="eastAsia"/>
          <w:color w:val="auto"/>
          <w:sz w:val="24"/>
          <w:highlight w:val="none"/>
        </w:rPr>
        <w:t>十三、商务要求响应及偏离表</w:t>
      </w:r>
    </w:p>
    <w:p w14:paraId="7B93A102">
      <w:pPr>
        <w:spacing w:line="520" w:lineRule="exact"/>
        <w:ind w:firstLine="480"/>
        <w:rPr>
          <w:color w:val="auto"/>
          <w:sz w:val="24"/>
          <w:highlight w:val="none"/>
        </w:rPr>
      </w:pPr>
      <w:r>
        <w:rPr>
          <w:rFonts w:hint="eastAsia"/>
          <w:color w:val="auto"/>
          <w:sz w:val="24"/>
          <w:highlight w:val="none"/>
        </w:rPr>
        <w:t>十四、开标一览表</w:t>
      </w:r>
    </w:p>
    <w:p w14:paraId="7C24D81C">
      <w:pPr>
        <w:spacing w:line="520" w:lineRule="exact"/>
        <w:ind w:firstLine="480"/>
        <w:rPr>
          <w:color w:val="auto"/>
          <w:sz w:val="24"/>
          <w:highlight w:val="none"/>
        </w:rPr>
      </w:pPr>
      <w:r>
        <w:rPr>
          <w:rFonts w:hint="eastAsia"/>
          <w:color w:val="auto"/>
          <w:sz w:val="24"/>
          <w:highlight w:val="none"/>
        </w:rPr>
        <w:t>十五、服务方案等</w:t>
      </w:r>
    </w:p>
    <w:p w14:paraId="58DE6B7A">
      <w:pPr>
        <w:spacing w:line="520" w:lineRule="exact"/>
        <w:ind w:firstLine="480"/>
        <w:rPr>
          <w:rFonts w:hint="eastAsia"/>
          <w:color w:val="auto"/>
          <w:sz w:val="24"/>
          <w:highlight w:val="none"/>
        </w:rPr>
      </w:pPr>
      <w:r>
        <w:rPr>
          <w:rFonts w:hint="eastAsia"/>
          <w:color w:val="auto"/>
          <w:sz w:val="24"/>
          <w:highlight w:val="none"/>
        </w:rPr>
        <w:t>十六、盐城市亭湖区政府采购事前信用承诺书</w:t>
      </w:r>
    </w:p>
    <w:p w14:paraId="7FCFCE79">
      <w:pPr>
        <w:spacing w:line="520" w:lineRule="exact"/>
        <w:ind w:firstLine="480"/>
        <w:rPr>
          <w:rFonts w:hint="eastAsia" w:eastAsia="宋体"/>
          <w:color w:val="auto"/>
          <w:sz w:val="24"/>
          <w:highlight w:val="none"/>
          <w:lang w:eastAsia="zh-CN"/>
        </w:rPr>
      </w:pPr>
      <w:r>
        <w:rPr>
          <w:rFonts w:hint="eastAsia"/>
          <w:color w:val="auto"/>
          <w:sz w:val="24"/>
          <w:highlight w:val="none"/>
          <w:lang w:eastAsia="zh-CN"/>
        </w:rPr>
        <w:t>十七、根据</w:t>
      </w:r>
      <w:r>
        <w:rPr>
          <w:rFonts w:hint="eastAsia"/>
          <w:color w:val="auto"/>
          <w:sz w:val="24"/>
          <w:highlight w:val="none"/>
        </w:rPr>
        <w:t>招标文件“第五章 评标方法与评标标准”的要求需要提供的材料</w:t>
      </w:r>
      <w:r>
        <w:rPr>
          <w:rFonts w:hint="eastAsia"/>
          <w:color w:val="auto"/>
          <w:sz w:val="24"/>
          <w:highlight w:val="none"/>
          <w:lang w:eastAsia="zh-CN"/>
        </w:rPr>
        <w:t>及投标人</w:t>
      </w:r>
      <w:r>
        <w:rPr>
          <w:rFonts w:hint="eastAsia"/>
          <w:color w:val="auto"/>
          <w:sz w:val="24"/>
          <w:highlight w:val="none"/>
        </w:rPr>
        <w:t>认为有必要提供的其他材料</w:t>
      </w:r>
      <w:r>
        <w:rPr>
          <w:rFonts w:hint="eastAsia"/>
          <w:color w:val="auto"/>
          <w:sz w:val="24"/>
          <w:highlight w:val="none"/>
          <w:lang w:eastAsia="zh-CN"/>
        </w:rPr>
        <w:t>。</w:t>
      </w:r>
    </w:p>
    <w:p w14:paraId="1F007550">
      <w:pPr>
        <w:spacing w:line="520" w:lineRule="exact"/>
        <w:ind w:firstLine="480"/>
        <w:rPr>
          <w:rFonts w:hint="eastAsia"/>
          <w:color w:val="auto"/>
          <w:sz w:val="24"/>
          <w:highlight w:val="none"/>
        </w:rPr>
      </w:pPr>
    </w:p>
    <w:p w14:paraId="1FA61428">
      <w:pPr>
        <w:ind w:firstLine="440"/>
        <w:rPr>
          <w:color w:val="auto"/>
          <w:highlight w:val="none"/>
        </w:rPr>
      </w:pPr>
    </w:p>
    <w:p w14:paraId="49E333E8">
      <w:pPr>
        <w:ind w:firstLine="440"/>
        <w:rPr>
          <w:color w:val="auto"/>
          <w:highlight w:val="none"/>
        </w:rPr>
      </w:pPr>
    </w:p>
    <w:p w14:paraId="6B62E91A">
      <w:pPr>
        <w:ind w:firstLine="440"/>
        <w:rPr>
          <w:color w:val="auto"/>
          <w:highlight w:val="none"/>
        </w:rPr>
      </w:pPr>
    </w:p>
    <w:p w14:paraId="57D9B542">
      <w:pPr>
        <w:ind w:firstLine="440"/>
        <w:rPr>
          <w:color w:val="auto"/>
          <w:highlight w:val="none"/>
        </w:rPr>
      </w:pPr>
    </w:p>
    <w:p w14:paraId="370AFCC8">
      <w:pPr>
        <w:ind w:firstLine="440"/>
        <w:rPr>
          <w:color w:val="auto"/>
          <w:highlight w:val="none"/>
        </w:rPr>
      </w:pPr>
    </w:p>
    <w:p w14:paraId="7C7049D4">
      <w:pPr>
        <w:pStyle w:val="299"/>
        <w:ind w:firstLine="0"/>
        <w:jc w:val="center"/>
        <w:rPr>
          <w:color w:val="auto"/>
          <w:highlight w:val="none"/>
        </w:rPr>
      </w:pPr>
      <w:bookmarkStart w:id="155" w:name="_Toc513029281"/>
      <w:bookmarkStart w:id="156" w:name="_Toc23828483"/>
      <w:bookmarkStart w:id="157" w:name="_Toc26554103"/>
      <w:bookmarkStart w:id="158" w:name="_Toc120614291"/>
      <w:bookmarkStart w:id="159" w:name="_Toc120614284"/>
      <w:bookmarkStart w:id="160" w:name="_Toc22356583"/>
      <w:bookmarkStart w:id="161" w:name="_Toc49090582"/>
      <w:bookmarkStart w:id="162" w:name="_Toc24878535"/>
      <w:r>
        <w:rPr>
          <w:rFonts w:hint="eastAsia" w:ascii="黑体" w:hAnsi="黑体" w:eastAsia="黑体" w:cs="黑体"/>
          <w:i/>
          <w:color w:val="auto"/>
          <w:sz w:val="32"/>
          <w:szCs w:val="32"/>
          <w:highlight w:val="none"/>
          <w:u w:val="single"/>
        </w:rPr>
        <w:t>一、法人或者其他组织的营业执照等证明文件</w:t>
      </w:r>
      <w:r>
        <w:rPr>
          <w:rFonts w:hint="eastAsia" w:ascii="黑体" w:hAnsi="黑体" w:eastAsia="黑体" w:cs="黑体"/>
          <w:i/>
          <w:color w:val="auto"/>
          <w:sz w:val="32"/>
          <w:szCs w:val="32"/>
          <w:highlight w:val="none"/>
          <w:u w:val="single"/>
          <w:lang w:val="en-US" w:eastAsia="zh-CN"/>
        </w:rPr>
        <w:t>或</w:t>
      </w:r>
      <w:r>
        <w:rPr>
          <w:rFonts w:hint="eastAsia" w:ascii="黑体" w:hAnsi="黑体" w:eastAsia="黑体" w:cs="黑体"/>
          <w:i/>
          <w:color w:val="auto"/>
          <w:sz w:val="32"/>
          <w:szCs w:val="32"/>
          <w:highlight w:val="none"/>
          <w:u w:val="single"/>
        </w:rPr>
        <w:t>自然人的身份证明</w:t>
      </w:r>
    </w:p>
    <w:p w14:paraId="15F0941A">
      <w:pPr>
        <w:pStyle w:val="314"/>
        <w:ind w:firstLine="480"/>
        <w:rPr>
          <w:color w:val="auto"/>
          <w:highlight w:val="none"/>
        </w:rPr>
      </w:pPr>
      <w:r>
        <w:rPr>
          <w:rFonts w:hint="eastAsia"/>
          <w:color w:val="auto"/>
          <w:highlight w:val="none"/>
        </w:rPr>
        <w:t> </w:t>
      </w:r>
    </w:p>
    <w:p w14:paraId="43721920">
      <w:pPr>
        <w:ind w:firstLine="440"/>
        <w:rPr>
          <w:color w:val="auto"/>
          <w:highlight w:val="none"/>
        </w:rPr>
      </w:pPr>
    </w:p>
    <w:p w14:paraId="67D08327">
      <w:pPr>
        <w:ind w:firstLine="440"/>
        <w:rPr>
          <w:color w:val="auto"/>
          <w:highlight w:val="none"/>
        </w:rPr>
      </w:pPr>
    </w:p>
    <w:p w14:paraId="43713E5D">
      <w:pPr>
        <w:ind w:firstLine="440"/>
        <w:rPr>
          <w:color w:val="auto"/>
          <w:highlight w:val="none"/>
        </w:rPr>
      </w:pPr>
      <w:r>
        <w:rPr>
          <w:rFonts w:hint="eastAsia"/>
          <w:color w:val="auto"/>
          <w:highlight w:val="none"/>
        </w:rPr>
        <w:t xml:space="preserve">                                      </w:t>
      </w:r>
    </w:p>
    <w:p w14:paraId="3C0164CF">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7AF41C69">
      <w:pPr>
        <w:pStyle w:val="314"/>
        <w:spacing w:beforeAutospacing="0" w:afterAutospacing="0" w:line="4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w:t>
      </w:r>
      <w:r>
        <w:rPr>
          <w:rFonts w:hint="eastAsia" w:ascii="黑体" w:hAnsi="黑体" w:eastAsia="黑体" w:cs="黑体"/>
          <w:i/>
          <w:color w:val="auto"/>
          <w:sz w:val="32"/>
          <w:szCs w:val="32"/>
          <w:highlight w:val="none"/>
          <w:u w:val="single"/>
          <w:lang w:val="en-US" w:eastAsia="zh-CN"/>
        </w:rPr>
        <w:t>上一年度</w:t>
      </w:r>
      <w:r>
        <w:rPr>
          <w:rFonts w:hint="eastAsia" w:ascii="黑体" w:hAnsi="黑体" w:eastAsia="黑体" w:cs="黑体"/>
          <w:i/>
          <w:color w:val="auto"/>
          <w:sz w:val="32"/>
          <w:szCs w:val="32"/>
          <w:highlight w:val="none"/>
          <w:u w:val="single"/>
        </w:rPr>
        <w:t>的财务状况报告</w:t>
      </w:r>
    </w:p>
    <w:p w14:paraId="556BFC98">
      <w:pPr>
        <w:pStyle w:val="323"/>
        <w:spacing w:beforeAutospacing="0" w:afterAutospacing="0" w:line="400" w:lineRule="exact"/>
        <w:ind w:firstLine="0"/>
        <w:jc w:val="center"/>
        <w:rPr>
          <w:color w:val="auto"/>
          <w:highlight w:val="none"/>
        </w:rPr>
      </w:pPr>
      <w:r>
        <w:rPr>
          <w:rFonts w:hint="eastAsia"/>
          <w:color w:val="auto"/>
          <w:highlight w:val="none"/>
        </w:rPr>
        <w:t>（至少提供资产负债表、利润表、现金流量表，</w:t>
      </w:r>
      <w:r>
        <w:rPr>
          <w:rFonts w:hint="eastAsia"/>
          <w:color w:val="auto"/>
          <w:highlight w:val="none"/>
          <w:lang w:eastAsia="zh-CN"/>
        </w:rPr>
        <w:t>投标人</w:t>
      </w:r>
      <w:r>
        <w:rPr>
          <w:rFonts w:hint="eastAsia"/>
          <w:color w:val="auto"/>
          <w:highlight w:val="none"/>
        </w:rPr>
        <w:t>成立不满一年不需提供。）</w:t>
      </w:r>
    </w:p>
    <w:p w14:paraId="40BEC0A4">
      <w:pPr>
        <w:pStyle w:val="271"/>
        <w:spacing w:line="500" w:lineRule="exact"/>
        <w:ind w:firstLine="480"/>
        <w:jc w:val="center"/>
        <w:rPr>
          <w:color w:val="auto"/>
          <w:sz w:val="24"/>
          <w:szCs w:val="21"/>
          <w:highlight w:val="none"/>
        </w:rPr>
      </w:pPr>
    </w:p>
    <w:p w14:paraId="0E9C5785">
      <w:pPr>
        <w:ind w:firstLine="440"/>
        <w:rPr>
          <w:color w:val="auto"/>
          <w:highlight w:val="none"/>
        </w:rPr>
      </w:pPr>
    </w:p>
    <w:p w14:paraId="0A6CCD3A">
      <w:pPr>
        <w:ind w:firstLine="440"/>
        <w:rPr>
          <w:color w:val="auto"/>
          <w:highlight w:val="none"/>
        </w:rPr>
      </w:pPr>
    </w:p>
    <w:p w14:paraId="167AC673">
      <w:pPr>
        <w:ind w:firstLine="440"/>
        <w:rPr>
          <w:color w:val="auto"/>
          <w:highlight w:val="none"/>
        </w:rPr>
      </w:pPr>
      <w:r>
        <w:rPr>
          <w:rFonts w:hint="eastAsia"/>
          <w:color w:val="auto"/>
          <w:highlight w:val="none"/>
        </w:rPr>
        <w:t xml:space="preserve">                                      </w:t>
      </w:r>
    </w:p>
    <w:p w14:paraId="08FE5087">
      <w:pPr>
        <w:ind w:firstLine="440"/>
        <w:rPr>
          <w:color w:val="auto"/>
          <w:highlight w:val="none"/>
        </w:rPr>
      </w:pPr>
    </w:p>
    <w:p w14:paraId="0AB33B28">
      <w:pPr>
        <w:ind w:firstLine="440"/>
        <w:rPr>
          <w:color w:val="auto"/>
          <w:highlight w:val="none"/>
        </w:rPr>
      </w:pPr>
    </w:p>
    <w:p w14:paraId="6DC5DED6">
      <w:pPr>
        <w:pStyle w:val="299"/>
        <w:ind w:firstLine="480"/>
        <w:rPr>
          <w:color w:val="auto"/>
          <w:highlight w:val="none"/>
        </w:rPr>
      </w:pPr>
    </w:p>
    <w:p w14:paraId="32D12468">
      <w:pPr>
        <w:pStyle w:val="299"/>
        <w:ind w:firstLine="480"/>
        <w:rPr>
          <w:color w:val="auto"/>
          <w:highlight w:val="none"/>
        </w:rPr>
      </w:pPr>
    </w:p>
    <w:p w14:paraId="4FF0BF62">
      <w:pPr>
        <w:pStyle w:val="299"/>
        <w:ind w:firstLine="480"/>
        <w:rPr>
          <w:color w:val="auto"/>
          <w:highlight w:val="none"/>
        </w:rPr>
      </w:pPr>
    </w:p>
    <w:p w14:paraId="132316E2">
      <w:pPr>
        <w:pStyle w:val="299"/>
        <w:ind w:firstLine="480"/>
        <w:rPr>
          <w:color w:val="auto"/>
          <w:highlight w:val="none"/>
        </w:rPr>
      </w:pPr>
    </w:p>
    <w:p w14:paraId="46141065">
      <w:pPr>
        <w:pStyle w:val="299"/>
        <w:ind w:firstLine="480"/>
        <w:rPr>
          <w:color w:val="auto"/>
          <w:highlight w:val="none"/>
        </w:rPr>
      </w:pPr>
    </w:p>
    <w:p w14:paraId="340E7D93">
      <w:pPr>
        <w:pStyle w:val="299"/>
        <w:ind w:firstLine="480"/>
        <w:rPr>
          <w:color w:val="auto"/>
          <w:highlight w:val="none"/>
        </w:rPr>
      </w:pPr>
    </w:p>
    <w:p w14:paraId="18042318">
      <w:pPr>
        <w:pStyle w:val="299"/>
        <w:ind w:firstLine="480"/>
        <w:rPr>
          <w:color w:val="auto"/>
          <w:highlight w:val="none"/>
        </w:rPr>
      </w:pPr>
    </w:p>
    <w:p w14:paraId="1131F49F">
      <w:pPr>
        <w:pStyle w:val="299"/>
        <w:ind w:firstLine="480"/>
        <w:rPr>
          <w:color w:val="auto"/>
          <w:highlight w:val="none"/>
        </w:rPr>
      </w:pPr>
    </w:p>
    <w:p w14:paraId="3764588B">
      <w:pPr>
        <w:pStyle w:val="299"/>
        <w:ind w:firstLine="480"/>
        <w:rPr>
          <w:color w:val="auto"/>
          <w:highlight w:val="none"/>
        </w:rPr>
      </w:pPr>
    </w:p>
    <w:p w14:paraId="02A64098">
      <w:pPr>
        <w:pStyle w:val="299"/>
        <w:ind w:firstLine="480"/>
        <w:rPr>
          <w:color w:val="auto"/>
          <w:highlight w:val="none"/>
        </w:rPr>
      </w:pPr>
    </w:p>
    <w:p w14:paraId="03EB6E5D">
      <w:pPr>
        <w:pStyle w:val="299"/>
        <w:ind w:firstLine="480"/>
        <w:rPr>
          <w:color w:val="auto"/>
          <w:highlight w:val="none"/>
        </w:rPr>
      </w:pPr>
    </w:p>
    <w:p w14:paraId="20FEFC0F">
      <w:pPr>
        <w:ind w:firstLine="440"/>
        <w:rPr>
          <w:color w:val="auto"/>
          <w:highlight w:val="none"/>
        </w:rPr>
      </w:pPr>
    </w:p>
    <w:p w14:paraId="1742B95F">
      <w:pPr>
        <w:ind w:firstLine="440"/>
        <w:rPr>
          <w:color w:val="auto"/>
          <w:highlight w:val="none"/>
        </w:rPr>
      </w:pPr>
    </w:p>
    <w:p w14:paraId="16E3732D">
      <w:pPr>
        <w:ind w:firstLine="440"/>
        <w:rPr>
          <w:color w:val="auto"/>
          <w:highlight w:val="none"/>
        </w:rPr>
      </w:pPr>
    </w:p>
    <w:p w14:paraId="7F919CD9">
      <w:pPr>
        <w:ind w:firstLine="440"/>
        <w:rPr>
          <w:color w:val="auto"/>
          <w:highlight w:val="none"/>
        </w:rPr>
      </w:pPr>
    </w:p>
    <w:p w14:paraId="76AC0326">
      <w:pPr>
        <w:ind w:firstLine="440"/>
        <w:rPr>
          <w:color w:val="auto"/>
          <w:highlight w:val="none"/>
        </w:rPr>
      </w:pPr>
    </w:p>
    <w:p w14:paraId="3D493FF7">
      <w:pPr>
        <w:ind w:firstLine="440"/>
        <w:rPr>
          <w:color w:val="auto"/>
          <w:highlight w:val="none"/>
        </w:rPr>
      </w:pPr>
    </w:p>
    <w:p w14:paraId="485A40DA">
      <w:pPr>
        <w:pStyle w:val="314"/>
        <w:ind w:firstLine="480"/>
        <w:rPr>
          <w:color w:val="auto"/>
          <w:highlight w:val="none"/>
        </w:rPr>
      </w:pPr>
    </w:p>
    <w:p w14:paraId="28B9F6BC">
      <w:pPr>
        <w:pStyle w:val="314"/>
        <w:ind w:firstLine="480"/>
        <w:rPr>
          <w:color w:val="auto"/>
          <w:highlight w:val="none"/>
        </w:rPr>
      </w:pPr>
    </w:p>
    <w:p w14:paraId="084714BF">
      <w:pPr>
        <w:pStyle w:val="314"/>
        <w:ind w:firstLine="480"/>
        <w:rPr>
          <w:color w:val="auto"/>
          <w:highlight w:val="none"/>
        </w:rPr>
      </w:pPr>
    </w:p>
    <w:p w14:paraId="3D699CF7">
      <w:pPr>
        <w:pStyle w:val="314"/>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475DF11C">
      <w:pPr>
        <w:pStyle w:val="314"/>
        <w:spacing w:beforeAutospacing="0" w:afterAutospacing="0" w:line="500" w:lineRule="exact"/>
        <w:ind w:firstLine="480"/>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594AD8C2">
      <w:pPr>
        <w:pStyle w:val="314"/>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05775C06">
      <w:pPr>
        <w:pStyle w:val="314"/>
        <w:spacing w:beforeAutospacing="0" w:afterAutospacing="0" w:line="500" w:lineRule="exact"/>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7A1DCB64">
      <w:pPr>
        <w:pStyle w:val="314"/>
        <w:spacing w:beforeAutospacing="0" w:afterAutospacing="0" w:line="500" w:lineRule="exact"/>
        <w:ind w:firstLine="480"/>
        <w:jc w:val="both"/>
        <w:rPr>
          <w:color w:val="auto"/>
          <w:highlight w:val="none"/>
        </w:rPr>
      </w:pPr>
      <w:r>
        <w:rPr>
          <w:rFonts w:hint="eastAsia"/>
          <w:color w:val="auto"/>
          <w:highlight w:val="none"/>
        </w:rPr>
        <w:t>                </w:t>
      </w:r>
    </w:p>
    <w:p w14:paraId="5B2403EF">
      <w:pPr>
        <w:ind w:firstLine="440"/>
        <w:rPr>
          <w:color w:val="auto"/>
          <w:highlight w:val="none"/>
        </w:rPr>
      </w:pPr>
      <w:r>
        <w:rPr>
          <w:rFonts w:hint="eastAsia"/>
          <w:color w:val="auto"/>
          <w:highlight w:val="none"/>
        </w:rPr>
        <w:br w:type="page" w:clear="all"/>
      </w:r>
    </w:p>
    <w:p w14:paraId="173D4D6F">
      <w:pPr>
        <w:pStyle w:val="314"/>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69A6DAE5">
      <w:pPr>
        <w:pStyle w:val="314"/>
        <w:spacing w:beforeAutospacing="0" w:afterAutospacing="0" w:line="440" w:lineRule="exact"/>
        <w:ind w:firstLine="480"/>
        <w:jc w:val="both"/>
        <w:rPr>
          <w:color w:val="auto"/>
          <w:szCs w:val="24"/>
          <w:highlight w:val="none"/>
        </w:rPr>
      </w:pPr>
      <w:r>
        <w:rPr>
          <w:rFonts w:hint="eastAsia"/>
          <w:color w:val="auto"/>
          <w:szCs w:val="24"/>
          <w:highlight w:val="none"/>
        </w:rPr>
        <w:t>提供提交投标文件截止时间前一年内至少一个月依法缴纳税收及缴纳社会保障资金的证明材料。</w:t>
      </w:r>
      <w:r>
        <w:rPr>
          <w:rFonts w:hint="eastAsia"/>
          <w:color w:val="auto"/>
          <w:szCs w:val="24"/>
          <w:highlight w:val="none"/>
          <w:lang w:eastAsia="zh-CN"/>
        </w:rPr>
        <w:t>投标人</w:t>
      </w:r>
      <w:r>
        <w:rPr>
          <w:rFonts w:hint="eastAsia"/>
          <w:color w:val="auto"/>
          <w:szCs w:val="24"/>
          <w:highlight w:val="none"/>
        </w:rPr>
        <w:t>依法享受缓缴、免缴税收、社会保障资金的提供证明材料。</w:t>
      </w:r>
    </w:p>
    <w:p w14:paraId="724034C1">
      <w:pPr>
        <w:pStyle w:val="314"/>
        <w:ind w:firstLine="480"/>
        <w:rPr>
          <w:color w:val="auto"/>
          <w:highlight w:val="none"/>
        </w:rPr>
      </w:pPr>
    </w:p>
    <w:p w14:paraId="5E04F20F">
      <w:pPr>
        <w:pStyle w:val="269"/>
        <w:ind w:firstLine="641"/>
        <w:outlineLvl w:val="9"/>
        <w:rPr>
          <w:color w:val="auto"/>
          <w:highlight w:val="none"/>
        </w:rPr>
      </w:pPr>
    </w:p>
    <w:p w14:paraId="7EC045D9">
      <w:pPr>
        <w:pStyle w:val="299"/>
        <w:ind w:firstLine="480"/>
        <w:rPr>
          <w:color w:val="auto"/>
          <w:highlight w:val="none"/>
        </w:rPr>
      </w:pPr>
    </w:p>
    <w:p w14:paraId="1EAB28F2">
      <w:pPr>
        <w:pStyle w:val="299"/>
        <w:ind w:firstLine="480"/>
        <w:rPr>
          <w:color w:val="auto"/>
          <w:highlight w:val="none"/>
        </w:rPr>
      </w:pPr>
    </w:p>
    <w:p w14:paraId="33EC92D7">
      <w:pPr>
        <w:pStyle w:val="299"/>
        <w:ind w:firstLine="480"/>
        <w:rPr>
          <w:color w:val="auto"/>
          <w:highlight w:val="none"/>
        </w:rPr>
      </w:pPr>
    </w:p>
    <w:p w14:paraId="25FA2B07">
      <w:pPr>
        <w:pStyle w:val="299"/>
        <w:ind w:firstLine="480"/>
        <w:rPr>
          <w:color w:val="auto"/>
          <w:highlight w:val="none"/>
        </w:rPr>
      </w:pPr>
    </w:p>
    <w:p w14:paraId="55C5962A">
      <w:pPr>
        <w:pStyle w:val="299"/>
        <w:ind w:firstLine="480"/>
        <w:rPr>
          <w:color w:val="auto"/>
          <w:highlight w:val="none"/>
        </w:rPr>
      </w:pPr>
    </w:p>
    <w:p w14:paraId="20B9699A">
      <w:pPr>
        <w:pStyle w:val="299"/>
        <w:ind w:firstLine="480"/>
        <w:rPr>
          <w:color w:val="auto"/>
          <w:highlight w:val="none"/>
        </w:rPr>
      </w:pPr>
    </w:p>
    <w:p w14:paraId="41E1A615">
      <w:pPr>
        <w:pStyle w:val="299"/>
        <w:ind w:firstLine="480"/>
        <w:rPr>
          <w:color w:val="auto"/>
          <w:highlight w:val="none"/>
        </w:rPr>
      </w:pPr>
    </w:p>
    <w:p w14:paraId="7077C88E">
      <w:pPr>
        <w:ind w:firstLine="440"/>
        <w:rPr>
          <w:color w:val="auto"/>
          <w:highlight w:val="none"/>
        </w:rPr>
      </w:pPr>
    </w:p>
    <w:p w14:paraId="54749BFD">
      <w:pPr>
        <w:ind w:firstLine="440"/>
        <w:rPr>
          <w:color w:val="auto"/>
          <w:highlight w:val="none"/>
        </w:rPr>
      </w:pPr>
    </w:p>
    <w:p w14:paraId="1C4FA43F">
      <w:pPr>
        <w:ind w:firstLine="440"/>
        <w:rPr>
          <w:color w:val="auto"/>
          <w:highlight w:val="none"/>
        </w:rPr>
      </w:pPr>
    </w:p>
    <w:p w14:paraId="01B31A26">
      <w:pPr>
        <w:ind w:firstLine="440"/>
        <w:rPr>
          <w:color w:val="auto"/>
          <w:highlight w:val="none"/>
        </w:rPr>
      </w:pPr>
    </w:p>
    <w:p w14:paraId="3E8EAA71">
      <w:pPr>
        <w:ind w:firstLine="440"/>
        <w:rPr>
          <w:color w:val="auto"/>
          <w:highlight w:val="none"/>
        </w:rPr>
      </w:pPr>
    </w:p>
    <w:p w14:paraId="155D83FB">
      <w:pPr>
        <w:ind w:firstLine="440"/>
        <w:rPr>
          <w:color w:val="auto"/>
          <w:highlight w:val="none"/>
        </w:rPr>
      </w:pPr>
    </w:p>
    <w:p w14:paraId="09102720">
      <w:pPr>
        <w:ind w:firstLine="440"/>
        <w:rPr>
          <w:color w:val="auto"/>
          <w:highlight w:val="none"/>
        </w:rPr>
      </w:pPr>
    </w:p>
    <w:p w14:paraId="2E04D435">
      <w:pPr>
        <w:ind w:firstLine="440"/>
        <w:rPr>
          <w:color w:val="auto"/>
          <w:highlight w:val="none"/>
        </w:rPr>
      </w:pPr>
    </w:p>
    <w:p w14:paraId="50ED3599">
      <w:pPr>
        <w:ind w:firstLine="440"/>
        <w:rPr>
          <w:color w:val="auto"/>
          <w:highlight w:val="none"/>
        </w:rPr>
      </w:pPr>
    </w:p>
    <w:p w14:paraId="627CB988">
      <w:pPr>
        <w:ind w:firstLine="0"/>
        <w:rPr>
          <w:color w:val="auto"/>
          <w:sz w:val="24"/>
          <w:szCs w:val="22"/>
          <w:highlight w:val="none"/>
        </w:rPr>
      </w:pPr>
    </w:p>
    <w:p w14:paraId="320DE858">
      <w:pPr>
        <w:ind w:firstLine="480"/>
        <w:rPr>
          <w:color w:val="auto"/>
          <w:sz w:val="24"/>
          <w:szCs w:val="22"/>
          <w:highlight w:val="none"/>
        </w:rPr>
      </w:pPr>
    </w:p>
    <w:p w14:paraId="4DF7C6D6">
      <w:pPr>
        <w:ind w:firstLine="480"/>
        <w:rPr>
          <w:color w:val="auto"/>
          <w:sz w:val="24"/>
          <w:szCs w:val="22"/>
          <w:highlight w:val="none"/>
        </w:rPr>
      </w:pPr>
    </w:p>
    <w:p w14:paraId="3012BD54">
      <w:pPr>
        <w:ind w:firstLine="440"/>
        <w:rPr>
          <w:color w:val="auto"/>
          <w:highlight w:val="none"/>
        </w:rPr>
      </w:pPr>
    </w:p>
    <w:p w14:paraId="246AD9ED">
      <w:pPr>
        <w:ind w:firstLine="440"/>
        <w:rPr>
          <w:color w:val="auto"/>
          <w:highlight w:val="none"/>
        </w:rPr>
      </w:pPr>
    </w:p>
    <w:p w14:paraId="1A883101">
      <w:pPr>
        <w:ind w:firstLine="440"/>
        <w:rPr>
          <w:color w:val="auto"/>
          <w:highlight w:val="none"/>
        </w:rPr>
      </w:pPr>
    </w:p>
    <w:p w14:paraId="6BD68592">
      <w:pPr>
        <w:pStyle w:val="314"/>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 3 年内在经营活动中没有重大违法记录的书面声明</w:t>
      </w:r>
    </w:p>
    <w:p w14:paraId="7338394C">
      <w:pPr>
        <w:pStyle w:val="314"/>
        <w:spacing w:beforeAutospacing="0" w:afterAutospacing="0" w:line="500" w:lineRule="exact"/>
        <w:ind w:firstLine="3490"/>
        <w:jc w:val="both"/>
        <w:rPr>
          <w:color w:val="auto"/>
          <w:highlight w:val="none"/>
        </w:rPr>
      </w:pPr>
      <w:r>
        <w:rPr>
          <w:rFonts w:hint="eastAsia"/>
          <w:b/>
          <w:color w:val="auto"/>
          <w:sz w:val="44"/>
          <w:szCs w:val="44"/>
          <w:highlight w:val="none"/>
        </w:rPr>
        <w:t>声  明</w:t>
      </w:r>
    </w:p>
    <w:p w14:paraId="1B89DD04">
      <w:pPr>
        <w:pStyle w:val="314"/>
        <w:spacing w:beforeAutospacing="0" w:afterAutospacing="0" w:line="500" w:lineRule="exact"/>
        <w:ind w:firstLine="482"/>
        <w:rPr>
          <w:color w:val="auto"/>
          <w:highlight w:val="none"/>
        </w:rPr>
      </w:pPr>
      <w:r>
        <w:rPr>
          <w:rFonts w:hint="eastAsia"/>
          <w:color w:val="auto"/>
          <w:highlight w:val="none"/>
        </w:rPr>
        <w:t>我单位郑重声明：参加本次政府采购活动前3年内，我单位在经营活动中没有因违法经营受到刑事处罚或者责令停产停业、吊销许可证或者执照、较大数额罚款等行政处罚。</w:t>
      </w:r>
    </w:p>
    <w:p w14:paraId="3A3AEC68">
      <w:pPr>
        <w:pStyle w:val="314"/>
        <w:ind w:firstLine="480"/>
        <w:rPr>
          <w:color w:val="auto"/>
          <w:highlight w:val="none"/>
        </w:rPr>
      </w:pPr>
    </w:p>
    <w:p w14:paraId="4FE28BBF">
      <w:pPr>
        <w:pStyle w:val="314"/>
        <w:ind w:firstLine="480"/>
        <w:rPr>
          <w:color w:val="auto"/>
          <w:highlight w:val="none"/>
        </w:rPr>
      </w:pPr>
    </w:p>
    <w:p w14:paraId="693CA934">
      <w:pPr>
        <w:pStyle w:val="314"/>
        <w:ind w:firstLine="480"/>
        <w:rPr>
          <w:color w:val="auto"/>
          <w:highlight w:val="none"/>
        </w:rPr>
      </w:pPr>
    </w:p>
    <w:p w14:paraId="7419D3B4">
      <w:pPr>
        <w:pStyle w:val="314"/>
        <w:ind w:firstLine="480"/>
        <w:rPr>
          <w:color w:val="auto"/>
          <w:highlight w:val="none"/>
        </w:rPr>
      </w:pPr>
    </w:p>
    <w:p w14:paraId="78F0B23F">
      <w:pPr>
        <w:pStyle w:val="314"/>
        <w:ind w:firstLine="480"/>
        <w:rPr>
          <w:color w:val="auto"/>
          <w:highlight w:val="none"/>
        </w:rPr>
      </w:pPr>
    </w:p>
    <w:p w14:paraId="79D77502">
      <w:pPr>
        <w:pStyle w:val="314"/>
        <w:ind w:firstLine="480"/>
        <w:rPr>
          <w:color w:val="auto"/>
          <w:highlight w:val="none"/>
        </w:rPr>
      </w:pPr>
    </w:p>
    <w:p w14:paraId="45F60D49">
      <w:pPr>
        <w:pStyle w:val="314"/>
        <w:ind w:firstLine="480"/>
        <w:rPr>
          <w:color w:val="auto"/>
          <w:highlight w:val="none"/>
        </w:rPr>
      </w:pPr>
    </w:p>
    <w:p w14:paraId="17626505">
      <w:pPr>
        <w:pStyle w:val="314"/>
        <w:ind w:firstLine="480"/>
        <w:rPr>
          <w:color w:val="auto"/>
          <w:highlight w:val="none"/>
        </w:rPr>
      </w:pPr>
    </w:p>
    <w:p w14:paraId="48C61508">
      <w:pPr>
        <w:pStyle w:val="314"/>
        <w:ind w:firstLine="480"/>
        <w:rPr>
          <w:color w:val="auto"/>
          <w:highlight w:val="none"/>
        </w:rPr>
      </w:pPr>
    </w:p>
    <w:p w14:paraId="7DC8DE99">
      <w:pPr>
        <w:pStyle w:val="314"/>
        <w:ind w:firstLine="480"/>
        <w:rPr>
          <w:color w:val="auto"/>
          <w:highlight w:val="none"/>
        </w:rPr>
      </w:pPr>
    </w:p>
    <w:p w14:paraId="21332203">
      <w:pPr>
        <w:pStyle w:val="314"/>
        <w:ind w:firstLine="480"/>
        <w:rPr>
          <w:color w:val="auto"/>
          <w:highlight w:val="none"/>
        </w:rPr>
      </w:pPr>
    </w:p>
    <w:p w14:paraId="3B7B5B1C">
      <w:pPr>
        <w:pStyle w:val="314"/>
        <w:ind w:firstLine="480"/>
        <w:rPr>
          <w:color w:val="auto"/>
          <w:highlight w:val="none"/>
        </w:rPr>
      </w:pPr>
    </w:p>
    <w:p w14:paraId="77AC3B32">
      <w:pPr>
        <w:ind w:firstLine="440"/>
        <w:rPr>
          <w:color w:val="auto"/>
          <w:highlight w:val="none"/>
        </w:rPr>
      </w:pPr>
      <w:r>
        <w:rPr>
          <w:rFonts w:hint="eastAsia"/>
          <w:color w:val="auto"/>
          <w:highlight w:val="none"/>
        </w:rPr>
        <w:br w:type="page" w:clear="all"/>
      </w:r>
    </w:p>
    <w:p w14:paraId="1A9A4A7A">
      <w:pPr>
        <w:pStyle w:val="314"/>
        <w:spacing w:beforeAutospacing="0" w:afterAutospacing="0" w:line="4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六、特定资格要求的证明文件</w:t>
      </w:r>
    </w:p>
    <w:p w14:paraId="4178D9D8">
      <w:pPr>
        <w:pStyle w:val="314"/>
        <w:spacing w:beforeAutospacing="0" w:afterAutospacing="0" w:line="400" w:lineRule="exact"/>
        <w:ind w:firstLine="480"/>
        <w:jc w:val="center"/>
        <w:rPr>
          <w:color w:val="auto"/>
          <w:highlight w:val="none"/>
        </w:rPr>
      </w:pPr>
      <w:r>
        <w:rPr>
          <w:rFonts w:hint="eastAsia"/>
          <w:color w:val="auto"/>
          <w:highlight w:val="none"/>
        </w:rPr>
        <w:t>如果本项目申请人的特定资格要求中要求提供的，必须提供。</w:t>
      </w:r>
    </w:p>
    <w:p w14:paraId="5D45DA56">
      <w:pPr>
        <w:pStyle w:val="268"/>
        <w:spacing w:line="240" w:lineRule="auto"/>
        <w:ind w:firstLine="884"/>
        <w:outlineLvl w:val="9"/>
        <w:rPr>
          <w:color w:val="auto"/>
          <w:highlight w:val="none"/>
        </w:rPr>
      </w:pPr>
    </w:p>
    <w:p w14:paraId="4C9625AD">
      <w:pPr>
        <w:ind w:firstLine="440"/>
        <w:rPr>
          <w:color w:val="auto"/>
          <w:highlight w:val="none"/>
        </w:rPr>
      </w:pPr>
    </w:p>
    <w:p w14:paraId="3494375D">
      <w:pPr>
        <w:pStyle w:val="137"/>
        <w:ind w:firstLine="440"/>
        <w:rPr>
          <w:color w:val="auto"/>
          <w:highlight w:val="none"/>
        </w:rPr>
      </w:pPr>
    </w:p>
    <w:p w14:paraId="015A223C">
      <w:pPr>
        <w:ind w:firstLine="440"/>
        <w:rPr>
          <w:color w:val="auto"/>
          <w:highlight w:val="none"/>
        </w:rPr>
      </w:pPr>
    </w:p>
    <w:p w14:paraId="02F92E94">
      <w:pPr>
        <w:ind w:firstLine="440"/>
        <w:rPr>
          <w:color w:val="auto"/>
          <w:highlight w:val="none"/>
        </w:rPr>
      </w:pPr>
    </w:p>
    <w:p w14:paraId="488F3FF0">
      <w:pPr>
        <w:ind w:firstLine="440"/>
        <w:rPr>
          <w:color w:val="auto"/>
          <w:highlight w:val="none"/>
        </w:rPr>
      </w:pPr>
    </w:p>
    <w:p w14:paraId="7EEF4BA3">
      <w:pPr>
        <w:ind w:firstLine="440"/>
        <w:rPr>
          <w:color w:val="auto"/>
          <w:highlight w:val="none"/>
        </w:rPr>
      </w:pPr>
    </w:p>
    <w:p w14:paraId="499F7F63">
      <w:pPr>
        <w:ind w:firstLine="440"/>
        <w:rPr>
          <w:color w:val="auto"/>
          <w:highlight w:val="none"/>
        </w:rPr>
      </w:pPr>
    </w:p>
    <w:p w14:paraId="5E0282D6">
      <w:pPr>
        <w:ind w:firstLine="440"/>
        <w:rPr>
          <w:color w:val="auto"/>
          <w:highlight w:val="none"/>
        </w:rPr>
      </w:pPr>
    </w:p>
    <w:p w14:paraId="6796D00C">
      <w:pPr>
        <w:ind w:firstLine="440"/>
        <w:rPr>
          <w:color w:val="auto"/>
          <w:highlight w:val="none"/>
        </w:rPr>
      </w:pPr>
    </w:p>
    <w:p w14:paraId="30F4F197">
      <w:pPr>
        <w:ind w:firstLine="440"/>
        <w:rPr>
          <w:color w:val="auto"/>
          <w:highlight w:val="none"/>
        </w:rPr>
      </w:pPr>
    </w:p>
    <w:p w14:paraId="39180CBD">
      <w:pPr>
        <w:ind w:firstLine="440"/>
        <w:rPr>
          <w:color w:val="auto"/>
          <w:highlight w:val="none"/>
        </w:rPr>
      </w:pPr>
    </w:p>
    <w:p w14:paraId="7B23BEB7">
      <w:pPr>
        <w:ind w:firstLine="440"/>
        <w:rPr>
          <w:color w:val="auto"/>
          <w:highlight w:val="none"/>
        </w:rPr>
      </w:pPr>
    </w:p>
    <w:p w14:paraId="179AE82F">
      <w:pPr>
        <w:ind w:firstLine="440"/>
        <w:rPr>
          <w:color w:val="auto"/>
          <w:highlight w:val="none"/>
        </w:rPr>
      </w:pPr>
    </w:p>
    <w:p w14:paraId="0738F8AC">
      <w:pPr>
        <w:ind w:firstLine="440"/>
        <w:rPr>
          <w:color w:val="auto"/>
          <w:highlight w:val="none"/>
        </w:rPr>
      </w:pPr>
    </w:p>
    <w:p w14:paraId="20BB9BC3">
      <w:pPr>
        <w:ind w:firstLine="440"/>
        <w:rPr>
          <w:color w:val="auto"/>
          <w:highlight w:val="none"/>
        </w:rPr>
      </w:pPr>
    </w:p>
    <w:p w14:paraId="5EA1426A">
      <w:pPr>
        <w:ind w:firstLine="440"/>
        <w:rPr>
          <w:color w:val="auto"/>
          <w:highlight w:val="none"/>
        </w:rPr>
      </w:pPr>
    </w:p>
    <w:p w14:paraId="575052B9">
      <w:pPr>
        <w:ind w:firstLine="440"/>
        <w:rPr>
          <w:color w:val="auto"/>
          <w:highlight w:val="none"/>
        </w:rPr>
      </w:pPr>
    </w:p>
    <w:p w14:paraId="1A4E59EF">
      <w:pPr>
        <w:ind w:firstLine="440"/>
        <w:rPr>
          <w:color w:val="auto"/>
          <w:highlight w:val="none"/>
        </w:rPr>
      </w:pPr>
    </w:p>
    <w:p w14:paraId="106CB0ED">
      <w:pPr>
        <w:ind w:firstLine="440"/>
        <w:rPr>
          <w:color w:val="auto"/>
          <w:highlight w:val="none"/>
        </w:rPr>
      </w:pPr>
    </w:p>
    <w:p w14:paraId="2326DE90">
      <w:pPr>
        <w:pStyle w:val="314"/>
        <w:ind w:firstLine="480"/>
        <w:rPr>
          <w:color w:val="auto"/>
          <w:highlight w:val="none"/>
        </w:rPr>
      </w:pPr>
    </w:p>
    <w:p w14:paraId="28098756">
      <w:pPr>
        <w:pStyle w:val="314"/>
        <w:ind w:firstLine="480"/>
        <w:rPr>
          <w:color w:val="auto"/>
          <w:highlight w:val="none"/>
        </w:rPr>
      </w:pPr>
    </w:p>
    <w:p w14:paraId="51FA66A0">
      <w:pPr>
        <w:pStyle w:val="314"/>
        <w:ind w:firstLine="480"/>
        <w:rPr>
          <w:color w:val="auto"/>
          <w:highlight w:val="none"/>
        </w:rPr>
      </w:pPr>
    </w:p>
    <w:p w14:paraId="6D904301">
      <w:pPr>
        <w:ind w:firstLine="560"/>
        <w:rPr>
          <w:color w:val="auto"/>
          <w:sz w:val="28"/>
          <w:highlight w:val="none"/>
        </w:rPr>
      </w:pPr>
      <w:r>
        <w:rPr>
          <w:rFonts w:hint="eastAsia"/>
          <w:color w:val="auto"/>
          <w:sz w:val="28"/>
          <w:highlight w:val="none"/>
        </w:rPr>
        <w:br w:type="page" w:clear="all"/>
      </w:r>
    </w:p>
    <w:p w14:paraId="3B19C459">
      <w:pPr>
        <w:pStyle w:val="314"/>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七、法人授权书</w:t>
      </w:r>
    </w:p>
    <w:p w14:paraId="172A048B">
      <w:pPr>
        <w:pStyle w:val="314"/>
        <w:spacing w:line="500" w:lineRule="exact"/>
        <w:ind w:firstLine="482"/>
        <w:rPr>
          <w:color w:val="auto"/>
          <w:highlight w:val="none"/>
        </w:rPr>
      </w:pPr>
      <w:r>
        <w:rPr>
          <w:rFonts w:hint="eastAsia"/>
          <w:color w:val="auto"/>
          <w:highlight w:val="none"/>
        </w:rPr>
        <w:t>本授权书声明：____________（</w:t>
      </w:r>
      <w:r>
        <w:rPr>
          <w:rFonts w:hint="eastAsia"/>
          <w:color w:val="auto"/>
          <w:highlight w:val="none"/>
          <w:lang w:eastAsia="zh-CN"/>
        </w:rPr>
        <w:t>投标人</w:t>
      </w:r>
      <w:r>
        <w:rPr>
          <w:rFonts w:hint="eastAsia"/>
          <w:color w:val="auto"/>
          <w:highlight w:val="none"/>
        </w:rPr>
        <w:t>名称）授权________________（被授权人的姓名）为我方就</w:t>
      </w:r>
      <w:r>
        <w:rPr>
          <w:rFonts w:hint="eastAsia"/>
          <w:color w:val="auto"/>
          <w:highlight w:val="none"/>
          <w:u w:val="single"/>
        </w:rPr>
        <w:tab/>
      </w:r>
      <w:r>
        <w:rPr>
          <w:rFonts w:hint="eastAsia" w:cs="宋体"/>
          <w:color w:val="auto"/>
          <w:sz w:val="24"/>
          <w:szCs w:val="24"/>
          <w:highlight w:val="none"/>
          <w:u w:val="single"/>
          <w:lang w:val="en-US" w:eastAsia="zh-CN"/>
        </w:rPr>
        <w:t xml:space="preserve">             </w:t>
      </w:r>
      <w:r>
        <w:rPr>
          <w:rFonts w:hint="eastAsia"/>
          <w:color w:val="auto"/>
          <w:highlight w:val="none"/>
          <w:u w:val="single"/>
        </w:rPr>
        <w:t xml:space="preserve"> </w:t>
      </w:r>
      <w:r>
        <w:rPr>
          <w:rFonts w:hint="eastAsia"/>
          <w:color w:val="auto"/>
          <w:highlight w:val="none"/>
        </w:rPr>
        <w:t>号</w:t>
      </w:r>
      <w:r>
        <w:rPr>
          <w:rFonts w:hint="eastAsia" w:cs="宋体"/>
          <w:color w:val="auto"/>
          <w:sz w:val="24"/>
          <w:szCs w:val="24"/>
          <w:highlight w:val="none"/>
          <w:u w:val="single"/>
          <w:lang w:eastAsia="zh-CN"/>
        </w:rPr>
        <w:t>盐城市亭湖区东亭湖街道社区卫生服务中心物业服务项目</w:t>
      </w:r>
      <w:r>
        <w:rPr>
          <w:rFonts w:hint="eastAsia"/>
          <w:color w:val="auto"/>
          <w:highlight w:val="none"/>
        </w:rPr>
        <w:t>采购活动的合法代理人，以本单位名义全权处理一切与该项目采购有关的事务。</w:t>
      </w:r>
    </w:p>
    <w:p w14:paraId="57A98480">
      <w:pPr>
        <w:pStyle w:val="314"/>
        <w:spacing w:line="240" w:lineRule="auto"/>
        <w:ind w:firstLine="480"/>
        <w:rPr>
          <w:color w:val="auto"/>
          <w:highlight w:val="none"/>
        </w:rPr>
      </w:pPr>
      <w:r>
        <w:rPr>
          <w:rFonts w:hint="eastAsia"/>
          <w:color w:val="auto"/>
          <w:highlight w:val="none"/>
        </w:rPr>
        <w:t>本授权书于______年____月____日起生效，特此声明。</w:t>
      </w:r>
    </w:p>
    <w:p w14:paraId="591C85E5">
      <w:pPr>
        <w:pStyle w:val="314"/>
        <w:spacing w:line="240" w:lineRule="auto"/>
        <w:ind w:firstLine="480"/>
        <w:rPr>
          <w:color w:val="auto"/>
          <w:highlight w:val="none"/>
        </w:rPr>
      </w:pPr>
      <w:r>
        <w:rPr>
          <w:rFonts w:hint="eastAsia"/>
          <w:color w:val="auto"/>
          <w:highlight w:val="none"/>
        </w:rPr>
        <w:t>被授权人身份证号码：</w:t>
      </w:r>
      <w:r>
        <w:rPr>
          <w:rFonts w:hint="eastAsia"/>
          <w:color w:val="auto"/>
          <w:highlight w:val="none"/>
          <w:u w:val="single"/>
        </w:rPr>
        <w:t xml:space="preserve">                      </w:t>
      </w:r>
      <w:r>
        <w:rPr>
          <w:rFonts w:hint="eastAsia"/>
          <w:color w:val="auto"/>
          <w:highlight w:val="none"/>
        </w:rPr>
        <w:t xml:space="preserve">       </w:t>
      </w:r>
    </w:p>
    <w:p w14:paraId="7682B5D9">
      <w:pPr>
        <w:pStyle w:val="314"/>
        <w:spacing w:line="240" w:lineRule="auto"/>
        <w:ind w:firstLine="480"/>
        <w:rPr>
          <w:color w:val="auto"/>
          <w:highlight w:val="none"/>
        </w:rPr>
      </w:pPr>
      <w:r>
        <w:rPr>
          <w:rFonts w:hint="eastAsia"/>
          <w:color w:val="auto"/>
          <w:highlight w:val="none"/>
        </w:rPr>
        <w:t>被授权人联系电话：</w:t>
      </w:r>
      <w:r>
        <w:rPr>
          <w:rFonts w:hint="eastAsia"/>
          <w:color w:val="auto"/>
          <w:highlight w:val="none"/>
          <w:u w:val="single"/>
        </w:rPr>
        <w:t xml:space="preserve">  （手机）              </w:t>
      </w:r>
      <w:r>
        <w:rPr>
          <w:rFonts w:hint="eastAsia"/>
          <w:color w:val="auto"/>
          <w:highlight w:val="none"/>
        </w:rPr>
        <w:t xml:space="preserve">                   </w:t>
      </w:r>
    </w:p>
    <w:p w14:paraId="3835C562">
      <w:pPr>
        <w:pStyle w:val="314"/>
        <w:spacing w:line="240" w:lineRule="auto"/>
        <w:ind w:firstLine="480"/>
        <w:rPr>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188269BA">
      <w:pPr>
        <w:pStyle w:val="314"/>
        <w:spacing w:line="240" w:lineRule="auto"/>
        <w:ind w:firstLine="480"/>
        <w:rPr>
          <w:color w:val="auto"/>
          <w:highlight w:val="none"/>
        </w:rPr>
      </w:pPr>
      <w:r>
        <w:rPr>
          <w:rFonts w:hint="eastAsia"/>
          <w:color w:val="auto"/>
          <w:highlight w:val="none"/>
        </w:rPr>
        <w:t>单 位 地 址：</w:t>
      </w:r>
      <w:r>
        <w:rPr>
          <w:rFonts w:hint="eastAsia"/>
          <w:color w:val="auto"/>
          <w:highlight w:val="none"/>
          <w:u w:val="single"/>
        </w:rPr>
        <w:t xml:space="preserve">                             </w:t>
      </w:r>
    </w:p>
    <w:p w14:paraId="6AE3F3DB">
      <w:pPr>
        <w:pStyle w:val="314"/>
        <w:spacing w:line="240" w:lineRule="auto"/>
        <w:ind w:firstLine="480"/>
        <w:rPr>
          <w:color w:val="auto"/>
          <w:szCs w:val="22"/>
          <w:highlight w:val="none"/>
        </w:rPr>
      </w:pPr>
      <w:r>
        <w:rPr>
          <w:rFonts w:hint="eastAsia"/>
          <w:color w:val="auto"/>
          <w:szCs w:val="22"/>
          <w:highlight w:val="none"/>
        </w:rPr>
        <w:t>日       期：</w:t>
      </w:r>
      <w:r>
        <w:rPr>
          <w:rFonts w:hint="eastAsia"/>
          <w:color w:val="auto"/>
          <w:szCs w:val="22"/>
          <w:highlight w:val="none"/>
          <w:u w:val="single"/>
        </w:rPr>
        <w:t xml:space="preserve">                             </w:t>
      </w:r>
    </w:p>
    <w:p w14:paraId="3A3FD4BC">
      <w:pPr>
        <w:pStyle w:val="314"/>
        <w:spacing w:line="240" w:lineRule="auto"/>
        <w:ind w:firstLine="0"/>
        <w:jc w:val="both"/>
        <w:rPr>
          <w:color w:val="auto"/>
          <w:highlight w:val="none"/>
        </w:rPr>
      </w:pPr>
      <w:r>
        <w:rPr>
          <w:rFonts w:hint="eastAsia"/>
          <w:color w:val="auto"/>
          <w:highlight w:val="none"/>
        </w:rPr>
        <w:t>                            </w:t>
      </w:r>
    </w:p>
    <w:p w14:paraId="1C9A22FE">
      <w:pPr>
        <w:ind w:firstLine="440"/>
        <w:rPr>
          <w:color w:val="auto"/>
          <w:highlight w:val="none"/>
        </w:rPr>
      </w:pPr>
    </w:p>
    <w:p w14:paraId="1318578D">
      <w:pPr>
        <w:ind w:firstLine="440"/>
        <w:rPr>
          <w:color w:val="auto"/>
          <w:highlight w:val="none"/>
        </w:rPr>
      </w:pPr>
      <w:r>
        <w:rPr>
          <w:rFonts w:hint="eastAsia"/>
          <w:color w:val="auto"/>
          <w:highlight w:val="none"/>
        </w:rPr>
        <w:t xml:space="preserve"> </w:t>
      </w:r>
    </w:p>
    <w:p w14:paraId="5807865E">
      <w:pPr>
        <w:ind w:firstLine="480"/>
        <w:jc w:val="center"/>
        <w:rPr>
          <w:color w:val="auto"/>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八、投标函</w:t>
      </w:r>
    </w:p>
    <w:p w14:paraId="4F0650E1">
      <w:pPr>
        <w:spacing w:line="500" w:lineRule="exact"/>
        <w:ind w:firstLine="482"/>
        <w:rPr>
          <w:rFonts w:hint="eastAsia" w:eastAsia="宋体"/>
          <w:color w:val="auto"/>
          <w:sz w:val="24"/>
          <w:szCs w:val="24"/>
          <w:highlight w:val="none"/>
          <w:lang w:eastAsia="zh-CN"/>
        </w:rPr>
      </w:pPr>
      <w:r>
        <w:rPr>
          <w:rFonts w:hint="eastAsia"/>
          <w:color w:val="auto"/>
          <w:sz w:val="24"/>
          <w:szCs w:val="24"/>
          <w:highlight w:val="none"/>
        </w:rPr>
        <w:t>致：</w:t>
      </w:r>
      <w:r>
        <w:rPr>
          <w:rFonts w:hint="eastAsia"/>
          <w:color w:val="auto"/>
          <w:sz w:val="24"/>
          <w:szCs w:val="24"/>
          <w:highlight w:val="none"/>
          <w:lang w:eastAsia="zh-CN"/>
        </w:rPr>
        <w:t>盐城市亭湖区公共资源交易中心</w:t>
      </w:r>
    </w:p>
    <w:p w14:paraId="61F4BBC0">
      <w:pPr>
        <w:spacing w:line="500" w:lineRule="exact"/>
        <w:ind w:firstLine="482"/>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lang w:val="en-US" w:eastAsia="zh-CN"/>
        </w:rPr>
        <w:t xml:space="preserve">        </w:t>
      </w:r>
      <w:r>
        <w:rPr>
          <w:rFonts w:hint="eastAsia"/>
          <w:color w:val="auto"/>
          <w:sz w:val="24"/>
          <w:szCs w:val="24"/>
          <w:highlight w:val="none"/>
        </w:rPr>
        <w:t>号招标文件，正式授权下述签字人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color w:val="auto"/>
          <w:sz w:val="24"/>
          <w:szCs w:val="24"/>
          <w:highlight w:val="none"/>
        </w:rPr>
        <w:t>______(姓名)代表我方______________（</w:t>
      </w:r>
      <w:r>
        <w:rPr>
          <w:rFonts w:hint="eastAsia"/>
          <w:color w:val="auto"/>
          <w:sz w:val="24"/>
          <w:szCs w:val="24"/>
          <w:highlight w:val="none"/>
          <w:lang w:eastAsia="zh-CN"/>
        </w:rPr>
        <w:t>投标人</w:t>
      </w:r>
      <w:r>
        <w:rPr>
          <w:rFonts w:hint="eastAsia"/>
          <w:color w:val="auto"/>
          <w:sz w:val="24"/>
          <w:szCs w:val="24"/>
          <w:highlight w:val="none"/>
        </w:rPr>
        <w:t>的名称），全权处理本次项目投标的有关事宜。</w:t>
      </w:r>
    </w:p>
    <w:p w14:paraId="7EB25771">
      <w:pPr>
        <w:spacing w:line="500" w:lineRule="exact"/>
        <w:ind w:firstLine="482"/>
        <w:rPr>
          <w:color w:val="auto"/>
          <w:sz w:val="24"/>
          <w:szCs w:val="24"/>
          <w:highlight w:val="none"/>
        </w:rPr>
      </w:pPr>
      <w:r>
        <w:rPr>
          <w:rFonts w:hint="eastAsia"/>
          <w:color w:val="auto"/>
          <w:sz w:val="24"/>
          <w:szCs w:val="24"/>
          <w:highlight w:val="none"/>
        </w:rPr>
        <w:t>据此函，__________签字人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color w:val="auto"/>
          <w:sz w:val="24"/>
          <w:szCs w:val="24"/>
          <w:highlight w:val="none"/>
        </w:rPr>
        <w:t>兹宣布同意如下：</w:t>
      </w:r>
    </w:p>
    <w:p w14:paraId="4E78D577">
      <w:pPr>
        <w:spacing w:line="500" w:lineRule="exact"/>
        <w:ind w:firstLine="482"/>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2502F4D9">
      <w:pPr>
        <w:spacing w:line="500" w:lineRule="exact"/>
        <w:ind w:firstLine="482"/>
        <w:rPr>
          <w:color w:val="auto"/>
          <w:sz w:val="24"/>
          <w:szCs w:val="24"/>
          <w:highlight w:val="none"/>
        </w:rPr>
      </w:pPr>
      <w:r>
        <w:rPr>
          <w:rFonts w:hint="eastAsia"/>
          <w:color w:val="auto"/>
          <w:sz w:val="24"/>
          <w:szCs w:val="24"/>
          <w:highlight w:val="none"/>
        </w:rPr>
        <w:t>2.我们完全理解贵方不一定将合同授予最低报价的</w:t>
      </w:r>
      <w:r>
        <w:rPr>
          <w:rFonts w:hint="eastAsia"/>
          <w:color w:val="auto"/>
          <w:sz w:val="24"/>
          <w:szCs w:val="24"/>
          <w:highlight w:val="none"/>
          <w:lang w:eastAsia="zh-CN"/>
        </w:rPr>
        <w:t>投标人</w:t>
      </w:r>
      <w:r>
        <w:rPr>
          <w:rFonts w:hint="eastAsia"/>
          <w:color w:val="auto"/>
          <w:sz w:val="24"/>
          <w:szCs w:val="24"/>
          <w:highlight w:val="none"/>
        </w:rPr>
        <w:t>。</w:t>
      </w:r>
    </w:p>
    <w:p w14:paraId="5496AC27">
      <w:pPr>
        <w:spacing w:line="500" w:lineRule="exact"/>
        <w:ind w:firstLine="482"/>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6C88A6CD">
      <w:pPr>
        <w:spacing w:line="500" w:lineRule="exact"/>
        <w:ind w:firstLine="482"/>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1FBCF14C">
      <w:pPr>
        <w:spacing w:line="500" w:lineRule="exact"/>
        <w:ind w:firstLine="482"/>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7338C5DA">
      <w:pPr>
        <w:spacing w:line="500" w:lineRule="exact"/>
        <w:ind w:firstLine="482"/>
        <w:rPr>
          <w:color w:val="auto"/>
          <w:sz w:val="24"/>
          <w:szCs w:val="24"/>
          <w:highlight w:val="none"/>
        </w:rPr>
      </w:pPr>
      <w:r>
        <w:rPr>
          <w:rFonts w:hint="eastAsia"/>
          <w:color w:val="auto"/>
          <w:sz w:val="24"/>
          <w:szCs w:val="24"/>
          <w:highlight w:val="none"/>
        </w:rPr>
        <w:t>6.一旦我方中标,我方将根据招标文件的规定，严格履行合同的责任和义务,并保证在招标文件规定的时间完成项目，交付买方验收、使用。</w:t>
      </w:r>
    </w:p>
    <w:p w14:paraId="4ED2018C">
      <w:pPr>
        <w:spacing w:line="500" w:lineRule="exact"/>
        <w:ind w:firstLine="482"/>
        <w:rPr>
          <w:color w:val="auto"/>
          <w:sz w:val="24"/>
          <w:szCs w:val="24"/>
          <w:highlight w:val="none"/>
        </w:rPr>
      </w:pPr>
      <w:r>
        <w:rPr>
          <w:rFonts w:hint="eastAsia"/>
          <w:color w:val="auto"/>
          <w:sz w:val="24"/>
          <w:szCs w:val="24"/>
          <w:highlight w:val="none"/>
        </w:rPr>
        <w:t>7.与本投标有关的正式通讯地址为：</w:t>
      </w:r>
    </w:p>
    <w:p w14:paraId="41414D42">
      <w:pPr>
        <w:spacing w:line="500" w:lineRule="exact"/>
        <w:ind w:firstLine="482"/>
        <w:rPr>
          <w:color w:val="auto"/>
          <w:sz w:val="24"/>
          <w:szCs w:val="24"/>
          <w:highlight w:val="none"/>
        </w:rPr>
      </w:pPr>
      <w:r>
        <w:rPr>
          <w:rFonts w:hint="eastAsia"/>
          <w:color w:val="auto"/>
          <w:sz w:val="24"/>
          <w:szCs w:val="24"/>
          <w:highlight w:val="none"/>
        </w:rPr>
        <w:t>地        址：</w:t>
      </w:r>
    </w:p>
    <w:p w14:paraId="14D1AD16">
      <w:pPr>
        <w:spacing w:line="500" w:lineRule="exact"/>
        <w:ind w:firstLine="482"/>
        <w:rPr>
          <w:color w:val="auto"/>
          <w:sz w:val="24"/>
          <w:szCs w:val="24"/>
          <w:highlight w:val="none"/>
        </w:rPr>
      </w:pPr>
      <w:r>
        <w:rPr>
          <w:rFonts w:hint="eastAsia"/>
          <w:color w:val="auto"/>
          <w:sz w:val="24"/>
          <w:szCs w:val="24"/>
          <w:highlight w:val="none"/>
        </w:rPr>
        <w:t>邮        编：</w:t>
      </w:r>
    </w:p>
    <w:p w14:paraId="78002CB5">
      <w:pPr>
        <w:spacing w:line="500" w:lineRule="exact"/>
        <w:ind w:firstLine="482"/>
        <w:rPr>
          <w:color w:val="auto"/>
          <w:sz w:val="24"/>
          <w:szCs w:val="24"/>
          <w:highlight w:val="none"/>
        </w:rPr>
      </w:pPr>
      <w:r>
        <w:rPr>
          <w:rFonts w:hint="eastAsia"/>
          <w:color w:val="auto"/>
          <w:sz w:val="24"/>
          <w:szCs w:val="24"/>
          <w:highlight w:val="none"/>
        </w:rPr>
        <w:t>电        话：</w:t>
      </w:r>
    </w:p>
    <w:p w14:paraId="45E7B57D">
      <w:pPr>
        <w:spacing w:line="500" w:lineRule="exact"/>
        <w:ind w:firstLine="482"/>
        <w:rPr>
          <w:color w:val="auto"/>
          <w:sz w:val="24"/>
          <w:szCs w:val="24"/>
          <w:highlight w:val="none"/>
        </w:rPr>
      </w:pPr>
      <w:r>
        <w:rPr>
          <w:rFonts w:hint="eastAsia"/>
          <w:color w:val="auto"/>
          <w:sz w:val="24"/>
          <w:szCs w:val="24"/>
          <w:highlight w:val="none"/>
        </w:rPr>
        <w:t>传        真：</w:t>
      </w:r>
    </w:p>
    <w:p w14:paraId="4EB9F4B4">
      <w:pPr>
        <w:spacing w:line="500" w:lineRule="exact"/>
        <w:ind w:firstLine="482"/>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开户行：</w:t>
      </w:r>
    </w:p>
    <w:p w14:paraId="3EC1EFA3">
      <w:pPr>
        <w:spacing w:line="500" w:lineRule="exact"/>
        <w:ind w:firstLine="482"/>
        <w:rPr>
          <w:color w:val="auto"/>
          <w:sz w:val="24"/>
          <w:szCs w:val="24"/>
          <w:highlight w:val="none"/>
        </w:rPr>
      </w:pPr>
      <w:r>
        <w:rPr>
          <w:rFonts w:hint="eastAsia"/>
          <w:color w:val="auto"/>
          <w:sz w:val="24"/>
          <w:szCs w:val="24"/>
          <w:highlight w:val="none"/>
        </w:rPr>
        <w:t xml:space="preserve">账        号： </w:t>
      </w:r>
    </w:p>
    <w:p w14:paraId="2898609C">
      <w:pPr>
        <w:spacing w:line="500" w:lineRule="exact"/>
        <w:ind w:firstLine="482"/>
        <w:rPr>
          <w:color w:val="auto"/>
          <w:sz w:val="24"/>
          <w:szCs w:val="24"/>
          <w:highlight w:val="none"/>
        </w:rPr>
      </w:pPr>
      <w:r>
        <w:rPr>
          <w:rFonts w:hint="eastAsia"/>
          <w:color w:val="auto"/>
          <w:sz w:val="24"/>
          <w:szCs w:val="24"/>
          <w:highlight w:val="none"/>
        </w:rPr>
        <w:t>日        期：______年____月____日</w:t>
      </w:r>
    </w:p>
    <w:p w14:paraId="0DE7BC14">
      <w:pPr>
        <w:ind w:firstLine="480"/>
        <w:rPr>
          <w:color w:val="auto"/>
          <w:sz w:val="24"/>
          <w:szCs w:val="24"/>
          <w:highlight w:val="none"/>
        </w:rPr>
      </w:pPr>
    </w:p>
    <w:p w14:paraId="487F7D66">
      <w:pPr>
        <w:ind w:firstLine="480"/>
        <w:rPr>
          <w:color w:val="auto"/>
          <w:sz w:val="24"/>
          <w:szCs w:val="24"/>
          <w:highlight w:val="none"/>
        </w:rPr>
      </w:pPr>
    </w:p>
    <w:p w14:paraId="37F7A423">
      <w:pPr>
        <w:ind w:firstLine="440"/>
        <w:rPr>
          <w:color w:val="auto"/>
          <w:highlight w:val="none"/>
        </w:rPr>
      </w:pPr>
    </w:p>
    <w:p w14:paraId="503265A4">
      <w:pPr>
        <w:spacing w:line="500" w:lineRule="exact"/>
        <w:ind w:firstLine="56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九、中小企业声明函（服务）</w:t>
      </w:r>
    </w:p>
    <w:p w14:paraId="30CB4FBC">
      <w:pPr>
        <w:spacing w:line="500" w:lineRule="exact"/>
        <w:ind w:firstLine="480"/>
        <w:jc w:val="both"/>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盐城市亭湖区公共资源交易中心</w:t>
      </w:r>
      <w:r>
        <w:rPr>
          <w:rFonts w:hint="eastAsia"/>
          <w:color w:val="auto"/>
          <w:sz w:val="24"/>
          <w:highlight w:val="none"/>
        </w:rPr>
        <w:t>组织的</w:t>
      </w:r>
      <w:r>
        <w:rPr>
          <w:rFonts w:hint="eastAsia" w:cs="宋体"/>
          <w:color w:val="auto"/>
          <w:sz w:val="24"/>
          <w:szCs w:val="24"/>
          <w:highlight w:val="none"/>
          <w:u w:val="single"/>
          <w:lang w:eastAsia="zh-CN"/>
        </w:rPr>
        <w:t>盐城市亭湖区东亭湖街道社区卫生服务中心</w:t>
      </w:r>
      <w:r>
        <w:rPr>
          <w:rFonts w:hint="eastAsia"/>
          <w:color w:val="auto"/>
          <w:sz w:val="24"/>
          <w:szCs w:val="20"/>
          <w:highlight w:val="none"/>
        </w:rPr>
        <w:t>，</w:t>
      </w:r>
      <w:r>
        <w:rPr>
          <w:rFonts w:hint="eastAsia"/>
          <w:color w:val="auto"/>
          <w:sz w:val="24"/>
          <w:highlight w:val="none"/>
        </w:rPr>
        <w:t>采购编号为</w:t>
      </w:r>
      <w:r>
        <w:rPr>
          <w:rFonts w:hint="eastAsia" w:cs="宋体"/>
          <w:color w:val="auto"/>
          <w:sz w:val="24"/>
          <w:szCs w:val="24"/>
          <w:highlight w:val="none"/>
          <w:u w:val="single"/>
          <w:lang w:val="en-US" w:eastAsia="zh-CN"/>
        </w:rPr>
        <w:t xml:space="preserve">       </w:t>
      </w:r>
      <w:r>
        <w:rPr>
          <w:rFonts w:hint="eastAsia"/>
          <w:color w:val="auto"/>
          <w:sz w:val="24"/>
          <w:highlight w:val="none"/>
        </w:rPr>
        <w:t>的</w:t>
      </w:r>
      <w:r>
        <w:rPr>
          <w:rFonts w:hint="eastAsia" w:cs="宋体"/>
          <w:color w:val="auto"/>
          <w:sz w:val="24"/>
          <w:szCs w:val="24"/>
          <w:highlight w:val="none"/>
          <w:u w:val="single"/>
          <w:lang w:eastAsia="zh-CN"/>
        </w:rPr>
        <w:t>盐城市亭湖区东亭湖街道社区卫生服务中心物业服务项目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94E1C0D">
      <w:pPr>
        <w:numPr>
          <w:ilvl w:val="0"/>
          <w:numId w:val="5"/>
        </w:numPr>
        <w:spacing w:line="500" w:lineRule="exact"/>
        <w:ind w:firstLine="480"/>
        <w:jc w:val="both"/>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eastAsia="zh-CN"/>
        </w:rPr>
        <w:t>招标文件</w:t>
      </w:r>
      <w:r>
        <w:rPr>
          <w:rFonts w:hint="eastAsia"/>
          <w:i/>
          <w:iCs/>
          <w:color w:val="auto"/>
          <w:sz w:val="24"/>
          <w:highlight w:val="none"/>
          <w:u w:val="single"/>
        </w:rPr>
        <w:t>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89D4B60">
      <w:pPr>
        <w:numPr>
          <w:ilvl w:val="0"/>
          <w:numId w:val="5"/>
        </w:numPr>
        <w:spacing w:line="500" w:lineRule="exact"/>
        <w:ind w:firstLine="480"/>
        <w:jc w:val="both"/>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eastAsia="zh-CN"/>
        </w:rPr>
        <w:t>招标文件</w:t>
      </w:r>
      <w:r>
        <w:rPr>
          <w:rFonts w:hint="eastAsia"/>
          <w:i/>
          <w:iCs/>
          <w:color w:val="auto"/>
          <w:sz w:val="24"/>
          <w:highlight w:val="none"/>
          <w:u w:val="single"/>
        </w:rPr>
        <w:t>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A761683">
      <w:pPr>
        <w:spacing w:line="500" w:lineRule="exact"/>
        <w:ind w:firstLine="480"/>
        <w:jc w:val="both"/>
        <w:rPr>
          <w:color w:val="auto"/>
          <w:sz w:val="24"/>
          <w:highlight w:val="none"/>
        </w:rPr>
      </w:pPr>
      <w:r>
        <w:rPr>
          <w:rFonts w:hint="eastAsia"/>
          <w:color w:val="auto"/>
          <w:sz w:val="24"/>
          <w:highlight w:val="none"/>
        </w:rPr>
        <w:t>……</w:t>
      </w:r>
    </w:p>
    <w:p w14:paraId="366F50AD">
      <w:pPr>
        <w:spacing w:line="500" w:lineRule="exact"/>
        <w:ind w:firstLine="480"/>
        <w:jc w:val="both"/>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5ADC9B76">
      <w:pPr>
        <w:spacing w:line="500" w:lineRule="exact"/>
        <w:ind w:firstLine="480"/>
        <w:jc w:val="both"/>
        <w:rPr>
          <w:color w:val="auto"/>
          <w:sz w:val="24"/>
          <w:highlight w:val="none"/>
        </w:rPr>
      </w:pPr>
      <w:r>
        <w:rPr>
          <w:rFonts w:hint="eastAsia"/>
          <w:color w:val="auto"/>
          <w:sz w:val="24"/>
          <w:highlight w:val="none"/>
        </w:rPr>
        <w:t>本企业对上述声明内容的真实性负责。如有虚假，将依法承担相应责任。</w:t>
      </w:r>
    </w:p>
    <w:p w14:paraId="4B7B2FD6">
      <w:pPr>
        <w:spacing w:line="500" w:lineRule="exact"/>
        <w:ind w:firstLine="480"/>
        <w:jc w:val="right"/>
        <w:rPr>
          <w:color w:val="auto"/>
          <w:sz w:val="24"/>
          <w:highlight w:val="none"/>
        </w:rPr>
      </w:pPr>
    </w:p>
    <w:p w14:paraId="6F66A99A">
      <w:pPr>
        <w:spacing w:line="500" w:lineRule="exact"/>
        <w:ind w:firstLine="480"/>
        <w:jc w:val="right"/>
        <w:rPr>
          <w:color w:val="auto"/>
          <w:sz w:val="24"/>
          <w:highlight w:val="none"/>
        </w:rPr>
      </w:pPr>
      <w:r>
        <w:rPr>
          <w:rFonts w:hint="eastAsia"/>
          <w:color w:val="auto"/>
          <w:sz w:val="24"/>
          <w:highlight w:val="none"/>
        </w:rPr>
        <w:t xml:space="preserve">企业名称（加盖CA电子公章）：        </w:t>
      </w:r>
    </w:p>
    <w:p w14:paraId="0539075F">
      <w:pPr>
        <w:spacing w:line="500" w:lineRule="exact"/>
        <w:ind w:firstLine="480"/>
        <w:jc w:val="right"/>
        <w:rPr>
          <w:color w:val="auto"/>
          <w:sz w:val="24"/>
          <w:highlight w:val="none"/>
        </w:rPr>
      </w:pPr>
      <w:r>
        <w:rPr>
          <w:rFonts w:hint="eastAsia"/>
          <w:color w:val="auto"/>
          <w:sz w:val="24"/>
          <w:highlight w:val="none"/>
        </w:rPr>
        <w:t xml:space="preserve">日  期：        </w:t>
      </w:r>
    </w:p>
    <w:p w14:paraId="154DD5BE">
      <w:pPr>
        <w:spacing w:line="500" w:lineRule="exact"/>
        <w:ind w:firstLine="480"/>
        <w:rPr>
          <w:color w:val="auto"/>
          <w:sz w:val="24"/>
          <w:highlight w:val="none"/>
        </w:rPr>
      </w:pPr>
    </w:p>
    <w:p w14:paraId="71A68AA5">
      <w:pPr>
        <w:spacing w:line="500" w:lineRule="exact"/>
        <w:ind w:firstLine="480"/>
        <w:rPr>
          <w:color w:val="auto"/>
          <w:sz w:val="24"/>
          <w:highlight w:val="none"/>
        </w:rPr>
      </w:pPr>
      <w:r>
        <w:rPr>
          <w:rFonts w:hint="eastAsia"/>
          <w:color w:val="auto"/>
          <w:sz w:val="24"/>
          <w:highlight w:val="none"/>
        </w:rPr>
        <w:t>备注1：从业人员、营业收入、资产总额填报上一年度数据，无上一年度数据的新成立企业可不填报。</w:t>
      </w:r>
    </w:p>
    <w:p w14:paraId="7531A7B6">
      <w:pPr>
        <w:spacing w:line="500" w:lineRule="exact"/>
        <w:ind w:firstLine="480"/>
        <w:rPr>
          <w:rFonts w:cs="黑体"/>
          <w:i/>
          <w:color w:val="auto"/>
          <w:sz w:val="32"/>
          <w:szCs w:val="32"/>
          <w:highlight w:val="none"/>
          <w:u w:val="single"/>
        </w:rPr>
      </w:pPr>
      <w:r>
        <w:rPr>
          <w:rFonts w:hint="eastAsia"/>
          <w:color w:val="auto"/>
          <w:sz w:val="24"/>
          <w:highlight w:val="none"/>
        </w:rPr>
        <w:t>备注2：</w:t>
      </w:r>
      <w:r>
        <w:rPr>
          <w:rFonts w:hint="eastAsia"/>
          <w:color w:val="auto"/>
          <w:sz w:val="24"/>
          <w:highlight w:val="none"/>
          <w:lang w:eastAsia="zh-CN"/>
        </w:rPr>
        <w:t>投标人</w:t>
      </w:r>
      <w:r>
        <w:rPr>
          <w:rFonts w:hint="eastAsia"/>
          <w:color w:val="auto"/>
          <w:sz w:val="24"/>
          <w:highlight w:val="none"/>
        </w:rPr>
        <w:t>如不提供此声明函，价格将不做相应扣除（如项目全面面向中小企业，则资格审查不通过）。</w:t>
      </w:r>
    </w:p>
    <w:p w14:paraId="0EFFDF29">
      <w:pPr>
        <w:widowControl/>
        <w:spacing w:line="560" w:lineRule="exact"/>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p>
    <w:p w14:paraId="2160AD67">
      <w:pPr>
        <w:pStyle w:val="147"/>
        <w:spacing w:line="500" w:lineRule="exact"/>
        <w:ind w:left="0" w:firstLine="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十、残疾人福利性单位声明函</w:t>
      </w:r>
    </w:p>
    <w:p w14:paraId="78D83295">
      <w:pPr>
        <w:spacing w:line="500" w:lineRule="exact"/>
        <w:ind w:firstLine="482"/>
        <w:rPr>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sz w:val="24"/>
          <w:szCs w:val="24"/>
          <w:highlight w:val="none"/>
          <w:u w:val="single"/>
          <w:lang w:eastAsia="zh-CN"/>
        </w:rPr>
        <w:t>盐城市亭湖区东亭湖街道社区卫生服务中心</w:t>
      </w:r>
      <w:r>
        <w:rPr>
          <w:rFonts w:hint="eastAsia"/>
          <w:color w:val="auto"/>
          <w:sz w:val="24"/>
          <w:szCs w:val="24"/>
          <w:highlight w:val="none"/>
        </w:rPr>
        <w:t>单位的</w:t>
      </w:r>
      <w:r>
        <w:rPr>
          <w:rFonts w:hint="eastAsia"/>
          <w:color w:val="auto"/>
          <w:sz w:val="24"/>
          <w:szCs w:val="24"/>
          <w:highlight w:val="none"/>
          <w:lang w:eastAsia="zh-CN"/>
        </w:rPr>
        <w:t>招标文件</w:t>
      </w:r>
      <w:r>
        <w:rPr>
          <w:rFonts w:hint="eastAsia"/>
          <w:color w:val="auto"/>
          <w:sz w:val="24"/>
          <w:szCs w:val="24"/>
          <w:highlight w:val="none"/>
        </w:rPr>
        <w:t>编号为</w:t>
      </w:r>
      <w:r>
        <w:rPr>
          <w:rFonts w:hint="eastAsia" w:cs="宋体"/>
          <w:color w:val="auto"/>
          <w:sz w:val="24"/>
          <w:szCs w:val="24"/>
          <w:highlight w:val="none"/>
          <w:u w:val="single"/>
          <w:lang w:val="en-US" w:eastAsia="zh-CN"/>
        </w:rPr>
        <w:t xml:space="preserve">         </w:t>
      </w:r>
      <w:r>
        <w:rPr>
          <w:rFonts w:hint="eastAsia"/>
          <w:color w:val="auto"/>
          <w:sz w:val="24"/>
          <w:szCs w:val="24"/>
          <w:highlight w:val="none"/>
        </w:rPr>
        <w:t>的</w:t>
      </w:r>
      <w:r>
        <w:rPr>
          <w:rFonts w:hint="eastAsia" w:cs="宋体"/>
          <w:color w:val="auto"/>
          <w:sz w:val="24"/>
          <w:szCs w:val="24"/>
          <w:highlight w:val="none"/>
          <w:u w:val="single"/>
          <w:lang w:eastAsia="zh-CN"/>
        </w:rPr>
        <w:t>盐城市亭湖区东亭湖街道社区卫生服务中心物业服务项目</w:t>
      </w:r>
      <w:r>
        <w:rPr>
          <w:rFonts w:hint="eastAsia"/>
          <w:color w:val="auto"/>
          <w:sz w:val="24"/>
          <w:szCs w:val="24"/>
          <w:highlight w:val="none"/>
        </w:rPr>
        <w:t>采购活动由本单位提供服务。</w:t>
      </w:r>
    </w:p>
    <w:p w14:paraId="01D6D83A">
      <w:pPr>
        <w:spacing w:line="500" w:lineRule="exact"/>
        <w:ind w:firstLine="482"/>
        <w:jc w:val="both"/>
        <w:rPr>
          <w:color w:val="auto"/>
          <w:sz w:val="24"/>
          <w:szCs w:val="24"/>
          <w:highlight w:val="none"/>
        </w:rPr>
      </w:pPr>
      <w:r>
        <w:rPr>
          <w:rFonts w:hint="eastAsia"/>
          <w:color w:val="auto"/>
          <w:sz w:val="24"/>
          <w:szCs w:val="24"/>
          <w:highlight w:val="none"/>
        </w:rPr>
        <w:t>本单位对上述声明的真实性负责。如有虚假，将依法承担相应责任。</w:t>
      </w:r>
    </w:p>
    <w:p w14:paraId="7ECB023F">
      <w:pPr>
        <w:spacing w:line="500" w:lineRule="exact"/>
        <w:ind w:firstLine="482"/>
        <w:rPr>
          <w:color w:val="auto"/>
          <w:sz w:val="24"/>
          <w:szCs w:val="24"/>
          <w:highlight w:val="none"/>
        </w:rPr>
      </w:pPr>
      <w:r>
        <w:rPr>
          <w:rFonts w:hint="eastAsia"/>
          <w:color w:val="auto"/>
          <w:sz w:val="24"/>
          <w:szCs w:val="24"/>
          <w:highlight w:val="none"/>
        </w:rPr>
        <w:t> </w:t>
      </w:r>
    </w:p>
    <w:p w14:paraId="6FBCD85C">
      <w:pPr>
        <w:spacing w:line="500" w:lineRule="exact"/>
        <w:ind w:firstLine="482"/>
        <w:rPr>
          <w:color w:val="auto"/>
          <w:sz w:val="24"/>
          <w:szCs w:val="24"/>
          <w:highlight w:val="none"/>
        </w:rPr>
      </w:pPr>
      <w:r>
        <w:rPr>
          <w:rFonts w:hint="eastAsia"/>
          <w:color w:val="auto"/>
          <w:sz w:val="24"/>
          <w:szCs w:val="24"/>
          <w:highlight w:val="none"/>
        </w:rPr>
        <w:t>备注：1、</w:t>
      </w:r>
      <w:r>
        <w:rPr>
          <w:rFonts w:hint="eastAsia"/>
          <w:color w:val="auto"/>
          <w:sz w:val="24"/>
          <w:szCs w:val="24"/>
          <w:highlight w:val="none"/>
          <w:lang w:eastAsia="zh-CN"/>
        </w:rPr>
        <w:t>投标人</w:t>
      </w:r>
      <w:r>
        <w:rPr>
          <w:rFonts w:hint="eastAsia"/>
          <w:color w:val="auto"/>
          <w:sz w:val="24"/>
          <w:szCs w:val="24"/>
          <w:highlight w:val="none"/>
        </w:rPr>
        <w:t>如不提供此声明函，价格将不做相应扣除</w:t>
      </w:r>
      <w:r>
        <w:rPr>
          <w:rFonts w:hint="eastAsia"/>
          <w:color w:val="auto"/>
          <w:sz w:val="24"/>
          <w:highlight w:val="none"/>
        </w:rPr>
        <w:t>（如项目全面面向中小企业，则资格审查不通过）</w:t>
      </w:r>
      <w:r>
        <w:rPr>
          <w:rFonts w:hint="eastAsia"/>
          <w:color w:val="auto"/>
          <w:sz w:val="24"/>
          <w:szCs w:val="24"/>
          <w:highlight w:val="none"/>
        </w:rPr>
        <w:t>。2、中标人为残疾人福利单位的，此声明函将随中标结果同时公告，接受社会监督。</w:t>
      </w:r>
    </w:p>
    <w:p w14:paraId="14319C64">
      <w:pPr>
        <w:spacing w:line="500" w:lineRule="exact"/>
        <w:ind w:firstLine="482"/>
        <w:rPr>
          <w:color w:val="auto"/>
          <w:sz w:val="24"/>
          <w:szCs w:val="24"/>
          <w:highlight w:val="none"/>
        </w:rPr>
      </w:pPr>
      <w:r>
        <w:rPr>
          <w:rFonts w:hint="eastAsia"/>
          <w:color w:val="auto"/>
          <w:sz w:val="24"/>
          <w:szCs w:val="24"/>
          <w:highlight w:val="none"/>
        </w:rPr>
        <w:t> </w:t>
      </w:r>
    </w:p>
    <w:p w14:paraId="17350E75">
      <w:pPr>
        <w:spacing w:line="500" w:lineRule="exact"/>
        <w:ind w:firstLine="480"/>
        <w:jc w:val="right"/>
        <w:rPr>
          <w:color w:val="auto"/>
          <w:sz w:val="24"/>
          <w:szCs w:val="24"/>
          <w:highlight w:val="none"/>
        </w:rPr>
      </w:pPr>
      <w:r>
        <w:rPr>
          <w:rFonts w:hint="eastAsia"/>
          <w:color w:val="auto"/>
          <w:sz w:val="24"/>
          <w:szCs w:val="24"/>
          <w:highlight w:val="none"/>
        </w:rPr>
        <w:t xml:space="preserve">                 </w:t>
      </w:r>
      <w:r>
        <w:rPr>
          <w:rFonts w:hint="eastAsia"/>
          <w:color w:val="auto"/>
          <w:sz w:val="24"/>
          <w:szCs w:val="24"/>
          <w:highlight w:val="none"/>
          <w:lang w:eastAsia="zh-CN"/>
        </w:rPr>
        <w:t>投标人</w:t>
      </w:r>
      <w:r>
        <w:rPr>
          <w:rFonts w:hint="eastAsia"/>
          <w:color w:val="auto"/>
          <w:sz w:val="24"/>
          <w:szCs w:val="24"/>
          <w:highlight w:val="none"/>
        </w:rPr>
        <w:t>全称（加盖CA电子公章）：</w:t>
      </w:r>
    </w:p>
    <w:p w14:paraId="1B6F5D72">
      <w:pPr>
        <w:spacing w:line="500" w:lineRule="exact"/>
        <w:ind w:firstLine="7200"/>
        <w:jc w:val="right"/>
        <w:rPr>
          <w:color w:val="auto"/>
          <w:sz w:val="24"/>
          <w:szCs w:val="24"/>
          <w:highlight w:val="none"/>
        </w:rPr>
      </w:pPr>
      <w:r>
        <w:rPr>
          <w:rFonts w:hint="eastAsia"/>
          <w:color w:val="auto"/>
          <w:sz w:val="24"/>
          <w:szCs w:val="24"/>
          <w:highlight w:val="none"/>
        </w:rPr>
        <w:t>日  期：</w:t>
      </w:r>
    </w:p>
    <w:p w14:paraId="6DE5B6B6">
      <w:pPr>
        <w:spacing w:line="500" w:lineRule="exact"/>
        <w:ind w:firstLine="480"/>
        <w:rPr>
          <w:color w:val="auto"/>
          <w:sz w:val="24"/>
          <w:szCs w:val="24"/>
          <w:highlight w:val="none"/>
        </w:rPr>
      </w:pPr>
    </w:p>
    <w:p w14:paraId="7A55FDD0">
      <w:pPr>
        <w:spacing w:line="500" w:lineRule="exact"/>
        <w:ind w:firstLine="440"/>
        <w:rPr>
          <w:color w:val="auto"/>
          <w:highlight w:val="none"/>
        </w:rPr>
      </w:pPr>
    </w:p>
    <w:p w14:paraId="7DDC56C0">
      <w:pPr>
        <w:spacing w:line="500" w:lineRule="exact"/>
        <w:ind w:firstLine="440"/>
        <w:rPr>
          <w:color w:val="auto"/>
          <w:highlight w:val="none"/>
        </w:rPr>
      </w:pPr>
    </w:p>
    <w:p w14:paraId="532F8D57">
      <w:pPr>
        <w:spacing w:line="500" w:lineRule="exact"/>
        <w:ind w:firstLine="440"/>
        <w:rPr>
          <w:color w:val="auto"/>
          <w:highlight w:val="none"/>
        </w:rPr>
      </w:pPr>
    </w:p>
    <w:p w14:paraId="7F8BD496">
      <w:pPr>
        <w:spacing w:line="500" w:lineRule="exact"/>
        <w:ind w:firstLine="440"/>
        <w:rPr>
          <w:color w:val="auto"/>
          <w:highlight w:val="none"/>
        </w:rPr>
      </w:pPr>
    </w:p>
    <w:p w14:paraId="02785370">
      <w:pPr>
        <w:spacing w:line="500" w:lineRule="exact"/>
        <w:ind w:firstLine="440"/>
        <w:rPr>
          <w:color w:val="auto"/>
          <w:highlight w:val="none"/>
        </w:rPr>
      </w:pPr>
    </w:p>
    <w:p w14:paraId="175AF7A8">
      <w:pPr>
        <w:spacing w:line="500" w:lineRule="exact"/>
        <w:ind w:firstLine="440"/>
        <w:rPr>
          <w:color w:val="auto"/>
          <w:highlight w:val="none"/>
        </w:rPr>
      </w:pPr>
    </w:p>
    <w:p w14:paraId="324F56EE">
      <w:pPr>
        <w:spacing w:line="500" w:lineRule="exact"/>
        <w:ind w:firstLine="440"/>
        <w:rPr>
          <w:color w:val="auto"/>
          <w:highlight w:val="none"/>
        </w:rPr>
      </w:pPr>
    </w:p>
    <w:p w14:paraId="12367E34">
      <w:pPr>
        <w:spacing w:line="500" w:lineRule="exact"/>
        <w:ind w:firstLine="440"/>
        <w:rPr>
          <w:color w:val="auto"/>
          <w:highlight w:val="none"/>
        </w:rPr>
      </w:pPr>
    </w:p>
    <w:p w14:paraId="2F26E384">
      <w:pPr>
        <w:spacing w:line="500" w:lineRule="exact"/>
        <w:ind w:firstLine="440"/>
        <w:rPr>
          <w:color w:val="auto"/>
          <w:highlight w:val="none"/>
        </w:rPr>
      </w:pPr>
    </w:p>
    <w:p w14:paraId="7F8C1C08">
      <w:pPr>
        <w:spacing w:line="500" w:lineRule="exact"/>
        <w:ind w:firstLine="440"/>
        <w:rPr>
          <w:color w:val="auto"/>
          <w:highlight w:val="none"/>
        </w:rPr>
      </w:pPr>
    </w:p>
    <w:p w14:paraId="47895837">
      <w:pPr>
        <w:spacing w:line="500" w:lineRule="exact"/>
        <w:ind w:firstLine="440"/>
        <w:rPr>
          <w:color w:val="auto"/>
          <w:highlight w:val="none"/>
        </w:rPr>
      </w:pPr>
    </w:p>
    <w:p w14:paraId="73F7809E">
      <w:pPr>
        <w:spacing w:line="500" w:lineRule="exact"/>
        <w:ind w:firstLine="440"/>
        <w:rPr>
          <w:color w:val="auto"/>
          <w:highlight w:val="none"/>
        </w:rPr>
      </w:pPr>
    </w:p>
    <w:p w14:paraId="128CD23B">
      <w:pPr>
        <w:pStyle w:val="147"/>
        <w:ind w:left="0" w:firstLine="0"/>
        <w:jc w:val="center"/>
        <w:rPr>
          <w:rFonts w:ascii="黑体" w:hAnsi="黑体" w:eastAsia="黑体" w:cs="黑体"/>
          <w:i/>
          <w:color w:val="auto"/>
          <w:sz w:val="32"/>
          <w:szCs w:val="32"/>
          <w:highlight w:val="none"/>
          <w:u w:val="single"/>
        </w:rPr>
      </w:pPr>
    </w:p>
    <w:p w14:paraId="104530BD">
      <w:pPr>
        <w:pStyle w:val="147"/>
        <w:numPr>
          <w:ilvl w:val="0"/>
          <w:numId w:val="6"/>
        </w:numPr>
        <w:ind w:left="0" w:firstLine="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投标分项报价表</w:t>
      </w:r>
    </w:p>
    <w:tbl>
      <w:tblPr>
        <w:tblStyle w:val="40"/>
        <w:tblW w:w="9070" w:type="dxa"/>
        <w:jc w:val="center"/>
        <w:tblLayout w:type="fixed"/>
        <w:tblCellMar>
          <w:top w:w="0" w:type="dxa"/>
          <w:left w:w="108" w:type="dxa"/>
          <w:bottom w:w="0" w:type="dxa"/>
          <w:right w:w="108" w:type="dxa"/>
        </w:tblCellMar>
      </w:tblPr>
      <w:tblGrid>
        <w:gridCol w:w="729"/>
        <w:gridCol w:w="1864"/>
        <w:gridCol w:w="1077"/>
        <w:gridCol w:w="757"/>
        <w:gridCol w:w="900"/>
        <w:gridCol w:w="906"/>
        <w:gridCol w:w="2837"/>
      </w:tblGrid>
      <w:tr w14:paraId="0447A188">
        <w:tblPrEx>
          <w:tblCellMar>
            <w:top w:w="0" w:type="dxa"/>
            <w:left w:w="108" w:type="dxa"/>
            <w:bottom w:w="0" w:type="dxa"/>
            <w:right w:w="108" w:type="dxa"/>
          </w:tblCellMar>
        </w:tblPrEx>
        <w:trPr>
          <w:trHeight w:val="514"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7594EB7">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5234C5A7">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标的物名称</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75540F30">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08169F2">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EB08FA9">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w:t>
            </w: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4A6BA855">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总价</w:t>
            </w:r>
          </w:p>
        </w:tc>
        <w:tc>
          <w:tcPr>
            <w:tcW w:w="2837" w:type="dxa"/>
            <w:tcBorders>
              <w:top w:val="single" w:color="000000" w:sz="4" w:space="0"/>
              <w:left w:val="single" w:color="000000" w:sz="4" w:space="0"/>
              <w:bottom w:val="single" w:color="000000" w:sz="4" w:space="0"/>
              <w:right w:val="single" w:color="000000" w:sz="4" w:space="0"/>
            </w:tcBorders>
            <w:noWrap/>
            <w:vAlign w:val="top"/>
          </w:tcPr>
          <w:p w14:paraId="6367F592">
            <w:pPr>
              <w:widowControl/>
              <w:spacing w:line="360" w:lineRule="exact"/>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5973A2DE">
        <w:tblPrEx>
          <w:tblCellMar>
            <w:top w:w="0" w:type="dxa"/>
            <w:left w:w="108" w:type="dxa"/>
            <w:bottom w:w="0" w:type="dxa"/>
            <w:right w:w="108" w:type="dxa"/>
          </w:tblCellMar>
        </w:tblPrEx>
        <w:trPr>
          <w:trHeight w:val="1710"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568B253D">
            <w:pPr>
              <w:widowControl/>
              <w:spacing w:line="360" w:lineRule="exact"/>
              <w:ind w:firstLine="0"/>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7A9D27EB">
            <w:pPr>
              <w:keepNext w:val="0"/>
              <w:keepLines w:val="0"/>
              <w:pageBreakBefore w:val="0"/>
              <w:widowControl/>
              <w:spacing w:line="300" w:lineRule="exact"/>
              <w:ind w:firstLine="0"/>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1"/>
                <w:szCs w:val="16"/>
                <w:highlight w:val="none"/>
              </w:rPr>
              <w:t>物业管理服务人员工资、社保、住房公积金、法定节假日加班费（按国家规定执行）等费用</w:t>
            </w:r>
          </w:p>
        </w:tc>
        <w:tc>
          <w:tcPr>
            <w:tcW w:w="3640" w:type="dxa"/>
            <w:gridSpan w:val="4"/>
            <w:tcBorders>
              <w:top w:val="single" w:color="000000" w:sz="4" w:space="0"/>
              <w:left w:val="single" w:color="000000" w:sz="4" w:space="0"/>
              <w:bottom w:val="single" w:color="000000" w:sz="4" w:space="0"/>
              <w:right w:val="single" w:color="000000" w:sz="4" w:space="0"/>
            </w:tcBorders>
            <w:noWrap/>
            <w:vAlign w:val="center"/>
          </w:tcPr>
          <w:p w14:paraId="23DFF33B">
            <w:pPr>
              <w:widowControl/>
              <w:jc w:val="center"/>
              <w:rPr>
                <w:rFonts w:ascii="宋体" w:hAnsi="宋体" w:cs="宋体"/>
                <w:color w:val="auto"/>
                <w:szCs w:val="18"/>
                <w:highlight w:val="none"/>
              </w:rPr>
            </w:pPr>
            <w:r>
              <w:rPr>
                <w:rFonts w:hint="eastAsia" w:ascii="宋体" w:hAnsi="宋体" w:cs="宋体"/>
                <w:color w:val="auto"/>
                <w:szCs w:val="18"/>
                <w:highlight w:val="none"/>
              </w:rPr>
              <w:t>（以下各项合计）</w:t>
            </w: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30119C7F">
            <w:pPr>
              <w:keepNext w:val="0"/>
              <w:keepLines w:val="0"/>
              <w:pageBreakBefore w:val="0"/>
              <w:widowControl w:val="0"/>
              <w:spacing w:line="320" w:lineRule="exact"/>
              <w:ind w:left="0" w:firstLine="0"/>
              <w:jc w:val="both"/>
              <w:rPr>
                <w:rFonts w:hint="eastAsia" w:ascii="宋体" w:hAnsi="宋体" w:cs="宋体"/>
                <w:sz w:val="24"/>
              </w:rPr>
            </w:pPr>
            <w:r>
              <w:rPr>
                <w:rFonts w:hint="eastAsia" w:ascii="宋体" w:hAnsi="宋体" w:cs="宋体"/>
                <w:sz w:val="24"/>
              </w:rPr>
              <w:t>备注栏内要求必须完全响应</w:t>
            </w:r>
            <w:r>
              <w:rPr>
                <w:rFonts w:hint="eastAsia" w:ascii="宋体" w:hAnsi="宋体" w:cs="宋体"/>
                <w:sz w:val="24"/>
                <w:lang w:eastAsia="zh-CN"/>
              </w:rPr>
              <w:t>，</w:t>
            </w:r>
            <w:r>
              <w:rPr>
                <w:rFonts w:hint="eastAsia" w:ascii="宋体" w:hAnsi="宋体" w:cs="宋体"/>
                <w:sz w:val="24"/>
              </w:rPr>
              <w:t>否则作无效标书处理。</w:t>
            </w:r>
          </w:p>
        </w:tc>
      </w:tr>
      <w:tr w14:paraId="1D27E05E">
        <w:tblPrEx>
          <w:tblCellMar>
            <w:top w:w="0" w:type="dxa"/>
            <w:left w:w="108" w:type="dxa"/>
            <w:bottom w:w="0" w:type="dxa"/>
            <w:right w:w="108" w:type="dxa"/>
          </w:tblCellMar>
        </w:tblPrEx>
        <w:trPr>
          <w:cantSplit/>
          <w:trHeight w:val="436" w:hRule="atLeast"/>
          <w:jc w:val="center"/>
        </w:trPr>
        <w:tc>
          <w:tcPr>
            <w:tcW w:w="729" w:type="dxa"/>
            <w:tcBorders>
              <w:top w:val="single" w:color="000000" w:sz="4" w:space="0"/>
              <w:left w:val="single" w:color="000000" w:sz="4" w:space="0"/>
              <w:bottom w:val="single" w:color="auto" w:sz="4" w:space="0"/>
              <w:right w:val="single" w:color="000000" w:sz="4" w:space="0"/>
            </w:tcBorders>
            <w:noWrap/>
            <w:vAlign w:val="center"/>
          </w:tcPr>
          <w:p w14:paraId="311982CA">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1.1</w:t>
            </w:r>
          </w:p>
        </w:tc>
        <w:tc>
          <w:tcPr>
            <w:tcW w:w="1864" w:type="dxa"/>
            <w:tcBorders>
              <w:top w:val="single" w:color="000000" w:sz="4" w:space="0"/>
              <w:left w:val="single" w:color="000000" w:sz="4" w:space="0"/>
              <w:bottom w:val="single" w:color="auto" w:sz="4" w:space="0"/>
              <w:right w:val="single" w:color="000000" w:sz="4" w:space="0"/>
            </w:tcBorders>
            <w:noWrap/>
            <w:vAlign w:val="center"/>
          </w:tcPr>
          <w:p w14:paraId="300A9209">
            <w:pPr>
              <w:widowControl/>
              <w:spacing w:line="360" w:lineRule="exact"/>
              <w:ind w:firstLine="0"/>
              <w:jc w:val="center"/>
              <w:rPr>
                <w:rFonts w:hint="default" w:ascii="宋体" w:hAnsi="宋体" w:eastAsia="宋体" w:cs="宋体"/>
                <w:color w:val="auto"/>
                <w:sz w:val="24"/>
                <w:szCs w:val="24"/>
                <w:highlight w:val="none"/>
                <w:lang w:val="en-US" w:eastAsia="zh-CN" w:bidi="ar"/>
              </w:rPr>
            </w:pPr>
            <w:r>
              <w:rPr>
                <w:rFonts w:hint="eastAsia" w:cs="宋体"/>
                <w:color w:val="auto"/>
                <w:sz w:val="24"/>
                <w:szCs w:val="24"/>
                <w:highlight w:val="none"/>
                <w:lang w:val="en-US" w:eastAsia="zh-CN" w:bidi="ar"/>
              </w:rPr>
              <w:t>人员工资</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3C3C2321">
            <w:pPr>
              <w:widowControl/>
              <w:spacing w:line="360" w:lineRule="exact"/>
              <w:ind w:firstLine="0"/>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B89BD43">
            <w:pPr>
              <w:widowControl/>
              <w:spacing w:line="360" w:lineRule="exact"/>
              <w:ind w:firstLine="0"/>
              <w:jc w:val="center"/>
              <w:rPr>
                <w:rFonts w:hint="default" w:ascii="宋体" w:hAnsi="宋体" w:eastAsia="宋体" w:cs="宋体"/>
                <w:color w:val="auto"/>
                <w:sz w:val="24"/>
                <w:szCs w:val="24"/>
                <w:highlight w:val="none"/>
                <w:lang w:val="en-US" w:eastAsia="zh-CN" w:bidi="ar"/>
              </w:rPr>
            </w:pPr>
            <w:r>
              <w:rPr>
                <w:rFonts w:hint="eastAsia" w:cs="宋体"/>
                <w:color w:val="auto"/>
                <w:sz w:val="24"/>
                <w:szCs w:val="24"/>
                <w:highlight w:val="none"/>
                <w:lang w:val="en-US" w:eastAsia="zh-CN" w:bidi="ar"/>
              </w:rPr>
              <w:t>6</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AFEB0C7">
            <w:pPr>
              <w:widowControl/>
              <w:spacing w:line="360" w:lineRule="exact"/>
              <w:ind w:firstLine="0"/>
              <w:jc w:val="center"/>
              <w:rPr>
                <w:rFonts w:hint="eastAsia" w:ascii="宋体" w:hAnsi="宋体" w:eastAsia="宋体" w:cs="宋体"/>
                <w:color w:val="auto"/>
                <w:sz w:val="24"/>
                <w:szCs w:val="24"/>
                <w:highlight w:val="none"/>
                <w:lang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55F1D38">
            <w:pPr>
              <w:widowControl/>
              <w:spacing w:line="360" w:lineRule="exact"/>
              <w:ind w:firstLine="0"/>
              <w:jc w:val="center"/>
              <w:rPr>
                <w:rFonts w:hint="eastAsia" w:ascii="宋体" w:hAnsi="宋体" w:eastAsia="宋体" w:cs="宋体"/>
                <w:color w:val="auto"/>
                <w:sz w:val="24"/>
                <w:szCs w:val="24"/>
                <w:highlight w:val="none"/>
                <w:lang w:bidi="ar"/>
              </w:rPr>
            </w:pPr>
          </w:p>
        </w:tc>
        <w:tc>
          <w:tcPr>
            <w:tcW w:w="2837" w:type="dxa"/>
            <w:tcBorders>
              <w:top w:val="single" w:color="000000" w:sz="4" w:space="0"/>
              <w:left w:val="single" w:color="000000" w:sz="4" w:space="0"/>
              <w:right w:val="single" w:color="000000" w:sz="4" w:space="0"/>
            </w:tcBorders>
            <w:noWrap/>
            <w:vAlign w:val="center"/>
          </w:tcPr>
          <w:p w14:paraId="1B1A63C3">
            <w:pPr>
              <w:keepNext w:val="0"/>
              <w:keepLines w:val="0"/>
              <w:pageBreakBefore w:val="0"/>
              <w:widowControl w:val="0"/>
              <w:spacing w:line="320" w:lineRule="exact"/>
              <w:ind w:left="0" w:firstLine="0"/>
              <w:jc w:val="both"/>
              <w:rPr>
                <w:rFonts w:hint="eastAsia" w:ascii="宋体" w:hAnsi="宋体" w:cs="宋体"/>
                <w:sz w:val="24"/>
                <w:lang w:val="zh-CN"/>
              </w:rPr>
            </w:pPr>
            <w:r>
              <w:rPr>
                <w:rFonts w:hint="eastAsia" w:ascii="宋体" w:hAnsi="宋体" w:cs="宋体"/>
                <w:sz w:val="24"/>
              </w:rPr>
              <w:t>工资</w:t>
            </w:r>
            <w:bookmarkStart w:id="163" w:name="OLE_LINK7"/>
            <w:bookmarkStart w:id="164" w:name="OLE_LINK8"/>
            <w:r>
              <w:rPr>
                <w:rFonts w:hint="eastAsia" w:ascii="宋体" w:hAnsi="宋体" w:cs="宋体"/>
                <w:sz w:val="24"/>
              </w:rPr>
              <w:t>单价不低于2430元/人/每月。</w:t>
            </w:r>
            <w:bookmarkEnd w:id="163"/>
            <w:bookmarkEnd w:id="164"/>
          </w:p>
        </w:tc>
      </w:tr>
      <w:tr w14:paraId="71F254D9">
        <w:tblPrEx>
          <w:tblCellMar>
            <w:top w:w="0" w:type="dxa"/>
            <w:left w:w="108" w:type="dxa"/>
            <w:bottom w:w="0" w:type="dxa"/>
            <w:right w:w="108" w:type="dxa"/>
          </w:tblCellMar>
        </w:tblPrEx>
        <w:trPr>
          <w:trHeight w:val="46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24E0333">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cs="宋体"/>
                <w:color w:val="auto"/>
                <w:sz w:val="24"/>
                <w:szCs w:val="24"/>
                <w:highlight w:val="none"/>
                <w:lang w:val="en-US" w:eastAsia="zh-CN" w:bidi="ar"/>
              </w:rPr>
              <w:t>3</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4708659D">
            <w:pPr>
              <w:widowControl/>
              <w:spacing w:line="360" w:lineRule="exact"/>
              <w:ind w:firstLine="0"/>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国假加班费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32A1C5C9">
            <w:pPr>
              <w:widowControl/>
              <w:spacing w:line="360" w:lineRule="exact"/>
              <w:ind w:firstLine="0"/>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2B5562E">
            <w:pPr>
              <w:widowControl/>
              <w:spacing w:line="360" w:lineRule="exact"/>
              <w:ind w:firstLine="0"/>
              <w:jc w:val="center"/>
              <w:rPr>
                <w:rFonts w:hint="default" w:ascii="宋体" w:hAnsi="宋体" w:eastAsia="宋体" w:cs="宋体"/>
                <w:color w:val="auto"/>
                <w:sz w:val="24"/>
                <w:szCs w:val="24"/>
                <w:highlight w:val="none"/>
                <w:lang w:val="en-US" w:eastAsia="zh-CN" w:bidi="ar"/>
              </w:rPr>
            </w:pPr>
            <w:r>
              <w:rPr>
                <w:rFonts w:hint="eastAsia" w:cs="宋体"/>
                <w:color w:val="auto"/>
                <w:sz w:val="24"/>
                <w:szCs w:val="24"/>
                <w:highlight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160C211">
            <w:pPr>
              <w:widowControl/>
              <w:spacing w:line="360" w:lineRule="exact"/>
              <w:ind w:firstLine="0"/>
              <w:jc w:val="center"/>
              <w:rPr>
                <w:rFonts w:hint="eastAsia" w:ascii="宋体" w:hAnsi="宋体" w:eastAsia="宋体" w:cs="宋体"/>
                <w:color w:val="auto"/>
                <w:sz w:val="24"/>
                <w:szCs w:val="24"/>
                <w:highlight w:val="none"/>
                <w:lang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FEDA77F">
            <w:pPr>
              <w:widowControl/>
              <w:spacing w:line="360" w:lineRule="exact"/>
              <w:ind w:firstLine="0"/>
              <w:jc w:val="center"/>
              <w:rPr>
                <w:rFonts w:hint="eastAsia" w:ascii="宋体" w:hAnsi="宋体" w:eastAsia="宋体" w:cs="宋体"/>
                <w:color w:val="auto"/>
                <w:sz w:val="24"/>
                <w:szCs w:val="24"/>
                <w:highlight w:val="none"/>
                <w:lang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2DC973CF">
            <w:pPr>
              <w:keepNext w:val="0"/>
              <w:keepLines w:val="0"/>
              <w:pageBreakBefore w:val="0"/>
              <w:widowControl w:val="0"/>
              <w:spacing w:line="320" w:lineRule="exact"/>
              <w:ind w:left="0" w:firstLine="0"/>
              <w:jc w:val="both"/>
              <w:rPr>
                <w:rFonts w:hint="eastAsia" w:ascii="宋体" w:hAnsi="宋体" w:cs="宋体"/>
                <w:color w:val="auto"/>
                <w:sz w:val="18"/>
                <w:szCs w:val="15"/>
                <w:highlight w:val="none"/>
                <w:lang w:val="zh-CN"/>
              </w:rPr>
            </w:pPr>
            <w:r>
              <w:rPr>
                <w:rFonts w:hint="eastAsia" w:ascii="宋体" w:hAnsi="宋体" w:cs="宋体"/>
                <w:sz w:val="24"/>
              </w:rPr>
              <w:t>法定节假日加班费不得低于4357.25元/人/每年，人数按不少于</w:t>
            </w:r>
            <w:r>
              <w:rPr>
                <w:rFonts w:hint="eastAsia" w:cs="宋体"/>
                <w:sz w:val="24"/>
                <w:lang w:val="en-US" w:eastAsia="zh-CN"/>
              </w:rPr>
              <w:t>2</w:t>
            </w:r>
            <w:r>
              <w:rPr>
                <w:rFonts w:hint="eastAsia" w:ascii="宋体" w:hAnsi="宋体" w:cs="宋体"/>
                <w:sz w:val="24"/>
              </w:rPr>
              <w:t>人数加班计算。</w:t>
            </w:r>
          </w:p>
        </w:tc>
      </w:tr>
      <w:tr w14:paraId="4BBA8E6F">
        <w:tblPrEx>
          <w:tblCellMar>
            <w:top w:w="0" w:type="dxa"/>
            <w:left w:w="108" w:type="dxa"/>
            <w:bottom w:w="0" w:type="dxa"/>
            <w:right w:w="108" w:type="dxa"/>
          </w:tblCellMar>
        </w:tblPrEx>
        <w:trPr>
          <w:trHeight w:val="317"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1ABFB81">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cs="宋体"/>
                <w:color w:val="auto"/>
                <w:sz w:val="24"/>
                <w:szCs w:val="24"/>
                <w:highlight w:val="none"/>
                <w:lang w:val="en-US" w:eastAsia="zh-CN" w:bidi="ar"/>
              </w:rPr>
              <w:t>4</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3A2A0BAA">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社保</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63347DEC">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47C132C">
            <w:pPr>
              <w:widowControl/>
              <w:spacing w:line="360" w:lineRule="exact"/>
              <w:ind w:firstLine="0"/>
              <w:jc w:val="center"/>
              <w:rPr>
                <w:rFonts w:hint="default" w:ascii="宋体" w:hAnsi="宋体" w:eastAsia="宋体" w:cs="宋体"/>
                <w:color w:val="auto"/>
                <w:sz w:val="24"/>
                <w:szCs w:val="24"/>
                <w:highlight w:val="none"/>
                <w:lang w:val="en-US" w:eastAsia="zh-CN" w:bidi="ar"/>
              </w:rPr>
            </w:pPr>
            <w:r>
              <w:rPr>
                <w:rFonts w:hint="eastAsia" w:cs="宋体"/>
                <w:color w:val="auto"/>
                <w:sz w:val="24"/>
                <w:szCs w:val="24"/>
                <w:highlight w:val="none"/>
                <w:lang w:val="en-US" w:eastAsia="zh-CN" w:bidi="ar"/>
              </w:rPr>
              <w:t>6</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1023119">
            <w:pPr>
              <w:spacing w:line="360" w:lineRule="exact"/>
              <w:jc w:val="center"/>
              <w:rPr>
                <w:rFonts w:ascii="宋体" w:hAnsi="宋体" w:eastAsia="宋体" w:cs="宋体"/>
                <w:color w:val="auto"/>
                <w:szCs w:val="18"/>
                <w:highlight w:val="none"/>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4E3AB882">
            <w:pPr>
              <w:widowControl/>
              <w:jc w:val="center"/>
              <w:rPr>
                <w:rFonts w:ascii="宋体" w:hAnsi="宋体" w:cs="宋体"/>
                <w:color w:val="auto"/>
                <w:szCs w:val="18"/>
                <w:highlight w:val="none"/>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15E2386A">
            <w:pPr>
              <w:keepNext w:val="0"/>
              <w:keepLines w:val="0"/>
              <w:pageBreakBefore w:val="0"/>
              <w:widowControl w:val="0"/>
              <w:spacing w:line="360" w:lineRule="exact"/>
              <w:ind w:left="0" w:firstLine="180"/>
              <w:jc w:val="left"/>
              <w:rPr>
                <w:rFonts w:hint="eastAsia" w:ascii="宋体" w:hAnsi="宋体" w:eastAsia="宋体" w:cs="宋体"/>
                <w:color w:val="auto"/>
                <w:sz w:val="18"/>
                <w:szCs w:val="15"/>
                <w:highlight w:val="none"/>
                <w:lang w:val="zh-CN"/>
              </w:rPr>
            </w:pPr>
            <w:r>
              <w:rPr>
                <w:rFonts w:hint="eastAsia" w:ascii="宋体" w:hAnsi="宋体" w:cs="宋体"/>
                <w:sz w:val="24"/>
              </w:rPr>
              <w:t>所有人员必须足额缴纳社保费用，社保（企业部分）不得低于1292.47元/人/每月。</w:t>
            </w:r>
          </w:p>
        </w:tc>
      </w:tr>
      <w:tr w14:paraId="4B3CE046">
        <w:tblPrEx>
          <w:tblCellMar>
            <w:top w:w="0" w:type="dxa"/>
            <w:left w:w="108" w:type="dxa"/>
            <w:bottom w:w="0" w:type="dxa"/>
            <w:right w:w="108" w:type="dxa"/>
          </w:tblCellMar>
        </w:tblPrEx>
        <w:trPr>
          <w:trHeight w:val="46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6AE5B610">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cs="宋体"/>
                <w:color w:val="auto"/>
                <w:sz w:val="24"/>
                <w:szCs w:val="24"/>
                <w:highlight w:val="none"/>
                <w:lang w:val="en-US" w:eastAsia="zh-CN" w:bidi="ar"/>
              </w:rPr>
              <w:t>5</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248FBB77">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住房公积金</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6448CFD5">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23BC3D8">
            <w:pPr>
              <w:widowControl/>
              <w:spacing w:line="360" w:lineRule="exact"/>
              <w:ind w:firstLine="0"/>
              <w:jc w:val="center"/>
              <w:rPr>
                <w:rFonts w:hint="default" w:ascii="宋体" w:hAnsi="宋体" w:eastAsia="宋体" w:cs="宋体"/>
                <w:color w:val="auto"/>
                <w:sz w:val="24"/>
                <w:szCs w:val="24"/>
                <w:highlight w:val="none"/>
                <w:lang w:val="en-US" w:eastAsia="zh-CN" w:bidi="ar"/>
              </w:rPr>
            </w:pPr>
            <w:r>
              <w:rPr>
                <w:rFonts w:hint="eastAsia" w:cs="宋体"/>
                <w:color w:val="auto"/>
                <w:sz w:val="24"/>
                <w:szCs w:val="24"/>
                <w:highlight w:val="none"/>
                <w:lang w:val="en-US" w:eastAsia="zh-CN" w:bidi="ar"/>
              </w:rPr>
              <w:t>6</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D448AAC">
            <w:pPr>
              <w:spacing w:line="360" w:lineRule="exact"/>
              <w:jc w:val="center"/>
              <w:rPr>
                <w:rFonts w:ascii="宋体" w:hAnsi="宋体" w:eastAsia="宋体" w:cs="宋体"/>
                <w:color w:val="auto"/>
                <w:szCs w:val="18"/>
                <w:highlight w:val="none"/>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E78A5A2">
            <w:pPr>
              <w:widowControl/>
              <w:jc w:val="center"/>
              <w:rPr>
                <w:rFonts w:ascii="宋体" w:hAnsi="宋体" w:cs="宋体"/>
                <w:color w:val="auto"/>
                <w:szCs w:val="18"/>
                <w:highlight w:val="none"/>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63D2A268">
            <w:pPr>
              <w:keepNext w:val="0"/>
              <w:keepLines w:val="0"/>
              <w:pageBreakBefore w:val="0"/>
              <w:widowControl w:val="0"/>
              <w:spacing w:line="360" w:lineRule="exact"/>
              <w:ind w:left="0" w:firstLine="180"/>
              <w:jc w:val="left"/>
              <w:rPr>
                <w:rFonts w:hint="eastAsia" w:ascii="宋体" w:hAnsi="宋体" w:eastAsia="宋体" w:cs="宋体"/>
                <w:color w:val="auto"/>
                <w:sz w:val="18"/>
                <w:szCs w:val="15"/>
                <w:highlight w:val="none"/>
                <w:lang w:val="zh-CN" w:eastAsia="zh-CN"/>
              </w:rPr>
            </w:pPr>
            <w:r>
              <w:rPr>
                <w:rFonts w:hint="eastAsia" w:ascii="宋体" w:hAnsi="宋体" w:cs="宋体"/>
                <w:sz w:val="24"/>
              </w:rPr>
              <w:t>住房公积金不得低于1</w:t>
            </w:r>
            <w:r>
              <w:rPr>
                <w:rFonts w:hint="eastAsia" w:cs="宋体"/>
                <w:sz w:val="24"/>
                <w:lang w:val="en-US" w:eastAsia="zh-CN"/>
              </w:rPr>
              <w:t>22</w:t>
            </w:r>
            <w:r>
              <w:rPr>
                <w:rFonts w:hint="eastAsia" w:ascii="宋体" w:hAnsi="宋体" w:cs="宋体"/>
                <w:sz w:val="24"/>
              </w:rPr>
              <w:t>元/人/每月。</w:t>
            </w:r>
          </w:p>
        </w:tc>
      </w:tr>
      <w:tr w14:paraId="654CAD4C">
        <w:tblPrEx>
          <w:tblCellMar>
            <w:top w:w="0" w:type="dxa"/>
            <w:left w:w="108" w:type="dxa"/>
            <w:bottom w:w="0" w:type="dxa"/>
            <w:right w:w="108" w:type="dxa"/>
          </w:tblCellMar>
        </w:tblPrEx>
        <w:trPr>
          <w:trHeight w:val="42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9D8AD50">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0EAE710B">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综合杂费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201C152D">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705CFC1">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711411E">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5D4FCDF9">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0DAEA29F">
            <w:pPr>
              <w:keepNext w:val="0"/>
              <w:keepLines w:val="0"/>
              <w:pageBreakBefore w:val="0"/>
              <w:widowControl w:val="0"/>
              <w:spacing w:line="360" w:lineRule="exact"/>
              <w:ind w:left="0" w:firstLine="180"/>
              <w:jc w:val="left"/>
              <w:rPr>
                <w:rFonts w:hint="eastAsia" w:ascii="宋体" w:hAnsi="宋体" w:eastAsia="宋体" w:cs="宋体"/>
                <w:color w:val="auto"/>
                <w:sz w:val="18"/>
                <w:szCs w:val="15"/>
                <w:highlight w:val="none"/>
                <w:lang w:val="zh-CN" w:eastAsia="zh-CN"/>
              </w:rPr>
            </w:pPr>
            <w:r>
              <w:rPr>
                <w:rFonts w:hint="eastAsia" w:ascii="宋体" w:hAnsi="宋体" w:eastAsia="宋体" w:cs="宋体"/>
                <w:color w:val="auto"/>
                <w:sz w:val="18"/>
                <w:szCs w:val="15"/>
                <w:highlight w:val="none"/>
                <w:lang w:val="zh-CN" w:eastAsia="zh-CN"/>
              </w:rPr>
              <w:t>包</w:t>
            </w:r>
            <w:r>
              <w:rPr>
                <w:rFonts w:hint="eastAsia" w:ascii="宋体" w:hAnsi="宋体" w:eastAsia="宋体" w:cs="宋体"/>
                <w:sz w:val="24"/>
                <w:lang w:val="zh-CN" w:eastAsia="zh-CN"/>
              </w:rPr>
              <w:t>括：</w:t>
            </w:r>
            <w:r>
              <w:rPr>
                <w:rFonts w:hint="eastAsia" w:ascii="宋体" w:hAnsi="宋体" w:eastAsia="宋体" w:cs="宋体"/>
                <w:sz w:val="24"/>
                <w:lang w:val="en-US" w:eastAsia="zh-CN"/>
              </w:rPr>
              <w:t>办公费(</w:t>
            </w:r>
            <w:r>
              <w:rPr>
                <w:rFonts w:hint="eastAsia" w:ascii="宋体" w:hAnsi="宋体" w:eastAsia="宋体" w:cs="宋体"/>
                <w:sz w:val="24"/>
                <w:lang w:val="zh-CN" w:eastAsia="zh-CN"/>
              </w:rPr>
              <w:t>含耗材、文具、电脑、打印机等</w:t>
            </w:r>
            <w:r>
              <w:rPr>
                <w:rFonts w:hint="eastAsia" w:ascii="宋体" w:hAnsi="宋体" w:eastAsia="宋体" w:cs="宋体"/>
                <w:sz w:val="24"/>
                <w:lang w:val="en-US" w:eastAsia="zh-CN"/>
              </w:rPr>
              <w:t>)、固定资产折旧费（</w:t>
            </w:r>
            <w:r>
              <w:rPr>
                <w:rFonts w:hint="eastAsia" w:ascii="宋体" w:hAnsi="宋体" w:eastAsia="宋体" w:cs="宋体"/>
                <w:sz w:val="24"/>
                <w:lang w:val="zh-CN" w:eastAsia="zh-CN"/>
              </w:rPr>
              <w:t>主要办公家具由采购人提供</w:t>
            </w:r>
            <w:r>
              <w:rPr>
                <w:rFonts w:hint="eastAsia" w:ascii="宋体" w:hAnsi="宋体" w:eastAsia="宋体" w:cs="宋体"/>
                <w:sz w:val="24"/>
                <w:lang w:val="en-US" w:eastAsia="zh-CN"/>
              </w:rPr>
              <w:t>）、公众责任保险费、意外伤害保险费、高温补助费、服装费、垃圾收集清运费（至垃圾中转箱）、保洁设备、工具及耗材费、消防</w:t>
            </w:r>
            <w:r>
              <w:rPr>
                <w:rFonts w:hint="eastAsia" w:ascii="宋体" w:hAnsi="宋体" w:eastAsia="宋体" w:cs="宋体"/>
                <w:sz w:val="24"/>
                <w:lang w:val="zh-CN" w:eastAsia="zh-CN"/>
              </w:rPr>
              <w:t>治安保卫装备费（含器械、工具等）</w:t>
            </w:r>
            <w:r>
              <w:rPr>
                <w:rFonts w:hint="eastAsia" w:ascii="宋体" w:hAnsi="宋体" w:eastAsia="宋体" w:cs="宋体"/>
                <w:sz w:val="24"/>
                <w:lang w:val="en-US" w:eastAsia="zh-CN"/>
              </w:rPr>
              <w:t>、</w:t>
            </w:r>
            <w:r>
              <w:rPr>
                <w:rFonts w:hint="eastAsia" w:ascii="宋体" w:hAnsi="宋体" w:eastAsia="宋体" w:cs="宋体"/>
                <w:sz w:val="24"/>
                <w:lang w:val="zh-CN" w:eastAsia="zh-CN"/>
              </w:rPr>
              <w:t>绿化维护工具及耗材费</w:t>
            </w:r>
            <w:r>
              <w:rPr>
                <w:rFonts w:hint="eastAsia" w:ascii="宋体" w:hAnsi="宋体" w:eastAsia="宋体" w:cs="宋体"/>
                <w:sz w:val="24"/>
                <w:lang w:val="en-US" w:eastAsia="zh-CN"/>
              </w:rPr>
              <w:t>、被服洗涤耗材费、</w:t>
            </w:r>
            <w:r>
              <w:rPr>
                <w:rFonts w:hint="eastAsia" w:ascii="宋体" w:hAnsi="宋体" w:eastAsia="宋体" w:cs="宋体"/>
                <w:sz w:val="24"/>
                <w:lang w:val="zh-CN" w:eastAsia="zh-CN"/>
              </w:rPr>
              <w:t>管理费、劳务费、工作日和休息日加班费、培训费、福利费、</w:t>
            </w:r>
            <w:r>
              <w:rPr>
                <w:rFonts w:hint="eastAsia" w:ascii="宋体" w:hAnsi="宋体" w:eastAsia="宋体" w:cs="宋体"/>
                <w:sz w:val="24"/>
                <w:lang w:val="en-US" w:eastAsia="zh-CN"/>
              </w:rPr>
              <w:t>体检费、</w:t>
            </w:r>
            <w:r>
              <w:rPr>
                <w:rFonts w:hint="eastAsia" w:ascii="宋体" w:hAnsi="宋体" w:eastAsia="宋体" w:cs="宋体"/>
                <w:sz w:val="24"/>
                <w:lang w:val="zh-CN" w:eastAsia="zh-CN"/>
              </w:rPr>
              <w:t>宣传服务费、风险费及政策性文件规定等各项应有费用，以及为完成招标文件规定的物业服务工作所涉及到的一切相关费用。投标人自行报价。</w:t>
            </w:r>
          </w:p>
        </w:tc>
      </w:tr>
      <w:tr w14:paraId="4316A93B">
        <w:tblPrEx>
          <w:tblCellMar>
            <w:top w:w="0" w:type="dxa"/>
            <w:left w:w="108" w:type="dxa"/>
            <w:bottom w:w="0" w:type="dxa"/>
            <w:right w:w="108" w:type="dxa"/>
          </w:tblCellMar>
        </w:tblPrEx>
        <w:trPr>
          <w:trHeight w:val="482"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522776CC">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045D47B8">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利润      （管理费）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50AE75EE">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0C23115">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5D61029">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58C19A90">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62591E46">
            <w:pPr>
              <w:keepNext w:val="0"/>
              <w:keepLines w:val="0"/>
              <w:pageBreakBefore w:val="0"/>
              <w:widowControl w:val="0"/>
              <w:spacing w:line="320" w:lineRule="exact"/>
              <w:ind w:left="0" w:firstLine="0"/>
              <w:jc w:val="both"/>
              <w:rPr>
                <w:rFonts w:hint="eastAsia" w:ascii="宋体" w:hAnsi="宋体" w:cs="宋体"/>
                <w:sz w:val="24"/>
                <w:lang w:val="zh-CN" w:eastAsia="zh-CN"/>
              </w:rPr>
            </w:pPr>
            <w:r>
              <w:rPr>
                <w:rFonts w:hint="eastAsia" w:ascii="宋体" w:hAnsi="宋体" w:cs="宋体"/>
                <w:sz w:val="24"/>
                <w:lang w:val="zh-CN" w:eastAsia="zh-CN"/>
              </w:rPr>
              <w:t>投标人自行报价。</w:t>
            </w:r>
          </w:p>
        </w:tc>
      </w:tr>
      <w:tr w14:paraId="7E7A9437">
        <w:tblPrEx>
          <w:tblCellMar>
            <w:top w:w="0" w:type="dxa"/>
            <w:left w:w="108" w:type="dxa"/>
            <w:bottom w:w="0" w:type="dxa"/>
            <w:right w:w="108" w:type="dxa"/>
          </w:tblCellMar>
        </w:tblPrEx>
        <w:trPr>
          <w:trHeight w:val="614"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A0ACBB6">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3E85400E">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法定税费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78A343C6">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76972EA">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E0B328A">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6A91D880">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1E4D6A81">
            <w:pPr>
              <w:keepNext w:val="0"/>
              <w:keepLines w:val="0"/>
              <w:pageBreakBefore w:val="0"/>
              <w:widowControl w:val="0"/>
              <w:spacing w:line="320" w:lineRule="exact"/>
              <w:ind w:left="0" w:firstLine="0"/>
              <w:jc w:val="both"/>
              <w:rPr>
                <w:rFonts w:hint="eastAsia" w:ascii="宋体" w:hAnsi="宋体" w:cs="宋体"/>
                <w:sz w:val="24"/>
                <w:lang w:val="zh-CN" w:eastAsia="zh-CN"/>
              </w:rPr>
            </w:pPr>
            <w:r>
              <w:rPr>
                <w:rFonts w:hint="eastAsia" w:ascii="宋体" w:hAnsi="宋体" w:cs="宋体"/>
                <w:sz w:val="24"/>
                <w:lang w:val="en-US" w:eastAsia="zh-CN"/>
              </w:rPr>
              <w:t>1至3和的6.72%（各投标人填报的税率统一按照6.72%计算。）</w:t>
            </w:r>
          </w:p>
        </w:tc>
      </w:tr>
      <w:tr w14:paraId="5653A146">
        <w:tblPrEx>
          <w:tblCellMar>
            <w:top w:w="0" w:type="dxa"/>
            <w:left w:w="108" w:type="dxa"/>
            <w:bottom w:w="0" w:type="dxa"/>
            <w:right w:w="108" w:type="dxa"/>
          </w:tblCellMar>
        </w:tblPrEx>
        <w:trPr>
          <w:trHeight w:val="788" w:hRule="atLeast"/>
          <w:jc w:val="center"/>
        </w:trPr>
        <w:tc>
          <w:tcPr>
            <w:tcW w:w="2593" w:type="dxa"/>
            <w:gridSpan w:val="2"/>
            <w:tcBorders>
              <w:top w:val="single" w:color="000000" w:sz="4" w:space="0"/>
              <w:left w:val="single" w:color="000000" w:sz="4" w:space="0"/>
              <w:bottom w:val="single" w:color="000000" w:sz="4" w:space="0"/>
              <w:right w:val="single" w:color="000000" w:sz="4" w:space="0"/>
            </w:tcBorders>
            <w:noWrap/>
            <w:vAlign w:val="center"/>
          </w:tcPr>
          <w:p w14:paraId="3CDF7873">
            <w:pPr>
              <w:widowControl/>
              <w:spacing w:line="360" w:lineRule="exact"/>
              <w:ind w:firstLine="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投标总报价      （一年费用）</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45DAE833">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53D85C5">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9E55F0B">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1F7FD796">
            <w:pPr>
              <w:widowControl/>
              <w:spacing w:line="360" w:lineRule="exact"/>
              <w:ind w:firstLine="0"/>
              <w:jc w:val="center"/>
              <w:rPr>
                <w:rFonts w:hint="eastAsia" w:ascii="宋体" w:hAnsi="宋体" w:eastAsia="宋体" w:cs="宋体"/>
                <w:color w:val="auto"/>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28223613">
            <w:pPr>
              <w:keepNext w:val="0"/>
              <w:keepLines w:val="0"/>
              <w:pageBreakBefore w:val="0"/>
              <w:widowControl w:val="0"/>
              <w:spacing w:line="320" w:lineRule="exact"/>
              <w:ind w:left="0" w:firstLine="0"/>
              <w:jc w:val="both"/>
              <w:rPr>
                <w:rFonts w:hint="eastAsia" w:ascii="宋体" w:hAnsi="宋体" w:eastAsia="宋体" w:cs="宋体"/>
                <w:b/>
                <w:bCs/>
                <w:color w:val="auto"/>
                <w:sz w:val="18"/>
                <w:szCs w:val="15"/>
                <w:highlight w:val="none"/>
                <w:lang w:val="zh-CN" w:eastAsia="zh-CN"/>
              </w:rPr>
            </w:pPr>
            <w:r>
              <w:rPr>
                <w:rFonts w:hint="eastAsia" w:ascii="宋体" w:hAnsi="宋体" w:cs="宋体"/>
                <w:b/>
                <w:bCs/>
                <w:sz w:val="24"/>
                <w:lang w:val="zh-CN" w:eastAsia="zh-CN"/>
              </w:rPr>
              <w:t>计算式：（1项+2项+…+</w:t>
            </w:r>
            <w:r>
              <w:rPr>
                <w:rFonts w:hint="eastAsia" w:ascii="宋体" w:hAnsi="宋体" w:cs="宋体"/>
                <w:b/>
                <w:bCs/>
                <w:sz w:val="24"/>
                <w:lang w:val="en-US" w:eastAsia="zh-CN"/>
              </w:rPr>
              <w:t>4</w:t>
            </w:r>
            <w:r>
              <w:rPr>
                <w:rFonts w:hint="eastAsia" w:ascii="宋体" w:hAnsi="宋体" w:cs="宋体"/>
                <w:b/>
                <w:bCs/>
                <w:sz w:val="24"/>
                <w:lang w:val="zh-CN" w:eastAsia="zh-CN"/>
              </w:rPr>
              <w:t>项）</w:t>
            </w:r>
          </w:p>
        </w:tc>
      </w:tr>
    </w:tbl>
    <w:p w14:paraId="43BE9FD9">
      <w:pPr>
        <w:pStyle w:val="36"/>
        <w:spacing w:beforeAutospacing="0" w:afterAutospacing="0" w:line="500" w:lineRule="exact"/>
        <w:ind w:firstLine="480"/>
        <w:jc w:val="both"/>
        <w:rPr>
          <w:rFonts w:ascii="Times New Roman" w:hAnsi="Times New Roman" w:eastAsia="Arial" w:cs="Times New Roman"/>
          <w:bCs/>
          <w:color w:val="auto"/>
          <w:sz w:val="24"/>
          <w:szCs w:val="20"/>
          <w:highlight w:val="none"/>
          <w:lang w:val="zh-CN"/>
        </w:rPr>
      </w:pPr>
      <w:r>
        <w:rPr>
          <w:rFonts w:ascii="Times New Roman" w:hAnsi="Times New Roman" w:eastAsia="Arial" w:cs="Times New Roman"/>
          <w:bCs/>
          <w:color w:val="auto"/>
          <w:sz w:val="24"/>
          <w:szCs w:val="20"/>
          <w:highlight w:val="none"/>
          <w:lang w:val="zh-CN"/>
        </w:rPr>
        <w:t>注：</w:t>
      </w:r>
      <w:r>
        <w:rPr>
          <w:rFonts w:hint="eastAsia" w:ascii="Times New Roman" w:hAnsi="Times New Roman" w:eastAsia="Arial" w:cs="Times New Roman"/>
          <w:bCs/>
          <w:i/>
          <w:iCs/>
          <w:color w:val="auto"/>
          <w:sz w:val="24"/>
          <w:szCs w:val="20"/>
          <w:highlight w:val="none"/>
          <w:u w:val="single"/>
          <w:lang w:val="zh-CN"/>
        </w:rPr>
        <w:t>投标人</w:t>
      </w:r>
      <w:r>
        <w:rPr>
          <w:rFonts w:ascii="Times New Roman" w:hAnsi="Times New Roman" w:eastAsia="Arial" w:cs="Times New Roman"/>
          <w:bCs/>
          <w:i/>
          <w:iCs/>
          <w:color w:val="auto"/>
          <w:sz w:val="24"/>
          <w:szCs w:val="20"/>
          <w:highlight w:val="none"/>
          <w:u w:val="single"/>
          <w:lang w:val="zh-CN"/>
        </w:rPr>
        <w:t>所提供人员的费用不得低于上述标准进行测算，否则视为未实质性响应招标文件要求</w:t>
      </w:r>
      <w:r>
        <w:rPr>
          <w:rFonts w:ascii="Times New Roman" w:hAnsi="Times New Roman" w:eastAsia="Arial" w:cs="Times New Roman"/>
          <w:bCs/>
          <w:color w:val="auto"/>
          <w:sz w:val="24"/>
          <w:szCs w:val="20"/>
          <w:highlight w:val="none"/>
          <w:lang w:val="zh-CN"/>
        </w:rPr>
        <w:t>。如果招标公告发布之后开标前遇政府调整职工最低工资标准或社会保险缴纳基数，评标委员会进行符合性审查时可仍按上述标准审查，中标后，中标人应按照最新政策文件规定执行。</w:t>
      </w:r>
    </w:p>
    <w:p w14:paraId="24D12E73">
      <w:pPr>
        <w:ind w:firstLine="440"/>
        <w:jc w:val="right"/>
        <w:rPr>
          <w:color w:val="auto"/>
          <w:highlight w:val="none"/>
        </w:rPr>
      </w:pPr>
    </w:p>
    <w:p w14:paraId="272F431B">
      <w:pPr>
        <w:ind w:firstLine="440"/>
        <w:jc w:val="right"/>
        <w:rPr>
          <w:color w:val="auto"/>
          <w:sz w:val="24"/>
          <w:szCs w:val="22"/>
          <w:highlight w:val="none"/>
        </w:rPr>
      </w:pPr>
      <w:r>
        <w:rPr>
          <w:rFonts w:hint="eastAsia"/>
          <w:color w:val="auto"/>
          <w:sz w:val="24"/>
          <w:szCs w:val="22"/>
          <w:highlight w:val="none"/>
        </w:rPr>
        <w:t>投标</w:t>
      </w:r>
      <w:r>
        <w:rPr>
          <w:rFonts w:hint="eastAsia"/>
          <w:color w:val="auto"/>
          <w:sz w:val="24"/>
          <w:szCs w:val="22"/>
          <w:highlight w:val="none"/>
          <w:lang w:eastAsia="zh-CN"/>
        </w:rPr>
        <w:t>人</w:t>
      </w:r>
      <w:r>
        <w:rPr>
          <w:rFonts w:hint="eastAsia"/>
          <w:color w:val="auto"/>
          <w:sz w:val="24"/>
          <w:szCs w:val="22"/>
          <w:highlight w:val="none"/>
        </w:rPr>
        <w:t>：（单位盖章）</w:t>
      </w:r>
    </w:p>
    <w:p w14:paraId="0291B50F">
      <w:pPr>
        <w:ind w:firstLine="440"/>
        <w:jc w:val="right"/>
        <w:rPr>
          <w:color w:val="auto"/>
          <w:sz w:val="24"/>
          <w:szCs w:val="22"/>
          <w:highlight w:val="none"/>
        </w:rPr>
      </w:pPr>
      <w:r>
        <w:rPr>
          <w:rFonts w:hint="eastAsia"/>
          <w:color w:val="auto"/>
          <w:sz w:val="24"/>
          <w:szCs w:val="22"/>
          <w:highlight w:val="none"/>
        </w:rPr>
        <w:t xml:space="preserve">                  法定代表人或授权委托人：（签字或盖章）</w:t>
      </w:r>
    </w:p>
    <w:p w14:paraId="6F3460D1">
      <w:pPr>
        <w:ind w:firstLine="440"/>
        <w:jc w:val="right"/>
        <w:rPr>
          <w:b/>
          <w:color w:val="auto"/>
          <w:sz w:val="32"/>
          <w:szCs w:val="32"/>
          <w:highlight w:val="none"/>
        </w:rPr>
      </w:pPr>
      <w:r>
        <w:rPr>
          <w:rFonts w:hint="eastAsia"/>
          <w:color w:val="auto"/>
          <w:sz w:val="24"/>
          <w:szCs w:val="22"/>
          <w:highlight w:val="none"/>
        </w:rPr>
        <w:t xml:space="preserve">                                     日期： 年  月  日</w:t>
      </w:r>
    </w:p>
    <w:p w14:paraId="711B09E9">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400534AA">
      <w:pPr>
        <w:ind w:firstLine="440"/>
        <w:jc w:val="center"/>
        <w:rPr>
          <w:color w:val="auto"/>
          <w:sz w:val="24"/>
          <w:szCs w:val="24"/>
          <w:highlight w:val="none"/>
        </w:rPr>
      </w:pPr>
      <w:r>
        <w:rPr>
          <w:rFonts w:hint="eastAsia" w:ascii="黑体" w:hAnsi="黑体" w:eastAsia="黑体" w:cs="黑体"/>
          <w:i/>
          <w:color w:val="auto"/>
          <w:sz w:val="32"/>
          <w:szCs w:val="32"/>
          <w:highlight w:val="none"/>
          <w:u w:val="single"/>
        </w:rPr>
        <w:t>十二、技术要求响应及偏离表</w:t>
      </w:r>
    </w:p>
    <w:tbl>
      <w:tblPr>
        <w:tblStyle w:val="40"/>
        <w:tblW w:w="8856" w:type="dxa"/>
        <w:tblCellSpacing w:w="0" w:type="dxa"/>
        <w:tblInd w:w="0" w:type="dxa"/>
        <w:tblLayout w:type="fixed"/>
        <w:tblCellMar>
          <w:top w:w="0" w:type="dxa"/>
          <w:left w:w="108" w:type="dxa"/>
          <w:bottom w:w="0" w:type="dxa"/>
          <w:right w:w="108" w:type="dxa"/>
        </w:tblCellMar>
      </w:tblPr>
      <w:tblGrid>
        <w:gridCol w:w="817"/>
        <w:gridCol w:w="2391"/>
        <w:gridCol w:w="2260"/>
        <w:gridCol w:w="1694"/>
        <w:gridCol w:w="1694"/>
      </w:tblGrid>
      <w:tr w14:paraId="093D17CC">
        <w:tblPrEx>
          <w:tblCellMar>
            <w:top w:w="0" w:type="dxa"/>
            <w:left w:w="108" w:type="dxa"/>
            <w:bottom w:w="0" w:type="dxa"/>
            <w:right w:w="108" w:type="dxa"/>
          </w:tblCellMar>
        </w:tblPrEx>
        <w:trPr>
          <w:trHeight w:val="1059"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65E9CC95">
            <w:pPr>
              <w:pStyle w:val="314"/>
              <w:spacing w:line="500" w:lineRule="exact"/>
              <w:ind w:firstLine="0"/>
              <w:jc w:val="center"/>
              <w:rPr>
                <w:color w:val="auto"/>
                <w:szCs w:val="24"/>
                <w:highlight w:val="none"/>
              </w:rPr>
            </w:pPr>
            <w:r>
              <w:rPr>
                <w:rFonts w:hint="eastAsia"/>
                <w:color w:val="auto"/>
                <w:szCs w:val="24"/>
                <w:highlight w:val="none"/>
              </w:rPr>
              <w:t>序号</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446B8352">
            <w:pPr>
              <w:pStyle w:val="314"/>
              <w:spacing w:line="500" w:lineRule="exact"/>
              <w:ind w:firstLine="0"/>
              <w:jc w:val="center"/>
              <w:rPr>
                <w:color w:val="auto"/>
                <w:szCs w:val="24"/>
                <w:highlight w:val="none"/>
              </w:rPr>
            </w:pPr>
            <w:r>
              <w:rPr>
                <w:rFonts w:hint="eastAsia"/>
                <w:color w:val="auto"/>
                <w:szCs w:val="24"/>
                <w:highlight w:val="none"/>
              </w:rPr>
              <w:t>招标文件要求</w:t>
            </w:r>
          </w:p>
        </w:tc>
        <w:tc>
          <w:tcPr>
            <w:tcW w:w="2260" w:type="dxa"/>
            <w:tcBorders>
              <w:top w:val="single" w:color="000000" w:sz="4" w:space="0"/>
              <w:left w:val="single" w:color="000000" w:sz="4" w:space="0"/>
              <w:bottom w:val="single" w:color="000000" w:sz="4" w:space="0"/>
              <w:right w:val="single" w:color="000000" w:sz="4" w:space="0"/>
            </w:tcBorders>
            <w:noWrap w:val="0"/>
            <w:vAlign w:val="center"/>
          </w:tcPr>
          <w:p w14:paraId="77295862">
            <w:pPr>
              <w:pStyle w:val="314"/>
              <w:spacing w:line="500" w:lineRule="exact"/>
              <w:ind w:firstLine="0"/>
              <w:jc w:val="center"/>
              <w:rPr>
                <w:color w:val="auto"/>
                <w:szCs w:val="24"/>
                <w:highlight w:val="none"/>
              </w:rPr>
            </w:pPr>
            <w:r>
              <w:rPr>
                <w:rFonts w:hint="eastAsia"/>
                <w:color w:val="auto"/>
                <w:szCs w:val="24"/>
                <w:highlight w:val="none"/>
              </w:rPr>
              <w:t>投标响应情况</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59494537">
            <w:pPr>
              <w:pStyle w:val="314"/>
              <w:spacing w:line="500" w:lineRule="exact"/>
              <w:ind w:firstLine="0"/>
              <w:jc w:val="center"/>
              <w:rPr>
                <w:color w:val="auto"/>
                <w:szCs w:val="24"/>
                <w:highlight w:val="none"/>
              </w:rPr>
            </w:pPr>
            <w:r>
              <w:rPr>
                <w:rFonts w:hint="eastAsia"/>
                <w:color w:val="auto"/>
                <w:szCs w:val="24"/>
                <w:highlight w:val="none"/>
              </w:rPr>
              <w:t>超出、符合或偏离</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68D96DBE">
            <w:pPr>
              <w:pStyle w:val="314"/>
              <w:spacing w:line="500" w:lineRule="exact"/>
              <w:ind w:firstLine="0"/>
              <w:jc w:val="center"/>
              <w:rPr>
                <w:color w:val="auto"/>
                <w:szCs w:val="24"/>
                <w:highlight w:val="none"/>
              </w:rPr>
            </w:pPr>
            <w:r>
              <w:rPr>
                <w:rFonts w:hint="eastAsia"/>
                <w:color w:val="auto"/>
                <w:szCs w:val="24"/>
                <w:highlight w:val="none"/>
              </w:rPr>
              <w:t>证明材料</w:t>
            </w:r>
          </w:p>
        </w:tc>
      </w:tr>
      <w:tr w14:paraId="6613FD14">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EDFC73">
            <w:pPr>
              <w:pStyle w:val="314"/>
              <w:spacing w:line="500" w:lineRule="exact"/>
              <w:ind w:firstLine="480"/>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81C4ACE">
            <w:pPr>
              <w:pStyle w:val="314"/>
              <w:spacing w:line="500" w:lineRule="exact"/>
              <w:ind w:firstLine="480"/>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A4D437E">
            <w:pPr>
              <w:pStyle w:val="314"/>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B751D6D">
            <w:pPr>
              <w:pStyle w:val="314"/>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601F71A">
            <w:pPr>
              <w:pStyle w:val="314"/>
              <w:spacing w:line="500" w:lineRule="exact"/>
              <w:ind w:firstLine="480"/>
              <w:rPr>
                <w:color w:val="auto"/>
                <w:szCs w:val="24"/>
                <w:highlight w:val="none"/>
              </w:rPr>
            </w:pPr>
          </w:p>
        </w:tc>
      </w:tr>
      <w:tr w14:paraId="1616D4B6">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0E1795D1">
            <w:pPr>
              <w:pStyle w:val="314"/>
              <w:spacing w:line="500" w:lineRule="exact"/>
              <w:ind w:firstLine="480"/>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1E098461">
            <w:pPr>
              <w:pStyle w:val="314"/>
              <w:spacing w:line="500" w:lineRule="exact"/>
              <w:ind w:firstLine="480"/>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46C188C">
            <w:pPr>
              <w:pStyle w:val="314"/>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A97DFAB">
            <w:pPr>
              <w:pStyle w:val="314"/>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1A41DA1">
            <w:pPr>
              <w:pStyle w:val="314"/>
              <w:spacing w:line="500" w:lineRule="exact"/>
              <w:ind w:firstLine="480"/>
              <w:rPr>
                <w:color w:val="auto"/>
                <w:szCs w:val="24"/>
                <w:highlight w:val="none"/>
              </w:rPr>
            </w:pPr>
          </w:p>
        </w:tc>
      </w:tr>
      <w:tr w14:paraId="7CA0B42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37BE2F8B">
            <w:pPr>
              <w:pStyle w:val="314"/>
              <w:spacing w:line="500" w:lineRule="exact"/>
              <w:ind w:firstLine="480"/>
              <w:jc w:val="center"/>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5EBDE726">
            <w:pPr>
              <w:pStyle w:val="314"/>
              <w:spacing w:line="500" w:lineRule="exact"/>
              <w:ind w:firstLine="480"/>
              <w:jc w:val="center"/>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505C878">
            <w:pPr>
              <w:pStyle w:val="314"/>
              <w:spacing w:line="500" w:lineRule="exact"/>
              <w:ind w:firstLine="480"/>
              <w:jc w:val="center"/>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02C1C3A7">
            <w:pPr>
              <w:pStyle w:val="314"/>
              <w:spacing w:line="500" w:lineRule="exact"/>
              <w:ind w:firstLine="480"/>
              <w:jc w:val="center"/>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8EAECF3">
            <w:pPr>
              <w:pStyle w:val="314"/>
              <w:spacing w:line="500" w:lineRule="exact"/>
              <w:ind w:firstLine="480"/>
              <w:jc w:val="center"/>
              <w:rPr>
                <w:color w:val="auto"/>
                <w:szCs w:val="24"/>
                <w:highlight w:val="none"/>
              </w:rPr>
            </w:pPr>
          </w:p>
        </w:tc>
      </w:tr>
      <w:tr w14:paraId="1A59CDBB">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01C1687B">
            <w:pPr>
              <w:pStyle w:val="314"/>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4E8621C9">
            <w:pPr>
              <w:pStyle w:val="314"/>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B7306CB">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6DD5250">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050D558">
            <w:pPr>
              <w:pStyle w:val="314"/>
              <w:spacing w:line="500" w:lineRule="exact"/>
              <w:ind w:firstLine="480"/>
              <w:rPr>
                <w:color w:val="auto"/>
                <w:highlight w:val="none"/>
              </w:rPr>
            </w:pPr>
            <w:r>
              <w:rPr>
                <w:rFonts w:hint="eastAsia"/>
                <w:color w:val="auto"/>
                <w:highlight w:val="none"/>
              </w:rPr>
              <w:t> </w:t>
            </w:r>
          </w:p>
        </w:tc>
      </w:tr>
      <w:tr w14:paraId="77BDF11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4CAE886D">
            <w:pPr>
              <w:pStyle w:val="314"/>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39823F4C">
            <w:pPr>
              <w:pStyle w:val="314"/>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72DA0CA">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2E59DE1">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C93A249">
            <w:pPr>
              <w:pStyle w:val="314"/>
              <w:spacing w:line="500" w:lineRule="exact"/>
              <w:ind w:firstLine="480"/>
              <w:rPr>
                <w:color w:val="auto"/>
                <w:highlight w:val="none"/>
              </w:rPr>
            </w:pPr>
            <w:r>
              <w:rPr>
                <w:rFonts w:hint="eastAsia"/>
                <w:color w:val="auto"/>
                <w:highlight w:val="none"/>
              </w:rPr>
              <w:t> </w:t>
            </w:r>
          </w:p>
        </w:tc>
      </w:tr>
      <w:tr w14:paraId="0A335F9A">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3BD462">
            <w:pPr>
              <w:pStyle w:val="314"/>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18A6FFA">
            <w:pPr>
              <w:pStyle w:val="314"/>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ADCD6F0">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C8A8599">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27CC264">
            <w:pPr>
              <w:pStyle w:val="314"/>
              <w:spacing w:line="500" w:lineRule="exact"/>
              <w:ind w:firstLine="480"/>
              <w:rPr>
                <w:color w:val="auto"/>
                <w:highlight w:val="none"/>
              </w:rPr>
            </w:pPr>
            <w:r>
              <w:rPr>
                <w:rFonts w:hint="eastAsia"/>
                <w:color w:val="auto"/>
                <w:highlight w:val="none"/>
              </w:rPr>
              <w:t> </w:t>
            </w:r>
          </w:p>
        </w:tc>
      </w:tr>
      <w:tr w14:paraId="28C6C675">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6E4FEE20">
            <w:pPr>
              <w:pStyle w:val="314"/>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14AA472C">
            <w:pPr>
              <w:pStyle w:val="314"/>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7968B99">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ED1B290">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DECCA3E">
            <w:pPr>
              <w:pStyle w:val="314"/>
              <w:spacing w:line="500" w:lineRule="exact"/>
              <w:ind w:firstLine="480"/>
              <w:rPr>
                <w:color w:val="auto"/>
                <w:highlight w:val="none"/>
              </w:rPr>
            </w:pPr>
            <w:r>
              <w:rPr>
                <w:rFonts w:hint="eastAsia"/>
                <w:color w:val="auto"/>
                <w:highlight w:val="none"/>
              </w:rPr>
              <w:t> </w:t>
            </w:r>
          </w:p>
        </w:tc>
      </w:tr>
      <w:tr w14:paraId="33E44727">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E630178">
            <w:pPr>
              <w:pStyle w:val="314"/>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CB93C97">
            <w:pPr>
              <w:pStyle w:val="314"/>
              <w:spacing w:line="500" w:lineRule="exact"/>
              <w:ind w:firstLine="480"/>
              <w:rPr>
                <w:color w:val="auto"/>
                <w:highlight w:val="none"/>
              </w:rPr>
            </w:pPr>
            <w:r>
              <w:rPr>
                <w:rFonts w:hint="eastAsia"/>
                <w:color w:val="auto"/>
                <w:highlight w:val="none"/>
              </w:rPr>
              <w:t>……</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CAE1233">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EDF8D26">
            <w:pPr>
              <w:pStyle w:val="314"/>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58CA5F3">
            <w:pPr>
              <w:pStyle w:val="314"/>
              <w:spacing w:line="500" w:lineRule="exact"/>
              <w:ind w:firstLine="480"/>
              <w:rPr>
                <w:color w:val="auto"/>
                <w:highlight w:val="none"/>
              </w:rPr>
            </w:pPr>
            <w:r>
              <w:rPr>
                <w:rFonts w:hint="eastAsia"/>
                <w:color w:val="auto"/>
                <w:highlight w:val="none"/>
              </w:rPr>
              <w:t> </w:t>
            </w:r>
          </w:p>
        </w:tc>
      </w:tr>
    </w:tbl>
    <w:p w14:paraId="021E7E85">
      <w:pPr>
        <w:pStyle w:val="314"/>
        <w:ind w:firstLine="480"/>
        <w:rPr>
          <w:color w:val="auto"/>
          <w:highlight w:val="none"/>
        </w:rPr>
      </w:pPr>
      <w:r>
        <w:rPr>
          <w:rFonts w:hint="eastAsia"/>
          <w:color w:val="auto"/>
          <w:highlight w:val="none"/>
        </w:rPr>
        <w:t>注： 行数不够，可自行添加。</w:t>
      </w:r>
    </w:p>
    <w:p w14:paraId="5F4C0F77">
      <w:pPr>
        <w:pStyle w:val="314"/>
        <w:ind w:firstLine="480"/>
        <w:rPr>
          <w:color w:val="auto"/>
          <w:highlight w:val="none"/>
        </w:rPr>
      </w:pPr>
      <w:r>
        <w:rPr>
          <w:rFonts w:hint="eastAsia"/>
          <w:color w:val="auto"/>
          <w:highlight w:val="none"/>
        </w:rPr>
        <w:t> </w:t>
      </w:r>
    </w:p>
    <w:p w14:paraId="35862FD9">
      <w:pPr>
        <w:ind w:firstLine="440"/>
        <w:rPr>
          <w:color w:val="auto"/>
          <w:highlight w:val="none"/>
        </w:rPr>
      </w:pPr>
    </w:p>
    <w:p w14:paraId="4A798CB3">
      <w:pPr>
        <w:ind w:firstLine="440"/>
        <w:rPr>
          <w:color w:val="auto"/>
          <w:highlight w:val="none"/>
        </w:rPr>
      </w:pPr>
    </w:p>
    <w:p w14:paraId="7E3E4446">
      <w:pPr>
        <w:ind w:firstLine="440"/>
        <w:rPr>
          <w:color w:val="auto"/>
          <w:highlight w:val="none"/>
        </w:rPr>
      </w:pPr>
    </w:p>
    <w:p w14:paraId="4E53551F">
      <w:pPr>
        <w:ind w:firstLine="440"/>
        <w:rPr>
          <w:color w:val="auto"/>
          <w:highlight w:val="none"/>
        </w:rPr>
      </w:pPr>
    </w:p>
    <w:p w14:paraId="470250E9">
      <w:pPr>
        <w:ind w:firstLine="440"/>
        <w:rPr>
          <w:color w:val="auto"/>
          <w:highlight w:val="none"/>
        </w:rPr>
      </w:pPr>
    </w:p>
    <w:p w14:paraId="4D1B0FE0">
      <w:pPr>
        <w:ind w:firstLine="480"/>
        <w:jc w:val="center"/>
        <w:rPr>
          <w:color w:val="auto"/>
          <w:sz w:val="24"/>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十三、商务要求响应及偏离表</w:t>
      </w:r>
    </w:p>
    <w:tbl>
      <w:tblPr>
        <w:tblStyle w:val="40"/>
        <w:tblW w:w="8878" w:type="dxa"/>
        <w:jc w:val="center"/>
        <w:tblCellSpacing w:w="0" w:type="dxa"/>
        <w:tblLayout w:type="fixed"/>
        <w:tblCellMar>
          <w:top w:w="0" w:type="dxa"/>
          <w:left w:w="108" w:type="dxa"/>
          <w:bottom w:w="0" w:type="dxa"/>
          <w:right w:w="108" w:type="dxa"/>
        </w:tblCellMar>
      </w:tblPr>
      <w:tblGrid>
        <w:gridCol w:w="866"/>
        <w:gridCol w:w="2245"/>
        <w:gridCol w:w="2051"/>
        <w:gridCol w:w="2117"/>
        <w:gridCol w:w="1599"/>
      </w:tblGrid>
      <w:tr w14:paraId="0F6828E4">
        <w:tblPrEx>
          <w:tblCellMar>
            <w:top w:w="0" w:type="dxa"/>
            <w:left w:w="108" w:type="dxa"/>
            <w:bottom w:w="0" w:type="dxa"/>
            <w:right w:w="108" w:type="dxa"/>
          </w:tblCellMar>
        </w:tblPrEx>
        <w:trPr>
          <w:trHeight w:val="1099"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F0B3FE3">
            <w:pPr>
              <w:pStyle w:val="314"/>
              <w:spacing w:line="500" w:lineRule="exact"/>
              <w:ind w:firstLine="0"/>
              <w:jc w:val="center"/>
              <w:rPr>
                <w:color w:val="auto"/>
                <w:szCs w:val="24"/>
                <w:highlight w:val="none"/>
              </w:rPr>
            </w:pPr>
            <w:r>
              <w:rPr>
                <w:rFonts w:hint="eastAsia"/>
                <w:color w:val="auto"/>
                <w:szCs w:val="24"/>
                <w:highlight w:val="none"/>
              </w:rPr>
              <w:t>序号</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D4CB76A">
            <w:pPr>
              <w:pStyle w:val="314"/>
              <w:spacing w:line="500" w:lineRule="exact"/>
              <w:ind w:firstLine="0"/>
              <w:jc w:val="center"/>
              <w:rPr>
                <w:color w:val="auto"/>
                <w:szCs w:val="24"/>
                <w:highlight w:val="none"/>
              </w:rPr>
            </w:pPr>
            <w:r>
              <w:rPr>
                <w:rFonts w:hint="eastAsia"/>
                <w:color w:val="auto"/>
                <w:szCs w:val="24"/>
                <w:highlight w:val="none"/>
              </w:rPr>
              <w:t>招标文件要求</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113B0D7">
            <w:pPr>
              <w:pStyle w:val="314"/>
              <w:spacing w:line="500" w:lineRule="exact"/>
              <w:ind w:firstLine="0"/>
              <w:jc w:val="center"/>
              <w:rPr>
                <w:color w:val="auto"/>
                <w:szCs w:val="24"/>
                <w:highlight w:val="none"/>
              </w:rPr>
            </w:pPr>
            <w:r>
              <w:rPr>
                <w:rFonts w:hint="eastAsia"/>
                <w:color w:val="auto"/>
                <w:szCs w:val="24"/>
                <w:highlight w:val="none"/>
              </w:rPr>
              <w:t>投标响应情况</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8CE63D5">
            <w:pPr>
              <w:pStyle w:val="314"/>
              <w:spacing w:line="500" w:lineRule="exact"/>
              <w:ind w:firstLine="0"/>
              <w:jc w:val="center"/>
              <w:rPr>
                <w:color w:val="auto"/>
                <w:szCs w:val="24"/>
                <w:highlight w:val="none"/>
              </w:rPr>
            </w:pPr>
            <w:r>
              <w:rPr>
                <w:rFonts w:hint="eastAsia"/>
                <w:color w:val="auto"/>
                <w:szCs w:val="24"/>
                <w:highlight w:val="none"/>
              </w:rPr>
              <w:t>超出、符合或  偏离</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EDE98C5">
            <w:pPr>
              <w:pStyle w:val="314"/>
              <w:spacing w:line="500" w:lineRule="exact"/>
              <w:ind w:firstLine="0"/>
              <w:jc w:val="center"/>
              <w:rPr>
                <w:color w:val="auto"/>
                <w:szCs w:val="24"/>
                <w:highlight w:val="none"/>
              </w:rPr>
            </w:pPr>
            <w:r>
              <w:rPr>
                <w:rFonts w:hint="eastAsia"/>
                <w:color w:val="auto"/>
                <w:szCs w:val="24"/>
                <w:highlight w:val="none"/>
              </w:rPr>
              <w:t>证明材料</w:t>
            </w:r>
          </w:p>
        </w:tc>
      </w:tr>
      <w:tr w14:paraId="2532C19D">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5BA32B4D">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24CA553">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1A4C69E">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673045DE">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F57F3FB">
            <w:pPr>
              <w:pStyle w:val="314"/>
              <w:ind w:firstLine="480"/>
              <w:rPr>
                <w:color w:val="auto"/>
                <w:highlight w:val="none"/>
              </w:rPr>
            </w:pPr>
            <w:r>
              <w:rPr>
                <w:color w:val="auto"/>
                <w:highlight w:val="none"/>
              </w:rPr>
              <w:t> </w:t>
            </w:r>
          </w:p>
        </w:tc>
      </w:tr>
      <w:tr w14:paraId="2FA4B11C">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5B57DFB">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F05C1AA">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E9D4BB5">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349B2F1">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B13E6FA">
            <w:pPr>
              <w:pStyle w:val="314"/>
              <w:ind w:firstLine="480"/>
              <w:rPr>
                <w:color w:val="auto"/>
                <w:highlight w:val="none"/>
              </w:rPr>
            </w:pPr>
            <w:r>
              <w:rPr>
                <w:color w:val="auto"/>
                <w:highlight w:val="none"/>
              </w:rPr>
              <w:t> </w:t>
            </w:r>
          </w:p>
        </w:tc>
      </w:tr>
      <w:tr w14:paraId="221D2198">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9AC451E">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4D33F3EA">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F6E0EC7">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99DA580">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AA88911">
            <w:pPr>
              <w:pStyle w:val="314"/>
              <w:ind w:firstLine="480"/>
              <w:rPr>
                <w:color w:val="auto"/>
                <w:highlight w:val="none"/>
              </w:rPr>
            </w:pPr>
            <w:r>
              <w:rPr>
                <w:color w:val="auto"/>
                <w:highlight w:val="none"/>
              </w:rPr>
              <w:t> </w:t>
            </w:r>
          </w:p>
        </w:tc>
      </w:tr>
      <w:tr w14:paraId="0A785D2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236B0C0">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6AFDEAE">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3A2ACAAB">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F026E68">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61C4CF77">
            <w:pPr>
              <w:pStyle w:val="314"/>
              <w:ind w:firstLine="480"/>
              <w:rPr>
                <w:color w:val="auto"/>
                <w:highlight w:val="none"/>
              </w:rPr>
            </w:pPr>
            <w:r>
              <w:rPr>
                <w:color w:val="auto"/>
                <w:highlight w:val="none"/>
              </w:rPr>
              <w:t> </w:t>
            </w:r>
          </w:p>
        </w:tc>
      </w:tr>
      <w:tr w14:paraId="413BED8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721ED5">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05A5EC4">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4040C60">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2C6051D">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1C0376D4">
            <w:pPr>
              <w:pStyle w:val="314"/>
              <w:ind w:firstLine="480"/>
              <w:rPr>
                <w:color w:val="auto"/>
                <w:highlight w:val="none"/>
              </w:rPr>
            </w:pPr>
            <w:r>
              <w:rPr>
                <w:color w:val="auto"/>
                <w:highlight w:val="none"/>
              </w:rPr>
              <w:t> </w:t>
            </w:r>
          </w:p>
        </w:tc>
      </w:tr>
      <w:tr w14:paraId="64196495">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306356">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6ABD42E7">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8177288">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0D7176E">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EC2EE09">
            <w:pPr>
              <w:pStyle w:val="314"/>
              <w:ind w:firstLine="480"/>
              <w:rPr>
                <w:color w:val="auto"/>
                <w:highlight w:val="none"/>
              </w:rPr>
            </w:pPr>
            <w:r>
              <w:rPr>
                <w:color w:val="auto"/>
                <w:highlight w:val="none"/>
              </w:rPr>
              <w:t> </w:t>
            </w:r>
          </w:p>
        </w:tc>
      </w:tr>
      <w:tr w14:paraId="50AEDEC8">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76E62D30">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75CEBBD7">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0F6BCA3">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C402476">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5D8B558">
            <w:pPr>
              <w:pStyle w:val="314"/>
              <w:ind w:firstLine="480"/>
              <w:rPr>
                <w:color w:val="auto"/>
                <w:highlight w:val="none"/>
              </w:rPr>
            </w:pPr>
            <w:r>
              <w:rPr>
                <w:color w:val="auto"/>
                <w:highlight w:val="none"/>
              </w:rPr>
              <w:t> </w:t>
            </w:r>
          </w:p>
        </w:tc>
      </w:tr>
      <w:tr w14:paraId="381ABF8A">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19984B7">
            <w:pPr>
              <w:pStyle w:val="314"/>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28076B5">
            <w:pPr>
              <w:pStyle w:val="314"/>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2ED61577">
            <w:pPr>
              <w:pStyle w:val="314"/>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094F20C9">
            <w:pPr>
              <w:pStyle w:val="314"/>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45DF137">
            <w:pPr>
              <w:pStyle w:val="314"/>
              <w:ind w:firstLine="480"/>
              <w:rPr>
                <w:color w:val="auto"/>
                <w:highlight w:val="none"/>
              </w:rPr>
            </w:pPr>
            <w:r>
              <w:rPr>
                <w:color w:val="auto"/>
                <w:highlight w:val="none"/>
              </w:rPr>
              <w:t> </w:t>
            </w:r>
          </w:p>
        </w:tc>
      </w:tr>
    </w:tbl>
    <w:p w14:paraId="60895C50">
      <w:pPr>
        <w:pStyle w:val="314"/>
        <w:ind w:firstLine="480"/>
        <w:rPr>
          <w:color w:val="auto"/>
          <w:highlight w:val="none"/>
        </w:rPr>
      </w:pPr>
      <w:r>
        <w:rPr>
          <w:rFonts w:hint="eastAsia"/>
          <w:color w:val="auto"/>
          <w:highlight w:val="none"/>
        </w:rPr>
        <w:t>注：行数不够，可自行添加。</w:t>
      </w:r>
    </w:p>
    <w:p w14:paraId="6049F056">
      <w:pPr>
        <w:pStyle w:val="314"/>
        <w:ind w:firstLine="480"/>
        <w:rPr>
          <w:color w:val="auto"/>
          <w:highlight w:val="none"/>
        </w:rPr>
      </w:pPr>
      <w:r>
        <w:rPr>
          <w:color w:val="auto"/>
          <w:highlight w:val="none"/>
        </w:rPr>
        <w:t> </w:t>
      </w:r>
    </w:p>
    <w:p w14:paraId="58779EE5">
      <w:pPr>
        <w:pStyle w:val="314"/>
        <w:ind w:firstLine="480"/>
        <w:rPr>
          <w:color w:val="auto"/>
          <w:highlight w:val="none"/>
        </w:rPr>
      </w:pPr>
      <w:r>
        <w:rPr>
          <w:color w:val="auto"/>
          <w:highlight w:val="none"/>
        </w:rPr>
        <w:t> </w:t>
      </w:r>
    </w:p>
    <w:p w14:paraId="154C835F">
      <w:pPr>
        <w:pStyle w:val="314"/>
        <w:ind w:firstLine="480"/>
        <w:rPr>
          <w:color w:val="auto"/>
          <w:highlight w:val="none"/>
        </w:rPr>
      </w:pPr>
      <w:r>
        <w:rPr>
          <w:color w:val="auto"/>
          <w:highlight w:val="none"/>
        </w:rPr>
        <w:t> </w:t>
      </w:r>
    </w:p>
    <w:p w14:paraId="4489A931">
      <w:pPr>
        <w:pStyle w:val="314"/>
        <w:ind w:firstLine="480"/>
        <w:rPr>
          <w:color w:val="auto"/>
          <w:highlight w:val="none"/>
        </w:rPr>
      </w:pPr>
      <w:r>
        <w:rPr>
          <w:color w:val="auto"/>
          <w:highlight w:val="none"/>
        </w:rPr>
        <w:t> </w:t>
      </w:r>
    </w:p>
    <w:p w14:paraId="49B92ED2">
      <w:pPr>
        <w:pStyle w:val="314"/>
        <w:ind w:firstLine="480"/>
        <w:rPr>
          <w:color w:val="auto"/>
          <w:highlight w:val="none"/>
        </w:rPr>
      </w:pPr>
      <w:r>
        <w:rPr>
          <w:color w:val="auto"/>
          <w:highlight w:val="none"/>
        </w:rPr>
        <w:t> </w:t>
      </w:r>
    </w:p>
    <w:p w14:paraId="18D6DE38">
      <w:pPr>
        <w:ind w:firstLine="442"/>
        <w:jc w:val="center"/>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十四、开标一览表</w:t>
      </w:r>
    </w:p>
    <w:p w14:paraId="5FDFB45C">
      <w:pPr>
        <w:pStyle w:val="314"/>
        <w:spacing w:line="280" w:lineRule="exact"/>
        <w:ind w:firstLine="480"/>
        <w:rPr>
          <w:color w:val="auto"/>
          <w:highlight w:val="none"/>
        </w:rPr>
      </w:pPr>
      <w:r>
        <w:rPr>
          <w:rFonts w:hint="eastAsia"/>
          <w:color w:val="auto"/>
          <w:highlight w:val="none"/>
        </w:rPr>
        <w:t>投标人全称（</w:t>
      </w:r>
      <w:r>
        <w:rPr>
          <w:rFonts w:hint="eastAsia"/>
          <w:color w:val="auto"/>
          <w:highlight w:val="none"/>
          <w:lang w:val="en-US" w:eastAsia="zh-CN"/>
        </w:rPr>
        <w:t>加盖</w:t>
      </w:r>
      <w:r>
        <w:rPr>
          <w:rFonts w:hint="eastAsia"/>
          <w:color w:val="auto"/>
          <w:highlight w:val="none"/>
        </w:rPr>
        <w:t>CA公章）：</w:t>
      </w:r>
    </w:p>
    <w:p w14:paraId="656A3BBD">
      <w:pPr>
        <w:pStyle w:val="314"/>
        <w:spacing w:line="280" w:lineRule="exact"/>
        <w:ind w:firstLine="480"/>
        <w:rPr>
          <w:color w:val="auto"/>
          <w:highlight w:val="none"/>
        </w:rPr>
      </w:pPr>
      <w:r>
        <w:rPr>
          <w:rFonts w:hint="eastAsia"/>
          <w:color w:val="auto"/>
          <w:highlight w:val="none"/>
        </w:rPr>
        <w:t>项目名称：</w:t>
      </w:r>
      <w:r>
        <w:rPr>
          <w:rFonts w:hint="eastAsia"/>
          <w:color w:val="auto"/>
          <w:highlight w:val="none"/>
          <w:lang w:eastAsia="zh-CN"/>
        </w:rPr>
        <w:t>盐城市亭湖区东亭湖街道社区卫生服务中心物业服务项目</w:t>
      </w:r>
    </w:p>
    <w:p w14:paraId="4A43AA37">
      <w:pPr>
        <w:pStyle w:val="314"/>
        <w:spacing w:line="280" w:lineRule="exact"/>
        <w:ind w:firstLine="480"/>
        <w:rPr>
          <w:rFonts w:hint="default"/>
          <w:color w:val="auto"/>
          <w:highlight w:val="none"/>
          <w:lang w:val="en-US" w:eastAsia="zh-CN"/>
          <w14:ligatures w14:val="none"/>
        </w:rPr>
      </w:pPr>
      <w:r>
        <w:rPr>
          <w:rFonts w:hint="eastAsia"/>
          <w:color w:val="auto"/>
          <w:highlight w:val="none"/>
        </w:rPr>
        <w:t>项目编</w:t>
      </w:r>
      <w:r>
        <w:rPr>
          <w:rFonts w:hint="eastAsia"/>
          <w:color w:val="auto"/>
          <w:highlight w:val="none"/>
          <w:lang w:eastAsia="zh-CN"/>
        </w:rPr>
        <w:t>号：</w:t>
      </w:r>
      <w:r>
        <w:rPr>
          <w:rFonts w:hint="eastAsia"/>
          <w:color w:val="auto"/>
          <w:highlight w:val="none"/>
          <w:lang w:val="en-US" w:eastAsia="zh-CN"/>
        </w:rPr>
        <w:t xml:space="preserve">              </w:t>
      </w:r>
    </w:p>
    <w:tbl>
      <w:tblPr>
        <w:tblStyle w:val="40"/>
        <w:tblW w:w="8940" w:type="dxa"/>
        <w:tblCellSpacing w:w="0" w:type="dxa"/>
        <w:tblInd w:w="41" w:type="dxa"/>
        <w:tblLayout w:type="fixed"/>
        <w:tblCellMar>
          <w:top w:w="0" w:type="dxa"/>
          <w:left w:w="108" w:type="dxa"/>
          <w:bottom w:w="0" w:type="dxa"/>
          <w:right w:w="108" w:type="dxa"/>
        </w:tblCellMar>
      </w:tblPr>
      <w:tblGrid>
        <w:gridCol w:w="8940"/>
      </w:tblGrid>
      <w:tr w14:paraId="4AF39138">
        <w:tblPrEx>
          <w:tblCellMar>
            <w:top w:w="0" w:type="dxa"/>
            <w:left w:w="108" w:type="dxa"/>
            <w:bottom w:w="0" w:type="dxa"/>
            <w:right w:w="108" w:type="dxa"/>
          </w:tblCellMar>
        </w:tblPrEx>
        <w:trPr>
          <w:trHeight w:val="1073"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44C4DEAF">
            <w:pPr>
              <w:pStyle w:val="314"/>
              <w:spacing w:line="240" w:lineRule="auto"/>
              <w:ind w:firstLine="0"/>
              <w:jc w:val="center"/>
              <w:rPr>
                <w:color w:val="auto"/>
                <w:highlight w:val="none"/>
              </w:rPr>
            </w:pPr>
            <w:r>
              <w:rPr>
                <w:rFonts w:hint="eastAsia"/>
                <w:color w:val="auto"/>
                <w:highlight w:val="none"/>
              </w:rPr>
              <w:t>投标总报价</w:t>
            </w:r>
          </w:p>
        </w:tc>
      </w:tr>
      <w:tr w14:paraId="0F4F7324">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501C2061">
            <w:pPr>
              <w:pStyle w:val="314"/>
              <w:ind w:firstLine="0"/>
              <w:rPr>
                <w:color w:val="auto"/>
                <w:highlight w:val="none"/>
              </w:rPr>
            </w:pPr>
            <w:r>
              <w:rPr>
                <w:rFonts w:hint="eastAsia"/>
                <w:color w:val="auto"/>
                <w:highlight w:val="none"/>
              </w:rPr>
              <w:t xml:space="preserve">小写：                                               （人民币：元） </w:t>
            </w:r>
          </w:p>
        </w:tc>
      </w:tr>
      <w:tr w14:paraId="11FF3F27">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7F762681">
            <w:pPr>
              <w:pBdr>
                <w:top w:val="none" w:color="000000" w:sz="0" w:space="0"/>
                <w:left w:val="none" w:color="000000" w:sz="0" w:space="0"/>
                <w:bottom w:val="none" w:color="000000" w:sz="0" w:space="0"/>
                <w:right w:val="none" w:color="000000" w:sz="0" w:space="0"/>
              </w:pBdr>
              <w:spacing w:line="330" w:lineRule="atLeast"/>
              <w:ind w:firstLine="0"/>
              <w:rPr>
                <w:color w:val="auto"/>
                <w:highlight w:val="none"/>
              </w:rPr>
            </w:pPr>
            <w:r>
              <w:rPr>
                <w:color w:val="auto"/>
                <w:sz w:val="24"/>
                <w:highlight w:val="none"/>
              </w:rPr>
              <w:t>报价（大写）：</w:t>
            </w:r>
          </w:p>
        </w:tc>
      </w:tr>
    </w:tbl>
    <w:p w14:paraId="1E63BE43">
      <w:pPr>
        <w:pStyle w:val="314"/>
        <w:ind w:firstLine="480"/>
        <w:rPr>
          <w:color w:val="auto"/>
          <w:highlight w:val="none"/>
        </w:rPr>
      </w:pPr>
      <w:r>
        <w:rPr>
          <w:rFonts w:hint="eastAsia"/>
          <w:color w:val="auto"/>
          <w:highlight w:val="none"/>
        </w:rPr>
        <w:t> </w:t>
      </w:r>
    </w:p>
    <w:p w14:paraId="51B04266">
      <w:pPr>
        <w:pStyle w:val="314"/>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077055A6">
      <w:pPr>
        <w:pStyle w:val="314"/>
        <w:ind w:firstLine="480"/>
        <w:rPr>
          <w:color w:val="auto"/>
          <w:highlight w:val="none"/>
        </w:rPr>
      </w:pPr>
      <w:r>
        <w:rPr>
          <w:rFonts w:hint="eastAsia"/>
          <w:color w:val="auto"/>
          <w:highlight w:val="none"/>
        </w:rPr>
        <w:t> </w:t>
      </w:r>
    </w:p>
    <w:p w14:paraId="2D8E77CF">
      <w:pPr>
        <w:ind w:firstLine="440"/>
        <w:rPr>
          <w:color w:val="auto"/>
          <w:highlight w:val="none"/>
        </w:rPr>
      </w:pPr>
    </w:p>
    <w:p w14:paraId="788D198B">
      <w:pPr>
        <w:ind w:firstLine="440"/>
        <w:rPr>
          <w:color w:val="auto"/>
          <w:highlight w:val="none"/>
        </w:rPr>
      </w:pPr>
    </w:p>
    <w:p w14:paraId="466B42CF">
      <w:pPr>
        <w:ind w:firstLine="440"/>
        <w:rPr>
          <w:color w:val="auto"/>
          <w:highlight w:val="none"/>
        </w:rPr>
      </w:pPr>
    </w:p>
    <w:p w14:paraId="166125DF">
      <w:pPr>
        <w:ind w:firstLine="440"/>
        <w:rPr>
          <w:color w:val="auto"/>
          <w:highlight w:val="none"/>
        </w:rPr>
      </w:pPr>
    </w:p>
    <w:p w14:paraId="7915BF3B">
      <w:pPr>
        <w:ind w:firstLine="440"/>
        <w:rPr>
          <w:color w:val="auto"/>
          <w:highlight w:val="none"/>
        </w:rPr>
      </w:pPr>
    </w:p>
    <w:p w14:paraId="13801D77">
      <w:pPr>
        <w:ind w:firstLine="440"/>
        <w:rPr>
          <w:color w:val="auto"/>
          <w:highlight w:val="none"/>
        </w:rPr>
      </w:pPr>
    </w:p>
    <w:p w14:paraId="2ED7DFE4">
      <w:pPr>
        <w:ind w:firstLine="440"/>
        <w:rPr>
          <w:color w:val="auto"/>
          <w:highlight w:val="none"/>
        </w:rPr>
      </w:pPr>
    </w:p>
    <w:p w14:paraId="686D3C93">
      <w:pPr>
        <w:ind w:firstLine="440"/>
        <w:rPr>
          <w:color w:val="auto"/>
          <w:highlight w:val="none"/>
        </w:rPr>
      </w:pPr>
    </w:p>
    <w:p w14:paraId="22883F5F">
      <w:pPr>
        <w:ind w:firstLine="440"/>
        <w:rPr>
          <w:color w:val="auto"/>
          <w:highlight w:val="none"/>
        </w:rPr>
      </w:pPr>
    </w:p>
    <w:p w14:paraId="76EEE017">
      <w:pPr>
        <w:ind w:firstLine="440"/>
        <w:rPr>
          <w:color w:val="auto"/>
          <w:highlight w:val="none"/>
        </w:rPr>
      </w:pPr>
    </w:p>
    <w:p w14:paraId="6764C0FB">
      <w:pPr>
        <w:ind w:firstLine="440"/>
        <w:rPr>
          <w:color w:val="auto"/>
          <w:highlight w:val="none"/>
        </w:rPr>
      </w:pPr>
    </w:p>
    <w:p w14:paraId="1DE41AA1">
      <w:pPr>
        <w:ind w:firstLine="440"/>
        <w:rPr>
          <w:color w:val="auto"/>
          <w:highlight w:val="none"/>
        </w:rPr>
      </w:pPr>
    </w:p>
    <w:p w14:paraId="0E958BA3">
      <w:pPr>
        <w:ind w:firstLine="0"/>
        <w:jc w:val="center"/>
        <w:outlineLvl w:val="1"/>
        <w:rPr>
          <w:rFonts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t>十五、服务方案等</w:t>
      </w:r>
    </w:p>
    <w:p w14:paraId="2557A0E0">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textAlignment w:val="auto"/>
        <w:rPr>
          <w:rFonts w:hint="eastAsia" w:ascii="宋体" w:hAnsi="宋体" w:eastAsia="宋体" w:cs="宋体"/>
          <w:color w:val="0000FF"/>
          <w:sz w:val="24"/>
          <w:szCs w:val="24"/>
          <w:highlight w:val="non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015E4891">
      <w:pPr>
        <w:widowControl/>
        <w:spacing w:line="560" w:lineRule="exact"/>
        <w:ind w:firstLine="480"/>
        <w:rPr>
          <w:b/>
          <w:bCs/>
          <w:i/>
          <w:color w:val="auto"/>
          <w:sz w:val="24"/>
          <w:highlight w:val="none"/>
        </w:rPr>
      </w:pPr>
    </w:p>
    <w:p w14:paraId="37FF2029">
      <w:pPr>
        <w:spacing w:line="560" w:lineRule="exact"/>
        <w:jc w:val="both"/>
        <w:rPr>
          <w:rFonts w:ascii="Calibri" w:hAnsi="Calibri" w:cs="Times New Roman"/>
          <w:color w:val="auto"/>
          <w:sz w:val="24"/>
          <w:szCs w:val="24"/>
          <w:highlight w:val="none"/>
        </w:rPr>
      </w:pPr>
    </w:p>
    <w:p w14:paraId="4C35C2D9">
      <w:pPr>
        <w:jc w:val="both"/>
        <w:rPr>
          <w:rFonts w:ascii="Calibri" w:hAnsi="Calibri" w:cs="Times New Roman"/>
          <w:color w:val="auto"/>
          <w:sz w:val="24"/>
          <w:szCs w:val="24"/>
          <w:highlight w:val="none"/>
        </w:rPr>
      </w:pPr>
    </w:p>
    <w:p w14:paraId="32674682">
      <w:pPr>
        <w:jc w:val="both"/>
        <w:rPr>
          <w:rFonts w:ascii="Calibri" w:hAnsi="Calibri" w:cs="Times New Roman"/>
          <w:color w:val="auto"/>
          <w:sz w:val="24"/>
          <w:szCs w:val="24"/>
          <w:highlight w:val="none"/>
        </w:rPr>
      </w:pPr>
    </w:p>
    <w:p w14:paraId="434CE648">
      <w:pPr>
        <w:jc w:val="both"/>
        <w:rPr>
          <w:rFonts w:ascii="Calibri" w:hAnsi="Calibri" w:cs="Times New Roman"/>
          <w:color w:val="auto"/>
          <w:sz w:val="24"/>
          <w:szCs w:val="24"/>
          <w:highlight w:val="none"/>
        </w:rPr>
      </w:pPr>
    </w:p>
    <w:p w14:paraId="43E0D4B6">
      <w:pPr>
        <w:ind w:firstLine="440"/>
        <w:rPr>
          <w:color w:val="auto"/>
          <w:highlight w:val="none"/>
        </w:rPr>
      </w:pPr>
    </w:p>
    <w:p w14:paraId="31479384">
      <w:pPr>
        <w:ind w:firstLine="440"/>
        <w:jc w:val="center"/>
        <w:rPr>
          <w:color w:val="auto"/>
          <w:highlight w:val="none"/>
        </w:rPr>
      </w:pPr>
      <w:bookmarkStart w:id="165" w:name="_Hlt26955054"/>
      <w:bookmarkEnd w:id="165"/>
      <w:r>
        <w:rPr>
          <w:rFonts w:hint="eastAsia"/>
          <w:color w:val="auto"/>
          <w:highlight w:val="none"/>
        </w:rPr>
        <w:br w:type="page" w:clear="all"/>
      </w:r>
      <w:r>
        <w:rPr>
          <w:rFonts w:hint="eastAsia" w:ascii="黑体" w:hAnsi="黑体" w:eastAsia="黑体" w:cs="黑体"/>
          <w:i/>
          <w:color w:val="auto"/>
          <w:sz w:val="32"/>
          <w:szCs w:val="32"/>
          <w:highlight w:val="none"/>
          <w:u w:val="single"/>
        </w:rPr>
        <w:t>十六、盐城市</w:t>
      </w:r>
      <w:r>
        <w:rPr>
          <w:rFonts w:hint="eastAsia" w:ascii="黑体" w:hAnsi="黑体" w:eastAsia="黑体" w:cs="黑体"/>
          <w:i/>
          <w:color w:val="auto"/>
          <w:sz w:val="32"/>
          <w:szCs w:val="32"/>
          <w:highlight w:val="none"/>
          <w:u w:val="single"/>
          <w:lang w:val="en-US" w:eastAsia="zh-CN"/>
        </w:rPr>
        <w:t>亭湖区</w:t>
      </w:r>
      <w:r>
        <w:rPr>
          <w:rFonts w:hint="eastAsia" w:ascii="黑体" w:hAnsi="黑体" w:eastAsia="黑体" w:cs="黑体"/>
          <w:i/>
          <w:color w:val="auto"/>
          <w:sz w:val="32"/>
          <w:szCs w:val="32"/>
          <w:highlight w:val="none"/>
          <w:u w:val="single"/>
        </w:rPr>
        <w:t>政府采购事前信用承诺书</w:t>
      </w:r>
    </w:p>
    <w:p w14:paraId="45F4BAC4">
      <w:pPr>
        <w:widowControl/>
        <w:spacing w:line="520" w:lineRule="exact"/>
        <w:ind w:firstLine="440"/>
        <w:rPr>
          <w:color w:val="auto"/>
          <w:sz w:val="24"/>
          <w:szCs w:val="24"/>
          <w:highlight w:val="none"/>
        </w:rPr>
      </w:pPr>
      <w:r>
        <w:rPr>
          <w:rFonts w:hint="eastAsia"/>
          <w:color w:val="auto"/>
          <w:sz w:val="24"/>
          <w:szCs w:val="24"/>
          <w:highlight w:val="none"/>
        </w:rPr>
        <w:t>为营造我市公开、公平、公正、诚实守信的政府采购交易环境，树立诚信守法的投标人形象，本人代表本单位作出以下承诺：</w:t>
      </w:r>
    </w:p>
    <w:p w14:paraId="5E0F8910">
      <w:pPr>
        <w:widowControl/>
        <w:spacing w:line="520" w:lineRule="exact"/>
        <w:ind w:firstLine="440"/>
        <w:rPr>
          <w:color w:val="auto"/>
          <w:sz w:val="24"/>
          <w:szCs w:val="24"/>
          <w:highlight w:val="none"/>
        </w:rPr>
      </w:pPr>
      <w:r>
        <w:rPr>
          <w:rFonts w:hint="eastAsia"/>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553EE66">
      <w:pPr>
        <w:widowControl/>
        <w:spacing w:line="520" w:lineRule="exact"/>
        <w:ind w:firstLine="440"/>
        <w:rPr>
          <w:color w:val="auto"/>
          <w:sz w:val="24"/>
          <w:szCs w:val="24"/>
          <w:highlight w:val="none"/>
        </w:rPr>
      </w:pPr>
      <w:r>
        <w:rPr>
          <w:rFonts w:hint="eastAsia"/>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839761B">
      <w:pPr>
        <w:widowControl/>
        <w:spacing w:line="520" w:lineRule="exact"/>
        <w:ind w:firstLine="440"/>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p>
    <w:p w14:paraId="73361BE1">
      <w:pPr>
        <w:widowControl/>
        <w:spacing w:line="520" w:lineRule="exact"/>
        <w:ind w:firstLine="440"/>
        <w:rPr>
          <w:color w:val="auto"/>
          <w:sz w:val="24"/>
          <w:szCs w:val="24"/>
          <w:highlight w:val="none"/>
        </w:rPr>
      </w:pPr>
      <w:r>
        <w:rPr>
          <w:rFonts w:hint="eastAsia"/>
          <w:color w:val="auto"/>
          <w:sz w:val="24"/>
          <w:szCs w:val="24"/>
          <w:highlight w:val="none"/>
        </w:rPr>
        <w:t>（四）严格遵守即时信息公示规定，及时维护和更新盐城市政府采购网中与本单位相关的信息；</w:t>
      </w:r>
    </w:p>
    <w:p w14:paraId="7B69AFCF">
      <w:pPr>
        <w:widowControl/>
        <w:spacing w:line="520" w:lineRule="exact"/>
        <w:ind w:firstLine="440"/>
        <w:rPr>
          <w:color w:val="auto"/>
          <w:sz w:val="24"/>
          <w:szCs w:val="24"/>
          <w:highlight w:val="none"/>
        </w:rPr>
      </w:pPr>
      <w:r>
        <w:rPr>
          <w:rFonts w:hint="eastAsia"/>
          <w:color w:val="auto"/>
          <w:sz w:val="24"/>
          <w:szCs w:val="24"/>
          <w:highlight w:val="none"/>
        </w:rPr>
        <w:t>（五）自我约束、自我管理，守合同、重信用，自觉维护政府采购交易的良好秩序，与参与本次政府采购活动的其他</w:t>
      </w:r>
      <w:r>
        <w:rPr>
          <w:rFonts w:hint="eastAsia"/>
          <w:color w:val="auto"/>
          <w:sz w:val="24"/>
          <w:szCs w:val="24"/>
          <w:highlight w:val="none"/>
          <w:lang w:eastAsia="zh-CN"/>
        </w:rPr>
        <w:t>投标人</w:t>
      </w:r>
      <w:r>
        <w:rPr>
          <w:rFonts w:hint="eastAsia"/>
          <w:color w:val="auto"/>
          <w:sz w:val="24"/>
          <w:szCs w:val="24"/>
          <w:highlight w:val="none"/>
        </w:rPr>
        <w:t>不存在直接控股或管理关系，不参与围标串标、弄虚作假、骗取中标、干扰评标、违约毁约等行为；</w:t>
      </w:r>
    </w:p>
    <w:p w14:paraId="06717746">
      <w:pPr>
        <w:widowControl/>
        <w:spacing w:line="520" w:lineRule="exact"/>
        <w:ind w:firstLine="440"/>
        <w:rPr>
          <w:color w:val="auto"/>
          <w:sz w:val="24"/>
          <w:szCs w:val="24"/>
          <w:highlight w:val="none"/>
        </w:rPr>
      </w:pPr>
      <w:r>
        <w:rPr>
          <w:rFonts w:hint="eastAsia"/>
          <w:color w:val="auto"/>
          <w:sz w:val="24"/>
          <w:szCs w:val="24"/>
          <w:highlight w:val="none"/>
        </w:rPr>
        <w:t>（六）自觉接受政府、行业组织、社会公众、新闻舆论的监督；</w:t>
      </w:r>
    </w:p>
    <w:p w14:paraId="1B9AF1F0">
      <w:pPr>
        <w:widowControl/>
        <w:spacing w:line="520" w:lineRule="exact"/>
        <w:ind w:firstLine="440"/>
        <w:rPr>
          <w:color w:val="auto"/>
          <w:sz w:val="24"/>
          <w:szCs w:val="24"/>
          <w:highlight w:val="none"/>
        </w:rPr>
      </w:pPr>
      <w:r>
        <w:rPr>
          <w:rFonts w:hint="eastAsia"/>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99BD083">
      <w:pPr>
        <w:widowControl/>
        <w:spacing w:line="520" w:lineRule="exact"/>
        <w:ind w:firstLine="440"/>
        <w:rPr>
          <w:color w:val="auto"/>
          <w:sz w:val="24"/>
          <w:szCs w:val="24"/>
          <w:highlight w:val="none"/>
        </w:rPr>
      </w:pPr>
      <w:r>
        <w:rPr>
          <w:rFonts w:hint="eastAsia"/>
          <w:color w:val="auto"/>
          <w:sz w:val="24"/>
          <w:szCs w:val="24"/>
          <w:highlight w:val="none"/>
        </w:rPr>
        <w:t>（八）本人已认真阅读了上述承诺，并向本单位员工作了宣传教育。</w:t>
      </w:r>
    </w:p>
    <w:p w14:paraId="211F3F17">
      <w:pPr>
        <w:widowControl/>
        <w:spacing w:line="520" w:lineRule="exact"/>
        <w:ind w:firstLine="0"/>
        <w:jc w:val="right"/>
        <w:rPr>
          <w:color w:val="auto"/>
          <w:sz w:val="24"/>
          <w:szCs w:val="24"/>
          <w:highlight w:val="none"/>
        </w:rPr>
      </w:pPr>
      <w:r>
        <w:rPr>
          <w:rFonts w:hint="eastAsia"/>
          <w:color w:val="auto"/>
          <w:sz w:val="24"/>
          <w:szCs w:val="24"/>
          <w:highlight w:val="none"/>
        </w:rPr>
        <w:t xml:space="preserve">                </w:t>
      </w:r>
    </w:p>
    <w:p w14:paraId="39F1D4CA">
      <w:pPr>
        <w:ind w:firstLine="440"/>
        <w:jc w:val="right"/>
        <w:rPr>
          <w:color w:val="auto"/>
          <w:sz w:val="24"/>
          <w:szCs w:val="24"/>
          <w:highlight w:val="none"/>
        </w:rPr>
      </w:pPr>
      <w:r>
        <w:rPr>
          <w:rFonts w:hint="eastAsia"/>
          <w:color w:val="auto"/>
          <w:sz w:val="24"/>
          <w:szCs w:val="24"/>
          <w:highlight w:val="none"/>
        </w:rPr>
        <w:t xml:space="preserve"> 法定代表人（签名）：          </w:t>
      </w:r>
    </w:p>
    <w:p w14:paraId="3C803517">
      <w:pPr>
        <w:ind w:firstLine="440"/>
        <w:jc w:val="right"/>
        <w:rPr>
          <w:color w:val="auto"/>
          <w:sz w:val="24"/>
          <w:szCs w:val="24"/>
          <w:highlight w:val="none"/>
        </w:rPr>
      </w:pPr>
      <w:r>
        <w:rPr>
          <w:rFonts w:hint="eastAsia"/>
          <w:color w:val="auto"/>
          <w:sz w:val="24"/>
          <w:szCs w:val="24"/>
          <w:highlight w:val="none"/>
        </w:rPr>
        <w:t xml:space="preserve">单位名称（盖章）：          </w:t>
      </w:r>
    </w:p>
    <w:p w14:paraId="17F051BB">
      <w:pPr>
        <w:ind w:firstLine="440"/>
        <w:rPr>
          <w:color w:val="auto"/>
          <w:sz w:val="24"/>
          <w:szCs w:val="24"/>
          <w:highlight w:val="none"/>
        </w:rPr>
      </w:pPr>
      <w:r>
        <w:rPr>
          <w:rFonts w:hint="eastAsia"/>
          <w:color w:val="auto"/>
          <w:sz w:val="24"/>
          <w:szCs w:val="24"/>
          <w:highlight w:val="none"/>
        </w:rPr>
        <w:t xml:space="preserve">                                                       年   月   日</w:t>
      </w:r>
      <w:bookmarkEnd w:id="155"/>
      <w:bookmarkEnd w:id="156"/>
      <w:bookmarkEnd w:id="157"/>
      <w:bookmarkEnd w:id="158"/>
      <w:bookmarkEnd w:id="159"/>
      <w:bookmarkEnd w:id="160"/>
      <w:bookmarkEnd w:id="161"/>
      <w:bookmarkEnd w:id="162"/>
    </w:p>
    <w:p w14:paraId="26ACE5B5">
      <w:pPr>
        <w:ind w:firstLine="440"/>
        <w:rPr>
          <w:color w:val="auto"/>
          <w:sz w:val="24"/>
          <w:szCs w:val="24"/>
          <w:highlight w:val="none"/>
        </w:rPr>
      </w:pPr>
      <w:r>
        <w:rPr>
          <w:rFonts w:hint="eastAsia"/>
          <w:color w:val="auto"/>
          <w:sz w:val="24"/>
          <w:szCs w:val="24"/>
          <w:highlight w:val="none"/>
        </w:rPr>
        <w:br w:type="page" w:clear="all"/>
      </w:r>
    </w:p>
    <w:p w14:paraId="240B578B">
      <w:pPr>
        <w:pStyle w:val="36"/>
        <w:numPr>
          <w:ilvl w:val="0"/>
          <w:numId w:val="0"/>
        </w:numPr>
        <w:spacing w:beforeAutospacing="0" w:afterAutospacing="0"/>
        <w:ind w:firstLine="562"/>
        <w:jc w:val="center"/>
        <w:rPr>
          <w:rFonts w:hint="eastAsia" w:ascii="黑体" w:hAnsi="黑体" w:eastAsia="黑体" w:cs="黑体"/>
          <w:b w:val="0"/>
          <w:i/>
          <w:color w:val="auto"/>
          <w:sz w:val="32"/>
          <w:szCs w:val="32"/>
          <w:highlight w:val="none"/>
          <w:u w:val="single"/>
          <w:lang w:val="en-US" w:eastAsia="zh-CN" w:bidi="ar-SA"/>
        </w:rPr>
      </w:pPr>
      <w:r>
        <w:rPr>
          <w:rFonts w:hint="eastAsia" w:ascii="黑体" w:hAnsi="黑体" w:eastAsia="黑体" w:cs="黑体"/>
          <w:b w:val="0"/>
          <w:i/>
          <w:color w:val="auto"/>
          <w:sz w:val="32"/>
          <w:szCs w:val="32"/>
          <w:highlight w:val="none"/>
          <w:u w:val="single"/>
          <w:lang w:val="en-US" w:eastAsia="zh-CN" w:bidi="ar-SA"/>
        </w:rPr>
        <w:t>十七、根据招标文件“第五章 评标方法与评标标准”的要求需要提供的材料及投标人认为有必要提供的其他材料</w:t>
      </w:r>
    </w:p>
    <w:p w14:paraId="15455E35">
      <w:pPr>
        <w:rPr>
          <w:rFonts w:hint="eastAsia"/>
          <w:color w:val="auto"/>
          <w:szCs w:val="28"/>
          <w:highlight w:val="none"/>
        </w:rPr>
      </w:pPr>
      <w:r>
        <w:rPr>
          <w:rFonts w:hint="eastAsia"/>
          <w:color w:val="auto"/>
          <w:szCs w:val="28"/>
          <w:highlight w:val="none"/>
        </w:rPr>
        <w:br w:type="page" w:clear="all"/>
      </w:r>
    </w:p>
    <w:p w14:paraId="3DCB8C62">
      <w:pPr>
        <w:pStyle w:val="36"/>
        <w:numPr>
          <w:ilvl w:val="0"/>
          <w:numId w:val="0"/>
        </w:numPr>
        <w:spacing w:beforeAutospacing="0" w:afterAutospacing="0"/>
        <w:ind w:firstLine="281"/>
        <w:jc w:val="center"/>
        <w:rPr>
          <w:color w:val="auto"/>
          <w:szCs w:val="28"/>
          <w:highlight w:val="none"/>
        </w:rPr>
      </w:pPr>
      <w:r>
        <w:rPr>
          <w:rFonts w:hint="eastAsia"/>
          <w:color w:val="auto"/>
          <w:szCs w:val="28"/>
          <w:highlight w:val="none"/>
        </w:rPr>
        <w:t>质疑函范本</w:t>
      </w:r>
    </w:p>
    <w:p w14:paraId="1083409B">
      <w:pPr>
        <w:pStyle w:val="36"/>
        <w:spacing w:before="290" w:beforeAutospacing="0" w:afterAutospacing="0"/>
        <w:jc w:val="both"/>
        <w:rPr>
          <w:b w:val="0"/>
          <w:bCs/>
          <w:color w:val="auto"/>
          <w:sz w:val="24"/>
          <w:szCs w:val="24"/>
          <w:highlight w:val="none"/>
        </w:rPr>
      </w:pPr>
      <w:r>
        <w:rPr>
          <w:rFonts w:hint="eastAsia"/>
          <w:b w:val="0"/>
          <w:bCs/>
          <w:color w:val="auto"/>
          <w:sz w:val="24"/>
          <w:szCs w:val="24"/>
          <w:highlight w:val="none"/>
        </w:rPr>
        <w:t>一、质疑</w:t>
      </w:r>
      <w:r>
        <w:rPr>
          <w:rFonts w:hint="eastAsia"/>
          <w:b w:val="0"/>
          <w:bCs/>
          <w:color w:val="auto"/>
          <w:sz w:val="24"/>
          <w:szCs w:val="24"/>
          <w:highlight w:val="none"/>
          <w:lang w:eastAsia="zh-CN"/>
        </w:rPr>
        <w:t>投标人</w:t>
      </w:r>
      <w:r>
        <w:rPr>
          <w:rFonts w:hint="eastAsia"/>
          <w:b w:val="0"/>
          <w:bCs/>
          <w:color w:val="auto"/>
          <w:sz w:val="24"/>
          <w:szCs w:val="24"/>
          <w:highlight w:val="none"/>
        </w:rPr>
        <w:t>基本信息</w:t>
      </w:r>
    </w:p>
    <w:p w14:paraId="49E2CBFE">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w:t>
      </w:r>
      <w:r>
        <w:rPr>
          <w:rFonts w:hint="eastAsia"/>
          <w:b w:val="0"/>
          <w:bCs/>
          <w:color w:val="auto"/>
          <w:sz w:val="24"/>
          <w:szCs w:val="24"/>
          <w:highlight w:val="none"/>
          <w:lang w:eastAsia="zh-CN"/>
        </w:rPr>
        <w:t>投标人</w:t>
      </w:r>
      <w:r>
        <w:rPr>
          <w:rFonts w:hint="eastAsia"/>
          <w:b w:val="0"/>
          <w:bCs/>
          <w:color w:val="auto"/>
          <w:sz w:val="24"/>
          <w:szCs w:val="24"/>
          <w:highlight w:val="none"/>
        </w:rPr>
        <w:t>：</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22D6B18E">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地址：</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53AEB6BA">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xml:space="preserve">                                   </w:t>
      </w:r>
    </w:p>
    <w:p w14:paraId="33470B5F">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联系人：</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2B5C3DE6">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xml:space="preserve">                                     </w:t>
      </w:r>
    </w:p>
    <w:p w14:paraId="7B4A76A5">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授权代表：</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11333C93">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6387CDA9">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地址： </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4DF22779">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w:t>
      </w:r>
    </w:p>
    <w:p w14:paraId="7B0B2840">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二、质疑项目基本情况</w:t>
      </w:r>
    </w:p>
    <w:p w14:paraId="70C372B7">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质疑项目的名称：</w:t>
      </w:r>
      <w:r>
        <w:rPr>
          <w:rFonts w:hint="eastAsia"/>
          <w:b w:val="0"/>
          <w:bCs/>
          <w:color w:val="auto"/>
          <w:sz w:val="24"/>
          <w:szCs w:val="24"/>
          <w:highlight w:val="none"/>
          <w:u w:val="single"/>
        </w:rPr>
        <w:t xml:space="preserve">                             </w:t>
      </w:r>
    </w:p>
    <w:p w14:paraId="29AB4A5B">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质疑项目的编号：</w:t>
      </w:r>
      <w:r>
        <w:rPr>
          <w:rFonts w:hint="eastAsia"/>
          <w:b w:val="0"/>
          <w:bCs/>
          <w:color w:val="auto"/>
          <w:sz w:val="24"/>
          <w:szCs w:val="24"/>
          <w:highlight w:val="none"/>
          <w:u w:val="single"/>
        </w:rPr>
        <w:t xml:space="preserve">                            </w:t>
      </w:r>
    </w:p>
    <w:p w14:paraId="531FA5AB">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包号：</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2C9E129C">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采购人名称：</w:t>
      </w:r>
      <w:r>
        <w:rPr>
          <w:rFonts w:hint="eastAsia"/>
          <w:b w:val="0"/>
          <w:bCs/>
          <w:color w:val="auto"/>
          <w:sz w:val="24"/>
          <w:szCs w:val="24"/>
          <w:highlight w:val="none"/>
          <w:u w:val="single"/>
        </w:rPr>
        <w:t xml:space="preserve">                               </w:t>
      </w:r>
    </w:p>
    <w:p w14:paraId="1012DC8E">
      <w:pPr>
        <w:pStyle w:val="36"/>
        <w:spacing w:beforeAutospacing="0" w:afterAutospacing="0"/>
        <w:jc w:val="both"/>
        <w:rPr>
          <w:b w:val="0"/>
          <w:bCs/>
          <w:color w:val="auto"/>
          <w:sz w:val="24"/>
          <w:szCs w:val="24"/>
          <w:highlight w:val="none"/>
        </w:rPr>
      </w:pPr>
      <w:r>
        <w:rPr>
          <w:rFonts w:hint="eastAsia"/>
          <w:b w:val="0"/>
          <w:bCs/>
          <w:color w:val="auto"/>
          <w:sz w:val="24"/>
          <w:szCs w:val="24"/>
          <w:highlight w:val="none"/>
          <w:lang w:eastAsia="zh-CN"/>
        </w:rPr>
        <w:t>招标文件</w:t>
      </w:r>
      <w:r>
        <w:rPr>
          <w:rFonts w:hint="eastAsia"/>
          <w:b w:val="0"/>
          <w:bCs/>
          <w:color w:val="auto"/>
          <w:sz w:val="24"/>
          <w:szCs w:val="24"/>
          <w:highlight w:val="none"/>
        </w:rPr>
        <w:t>获取日期：</w:t>
      </w:r>
      <w:r>
        <w:rPr>
          <w:rFonts w:hint="eastAsia"/>
          <w:b w:val="0"/>
          <w:bCs/>
          <w:color w:val="auto"/>
          <w:sz w:val="24"/>
          <w:szCs w:val="24"/>
          <w:highlight w:val="none"/>
          <w:u w:val="single"/>
        </w:rPr>
        <w:t xml:space="preserve">                             </w:t>
      </w:r>
    </w:p>
    <w:p w14:paraId="127BA9DA">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三、质疑事项具体内容</w:t>
      </w:r>
    </w:p>
    <w:p w14:paraId="38A55DF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质疑事项1：</w:t>
      </w:r>
      <w:r>
        <w:rPr>
          <w:rFonts w:hint="eastAsia"/>
          <w:b w:val="0"/>
          <w:bCs/>
          <w:color w:val="auto"/>
          <w:sz w:val="24"/>
          <w:szCs w:val="24"/>
          <w:highlight w:val="none"/>
          <w:u w:val="single"/>
        </w:rPr>
        <w:t xml:space="preserve">                                </w:t>
      </w:r>
    </w:p>
    <w:p w14:paraId="27E829F4">
      <w:pPr>
        <w:pStyle w:val="36"/>
        <w:spacing w:beforeAutospacing="0" w:afterAutospacing="0"/>
        <w:rPr>
          <w:b w:val="0"/>
          <w:bCs/>
          <w:color w:val="auto"/>
          <w:sz w:val="24"/>
          <w:szCs w:val="24"/>
          <w:highlight w:val="none"/>
        </w:rPr>
      </w:pPr>
      <w:r>
        <w:rPr>
          <w:rFonts w:hint="eastAsia"/>
          <w:b w:val="0"/>
          <w:bCs/>
          <w:color w:val="auto"/>
          <w:sz w:val="24"/>
          <w:szCs w:val="24"/>
          <w:highlight w:val="none"/>
        </w:rPr>
        <w:t>事实依据：</w:t>
      </w:r>
      <w:r>
        <w:rPr>
          <w:rFonts w:hint="eastAsia"/>
          <w:b w:val="0"/>
          <w:bCs/>
          <w:color w:val="auto"/>
          <w:sz w:val="24"/>
          <w:szCs w:val="24"/>
          <w:highlight w:val="none"/>
          <w:u w:val="single"/>
        </w:rPr>
        <w:t xml:space="preserve">                                   </w:t>
      </w:r>
    </w:p>
    <w:p w14:paraId="4AAF83EC">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法律依据：</w:t>
      </w:r>
      <w:r>
        <w:rPr>
          <w:rFonts w:hint="eastAsia"/>
          <w:b w:val="0"/>
          <w:bCs/>
          <w:color w:val="auto"/>
          <w:sz w:val="24"/>
          <w:szCs w:val="24"/>
          <w:highlight w:val="none"/>
          <w:u w:val="single"/>
        </w:rPr>
        <w:t xml:space="preserve">                                   </w:t>
      </w:r>
    </w:p>
    <w:p w14:paraId="101EDF1C">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质疑事项2</w:t>
      </w:r>
    </w:p>
    <w:p w14:paraId="5B6A0BD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w:t>
      </w:r>
    </w:p>
    <w:p w14:paraId="3A67434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四、与质疑事项相关的质疑请求</w:t>
      </w:r>
    </w:p>
    <w:p w14:paraId="269F22E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请求：</w:t>
      </w:r>
      <w:r>
        <w:rPr>
          <w:rFonts w:hint="eastAsia"/>
          <w:b w:val="0"/>
          <w:bCs/>
          <w:color w:val="auto"/>
          <w:sz w:val="24"/>
          <w:szCs w:val="24"/>
          <w:highlight w:val="none"/>
          <w:u w:val="single"/>
        </w:rPr>
        <w:t xml:space="preserve">                                        </w:t>
      </w:r>
    </w:p>
    <w:p w14:paraId="415AAEE9">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 xml:space="preserve">签字(签章)：                 公章：               日期：    </w:t>
      </w:r>
    </w:p>
    <w:p w14:paraId="49609FE1">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质疑函制作说明：</w:t>
      </w:r>
    </w:p>
    <w:p w14:paraId="17312D8E">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1.</w:t>
      </w:r>
      <w:r>
        <w:rPr>
          <w:rFonts w:hint="eastAsia"/>
          <w:b w:val="0"/>
          <w:bCs/>
          <w:color w:val="auto"/>
          <w:sz w:val="24"/>
          <w:szCs w:val="24"/>
          <w:highlight w:val="none"/>
          <w:lang w:eastAsia="zh-CN"/>
        </w:rPr>
        <w:t>投标人</w:t>
      </w:r>
      <w:r>
        <w:rPr>
          <w:rFonts w:hint="eastAsia"/>
          <w:b w:val="0"/>
          <w:bCs/>
          <w:color w:val="auto"/>
          <w:sz w:val="24"/>
          <w:szCs w:val="24"/>
          <w:highlight w:val="none"/>
        </w:rPr>
        <w:t>提出质疑时，应提交质疑函和必要的证明材料。</w:t>
      </w:r>
    </w:p>
    <w:p w14:paraId="59EB4EDC">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2.质疑</w:t>
      </w:r>
      <w:r>
        <w:rPr>
          <w:rFonts w:hint="eastAsia"/>
          <w:b w:val="0"/>
          <w:bCs/>
          <w:color w:val="auto"/>
          <w:sz w:val="24"/>
          <w:szCs w:val="24"/>
          <w:highlight w:val="none"/>
          <w:lang w:eastAsia="zh-CN"/>
        </w:rPr>
        <w:t>投标人</w:t>
      </w:r>
      <w:r>
        <w:rPr>
          <w:rFonts w:hint="eastAsia"/>
          <w:b w:val="0"/>
          <w:bCs/>
          <w:color w:val="auto"/>
          <w:sz w:val="24"/>
          <w:szCs w:val="24"/>
          <w:highlight w:val="none"/>
        </w:rPr>
        <w:t>若委托代理人进行质疑的，质疑函应按要求列明“授权代表”的有关内容，并在附件中提交由质疑</w:t>
      </w:r>
      <w:r>
        <w:rPr>
          <w:rFonts w:hint="eastAsia"/>
          <w:b w:val="0"/>
          <w:bCs/>
          <w:color w:val="auto"/>
          <w:sz w:val="24"/>
          <w:szCs w:val="24"/>
          <w:highlight w:val="none"/>
          <w:lang w:eastAsia="zh-CN"/>
        </w:rPr>
        <w:t>投标人</w:t>
      </w:r>
      <w:r>
        <w:rPr>
          <w:rFonts w:hint="eastAsia"/>
          <w:b w:val="0"/>
          <w:bCs/>
          <w:color w:val="auto"/>
          <w:sz w:val="24"/>
          <w:szCs w:val="24"/>
          <w:highlight w:val="none"/>
        </w:rPr>
        <w:t>签署的授权委托书。授权委托书应载明代理人的姓名或者名称、代理事项、具体权限、期限和相关事项。</w:t>
      </w:r>
    </w:p>
    <w:p w14:paraId="72CD0C48">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3.质疑</w:t>
      </w:r>
      <w:r>
        <w:rPr>
          <w:rFonts w:hint="eastAsia"/>
          <w:b w:val="0"/>
          <w:bCs/>
          <w:color w:val="auto"/>
          <w:sz w:val="24"/>
          <w:szCs w:val="24"/>
          <w:highlight w:val="none"/>
          <w:lang w:eastAsia="zh-CN"/>
        </w:rPr>
        <w:t>投标人</w:t>
      </w:r>
      <w:r>
        <w:rPr>
          <w:rFonts w:hint="eastAsia"/>
          <w:b w:val="0"/>
          <w:bCs/>
          <w:color w:val="auto"/>
          <w:sz w:val="24"/>
          <w:szCs w:val="24"/>
          <w:highlight w:val="none"/>
        </w:rPr>
        <w:t>若对项目的某一分包进行质疑，质疑函中应列明具体分包号。</w:t>
      </w:r>
    </w:p>
    <w:p w14:paraId="6FB5CD8C">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4.质疑函的质疑事项应具体、明确，并有必要的事实依据和法律依据。</w:t>
      </w:r>
    </w:p>
    <w:p w14:paraId="7667917C">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5.质疑函的质疑请求应与质疑事项相关。</w:t>
      </w:r>
    </w:p>
    <w:p w14:paraId="5CBA6C0D">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6.质疑</w:t>
      </w:r>
      <w:r>
        <w:rPr>
          <w:rFonts w:hint="eastAsia"/>
          <w:b w:val="0"/>
          <w:bCs/>
          <w:color w:val="auto"/>
          <w:sz w:val="24"/>
          <w:szCs w:val="24"/>
          <w:highlight w:val="none"/>
          <w:lang w:eastAsia="zh-CN"/>
        </w:rPr>
        <w:t>投标人</w:t>
      </w:r>
      <w:r>
        <w:rPr>
          <w:rFonts w:hint="eastAsia"/>
          <w:b w:val="0"/>
          <w:bCs/>
          <w:color w:val="auto"/>
          <w:sz w:val="24"/>
          <w:szCs w:val="24"/>
          <w:highlight w:val="none"/>
        </w:rPr>
        <w:t>为自然人的，质疑函应由本人签字；质疑</w:t>
      </w:r>
      <w:r>
        <w:rPr>
          <w:rFonts w:hint="eastAsia"/>
          <w:b w:val="0"/>
          <w:bCs/>
          <w:color w:val="auto"/>
          <w:sz w:val="24"/>
          <w:szCs w:val="24"/>
          <w:highlight w:val="none"/>
          <w:lang w:eastAsia="zh-CN"/>
        </w:rPr>
        <w:t>投标人</w:t>
      </w:r>
      <w:r>
        <w:rPr>
          <w:rFonts w:hint="eastAsia"/>
          <w:b w:val="0"/>
          <w:bCs/>
          <w:color w:val="auto"/>
          <w:sz w:val="24"/>
          <w:szCs w:val="24"/>
          <w:highlight w:val="none"/>
        </w:rPr>
        <w:t>为法人或者其他组织的，质疑函应由法定代表人、主要负责人，或者其授权代表签字或者盖章，并加盖公章。</w:t>
      </w:r>
    </w:p>
    <w:p w14:paraId="692AFB9A">
      <w:pPr>
        <w:pStyle w:val="285"/>
        <w:spacing w:beforeAutospacing="0" w:afterAutospacing="0" w:line="500" w:lineRule="exact"/>
        <w:ind w:firstLine="420"/>
        <w:jc w:val="both"/>
        <w:rPr>
          <w:b w:val="0"/>
          <w:bCs/>
          <w:color w:val="auto"/>
          <w:sz w:val="24"/>
          <w:szCs w:val="24"/>
          <w:highlight w:val="none"/>
        </w:rPr>
      </w:pPr>
    </w:p>
    <w:p w14:paraId="1C2E730E">
      <w:pPr>
        <w:ind w:firstLine="440"/>
        <w:rPr>
          <w:bCs/>
          <w:color w:val="auto"/>
          <w:sz w:val="24"/>
          <w:szCs w:val="24"/>
          <w:highlight w:val="none"/>
        </w:rPr>
      </w:pPr>
    </w:p>
    <w:p w14:paraId="450A09A3">
      <w:pPr>
        <w:spacing w:line="520" w:lineRule="exact"/>
        <w:ind w:firstLine="560"/>
        <w:jc w:val="center"/>
        <w:rPr>
          <w:bCs/>
          <w:color w:val="auto"/>
          <w:sz w:val="24"/>
          <w:szCs w:val="24"/>
          <w:highlight w:val="none"/>
        </w:rPr>
      </w:pPr>
    </w:p>
    <w:sectPr>
      <w:footerReference r:id="rId14" w:type="first"/>
      <w:headerReference r:id="rId12" w:type="default"/>
      <w:footerReference r:id="rId13" w:type="default"/>
      <w:pgSz w:w="11906" w:h="16838"/>
      <w:pgMar w:top="1440" w:right="1633" w:bottom="1440" w:left="1633"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 w:name="FangSong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Showcard Gothic">
    <w:panose1 w:val="04020904020102020604"/>
    <w:charset w:val="00"/>
    <w:family w:val="auto"/>
    <w:pitch w:val="default"/>
    <w:sig w:usb0="00000003" w:usb1="00000000" w:usb2="00000000" w:usb3="00000000" w:csb0="20000001" w:csb1="00000000"/>
  </w:font>
  <w:font w:name="方正小标宋_GBK">
    <w:altName w:val="Arial Unicode MS"/>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54BAB">
    <w:pPr>
      <w:pStyle w:val="134"/>
      <w:ind w:firstLine="4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2D695">
    <w:pPr>
      <w:pStyle w:val="282"/>
      <w:framePr w:wrap="around" w:vAnchor="text" w:hAnchor="margin" w:xAlign="center" w:y="1"/>
      <w:ind w:firstLine="360"/>
      <w:rPr>
        <w:rStyle w:val="288"/>
      </w:rPr>
    </w:pPr>
    <w:r>
      <w:fldChar w:fldCharType="begin"/>
    </w:r>
    <w:r>
      <w:rPr>
        <w:rStyle w:val="288"/>
      </w:rPr>
      <w:instrText xml:space="preserve">PAGE  </w:instrText>
    </w:r>
    <w:r>
      <w:fldChar w:fldCharType="separate"/>
    </w:r>
    <w:r>
      <w:rPr>
        <w:rStyle w:val="288"/>
      </w:rPr>
      <w:t>1</w:t>
    </w:r>
    <w:r>
      <w:fldChar w:fldCharType="end"/>
    </w:r>
  </w:p>
  <w:p w14:paraId="62EFD87E">
    <w:pPr>
      <w:pStyle w:val="28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C1DB3">
    <w:pPr>
      <w:pStyle w:val="134"/>
      <w:ind w:firstLine="4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F757A">
    <w:pPr>
      <w:pStyle w:val="28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52450" cy="494030"/>
              <wp:effectExtent l="6350" t="6350" r="6350" b="6350"/>
              <wp:wrapNone/>
              <wp:docPr id="1" name="文本框 3"/>
              <wp:cNvGraphicFramePr/>
              <a:graphic xmlns:a="http://schemas.openxmlformats.org/drawingml/2006/main">
                <a:graphicData uri="http://schemas.microsoft.com/office/word/2010/wordprocessingShape">
                  <wps:wsp>
                    <wps:cNvSpPr txBox="1"/>
                    <wps:spPr bwMode="auto">
                      <a:xfrm>
                        <a:off x="0" y="0"/>
                        <a:ext cx="552506" cy="494109"/>
                      </a:xfrm>
                      <a:prstGeom prst="rect">
                        <a:avLst/>
                      </a:prstGeom>
                      <a:noFill/>
                      <a:ln>
                        <a:noFill/>
                      </a:ln>
                    </wps:spPr>
                    <wps:txbx>
                      <w:txbxContent>
                        <w:p w14:paraId="66F2AA5A">
                          <w:pPr>
                            <w:pStyle w:val="282"/>
                            <w:tabs>
                              <w:tab w:val="clear" w:pos="4153"/>
                              <w:tab w:val="clear" w:pos="8306"/>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04F536FC"/>
                      </w:txbxContent>
                    </wps:txbx>
                    <wps:bodyPr wrap="square" lIns="0" tIns="0" rIns="0" bIns="0" upright="1">
                      <a:noAutofit/>
                    </wps:bodyPr>
                  </wps:wsp>
                </a:graphicData>
              </a:graphic>
            </wp:anchor>
          </w:drawing>
        </mc:Choice>
        <mc:Fallback>
          <w:pict>
            <v:shape id="文本框 3" o:spid="_x0000_s1026" o:spt="202" type="#_x0000_t202" style="position:absolute;left:0pt;margin-top:0pt;height:38.9pt;width:43.5pt;mso-position-horizontal:center;mso-position-horizontal-relative:margin;z-index:251660288;mso-width-relative:page;mso-height-relative:page;" filled="f" stroked="f" coordsize="21600,21600" o:gfxdata="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tJMUd0wAAAAMBAAAPAAAAAAAAAAEA&#10;IAAAACIAAABkcnMvZG93bnJldi54bWxQSwECFAAUAAAACACHTuJAPUzig9sBAACnAwAADgAAAAAA&#10;AAABACAAAAAiAQAAZHJzL2Uyb0RvYy54bWxQSwUGAAAAAAYABgBZAQAAbwUAAAAA&#10;">
              <v:fill on="f" focussize="0,0"/>
              <v:stroke on="f"/>
              <v:imagedata o:title=""/>
              <o:lock v:ext="edit" aspectratio="f"/>
              <v:textbox inset="0mm,0mm,0mm,0mm">
                <w:txbxContent>
                  <w:p w14:paraId="66F2AA5A">
                    <w:pPr>
                      <w:pStyle w:val="282"/>
                      <w:tabs>
                        <w:tab w:val="clear" w:pos="4153"/>
                        <w:tab w:val="clear" w:pos="8306"/>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04F536F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B5C36">
    <w:pPr>
      <w:pStyle w:val="282"/>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67360" cy="271780"/>
              <wp:effectExtent l="0" t="0" r="0" b="0"/>
              <wp:wrapNone/>
              <wp:docPr id="2" name="shape 0"/>
              <wp:cNvGraphicFramePr/>
              <a:graphic xmlns:a="http://schemas.openxmlformats.org/drawingml/2006/main">
                <a:graphicData uri="http://schemas.microsoft.com/office/word/2010/wordprocessingShape">
                  <wps:wsp>
                    <wps:cNvSpPr txBox="1"/>
                    <wps:spPr bwMode="auto">
                      <a:xfrm>
                        <a:off x="0" y="0"/>
                        <a:ext cx="467360" cy="271780"/>
                      </a:xfrm>
                      <a:prstGeom prst="rect">
                        <a:avLst/>
                      </a:prstGeom>
                      <a:noFill/>
                      <a:ln>
                        <a:noFill/>
                      </a:ln>
                    </wps:spPr>
                    <wps:txbx>
                      <w:txbxContent>
                        <w:p w14:paraId="0EC70907">
                          <w:pPr>
                            <w:pStyle w:val="134"/>
                            <w:ind w:firstLine="440"/>
                          </w:pPr>
                          <w:r>
                            <w:fldChar w:fldCharType="begin"/>
                          </w:r>
                          <w:r>
                            <w:instrText xml:space="preserve"> PAGE  \* MERGEFORMAT </w:instrText>
                          </w:r>
                          <w:r>
                            <w:fldChar w:fldCharType="separate"/>
                          </w:r>
                          <w:r>
                            <w:t>58</w:t>
                          </w:r>
                          <w:r>
                            <w:fldChar w:fldCharType="end"/>
                          </w:r>
                        </w:p>
                      </w:txbxContent>
                    </wps:txbx>
                    <wps:bodyPr lIns="0" tIns="0" rIns="0" bIns="0" upright="1"/>
                  </wps:wsp>
                </a:graphicData>
              </a:graphic>
            </wp:anchor>
          </w:drawing>
        </mc:Choice>
        <mc:Fallback>
          <w:pict>
            <v:shape id="shape 0" o:spid="_x0000_s1026" o:spt="202" type="#_x0000_t202" style="position:absolute;left:0pt;margin-top:0pt;height:21.4pt;width:36.8pt;mso-position-horizontal:center;mso-position-horizontal-relative:margin;z-index:251659264;mso-width-relative:page;mso-height-relative:page;" filled="f" stroked="f" coordsize="21600,21600" o:gfxdata="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0TZavU&#10;AAAAAwEAAA8AAAAAAAAAAQAgAAAAIgAAAGRycy9kb3ducmV2LnhtbFBLAQIUABQAAAAIAIdO4kDM&#10;t23LsgEAAHsDAAAOAAAAAAAAAAEAIAAAACMBAABkcnMvZTJvRG9jLnhtbFBLBQYAAAAABgAGAFkB&#10;AABHBQAAAAA=&#10;">
              <v:fill on="f" focussize="0,0"/>
              <v:stroke on="f"/>
              <v:imagedata o:title=""/>
              <o:lock v:ext="edit" aspectratio="f"/>
              <v:textbox inset="0mm,0mm,0mm,0mm">
                <w:txbxContent>
                  <w:p w14:paraId="0EC70907">
                    <w:pPr>
                      <w:pStyle w:val="134"/>
                      <w:ind w:firstLine="44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C0C95">
    <w:pPr>
      <w:pStyle w:val="282"/>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D7876B">
                          <w:pPr>
                            <w:pStyle w:val="134"/>
                            <w:ind w:firstLine="440"/>
                            <w:jc w:val="center"/>
                          </w:pPr>
                          <w:r>
                            <w:fldChar w:fldCharType="begin"/>
                          </w:r>
                          <w:r>
                            <w:instrText xml:space="preserve"> PAGE  \* MERGEFORMAT </w:instrText>
                          </w:r>
                          <w:r>
                            <w:fldChar w:fldCharType="separate"/>
                          </w:r>
                          <w:r>
                            <w:t>2</w:t>
                          </w:r>
                          <w:r>
                            <w:fldChar w:fldCharType="end"/>
                          </w:r>
                        </w:p>
                      </w:txbxContent>
                    </wps:txbx>
                    <wps:bodyPr lIns="0" tIns="0" rIns="0" bIns="0" upright="1"/>
                  </wps:wsp>
                </a:graphicData>
              </a:graphic>
            </wp:anchor>
          </w:drawing>
        </mc:Choice>
        <mc:Fallback>
          <w:pict>
            <v:shape id="shape 1"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WaT2QNIAAAAFAQAA&#10;DwAAAAAAAAABACAAAAAiAAAAZHJzL2Rvd25yZXYueG1sUEsBAhQAFAAAAAgAh07iQCXakNGtAQAA&#10;fQMAAA4AAAAAAAAAAQAgAAAAIQEAAGRycy9lMm9Eb2MueG1sUEsFBgAAAAAGAAYAWQEAAEAFAAAA&#10;AA==&#10;">
              <v:fill on="f" focussize="0,0"/>
              <v:stroke on="f"/>
              <v:imagedata o:title=""/>
              <o:lock v:ext="edit" aspectratio="f"/>
              <v:textbox inset="0mm,0mm,0mm,0mm">
                <w:txbxContent>
                  <w:p w14:paraId="5DD7876B">
                    <w:pPr>
                      <w:pStyle w:val="134"/>
                      <w:ind w:firstLine="440"/>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9B199">
    <w:pPr>
      <w:pStyle w:val="283"/>
      <w:pBdr>
        <w:bottom w:val="none" w:color="auto" w:sz="0" w:space="1"/>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47F2F">
    <w:pPr>
      <w:pStyle w:val="28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934E1">
    <w:pPr>
      <w:pStyle w:val="283"/>
      <w:pBdr>
        <w:bottom w:val="none" w:color="auto" w:sz="0" w:space="1"/>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3D128">
    <w:pPr>
      <w:pStyle w:val="283"/>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3DF5D45"/>
    <w:multiLevelType w:val="singleLevel"/>
    <w:tmpl w:val="D3DF5D45"/>
    <w:lvl w:ilvl="0" w:tentative="0">
      <w:start w:val="1"/>
      <w:numFmt w:val="ideographTraditional"/>
      <w:suff w:val="nothing"/>
      <w:lvlText w:val="%1、"/>
      <w:lvlJc w:val="left"/>
      <w:pPr>
        <w:ind w:left="458" w:leftChars="0" w:firstLine="0" w:firstLineChars="0"/>
      </w:pPr>
      <w:rPr>
        <w:rFonts w:hint="eastAsia"/>
      </w:rPr>
    </w:lvl>
  </w:abstractNum>
  <w:abstractNum w:abstractNumId="2">
    <w:nsid w:val="FC0D3AC7"/>
    <w:multiLevelType w:val="singleLevel"/>
    <w:tmpl w:val="FC0D3AC7"/>
    <w:lvl w:ilvl="0" w:tentative="0">
      <w:start w:val="2"/>
      <w:numFmt w:val="chineseCounting"/>
      <w:suff w:val="nothing"/>
      <w:lvlText w:val="%1、"/>
      <w:lvlJc w:val="left"/>
      <w:rPr>
        <w:rFonts w:hint="eastAsia"/>
      </w:r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73F829D"/>
    <w:multiLevelType w:val="singleLevel"/>
    <w:tmpl w:val="173F829D"/>
    <w:lvl w:ilvl="0" w:tentative="0">
      <w:start w:val="1"/>
      <w:numFmt w:val="decimal"/>
      <w:suff w:val="nothing"/>
      <w:lvlText w:val="（%1）"/>
      <w:lvlJc w:val="left"/>
    </w:lvl>
  </w:abstractNum>
  <w:abstractNum w:abstractNumId="5">
    <w:nsid w:val="59ADCABA"/>
    <w:multiLevelType w:val="multilevel"/>
    <w:tmpl w:val="59ADCABA"/>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06CB"/>
    <w:rsid w:val="00F55468"/>
    <w:rsid w:val="013C16F9"/>
    <w:rsid w:val="033F62C7"/>
    <w:rsid w:val="060A0AF3"/>
    <w:rsid w:val="11726787"/>
    <w:rsid w:val="1BD83AE2"/>
    <w:rsid w:val="1E910A09"/>
    <w:rsid w:val="2789329C"/>
    <w:rsid w:val="28D9666D"/>
    <w:rsid w:val="2A03222E"/>
    <w:rsid w:val="2B576E9F"/>
    <w:rsid w:val="2C5E7ECD"/>
    <w:rsid w:val="2DB548A9"/>
    <w:rsid w:val="2E1E2A55"/>
    <w:rsid w:val="30986AF1"/>
    <w:rsid w:val="32EB591A"/>
    <w:rsid w:val="3EAF37BF"/>
    <w:rsid w:val="439C099D"/>
    <w:rsid w:val="49EE1029"/>
    <w:rsid w:val="4B5A029D"/>
    <w:rsid w:val="4EEB39F6"/>
    <w:rsid w:val="4F022943"/>
    <w:rsid w:val="51C31B8E"/>
    <w:rsid w:val="592866D1"/>
    <w:rsid w:val="614427D6"/>
    <w:rsid w:val="633B4A1D"/>
    <w:rsid w:val="69995144"/>
    <w:rsid w:val="6B36736F"/>
    <w:rsid w:val="7B0C60D2"/>
    <w:rsid w:val="7B9D1460"/>
    <w:rsid w:val="7D180687"/>
    <w:rsid w:val="7DB3205B"/>
    <w:rsid w:val="7ECF6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4"/>
    <w:qFormat/>
    <w:uiPriority w:val="0"/>
    <w:pPr>
      <w:widowControl w:val="0"/>
      <w:spacing w:line="360" w:lineRule="auto"/>
      <w:ind w:firstLine="420"/>
    </w:pPr>
    <w:rPr>
      <w:rFonts w:hint="default" w:ascii="宋体" w:hAnsi="宋体" w:eastAsia="宋体" w:cs="宋体"/>
      <w:color w:val="000000"/>
      <w:sz w:val="22"/>
      <w:szCs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3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rPr>
      <w:sz w:val="24"/>
    </w:r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unhideWhenUsed/>
    <w:qFormat/>
    <w:uiPriority w:val="99"/>
    <w:rPr>
      <w:rFonts w:ascii="楷体_GB2312" w:hAnsi="Arial" w:eastAsia="楷体_GB2312"/>
      <w:sz w:val="28"/>
      <w:szCs w:val="28"/>
    </w:rPr>
  </w:style>
  <w:style w:type="paragraph" w:styleId="15">
    <w:name w:val="Body Text Indent"/>
    <w:basedOn w:val="1"/>
    <w:qFormat/>
    <w:uiPriority w:val="0"/>
    <w:pPr>
      <w:ind w:firstLine="645"/>
    </w:pPr>
    <w:rPr>
      <w:rFonts w:ascii="楷体_GB2312" w:eastAsia="楷体_GB2312"/>
      <w:sz w:val="32"/>
      <w:szCs w:val="32"/>
    </w:rPr>
  </w:style>
  <w:style w:type="paragraph" w:styleId="16">
    <w:name w:val="Block Text"/>
    <w:basedOn w:val="1"/>
    <w:qFormat/>
    <w:uiPriority w:val="0"/>
    <w:pPr>
      <w:tabs>
        <w:tab w:val="left" w:pos="9000"/>
      </w:tabs>
      <w:spacing w:after="120"/>
      <w:ind w:left="1440" w:right="1440"/>
    </w:pPr>
  </w:style>
  <w:style w:type="paragraph" w:styleId="17">
    <w:name w:val="toc 5"/>
    <w:basedOn w:val="1"/>
    <w:next w:val="1"/>
    <w:unhideWhenUsed/>
    <w:qFormat/>
    <w:uiPriority w:val="39"/>
    <w:pPr>
      <w:spacing w:after="57"/>
      <w:ind w:left="1134"/>
    </w:pPr>
  </w:style>
  <w:style w:type="paragraph" w:styleId="18">
    <w:name w:val="toc 3"/>
    <w:basedOn w:val="1"/>
    <w:next w:val="1"/>
    <w:link w:val="330"/>
    <w:unhideWhenUsed/>
    <w:qFormat/>
    <w:uiPriority w:val="39"/>
    <w:pPr>
      <w:spacing w:after="57"/>
      <w:ind w:left="567"/>
    </w:pPr>
  </w:style>
  <w:style w:type="paragraph" w:styleId="19">
    <w:name w:val="Plain Text"/>
    <w:basedOn w:val="1"/>
    <w:qFormat/>
    <w:uiPriority w:val="0"/>
    <w:rPr>
      <w:rFonts w:hAnsi="Courier New" w:eastAsia="楷体_GB2312"/>
      <w:sz w:val="28"/>
      <w:szCs w:val="20"/>
    </w:rPr>
  </w:style>
  <w:style w:type="paragraph" w:styleId="20">
    <w:name w:val="toc 8"/>
    <w:basedOn w:val="1"/>
    <w:next w:val="1"/>
    <w:unhideWhenUsed/>
    <w:qFormat/>
    <w:uiPriority w:val="39"/>
    <w:pPr>
      <w:spacing w:after="57"/>
      <w:ind w:left="1984"/>
    </w:pPr>
  </w:style>
  <w:style w:type="paragraph" w:styleId="21">
    <w:name w:val="endnote text"/>
    <w:basedOn w:val="1"/>
    <w:link w:val="265"/>
    <w:unhideWhenUsed/>
    <w:qFormat/>
    <w:uiPriority w:val="99"/>
    <w:rPr>
      <w:sz w:val="20"/>
    </w:rPr>
  </w:style>
  <w:style w:type="paragraph" w:styleId="22">
    <w:name w:val="Balloon Text"/>
    <w:basedOn w:val="1"/>
    <w:link w:val="324"/>
    <w:unhideWhenUsed/>
    <w:qFormat/>
    <w:uiPriority w:val="99"/>
    <w:pPr>
      <w:spacing w:line="240" w:lineRule="auto"/>
    </w:pPr>
    <w:rPr>
      <w:sz w:val="18"/>
      <w:szCs w:val="18"/>
    </w:rPr>
  </w:style>
  <w:style w:type="paragraph" w:styleId="23">
    <w:name w:val="footer"/>
    <w:basedOn w:val="1"/>
    <w:unhideWhenUsed/>
    <w:qFormat/>
    <w:uiPriority w:val="99"/>
    <w:pPr>
      <w:tabs>
        <w:tab w:val="center" w:pos="4153"/>
        <w:tab w:val="right" w:pos="8306"/>
      </w:tabs>
    </w:pPr>
    <w:rPr>
      <w:sz w:val="18"/>
      <w:szCs w:val="18"/>
    </w:rPr>
  </w:style>
  <w:style w:type="paragraph" w:styleId="24">
    <w:name w:val="envelope return"/>
    <w:basedOn w:val="1"/>
    <w:qFormat/>
    <w:uiPriority w:val="0"/>
    <w:rPr>
      <w:rFonts w:ascii="Arial" w:hAnsi="Arial"/>
    </w:rPr>
  </w:style>
  <w:style w:type="paragraph" w:styleId="25">
    <w:name w:val="header"/>
    <w:basedOn w:val="1"/>
    <w:unhideWhenUsed/>
    <w:qFormat/>
    <w:uiPriority w:val="99"/>
    <w:pPr>
      <w:tabs>
        <w:tab w:val="center" w:pos="7143"/>
        <w:tab w:val="right" w:pos="14287"/>
      </w:tabs>
      <w:spacing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50"/>
    <w:qFormat/>
    <w:uiPriority w:val="11"/>
    <w:pPr>
      <w:spacing w:before="200" w:after="200"/>
    </w:pPr>
    <w:rPr>
      <w:sz w:val="24"/>
    </w:rPr>
  </w:style>
  <w:style w:type="paragraph" w:styleId="29">
    <w:name w:val="footnote text"/>
    <w:basedOn w:val="1"/>
    <w:link w:val="264"/>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0"/>
    <w:pPr>
      <w:ind w:left="645" w:firstLine="645"/>
    </w:pPr>
    <w:rPr>
      <w:rFonts w:ascii="Arial" w:hAnsi="Arial" w:eastAsia="仿宋_GB2312" w:cs="Arial"/>
      <w:color w:val="FFFF00"/>
      <w:sz w:val="32"/>
      <w:szCs w:val="32"/>
    </w:r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36">
    <w:name w:val="Normal (Web)"/>
    <w:basedOn w:val="1"/>
    <w:qFormat/>
    <w:uiPriority w:val="0"/>
    <w:pPr>
      <w:spacing w:beforeAutospacing="1" w:afterAutospacing="1"/>
      <w:ind w:firstLine="562"/>
    </w:pPr>
    <w:rPr>
      <w:b/>
      <w:sz w:val="28"/>
    </w:rPr>
  </w:style>
  <w:style w:type="paragraph" w:styleId="37">
    <w:name w:val="Title"/>
    <w:basedOn w:val="1"/>
    <w:next w:val="1"/>
    <w:link w:val="149"/>
    <w:qFormat/>
    <w:uiPriority w:val="10"/>
    <w:pPr>
      <w:spacing w:before="300" w:after="200"/>
      <w:contextualSpacing/>
    </w:pPr>
    <w:rPr>
      <w:sz w:val="48"/>
      <w:szCs w:val="48"/>
    </w:rPr>
  </w:style>
  <w:style w:type="paragraph" w:styleId="38">
    <w:name w:val="Body Text First Indent"/>
    <w:basedOn w:val="1"/>
    <w:unhideWhenUsed/>
    <w:qFormat/>
    <w:uiPriority w:val="99"/>
  </w:style>
  <w:style w:type="paragraph" w:styleId="39">
    <w:name w:val="Body Text First Indent 2"/>
    <w:basedOn w:val="15"/>
    <w:qFormat/>
    <w:uiPriority w:val="0"/>
    <w:pPr>
      <w:tabs>
        <w:tab w:val="left" w:pos="180"/>
      </w:tabs>
      <w:ind w:left="420" w:firstLine="420"/>
    </w:pPr>
    <w:rPr>
      <w:rFonts w:ascii="Times New Roman" w:eastAsia="宋体"/>
      <w:szCs w:val="24"/>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table" w:customStyle="1" w:styleId="4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4">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6">
    <w:name w:val="TOC Heading"/>
    <w:unhideWhenUsed/>
    <w:qFormat/>
    <w:uiPriority w:val="39"/>
    <w:rPr>
      <w:rFonts w:hint="default" w:ascii="Times New Roman" w:hAnsi="Times New Roman" w:eastAsia="宋体" w:cs="Times New Roman"/>
    </w:rPr>
  </w:style>
  <w:style w:type="paragraph" w:styleId="67">
    <w:name w:val="List Paragraph"/>
    <w:basedOn w:val="1"/>
    <w:qFormat/>
    <w:uiPriority w:val="34"/>
    <w:pPr>
      <w:ind w:left="720"/>
      <w:contextualSpacing/>
    </w:pPr>
  </w:style>
  <w:style w:type="paragraph" w:styleId="68">
    <w:name w:val="No Spacing"/>
    <w:qFormat/>
    <w:uiPriority w:val="1"/>
    <w:rPr>
      <w:rFonts w:hint="default" w:ascii="Times New Roman" w:hAnsi="Times New Roman" w:eastAsia="宋体" w:cs="Times New Roman"/>
      <w:lang w:val="en-US" w:eastAsia="zh-CN" w:bidi="ar-SA"/>
    </w:rPr>
  </w:style>
  <w:style w:type="paragraph" w:styleId="69">
    <w:name w:val="Quote"/>
    <w:basedOn w:val="1"/>
    <w:next w:val="1"/>
    <w:qFormat/>
    <w:uiPriority w:val="29"/>
    <w:pPr>
      <w:ind w:left="720" w:right="720"/>
    </w:pPr>
    <w:rPr>
      <w:i/>
    </w:rPr>
  </w:style>
  <w:style w:type="paragraph" w:styleId="7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71">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0"/>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0"/>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0"/>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1">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清单表 1 浅色1"/>
    <w:basedOn w:val="40"/>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6">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8">
    <w:name w:val="清单表 6 彩色1"/>
    <w:basedOn w:val="40"/>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9">
    <w:name w:val="清单表 7 彩色1"/>
    <w:basedOn w:val="40"/>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0">
    <w:name w:val="TOC 标题1"/>
    <w:unhideWhenUsed/>
    <w:qFormat/>
    <w:uiPriority w:val="39"/>
    <w:rPr>
      <w:rFonts w:hint="default" w:ascii="Times New Roman" w:hAnsi="Times New Roman" w:eastAsia="宋体" w:cs="Times New Roman"/>
      <w:lang w:val="en-US" w:eastAsia="zh-CN" w:bidi="ar-SA"/>
    </w:rPr>
  </w:style>
  <w:style w:type="paragraph" w:customStyle="1" w:styleId="91">
    <w:name w:val="TOC 标题113"/>
    <w:unhideWhenUsed/>
    <w:qFormat/>
    <w:uiPriority w:val="39"/>
    <w:rPr>
      <w:rFonts w:hint="default" w:ascii="Times New Roman" w:hAnsi="Times New Roman" w:eastAsia="宋体" w:cs="Times New Roman"/>
      <w:lang w:val="en-US" w:eastAsia="zh-CN" w:bidi="ar-SA"/>
    </w:rPr>
  </w:style>
  <w:style w:type="paragraph" w:customStyle="1" w:styleId="92">
    <w:name w:val="标题 11"/>
    <w:basedOn w:val="1"/>
    <w:next w:val="1"/>
    <w:link w:val="106"/>
    <w:qFormat/>
    <w:uiPriority w:val="9"/>
    <w:pPr>
      <w:keepNext/>
      <w:keepLines/>
      <w:spacing w:before="480" w:after="200"/>
      <w:outlineLvl w:val="0"/>
    </w:pPr>
    <w:rPr>
      <w:rFonts w:ascii="Arial" w:hAnsi="Arial" w:eastAsia="Arial" w:cs="Arial"/>
      <w:sz w:val="40"/>
      <w:szCs w:val="40"/>
    </w:rPr>
  </w:style>
  <w:style w:type="paragraph" w:customStyle="1" w:styleId="93">
    <w:name w:val="标题 21"/>
    <w:basedOn w:val="1"/>
    <w:next w:val="94"/>
    <w:link w:val="107"/>
    <w:unhideWhenUsed/>
    <w:qFormat/>
    <w:uiPriority w:val="9"/>
    <w:pPr>
      <w:keepNext/>
      <w:keepLines/>
      <w:spacing w:before="360" w:after="200"/>
      <w:outlineLvl w:val="1"/>
    </w:pPr>
    <w:rPr>
      <w:rFonts w:ascii="Arial" w:hAnsi="Arial" w:eastAsia="Arial" w:cs="Arial"/>
      <w:sz w:val="34"/>
    </w:rPr>
  </w:style>
  <w:style w:type="paragraph" w:customStyle="1" w:styleId="94">
    <w:name w:val="正文缩进1"/>
    <w:basedOn w:val="1"/>
    <w:qFormat/>
    <w:uiPriority w:val="0"/>
  </w:style>
  <w:style w:type="paragraph" w:customStyle="1" w:styleId="95">
    <w:name w:val="标题 31"/>
    <w:basedOn w:val="1"/>
    <w:next w:val="94"/>
    <w:link w:val="108"/>
    <w:unhideWhenUsed/>
    <w:qFormat/>
    <w:uiPriority w:val="9"/>
    <w:pPr>
      <w:keepNext/>
      <w:keepLines/>
      <w:spacing w:before="320" w:after="200"/>
      <w:outlineLvl w:val="2"/>
    </w:pPr>
    <w:rPr>
      <w:rFonts w:ascii="Arial" w:hAnsi="Arial" w:eastAsia="Arial" w:cs="Arial"/>
      <w:sz w:val="30"/>
      <w:szCs w:val="30"/>
    </w:rPr>
  </w:style>
  <w:style w:type="paragraph" w:customStyle="1" w:styleId="96">
    <w:name w:val="标题 41"/>
    <w:basedOn w:val="1"/>
    <w:next w:val="94"/>
    <w:link w:val="109"/>
    <w:unhideWhenUsed/>
    <w:qFormat/>
    <w:uiPriority w:val="9"/>
    <w:pPr>
      <w:keepNext/>
      <w:keepLines/>
      <w:spacing w:before="320" w:after="200"/>
      <w:outlineLvl w:val="3"/>
    </w:pPr>
    <w:rPr>
      <w:rFonts w:ascii="Arial" w:hAnsi="Arial" w:eastAsia="Arial" w:cs="Arial"/>
      <w:b/>
      <w:bCs/>
      <w:sz w:val="26"/>
      <w:szCs w:val="26"/>
    </w:rPr>
  </w:style>
  <w:style w:type="paragraph" w:customStyle="1" w:styleId="97">
    <w:name w:val="标题 51"/>
    <w:basedOn w:val="1"/>
    <w:next w:val="1"/>
    <w:link w:val="110"/>
    <w:unhideWhenUsed/>
    <w:qFormat/>
    <w:uiPriority w:val="9"/>
    <w:pPr>
      <w:keepNext/>
      <w:keepLines/>
      <w:spacing w:before="320" w:after="200"/>
      <w:outlineLvl w:val="4"/>
    </w:pPr>
    <w:rPr>
      <w:rFonts w:ascii="Arial" w:hAnsi="Arial" w:eastAsia="Arial" w:cs="Arial"/>
      <w:b/>
      <w:bCs/>
      <w:sz w:val="24"/>
      <w:szCs w:val="24"/>
    </w:rPr>
  </w:style>
  <w:style w:type="paragraph" w:customStyle="1" w:styleId="98">
    <w:name w:val="标题 61"/>
    <w:basedOn w:val="1"/>
    <w:next w:val="1"/>
    <w:link w:val="111"/>
    <w:unhideWhenUsed/>
    <w:qFormat/>
    <w:uiPriority w:val="9"/>
    <w:pPr>
      <w:keepNext/>
      <w:keepLines/>
      <w:spacing w:before="320" w:after="200"/>
      <w:outlineLvl w:val="5"/>
    </w:pPr>
    <w:rPr>
      <w:rFonts w:ascii="Arial" w:hAnsi="Arial" w:eastAsia="Arial" w:cs="Arial"/>
      <w:b/>
      <w:bCs/>
      <w:szCs w:val="22"/>
    </w:rPr>
  </w:style>
  <w:style w:type="paragraph" w:customStyle="1" w:styleId="99">
    <w:name w:val="标题 71"/>
    <w:basedOn w:val="1"/>
    <w:next w:val="1"/>
    <w:link w:val="112"/>
    <w:unhideWhenUsed/>
    <w:qFormat/>
    <w:uiPriority w:val="9"/>
    <w:pPr>
      <w:keepNext/>
      <w:keepLines/>
      <w:spacing w:before="320" w:after="200"/>
      <w:outlineLvl w:val="6"/>
    </w:pPr>
    <w:rPr>
      <w:rFonts w:ascii="Arial" w:hAnsi="Arial" w:eastAsia="Arial" w:cs="Arial"/>
      <w:b/>
      <w:bCs/>
      <w:i/>
      <w:iCs/>
      <w:szCs w:val="22"/>
    </w:rPr>
  </w:style>
  <w:style w:type="paragraph" w:customStyle="1" w:styleId="100">
    <w:name w:val="标题 81"/>
    <w:basedOn w:val="1"/>
    <w:next w:val="1"/>
    <w:link w:val="113"/>
    <w:unhideWhenUsed/>
    <w:qFormat/>
    <w:uiPriority w:val="9"/>
    <w:pPr>
      <w:keepNext/>
      <w:keepLines/>
      <w:spacing w:before="320" w:after="200"/>
      <w:outlineLvl w:val="7"/>
    </w:pPr>
    <w:rPr>
      <w:rFonts w:ascii="Arial" w:hAnsi="Arial" w:eastAsia="Arial" w:cs="Arial"/>
      <w:i/>
      <w:iCs/>
      <w:szCs w:val="22"/>
    </w:rPr>
  </w:style>
  <w:style w:type="paragraph" w:customStyle="1" w:styleId="101">
    <w:name w:val="标题 91"/>
    <w:basedOn w:val="1"/>
    <w:next w:val="1"/>
    <w:link w:val="114"/>
    <w:unhideWhenUsed/>
    <w:qFormat/>
    <w:uiPriority w:val="9"/>
    <w:pPr>
      <w:keepNext/>
      <w:keepLines/>
      <w:spacing w:before="320" w:after="200"/>
      <w:outlineLvl w:val="8"/>
    </w:pPr>
    <w:rPr>
      <w:rFonts w:ascii="Arial" w:hAnsi="Arial" w:eastAsia="Arial" w:cs="Arial"/>
      <w:i/>
      <w:iCs/>
      <w:sz w:val="21"/>
    </w:rPr>
  </w:style>
  <w:style w:type="paragraph" w:customStyle="1" w:styleId="102">
    <w:name w:val="页眉1"/>
    <w:basedOn w:val="1"/>
    <w:link w:val="119"/>
    <w:unhideWhenUsed/>
    <w:qFormat/>
    <w:uiPriority w:val="99"/>
    <w:pPr>
      <w:tabs>
        <w:tab w:val="center" w:pos="7143"/>
        <w:tab w:val="right" w:pos="14287"/>
      </w:tabs>
      <w:spacing w:line="240" w:lineRule="auto"/>
    </w:pPr>
  </w:style>
  <w:style w:type="paragraph" w:customStyle="1" w:styleId="103">
    <w:name w:val="页脚1"/>
    <w:basedOn w:val="1"/>
    <w:link w:val="120"/>
    <w:unhideWhenUsed/>
    <w:qFormat/>
    <w:uiPriority w:val="99"/>
    <w:pPr>
      <w:tabs>
        <w:tab w:val="center" w:pos="7143"/>
        <w:tab w:val="right" w:pos="14287"/>
      </w:tabs>
      <w:spacing w:line="240" w:lineRule="auto"/>
    </w:pPr>
  </w:style>
  <w:style w:type="paragraph" w:customStyle="1" w:styleId="104">
    <w:name w:val="题注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5">
    <w:name w:val="TOC 标题112"/>
    <w:unhideWhenUsed/>
    <w:qFormat/>
    <w:uiPriority w:val="39"/>
    <w:rPr>
      <w:rFonts w:hint="default" w:ascii="Times New Roman" w:hAnsi="Times New Roman" w:eastAsia="宋体" w:cs="Times New Roman"/>
      <w:lang w:val="en-US" w:eastAsia="zh-CN" w:bidi="ar-SA"/>
    </w:rPr>
  </w:style>
  <w:style w:type="character" w:customStyle="1" w:styleId="106">
    <w:name w:val="Heading 1 Char"/>
    <w:basedOn w:val="42"/>
    <w:link w:val="92"/>
    <w:qFormat/>
    <w:uiPriority w:val="9"/>
    <w:rPr>
      <w:rFonts w:ascii="Arial" w:hAnsi="Arial" w:eastAsia="Arial" w:cs="Arial"/>
      <w:sz w:val="40"/>
      <w:szCs w:val="40"/>
    </w:rPr>
  </w:style>
  <w:style w:type="character" w:customStyle="1" w:styleId="107">
    <w:name w:val="Heading 2 Char"/>
    <w:basedOn w:val="42"/>
    <w:link w:val="93"/>
    <w:qFormat/>
    <w:uiPriority w:val="9"/>
    <w:rPr>
      <w:rFonts w:ascii="Arial" w:hAnsi="Arial" w:eastAsia="Arial" w:cs="Arial"/>
      <w:sz w:val="34"/>
    </w:rPr>
  </w:style>
  <w:style w:type="character" w:customStyle="1" w:styleId="108">
    <w:name w:val="Heading 3 Char"/>
    <w:basedOn w:val="42"/>
    <w:link w:val="95"/>
    <w:qFormat/>
    <w:uiPriority w:val="9"/>
    <w:rPr>
      <w:rFonts w:ascii="Arial" w:hAnsi="Arial" w:eastAsia="Arial" w:cs="Arial"/>
      <w:sz w:val="30"/>
      <w:szCs w:val="30"/>
    </w:rPr>
  </w:style>
  <w:style w:type="character" w:customStyle="1" w:styleId="109">
    <w:name w:val="Heading 4 Char"/>
    <w:basedOn w:val="42"/>
    <w:link w:val="96"/>
    <w:qFormat/>
    <w:uiPriority w:val="9"/>
    <w:rPr>
      <w:rFonts w:ascii="Arial" w:hAnsi="Arial" w:eastAsia="Arial" w:cs="Arial"/>
      <w:b/>
      <w:bCs/>
      <w:sz w:val="26"/>
      <w:szCs w:val="26"/>
    </w:rPr>
  </w:style>
  <w:style w:type="character" w:customStyle="1" w:styleId="110">
    <w:name w:val="Heading 5 Char"/>
    <w:basedOn w:val="42"/>
    <w:link w:val="97"/>
    <w:qFormat/>
    <w:uiPriority w:val="9"/>
    <w:rPr>
      <w:rFonts w:ascii="Arial" w:hAnsi="Arial" w:eastAsia="Arial" w:cs="Arial"/>
      <w:b/>
      <w:bCs/>
      <w:sz w:val="24"/>
      <w:szCs w:val="24"/>
    </w:rPr>
  </w:style>
  <w:style w:type="character" w:customStyle="1" w:styleId="111">
    <w:name w:val="Heading 6 Char"/>
    <w:basedOn w:val="42"/>
    <w:link w:val="98"/>
    <w:qFormat/>
    <w:uiPriority w:val="9"/>
    <w:rPr>
      <w:rFonts w:ascii="Arial" w:hAnsi="Arial" w:eastAsia="Arial" w:cs="Arial"/>
      <w:b/>
      <w:bCs/>
      <w:sz w:val="22"/>
      <w:szCs w:val="22"/>
    </w:rPr>
  </w:style>
  <w:style w:type="character" w:customStyle="1" w:styleId="112">
    <w:name w:val="Heading 7 Char"/>
    <w:basedOn w:val="42"/>
    <w:link w:val="99"/>
    <w:qFormat/>
    <w:uiPriority w:val="9"/>
    <w:rPr>
      <w:rFonts w:ascii="Arial" w:hAnsi="Arial" w:eastAsia="Arial" w:cs="Arial"/>
      <w:b/>
      <w:bCs/>
      <w:i/>
      <w:iCs/>
      <w:sz w:val="22"/>
      <w:szCs w:val="22"/>
    </w:rPr>
  </w:style>
  <w:style w:type="character" w:customStyle="1" w:styleId="113">
    <w:name w:val="Heading 8 Char"/>
    <w:basedOn w:val="42"/>
    <w:link w:val="100"/>
    <w:qFormat/>
    <w:uiPriority w:val="9"/>
    <w:rPr>
      <w:rFonts w:ascii="Arial" w:hAnsi="Arial" w:eastAsia="Arial" w:cs="Arial"/>
      <w:i/>
      <w:iCs/>
      <w:sz w:val="22"/>
      <w:szCs w:val="22"/>
    </w:rPr>
  </w:style>
  <w:style w:type="character" w:customStyle="1" w:styleId="114">
    <w:name w:val="Heading 9 Char"/>
    <w:basedOn w:val="42"/>
    <w:link w:val="101"/>
    <w:qFormat/>
    <w:uiPriority w:val="9"/>
    <w:rPr>
      <w:rFonts w:ascii="Arial" w:hAnsi="Arial" w:eastAsia="Arial" w:cs="Arial"/>
      <w:i/>
      <w:iCs/>
      <w:sz w:val="21"/>
      <w:szCs w:val="21"/>
    </w:rPr>
  </w:style>
  <w:style w:type="character" w:customStyle="1" w:styleId="115">
    <w:name w:val="Title Char"/>
    <w:basedOn w:val="42"/>
    <w:qFormat/>
    <w:uiPriority w:val="10"/>
    <w:rPr>
      <w:sz w:val="48"/>
      <w:szCs w:val="48"/>
    </w:rPr>
  </w:style>
  <w:style w:type="character" w:customStyle="1" w:styleId="116">
    <w:name w:val="Subtitle Char"/>
    <w:basedOn w:val="42"/>
    <w:qFormat/>
    <w:uiPriority w:val="11"/>
    <w:rPr>
      <w:sz w:val="24"/>
      <w:szCs w:val="24"/>
    </w:rPr>
  </w:style>
  <w:style w:type="character" w:customStyle="1" w:styleId="117">
    <w:name w:val="Quote Char"/>
    <w:qFormat/>
    <w:uiPriority w:val="29"/>
    <w:rPr>
      <w:i/>
    </w:rPr>
  </w:style>
  <w:style w:type="character" w:customStyle="1" w:styleId="118">
    <w:name w:val="Intense Quote Char"/>
    <w:qFormat/>
    <w:uiPriority w:val="30"/>
    <w:rPr>
      <w:i/>
    </w:rPr>
  </w:style>
  <w:style w:type="character" w:customStyle="1" w:styleId="119">
    <w:name w:val="Header Char"/>
    <w:basedOn w:val="42"/>
    <w:link w:val="102"/>
    <w:qFormat/>
    <w:uiPriority w:val="99"/>
  </w:style>
  <w:style w:type="character" w:customStyle="1" w:styleId="120">
    <w:name w:val="Caption Char"/>
    <w:link w:val="103"/>
    <w:qFormat/>
    <w:uiPriority w:val="99"/>
  </w:style>
  <w:style w:type="character" w:customStyle="1" w:styleId="121">
    <w:name w:val="Footnote Text Char"/>
    <w:qFormat/>
    <w:uiPriority w:val="99"/>
    <w:rPr>
      <w:sz w:val="18"/>
    </w:rPr>
  </w:style>
  <w:style w:type="character" w:customStyle="1" w:styleId="122">
    <w:name w:val="Endnote Text Char"/>
    <w:qFormat/>
    <w:uiPriority w:val="99"/>
    <w:rPr>
      <w:sz w:val="20"/>
    </w:rPr>
  </w:style>
  <w:style w:type="paragraph" w:customStyle="1" w:styleId="123">
    <w:name w:val="TOC 标题111"/>
    <w:unhideWhenUsed/>
    <w:qFormat/>
    <w:uiPriority w:val="39"/>
    <w:rPr>
      <w:rFonts w:hint="default" w:ascii="Times New Roman" w:hAnsi="Times New Roman" w:eastAsia="宋体" w:cs="Times New Roman"/>
      <w:lang w:val="en-US" w:eastAsia="zh-CN" w:bidi="ar-SA"/>
    </w:rPr>
  </w:style>
  <w:style w:type="paragraph" w:customStyle="1" w:styleId="124">
    <w:name w:val="标题 1111"/>
    <w:basedOn w:val="1"/>
    <w:next w:val="1"/>
    <w:link w:val="138"/>
    <w:qFormat/>
    <w:uiPriority w:val="9"/>
    <w:pPr>
      <w:keepNext/>
      <w:keepLines/>
      <w:spacing w:before="480" w:after="200"/>
      <w:outlineLvl w:val="0"/>
    </w:pPr>
    <w:rPr>
      <w:rFonts w:ascii="Arial" w:hAnsi="Arial" w:eastAsia="Arial" w:cs="Arial"/>
      <w:sz w:val="40"/>
      <w:szCs w:val="40"/>
    </w:rPr>
  </w:style>
  <w:style w:type="paragraph" w:customStyle="1" w:styleId="125">
    <w:name w:val="标题 2111"/>
    <w:basedOn w:val="1"/>
    <w:next w:val="1"/>
    <w:link w:val="139"/>
    <w:unhideWhenUsed/>
    <w:qFormat/>
    <w:uiPriority w:val="9"/>
    <w:pPr>
      <w:keepNext/>
      <w:keepLines/>
      <w:spacing w:before="360" w:after="200"/>
      <w:outlineLvl w:val="1"/>
    </w:pPr>
    <w:rPr>
      <w:rFonts w:ascii="Arial" w:hAnsi="Arial" w:eastAsia="Arial" w:cs="Arial"/>
      <w:sz w:val="34"/>
    </w:rPr>
  </w:style>
  <w:style w:type="paragraph" w:customStyle="1" w:styleId="126">
    <w:name w:val="标题 3111"/>
    <w:basedOn w:val="1"/>
    <w:next w:val="1"/>
    <w:link w:val="140"/>
    <w:unhideWhenUsed/>
    <w:qFormat/>
    <w:uiPriority w:val="9"/>
    <w:pPr>
      <w:keepNext/>
      <w:keepLines/>
      <w:spacing w:before="320" w:after="200"/>
      <w:outlineLvl w:val="2"/>
    </w:pPr>
    <w:rPr>
      <w:rFonts w:ascii="Arial" w:hAnsi="Arial" w:eastAsia="Arial" w:cs="Arial"/>
      <w:sz w:val="30"/>
      <w:szCs w:val="30"/>
    </w:rPr>
  </w:style>
  <w:style w:type="paragraph" w:customStyle="1" w:styleId="127">
    <w:name w:val="标题 4111"/>
    <w:basedOn w:val="1"/>
    <w:next w:val="1"/>
    <w:link w:val="141"/>
    <w:unhideWhenUsed/>
    <w:qFormat/>
    <w:uiPriority w:val="9"/>
    <w:pPr>
      <w:keepNext/>
      <w:keepLines/>
      <w:spacing w:before="320" w:after="200"/>
      <w:outlineLvl w:val="3"/>
    </w:pPr>
    <w:rPr>
      <w:rFonts w:ascii="Arial" w:hAnsi="Arial" w:eastAsia="Arial" w:cs="Arial"/>
      <w:b/>
      <w:bCs/>
      <w:sz w:val="26"/>
      <w:szCs w:val="26"/>
    </w:rPr>
  </w:style>
  <w:style w:type="paragraph" w:customStyle="1" w:styleId="128">
    <w:name w:val="标题 511"/>
    <w:basedOn w:val="1"/>
    <w:next w:val="1"/>
    <w:link w:val="142"/>
    <w:unhideWhenUsed/>
    <w:qFormat/>
    <w:uiPriority w:val="9"/>
    <w:pPr>
      <w:keepNext/>
      <w:keepLines/>
      <w:spacing w:before="320" w:after="200"/>
      <w:outlineLvl w:val="4"/>
    </w:pPr>
    <w:rPr>
      <w:rFonts w:ascii="Arial" w:hAnsi="Arial" w:eastAsia="Arial" w:cs="Arial"/>
      <w:b/>
      <w:bCs/>
      <w:sz w:val="24"/>
    </w:rPr>
  </w:style>
  <w:style w:type="paragraph" w:customStyle="1" w:styleId="129">
    <w:name w:val="标题 611"/>
    <w:basedOn w:val="1"/>
    <w:next w:val="1"/>
    <w:link w:val="143"/>
    <w:unhideWhenUsed/>
    <w:qFormat/>
    <w:uiPriority w:val="9"/>
    <w:pPr>
      <w:keepNext/>
      <w:keepLines/>
      <w:spacing w:before="320" w:after="200"/>
      <w:outlineLvl w:val="5"/>
    </w:pPr>
    <w:rPr>
      <w:rFonts w:ascii="Arial" w:hAnsi="Arial" w:eastAsia="Arial" w:cs="Arial"/>
      <w:b/>
      <w:bCs/>
      <w:szCs w:val="22"/>
    </w:rPr>
  </w:style>
  <w:style w:type="paragraph" w:customStyle="1" w:styleId="130">
    <w:name w:val="标题 711"/>
    <w:basedOn w:val="1"/>
    <w:next w:val="1"/>
    <w:link w:val="144"/>
    <w:unhideWhenUsed/>
    <w:qFormat/>
    <w:uiPriority w:val="9"/>
    <w:pPr>
      <w:keepNext/>
      <w:keepLines/>
      <w:spacing w:before="320" w:after="200"/>
      <w:outlineLvl w:val="6"/>
    </w:pPr>
    <w:rPr>
      <w:rFonts w:ascii="Arial" w:hAnsi="Arial" w:eastAsia="Arial" w:cs="Arial"/>
      <w:b/>
      <w:bCs/>
      <w:i/>
      <w:iCs/>
      <w:szCs w:val="22"/>
    </w:rPr>
  </w:style>
  <w:style w:type="paragraph" w:customStyle="1" w:styleId="131">
    <w:name w:val="标题 811"/>
    <w:basedOn w:val="1"/>
    <w:next w:val="1"/>
    <w:link w:val="145"/>
    <w:unhideWhenUsed/>
    <w:qFormat/>
    <w:uiPriority w:val="9"/>
    <w:pPr>
      <w:keepNext/>
      <w:keepLines/>
      <w:spacing w:before="320" w:after="200"/>
      <w:outlineLvl w:val="7"/>
    </w:pPr>
    <w:rPr>
      <w:rFonts w:ascii="Arial" w:hAnsi="Arial" w:eastAsia="Arial" w:cs="Arial"/>
      <w:i/>
      <w:iCs/>
      <w:szCs w:val="22"/>
    </w:rPr>
  </w:style>
  <w:style w:type="paragraph" w:customStyle="1" w:styleId="132">
    <w:name w:val="标题 911"/>
    <w:basedOn w:val="1"/>
    <w:next w:val="1"/>
    <w:link w:val="146"/>
    <w:unhideWhenUsed/>
    <w:qFormat/>
    <w:uiPriority w:val="9"/>
    <w:pPr>
      <w:keepNext/>
      <w:keepLines/>
      <w:spacing w:before="320" w:after="200"/>
      <w:outlineLvl w:val="8"/>
    </w:pPr>
    <w:rPr>
      <w:rFonts w:ascii="Arial" w:hAnsi="Arial" w:eastAsia="Arial" w:cs="Arial"/>
      <w:i/>
      <w:iCs/>
    </w:rPr>
  </w:style>
  <w:style w:type="paragraph" w:customStyle="1" w:styleId="133">
    <w:name w:val="题注1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34">
    <w:name w:val="页脚111"/>
    <w:basedOn w:val="1"/>
    <w:link w:val="157"/>
    <w:unhideWhenUsed/>
    <w:qFormat/>
    <w:uiPriority w:val="99"/>
    <w:pPr>
      <w:tabs>
        <w:tab w:val="center" w:pos="7143"/>
        <w:tab w:val="right" w:pos="14287"/>
      </w:tabs>
    </w:pPr>
  </w:style>
  <w:style w:type="paragraph" w:customStyle="1" w:styleId="135">
    <w:name w:val="页眉111"/>
    <w:basedOn w:val="1"/>
    <w:link w:val="155"/>
    <w:unhideWhenUsed/>
    <w:qFormat/>
    <w:uiPriority w:val="99"/>
    <w:pPr>
      <w:tabs>
        <w:tab w:val="center" w:pos="7143"/>
        <w:tab w:val="right" w:pos="14287"/>
      </w:tabs>
    </w:pPr>
  </w:style>
  <w:style w:type="paragraph" w:customStyle="1" w:styleId="136">
    <w:name w:val="正文1"/>
    <w:qFormat/>
    <w:uiPriority w:val="0"/>
    <w:rPr>
      <w:rFonts w:hint="default" w:ascii="Helvetica" w:hAnsi="Helvetica" w:eastAsia="Arial Unicode MS" w:cs="Arial Unicode MS"/>
      <w:color w:val="000000"/>
      <w:sz w:val="22"/>
      <w:szCs w:val="22"/>
      <w:lang w:val="en-US" w:eastAsia="zh-CN" w:bidi="ar-SA"/>
    </w:rPr>
  </w:style>
  <w:style w:type="paragraph" w:customStyle="1" w:styleId="137">
    <w:name w:val="文本块1"/>
    <w:basedOn w:val="1"/>
    <w:qFormat/>
    <w:uiPriority w:val="99"/>
    <w:pPr>
      <w:tabs>
        <w:tab w:val="left" w:pos="9000"/>
      </w:tabs>
      <w:spacing w:after="120"/>
      <w:ind w:left="1440" w:right="1440"/>
    </w:pPr>
  </w:style>
  <w:style w:type="character" w:customStyle="1" w:styleId="138">
    <w:name w:val="标题 1 Char"/>
    <w:link w:val="124"/>
    <w:qFormat/>
    <w:uiPriority w:val="9"/>
    <w:rPr>
      <w:rFonts w:ascii="Arial" w:hAnsi="Arial" w:eastAsia="Arial" w:cs="Arial"/>
      <w:sz w:val="40"/>
      <w:szCs w:val="40"/>
    </w:rPr>
  </w:style>
  <w:style w:type="character" w:customStyle="1" w:styleId="139">
    <w:name w:val="标题 2 Char1"/>
    <w:link w:val="125"/>
    <w:qFormat/>
    <w:uiPriority w:val="9"/>
    <w:rPr>
      <w:rFonts w:ascii="Arial" w:hAnsi="Arial" w:eastAsia="Arial" w:cs="Arial"/>
      <w:sz w:val="34"/>
    </w:rPr>
  </w:style>
  <w:style w:type="character" w:customStyle="1" w:styleId="140">
    <w:name w:val="标题 3 Char"/>
    <w:link w:val="126"/>
    <w:qFormat/>
    <w:uiPriority w:val="9"/>
    <w:rPr>
      <w:rFonts w:ascii="Arial" w:hAnsi="Arial" w:eastAsia="Arial" w:cs="Arial"/>
      <w:sz w:val="30"/>
      <w:szCs w:val="30"/>
    </w:rPr>
  </w:style>
  <w:style w:type="character" w:customStyle="1" w:styleId="141">
    <w:name w:val="标题 4 Char"/>
    <w:link w:val="127"/>
    <w:qFormat/>
    <w:uiPriority w:val="9"/>
    <w:rPr>
      <w:rFonts w:ascii="Arial" w:hAnsi="Arial" w:eastAsia="Arial" w:cs="Arial"/>
      <w:b/>
      <w:bCs/>
      <w:sz w:val="26"/>
      <w:szCs w:val="26"/>
    </w:rPr>
  </w:style>
  <w:style w:type="character" w:customStyle="1" w:styleId="142">
    <w:name w:val="标题 5 Char"/>
    <w:link w:val="128"/>
    <w:qFormat/>
    <w:uiPriority w:val="9"/>
    <w:rPr>
      <w:rFonts w:ascii="Arial" w:hAnsi="Arial" w:eastAsia="Arial" w:cs="Arial"/>
      <w:b/>
      <w:bCs/>
      <w:sz w:val="24"/>
      <w:szCs w:val="24"/>
    </w:rPr>
  </w:style>
  <w:style w:type="character" w:customStyle="1" w:styleId="143">
    <w:name w:val="标题 6 Char"/>
    <w:link w:val="129"/>
    <w:qFormat/>
    <w:uiPriority w:val="9"/>
    <w:rPr>
      <w:rFonts w:ascii="Arial" w:hAnsi="Arial" w:eastAsia="Arial" w:cs="Arial"/>
      <w:b/>
      <w:bCs/>
      <w:sz w:val="22"/>
      <w:szCs w:val="22"/>
    </w:rPr>
  </w:style>
  <w:style w:type="character" w:customStyle="1" w:styleId="144">
    <w:name w:val="标题 7 Char"/>
    <w:link w:val="130"/>
    <w:qFormat/>
    <w:uiPriority w:val="9"/>
    <w:rPr>
      <w:rFonts w:ascii="Arial" w:hAnsi="Arial" w:eastAsia="Arial" w:cs="Arial"/>
      <w:b/>
      <w:bCs/>
      <w:i/>
      <w:iCs/>
      <w:sz w:val="22"/>
      <w:szCs w:val="22"/>
    </w:rPr>
  </w:style>
  <w:style w:type="character" w:customStyle="1" w:styleId="145">
    <w:name w:val="标题 8 Char"/>
    <w:link w:val="131"/>
    <w:qFormat/>
    <w:uiPriority w:val="9"/>
    <w:rPr>
      <w:rFonts w:ascii="Arial" w:hAnsi="Arial" w:eastAsia="Arial" w:cs="Arial"/>
      <w:i/>
      <w:iCs/>
      <w:sz w:val="22"/>
      <w:szCs w:val="22"/>
    </w:rPr>
  </w:style>
  <w:style w:type="character" w:customStyle="1" w:styleId="146">
    <w:name w:val="标题 9 Char"/>
    <w:link w:val="132"/>
    <w:qFormat/>
    <w:uiPriority w:val="9"/>
    <w:rPr>
      <w:rFonts w:ascii="Arial" w:hAnsi="Arial" w:eastAsia="Arial" w:cs="Arial"/>
      <w:i/>
      <w:iCs/>
      <w:sz w:val="21"/>
      <w:szCs w:val="21"/>
    </w:rPr>
  </w:style>
  <w:style w:type="paragraph" w:customStyle="1" w:styleId="147">
    <w:name w:val="列出段落1"/>
    <w:basedOn w:val="1"/>
    <w:qFormat/>
    <w:uiPriority w:val="34"/>
    <w:pPr>
      <w:ind w:left="720"/>
      <w:contextualSpacing/>
    </w:pPr>
  </w:style>
  <w:style w:type="paragraph" w:customStyle="1" w:styleId="148">
    <w:name w:val="无间隔1"/>
    <w:qFormat/>
    <w:uiPriority w:val="1"/>
    <w:rPr>
      <w:rFonts w:hint="default" w:ascii="Calibri" w:hAnsi="Calibri" w:eastAsia="宋体" w:cs="Times New Roman"/>
      <w:lang w:val="en-US" w:eastAsia="zh-CN" w:bidi="ar-SA"/>
    </w:rPr>
  </w:style>
  <w:style w:type="character" w:customStyle="1" w:styleId="149">
    <w:name w:val="标题 字符"/>
    <w:link w:val="37"/>
    <w:qFormat/>
    <w:uiPriority w:val="10"/>
    <w:rPr>
      <w:sz w:val="48"/>
      <w:szCs w:val="48"/>
    </w:rPr>
  </w:style>
  <w:style w:type="character" w:customStyle="1" w:styleId="150">
    <w:name w:val="副标题 字符"/>
    <w:link w:val="28"/>
    <w:qFormat/>
    <w:uiPriority w:val="11"/>
    <w:rPr>
      <w:sz w:val="24"/>
      <w:szCs w:val="24"/>
    </w:rPr>
  </w:style>
  <w:style w:type="paragraph" w:customStyle="1" w:styleId="151">
    <w:name w:val="引用1"/>
    <w:basedOn w:val="1"/>
    <w:next w:val="1"/>
    <w:link w:val="152"/>
    <w:qFormat/>
    <w:uiPriority w:val="29"/>
    <w:pPr>
      <w:ind w:left="720" w:right="720"/>
    </w:pPr>
    <w:rPr>
      <w:i/>
    </w:rPr>
  </w:style>
  <w:style w:type="character" w:customStyle="1" w:styleId="152">
    <w:name w:val="引用 字符"/>
    <w:link w:val="151"/>
    <w:qFormat/>
    <w:uiPriority w:val="29"/>
    <w:rPr>
      <w:i/>
    </w:rPr>
  </w:style>
  <w:style w:type="paragraph" w:customStyle="1" w:styleId="153">
    <w:name w:val="明显引用1"/>
    <w:basedOn w:val="1"/>
    <w:next w:val="1"/>
    <w:link w:val="1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明显引用 字符"/>
    <w:link w:val="153"/>
    <w:qFormat/>
    <w:uiPriority w:val="30"/>
    <w:rPr>
      <w:i/>
    </w:rPr>
  </w:style>
  <w:style w:type="character" w:customStyle="1" w:styleId="155">
    <w:name w:val="页眉 Char"/>
    <w:link w:val="135"/>
    <w:qFormat/>
    <w:uiPriority w:val="99"/>
  </w:style>
  <w:style w:type="character" w:customStyle="1" w:styleId="156">
    <w:name w:val="Footer Char"/>
    <w:qFormat/>
    <w:uiPriority w:val="99"/>
  </w:style>
  <w:style w:type="character" w:customStyle="1" w:styleId="157">
    <w:name w:val="页脚 Char"/>
    <w:link w:val="134"/>
    <w:qFormat/>
    <w:uiPriority w:val="99"/>
  </w:style>
  <w:style w:type="table" w:customStyle="1" w:styleId="1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5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6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7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8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8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8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8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8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8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8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9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9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0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0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0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0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0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0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0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1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1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1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1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1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2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2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2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2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3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3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4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4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5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5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5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5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6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6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6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6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64">
    <w:name w:val="脚注文本 字符"/>
    <w:link w:val="29"/>
    <w:qFormat/>
    <w:uiPriority w:val="99"/>
    <w:rPr>
      <w:sz w:val="18"/>
    </w:rPr>
  </w:style>
  <w:style w:type="character" w:customStyle="1" w:styleId="265">
    <w:name w:val="尾注文本 字符"/>
    <w:link w:val="21"/>
    <w:qFormat/>
    <w:uiPriority w:val="99"/>
    <w:rPr>
      <w:sz w:val="20"/>
    </w:rPr>
  </w:style>
  <w:style w:type="paragraph" w:customStyle="1" w:styleId="266">
    <w:name w:val="TOC 标题11"/>
    <w:unhideWhenUsed/>
    <w:qFormat/>
    <w:uiPriority w:val="39"/>
    <w:rPr>
      <w:rFonts w:hint="default" w:ascii="Calibri" w:hAnsi="Calibri" w:eastAsia="宋体" w:cs="Times New Roman"/>
      <w:lang w:val="en-US" w:eastAsia="zh-CN" w:bidi="ar-SA"/>
    </w:rPr>
  </w:style>
  <w:style w:type="paragraph" w:customStyle="1" w:styleId="267">
    <w:name w:val="标题 111"/>
    <w:basedOn w:val="1"/>
    <w:next w:val="1"/>
    <w:qFormat/>
    <w:uiPriority w:val="0"/>
    <w:pPr>
      <w:keepNext/>
      <w:outlineLvl w:val="0"/>
    </w:pPr>
    <w:rPr>
      <w:rFonts w:ascii="楷体_GB2312" w:eastAsia="楷体_GB2312"/>
      <w:sz w:val="28"/>
      <w:szCs w:val="20"/>
    </w:rPr>
  </w:style>
  <w:style w:type="paragraph" w:customStyle="1" w:styleId="268">
    <w:name w:val="标题 211"/>
    <w:basedOn w:val="1"/>
    <w:next w:val="1"/>
    <w:link w:val="274"/>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69">
    <w:name w:val="标题 311"/>
    <w:basedOn w:val="1"/>
    <w:next w:val="1"/>
    <w:qFormat/>
    <w:uiPriority w:val="0"/>
    <w:pPr>
      <w:keepNext/>
      <w:keepLines/>
      <w:spacing w:before="260" w:after="260" w:line="416" w:lineRule="auto"/>
      <w:outlineLvl w:val="2"/>
    </w:pPr>
    <w:rPr>
      <w:b/>
      <w:sz w:val="32"/>
      <w:szCs w:val="20"/>
    </w:rPr>
  </w:style>
  <w:style w:type="paragraph" w:customStyle="1" w:styleId="270">
    <w:name w:val="标题 411"/>
    <w:basedOn w:val="1"/>
    <w:next w:val="271"/>
    <w:qFormat/>
    <w:uiPriority w:val="0"/>
    <w:pPr>
      <w:keepNext/>
      <w:keepLines/>
      <w:spacing w:before="280" w:after="290" w:line="376" w:lineRule="auto"/>
      <w:outlineLvl w:val="3"/>
    </w:pPr>
    <w:rPr>
      <w:rFonts w:ascii="Arial" w:hAnsi="Arial" w:eastAsia="黑体"/>
      <w:b/>
      <w:bCs/>
      <w:sz w:val="28"/>
      <w:szCs w:val="28"/>
    </w:rPr>
  </w:style>
  <w:style w:type="paragraph" w:customStyle="1" w:styleId="271">
    <w:name w:val="正文缩进11"/>
    <w:basedOn w:val="1"/>
    <w:qFormat/>
    <w:uiPriority w:val="0"/>
    <w:rPr>
      <w:szCs w:val="20"/>
    </w:rPr>
  </w:style>
  <w:style w:type="character" w:customStyle="1" w:styleId="272">
    <w:name w:val="默认段落字体1"/>
    <w:link w:val="1"/>
    <w:semiHidden/>
    <w:qFormat/>
    <w:uiPriority w:val="0"/>
    <w:rPr>
      <w:rFonts w:hint="default" w:ascii="宋体" w:hAnsi="宋体" w:eastAsia="宋体" w:cs="宋体"/>
      <w:color w:val="000000"/>
      <w:sz w:val="22"/>
      <w:szCs w:val="21"/>
      <w:lang w:val="en-US" w:eastAsia="zh-CN" w:bidi="ar-SA"/>
    </w:rPr>
  </w:style>
  <w:style w:type="table" w:customStyle="1" w:styleId="273">
    <w:name w:val="普通表格1"/>
    <w:semiHidden/>
    <w:qFormat/>
    <w:uiPriority w:val="0"/>
    <w:tblPr>
      <w:tblCellMar>
        <w:top w:w="0" w:type="dxa"/>
        <w:left w:w="0" w:type="dxa"/>
        <w:bottom w:w="0" w:type="dxa"/>
        <w:right w:w="0" w:type="dxa"/>
      </w:tblCellMar>
    </w:tblPr>
  </w:style>
  <w:style w:type="character" w:customStyle="1" w:styleId="274">
    <w:name w:val="标题 2 Char"/>
    <w:link w:val="268"/>
    <w:qFormat/>
    <w:uiPriority w:val="0"/>
    <w:rPr>
      <w:rFonts w:ascii="Arial" w:hAnsi="Arial" w:eastAsia="幼圆"/>
      <w:b/>
      <w:sz w:val="44"/>
      <w:szCs w:val="20"/>
    </w:rPr>
  </w:style>
  <w:style w:type="paragraph" w:customStyle="1" w:styleId="275">
    <w:name w:val="批注文字1"/>
    <w:basedOn w:val="1"/>
    <w:qFormat/>
    <w:uiPriority w:val="0"/>
    <w:rPr>
      <w:rFonts w:ascii="Calibri" w:hAnsi="Calibri"/>
      <w:szCs w:val="22"/>
    </w:rPr>
  </w:style>
  <w:style w:type="paragraph" w:customStyle="1" w:styleId="276">
    <w:name w:val="正文文本1"/>
    <w:basedOn w:val="1"/>
    <w:next w:val="277"/>
    <w:qFormat/>
    <w:uiPriority w:val="0"/>
    <w:rPr>
      <w:rFonts w:ascii="楷体_GB2312" w:hAnsi="Arial" w:eastAsia="楷体_GB2312"/>
      <w:sz w:val="28"/>
      <w:szCs w:val="20"/>
    </w:rPr>
  </w:style>
  <w:style w:type="paragraph" w:customStyle="1" w:styleId="277">
    <w:name w:val="正文文本 21"/>
    <w:basedOn w:val="1"/>
    <w:qFormat/>
    <w:uiPriority w:val="0"/>
    <w:pPr>
      <w:jc w:val="center"/>
    </w:pPr>
    <w:rPr>
      <w:rFonts w:ascii="仿宋_GB2312" w:eastAsia="仿宋_GB2312"/>
      <w:sz w:val="44"/>
    </w:rPr>
  </w:style>
  <w:style w:type="paragraph" w:customStyle="1" w:styleId="278">
    <w:name w:val="正文文本缩进11"/>
    <w:basedOn w:val="1"/>
    <w:next w:val="279"/>
    <w:qFormat/>
    <w:uiPriority w:val="0"/>
    <w:pPr>
      <w:spacing w:after="120"/>
      <w:ind w:left="420"/>
    </w:pPr>
  </w:style>
  <w:style w:type="paragraph" w:customStyle="1" w:styleId="279">
    <w:name w:val="寄信人地址1"/>
    <w:basedOn w:val="1"/>
    <w:qFormat/>
    <w:uiPriority w:val="0"/>
    <w:rPr>
      <w:rFonts w:ascii="Arial" w:hAnsi="Arial"/>
    </w:rPr>
  </w:style>
  <w:style w:type="paragraph" w:customStyle="1" w:styleId="280">
    <w:name w:val="纯文本11"/>
    <w:basedOn w:val="1"/>
    <w:qFormat/>
    <w:uiPriority w:val="99"/>
    <w:rPr>
      <w:rFonts w:hAnsi="Courier New"/>
      <w:szCs w:val="20"/>
    </w:rPr>
  </w:style>
  <w:style w:type="paragraph" w:customStyle="1" w:styleId="281">
    <w:name w:val="日期1"/>
    <w:basedOn w:val="1"/>
    <w:next w:val="1"/>
    <w:qFormat/>
    <w:uiPriority w:val="0"/>
    <w:rPr>
      <w:sz w:val="24"/>
      <w:szCs w:val="20"/>
    </w:rPr>
  </w:style>
  <w:style w:type="paragraph" w:customStyle="1" w:styleId="282">
    <w:name w:val="页脚11"/>
    <w:basedOn w:val="1"/>
    <w:qFormat/>
    <w:uiPriority w:val="0"/>
    <w:pPr>
      <w:tabs>
        <w:tab w:val="center" w:pos="4153"/>
        <w:tab w:val="right" w:pos="8306"/>
      </w:tabs>
    </w:pPr>
    <w:rPr>
      <w:sz w:val="18"/>
      <w:szCs w:val="20"/>
    </w:rPr>
  </w:style>
  <w:style w:type="paragraph" w:customStyle="1" w:styleId="283">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84">
    <w:name w:val="目录 11"/>
    <w:basedOn w:val="1"/>
    <w:next w:val="1"/>
    <w:semiHidden/>
    <w:qFormat/>
    <w:uiPriority w:val="0"/>
    <w:pPr>
      <w:tabs>
        <w:tab w:val="right" w:leader="dot" w:pos="9440"/>
      </w:tabs>
      <w:spacing w:before="120" w:after="120" w:line="300" w:lineRule="exact"/>
    </w:pPr>
    <w:rPr>
      <w:rFonts w:ascii="黑体" w:eastAsia="黑体"/>
      <w:b/>
      <w:caps/>
      <w:sz w:val="18"/>
      <w:szCs w:val="28"/>
    </w:rPr>
  </w:style>
  <w:style w:type="paragraph" w:customStyle="1" w:styleId="285">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paragraph" w:customStyle="1" w:styleId="286">
    <w:name w:val="正文首行缩进1"/>
    <w:basedOn w:val="1"/>
    <w:next w:val="1"/>
    <w:qFormat/>
    <w:uiPriority w:val="99"/>
    <w:pPr>
      <w:ind w:firstLine="200"/>
    </w:pPr>
    <w:rPr>
      <w:rFonts w:ascii="仿宋_GB2312" w:eastAsia="仿宋_GB2312"/>
      <w:sz w:val="30"/>
      <w:szCs w:val="30"/>
    </w:rPr>
  </w:style>
  <w:style w:type="paragraph" w:customStyle="1" w:styleId="287">
    <w:name w:val="正文首行缩进 211"/>
    <w:basedOn w:val="278"/>
    <w:qFormat/>
    <w:uiPriority w:val="0"/>
  </w:style>
  <w:style w:type="character" w:customStyle="1" w:styleId="288">
    <w:name w:val="页码11"/>
    <w:qFormat/>
    <w:uiPriority w:val="0"/>
  </w:style>
  <w:style w:type="paragraph" w:customStyle="1" w:styleId="289">
    <w:name w:val="段"/>
    <w:next w:val="290"/>
    <w:qFormat/>
    <w:uiPriority w:val="0"/>
    <w:pPr>
      <w:tabs>
        <w:tab w:val="center" w:pos="4201"/>
        <w:tab w:val="right" w:leader="dot" w:pos="9298"/>
      </w:tabs>
      <w:ind w:firstLine="420"/>
      <w:jc w:val="both"/>
    </w:pPr>
    <w:rPr>
      <w:rFonts w:hint="default" w:ascii="宋体" w:hAnsi="Calibri" w:eastAsia="宋体" w:cs="Times New Roman"/>
      <w:sz w:val="21"/>
      <w:lang w:val="en-US" w:eastAsia="zh-CN" w:bidi="ar-SA"/>
    </w:rPr>
  </w:style>
  <w:style w:type="paragraph" w:customStyle="1" w:styleId="290">
    <w:name w:val="正文 A"/>
    <w:next w:val="289"/>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91">
    <w:name w:val="普通正文"/>
    <w:basedOn w:val="1"/>
    <w:qFormat/>
    <w:uiPriority w:val="0"/>
    <w:pPr>
      <w:spacing w:before="120" w:after="120"/>
      <w:ind w:firstLine="480"/>
    </w:pPr>
    <w:rPr>
      <w:rFonts w:ascii="Arial" w:hAnsi="Arial"/>
      <w:sz w:val="24"/>
    </w:rPr>
  </w:style>
  <w:style w:type="paragraph" w:customStyle="1" w:styleId="292">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93">
    <w:name w:val="pa-3"/>
    <w:basedOn w:val="1"/>
    <w:qFormat/>
    <w:uiPriority w:val="0"/>
    <w:pPr>
      <w:widowControl/>
      <w:spacing w:before="150" w:after="150"/>
    </w:pPr>
    <w:rPr>
      <w:sz w:val="24"/>
    </w:rPr>
  </w:style>
  <w:style w:type="paragraph" w:customStyle="1" w:styleId="294">
    <w:name w:val="pa-4"/>
    <w:basedOn w:val="1"/>
    <w:qFormat/>
    <w:uiPriority w:val="0"/>
    <w:pPr>
      <w:widowControl/>
      <w:spacing w:before="150" w:after="150"/>
    </w:pPr>
    <w:rPr>
      <w:sz w:val="24"/>
    </w:rPr>
  </w:style>
  <w:style w:type="paragraph" w:customStyle="1" w:styleId="295">
    <w:name w:val="pa-5"/>
    <w:basedOn w:val="1"/>
    <w:qFormat/>
    <w:uiPriority w:val="0"/>
    <w:pPr>
      <w:widowControl/>
      <w:spacing w:before="150" w:after="150"/>
    </w:pPr>
    <w:rPr>
      <w:sz w:val="24"/>
    </w:rPr>
  </w:style>
  <w:style w:type="paragraph" w:customStyle="1" w:styleId="296">
    <w:name w:val="pa-6"/>
    <w:basedOn w:val="1"/>
    <w:qFormat/>
    <w:uiPriority w:val="0"/>
    <w:pPr>
      <w:widowControl/>
      <w:spacing w:before="150" w:after="150"/>
    </w:pPr>
    <w:rPr>
      <w:sz w:val="24"/>
    </w:rPr>
  </w:style>
  <w:style w:type="paragraph" w:customStyle="1" w:styleId="297">
    <w:name w:val="flName"/>
    <w:basedOn w:val="1"/>
    <w:qFormat/>
    <w:uiPriority w:val="0"/>
    <w:pPr>
      <w:spacing w:before="320" w:after="160" w:line="360" w:lineRule="atLeast"/>
      <w:jc w:val="center"/>
    </w:pPr>
    <w:rPr>
      <w:rFonts w:ascii="Arial" w:eastAsia="黑体"/>
      <w:sz w:val="32"/>
      <w:szCs w:val="20"/>
    </w:rPr>
  </w:style>
  <w:style w:type="paragraph" w:customStyle="1" w:styleId="298">
    <w:name w:val="列出段落11"/>
    <w:basedOn w:val="1"/>
    <w:qFormat/>
    <w:uiPriority w:val="0"/>
    <w:pPr>
      <w:widowControl/>
      <w:ind w:left="720"/>
      <w:contextualSpacing/>
    </w:pPr>
    <w:rPr>
      <w:rFonts w:ascii="Calibri" w:hAnsi="Calibri"/>
      <w:sz w:val="24"/>
      <w:lang w:eastAsia="en-US" w:bidi="en-US"/>
    </w:rPr>
  </w:style>
  <w:style w:type="paragraph" w:customStyle="1" w:styleId="299">
    <w:name w:val="Char"/>
    <w:basedOn w:val="1"/>
    <w:qFormat/>
    <w:uiPriority w:val="0"/>
    <w:pPr>
      <w:tabs>
        <w:tab w:val="left" w:pos="360"/>
      </w:tabs>
    </w:pPr>
    <w:rPr>
      <w:sz w:val="24"/>
    </w:rPr>
  </w:style>
  <w:style w:type="paragraph" w:customStyle="1" w:styleId="300">
    <w:name w:val="Body text|2"/>
    <w:basedOn w:val="1"/>
    <w:qFormat/>
    <w:uiPriority w:val="0"/>
    <w:pPr>
      <w:spacing w:after="580"/>
    </w:pPr>
    <w:rPr>
      <w:sz w:val="28"/>
      <w:szCs w:val="28"/>
      <w:lang w:val="zh-TW" w:eastAsia="zh-TW" w:bidi="zh-TW"/>
    </w:rPr>
  </w:style>
  <w:style w:type="paragraph" w:customStyle="1" w:styleId="301">
    <w:name w:val="Body text|1"/>
    <w:basedOn w:val="1"/>
    <w:qFormat/>
    <w:uiPriority w:val="0"/>
    <w:pPr>
      <w:spacing w:line="466" w:lineRule="auto"/>
      <w:ind w:firstLine="320"/>
    </w:pPr>
    <w:rPr>
      <w:sz w:val="20"/>
      <w:szCs w:val="20"/>
      <w:lang w:val="zh-TW" w:eastAsia="zh-TW" w:bidi="zh-TW"/>
    </w:rPr>
  </w:style>
  <w:style w:type="paragraph" w:customStyle="1" w:styleId="302">
    <w:name w:val="Body text|4"/>
    <w:basedOn w:val="1"/>
    <w:qFormat/>
    <w:uiPriority w:val="0"/>
    <w:pPr>
      <w:ind w:hanging="1540"/>
    </w:pPr>
    <w:rPr>
      <w:sz w:val="20"/>
      <w:szCs w:val="20"/>
      <w:lang w:val="zh-CN"/>
    </w:rPr>
  </w:style>
  <w:style w:type="paragraph" w:customStyle="1" w:styleId="303">
    <w:name w:val="纯文本1"/>
    <w:basedOn w:val="1"/>
    <w:qFormat/>
    <w:uiPriority w:val="0"/>
    <w:rPr>
      <w:rFonts w:hAnsi="Courier New" w:eastAsia="楷体_GB2312"/>
      <w:sz w:val="26"/>
    </w:rPr>
  </w:style>
  <w:style w:type="paragraph" w:customStyle="1" w:styleId="304">
    <w:name w:val="样式 小四 段前: 5 磅 段后: 5 磅 首行缩进:  2 字符"/>
    <w:basedOn w:val="1"/>
    <w:qFormat/>
    <w:uiPriority w:val="0"/>
  </w:style>
  <w:style w:type="paragraph" w:customStyle="1" w:styleId="305">
    <w:name w:val="标题 112"/>
    <w:basedOn w:val="1"/>
    <w:next w:val="1"/>
    <w:qFormat/>
    <w:uiPriority w:val="0"/>
    <w:pPr>
      <w:keepNext/>
      <w:jc w:val="center"/>
      <w:outlineLvl w:val="0"/>
    </w:pPr>
    <w:rPr>
      <w:rFonts w:ascii="楷体_GB2312" w:eastAsia="楷体_GB2312"/>
      <w:sz w:val="28"/>
      <w:szCs w:val="28"/>
    </w:rPr>
  </w:style>
  <w:style w:type="paragraph" w:customStyle="1" w:styleId="306">
    <w:name w:val="标题 212"/>
    <w:basedOn w:val="1"/>
    <w:next w:val="9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07">
    <w:name w:val="标题 412"/>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08">
    <w:name w:val="正文首行缩进 21"/>
    <w:basedOn w:val="309"/>
    <w:qFormat/>
    <w:uiPriority w:val="0"/>
    <w:pPr>
      <w:ind w:firstLine="420"/>
    </w:pPr>
    <w:rPr>
      <w:rFonts w:ascii="宋体" w:eastAsia="宋体"/>
      <w:sz w:val="21"/>
      <w:szCs w:val="20"/>
    </w:rPr>
  </w:style>
  <w:style w:type="paragraph" w:customStyle="1" w:styleId="309">
    <w:name w:val="正文文本缩进1"/>
    <w:basedOn w:val="1"/>
    <w:qFormat/>
    <w:uiPriority w:val="0"/>
    <w:pPr>
      <w:ind w:firstLine="645"/>
    </w:pPr>
    <w:rPr>
      <w:rFonts w:ascii="楷体_GB2312" w:eastAsia="楷体_GB2312"/>
      <w:sz w:val="32"/>
      <w:szCs w:val="32"/>
    </w:rPr>
  </w:style>
  <w:style w:type="paragraph" w:customStyle="1" w:styleId="310">
    <w:name w:val="标题 312"/>
    <w:basedOn w:val="1"/>
    <w:next w:val="1"/>
    <w:qFormat/>
    <w:uiPriority w:val="0"/>
    <w:pPr>
      <w:keepNext/>
      <w:keepLines/>
      <w:spacing w:before="260" w:after="260" w:line="416" w:lineRule="auto"/>
      <w:outlineLvl w:val="2"/>
    </w:pPr>
    <w:rPr>
      <w:b/>
      <w:bCs/>
      <w:sz w:val="32"/>
      <w:szCs w:val="32"/>
    </w:rPr>
  </w:style>
  <w:style w:type="paragraph" w:customStyle="1" w:styleId="311">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12">
    <w:name w:val="页脚12"/>
    <w:basedOn w:val="1"/>
    <w:qFormat/>
    <w:uiPriority w:val="0"/>
    <w:pPr>
      <w:tabs>
        <w:tab w:val="center" w:pos="4153"/>
        <w:tab w:val="right" w:pos="8306"/>
      </w:tabs>
    </w:pPr>
    <w:rPr>
      <w:sz w:val="18"/>
      <w:szCs w:val="18"/>
    </w:rPr>
  </w:style>
  <w:style w:type="character" w:customStyle="1" w:styleId="313">
    <w:name w:val="页码1"/>
    <w:qFormat/>
    <w:uiPriority w:val="0"/>
  </w:style>
  <w:style w:type="paragraph" w:customStyle="1" w:styleId="314">
    <w:name w:val="普通(网站)1"/>
    <w:basedOn w:val="1"/>
    <w:qFormat/>
    <w:uiPriority w:val="99"/>
    <w:pPr>
      <w:widowControl/>
      <w:spacing w:before="100" w:beforeAutospacing="1" w:after="100" w:afterAutospacing="1"/>
    </w:pPr>
    <w:rPr>
      <w:sz w:val="24"/>
    </w:rPr>
  </w:style>
  <w:style w:type="character" w:customStyle="1" w:styleId="315">
    <w:name w:val="NormalCharacter1"/>
    <w:link w:val="1"/>
    <w:qFormat/>
    <w:uiPriority w:val="99"/>
    <w:rPr>
      <w:rFonts w:ascii="宋体" w:hAnsi="宋体" w:eastAsia="宋体" w:cs="宋体"/>
      <w:color w:val="000000"/>
      <w:sz w:val="22"/>
      <w:szCs w:val="21"/>
      <w:lang w:val="en-US" w:eastAsia="zh-CN" w:bidi="ar-SA"/>
    </w:rPr>
  </w:style>
  <w:style w:type="paragraph" w:customStyle="1" w:styleId="316">
    <w:name w:val="4"/>
    <w:basedOn w:val="1"/>
    <w:next w:val="317"/>
    <w:qFormat/>
    <w:uiPriority w:val="99"/>
    <w:rPr>
      <w:color w:val="FF0000"/>
      <w:sz w:val="24"/>
    </w:rPr>
  </w:style>
  <w:style w:type="paragraph" w:customStyle="1" w:styleId="317">
    <w:name w:val="正文文本缩进 31"/>
    <w:basedOn w:val="1"/>
    <w:qFormat/>
    <w:uiPriority w:val="0"/>
    <w:pPr>
      <w:ind w:left="645" w:firstLine="645"/>
    </w:pPr>
    <w:rPr>
      <w:rFonts w:ascii="Arial" w:hAnsi="Arial" w:eastAsia="FangSong_GB2312" w:cs="Arial"/>
      <w:color w:val="FFFF00"/>
      <w:sz w:val="32"/>
      <w:szCs w:val="32"/>
    </w:rPr>
  </w:style>
  <w:style w:type="character" w:customStyle="1" w:styleId="318">
    <w:name w:val="font11"/>
    <w:basedOn w:val="42"/>
    <w:link w:val="1"/>
    <w:qFormat/>
    <w:uiPriority w:val="0"/>
    <w:rPr>
      <w:rFonts w:asciiTheme="minorHAnsi" w:hAnsiTheme="minorHAnsi" w:eastAsiaTheme="minorEastAsia" w:cstheme="minorBidi"/>
      <w:sz w:val="21"/>
      <w:szCs w:val="24"/>
      <w:lang w:val="en-US" w:eastAsia="zh-CN" w:bidi="ar-SA"/>
    </w:rPr>
  </w:style>
  <w:style w:type="character" w:customStyle="1" w:styleId="319">
    <w:name w:val="font21"/>
    <w:basedOn w:val="42"/>
    <w:qFormat/>
    <w:uiPriority w:val="0"/>
    <w:rPr>
      <w:rFonts w:hint="eastAsia" w:ascii="宋体" w:hAnsi="宋体" w:eastAsia="宋体" w:cs="宋体"/>
      <w:b/>
      <w:bCs/>
      <w:color w:val="000000"/>
      <w:sz w:val="21"/>
      <w:szCs w:val="21"/>
      <w:u w:val="none"/>
    </w:rPr>
  </w:style>
  <w:style w:type="character" w:customStyle="1" w:styleId="320">
    <w:name w:val="15"/>
    <w:basedOn w:val="42"/>
    <w:qFormat/>
    <w:uiPriority w:val="0"/>
  </w:style>
  <w:style w:type="paragraph" w:customStyle="1" w:styleId="321">
    <w:name w:val="首行缩进"/>
    <w:basedOn w:val="1"/>
    <w:qFormat/>
    <w:uiPriority w:val="0"/>
    <w:pPr>
      <w:ind w:firstLine="480"/>
      <w:jc w:val="both"/>
    </w:pPr>
    <w:rPr>
      <w:color w:val="auto"/>
      <w:sz w:val="24"/>
      <w:szCs w:val="24"/>
    </w:rPr>
  </w:style>
  <w:style w:type="paragraph" w:customStyle="1" w:styleId="322">
    <w:name w:val="p0"/>
    <w:basedOn w:val="1"/>
    <w:qFormat/>
    <w:uiPriority w:val="0"/>
    <w:pPr>
      <w:widowControl/>
      <w:spacing w:line="240" w:lineRule="auto"/>
      <w:ind w:firstLine="0"/>
      <w:jc w:val="both"/>
    </w:pPr>
    <w:rPr>
      <w:rFonts w:ascii="Times New Roman" w:hAnsi="Times New Roman" w:cs="Times New Roman"/>
      <w:color w:val="auto"/>
      <w:sz w:val="21"/>
    </w:rPr>
  </w:style>
  <w:style w:type="paragraph" w:customStyle="1" w:styleId="323">
    <w:name w:val="普通(网站)111"/>
    <w:basedOn w:val="1"/>
    <w:qFormat/>
    <w:uiPriority w:val="0"/>
    <w:pPr>
      <w:spacing w:beforeAutospacing="1" w:afterAutospacing="1"/>
    </w:pPr>
    <w:rPr>
      <w:sz w:val="24"/>
    </w:rPr>
  </w:style>
  <w:style w:type="character" w:customStyle="1" w:styleId="324">
    <w:name w:val="批注框文本 字符"/>
    <w:basedOn w:val="42"/>
    <w:link w:val="22"/>
    <w:semiHidden/>
    <w:qFormat/>
    <w:uiPriority w:val="99"/>
    <w:rPr>
      <w:rFonts w:ascii="宋体" w:hAnsi="宋体" w:cs="宋体"/>
      <w:color w:val="000000"/>
      <w:sz w:val="18"/>
      <w:szCs w:val="18"/>
    </w:rPr>
  </w:style>
  <w:style w:type="paragraph" w:customStyle="1" w:styleId="325">
    <w:name w:val="Char Char Char Char Char Char Char Char"/>
    <w:basedOn w:val="1"/>
    <w:qFormat/>
    <w:uiPriority w:val="0"/>
    <w:pPr>
      <w:spacing w:after="160" w:line="240" w:lineRule="exact"/>
    </w:pPr>
    <w:rPr>
      <w:rFonts w:ascii="Verdana" w:hAnsi="Verdana" w:cs="Times New Roman"/>
      <w:sz w:val="20"/>
      <w:lang w:eastAsia="en-US"/>
    </w:rPr>
  </w:style>
  <w:style w:type="paragraph" w:customStyle="1" w:styleId="326">
    <w:name w:val="Table Text"/>
    <w:basedOn w:val="1"/>
    <w:semiHidden/>
    <w:qFormat/>
    <w:uiPriority w:val="0"/>
    <w:rPr>
      <w:szCs w:val="24"/>
      <w:lang w:eastAsia="en-US"/>
    </w:rPr>
  </w:style>
  <w:style w:type="paragraph" w:customStyle="1" w:styleId="327">
    <w:name w:val="Body Text(ch)"/>
    <w:basedOn w:val="1"/>
    <w:next w:val="14"/>
    <w:qFormat/>
    <w:uiPriority w:val="0"/>
    <w:pPr>
      <w:spacing w:after="120"/>
    </w:pPr>
    <w:rPr>
      <w:rFonts w:hAnsi="Arial"/>
      <w:bCs/>
      <w:iCs/>
    </w:rPr>
  </w:style>
  <w:style w:type="paragraph" w:customStyle="1" w:styleId="328">
    <w:name w:val="正文_17"/>
    <w:next w:val="32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9">
    <w:name w:val="标题 2_1"/>
    <w:basedOn w:val="328"/>
    <w:next w:val="328"/>
    <w:qFormat/>
    <w:uiPriority w:val="0"/>
    <w:pPr>
      <w:keepNext/>
      <w:keepLines/>
      <w:spacing w:before="260" w:after="260" w:line="413" w:lineRule="auto"/>
      <w:outlineLvl w:val="1"/>
    </w:pPr>
    <w:rPr>
      <w:rFonts w:ascii="Arial" w:hAnsi="Arial" w:eastAsia="黑体"/>
      <w:b/>
      <w:sz w:val="32"/>
      <w:szCs w:val="20"/>
    </w:rPr>
  </w:style>
  <w:style w:type="character" w:customStyle="1" w:styleId="330">
    <w:name w:val="目录 3 字符"/>
    <w:link w:val="18"/>
    <w:qFormat/>
    <w:uiPriority w:val="39"/>
  </w:style>
  <w:style w:type="character" w:customStyle="1" w:styleId="331">
    <w:name w:val="font31"/>
    <w:basedOn w:val="42"/>
    <w:qFormat/>
    <w:uiPriority w:val="0"/>
    <w:rPr>
      <w:rFonts w:hint="eastAsia" w:ascii="宋体" w:hAnsi="宋体" w:eastAsia="宋体" w:cs="宋体"/>
      <w:color w:val="000000"/>
      <w:sz w:val="24"/>
      <w:szCs w:val="24"/>
      <w:u w:val="none"/>
    </w:rPr>
  </w:style>
  <w:style w:type="character" w:customStyle="1" w:styleId="332">
    <w:name w:val="标题 3 字符"/>
    <w:link w:val="4"/>
    <w:qFormat/>
    <w:uiPriority w:val="9"/>
    <w:rPr>
      <w:rFonts w:ascii="Arial" w:hAnsi="Arial" w:eastAsia="Arial" w:cs="Arial"/>
      <w:sz w:val="30"/>
      <w:szCs w:val="30"/>
    </w:rPr>
  </w:style>
  <w:style w:type="character" w:customStyle="1" w:styleId="333">
    <w:name w:val="NormalCharacter"/>
    <w:qFormat/>
    <w:uiPriority w:val="99"/>
    <w:rPr>
      <w:rFonts w:ascii="Calibri" w:hAnsi="Calibri" w:eastAsia="宋体"/>
    </w:rPr>
  </w:style>
  <w:style w:type="character" w:customStyle="1" w:styleId="334">
    <w:name w:val="font41"/>
    <w:basedOn w:val="272"/>
    <w:link w:val="1"/>
    <w:qFormat/>
    <w:uiPriority w:val="0"/>
    <w:rPr>
      <w:rFonts w:hint="eastAsia" w:ascii="微软雅黑" w:hAnsi="微软雅黑" w:eastAsia="微软雅黑" w:cs="微软雅黑"/>
      <w:color w:val="000000"/>
      <w:sz w:val="20"/>
      <w:szCs w:val="20"/>
      <w:u w:val="none"/>
    </w:rPr>
  </w:style>
  <w:style w:type="character" w:customStyle="1" w:styleId="335">
    <w:name w:val="font51"/>
    <w:basedOn w:val="42"/>
    <w:qFormat/>
    <w:uiPriority w:val="0"/>
    <w:rPr>
      <w:rFonts w:hint="default" w:ascii="Times New Roman" w:hAnsi="Times New Roman" w:cs="Times New Roman"/>
      <w:color w:val="000000"/>
      <w:sz w:val="28"/>
      <w:szCs w:val="28"/>
      <w:u w:val="none"/>
    </w:rPr>
  </w:style>
  <w:style w:type="paragraph" w:customStyle="1" w:styleId="336">
    <w:name w:val="纯文本12"/>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77</Pages>
  <Words>39286</Words>
  <Characters>40899</Characters>
  <TotalTime>27</TotalTime>
  <ScaleCrop>false</ScaleCrop>
  <LinksUpToDate>false</LinksUpToDate>
  <CharactersWithSpaces>43024</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2024-07-31T02:03:00Z</dcterms:created>
  <dc:creator>Adminis</dc:creator>
  <cp:lastModifiedBy>壞小孩</cp:lastModifiedBy>
  <dcterms:modified xsi:type="dcterms:W3CDTF">2026-07-24T06:40:21Z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D799C89934AB4C11A3D7ED11557CB2C1_13</vt:lpwstr>
  </property>
  <property fmtid="{D5CDD505-2E9C-101B-9397-08002B2CF9AE}" pid="4" name="KSOTemplateDocerSaveRecord">
    <vt:lpwstr>eyJoZGlkIjoiNDY1MWY2MGM2YWI4NmZlMGQxZjdiMTcxNDcwZDk2M2YiLCJ1c2VySWQiOiIzNzczNjU0NzEifQ==</vt:lpwstr>
  </property>
</Properties>
</file>