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01F20B">
      <w:pPr>
        <w:pStyle w:val="14"/>
        <w:spacing w:before="120" w:beforeAutospacing="0" w:after="120" w:afterAutospacing="0" w:line="360" w:lineRule="auto"/>
        <w:rPr>
          <w:color w:val="auto"/>
          <w:highlight w:val="none"/>
        </w:rPr>
      </w:pPr>
      <w:r>
        <w:rPr>
          <w:color w:val="auto"/>
          <w:highlight w:val="none"/>
        </w:rPr>
        <w:t> </w:t>
      </w:r>
    </w:p>
    <w:p w14:paraId="0B1BBF3D">
      <w:pPr>
        <w:pStyle w:val="14"/>
        <w:spacing w:before="120" w:beforeAutospacing="0" w:after="120" w:afterAutospacing="0" w:line="360" w:lineRule="auto"/>
        <w:jc w:val="center"/>
        <w:rPr>
          <w:color w:val="auto"/>
          <w:highlight w:val="none"/>
        </w:rPr>
      </w:pPr>
      <w:r>
        <w:rPr>
          <w:rFonts w:ascii="Arial" w:hAnsi="Arial" w:cs="Arial"/>
          <w:b/>
          <w:color w:val="auto"/>
          <w:sz w:val="84"/>
          <w:szCs w:val="84"/>
          <w:highlight w:val="none"/>
        </w:rPr>
        <w:t>招 标 文 件</w:t>
      </w:r>
    </w:p>
    <w:p w14:paraId="236D250C">
      <w:pPr>
        <w:pStyle w:val="14"/>
        <w:spacing w:before="120" w:beforeAutospacing="0" w:after="120" w:afterAutospacing="0" w:line="360" w:lineRule="auto"/>
        <w:rPr>
          <w:rFonts w:ascii="Arial" w:hAnsi="Arial" w:cs="Arial"/>
          <w:b/>
          <w:color w:val="auto"/>
          <w:sz w:val="32"/>
          <w:szCs w:val="32"/>
          <w:highlight w:val="none"/>
        </w:rPr>
      </w:pPr>
    </w:p>
    <w:p w14:paraId="4DE66F96">
      <w:pPr>
        <w:pStyle w:val="14"/>
        <w:spacing w:before="120" w:beforeAutospacing="0" w:after="120" w:afterAutospacing="0" w:line="360" w:lineRule="auto"/>
        <w:rPr>
          <w:rFonts w:ascii="Arial" w:hAnsi="Arial" w:cs="Arial"/>
          <w:b/>
          <w:color w:val="auto"/>
          <w:sz w:val="32"/>
          <w:szCs w:val="32"/>
          <w:highlight w:val="none"/>
        </w:rPr>
      </w:pPr>
    </w:p>
    <w:p w14:paraId="6D56124E">
      <w:pPr>
        <w:pStyle w:val="14"/>
        <w:spacing w:before="120" w:beforeAutospacing="0" w:after="120" w:afterAutospacing="0" w:line="360" w:lineRule="auto"/>
        <w:jc w:val="center"/>
        <w:rPr>
          <w:rFonts w:hint="eastAsia" w:eastAsiaTheme="minorEastAsia"/>
          <w:color w:val="auto"/>
          <w:highlight w:val="none"/>
          <w:lang w:eastAsia="zh-CN"/>
        </w:rPr>
      </w:pPr>
      <w:r>
        <w:rPr>
          <w:rFonts w:ascii="Arial" w:hAnsi="Arial" w:cs="Arial"/>
          <w:b/>
          <w:color w:val="auto"/>
          <w:sz w:val="32"/>
          <w:szCs w:val="32"/>
          <w:highlight w:val="none"/>
        </w:rPr>
        <w:t>项目名称：</w:t>
      </w:r>
      <w:r>
        <w:rPr>
          <w:rFonts w:hint="eastAsia" w:ascii="Arial" w:hAnsi="Arial" w:cs="Arial"/>
          <w:b/>
          <w:color w:val="auto"/>
          <w:sz w:val="32"/>
          <w:szCs w:val="32"/>
          <w:highlight w:val="none"/>
          <w:lang w:eastAsia="zh-CN"/>
        </w:rPr>
        <w:t>高新区“限值限量”监测设备运维服务采购项目</w:t>
      </w:r>
    </w:p>
    <w:p w14:paraId="42CCDC3F">
      <w:pPr>
        <w:pStyle w:val="14"/>
        <w:spacing w:beforeAutospacing="0" w:afterAutospacing="0"/>
        <w:jc w:val="both"/>
        <w:rPr>
          <w:rFonts w:hint="default" w:eastAsiaTheme="minorEastAsia"/>
          <w:color w:val="auto"/>
          <w:highlight w:val="none"/>
          <w:lang w:val="en-US" w:eastAsia="zh-CN"/>
        </w:rPr>
      </w:pPr>
      <w:r>
        <w:rPr>
          <w:rFonts w:ascii="Times New Roman" w:hAnsi="Times New Roman"/>
          <w:b/>
          <w:color w:val="0000FF"/>
          <w:sz w:val="32"/>
          <w:szCs w:val="32"/>
          <w:highlight w:val="none"/>
        </w:rPr>
        <w:t>项目编号：</w:t>
      </w:r>
      <w:r>
        <w:rPr>
          <w:rFonts w:hint="eastAsia" w:ascii="Arial" w:hAnsi="Arial" w:cs="Arial"/>
          <w:b/>
          <w:color w:val="auto"/>
          <w:sz w:val="32"/>
          <w:szCs w:val="32"/>
          <w:highlight w:val="none"/>
          <w:lang w:eastAsia="zh-CN"/>
        </w:rPr>
        <w:t>JSZC-320903-JSJD-G2026-0001</w:t>
      </w:r>
      <w:r>
        <w:rPr>
          <w:rFonts w:hint="eastAsia" w:ascii="Arial" w:hAnsi="Arial" w:cs="Arial"/>
          <w:b/>
          <w:color w:val="auto"/>
          <w:sz w:val="32"/>
          <w:szCs w:val="32"/>
          <w:highlight w:val="none"/>
          <w:lang w:val="en-US" w:eastAsia="zh-CN"/>
        </w:rPr>
        <w:t xml:space="preserve"> </w:t>
      </w:r>
      <w:r>
        <w:rPr>
          <w:rFonts w:hint="eastAsia" w:ascii="Times New Roman" w:hAnsi="Times New Roman"/>
          <w:b/>
          <w:color w:val="auto"/>
          <w:sz w:val="32"/>
          <w:szCs w:val="32"/>
          <w:highlight w:val="none"/>
          <w:lang w:val="en-US" w:eastAsia="zh-CN"/>
        </w:rPr>
        <w:t xml:space="preserve">               </w:t>
      </w:r>
    </w:p>
    <w:p w14:paraId="2E1FF2E8">
      <w:pPr>
        <w:pStyle w:val="14"/>
        <w:spacing w:beforeAutospacing="0" w:afterAutospacing="0" w:line="360" w:lineRule="auto"/>
        <w:rPr>
          <w:color w:val="auto"/>
          <w:highlight w:val="none"/>
        </w:rPr>
      </w:pPr>
      <w:r>
        <w:rPr>
          <w:color w:val="auto"/>
          <w:highlight w:val="none"/>
        </w:rPr>
        <w:t> </w:t>
      </w:r>
    </w:p>
    <w:p w14:paraId="0B96F695">
      <w:pPr>
        <w:pStyle w:val="14"/>
        <w:spacing w:beforeAutospacing="0" w:afterAutospacing="0" w:line="360" w:lineRule="auto"/>
        <w:rPr>
          <w:color w:val="auto"/>
          <w:highlight w:val="none"/>
        </w:rPr>
      </w:pPr>
      <w:r>
        <w:rPr>
          <w:color w:val="auto"/>
          <w:highlight w:val="none"/>
        </w:rPr>
        <w:t> </w:t>
      </w:r>
    </w:p>
    <w:p w14:paraId="59163137">
      <w:pPr>
        <w:pStyle w:val="14"/>
        <w:spacing w:beforeAutospacing="0" w:afterAutospacing="0" w:line="360" w:lineRule="auto"/>
        <w:rPr>
          <w:color w:val="auto"/>
          <w:highlight w:val="none"/>
        </w:rPr>
      </w:pPr>
      <w:r>
        <w:rPr>
          <w:color w:val="auto"/>
          <w:highlight w:val="none"/>
        </w:rPr>
        <w:t> </w:t>
      </w:r>
    </w:p>
    <w:p w14:paraId="5E1CDB38">
      <w:pPr>
        <w:pStyle w:val="14"/>
        <w:spacing w:beforeAutospacing="0" w:afterAutospacing="0" w:line="360" w:lineRule="auto"/>
        <w:rPr>
          <w:color w:val="auto"/>
          <w:highlight w:val="none"/>
        </w:rPr>
      </w:pPr>
      <w:r>
        <w:rPr>
          <w:color w:val="auto"/>
          <w:highlight w:val="none"/>
        </w:rPr>
        <w:t> </w:t>
      </w:r>
    </w:p>
    <w:p w14:paraId="2719ECA1">
      <w:pPr>
        <w:pStyle w:val="14"/>
        <w:spacing w:beforeAutospacing="0" w:afterAutospacing="0" w:line="360" w:lineRule="auto"/>
        <w:rPr>
          <w:color w:val="auto"/>
          <w:highlight w:val="none"/>
        </w:rPr>
      </w:pPr>
      <w:r>
        <w:rPr>
          <w:color w:val="auto"/>
          <w:highlight w:val="none"/>
        </w:rPr>
        <w:t> </w:t>
      </w:r>
    </w:p>
    <w:p w14:paraId="3382FD19">
      <w:pPr>
        <w:pStyle w:val="14"/>
        <w:spacing w:beforeAutospacing="0" w:afterAutospacing="0" w:line="360" w:lineRule="auto"/>
        <w:rPr>
          <w:color w:val="auto"/>
          <w:highlight w:val="none"/>
        </w:rPr>
      </w:pPr>
      <w:r>
        <w:rPr>
          <w:color w:val="auto"/>
          <w:highlight w:val="none"/>
        </w:rPr>
        <w:t> </w:t>
      </w:r>
    </w:p>
    <w:p w14:paraId="7DE90590">
      <w:pPr>
        <w:pStyle w:val="14"/>
        <w:spacing w:beforeAutospacing="0" w:afterAutospacing="0" w:line="360" w:lineRule="auto"/>
        <w:rPr>
          <w:color w:val="auto"/>
          <w:highlight w:val="none"/>
        </w:rPr>
      </w:pPr>
      <w:r>
        <w:rPr>
          <w:color w:val="auto"/>
          <w:highlight w:val="none"/>
        </w:rPr>
        <w:t> </w:t>
      </w:r>
    </w:p>
    <w:p w14:paraId="2A9C023F">
      <w:pPr>
        <w:pStyle w:val="14"/>
        <w:spacing w:beforeAutospacing="0" w:afterAutospacing="0" w:line="360" w:lineRule="auto"/>
        <w:rPr>
          <w:color w:val="auto"/>
          <w:highlight w:val="none"/>
        </w:rPr>
      </w:pPr>
    </w:p>
    <w:p w14:paraId="47D4CD76">
      <w:pPr>
        <w:pStyle w:val="14"/>
        <w:spacing w:beforeAutospacing="0" w:afterAutospacing="0" w:line="360" w:lineRule="auto"/>
        <w:rPr>
          <w:color w:val="auto"/>
          <w:highlight w:val="none"/>
        </w:rPr>
      </w:pPr>
    </w:p>
    <w:p w14:paraId="6FA49D73">
      <w:pPr>
        <w:pStyle w:val="14"/>
        <w:spacing w:beforeAutospacing="0" w:afterAutospacing="0" w:line="360" w:lineRule="auto"/>
        <w:rPr>
          <w:color w:val="auto"/>
          <w:highlight w:val="none"/>
        </w:rPr>
      </w:pPr>
    </w:p>
    <w:p w14:paraId="0E9C5286">
      <w:pPr>
        <w:pStyle w:val="14"/>
        <w:spacing w:beforeAutospacing="0" w:afterAutospacing="0" w:line="360" w:lineRule="auto"/>
        <w:rPr>
          <w:color w:val="auto"/>
          <w:highlight w:val="none"/>
        </w:rPr>
      </w:pPr>
    </w:p>
    <w:p w14:paraId="6273F743">
      <w:pPr>
        <w:pStyle w:val="14"/>
        <w:spacing w:before="120" w:beforeAutospacing="0" w:after="120" w:afterAutospacing="0" w:line="360" w:lineRule="auto"/>
        <w:jc w:val="center"/>
        <w:rPr>
          <w:rFonts w:hint="eastAsia" w:ascii="Arial" w:hAnsi="Arial" w:cs="Arial" w:eastAsiaTheme="minorEastAsia"/>
          <w:b/>
          <w:color w:val="auto"/>
          <w:sz w:val="32"/>
          <w:szCs w:val="32"/>
          <w:highlight w:val="none"/>
          <w:lang w:eastAsia="zh-CN"/>
        </w:rPr>
      </w:pPr>
      <w:r>
        <w:rPr>
          <w:rFonts w:hint="eastAsia" w:ascii="Arial" w:hAnsi="Arial" w:cs="Arial"/>
          <w:b/>
          <w:color w:val="auto"/>
          <w:sz w:val="32"/>
          <w:szCs w:val="32"/>
          <w:highlight w:val="none"/>
          <w:lang w:eastAsia="zh-CN"/>
        </w:rPr>
        <w:t>盐城高新技术产业开发区管理委员会</w:t>
      </w:r>
    </w:p>
    <w:p w14:paraId="5AC82960">
      <w:pPr>
        <w:pStyle w:val="14"/>
        <w:spacing w:before="120" w:beforeAutospacing="0" w:after="120" w:afterAutospacing="0" w:line="360" w:lineRule="auto"/>
        <w:jc w:val="center"/>
        <w:rPr>
          <w:color w:val="auto"/>
          <w:highlight w:val="none"/>
        </w:rPr>
      </w:pPr>
      <w:r>
        <w:rPr>
          <w:rFonts w:hint="eastAsia" w:ascii="Arial" w:hAnsi="Arial" w:cs="Arial"/>
          <w:b/>
          <w:color w:val="auto"/>
          <w:sz w:val="32"/>
          <w:szCs w:val="32"/>
          <w:highlight w:val="none"/>
        </w:rPr>
        <w:t>202</w:t>
      </w:r>
      <w:r>
        <w:rPr>
          <w:rFonts w:hint="eastAsia" w:ascii="Arial" w:hAnsi="Arial" w:cs="Arial"/>
          <w:b/>
          <w:color w:val="auto"/>
          <w:sz w:val="32"/>
          <w:szCs w:val="32"/>
          <w:highlight w:val="none"/>
          <w:lang w:val="en-US" w:eastAsia="zh-CN"/>
        </w:rPr>
        <w:t>6</w:t>
      </w:r>
      <w:r>
        <w:rPr>
          <w:rFonts w:ascii="Arial" w:hAnsi="Arial" w:cs="Arial"/>
          <w:b/>
          <w:color w:val="auto"/>
          <w:sz w:val="32"/>
          <w:szCs w:val="32"/>
          <w:highlight w:val="none"/>
        </w:rPr>
        <w:t>年</w:t>
      </w:r>
      <w:r>
        <w:rPr>
          <w:rFonts w:hint="eastAsia" w:ascii="Arial" w:hAnsi="Arial" w:cs="Arial"/>
          <w:b/>
          <w:color w:val="auto"/>
          <w:sz w:val="32"/>
          <w:szCs w:val="32"/>
          <w:highlight w:val="none"/>
          <w:lang w:val="en-US" w:eastAsia="zh-CN"/>
        </w:rPr>
        <w:t>3</w:t>
      </w:r>
      <w:r>
        <w:rPr>
          <w:rFonts w:ascii="Arial" w:hAnsi="Arial" w:cs="Arial"/>
          <w:b/>
          <w:color w:val="auto"/>
          <w:sz w:val="32"/>
          <w:szCs w:val="32"/>
          <w:highlight w:val="none"/>
        </w:rPr>
        <w:t>月</w:t>
      </w:r>
    </w:p>
    <w:p w14:paraId="07410B14">
      <w:pPr>
        <w:pStyle w:val="14"/>
        <w:spacing w:before="120" w:beforeAutospacing="0" w:after="120" w:afterAutospacing="0" w:line="360" w:lineRule="auto"/>
        <w:rPr>
          <w:color w:val="auto"/>
          <w:highlight w:val="none"/>
        </w:rPr>
      </w:pPr>
      <w:r>
        <w:rPr>
          <w:rFonts w:ascii="Arial" w:hAnsi="Arial" w:cs="Arial"/>
          <w:color w:val="auto"/>
          <w:highlight w:val="none"/>
        </w:rPr>
        <w:t xml:space="preserve">                        </w:t>
      </w:r>
    </w:p>
    <w:p w14:paraId="4617D305">
      <w:pPr>
        <w:pStyle w:val="14"/>
        <w:spacing w:before="120" w:beforeAutospacing="0" w:after="120" w:afterAutospacing="0" w:line="360" w:lineRule="auto"/>
        <w:jc w:val="center"/>
        <w:rPr>
          <w:color w:val="auto"/>
          <w:highlight w:val="none"/>
        </w:rPr>
      </w:pPr>
      <w:r>
        <w:rPr>
          <w:color w:val="auto"/>
          <w:highlight w:val="none"/>
        </w:rPr>
        <w:t> </w:t>
      </w:r>
    </w:p>
    <w:p w14:paraId="1D8B623B">
      <w:pPr>
        <w:pStyle w:val="14"/>
        <w:spacing w:beforeAutospacing="0" w:afterAutospacing="0" w:line="480" w:lineRule="auto"/>
        <w:jc w:val="center"/>
        <w:rPr>
          <w:rFonts w:ascii="Times New Roman" w:hAnsi="Times New Roman"/>
          <w:color w:val="auto"/>
          <w:sz w:val="21"/>
          <w:szCs w:val="21"/>
          <w:highlight w:val="none"/>
        </w:rPr>
        <w:sectPr>
          <w:pgSz w:w="11906" w:h="16838"/>
          <w:pgMar w:top="1440" w:right="1800" w:bottom="1440" w:left="1800" w:header="851" w:footer="992" w:gutter="0"/>
          <w:cols w:space="425" w:num="1"/>
          <w:docGrid w:type="lines" w:linePitch="312" w:charSpace="0"/>
        </w:sectPr>
      </w:pPr>
    </w:p>
    <w:p w14:paraId="373A5B31">
      <w:pPr>
        <w:pStyle w:val="14"/>
        <w:spacing w:beforeAutospacing="0" w:afterAutospacing="0" w:line="480" w:lineRule="auto"/>
        <w:jc w:val="center"/>
        <w:rPr>
          <w:color w:val="auto"/>
          <w:highlight w:val="none"/>
        </w:rPr>
      </w:pPr>
      <w:r>
        <w:rPr>
          <w:rFonts w:ascii="Times New Roman" w:hAnsi="Times New Roman"/>
          <w:color w:val="auto"/>
          <w:sz w:val="21"/>
          <w:szCs w:val="21"/>
          <w:highlight w:val="none"/>
        </w:rPr>
        <w:t> </w:t>
      </w:r>
      <w:bookmarkStart w:id="0" w:name="_Toc479757206"/>
      <w:bookmarkStart w:id="1" w:name="_Toc20823272"/>
      <w:bookmarkStart w:id="2" w:name="_Toc523127445"/>
      <w:bookmarkStart w:id="3" w:name="_Toc120614210"/>
      <w:bookmarkStart w:id="4" w:name="_Toc16938516"/>
      <w:bookmarkStart w:id="5" w:name="_Toc513029200"/>
      <w:r>
        <w:rPr>
          <w:rFonts w:ascii="Times New Roman" w:hAnsi="Times New Roman"/>
          <w:color w:val="auto"/>
          <w:sz w:val="21"/>
          <w:szCs w:val="21"/>
          <w:highlight w:val="none"/>
        </w:rPr>
        <w:t> </w:t>
      </w:r>
      <w:r>
        <w:rPr>
          <w:rFonts w:ascii="黑体" w:hAnsi="宋体" w:eastAsia="黑体" w:cs="黑体"/>
          <w:b/>
          <w:color w:val="auto"/>
          <w:sz w:val="44"/>
          <w:szCs w:val="44"/>
          <w:highlight w:val="none"/>
        </w:rPr>
        <w:t>总  目  录</w:t>
      </w:r>
      <w:bookmarkEnd w:id="0"/>
      <w:bookmarkEnd w:id="1"/>
      <w:bookmarkEnd w:id="2"/>
      <w:bookmarkEnd w:id="3"/>
      <w:bookmarkEnd w:id="4"/>
      <w:bookmarkEnd w:id="5"/>
    </w:p>
    <w:p w14:paraId="36F1E2E2">
      <w:pPr>
        <w:pStyle w:val="14"/>
        <w:spacing w:beforeAutospacing="0" w:afterAutospacing="0" w:line="480" w:lineRule="auto"/>
        <w:jc w:val="both"/>
        <w:rPr>
          <w:color w:val="auto"/>
          <w:highlight w:val="none"/>
        </w:rPr>
      </w:pPr>
      <w:r>
        <w:rPr>
          <w:color w:val="auto"/>
          <w:highlight w:val="none"/>
        </w:rPr>
        <w:t> </w:t>
      </w:r>
    </w:p>
    <w:p w14:paraId="424094E7">
      <w:pPr>
        <w:pStyle w:val="14"/>
        <w:tabs>
          <w:tab w:val="left" w:pos="1441"/>
        </w:tabs>
        <w:spacing w:beforeAutospacing="0" w:afterAutospacing="0" w:line="480" w:lineRule="auto"/>
        <w:ind w:left="2160" w:hanging="1440"/>
        <w:jc w:val="both"/>
        <w:rPr>
          <w:rFonts w:hint="eastAsia" w:eastAsia="黑体"/>
          <w:color w:val="auto"/>
          <w:highlight w:val="none"/>
          <w:lang w:val="en-US" w:eastAsia="zh-CN"/>
        </w:rPr>
      </w:pPr>
      <w:r>
        <w:rPr>
          <w:rFonts w:hint="eastAsia" w:ascii="黑体" w:hAnsi="宋体" w:eastAsia="黑体" w:cs="黑体"/>
          <w:color w:val="auto"/>
          <w:sz w:val="36"/>
          <w:szCs w:val="36"/>
          <w:highlight w:val="none"/>
        </w:rPr>
        <w:t>招标公告……………………………………</w:t>
      </w:r>
      <w:r>
        <w:rPr>
          <w:rFonts w:hint="eastAsia" w:ascii="黑体" w:hAnsi="宋体" w:eastAsia="黑体" w:cs="黑体"/>
          <w:color w:val="auto"/>
          <w:sz w:val="36"/>
          <w:szCs w:val="36"/>
          <w:highlight w:val="none"/>
          <w:lang w:val="en-US" w:eastAsia="zh-CN"/>
        </w:rPr>
        <w:t>2</w:t>
      </w:r>
    </w:p>
    <w:p w14:paraId="240325BB">
      <w:pPr>
        <w:pStyle w:val="14"/>
        <w:tabs>
          <w:tab w:val="left" w:pos="1441"/>
        </w:tabs>
        <w:spacing w:beforeAutospacing="0" w:afterAutospacing="0" w:line="480" w:lineRule="auto"/>
        <w:ind w:left="2160" w:hanging="1440"/>
        <w:jc w:val="both"/>
        <w:rPr>
          <w:color w:val="auto"/>
          <w:highlight w:val="none"/>
        </w:rPr>
      </w:pPr>
      <w:r>
        <w:rPr>
          <w:rFonts w:hint="eastAsia" w:ascii="黑体" w:hAnsi="宋体" w:eastAsia="黑体" w:cs="黑体"/>
          <w:color w:val="auto"/>
          <w:sz w:val="36"/>
          <w:szCs w:val="36"/>
          <w:highlight w:val="none"/>
        </w:rPr>
        <w:t>投标人须知…………………………………</w:t>
      </w:r>
      <w:r>
        <w:rPr>
          <w:rFonts w:hint="eastAsia" w:ascii="黑体" w:hAnsi="宋体" w:eastAsia="黑体" w:cs="黑体"/>
          <w:color w:val="auto"/>
          <w:sz w:val="36"/>
          <w:szCs w:val="36"/>
          <w:highlight w:val="none"/>
          <w:lang w:val="en-US" w:eastAsia="zh-CN"/>
        </w:rPr>
        <w:t>7</w:t>
      </w:r>
      <w:r>
        <w:rPr>
          <w:rFonts w:hint="eastAsia" w:ascii="黑体" w:hAnsi="宋体" w:eastAsia="黑体" w:cs="黑体"/>
          <w:color w:val="auto"/>
          <w:sz w:val="36"/>
          <w:szCs w:val="36"/>
          <w:highlight w:val="none"/>
        </w:rPr>
        <w:t xml:space="preserve">  </w:t>
      </w:r>
    </w:p>
    <w:p w14:paraId="794A2996">
      <w:pPr>
        <w:pStyle w:val="14"/>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合同文本……………………………………</w:t>
      </w:r>
      <w:r>
        <w:rPr>
          <w:rFonts w:hint="eastAsia" w:ascii="黑体" w:hAnsi="宋体" w:eastAsia="黑体" w:cs="黑体"/>
          <w:color w:val="auto"/>
          <w:sz w:val="36"/>
          <w:szCs w:val="36"/>
          <w:highlight w:val="none"/>
          <w:lang w:val="en-US" w:eastAsia="zh-CN"/>
        </w:rPr>
        <w:t>29</w:t>
      </w:r>
    </w:p>
    <w:p w14:paraId="79D21F16">
      <w:pPr>
        <w:pStyle w:val="14"/>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采购需求……………………………………</w:t>
      </w:r>
      <w:r>
        <w:rPr>
          <w:rFonts w:hint="eastAsia" w:ascii="黑体" w:hAnsi="宋体" w:eastAsia="黑体" w:cs="黑体"/>
          <w:color w:val="auto"/>
          <w:sz w:val="36"/>
          <w:szCs w:val="36"/>
          <w:highlight w:val="none"/>
          <w:lang w:val="en-US" w:eastAsia="zh-CN"/>
        </w:rPr>
        <w:t>37</w:t>
      </w:r>
    </w:p>
    <w:p w14:paraId="15925FF5">
      <w:pPr>
        <w:pStyle w:val="14"/>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评标方法与评标标准………………………</w:t>
      </w:r>
      <w:r>
        <w:rPr>
          <w:rFonts w:hint="eastAsia" w:ascii="黑体" w:hAnsi="宋体" w:eastAsia="黑体" w:cs="黑体"/>
          <w:color w:val="auto"/>
          <w:sz w:val="36"/>
          <w:szCs w:val="36"/>
          <w:highlight w:val="none"/>
          <w:lang w:val="en-US" w:eastAsia="zh-CN"/>
        </w:rPr>
        <w:t>60</w:t>
      </w:r>
    </w:p>
    <w:p w14:paraId="04B12F6C">
      <w:pPr>
        <w:pStyle w:val="14"/>
        <w:tabs>
          <w:tab w:val="left" w:pos="1441"/>
        </w:tabs>
        <w:spacing w:beforeAutospacing="0" w:afterAutospacing="0" w:line="480" w:lineRule="auto"/>
        <w:ind w:left="2160" w:hanging="1440"/>
        <w:jc w:val="both"/>
        <w:rPr>
          <w:rFonts w:hint="default" w:eastAsia="黑体"/>
          <w:color w:val="auto"/>
          <w:highlight w:val="none"/>
          <w:lang w:val="en-US" w:eastAsia="zh-CN"/>
        </w:rPr>
      </w:pPr>
      <w:r>
        <w:rPr>
          <w:rFonts w:hint="eastAsia" w:ascii="黑体" w:hAnsi="宋体" w:eastAsia="黑体" w:cs="黑体"/>
          <w:color w:val="auto"/>
          <w:sz w:val="36"/>
          <w:szCs w:val="36"/>
          <w:highlight w:val="none"/>
        </w:rPr>
        <w:t>投标文件格式………………………………</w:t>
      </w:r>
      <w:r>
        <w:rPr>
          <w:rFonts w:hint="eastAsia" w:ascii="黑体" w:hAnsi="宋体" w:eastAsia="黑体" w:cs="黑体"/>
          <w:color w:val="auto"/>
          <w:sz w:val="36"/>
          <w:szCs w:val="36"/>
          <w:highlight w:val="none"/>
          <w:lang w:val="en-US" w:eastAsia="zh-CN"/>
        </w:rPr>
        <w:t>64</w:t>
      </w:r>
    </w:p>
    <w:p w14:paraId="718DE30C">
      <w:pPr>
        <w:pStyle w:val="14"/>
        <w:spacing w:beforeAutospacing="0" w:afterAutospacing="0"/>
        <w:jc w:val="both"/>
        <w:rPr>
          <w:color w:val="auto"/>
          <w:highlight w:val="none"/>
        </w:rPr>
      </w:pPr>
      <w:r>
        <w:rPr>
          <w:color w:val="auto"/>
          <w:highlight w:val="none"/>
        </w:rPr>
        <w:t> </w:t>
      </w:r>
    </w:p>
    <w:p w14:paraId="5142B85D">
      <w:pPr>
        <w:pStyle w:val="14"/>
        <w:spacing w:beforeAutospacing="0" w:afterAutospacing="0"/>
        <w:jc w:val="both"/>
        <w:rPr>
          <w:color w:val="auto"/>
          <w:highlight w:val="none"/>
        </w:rPr>
      </w:pPr>
      <w:r>
        <w:rPr>
          <w:color w:val="auto"/>
          <w:highlight w:val="none"/>
        </w:rPr>
        <w:t> </w:t>
      </w:r>
    </w:p>
    <w:p w14:paraId="5A830809">
      <w:pPr>
        <w:pStyle w:val="14"/>
        <w:spacing w:beforeAutospacing="0" w:afterAutospacing="0"/>
        <w:jc w:val="both"/>
        <w:rPr>
          <w:color w:val="auto"/>
          <w:highlight w:val="none"/>
        </w:rPr>
      </w:pPr>
      <w:r>
        <w:rPr>
          <w:color w:val="auto"/>
          <w:highlight w:val="none"/>
        </w:rPr>
        <w:t> </w:t>
      </w:r>
    </w:p>
    <w:p w14:paraId="444282BF">
      <w:pPr>
        <w:pStyle w:val="14"/>
        <w:spacing w:beforeAutospacing="0" w:afterAutospacing="0"/>
        <w:jc w:val="both"/>
        <w:rPr>
          <w:color w:val="auto"/>
          <w:highlight w:val="none"/>
        </w:rPr>
      </w:pPr>
      <w:r>
        <w:rPr>
          <w:color w:val="auto"/>
          <w:highlight w:val="none"/>
        </w:rPr>
        <w:t> </w:t>
      </w:r>
    </w:p>
    <w:p w14:paraId="735AB5C7">
      <w:pPr>
        <w:pStyle w:val="14"/>
        <w:spacing w:beforeAutospacing="0" w:afterAutospacing="0"/>
        <w:jc w:val="both"/>
        <w:rPr>
          <w:color w:val="auto"/>
          <w:highlight w:val="none"/>
        </w:rPr>
      </w:pPr>
      <w:r>
        <w:rPr>
          <w:color w:val="auto"/>
          <w:highlight w:val="none"/>
        </w:rPr>
        <w:t> </w:t>
      </w:r>
    </w:p>
    <w:p w14:paraId="50E051D7">
      <w:pPr>
        <w:pStyle w:val="14"/>
        <w:spacing w:beforeAutospacing="0" w:afterAutospacing="0"/>
        <w:jc w:val="both"/>
        <w:rPr>
          <w:color w:val="auto"/>
          <w:highlight w:val="none"/>
        </w:rPr>
      </w:pPr>
      <w:r>
        <w:rPr>
          <w:color w:val="auto"/>
          <w:highlight w:val="none"/>
        </w:rPr>
        <w:t> </w:t>
      </w:r>
    </w:p>
    <w:p w14:paraId="47E29968">
      <w:pPr>
        <w:pStyle w:val="14"/>
        <w:spacing w:beforeAutospacing="0" w:afterAutospacing="0"/>
        <w:jc w:val="both"/>
        <w:rPr>
          <w:color w:val="auto"/>
          <w:highlight w:val="none"/>
        </w:rPr>
      </w:pPr>
      <w:r>
        <w:rPr>
          <w:color w:val="auto"/>
          <w:highlight w:val="none"/>
        </w:rPr>
        <w:t> </w:t>
      </w:r>
    </w:p>
    <w:p w14:paraId="76F94992">
      <w:pPr>
        <w:pStyle w:val="14"/>
        <w:spacing w:beforeAutospacing="0" w:afterAutospacing="0"/>
        <w:jc w:val="both"/>
        <w:rPr>
          <w:color w:val="auto"/>
          <w:highlight w:val="none"/>
        </w:rPr>
      </w:pPr>
      <w:r>
        <w:rPr>
          <w:color w:val="auto"/>
          <w:highlight w:val="none"/>
        </w:rPr>
        <w:t> </w:t>
      </w:r>
    </w:p>
    <w:p w14:paraId="30879D84">
      <w:pPr>
        <w:pStyle w:val="14"/>
        <w:spacing w:beforeAutospacing="0" w:afterAutospacing="0"/>
        <w:jc w:val="both"/>
        <w:rPr>
          <w:color w:val="auto"/>
          <w:highlight w:val="none"/>
        </w:rPr>
      </w:pPr>
      <w:r>
        <w:rPr>
          <w:color w:val="auto"/>
          <w:highlight w:val="none"/>
        </w:rPr>
        <w:t> </w:t>
      </w:r>
    </w:p>
    <w:p w14:paraId="7ED3B68A">
      <w:pPr>
        <w:pStyle w:val="14"/>
        <w:spacing w:beforeAutospacing="0" w:afterAutospacing="0"/>
        <w:jc w:val="both"/>
        <w:rPr>
          <w:color w:val="auto"/>
          <w:highlight w:val="none"/>
        </w:rPr>
      </w:pPr>
      <w:r>
        <w:rPr>
          <w:color w:val="auto"/>
          <w:highlight w:val="none"/>
        </w:rPr>
        <w:t> </w:t>
      </w:r>
    </w:p>
    <w:p w14:paraId="781BBEDA">
      <w:pPr>
        <w:pStyle w:val="14"/>
        <w:spacing w:beforeAutospacing="0" w:afterAutospacing="0"/>
        <w:jc w:val="both"/>
        <w:rPr>
          <w:color w:val="auto"/>
          <w:highlight w:val="none"/>
        </w:rPr>
      </w:pPr>
      <w:r>
        <w:rPr>
          <w:color w:val="auto"/>
          <w:highlight w:val="none"/>
        </w:rPr>
        <w:t> </w:t>
      </w:r>
    </w:p>
    <w:p w14:paraId="6A8D5882">
      <w:pPr>
        <w:pStyle w:val="14"/>
        <w:spacing w:beforeAutospacing="0" w:afterAutospacing="0"/>
        <w:jc w:val="both"/>
        <w:rPr>
          <w:color w:val="auto"/>
          <w:highlight w:val="none"/>
        </w:rPr>
      </w:pPr>
      <w:r>
        <w:rPr>
          <w:color w:val="auto"/>
          <w:highlight w:val="none"/>
        </w:rPr>
        <w:t> </w:t>
      </w:r>
    </w:p>
    <w:p w14:paraId="252D76FB">
      <w:pPr>
        <w:pStyle w:val="14"/>
        <w:spacing w:beforeAutospacing="0" w:afterAutospacing="0"/>
        <w:jc w:val="both"/>
        <w:rPr>
          <w:color w:val="auto"/>
          <w:highlight w:val="none"/>
        </w:rPr>
      </w:pPr>
      <w:r>
        <w:rPr>
          <w:color w:val="auto"/>
          <w:highlight w:val="none"/>
        </w:rPr>
        <w:t> </w:t>
      </w:r>
    </w:p>
    <w:p w14:paraId="3AADAD54">
      <w:pPr>
        <w:pStyle w:val="14"/>
        <w:spacing w:beforeAutospacing="0" w:afterAutospacing="0"/>
        <w:jc w:val="both"/>
        <w:rPr>
          <w:color w:val="auto"/>
          <w:highlight w:val="none"/>
        </w:rPr>
      </w:pPr>
      <w:r>
        <w:rPr>
          <w:color w:val="auto"/>
          <w:highlight w:val="none"/>
        </w:rPr>
        <w:t> </w:t>
      </w:r>
    </w:p>
    <w:p w14:paraId="7D9D88D9">
      <w:pPr>
        <w:pStyle w:val="14"/>
        <w:spacing w:beforeAutospacing="0" w:afterAutospacing="0"/>
        <w:jc w:val="both"/>
        <w:rPr>
          <w:color w:val="auto"/>
          <w:highlight w:val="none"/>
        </w:rPr>
      </w:pPr>
      <w:r>
        <w:rPr>
          <w:color w:val="auto"/>
          <w:highlight w:val="none"/>
        </w:rPr>
        <w:t> </w:t>
      </w:r>
    </w:p>
    <w:p w14:paraId="06A12176">
      <w:pPr>
        <w:pStyle w:val="14"/>
        <w:spacing w:beforeAutospacing="0" w:afterAutospacing="0"/>
        <w:jc w:val="both"/>
        <w:rPr>
          <w:color w:val="auto"/>
          <w:highlight w:val="none"/>
        </w:rPr>
      </w:pPr>
      <w:r>
        <w:rPr>
          <w:color w:val="auto"/>
          <w:highlight w:val="none"/>
        </w:rPr>
        <w:t> </w:t>
      </w:r>
    </w:p>
    <w:p w14:paraId="21FC7884">
      <w:pPr>
        <w:pStyle w:val="14"/>
        <w:spacing w:beforeAutospacing="0" w:afterAutospacing="0"/>
        <w:jc w:val="both"/>
        <w:rPr>
          <w:color w:val="auto"/>
          <w:highlight w:val="none"/>
        </w:rPr>
      </w:pPr>
      <w:r>
        <w:rPr>
          <w:color w:val="auto"/>
          <w:highlight w:val="none"/>
        </w:rPr>
        <w:t> </w:t>
      </w:r>
    </w:p>
    <w:p w14:paraId="589A91CA">
      <w:pPr>
        <w:pStyle w:val="14"/>
        <w:spacing w:beforeAutospacing="0" w:afterAutospacing="0"/>
        <w:jc w:val="both"/>
        <w:rPr>
          <w:color w:val="auto"/>
          <w:highlight w:val="none"/>
        </w:rPr>
      </w:pPr>
      <w:r>
        <w:rPr>
          <w:color w:val="auto"/>
          <w:highlight w:val="none"/>
        </w:rPr>
        <w:t> </w:t>
      </w:r>
    </w:p>
    <w:p w14:paraId="7A4507CF">
      <w:pPr>
        <w:pStyle w:val="14"/>
        <w:spacing w:beforeAutospacing="0" w:afterAutospacing="0"/>
        <w:jc w:val="both"/>
        <w:rPr>
          <w:color w:val="auto"/>
          <w:highlight w:val="none"/>
        </w:rPr>
      </w:pPr>
      <w:r>
        <w:rPr>
          <w:color w:val="auto"/>
          <w:highlight w:val="none"/>
        </w:rPr>
        <w:t> </w:t>
      </w:r>
    </w:p>
    <w:p w14:paraId="7E6B1DB9">
      <w:pPr>
        <w:pStyle w:val="14"/>
        <w:spacing w:beforeAutospacing="0" w:afterAutospacing="0"/>
        <w:jc w:val="both"/>
        <w:rPr>
          <w:color w:val="auto"/>
          <w:highlight w:val="none"/>
        </w:rPr>
      </w:pPr>
      <w:r>
        <w:rPr>
          <w:color w:val="auto"/>
          <w:highlight w:val="none"/>
        </w:rPr>
        <w:t> </w:t>
      </w:r>
    </w:p>
    <w:p w14:paraId="7D8A46C1">
      <w:pPr>
        <w:pStyle w:val="14"/>
        <w:spacing w:beforeAutospacing="0" w:afterAutospacing="0"/>
        <w:jc w:val="both"/>
        <w:rPr>
          <w:color w:val="auto"/>
          <w:highlight w:val="none"/>
        </w:rPr>
      </w:pPr>
      <w:r>
        <w:rPr>
          <w:color w:val="auto"/>
          <w:highlight w:val="none"/>
        </w:rPr>
        <w:t> </w:t>
      </w:r>
    </w:p>
    <w:p w14:paraId="0B32525D">
      <w:pPr>
        <w:pStyle w:val="14"/>
        <w:spacing w:beforeAutospacing="0" w:afterAutospacing="0"/>
        <w:jc w:val="both"/>
        <w:rPr>
          <w:color w:val="auto"/>
          <w:highlight w:val="none"/>
        </w:rPr>
      </w:pPr>
      <w:r>
        <w:rPr>
          <w:color w:val="auto"/>
          <w:highlight w:val="none"/>
        </w:rPr>
        <w:t> </w:t>
      </w:r>
    </w:p>
    <w:p w14:paraId="49E415F8">
      <w:pPr>
        <w:pStyle w:val="14"/>
        <w:spacing w:beforeAutospacing="0" w:afterAutospacing="0"/>
        <w:jc w:val="both"/>
        <w:rPr>
          <w:color w:val="auto"/>
          <w:highlight w:val="none"/>
        </w:rPr>
      </w:pPr>
      <w:r>
        <w:rPr>
          <w:color w:val="auto"/>
          <w:highlight w:val="none"/>
        </w:rPr>
        <w:t> </w:t>
      </w:r>
    </w:p>
    <w:p w14:paraId="501F8754">
      <w:pPr>
        <w:pStyle w:val="14"/>
        <w:spacing w:beforeAutospacing="0" w:afterAutospacing="0"/>
        <w:jc w:val="both"/>
        <w:rPr>
          <w:color w:val="auto"/>
          <w:highlight w:val="none"/>
        </w:rPr>
      </w:pPr>
      <w:r>
        <w:rPr>
          <w:color w:val="auto"/>
          <w:highlight w:val="none"/>
        </w:rPr>
        <w:t> </w:t>
      </w:r>
    </w:p>
    <w:p w14:paraId="728709E3">
      <w:pPr>
        <w:pStyle w:val="14"/>
        <w:spacing w:beforeAutospacing="0" w:afterAutospacing="0"/>
        <w:jc w:val="both"/>
        <w:rPr>
          <w:color w:val="auto"/>
          <w:highlight w:val="none"/>
        </w:rPr>
      </w:pPr>
      <w:r>
        <w:rPr>
          <w:color w:val="auto"/>
          <w:highlight w:val="none"/>
        </w:rPr>
        <w:t> </w:t>
      </w:r>
    </w:p>
    <w:p w14:paraId="1E818FF1">
      <w:pPr>
        <w:pStyle w:val="14"/>
        <w:spacing w:beforeAutospacing="0" w:afterAutospacing="0"/>
        <w:jc w:val="both"/>
        <w:rPr>
          <w:color w:val="auto"/>
          <w:highlight w:val="none"/>
        </w:rPr>
      </w:pPr>
      <w:r>
        <w:rPr>
          <w:color w:val="auto"/>
          <w:highlight w:val="none"/>
        </w:rPr>
        <w:t> </w:t>
      </w:r>
    </w:p>
    <w:p w14:paraId="7202403D">
      <w:pPr>
        <w:pStyle w:val="14"/>
        <w:spacing w:beforeAutospacing="0" w:afterAutospacing="0"/>
        <w:jc w:val="both"/>
        <w:rPr>
          <w:color w:val="auto"/>
          <w:highlight w:val="none"/>
        </w:rPr>
      </w:pPr>
      <w:r>
        <w:rPr>
          <w:color w:val="auto"/>
          <w:highlight w:val="none"/>
        </w:rPr>
        <w:t> </w:t>
      </w:r>
    </w:p>
    <w:p w14:paraId="02DC78F5">
      <w:pPr>
        <w:pStyle w:val="14"/>
        <w:spacing w:beforeAutospacing="0" w:afterAutospacing="0"/>
        <w:jc w:val="both"/>
        <w:rPr>
          <w:color w:val="auto"/>
          <w:highlight w:val="none"/>
        </w:rPr>
      </w:pPr>
      <w:r>
        <w:rPr>
          <w:color w:val="auto"/>
          <w:highlight w:val="none"/>
        </w:rPr>
        <w:t> </w:t>
      </w:r>
    </w:p>
    <w:p w14:paraId="078B6EA7">
      <w:pPr>
        <w:pStyle w:val="14"/>
        <w:spacing w:beforeAutospacing="0" w:afterAutospacing="0"/>
        <w:jc w:val="both"/>
        <w:rPr>
          <w:color w:val="auto"/>
          <w:highlight w:val="none"/>
        </w:rPr>
      </w:pPr>
      <w:r>
        <w:rPr>
          <w:color w:val="auto"/>
          <w:highlight w:val="none"/>
        </w:rPr>
        <w:t> </w:t>
      </w:r>
    </w:p>
    <w:p w14:paraId="2F7AAB98">
      <w:pPr>
        <w:pStyle w:val="14"/>
        <w:keepNext/>
        <w:spacing w:beforeAutospacing="0" w:afterAutospacing="0"/>
        <w:jc w:val="center"/>
        <w:rPr>
          <w:rFonts w:eastAsia="黑体"/>
          <w:color w:val="auto"/>
          <w:highlight w:val="none"/>
        </w:rPr>
      </w:pPr>
      <w:bookmarkStart w:id="6" w:name="_Toc28359009"/>
      <w:r>
        <w:rPr>
          <w:rFonts w:hint="eastAsia" w:ascii="黑体" w:hAnsi="宋体" w:eastAsia="黑体" w:cs="黑体"/>
          <w:color w:val="auto"/>
          <w:sz w:val="44"/>
          <w:szCs w:val="44"/>
          <w:highlight w:val="none"/>
        </w:rPr>
        <w:t>第一章 招标公告</w:t>
      </w:r>
    </w:p>
    <w:p w14:paraId="5D5715B0">
      <w:pPr>
        <w:pStyle w:val="1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5B5AAC91">
      <w:pPr>
        <w:pStyle w:val="14"/>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lang w:eastAsia="zh-CN"/>
        </w:rPr>
        <w:t>高新区“限值限量”监测设备运维服务采购项目</w:t>
      </w:r>
      <w:r>
        <w:rPr>
          <w:rFonts w:hint="eastAsia" w:ascii="仿宋" w:hAnsi="仿宋" w:eastAsia="仿宋" w:cs="仿宋"/>
          <w:color w:val="auto"/>
          <w:sz w:val="28"/>
          <w:szCs w:val="28"/>
          <w:highlight w:val="none"/>
        </w:rPr>
        <w:t>招标项目的潜在投标人可在“苏采云”系统内免费下载（投标人必须在苏采云系统中获取采购文件，方能参与政府采购项目），并于</w:t>
      </w:r>
      <w:r>
        <w:rPr>
          <w:rFonts w:hint="eastAsia" w:ascii="仿宋" w:hAnsi="仿宋" w:eastAsia="仿宋" w:cs="仿宋"/>
          <w:color w:val="auto"/>
          <w:sz w:val="28"/>
          <w:szCs w:val="28"/>
          <w:highlight w:val="none"/>
          <w:u w:val="single"/>
        </w:rPr>
        <w:t> </w:t>
      </w:r>
      <w:r>
        <w:rPr>
          <w:rFonts w:hint="eastAsia" w:ascii="仿宋" w:hAnsi="仿宋" w:eastAsia="仿宋" w:cs="仿宋"/>
          <w:color w:val="0000FF"/>
          <w:sz w:val="28"/>
          <w:szCs w:val="28"/>
          <w:highlight w:val="none"/>
          <w:u w:val="single"/>
        </w:rPr>
        <w:t>202</w:t>
      </w:r>
      <w:r>
        <w:rPr>
          <w:rFonts w:hint="eastAsia" w:ascii="仿宋" w:hAnsi="仿宋" w:eastAsia="仿宋" w:cs="仿宋"/>
          <w:color w:val="0000FF"/>
          <w:sz w:val="28"/>
          <w:szCs w:val="28"/>
          <w:highlight w:val="none"/>
          <w:u w:val="single"/>
          <w:lang w:val="en-US" w:eastAsia="zh-CN"/>
        </w:rPr>
        <w:t>6</w:t>
      </w:r>
      <w:r>
        <w:rPr>
          <w:rFonts w:hint="eastAsia" w:ascii="仿宋" w:hAnsi="仿宋" w:eastAsia="仿宋" w:cs="仿宋"/>
          <w:color w:val="0000FF"/>
          <w:sz w:val="28"/>
          <w:szCs w:val="28"/>
          <w:highlight w:val="none"/>
          <w:u w:val="single"/>
        </w:rPr>
        <w:t>年</w:t>
      </w:r>
      <w:r>
        <w:rPr>
          <w:rFonts w:hint="eastAsia" w:ascii="仿宋" w:hAnsi="仿宋" w:eastAsia="仿宋" w:cs="仿宋"/>
          <w:color w:val="0000FF"/>
          <w:sz w:val="28"/>
          <w:szCs w:val="28"/>
          <w:highlight w:val="none"/>
          <w:u w:val="single"/>
          <w:lang w:val="en-US" w:eastAsia="zh-CN"/>
        </w:rPr>
        <w:t>3</w:t>
      </w:r>
      <w:r>
        <w:rPr>
          <w:rFonts w:hint="eastAsia" w:ascii="仿宋" w:hAnsi="仿宋" w:eastAsia="仿宋" w:cs="仿宋"/>
          <w:color w:val="0000FF"/>
          <w:sz w:val="28"/>
          <w:szCs w:val="28"/>
          <w:highlight w:val="none"/>
          <w:u w:val="single"/>
        </w:rPr>
        <w:t>月</w:t>
      </w:r>
      <w:r>
        <w:rPr>
          <w:rFonts w:hint="eastAsia" w:ascii="仿宋" w:hAnsi="仿宋" w:eastAsia="仿宋" w:cs="仿宋"/>
          <w:color w:val="0000FF"/>
          <w:sz w:val="28"/>
          <w:szCs w:val="28"/>
          <w:highlight w:val="none"/>
          <w:u w:val="single"/>
          <w:lang w:val="en-US" w:eastAsia="zh-CN"/>
        </w:rPr>
        <w:t>27</w:t>
      </w:r>
      <w:r>
        <w:rPr>
          <w:rFonts w:hint="eastAsia" w:ascii="仿宋" w:hAnsi="仿宋" w:eastAsia="仿宋" w:cs="仿宋"/>
          <w:color w:val="0000FF"/>
          <w:sz w:val="28"/>
          <w:szCs w:val="28"/>
          <w:highlight w:val="none"/>
          <w:u w:val="single"/>
        </w:rPr>
        <w:t>日</w:t>
      </w:r>
      <w:r>
        <w:rPr>
          <w:rFonts w:hint="eastAsia" w:ascii="仿宋" w:hAnsi="仿宋" w:eastAsia="仿宋" w:cs="仿宋"/>
          <w:color w:val="0000FF"/>
          <w:sz w:val="28"/>
          <w:szCs w:val="28"/>
          <w:highlight w:val="none"/>
          <w:u w:val="single"/>
          <w:lang w:val="en-US" w:eastAsia="zh-CN"/>
        </w:rPr>
        <w:t>9</w:t>
      </w:r>
      <w:r>
        <w:rPr>
          <w:rFonts w:hint="eastAsia" w:ascii="仿宋" w:hAnsi="仿宋" w:eastAsia="仿宋" w:cs="仿宋"/>
          <w:color w:val="0000FF"/>
          <w:sz w:val="28"/>
          <w:szCs w:val="28"/>
          <w:highlight w:val="none"/>
          <w:u w:val="single"/>
        </w:rPr>
        <w:t>点</w:t>
      </w:r>
      <w:r>
        <w:rPr>
          <w:rFonts w:hint="eastAsia" w:ascii="仿宋" w:hAnsi="仿宋" w:eastAsia="仿宋" w:cs="仿宋"/>
          <w:color w:val="0000FF"/>
          <w:sz w:val="28"/>
          <w:szCs w:val="28"/>
          <w:highlight w:val="none"/>
          <w:u w:val="single"/>
          <w:lang w:val="en-US" w:eastAsia="zh-CN"/>
        </w:rPr>
        <w:t>00</w:t>
      </w:r>
      <w:r>
        <w:rPr>
          <w:rFonts w:hint="eastAsia" w:ascii="仿宋" w:hAnsi="仿宋" w:eastAsia="仿宋" w:cs="仿宋"/>
          <w:color w:val="0000FF"/>
          <w:sz w:val="28"/>
          <w:szCs w:val="28"/>
          <w:highlight w:val="none"/>
          <w:u w:val="single"/>
        </w:rPr>
        <w:t>分</w:t>
      </w:r>
      <w:r>
        <w:rPr>
          <w:rFonts w:hint="eastAsia" w:ascii="仿宋" w:hAnsi="仿宋" w:eastAsia="仿宋" w:cs="仿宋"/>
          <w:color w:val="auto"/>
          <w:sz w:val="28"/>
          <w:szCs w:val="28"/>
          <w:highlight w:val="none"/>
          <w:u w:val="single"/>
        </w:rPr>
        <w:t>（</w:t>
      </w:r>
      <w:r>
        <w:rPr>
          <w:rFonts w:hint="eastAsia" w:ascii="仿宋" w:hAnsi="仿宋" w:eastAsia="仿宋" w:cs="仿宋"/>
          <w:color w:val="auto"/>
          <w:sz w:val="28"/>
          <w:szCs w:val="28"/>
          <w:highlight w:val="none"/>
        </w:rPr>
        <w:t>北京时间）前递交投标文件。</w:t>
      </w:r>
    </w:p>
    <w:p w14:paraId="20ABE647">
      <w:pPr>
        <w:pStyle w:val="14"/>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bookmarkStart w:id="7" w:name="_Toc38985263"/>
      <w:bookmarkStart w:id="8" w:name="_Toc28359079"/>
      <w:bookmarkStart w:id="9" w:name="_Toc35393621"/>
      <w:bookmarkStart w:id="10" w:name="_Toc35393790"/>
      <w:bookmarkStart w:id="11" w:name="_Toc28359002"/>
      <w:bookmarkStart w:id="12" w:name="_Hlk24379207"/>
      <w:r>
        <w:rPr>
          <w:rFonts w:ascii="Times New Roman" w:hAnsi="Times New Roman"/>
          <w:b/>
          <w:color w:val="auto"/>
          <w:sz w:val="32"/>
          <w:szCs w:val="32"/>
          <w:highlight w:val="none"/>
        </w:rPr>
        <w:t>一、项目基本情况</w:t>
      </w:r>
      <w:bookmarkEnd w:id="7"/>
      <w:bookmarkEnd w:id="8"/>
      <w:bookmarkEnd w:id="9"/>
      <w:bookmarkEnd w:id="10"/>
      <w:bookmarkEnd w:id="11"/>
      <w:bookmarkEnd w:id="12"/>
    </w:p>
    <w:p w14:paraId="0E81ECE5">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0000FF"/>
          <w:sz w:val="28"/>
          <w:szCs w:val="28"/>
          <w:highlight w:val="none"/>
        </w:rPr>
        <w:t>1.项目编号：</w:t>
      </w:r>
      <w:r>
        <w:rPr>
          <w:rFonts w:hint="eastAsia" w:ascii="仿宋" w:hAnsi="仿宋" w:eastAsia="仿宋" w:cs="仿宋"/>
          <w:color w:val="auto"/>
          <w:sz w:val="28"/>
          <w:szCs w:val="28"/>
          <w:highlight w:val="none"/>
          <w:lang w:eastAsia="zh-CN"/>
        </w:rPr>
        <w:t>JSZC-320903-JSJD-G2026-0001</w:t>
      </w:r>
      <w:r>
        <w:rPr>
          <w:rFonts w:hint="eastAsia" w:ascii="仿宋" w:hAnsi="仿宋" w:eastAsia="仿宋" w:cs="仿宋"/>
          <w:color w:val="auto"/>
          <w:sz w:val="28"/>
          <w:szCs w:val="28"/>
          <w:highlight w:val="none"/>
          <w:lang w:val="en-US" w:eastAsia="zh-CN"/>
        </w:rPr>
        <w:t xml:space="preserve">                    </w:t>
      </w:r>
    </w:p>
    <w:p w14:paraId="43B1C5E3">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2.项目名称：</w:t>
      </w:r>
      <w:r>
        <w:rPr>
          <w:rFonts w:hint="eastAsia" w:ascii="仿宋" w:hAnsi="仿宋" w:eastAsia="仿宋" w:cs="仿宋"/>
          <w:color w:val="auto"/>
          <w:sz w:val="28"/>
          <w:szCs w:val="28"/>
          <w:highlight w:val="none"/>
          <w:lang w:eastAsia="zh-CN"/>
        </w:rPr>
        <w:t>高新区“限值限量”监测设备运维服务采购项目</w:t>
      </w:r>
    </w:p>
    <w:p w14:paraId="59DED730">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shd w:val="clear" w:color="auto" w:fill="FFFFFF"/>
        </w:rPr>
        <w:t>3.采购方式：公开招标</w:t>
      </w:r>
    </w:p>
    <w:p w14:paraId="73BFD18A">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0000FF"/>
          <w:sz w:val="28"/>
          <w:szCs w:val="28"/>
          <w:highlight w:val="none"/>
        </w:rPr>
      </w:pPr>
      <w:r>
        <w:rPr>
          <w:rFonts w:hint="eastAsia" w:ascii="仿宋" w:hAnsi="仿宋" w:eastAsia="仿宋" w:cs="仿宋"/>
          <w:color w:val="0000FF"/>
          <w:sz w:val="28"/>
          <w:szCs w:val="28"/>
          <w:highlight w:val="none"/>
        </w:rPr>
        <w:t>4.预算金额：</w:t>
      </w:r>
      <w:r>
        <w:rPr>
          <w:rFonts w:hint="eastAsia" w:ascii="仿宋" w:hAnsi="仿宋" w:eastAsia="仿宋" w:cs="仿宋"/>
          <w:color w:val="0000FF"/>
          <w:sz w:val="28"/>
          <w:szCs w:val="28"/>
          <w:highlight w:val="none"/>
          <w:lang w:val="en-US" w:eastAsia="zh-CN"/>
        </w:rPr>
        <w:t>172.9万</w:t>
      </w:r>
      <w:r>
        <w:rPr>
          <w:rFonts w:hint="eastAsia" w:ascii="仿宋" w:hAnsi="仿宋" w:eastAsia="仿宋" w:cs="仿宋"/>
          <w:color w:val="0000FF"/>
          <w:sz w:val="28"/>
          <w:szCs w:val="28"/>
          <w:highlight w:val="none"/>
          <w:lang w:eastAsia="zh-CN"/>
        </w:rPr>
        <w:t>元</w:t>
      </w:r>
    </w:p>
    <w:p w14:paraId="6A433D27">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0000FF"/>
          <w:sz w:val="28"/>
          <w:szCs w:val="28"/>
          <w:highlight w:val="yellow"/>
          <w:lang w:val="en-US" w:eastAsia="zh-CN"/>
        </w:rPr>
        <w:t>5.</w:t>
      </w:r>
      <w:r>
        <w:rPr>
          <w:rFonts w:hint="eastAsia" w:ascii="仿宋" w:hAnsi="仿宋" w:eastAsia="仿宋" w:cs="仿宋"/>
          <w:color w:val="0000FF"/>
          <w:sz w:val="28"/>
          <w:szCs w:val="28"/>
          <w:highlight w:val="yellow"/>
        </w:rPr>
        <w:t>最高限价：</w:t>
      </w:r>
      <w:r>
        <w:rPr>
          <w:rFonts w:hint="eastAsia" w:ascii="仿宋" w:hAnsi="仿宋" w:eastAsia="仿宋" w:cs="仿宋"/>
          <w:color w:val="0000FF"/>
          <w:sz w:val="28"/>
          <w:szCs w:val="28"/>
          <w:highlight w:val="yellow"/>
          <w:lang w:val="en-US" w:eastAsia="zh-CN"/>
        </w:rPr>
        <w:t>164.25万元</w:t>
      </w:r>
      <w:r>
        <w:rPr>
          <w:rFonts w:hint="eastAsia" w:ascii="仿宋" w:hAnsi="仿宋" w:eastAsia="仿宋" w:cs="仿宋"/>
          <w:color w:val="auto"/>
          <w:sz w:val="28"/>
          <w:szCs w:val="28"/>
          <w:highlight w:val="none"/>
        </w:rPr>
        <w:t>，投标报价超过</w:t>
      </w:r>
      <w:r>
        <w:rPr>
          <w:rFonts w:hint="eastAsia" w:ascii="仿宋" w:hAnsi="仿宋" w:eastAsia="仿宋" w:cs="仿宋"/>
          <w:color w:val="auto"/>
          <w:sz w:val="28"/>
          <w:szCs w:val="28"/>
          <w:highlight w:val="none"/>
          <w:lang w:val="en-US" w:eastAsia="zh-CN"/>
        </w:rPr>
        <w:t>最高限价</w:t>
      </w:r>
      <w:r>
        <w:rPr>
          <w:rFonts w:hint="eastAsia" w:ascii="仿宋" w:hAnsi="仿宋" w:eastAsia="仿宋" w:cs="仿宋"/>
          <w:color w:val="auto"/>
          <w:sz w:val="28"/>
          <w:szCs w:val="28"/>
          <w:highlight w:val="none"/>
        </w:rPr>
        <w:t>的投标无效。</w:t>
      </w:r>
    </w:p>
    <w:p w14:paraId="78B69DDA">
      <w:pPr>
        <w:pStyle w:val="14"/>
        <w:pageBreakBefore w:val="0"/>
        <w:kinsoku/>
        <w:wordWrap/>
        <w:overflowPunct/>
        <w:topLinePunct w:val="0"/>
        <w:autoSpaceDE/>
        <w:autoSpaceDN/>
        <w:bidi w:val="0"/>
        <w:adjustRightInd/>
        <w:snapToGrid/>
        <w:spacing w:beforeAutospacing="0" w:afterAutospacing="0"/>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.采购需求：</w:t>
      </w:r>
      <w:r>
        <w:rPr>
          <w:rFonts w:hint="eastAsia" w:ascii="仿宋" w:hAnsi="仿宋" w:eastAsia="仿宋" w:cs="仿宋"/>
          <w:color w:val="auto"/>
          <w:sz w:val="28"/>
          <w:szCs w:val="28"/>
          <w:highlight w:val="none"/>
          <w:lang w:eastAsia="zh-CN"/>
        </w:rPr>
        <w:t>高新区“限值限量”监测设备运维服务采购项目</w:t>
      </w:r>
      <w:r>
        <w:rPr>
          <w:rFonts w:hint="eastAsia" w:ascii="仿宋" w:hAnsi="仿宋" w:eastAsia="仿宋" w:cs="仿宋"/>
          <w:color w:val="auto"/>
          <w:sz w:val="28"/>
          <w:szCs w:val="28"/>
          <w:highlight w:val="none"/>
        </w:rPr>
        <w:t>，详细内容见本招标文件第四章采购需求。</w:t>
      </w:r>
    </w:p>
    <w:p w14:paraId="64FE5693">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7.合同履行期限：</w:t>
      </w:r>
      <w:r>
        <w:rPr>
          <w:rFonts w:hint="eastAsia" w:ascii="仿宋" w:hAnsi="仿宋" w:eastAsia="仿宋" w:cs="仿宋"/>
          <w:color w:val="0000FF"/>
          <w:sz w:val="28"/>
          <w:szCs w:val="28"/>
          <w:highlight w:val="none"/>
          <w:lang w:val="en-US" w:eastAsia="zh-CN"/>
        </w:rPr>
        <w:t>两年（具体履行期限详见采购需求）</w:t>
      </w:r>
      <w:r>
        <w:rPr>
          <w:rFonts w:hint="eastAsia" w:ascii="仿宋" w:hAnsi="仿宋" w:eastAsia="仿宋" w:cs="仿宋"/>
          <w:color w:val="auto"/>
          <w:sz w:val="28"/>
          <w:szCs w:val="28"/>
          <w:highlight w:val="none"/>
        </w:rPr>
        <w:t>，以合同签订日期为准。</w:t>
      </w:r>
    </w:p>
    <w:p w14:paraId="078C5518">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shd w:val="clear" w:color="auto" w:fill="FFFF00"/>
        </w:rPr>
      </w:pPr>
      <w:r>
        <w:rPr>
          <w:rFonts w:hint="eastAsia" w:ascii="仿宋" w:hAnsi="仿宋" w:eastAsia="仿宋" w:cs="仿宋"/>
          <w:color w:val="auto"/>
          <w:sz w:val="28"/>
          <w:szCs w:val="28"/>
          <w:highlight w:val="none"/>
          <w:shd w:val="clear" w:color="auto" w:fill="FFFFFF"/>
        </w:rPr>
        <w:t>8.本项目不接受联合体</w:t>
      </w:r>
      <w:r>
        <w:rPr>
          <w:rFonts w:hint="eastAsia" w:ascii="仿宋" w:hAnsi="仿宋" w:eastAsia="仿宋" w:cs="仿宋"/>
          <w:color w:val="auto"/>
          <w:sz w:val="28"/>
          <w:szCs w:val="28"/>
          <w:highlight w:val="none"/>
        </w:rPr>
        <w:t>参与</w:t>
      </w:r>
      <w:r>
        <w:rPr>
          <w:rFonts w:hint="eastAsia" w:ascii="仿宋" w:hAnsi="仿宋" w:eastAsia="仿宋" w:cs="仿宋"/>
          <w:color w:val="auto"/>
          <w:sz w:val="28"/>
          <w:szCs w:val="28"/>
          <w:highlight w:val="none"/>
          <w:lang w:val="en-US" w:eastAsia="zh-CN"/>
        </w:rPr>
        <w:t>投标</w:t>
      </w:r>
      <w:r>
        <w:rPr>
          <w:rFonts w:hint="eastAsia" w:ascii="仿宋" w:hAnsi="仿宋" w:eastAsia="仿宋" w:cs="仿宋"/>
          <w:color w:val="auto"/>
          <w:sz w:val="28"/>
          <w:szCs w:val="28"/>
          <w:highlight w:val="none"/>
        </w:rPr>
        <w:t>。</w:t>
      </w:r>
    </w:p>
    <w:p w14:paraId="52E7AE2E">
      <w:pPr>
        <w:pStyle w:val="14"/>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bookmarkStart w:id="13" w:name="_Toc38985264"/>
      <w:bookmarkStart w:id="14" w:name="_Toc28359080"/>
      <w:bookmarkStart w:id="15" w:name="_Toc35393791"/>
      <w:bookmarkStart w:id="16" w:name="_Toc28359003"/>
      <w:bookmarkStart w:id="17" w:name="_Toc35393622"/>
      <w:r>
        <w:rPr>
          <w:rFonts w:ascii="Times New Roman" w:hAnsi="Times New Roman"/>
          <w:b/>
          <w:color w:val="auto"/>
          <w:sz w:val="32"/>
          <w:szCs w:val="32"/>
          <w:highlight w:val="none"/>
        </w:rPr>
        <w:t>二、申请人的资格要求：</w:t>
      </w:r>
      <w:bookmarkEnd w:id="13"/>
      <w:bookmarkEnd w:id="14"/>
      <w:bookmarkEnd w:id="15"/>
      <w:bookmarkEnd w:id="16"/>
      <w:bookmarkEnd w:id="17"/>
    </w:p>
    <w:p w14:paraId="4FB8F964">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1.满足《中华人民共和国政府采购法》第二十二条规定，并提供下列材料：</w:t>
      </w:r>
    </w:p>
    <w:p w14:paraId="76826CFA">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1.1 法人或者其他组织的营业执照等证明文件，自然人的身份证明</w:t>
      </w:r>
      <w:r>
        <w:rPr>
          <w:rFonts w:hint="eastAsia" w:ascii="仿宋" w:hAnsi="仿宋" w:eastAsia="仿宋" w:cs="仿宋"/>
          <w:color w:val="auto"/>
          <w:sz w:val="28"/>
          <w:szCs w:val="28"/>
          <w:highlight w:val="none"/>
          <w:lang w:eastAsia="zh-CN"/>
        </w:rPr>
        <w:t>；</w:t>
      </w:r>
    </w:p>
    <w:p w14:paraId="75085039">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1.2</w:t>
      </w:r>
      <w:r>
        <w:rPr>
          <w:rFonts w:hint="eastAsia" w:ascii="仿宋" w:hAnsi="仿宋" w:eastAsia="仿宋" w:cs="仿宋"/>
          <w:color w:val="auto"/>
          <w:sz w:val="28"/>
          <w:szCs w:val="28"/>
          <w:highlight w:val="none"/>
          <w:lang w:eastAsia="zh-CN"/>
        </w:rPr>
        <w:t>上一年度的财务状况报告</w:t>
      </w:r>
      <w:r>
        <w:rPr>
          <w:rFonts w:hint="eastAsia" w:ascii="仿宋" w:hAnsi="仿宋" w:eastAsia="仿宋" w:cs="仿宋"/>
          <w:color w:val="auto"/>
          <w:sz w:val="28"/>
          <w:szCs w:val="28"/>
          <w:highlight w:val="none"/>
        </w:rPr>
        <w:t>（成立不满一年无需提供）</w:t>
      </w:r>
      <w:r>
        <w:rPr>
          <w:rFonts w:hint="eastAsia" w:ascii="仿宋" w:hAnsi="仿宋" w:eastAsia="仿宋" w:cs="仿宋"/>
          <w:color w:val="auto"/>
          <w:sz w:val="28"/>
          <w:szCs w:val="28"/>
          <w:highlight w:val="none"/>
          <w:lang w:eastAsia="zh-CN"/>
        </w:rPr>
        <w:t>；</w:t>
      </w:r>
    </w:p>
    <w:p w14:paraId="0E347954">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1.3具备履行合同所必需的设备和专业技术能力的书面声明</w:t>
      </w:r>
      <w:r>
        <w:rPr>
          <w:rFonts w:hint="eastAsia" w:ascii="仿宋" w:hAnsi="仿宋" w:eastAsia="仿宋" w:cs="仿宋"/>
          <w:color w:val="auto"/>
          <w:sz w:val="28"/>
          <w:szCs w:val="28"/>
          <w:highlight w:val="none"/>
          <w:lang w:eastAsia="zh-CN"/>
        </w:rPr>
        <w:t>；</w:t>
      </w:r>
    </w:p>
    <w:p w14:paraId="49A2B7C7">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1.4依法缴纳税收和社会保障资金的相关材料（提供提交</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截止时间前一年内至少一个月依法缴纳税收及缴纳社会保障资金的证明材料。供应商依法享受缓缴、免缴税收、社会保障资金的提供证明材料。）</w:t>
      </w:r>
      <w:r>
        <w:rPr>
          <w:rFonts w:hint="eastAsia" w:ascii="仿宋" w:hAnsi="仿宋" w:eastAsia="仿宋" w:cs="仿宋"/>
          <w:color w:val="auto"/>
          <w:sz w:val="28"/>
          <w:szCs w:val="28"/>
          <w:highlight w:val="none"/>
          <w:lang w:eastAsia="zh-CN"/>
        </w:rPr>
        <w:t>；</w:t>
      </w:r>
    </w:p>
    <w:p w14:paraId="0069EFBF">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1.5参加政府采购活动前3年内在经营活动中没有重大违法记录的书面声明。</w:t>
      </w:r>
    </w:p>
    <w:p w14:paraId="3D822F72">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1.6法律、行政法规规定的其他条件。</w:t>
      </w:r>
    </w:p>
    <w:p w14:paraId="515CEBA2">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1.7在“信用中国”网站查询，无被列入失信被执行人、重大税收违法案件当事人名单、政府采购严重失信行为记录名单及其他不符合《中华人民共和国政府采购法》第二十二条规定条件的信用记录。（</w:t>
      </w:r>
      <w:r>
        <w:rPr>
          <w:rFonts w:hint="eastAsia" w:ascii="仿宋" w:hAnsi="仿宋" w:eastAsia="仿宋" w:cs="仿宋"/>
          <w:color w:val="auto"/>
          <w:sz w:val="28"/>
          <w:szCs w:val="28"/>
          <w:highlight w:val="none"/>
          <w:lang w:eastAsia="zh-CN"/>
        </w:rPr>
        <w:t>投标文件</w:t>
      </w:r>
      <w:r>
        <w:rPr>
          <w:rFonts w:hint="eastAsia" w:ascii="仿宋" w:hAnsi="仿宋" w:eastAsia="仿宋" w:cs="仿宋"/>
          <w:color w:val="auto"/>
          <w:sz w:val="28"/>
          <w:szCs w:val="28"/>
          <w:highlight w:val="none"/>
        </w:rPr>
        <w:t>中无需提供证明材料）</w:t>
      </w:r>
    </w:p>
    <w:p w14:paraId="24A0E8EC">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1.8单位负责人为同一人或者存在直接控股、管理关系的不同供应商，不得参加同一合同项下的政府采购活动。</w:t>
      </w:r>
    </w:p>
    <w:p w14:paraId="16A9A257">
      <w:pPr>
        <w:pStyle w:val="14"/>
        <w:pageBreakBefore w:val="0"/>
        <w:numPr>
          <w:ilvl w:val="0"/>
          <w:numId w:val="1"/>
        </w:numP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落实政府采购政策需满足的资格要求：</w:t>
      </w:r>
      <w:r>
        <w:rPr>
          <w:rFonts w:hint="eastAsia" w:ascii="仿宋" w:hAnsi="仿宋" w:eastAsia="仿宋" w:cs="仿宋"/>
          <w:color w:val="auto"/>
          <w:sz w:val="28"/>
          <w:szCs w:val="28"/>
          <w:highlight w:val="none"/>
          <w:lang w:eastAsia="zh-CN"/>
        </w:rPr>
        <w:t>本项目专门面向中小企业采购。采购标的的所属行业为运维管理，投标人需按照采购文件的要求提供相应的《中小企业声明函》。企业标准请参照《关于印发中小企业划型标准规定的通知》（工信部联企业[2011]300号）文件规定自行填写。</w:t>
      </w:r>
    </w:p>
    <w:p w14:paraId="19D6257E">
      <w:pPr>
        <w:pStyle w:val="14"/>
        <w:pageBreakBefore w:val="0"/>
        <w:numPr>
          <w:ilvl w:val="0"/>
          <w:numId w:val="1"/>
        </w:numPr>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本项目的特定资格要求：无</w:t>
      </w:r>
      <w:r>
        <w:rPr>
          <w:rFonts w:hint="eastAsia" w:ascii="仿宋" w:hAnsi="仿宋" w:eastAsia="仿宋" w:cs="仿宋"/>
          <w:color w:val="auto"/>
          <w:sz w:val="28"/>
          <w:szCs w:val="28"/>
          <w:highlight w:val="none"/>
          <w:lang w:eastAsia="zh-CN"/>
        </w:rPr>
        <w:t>。</w:t>
      </w:r>
    </w:p>
    <w:p w14:paraId="1D1BFFE3">
      <w:pPr>
        <w:pStyle w:val="14"/>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r>
        <w:rPr>
          <w:rFonts w:ascii="Times New Roman" w:hAnsi="Times New Roman"/>
          <w:b/>
          <w:color w:val="auto"/>
          <w:sz w:val="32"/>
          <w:szCs w:val="32"/>
          <w:highlight w:val="none"/>
        </w:rPr>
        <w:t>三、获取招标文件</w:t>
      </w:r>
    </w:p>
    <w:p w14:paraId="65427E54">
      <w:pPr>
        <w:pStyle w:val="14"/>
        <w:pageBreakBefore w:val="0"/>
        <w:widowControl/>
        <w:shd w:val="clear" w:color="auto" w:fill="FFFFFF"/>
        <w:kinsoku/>
        <w:wordWrap/>
        <w:overflowPunct/>
        <w:topLinePunct w:val="0"/>
        <w:autoSpaceDE/>
        <w:autoSpaceDN/>
        <w:bidi w:val="0"/>
        <w:adjustRightInd/>
        <w:snapToGrid/>
        <w:spacing w:beforeAutospacing="0" w:afterAutospacing="0" w:line="520" w:lineRule="exact"/>
        <w:ind w:left="-525" w:leftChars="-250" w:right="-525" w:rightChars="-250" w:firstLine="540"/>
        <w:jc w:val="both"/>
        <w:textAlignment w:val="auto"/>
        <w:rPr>
          <w:rFonts w:hint="eastAsia" w:ascii="仿宋" w:hAnsi="仿宋" w:eastAsia="仿宋" w:cs="仿宋"/>
          <w:color w:val="auto"/>
          <w:sz w:val="28"/>
          <w:szCs w:val="28"/>
          <w:highlight w:val="none"/>
          <w:lang w:val="en-US" w:eastAsia="zh-CN"/>
        </w:rPr>
      </w:pPr>
      <w:bookmarkStart w:id="18" w:name="_Toc35393793"/>
      <w:bookmarkStart w:id="19" w:name="_Toc38985266"/>
      <w:bookmarkStart w:id="20" w:name="_Toc28359005"/>
      <w:bookmarkStart w:id="21" w:name="_Toc28359082"/>
      <w:bookmarkStart w:id="22" w:name="_Toc35393624"/>
      <w:r>
        <w:rPr>
          <w:rFonts w:hint="eastAsia" w:ascii="仿宋" w:hAnsi="仿宋" w:eastAsia="仿宋" w:cs="仿宋"/>
          <w:color w:val="auto"/>
          <w:sz w:val="28"/>
          <w:szCs w:val="28"/>
          <w:highlight w:val="none"/>
        </w:rPr>
        <w:t>1.时间：</w:t>
      </w:r>
      <w:bookmarkEnd w:id="18"/>
      <w:bookmarkEnd w:id="19"/>
      <w:bookmarkEnd w:id="20"/>
      <w:bookmarkEnd w:id="21"/>
      <w:bookmarkEnd w:id="22"/>
      <w:r>
        <w:rPr>
          <w:rFonts w:hint="eastAsia" w:ascii="仿宋" w:hAnsi="仿宋" w:eastAsia="仿宋" w:cs="仿宋"/>
          <w:color w:val="auto"/>
          <w:sz w:val="28"/>
          <w:szCs w:val="28"/>
          <w:highlight w:val="none"/>
        </w:rPr>
        <w:t>自招标文件公告发布之日起5个工作日</w:t>
      </w:r>
      <w:r>
        <w:rPr>
          <w:rFonts w:hint="eastAsia" w:ascii="仿宋" w:hAnsi="仿宋" w:eastAsia="仿宋" w:cs="仿宋"/>
          <w:color w:val="auto"/>
          <w:sz w:val="28"/>
          <w:szCs w:val="28"/>
          <w:highlight w:val="none"/>
          <w:lang w:val="en-US" w:eastAsia="zh-CN"/>
        </w:rPr>
        <w:tab/>
      </w:r>
    </w:p>
    <w:p w14:paraId="516A3324">
      <w:pPr>
        <w:pageBreakBefore w:val="0"/>
        <w:widowControl/>
        <w:kinsoku/>
        <w:wordWrap/>
        <w:overflowPunct/>
        <w:topLinePunct w:val="0"/>
        <w:autoSpaceDE/>
        <w:autoSpaceDN/>
        <w:bidi w:val="0"/>
        <w:adjustRightInd/>
        <w:snapToGrid/>
        <w:spacing w:line="520" w:lineRule="exact"/>
        <w:ind w:left="-525" w:leftChars="-250" w:right="-525" w:rightChars="-250" w:firstLine="480"/>
        <w:jc w:val="left"/>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w:t>
      </w:r>
      <w:r>
        <w:rPr>
          <w:rFonts w:hint="eastAsia" w:ascii="仿宋" w:hAnsi="仿宋" w:eastAsia="仿宋" w:cs="仿宋"/>
          <w:color w:val="auto"/>
          <w:kern w:val="0"/>
          <w:sz w:val="28"/>
          <w:szCs w:val="28"/>
          <w:highlight w:val="none"/>
        </w:rPr>
        <w:t>“苏采云”系统内免费下载（投标人必须在苏采云系统中获取采购文件，方能参与政府采购项目）</w:t>
      </w:r>
    </w:p>
    <w:p w14:paraId="7282C23E">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3.方式：本项目采用网上注册登记方式</w:t>
      </w:r>
    </w:p>
    <w:p w14:paraId="1F44CE81">
      <w:pPr>
        <w:pageBreakBefore w:val="0"/>
        <w:widowControl/>
        <w:kinsoku/>
        <w:wordWrap/>
        <w:overflowPunct/>
        <w:topLinePunct w:val="0"/>
        <w:autoSpaceDE/>
        <w:autoSpaceDN/>
        <w:bidi w:val="0"/>
        <w:adjustRightInd/>
        <w:snapToGrid/>
        <w:spacing w:line="520" w:lineRule="exact"/>
        <w:ind w:left="-525" w:leftChars="-250" w:right="-525" w:rightChars="-250" w:firstLine="480"/>
        <w:jc w:val="left"/>
        <w:textAlignment w:val="auto"/>
        <w:rPr>
          <w:color w:val="auto"/>
          <w:highlight w:val="none"/>
        </w:rPr>
      </w:pPr>
      <w:r>
        <w:rPr>
          <w:rFonts w:hint="eastAsia" w:ascii="仿宋" w:hAnsi="仿宋" w:eastAsia="仿宋" w:cs="仿宋"/>
          <w:color w:val="auto"/>
          <w:sz w:val="28"/>
          <w:szCs w:val="28"/>
          <w:highlight w:val="none"/>
        </w:rPr>
        <w:t>4.售价：0元</w:t>
      </w:r>
    </w:p>
    <w:p w14:paraId="3D6CB799">
      <w:pPr>
        <w:pStyle w:val="14"/>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r>
        <w:rPr>
          <w:rFonts w:ascii="Times New Roman" w:hAnsi="Times New Roman"/>
          <w:b/>
          <w:color w:val="auto"/>
          <w:sz w:val="32"/>
          <w:szCs w:val="32"/>
          <w:highlight w:val="none"/>
        </w:rPr>
        <w:t>四、提交投标文件截止时间、开标时间和地点</w:t>
      </w:r>
    </w:p>
    <w:p w14:paraId="63A0EA7C">
      <w:pPr>
        <w:pStyle w:val="14"/>
        <w:pageBreakBefore w:val="0"/>
        <w:widowControl/>
        <w:shd w:val="clear" w:color="auto" w:fill="FFFFFF"/>
        <w:kinsoku/>
        <w:wordWrap/>
        <w:overflowPunct/>
        <w:topLinePunct w:val="0"/>
        <w:autoSpaceDE/>
        <w:autoSpaceDN/>
        <w:bidi w:val="0"/>
        <w:adjustRightInd/>
        <w:snapToGrid/>
        <w:spacing w:beforeAutospacing="0" w:afterAutospacing="0" w:line="520" w:lineRule="exact"/>
        <w:ind w:left="-525" w:leftChars="-250" w:right="-525" w:rightChars="-250" w:firstLine="54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1.时间：</w:t>
      </w:r>
      <w:r>
        <w:rPr>
          <w:rFonts w:hint="eastAsia" w:ascii="仿宋" w:hAnsi="仿宋" w:eastAsia="仿宋" w:cs="仿宋"/>
          <w:color w:val="0000FF"/>
          <w:sz w:val="28"/>
          <w:szCs w:val="28"/>
          <w:highlight w:val="none"/>
          <w:u w:val="single"/>
          <w:shd w:val="clear" w:color="auto" w:fill="FFFFFF"/>
        </w:rPr>
        <w:t>202</w:t>
      </w:r>
      <w:r>
        <w:rPr>
          <w:rFonts w:hint="eastAsia" w:ascii="仿宋" w:hAnsi="仿宋" w:eastAsia="仿宋" w:cs="仿宋"/>
          <w:color w:val="0000FF"/>
          <w:sz w:val="28"/>
          <w:szCs w:val="28"/>
          <w:highlight w:val="none"/>
          <w:u w:val="single"/>
          <w:shd w:val="clear" w:color="auto" w:fill="FFFFFF"/>
          <w:lang w:val="en-US" w:eastAsia="zh-CN"/>
        </w:rPr>
        <w:t>6</w:t>
      </w:r>
      <w:r>
        <w:rPr>
          <w:rFonts w:hint="eastAsia" w:ascii="仿宋" w:hAnsi="仿宋" w:eastAsia="仿宋" w:cs="仿宋"/>
          <w:color w:val="0000FF"/>
          <w:sz w:val="28"/>
          <w:szCs w:val="28"/>
          <w:highlight w:val="none"/>
          <w:u w:val="single"/>
          <w:shd w:val="clear" w:color="auto" w:fill="FFFFFF"/>
        </w:rPr>
        <w:t>年</w:t>
      </w:r>
      <w:r>
        <w:rPr>
          <w:rFonts w:hint="eastAsia" w:ascii="仿宋" w:hAnsi="仿宋" w:eastAsia="仿宋" w:cs="仿宋"/>
          <w:color w:val="0000FF"/>
          <w:sz w:val="28"/>
          <w:szCs w:val="28"/>
          <w:highlight w:val="none"/>
          <w:u w:val="single"/>
          <w:shd w:val="clear" w:color="auto" w:fill="FFFFFF"/>
          <w:lang w:val="en-US" w:eastAsia="zh-CN"/>
        </w:rPr>
        <w:t>3</w:t>
      </w:r>
      <w:r>
        <w:rPr>
          <w:rFonts w:hint="eastAsia" w:ascii="仿宋" w:hAnsi="仿宋" w:eastAsia="仿宋" w:cs="仿宋"/>
          <w:color w:val="0000FF"/>
          <w:sz w:val="28"/>
          <w:szCs w:val="28"/>
          <w:highlight w:val="none"/>
          <w:u w:val="single"/>
          <w:shd w:val="clear" w:color="auto" w:fill="FFFFFF"/>
        </w:rPr>
        <w:t>月</w:t>
      </w:r>
      <w:r>
        <w:rPr>
          <w:rFonts w:hint="eastAsia" w:ascii="仿宋" w:hAnsi="仿宋" w:eastAsia="仿宋" w:cs="仿宋"/>
          <w:color w:val="0000FF"/>
          <w:sz w:val="28"/>
          <w:szCs w:val="28"/>
          <w:highlight w:val="none"/>
          <w:u w:val="single"/>
          <w:shd w:val="clear" w:color="auto" w:fill="FFFFFF"/>
          <w:lang w:val="en-US" w:eastAsia="zh-CN"/>
        </w:rPr>
        <w:t>27</w:t>
      </w:r>
      <w:r>
        <w:rPr>
          <w:rFonts w:hint="eastAsia" w:ascii="仿宋" w:hAnsi="仿宋" w:eastAsia="仿宋" w:cs="仿宋"/>
          <w:color w:val="0000FF"/>
          <w:sz w:val="28"/>
          <w:szCs w:val="28"/>
          <w:highlight w:val="none"/>
          <w:u w:val="single"/>
          <w:shd w:val="clear" w:color="auto" w:fill="FFFFFF"/>
        </w:rPr>
        <w:t>日</w:t>
      </w:r>
      <w:r>
        <w:rPr>
          <w:rFonts w:hint="eastAsia" w:ascii="仿宋" w:hAnsi="仿宋" w:eastAsia="仿宋" w:cs="仿宋"/>
          <w:color w:val="0000FF"/>
          <w:sz w:val="28"/>
          <w:szCs w:val="28"/>
          <w:highlight w:val="none"/>
          <w:u w:val="single"/>
          <w:shd w:val="clear" w:color="auto" w:fill="FFFFFF"/>
          <w:lang w:val="en-US" w:eastAsia="zh-CN"/>
        </w:rPr>
        <w:t>9：00</w:t>
      </w:r>
      <w:r>
        <w:rPr>
          <w:rFonts w:hint="eastAsia" w:ascii="仿宋" w:hAnsi="仿宋" w:eastAsia="仿宋" w:cs="仿宋"/>
          <w:color w:val="auto"/>
          <w:sz w:val="28"/>
          <w:szCs w:val="28"/>
          <w:highlight w:val="none"/>
        </w:rPr>
        <w:t>（北京时间）。</w:t>
      </w:r>
    </w:p>
    <w:p w14:paraId="2669CFC9">
      <w:pPr>
        <w:pStyle w:val="14"/>
        <w:pageBreakBefore w:val="0"/>
        <w:kinsoku/>
        <w:wordWrap/>
        <w:overflowPunct/>
        <w:topLinePunct w:val="0"/>
        <w:autoSpaceDE/>
        <w:autoSpaceDN/>
        <w:bidi w:val="0"/>
        <w:adjustRightInd/>
        <w:snapToGrid/>
        <w:spacing w:beforeAutospacing="0" w:afterAutospacing="0" w:line="520" w:lineRule="exact"/>
        <w:ind w:left="-525" w:leftChars="-250" w:right="-525" w:rightChars="-250" w:firstLine="48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2.地点：苏采云“不见面”开标大厅。</w:t>
      </w:r>
    </w:p>
    <w:p w14:paraId="19AE73F0">
      <w:pPr>
        <w:pStyle w:val="14"/>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bookmarkStart w:id="23" w:name="_Toc28359084"/>
      <w:bookmarkStart w:id="24" w:name="_Toc38985267"/>
      <w:bookmarkStart w:id="25" w:name="_Toc35393794"/>
      <w:bookmarkStart w:id="26" w:name="_Toc28359007"/>
      <w:bookmarkStart w:id="27" w:name="_Toc35393625"/>
      <w:r>
        <w:rPr>
          <w:rFonts w:ascii="Times New Roman" w:hAnsi="Times New Roman"/>
          <w:b/>
          <w:color w:val="auto"/>
          <w:sz w:val="32"/>
          <w:szCs w:val="32"/>
          <w:highlight w:val="none"/>
        </w:rPr>
        <w:t>五、公告期限</w:t>
      </w:r>
      <w:bookmarkEnd w:id="23"/>
      <w:bookmarkEnd w:id="24"/>
      <w:bookmarkEnd w:id="25"/>
      <w:bookmarkEnd w:id="26"/>
      <w:bookmarkEnd w:id="27"/>
    </w:p>
    <w:p w14:paraId="74B0E512">
      <w:pPr>
        <w:pStyle w:val="14"/>
        <w:pageBreakBefore w:val="0"/>
        <w:widowControl/>
        <w:shd w:val="clear" w:color="auto" w:fill="FFFFFF"/>
        <w:kinsoku/>
        <w:wordWrap/>
        <w:overflowPunct/>
        <w:topLinePunct w:val="0"/>
        <w:autoSpaceDE/>
        <w:autoSpaceDN/>
        <w:bidi w:val="0"/>
        <w:adjustRightInd/>
        <w:snapToGrid/>
        <w:spacing w:beforeAutospacing="0" w:afterAutospacing="0" w:line="520" w:lineRule="exact"/>
        <w:ind w:left="-525" w:leftChars="-250" w:right="-525" w:rightChars="-250" w:firstLine="560"/>
        <w:jc w:val="both"/>
        <w:textAlignment w:val="auto"/>
        <w:rPr>
          <w:rFonts w:ascii="仿宋" w:hAnsi="仿宋" w:eastAsia="仿宋" w:cs="仿宋"/>
          <w:color w:val="auto"/>
          <w:sz w:val="28"/>
          <w:szCs w:val="28"/>
          <w:highlight w:val="none"/>
          <w:shd w:val="clear" w:color="auto" w:fill="FFFFFF"/>
        </w:rPr>
      </w:pPr>
      <w:bookmarkStart w:id="28" w:name="_Toc35393795"/>
      <w:bookmarkStart w:id="29" w:name="_Toc35393626"/>
      <w:bookmarkStart w:id="30" w:name="_Toc38985268"/>
      <w:r>
        <w:rPr>
          <w:rFonts w:hint="eastAsia" w:ascii="仿宋" w:hAnsi="仿宋" w:eastAsia="仿宋" w:cs="仿宋"/>
          <w:color w:val="auto"/>
          <w:sz w:val="28"/>
          <w:szCs w:val="28"/>
          <w:highlight w:val="none"/>
          <w:shd w:val="clear" w:color="auto" w:fill="FFFFFF"/>
        </w:rPr>
        <w:t>自本公告发布之日起5个工作日。</w:t>
      </w:r>
      <w:bookmarkEnd w:id="28"/>
      <w:bookmarkEnd w:id="29"/>
      <w:bookmarkEnd w:id="30"/>
    </w:p>
    <w:p w14:paraId="3A96D6E7">
      <w:pPr>
        <w:pStyle w:val="14"/>
        <w:keepNext/>
        <w:keepLines/>
        <w:pageBreakBefore w:val="0"/>
        <w:kinsoku/>
        <w:wordWrap/>
        <w:overflowPunct/>
        <w:topLinePunct w:val="0"/>
        <w:autoSpaceDE/>
        <w:autoSpaceDN/>
        <w:bidi w:val="0"/>
        <w:adjustRightInd/>
        <w:snapToGrid/>
        <w:spacing w:before="145" w:beforeAutospacing="0" w:after="145" w:afterAutospacing="0" w:line="520" w:lineRule="exact"/>
        <w:ind w:left="-525" w:leftChars="-250" w:right="-525" w:rightChars="-250" w:firstLine="498"/>
        <w:jc w:val="both"/>
        <w:textAlignment w:val="auto"/>
        <w:rPr>
          <w:color w:val="auto"/>
          <w:highlight w:val="none"/>
        </w:rPr>
      </w:pPr>
      <w:r>
        <w:rPr>
          <w:rFonts w:ascii="Times New Roman" w:hAnsi="Times New Roman"/>
          <w:b/>
          <w:color w:val="auto"/>
          <w:sz w:val="32"/>
          <w:szCs w:val="32"/>
          <w:highlight w:val="none"/>
        </w:rPr>
        <w:t>六、其他补充事宜</w:t>
      </w:r>
    </w:p>
    <w:p w14:paraId="2A0228E5">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lang w:val="en-US" w:eastAsia="zh-CN"/>
        </w:rPr>
      </w:pPr>
      <w:bookmarkStart w:id="31" w:name="_Toc28359018"/>
      <w:r>
        <w:rPr>
          <w:rFonts w:hint="eastAsia" w:ascii="仿宋" w:hAnsi="仿宋" w:eastAsia="仿宋" w:cs="仿宋"/>
          <w:color w:val="auto"/>
          <w:sz w:val="28"/>
          <w:szCs w:val="28"/>
          <w:highlight w:val="none"/>
          <w:shd w:val="clear" w:color="auto"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7AC79F59">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lang w:val="en-US" w:eastAsia="zh-CN"/>
        </w:rPr>
        <w:t>领取CA和办理电子签章</w:t>
      </w:r>
      <w:r>
        <w:rPr>
          <w:rFonts w:hint="eastAsia" w:ascii="仿宋" w:hAnsi="仿宋" w:eastAsia="仿宋" w:cs="仿宋"/>
          <w:color w:val="0000FF"/>
          <w:sz w:val="28"/>
          <w:szCs w:val="28"/>
          <w:highlight w:val="none"/>
          <w:shd w:val="clear" w:color="auto" w:fill="FFFFFF"/>
          <w:lang w:val="en-US" w:eastAsia="zh-CN"/>
        </w:rPr>
        <w:t>（请至盐城市府西路1号盐城市公共资源交易中心四楼大厅10号，11号窗口办理，</w:t>
      </w:r>
      <w:r>
        <w:rPr>
          <w:rFonts w:hint="eastAsia" w:ascii="仿宋" w:hAnsi="仿宋" w:eastAsia="仿宋" w:cs="仿宋"/>
          <w:color w:val="auto"/>
          <w:sz w:val="28"/>
          <w:szCs w:val="28"/>
          <w:highlight w:val="none"/>
          <w:shd w:val="clear" w:color="auto"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63AE087B">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2.潜在供应商访问电子招标响应交易平台的网络地址和方法： </w:t>
      </w:r>
    </w:p>
    <w:p w14:paraId="1F72AEBE">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82FDDB1">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2.2 潜在投标人访问“苏采云”系统方法：江苏政府采购网首页-“苏采云”链接。 </w:t>
      </w:r>
    </w:p>
    <w:p w14:paraId="187E1D99">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2.3 采购文件（后缀名为“.kedt”）、供应商操作手册及政府采购客户端 工具可通过“苏采云”系统相应链接进行下载。 </w:t>
      </w:r>
    </w:p>
    <w:p w14:paraId="5BFFF7FA">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2.4 采购代理机构将数据电文形式的采购文件加载至“苏采云”系统，供潜在供应商下载或者查阅。 </w:t>
      </w:r>
    </w:p>
    <w:p w14:paraId="499811E8">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 xml:space="preserve">2.5 请潜在投标单位提前安装相应的控件（详见《“苏采云”系统供应商操作手册》）并使用谷歌浏览器登录“苏采云”系统参与不见面开评标。 </w:t>
      </w:r>
    </w:p>
    <w:p w14:paraId="15E142FD">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如潜在投标人未按上述要求操作，将自行承担所产生的风险。</w:t>
      </w:r>
    </w:p>
    <w:p w14:paraId="5A0DE2FC">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3.有关本次招标的事项若存在变动或修改，敬请及时关注</w:t>
      </w:r>
      <w:r>
        <w:rPr>
          <w:rFonts w:hint="eastAsia" w:ascii="仿宋" w:hAnsi="仿宋" w:eastAsia="仿宋" w:cs="仿宋"/>
          <w:color w:val="auto"/>
          <w:sz w:val="28"/>
          <w:szCs w:val="28"/>
          <w:highlight w:val="none"/>
          <w:shd w:val="clear" w:color="auto" w:fill="FFFFFF"/>
          <w:lang w:eastAsia="zh-CN"/>
        </w:rPr>
        <w:t>江苏锦东信工程咨询有限公司</w:t>
      </w:r>
      <w:r>
        <w:rPr>
          <w:rFonts w:hint="eastAsia" w:ascii="仿宋" w:hAnsi="仿宋" w:eastAsia="仿宋" w:cs="仿宋"/>
          <w:color w:val="auto"/>
          <w:sz w:val="28"/>
          <w:szCs w:val="28"/>
          <w:highlight w:val="none"/>
          <w:shd w:val="clear" w:color="auto" w:fill="FFFFFF"/>
        </w:rPr>
        <w:t>在“中国政府采购网”、“</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”、“盐城市政府采购网”发布的更正公告。</w:t>
      </w:r>
    </w:p>
    <w:p w14:paraId="6089D3DD">
      <w:pPr>
        <w:pStyle w:val="14"/>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jc w:val="both"/>
        <w:textAlignment w:val="auto"/>
        <w:rPr>
          <w:rFonts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4.本次招标不收取投标保证金，不收取质量保证金</w:t>
      </w:r>
      <w:r>
        <w:rPr>
          <w:rFonts w:hint="eastAsia" w:ascii="仿宋" w:hAnsi="仿宋" w:eastAsia="仿宋" w:cs="仿宋"/>
          <w:color w:val="auto"/>
          <w:w w:val="95"/>
          <w:sz w:val="28"/>
          <w:szCs w:val="28"/>
          <w:highlight w:val="none"/>
          <w:shd w:val="clear" w:color="auto" w:fill="FFFFFF"/>
        </w:rPr>
        <w:t>。</w:t>
      </w:r>
    </w:p>
    <w:p w14:paraId="43638987">
      <w:pPr>
        <w:pStyle w:val="3"/>
        <w:keepNext w:val="0"/>
        <w:keepLines w:val="0"/>
        <w:pageBreakBefore w:val="0"/>
        <w:widowControl/>
        <w:shd w:val="clear" w:color="auto" w:fill="FFFFFF"/>
        <w:kinsoku/>
        <w:wordWrap/>
        <w:overflowPunct/>
        <w:topLinePunct w:val="0"/>
        <w:autoSpaceDE/>
        <w:autoSpaceDN/>
        <w:bidi w:val="0"/>
        <w:adjustRightInd/>
        <w:snapToGrid/>
        <w:spacing w:beforeAutospacing="0" w:afterAutospacing="0" w:line="600" w:lineRule="exact"/>
        <w:ind w:left="-525" w:leftChars="-250" w:right="-525" w:rightChars="-250" w:firstLine="560" w:firstLineChars="200"/>
        <w:jc w:val="both"/>
        <w:textAlignment w:val="auto"/>
        <w:rPr>
          <w:rFonts w:hint="default" w:ascii="微软雅黑" w:hAnsi="微软雅黑" w:eastAsia="微软雅黑" w:cs="微软雅黑"/>
          <w:b w:val="0"/>
          <w:bCs w:val="0"/>
          <w:color w:val="auto"/>
          <w:sz w:val="27"/>
          <w:szCs w:val="27"/>
          <w:highlight w:val="none"/>
        </w:rPr>
      </w:pPr>
      <w:r>
        <w:rPr>
          <w:rFonts w:ascii="黑体" w:eastAsia="黑体" w:cs="黑体"/>
          <w:b w:val="0"/>
          <w:bCs w:val="0"/>
          <w:color w:val="auto"/>
          <w:sz w:val="28"/>
          <w:szCs w:val="28"/>
          <w:highlight w:val="none"/>
          <w:shd w:val="clear" w:color="auto" w:fill="FFFFFF"/>
        </w:rPr>
        <w:t>七、对本次招标提出询问，请按以下方式联系。</w:t>
      </w:r>
      <w:bookmarkEnd w:id="31"/>
    </w:p>
    <w:p w14:paraId="6C9AA140">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1.采购人信息</w:t>
      </w:r>
    </w:p>
    <w:p w14:paraId="318DD6BF">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名称：</w:t>
      </w:r>
      <w:r>
        <w:rPr>
          <w:rFonts w:hint="eastAsia" w:ascii="仿宋" w:hAnsi="仿宋" w:eastAsia="仿宋" w:cs="仿宋"/>
          <w:color w:val="auto"/>
          <w:sz w:val="28"/>
          <w:szCs w:val="28"/>
          <w:highlight w:val="none"/>
          <w:shd w:val="clear" w:color="auto" w:fill="FFFFFF"/>
          <w:lang w:eastAsia="zh-CN"/>
        </w:rPr>
        <w:t>盐城高新技术产业开发区管理委员会</w:t>
      </w:r>
    </w:p>
    <w:p w14:paraId="7322CF0A">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地址：</w:t>
      </w:r>
      <w:r>
        <w:rPr>
          <w:rFonts w:hint="eastAsia" w:ascii="仿宋" w:hAnsi="仿宋" w:eastAsia="仿宋" w:cs="仿宋"/>
          <w:color w:val="auto"/>
          <w:sz w:val="28"/>
          <w:szCs w:val="28"/>
          <w:highlight w:val="none"/>
          <w:shd w:val="clear" w:color="auto" w:fill="FFFFFF"/>
          <w:lang w:eastAsia="zh-CN"/>
        </w:rPr>
        <w:t>盐城市</w:t>
      </w:r>
      <w:r>
        <w:rPr>
          <w:rFonts w:hint="eastAsia" w:ascii="仿宋" w:hAnsi="仿宋" w:eastAsia="仿宋" w:cs="仿宋"/>
          <w:color w:val="auto"/>
          <w:sz w:val="28"/>
          <w:szCs w:val="28"/>
          <w:highlight w:val="none"/>
          <w:shd w:val="clear" w:color="auto" w:fill="FFFFFF"/>
          <w:lang w:val="en-US" w:eastAsia="zh-CN"/>
        </w:rPr>
        <w:t>高新区</w:t>
      </w:r>
      <w:r>
        <w:rPr>
          <w:rFonts w:hint="eastAsia" w:ascii="仿宋" w:hAnsi="仿宋" w:eastAsia="仿宋" w:cs="仿宋"/>
          <w:color w:val="auto"/>
          <w:sz w:val="28"/>
          <w:szCs w:val="28"/>
          <w:highlight w:val="none"/>
          <w:shd w:val="clear" w:color="auto" w:fill="FFFFFF"/>
          <w:lang w:eastAsia="zh-CN"/>
        </w:rPr>
        <w:t>研创大厦</w:t>
      </w:r>
      <w:r>
        <w:rPr>
          <w:rFonts w:hint="eastAsia" w:ascii="仿宋" w:hAnsi="仿宋" w:eastAsia="仿宋" w:cs="仿宋"/>
          <w:color w:val="auto"/>
          <w:sz w:val="28"/>
          <w:szCs w:val="28"/>
          <w:highlight w:val="none"/>
          <w:shd w:val="clear" w:color="auto" w:fill="FFFFFF"/>
          <w:lang w:val="en-US" w:eastAsia="zh-CN"/>
        </w:rPr>
        <w:t>4F</w:t>
      </w:r>
    </w:p>
    <w:p w14:paraId="1D61F9B1">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联系人：</w:t>
      </w:r>
      <w:r>
        <w:rPr>
          <w:rFonts w:hint="eastAsia" w:ascii="仿宋" w:hAnsi="仿宋" w:eastAsia="仿宋" w:cs="仿宋"/>
          <w:color w:val="auto"/>
          <w:sz w:val="28"/>
          <w:szCs w:val="28"/>
          <w:highlight w:val="none"/>
          <w:shd w:val="clear" w:color="auto" w:fill="FFFFFF"/>
          <w:lang w:val="en-US" w:eastAsia="zh-CN"/>
        </w:rPr>
        <w:t>张女士</w:t>
      </w:r>
    </w:p>
    <w:p w14:paraId="71FF481F">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eastAsia="zh-CN"/>
        </w:rPr>
        <w:t>0515-88638506</w:t>
      </w:r>
      <w:r>
        <w:rPr>
          <w:rFonts w:hint="eastAsia" w:ascii="仿宋" w:hAnsi="仿宋" w:eastAsia="仿宋" w:cs="仿宋"/>
          <w:color w:val="auto"/>
          <w:sz w:val="28"/>
          <w:szCs w:val="28"/>
          <w:highlight w:val="none"/>
          <w:shd w:val="clear" w:color="auto" w:fill="FFFFFF"/>
        </w:rPr>
        <w:t xml:space="preserve">           </w:t>
      </w:r>
      <w:bookmarkStart w:id="32" w:name="_Toc28359010"/>
      <w:bookmarkStart w:id="33" w:name="_Toc28359087"/>
      <w:r>
        <w:rPr>
          <w:rFonts w:hint="eastAsia" w:ascii="仿宋" w:hAnsi="仿宋" w:eastAsia="仿宋" w:cs="仿宋"/>
          <w:color w:val="auto"/>
          <w:sz w:val="28"/>
          <w:szCs w:val="28"/>
          <w:highlight w:val="none"/>
          <w:shd w:val="clear" w:color="auto" w:fill="FFFFFF"/>
        </w:rPr>
        <w:t>      </w:t>
      </w:r>
      <w:bookmarkEnd w:id="32"/>
      <w:bookmarkEnd w:id="33"/>
    </w:p>
    <w:p w14:paraId="49806B21">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2.采购代理机构信息（如有）</w:t>
      </w:r>
    </w:p>
    <w:p w14:paraId="21868270">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单位名称：</w:t>
      </w:r>
      <w:r>
        <w:rPr>
          <w:rFonts w:hint="eastAsia" w:ascii="仿宋" w:hAnsi="仿宋" w:eastAsia="仿宋" w:cs="仿宋"/>
          <w:color w:val="auto"/>
          <w:sz w:val="28"/>
          <w:szCs w:val="28"/>
          <w:highlight w:val="none"/>
          <w:shd w:val="clear" w:color="auto" w:fill="FFFFFF"/>
          <w:lang w:eastAsia="zh-CN"/>
        </w:rPr>
        <w:t>江苏锦东信工程咨询有限公司</w:t>
      </w:r>
    </w:p>
    <w:p w14:paraId="712648F8">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单位地址：</w:t>
      </w:r>
      <w:r>
        <w:rPr>
          <w:rFonts w:hint="eastAsia" w:ascii="仿宋" w:hAnsi="仿宋" w:eastAsia="仿宋" w:cs="仿宋"/>
          <w:color w:val="auto"/>
          <w:sz w:val="28"/>
          <w:szCs w:val="28"/>
          <w:highlight w:val="none"/>
          <w:shd w:val="clear" w:color="auto" w:fill="FFFFFF"/>
          <w:lang w:eastAsia="zh-CN"/>
        </w:rPr>
        <w:t>盐城市盐都区颐高盐城工业数字经济产业园B9号楼7楼西户</w:t>
      </w:r>
    </w:p>
    <w:p w14:paraId="6CF604A8">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联系人：</w:t>
      </w:r>
      <w:r>
        <w:rPr>
          <w:rFonts w:hint="eastAsia" w:ascii="仿宋" w:hAnsi="仿宋" w:eastAsia="仿宋" w:cs="仿宋"/>
          <w:color w:val="auto"/>
          <w:sz w:val="28"/>
          <w:szCs w:val="28"/>
          <w:highlight w:val="none"/>
          <w:shd w:val="clear" w:color="auto" w:fill="FFFFFF"/>
          <w:lang w:val="en-US" w:eastAsia="zh-CN"/>
        </w:rPr>
        <w:t>周工</w:t>
      </w:r>
    </w:p>
    <w:p w14:paraId="09F233DB">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default" w:ascii="仿宋" w:hAnsi="仿宋" w:eastAsia="仿宋" w:cs="仿宋"/>
          <w:color w:val="auto"/>
          <w:sz w:val="28"/>
          <w:szCs w:val="28"/>
          <w:highlight w:val="none"/>
          <w:shd w:val="clear" w:color="auto" w:fill="FFFFFF"/>
          <w:lang w:val="en-US" w:eastAsia="zh-CN"/>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val="en-US" w:eastAsia="zh-CN"/>
        </w:rPr>
        <w:t>15720795891</w:t>
      </w:r>
    </w:p>
    <w:p w14:paraId="659CC1E2">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rPr>
      </w:pPr>
      <w:r>
        <w:rPr>
          <w:rFonts w:hint="eastAsia" w:ascii="仿宋" w:hAnsi="仿宋" w:eastAsia="仿宋" w:cs="仿宋"/>
          <w:color w:val="auto"/>
          <w:sz w:val="28"/>
          <w:szCs w:val="28"/>
          <w:highlight w:val="none"/>
          <w:shd w:val="clear" w:color="auto" w:fill="FFFFFF"/>
        </w:rPr>
        <w:t>3.项目联系方式</w:t>
      </w:r>
    </w:p>
    <w:p w14:paraId="752A1AC6">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shd w:val="clear" w:color="auto" w:fill="FFFFFF"/>
          <w:lang w:eastAsia="zh-CN"/>
        </w:rPr>
      </w:pPr>
      <w:r>
        <w:rPr>
          <w:rFonts w:hint="eastAsia" w:ascii="仿宋" w:hAnsi="仿宋" w:eastAsia="仿宋" w:cs="仿宋"/>
          <w:color w:val="auto"/>
          <w:sz w:val="28"/>
          <w:szCs w:val="28"/>
          <w:highlight w:val="none"/>
          <w:shd w:val="clear" w:color="auto" w:fill="FFFFFF"/>
        </w:rPr>
        <w:t>项目联系人：</w:t>
      </w:r>
      <w:r>
        <w:rPr>
          <w:rFonts w:hint="eastAsia" w:ascii="仿宋" w:hAnsi="仿宋" w:eastAsia="仿宋" w:cs="仿宋"/>
          <w:color w:val="auto"/>
          <w:sz w:val="28"/>
          <w:szCs w:val="28"/>
          <w:highlight w:val="none"/>
          <w:shd w:val="clear" w:color="auto" w:fill="FFFFFF"/>
          <w:lang w:val="en-US" w:eastAsia="zh-CN"/>
        </w:rPr>
        <w:t>顾先生</w:t>
      </w:r>
    </w:p>
    <w:p w14:paraId="5C52274C">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color w:val="auto"/>
          <w:highlight w:val="none"/>
        </w:rPr>
      </w:pPr>
      <w:r>
        <w:rPr>
          <w:rFonts w:hint="eastAsia" w:ascii="仿宋" w:hAnsi="仿宋" w:eastAsia="仿宋" w:cs="仿宋"/>
          <w:color w:val="auto"/>
          <w:sz w:val="28"/>
          <w:szCs w:val="28"/>
          <w:highlight w:val="none"/>
          <w:shd w:val="clear" w:color="auto" w:fill="FFFFFF"/>
        </w:rPr>
        <w:t>联系电话：</w:t>
      </w:r>
      <w:r>
        <w:rPr>
          <w:rFonts w:hint="eastAsia" w:ascii="仿宋" w:hAnsi="仿宋" w:eastAsia="仿宋" w:cs="仿宋"/>
          <w:color w:val="auto"/>
          <w:sz w:val="28"/>
          <w:szCs w:val="28"/>
          <w:highlight w:val="none"/>
          <w:shd w:val="clear" w:color="auto" w:fill="FFFFFF"/>
          <w:lang w:val="en-US" w:eastAsia="zh-CN"/>
        </w:rPr>
        <w:t xml:space="preserve">13655100025 </w:t>
      </w:r>
      <w:r>
        <w:rPr>
          <w:rFonts w:hint="eastAsia" w:ascii="仿宋" w:hAnsi="仿宋" w:eastAsia="仿宋" w:cs="仿宋"/>
          <w:color w:val="auto"/>
          <w:sz w:val="28"/>
          <w:szCs w:val="28"/>
          <w:highlight w:val="none"/>
          <w:shd w:val="clear" w:color="auto" w:fill="FFFFFF"/>
        </w:rPr>
        <w:t>　　　　　　　　　　</w:t>
      </w:r>
      <w:r>
        <w:rPr>
          <w:color w:val="auto"/>
          <w:highlight w:val="none"/>
        </w:rPr>
        <w:t> </w:t>
      </w:r>
      <w:r>
        <w:rPr>
          <w:rFonts w:hint="eastAsia" w:ascii="宋体" w:hAnsi="宋体" w:eastAsia="宋体" w:cs="宋体"/>
          <w:color w:val="auto"/>
          <w:highlight w:val="none"/>
        </w:rPr>
        <w:t> </w:t>
      </w:r>
    </w:p>
    <w:p w14:paraId="7B2C3C2F">
      <w:pPr>
        <w:rPr>
          <w:rFonts w:ascii="黑体" w:hAnsi="宋体" w:eastAsia="黑体" w:cs="黑体"/>
          <w:b/>
          <w:color w:val="auto"/>
          <w:sz w:val="44"/>
          <w:szCs w:val="44"/>
          <w:highlight w:val="none"/>
        </w:rPr>
      </w:pPr>
      <w:bookmarkStart w:id="34" w:name="_Toc120614211"/>
      <w:r>
        <w:rPr>
          <w:rFonts w:hint="eastAsia" w:ascii="黑体" w:hAnsi="宋体" w:eastAsia="黑体" w:cs="黑体"/>
          <w:b/>
          <w:color w:val="auto"/>
          <w:sz w:val="44"/>
          <w:szCs w:val="44"/>
          <w:highlight w:val="none"/>
        </w:rPr>
        <w:br w:type="page"/>
      </w:r>
    </w:p>
    <w:p w14:paraId="7344024E">
      <w:pPr>
        <w:pStyle w:val="14"/>
        <w:keepNext/>
        <w:keepLines/>
        <w:spacing w:before="260" w:beforeAutospacing="0" w:after="260" w:afterAutospacing="0" w:line="415" w:lineRule="auto"/>
        <w:ind w:firstLine="2429"/>
        <w:jc w:val="both"/>
        <w:rPr>
          <w:color w:val="auto"/>
          <w:highlight w:val="none"/>
        </w:rPr>
      </w:pPr>
      <w:r>
        <w:rPr>
          <w:rFonts w:hint="eastAsia" w:ascii="黑体" w:hAnsi="宋体" w:eastAsia="黑体" w:cs="黑体"/>
          <w:b/>
          <w:color w:val="auto"/>
          <w:sz w:val="44"/>
          <w:szCs w:val="44"/>
          <w:highlight w:val="none"/>
        </w:rPr>
        <w:t xml:space="preserve">第二章  </w:t>
      </w:r>
      <w:bookmarkEnd w:id="34"/>
      <w:bookmarkStart w:id="35" w:name="_Toc20823274"/>
      <w:bookmarkStart w:id="36" w:name="_Toc16938518"/>
      <w:bookmarkStart w:id="37" w:name="_Toc513029202"/>
      <w:bookmarkStart w:id="38" w:name="_Toc120614213"/>
      <w:r>
        <w:rPr>
          <w:rFonts w:hint="eastAsia" w:ascii="黑体" w:hAnsi="宋体" w:eastAsia="黑体" w:cs="黑体"/>
          <w:b/>
          <w:color w:val="auto"/>
          <w:sz w:val="44"/>
          <w:szCs w:val="44"/>
          <w:highlight w:val="none"/>
        </w:rPr>
        <w:t>投标人须知</w:t>
      </w:r>
      <w:bookmarkEnd w:id="35"/>
      <w:bookmarkEnd w:id="36"/>
      <w:bookmarkEnd w:id="37"/>
      <w:bookmarkEnd w:id="38"/>
    </w:p>
    <w:p w14:paraId="33BDE36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39" w:name="_Toc513029203"/>
      <w:bookmarkStart w:id="40" w:name="_Toc120614214"/>
      <w:bookmarkStart w:id="41" w:name="_Toc16938519"/>
      <w:bookmarkStart w:id="42" w:name="_Toc20823275"/>
      <w:r>
        <w:rPr>
          <w:rFonts w:hint="eastAsia" w:ascii="仿宋" w:hAnsi="仿宋" w:eastAsia="仿宋" w:cs="仿宋"/>
          <w:b/>
          <w:color w:val="auto"/>
          <w:sz w:val="28"/>
          <w:szCs w:val="28"/>
          <w:highlight w:val="none"/>
        </w:rPr>
        <w:t>一、总则</w:t>
      </w:r>
      <w:bookmarkEnd w:id="39"/>
      <w:bookmarkEnd w:id="40"/>
      <w:bookmarkEnd w:id="41"/>
      <w:bookmarkEnd w:id="42"/>
    </w:p>
    <w:p w14:paraId="3C4D5C3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43" w:name="_Toc16938520"/>
      <w:bookmarkStart w:id="44" w:name="_Toc513029204"/>
      <w:bookmarkStart w:id="45" w:name="_Toc20823276"/>
      <w:bookmarkStart w:id="46" w:name="_Toc458694821"/>
      <w:bookmarkStart w:id="47" w:name="_Hlt16619475"/>
      <w:r>
        <w:rPr>
          <w:rFonts w:hint="eastAsia" w:ascii="仿宋" w:hAnsi="仿宋" w:eastAsia="仿宋" w:cs="仿宋"/>
          <w:color w:val="auto"/>
          <w:sz w:val="28"/>
          <w:szCs w:val="28"/>
          <w:highlight w:val="none"/>
        </w:rPr>
        <w:t>1</w:t>
      </w:r>
      <w:bookmarkEnd w:id="43"/>
      <w:r>
        <w:rPr>
          <w:rFonts w:hint="eastAsia" w:ascii="仿宋" w:hAnsi="仿宋" w:eastAsia="仿宋" w:cs="仿宋"/>
          <w:color w:val="auto"/>
          <w:sz w:val="28"/>
          <w:szCs w:val="28"/>
          <w:highlight w:val="none"/>
        </w:rPr>
        <w:t>、招标方式</w:t>
      </w:r>
      <w:bookmarkEnd w:id="44"/>
      <w:bookmarkEnd w:id="45"/>
      <w:bookmarkEnd w:id="46"/>
    </w:p>
    <w:p w14:paraId="3F82A09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1.1本次招标采取公开招标方式，本招标文件仅适用于招标公告中所述项目。</w:t>
      </w:r>
    </w:p>
    <w:p w14:paraId="55830F2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48" w:name="_Toc513029205"/>
      <w:bookmarkStart w:id="49" w:name="_Toc16938521"/>
      <w:bookmarkStart w:id="50" w:name="_Toc20823277"/>
      <w:r>
        <w:rPr>
          <w:rFonts w:hint="eastAsia" w:ascii="仿宋" w:hAnsi="仿宋" w:eastAsia="仿宋" w:cs="仿宋"/>
          <w:color w:val="auto"/>
          <w:sz w:val="28"/>
          <w:szCs w:val="28"/>
          <w:highlight w:val="none"/>
        </w:rPr>
        <w:t>2、合格的投标人</w:t>
      </w:r>
      <w:bookmarkEnd w:id="48"/>
      <w:bookmarkEnd w:id="49"/>
      <w:bookmarkEnd w:id="50"/>
    </w:p>
    <w:p w14:paraId="0796661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2.1满足招标公告中供应商的资格要求的规定。</w:t>
      </w:r>
    </w:p>
    <w:p w14:paraId="281BA28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2.2满足本文件实质性要求和条件的规定。</w:t>
      </w:r>
    </w:p>
    <w:p w14:paraId="363F291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51" w:name="_Toc20823278"/>
      <w:bookmarkStart w:id="52" w:name="_Toc16938522"/>
      <w:bookmarkStart w:id="53" w:name="_Toc513029206"/>
      <w:r>
        <w:rPr>
          <w:rFonts w:hint="eastAsia" w:ascii="仿宋" w:hAnsi="仿宋" w:eastAsia="仿宋" w:cs="仿宋"/>
          <w:color w:val="auto"/>
          <w:sz w:val="28"/>
          <w:szCs w:val="28"/>
          <w:highlight w:val="none"/>
        </w:rPr>
        <w:t>3、适用法律</w:t>
      </w:r>
      <w:bookmarkEnd w:id="51"/>
      <w:bookmarkEnd w:id="52"/>
      <w:bookmarkEnd w:id="53"/>
      <w:r>
        <w:rPr>
          <w:rFonts w:hint="eastAsia" w:ascii="仿宋" w:hAnsi="仿宋" w:eastAsia="仿宋" w:cs="仿宋"/>
          <w:color w:val="auto"/>
          <w:sz w:val="28"/>
          <w:szCs w:val="28"/>
          <w:highlight w:val="none"/>
        </w:rPr>
        <w:t>和标准</w:t>
      </w:r>
    </w:p>
    <w:p w14:paraId="446443C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3.1本次招标及由此产生的合同受中华人民共和国有关的法律法规制约和保护。</w:t>
      </w:r>
    </w:p>
    <w:p w14:paraId="5548786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3.2 </w:t>
      </w:r>
      <w:r>
        <w:rPr>
          <w:rFonts w:hint="eastAsia" w:ascii="仿宋" w:hAnsi="仿宋" w:eastAsia="仿宋" w:cs="仿宋"/>
          <w:color w:val="auto"/>
          <w:sz w:val="28"/>
          <w:szCs w:val="28"/>
          <w:highlight w:val="none"/>
        </w:rPr>
        <w:t>在本项目政府采购活动过程中，如果所执行的标准有更新的，按照最新标准执行。</w:t>
      </w:r>
    </w:p>
    <w:p w14:paraId="5426075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54" w:name="_Toc20823279"/>
      <w:bookmarkStart w:id="55" w:name="_Toc16938523"/>
      <w:bookmarkStart w:id="56" w:name="_Toc462564067"/>
      <w:bookmarkStart w:id="57" w:name="_Toc513029207"/>
      <w:r>
        <w:rPr>
          <w:rFonts w:hint="eastAsia" w:ascii="仿宋" w:hAnsi="仿宋" w:eastAsia="仿宋" w:cs="仿宋"/>
          <w:color w:val="auto"/>
          <w:sz w:val="28"/>
          <w:szCs w:val="28"/>
          <w:highlight w:val="none"/>
        </w:rPr>
        <w:t>4、投标费用</w:t>
      </w:r>
      <w:bookmarkEnd w:id="54"/>
      <w:bookmarkEnd w:id="55"/>
      <w:bookmarkEnd w:id="56"/>
      <w:bookmarkEnd w:id="57"/>
    </w:p>
    <w:p w14:paraId="357A6E5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4.1投标人应自行承担所有与参加投标有关的费用，无论投标过程中的做法和结果如何，采购人</w:t>
      </w:r>
      <w:r>
        <w:rPr>
          <w:rFonts w:hint="eastAsia" w:ascii="仿宋" w:hAnsi="仿宋" w:eastAsia="仿宋" w:cs="仿宋"/>
          <w:color w:val="auto"/>
          <w:sz w:val="28"/>
          <w:szCs w:val="28"/>
          <w:highlight w:val="none"/>
          <w:lang w:eastAsia="zh-CN"/>
        </w:rPr>
        <w:t>及采购代理机构</w:t>
      </w:r>
      <w:r>
        <w:rPr>
          <w:rFonts w:hint="eastAsia" w:ascii="仿宋" w:hAnsi="仿宋" w:eastAsia="仿宋" w:cs="仿宋"/>
          <w:color w:val="auto"/>
          <w:sz w:val="28"/>
          <w:szCs w:val="28"/>
          <w:highlight w:val="none"/>
        </w:rPr>
        <w:t>在任何情况下均无义务和责任承担这些费用。</w:t>
      </w:r>
    </w:p>
    <w:p w14:paraId="7B63757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4.2本次招标</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和采购人不收取标书工本费与中标服务费。</w:t>
      </w:r>
    </w:p>
    <w:p w14:paraId="7A81214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5、</w:t>
      </w:r>
      <w:r>
        <w:rPr>
          <w:rFonts w:hint="eastAsia" w:ascii="仿宋" w:hAnsi="仿宋" w:eastAsia="仿宋" w:cs="仿宋"/>
          <w:color w:val="auto"/>
          <w:sz w:val="28"/>
          <w:szCs w:val="28"/>
          <w:highlight w:val="none"/>
        </w:rPr>
        <w:t>招标文件的约束力</w:t>
      </w:r>
    </w:p>
    <w:p w14:paraId="316F2B5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5.1投标人一旦参加本项目采购活动，即被认为接受了本招标文件的规定和约束。</w:t>
      </w:r>
    </w:p>
    <w:p w14:paraId="7B7A7C5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58" w:name="_Toc16938525"/>
      <w:bookmarkStart w:id="59" w:name="_Toc513029209"/>
      <w:bookmarkStart w:id="60" w:name="_Toc20823281"/>
      <w:bookmarkStart w:id="61" w:name="_Toc120614215"/>
      <w:r>
        <w:rPr>
          <w:rFonts w:hint="eastAsia" w:ascii="仿宋" w:hAnsi="仿宋" w:eastAsia="仿宋" w:cs="仿宋"/>
          <w:b/>
          <w:color w:val="auto"/>
          <w:sz w:val="28"/>
          <w:szCs w:val="28"/>
          <w:highlight w:val="none"/>
        </w:rPr>
        <w:t>二、招标文件</w:t>
      </w:r>
      <w:bookmarkEnd w:id="58"/>
      <w:bookmarkEnd w:id="59"/>
      <w:bookmarkEnd w:id="60"/>
      <w:bookmarkEnd w:id="61"/>
    </w:p>
    <w:p w14:paraId="04AFF02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62" w:name="_Toc513029210"/>
      <w:bookmarkStart w:id="63" w:name="_Toc20823282"/>
      <w:bookmarkStart w:id="64" w:name="_Toc16938526"/>
      <w:r>
        <w:rPr>
          <w:rFonts w:hint="eastAsia" w:ascii="仿宋" w:hAnsi="仿宋" w:eastAsia="仿宋" w:cs="仿宋"/>
          <w:color w:val="auto"/>
          <w:sz w:val="28"/>
          <w:szCs w:val="28"/>
          <w:highlight w:val="none"/>
        </w:rPr>
        <w:t>6、招标文件构成</w:t>
      </w:r>
      <w:bookmarkEnd w:id="62"/>
      <w:bookmarkEnd w:id="63"/>
      <w:bookmarkEnd w:id="64"/>
    </w:p>
    <w:p w14:paraId="1C88388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6.1 招标文件由以下部分组成：</w:t>
      </w:r>
    </w:p>
    <w:p w14:paraId="0518EC9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（1）招标公告</w:t>
      </w:r>
    </w:p>
    <w:p w14:paraId="21D9AB2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（2）投标人须知</w:t>
      </w:r>
    </w:p>
    <w:p w14:paraId="3A73710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（3）合同文本</w:t>
      </w:r>
    </w:p>
    <w:p w14:paraId="44CFD63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（4）采购需求</w:t>
      </w:r>
    </w:p>
    <w:p w14:paraId="0A28BEB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（5）评标方法与评标标准</w:t>
      </w:r>
    </w:p>
    <w:p w14:paraId="5D212B6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（6）投标文件格式</w:t>
      </w:r>
    </w:p>
    <w:p w14:paraId="0B02F5E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请仔细检查招标文件是否齐全，如有缺漏请立即与采购人联系解决。</w:t>
      </w:r>
    </w:p>
    <w:p w14:paraId="0CC06D2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DABF19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65" w:name="_Toc513029211"/>
      <w:bookmarkStart w:id="66" w:name="_Toc462564070"/>
      <w:bookmarkStart w:id="67" w:name="_Toc16938527"/>
      <w:bookmarkStart w:id="68" w:name="_Toc20823283"/>
      <w:r>
        <w:rPr>
          <w:rFonts w:hint="eastAsia" w:ascii="仿宋" w:hAnsi="仿宋" w:eastAsia="仿宋" w:cs="仿宋"/>
          <w:color w:val="auto"/>
          <w:sz w:val="28"/>
          <w:szCs w:val="28"/>
          <w:highlight w:val="none"/>
        </w:rPr>
        <w:t>7、招标文件的澄清</w:t>
      </w:r>
      <w:bookmarkEnd w:id="65"/>
      <w:bookmarkEnd w:id="66"/>
      <w:bookmarkEnd w:id="67"/>
      <w:bookmarkEnd w:id="68"/>
    </w:p>
    <w:p w14:paraId="081D060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7.1任何要求对招标文件进行澄清的投标人，应在投标截止期十日前按招标公告中的通讯地址，以书面形式通知采购人。</w:t>
      </w:r>
    </w:p>
    <w:p w14:paraId="3081BAF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69" w:name="_Toc462564071"/>
      <w:bookmarkStart w:id="70" w:name="_Toc20823284"/>
      <w:bookmarkStart w:id="71" w:name="_Toc513029212"/>
      <w:bookmarkStart w:id="72" w:name="_Toc16938528"/>
      <w:r>
        <w:rPr>
          <w:rFonts w:hint="eastAsia" w:ascii="仿宋" w:hAnsi="仿宋" w:eastAsia="仿宋" w:cs="仿宋"/>
          <w:color w:val="auto"/>
          <w:sz w:val="28"/>
          <w:szCs w:val="28"/>
          <w:highlight w:val="none"/>
        </w:rPr>
        <w:t>8、招标文件的修改</w:t>
      </w:r>
      <w:bookmarkEnd w:id="69"/>
      <w:bookmarkEnd w:id="70"/>
      <w:bookmarkEnd w:id="71"/>
      <w:bookmarkEnd w:id="72"/>
    </w:p>
    <w:p w14:paraId="716506D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8.1在投标截止时间前，采购人可以对招标文件进行修改。</w:t>
      </w:r>
    </w:p>
    <w:p w14:paraId="4EEC039D">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8.2</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和采购人有权按照法定的要求推迟投标截止日期和开标日期。</w:t>
      </w:r>
    </w:p>
    <w:p w14:paraId="1C15B86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8.3招标文件的修改将在“中国政府采购网”、“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”、“盐城市政府采购网”公布，补充文件将作为招标文件的组成部分，并对投标人具有约束力。</w:t>
      </w:r>
    </w:p>
    <w:p w14:paraId="020C4D5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73" w:name="_Toc513029213"/>
      <w:bookmarkStart w:id="74" w:name="_Toc16938529"/>
      <w:bookmarkStart w:id="75" w:name="_Toc120614216"/>
      <w:bookmarkStart w:id="76" w:name="_Toc462564072"/>
      <w:bookmarkStart w:id="77" w:name="_Toc20823285"/>
      <w:r>
        <w:rPr>
          <w:rFonts w:hint="eastAsia" w:ascii="仿宋" w:hAnsi="仿宋" w:eastAsia="仿宋" w:cs="仿宋"/>
          <w:b/>
          <w:color w:val="auto"/>
          <w:sz w:val="28"/>
          <w:szCs w:val="28"/>
          <w:highlight w:val="none"/>
        </w:rPr>
        <w:t>三、投标文件的编制</w:t>
      </w:r>
      <w:bookmarkEnd w:id="73"/>
      <w:bookmarkEnd w:id="74"/>
      <w:bookmarkEnd w:id="75"/>
      <w:bookmarkEnd w:id="76"/>
      <w:bookmarkEnd w:id="77"/>
    </w:p>
    <w:p w14:paraId="69819E5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78" w:name="_Toc513029214"/>
      <w:bookmarkStart w:id="79" w:name="_Toc16938530"/>
      <w:bookmarkStart w:id="80" w:name="_Toc20823286"/>
      <w:bookmarkStart w:id="81" w:name="_Toc462564073"/>
      <w:r>
        <w:rPr>
          <w:rFonts w:hint="eastAsia" w:ascii="仿宋" w:hAnsi="仿宋" w:eastAsia="仿宋" w:cs="仿宋"/>
          <w:color w:val="auto"/>
          <w:sz w:val="28"/>
          <w:szCs w:val="28"/>
          <w:highlight w:val="none"/>
        </w:rPr>
        <w:t>9、投标文件的语言及度量衡单位</w:t>
      </w:r>
      <w:bookmarkEnd w:id="78"/>
      <w:bookmarkEnd w:id="79"/>
      <w:bookmarkEnd w:id="80"/>
      <w:bookmarkEnd w:id="81"/>
    </w:p>
    <w:p w14:paraId="679E6CC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9.1投标人提交的投标文件以及投标人与采购人就有关投标的所有来往通知、函件和文件均应使用</w:t>
      </w:r>
      <w:r>
        <w:rPr>
          <w:rFonts w:hint="eastAsia" w:ascii="仿宋" w:hAnsi="仿宋" w:eastAsia="仿宋" w:cs="仿宋"/>
          <w:b/>
          <w:color w:val="auto"/>
          <w:sz w:val="28"/>
          <w:szCs w:val="28"/>
          <w:highlight w:val="none"/>
        </w:rPr>
        <w:t>简体中文</w:t>
      </w:r>
      <w:r>
        <w:rPr>
          <w:rFonts w:hint="eastAsia" w:ascii="仿宋" w:hAnsi="仿宋" w:eastAsia="仿宋" w:cs="仿宋"/>
          <w:color w:val="auto"/>
          <w:sz w:val="28"/>
          <w:szCs w:val="28"/>
          <w:highlight w:val="none"/>
        </w:rPr>
        <w:t>。</w:t>
      </w:r>
    </w:p>
    <w:p w14:paraId="50575EC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9.2除技术性能另有规定外，投标文件所使用的度量衡单位，均须采用国家法定计量单位。</w:t>
      </w:r>
    </w:p>
    <w:p w14:paraId="288B825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82" w:name="_Toc462564074"/>
      <w:bookmarkStart w:id="83" w:name="_Toc513029215"/>
      <w:bookmarkStart w:id="84" w:name="_Toc20823287"/>
      <w:bookmarkStart w:id="85" w:name="_Toc16938531"/>
      <w:r>
        <w:rPr>
          <w:rFonts w:hint="eastAsia" w:ascii="仿宋" w:hAnsi="仿宋" w:eastAsia="仿宋" w:cs="仿宋"/>
          <w:color w:val="auto"/>
          <w:sz w:val="28"/>
          <w:szCs w:val="28"/>
          <w:highlight w:val="none"/>
        </w:rPr>
        <w:t>10、投标文件构成</w:t>
      </w:r>
      <w:bookmarkEnd w:id="82"/>
      <w:bookmarkEnd w:id="83"/>
      <w:bookmarkEnd w:id="84"/>
      <w:bookmarkEnd w:id="85"/>
    </w:p>
    <w:p w14:paraId="0E59CE4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10.1投标人编写的投标文件应包括资格证明文件、符合性证明文件、投标分项报价表、技术要求响应及偏离表、商务要求响应及偏离表、其他证明文件、投标函、开标一览表等部分。</w:t>
      </w:r>
    </w:p>
    <w:p w14:paraId="24A77A08">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10.2如标书制作工具中格式和内容与“中国政府采购网”、“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”、“盐城市政府采购网”、“盐城市盐都区人民政府网”发布的招标文件不一致，请以“中国政府采购网”、“</w:t>
      </w:r>
      <w:r>
        <w:rPr>
          <w:rFonts w:hint="eastAsia" w:ascii="仿宋" w:hAnsi="仿宋" w:eastAsia="仿宋" w:cs="仿宋"/>
          <w:color w:val="auto"/>
          <w:sz w:val="28"/>
          <w:szCs w:val="28"/>
          <w:highlight w:val="none"/>
          <w:lang w:eastAsia="zh-CN"/>
        </w:rPr>
        <w:t>江苏政府采购网</w:t>
      </w:r>
      <w:r>
        <w:rPr>
          <w:rFonts w:hint="eastAsia" w:ascii="仿宋" w:hAnsi="仿宋" w:eastAsia="仿宋" w:cs="仿宋"/>
          <w:color w:val="auto"/>
          <w:sz w:val="28"/>
          <w:szCs w:val="28"/>
          <w:highlight w:val="none"/>
        </w:rPr>
        <w:t>”、“盐城市政府采购网”发布的招标文件为准。</w:t>
      </w:r>
    </w:p>
    <w:p w14:paraId="07EE72A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bookmarkStart w:id="86" w:name="_Toc49090507"/>
      <w:bookmarkStart w:id="87" w:name="_Toc513029216"/>
      <w:bookmarkStart w:id="88" w:name="_Toc49090509"/>
      <w:bookmarkStart w:id="89" w:name="_Toc513029219"/>
      <w:bookmarkStart w:id="90" w:name="_Toc14577357"/>
      <w:bookmarkStart w:id="91" w:name="_Toc14577354"/>
      <w:bookmarkStart w:id="92" w:name="_Hlt26670360"/>
      <w:bookmarkStart w:id="93" w:name="_Hlt26954838"/>
      <w:bookmarkStart w:id="94" w:name="_Hlt26668975"/>
      <w:r>
        <w:rPr>
          <w:rFonts w:hint="eastAsia" w:ascii="仿宋" w:hAnsi="仿宋" w:eastAsia="仿宋" w:cs="仿宋"/>
          <w:color w:val="auto"/>
          <w:sz w:val="28"/>
          <w:szCs w:val="28"/>
          <w:highlight w:val="none"/>
        </w:rPr>
        <w:t>11、证明投标人及投标标的符合招标文件规定的文件</w:t>
      </w:r>
      <w:bookmarkEnd w:id="86"/>
      <w:bookmarkEnd w:id="87"/>
      <w:bookmarkEnd w:id="88"/>
      <w:bookmarkEnd w:id="89"/>
      <w:bookmarkEnd w:id="90"/>
      <w:bookmarkEnd w:id="91"/>
      <w:bookmarkStart w:id="95" w:name="_Toc14577355"/>
      <w:bookmarkStart w:id="96" w:name="_Toc49090508"/>
    </w:p>
    <w:p w14:paraId="03E87E6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11.1投标人应按照法律、法规、规章和规范性文件以及招标文件要求提交证明文件，证明其及投标标的符合招标文件规定。</w:t>
      </w:r>
      <w:bookmarkEnd w:id="95"/>
      <w:bookmarkEnd w:id="96"/>
    </w:p>
    <w:p w14:paraId="75601E3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11.2招标文件对证明文件无明确形式要求的，证明文件可以以文字资料、图纸和数据等形式提交。</w:t>
      </w:r>
    </w:p>
    <w:p w14:paraId="68F07D3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bookmarkStart w:id="97" w:name="_Hlt26668983"/>
      <w:bookmarkStart w:id="98" w:name="_Hlt26954731"/>
      <w:bookmarkStart w:id="99" w:name="_Hlt26670373"/>
      <w:bookmarkStart w:id="100" w:name="_Hlt26954846"/>
      <w:bookmarkStart w:id="101" w:name="_Hlt26954844"/>
      <w:bookmarkStart w:id="102" w:name="_Hlt26954842"/>
      <w:bookmarkStart w:id="103" w:name="_Hlt26670486"/>
      <w:bookmarkStart w:id="104" w:name="_Hlt26954848"/>
      <w:bookmarkStart w:id="105" w:name="_Hlt26954840"/>
      <w:bookmarkStart w:id="106" w:name="_Hlt26670399"/>
      <w:bookmarkStart w:id="107" w:name="_Hlt26670482"/>
      <w:bookmarkStart w:id="108" w:name="_Hlt26670425"/>
      <w:bookmarkStart w:id="109" w:name="_Hlt26670403"/>
      <w:r>
        <w:rPr>
          <w:rFonts w:hint="eastAsia" w:ascii="仿宋" w:hAnsi="仿宋" w:eastAsia="仿宋" w:cs="仿宋"/>
          <w:color w:val="auto"/>
          <w:sz w:val="28"/>
          <w:szCs w:val="28"/>
          <w:highlight w:val="none"/>
          <w:lang w:val="en-US" w:eastAsia="zh-CN"/>
        </w:rPr>
        <w:t>12、</w:t>
      </w:r>
      <w:r>
        <w:rPr>
          <w:rFonts w:hint="eastAsia" w:ascii="仿宋" w:hAnsi="仿宋" w:eastAsia="仿宋" w:cs="仿宋"/>
          <w:color w:val="auto"/>
          <w:sz w:val="28"/>
          <w:szCs w:val="28"/>
          <w:highlight w:val="none"/>
        </w:rPr>
        <w:t>投标报价</w:t>
      </w:r>
    </w:p>
    <w:p w14:paraId="08755CC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.1投标人应按照招标文件规定格式填报开标一览表，每项只允许有一个报价，任何有选择的报价将不予接受。</w:t>
      </w:r>
    </w:p>
    <w:p w14:paraId="6B06867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.2.1供应商根据现场实际情况、采购人提供的项目需求、自身实力、结合市场行情报价，此报价应包括为完成招标文件中的所有内容。供应商应充分考虑为完成上述内容所必须的全部服务所需的所有费用。</w:t>
      </w:r>
    </w:p>
    <w:p w14:paraId="7462B0F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1</w:t>
      </w:r>
      <w:r>
        <w:rPr>
          <w:rFonts w:hint="eastAsia" w:ascii="仿宋" w:hAnsi="仿宋" w:eastAsia="仿宋" w:cs="仿宋"/>
          <w:color w:val="auto"/>
          <w:sz w:val="28"/>
          <w:szCs w:val="28"/>
          <w:highlight w:val="yellow"/>
          <w:lang w:val="en-US" w:eastAsia="zh-CN"/>
        </w:rPr>
        <w:t>2</w:t>
      </w:r>
      <w:r>
        <w:rPr>
          <w:rFonts w:hint="eastAsia" w:ascii="仿宋" w:hAnsi="仿宋" w:eastAsia="仿宋" w:cs="仿宋"/>
          <w:color w:val="auto"/>
          <w:sz w:val="28"/>
          <w:szCs w:val="28"/>
          <w:highlight w:val="yellow"/>
        </w:rPr>
        <w:t>.2.2本项目设定投标报价的</w:t>
      </w:r>
      <w:r>
        <w:rPr>
          <w:rFonts w:hint="eastAsia" w:ascii="仿宋" w:hAnsi="仿宋" w:eastAsia="仿宋" w:cs="仿宋"/>
          <w:color w:val="0000FF"/>
          <w:sz w:val="28"/>
          <w:szCs w:val="28"/>
          <w:highlight w:val="yellow"/>
        </w:rPr>
        <w:t>最高限价</w:t>
      </w:r>
      <w:r>
        <w:rPr>
          <w:rFonts w:hint="eastAsia" w:ascii="仿宋" w:hAnsi="仿宋" w:eastAsia="仿宋" w:cs="仿宋"/>
          <w:color w:val="0000FF"/>
          <w:sz w:val="28"/>
          <w:szCs w:val="28"/>
          <w:highlight w:val="yellow"/>
          <w:lang w:val="en-US" w:eastAsia="zh-CN"/>
        </w:rPr>
        <w:t>1642500.00</w:t>
      </w:r>
      <w:r>
        <w:rPr>
          <w:rFonts w:hint="eastAsia" w:ascii="仿宋" w:hAnsi="仿宋" w:eastAsia="仿宋" w:cs="仿宋"/>
          <w:color w:val="auto"/>
          <w:sz w:val="28"/>
          <w:szCs w:val="28"/>
          <w:highlight w:val="yellow"/>
        </w:rPr>
        <w:t>元，投标报价高于最高限价，采购人将不予接受，视为无效标书。</w:t>
      </w:r>
    </w:p>
    <w:p w14:paraId="092B02A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.3</w:t>
      </w:r>
      <w:r>
        <w:rPr>
          <w:rFonts w:hint="eastAsia" w:ascii="仿宋" w:hAnsi="仿宋" w:eastAsia="仿宋" w:cs="仿宋"/>
          <w:color w:val="0000FF"/>
          <w:sz w:val="28"/>
          <w:szCs w:val="28"/>
          <w:highlight w:val="none"/>
        </w:rPr>
        <w:t>投标报价方式：</w:t>
      </w:r>
      <w:r>
        <w:rPr>
          <w:rFonts w:hint="eastAsia" w:ascii="仿宋" w:hAnsi="仿宋" w:eastAsia="仿宋" w:cs="仿宋"/>
          <w:color w:val="0000FF"/>
          <w:sz w:val="28"/>
          <w:szCs w:val="28"/>
          <w:highlight w:val="none"/>
          <w:lang w:val="zh-CN"/>
        </w:rPr>
        <w:t>本项目合同采用“固定总价”合同</w:t>
      </w:r>
      <w:r>
        <w:rPr>
          <w:rFonts w:hint="eastAsia" w:ascii="仿宋" w:hAnsi="仿宋" w:eastAsia="仿宋" w:cs="仿宋"/>
          <w:color w:val="0000FF"/>
          <w:sz w:val="28"/>
          <w:szCs w:val="28"/>
          <w:highlight w:val="none"/>
        </w:rPr>
        <w:t>。本合同价格包括运维期间的服务费及文件所要求的相关服务等全过程产生的所有成本和费用以及一切税费，即主要包含但不限于完成本项目所需的一切电费、网络传输费、无线通讯费、数据服务、安全防护、人工、管理、设备、耗材、零部件的更换、培训、售后服务、免费维护、质控、保险、利润、税金、政策性文件规定及合同包含的所有风险、责任等各项应有费用。凡漏项或少计均视为优惠，甲方不另行增加费用。各类风险和政策性调整等风险已包括在合同价中，最终结算时除合同约定调整外一律不予调整。</w:t>
      </w:r>
    </w:p>
    <w:p w14:paraId="52120A0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.3.1供应商应充分考虑项目的规模、性质、服务周期的市场风险和国家政策性调整风险以及招标人对服务范围、服务周期、服务质量等的要求，并计入投标报价中。</w:t>
      </w:r>
    </w:p>
    <w:p w14:paraId="465C963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.3.2只允许有一个报价，任何有选择的报价将被拒绝。</w:t>
      </w:r>
    </w:p>
    <w:p w14:paraId="612B017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4现场踏勘要求：投标人均应自行到项目现场进行踏勘，充分了解项目位置、情况及任何其他足以影响承包价的情况，并将本项目可预见的相关费用考虑到投标报价中，中标后采购人可认为本项目可预见的所有费用已在投标报价中予以考虑。任何因忽视或误解现场情况而导致的索赔将不被批准。</w:t>
      </w:r>
    </w:p>
    <w:p w14:paraId="04AE582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.5其它费用处理</w:t>
      </w:r>
    </w:p>
    <w:p w14:paraId="5F703FA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招标文件未列明，而</w:t>
      </w:r>
      <w:r>
        <w:rPr>
          <w:rFonts w:hint="eastAsia" w:ascii="仿宋" w:hAnsi="仿宋" w:eastAsia="仿宋" w:cs="仿宋"/>
          <w:color w:val="auto"/>
          <w:sz w:val="28"/>
          <w:szCs w:val="28"/>
          <w:highlight w:val="none"/>
          <w:lang w:eastAsia="zh-CN"/>
        </w:rPr>
        <w:t>供应商</w:t>
      </w:r>
      <w:r>
        <w:rPr>
          <w:rFonts w:hint="eastAsia" w:ascii="仿宋" w:hAnsi="仿宋" w:eastAsia="仿宋" w:cs="仿宋"/>
          <w:color w:val="auto"/>
          <w:sz w:val="28"/>
          <w:szCs w:val="28"/>
          <w:highlight w:val="none"/>
        </w:rPr>
        <w:t>认为必需的费用也需列入报价。</w:t>
      </w:r>
    </w:p>
    <w:p w14:paraId="6A6F95C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.6投标货币</w:t>
      </w:r>
    </w:p>
    <w:p w14:paraId="571E01A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投标文件中的单价和总价无特殊规定的采用人民币报价，以元为单位标注。招标文件中另有规定的按规定执行。</w:t>
      </w:r>
    </w:p>
    <w:p w14:paraId="5D7CD12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13、技术要求响应及偏离表、商务要求响应及偏离表</w:t>
      </w:r>
    </w:p>
    <w:p w14:paraId="5E8C995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13.1投标人需对招标文件中的技术要求与商务要求逐项作出响应或偏离，并说明原因。</w:t>
      </w:r>
    </w:p>
    <w:p w14:paraId="07915A82">
      <w:pPr>
        <w:pStyle w:val="14"/>
        <w:pageBreakBefore w:val="0"/>
        <w:widowControl w:val="0"/>
        <w:tabs>
          <w:tab w:val="left" w:pos="1036"/>
        </w:tabs>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13.2投标人可在投标文件中提供认为需要的其他技术文件或说明。</w:t>
      </w:r>
    </w:p>
    <w:p w14:paraId="73CC70F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10" w:name="_Toc14577359"/>
      <w:bookmarkStart w:id="111" w:name="_Toc49090510"/>
      <w:r>
        <w:rPr>
          <w:rFonts w:hint="eastAsia" w:ascii="仿宋" w:hAnsi="仿宋" w:eastAsia="仿宋" w:cs="仿宋"/>
          <w:color w:val="auto"/>
          <w:sz w:val="28"/>
          <w:szCs w:val="28"/>
          <w:highlight w:val="none"/>
        </w:rPr>
        <w:t>14、投标函和开标一览表</w:t>
      </w:r>
      <w:bookmarkEnd w:id="110"/>
      <w:bookmarkEnd w:id="111"/>
    </w:p>
    <w:p w14:paraId="68D74A2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14.1投标人应按照招标文件中提供的格式完整、正确填写投标函、开标一览表。</w:t>
      </w:r>
    </w:p>
    <w:p w14:paraId="1F8279A8">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仿宋" w:hAnsi="仿宋" w:eastAsia="仿宋" w:cs="仿宋"/>
          <w:b/>
          <w:color w:val="auto"/>
          <w:sz w:val="28"/>
          <w:szCs w:val="28"/>
          <w:highlight w:val="none"/>
        </w:rPr>
        <w:t>。</w:t>
      </w:r>
    </w:p>
    <w:p w14:paraId="30206AB2">
      <w:pPr>
        <w:pageBreakBefore w:val="0"/>
        <w:widowControl w:val="0"/>
        <w:kinsoku/>
        <w:wordWrap/>
        <w:overflowPunct/>
        <w:topLinePunct w:val="0"/>
        <w:autoSpaceDE/>
        <w:autoSpaceDN/>
        <w:bidi w:val="0"/>
        <w:adjustRightInd/>
        <w:snapToGrid/>
        <w:ind w:left="-525" w:leftChars="-250" w:right="-525" w:rightChars="-250" w:firstLine="560" w:firstLineChars="200"/>
        <w:textAlignment w:val="auto"/>
        <w:rPr>
          <w:rFonts w:ascii="仿宋" w:hAnsi="仿宋" w:eastAsia="仿宋" w:cs="仿宋"/>
          <w:b/>
          <w:color w:val="auto"/>
          <w:sz w:val="28"/>
          <w:szCs w:val="28"/>
          <w:highlight w:val="none"/>
        </w:rPr>
      </w:pPr>
      <w:r>
        <w:rPr>
          <w:rFonts w:hint="eastAsia" w:ascii="仿宋" w:hAnsi="仿宋" w:eastAsia="仿宋" w:cs="仿宋"/>
          <w:color w:val="auto"/>
          <w:sz w:val="28"/>
          <w:szCs w:val="28"/>
          <w:highlight w:val="none"/>
        </w:rPr>
        <w:t>14.3投标文件的大写金额和小写金额不一致的，以大写金额为准；对不同文字文本投标的解释发生异议的，以中文文本为准。</w:t>
      </w:r>
    </w:p>
    <w:p w14:paraId="1943CDD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12" w:name="_Toc14577360"/>
      <w:bookmarkStart w:id="113" w:name="_Toc49090511"/>
      <w:bookmarkStart w:id="114" w:name="_Hlt26670489"/>
      <w:bookmarkStart w:id="115" w:name="_Hlt26954850"/>
      <w:bookmarkStart w:id="116" w:name="_Hlt26954734"/>
      <w:r>
        <w:rPr>
          <w:rFonts w:hint="eastAsia" w:ascii="仿宋" w:hAnsi="仿宋" w:eastAsia="仿宋" w:cs="仿宋"/>
          <w:color w:val="auto"/>
          <w:sz w:val="28"/>
          <w:szCs w:val="28"/>
          <w:highlight w:val="none"/>
        </w:rPr>
        <w:t>15、投标有效期</w:t>
      </w:r>
      <w:bookmarkEnd w:id="112"/>
      <w:bookmarkEnd w:id="113"/>
    </w:p>
    <w:p w14:paraId="010ABC6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15.1投标有效期为采购人规定的开标之日后</w:t>
      </w:r>
      <w:r>
        <w:rPr>
          <w:rFonts w:hint="eastAsia" w:ascii="仿宋" w:hAnsi="仿宋" w:eastAsia="仿宋" w:cs="仿宋"/>
          <w:b/>
          <w:color w:val="auto"/>
          <w:sz w:val="28"/>
          <w:szCs w:val="28"/>
          <w:highlight w:val="none"/>
          <w:u w:val="single"/>
          <w:lang w:val="en-US" w:eastAsia="zh-CN"/>
        </w:rPr>
        <w:t>九</w:t>
      </w:r>
      <w:r>
        <w:rPr>
          <w:rFonts w:hint="eastAsia" w:ascii="仿宋" w:hAnsi="仿宋" w:eastAsia="仿宋" w:cs="仿宋"/>
          <w:b/>
          <w:color w:val="auto"/>
          <w:sz w:val="28"/>
          <w:szCs w:val="28"/>
          <w:highlight w:val="none"/>
          <w:u w:val="single"/>
        </w:rPr>
        <w:t>十（</w:t>
      </w:r>
      <w:r>
        <w:rPr>
          <w:rFonts w:hint="eastAsia" w:ascii="仿宋" w:hAnsi="仿宋" w:eastAsia="仿宋" w:cs="仿宋"/>
          <w:b/>
          <w:color w:val="auto"/>
          <w:sz w:val="28"/>
          <w:szCs w:val="28"/>
          <w:highlight w:val="none"/>
          <w:u w:val="single"/>
          <w:lang w:val="en-US" w:eastAsia="zh-CN"/>
        </w:rPr>
        <w:t>90</w:t>
      </w:r>
      <w:r>
        <w:rPr>
          <w:rFonts w:hint="eastAsia" w:ascii="仿宋" w:hAnsi="仿宋" w:eastAsia="仿宋" w:cs="仿宋"/>
          <w:b/>
          <w:color w:val="auto"/>
          <w:sz w:val="28"/>
          <w:szCs w:val="28"/>
          <w:highlight w:val="none"/>
          <w:u w:val="single"/>
        </w:rPr>
        <w:t>）天</w:t>
      </w:r>
      <w:r>
        <w:rPr>
          <w:rFonts w:hint="eastAsia" w:ascii="仿宋" w:hAnsi="仿宋" w:eastAsia="仿宋" w:cs="仿宋"/>
          <w:color w:val="auto"/>
          <w:sz w:val="28"/>
          <w:szCs w:val="28"/>
          <w:highlight w:val="none"/>
        </w:rPr>
        <w:t>。投标有效期比规定短的将被视为未实质性响应招标文件而予以拒绝。</w:t>
      </w:r>
    </w:p>
    <w:p w14:paraId="718CB72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16、投标有效期的延长</w:t>
      </w:r>
    </w:p>
    <w:p w14:paraId="6123478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16.1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同时受投标有效期约束的所有权利与义务均延长至新的有效期。</w:t>
      </w:r>
    </w:p>
    <w:p w14:paraId="1C4BEF2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17" w:name="_Toc20823296"/>
      <w:bookmarkStart w:id="118" w:name="_Toc16938540"/>
      <w:bookmarkStart w:id="119" w:name="_Toc513029224"/>
      <w:bookmarkStart w:id="120" w:name="_Toc120614217"/>
      <w:bookmarkStart w:id="121" w:name="_Hlt26954739"/>
      <w:bookmarkStart w:id="122" w:name="_Hlt26954852"/>
      <w:r>
        <w:rPr>
          <w:rFonts w:hint="eastAsia" w:ascii="仿宋" w:hAnsi="仿宋" w:eastAsia="仿宋" w:cs="仿宋"/>
          <w:b/>
          <w:color w:val="auto"/>
          <w:sz w:val="28"/>
          <w:szCs w:val="28"/>
          <w:highlight w:val="none"/>
        </w:rPr>
        <w:t>四、投标文件的递交</w:t>
      </w:r>
      <w:bookmarkEnd w:id="117"/>
      <w:bookmarkEnd w:id="118"/>
      <w:bookmarkEnd w:id="119"/>
      <w:bookmarkEnd w:id="120"/>
    </w:p>
    <w:p w14:paraId="67568B8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23" w:name="_Toc462564084"/>
      <w:bookmarkStart w:id="124" w:name="_Toc16938541"/>
      <w:bookmarkStart w:id="125" w:name="_Toc513029225"/>
      <w:bookmarkStart w:id="126" w:name="_Toc20823297"/>
      <w:r>
        <w:rPr>
          <w:rFonts w:hint="eastAsia" w:ascii="仿宋" w:hAnsi="仿宋" w:eastAsia="仿宋" w:cs="仿宋"/>
          <w:color w:val="auto"/>
          <w:sz w:val="28"/>
          <w:szCs w:val="28"/>
          <w:highlight w:val="none"/>
        </w:rPr>
        <w:t>17、投标文件</w:t>
      </w:r>
      <w:bookmarkEnd w:id="123"/>
      <w:bookmarkEnd w:id="124"/>
      <w:bookmarkEnd w:id="125"/>
      <w:bookmarkEnd w:id="126"/>
      <w:r>
        <w:rPr>
          <w:rFonts w:hint="eastAsia" w:ascii="仿宋" w:hAnsi="仿宋" w:eastAsia="仿宋" w:cs="仿宋"/>
          <w:color w:val="auto"/>
          <w:sz w:val="28"/>
          <w:szCs w:val="28"/>
          <w:highlight w:val="none"/>
        </w:rPr>
        <w:t>的递交</w:t>
      </w:r>
    </w:p>
    <w:p w14:paraId="7915DE9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17.1 电子投标文件的递交</w:t>
      </w:r>
    </w:p>
    <w:p w14:paraId="023902F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投标人应当按照《操作手册》规定，在投标截止时间前制作并上传电子投标文件。</w:t>
      </w:r>
      <w:bookmarkStart w:id="127" w:name="_Toc16938542"/>
      <w:bookmarkEnd w:id="127"/>
      <w:bookmarkStart w:id="128" w:name="_Toc20823298"/>
      <w:bookmarkEnd w:id="128"/>
      <w:bookmarkStart w:id="129" w:name="_Toc513029226"/>
    </w:p>
    <w:p w14:paraId="648AD2A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18、投标截止时间</w:t>
      </w:r>
    </w:p>
    <w:p w14:paraId="7605FA5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i/>
          <w:color w:val="auto"/>
          <w:sz w:val="28"/>
          <w:szCs w:val="28"/>
          <w:highlight w:val="none"/>
          <w:u w:val="single"/>
        </w:rPr>
        <w:t>18.1投标人上传电子投标文件的时间不得迟于招标公告中规定的投标截止时间。</w:t>
      </w:r>
    </w:p>
    <w:p w14:paraId="6C89E2A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投标人应充分考虑到网络环境、网络带宽等风险因素，如因投标人自身原因造成的电子投标文件上传不成功的按照本招标文件第二章第26.1.2条 规定做无效投标处理。</w:t>
      </w:r>
    </w:p>
    <w:p w14:paraId="6378A69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18.2采购人可以按照规定，通过修改招标文件酌情延长投标截止时间，在此情况下，投标人的所有权利和义务以及投标人受制的截止时间均应以延长后新的截止时间为准。</w:t>
      </w:r>
    </w:p>
    <w:p w14:paraId="086AD31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30" w:name="_Toc20823299"/>
      <w:bookmarkStart w:id="131" w:name="_Toc513029227"/>
      <w:bookmarkStart w:id="132" w:name="_Toc16938543"/>
      <w:r>
        <w:rPr>
          <w:rFonts w:hint="eastAsia" w:ascii="仿宋" w:hAnsi="仿宋" w:eastAsia="仿宋" w:cs="仿宋"/>
          <w:color w:val="auto"/>
          <w:sz w:val="28"/>
          <w:szCs w:val="28"/>
          <w:highlight w:val="none"/>
        </w:rPr>
        <w:t>19、投标文件</w:t>
      </w:r>
      <w:bookmarkEnd w:id="130"/>
      <w:bookmarkEnd w:id="131"/>
      <w:bookmarkEnd w:id="132"/>
      <w:r>
        <w:rPr>
          <w:rFonts w:hint="eastAsia" w:ascii="仿宋" w:hAnsi="仿宋" w:eastAsia="仿宋" w:cs="仿宋"/>
          <w:color w:val="auto"/>
          <w:sz w:val="28"/>
          <w:szCs w:val="28"/>
          <w:highlight w:val="none"/>
        </w:rPr>
        <w:t>的拒收</w:t>
      </w:r>
    </w:p>
    <w:p w14:paraId="12CC26C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19.1采购人拒绝接收在其规定的投标截止时间后上传的任何投标文件。</w:t>
      </w:r>
    </w:p>
    <w:p w14:paraId="3A0A32B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33" w:name="_Toc513029228"/>
      <w:bookmarkStart w:id="134" w:name="_Toc20823300"/>
      <w:bookmarkStart w:id="135" w:name="_Toc16938544"/>
      <w:r>
        <w:rPr>
          <w:rFonts w:hint="eastAsia" w:ascii="仿宋" w:hAnsi="仿宋" w:eastAsia="仿宋" w:cs="仿宋"/>
          <w:color w:val="auto"/>
          <w:sz w:val="28"/>
          <w:szCs w:val="28"/>
          <w:highlight w:val="none"/>
        </w:rPr>
        <w:t>20、投标文件的撤回和修改</w:t>
      </w:r>
      <w:bookmarkEnd w:id="133"/>
      <w:bookmarkEnd w:id="134"/>
      <w:bookmarkEnd w:id="135"/>
    </w:p>
    <w:p w14:paraId="37A2109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20.1投标文件的撤回</w:t>
      </w:r>
    </w:p>
    <w:p w14:paraId="046A27C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20.1.1电子投标文件的撤回</w:t>
      </w:r>
    </w:p>
    <w:p w14:paraId="1AD00AE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投标人可在投标截止时间前，撤回其电子投标文件，具体操作方法见《操作手册》。</w:t>
      </w:r>
    </w:p>
    <w:p w14:paraId="5136BA0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20.1.2投标人撤回电子投标文件，则认为其不再参与本项目投标活动。</w:t>
      </w:r>
    </w:p>
    <w:p w14:paraId="6CE6F6E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 投标文件的修改</w:t>
      </w:r>
    </w:p>
    <w:p w14:paraId="069523E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20.2.1投标人可在投标截止时间前，对其电子投标文件进行修改，具体操作方法见《操作手册》。</w:t>
      </w:r>
    </w:p>
    <w:p w14:paraId="0F87E2D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20.2.2在投标截止时间之后，投标人不得对其电子投标文件作任何修改。</w:t>
      </w:r>
    </w:p>
    <w:p w14:paraId="00707CC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20.3在投标截止时间至招标文件中规定的投标有效期满之间的这段时间内，投标人不得撤回其投标。</w:t>
      </w:r>
    </w:p>
    <w:p w14:paraId="4871AB8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36" w:name="_Toc513029229"/>
      <w:bookmarkStart w:id="137" w:name="_Toc20823301"/>
      <w:bookmarkStart w:id="138" w:name="_Toc16938545"/>
      <w:bookmarkStart w:id="139" w:name="_Toc120614218"/>
      <w:r>
        <w:rPr>
          <w:rFonts w:hint="eastAsia" w:ascii="仿宋" w:hAnsi="仿宋" w:eastAsia="仿宋" w:cs="仿宋"/>
          <w:b/>
          <w:color w:val="auto"/>
          <w:sz w:val="28"/>
          <w:szCs w:val="28"/>
          <w:highlight w:val="none"/>
        </w:rPr>
        <w:t>五、开标与评标</w:t>
      </w:r>
      <w:bookmarkEnd w:id="136"/>
      <w:bookmarkEnd w:id="137"/>
      <w:bookmarkEnd w:id="138"/>
      <w:bookmarkEnd w:id="139"/>
    </w:p>
    <w:p w14:paraId="3B0D84F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0" w:name="_Toc16938546"/>
      <w:bookmarkStart w:id="141" w:name="_Toc20823302"/>
      <w:bookmarkStart w:id="142" w:name="_Toc513029230"/>
      <w:r>
        <w:rPr>
          <w:rFonts w:hint="eastAsia" w:ascii="仿宋" w:hAnsi="仿宋" w:eastAsia="仿宋" w:cs="仿宋"/>
          <w:color w:val="auto"/>
          <w:sz w:val="28"/>
          <w:szCs w:val="28"/>
          <w:highlight w:val="none"/>
        </w:rPr>
        <w:t>21、开标</w:t>
      </w:r>
      <w:bookmarkEnd w:id="140"/>
      <w:bookmarkEnd w:id="141"/>
      <w:bookmarkEnd w:id="142"/>
    </w:p>
    <w:p w14:paraId="751C61E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21.1</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将在招标公告中规定的时间和地点组织公开开标。投标人应当按照《操作手册》规定，参加开标活动和在苏采云系统规定的时间内对投标文件进行解密。</w:t>
      </w:r>
    </w:p>
    <w:p w14:paraId="3ACAAC0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21.2开标仪式由</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组织。苏采云系统将自动对项目进行开标，并宣布各投标人名称和投标价格。</w:t>
      </w:r>
    </w:p>
    <w:p w14:paraId="06CDE46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21.3投标人在开标过程中涉及到的投标文件解密、开标结果确认等工作，应按照《操作手册》规定执行。</w:t>
      </w:r>
    </w:p>
    <w:p w14:paraId="3904EE2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21.4投标人如果对开标过程和开标记录有疑义，应当根据《操作手册》规定提出，如苏采云系统中《开标记录表》宣布后5分钟内未提出的，视同认可开标结果。</w:t>
      </w:r>
    </w:p>
    <w:p w14:paraId="04E7A4E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3" w:name="_Toc20823303"/>
      <w:bookmarkStart w:id="144" w:name="_Toc513029231"/>
      <w:bookmarkStart w:id="145" w:name="_Toc16938547"/>
      <w:r>
        <w:rPr>
          <w:rFonts w:hint="eastAsia" w:ascii="仿宋" w:hAnsi="仿宋" w:eastAsia="仿宋" w:cs="仿宋"/>
          <w:color w:val="auto"/>
          <w:sz w:val="28"/>
          <w:szCs w:val="28"/>
          <w:highlight w:val="none"/>
        </w:rPr>
        <w:t>22、评标委员会</w:t>
      </w:r>
      <w:bookmarkEnd w:id="143"/>
      <w:bookmarkEnd w:id="144"/>
      <w:bookmarkEnd w:id="145"/>
    </w:p>
    <w:p w14:paraId="0E4E74F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w:t>
      </w:r>
      <w:r>
        <w:rPr>
          <w:rFonts w:hint="eastAsia" w:ascii="仿宋" w:hAnsi="仿宋" w:eastAsia="仿宋" w:cs="仿宋"/>
          <w:color w:val="auto"/>
          <w:sz w:val="28"/>
          <w:szCs w:val="28"/>
          <w:highlight w:val="none"/>
        </w:rPr>
        <w:t>22.1开标后，</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将立即组织评标委员会（以下简称评委会）进行评标。</w:t>
      </w:r>
    </w:p>
    <w:p w14:paraId="7CB92A1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22.2评委会由采购人代表和有关技术、经济等方面的专家组成，且人员构成符合政府采购有关规定。</w:t>
      </w:r>
    </w:p>
    <w:p w14:paraId="783FD10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22.3评委会独立工作，负责评审所有投标文件并确定</w:t>
      </w:r>
      <w:r>
        <w:rPr>
          <w:rFonts w:hint="eastAsia" w:ascii="仿宋" w:hAnsi="仿宋" w:eastAsia="仿宋" w:cs="仿宋"/>
          <w:color w:val="auto"/>
          <w:sz w:val="28"/>
          <w:szCs w:val="28"/>
          <w:highlight w:val="none"/>
          <w:lang w:eastAsia="zh-CN"/>
        </w:rPr>
        <w:t>中标候选人</w:t>
      </w:r>
      <w:r>
        <w:rPr>
          <w:rFonts w:hint="eastAsia" w:ascii="仿宋" w:hAnsi="仿宋" w:eastAsia="仿宋" w:cs="仿宋"/>
          <w:color w:val="auto"/>
          <w:sz w:val="28"/>
          <w:szCs w:val="28"/>
          <w:highlight w:val="none"/>
        </w:rPr>
        <w:t>。</w:t>
      </w:r>
    </w:p>
    <w:p w14:paraId="76875FD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23、评标过程的保密与公正</w:t>
      </w:r>
    </w:p>
    <w:p w14:paraId="2FD2758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23.1凡是与审查、澄清、评价和比较投标的有关资料以及授标建议等，采购人、评委、</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均不得向投标人或与评标无关的其他人员透露。</w:t>
      </w:r>
    </w:p>
    <w:p w14:paraId="0705077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23.2在评标过程中，投标人不得以任何行为影响评标过程，否则其投标文件将被作为无效投标文件。</w:t>
      </w:r>
    </w:p>
    <w:p w14:paraId="13B2E98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23.3</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和评标委员会不向未中标的投标人解释未中标原因，也不公布评标过程中的相关细节。</w:t>
      </w:r>
    </w:p>
    <w:p w14:paraId="42A2E25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23.4采用综合评分法的项目，未中标的投标人可于中标结果公告期限届满之日起通过苏采云系统查看自己的评审得分及排序情况。</w:t>
      </w:r>
    </w:p>
    <w:p w14:paraId="70EDAD8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6" w:name="_Toc513029232"/>
      <w:bookmarkStart w:id="147" w:name="_Toc16938548"/>
      <w:bookmarkStart w:id="148" w:name="_Toc20823304"/>
      <w:r>
        <w:rPr>
          <w:rFonts w:hint="eastAsia" w:ascii="仿宋" w:hAnsi="仿宋" w:eastAsia="仿宋" w:cs="仿宋"/>
          <w:color w:val="auto"/>
          <w:sz w:val="28"/>
          <w:szCs w:val="28"/>
          <w:highlight w:val="none"/>
        </w:rPr>
        <w:t>24、投标文件的澄清</w:t>
      </w:r>
      <w:bookmarkEnd w:id="146"/>
      <w:bookmarkEnd w:id="147"/>
      <w:bookmarkEnd w:id="148"/>
    </w:p>
    <w:p w14:paraId="3A6FB9E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24.1评标期间，评委会对投标文件中含义不明确、同类问题表述不一致或者有明显文字和计算错误的内容 ，有权要求投标人作出必要的澄清、说明或者补正。</w:t>
      </w:r>
    </w:p>
    <w:p w14:paraId="1F1F50F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投标人的澄清、说明或者补正不得超出投标文件的范围或者改变投标文件的实质性内容。</w:t>
      </w:r>
    </w:p>
    <w:p w14:paraId="69B0E23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评标委员会并非对每个投标人都做澄清要求。</w:t>
      </w:r>
    </w:p>
    <w:p w14:paraId="0DD754C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1E2659E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24.3接到评委会澄清、说明和补正要求的投标人如未按规定做出澄清、说明和补正，其风险由投标人自行承担。</w:t>
      </w:r>
    </w:p>
    <w:p w14:paraId="06D061F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49" w:name="_Toc20823305"/>
      <w:bookmarkStart w:id="150" w:name="_Toc513029233"/>
      <w:bookmarkStart w:id="151" w:name="_Toc16938549"/>
      <w:r>
        <w:rPr>
          <w:rFonts w:hint="eastAsia" w:ascii="仿宋" w:hAnsi="仿宋" w:eastAsia="仿宋" w:cs="仿宋"/>
          <w:color w:val="auto"/>
          <w:sz w:val="28"/>
          <w:szCs w:val="28"/>
          <w:highlight w:val="none"/>
        </w:rPr>
        <w:t>25、对投标文件的初审</w:t>
      </w:r>
      <w:bookmarkEnd w:id="149"/>
      <w:bookmarkEnd w:id="150"/>
      <w:bookmarkEnd w:id="151"/>
    </w:p>
    <w:p w14:paraId="3D1D4D7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25.1投标文件初审分为资格审查和符合性审查。</w:t>
      </w:r>
    </w:p>
    <w:p w14:paraId="4285F95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25.1.1资格审查：依据法律法规和招标文件的规定，由采购人对投标文件中的资格证明文件进行审查。资格审查的结论，采购人以书面形式向评委会进行反馈。</w:t>
      </w:r>
    </w:p>
    <w:p w14:paraId="27A7F73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采购人在进行资格性审查的同时，将在“信用中国”网站（www.creditchina.gov.cn）查询投标人的信用记录，以确定投标人是否具备投标资格,查询结果留存并归档。</w:t>
      </w:r>
    </w:p>
    <w:p w14:paraId="55F5404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3BD4E4E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25.1.2符合性审查：依据招标文件的规定，由评委会从投标文件的有效性、完整性和对招标文件的响应程度进行审查，以确定是否对招标文件的实质性要求作出响应。</w:t>
      </w:r>
    </w:p>
    <w:p w14:paraId="32B0F93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25.1.3未通过资格审查或符合性审查的投标人，采购人将在苏采云系统中告知未通过资格审查或符合性审查的原因，评标结束后，采购人将不再告知未通过资格审查和符合性审查的原因。</w:t>
      </w:r>
    </w:p>
    <w:p w14:paraId="523A452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E37438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所谓重大偏离或保留是指与招标文件规定的实质性要求存在负偏离，或者在实质上与招标文件不一致，而且限制了合同中买方和</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21A0A5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25.3如果投标文件实质上没有响应招标文件的要求，评委会将予以拒绝，投标人不得通过修改或撤销不</w:t>
      </w:r>
      <w:r>
        <w:rPr>
          <w:rFonts w:hint="eastAsia" w:ascii="仿宋" w:hAnsi="仿宋" w:eastAsia="仿宋" w:cs="仿宋"/>
          <w:color w:val="auto"/>
          <w:sz w:val="28"/>
          <w:szCs w:val="28"/>
          <w:highlight w:val="none"/>
          <w:lang w:val="en-US" w:eastAsia="zh-CN"/>
        </w:rPr>
        <w:t>符</w:t>
      </w:r>
      <w:r>
        <w:rPr>
          <w:rFonts w:hint="eastAsia" w:ascii="仿宋" w:hAnsi="仿宋" w:eastAsia="仿宋" w:cs="仿宋"/>
          <w:color w:val="auto"/>
          <w:sz w:val="28"/>
          <w:szCs w:val="28"/>
          <w:highlight w:val="none"/>
        </w:rPr>
        <w:t>合要求的偏离或保留而使其投标成为实质性响应的投标。</w:t>
      </w:r>
    </w:p>
    <w:p w14:paraId="493DE38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25.4评委会将对确定为实质性响应的投标进行进一步审核，确定其是否有计算上或累加上的算术错误，修正错误的原则如下：</w:t>
      </w:r>
    </w:p>
    <w:p w14:paraId="2AF816D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4CCB12C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738A51B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5B88225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0F61B7A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同时出现两种以上错误的，按照前款规定的顺序修正。</w:t>
      </w:r>
    </w:p>
    <w:p w14:paraId="4F76081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1C8A62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52" w:name="_Toc16938550"/>
      <w:bookmarkStart w:id="153" w:name="_Toc513029234"/>
      <w:bookmarkStart w:id="154" w:name="_Toc20823306"/>
      <w:r>
        <w:rPr>
          <w:rFonts w:hint="eastAsia" w:ascii="仿宋" w:hAnsi="仿宋" w:eastAsia="仿宋" w:cs="仿宋"/>
          <w:color w:val="auto"/>
          <w:sz w:val="28"/>
          <w:szCs w:val="28"/>
          <w:highlight w:val="none"/>
        </w:rPr>
        <w:t>25.6投标人在开、评标全过程中应保持通</w:t>
      </w:r>
      <w:r>
        <w:rPr>
          <w:rFonts w:hint="eastAsia" w:ascii="仿宋" w:hAnsi="仿宋" w:eastAsia="仿宋" w:cs="仿宋"/>
          <w:color w:val="auto"/>
          <w:sz w:val="28"/>
          <w:szCs w:val="28"/>
          <w:highlight w:val="none"/>
          <w:lang w:val="en-US" w:eastAsia="zh-CN"/>
        </w:rPr>
        <w:t>信</w:t>
      </w:r>
      <w:r>
        <w:rPr>
          <w:rFonts w:hint="eastAsia" w:ascii="仿宋" w:hAnsi="仿宋" w:eastAsia="仿宋" w:cs="仿宋"/>
          <w:color w:val="auto"/>
          <w:sz w:val="28"/>
          <w:szCs w:val="28"/>
          <w:highlight w:val="none"/>
        </w:rPr>
        <w:t>畅通，及时登录苏采云系统查阅、答复相关信息，并安排专人与</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及评标委员会联系。</w:t>
      </w:r>
      <w:bookmarkEnd w:id="152"/>
      <w:bookmarkEnd w:id="153"/>
      <w:bookmarkEnd w:id="154"/>
    </w:p>
    <w:p w14:paraId="57C5B1D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26、无效投标条款和废标条款</w:t>
      </w:r>
    </w:p>
    <w:p w14:paraId="4E0814F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55" w:name="_Toc20823307"/>
      <w:bookmarkStart w:id="156" w:name="_Toc16938551"/>
      <w:bookmarkStart w:id="157" w:name="_Toc513029235"/>
      <w:r>
        <w:rPr>
          <w:rFonts w:hint="eastAsia" w:ascii="仿宋" w:hAnsi="仿宋" w:eastAsia="仿宋" w:cs="仿宋"/>
          <w:color w:val="auto"/>
          <w:sz w:val="28"/>
          <w:szCs w:val="28"/>
          <w:highlight w:val="none"/>
        </w:rPr>
        <w:t>26.1无效投标条款</w:t>
      </w:r>
      <w:bookmarkEnd w:id="155"/>
      <w:bookmarkEnd w:id="156"/>
      <w:bookmarkEnd w:id="157"/>
    </w:p>
    <w:p w14:paraId="30EA6DA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26.1.1投标人在苏采云系统规定的时间内未成功解密电子投标文件的。</w:t>
      </w:r>
    </w:p>
    <w:p w14:paraId="580499D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26.1.2投标人未按照招标文件要求上传电子投标文件的。</w:t>
      </w:r>
    </w:p>
    <w:p w14:paraId="2618A67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26.1.3同一投标人提交两个（含两个）以上不同的投标报价的。</w:t>
      </w:r>
    </w:p>
    <w:p w14:paraId="11A07B8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26.1.4投标人不具备招标文件中规定资格要求的。</w:t>
      </w:r>
    </w:p>
    <w:p w14:paraId="0769D0FD">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26.1.5投标人的报价超过了采购预算或最高限价的。</w:t>
      </w:r>
    </w:p>
    <w:p w14:paraId="21DE11D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26.1.6未通过符合性审查的。</w:t>
      </w:r>
    </w:p>
    <w:p w14:paraId="5ADD961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26.1.7不符合招标文件中规定的实质性要求和条件的（</w:t>
      </w:r>
      <w:r>
        <w:rPr>
          <w:rFonts w:hint="eastAsia" w:ascii="仿宋" w:hAnsi="仿宋" w:eastAsia="仿宋" w:cs="仿宋"/>
          <w:i/>
          <w:color w:val="auto"/>
          <w:sz w:val="28"/>
          <w:szCs w:val="28"/>
          <w:highlight w:val="none"/>
          <w:u w:val="single"/>
        </w:rPr>
        <w:t>本招标文件中斜体且有下划线部分为实质性要求和条件）。</w:t>
      </w:r>
    </w:p>
    <w:p w14:paraId="0D5A146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88EE58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26.1.9投标文件含有采购人不能接受的附加条件的。</w:t>
      </w:r>
    </w:p>
    <w:p w14:paraId="0AF3D73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26.1.10投标人不能证明其报价合理性的，评标委员会应当将其作为无效投标处理。</w:t>
      </w:r>
    </w:p>
    <w:p w14:paraId="6401C28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（一）评审过程中出现下列情形之一的，评标委员会应当启动异常低价投标审查程序：</w:t>
      </w:r>
    </w:p>
    <w:p w14:paraId="544F7CDD">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1.投标（响应）报价低于全部通过符合性审查供应商投标（响应）报价平均值50%的，即投标（响应）报价&lt;全部通过符合性审查供应商投标（响应）报价平均值×50%； </w:t>
      </w:r>
    </w:p>
    <w:p w14:paraId="36ED7F6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2.投标（响应）报价低于通过符合性审查的次低报价供应商投标（响应）报价50%的，即投标（响应）报价&lt;通过符合性审查的次低报价供应商投标（响应）报价×50%； </w:t>
      </w:r>
    </w:p>
    <w:p w14:paraId="356BF5E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3.投标（响应）报价低于采购项目最高限价45%的，即投标（响应）报价&lt;采购项目最高限价×45%； </w:t>
      </w:r>
    </w:p>
    <w:p w14:paraId="692FEB6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4.评审委员会基于专业判断，认为供应商报价过低，有可能影响产品质量或者不能诚信履约的其他情形。 </w:t>
      </w:r>
    </w:p>
    <w:p w14:paraId="158114F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采购人可以结合具体项目实际情况，提高上述第1项至第3项中启动异常低价投标（响应）审查的数值标准，但是最高不得超过65%。 </w:t>
      </w:r>
    </w:p>
    <w:p w14:paraId="46C188B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相关法律法规对供应商报价有规定的，从其规定。 </w:t>
      </w:r>
    </w:p>
    <w:p w14:paraId="1A889A5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17E0190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p>
    <w:p w14:paraId="3E6B761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179E0AF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rPr>
        <w:t>异常低价投标（响应）审查的启动原因、审查意见和审查结果应当在评审报告中记录，并随供应商提供的相关书面说明及证明材料，以及评审委员会有关互联网浏览、查询历史一并归档。</w:t>
      </w:r>
    </w:p>
    <w:p w14:paraId="4DAEC08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26.1.11投标文件未按照招标文件要求加盖CA电子公章的。</w:t>
      </w:r>
    </w:p>
    <w:p w14:paraId="461E40E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26.1.12其他法律、法规及本招标文件规定的属无效投标的情形。</w:t>
      </w:r>
    </w:p>
    <w:p w14:paraId="0633C07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26.2废标条款</w:t>
      </w:r>
    </w:p>
    <w:p w14:paraId="7B0377A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26.2.1符合专业条件的供应商或者对招标文件作实质响应的供应商不足三家的。</w:t>
      </w:r>
    </w:p>
    <w:p w14:paraId="43F8EFD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26.2.2出现影响采购公正的违法、违规行为的。</w:t>
      </w:r>
    </w:p>
    <w:p w14:paraId="71AD115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26.2.3因重大变故，采购任务取消的。</w:t>
      </w:r>
    </w:p>
    <w:p w14:paraId="0FCC809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26.2.4评标委员会认定招标文件存在歧义、重大缺陷导致评审工作无法进行。</w:t>
      </w:r>
    </w:p>
    <w:p w14:paraId="6BC3517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26.2.5因苏采云系统系统故障原因造成开标不成功的。</w:t>
      </w:r>
    </w:p>
    <w:p w14:paraId="6BA9BE0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 投标截止时间结束后参加投标的供应商不足三家的处理：</w:t>
      </w:r>
    </w:p>
    <w:p w14:paraId="169D49E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26.3.1如出现投标截止时间结束后参加投标的供应商或者在评标期间对招标文件做出实质响应的供应商不足三家情况，按政府采购相关规定执行。</w:t>
      </w:r>
    </w:p>
    <w:p w14:paraId="2F41901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58" w:name="_Toc120614219"/>
      <w:r>
        <w:rPr>
          <w:rFonts w:hint="eastAsia" w:ascii="仿宋" w:hAnsi="仿宋" w:eastAsia="仿宋" w:cs="仿宋"/>
          <w:b/>
          <w:color w:val="auto"/>
          <w:sz w:val="28"/>
          <w:szCs w:val="28"/>
          <w:highlight w:val="none"/>
        </w:rPr>
        <w:t>六、定标</w:t>
      </w:r>
      <w:bookmarkEnd w:id="158"/>
    </w:p>
    <w:p w14:paraId="0280C56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59" w:name="_Toc20823310"/>
      <w:bookmarkStart w:id="160" w:name="_Toc513029238"/>
      <w:bookmarkStart w:id="161" w:name="_Toc16938554"/>
      <w:r>
        <w:rPr>
          <w:rFonts w:hint="eastAsia" w:ascii="仿宋" w:hAnsi="仿宋" w:eastAsia="仿宋" w:cs="仿宋"/>
          <w:color w:val="auto"/>
          <w:sz w:val="28"/>
          <w:szCs w:val="28"/>
          <w:highlight w:val="none"/>
        </w:rPr>
        <w:t>27、</w:t>
      </w:r>
      <w:bookmarkEnd w:id="159"/>
      <w:r>
        <w:rPr>
          <w:rFonts w:hint="eastAsia" w:ascii="仿宋" w:hAnsi="仿宋" w:eastAsia="仿宋" w:cs="仿宋"/>
          <w:color w:val="auto"/>
          <w:sz w:val="28"/>
          <w:szCs w:val="28"/>
          <w:highlight w:val="none"/>
        </w:rPr>
        <w:t>确定</w:t>
      </w:r>
      <w:bookmarkEnd w:id="160"/>
      <w:bookmarkEnd w:id="161"/>
      <w:r>
        <w:rPr>
          <w:rFonts w:hint="eastAsia" w:ascii="仿宋" w:hAnsi="仿宋" w:eastAsia="仿宋" w:cs="仿宋"/>
          <w:color w:val="auto"/>
          <w:sz w:val="28"/>
          <w:szCs w:val="28"/>
          <w:highlight w:val="none"/>
        </w:rPr>
        <w:t>中标单位</w:t>
      </w:r>
    </w:p>
    <w:p w14:paraId="311ED4F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27.1中标候选人的选取原则和数量见招标文件第五章规定。 </w:t>
      </w:r>
    </w:p>
    <w:p w14:paraId="7E30E03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27.2采购人应根据评委会推荐的中标候选人确定中标人。</w:t>
      </w:r>
    </w:p>
    <w:p w14:paraId="1DE42A0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27.3</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将在</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rPr>
        <w:t>中国政府采购网</w:t>
      </w:r>
      <w:r>
        <w:rPr>
          <w:rFonts w:hint="eastAsia" w:ascii="仿宋" w:hAnsi="仿宋" w:eastAsia="仿宋" w:cs="仿宋"/>
          <w:color w:val="auto"/>
          <w:sz w:val="28"/>
          <w:szCs w:val="28"/>
          <w:highlight w:val="none"/>
          <w:shd w:val="clear" w:color="auto" w:fill="FFFFFF"/>
        </w:rPr>
        <w:t>”、“</w:t>
      </w:r>
      <w:r>
        <w:rPr>
          <w:rFonts w:hint="eastAsia" w:ascii="仿宋" w:hAnsi="仿宋" w:eastAsia="仿宋" w:cs="仿宋"/>
          <w:color w:val="auto"/>
          <w:sz w:val="28"/>
          <w:szCs w:val="28"/>
          <w:highlight w:val="none"/>
          <w:shd w:val="clear" w:color="auto" w:fill="FFFFFF"/>
          <w:lang w:eastAsia="zh-CN"/>
        </w:rPr>
        <w:t>江苏政府采购网</w:t>
      </w:r>
      <w:r>
        <w:rPr>
          <w:rFonts w:hint="eastAsia" w:ascii="仿宋" w:hAnsi="仿宋" w:eastAsia="仿宋" w:cs="仿宋"/>
          <w:color w:val="auto"/>
          <w:sz w:val="28"/>
          <w:szCs w:val="28"/>
          <w:highlight w:val="none"/>
          <w:shd w:val="clear" w:color="auto" w:fill="FFFFFF"/>
        </w:rPr>
        <w:t>”、“盐城市政府采购网”、“盐城市盐都区人民政府网”</w:t>
      </w:r>
      <w:r>
        <w:rPr>
          <w:rFonts w:hint="eastAsia" w:ascii="仿宋" w:hAnsi="仿宋" w:eastAsia="仿宋" w:cs="仿宋"/>
          <w:color w:val="auto"/>
          <w:sz w:val="28"/>
          <w:szCs w:val="28"/>
          <w:highlight w:val="none"/>
        </w:rPr>
        <w:t>发布中标公告，公告期限为1个工作日。</w:t>
      </w:r>
    </w:p>
    <w:p w14:paraId="31BB989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27.4若有充分证据证明，中标人出现下列情况之一的，一经查实，将被取消中标资格：</w:t>
      </w:r>
    </w:p>
    <w:p w14:paraId="6785F7F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27.4.1提供虚假材料谋取中标的。</w:t>
      </w:r>
    </w:p>
    <w:p w14:paraId="7F2D0F9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27.4.2向采购人、</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行贿或者提供其他不正当利益的。</w:t>
      </w:r>
    </w:p>
    <w:p w14:paraId="602DBA3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27.4.3属于本文件规定的无效条件，但在评标过程中又未被评委会发现的。</w:t>
      </w:r>
    </w:p>
    <w:p w14:paraId="3AE45E2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27.4.4与采购人或者其他供应商恶意串通的。</w:t>
      </w:r>
    </w:p>
    <w:p w14:paraId="1717674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27.4.5采取不正当手段诋毁、排挤其他供应商的。</w:t>
      </w:r>
    </w:p>
    <w:p w14:paraId="5BA82D3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62" w:name="_Toc200451960"/>
      <w:r>
        <w:rPr>
          <w:rFonts w:hint="eastAsia" w:ascii="仿宋" w:hAnsi="仿宋" w:eastAsia="仿宋" w:cs="仿宋"/>
          <w:color w:val="auto"/>
          <w:sz w:val="28"/>
          <w:szCs w:val="28"/>
          <w:highlight w:val="none"/>
        </w:rPr>
        <w:t>27.5 有下列情形之一的，视为投标人串通投标，投标无效：</w:t>
      </w:r>
      <w:bookmarkEnd w:id="162"/>
    </w:p>
    <w:p w14:paraId="3933C32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27.5.1不同投标人的投标文件由同一单位或者个人编制。</w:t>
      </w:r>
    </w:p>
    <w:p w14:paraId="1C9CEE2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27.5.2不同投标人委托同一单位或者个人办理投标事宜。</w:t>
      </w:r>
    </w:p>
    <w:p w14:paraId="7FBCC31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27.5.3不同投标人的投标文件载明的项目管理成员或者联系人员为同一人。</w:t>
      </w:r>
    </w:p>
    <w:p w14:paraId="3010DED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27.5.4不同投标人的投标文件异常一致或者投标报价呈规律性差异。</w:t>
      </w:r>
    </w:p>
    <w:p w14:paraId="5970285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28、质疑处理</w:t>
      </w:r>
    </w:p>
    <w:p w14:paraId="31D2EE2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28.1提出质疑的供应商应当是参与所质疑项目采购活动的供应商。潜在供应商依法获取其可质疑的采购文件的，可以对采购文件提出质疑。</w:t>
      </w:r>
    </w:p>
    <w:p w14:paraId="3D9CB92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p>
    <w:p w14:paraId="7118C26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28.2.1对可以质疑的采购文件提出质疑的，为收到采购文件之日或者采购文件公告期限届满之日；</w:t>
      </w:r>
    </w:p>
    <w:p w14:paraId="0312DF0D">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28.2.2对采购过程提出质疑的，为各采购程序环节结束之日；</w:t>
      </w:r>
    </w:p>
    <w:p w14:paraId="3AED8EB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28.2.3对中标或者成交结果提出质疑的，为中标或者成交结果公告期限届满之日。</w:t>
      </w:r>
    </w:p>
    <w:p w14:paraId="08FCA00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供应商应当在法定质疑期内一次性提出针对同一采购程序环节的质疑。供应商如在法定期限内对同一采购程序环节提出多次质疑的，采购人将只对供应商第一次质疑作出答复。</w:t>
      </w:r>
    </w:p>
    <w:p w14:paraId="6C67399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C4359C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28.4供应商（含潜在供应商）对与本项目有关的所有询问、质疑均请向采购人提出，由采购人负责答复。</w:t>
      </w:r>
    </w:p>
    <w:p w14:paraId="053BF531">
      <w:pPr>
        <w:pStyle w:val="14"/>
        <w:pageBreakBefore w:val="0"/>
        <w:widowControl/>
        <w:shd w:val="clear" w:color="auto" w:fill="FFFFFF"/>
        <w:kinsoku/>
        <w:wordWrap/>
        <w:overflowPunct/>
        <w:topLinePunct w:val="0"/>
        <w:autoSpaceDE/>
        <w:autoSpaceDN/>
        <w:bidi w:val="0"/>
        <w:adjustRightInd/>
        <w:snapToGrid/>
        <w:spacing w:beforeAutospacing="0" w:afterAutospacing="0"/>
        <w:ind w:left="-525" w:leftChars="-250" w:right="-525" w:rightChars="-250" w:firstLine="56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采购人只接收以纸质原件形式送达的质疑,采购人不接受未填写快递运单的快件。质疑接收部门为</w:t>
      </w:r>
      <w:r>
        <w:rPr>
          <w:rFonts w:hint="eastAsia" w:ascii="仿宋" w:hAnsi="仿宋" w:eastAsia="仿宋" w:cs="仿宋"/>
          <w:color w:val="auto"/>
          <w:sz w:val="28"/>
          <w:szCs w:val="28"/>
          <w:highlight w:val="none"/>
          <w:lang w:val="en-US" w:eastAsia="zh-CN"/>
        </w:rPr>
        <w:t>江苏锦东信工程咨询有限公司</w:t>
      </w:r>
      <w:r>
        <w:rPr>
          <w:rFonts w:hint="eastAsia" w:ascii="仿宋" w:hAnsi="仿宋" w:eastAsia="仿宋" w:cs="仿宋"/>
          <w:color w:val="auto"/>
          <w:sz w:val="28"/>
          <w:szCs w:val="28"/>
          <w:highlight w:val="none"/>
        </w:rPr>
        <w:t>，联系地址</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shd w:val="clear" w:color="auto" w:fill="FFFFFF"/>
          <w:lang w:eastAsia="zh-CN"/>
        </w:rPr>
        <w:t>盐城市盐都区颐高盐城工业数字经济产业园B9号楼7楼西户</w:t>
      </w:r>
      <w:r>
        <w:rPr>
          <w:rFonts w:hint="eastAsia" w:ascii="仿宋" w:hAnsi="仿宋" w:eastAsia="仿宋" w:cs="仿宋"/>
          <w:color w:val="auto"/>
          <w:sz w:val="28"/>
          <w:szCs w:val="28"/>
          <w:highlight w:val="none"/>
        </w:rPr>
        <w:t>，联系电话</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lang w:val="en-US" w:eastAsia="zh-CN"/>
        </w:rPr>
        <w:t>15720795891</w:t>
      </w:r>
      <w:r>
        <w:rPr>
          <w:rFonts w:hint="eastAsia" w:ascii="仿宋" w:hAnsi="仿宋" w:eastAsia="仿宋" w:cs="仿宋"/>
          <w:color w:val="auto"/>
          <w:sz w:val="28"/>
          <w:szCs w:val="28"/>
          <w:highlight w:val="none"/>
        </w:rPr>
        <w:t>。</w:t>
      </w:r>
    </w:p>
    <w:p w14:paraId="630674D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 以下情形的质疑不予受理</w:t>
      </w:r>
    </w:p>
    <w:p w14:paraId="0F26E43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28.5.1内容不符合《政府采购质疑和投诉办法》第十二条规定的质疑。</w:t>
      </w:r>
    </w:p>
    <w:p w14:paraId="7B9E784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28.5.2超出政府采购法定期限的质疑。</w:t>
      </w:r>
    </w:p>
    <w:p w14:paraId="4F771FA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28.5.3以传真、电子邮件等方式递交的非原件形式的质疑。</w:t>
      </w:r>
    </w:p>
    <w:p w14:paraId="54A6AB5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28.5.4未参加投标活动的供应商或在投标活动中自身权益未受到损害的供应商所提出的质疑。</w:t>
      </w:r>
    </w:p>
    <w:p w14:paraId="53B4E29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28.5.5供应商组成联合体参加投标，联合体中任何一方或多方未按要求签字、盖章、加盖公章的质疑。</w:t>
      </w:r>
    </w:p>
    <w:p w14:paraId="25DB4F0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28.6供应商提出书面质疑必须有理、有据，不得捏造事实、提供虚假材料进行恶意质疑。否则，一经查实，</w:t>
      </w:r>
      <w:r>
        <w:rPr>
          <w:rFonts w:hint="eastAsia" w:ascii="仿宋" w:hAnsi="仿宋" w:eastAsia="仿宋" w:cs="仿宋"/>
          <w:color w:val="auto"/>
          <w:sz w:val="28"/>
          <w:szCs w:val="28"/>
          <w:highlight w:val="none"/>
          <w:lang w:val="en-US" w:eastAsia="zh-CN"/>
        </w:rPr>
        <w:t>采购人</w:t>
      </w:r>
      <w:r>
        <w:rPr>
          <w:rFonts w:hint="eastAsia" w:ascii="仿宋" w:hAnsi="仿宋" w:eastAsia="仿宋" w:cs="仿宋"/>
          <w:color w:val="auto"/>
          <w:sz w:val="28"/>
          <w:szCs w:val="28"/>
          <w:highlight w:val="none"/>
        </w:rPr>
        <w:t>有权依据政府采购的有关规定，报请政府采购监管部门对该供应商进行相应的行政处罚和记录该供应商的失信信息。</w:t>
      </w:r>
    </w:p>
    <w:p w14:paraId="0567AB68">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29、中标通知书</w:t>
      </w:r>
    </w:p>
    <w:p w14:paraId="70444F0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29.l中标结果确定后，</w:t>
      </w:r>
      <w:r>
        <w:rPr>
          <w:rFonts w:hint="eastAsia" w:ascii="仿宋" w:hAnsi="仿宋" w:eastAsia="仿宋" w:cs="仿宋"/>
          <w:color w:val="auto"/>
          <w:sz w:val="28"/>
          <w:szCs w:val="28"/>
          <w:highlight w:val="none"/>
          <w:lang w:eastAsia="zh-CN"/>
        </w:rPr>
        <w:t>采购人</w:t>
      </w:r>
      <w:r>
        <w:rPr>
          <w:rFonts w:hint="eastAsia" w:ascii="仿宋" w:hAnsi="仿宋" w:eastAsia="仿宋" w:cs="仿宋"/>
          <w:color w:val="auto"/>
          <w:sz w:val="28"/>
          <w:szCs w:val="28"/>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D891B8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29.2中标通知书将是合同的一个组成部分。对采购人和中标人均具有法律效力。中标通知书发出后，采购人改变中标结果的，或者中标人放弃中标项目的，应当依法承担法律责任。</w:t>
      </w:r>
    </w:p>
    <w:p w14:paraId="5C1C100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ascii="仿宋" w:hAnsi="仿宋" w:eastAsia="仿宋" w:cs="仿宋"/>
          <w:color w:val="auto"/>
          <w:sz w:val="28"/>
          <w:szCs w:val="28"/>
          <w:highlight w:val="none"/>
        </w:rPr>
      </w:pPr>
      <w:bookmarkStart w:id="163" w:name="_Toc513029236"/>
      <w:bookmarkStart w:id="164" w:name="_Toc120614220"/>
      <w:bookmarkStart w:id="165" w:name="_Toc20823308"/>
      <w:bookmarkStart w:id="166" w:name="_Toc16938552"/>
      <w:r>
        <w:rPr>
          <w:rFonts w:hint="eastAsia" w:ascii="仿宋" w:hAnsi="仿宋" w:eastAsia="仿宋" w:cs="仿宋"/>
          <w:b/>
          <w:color w:val="auto"/>
          <w:sz w:val="28"/>
          <w:szCs w:val="28"/>
          <w:highlight w:val="none"/>
        </w:rPr>
        <w:t>七、授予合同</w:t>
      </w:r>
      <w:bookmarkEnd w:id="163"/>
      <w:bookmarkEnd w:id="164"/>
      <w:bookmarkEnd w:id="165"/>
      <w:bookmarkEnd w:id="166"/>
    </w:p>
    <w:p w14:paraId="46DCFD4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67" w:name="_Toc16938553"/>
      <w:bookmarkStart w:id="168" w:name="_Toc513029237"/>
      <w:bookmarkStart w:id="169" w:name="_Toc20823309"/>
      <w:r>
        <w:rPr>
          <w:rFonts w:hint="eastAsia" w:ascii="仿宋" w:hAnsi="仿宋" w:eastAsia="仿宋" w:cs="仿宋"/>
          <w:color w:val="auto"/>
          <w:sz w:val="28"/>
          <w:szCs w:val="28"/>
          <w:highlight w:val="none"/>
        </w:rPr>
        <w:t>30.签订合同</w:t>
      </w:r>
      <w:bookmarkEnd w:id="167"/>
      <w:bookmarkEnd w:id="168"/>
      <w:bookmarkEnd w:id="169"/>
    </w:p>
    <w:p w14:paraId="7B74E0E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30.l中标人应当在中标通知书发出之日起三十日内，按照招标文件确定的事项与采购人签订政府采购合同。</w:t>
      </w:r>
    </w:p>
    <w:p w14:paraId="465C1A3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30.2招标文件、中标人的投标文件及招标过程中有关澄清、承诺文件均应作为合同附件。</w:t>
      </w:r>
    </w:p>
    <w:p w14:paraId="20A76AA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30.3签订合同后，</w:t>
      </w:r>
      <w:r>
        <w:rPr>
          <w:rFonts w:hint="eastAsia" w:ascii="仿宋" w:hAnsi="仿宋" w:eastAsia="仿宋" w:cs="仿宋"/>
          <w:i/>
          <w:color w:val="auto"/>
          <w:sz w:val="28"/>
          <w:szCs w:val="28"/>
          <w:highlight w:val="none"/>
          <w:u w:val="single"/>
        </w:rPr>
        <w:t>中标人不得将合同标的进行转包</w:t>
      </w:r>
      <w:r>
        <w:rPr>
          <w:rFonts w:hint="eastAsia" w:ascii="仿宋" w:hAnsi="仿宋" w:eastAsia="仿宋" w:cs="仿宋"/>
          <w:color w:val="auto"/>
          <w:sz w:val="28"/>
          <w:szCs w:val="28"/>
          <w:highlight w:val="none"/>
        </w:rPr>
        <w:t>。未经采购人同意，中标人也不得采用分包的形式履行合同，否则采购人有权终止合同。转包或分包造成采购人损失的，中标人应承担相应赔偿责任。</w:t>
      </w:r>
    </w:p>
    <w:p w14:paraId="649DA59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w:t>
      </w:r>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服务（包含与服务相关的货物）的追加</w:t>
      </w:r>
    </w:p>
    <w:p w14:paraId="1E0DA2E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C21DF2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bookmarkStart w:id="170" w:name="_Toc479757207"/>
      <w:bookmarkStart w:id="171" w:name="_Toc120614221"/>
      <w:bookmarkStart w:id="172" w:name="_Toc20823314"/>
      <w:bookmarkStart w:id="173" w:name="_Toc16938558"/>
      <w:bookmarkStart w:id="174" w:name="_Toc513029242"/>
      <w:r>
        <w:rPr>
          <w:rFonts w:hint="eastAsia" w:ascii="仿宋" w:hAnsi="仿宋" w:eastAsia="仿宋" w:cs="仿宋"/>
          <w:color w:val="auto"/>
          <w:sz w:val="28"/>
          <w:szCs w:val="28"/>
          <w:highlight w:val="none"/>
        </w:rPr>
        <w:t>32</w:t>
      </w:r>
      <w:bookmarkEnd w:id="170"/>
      <w:bookmarkEnd w:id="171"/>
      <w:bookmarkEnd w:id="172"/>
      <w:bookmarkEnd w:id="173"/>
      <w:bookmarkEnd w:id="174"/>
      <w:r>
        <w:rPr>
          <w:rFonts w:hint="eastAsia"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rPr>
        <w:t>政府采购政策功能落实</w:t>
      </w:r>
    </w:p>
    <w:p w14:paraId="4C544C0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32.1政府采购线上合同信用融资政策</w:t>
      </w:r>
    </w:p>
    <w:p w14:paraId="0BAA4818">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仿宋" w:hAnsi="仿宋" w:eastAsia="仿宋" w:cs="仿宋"/>
          <w:color w:val="auto"/>
          <w:sz w:val="28"/>
          <w:szCs w:val="28"/>
          <w:highlight w:val="none"/>
          <w:lang w:val="en-US" w:eastAsia="zh-CN"/>
        </w:rPr>
        <w:t>江苏省</w:t>
      </w:r>
      <w:r>
        <w:rPr>
          <w:rFonts w:hint="eastAsia" w:ascii="仿宋" w:hAnsi="仿宋" w:eastAsia="仿宋" w:cs="仿宋"/>
          <w:color w:val="auto"/>
          <w:sz w:val="28"/>
          <w:szCs w:val="28"/>
          <w:highlight w:val="none"/>
        </w:rPr>
        <w:t>政府采购网“政采贷”栏目）申请贷款，相关金融机构按照双方自愿的原则提供便捷、优惠的贷款服务；具体操作流程请参考苏采云系统中操作手册。 </w:t>
      </w:r>
    </w:p>
    <w:p w14:paraId="79806AD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32.2进口产品</w:t>
      </w:r>
    </w:p>
    <w:p w14:paraId="23EE5F4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2B3FEF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32.3中小企业、监狱企业及残疾人福利性单位</w:t>
      </w:r>
    </w:p>
    <w:p w14:paraId="6E1DAD9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32.3.1中小企业定义：</w:t>
      </w:r>
    </w:p>
    <w:p w14:paraId="22673A9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FAFF29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32.3.2供应商提供的货物、工程或者服务符合下列情形的，享受中小企业扶持政策：</w:t>
      </w:r>
    </w:p>
    <w:p w14:paraId="3F4FC375">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32.3.2.1在货物采购项目中，货物由中小企业制造，即货物由中小企业生产且使用该中小企业商号或者注册商标；</w:t>
      </w:r>
    </w:p>
    <w:p w14:paraId="38E1BAE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32.3.2.2在工程采购项目中，工程由中小企业承建，即工程施工单位为中小企业；</w:t>
      </w:r>
    </w:p>
    <w:p w14:paraId="679632A1">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32.3.2.3在服务采购项目中，服务由中小企业承接，即提供服务的人员为中小企业依照《中华人民共和国劳动合同法》订立劳动合同的从业人员。</w:t>
      </w:r>
    </w:p>
    <w:p w14:paraId="21F1228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32.3.3在货物采购项目中，供应商提供的货物既有中小企业制造货物，也有大型企业制造货物的，不享受中小企业扶持政策。</w:t>
      </w:r>
    </w:p>
    <w:p w14:paraId="2DE5FD8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32.3.4以联合体形式参加政府采购活动，联合体各方均为中小企业的，联合体视同中小企业。其中，联合体各方均为小微企业的，联合体视同小微企业。</w:t>
      </w:r>
    </w:p>
    <w:p w14:paraId="37537A5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04FA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32.3.6残疾人福利单位定义：享受政府采购支持政策的残疾人福利性单位应当同时满足以下条件：</w:t>
      </w:r>
    </w:p>
    <w:p w14:paraId="79DEAD0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32.3.6.1安置的残疾人占本单位在职职工人数的比例不低于25%（含25%），并且安置的残疾人人数不少于10 人（含10 人）；</w:t>
      </w:r>
    </w:p>
    <w:p w14:paraId="2B3CD02D">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32.3.6.2依法与安置的每位残疾人签订了一年以上（含一年）的劳动合同或服务协议；</w:t>
      </w:r>
    </w:p>
    <w:p w14:paraId="2DEF1A4D">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32.3.6.3为安置的每位残疾人按月足额缴纳了基本养老保险、基本医疗保险、失业保险、工伤保险和生育保险等社会保险费；</w:t>
      </w:r>
    </w:p>
    <w:p w14:paraId="51E9A4D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32.3.6.4通过银行等金融机构向安置的每位残疾人，按月支付了不低于单位所在区县适用的经省级人民政府批准的月最低工资标准的工资；</w:t>
      </w:r>
    </w:p>
    <w:p w14:paraId="46DBF52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32.3.6.5提供本单位制造的货物、承担的工程或者服务（以下简称产品），或者提供其他残疾人福利性单位制造的货物（不包括使用非残疾人福利性单位注册商标的货物）；</w:t>
      </w:r>
    </w:p>
    <w:p w14:paraId="22F501E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74A334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32.3.7本项目是否专门面向中小企业预留采购份额见第一章《招标公告》。</w:t>
      </w:r>
    </w:p>
    <w:p w14:paraId="6CABFC6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32.3.8采购标的对应的中小企业划分标准所属行业见第四章《采购需求》。</w:t>
      </w:r>
    </w:p>
    <w:p w14:paraId="1372411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32.3.9小微企业价格评审优惠的政策：见第五章《评标方法和评标标准》。</w:t>
      </w:r>
    </w:p>
    <w:p w14:paraId="52A6DFE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32.4政府采购节能产品、环境标志产品</w:t>
      </w:r>
    </w:p>
    <w:p w14:paraId="21198AA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375775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6BC30A7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32.5绿色包装</w:t>
      </w:r>
    </w:p>
    <w:p w14:paraId="17430523">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052BF0B">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32.6政府采购创新产品</w:t>
      </w:r>
    </w:p>
    <w:p w14:paraId="12C50180">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采购人优先采购各级政府部门公开发布的有效期内的创新产品、创新服务、首台套、首购首用等《目录》的创新产品。</w:t>
      </w:r>
    </w:p>
    <w:p w14:paraId="71B47FBF">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32.7绿色数据中心政策 </w:t>
      </w:r>
    </w:p>
    <w:p w14:paraId="3C1C00A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8944BB2">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32.8实施本国产品标准及相关政策</w:t>
      </w:r>
    </w:p>
    <w:p w14:paraId="510E6799">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1.本项目对采购本国产品给予政策支持，具体内容见招标文件“第五章 评标方法与评标标准”。</w:t>
      </w:r>
    </w:p>
    <w:p w14:paraId="6E8BCEDC">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810D6F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44FA8254">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684A45A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w:t>
      </w:r>
      <w:r>
        <w:rPr>
          <w:rFonts w:hint="eastAsia" w:ascii="仿宋" w:hAnsi="仿宋" w:eastAsia="仿宋" w:cs="仿宋"/>
          <w:color w:val="auto"/>
          <w:sz w:val="28"/>
          <w:szCs w:val="28"/>
          <w:highlight w:val="none"/>
          <w:lang w:val="en-US" w:eastAsia="zh-CN"/>
        </w:rPr>
        <w:t>9</w:t>
      </w:r>
      <w:r>
        <w:rPr>
          <w:rFonts w:hint="eastAsia" w:ascii="仿宋" w:hAnsi="仿宋" w:eastAsia="仿宋" w:cs="仿宋"/>
          <w:color w:val="auto"/>
          <w:sz w:val="28"/>
          <w:szCs w:val="28"/>
          <w:highlight w:val="none"/>
        </w:rPr>
        <w:t>履约保证金政策</w:t>
      </w:r>
    </w:p>
    <w:p w14:paraId="2AA60ED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确需收取履约保证金的，履约保证金的缴纳形式：</w:t>
      </w:r>
    </w:p>
    <w:p w14:paraId="391B6496">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D4471BE">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如以履约保函（保险）形式缴纳履约保证金，供应商可通过政府采购电子履约保函（保险）平台（www.jsdzbh.com）在线申请履约保函（保险）。</w:t>
      </w:r>
    </w:p>
    <w:p w14:paraId="191CA30A">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rPr>
      </w:pPr>
      <w:r>
        <w:rPr>
          <w:rFonts w:hint="eastAsia" w:ascii="仿宋" w:hAnsi="仿宋" w:eastAsia="仿宋" w:cs="仿宋"/>
          <w:color w:val="0000FF"/>
          <w:sz w:val="28"/>
          <w:szCs w:val="28"/>
          <w:highlight w:val="none"/>
        </w:rPr>
        <w:t>履约保证金金额</w:t>
      </w:r>
      <w:r>
        <w:rPr>
          <w:rFonts w:hint="eastAsia" w:ascii="仿宋" w:hAnsi="仿宋" w:eastAsia="仿宋" w:cs="仿宋"/>
          <w:color w:val="0000FF"/>
          <w:sz w:val="28"/>
          <w:szCs w:val="28"/>
          <w:highlight w:val="none"/>
          <w:lang w:val="en-US" w:eastAsia="zh-CN"/>
        </w:rPr>
        <w:t>为</w:t>
      </w:r>
      <w:r>
        <w:rPr>
          <w:rFonts w:hint="eastAsia" w:ascii="仿宋" w:hAnsi="仿宋" w:eastAsia="仿宋" w:cs="仿宋"/>
          <w:color w:val="0000FF"/>
          <w:sz w:val="28"/>
          <w:szCs w:val="28"/>
          <w:highlight w:val="none"/>
        </w:rPr>
        <w:t>合同金额的10%，采购人对第三方信用服务机构依据标准规范评定为 AA</w:t>
      </w:r>
      <w:r>
        <w:rPr>
          <w:rFonts w:hint="eastAsia" w:ascii="仿宋" w:hAnsi="仿宋" w:eastAsia="仿宋" w:cs="仿宋"/>
          <w:color w:val="0000FF"/>
          <w:sz w:val="28"/>
          <w:szCs w:val="28"/>
          <w:highlight w:val="none"/>
          <w:lang w:val="en-US" w:eastAsia="zh-CN"/>
        </w:rPr>
        <w:t>A</w:t>
      </w:r>
      <w:r>
        <w:rPr>
          <w:rFonts w:hint="eastAsia" w:ascii="仿宋" w:hAnsi="仿宋" w:eastAsia="仿宋" w:cs="仿宋"/>
          <w:color w:val="0000FF"/>
          <w:sz w:val="28"/>
          <w:szCs w:val="28"/>
          <w:highlight w:val="none"/>
        </w:rPr>
        <w:t xml:space="preserve"> 级及以上的政府采购供应商</w:t>
      </w:r>
      <w:r>
        <w:rPr>
          <w:rFonts w:hint="eastAsia" w:ascii="仿宋" w:hAnsi="仿宋" w:eastAsia="仿宋" w:cs="仿宋"/>
          <w:color w:val="0000FF"/>
          <w:sz w:val="28"/>
          <w:szCs w:val="28"/>
        </w:rPr>
        <w:t>（需提供信用管理部门备案的第三方信用报告）免收履约保证金</w:t>
      </w:r>
      <w:r>
        <w:rPr>
          <w:rFonts w:hint="eastAsia" w:ascii="仿宋" w:hAnsi="仿宋" w:eastAsia="仿宋" w:cs="仿宋"/>
          <w:color w:val="0000FF"/>
          <w:sz w:val="28"/>
          <w:szCs w:val="28"/>
          <w:lang w:eastAsia="zh-CN"/>
        </w:rPr>
        <w:t>、</w:t>
      </w:r>
      <w:r>
        <w:rPr>
          <w:rFonts w:hint="eastAsia" w:ascii="仿宋" w:hAnsi="仿宋" w:eastAsia="仿宋" w:cs="仿宋"/>
          <w:color w:val="0000FF"/>
          <w:sz w:val="28"/>
          <w:szCs w:val="28"/>
        </w:rPr>
        <w:t>对</w:t>
      </w:r>
      <w:r>
        <w:rPr>
          <w:rFonts w:hint="eastAsia" w:ascii="仿宋" w:hAnsi="仿宋" w:eastAsia="仿宋" w:cs="仿宋"/>
          <w:color w:val="0000FF"/>
          <w:sz w:val="28"/>
          <w:szCs w:val="28"/>
          <w:lang w:val="en-US" w:eastAsia="zh-CN"/>
        </w:rPr>
        <w:t>A</w:t>
      </w:r>
      <w:r>
        <w:rPr>
          <w:rFonts w:hint="eastAsia" w:ascii="仿宋" w:hAnsi="仿宋" w:eastAsia="仿宋" w:cs="仿宋"/>
          <w:color w:val="0000FF"/>
          <w:sz w:val="28"/>
          <w:szCs w:val="28"/>
        </w:rPr>
        <w:t>A评级</w:t>
      </w:r>
      <w:r>
        <w:rPr>
          <w:rFonts w:hint="eastAsia" w:ascii="仿宋" w:hAnsi="仿宋" w:eastAsia="仿宋" w:cs="仿宋"/>
          <w:color w:val="0000FF"/>
          <w:sz w:val="28"/>
          <w:szCs w:val="28"/>
          <w:lang w:val="en-US" w:eastAsia="zh-CN"/>
        </w:rPr>
        <w:t>的</w:t>
      </w:r>
      <w:r>
        <w:rPr>
          <w:rFonts w:hint="eastAsia" w:ascii="仿宋" w:hAnsi="仿宋" w:eastAsia="仿宋" w:cs="仿宋"/>
          <w:color w:val="0000FF"/>
          <w:sz w:val="28"/>
          <w:szCs w:val="28"/>
        </w:rPr>
        <w:t>政府采购供应商（需提供信用管理部门备案的第三方信用报告）降低履约保证金缴纳比例</w:t>
      </w:r>
      <w:r>
        <w:rPr>
          <w:rFonts w:hint="eastAsia" w:ascii="仿宋" w:hAnsi="仿宋" w:eastAsia="仿宋" w:cs="仿宋"/>
          <w:color w:val="0000FF"/>
          <w:sz w:val="28"/>
          <w:szCs w:val="28"/>
          <w:lang w:eastAsia="zh-CN"/>
        </w:rPr>
        <w:t>（</w:t>
      </w:r>
      <w:r>
        <w:rPr>
          <w:rFonts w:hint="eastAsia" w:ascii="仿宋" w:hAnsi="仿宋" w:eastAsia="仿宋" w:cs="仿宋"/>
          <w:color w:val="0000FF"/>
          <w:sz w:val="28"/>
          <w:szCs w:val="28"/>
          <w:lang w:val="en-US" w:eastAsia="zh-CN"/>
        </w:rPr>
        <w:t>中标价的5%</w:t>
      </w:r>
      <w:r>
        <w:rPr>
          <w:rFonts w:hint="eastAsia" w:ascii="仿宋" w:hAnsi="仿宋" w:eastAsia="仿宋" w:cs="仿宋"/>
          <w:color w:val="0000FF"/>
          <w:sz w:val="28"/>
          <w:szCs w:val="28"/>
          <w:lang w:eastAsia="zh-CN"/>
        </w:rPr>
        <w:t>）</w:t>
      </w:r>
      <w:r>
        <w:rPr>
          <w:rFonts w:hint="eastAsia" w:ascii="仿宋" w:hAnsi="仿宋" w:eastAsia="仿宋" w:cs="仿宋"/>
          <w:color w:val="0000FF"/>
          <w:sz w:val="28"/>
          <w:szCs w:val="28"/>
          <w:highlight w:val="none"/>
        </w:rPr>
        <w:t>。</w:t>
      </w:r>
    </w:p>
    <w:p w14:paraId="2441D637">
      <w:pPr>
        <w:pStyle w:val="14"/>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33. 预付款制度</w:t>
      </w:r>
    </w:p>
    <w:p w14:paraId="1759AAC7">
      <w:pPr>
        <w:pStyle w:val="14"/>
        <w:keepNext w:val="0"/>
        <w:keepLines w:val="0"/>
        <w:pageBreakBefore w:val="0"/>
        <w:widowControl w:val="0"/>
        <w:kinsoku/>
        <w:wordWrap/>
        <w:overflowPunct/>
        <w:topLinePunct w:val="0"/>
        <w:autoSpaceDE/>
        <w:autoSpaceDN/>
        <w:bidi w:val="0"/>
        <w:adjustRightInd/>
        <w:snapToGrid/>
        <w:spacing w:beforeAutospacing="0" w:afterAutospacing="0" w:line="560" w:lineRule="exact"/>
        <w:ind w:left="-525" w:leftChars="-250" w:right="-525" w:rightChars="-250" w:firstLine="560" w:firstLineChars="200"/>
        <w:jc w:val="both"/>
        <w:textAlignment w:val="auto"/>
        <w:rPr>
          <w:rFonts w:hint="eastAsia" w:ascii="仿宋" w:hAnsi="仿宋" w:eastAsia="仿宋" w:cs="仿宋"/>
          <w:color w:val="0000FF"/>
          <w:sz w:val="28"/>
          <w:szCs w:val="28"/>
          <w:highlight w:val="none"/>
        </w:rPr>
      </w:pPr>
      <w:r>
        <w:rPr>
          <w:rFonts w:hint="eastAsia" w:ascii="仿宋" w:hAnsi="仿宋" w:eastAsia="仿宋" w:cs="仿宋"/>
          <w:color w:val="0000FF"/>
          <w:sz w:val="28"/>
          <w:szCs w:val="28"/>
          <w:highlight w:val="none"/>
        </w:rPr>
        <w:t>本项目落实预付款制度，预付款比例为</w:t>
      </w:r>
      <w:r>
        <w:rPr>
          <w:rFonts w:hint="eastAsia" w:ascii="仿宋" w:hAnsi="仿宋" w:eastAsia="仿宋" w:cs="仿宋"/>
          <w:color w:val="0000FF"/>
          <w:sz w:val="28"/>
          <w:szCs w:val="28"/>
          <w:highlight w:val="none"/>
          <w:lang w:val="en-US" w:eastAsia="zh-CN"/>
        </w:rPr>
        <w:t>30</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eastAsia="zh-CN"/>
        </w:rPr>
        <w:t>（</w:t>
      </w:r>
      <w:r>
        <w:rPr>
          <w:rFonts w:hint="eastAsia" w:ascii="仿宋" w:hAnsi="仿宋" w:eastAsia="仿宋" w:cs="仿宋"/>
          <w:color w:val="0000FF"/>
          <w:sz w:val="28"/>
          <w:szCs w:val="28"/>
          <w:highlight w:val="none"/>
          <w:lang w:val="en-US" w:eastAsia="zh-CN"/>
        </w:rPr>
        <w:t>原则上不低于合同金额的30%</w:t>
      </w:r>
      <w:r>
        <w:rPr>
          <w:rFonts w:hint="eastAsia" w:ascii="仿宋" w:hAnsi="仿宋" w:eastAsia="仿宋" w:cs="仿宋"/>
          <w:color w:val="0000FF"/>
          <w:sz w:val="28"/>
          <w:szCs w:val="28"/>
          <w:highlight w:val="none"/>
          <w:lang w:eastAsia="zh-CN"/>
        </w:rPr>
        <w:t>）</w:t>
      </w:r>
      <w:r>
        <w:rPr>
          <w:rFonts w:hint="eastAsia" w:ascii="仿宋" w:hAnsi="仿宋" w:eastAsia="仿宋" w:cs="仿宋"/>
          <w:color w:val="0000FF"/>
          <w:sz w:val="28"/>
          <w:szCs w:val="28"/>
          <w:highlight w:val="none"/>
        </w:rPr>
        <w:t>在签订合同时，中标、成交供应商明确书面表示无需预付款或者主动要求降低预付款比例的，采购人可就预付款比例作相应调整。</w:t>
      </w:r>
    </w:p>
    <w:p w14:paraId="0A8FDB05">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3ECC0495">
      <w:pPr>
        <w:pStyle w:val="14"/>
        <w:spacing w:beforeAutospacing="0" w:afterAutospacing="0"/>
        <w:jc w:val="center"/>
        <w:rPr>
          <w:color w:val="auto"/>
          <w:highlight w:val="none"/>
        </w:rPr>
      </w:pPr>
      <w:r>
        <w:rPr>
          <w:rFonts w:hint="eastAsia" w:ascii="黑体" w:hAnsi="宋体" w:eastAsia="黑体" w:cs="黑体"/>
          <w:color w:val="auto"/>
          <w:sz w:val="44"/>
          <w:szCs w:val="44"/>
          <w:highlight w:val="none"/>
        </w:rPr>
        <w:t>第三章  合同文本</w:t>
      </w:r>
    </w:p>
    <w:p w14:paraId="00A8459C">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bookmarkStart w:id="175" w:name="_Toc513029243"/>
      <w:bookmarkStart w:id="176" w:name="_Toc20823315"/>
      <w:bookmarkStart w:id="177" w:name="_Toc16938559"/>
      <w:r>
        <w:rPr>
          <w:rFonts w:hint="eastAsia" w:ascii="仿宋" w:hAnsi="仿宋" w:eastAsia="仿宋" w:cs="仿宋"/>
          <w:color w:val="000000"/>
          <w:sz w:val="28"/>
          <w:szCs w:val="28"/>
        </w:rPr>
        <w:t>以下为中标后签</w:t>
      </w:r>
      <w:r>
        <w:rPr>
          <w:rFonts w:hint="eastAsia" w:ascii="仿宋" w:hAnsi="仿宋" w:eastAsia="仿宋" w:cs="仿宋"/>
          <w:color w:val="000000"/>
          <w:sz w:val="28"/>
          <w:szCs w:val="28"/>
          <w:lang w:val="en-US" w:eastAsia="zh-CN"/>
        </w:rPr>
        <w:t>订</w:t>
      </w:r>
      <w:r>
        <w:rPr>
          <w:rFonts w:hint="eastAsia" w:ascii="仿宋" w:hAnsi="仿宋" w:eastAsia="仿宋" w:cs="仿宋"/>
          <w:color w:val="000000"/>
          <w:sz w:val="28"/>
          <w:szCs w:val="28"/>
        </w:rPr>
        <w:t>本项目合同的通用条款，中标人不得提出实质性的修改。</w:t>
      </w:r>
      <w:bookmarkEnd w:id="175"/>
      <w:bookmarkEnd w:id="176"/>
      <w:bookmarkEnd w:id="177"/>
    </w:p>
    <w:p w14:paraId="4A23371E">
      <w:pPr>
        <w:pStyle w:val="14"/>
        <w:spacing w:before="145" w:beforeAutospacing="0" w:after="145" w:afterAutospacing="0"/>
        <w:jc w:val="center"/>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rPr>
        <w:t>盐城市政府采购合同（服务）（合同编号）</w:t>
      </w:r>
    </w:p>
    <w:p w14:paraId="5A3F43F4">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bookmarkStart w:id="178" w:name="_Toc479757211"/>
      <w:bookmarkStart w:id="179" w:name="_Toc120614244"/>
      <w:bookmarkStart w:id="180" w:name="_Toc462564139"/>
      <w:bookmarkStart w:id="181" w:name="_Toc16938590"/>
      <w:bookmarkStart w:id="182" w:name="_Hlt16619350"/>
      <w:bookmarkStart w:id="183" w:name="_Toc20823346"/>
      <w:bookmarkStart w:id="184" w:name="_Hlt16619369"/>
      <w:r>
        <w:rPr>
          <w:rFonts w:hint="eastAsia" w:ascii="仿宋" w:hAnsi="仿宋" w:eastAsia="仿宋" w:cs="仿宋"/>
          <w:color w:val="000000"/>
          <w:sz w:val="28"/>
          <w:szCs w:val="28"/>
        </w:rPr>
        <w:t>项目名称：</w:t>
      </w:r>
      <w:r>
        <w:rPr>
          <w:rFonts w:hint="eastAsia" w:ascii="仿宋" w:hAnsi="仿宋" w:eastAsia="仿宋" w:cs="仿宋"/>
          <w:color w:val="000000"/>
          <w:sz w:val="28"/>
          <w:szCs w:val="28"/>
          <w:lang w:val="en-US" w:eastAsia="zh-CN"/>
        </w:rPr>
        <w:t>高新区“限值限量”</w:t>
      </w:r>
      <w:bookmarkStart w:id="213" w:name="_GoBack"/>
      <w:bookmarkEnd w:id="213"/>
      <w:r>
        <w:rPr>
          <w:rFonts w:hint="eastAsia" w:ascii="仿宋" w:hAnsi="仿宋" w:eastAsia="仿宋" w:cs="仿宋"/>
          <w:color w:val="000000"/>
          <w:sz w:val="28"/>
          <w:szCs w:val="28"/>
          <w:lang w:val="en-US" w:eastAsia="zh-CN"/>
        </w:rPr>
        <w:t>监测设备运维服务采购项目</w:t>
      </w:r>
      <w:r>
        <w:rPr>
          <w:rFonts w:hint="eastAsia" w:ascii="仿宋" w:hAnsi="仿宋" w:eastAsia="仿宋" w:cs="仿宋"/>
          <w:color w:val="000000"/>
          <w:sz w:val="28"/>
          <w:szCs w:val="28"/>
        </w:rPr>
        <w:t xml:space="preserve">   </w:t>
      </w:r>
    </w:p>
    <w:p w14:paraId="612B09B2">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FF"/>
          <w:sz w:val="28"/>
          <w:szCs w:val="28"/>
        </w:rPr>
        <w:t>项目编号：</w:t>
      </w:r>
      <w:r>
        <w:rPr>
          <w:rFonts w:hint="eastAsia" w:ascii="仿宋" w:hAnsi="仿宋" w:eastAsia="仿宋" w:cs="仿宋"/>
          <w:color w:val="000000"/>
          <w:sz w:val="28"/>
          <w:szCs w:val="28"/>
          <w:lang w:val="en-US" w:eastAsia="zh-CN"/>
        </w:rPr>
        <w:t>JSZC-320903-JSJD-G2026-0001</w:t>
      </w:r>
      <w:r>
        <w:rPr>
          <w:rFonts w:hint="eastAsia" w:ascii="仿宋" w:hAnsi="仿宋" w:eastAsia="仿宋" w:cs="仿宋"/>
          <w:color w:val="0000FF"/>
          <w:sz w:val="28"/>
          <w:szCs w:val="28"/>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 </w:t>
      </w:r>
    </w:p>
    <w:p w14:paraId="48B60B3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甲方：（买方）</w:t>
      </w:r>
      <w:r>
        <w:rPr>
          <w:rFonts w:hint="eastAsia" w:ascii="仿宋" w:hAnsi="仿宋" w:eastAsia="仿宋" w:cs="仿宋"/>
          <w:color w:val="000000"/>
          <w:sz w:val="28"/>
          <w:szCs w:val="28"/>
          <w:u w:val="single"/>
          <w:lang w:eastAsia="zh-CN"/>
        </w:rPr>
        <w:t>盐城高新技术产业开发区管理委员会</w:t>
      </w:r>
    </w:p>
    <w:p w14:paraId="0BDF6C2F">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乙方：（卖方）_________________</w:t>
      </w:r>
    </w:p>
    <w:p w14:paraId="747623F0">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甲、乙双方根据</w:t>
      </w:r>
      <w:r>
        <w:rPr>
          <w:rFonts w:hint="eastAsia" w:ascii="仿宋" w:hAnsi="仿宋" w:eastAsia="仿宋" w:cs="仿宋"/>
          <w:color w:val="000000"/>
          <w:sz w:val="28"/>
          <w:szCs w:val="28"/>
          <w:u w:val="single"/>
          <w:lang w:eastAsia="zh-CN"/>
        </w:rPr>
        <w:t>高新区“限值限量”监测设备运维服务采购项目</w:t>
      </w:r>
      <w:r>
        <w:rPr>
          <w:rFonts w:hint="eastAsia" w:ascii="仿宋" w:hAnsi="仿宋" w:eastAsia="仿宋" w:cs="仿宋"/>
          <w:color w:val="000000"/>
          <w:sz w:val="28"/>
          <w:szCs w:val="28"/>
        </w:rPr>
        <w:t>公开招标的结果，签署本合同。</w:t>
      </w:r>
    </w:p>
    <w:p w14:paraId="3EC2693D">
      <w:pPr>
        <w:pStyle w:val="14"/>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一、合同内容</w:t>
      </w:r>
    </w:p>
    <w:p w14:paraId="29A75734">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1.1 标的名称：</w:t>
      </w:r>
      <w:r>
        <w:rPr>
          <w:rFonts w:hint="eastAsia" w:ascii="仿宋" w:hAnsi="仿宋" w:eastAsia="仿宋" w:cs="仿宋"/>
          <w:color w:val="000000"/>
          <w:sz w:val="28"/>
          <w:szCs w:val="28"/>
          <w:lang w:eastAsia="zh-CN"/>
        </w:rPr>
        <w:t>高新区“限值限量”监测设备运维服务采购项目</w:t>
      </w:r>
    </w:p>
    <w:p w14:paraId="2ACC9959">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2</w:t>
      </w:r>
      <w:r>
        <w:rPr>
          <w:rFonts w:hint="eastAsia" w:ascii="仿宋" w:hAnsi="仿宋" w:eastAsia="仿宋" w:cs="仿宋"/>
          <w:color w:val="000000"/>
          <w:sz w:val="28"/>
          <w:szCs w:val="28"/>
        </w:rPr>
        <w:t xml:space="preserve"> 履行时间（期限）：</w:t>
      </w:r>
      <w:r>
        <w:rPr>
          <w:rFonts w:hint="eastAsia" w:ascii="仿宋" w:hAnsi="仿宋" w:eastAsia="仿宋" w:cs="仿宋"/>
          <w:color w:val="0000FF"/>
          <w:sz w:val="28"/>
          <w:szCs w:val="28"/>
          <w:highlight w:val="none"/>
          <w:lang w:eastAsia="zh-CN"/>
        </w:rPr>
        <w:t>对园区内的一套标准空气站和一套挥发性有机物（VOCs）监测系统（包含116种PAMS物质）为期一年及一套标准空气站、一套挥发性有机物（VOCs）监测系统（包含57种PAMS物质）和45套空气自动监测微站进行为期两年的全方位、系统化运维及管理服务，并包含对所运行维护设备进行必要的软件功能升级，保证设备稳定运行，并向园区提供环保智慧平台、数据监控预警以及技术咨询等服务</w:t>
      </w:r>
    </w:p>
    <w:p w14:paraId="55B5106E">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default" w:ascii="仿宋" w:hAnsi="仿宋" w:eastAsia="仿宋" w:cs="仿宋"/>
          <w:color w:val="0000FF"/>
          <w:sz w:val="28"/>
          <w:szCs w:val="28"/>
          <w:lang w:val="en-US" w:eastAsia="zh-CN"/>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履行地点：</w:t>
      </w:r>
      <w:r>
        <w:rPr>
          <w:rFonts w:hint="eastAsia" w:ascii="仿宋" w:hAnsi="仿宋" w:eastAsia="仿宋" w:cs="仿宋"/>
          <w:color w:val="0000FF"/>
          <w:sz w:val="28"/>
          <w:szCs w:val="28"/>
        </w:rPr>
        <w:t>1套标准空气站（位于龙冈镇政府大楼顶）</w:t>
      </w:r>
      <w:r>
        <w:rPr>
          <w:rFonts w:hint="eastAsia" w:ascii="仿宋" w:hAnsi="仿宋" w:eastAsia="仿宋" w:cs="仿宋"/>
          <w:color w:val="0000FF"/>
          <w:sz w:val="28"/>
          <w:szCs w:val="28"/>
          <w:lang w:eastAsia="zh-CN"/>
        </w:rPr>
        <w:t>；1套标准空气站（位于创新大厦裙楼顶）；1套挥发性有机物（VOCs）监测系统（包含57种PAMS物质）（位于创新大厦裙楼顶）；1套挥发性有机物（VOCs）监测系统（包含116种PAMS物质）（位于龙冈镇政府大楼顶）；45套空气自动监测微站（包含园区16个边界站点及29个网格站点，分布园区周边），</w:t>
      </w:r>
      <w:r>
        <w:rPr>
          <w:rFonts w:hint="eastAsia" w:ascii="仿宋" w:hAnsi="仿宋" w:eastAsia="仿宋" w:cs="仿宋"/>
          <w:color w:val="0000FF"/>
          <w:sz w:val="28"/>
          <w:szCs w:val="28"/>
          <w:lang w:val="en-US" w:eastAsia="zh-CN"/>
        </w:rPr>
        <w:t>以甲方指定地点为准。</w:t>
      </w:r>
    </w:p>
    <w:p w14:paraId="00B6916E">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w:t>
      </w:r>
      <w:r>
        <w:rPr>
          <w:rFonts w:hint="eastAsia" w:ascii="仿宋" w:hAnsi="仿宋" w:eastAsia="仿宋" w:cs="仿宋"/>
          <w:color w:val="000000"/>
          <w:sz w:val="28"/>
          <w:szCs w:val="28"/>
          <w:lang w:val="en-US" w:eastAsia="zh-CN"/>
        </w:rPr>
        <w:t xml:space="preserve">4 </w:t>
      </w:r>
      <w:r>
        <w:rPr>
          <w:rFonts w:hint="eastAsia" w:ascii="仿宋" w:hAnsi="仿宋" w:eastAsia="仿宋" w:cs="仿宋"/>
          <w:color w:val="000000"/>
          <w:sz w:val="28"/>
          <w:szCs w:val="28"/>
        </w:rPr>
        <w:t>履行方式：乙方必须完全按照国家法律法规、甲方招标文件的要求、乙方投标（响应）文件承诺等相关要求履行合同</w:t>
      </w:r>
    </w:p>
    <w:p w14:paraId="2EA87065">
      <w:pPr>
        <w:pStyle w:val="14"/>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二、合同金额</w:t>
      </w:r>
    </w:p>
    <w:p w14:paraId="5D43FAE1">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2.1本合同金额为（大写）：____________________________圆（_______________元）人民币或其他币种。</w:t>
      </w:r>
    </w:p>
    <w:p w14:paraId="7798D9DE">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rPr>
      </w:pPr>
      <w:r>
        <w:rPr>
          <w:rFonts w:hint="eastAsia" w:ascii="仿宋" w:hAnsi="仿宋" w:eastAsia="仿宋" w:cs="仿宋"/>
          <w:color w:val="0000FF"/>
          <w:sz w:val="28"/>
          <w:szCs w:val="28"/>
          <w:lang w:val="en-US" w:eastAsia="zh-CN"/>
        </w:rPr>
        <w:t xml:space="preserve">2.2 </w:t>
      </w:r>
      <w:r>
        <w:rPr>
          <w:rFonts w:hint="eastAsia" w:ascii="仿宋" w:hAnsi="仿宋" w:eastAsia="仿宋" w:cs="仿宋"/>
          <w:color w:val="0000FF"/>
          <w:sz w:val="28"/>
          <w:szCs w:val="28"/>
        </w:rPr>
        <w:t>本合同价格包括运维期间的服务费及文件所要求的相关服务等全过程产生的所有成本和费用以及一切税费，即主要包含但不限于完成本项目所需的一切电费、网络传输费、无线通讯费、数据服务、安全防护、人工、管理、设备、耗材、零部件的更换、培训、售后服务、免费维护、质控、保险、利润、税金、政策性文件规定及合同包含的所有风险、责任等各项应有费用。凡漏项或少计均视为优惠，甲方不另行增加费用。各类风险和政策性调整等风险已包括在合同价中，最终结算时除合同约定调整外一律不予调整。</w:t>
      </w:r>
    </w:p>
    <w:p w14:paraId="19B6ADE3">
      <w:pPr>
        <w:pStyle w:val="14"/>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三、技术资料</w:t>
      </w:r>
    </w:p>
    <w:p w14:paraId="2EB0CC6A">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3.1乙方应按招标文件规定的时间向甲方提供服务（包含与服务相关的货物）的有关技术资料。</w:t>
      </w:r>
    </w:p>
    <w:p w14:paraId="3AFAAEDE">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0B3B03C8">
      <w:pPr>
        <w:pStyle w:val="14"/>
        <w:spacing w:before="120" w:beforeAutospacing="0" w:after="120" w:afterAutospacing="0" w:line="360" w:lineRule="auto"/>
        <w:ind w:left="412" w:hanging="412"/>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四、知识产权</w:t>
      </w:r>
    </w:p>
    <w:p w14:paraId="6BDE27DD">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4.1乙方应保证甲方在使用、接受本合同服务（包含与服务相关的货物）或其任何一部分时不受第三方提出侵犯其专利权、版权、商标权和工业设计权等知识产权的起诉。一旦出现侵权，由乙方负全部责任。</w:t>
      </w:r>
    </w:p>
    <w:p w14:paraId="7648A0DB">
      <w:pPr>
        <w:pStyle w:val="14"/>
        <w:spacing w:before="120" w:beforeAutospacing="0" w:after="120"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五、产权担保</w:t>
      </w:r>
    </w:p>
    <w:p w14:paraId="60B9986E">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5.1乙方保证所交付的服务（包含与服务相关的货物）的所有权完全属于乙方且无任何抵押、查封等产权瑕疵。</w:t>
      </w:r>
    </w:p>
    <w:p w14:paraId="0BCA6888">
      <w:pPr>
        <w:pStyle w:val="14"/>
        <w:spacing w:before="120" w:beforeAutospacing="0" w:after="120" w:afterAutospacing="0" w:line="360" w:lineRule="auto"/>
        <w:ind w:left="410" w:hanging="410"/>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六、履约保证金</w:t>
      </w:r>
    </w:p>
    <w:p w14:paraId="17FBDE97">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6.1乙方交纳人民币_________元作为本合同的履约保证金。</w:t>
      </w:r>
    </w:p>
    <w:p w14:paraId="6DE04BDB">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w:t>
      </w:r>
      <w:r>
        <w:rPr>
          <w:rFonts w:hint="eastAsia" w:ascii="仿宋" w:hAnsi="仿宋" w:eastAsia="仿宋" w:cs="仿宋"/>
          <w:color w:val="0000FF"/>
          <w:sz w:val="28"/>
          <w:szCs w:val="28"/>
        </w:rPr>
        <w:t>备注：不得超过合同金额的10%，采购人</w:t>
      </w:r>
      <w:r>
        <w:rPr>
          <w:rFonts w:hint="eastAsia" w:ascii="仿宋" w:hAnsi="仿宋" w:eastAsia="仿宋" w:cs="仿宋"/>
          <w:color w:val="0000FF"/>
          <w:sz w:val="28"/>
          <w:szCs w:val="28"/>
          <w:lang w:eastAsia="zh-CN"/>
        </w:rPr>
        <w:t>应当</w:t>
      </w:r>
      <w:r>
        <w:rPr>
          <w:rFonts w:hint="eastAsia" w:ascii="仿宋" w:hAnsi="仿宋" w:eastAsia="仿宋" w:cs="仿宋"/>
          <w:color w:val="0000FF"/>
          <w:sz w:val="28"/>
          <w:szCs w:val="28"/>
        </w:rPr>
        <w:t>对</w:t>
      </w:r>
      <w:r>
        <w:rPr>
          <w:rFonts w:hint="eastAsia" w:ascii="仿宋" w:hAnsi="仿宋" w:eastAsia="仿宋" w:cs="仿宋"/>
          <w:color w:val="0000FF"/>
          <w:sz w:val="28"/>
          <w:szCs w:val="28"/>
          <w:lang w:val="en-US" w:eastAsia="zh-CN"/>
        </w:rPr>
        <w:t>A</w:t>
      </w:r>
      <w:r>
        <w:rPr>
          <w:rFonts w:hint="eastAsia" w:ascii="仿宋" w:hAnsi="仿宋" w:eastAsia="仿宋" w:cs="仿宋"/>
          <w:color w:val="0000FF"/>
          <w:sz w:val="28"/>
          <w:szCs w:val="28"/>
        </w:rPr>
        <w:t>AA评级及以上政府采购供应商（需提供信用管理部门备案的第三方信用报告）免收履约保证金</w:t>
      </w:r>
      <w:r>
        <w:rPr>
          <w:rFonts w:hint="eastAsia" w:ascii="仿宋" w:hAnsi="仿宋" w:eastAsia="仿宋" w:cs="仿宋"/>
          <w:color w:val="0000FF"/>
          <w:sz w:val="28"/>
          <w:szCs w:val="28"/>
          <w:lang w:eastAsia="zh-CN"/>
        </w:rPr>
        <w:t>、</w:t>
      </w:r>
      <w:r>
        <w:rPr>
          <w:rFonts w:hint="eastAsia" w:ascii="仿宋" w:hAnsi="仿宋" w:eastAsia="仿宋" w:cs="仿宋"/>
          <w:color w:val="0000FF"/>
          <w:sz w:val="28"/>
          <w:szCs w:val="28"/>
        </w:rPr>
        <w:t>对</w:t>
      </w:r>
      <w:r>
        <w:rPr>
          <w:rFonts w:hint="eastAsia" w:ascii="仿宋" w:hAnsi="仿宋" w:eastAsia="仿宋" w:cs="仿宋"/>
          <w:color w:val="0000FF"/>
          <w:sz w:val="28"/>
          <w:szCs w:val="28"/>
          <w:lang w:val="en-US" w:eastAsia="zh-CN"/>
        </w:rPr>
        <w:t>A</w:t>
      </w:r>
      <w:r>
        <w:rPr>
          <w:rFonts w:hint="eastAsia" w:ascii="仿宋" w:hAnsi="仿宋" w:eastAsia="仿宋" w:cs="仿宋"/>
          <w:color w:val="0000FF"/>
          <w:sz w:val="28"/>
          <w:szCs w:val="28"/>
        </w:rPr>
        <w:t>A评级</w:t>
      </w:r>
      <w:r>
        <w:rPr>
          <w:rFonts w:hint="eastAsia" w:ascii="仿宋" w:hAnsi="仿宋" w:eastAsia="仿宋" w:cs="仿宋"/>
          <w:color w:val="0000FF"/>
          <w:sz w:val="28"/>
          <w:szCs w:val="28"/>
          <w:lang w:val="en-US" w:eastAsia="zh-CN"/>
        </w:rPr>
        <w:t>的</w:t>
      </w:r>
      <w:r>
        <w:rPr>
          <w:rFonts w:hint="eastAsia" w:ascii="仿宋" w:hAnsi="仿宋" w:eastAsia="仿宋" w:cs="仿宋"/>
          <w:color w:val="0000FF"/>
          <w:sz w:val="28"/>
          <w:szCs w:val="28"/>
        </w:rPr>
        <w:t>政府采购供应商（需提供信用管理部门备案的第三方信用报告）降低履约保证金缴纳比例</w:t>
      </w:r>
      <w:r>
        <w:rPr>
          <w:rFonts w:hint="eastAsia" w:ascii="仿宋" w:hAnsi="仿宋" w:eastAsia="仿宋" w:cs="仿宋"/>
          <w:color w:val="0000FF"/>
          <w:sz w:val="28"/>
          <w:szCs w:val="28"/>
          <w:lang w:eastAsia="zh-CN"/>
        </w:rPr>
        <w:t>（</w:t>
      </w:r>
      <w:r>
        <w:rPr>
          <w:rFonts w:hint="eastAsia" w:ascii="仿宋" w:hAnsi="仿宋" w:eastAsia="仿宋" w:cs="仿宋"/>
          <w:color w:val="0000FF"/>
          <w:sz w:val="28"/>
          <w:szCs w:val="28"/>
          <w:lang w:val="en-US" w:eastAsia="zh-CN"/>
        </w:rPr>
        <w:t>中标价的5%</w:t>
      </w:r>
      <w:r>
        <w:rPr>
          <w:rFonts w:hint="eastAsia" w:ascii="仿宋" w:hAnsi="仿宋" w:eastAsia="仿宋" w:cs="仿宋"/>
          <w:color w:val="0000FF"/>
          <w:sz w:val="28"/>
          <w:szCs w:val="28"/>
          <w:lang w:eastAsia="zh-CN"/>
        </w:rPr>
        <w:t>））</w:t>
      </w:r>
    </w:p>
    <w:p w14:paraId="4C02FCEB">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2确需收取履约保证金的，</w:t>
      </w:r>
      <w:r>
        <w:rPr>
          <w:rFonts w:hint="eastAsia" w:ascii="仿宋" w:hAnsi="仿宋" w:eastAsia="仿宋" w:cs="仿宋"/>
          <w:color w:val="000000"/>
          <w:sz w:val="28"/>
          <w:szCs w:val="28"/>
          <w:lang w:eastAsia="zh-CN"/>
        </w:rPr>
        <w:t>履约保证金的缴纳形式：</w:t>
      </w:r>
    </w:p>
    <w:p w14:paraId="2A060DED">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eastAsia="zh-CN"/>
        </w:rPr>
      </w:pPr>
      <w:r>
        <w:rPr>
          <w:rFonts w:hint="eastAsia" w:ascii="仿宋" w:hAnsi="仿宋" w:eastAsia="仿宋" w:cs="仿宋"/>
          <w:color w:val="000000"/>
          <w:sz w:val="28"/>
          <w:szCs w:val="28"/>
          <w:lang w:val="en-US" w:eastAsia="zh-CN"/>
        </w:rPr>
        <w:t>6.2.1</w:t>
      </w:r>
      <w:r>
        <w:rPr>
          <w:rFonts w:hint="eastAsia" w:ascii="仿宋" w:hAnsi="仿宋" w:eastAsia="仿宋" w:cs="仿宋"/>
          <w:color w:val="000000"/>
          <w:sz w:val="28"/>
          <w:szCs w:val="28"/>
        </w:rPr>
        <w:t>供应商应当以支票、汇票、本票或者金融机构、担保机构出具的保函等非现金形式提交</w:t>
      </w:r>
      <w:r>
        <w:rPr>
          <w:rFonts w:hint="eastAsia" w:ascii="仿宋" w:hAnsi="仿宋" w:eastAsia="仿宋" w:cs="仿宋"/>
          <w:color w:val="000000"/>
          <w:sz w:val="28"/>
          <w:szCs w:val="28"/>
          <w:lang w:eastAsia="zh-CN"/>
        </w:rPr>
        <w:t>履约保证金</w:t>
      </w:r>
      <w:r>
        <w:rPr>
          <w:rFonts w:hint="eastAsia" w:ascii="仿宋" w:hAnsi="仿宋" w:eastAsia="仿宋" w:cs="仿宋"/>
          <w:color w:val="000000"/>
          <w:sz w:val="28"/>
          <w:szCs w:val="28"/>
        </w:rPr>
        <w:t>。依据《关于在全省政府采购领域推行电子履约保函（保险）的通知》，鼓励供应商自愿使用</w:t>
      </w:r>
      <w:r>
        <w:rPr>
          <w:rFonts w:hint="eastAsia" w:ascii="仿宋" w:hAnsi="仿宋" w:eastAsia="仿宋" w:cs="仿宋"/>
          <w:color w:val="000000"/>
          <w:sz w:val="28"/>
          <w:szCs w:val="28"/>
          <w:lang w:eastAsia="zh-CN"/>
        </w:rPr>
        <w:t>电子</w:t>
      </w:r>
      <w:r>
        <w:rPr>
          <w:rFonts w:hint="eastAsia" w:ascii="仿宋" w:hAnsi="仿宋" w:eastAsia="仿宋" w:cs="仿宋"/>
          <w:color w:val="000000"/>
          <w:sz w:val="28"/>
          <w:szCs w:val="28"/>
        </w:rPr>
        <w:t>履约保函（保险）代替缴纳履约保证金</w:t>
      </w:r>
      <w:r>
        <w:rPr>
          <w:rFonts w:hint="eastAsia" w:ascii="仿宋" w:hAnsi="仿宋" w:eastAsia="仿宋" w:cs="仿宋"/>
          <w:color w:val="000000"/>
          <w:sz w:val="28"/>
          <w:szCs w:val="28"/>
          <w:lang w:eastAsia="zh-CN"/>
        </w:rPr>
        <w:t>。</w:t>
      </w:r>
    </w:p>
    <w:p w14:paraId="7FFFD325">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6.2.2 如以履约保函（保险）形式缴纳履约保证金，供应商可通过政府采购电子履约保函（保险）平台（www.jsdzbh.com）在线申请履约保函（保险）。</w:t>
      </w:r>
    </w:p>
    <w:p w14:paraId="3561DD03">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合同履行结束后，甲方应及时退还交纳的履约保证金。</w:t>
      </w:r>
    </w:p>
    <w:p w14:paraId="7B8F2F44">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履约保证金的退还：</w:t>
      </w:r>
    </w:p>
    <w:p w14:paraId="758E90A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.1方式：无息退还至投标人缴纳履约保证金的账户。如为保函，在到期时自行失效。</w:t>
      </w:r>
    </w:p>
    <w:p w14:paraId="067DE2A9">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.2时间：验收合格且采购人收到发票后30日内。</w:t>
      </w:r>
    </w:p>
    <w:p w14:paraId="1D18E6FF">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.3条件：按合同要求全部履约完成并经采购人验收合格，且采购人收到中标人出具的发票。</w:t>
      </w:r>
    </w:p>
    <w:p w14:paraId="6BF0AE81">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.4不予退还情形：</w:t>
      </w:r>
    </w:p>
    <w:p w14:paraId="4EA1EC47">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除不可抗力情况外，投标人出现下列情形之一的，其履约保证金，招标人将视情节决定不予退还或部分不予退还。</w:t>
      </w:r>
    </w:p>
    <w:p w14:paraId="6E1B211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（1）中标人无正当理由拒绝签订合同的，或者在签订合同时向采购人提出附加条件或者更改合同实质性内容要求的；</w:t>
      </w:r>
    </w:p>
    <w:p w14:paraId="62B33CD6">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（2）中标人不履行与采购人订立的合同的；</w:t>
      </w:r>
    </w:p>
    <w:p w14:paraId="2CB02A14">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（3）中标人所供货物或服务不符合招标文件规定要求的；</w:t>
      </w:r>
    </w:p>
    <w:p w14:paraId="41B0867A">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（4）中标人采取欺骗、弄虚作假方式投标的或与其它投标人串通投标的；</w:t>
      </w:r>
    </w:p>
    <w:p w14:paraId="70F1EE10">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（5）中标人将合同内容转包、违法分包的；</w:t>
      </w:r>
    </w:p>
    <w:p w14:paraId="0CFEA7BC">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（6）中标人故意捏造事实或伪造证明材料，进行虚假恶意投诉或反映的。</w:t>
      </w:r>
    </w:p>
    <w:p w14:paraId="05C8C7E1">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6.</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.5逾期退还的违约责任：采购人逾期无故未退还履约保证金的，按中国人民银行同期贷款基准利率上浮20%后的利率支付超期资金占用费，但因供应商自身原因导致无法及时退还的除外。</w:t>
      </w:r>
    </w:p>
    <w:p w14:paraId="4D9011C2">
      <w:pPr>
        <w:pStyle w:val="14"/>
        <w:spacing w:before="145" w:beforeAutospacing="0" w:after="145" w:afterAutospacing="0" w:line="360" w:lineRule="auto"/>
        <w:jc w:val="both"/>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七、合同转包或分包</w:t>
      </w:r>
    </w:p>
    <w:p w14:paraId="36ACB20A">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7.1乙方不得将合同标的转包给他人履行。</w:t>
      </w:r>
    </w:p>
    <w:p w14:paraId="64768C8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7.2乙方不得将合同标的分包给他人履行。</w:t>
      </w:r>
    </w:p>
    <w:p w14:paraId="4407E50F">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7.3乙方如有转包或未经甲方同意的分包行为，甲方有权解除合同。</w:t>
      </w:r>
    </w:p>
    <w:p w14:paraId="54C10641">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八、合同款项支付</w:t>
      </w:r>
    </w:p>
    <w:p w14:paraId="2F28E249">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8.1合同款项的支付方式及进度安排</w:t>
      </w:r>
    </w:p>
    <w:p w14:paraId="585BE166">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rPr>
      </w:pPr>
      <w:r>
        <w:rPr>
          <w:rFonts w:hint="eastAsia" w:ascii="仿宋" w:hAnsi="仿宋" w:eastAsia="仿宋" w:cs="仿宋"/>
          <w:color w:val="0000FF"/>
          <w:sz w:val="28"/>
          <w:szCs w:val="28"/>
        </w:rPr>
        <w:t>8.1.1 预付款支付时间：合同签订后</w:t>
      </w:r>
      <w:r>
        <w:rPr>
          <w:rFonts w:hint="eastAsia" w:ascii="仿宋" w:hAnsi="仿宋" w:eastAsia="仿宋" w:cs="仿宋"/>
          <w:color w:val="0000FF"/>
          <w:sz w:val="28"/>
          <w:szCs w:val="28"/>
          <w:lang w:eastAsia="zh-CN"/>
        </w:rPr>
        <w:t>，采购人收到发票后10个工作日内</w:t>
      </w:r>
      <w:r>
        <w:rPr>
          <w:rFonts w:hint="eastAsia" w:ascii="仿宋" w:hAnsi="仿宋" w:eastAsia="仿宋" w:cs="仿宋"/>
          <w:color w:val="0000FF"/>
          <w:sz w:val="28"/>
          <w:szCs w:val="28"/>
        </w:rPr>
        <w:t>支付合同金额的30%</w:t>
      </w:r>
      <w:r>
        <w:rPr>
          <w:rFonts w:hint="eastAsia" w:ascii="仿宋" w:hAnsi="仿宋" w:eastAsia="仿宋" w:cs="仿宋"/>
          <w:color w:val="0000FF"/>
          <w:sz w:val="28"/>
          <w:szCs w:val="28"/>
          <w:lang w:eastAsia="zh-CN"/>
        </w:rPr>
        <w:t>（</w:t>
      </w:r>
      <w:r>
        <w:rPr>
          <w:rFonts w:hint="eastAsia" w:ascii="仿宋" w:hAnsi="仿宋" w:eastAsia="仿宋" w:cs="仿宋"/>
          <w:color w:val="0000FF"/>
          <w:sz w:val="28"/>
          <w:szCs w:val="28"/>
          <w:highlight w:val="none"/>
        </w:rPr>
        <w:t>在签订合同时，中标、成交供应商明确书面表示无需预付款或者主动要求降低预付款比例的，采购人可就预付款比例作相应调整</w:t>
      </w:r>
      <w:r>
        <w:rPr>
          <w:rFonts w:hint="eastAsia" w:ascii="仿宋" w:hAnsi="仿宋" w:eastAsia="仿宋" w:cs="仿宋"/>
          <w:color w:val="0000FF"/>
          <w:sz w:val="28"/>
          <w:szCs w:val="28"/>
          <w:lang w:eastAsia="zh-CN"/>
        </w:rPr>
        <w:t>）</w:t>
      </w:r>
      <w:r>
        <w:rPr>
          <w:rFonts w:hint="eastAsia" w:ascii="仿宋" w:hAnsi="仿宋" w:eastAsia="仿宋" w:cs="仿宋"/>
          <w:color w:val="0000FF"/>
          <w:sz w:val="28"/>
          <w:szCs w:val="28"/>
        </w:rPr>
        <w:t>。</w:t>
      </w:r>
    </w:p>
    <w:p w14:paraId="48BF027A">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rPr>
        <w:t xml:space="preserve">8.1.2 </w:t>
      </w:r>
      <w:r>
        <w:rPr>
          <w:rFonts w:hint="eastAsia" w:ascii="仿宋" w:hAnsi="仿宋" w:eastAsia="仿宋" w:cs="仿宋"/>
          <w:color w:val="0000FF"/>
          <w:sz w:val="28"/>
          <w:szCs w:val="28"/>
          <w:lang w:val="en-US" w:eastAsia="zh-CN"/>
        </w:rPr>
        <w:t>一年服务期运维项目服务费支付方式：</w:t>
      </w:r>
    </w:p>
    <w:p w14:paraId="56EA092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lang w:eastAsia="zh-CN"/>
        </w:rPr>
      </w:pPr>
      <w:r>
        <w:rPr>
          <w:rFonts w:hint="eastAsia" w:ascii="仿宋" w:hAnsi="仿宋" w:eastAsia="仿宋" w:cs="仿宋"/>
          <w:color w:val="0000FF"/>
          <w:sz w:val="28"/>
          <w:szCs w:val="28"/>
          <w:lang w:val="en-US" w:eastAsia="zh-CN"/>
        </w:rPr>
        <w:t>8.1.2.1每半年支付一次运维</w:t>
      </w:r>
      <w:r>
        <w:rPr>
          <w:rFonts w:hint="eastAsia" w:ascii="仿宋" w:hAnsi="仿宋" w:eastAsia="仿宋" w:cs="仿宋"/>
          <w:color w:val="0000FF"/>
          <w:sz w:val="28"/>
          <w:szCs w:val="28"/>
        </w:rPr>
        <w:t>服务费，每</w:t>
      </w:r>
      <w:r>
        <w:rPr>
          <w:rFonts w:hint="eastAsia" w:ascii="仿宋" w:hAnsi="仿宋" w:eastAsia="仿宋" w:cs="仿宋"/>
          <w:color w:val="0000FF"/>
          <w:sz w:val="28"/>
          <w:szCs w:val="28"/>
          <w:lang w:val="en-US" w:eastAsia="zh-CN"/>
        </w:rPr>
        <w:t>半年</w:t>
      </w:r>
      <w:r>
        <w:rPr>
          <w:rFonts w:hint="eastAsia" w:ascii="仿宋" w:hAnsi="仿宋" w:eastAsia="仿宋" w:cs="仿宋"/>
          <w:color w:val="0000FF"/>
          <w:sz w:val="28"/>
          <w:szCs w:val="28"/>
        </w:rPr>
        <w:t>的</w:t>
      </w:r>
      <w:r>
        <w:rPr>
          <w:rFonts w:hint="eastAsia" w:ascii="仿宋" w:hAnsi="仿宋" w:eastAsia="仿宋" w:cs="仿宋"/>
          <w:color w:val="0000FF"/>
          <w:sz w:val="28"/>
          <w:szCs w:val="28"/>
          <w:lang w:val="en-US" w:eastAsia="zh-CN"/>
        </w:rPr>
        <w:t>运维服务费</w:t>
      </w:r>
      <w:r>
        <w:rPr>
          <w:rFonts w:hint="eastAsia" w:ascii="仿宋" w:hAnsi="仿宋" w:eastAsia="仿宋" w:cs="仿宋"/>
          <w:color w:val="0000FF"/>
          <w:sz w:val="28"/>
          <w:szCs w:val="28"/>
        </w:rPr>
        <w:t>=</w:t>
      </w:r>
      <w:r>
        <w:rPr>
          <w:rFonts w:hint="eastAsia" w:ascii="仿宋" w:hAnsi="仿宋" w:eastAsia="仿宋" w:cs="仿宋"/>
          <w:color w:val="0000FF"/>
          <w:sz w:val="28"/>
          <w:szCs w:val="28"/>
          <w:lang w:val="en-US" w:eastAsia="zh-CN"/>
        </w:rPr>
        <w:t>一年服务期</w:t>
      </w:r>
      <w:r>
        <w:rPr>
          <w:rFonts w:hint="eastAsia" w:ascii="仿宋" w:hAnsi="仿宋" w:eastAsia="仿宋" w:cs="仿宋"/>
          <w:color w:val="0000FF"/>
          <w:sz w:val="28"/>
          <w:szCs w:val="28"/>
          <w:lang w:eastAsia="zh-CN"/>
        </w:rPr>
        <w:t>运维</w:t>
      </w:r>
      <w:r>
        <w:rPr>
          <w:rFonts w:hint="eastAsia" w:ascii="仿宋" w:hAnsi="仿宋" w:eastAsia="仿宋" w:cs="仿宋"/>
          <w:color w:val="0000FF"/>
          <w:sz w:val="28"/>
          <w:szCs w:val="28"/>
          <w:lang w:val="en-US" w:eastAsia="zh-CN"/>
        </w:rPr>
        <w:t>项目总</w:t>
      </w:r>
      <w:r>
        <w:rPr>
          <w:rFonts w:hint="eastAsia" w:ascii="仿宋" w:hAnsi="仿宋" w:eastAsia="仿宋" w:cs="仿宋"/>
          <w:color w:val="0000FF"/>
          <w:sz w:val="28"/>
          <w:szCs w:val="28"/>
        </w:rPr>
        <w:t>服务费/</w:t>
      </w:r>
      <w:r>
        <w:rPr>
          <w:rFonts w:hint="eastAsia" w:ascii="仿宋" w:hAnsi="仿宋" w:eastAsia="仿宋" w:cs="仿宋"/>
          <w:color w:val="0000FF"/>
          <w:sz w:val="28"/>
          <w:szCs w:val="28"/>
          <w:lang w:val="en-US" w:eastAsia="zh-CN"/>
        </w:rPr>
        <w:t>2</w:t>
      </w:r>
      <w:r>
        <w:rPr>
          <w:rFonts w:hint="eastAsia" w:ascii="仿宋" w:hAnsi="仿宋" w:eastAsia="仿宋" w:cs="仿宋"/>
          <w:color w:val="0000FF"/>
          <w:sz w:val="28"/>
          <w:szCs w:val="28"/>
          <w:lang w:eastAsia="zh-CN"/>
        </w:rPr>
        <w:t>。</w:t>
      </w:r>
    </w:p>
    <w:p w14:paraId="63D0C7F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8.1.3 二年服务期运维项目服务费支付方式：</w:t>
      </w:r>
    </w:p>
    <w:p w14:paraId="697B995B">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8.1.3.1每半年支付一次运维</w:t>
      </w:r>
      <w:r>
        <w:rPr>
          <w:rFonts w:hint="eastAsia" w:ascii="仿宋" w:hAnsi="仿宋" w:eastAsia="仿宋" w:cs="仿宋"/>
          <w:color w:val="0000FF"/>
          <w:sz w:val="28"/>
          <w:szCs w:val="28"/>
        </w:rPr>
        <w:t>服务费，每</w:t>
      </w:r>
      <w:r>
        <w:rPr>
          <w:rFonts w:hint="eastAsia" w:ascii="仿宋" w:hAnsi="仿宋" w:eastAsia="仿宋" w:cs="仿宋"/>
          <w:color w:val="0000FF"/>
          <w:sz w:val="28"/>
          <w:szCs w:val="28"/>
          <w:lang w:val="en-US" w:eastAsia="zh-CN"/>
        </w:rPr>
        <w:t>半年</w:t>
      </w:r>
      <w:r>
        <w:rPr>
          <w:rFonts w:hint="eastAsia" w:ascii="仿宋" w:hAnsi="仿宋" w:eastAsia="仿宋" w:cs="仿宋"/>
          <w:color w:val="0000FF"/>
          <w:sz w:val="28"/>
          <w:szCs w:val="28"/>
        </w:rPr>
        <w:t>的</w:t>
      </w:r>
      <w:r>
        <w:rPr>
          <w:rFonts w:hint="eastAsia" w:ascii="仿宋" w:hAnsi="仿宋" w:eastAsia="仿宋" w:cs="仿宋"/>
          <w:color w:val="0000FF"/>
          <w:sz w:val="28"/>
          <w:szCs w:val="28"/>
          <w:lang w:val="en-US" w:eastAsia="zh-CN"/>
        </w:rPr>
        <w:t>运维服务费</w:t>
      </w:r>
      <w:r>
        <w:rPr>
          <w:rFonts w:hint="eastAsia" w:ascii="仿宋" w:hAnsi="仿宋" w:eastAsia="仿宋" w:cs="仿宋"/>
          <w:color w:val="0000FF"/>
          <w:sz w:val="28"/>
          <w:szCs w:val="28"/>
        </w:rPr>
        <w:t>=</w:t>
      </w:r>
      <w:r>
        <w:rPr>
          <w:rFonts w:hint="eastAsia" w:ascii="仿宋" w:hAnsi="仿宋" w:eastAsia="仿宋" w:cs="仿宋"/>
          <w:color w:val="0000FF"/>
          <w:sz w:val="28"/>
          <w:szCs w:val="28"/>
          <w:lang w:val="en-US" w:eastAsia="zh-CN"/>
        </w:rPr>
        <w:t>二年服务期</w:t>
      </w:r>
      <w:r>
        <w:rPr>
          <w:rFonts w:hint="eastAsia" w:ascii="仿宋" w:hAnsi="仿宋" w:eastAsia="仿宋" w:cs="仿宋"/>
          <w:color w:val="0000FF"/>
          <w:sz w:val="28"/>
          <w:szCs w:val="28"/>
          <w:lang w:eastAsia="zh-CN"/>
        </w:rPr>
        <w:t>运维</w:t>
      </w:r>
      <w:r>
        <w:rPr>
          <w:rFonts w:hint="eastAsia" w:ascii="仿宋" w:hAnsi="仿宋" w:eastAsia="仿宋" w:cs="仿宋"/>
          <w:color w:val="0000FF"/>
          <w:sz w:val="28"/>
          <w:szCs w:val="28"/>
          <w:lang w:val="en-US" w:eastAsia="zh-CN"/>
        </w:rPr>
        <w:t>项目总</w:t>
      </w:r>
      <w:r>
        <w:rPr>
          <w:rFonts w:hint="eastAsia" w:ascii="仿宋" w:hAnsi="仿宋" w:eastAsia="仿宋" w:cs="仿宋"/>
          <w:color w:val="0000FF"/>
          <w:sz w:val="28"/>
          <w:szCs w:val="28"/>
        </w:rPr>
        <w:t>服务费/</w:t>
      </w:r>
      <w:r>
        <w:rPr>
          <w:rFonts w:hint="eastAsia" w:ascii="仿宋" w:hAnsi="仿宋" w:eastAsia="仿宋" w:cs="仿宋"/>
          <w:color w:val="0000FF"/>
          <w:sz w:val="28"/>
          <w:szCs w:val="28"/>
          <w:lang w:val="en-US" w:eastAsia="zh-CN"/>
        </w:rPr>
        <w:t>4。</w:t>
      </w:r>
    </w:p>
    <w:p w14:paraId="0FE48413">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rPr>
      </w:pPr>
      <w:r>
        <w:rPr>
          <w:rFonts w:hint="eastAsia" w:ascii="仿宋" w:hAnsi="仿宋" w:eastAsia="仿宋" w:cs="仿宋"/>
          <w:color w:val="0000FF"/>
          <w:sz w:val="28"/>
          <w:szCs w:val="28"/>
        </w:rPr>
        <w:t>预付款从第一</w:t>
      </w:r>
      <w:r>
        <w:rPr>
          <w:rFonts w:hint="eastAsia" w:ascii="仿宋" w:hAnsi="仿宋" w:eastAsia="仿宋" w:cs="仿宋"/>
          <w:color w:val="0000FF"/>
          <w:sz w:val="28"/>
          <w:szCs w:val="28"/>
          <w:lang w:val="en-US" w:eastAsia="zh-CN"/>
        </w:rPr>
        <w:t>笔付款时</w:t>
      </w:r>
      <w:r>
        <w:rPr>
          <w:rFonts w:hint="eastAsia" w:ascii="仿宋" w:hAnsi="仿宋" w:eastAsia="仿宋" w:cs="仿宋"/>
          <w:color w:val="0000FF"/>
          <w:sz w:val="28"/>
          <w:szCs w:val="28"/>
        </w:rPr>
        <w:t>开始扣减，直至扣完为止。采购人收到发票后10个工作日内，支付相应款项。</w:t>
      </w:r>
    </w:p>
    <w:p w14:paraId="788E9CD6">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default"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注：1.本项目每季度考核一次，当期两季度平均</w:t>
      </w:r>
      <w:r>
        <w:rPr>
          <w:rFonts w:hint="eastAsia" w:ascii="仿宋" w:hAnsi="仿宋" w:eastAsia="仿宋" w:cs="仿宋"/>
          <w:color w:val="0000FF"/>
          <w:sz w:val="28"/>
          <w:szCs w:val="28"/>
        </w:rPr>
        <w:t>绩效考核总分低于80</w:t>
      </w:r>
      <w:r>
        <w:rPr>
          <w:rFonts w:hint="eastAsia" w:ascii="仿宋" w:hAnsi="仿宋" w:eastAsia="仿宋" w:cs="仿宋"/>
          <w:color w:val="0000FF"/>
          <w:sz w:val="28"/>
          <w:szCs w:val="28"/>
          <w:lang w:val="en-US" w:eastAsia="zh-CN"/>
        </w:rPr>
        <w:t>分</w:t>
      </w:r>
      <w:r>
        <w:rPr>
          <w:rFonts w:hint="eastAsia" w:ascii="仿宋" w:hAnsi="仿宋" w:eastAsia="仿宋" w:cs="仿宋"/>
          <w:color w:val="0000FF"/>
          <w:sz w:val="28"/>
          <w:szCs w:val="28"/>
        </w:rPr>
        <w:t>的，不予拨付</w:t>
      </w:r>
      <w:r>
        <w:rPr>
          <w:rFonts w:hint="eastAsia" w:ascii="仿宋" w:hAnsi="仿宋" w:eastAsia="仿宋" w:cs="仿宋"/>
          <w:color w:val="0000FF"/>
          <w:sz w:val="28"/>
          <w:szCs w:val="28"/>
          <w:lang w:val="en-US" w:eastAsia="zh-CN"/>
        </w:rPr>
        <w:t>当期</w:t>
      </w:r>
      <w:r>
        <w:rPr>
          <w:rFonts w:hint="eastAsia" w:ascii="仿宋" w:hAnsi="仿宋" w:eastAsia="仿宋" w:cs="仿宋"/>
          <w:color w:val="0000FF"/>
          <w:sz w:val="28"/>
          <w:szCs w:val="28"/>
        </w:rPr>
        <w:t>运维费；</w:t>
      </w:r>
      <w:r>
        <w:rPr>
          <w:rFonts w:hint="eastAsia" w:ascii="仿宋" w:hAnsi="仿宋" w:eastAsia="仿宋" w:cs="仿宋"/>
          <w:color w:val="0000FF"/>
          <w:sz w:val="28"/>
          <w:szCs w:val="28"/>
          <w:lang w:val="en-US" w:eastAsia="zh-CN"/>
        </w:rPr>
        <w:t>平均</w:t>
      </w:r>
      <w:r>
        <w:rPr>
          <w:rFonts w:hint="eastAsia" w:ascii="仿宋" w:hAnsi="仿宋" w:eastAsia="仿宋" w:cs="仿宋"/>
          <w:color w:val="0000FF"/>
          <w:sz w:val="28"/>
          <w:szCs w:val="28"/>
        </w:rPr>
        <w:t>绩效考核总分90（含）分以上的，拨付</w:t>
      </w:r>
      <w:r>
        <w:rPr>
          <w:rFonts w:hint="eastAsia" w:ascii="仿宋" w:hAnsi="仿宋" w:eastAsia="仿宋" w:cs="仿宋"/>
          <w:color w:val="0000FF"/>
          <w:sz w:val="28"/>
          <w:szCs w:val="28"/>
          <w:lang w:val="en-US" w:eastAsia="zh-CN"/>
        </w:rPr>
        <w:t>当期</w:t>
      </w:r>
      <w:r>
        <w:rPr>
          <w:rFonts w:hint="eastAsia" w:ascii="仿宋" w:hAnsi="仿宋" w:eastAsia="仿宋" w:cs="仿宋"/>
          <w:color w:val="0000FF"/>
          <w:sz w:val="28"/>
          <w:szCs w:val="28"/>
        </w:rPr>
        <w:t>全额运维费；</w:t>
      </w:r>
      <w:r>
        <w:rPr>
          <w:rFonts w:hint="eastAsia" w:ascii="仿宋" w:hAnsi="仿宋" w:eastAsia="仿宋" w:cs="仿宋"/>
          <w:color w:val="0000FF"/>
          <w:sz w:val="28"/>
          <w:szCs w:val="28"/>
          <w:lang w:val="en-US" w:eastAsia="zh-CN"/>
        </w:rPr>
        <w:t>平均</w:t>
      </w:r>
      <w:r>
        <w:rPr>
          <w:rFonts w:hint="eastAsia" w:ascii="仿宋" w:hAnsi="仿宋" w:eastAsia="仿宋" w:cs="仿宋"/>
          <w:color w:val="0000FF"/>
          <w:sz w:val="28"/>
          <w:szCs w:val="28"/>
        </w:rPr>
        <w:t>绩效考核总分在80（含）-90分的，运维费=实际考核得分/100*</w:t>
      </w:r>
      <w:r>
        <w:rPr>
          <w:rFonts w:hint="eastAsia" w:ascii="仿宋" w:hAnsi="仿宋" w:eastAsia="仿宋" w:cs="仿宋"/>
          <w:color w:val="0000FF"/>
          <w:sz w:val="28"/>
          <w:szCs w:val="28"/>
          <w:lang w:val="en-US" w:eastAsia="zh-CN"/>
        </w:rPr>
        <w:t>当期</w:t>
      </w:r>
      <w:r>
        <w:rPr>
          <w:rFonts w:hint="eastAsia" w:ascii="仿宋" w:hAnsi="仿宋" w:eastAsia="仿宋" w:cs="仿宋"/>
          <w:color w:val="0000FF"/>
          <w:sz w:val="28"/>
          <w:szCs w:val="28"/>
        </w:rPr>
        <w:t>全额运维费。</w:t>
      </w:r>
      <w:r>
        <w:rPr>
          <w:rFonts w:hint="eastAsia" w:ascii="仿宋" w:hAnsi="仿宋" w:eastAsia="仿宋" w:cs="仿宋"/>
          <w:color w:val="0000FF"/>
          <w:sz w:val="28"/>
          <w:szCs w:val="28"/>
          <w:lang w:val="en-US" w:eastAsia="zh-CN"/>
        </w:rPr>
        <w:t>每年如有两季度绩效考核总分低于80分的，甲方有权要求乙方退场并向甲方支付全部损失费用。</w:t>
      </w:r>
      <w:r>
        <w:rPr>
          <w:rFonts w:hint="eastAsia" w:ascii="仿宋" w:hAnsi="仿宋" w:eastAsia="仿宋" w:cs="仿宋"/>
          <w:color w:val="0000FF"/>
          <w:sz w:val="28"/>
          <w:szCs w:val="28"/>
          <w:highlight w:val="yellow"/>
          <w:lang w:val="en-US" w:eastAsia="zh-CN"/>
        </w:rPr>
        <w:t>2.一年服务期运维项目：</w:t>
      </w:r>
      <w:r>
        <w:rPr>
          <w:rFonts w:hint="eastAsia" w:ascii="仿宋" w:hAnsi="仿宋" w:eastAsia="仿宋" w:cs="仿宋"/>
          <w:color w:val="0000FF"/>
          <w:sz w:val="28"/>
          <w:szCs w:val="28"/>
          <w:highlight w:val="yellow"/>
          <w:lang w:eastAsia="zh-CN"/>
        </w:rPr>
        <w:t>园区内的一套标准空气站和一套挥发性有机物（VOCs）监测系统（包含116种PAMS物质）；</w:t>
      </w:r>
      <w:r>
        <w:rPr>
          <w:rFonts w:hint="eastAsia" w:ascii="仿宋" w:hAnsi="仿宋" w:eastAsia="仿宋" w:cs="仿宋"/>
          <w:color w:val="0000FF"/>
          <w:sz w:val="28"/>
          <w:szCs w:val="28"/>
          <w:highlight w:val="yellow"/>
          <w:lang w:val="en-US" w:eastAsia="zh-CN"/>
        </w:rPr>
        <w:t>二年服务期运维项目：园区内</w:t>
      </w:r>
      <w:r>
        <w:rPr>
          <w:rFonts w:hint="eastAsia" w:ascii="仿宋" w:hAnsi="仿宋" w:eastAsia="仿宋" w:cs="仿宋"/>
          <w:color w:val="0000FF"/>
          <w:sz w:val="28"/>
          <w:szCs w:val="28"/>
          <w:highlight w:val="yellow"/>
          <w:lang w:eastAsia="zh-CN"/>
        </w:rPr>
        <w:t>一套标准空气站、一套挥发性有机物（VOCs）监测系统（包含57种PAMS物质）和45套空气自动监测微站。</w:t>
      </w:r>
    </w:p>
    <w:p w14:paraId="0A45D2B3">
      <w:pPr>
        <w:pStyle w:val="14"/>
        <w:spacing w:before="145" w:beforeAutospacing="0" w:after="145"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九、税费</w:t>
      </w:r>
    </w:p>
    <w:p w14:paraId="2CB4DA13">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9.1本合同执行中相关的一切税费均由乙方负担。</w:t>
      </w:r>
    </w:p>
    <w:p w14:paraId="689A5B20">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highlight w:val="yellow"/>
        </w:rPr>
        <w:t>十、</w:t>
      </w:r>
      <w:r>
        <w:rPr>
          <w:rFonts w:hint="eastAsia" w:ascii="仿宋" w:hAnsi="仿宋" w:eastAsia="仿宋" w:cs="仿宋"/>
          <w:b/>
          <w:color w:val="000000"/>
          <w:sz w:val="28"/>
          <w:szCs w:val="28"/>
          <w:highlight w:val="yellow"/>
          <w:lang w:val="en-US" w:eastAsia="zh-CN"/>
        </w:rPr>
        <w:t>人员车辆配备</w:t>
      </w:r>
      <w:r>
        <w:rPr>
          <w:rFonts w:hint="eastAsia" w:ascii="仿宋" w:hAnsi="仿宋" w:eastAsia="仿宋" w:cs="仿宋"/>
          <w:b/>
          <w:color w:val="000000"/>
          <w:sz w:val="28"/>
          <w:szCs w:val="28"/>
          <w:lang w:val="en-US" w:eastAsia="zh-CN"/>
        </w:rPr>
        <w:t>、</w:t>
      </w:r>
      <w:r>
        <w:rPr>
          <w:rFonts w:hint="eastAsia" w:ascii="仿宋" w:hAnsi="仿宋" w:eastAsia="仿宋" w:cs="仿宋"/>
          <w:b/>
          <w:color w:val="000000"/>
          <w:sz w:val="28"/>
          <w:szCs w:val="28"/>
        </w:rPr>
        <w:t>项目验收</w:t>
      </w:r>
    </w:p>
    <w:p w14:paraId="41DC0B4F">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u w:val="none"/>
          <w:lang w:val="en-US" w:eastAsia="zh-CN"/>
        </w:rPr>
      </w:pPr>
      <w:r>
        <w:rPr>
          <w:rFonts w:hint="eastAsia" w:ascii="仿宋" w:hAnsi="仿宋" w:eastAsia="仿宋" w:cs="仿宋"/>
          <w:color w:val="0000FF"/>
          <w:sz w:val="28"/>
          <w:szCs w:val="28"/>
          <w:lang w:val="en-US" w:eastAsia="zh-CN"/>
        </w:rPr>
        <w:t>10.1 乙方针对本项目配备的运维人员数量：项目负责人：</w:t>
      </w:r>
      <w:r>
        <w:rPr>
          <w:rFonts w:hint="eastAsia" w:ascii="仿宋" w:hAnsi="仿宋" w:eastAsia="仿宋" w:cs="仿宋"/>
          <w:color w:val="0000FF"/>
          <w:sz w:val="28"/>
          <w:szCs w:val="28"/>
          <w:u w:val="single"/>
          <w:lang w:val="en-US" w:eastAsia="zh-CN"/>
        </w:rPr>
        <w:t xml:space="preserve">          </w:t>
      </w:r>
      <w:r>
        <w:rPr>
          <w:rFonts w:hint="eastAsia" w:ascii="仿宋" w:hAnsi="仿宋" w:eastAsia="仿宋" w:cs="仿宋"/>
          <w:color w:val="0000FF"/>
          <w:sz w:val="28"/>
          <w:szCs w:val="28"/>
          <w:u w:val="none"/>
          <w:lang w:val="en-US" w:eastAsia="zh-CN"/>
        </w:rPr>
        <w:t>；专职运维人员：</w:t>
      </w:r>
      <w:r>
        <w:rPr>
          <w:rFonts w:hint="eastAsia" w:ascii="仿宋" w:hAnsi="仿宋" w:eastAsia="仿宋" w:cs="仿宋"/>
          <w:color w:val="0000FF"/>
          <w:sz w:val="28"/>
          <w:szCs w:val="28"/>
          <w:u w:val="single"/>
          <w:lang w:val="en-US" w:eastAsia="zh-CN"/>
        </w:rPr>
        <w:t xml:space="preserve">                         </w:t>
      </w:r>
      <w:r>
        <w:rPr>
          <w:rFonts w:hint="eastAsia" w:ascii="仿宋" w:hAnsi="仿宋" w:eastAsia="仿宋" w:cs="仿宋"/>
          <w:color w:val="0000FF"/>
          <w:sz w:val="28"/>
          <w:szCs w:val="28"/>
          <w:u w:val="none"/>
          <w:lang w:val="en-US" w:eastAsia="zh-CN"/>
        </w:rPr>
        <w:t>；</w:t>
      </w:r>
      <w:r>
        <w:rPr>
          <w:rFonts w:hint="eastAsia" w:ascii="仿宋" w:hAnsi="仿宋" w:eastAsia="仿宋" w:cs="仿宋"/>
          <w:color w:val="auto"/>
          <w:sz w:val="28"/>
          <w:szCs w:val="28"/>
          <w:highlight w:val="none"/>
          <w:lang w:val="en-US" w:eastAsia="zh-CN"/>
        </w:rPr>
        <w:t>评估人员</w:t>
      </w:r>
      <w:r>
        <w:rPr>
          <w:rFonts w:hint="eastAsia" w:ascii="仿宋" w:hAnsi="仿宋" w:eastAsia="仿宋" w:cs="仿宋"/>
          <w:color w:val="0000FF"/>
          <w:sz w:val="28"/>
          <w:szCs w:val="28"/>
          <w:u w:val="none"/>
          <w:lang w:val="en-US" w:eastAsia="zh-CN"/>
        </w:rPr>
        <w:t>：</w:t>
      </w:r>
      <w:r>
        <w:rPr>
          <w:rFonts w:hint="eastAsia" w:ascii="仿宋" w:hAnsi="仿宋" w:eastAsia="仿宋" w:cs="仿宋"/>
          <w:color w:val="0000FF"/>
          <w:sz w:val="28"/>
          <w:szCs w:val="28"/>
          <w:u w:val="single"/>
          <w:lang w:val="en-US" w:eastAsia="zh-CN"/>
        </w:rPr>
        <w:t xml:space="preserve">         </w:t>
      </w:r>
      <w:r>
        <w:rPr>
          <w:rFonts w:hint="eastAsia" w:ascii="仿宋" w:hAnsi="仿宋" w:eastAsia="仿宋" w:cs="仿宋"/>
          <w:color w:val="0000FF"/>
          <w:sz w:val="28"/>
          <w:szCs w:val="28"/>
          <w:u w:val="none"/>
          <w:lang w:val="en-US" w:eastAsia="zh-CN"/>
        </w:rPr>
        <w:t>。</w:t>
      </w:r>
    </w:p>
    <w:p w14:paraId="70BCBE54">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FF"/>
          <w:sz w:val="28"/>
          <w:szCs w:val="28"/>
          <w:lang w:val="en-US" w:eastAsia="zh-CN"/>
        </w:rPr>
      </w:pPr>
      <w:r>
        <w:rPr>
          <w:rFonts w:hint="eastAsia" w:ascii="仿宋" w:hAnsi="仿宋" w:eastAsia="仿宋" w:cs="仿宋"/>
          <w:color w:val="0000FF"/>
          <w:sz w:val="28"/>
          <w:szCs w:val="28"/>
          <w:lang w:val="en-US" w:eastAsia="zh-CN"/>
        </w:rPr>
        <w:t>10.2 乙方针对本项目配备的专用巡检车辆数量</w:t>
      </w:r>
      <w:r>
        <w:rPr>
          <w:rFonts w:hint="eastAsia" w:ascii="仿宋" w:hAnsi="仿宋" w:eastAsia="仿宋" w:cs="仿宋"/>
          <w:color w:val="0000FF"/>
          <w:sz w:val="28"/>
          <w:szCs w:val="28"/>
          <w:u w:val="single"/>
          <w:lang w:val="en-US" w:eastAsia="zh-CN"/>
        </w:rPr>
        <w:t xml:space="preserve">      </w:t>
      </w:r>
      <w:r>
        <w:rPr>
          <w:rFonts w:hint="eastAsia" w:ascii="仿宋" w:hAnsi="仿宋" w:eastAsia="仿宋" w:cs="仿宋"/>
          <w:color w:val="0000FF"/>
          <w:sz w:val="28"/>
          <w:szCs w:val="28"/>
          <w:lang w:val="en-US" w:eastAsia="zh-CN"/>
        </w:rPr>
        <w:t>。</w:t>
      </w:r>
    </w:p>
    <w:p w14:paraId="4A7B837D">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rPr>
        <w:t>10.</w:t>
      </w:r>
      <w:r>
        <w:rPr>
          <w:rFonts w:hint="eastAsia" w:ascii="仿宋" w:hAnsi="仿宋" w:eastAsia="仿宋" w:cs="仿宋"/>
          <w:color w:val="000000"/>
          <w:sz w:val="28"/>
          <w:szCs w:val="28"/>
          <w:lang w:val="en-US" w:eastAsia="zh-CN"/>
        </w:rPr>
        <w:t>3</w:t>
      </w:r>
      <w:r>
        <w:rPr>
          <w:rFonts w:hint="eastAsia" w:ascii="仿宋" w:hAnsi="仿宋" w:eastAsia="仿宋" w:cs="仿宋"/>
          <w:color w:val="000000"/>
          <w:sz w:val="28"/>
          <w:szCs w:val="28"/>
        </w:rPr>
        <w:t>甲方依法组织履约验收工作。</w:t>
      </w:r>
    </w:p>
    <w:p w14:paraId="4C8844CC">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w:t>
      </w:r>
      <w:r>
        <w:rPr>
          <w:rFonts w:hint="eastAsia" w:ascii="仿宋" w:hAnsi="仿宋" w:eastAsia="仿宋" w:cs="仿宋"/>
          <w:color w:val="000000"/>
          <w:sz w:val="28"/>
          <w:szCs w:val="28"/>
          <w:lang w:val="en-US" w:eastAsia="zh-CN"/>
        </w:rPr>
        <w:t>4</w:t>
      </w:r>
      <w:r>
        <w:rPr>
          <w:rFonts w:hint="eastAsia" w:ascii="仿宋" w:hAnsi="仿宋" w:eastAsia="仿宋" w:cs="仿宋"/>
          <w:color w:val="000000"/>
          <w:sz w:val="28"/>
          <w:szCs w:val="28"/>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12C0627">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w:t>
      </w:r>
      <w:r>
        <w:rPr>
          <w:rFonts w:hint="eastAsia" w:ascii="仿宋" w:hAnsi="仿宋" w:eastAsia="仿宋" w:cs="仿宋"/>
          <w:color w:val="000000"/>
          <w:sz w:val="28"/>
          <w:szCs w:val="28"/>
          <w:lang w:val="en-US" w:eastAsia="zh-CN"/>
        </w:rPr>
        <w:t>5</w:t>
      </w:r>
      <w:r>
        <w:rPr>
          <w:rFonts w:hint="eastAsia" w:ascii="仿宋" w:hAnsi="仿宋" w:eastAsia="仿宋" w:cs="仿宋"/>
          <w:color w:val="000000"/>
          <w:sz w:val="28"/>
          <w:szCs w:val="28"/>
        </w:rPr>
        <w:t>对于实际使用人和甲方分离的项目，甲方邀请实际使用人参与验收。</w:t>
      </w:r>
    </w:p>
    <w:p w14:paraId="38F966A0">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w:t>
      </w: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如有必要，甲方邀请参加本项目的其他供应商或第三方专业机构及专家参与验收，相关意见将作为验收书的参考资料。</w:t>
      </w:r>
    </w:p>
    <w:p w14:paraId="05261F4A">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w:t>
      </w:r>
      <w:r>
        <w:rPr>
          <w:rFonts w:hint="eastAsia" w:ascii="仿宋" w:hAnsi="仿宋" w:eastAsia="仿宋" w:cs="仿宋"/>
          <w:color w:val="000000"/>
          <w:sz w:val="28"/>
          <w:szCs w:val="28"/>
          <w:lang w:val="en-US" w:eastAsia="zh-CN"/>
        </w:rPr>
        <w:t>7</w:t>
      </w:r>
      <w:r>
        <w:rPr>
          <w:rFonts w:hint="eastAsia" w:ascii="仿宋" w:hAnsi="仿宋" w:eastAsia="仿宋" w:cs="仿宋"/>
          <w:color w:val="000000"/>
          <w:sz w:val="28"/>
          <w:szCs w:val="28"/>
        </w:rPr>
        <w:t>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12203406">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rPr>
        <w:t>10.</w:t>
      </w:r>
      <w:r>
        <w:rPr>
          <w:rFonts w:hint="eastAsia" w:ascii="仿宋" w:hAnsi="仿宋" w:eastAsia="仿宋" w:cs="仿宋"/>
          <w:color w:val="000000"/>
          <w:sz w:val="28"/>
          <w:szCs w:val="28"/>
          <w:lang w:val="en-US" w:eastAsia="zh-CN"/>
        </w:rPr>
        <w:t>8</w:t>
      </w:r>
      <w:r>
        <w:rPr>
          <w:rFonts w:hint="eastAsia" w:ascii="仿宋" w:hAnsi="仿宋" w:eastAsia="仿宋" w:cs="仿宋"/>
          <w:color w:val="000000"/>
          <w:sz w:val="28"/>
          <w:szCs w:val="28"/>
        </w:rPr>
        <w:t>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p>
    <w:p w14:paraId="6AD48D13">
      <w:pPr>
        <w:pStyle w:val="23"/>
        <w:numPr>
          <w:ilvl w:val="0"/>
          <w:numId w:val="2"/>
        </w:numPr>
        <w:spacing w:before="156" w:line="360" w:lineRule="auto"/>
        <w:ind w:firstLine="0"/>
        <w:rPr>
          <w:rFonts w:hint="eastAsia" w:ascii="仿宋" w:hAnsi="仿宋" w:eastAsia="仿宋" w:cs="仿宋"/>
          <w:b/>
          <w:color w:val="000000"/>
          <w:kern w:val="0"/>
          <w:sz w:val="28"/>
          <w:szCs w:val="28"/>
          <w:highlight w:val="none"/>
        </w:rPr>
      </w:pPr>
      <w:r>
        <w:rPr>
          <w:rFonts w:hint="eastAsia" w:ascii="仿宋" w:hAnsi="仿宋" w:eastAsia="仿宋" w:cs="仿宋"/>
          <w:b/>
          <w:color w:val="000000"/>
          <w:kern w:val="0"/>
          <w:sz w:val="28"/>
          <w:szCs w:val="28"/>
          <w:highlight w:val="none"/>
          <w:lang w:eastAsia="zh-CN"/>
        </w:rPr>
        <w:t>运维</w:t>
      </w:r>
      <w:r>
        <w:rPr>
          <w:rFonts w:hint="eastAsia" w:ascii="仿宋" w:hAnsi="仿宋" w:eastAsia="仿宋" w:cs="仿宋"/>
          <w:b/>
          <w:color w:val="000000"/>
          <w:kern w:val="0"/>
          <w:sz w:val="28"/>
          <w:szCs w:val="28"/>
          <w:highlight w:val="none"/>
        </w:rPr>
        <w:t>管理考核办法</w:t>
      </w:r>
    </w:p>
    <w:p w14:paraId="15BA81C0">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default"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详见项目需求 2.5.2</w:t>
      </w:r>
    </w:p>
    <w:p w14:paraId="41F6EF59">
      <w:pPr>
        <w:pStyle w:val="14"/>
        <w:spacing w:before="120" w:beforeAutospacing="0" w:after="120" w:afterAutospacing="0" w:line="360" w:lineRule="auto"/>
        <w:jc w:val="both"/>
        <w:rPr>
          <w:rFonts w:hint="eastAsia" w:ascii="仿宋" w:hAnsi="仿宋" w:eastAsia="仿宋" w:cs="仿宋"/>
          <w:sz w:val="28"/>
          <w:szCs w:val="28"/>
          <w:highlight w:val="red"/>
        </w:rPr>
      </w:pPr>
      <w:r>
        <w:rPr>
          <w:rFonts w:hint="eastAsia" w:ascii="仿宋" w:hAnsi="仿宋" w:eastAsia="仿宋" w:cs="仿宋"/>
          <w:b/>
          <w:color w:val="000000"/>
          <w:sz w:val="28"/>
          <w:szCs w:val="28"/>
          <w:highlight w:val="red"/>
        </w:rPr>
        <w:t>十二、违约责任</w:t>
      </w:r>
    </w:p>
    <w:p w14:paraId="71DBE1B6">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12.1甲方无正当理由拒绝接受乙方提供服务的，甲方向乙方偿付拒绝接受服务合同价款总值</w:t>
      </w:r>
      <w:r>
        <w:rPr>
          <w:rFonts w:hint="eastAsia" w:ascii="仿宋" w:hAnsi="仿宋" w:eastAsia="仿宋" w:cs="仿宋"/>
          <w:color w:val="0000FF"/>
          <w:sz w:val="28"/>
          <w:szCs w:val="28"/>
          <w:u w:val="single"/>
          <w:lang w:val="en-US" w:eastAsia="zh-CN"/>
        </w:rPr>
        <w:t>百分之五</w:t>
      </w:r>
      <w:r>
        <w:rPr>
          <w:rFonts w:hint="eastAsia" w:ascii="仿宋" w:hAnsi="仿宋" w:eastAsia="仿宋" w:cs="仿宋"/>
          <w:color w:val="000000"/>
          <w:sz w:val="28"/>
          <w:szCs w:val="28"/>
          <w:lang w:val="en-US" w:eastAsia="zh-CN"/>
        </w:rPr>
        <w:t>的违约金。</w:t>
      </w:r>
    </w:p>
    <w:p w14:paraId="30E17E44">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12.2甲方无故逾期验收和办理合同款项支付手续的,甲方应按逾期付款总额</w:t>
      </w:r>
      <w:r>
        <w:rPr>
          <w:rFonts w:hint="eastAsia" w:ascii="仿宋" w:hAnsi="仿宋" w:eastAsia="仿宋" w:cs="仿宋"/>
          <w:color w:val="0000FF"/>
          <w:sz w:val="28"/>
          <w:szCs w:val="28"/>
          <w:u w:val="single"/>
          <w:lang w:val="en-US" w:eastAsia="zh-CN"/>
        </w:rPr>
        <w:t>万分之一</w:t>
      </w:r>
      <w:r>
        <w:rPr>
          <w:rFonts w:hint="eastAsia" w:ascii="仿宋" w:hAnsi="仿宋" w:eastAsia="仿宋" w:cs="仿宋"/>
          <w:color w:val="000000"/>
          <w:sz w:val="28"/>
          <w:szCs w:val="28"/>
          <w:lang w:val="en-US" w:eastAsia="zh-CN"/>
        </w:rPr>
        <w:t>每日向乙方支付违约金。</w:t>
      </w:r>
    </w:p>
    <w:p w14:paraId="1A10F85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12.3乙方逾期提供服务的，乙方应按逾期提供服务合同总额每日</w:t>
      </w:r>
      <w:r>
        <w:rPr>
          <w:rFonts w:hint="eastAsia" w:ascii="仿宋" w:hAnsi="仿宋" w:eastAsia="仿宋" w:cs="仿宋"/>
          <w:color w:val="0000FF"/>
          <w:sz w:val="28"/>
          <w:szCs w:val="28"/>
          <w:u w:val="single"/>
          <w:lang w:val="en-US" w:eastAsia="zh-CN"/>
        </w:rPr>
        <w:t>千分之六</w:t>
      </w:r>
      <w:r>
        <w:rPr>
          <w:rFonts w:hint="eastAsia" w:ascii="仿宋" w:hAnsi="仿宋" w:eastAsia="仿宋" w:cs="仿宋"/>
          <w:color w:val="000000"/>
          <w:sz w:val="28"/>
          <w:szCs w:val="28"/>
          <w:lang w:val="en-US" w:eastAsia="zh-CN"/>
        </w:rPr>
        <w:t>向甲方支付违约金，由甲方从待付合同款项中扣除。逾期超过约定日期10个工作日不能提供服务的，甲方有权解除本合同。乙方因逾期提供服务或因其他违约行为导致甲方解除合同的，乙方应向甲方支付合同价款总额</w:t>
      </w:r>
      <w:r>
        <w:rPr>
          <w:rFonts w:hint="eastAsia" w:ascii="仿宋" w:hAnsi="仿宋" w:eastAsia="仿宋" w:cs="仿宋"/>
          <w:color w:val="0000FF"/>
          <w:sz w:val="28"/>
          <w:szCs w:val="28"/>
          <w:u w:val="single"/>
          <w:lang w:val="en-US" w:eastAsia="zh-CN"/>
        </w:rPr>
        <w:t>百分之五</w:t>
      </w:r>
      <w:r>
        <w:rPr>
          <w:rFonts w:hint="eastAsia" w:ascii="仿宋" w:hAnsi="仿宋" w:eastAsia="仿宋" w:cs="仿宋"/>
          <w:color w:val="000000"/>
          <w:sz w:val="28"/>
          <w:szCs w:val="28"/>
          <w:lang w:val="en-US" w:eastAsia="zh-CN"/>
        </w:rPr>
        <w:t xml:space="preserve">的违约金，如造成甲方损失超过违约金的，超出部分由乙方继续承担赔偿责任。 </w:t>
      </w:r>
    </w:p>
    <w:p w14:paraId="23E7487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12.4乙方所提供服务的标准不符合合同规定及招标文件规定标准的，甲方有权拒绝接受服务，并可单方面解除合同。</w:t>
      </w:r>
    </w:p>
    <w:p w14:paraId="007BC25A">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十三、不可抗力事件处理</w:t>
      </w:r>
    </w:p>
    <w:p w14:paraId="1D3724FC">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13.1在合同有效期内，任何一方因不可抗力事件导致不能履行合同，则合同履行期可延长，其延长期与不可抗力影响 期相同。</w:t>
      </w:r>
    </w:p>
    <w:p w14:paraId="32716C41">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13.2不可抗力事件发生后，应立即通知对方，并寄送有关权威机构出具的证明。</w:t>
      </w:r>
    </w:p>
    <w:p w14:paraId="6B03DA00">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13.3不可抗力事件延续120天以上，双方应通过友好协商，确定是否继续履行合同。</w:t>
      </w:r>
    </w:p>
    <w:p w14:paraId="2EC1E2C8">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十四、解决争议的方法</w:t>
      </w:r>
    </w:p>
    <w:p w14:paraId="668998D4">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14.1双方在签订、履行合同中所发生的一切争议，应通过友好协商解决。如协商不成，由甲方住所地人民法院管辖。</w:t>
      </w:r>
    </w:p>
    <w:p w14:paraId="72DB5EF9">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b/>
          <w:color w:val="000000"/>
          <w:sz w:val="28"/>
          <w:szCs w:val="28"/>
        </w:rPr>
        <w:t>十五、合同生效及其它</w:t>
      </w:r>
    </w:p>
    <w:p w14:paraId="2D7CCD0E">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15.1合同经双方法定代表人或授权委托代表人签字并加盖单位公章后生效。</w:t>
      </w:r>
    </w:p>
    <w:p w14:paraId="63D22968">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lang w:val="en-US" w:eastAsia="zh-CN"/>
        </w:rPr>
      </w:pPr>
      <w:r>
        <w:rPr>
          <w:rFonts w:hint="eastAsia" w:ascii="仿宋" w:hAnsi="仿宋" w:eastAsia="仿宋" w:cs="仿宋"/>
          <w:color w:val="000000"/>
          <w:sz w:val="28"/>
          <w:szCs w:val="28"/>
          <w:lang w:val="en-US" w:eastAsia="zh-CN"/>
        </w:rPr>
        <w:t>15.2本合同未尽事宜</w:t>
      </w:r>
      <w:r>
        <w:rPr>
          <w:rFonts w:hint="eastAsia" w:ascii="仿宋" w:hAnsi="仿宋" w:eastAsia="仿宋" w:cs="仿宋"/>
          <w:color w:val="000000"/>
          <w:sz w:val="28"/>
          <w:szCs w:val="28"/>
          <w:highlight w:val="yellow"/>
          <w:lang w:val="en-US" w:eastAsia="zh-CN"/>
        </w:rPr>
        <w:t>，遵照《中华人民共和国民法典》、《中华人民共和国政府采购法》</w:t>
      </w:r>
      <w:r>
        <w:rPr>
          <w:rFonts w:hint="eastAsia" w:ascii="仿宋" w:hAnsi="仿宋" w:eastAsia="仿宋" w:cs="仿宋"/>
          <w:color w:val="000000"/>
          <w:sz w:val="28"/>
          <w:szCs w:val="28"/>
          <w:lang w:val="en-US" w:eastAsia="zh-CN"/>
        </w:rPr>
        <w:t>有关条文执行。</w:t>
      </w:r>
    </w:p>
    <w:p w14:paraId="0B869D5E">
      <w:pPr>
        <w:pStyle w:val="14"/>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firstLine="560" w:firstLineChars="200"/>
        <w:jc w:val="both"/>
        <w:textAlignment w:val="auto"/>
        <w:rPr>
          <w:rFonts w:hint="eastAsia" w:ascii="仿宋" w:hAnsi="仿宋" w:eastAsia="仿宋" w:cs="仿宋"/>
          <w:color w:val="000000"/>
          <w:sz w:val="28"/>
          <w:szCs w:val="28"/>
        </w:rPr>
      </w:pPr>
      <w:r>
        <w:rPr>
          <w:rFonts w:hint="eastAsia" w:ascii="仿宋" w:hAnsi="仿宋" w:eastAsia="仿宋" w:cs="仿宋"/>
          <w:color w:val="000000"/>
          <w:sz w:val="28"/>
          <w:szCs w:val="28"/>
          <w:lang w:val="en-US" w:eastAsia="zh-CN"/>
        </w:rPr>
        <w:t>15.3 本合同正本一式捌份，具有同等法律效力，甲方、乙方各执肆份。</w:t>
      </w:r>
    </w:p>
    <w:p w14:paraId="5A19AA90">
      <w:pPr>
        <w:pStyle w:val="14"/>
        <w:spacing w:before="120" w:beforeAutospacing="0" w:after="120" w:afterAutospacing="0" w:line="360" w:lineRule="auto"/>
        <w:ind w:left="480" w:hanging="480"/>
        <w:jc w:val="both"/>
        <w:rPr>
          <w:rFonts w:hint="eastAsia" w:ascii="仿宋" w:hAnsi="仿宋" w:eastAsia="仿宋" w:cs="仿宋"/>
          <w:sz w:val="28"/>
          <w:szCs w:val="28"/>
        </w:rPr>
      </w:pPr>
      <w:r>
        <w:rPr>
          <w:rFonts w:hint="eastAsia" w:ascii="仿宋" w:hAnsi="仿宋" w:eastAsia="仿宋" w:cs="仿宋"/>
          <w:color w:val="000000"/>
          <w:sz w:val="28"/>
          <w:szCs w:val="28"/>
        </w:rPr>
        <w:t>甲方：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乙方： </w:t>
      </w:r>
    </w:p>
    <w:p w14:paraId="714A7B17">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地址：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地址： </w:t>
      </w:r>
    </w:p>
    <w:p w14:paraId="7E812BB8">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法定代表人或授权代表：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法定代表人或授权代表：</w:t>
      </w:r>
    </w:p>
    <w:p w14:paraId="2D180239">
      <w:pPr>
        <w:pStyle w:val="14"/>
        <w:spacing w:before="120" w:beforeAutospacing="0" w:after="120" w:afterAutospacing="0" w:line="360" w:lineRule="auto"/>
        <w:jc w:val="both"/>
        <w:rPr>
          <w:rFonts w:hint="eastAsia" w:ascii="仿宋" w:hAnsi="仿宋" w:eastAsia="仿宋" w:cs="仿宋"/>
          <w:sz w:val="28"/>
          <w:szCs w:val="28"/>
        </w:rPr>
      </w:pPr>
      <w:r>
        <w:rPr>
          <w:rFonts w:hint="eastAsia" w:ascii="仿宋" w:hAnsi="仿宋" w:eastAsia="仿宋" w:cs="仿宋"/>
          <w:color w:val="000000"/>
          <w:sz w:val="28"/>
          <w:szCs w:val="28"/>
        </w:rPr>
        <w:t>联系电话：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rPr>
        <w:t xml:space="preserve">联系电话：          </w:t>
      </w:r>
    </w:p>
    <w:p w14:paraId="59FF7F0E">
      <w:pPr>
        <w:pStyle w:val="14"/>
        <w:spacing w:before="120" w:beforeAutospacing="0" w:after="120" w:afterAutospacing="0" w:line="360" w:lineRule="auto"/>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w:t>
      </w:r>
    </w:p>
    <w:p w14:paraId="63B26898">
      <w:pPr>
        <w:pStyle w:val="14"/>
        <w:spacing w:before="120" w:beforeAutospacing="0" w:after="120" w:afterAutospacing="0" w:line="360" w:lineRule="auto"/>
        <w:jc w:val="right"/>
        <w:rPr>
          <w:rFonts w:hint="eastAsia" w:ascii="仿宋" w:hAnsi="仿宋" w:eastAsia="仿宋" w:cs="仿宋"/>
          <w:color w:val="000000"/>
          <w:sz w:val="28"/>
          <w:szCs w:val="28"/>
        </w:rPr>
      </w:pPr>
      <w:r>
        <w:rPr>
          <w:rFonts w:hint="eastAsia" w:ascii="仿宋" w:hAnsi="仿宋" w:eastAsia="仿宋" w:cs="仿宋"/>
          <w:color w:val="000000"/>
          <w:sz w:val="28"/>
          <w:szCs w:val="28"/>
        </w:rPr>
        <w:t>签订日期：      年    月   日</w:t>
      </w:r>
    </w:p>
    <w:p w14:paraId="6B2C5B37">
      <w:pPr>
        <w:rPr>
          <w:rFonts w:hint="eastAsia" w:ascii="仿宋" w:hAnsi="仿宋" w:eastAsia="仿宋" w:cs="仿宋"/>
          <w:color w:val="000000"/>
          <w:sz w:val="28"/>
          <w:szCs w:val="28"/>
        </w:rPr>
      </w:pPr>
      <w:r>
        <w:rPr>
          <w:rFonts w:hint="eastAsia" w:ascii="仿宋" w:hAnsi="仿宋" w:eastAsia="仿宋" w:cs="仿宋"/>
          <w:color w:val="000000"/>
          <w:sz w:val="28"/>
          <w:szCs w:val="28"/>
        </w:rPr>
        <w:br w:type="page"/>
      </w:r>
    </w:p>
    <w:p w14:paraId="64399B55">
      <w:pPr>
        <w:pStyle w:val="14"/>
        <w:keepNext/>
        <w:keepLines/>
        <w:spacing w:before="260" w:beforeAutospacing="0" w:after="260" w:afterAutospacing="0" w:line="415" w:lineRule="auto"/>
        <w:ind w:firstLine="2429"/>
        <w:jc w:val="both"/>
        <w:rPr>
          <w:rFonts w:hint="eastAsia" w:ascii="黑体" w:hAnsi="宋体" w:eastAsia="黑体" w:cs="黑体"/>
          <w:b/>
          <w:color w:val="auto"/>
          <w:sz w:val="44"/>
          <w:szCs w:val="44"/>
          <w:highlight w:val="none"/>
        </w:rPr>
      </w:pPr>
      <w:r>
        <w:rPr>
          <w:rFonts w:hint="eastAsia" w:ascii="黑体" w:hAnsi="宋体" w:eastAsia="黑体" w:cs="黑体"/>
          <w:b/>
          <w:color w:val="auto"/>
          <w:sz w:val="44"/>
          <w:szCs w:val="44"/>
          <w:highlight w:val="none"/>
        </w:rPr>
        <w:t>第</w:t>
      </w:r>
      <w:bookmarkEnd w:id="178"/>
      <w:r>
        <w:rPr>
          <w:rFonts w:hint="eastAsia" w:ascii="黑体" w:hAnsi="宋体" w:eastAsia="黑体" w:cs="黑体"/>
          <w:b/>
          <w:color w:val="auto"/>
          <w:sz w:val="44"/>
          <w:szCs w:val="44"/>
          <w:highlight w:val="none"/>
        </w:rPr>
        <w:t>四章 采购需求</w:t>
      </w:r>
      <w:bookmarkEnd w:id="179"/>
      <w:bookmarkEnd w:id="180"/>
      <w:bookmarkEnd w:id="181"/>
      <w:bookmarkEnd w:id="182"/>
      <w:bookmarkEnd w:id="183"/>
    </w:p>
    <w:p w14:paraId="501B4BF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bookmarkStart w:id="185" w:name="_Toc49090575"/>
      <w:bookmarkStart w:id="186" w:name="_Toc26554093"/>
      <w:bookmarkStart w:id="187" w:name="_Toc120614281"/>
      <w:r>
        <w:rPr>
          <w:rFonts w:hint="eastAsia" w:ascii="仿宋" w:hAnsi="仿宋" w:eastAsia="仿宋" w:cs="仿宋"/>
          <w:color w:val="auto"/>
          <w:sz w:val="28"/>
          <w:szCs w:val="28"/>
          <w:highlight w:val="none"/>
        </w:rPr>
        <w:t>项目属性:服务类项目。</w:t>
      </w:r>
      <w:bookmarkEnd w:id="185"/>
      <w:bookmarkEnd w:id="186"/>
    </w:p>
    <w:p w14:paraId="2A61F6C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本次采购包括</w:t>
      </w:r>
      <w:r>
        <w:rPr>
          <w:rFonts w:hint="eastAsia" w:ascii="仿宋" w:hAnsi="仿宋" w:eastAsia="仿宋" w:cs="仿宋"/>
          <w:color w:val="auto"/>
          <w:sz w:val="28"/>
          <w:szCs w:val="28"/>
          <w:highlight w:val="none"/>
          <w:lang w:val="en-US" w:eastAsia="zh-CN"/>
        </w:rPr>
        <w:t>高新区“限值限量”监测设备运维服务。</w:t>
      </w:r>
    </w:p>
    <w:p w14:paraId="63C21CB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一、项目基本情况</w:t>
      </w:r>
    </w:p>
    <w:p w14:paraId="09410C8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 </w:t>
      </w:r>
      <w:r>
        <w:rPr>
          <w:rFonts w:hint="eastAsia" w:ascii="仿宋" w:hAnsi="仿宋" w:eastAsia="仿宋" w:cs="仿宋"/>
          <w:color w:val="auto"/>
          <w:sz w:val="28"/>
          <w:szCs w:val="28"/>
          <w:highlight w:val="none"/>
        </w:rPr>
        <w:t>项目名称：</w:t>
      </w:r>
      <w:r>
        <w:rPr>
          <w:rFonts w:hint="eastAsia" w:ascii="仿宋" w:hAnsi="仿宋" w:eastAsia="仿宋" w:cs="仿宋"/>
          <w:color w:val="auto"/>
          <w:sz w:val="28"/>
          <w:szCs w:val="28"/>
          <w:highlight w:val="none"/>
          <w:lang w:val="en-US" w:eastAsia="zh-CN"/>
        </w:rPr>
        <w:t>高新区“限值限量”监测设备运维服务采购项目</w:t>
      </w:r>
    </w:p>
    <w:p w14:paraId="1981892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rPr>
      </w:pPr>
      <w:r>
        <w:rPr>
          <w:rFonts w:hint="eastAsia" w:ascii="仿宋" w:hAnsi="仿宋" w:eastAsia="仿宋" w:cs="仿宋"/>
          <w:color w:val="auto"/>
          <w:sz w:val="28"/>
          <w:szCs w:val="28"/>
          <w:highlight w:val="none"/>
          <w:lang w:val="en-US" w:eastAsia="zh-CN"/>
        </w:rPr>
        <w:t>1.2 多类型监测设备运维服务</w:t>
      </w:r>
      <w:r>
        <w:rPr>
          <w:rFonts w:hint="eastAsia" w:ascii="仿宋" w:hAnsi="仿宋" w:eastAsia="仿宋" w:cs="仿宋"/>
          <w:color w:val="auto"/>
          <w:sz w:val="28"/>
          <w:szCs w:val="28"/>
          <w:highlight w:val="none"/>
        </w:rPr>
        <w:t>：</w:t>
      </w:r>
      <w:r>
        <w:rPr>
          <w:rFonts w:hint="eastAsia" w:ascii="仿宋" w:hAnsi="仿宋" w:eastAsia="仿宋" w:cs="仿宋"/>
          <w:color w:val="0000FF"/>
          <w:sz w:val="28"/>
          <w:szCs w:val="28"/>
          <w:highlight w:val="none"/>
          <w:lang w:eastAsia="zh-CN"/>
        </w:rPr>
        <w:t>对园区内的一套标准空气站和一套挥发性有机物（VOCs）监测系统（包含116种PAMS物质）为期一年及一套标准空气站、一套挥发性有机物（VOCs）监测系统（包含57种PAMS物质）和45套空气自动监测微站进行为期两年的全方位、系统化运维及管理服务，并包含对所运行维护设备进行必要的软件功能升级，保证设备稳定运行，并向园区提供环保智慧平台、数据监控预警以及技术咨询等服务</w:t>
      </w:r>
      <w:r>
        <w:rPr>
          <w:rFonts w:hint="eastAsia" w:ascii="仿宋" w:hAnsi="仿宋" w:eastAsia="仿宋" w:cs="仿宋"/>
          <w:color w:val="0000FF"/>
          <w:sz w:val="28"/>
          <w:szCs w:val="28"/>
          <w:highlight w:val="none"/>
        </w:rPr>
        <w:t>，</w:t>
      </w:r>
      <w:r>
        <w:rPr>
          <w:rFonts w:hint="eastAsia" w:ascii="仿宋" w:hAnsi="仿宋" w:eastAsia="仿宋" w:cs="仿宋"/>
          <w:color w:val="0000FF"/>
          <w:sz w:val="28"/>
          <w:szCs w:val="28"/>
          <w:highlight w:val="none"/>
          <w:lang w:val="en-US" w:eastAsia="zh-CN"/>
        </w:rPr>
        <w:t>服务期内派遣至少一名专业人员（专职运维人员不得兼职）开展总量核算、限值限量进展评估工作。</w:t>
      </w:r>
    </w:p>
    <w:p w14:paraId="1977AB4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rPr>
      </w:pPr>
      <w:r>
        <w:rPr>
          <w:rFonts w:hint="eastAsia" w:ascii="仿宋" w:hAnsi="仿宋" w:eastAsia="仿宋" w:cs="仿宋"/>
          <w:color w:val="0000FF"/>
          <w:sz w:val="28"/>
          <w:szCs w:val="28"/>
          <w:highlight w:val="none"/>
          <w:lang w:val="en-US" w:eastAsia="zh-CN"/>
        </w:rPr>
        <w:t xml:space="preserve">1.3 </w:t>
      </w:r>
      <w:r>
        <w:rPr>
          <w:rFonts w:hint="eastAsia" w:ascii="仿宋" w:hAnsi="仿宋" w:eastAsia="仿宋" w:cs="仿宋"/>
          <w:color w:val="0000FF"/>
          <w:sz w:val="28"/>
          <w:szCs w:val="28"/>
          <w:highlight w:val="none"/>
        </w:rPr>
        <w:t>合同履行期限：</w:t>
      </w:r>
      <w:r>
        <w:rPr>
          <w:rFonts w:hint="eastAsia" w:ascii="仿宋" w:hAnsi="仿宋" w:eastAsia="仿宋" w:cs="仿宋"/>
          <w:color w:val="0000FF"/>
          <w:sz w:val="28"/>
          <w:szCs w:val="28"/>
          <w:highlight w:val="none"/>
          <w:lang w:eastAsia="zh-CN"/>
        </w:rPr>
        <w:t>一套标准空气站和一套挥发性有机物（VOCs）监测系统（包含116种PAMS物质）为期一年及一套标准空气站、一套挥发性有机物（VOCs）监测系统（包含57种PAMS物质）和45套空气自动监测微站进行为期两年的全方位、系统化运维及管理服务。</w:t>
      </w:r>
    </w:p>
    <w:p w14:paraId="1EF3BF2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default" w:ascii="仿宋" w:hAnsi="仿宋" w:eastAsia="仿宋" w:cs="仿宋"/>
          <w:b/>
          <w:bCs/>
          <w:color w:val="auto"/>
          <w:sz w:val="30"/>
          <w:szCs w:val="30"/>
          <w:highlight w:val="none"/>
          <w:lang w:val="en-US" w:eastAsia="zh-CN"/>
        </w:rPr>
      </w:pPr>
      <w:r>
        <w:rPr>
          <w:rFonts w:hint="eastAsia" w:ascii="仿宋" w:hAnsi="仿宋" w:eastAsia="仿宋" w:cs="仿宋"/>
          <w:b/>
          <w:bCs/>
          <w:color w:val="auto"/>
          <w:sz w:val="28"/>
          <w:szCs w:val="28"/>
          <w:highlight w:val="none"/>
        </w:rPr>
        <w:t>二、</w:t>
      </w:r>
      <w:r>
        <w:rPr>
          <w:rFonts w:hint="eastAsia" w:ascii="仿宋" w:hAnsi="仿宋" w:eastAsia="仿宋" w:cs="仿宋"/>
          <w:b/>
          <w:bCs/>
          <w:color w:val="auto"/>
          <w:sz w:val="28"/>
          <w:szCs w:val="28"/>
          <w:highlight w:val="none"/>
          <w:lang w:val="en-US" w:eastAsia="zh-CN"/>
        </w:rPr>
        <w:t>分级分类运维管理</w:t>
      </w:r>
    </w:p>
    <w:p w14:paraId="07F82F2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 </w:t>
      </w:r>
      <w:r>
        <w:rPr>
          <w:rFonts w:hint="eastAsia" w:ascii="仿宋" w:hAnsi="仿宋" w:eastAsia="仿宋" w:cs="仿宋"/>
          <w:b/>
          <w:bCs/>
          <w:color w:val="auto"/>
          <w:sz w:val="28"/>
          <w:szCs w:val="28"/>
          <w:highlight w:val="none"/>
        </w:rPr>
        <w:t>空气自动监测站运维管理内容</w:t>
      </w:r>
    </w:p>
    <w:p w14:paraId="5734CC2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2.1.1</w:t>
      </w:r>
      <w:r>
        <w:rPr>
          <w:rFonts w:hint="eastAsia" w:ascii="仿宋" w:hAnsi="仿宋" w:eastAsia="仿宋" w:cs="仿宋"/>
          <w:b/>
          <w:bCs/>
          <w:color w:val="auto"/>
          <w:sz w:val="28"/>
          <w:szCs w:val="28"/>
          <w:highlight w:val="none"/>
        </w:rPr>
        <w:t>运维工作内容</w:t>
      </w:r>
    </w:p>
    <w:p w14:paraId="1F897CE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运维过程中主要完成以下工作：</w:t>
      </w:r>
    </w:p>
    <w:p w14:paraId="7889068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2.1.1.1</w:t>
      </w:r>
      <w:r>
        <w:rPr>
          <w:rFonts w:hint="eastAsia" w:ascii="仿宋" w:hAnsi="仿宋" w:eastAsia="仿宋" w:cs="仿宋"/>
          <w:color w:val="auto"/>
          <w:sz w:val="28"/>
          <w:szCs w:val="28"/>
          <w:highlight w:val="none"/>
        </w:rPr>
        <w:t>空气自动监测站的日常运行维护；</w:t>
      </w:r>
    </w:p>
    <w:p w14:paraId="3BCD334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2.1.1.2</w:t>
      </w:r>
      <w:r>
        <w:rPr>
          <w:rFonts w:hint="eastAsia" w:ascii="仿宋" w:hAnsi="仿宋" w:eastAsia="仿宋" w:cs="仿宋"/>
          <w:color w:val="auto"/>
          <w:sz w:val="28"/>
          <w:szCs w:val="28"/>
          <w:highlight w:val="none"/>
        </w:rPr>
        <w:t>空气自动监测站的日常质量管理；</w:t>
      </w:r>
    </w:p>
    <w:p w14:paraId="4A340AF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2.1.1.3</w:t>
      </w:r>
      <w:r>
        <w:rPr>
          <w:rFonts w:hint="eastAsia" w:ascii="仿宋" w:hAnsi="仿宋" w:eastAsia="仿宋" w:cs="仿宋"/>
          <w:color w:val="auto"/>
          <w:sz w:val="28"/>
          <w:szCs w:val="28"/>
          <w:highlight w:val="none"/>
        </w:rPr>
        <w:t>空气自动监测站的日常安全管理；</w:t>
      </w:r>
    </w:p>
    <w:p w14:paraId="4995BB7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2.1.1.4 </w:t>
      </w:r>
      <w:r>
        <w:rPr>
          <w:rFonts w:hint="eastAsia" w:ascii="仿宋" w:hAnsi="仿宋" w:eastAsia="仿宋" w:cs="仿宋"/>
          <w:color w:val="auto"/>
          <w:sz w:val="28"/>
          <w:szCs w:val="28"/>
          <w:highlight w:val="none"/>
        </w:rPr>
        <w:t>空气自动监测站监测数据的日常审核、上报；</w:t>
      </w:r>
    </w:p>
    <w:p w14:paraId="10448E6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2.1.1.5 </w:t>
      </w:r>
      <w:r>
        <w:rPr>
          <w:rFonts w:hint="eastAsia" w:ascii="仿宋" w:hAnsi="仿宋" w:eastAsia="仿宋" w:cs="仿宋"/>
          <w:color w:val="auto"/>
          <w:sz w:val="28"/>
          <w:szCs w:val="28"/>
          <w:highlight w:val="none"/>
        </w:rPr>
        <w:t>空气自动监测站的仪器设备维护保养及故障维修；</w:t>
      </w:r>
    </w:p>
    <w:p w14:paraId="3116FF2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2.1.1.6 </w:t>
      </w:r>
      <w:r>
        <w:rPr>
          <w:rFonts w:hint="eastAsia" w:ascii="仿宋" w:hAnsi="仿宋" w:eastAsia="仿宋" w:cs="仿宋"/>
          <w:color w:val="auto"/>
          <w:sz w:val="28"/>
          <w:szCs w:val="28"/>
          <w:highlight w:val="none"/>
        </w:rPr>
        <w:t>空气自动监测站其他相关辅助设备设施的维护、保养、维修；</w:t>
      </w:r>
    </w:p>
    <w:p w14:paraId="5A471B7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2.1.1.7</w:t>
      </w:r>
      <w:r>
        <w:rPr>
          <w:rFonts w:hint="eastAsia" w:ascii="仿宋" w:hAnsi="仿宋" w:eastAsia="仿宋" w:cs="仿宋"/>
          <w:color w:val="auto"/>
          <w:sz w:val="28"/>
          <w:szCs w:val="28"/>
          <w:highlight w:val="none"/>
        </w:rPr>
        <w:t>空气自动监测站数据采集及传输系统的维护及维修，保证空气自动监测站通讯正常；</w:t>
      </w:r>
    </w:p>
    <w:p w14:paraId="74F562B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2.1.1.8 </w:t>
      </w:r>
      <w:r>
        <w:rPr>
          <w:rFonts w:hint="eastAsia" w:ascii="仿宋" w:hAnsi="仿宋" w:eastAsia="仿宋" w:cs="仿宋"/>
          <w:color w:val="auto"/>
          <w:sz w:val="28"/>
          <w:szCs w:val="28"/>
          <w:highlight w:val="none"/>
        </w:rPr>
        <w:t>根据工作需要开展对空气自动监测站PM10与PM2.5自动监测的手工比对；</w:t>
      </w:r>
    </w:p>
    <w:p w14:paraId="04D9196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2.1.1.9 </w:t>
      </w:r>
      <w:r>
        <w:rPr>
          <w:rFonts w:hint="eastAsia" w:ascii="仿宋" w:hAnsi="仿宋" w:eastAsia="仿宋" w:cs="仿宋"/>
          <w:color w:val="auto"/>
          <w:sz w:val="28"/>
          <w:szCs w:val="28"/>
          <w:highlight w:val="none"/>
        </w:rPr>
        <w:t>当仪器出现故障不能及时修复时，应在24小时之内使用备机开展监测；</w:t>
      </w:r>
    </w:p>
    <w:p w14:paraId="17B0D8F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2.1.1.10</w:t>
      </w:r>
      <w:r>
        <w:rPr>
          <w:rFonts w:hint="eastAsia" w:ascii="仿宋" w:hAnsi="仿宋" w:eastAsia="仿宋" w:cs="仿宋"/>
          <w:color w:val="auto"/>
          <w:sz w:val="28"/>
          <w:szCs w:val="28"/>
          <w:highlight w:val="none"/>
        </w:rPr>
        <w:t>仪器报废后（包括因洪水、地震、台风、站房外部火灾、爆炸、恐怖袭击、武装冲突、蓄意破坏等不可抗力导致），运维单位须先行及时使用备机开展监测，同时进行报备；</w:t>
      </w:r>
    </w:p>
    <w:p w14:paraId="768147C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2.1.1.11 </w:t>
      </w:r>
      <w:r>
        <w:rPr>
          <w:rFonts w:hint="eastAsia" w:ascii="仿宋" w:hAnsi="仿宋" w:eastAsia="仿宋" w:cs="仿宋"/>
          <w:color w:val="auto"/>
          <w:sz w:val="28"/>
          <w:szCs w:val="28"/>
          <w:highlight w:val="none"/>
        </w:rPr>
        <w:t>当点位需要新增、撤销、变更时，由所在地生态环境部门按照点位管理程序向上级生态环境部门报批。涉及站点迁移的，运维单位应做好迁移前后监测仪器设备检查工作并做好相关记录。</w:t>
      </w:r>
    </w:p>
    <w:p w14:paraId="58ACD19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2.1.2 </w:t>
      </w:r>
      <w:r>
        <w:rPr>
          <w:rFonts w:hint="eastAsia" w:ascii="仿宋" w:hAnsi="仿宋" w:eastAsia="仿宋" w:cs="仿宋"/>
          <w:b/>
          <w:bCs/>
          <w:color w:val="auto"/>
          <w:sz w:val="28"/>
          <w:szCs w:val="28"/>
          <w:highlight w:val="none"/>
        </w:rPr>
        <w:t>运维工作目标</w:t>
      </w:r>
    </w:p>
    <w:p w14:paraId="78F1CF1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运维单位必须建立完善的运行维护工作规范与质量管理体系，确保提供及时、准确、有效的监测数据，子站的运行质量应达到以下指标：</w:t>
      </w:r>
    </w:p>
    <w:p w14:paraId="6FA2B6D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2.1.2.1</w:t>
      </w:r>
      <w:r>
        <w:rPr>
          <w:rFonts w:hint="eastAsia" w:ascii="仿宋" w:hAnsi="仿宋" w:eastAsia="仿宋" w:cs="仿宋"/>
          <w:color w:val="auto"/>
          <w:sz w:val="28"/>
          <w:szCs w:val="28"/>
          <w:highlight w:val="none"/>
        </w:rPr>
        <w:t>所获取的有效监测数据必须满足</w:t>
      </w:r>
      <w:bookmarkStart w:id="188" w:name="OLE_LINK23"/>
      <w:bookmarkStart w:id="189" w:name="OLE_LINK24"/>
      <w:r>
        <w:rPr>
          <w:rFonts w:hint="eastAsia" w:ascii="仿宋" w:hAnsi="仿宋" w:eastAsia="仿宋" w:cs="仿宋"/>
          <w:color w:val="auto"/>
          <w:sz w:val="28"/>
          <w:szCs w:val="28"/>
          <w:highlight w:val="none"/>
        </w:rPr>
        <w:t>国家《环境空气质量标准》（GB 3095-2012）中规定的污染物浓度数据有效性最低要求</w:t>
      </w:r>
      <w:bookmarkEnd w:id="188"/>
      <w:bookmarkEnd w:id="189"/>
      <w:r>
        <w:rPr>
          <w:rFonts w:hint="eastAsia" w:ascii="仿宋" w:hAnsi="仿宋" w:eastAsia="仿宋" w:cs="仿宋"/>
          <w:color w:val="auto"/>
          <w:sz w:val="28"/>
          <w:szCs w:val="28"/>
          <w:highlight w:val="none"/>
        </w:rPr>
        <w:t>。</w:t>
      </w:r>
    </w:p>
    <w:p w14:paraId="504E32E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2.1.2.2 </w:t>
      </w:r>
      <w:r>
        <w:rPr>
          <w:rFonts w:hint="eastAsia" w:ascii="仿宋" w:hAnsi="仿宋" w:eastAsia="仿宋" w:cs="仿宋"/>
          <w:color w:val="auto"/>
          <w:sz w:val="28"/>
          <w:szCs w:val="28"/>
          <w:highlight w:val="none"/>
        </w:rPr>
        <w:t>单站设备运行率必须高于90%(含)，有效率必须高于85%(含)。</w:t>
      </w:r>
    </w:p>
    <w:p w14:paraId="630369B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2.1.2.3 </w:t>
      </w:r>
      <w:r>
        <w:rPr>
          <w:rFonts w:hint="eastAsia" w:ascii="仿宋" w:hAnsi="仿宋" w:eastAsia="仿宋" w:cs="仿宋"/>
          <w:color w:val="auto"/>
          <w:sz w:val="28"/>
          <w:szCs w:val="28"/>
          <w:highlight w:val="none"/>
        </w:rPr>
        <w:t>异常情况处理率100%。</w:t>
      </w:r>
    </w:p>
    <w:p w14:paraId="14FB41E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设备运行率是指已上传数据量与应上传数据量之比，数据有效率是指有效数据量与应上传数据量之比。</w:t>
      </w:r>
    </w:p>
    <w:p w14:paraId="061B61F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 xml:space="preserve">2.1.3 </w:t>
      </w:r>
      <w:r>
        <w:rPr>
          <w:rFonts w:hint="eastAsia" w:ascii="仿宋" w:hAnsi="仿宋" w:eastAsia="仿宋" w:cs="仿宋"/>
          <w:b/>
          <w:bCs/>
          <w:color w:val="auto"/>
          <w:sz w:val="28"/>
          <w:szCs w:val="28"/>
          <w:highlight w:val="none"/>
        </w:rPr>
        <w:t>运维工作要求</w:t>
      </w:r>
      <w:r>
        <w:rPr>
          <w:rFonts w:hint="eastAsia" w:ascii="仿宋" w:hAnsi="仿宋" w:eastAsia="仿宋" w:cs="仿宋"/>
          <w:color w:val="auto"/>
          <w:sz w:val="28"/>
          <w:szCs w:val="28"/>
          <w:highlight w:val="none"/>
          <w:lang w:val="en-US" w:eastAsia="zh-CN"/>
        </w:rPr>
        <w:t xml:space="preserve">  </w:t>
      </w:r>
    </w:p>
    <w:p w14:paraId="638A9CB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运维单位应遵守国家、省关于空气自动站运行管理的各项规定，如运维期间出台新的运行管理规定，则运维工作按最新规定执行。</w:t>
      </w:r>
    </w:p>
    <w:p w14:paraId="57AB241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2.1.3.1 </w:t>
      </w:r>
      <w:r>
        <w:rPr>
          <w:rFonts w:hint="eastAsia" w:ascii="仿宋" w:hAnsi="仿宋" w:eastAsia="仿宋" w:cs="仿宋"/>
          <w:color w:val="auto"/>
          <w:sz w:val="28"/>
          <w:szCs w:val="28"/>
          <w:highlight w:val="none"/>
        </w:rPr>
        <w:t>运维工作一般要求如下：</w:t>
      </w:r>
    </w:p>
    <w:p w14:paraId="5B93AF9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保持站房内部环境清洁，布置整齐，各仪器设备干净清洁，设备标识清楚；</w:t>
      </w:r>
    </w:p>
    <w:p w14:paraId="4BC400A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保持站房外20m以内的环境清洁；</w:t>
      </w:r>
    </w:p>
    <w:p w14:paraId="379684E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检查供电和网络通讯情况，保证系统的正常运行；</w:t>
      </w:r>
    </w:p>
    <w:p w14:paraId="598623C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④ </w:t>
      </w:r>
      <w:r>
        <w:rPr>
          <w:rFonts w:hint="eastAsia" w:ascii="仿宋" w:hAnsi="仿宋" w:eastAsia="仿宋" w:cs="仿宋"/>
          <w:color w:val="auto"/>
          <w:sz w:val="28"/>
          <w:szCs w:val="28"/>
          <w:highlight w:val="none"/>
        </w:rPr>
        <w:t>保证空调正常工作，站房内温度25±5℃，相对湿度保持在80%RH以下；</w:t>
      </w:r>
    </w:p>
    <w:p w14:paraId="5F8C0CC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⑤ </w:t>
      </w:r>
      <w:r>
        <w:rPr>
          <w:rFonts w:hint="eastAsia" w:ascii="仿宋" w:hAnsi="仿宋" w:eastAsia="仿宋" w:cs="仿宋"/>
          <w:color w:val="auto"/>
          <w:sz w:val="28"/>
          <w:szCs w:val="28"/>
          <w:highlight w:val="none"/>
        </w:rPr>
        <w:t>指派专人维护，设备固定牢固，门窗关闭良好，人走关门，非工作人员未经许可不得入内；</w:t>
      </w:r>
    </w:p>
    <w:p w14:paraId="1AD3B8D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⑥ </w:t>
      </w:r>
      <w:r>
        <w:rPr>
          <w:rFonts w:hint="eastAsia" w:ascii="仿宋" w:hAnsi="仿宋" w:eastAsia="仿宋" w:cs="仿宋"/>
          <w:color w:val="auto"/>
          <w:sz w:val="28"/>
          <w:szCs w:val="28"/>
          <w:highlight w:val="none"/>
        </w:rPr>
        <w:t>定期检查消防和安全设施；</w:t>
      </w:r>
    </w:p>
    <w:p w14:paraId="4765E11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⑦ </w:t>
      </w:r>
      <w:r>
        <w:rPr>
          <w:rFonts w:hint="eastAsia" w:ascii="仿宋" w:hAnsi="仿宋" w:eastAsia="仿宋" w:cs="仿宋"/>
          <w:color w:val="auto"/>
          <w:sz w:val="28"/>
          <w:szCs w:val="28"/>
          <w:highlight w:val="none"/>
        </w:rPr>
        <w:t>每次维护后做好系统运行维护记录；</w:t>
      </w:r>
    </w:p>
    <w:p w14:paraId="2A7863C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⑧ </w:t>
      </w:r>
      <w:r>
        <w:rPr>
          <w:rFonts w:hint="eastAsia" w:ascii="仿宋" w:hAnsi="仿宋" w:eastAsia="仿宋" w:cs="仿宋"/>
          <w:color w:val="auto"/>
          <w:sz w:val="28"/>
          <w:szCs w:val="28"/>
          <w:highlight w:val="none"/>
        </w:rPr>
        <w:t>进行维护时，应规范操作，注意安全，防止意外发生。</w:t>
      </w:r>
    </w:p>
    <w:p w14:paraId="6797B26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2.1.3.2 每日工作内容如下：</w:t>
      </w:r>
    </w:p>
    <w:p w14:paraId="41A3608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每天上午和下午两次远程查看空气自动监测站数据并形成记录，分析监测数据，对站点运行情况进行远程诊断和运行管理，内容包括：</w:t>
      </w:r>
    </w:p>
    <w:p w14:paraId="33BBB9D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① 判断系统数据采集与传输情况；</w:t>
      </w:r>
    </w:p>
    <w:p w14:paraId="4DB0199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② 根据站房温度、湿度数据判断站房内部情况；</w:t>
      </w:r>
    </w:p>
    <w:p w14:paraId="12251EE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③ 发现监测数据异常，应</w:t>
      </w:r>
      <w:r>
        <w:rPr>
          <w:rFonts w:hint="eastAsia" w:ascii="仿宋" w:hAnsi="仿宋" w:eastAsia="仿宋" w:cs="仿宋"/>
          <w:color w:val="auto"/>
          <w:sz w:val="28"/>
          <w:szCs w:val="28"/>
          <w:highlight w:val="none"/>
        </w:rPr>
        <w:t>立即通知业主，在每日8时～22时出现的异常，应在4小时内解决（通信线路、电力线路故障除外，但应及时与相关部门联系积极解决），每日23</w:t>
      </w:r>
      <w:r>
        <w:rPr>
          <w:rFonts w:hint="eastAsia" w:ascii="仿宋" w:hAnsi="仿宋" w:eastAsia="仿宋" w:cs="仿宋"/>
          <w:color w:val="auto"/>
          <w:sz w:val="28"/>
          <w:szCs w:val="28"/>
          <w:highlight w:val="none"/>
          <w:lang w:val="en-US" w:eastAsia="zh-CN"/>
        </w:rPr>
        <w:t>时</w:t>
      </w:r>
      <w:r>
        <w:rPr>
          <w:rFonts w:hint="eastAsia" w:ascii="仿宋" w:hAnsi="仿宋" w:eastAsia="仿宋" w:cs="仿宋"/>
          <w:color w:val="auto"/>
          <w:sz w:val="28"/>
          <w:szCs w:val="28"/>
          <w:highlight w:val="none"/>
        </w:rPr>
        <w:t>~次日7时出现的异常，应在次日上午10时前解决；</w:t>
      </w:r>
    </w:p>
    <w:p w14:paraId="351E391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④ </w:t>
      </w:r>
      <w:r>
        <w:rPr>
          <w:rFonts w:hint="eastAsia" w:ascii="仿宋" w:hAnsi="仿宋" w:eastAsia="仿宋" w:cs="仿宋"/>
          <w:color w:val="auto"/>
          <w:sz w:val="28"/>
          <w:szCs w:val="28"/>
          <w:highlight w:val="none"/>
        </w:rPr>
        <w:t>发生重污染天气等特殊情况后，应在4小时内开展相应的运维工作；</w:t>
      </w:r>
    </w:p>
    <w:p w14:paraId="6380E64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⑤ </w:t>
      </w:r>
      <w:r>
        <w:rPr>
          <w:rFonts w:hint="eastAsia" w:ascii="仿宋" w:hAnsi="仿宋" w:eastAsia="仿宋" w:cs="仿宋"/>
          <w:color w:val="auto"/>
          <w:sz w:val="28"/>
          <w:szCs w:val="28"/>
          <w:highlight w:val="none"/>
        </w:rPr>
        <w:t>根据数据分析结果、设备状态参数和仪器故障报警信号，判断仪器运行情况和现场状况；</w:t>
      </w:r>
    </w:p>
    <w:p w14:paraId="630FBB4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⑥ </w:t>
      </w:r>
      <w:r>
        <w:rPr>
          <w:rFonts w:hint="eastAsia" w:ascii="仿宋" w:hAnsi="仿宋" w:eastAsia="仿宋" w:cs="仿宋"/>
          <w:color w:val="auto"/>
          <w:sz w:val="28"/>
          <w:szCs w:val="28"/>
          <w:highlight w:val="none"/>
        </w:rPr>
        <w:t>每日检查数据是否及时上传并正常发布，发现数据断网及时恢复。</w:t>
      </w:r>
    </w:p>
    <w:p w14:paraId="6D8FE86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2.1.3.3 </w:t>
      </w:r>
      <w:r>
        <w:rPr>
          <w:rFonts w:hint="eastAsia" w:ascii="仿宋" w:hAnsi="仿宋" w:eastAsia="仿宋" w:cs="仿宋"/>
          <w:color w:val="auto"/>
          <w:sz w:val="28"/>
          <w:szCs w:val="28"/>
          <w:highlight w:val="none"/>
        </w:rPr>
        <w:t>每周工作内容如下：</w:t>
      </w:r>
    </w:p>
    <w:p w14:paraId="44D2D8C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每周至少巡检空气自动监测站1次（运维间隔期不得超过（7±2）天，且14天内必须完成2次维护），并做好巡查记录，巡检时需要完成的工作包括：</w:t>
      </w:r>
    </w:p>
    <w:p w14:paraId="67D3611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查看空气自动监测站设备是否齐备，无丢失和损坏；检查接地线路是否可靠，排风排气装置工作是否正常，标准气钢瓶阀门是否漏气，标准气的消耗情况；</w:t>
      </w:r>
    </w:p>
    <w:p w14:paraId="3341D4C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检查采样和排气管路是否有漏气或堵塞现象，各监测仪器采样流量是否正常；</w:t>
      </w:r>
    </w:p>
    <w:p w14:paraId="7F8BB89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检查各监测仪器的运行状况和工作参数，判断是否正常，如有异常情况及时处理，保证仪器运行正常；</w:t>
      </w:r>
    </w:p>
    <w:p w14:paraId="2E34855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④ </w:t>
      </w:r>
      <w:r>
        <w:rPr>
          <w:rFonts w:hint="eastAsia" w:ascii="仿宋" w:hAnsi="仿宋" w:eastAsia="仿宋" w:cs="仿宋"/>
          <w:color w:val="auto"/>
          <w:sz w:val="28"/>
          <w:szCs w:val="28"/>
          <w:highlight w:val="none"/>
        </w:rPr>
        <w:t>检查PM10和PM2.5监测仪动态加热装置及采样总管加热装置是否正常工作；</w:t>
      </w:r>
    </w:p>
    <w:p w14:paraId="2FEB4AF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⑤ </w:t>
      </w:r>
      <w:r>
        <w:rPr>
          <w:rFonts w:hint="eastAsia" w:ascii="仿宋" w:hAnsi="仿宋" w:eastAsia="仿宋" w:cs="仿宋"/>
          <w:color w:val="auto"/>
          <w:sz w:val="28"/>
          <w:szCs w:val="28"/>
          <w:highlight w:val="none"/>
        </w:rPr>
        <w:t>对二氧化硫、一氧化碳、臭氧、氮氧化物监测仪进行零点、跨度检查，如果漂移超过国家相关规范要求，需要进行校准或维修；</w:t>
      </w:r>
    </w:p>
    <w:p w14:paraId="70A7DE1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⑥ </w:t>
      </w:r>
      <w:r>
        <w:rPr>
          <w:rFonts w:hint="eastAsia" w:ascii="仿宋" w:hAnsi="仿宋" w:eastAsia="仿宋" w:cs="仿宋"/>
          <w:color w:val="auto"/>
          <w:sz w:val="28"/>
          <w:szCs w:val="28"/>
          <w:highlight w:val="none"/>
        </w:rPr>
        <w:t>按照仪器说明书要求，对零气发生器进行维护；</w:t>
      </w:r>
    </w:p>
    <w:p w14:paraId="72FF011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⑦ </w:t>
      </w:r>
      <w:r>
        <w:rPr>
          <w:rFonts w:hint="eastAsia" w:ascii="仿宋" w:hAnsi="仿宋" w:eastAsia="仿宋" w:cs="仿宋"/>
          <w:color w:val="auto"/>
          <w:sz w:val="28"/>
          <w:szCs w:val="28"/>
          <w:highlight w:val="none"/>
        </w:rPr>
        <w:t>检查外部环境是否正常，有没有对测定结果或运行环境存在明显影响的污染源；</w:t>
      </w:r>
    </w:p>
    <w:p w14:paraId="3BD91A1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⑧ </w:t>
      </w:r>
      <w:r>
        <w:rPr>
          <w:rFonts w:hint="eastAsia" w:ascii="仿宋" w:hAnsi="仿宋" w:eastAsia="仿宋" w:cs="仿宋"/>
          <w:color w:val="auto"/>
          <w:sz w:val="28"/>
          <w:szCs w:val="28"/>
          <w:highlight w:val="none"/>
        </w:rPr>
        <w:t>检查电路系统和通讯系统，保证系统供电正常，电压稳定；</w:t>
      </w:r>
    </w:p>
    <w:p w14:paraId="12CA6BE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⑨ </w:t>
      </w:r>
      <w:r>
        <w:rPr>
          <w:rFonts w:hint="eastAsia" w:ascii="仿宋" w:hAnsi="仿宋" w:eastAsia="仿宋" w:cs="仿宋"/>
          <w:color w:val="auto"/>
          <w:sz w:val="28"/>
          <w:szCs w:val="28"/>
          <w:highlight w:val="none"/>
        </w:rPr>
        <w:t>检查空气自动监测站的通讯系统，保证空气自动监测站与相关数据监控平台的连接正常，数据传输正常，确保无远程控制软件；</w:t>
      </w:r>
    </w:p>
    <w:p w14:paraId="7A9B23D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⑩ </w:t>
      </w:r>
      <w:r>
        <w:rPr>
          <w:rFonts w:hint="eastAsia" w:ascii="仿宋" w:hAnsi="仿宋" w:eastAsia="仿宋" w:cs="仿宋"/>
          <w:color w:val="auto"/>
          <w:sz w:val="28"/>
          <w:szCs w:val="28"/>
          <w:highlight w:val="none"/>
        </w:rPr>
        <w:t>对仪器显示数据、时间与数据采集仪之间的一致性进行检查和校准；</w:t>
      </w:r>
    </w:p>
    <w:p w14:paraId="2CBAA02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⑪ </w:t>
      </w:r>
      <w:r>
        <w:rPr>
          <w:rFonts w:hint="eastAsia" w:ascii="仿宋" w:hAnsi="仿宋" w:eastAsia="仿宋" w:cs="仿宋"/>
          <w:color w:val="auto"/>
          <w:sz w:val="28"/>
          <w:szCs w:val="28"/>
          <w:highlight w:val="none"/>
        </w:rPr>
        <w:t>检查监测仪器的采样入口与采样支路管线结合部之间安装的过滤膜的污染情况，每周更换滤膜并检查监测仪器散热风扇污染情况，及时清洗；</w:t>
      </w:r>
    </w:p>
    <w:p w14:paraId="0EA0040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⑫ </w:t>
      </w:r>
      <w:r>
        <w:rPr>
          <w:rFonts w:hint="eastAsia" w:ascii="仿宋" w:hAnsi="仿宋" w:eastAsia="仿宋" w:cs="仿宋"/>
          <w:color w:val="auto"/>
          <w:sz w:val="28"/>
          <w:szCs w:val="28"/>
          <w:highlight w:val="none"/>
        </w:rPr>
        <w:t>在冬、夏季节应注意空气自动监测站站房室内外温差，若温差较大，应及时改变站房温度或对采样总管采取适当的控制措施，防止冷凝现象；</w:t>
      </w:r>
    </w:p>
    <w:p w14:paraId="2BC6D83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⑬ </w:t>
      </w:r>
      <w:r>
        <w:rPr>
          <w:rFonts w:hint="eastAsia" w:ascii="仿宋" w:hAnsi="仿宋" w:eastAsia="仿宋" w:cs="仿宋"/>
          <w:color w:val="auto"/>
          <w:sz w:val="28"/>
          <w:szCs w:val="28"/>
          <w:highlight w:val="none"/>
        </w:rPr>
        <w:t>应及时清除空气自动监测站站房周围的杂草和积水，当周围树木生长超过规范规定的控制限时，应及时剪除对采样或监测光束有影响的树枝；</w:t>
      </w:r>
    </w:p>
    <w:p w14:paraId="066233E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⑭ </w:t>
      </w:r>
      <w:r>
        <w:rPr>
          <w:rFonts w:hint="eastAsia" w:ascii="仿宋" w:hAnsi="仿宋" w:eastAsia="仿宋" w:cs="仿宋"/>
          <w:color w:val="auto"/>
          <w:sz w:val="28"/>
          <w:szCs w:val="28"/>
          <w:highlight w:val="none"/>
        </w:rPr>
        <w:t>应经常检查避雷设施是否可靠，空气自动监测站房屋是否有漏雨现象，天线是否被刮坏，站房外围的其它设施是否有损坏或被水淹，如遇到以上问题应及时处理，保证系统安全运行；</w:t>
      </w:r>
    </w:p>
    <w:p w14:paraId="006E61B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⑮ </w:t>
      </w:r>
      <w:r>
        <w:rPr>
          <w:rFonts w:hint="eastAsia" w:ascii="仿宋" w:hAnsi="仿宋" w:eastAsia="仿宋" w:cs="仿宋"/>
          <w:color w:val="auto"/>
          <w:sz w:val="28"/>
          <w:szCs w:val="28"/>
          <w:highlight w:val="none"/>
        </w:rPr>
        <w:t>检查站房的安全设施，做好防火防盗工作；</w:t>
      </w:r>
    </w:p>
    <w:p w14:paraId="25A85F5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⑯ </w:t>
      </w:r>
      <w:r>
        <w:rPr>
          <w:rFonts w:hint="eastAsia" w:ascii="仿宋" w:hAnsi="仿宋" w:eastAsia="仿宋" w:cs="仿宋"/>
          <w:color w:val="auto"/>
          <w:sz w:val="28"/>
          <w:szCs w:val="28"/>
          <w:highlight w:val="none"/>
        </w:rPr>
        <w:t>每周对颗粒物的采样纸带或滤膜进行检查，如纸带即将用尽或滤膜负载超过规定要求，及时进行更换；</w:t>
      </w:r>
    </w:p>
    <w:p w14:paraId="475D36C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⑰ </w:t>
      </w:r>
      <w:r>
        <w:rPr>
          <w:rFonts w:hint="eastAsia" w:ascii="仿宋" w:hAnsi="仿宋" w:eastAsia="仿宋" w:cs="仿宋"/>
          <w:color w:val="auto"/>
          <w:sz w:val="28"/>
          <w:szCs w:val="28"/>
          <w:highlight w:val="none"/>
        </w:rPr>
        <w:t>每周检查视频监控系统，并做好视频系统的日常维护。若发现人为干扰干预环境空气质量监测的行为，及时向业主汇报；</w:t>
      </w:r>
    </w:p>
    <w:p w14:paraId="5E0AACB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⑱ </w:t>
      </w:r>
      <w:r>
        <w:rPr>
          <w:rFonts w:hint="eastAsia" w:ascii="仿宋" w:hAnsi="仿宋" w:eastAsia="仿宋" w:cs="仿宋"/>
          <w:color w:val="auto"/>
          <w:sz w:val="28"/>
          <w:szCs w:val="28"/>
          <w:highlight w:val="none"/>
        </w:rPr>
        <w:t>每周对站房内外环境卫生进行检查，及时保洁。</w:t>
      </w:r>
    </w:p>
    <w:p w14:paraId="5A91EBB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2.1.3.4 </w:t>
      </w:r>
      <w:r>
        <w:rPr>
          <w:rFonts w:hint="eastAsia" w:ascii="仿宋" w:hAnsi="仿宋" w:eastAsia="仿宋" w:cs="仿宋"/>
          <w:color w:val="auto"/>
          <w:sz w:val="28"/>
          <w:szCs w:val="28"/>
          <w:highlight w:val="none"/>
        </w:rPr>
        <w:t>每月工作内容如下：</w:t>
      </w:r>
    </w:p>
    <w:p w14:paraId="2B0C742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清洗PM10及PM2.5采样头（若遇重污染天气，则每周清洗一次），检查β法颗粒物监测仪仪器喷嘴、压环、密封圈等部件；</w:t>
      </w:r>
    </w:p>
    <w:p w14:paraId="17D1614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检查PM10及PM2.5监测仪、气态监测仪、动态校准仪流量，超过国家相关规范要求时应进行校准；</w:t>
      </w:r>
    </w:p>
    <w:p w14:paraId="568E8BF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每月对数据和运维记录进行备份；</w:t>
      </w:r>
    </w:p>
    <w:p w14:paraId="359D013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④ </w:t>
      </w:r>
      <w:r>
        <w:rPr>
          <w:rFonts w:hint="eastAsia" w:ascii="仿宋" w:hAnsi="仿宋" w:eastAsia="仿宋" w:cs="仿宋"/>
          <w:color w:val="auto"/>
          <w:sz w:val="28"/>
          <w:szCs w:val="28"/>
          <w:highlight w:val="none"/>
        </w:rPr>
        <w:t>检查和校准PM2.5、PM10监测仪相对湿度、温度传感器和压力传感器。</w:t>
      </w:r>
    </w:p>
    <w:p w14:paraId="6343629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2.1.3.5 </w:t>
      </w:r>
      <w:r>
        <w:rPr>
          <w:rFonts w:hint="eastAsia" w:ascii="仿宋" w:hAnsi="仿宋" w:eastAsia="仿宋" w:cs="仿宋"/>
          <w:color w:val="auto"/>
          <w:sz w:val="28"/>
          <w:szCs w:val="28"/>
          <w:highlight w:val="none"/>
        </w:rPr>
        <w:t>每季度工作内容如下：</w:t>
      </w:r>
    </w:p>
    <w:p w14:paraId="2B29C74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采样总管及采样风机每季度至少清洗一次；</w:t>
      </w:r>
    </w:p>
    <w:p w14:paraId="7CCF67E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对PM10和PM2.5监测仪器进行标准膜检查或K0值检查，超过国家相关规范要求时，及时进行校准或维修；</w:t>
      </w:r>
    </w:p>
    <w:p w14:paraId="25F1119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对气态污染物监测仪进行多点校准，绘制校准曲线，检验相关系数、斜率和截距。</w:t>
      </w:r>
    </w:p>
    <w:p w14:paraId="2C3DC5D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2.1.3.6 </w:t>
      </w:r>
      <w:r>
        <w:rPr>
          <w:rFonts w:hint="eastAsia" w:ascii="仿宋" w:hAnsi="仿宋" w:eastAsia="仿宋" w:cs="仿宋"/>
          <w:color w:val="auto"/>
          <w:sz w:val="28"/>
          <w:szCs w:val="28"/>
          <w:highlight w:val="none"/>
        </w:rPr>
        <w:t>每半年工作内容如下：</w:t>
      </w:r>
    </w:p>
    <w:p w14:paraId="58DBDB7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更换零气源净化剂和氧化剂，对零气性能进行检查；</w:t>
      </w:r>
    </w:p>
    <w:p w14:paraId="057E4E1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对氮氧化物监测仪钼炉转化率进行检查；</w:t>
      </w:r>
    </w:p>
    <w:p w14:paraId="5986087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采用臭氧传递标准对空气自动监测站臭氧工作标准进行标准传递。</w:t>
      </w:r>
    </w:p>
    <w:p w14:paraId="172E087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④ </w:t>
      </w:r>
      <w:r>
        <w:rPr>
          <w:rFonts w:hint="eastAsia" w:ascii="仿宋" w:hAnsi="仿宋" w:eastAsia="仿宋" w:cs="仿宋"/>
          <w:color w:val="auto"/>
          <w:sz w:val="28"/>
          <w:szCs w:val="28"/>
          <w:highlight w:val="none"/>
        </w:rPr>
        <w:t>按照仪器说明书对动态校准仪流量进行多点检查；</w:t>
      </w:r>
    </w:p>
    <w:p w14:paraId="5C08968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2.1.3.7 </w:t>
      </w:r>
      <w:r>
        <w:rPr>
          <w:rFonts w:hint="eastAsia" w:ascii="仿宋" w:hAnsi="仿宋" w:eastAsia="仿宋" w:cs="仿宋"/>
          <w:color w:val="auto"/>
          <w:sz w:val="28"/>
          <w:szCs w:val="28"/>
          <w:highlight w:val="none"/>
        </w:rPr>
        <w:t>每年工作内容如下：</w:t>
      </w:r>
    </w:p>
    <w:p w14:paraId="5082865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对所有的仪器（包括采样泵）进行预防性维护，按说明书的要求更换备件。</w:t>
      </w:r>
    </w:p>
    <w:p w14:paraId="3A68894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2.1.3.8 </w:t>
      </w:r>
      <w:r>
        <w:rPr>
          <w:rFonts w:hint="eastAsia" w:ascii="仿宋" w:hAnsi="仿宋" w:eastAsia="仿宋" w:cs="仿宋"/>
          <w:color w:val="auto"/>
          <w:sz w:val="28"/>
          <w:szCs w:val="28"/>
          <w:highlight w:val="none"/>
        </w:rPr>
        <w:t>日常运维其他相关要求如下：</w:t>
      </w:r>
    </w:p>
    <w:p w14:paraId="5767422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每周更换的气态污染物监测仪器所用滤膜，必须为聚四氟乙烯材质；</w:t>
      </w:r>
    </w:p>
    <w:p w14:paraId="2F62D34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应及时制定每月工作计划并将进出空气自动监测站的具体日期上报业主备案，并严格按计划执行，若有变更或临时突发情况处理等应及时上报业主备案；</w:t>
      </w:r>
    </w:p>
    <w:p w14:paraId="7D50FCB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运维单位保证满足生态环境部门对空气自动监测站仪器设备故障的响应时间要求，当仪器设备每日5时～23时出现故障，应在2小时之内响应，4小时内到达现场解决（通信线路、电力线路故障除外，但应及时与相关部门联系积极解决）。若仪器故障无法排除，运维单位必须在24小时内提供并更换相应的备机，保证自动站正常运行；</w:t>
      </w:r>
    </w:p>
    <w:p w14:paraId="26FC378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④ </w:t>
      </w:r>
      <w:r>
        <w:rPr>
          <w:rFonts w:hint="eastAsia" w:ascii="仿宋" w:hAnsi="仿宋" w:eastAsia="仿宋" w:cs="仿宋"/>
          <w:color w:val="auto"/>
          <w:sz w:val="28"/>
          <w:szCs w:val="28"/>
          <w:highlight w:val="none"/>
        </w:rPr>
        <w:t>当仪器损坏不能修复时，应在24小时之内使用备机开展监测，并同时报告业主，业主组织确认仪器损坏情况及原因，酌情处理；</w:t>
      </w:r>
    </w:p>
    <w:p w14:paraId="34EBD6E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⑤ </w:t>
      </w:r>
      <w:r>
        <w:rPr>
          <w:rFonts w:hint="eastAsia" w:ascii="仿宋" w:hAnsi="仿宋" w:eastAsia="仿宋" w:cs="仿宋"/>
          <w:color w:val="auto"/>
          <w:sz w:val="28"/>
          <w:szCs w:val="28"/>
          <w:highlight w:val="none"/>
        </w:rPr>
        <w:t>仪器报废后（包括使用超过8年导致，或因洪水、地震、台风、站房外部火灾、爆炸、恐怖袭击、武装冲突、蓄意破坏等不可抗力导致），运维单位须先行及时使用备机开展监测，同时报告业主；</w:t>
      </w:r>
    </w:p>
    <w:p w14:paraId="569FCB4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⑥ </w:t>
      </w:r>
      <w:r>
        <w:rPr>
          <w:rFonts w:hint="eastAsia" w:ascii="仿宋" w:hAnsi="仿宋" w:eastAsia="仿宋" w:cs="仿宋"/>
          <w:color w:val="auto"/>
          <w:sz w:val="28"/>
          <w:szCs w:val="28"/>
          <w:highlight w:val="none"/>
        </w:rPr>
        <w:t>严禁擅自改变采样管路连接方式和更改仪器参数设置。</w:t>
      </w:r>
    </w:p>
    <w:p w14:paraId="4B467CE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2.1.3.9 </w:t>
      </w:r>
      <w:r>
        <w:rPr>
          <w:rFonts w:hint="eastAsia" w:ascii="仿宋" w:hAnsi="仿宋" w:eastAsia="仿宋" w:cs="仿宋"/>
          <w:color w:val="auto"/>
          <w:sz w:val="28"/>
          <w:szCs w:val="28"/>
          <w:highlight w:val="none"/>
        </w:rPr>
        <w:t>质量控制</w:t>
      </w:r>
      <w:r>
        <w:rPr>
          <w:rFonts w:hint="eastAsia" w:ascii="仿宋" w:hAnsi="仿宋" w:eastAsia="仿宋" w:cs="仿宋"/>
          <w:color w:val="auto"/>
          <w:sz w:val="28"/>
          <w:szCs w:val="28"/>
          <w:highlight w:val="none"/>
          <w:lang w:val="en-US" w:eastAsia="zh-CN"/>
        </w:rPr>
        <w:t>与溯源保障</w:t>
      </w:r>
    </w:p>
    <w:p w14:paraId="6A33358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运维单位需认真落实质量管理制度，建立完善的运行维护工作质量管理体系，安排专职质量控制管理人员。</w:t>
      </w:r>
    </w:p>
    <w:p w14:paraId="499AA84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量值溯源要求</w:t>
      </w:r>
    </w:p>
    <w:p w14:paraId="4D35C8B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在每个空气自动监测站需配备标准气体，所使用的标准气体须为国家生态环境部标样所或中国计量院生产的一级有证标准样品或物质，新购标准气体应做验证实验，形成验证报告。另外，当钢瓶压力低于1.5MPa（含）时，标准停止使用。新的标气阀应预先进行3次（每次至少24小时）以上的老化后方可使用。标准气体必须在有效期内使用。</w:t>
      </w:r>
    </w:p>
    <w:p w14:paraId="2362CF8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应每年将空气自动监测站运维所用的流量计、温度计、气压计、湿度计等质控设备送检，并取得计量部门颁发的合格证书，并根据业主要求定期开展核查工作。每年将空气自动监测站所用的臭氧标准为业主提供的标准设备进行溯源，性能指标均应符合要求。</w:t>
      </w:r>
    </w:p>
    <w:p w14:paraId="20C14CB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②</w:t>
      </w:r>
      <w:r>
        <w:rPr>
          <w:rFonts w:hint="eastAsia" w:ascii="仿宋" w:hAnsi="仿宋" w:eastAsia="仿宋" w:cs="仿宋"/>
          <w:color w:val="auto"/>
          <w:sz w:val="28"/>
          <w:szCs w:val="28"/>
          <w:highlight w:val="none"/>
        </w:rPr>
        <w:t>日常质量控制要求</w:t>
      </w:r>
    </w:p>
    <w:p w14:paraId="32A8989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监测仪在以下情况下需进行校准：</w:t>
      </w:r>
    </w:p>
    <w:p w14:paraId="08F2B4B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安装时</w:t>
      </w:r>
    </w:p>
    <w:p w14:paraId="620BC4D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移动位置时</w:t>
      </w:r>
    </w:p>
    <w:p w14:paraId="788B6FA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rPr>
        <w:t>进行可能影响校准结果的维修或维护后</w:t>
      </w:r>
    </w:p>
    <w:p w14:paraId="18483E8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4）</w:t>
      </w:r>
      <w:r>
        <w:rPr>
          <w:rFonts w:hint="eastAsia" w:ascii="仿宋" w:hAnsi="仿宋" w:eastAsia="仿宋" w:cs="仿宋"/>
          <w:color w:val="auto"/>
          <w:sz w:val="28"/>
          <w:szCs w:val="28"/>
          <w:highlight w:val="none"/>
        </w:rPr>
        <w:t>监测仪暂停工作一段时间后</w:t>
      </w:r>
    </w:p>
    <w:p w14:paraId="2694870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有迹象表明监测仪工作不正常或校准结果出现变化</w:t>
      </w:r>
    </w:p>
    <w:p w14:paraId="2B0E0A2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超过国家规范或本招标文件要求的校准周期或校准要求的。</w:t>
      </w:r>
    </w:p>
    <w:p w14:paraId="54A7C9B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质量检查</w:t>
      </w:r>
    </w:p>
    <w:p w14:paraId="43F1512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运维单位必须接受业主及其委托单位和人员的质量检查。</w:t>
      </w:r>
    </w:p>
    <w:p w14:paraId="1BC26A4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2.1.3.10 </w:t>
      </w:r>
      <w:r>
        <w:rPr>
          <w:rFonts w:hint="eastAsia" w:ascii="仿宋" w:hAnsi="仿宋" w:eastAsia="仿宋" w:cs="仿宋"/>
          <w:color w:val="auto"/>
          <w:sz w:val="28"/>
          <w:szCs w:val="28"/>
          <w:highlight w:val="none"/>
        </w:rPr>
        <w:t>系统设备维修要求</w:t>
      </w:r>
    </w:p>
    <w:p w14:paraId="0C74195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维修更换工作要求</w:t>
      </w:r>
    </w:p>
    <w:p w14:paraId="5CFCAF2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rPr>
      </w:pPr>
      <w:r>
        <w:rPr>
          <w:rFonts w:hint="eastAsia" w:ascii="仿宋" w:hAnsi="仿宋" w:eastAsia="仿宋" w:cs="仿宋"/>
          <w:color w:val="0000FF"/>
          <w:sz w:val="28"/>
          <w:szCs w:val="28"/>
          <w:highlight w:val="none"/>
        </w:rPr>
        <w:t>运维单位负责系统所有设备和仪器的维护、维修和部件更换（包括空调设备等附属设施），并将维修费用计算在运维报价中。本服务内容同样包括由于外部原因意外丢失和损坏设备的更换或维修。</w:t>
      </w:r>
    </w:p>
    <w:p w14:paraId="64D8BD9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设备维修质量控制要求</w:t>
      </w:r>
    </w:p>
    <w:p w14:paraId="69ED3F5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监测仪器修复后，当其监测性能受到影响时，采用关键参数检查、标气测定、颗粒物流量测定、标准膜测试、标准样品测试或手工比对等方法进行测试。</w:t>
      </w:r>
    </w:p>
    <w:p w14:paraId="4DA2BF8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仪器大修后，气态污染监测设备应按顺序开展零点漂移和量程漂移测试、精密度及准确度测试、多点线性测试；颗粒物监测设备应开展手工比对测试，测试应严格按照《环境空气颗粒物（PM10和PM2.5）连续自动监测系统运行和质控技术规范》(HJ 817-2018）中准确度审核要求实施，并遵守《环境空气颗粒物(PM2.5)手工监测方法(重量法)技术规范》（HJ 656-2013）、《环境空气中PM10和PM2.5的测定 重量法》（HJ 618-2011）和《环境空气质量手工监测技术规范》（HJ 194-2017）等相关规范要求，同时提交相应报告。</w:t>
      </w:r>
    </w:p>
    <w:p w14:paraId="303B6F0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2.2 </w:t>
      </w:r>
      <w:r>
        <w:rPr>
          <w:rFonts w:hint="eastAsia" w:ascii="仿宋" w:hAnsi="仿宋" w:eastAsia="仿宋" w:cs="仿宋"/>
          <w:b/>
          <w:bCs/>
          <w:color w:val="auto"/>
          <w:sz w:val="28"/>
          <w:szCs w:val="28"/>
          <w:highlight w:val="none"/>
        </w:rPr>
        <w:t>VOC监测系统运维管理内容</w:t>
      </w:r>
    </w:p>
    <w:p w14:paraId="731FB16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具体运维内容和要求如下：</w:t>
      </w:r>
    </w:p>
    <w:p w14:paraId="21E6271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 </w:t>
      </w:r>
      <w:r>
        <w:rPr>
          <w:rFonts w:hint="eastAsia" w:ascii="仿宋" w:hAnsi="仿宋" w:eastAsia="仿宋" w:cs="仿宋"/>
          <w:color w:val="auto"/>
          <w:sz w:val="28"/>
          <w:szCs w:val="28"/>
          <w:highlight w:val="none"/>
        </w:rPr>
        <w:t>一般要求</w:t>
      </w:r>
    </w:p>
    <w:p w14:paraId="157699A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2.2.1.1 </w:t>
      </w:r>
      <w:r>
        <w:rPr>
          <w:rFonts w:hint="eastAsia" w:ascii="仿宋" w:hAnsi="仿宋" w:eastAsia="仿宋" w:cs="仿宋"/>
          <w:color w:val="auto"/>
          <w:sz w:val="28"/>
          <w:szCs w:val="28"/>
          <w:highlight w:val="none"/>
        </w:rPr>
        <w:t>对站房周围的杂草和积水应及时清除，当周围树木生长超过规范规定的控制限时，对采样有影响的树枝等应及时进行剪除；</w:t>
      </w:r>
    </w:p>
    <w:p w14:paraId="01F1CF5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2.2.1.2 </w:t>
      </w:r>
      <w:r>
        <w:rPr>
          <w:rFonts w:hint="eastAsia" w:ascii="仿宋" w:hAnsi="仿宋" w:eastAsia="仿宋" w:cs="仿宋"/>
          <w:color w:val="auto"/>
          <w:sz w:val="28"/>
          <w:szCs w:val="28"/>
          <w:highlight w:val="none"/>
        </w:rPr>
        <w:t>检查外部环境是否正常，有没有对测定结果或运行环境存在明显影响的污染源，一旦发现污染源，应及时在运维记录上记录，并通知采购方；</w:t>
      </w:r>
    </w:p>
    <w:p w14:paraId="34AC52D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2.2.1.3 </w:t>
      </w:r>
      <w:r>
        <w:rPr>
          <w:rFonts w:hint="eastAsia" w:ascii="仿宋" w:hAnsi="仿宋" w:eastAsia="仿宋" w:cs="仿宋"/>
          <w:color w:val="auto"/>
          <w:sz w:val="28"/>
          <w:szCs w:val="28"/>
          <w:highlight w:val="none"/>
        </w:rPr>
        <w:t>检查站房屋是否有漏雨现象，气象杆和天线是否被刮坏，站房外围的其它设施是否有损坏或被水淹，如遇到以上问题应及时处理，保证系统能安全运行；</w:t>
      </w:r>
    </w:p>
    <w:p w14:paraId="51F2BCD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2.2.1.4 </w:t>
      </w:r>
      <w:r>
        <w:rPr>
          <w:rFonts w:hint="eastAsia" w:ascii="仿宋" w:hAnsi="仿宋" w:eastAsia="仿宋" w:cs="仿宋"/>
          <w:color w:val="auto"/>
          <w:sz w:val="28"/>
          <w:szCs w:val="28"/>
          <w:highlight w:val="none"/>
        </w:rPr>
        <w:t>保持站房内部环境清洁，布置整齐，无与监测无关物品，各仪器设备干净清洁，设备标识清楚；</w:t>
      </w:r>
    </w:p>
    <w:p w14:paraId="6843D14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2.2.1.5 </w:t>
      </w:r>
      <w:r>
        <w:rPr>
          <w:rFonts w:hint="eastAsia" w:ascii="仿宋" w:hAnsi="仿宋" w:eastAsia="仿宋" w:cs="仿宋"/>
          <w:color w:val="auto"/>
          <w:sz w:val="28"/>
          <w:szCs w:val="28"/>
          <w:highlight w:val="none"/>
        </w:rPr>
        <w:t>在冬、夏季节应注意站房室内外温差，若温差较大使采样装置出现冷凝水，应及时改变站房温度或对采样总管采取适当的控制措施，防止冷凝现象；</w:t>
      </w:r>
    </w:p>
    <w:p w14:paraId="0CBFB78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2.2.1.6 </w:t>
      </w:r>
      <w:r>
        <w:rPr>
          <w:rFonts w:hint="eastAsia" w:ascii="仿宋" w:hAnsi="仿宋" w:eastAsia="仿宋" w:cs="仿宋"/>
          <w:color w:val="auto"/>
          <w:sz w:val="28"/>
          <w:szCs w:val="28"/>
          <w:highlight w:val="none"/>
        </w:rPr>
        <w:t>保证仪器运行电源电压正常，空调正常工作，环境温度保持在25℃左右，上下不超过5℃，湿度保持在80%RH以下；</w:t>
      </w:r>
    </w:p>
    <w:p w14:paraId="31F18F9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2.2.1.7 </w:t>
      </w:r>
      <w:r>
        <w:rPr>
          <w:rFonts w:hint="eastAsia" w:ascii="仿宋" w:hAnsi="仿宋" w:eastAsia="仿宋" w:cs="仿宋"/>
          <w:color w:val="auto"/>
          <w:sz w:val="28"/>
          <w:szCs w:val="28"/>
          <w:highlight w:val="none"/>
        </w:rPr>
        <w:t>检查供电、通讯、数据采集与传输等情况，保证系统的正常运行；</w:t>
      </w:r>
    </w:p>
    <w:p w14:paraId="1B1F496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2.2.1.8 </w:t>
      </w:r>
      <w:r>
        <w:rPr>
          <w:rFonts w:hint="eastAsia" w:ascii="仿宋" w:hAnsi="仿宋" w:eastAsia="仿宋" w:cs="仿宋"/>
          <w:color w:val="auto"/>
          <w:sz w:val="28"/>
          <w:szCs w:val="28"/>
          <w:highlight w:val="none"/>
        </w:rPr>
        <w:t>设备固定牢固，门窗关闭良好，人走关门，非工作人员未经许可不得入内。检查站房的安全设施，做好防火防盗工作，站房内发生仪器物品丢失、火灾等意外情况，责任由中标方负责；</w:t>
      </w:r>
    </w:p>
    <w:p w14:paraId="1A4F1C2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2.2.1.9 </w:t>
      </w:r>
      <w:r>
        <w:rPr>
          <w:rFonts w:hint="eastAsia" w:ascii="仿宋" w:hAnsi="仿宋" w:eastAsia="仿宋" w:cs="仿宋"/>
          <w:color w:val="auto"/>
          <w:sz w:val="28"/>
          <w:szCs w:val="28"/>
          <w:highlight w:val="none"/>
        </w:rPr>
        <w:t>进行维护时，应规范操作，注意安全，防止意外发生，由人员操作不当导致的伤亡事件，责任由中标方负责；</w:t>
      </w:r>
    </w:p>
    <w:p w14:paraId="67F7DF0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2.2.1.10 </w:t>
      </w:r>
      <w:r>
        <w:rPr>
          <w:rFonts w:hint="eastAsia" w:ascii="仿宋" w:hAnsi="仿宋" w:eastAsia="仿宋" w:cs="仿宋"/>
          <w:color w:val="auto"/>
          <w:sz w:val="28"/>
          <w:szCs w:val="28"/>
          <w:highlight w:val="none"/>
        </w:rPr>
        <w:t>检查站点的排风排气装置工作是否正常；</w:t>
      </w:r>
    </w:p>
    <w:p w14:paraId="2B35029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2.2.1.11 </w:t>
      </w:r>
      <w:r>
        <w:rPr>
          <w:rFonts w:hint="eastAsia" w:ascii="仿宋" w:hAnsi="仿宋" w:eastAsia="仿宋" w:cs="仿宋"/>
          <w:color w:val="auto"/>
          <w:sz w:val="28"/>
          <w:szCs w:val="28"/>
          <w:highlight w:val="none"/>
        </w:rPr>
        <w:t>标准气钢瓶阀门是否漏气，标准气的消耗情况；</w:t>
      </w:r>
    </w:p>
    <w:p w14:paraId="2BB120E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2.2.1.12 </w:t>
      </w:r>
      <w:r>
        <w:rPr>
          <w:rFonts w:hint="eastAsia" w:ascii="仿宋" w:hAnsi="仿宋" w:eastAsia="仿宋" w:cs="仿宋"/>
          <w:color w:val="auto"/>
          <w:sz w:val="28"/>
          <w:szCs w:val="28"/>
          <w:highlight w:val="none"/>
        </w:rPr>
        <w:t>检查采样和排气管路是否有漏气或堵塞现象；</w:t>
      </w:r>
    </w:p>
    <w:p w14:paraId="4548847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2.2.1.13 </w:t>
      </w:r>
      <w:r>
        <w:rPr>
          <w:rFonts w:hint="eastAsia" w:ascii="仿宋" w:hAnsi="仿宋" w:eastAsia="仿宋" w:cs="仿宋"/>
          <w:color w:val="auto"/>
          <w:sz w:val="28"/>
          <w:szCs w:val="28"/>
          <w:highlight w:val="none"/>
        </w:rPr>
        <w:t>检查各仪器运行状况否正常，保证仪器正常有效运行。</w:t>
      </w:r>
    </w:p>
    <w:p w14:paraId="0A0F238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2.2.2 </w:t>
      </w:r>
      <w:r>
        <w:rPr>
          <w:rFonts w:hint="eastAsia" w:ascii="仿宋" w:hAnsi="仿宋" w:eastAsia="仿宋" w:cs="仿宋"/>
          <w:color w:val="auto"/>
          <w:sz w:val="28"/>
          <w:szCs w:val="28"/>
          <w:highlight w:val="none"/>
        </w:rPr>
        <w:t>具体要求</w:t>
      </w:r>
    </w:p>
    <w:p w14:paraId="01D19D8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2.2.2.1 </w:t>
      </w:r>
      <w:r>
        <w:rPr>
          <w:rFonts w:hint="eastAsia" w:ascii="仿宋" w:hAnsi="仿宋" w:eastAsia="仿宋" w:cs="仿宋"/>
          <w:color w:val="auto"/>
          <w:sz w:val="28"/>
          <w:szCs w:val="28"/>
          <w:highlight w:val="none"/>
        </w:rPr>
        <w:t>每周工作</w:t>
      </w:r>
    </w:p>
    <w:p w14:paraId="6195D89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VOCs仪器应开展仪器性能检查并做好记录</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开展主要性能指标检查，开展氢气发生器、载气和零气供应情况检查</w:t>
      </w:r>
      <w:r>
        <w:rPr>
          <w:rFonts w:hint="eastAsia" w:ascii="仿宋" w:hAnsi="仿宋" w:eastAsia="仿宋" w:cs="仿宋"/>
          <w:color w:val="auto"/>
          <w:sz w:val="28"/>
          <w:szCs w:val="28"/>
          <w:highlight w:val="none"/>
          <w:lang w:eastAsia="zh-CN"/>
        </w:rPr>
        <w:t>：</w:t>
      </w:r>
    </w:p>
    <w:p w14:paraId="4CA3767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检查仪器运行状态，是否报警或异常；</w:t>
      </w:r>
    </w:p>
    <w:p w14:paraId="3605BBD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检查仪器耗材使用情况，更换仪器所需耗材；</w:t>
      </w:r>
    </w:p>
    <w:p w14:paraId="1504929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检查标气、载气等各类气体使用情况；</w:t>
      </w:r>
    </w:p>
    <w:p w14:paraId="6B791A2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检查仪器管路、阀门是否漏气；</w:t>
      </w:r>
    </w:p>
    <w:p w14:paraId="1FEE105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⑤</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检查站房外部环境，是否存在对监测数据或运行环境存在明显影响的污染源；</w:t>
      </w:r>
    </w:p>
    <w:p w14:paraId="0AF55A9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检查站房通讯及数据传输系统状态；</w:t>
      </w:r>
    </w:p>
    <w:p w14:paraId="01A0C77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⑦</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检查更换颗粒物过滤膜；</w:t>
      </w:r>
    </w:p>
    <w:p w14:paraId="1011090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⑧</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检查站房消防、防雷、防水等安全措施是否正常。</w:t>
      </w:r>
    </w:p>
    <w:p w14:paraId="78953C5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2.2.2.2 </w:t>
      </w:r>
      <w:r>
        <w:rPr>
          <w:rFonts w:hint="eastAsia" w:ascii="仿宋" w:hAnsi="仿宋" w:eastAsia="仿宋" w:cs="仿宋"/>
          <w:color w:val="auto"/>
          <w:sz w:val="28"/>
          <w:szCs w:val="28"/>
          <w:highlight w:val="none"/>
        </w:rPr>
        <w:t>每月工作</w:t>
      </w:r>
    </w:p>
    <w:p w14:paraId="1038F4A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VOCs仪器应使用混合标准气体对仪器各组分进行单点（工作点）检查与校准，如浓度偏差大于20%，需重新建立标线。每月应检查基线空白漂移/响应值，氢气发生器、载气、零气发生器性能与流量等各项指标。</w:t>
      </w:r>
    </w:p>
    <w:p w14:paraId="740E12C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清洗仪器散热风扇滤网；</w:t>
      </w:r>
    </w:p>
    <w:p w14:paraId="5AF2C53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更换发生器干燥剂。</w:t>
      </w:r>
    </w:p>
    <w:p w14:paraId="2E84AAE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2.2.2.3 </w:t>
      </w:r>
      <w:r>
        <w:rPr>
          <w:rFonts w:hint="eastAsia" w:ascii="仿宋" w:hAnsi="仿宋" w:eastAsia="仿宋" w:cs="仿宋"/>
          <w:color w:val="auto"/>
          <w:sz w:val="28"/>
          <w:szCs w:val="28"/>
          <w:highlight w:val="none"/>
        </w:rPr>
        <w:t>每季度工作</w:t>
      </w:r>
    </w:p>
    <w:p w14:paraId="329DCE5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为了提高VOCs仪器监测准确度，每季度使用混合标准气体更新多点校准曲线。</w:t>
      </w:r>
    </w:p>
    <w:p w14:paraId="6B01B8B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每季度检查检测器工作状态、老化色谱柱；</w:t>
      </w:r>
    </w:p>
    <w:p w14:paraId="3C175D6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每季对仪器进行一次预防性维护和各测试参数检查；</w:t>
      </w:r>
    </w:p>
    <w:p w14:paraId="67662E7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每季对仪器所有数据进行备份；</w:t>
      </w:r>
    </w:p>
    <w:p w14:paraId="5611C8C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每季使用标准混合气更新工作曲线和峰窗。</w:t>
      </w:r>
    </w:p>
    <w:p w14:paraId="0351291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2.2.2.4</w:t>
      </w:r>
      <w:r>
        <w:rPr>
          <w:rFonts w:hint="eastAsia" w:ascii="仿宋" w:hAnsi="仿宋" w:eastAsia="仿宋" w:cs="仿宋"/>
          <w:color w:val="auto"/>
          <w:sz w:val="28"/>
          <w:szCs w:val="28"/>
          <w:highlight w:val="none"/>
        </w:rPr>
        <w:t>每半年工作</w:t>
      </w:r>
    </w:p>
    <w:p w14:paraId="5BA1BE7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每半年对仪器设备进行一次维护保养，对气态污染物采样系统进行一次维护清洗；</w:t>
      </w:r>
    </w:p>
    <w:p w14:paraId="671542D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采样总管及采样风机清洗。</w:t>
      </w:r>
    </w:p>
    <w:p w14:paraId="35B1E78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2.2.2.5</w:t>
      </w:r>
      <w:r>
        <w:rPr>
          <w:rFonts w:hint="eastAsia" w:ascii="仿宋" w:hAnsi="仿宋" w:eastAsia="仿宋" w:cs="仿宋"/>
          <w:color w:val="auto"/>
          <w:sz w:val="28"/>
          <w:szCs w:val="28"/>
          <w:highlight w:val="none"/>
        </w:rPr>
        <w:t>每年工作</w:t>
      </w:r>
    </w:p>
    <w:p w14:paraId="050C137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流量计、气压计、温度计等设备送计量部门检定，并保存好检定报告；</w:t>
      </w:r>
    </w:p>
    <w:p w14:paraId="3B52910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站点的消防设施进行检查，保证在有效期内；</w:t>
      </w:r>
    </w:p>
    <w:p w14:paraId="699244C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检查站点的防雷设施，每年由有资质单位</w:t>
      </w:r>
      <w:r>
        <w:rPr>
          <w:rFonts w:hint="eastAsia" w:ascii="仿宋" w:hAnsi="仿宋" w:eastAsia="仿宋" w:cs="仿宋"/>
          <w:color w:val="auto"/>
          <w:sz w:val="28"/>
          <w:szCs w:val="28"/>
          <w:highlight w:val="none"/>
          <w:lang w:val="en-US" w:eastAsia="zh-CN"/>
        </w:rPr>
        <w:t>鉴定</w:t>
      </w:r>
      <w:r>
        <w:rPr>
          <w:rFonts w:hint="eastAsia" w:ascii="仿宋" w:hAnsi="仿宋" w:eastAsia="仿宋" w:cs="仿宋"/>
          <w:color w:val="auto"/>
          <w:sz w:val="28"/>
          <w:szCs w:val="28"/>
          <w:highlight w:val="none"/>
        </w:rPr>
        <w:t>一次，并出具相应的鉴定报告；</w:t>
      </w:r>
    </w:p>
    <w:p w14:paraId="2B658FF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OCs仪器每年应开展不少于一次系统保养，对采样管路、仪器内部进样管路和检测器进行清洗等。根据仪器说明书更换必要的耗材与配件。保养后，应对仪器进行全面校准与检查，开展多点校准，进行仪器重复性、稳定性和方法检出限的测定，以确保仪器在维护前后数据的准确性和可比性。</w:t>
      </w:r>
    </w:p>
    <w:p w14:paraId="724FB78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2.2.2.6</w:t>
      </w:r>
      <w:r>
        <w:rPr>
          <w:rFonts w:hint="eastAsia" w:ascii="仿宋" w:hAnsi="仿宋" w:eastAsia="仿宋" w:cs="仿宋"/>
          <w:color w:val="auto"/>
          <w:sz w:val="28"/>
          <w:szCs w:val="28"/>
          <w:highlight w:val="none"/>
        </w:rPr>
        <w:t>不定期工作</w:t>
      </w:r>
    </w:p>
    <w:p w14:paraId="774007C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根据实际使用情况更换相关耗材；</w:t>
      </w:r>
    </w:p>
    <w:p w14:paraId="6E788DB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根据实际需要更换零气源活性炭和氧化剂，对零气性能进行检查。</w:t>
      </w:r>
    </w:p>
    <w:p w14:paraId="21E115D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VOCs仪器紧急维护</w:t>
      </w:r>
    </w:p>
    <w:p w14:paraId="530EF4A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紧急维修主要针对发生故障之设备，对发生故障的设备进行检修，如果发生零件损坏，中标人将马上更换损坏的零件，确保24小时内子站系统恢复正常运行；</w:t>
      </w:r>
    </w:p>
    <w:p w14:paraId="7FCB881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④</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如在现场发现不能在短期内修复仪器的，中标人应及时告知采购人，征得同意后，由中标人负责维修（仪器正常报废除外）；</w:t>
      </w:r>
    </w:p>
    <w:p w14:paraId="3E30149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⑤</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发生通讯故障时，中标人技术人员到达现场后，应检查通讯线路、MODEM、数据采集器等，并及时处理，将检查结果及时反馈给采购人技术人员；如果故障是由通讯线路导致的，通知并协助采购人技术人员报修；</w:t>
      </w:r>
    </w:p>
    <w:p w14:paraId="5593076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⑥</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更换下来故障仪器设备，中标人技术人员应尽快对仪器完成维修（特殊备件损坏需进口购置的情况除外），修好的仪器经采购人技术人员确认后方可重新投入运行；</w:t>
      </w:r>
    </w:p>
    <w:p w14:paraId="048EC6E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⑦</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仪器出现重大故障或核心关键部件损坏，在维修完成后需进行严格校准，必要时经重新检定或溯源后方可上架投入运行。</w:t>
      </w:r>
    </w:p>
    <w:p w14:paraId="7470EA9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2.2.2.7 </w:t>
      </w:r>
      <w:r>
        <w:rPr>
          <w:rFonts w:hint="eastAsia" w:ascii="仿宋" w:hAnsi="仿宋" w:eastAsia="仿宋" w:cs="仿宋"/>
          <w:color w:val="auto"/>
          <w:sz w:val="28"/>
          <w:szCs w:val="28"/>
          <w:highlight w:val="none"/>
        </w:rPr>
        <w:t>其他</w:t>
      </w:r>
    </w:p>
    <w:p w14:paraId="2AE3E9C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分析仪在以下情况下需进行校准和再校准：A.移动位置时；B.进行可能影响校准结果的维修或维护后；C.分析仪暂停工作一段时间后；D.有迹象表明分析仪工作不正常或校准结果出现变化。</w:t>
      </w:r>
    </w:p>
    <w:p w14:paraId="048BA81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仪器大修后（更换设备测试关键部件），应按顺序进行漂移实验（零点漂移、量程漂移）、重复性及准确度实验、多点线性实验。</w:t>
      </w:r>
    </w:p>
    <w:p w14:paraId="64C7132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2.2.2.8 考核办法同上2.1.4.2</w:t>
      </w:r>
    </w:p>
    <w:p w14:paraId="7CBC7AC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2.3 </w:t>
      </w:r>
      <w:r>
        <w:rPr>
          <w:rFonts w:hint="eastAsia" w:ascii="仿宋" w:hAnsi="仿宋" w:eastAsia="仿宋" w:cs="仿宋"/>
          <w:b/>
          <w:bCs/>
          <w:color w:val="auto"/>
          <w:sz w:val="28"/>
          <w:szCs w:val="28"/>
          <w:highlight w:val="none"/>
        </w:rPr>
        <w:t xml:space="preserve">空气自动监测微型站运维管理内容 </w:t>
      </w:r>
    </w:p>
    <w:p w14:paraId="65BF313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微型空气站运行维护应包括周监控、月巡检、季度检查和年度更换，具体要求如下：</w:t>
      </w:r>
    </w:p>
    <w:p w14:paraId="72D097E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2.3.1 </w:t>
      </w:r>
      <w:r>
        <w:rPr>
          <w:rFonts w:hint="eastAsia" w:ascii="仿宋" w:hAnsi="仿宋" w:eastAsia="仿宋" w:cs="仿宋"/>
          <w:color w:val="auto"/>
          <w:sz w:val="28"/>
          <w:szCs w:val="28"/>
          <w:highlight w:val="none"/>
        </w:rPr>
        <w:t>周监控：每周检查设备在线率、报警情况、运行维护计划等至少1次；</w:t>
      </w:r>
    </w:p>
    <w:p w14:paraId="476028D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2.3.2 </w:t>
      </w:r>
      <w:r>
        <w:rPr>
          <w:rFonts w:hint="eastAsia" w:ascii="仿宋" w:hAnsi="仿宋" w:eastAsia="仿宋" w:cs="仿宋"/>
          <w:color w:val="auto"/>
          <w:sz w:val="28"/>
          <w:szCs w:val="28"/>
          <w:highlight w:val="none"/>
        </w:rPr>
        <w:t xml:space="preserve">月巡检：每月远程巡检设备运行状况至少1次，具体内容包括设备运行状态、异常率、运行负荷、质控合格情况等，并留有书面记录； </w:t>
      </w:r>
    </w:p>
    <w:p w14:paraId="4F0CD67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2.3.3 </w:t>
      </w:r>
      <w:r>
        <w:rPr>
          <w:rFonts w:hint="eastAsia" w:ascii="仿宋" w:hAnsi="仿宋" w:eastAsia="仿宋" w:cs="仿宋"/>
          <w:color w:val="auto"/>
          <w:sz w:val="28"/>
          <w:szCs w:val="28"/>
          <w:highlight w:val="none"/>
        </w:rPr>
        <w:t>季度检查：每季度抽取不少于总数5%的站点进行现场检查，检查内容包括质量浓度准确性、平行性、设备状况、周边环境、设备运行状况等。安装气象传感器的站点，使用标准温湿度气压计、手持式风向风速仪进行比对校准。如果季度抽查不合格比例超过一定限值，及时更换不合格产品并将季度检查频次缩短为月度检查。现场检查留有书面记录；</w:t>
      </w:r>
    </w:p>
    <w:p w14:paraId="31E2E9B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2.3.4 </w:t>
      </w:r>
      <w:r>
        <w:rPr>
          <w:rFonts w:hint="eastAsia" w:ascii="仿宋" w:hAnsi="仿宋" w:eastAsia="仿宋" w:cs="仿宋"/>
          <w:color w:val="auto"/>
          <w:sz w:val="28"/>
          <w:szCs w:val="28"/>
          <w:highlight w:val="none"/>
        </w:rPr>
        <w:t>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现场检查应留有书面记录。</w:t>
      </w:r>
    </w:p>
    <w:p w14:paraId="692BC1B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2.4 </w:t>
      </w:r>
      <w:r>
        <w:rPr>
          <w:rFonts w:hint="eastAsia" w:ascii="仿宋" w:hAnsi="仿宋" w:eastAsia="仿宋" w:cs="仿宋"/>
          <w:b/>
          <w:bCs/>
          <w:color w:val="auto"/>
          <w:sz w:val="28"/>
          <w:szCs w:val="28"/>
          <w:highlight w:val="none"/>
        </w:rPr>
        <w:t>信息化保障</w:t>
      </w:r>
      <w:r>
        <w:rPr>
          <w:rFonts w:hint="eastAsia" w:ascii="仿宋" w:hAnsi="仿宋" w:eastAsia="仿宋" w:cs="仿宋"/>
          <w:b/>
          <w:bCs/>
          <w:color w:val="auto"/>
          <w:sz w:val="28"/>
          <w:szCs w:val="28"/>
          <w:highlight w:val="none"/>
          <w:lang w:val="en-US" w:eastAsia="zh-CN"/>
        </w:rPr>
        <w:t>与数据</w:t>
      </w:r>
      <w:r>
        <w:rPr>
          <w:rFonts w:hint="eastAsia" w:ascii="仿宋" w:hAnsi="仿宋" w:eastAsia="仿宋" w:cs="仿宋"/>
          <w:b/>
          <w:bCs/>
          <w:color w:val="auto"/>
          <w:sz w:val="28"/>
          <w:szCs w:val="28"/>
          <w:highlight w:val="none"/>
        </w:rPr>
        <w:t>服务内容</w:t>
      </w:r>
    </w:p>
    <w:p w14:paraId="4EB2FC2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服务期间，提供园区环保数字化服务，并派遣1名专业人员以远程形式开展园区环保数字化平台运维保障及数据维护。通过信息集成、数据分析、报警提醒等信息化手段，为园区环境质量和污染物排放总量动态评估等提供技术支撑和数据服务。应至少包括：</w:t>
      </w:r>
    </w:p>
    <w:p w14:paraId="437FE48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2.4.1 </w:t>
      </w:r>
      <w:r>
        <w:rPr>
          <w:rFonts w:hint="eastAsia" w:ascii="仿宋" w:hAnsi="仿宋" w:eastAsia="仿宋" w:cs="仿宋"/>
          <w:color w:val="auto"/>
          <w:sz w:val="28"/>
          <w:szCs w:val="28"/>
          <w:highlight w:val="none"/>
        </w:rPr>
        <w:t>园区环境质量“一图总览”</w:t>
      </w:r>
    </w:p>
    <w:p w14:paraId="1C6F7ED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基于GIS地图，通过集中、动态、直观的展示界面，展示园区企业分布情况、限值限量站点监测分布及数据情况、站点在线及离线情况、异常告警情况、园区PM2.5和VOCs大气污染物浓度在全省及全市工业园区中的逆序排名情况等信息，用于支撑园区环境质量的管理和管控工作开展。</w:t>
      </w:r>
    </w:p>
    <w:p w14:paraId="7C60D4F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2.4.2 </w:t>
      </w:r>
      <w:r>
        <w:rPr>
          <w:rFonts w:hint="eastAsia" w:ascii="仿宋" w:hAnsi="仿宋" w:eastAsia="仿宋" w:cs="仿宋"/>
          <w:color w:val="auto"/>
          <w:sz w:val="28"/>
          <w:szCs w:val="28"/>
          <w:highlight w:val="none"/>
        </w:rPr>
        <w:t>环境数据统计分析</w:t>
      </w:r>
    </w:p>
    <w:p w14:paraId="29D7EF8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利用接入的园区空气监测站点数据，将各类监测数据按照站点类型、监测因子进行管理展示，可提供任意时段数据查询、下载服务，可提供各类分析图表、统计报表生成及导出服务。提供园区在全市、全省工业园区的VOCs及PM2.5环境质量排名动态更新服务，排名可实现日更新，自动核算园区PM2.5、二氧化硫、二氧化氮、臭氧、NMHC大气污染指标的当前累计平均数值及剩余控制数值，可提供不同统计维度（日、月、年）的总量排放数据。</w:t>
      </w:r>
    </w:p>
    <w:p w14:paraId="5C0D3DE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2.4.3 </w:t>
      </w:r>
      <w:r>
        <w:rPr>
          <w:rFonts w:hint="eastAsia" w:ascii="仿宋" w:hAnsi="仿宋" w:eastAsia="仿宋" w:cs="仿宋"/>
          <w:color w:val="auto"/>
          <w:sz w:val="28"/>
          <w:szCs w:val="28"/>
          <w:highlight w:val="none"/>
        </w:rPr>
        <w:t>园区高值预警推送</w:t>
      </w:r>
    </w:p>
    <w:p w14:paraId="030C865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基于环境监测和企业在线监控数据，根据园区业务需求与环境状况，设置不同因子浓度评价指标，实现大气环境的高值告警。支持自定义配置监测因子的指标参数监测范围，当因子浓度超出阈值时进行告警提醒。实现环境监测和企业在线监控数据高值的预警报警和实时推送，为园区精准化管理提供基础。</w:t>
      </w:r>
    </w:p>
    <w:p w14:paraId="17B8F94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2.5 </w:t>
      </w:r>
      <w:r>
        <w:rPr>
          <w:rFonts w:hint="eastAsia" w:ascii="仿宋" w:hAnsi="仿宋" w:eastAsia="仿宋" w:cs="仿宋"/>
          <w:b/>
          <w:bCs/>
          <w:color w:val="auto"/>
          <w:sz w:val="28"/>
          <w:szCs w:val="28"/>
          <w:highlight w:val="none"/>
        </w:rPr>
        <w:t>监督考核要求</w:t>
      </w:r>
    </w:p>
    <w:p w14:paraId="5A62A11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2.5.1</w:t>
      </w:r>
      <w:r>
        <w:rPr>
          <w:rFonts w:hint="eastAsia" w:ascii="仿宋" w:hAnsi="仿宋" w:eastAsia="仿宋" w:cs="仿宋"/>
          <w:color w:val="auto"/>
          <w:sz w:val="28"/>
          <w:szCs w:val="28"/>
          <w:highlight w:val="none"/>
        </w:rPr>
        <w:t>监督管理</w:t>
      </w:r>
      <w:r>
        <w:rPr>
          <w:rFonts w:hint="eastAsia" w:ascii="仿宋" w:hAnsi="仿宋" w:eastAsia="仿宋" w:cs="仿宋"/>
          <w:color w:val="auto"/>
          <w:sz w:val="28"/>
          <w:szCs w:val="28"/>
          <w:highlight w:val="none"/>
          <w:lang w:val="en-US" w:eastAsia="zh-CN"/>
        </w:rPr>
        <w:t xml:space="preserve"> </w:t>
      </w:r>
    </w:p>
    <w:p w14:paraId="3FBB4E9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数据必须真实有效，投标人近3年内，在环境监测服务活动中必须没有弄虚作假行为</w:t>
      </w:r>
      <w:r>
        <w:rPr>
          <w:rFonts w:hint="eastAsia" w:ascii="仿宋" w:hAnsi="仿宋" w:eastAsia="仿宋" w:cs="仿宋"/>
          <w:color w:val="auto"/>
          <w:sz w:val="28"/>
          <w:szCs w:val="28"/>
          <w:highlight w:val="yellow"/>
        </w:rPr>
        <w:t>（请投标人根据本单位实际情况</w:t>
      </w:r>
      <w:r>
        <w:rPr>
          <w:rFonts w:hint="eastAsia" w:ascii="仿宋" w:hAnsi="仿宋" w:eastAsia="仿宋" w:cs="仿宋"/>
          <w:color w:val="auto"/>
          <w:sz w:val="28"/>
          <w:szCs w:val="28"/>
          <w:highlight w:val="yellow"/>
          <w:lang w:val="en-US" w:eastAsia="zh-CN"/>
        </w:rPr>
        <w:t>提供</w:t>
      </w:r>
      <w:r>
        <w:rPr>
          <w:rFonts w:hint="eastAsia" w:ascii="仿宋" w:hAnsi="仿宋" w:eastAsia="仿宋" w:cs="仿宋"/>
          <w:color w:val="auto"/>
          <w:sz w:val="28"/>
          <w:szCs w:val="28"/>
          <w:highlight w:val="yellow"/>
        </w:rPr>
        <w:t>咨询承诺</w:t>
      </w:r>
      <w:r>
        <w:rPr>
          <w:rFonts w:hint="eastAsia" w:ascii="仿宋" w:hAnsi="仿宋" w:eastAsia="仿宋" w:cs="仿宋"/>
          <w:color w:val="auto"/>
          <w:sz w:val="28"/>
          <w:szCs w:val="28"/>
          <w:highlight w:val="yellow"/>
          <w:lang w:eastAsia="zh-CN"/>
        </w:rPr>
        <w:t>（</w:t>
      </w:r>
      <w:r>
        <w:rPr>
          <w:rFonts w:hint="eastAsia" w:ascii="仿宋" w:hAnsi="仿宋" w:eastAsia="仿宋" w:cs="仿宋"/>
          <w:color w:val="auto"/>
          <w:sz w:val="28"/>
          <w:szCs w:val="28"/>
          <w:highlight w:val="yellow"/>
          <w:lang w:val="en-US" w:eastAsia="zh-CN"/>
        </w:rPr>
        <w:t>格式自拟</w:t>
      </w:r>
      <w:r>
        <w:rPr>
          <w:rFonts w:hint="eastAsia" w:ascii="仿宋" w:hAnsi="仿宋" w:eastAsia="仿宋" w:cs="仿宋"/>
          <w:color w:val="auto"/>
          <w:sz w:val="28"/>
          <w:szCs w:val="28"/>
          <w:highlight w:val="yellow"/>
          <w:lang w:eastAsia="zh-CN"/>
        </w:rPr>
        <w:t>）</w:t>
      </w:r>
      <w:r>
        <w:rPr>
          <w:rFonts w:hint="eastAsia" w:ascii="仿宋" w:hAnsi="仿宋" w:eastAsia="仿宋" w:cs="仿宋"/>
          <w:color w:val="auto"/>
          <w:sz w:val="28"/>
          <w:szCs w:val="28"/>
          <w:highlight w:val="none"/>
        </w:rPr>
        <w:t>，若有不实，按提供虚假资料处理，投标及中标无效，且不予退还投标保证金并承担相关法律责任）。</w:t>
      </w:r>
    </w:p>
    <w:p w14:paraId="6D85D46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投标人应承担监测数据的保密责任（签订保密协议），不得利用本项目的数据、档案或有关资料对外开展技术交流、业务联系、数据交换等。否则，业主有权终止合同。</w:t>
      </w:r>
    </w:p>
    <w:p w14:paraId="7AD7632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③ </w:t>
      </w:r>
      <w:r>
        <w:rPr>
          <w:rFonts w:hint="eastAsia" w:ascii="仿宋" w:hAnsi="仿宋" w:eastAsia="仿宋" w:cs="仿宋"/>
          <w:color w:val="auto"/>
          <w:sz w:val="28"/>
          <w:szCs w:val="28"/>
          <w:highlight w:val="none"/>
        </w:rPr>
        <w:t>运维期间出现调整数据、修改参数、改动设备、质控结果与平台采集结果不一致、弄虚作假等违规行为的，一经查实业主有权终止运维合同。</w:t>
      </w:r>
    </w:p>
    <w:p w14:paraId="00B9665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④ </w:t>
      </w:r>
      <w:r>
        <w:rPr>
          <w:rFonts w:hint="eastAsia" w:ascii="仿宋" w:hAnsi="仿宋" w:eastAsia="仿宋" w:cs="仿宋"/>
          <w:color w:val="auto"/>
          <w:sz w:val="28"/>
          <w:szCs w:val="28"/>
          <w:highlight w:val="none"/>
        </w:rPr>
        <w:t>业主组织开展运维管理和质控考核，对达不到运维要求或违规操作的，有权终止运维合同。</w:t>
      </w:r>
    </w:p>
    <w:p w14:paraId="7FCE780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⑤ </w:t>
      </w:r>
      <w:r>
        <w:rPr>
          <w:rFonts w:hint="eastAsia" w:ascii="仿宋" w:hAnsi="仿宋" w:eastAsia="仿宋" w:cs="仿宋"/>
          <w:color w:val="auto"/>
          <w:sz w:val="28"/>
          <w:szCs w:val="28"/>
          <w:highlight w:val="none"/>
        </w:rPr>
        <w:t>违反江苏省空气自动站管理办法等违规行为的，一经查实，业主有权终止运维合同。</w:t>
      </w:r>
    </w:p>
    <w:p w14:paraId="7E0B09E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rPr>
      </w:pPr>
      <w:r>
        <w:rPr>
          <w:rFonts w:hint="eastAsia" w:ascii="仿宋" w:hAnsi="仿宋" w:eastAsia="仿宋" w:cs="仿宋"/>
          <w:color w:val="auto"/>
          <w:sz w:val="28"/>
          <w:szCs w:val="28"/>
          <w:highlight w:val="yellow"/>
          <w:lang w:val="en-US" w:eastAsia="zh-CN"/>
        </w:rPr>
        <w:t xml:space="preserve">2.5.2 </w:t>
      </w:r>
      <w:r>
        <w:rPr>
          <w:rFonts w:hint="eastAsia" w:ascii="仿宋" w:hAnsi="仿宋" w:eastAsia="仿宋" w:cs="仿宋"/>
          <w:color w:val="auto"/>
          <w:sz w:val="28"/>
          <w:szCs w:val="28"/>
          <w:highlight w:val="yellow"/>
        </w:rPr>
        <w:t>考核办法</w:t>
      </w:r>
    </w:p>
    <w:p w14:paraId="4EA8B7C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每季度由业主对运维中标单位绩效(职责履行情况)进行考核，填写考核表。考核采取百分制、单站考核的方式进行，主要包括设备运行率、数据有效率(以下简称两率)、运行维护</w:t>
      </w:r>
      <w:r>
        <w:rPr>
          <w:rFonts w:hint="eastAsia" w:ascii="仿宋" w:hAnsi="仿宋" w:eastAsia="仿宋" w:cs="仿宋"/>
          <w:color w:val="auto"/>
          <w:sz w:val="28"/>
          <w:szCs w:val="28"/>
          <w:highlight w:val="none"/>
          <w:lang w:val="en-US" w:eastAsia="zh-CN"/>
        </w:rPr>
        <w:t>三</w:t>
      </w:r>
      <w:r>
        <w:rPr>
          <w:rFonts w:hint="eastAsia" w:ascii="仿宋" w:hAnsi="仿宋" w:eastAsia="仿宋" w:cs="仿宋"/>
          <w:color w:val="auto"/>
          <w:sz w:val="28"/>
          <w:szCs w:val="28"/>
          <w:highlight w:val="none"/>
        </w:rPr>
        <w:t>部分内容，其中两率考核占50%，运行维护考核占50%。</w:t>
      </w:r>
    </w:p>
    <w:p w14:paraId="0546056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设备运行率是指考核时段内各监测项目实际获取的小时值监测数据量总和除以应获得小时值数据量总和。</w:t>
      </w:r>
    </w:p>
    <w:p w14:paraId="31CFB43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数据有效率是指考核时段内各监测项目实际获取的质控合格的小时值监测数据量总和除以应获得小时值数据量总和</w:t>
      </w:r>
      <w:r>
        <w:rPr>
          <w:rFonts w:hint="eastAsia" w:ascii="仿宋" w:hAnsi="仿宋" w:eastAsia="仿宋" w:cs="仿宋"/>
          <w:color w:val="auto"/>
          <w:sz w:val="28"/>
          <w:szCs w:val="28"/>
          <w:highlight w:val="none"/>
          <w:lang w:eastAsia="zh-CN"/>
        </w:rPr>
        <w:t>。</w:t>
      </w:r>
    </w:p>
    <w:p w14:paraId="19072A1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每日各项目应获得小时值数据量均按24个计，考核时段天数按考核时段内日历天数计。计算应获得小时值数据量时，应扣除因不可抗力造成的停止监测的小时数</w:t>
      </w:r>
    </w:p>
    <w:p w14:paraId="1401877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① </w:t>
      </w:r>
      <w:r>
        <w:rPr>
          <w:rFonts w:hint="eastAsia" w:ascii="仿宋" w:hAnsi="仿宋" w:eastAsia="仿宋" w:cs="仿宋"/>
          <w:color w:val="auto"/>
          <w:sz w:val="28"/>
          <w:szCs w:val="28"/>
          <w:highlight w:val="none"/>
        </w:rPr>
        <w:t>数据有效性</w:t>
      </w:r>
    </w:p>
    <w:p w14:paraId="09710E5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考核时段内单个站点任一监测项目有效数据量应满足《环境空气质量标准》（GB 3095-2012）中规定的污染物浓度数据有效性的最低要求，否则考核总分为0分。</w:t>
      </w:r>
    </w:p>
    <w:p w14:paraId="13304FD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② </w:t>
      </w:r>
      <w:r>
        <w:rPr>
          <w:rFonts w:hint="eastAsia" w:ascii="仿宋" w:hAnsi="仿宋" w:eastAsia="仿宋" w:cs="仿宋"/>
          <w:color w:val="auto"/>
          <w:sz w:val="28"/>
          <w:szCs w:val="28"/>
          <w:highlight w:val="none"/>
        </w:rPr>
        <w:t>两率及运行维护</w:t>
      </w:r>
    </w:p>
    <w:p w14:paraId="45C8778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符合数据有效性要求后，参照本部分执行。</w:t>
      </w:r>
    </w:p>
    <w:p w14:paraId="2778B8D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 xml:space="preserve"> 两率部分(50分)</w:t>
      </w:r>
    </w:p>
    <w:p w14:paraId="5321DC2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单站监测数据有效率高于95%(含)的，两率得分=50分。</w:t>
      </w:r>
    </w:p>
    <w:p w14:paraId="4F9C158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有效率在90%(含)-95%的，两率得分=实际有效率×50分。</w:t>
      </w:r>
    </w:p>
    <w:p w14:paraId="7F0080E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有效率在80%(含)-90%的，两率得分=实际有效率×90%×50分</w:t>
      </w:r>
    </w:p>
    <w:p w14:paraId="6CF4115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2）</w:t>
      </w:r>
      <w:r>
        <w:rPr>
          <w:rFonts w:hint="eastAsia" w:ascii="仿宋" w:hAnsi="仿宋" w:eastAsia="仿宋" w:cs="仿宋"/>
          <w:color w:val="auto"/>
          <w:sz w:val="28"/>
          <w:szCs w:val="28"/>
          <w:highlight w:val="none"/>
        </w:rPr>
        <w:t>运行维护部分(50分)</w:t>
      </w:r>
    </w:p>
    <w:p w14:paraId="2618EC5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运行维护部分每季度由业主组织核查或者抽查，核查内容主要包括日常运维操作、质量保证与控制、档案和管理3部分，具体细则参考下表：</w:t>
      </w:r>
    </w:p>
    <w:p w14:paraId="23349BD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运行考核表</w:t>
      </w:r>
    </w:p>
    <w:tbl>
      <w:tblPr>
        <w:tblStyle w:val="17"/>
        <w:tblW w:w="97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869"/>
        <w:gridCol w:w="6302"/>
        <w:gridCol w:w="1909"/>
      </w:tblGrid>
      <w:tr w14:paraId="67958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Align w:val="center"/>
          </w:tcPr>
          <w:p w14:paraId="7E46FA8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项目</w:t>
            </w:r>
          </w:p>
        </w:tc>
        <w:tc>
          <w:tcPr>
            <w:tcW w:w="869" w:type="dxa"/>
            <w:vAlign w:val="center"/>
          </w:tcPr>
          <w:p w14:paraId="52F9690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明细</w:t>
            </w:r>
          </w:p>
        </w:tc>
        <w:tc>
          <w:tcPr>
            <w:tcW w:w="6302" w:type="dxa"/>
            <w:vAlign w:val="center"/>
          </w:tcPr>
          <w:p w14:paraId="1EA7778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检查要点</w:t>
            </w:r>
          </w:p>
        </w:tc>
        <w:tc>
          <w:tcPr>
            <w:tcW w:w="1909" w:type="dxa"/>
            <w:vAlign w:val="center"/>
          </w:tcPr>
          <w:p w14:paraId="2A9910F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备注</w:t>
            </w:r>
          </w:p>
        </w:tc>
      </w:tr>
      <w:tr w14:paraId="0CB13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18" w:type="dxa"/>
            <w:vMerge w:val="restart"/>
            <w:vAlign w:val="center"/>
          </w:tcPr>
          <w:p w14:paraId="6D4F3B9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日常</w:t>
            </w:r>
          </w:p>
          <w:p w14:paraId="59D5A74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运维</w:t>
            </w:r>
          </w:p>
          <w:p w14:paraId="0E08F51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操作</w:t>
            </w:r>
          </w:p>
        </w:tc>
        <w:tc>
          <w:tcPr>
            <w:tcW w:w="869" w:type="dxa"/>
            <w:vAlign w:val="center"/>
          </w:tcPr>
          <w:p w14:paraId="653E03F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站房环</w:t>
            </w:r>
          </w:p>
          <w:p w14:paraId="433E218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境保障</w:t>
            </w:r>
          </w:p>
          <w:p w14:paraId="0011DD3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情况</w:t>
            </w:r>
          </w:p>
        </w:tc>
        <w:tc>
          <w:tcPr>
            <w:tcW w:w="6302" w:type="dxa"/>
            <w:vAlign w:val="center"/>
          </w:tcPr>
          <w:p w14:paraId="5B5D147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站房环境是否清洁，有无漏水现象，是否符合监测要求,站房温湿</w:t>
            </w:r>
          </w:p>
          <w:p w14:paraId="6C118CE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度是否正常，空调、照明等是否正常</w:t>
            </w:r>
          </w:p>
        </w:tc>
        <w:tc>
          <w:tcPr>
            <w:tcW w:w="1909" w:type="dxa"/>
            <w:vMerge w:val="restart"/>
            <w:vAlign w:val="center"/>
          </w:tcPr>
          <w:p w14:paraId="3FB89430">
            <w:pPr>
              <w:autoSpaceDE w:val="0"/>
              <w:spacing w:line="240" w:lineRule="auto"/>
              <w:ind w:firstLine="0" w:firstLineChars="0"/>
              <w:jc w:val="left"/>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严禁出现下列情况：</w:t>
            </w:r>
          </w:p>
          <w:p w14:paraId="28EFDBBD">
            <w:pPr>
              <w:autoSpaceDE w:val="0"/>
              <w:spacing w:line="240" w:lineRule="auto"/>
              <w:ind w:firstLine="0" w:firstLineChars="0"/>
              <w:jc w:val="left"/>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1、未取得上岗证的人员参与本项目运维工作；</w:t>
            </w:r>
          </w:p>
          <w:p w14:paraId="67C50E0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left"/>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2、使用过期标气</w:t>
            </w:r>
          </w:p>
          <w:p w14:paraId="1A3DC49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left"/>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或二级标气；进</w:t>
            </w:r>
          </w:p>
          <w:p w14:paraId="1844F94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left"/>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口颗粒物分析仪</w:t>
            </w:r>
          </w:p>
          <w:p w14:paraId="71AB143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left"/>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器使用国产滤带</w:t>
            </w:r>
          </w:p>
          <w:p w14:paraId="38F5683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left"/>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；气态污染物使</w:t>
            </w:r>
          </w:p>
          <w:p w14:paraId="39518BB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left"/>
              <w:textAlignment w:val="auto"/>
              <w:rPr>
                <w:rFonts w:hint="eastAsia" w:ascii="仿宋" w:hAnsi="仿宋" w:eastAsia="仿宋" w:cs="仿宋"/>
                <w:color w:val="auto"/>
                <w:kern w:val="0"/>
                <w:sz w:val="22"/>
                <w:szCs w:val="22"/>
                <w:highlight w:val="none"/>
                <w:lang w:val="en-US" w:eastAsia="zh-CN" w:bidi="ar-SA"/>
              </w:rPr>
            </w:pPr>
            <w:r>
              <w:rPr>
                <w:rFonts w:hint="eastAsia" w:ascii="仿宋" w:hAnsi="仿宋" w:eastAsia="仿宋" w:cs="仿宋"/>
                <w:color w:val="auto"/>
                <w:kern w:val="0"/>
                <w:sz w:val="22"/>
                <w:szCs w:val="22"/>
                <w:highlight w:val="none"/>
                <w:lang w:val="en-US" w:eastAsia="zh-CN" w:bidi="ar-SA"/>
              </w:rPr>
              <w:t>用非聚四氟乙烯</w:t>
            </w:r>
          </w:p>
          <w:p w14:paraId="3B7082E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left"/>
              <w:textAlignment w:val="auto"/>
              <w:rPr>
                <w:rFonts w:hint="eastAsia" w:ascii="仿宋" w:hAnsi="仿宋" w:eastAsia="仿宋" w:cs="仿宋"/>
                <w:color w:val="auto"/>
                <w:sz w:val="28"/>
                <w:szCs w:val="28"/>
                <w:highlight w:val="none"/>
              </w:rPr>
            </w:pPr>
            <w:r>
              <w:rPr>
                <w:rFonts w:hint="eastAsia" w:ascii="仿宋" w:hAnsi="仿宋" w:eastAsia="仿宋" w:cs="仿宋"/>
                <w:color w:val="auto"/>
                <w:kern w:val="0"/>
                <w:sz w:val="22"/>
                <w:szCs w:val="22"/>
                <w:highlight w:val="none"/>
                <w:lang w:val="en-US" w:eastAsia="zh-CN" w:bidi="ar-SA"/>
              </w:rPr>
              <w:t>材质滤膜等。</w:t>
            </w:r>
          </w:p>
        </w:tc>
      </w:tr>
      <w:tr w14:paraId="14AB7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2DA6F22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restart"/>
            <w:vAlign w:val="center"/>
          </w:tcPr>
          <w:p w14:paraId="361A705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采样系</w:t>
            </w:r>
          </w:p>
          <w:p w14:paraId="06EFFF2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统维护</w:t>
            </w:r>
          </w:p>
          <w:p w14:paraId="3D9FA5F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w:t>
            </w:r>
          </w:p>
        </w:tc>
        <w:tc>
          <w:tcPr>
            <w:tcW w:w="6302" w:type="dxa"/>
            <w:vAlign w:val="center"/>
          </w:tcPr>
          <w:p w14:paraId="3B2FF4C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采样总管和采样支管材质是否满足《规范》要求</w:t>
            </w:r>
          </w:p>
        </w:tc>
        <w:tc>
          <w:tcPr>
            <w:tcW w:w="1909" w:type="dxa"/>
            <w:vMerge w:val="continue"/>
            <w:vAlign w:val="center"/>
          </w:tcPr>
          <w:p w14:paraId="30E5A37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23625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3F3F732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7F3F90F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4BC8980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采样系统清洁程度：采样头、采样管道是否清洁，有无积灰、积</w:t>
            </w:r>
          </w:p>
          <w:p w14:paraId="6729F46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水或障碍物，采样风机是否正常工作</w:t>
            </w:r>
          </w:p>
        </w:tc>
        <w:tc>
          <w:tcPr>
            <w:tcW w:w="1909" w:type="dxa"/>
            <w:vMerge w:val="continue"/>
            <w:vAlign w:val="center"/>
          </w:tcPr>
          <w:p w14:paraId="1FECC20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5D573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56199F2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0B9AAFC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4F708F2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气态污染物采样支管是否插入采样总管的中心，监测仪器与支管</w:t>
            </w:r>
          </w:p>
          <w:p w14:paraId="70D00DD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接头连接的管线长度是否小于3m</w:t>
            </w:r>
          </w:p>
        </w:tc>
        <w:tc>
          <w:tcPr>
            <w:tcW w:w="1909" w:type="dxa"/>
            <w:vMerge w:val="continue"/>
            <w:vAlign w:val="center"/>
          </w:tcPr>
          <w:p w14:paraId="1D59DC7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581C8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51C73DC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54EC255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745FF6D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采样管路联接是否规范</w:t>
            </w:r>
          </w:p>
        </w:tc>
        <w:tc>
          <w:tcPr>
            <w:tcW w:w="1909" w:type="dxa"/>
            <w:vMerge w:val="continue"/>
            <w:vAlign w:val="center"/>
          </w:tcPr>
          <w:p w14:paraId="12B6C8F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024D0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403B255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3224043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28A9321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采样总管是否有加热装置，加热功能是否正常</w:t>
            </w:r>
          </w:p>
        </w:tc>
        <w:tc>
          <w:tcPr>
            <w:tcW w:w="1909" w:type="dxa"/>
            <w:vMerge w:val="continue"/>
            <w:vAlign w:val="center"/>
          </w:tcPr>
          <w:p w14:paraId="2A8FDCD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5C4CE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718" w:type="dxa"/>
            <w:vMerge w:val="continue"/>
            <w:vAlign w:val="center"/>
          </w:tcPr>
          <w:p w14:paraId="49BBE5F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restart"/>
            <w:vAlign w:val="center"/>
          </w:tcPr>
          <w:p w14:paraId="77786BE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仪器日</w:t>
            </w:r>
          </w:p>
          <w:p w14:paraId="4F66C76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常维护</w:t>
            </w:r>
          </w:p>
          <w:p w14:paraId="042CFD8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效果</w:t>
            </w:r>
          </w:p>
        </w:tc>
        <w:tc>
          <w:tcPr>
            <w:tcW w:w="6302" w:type="dxa"/>
            <w:vAlign w:val="center"/>
          </w:tcPr>
          <w:p w14:paraId="05275A2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仪器工作状态是否正常，是否存在报警信息</w:t>
            </w:r>
          </w:p>
        </w:tc>
        <w:tc>
          <w:tcPr>
            <w:tcW w:w="1909" w:type="dxa"/>
            <w:vMerge w:val="continue"/>
            <w:vAlign w:val="center"/>
          </w:tcPr>
          <w:p w14:paraId="7A78E65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79EB2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19E2636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397F42F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11531C4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仪器过滤膜是否及时更换，散热风扇是否及时清洗</w:t>
            </w:r>
          </w:p>
        </w:tc>
        <w:tc>
          <w:tcPr>
            <w:tcW w:w="1909" w:type="dxa"/>
            <w:vMerge w:val="continue"/>
            <w:vAlign w:val="center"/>
          </w:tcPr>
          <w:p w14:paraId="649B939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505D5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18" w:type="dxa"/>
            <w:vMerge w:val="continue"/>
            <w:vAlign w:val="center"/>
          </w:tcPr>
          <w:p w14:paraId="0E97315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338ECFD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0BD7FE9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颗粒物采样管加热装置是否工作正常</w:t>
            </w:r>
          </w:p>
        </w:tc>
        <w:tc>
          <w:tcPr>
            <w:tcW w:w="1909" w:type="dxa"/>
            <w:vMerge w:val="continue"/>
            <w:vAlign w:val="center"/>
          </w:tcPr>
          <w:p w14:paraId="10F914C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2CCB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18" w:type="dxa"/>
            <w:vMerge w:val="continue"/>
            <w:vAlign w:val="center"/>
          </w:tcPr>
          <w:p w14:paraId="1683583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6EAF667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70A4719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零气发生器相关耗材是否及时更换</w:t>
            </w:r>
          </w:p>
        </w:tc>
        <w:tc>
          <w:tcPr>
            <w:tcW w:w="1909" w:type="dxa"/>
            <w:vMerge w:val="continue"/>
            <w:vAlign w:val="center"/>
          </w:tcPr>
          <w:p w14:paraId="3528EAE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193C3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jc w:val="center"/>
        </w:trPr>
        <w:tc>
          <w:tcPr>
            <w:tcW w:w="718" w:type="dxa"/>
            <w:vMerge w:val="continue"/>
            <w:vAlign w:val="center"/>
          </w:tcPr>
          <w:p w14:paraId="2FC71A7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1130323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11B5475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采样纸带或滤膜是否及时更换</w:t>
            </w:r>
          </w:p>
        </w:tc>
        <w:tc>
          <w:tcPr>
            <w:tcW w:w="1909" w:type="dxa"/>
            <w:vMerge w:val="continue"/>
            <w:vAlign w:val="center"/>
          </w:tcPr>
          <w:p w14:paraId="3550C53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60534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718" w:type="dxa"/>
            <w:vMerge w:val="restart"/>
            <w:vAlign w:val="center"/>
          </w:tcPr>
          <w:p w14:paraId="1BC7CFF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质量</w:t>
            </w:r>
          </w:p>
          <w:p w14:paraId="24DA3D8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w:t>
            </w:r>
          </w:p>
          <w:p w14:paraId="2FD1E59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与质</w:t>
            </w:r>
          </w:p>
          <w:p w14:paraId="1A20EB9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量控</w:t>
            </w:r>
          </w:p>
          <w:p w14:paraId="32B0826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制</w:t>
            </w:r>
          </w:p>
        </w:tc>
        <w:tc>
          <w:tcPr>
            <w:tcW w:w="869" w:type="dxa"/>
            <w:vMerge w:val="restart"/>
            <w:vAlign w:val="center"/>
          </w:tcPr>
          <w:p w14:paraId="2C107BA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仪器运</w:t>
            </w:r>
          </w:p>
          <w:p w14:paraId="2D7AE89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维状态</w:t>
            </w:r>
          </w:p>
          <w:p w14:paraId="5FE7FA1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核查</w:t>
            </w:r>
          </w:p>
        </w:tc>
        <w:tc>
          <w:tcPr>
            <w:tcW w:w="6302" w:type="dxa"/>
            <w:vAlign w:val="center"/>
          </w:tcPr>
          <w:p w14:paraId="0A63350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标气压力低于1.5Mpa，但仍能正常使用</w:t>
            </w:r>
          </w:p>
        </w:tc>
        <w:tc>
          <w:tcPr>
            <w:tcW w:w="1909" w:type="dxa"/>
            <w:vMerge w:val="restart"/>
            <w:vAlign w:val="center"/>
          </w:tcPr>
          <w:p w14:paraId="64928EF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7D031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718" w:type="dxa"/>
            <w:vMerge w:val="continue"/>
            <w:vAlign w:val="center"/>
          </w:tcPr>
          <w:p w14:paraId="3220D37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5241299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0AC3B6B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气态污染物分析仪内部性能参数超过标准要求，如机体内部温度</w:t>
            </w:r>
          </w:p>
          <w:p w14:paraId="6044ABE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，反应室温度、压力等</w:t>
            </w:r>
          </w:p>
        </w:tc>
        <w:tc>
          <w:tcPr>
            <w:tcW w:w="1909" w:type="dxa"/>
            <w:vMerge w:val="continue"/>
            <w:vAlign w:val="center"/>
          </w:tcPr>
          <w:p w14:paraId="40EED0F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1E894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413E94D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3EA1C5C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3DC7F7F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颗粒物分析仪密封圈缺失，温度、压力偏差，气态污染物分析仪</w:t>
            </w:r>
          </w:p>
          <w:p w14:paraId="6F88622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散热风扇故障</w:t>
            </w:r>
          </w:p>
        </w:tc>
        <w:tc>
          <w:tcPr>
            <w:tcW w:w="1909" w:type="dxa"/>
            <w:vMerge w:val="continue"/>
            <w:vAlign w:val="center"/>
          </w:tcPr>
          <w:p w14:paraId="72741AA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44241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jc w:val="center"/>
        </w:trPr>
        <w:tc>
          <w:tcPr>
            <w:tcW w:w="718" w:type="dxa"/>
            <w:vMerge w:val="continue"/>
            <w:vAlign w:val="center"/>
          </w:tcPr>
          <w:p w14:paraId="627F5B6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248D627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14DF715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零气和校准仪性能参数超过偏差允许范围</w:t>
            </w:r>
          </w:p>
        </w:tc>
        <w:tc>
          <w:tcPr>
            <w:tcW w:w="1909" w:type="dxa"/>
            <w:vMerge w:val="continue"/>
            <w:vAlign w:val="center"/>
          </w:tcPr>
          <w:p w14:paraId="3ADC45F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2A88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56D3413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283F1C8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6964EA7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气态污染物分析仪斜率、截距超过标准要求（仅限于API设备）</w:t>
            </w:r>
          </w:p>
        </w:tc>
        <w:tc>
          <w:tcPr>
            <w:tcW w:w="1909" w:type="dxa"/>
            <w:vMerge w:val="continue"/>
            <w:vAlign w:val="center"/>
          </w:tcPr>
          <w:p w14:paraId="6281DBF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6BD79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5B17872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20E25D8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2D2AF3C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气态污染物或颗粒物分析仪采样流量或标况流量偏差</w:t>
            </w:r>
          </w:p>
        </w:tc>
        <w:tc>
          <w:tcPr>
            <w:tcW w:w="1909" w:type="dxa"/>
            <w:vMerge w:val="continue"/>
            <w:vAlign w:val="center"/>
          </w:tcPr>
          <w:p w14:paraId="1F13B1D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3B522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18" w:type="dxa"/>
            <w:vMerge w:val="continue"/>
            <w:vAlign w:val="center"/>
          </w:tcPr>
          <w:p w14:paraId="785684C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3CA63F8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61EC6AB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气态污染物分析仪零点、20%（或其他点）全幅测试未通过或T90</w:t>
            </w:r>
          </w:p>
          <w:p w14:paraId="3449C5C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响应时间未通过</w:t>
            </w:r>
          </w:p>
        </w:tc>
        <w:tc>
          <w:tcPr>
            <w:tcW w:w="1909" w:type="dxa"/>
            <w:vMerge w:val="continue"/>
            <w:vAlign w:val="center"/>
          </w:tcPr>
          <w:p w14:paraId="4190499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40673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718" w:type="dxa"/>
            <w:vMerge w:val="continue"/>
            <w:vAlign w:val="center"/>
          </w:tcPr>
          <w:p w14:paraId="7427DA0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4B8ACB4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5C3DB71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颗粒物分析仪采样斑点有残缺或穿孔现象</w:t>
            </w:r>
          </w:p>
        </w:tc>
        <w:tc>
          <w:tcPr>
            <w:tcW w:w="1909" w:type="dxa"/>
            <w:vMerge w:val="continue"/>
            <w:vAlign w:val="center"/>
          </w:tcPr>
          <w:p w14:paraId="6E3E7E5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7E460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6838CEA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869" w:type="dxa"/>
            <w:vMerge w:val="continue"/>
            <w:vAlign w:val="center"/>
          </w:tcPr>
          <w:p w14:paraId="793AE6F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p>
        </w:tc>
        <w:tc>
          <w:tcPr>
            <w:tcW w:w="6302" w:type="dxa"/>
            <w:vAlign w:val="center"/>
          </w:tcPr>
          <w:p w14:paraId="6FA4685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颗粒物分析仪采样斑点试漏测试未通过</w:t>
            </w:r>
          </w:p>
        </w:tc>
        <w:tc>
          <w:tcPr>
            <w:tcW w:w="1909" w:type="dxa"/>
            <w:vMerge w:val="continue"/>
            <w:vAlign w:val="center"/>
          </w:tcPr>
          <w:p w14:paraId="098A19D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3582F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restart"/>
            <w:vAlign w:val="center"/>
          </w:tcPr>
          <w:p w14:paraId="39E02AB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档案</w:t>
            </w:r>
          </w:p>
          <w:p w14:paraId="2CBE044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和管</w:t>
            </w:r>
          </w:p>
          <w:p w14:paraId="6B27B87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理</w:t>
            </w:r>
          </w:p>
        </w:tc>
        <w:tc>
          <w:tcPr>
            <w:tcW w:w="869" w:type="dxa"/>
            <w:vMerge w:val="restart"/>
            <w:vAlign w:val="center"/>
          </w:tcPr>
          <w:p w14:paraId="71C062E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记录及</w:t>
            </w:r>
          </w:p>
          <w:p w14:paraId="37FF768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故障响</w:t>
            </w:r>
          </w:p>
          <w:p w14:paraId="334157B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应时间</w:t>
            </w:r>
          </w:p>
          <w:p w14:paraId="31FD9DD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80" w:firstLineChars="20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等核查</w:t>
            </w:r>
          </w:p>
        </w:tc>
        <w:tc>
          <w:tcPr>
            <w:tcW w:w="6302" w:type="dxa"/>
            <w:vAlign w:val="center"/>
          </w:tcPr>
          <w:p w14:paraId="60A93A8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现场运维每周例行巡检记录，包括标气使用状况记录、仪器运行</w:t>
            </w:r>
          </w:p>
          <w:p w14:paraId="4484717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参数记录等</w:t>
            </w:r>
          </w:p>
        </w:tc>
        <w:tc>
          <w:tcPr>
            <w:tcW w:w="1909" w:type="dxa"/>
            <w:vMerge w:val="restart"/>
            <w:vAlign w:val="center"/>
          </w:tcPr>
          <w:p w14:paraId="7A3045F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327ED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7BBFAF1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869" w:type="dxa"/>
            <w:vMerge w:val="continue"/>
            <w:vAlign w:val="center"/>
          </w:tcPr>
          <w:p w14:paraId="0A4258B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6302" w:type="dxa"/>
            <w:vAlign w:val="center"/>
          </w:tcPr>
          <w:p w14:paraId="25BB89A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每周现场进行手工校零校标检查和校准，并填写相关记录</w:t>
            </w:r>
          </w:p>
        </w:tc>
        <w:tc>
          <w:tcPr>
            <w:tcW w:w="1909" w:type="dxa"/>
            <w:vMerge w:val="continue"/>
            <w:vAlign w:val="center"/>
          </w:tcPr>
          <w:p w14:paraId="3E71A7E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79338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5EE799D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869" w:type="dxa"/>
            <w:vMerge w:val="continue"/>
            <w:vAlign w:val="center"/>
          </w:tcPr>
          <w:p w14:paraId="6CB4365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6302" w:type="dxa"/>
            <w:vAlign w:val="center"/>
          </w:tcPr>
          <w:p w14:paraId="20FCCED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每月至少检查一次气态污染物、颗粒物监测仪流量并填写相关记</w:t>
            </w:r>
          </w:p>
          <w:p w14:paraId="0A706C0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录</w:t>
            </w:r>
          </w:p>
        </w:tc>
        <w:tc>
          <w:tcPr>
            <w:tcW w:w="1909" w:type="dxa"/>
            <w:vMerge w:val="continue"/>
            <w:vAlign w:val="center"/>
          </w:tcPr>
          <w:p w14:paraId="59D475A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60F5F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6BCF56A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869" w:type="dxa"/>
            <w:vMerge w:val="continue"/>
            <w:vAlign w:val="center"/>
          </w:tcPr>
          <w:p w14:paraId="1E94F05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6302" w:type="dxa"/>
            <w:vAlign w:val="center"/>
          </w:tcPr>
          <w:p w14:paraId="07C5AFF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每季度进行气态污染物多点线性检查、精密度检查；颗粒物监测</w:t>
            </w:r>
          </w:p>
          <w:p w14:paraId="74DC180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仪膜片检查和试漏检查并填写相关记录</w:t>
            </w:r>
          </w:p>
        </w:tc>
        <w:tc>
          <w:tcPr>
            <w:tcW w:w="1909" w:type="dxa"/>
            <w:vMerge w:val="continue"/>
            <w:vAlign w:val="center"/>
          </w:tcPr>
          <w:p w14:paraId="3C40AE0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135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617CF43C">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869" w:type="dxa"/>
            <w:vMerge w:val="continue"/>
            <w:vAlign w:val="center"/>
          </w:tcPr>
          <w:p w14:paraId="7D181AD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6302" w:type="dxa"/>
            <w:vAlign w:val="center"/>
          </w:tcPr>
          <w:p w14:paraId="1D60712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每半年对NOx设备钼炉转换率和精密度进行检查并填写相关记录</w:t>
            </w:r>
          </w:p>
        </w:tc>
        <w:tc>
          <w:tcPr>
            <w:tcW w:w="1909" w:type="dxa"/>
            <w:vMerge w:val="continue"/>
            <w:vAlign w:val="center"/>
          </w:tcPr>
          <w:p w14:paraId="46D5952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68828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492DE96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869" w:type="dxa"/>
            <w:vMerge w:val="continue"/>
            <w:vAlign w:val="center"/>
          </w:tcPr>
          <w:p w14:paraId="303ACEB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6302" w:type="dxa"/>
            <w:vAlign w:val="center"/>
          </w:tcPr>
          <w:p w14:paraId="75DD7E47">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年开展现场臭氧工作标准量值溯源工作，每半年提交子站臭氧传</w:t>
            </w:r>
          </w:p>
          <w:p w14:paraId="12994E4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递报告</w:t>
            </w:r>
          </w:p>
        </w:tc>
        <w:tc>
          <w:tcPr>
            <w:tcW w:w="1909" w:type="dxa"/>
            <w:vMerge w:val="continue"/>
            <w:vAlign w:val="center"/>
          </w:tcPr>
          <w:p w14:paraId="5D1B2098">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7BD0E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342E682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869" w:type="dxa"/>
            <w:vMerge w:val="continue"/>
            <w:vAlign w:val="center"/>
          </w:tcPr>
          <w:p w14:paraId="4E41CAA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6302" w:type="dxa"/>
            <w:vAlign w:val="center"/>
          </w:tcPr>
          <w:p w14:paraId="468C60B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当站点每日8时～22时出现故障，应在1小时之内响应，4小时</w:t>
            </w:r>
          </w:p>
          <w:p w14:paraId="58F9935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内到达现场解决</w:t>
            </w:r>
          </w:p>
        </w:tc>
        <w:tc>
          <w:tcPr>
            <w:tcW w:w="1909" w:type="dxa"/>
            <w:vMerge w:val="continue"/>
            <w:vAlign w:val="center"/>
          </w:tcPr>
          <w:p w14:paraId="5865E0F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r w14:paraId="3FF64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718" w:type="dxa"/>
            <w:vMerge w:val="continue"/>
            <w:vAlign w:val="center"/>
          </w:tcPr>
          <w:p w14:paraId="1ED68B0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869" w:type="dxa"/>
            <w:vMerge w:val="continue"/>
            <w:vAlign w:val="center"/>
          </w:tcPr>
          <w:p w14:paraId="13E9BA3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c>
          <w:tcPr>
            <w:tcW w:w="6302" w:type="dxa"/>
            <w:vAlign w:val="center"/>
          </w:tcPr>
          <w:p w14:paraId="4326CFC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440" w:firstLineChars="200"/>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驻场人员未经批准，出现迟到、早退、缺岗等现象 </w:t>
            </w:r>
          </w:p>
        </w:tc>
        <w:tc>
          <w:tcPr>
            <w:tcW w:w="1909" w:type="dxa"/>
            <w:vMerge w:val="continue"/>
            <w:vAlign w:val="center"/>
          </w:tcPr>
          <w:p w14:paraId="5E4A73C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p>
        </w:tc>
      </w:tr>
    </w:tbl>
    <w:p w14:paraId="4D5DAE5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2.5.3 </w:t>
      </w:r>
      <w:r>
        <w:rPr>
          <w:rFonts w:hint="eastAsia" w:ascii="仿宋" w:hAnsi="仿宋" w:eastAsia="仿宋" w:cs="仿宋"/>
          <w:color w:val="auto"/>
          <w:sz w:val="28"/>
          <w:szCs w:val="28"/>
          <w:highlight w:val="none"/>
        </w:rPr>
        <w:t>运维费核算方法</w:t>
      </w:r>
    </w:p>
    <w:p w14:paraId="1D825615">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仿宋" w:hAnsi="仿宋" w:eastAsia="仿宋" w:cs="仿宋"/>
          <w:color w:val="0000FF"/>
          <w:sz w:val="28"/>
          <w:szCs w:val="28"/>
          <w:highlight w:val="red"/>
          <w:lang w:val="en-US"/>
        </w:rPr>
      </w:pPr>
      <w:r>
        <w:rPr>
          <w:rFonts w:hint="eastAsia" w:ascii="仿宋" w:hAnsi="仿宋" w:eastAsia="仿宋" w:cs="仿宋"/>
          <w:color w:val="0000FF"/>
          <w:sz w:val="28"/>
          <w:szCs w:val="28"/>
          <w:lang w:val="en-US" w:eastAsia="zh-CN"/>
        </w:rPr>
        <w:t>本项目每季度考核一次，当期（半年付款期）两季度平均</w:t>
      </w:r>
      <w:r>
        <w:rPr>
          <w:rFonts w:hint="eastAsia" w:ascii="仿宋" w:hAnsi="仿宋" w:eastAsia="仿宋" w:cs="仿宋"/>
          <w:color w:val="0000FF"/>
          <w:sz w:val="28"/>
          <w:szCs w:val="28"/>
        </w:rPr>
        <w:t>绩效考核总分低于80</w:t>
      </w:r>
      <w:r>
        <w:rPr>
          <w:rFonts w:hint="eastAsia" w:ascii="仿宋" w:hAnsi="仿宋" w:eastAsia="仿宋" w:cs="仿宋"/>
          <w:color w:val="0000FF"/>
          <w:sz w:val="28"/>
          <w:szCs w:val="28"/>
          <w:lang w:val="en-US" w:eastAsia="zh-CN"/>
        </w:rPr>
        <w:t>分</w:t>
      </w:r>
      <w:r>
        <w:rPr>
          <w:rFonts w:hint="eastAsia" w:ascii="仿宋" w:hAnsi="仿宋" w:eastAsia="仿宋" w:cs="仿宋"/>
          <w:color w:val="0000FF"/>
          <w:sz w:val="28"/>
          <w:szCs w:val="28"/>
        </w:rPr>
        <w:t>的，不予拨付</w:t>
      </w:r>
      <w:r>
        <w:rPr>
          <w:rFonts w:hint="eastAsia" w:ascii="仿宋" w:hAnsi="仿宋" w:eastAsia="仿宋" w:cs="仿宋"/>
          <w:color w:val="0000FF"/>
          <w:sz w:val="28"/>
          <w:szCs w:val="28"/>
          <w:lang w:val="en-US" w:eastAsia="zh-CN"/>
        </w:rPr>
        <w:t>当期</w:t>
      </w:r>
      <w:r>
        <w:rPr>
          <w:rFonts w:hint="eastAsia" w:ascii="仿宋" w:hAnsi="仿宋" w:eastAsia="仿宋" w:cs="仿宋"/>
          <w:color w:val="0000FF"/>
          <w:sz w:val="28"/>
          <w:szCs w:val="28"/>
        </w:rPr>
        <w:t>运维费；</w:t>
      </w:r>
      <w:r>
        <w:rPr>
          <w:rFonts w:hint="eastAsia" w:ascii="仿宋" w:hAnsi="仿宋" w:eastAsia="仿宋" w:cs="仿宋"/>
          <w:color w:val="0000FF"/>
          <w:sz w:val="28"/>
          <w:szCs w:val="28"/>
          <w:lang w:val="en-US" w:eastAsia="zh-CN"/>
        </w:rPr>
        <w:t>平均</w:t>
      </w:r>
      <w:r>
        <w:rPr>
          <w:rFonts w:hint="eastAsia" w:ascii="仿宋" w:hAnsi="仿宋" w:eastAsia="仿宋" w:cs="仿宋"/>
          <w:color w:val="0000FF"/>
          <w:sz w:val="28"/>
          <w:szCs w:val="28"/>
        </w:rPr>
        <w:t>绩效考核总分90（含）分以上的，拨付</w:t>
      </w:r>
      <w:r>
        <w:rPr>
          <w:rFonts w:hint="eastAsia" w:ascii="仿宋" w:hAnsi="仿宋" w:eastAsia="仿宋" w:cs="仿宋"/>
          <w:color w:val="0000FF"/>
          <w:sz w:val="28"/>
          <w:szCs w:val="28"/>
          <w:lang w:val="en-US" w:eastAsia="zh-CN"/>
        </w:rPr>
        <w:t>当期</w:t>
      </w:r>
      <w:r>
        <w:rPr>
          <w:rFonts w:hint="eastAsia" w:ascii="仿宋" w:hAnsi="仿宋" w:eastAsia="仿宋" w:cs="仿宋"/>
          <w:color w:val="0000FF"/>
          <w:sz w:val="28"/>
          <w:szCs w:val="28"/>
        </w:rPr>
        <w:t>全额运维费；</w:t>
      </w:r>
      <w:r>
        <w:rPr>
          <w:rFonts w:hint="eastAsia" w:ascii="仿宋" w:hAnsi="仿宋" w:eastAsia="仿宋" w:cs="仿宋"/>
          <w:color w:val="0000FF"/>
          <w:sz w:val="28"/>
          <w:szCs w:val="28"/>
          <w:lang w:val="en-US" w:eastAsia="zh-CN"/>
        </w:rPr>
        <w:t>平均</w:t>
      </w:r>
      <w:r>
        <w:rPr>
          <w:rFonts w:hint="eastAsia" w:ascii="仿宋" w:hAnsi="仿宋" w:eastAsia="仿宋" w:cs="仿宋"/>
          <w:color w:val="0000FF"/>
          <w:sz w:val="28"/>
          <w:szCs w:val="28"/>
        </w:rPr>
        <w:t>绩效考核总分在80（含）-90分的，运维费=实际考核得分/100*</w:t>
      </w:r>
      <w:r>
        <w:rPr>
          <w:rFonts w:hint="eastAsia" w:ascii="仿宋" w:hAnsi="仿宋" w:eastAsia="仿宋" w:cs="仿宋"/>
          <w:color w:val="0000FF"/>
          <w:sz w:val="28"/>
          <w:szCs w:val="28"/>
          <w:lang w:val="en-US" w:eastAsia="zh-CN"/>
        </w:rPr>
        <w:t>当期</w:t>
      </w:r>
      <w:r>
        <w:rPr>
          <w:rFonts w:hint="eastAsia" w:ascii="仿宋" w:hAnsi="仿宋" w:eastAsia="仿宋" w:cs="仿宋"/>
          <w:color w:val="0000FF"/>
          <w:sz w:val="28"/>
          <w:szCs w:val="28"/>
        </w:rPr>
        <w:t>全额运维费。</w:t>
      </w:r>
      <w:r>
        <w:rPr>
          <w:rFonts w:hint="eastAsia" w:ascii="仿宋" w:hAnsi="仿宋" w:eastAsia="仿宋" w:cs="仿宋"/>
          <w:color w:val="0000FF"/>
          <w:sz w:val="28"/>
          <w:szCs w:val="28"/>
          <w:lang w:val="en-US" w:eastAsia="zh-CN"/>
        </w:rPr>
        <w:t>每年如有两季度绩效考核总分低于80分的，甲方有权要求乙方退场并向甲方支付全部损失费用。</w:t>
      </w:r>
    </w:p>
    <w:p w14:paraId="292394D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2.5.4 </w:t>
      </w:r>
      <w:r>
        <w:rPr>
          <w:rFonts w:hint="eastAsia" w:ascii="仿宋" w:hAnsi="仿宋" w:eastAsia="仿宋" w:cs="仿宋"/>
          <w:color w:val="auto"/>
          <w:sz w:val="28"/>
          <w:szCs w:val="28"/>
          <w:highlight w:val="none"/>
        </w:rPr>
        <w:t>其他规定</w:t>
      </w:r>
    </w:p>
    <w:p w14:paraId="39F2A9D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运维机构有下列情形之一的，业主将扣除相应站点当</w:t>
      </w:r>
      <w:r>
        <w:rPr>
          <w:rFonts w:hint="eastAsia" w:ascii="仿宋" w:hAnsi="仿宋" w:eastAsia="仿宋" w:cs="仿宋"/>
          <w:color w:val="auto"/>
          <w:sz w:val="28"/>
          <w:szCs w:val="28"/>
          <w:highlight w:val="none"/>
          <w:lang w:val="en-US" w:eastAsia="zh-CN"/>
        </w:rPr>
        <w:t>季度</w:t>
      </w:r>
      <w:r>
        <w:rPr>
          <w:rFonts w:hint="eastAsia" w:ascii="仿宋" w:hAnsi="仿宋" w:eastAsia="仿宋" w:cs="仿宋"/>
          <w:color w:val="auto"/>
          <w:sz w:val="28"/>
          <w:szCs w:val="28"/>
          <w:highlight w:val="none"/>
        </w:rPr>
        <w:t>运行经费：迟报、漏报或不报审核数据的；拖延、阻碍、拒绝质量检查或飞行检查的；发现采样、分析、数据采集和传输等过程人为干扰，发现非运维人员进出房，未按要求及时向业主报告的；因工作疏漏，未发现采样、分析、数据采集和传输等过程人为干扰的；其他不履行规定职责的情形。</w:t>
      </w:r>
    </w:p>
    <w:p w14:paraId="138F8A2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在各类专项质量检查中，运维单位未达到质控检查要求应及时进行整改，并上报整改报告，如未及时整改，扣减相应站点当季度运维经费。</w:t>
      </w:r>
    </w:p>
    <w:p w14:paraId="38035CC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业主有权根据相关规定对扣除的运维费进行重新支配，用于开展其它与空气自动监测站站运维管理相关的工作。</w:t>
      </w:r>
    </w:p>
    <w:p w14:paraId="128951CE">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2" w:firstLineChars="200"/>
        <w:jc w:val="both"/>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三、</w:t>
      </w:r>
      <w:r>
        <w:rPr>
          <w:rFonts w:hint="eastAsia" w:ascii="仿宋" w:hAnsi="仿宋" w:eastAsia="仿宋" w:cs="仿宋"/>
          <w:b/>
          <w:bCs/>
          <w:color w:val="auto"/>
          <w:sz w:val="28"/>
          <w:szCs w:val="28"/>
          <w:highlight w:val="none"/>
          <w:lang w:val="en-US" w:eastAsia="zh-CN"/>
        </w:rPr>
        <w:t>人员、设备及安全</w:t>
      </w:r>
      <w:r>
        <w:rPr>
          <w:rFonts w:hint="eastAsia" w:ascii="仿宋" w:hAnsi="仿宋" w:eastAsia="仿宋" w:cs="仿宋"/>
          <w:b/>
          <w:bCs/>
          <w:color w:val="auto"/>
          <w:sz w:val="28"/>
          <w:szCs w:val="28"/>
          <w:highlight w:val="none"/>
        </w:rPr>
        <w:t>保障和承诺要求</w:t>
      </w:r>
    </w:p>
    <w:p w14:paraId="3913FBC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3.1</w:t>
      </w:r>
      <w:r>
        <w:rPr>
          <w:rFonts w:hint="eastAsia" w:ascii="仿宋" w:hAnsi="仿宋" w:eastAsia="仿宋" w:cs="仿宋"/>
          <w:color w:val="auto"/>
          <w:sz w:val="28"/>
          <w:szCs w:val="28"/>
          <w:highlight w:val="none"/>
        </w:rPr>
        <w:t xml:space="preserve"> 各投标人必须严格按照本次招标技术参数要求进行合理报价并供货，如后期出现验收不合格情形视同虚假承诺谋取中标成交，将被列入不良行为记录名单。</w:t>
      </w:r>
    </w:p>
    <w:p w14:paraId="4EAF6ED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3.2 </w:t>
      </w:r>
      <w:r>
        <w:rPr>
          <w:rFonts w:hint="eastAsia" w:ascii="仿宋" w:hAnsi="仿宋" w:eastAsia="仿宋" w:cs="仿宋"/>
          <w:color w:val="auto"/>
          <w:sz w:val="28"/>
          <w:szCs w:val="28"/>
          <w:highlight w:val="none"/>
        </w:rPr>
        <w:t>项目服务期间，中标方所有的工作人员的人身安全以及中标方在服务期间产生的各类安全责任事故均由中标方自行承担。</w:t>
      </w:r>
    </w:p>
    <w:p w14:paraId="3B3B1A1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3.3</w:t>
      </w:r>
      <w:r>
        <w:rPr>
          <w:rFonts w:hint="eastAsia" w:ascii="仿宋" w:hAnsi="仿宋" w:eastAsia="仿宋" w:cs="仿宋"/>
          <w:color w:val="auto"/>
          <w:sz w:val="28"/>
          <w:szCs w:val="28"/>
          <w:highlight w:val="none"/>
        </w:rPr>
        <w:t xml:space="preserve"> 对于采购人提出更换现场不称职技术人员的要求，中标方须无条件服从。</w:t>
      </w:r>
    </w:p>
    <w:p w14:paraId="3176C75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3.4</w:t>
      </w:r>
      <w:r>
        <w:rPr>
          <w:rFonts w:hint="eastAsia" w:ascii="仿宋" w:hAnsi="仿宋" w:eastAsia="仿宋" w:cs="仿宋"/>
          <w:color w:val="auto"/>
          <w:sz w:val="28"/>
          <w:szCs w:val="28"/>
          <w:highlight w:val="none"/>
        </w:rPr>
        <w:t xml:space="preserve"> 中标方须积极配合采购人并无条件提供技术服务。</w:t>
      </w:r>
    </w:p>
    <w:p w14:paraId="483E1D7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3.5 人员、车辆、工具、设备、耗材配置：</w:t>
      </w:r>
    </w:p>
    <w:p w14:paraId="16181F8A">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3.5.1 供应商针对本项目配备的人员数量不少于8人：项目负责人1人；标准空气站、挥发性有机物（VOCs）监测系统、空气自动监测微站专职运维人员不少于6人，开展总量核算、限值限量进展评估工作人员1人，相关人员须取得相对应的国家认可的从业资格证。</w:t>
      </w:r>
    </w:p>
    <w:p w14:paraId="2C2648A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3.5.2 供应商针本项目配备的专用巡检车辆数量与负责日常维护的站点数量比值不低于1/6。</w:t>
      </w:r>
    </w:p>
    <w:p w14:paraId="666EAFA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3.5.3 供应商运维人员开展运维工作时须配备专用工具（包括便携式电脑、万用表、远程数据查询系统等）和通讯调试工具（包括各种硬件接口线、改线工具、接口调试软件及常用零部件等）。</w:t>
      </w:r>
    </w:p>
    <w:p w14:paraId="6E87C4E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3.5.4 运维单位须配置 VOCs、SO2、NO2、CO、PM10、PM2.5、O3 等指标自动监测仪器各1套用作备机。</w:t>
      </w:r>
    </w:p>
    <w:p w14:paraId="0ABBA99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3.5.5 运维单位须承诺中标后 1 个月（30 日历天）内配齐本技术要求中所涉及的仪器设备的耗材和备件。耗材按照不少于半年的消耗量配置，备件按照至少1年使用量配置。必须使用原厂生产的备品备件和耗材，严禁使用劣质备品备件和耗材。</w:t>
      </w:r>
    </w:p>
    <w:p w14:paraId="1FF2E771">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3.5.6 运维单位应至少配备 1 套专用仪器维护维修工具。</w:t>
      </w:r>
    </w:p>
    <w:p w14:paraId="5598406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3.5.7 在项目运维及管理期间，运维单位应严格按照采购方制订的操作规范和规章制度，对所管理的系统及仪器设备进行规范操作和精心维护及必要维修，保证系统及仪器设备的正常运行，达到采购方提出的系统及仪器设备考核指标要求。</w:t>
      </w:r>
    </w:p>
    <w:p w14:paraId="48B6BBDD">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3.5.8 投标人在运维过程中应及时出具CMA认证的报告（范围需包含：空气：SO2、NOx、CO、O3、PM2.5、PM10、挥发性有机物）。</w:t>
      </w:r>
    </w:p>
    <w:p w14:paraId="00BE9952">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yellow"/>
          <w:lang w:val="en-US" w:eastAsia="zh-CN"/>
        </w:rPr>
      </w:pPr>
      <w:r>
        <w:rPr>
          <w:rFonts w:hint="eastAsia" w:ascii="仿宋" w:hAnsi="仿宋" w:eastAsia="仿宋" w:cs="仿宋"/>
          <w:color w:val="0000FF"/>
          <w:sz w:val="28"/>
          <w:szCs w:val="28"/>
          <w:highlight w:val="yellow"/>
          <w:lang w:val="en-US" w:eastAsia="zh-CN"/>
        </w:rPr>
        <w:t>3.6 站点位置：</w:t>
      </w:r>
    </w:p>
    <w:p w14:paraId="27D84CC4">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3.6.1 1套标准空气站（位于龙冈镇政府大楼顶）。</w:t>
      </w:r>
    </w:p>
    <w:p w14:paraId="14936469">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3.6.2 1套标准空气站（位于创新大厦裙楼顶）。</w:t>
      </w:r>
    </w:p>
    <w:p w14:paraId="0EFD9BCF">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3.6.3  1套挥发性有机物（VOCs）监测系统（包含57种PAMS物质）（位于创新大厦裙楼顶）。</w:t>
      </w:r>
    </w:p>
    <w:p w14:paraId="04F8E01B">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3.6.4  1套挥发性有机物（VOCs）监测系统（包含116种PAMS物质）（位于龙冈镇政府大楼顶）。</w:t>
      </w:r>
    </w:p>
    <w:p w14:paraId="3377DF86">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3.6.5  45套空气自动监测微站（包含园区16个边界站点及29个网格站点，分布园区周边）。</w:t>
      </w:r>
    </w:p>
    <w:tbl>
      <w:tblPr>
        <w:tblStyle w:val="18"/>
        <w:tblW w:w="86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94"/>
        <w:gridCol w:w="7002"/>
      </w:tblGrid>
      <w:tr w14:paraId="0C825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8CC9149">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序号</w:t>
            </w:r>
          </w:p>
        </w:tc>
        <w:tc>
          <w:tcPr>
            <w:tcW w:w="7002" w:type="dxa"/>
          </w:tcPr>
          <w:p w14:paraId="40917F03">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位置</w:t>
            </w:r>
          </w:p>
        </w:tc>
      </w:tr>
      <w:tr w14:paraId="62FF6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EC2B8A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w:t>
            </w:r>
          </w:p>
        </w:tc>
        <w:tc>
          <w:tcPr>
            <w:tcW w:w="7002" w:type="dxa"/>
          </w:tcPr>
          <w:p w14:paraId="29933094">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汇润纺织品科技有限公司门口</w:t>
            </w:r>
          </w:p>
        </w:tc>
      </w:tr>
      <w:tr w14:paraId="6709E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31E413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w:t>
            </w:r>
          </w:p>
        </w:tc>
        <w:tc>
          <w:tcPr>
            <w:tcW w:w="7002" w:type="dxa"/>
          </w:tcPr>
          <w:p w14:paraId="613B257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芳仕兰照明电器有限公司东南角路边</w:t>
            </w:r>
          </w:p>
        </w:tc>
      </w:tr>
      <w:tr w14:paraId="37BCF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FC0944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w:t>
            </w:r>
          </w:p>
        </w:tc>
        <w:tc>
          <w:tcPr>
            <w:tcW w:w="7002" w:type="dxa"/>
          </w:tcPr>
          <w:p w14:paraId="0051372D">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拓璞视界科技有限公司门口</w:t>
            </w:r>
          </w:p>
        </w:tc>
      </w:tr>
      <w:tr w14:paraId="2AED2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3CB278A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4</w:t>
            </w:r>
          </w:p>
        </w:tc>
        <w:tc>
          <w:tcPr>
            <w:tcW w:w="7002" w:type="dxa"/>
          </w:tcPr>
          <w:p w14:paraId="64D6C7A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福华汽车部件门口路边</w:t>
            </w:r>
          </w:p>
        </w:tc>
      </w:tr>
      <w:tr w14:paraId="1F6FD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1A76CC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5</w:t>
            </w:r>
          </w:p>
        </w:tc>
        <w:tc>
          <w:tcPr>
            <w:tcW w:w="7002" w:type="dxa"/>
          </w:tcPr>
          <w:p w14:paraId="64978352">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东进路和龙乘路交叉口</w:t>
            </w:r>
          </w:p>
        </w:tc>
      </w:tr>
      <w:tr w14:paraId="7AFE6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689790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6</w:t>
            </w:r>
          </w:p>
        </w:tc>
        <w:tc>
          <w:tcPr>
            <w:tcW w:w="7002" w:type="dxa"/>
          </w:tcPr>
          <w:p w14:paraId="691E53E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钦达大道距凤凰南路300米处路边</w:t>
            </w:r>
          </w:p>
        </w:tc>
      </w:tr>
      <w:tr w14:paraId="4EB08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C5A958F">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7</w:t>
            </w:r>
          </w:p>
        </w:tc>
        <w:tc>
          <w:tcPr>
            <w:tcW w:w="7002" w:type="dxa"/>
          </w:tcPr>
          <w:p w14:paraId="3154C03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龙翔路和世纪大道交叉口</w:t>
            </w:r>
          </w:p>
        </w:tc>
      </w:tr>
      <w:tr w14:paraId="3DCD7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9DB0E2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8</w:t>
            </w:r>
          </w:p>
        </w:tc>
        <w:tc>
          <w:tcPr>
            <w:tcW w:w="7002" w:type="dxa"/>
          </w:tcPr>
          <w:p w14:paraId="1CBA50F8">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龙乘路和世纪大道交叉口</w:t>
            </w:r>
          </w:p>
        </w:tc>
      </w:tr>
      <w:tr w14:paraId="0154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3EF012A9">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9</w:t>
            </w:r>
          </w:p>
        </w:tc>
        <w:tc>
          <w:tcPr>
            <w:tcW w:w="7002" w:type="dxa"/>
          </w:tcPr>
          <w:p w14:paraId="2D7D4B20">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益民路和世纪大道交叉口</w:t>
            </w:r>
          </w:p>
        </w:tc>
      </w:tr>
      <w:tr w14:paraId="4A76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66F67C5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10</w:t>
            </w:r>
          </w:p>
        </w:tc>
        <w:tc>
          <w:tcPr>
            <w:tcW w:w="7002" w:type="dxa"/>
          </w:tcPr>
          <w:p w14:paraId="716ACE15">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龙翔路南侧路边</w:t>
            </w:r>
          </w:p>
        </w:tc>
      </w:tr>
      <w:tr w14:paraId="220DE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B745AE8">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11</w:t>
            </w:r>
          </w:p>
        </w:tc>
        <w:tc>
          <w:tcPr>
            <w:tcW w:w="7002" w:type="dxa"/>
          </w:tcPr>
          <w:p w14:paraId="280782DF">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爱派电动车公司门口</w:t>
            </w:r>
          </w:p>
        </w:tc>
      </w:tr>
      <w:tr w14:paraId="35671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3FC3F6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12</w:t>
            </w:r>
          </w:p>
        </w:tc>
        <w:tc>
          <w:tcPr>
            <w:tcW w:w="7002" w:type="dxa"/>
          </w:tcPr>
          <w:p w14:paraId="1F9221D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惠腾大道西侧路边</w:t>
            </w:r>
          </w:p>
        </w:tc>
      </w:tr>
      <w:tr w14:paraId="3609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62B4D63">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13</w:t>
            </w:r>
          </w:p>
        </w:tc>
        <w:tc>
          <w:tcPr>
            <w:tcW w:w="7002" w:type="dxa"/>
          </w:tcPr>
          <w:p w14:paraId="7CE3CB60">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惠腾大道和创智路交叉口</w:t>
            </w:r>
          </w:p>
        </w:tc>
      </w:tr>
      <w:tr w14:paraId="0AA32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60EB452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14</w:t>
            </w:r>
          </w:p>
        </w:tc>
        <w:tc>
          <w:tcPr>
            <w:tcW w:w="7002" w:type="dxa"/>
          </w:tcPr>
          <w:p w14:paraId="51662483">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纬八路距龙乘路300米处路边</w:t>
            </w:r>
          </w:p>
        </w:tc>
      </w:tr>
      <w:tr w14:paraId="7CA05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1CB7D0E4">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15</w:t>
            </w:r>
          </w:p>
        </w:tc>
        <w:tc>
          <w:tcPr>
            <w:tcW w:w="7002" w:type="dxa"/>
          </w:tcPr>
          <w:p w14:paraId="2342C923">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振兴大道和汇智路交叉口</w:t>
            </w:r>
          </w:p>
        </w:tc>
      </w:tr>
      <w:tr w14:paraId="25C8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FEDDA3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16</w:t>
            </w:r>
          </w:p>
        </w:tc>
        <w:tc>
          <w:tcPr>
            <w:tcW w:w="7002" w:type="dxa"/>
          </w:tcPr>
          <w:p w14:paraId="20AAEF5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汇智路和火炬路交叉口</w:t>
            </w:r>
          </w:p>
        </w:tc>
      </w:tr>
      <w:tr w14:paraId="6B507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6D95CA1D">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17</w:t>
            </w:r>
          </w:p>
        </w:tc>
        <w:tc>
          <w:tcPr>
            <w:tcW w:w="7002" w:type="dxa"/>
          </w:tcPr>
          <w:p w14:paraId="749BC0A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经五路和纬八路交叉口</w:t>
            </w:r>
          </w:p>
        </w:tc>
      </w:tr>
      <w:tr w14:paraId="0C962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1F80ECA2">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18</w:t>
            </w:r>
          </w:p>
        </w:tc>
        <w:tc>
          <w:tcPr>
            <w:tcW w:w="7002" w:type="dxa"/>
          </w:tcPr>
          <w:p w14:paraId="13C41C4D">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火炬路和智创园一支路交叉口</w:t>
            </w:r>
          </w:p>
        </w:tc>
      </w:tr>
      <w:tr w14:paraId="1F629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693DDD73">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19</w:t>
            </w:r>
          </w:p>
        </w:tc>
        <w:tc>
          <w:tcPr>
            <w:tcW w:w="7002" w:type="dxa"/>
          </w:tcPr>
          <w:p w14:paraId="3B4DFF80">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东山精密西侧门对面马路边</w:t>
            </w:r>
          </w:p>
        </w:tc>
      </w:tr>
      <w:tr w14:paraId="32A65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3D3ECE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20</w:t>
            </w:r>
          </w:p>
        </w:tc>
        <w:tc>
          <w:tcPr>
            <w:tcW w:w="7002" w:type="dxa"/>
          </w:tcPr>
          <w:p w14:paraId="6FCACDEF">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东山精密东南角振兴路旁边</w:t>
            </w:r>
          </w:p>
        </w:tc>
      </w:tr>
      <w:tr w14:paraId="020C0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38E0677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21</w:t>
            </w:r>
          </w:p>
        </w:tc>
        <w:tc>
          <w:tcPr>
            <w:tcW w:w="7002" w:type="dxa"/>
          </w:tcPr>
          <w:p w14:paraId="6E66AA88">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世伟智能装备有限公司门口绿化带</w:t>
            </w:r>
          </w:p>
        </w:tc>
      </w:tr>
      <w:tr w14:paraId="36F79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4B0C9B5">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22</w:t>
            </w:r>
          </w:p>
        </w:tc>
        <w:tc>
          <w:tcPr>
            <w:tcW w:w="7002" w:type="dxa"/>
          </w:tcPr>
          <w:p w14:paraId="1DD2BC62">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青年西路和经四路交叉口</w:t>
            </w:r>
          </w:p>
        </w:tc>
      </w:tr>
      <w:tr w14:paraId="00585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34B50C0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23</w:t>
            </w:r>
          </w:p>
        </w:tc>
        <w:tc>
          <w:tcPr>
            <w:tcW w:w="7002" w:type="dxa"/>
          </w:tcPr>
          <w:p w14:paraId="203B654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青年西路和经四路交叉口</w:t>
            </w:r>
          </w:p>
        </w:tc>
      </w:tr>
      <w:tr w14:paraId="5F79F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A6258C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24</w:t>
            </w:r>
          </w:p>
        </w:tc>
        <w:tc>
          <w:tcPr>
            <w:tcW w:w="7002" w:type="dxa"/>
          </w:tcPr>
          <w:p w14:paraId="2F93251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火炬路和人民路交叉口</w:t>
            </w:r>
          </w:p>
        </w:tc>
      </w:tr>
      <w:tr w14:paraId="3D9E0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08B5A7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25</w:t>
            </w:r>
          </w:p>
        </w:tc>
        <w:tc>
          <w:tcPr>
            <w:tcW w:w="7002" w:type="dxa"/>
          </w:tcPr>
          <w:p w14:paraId="0C0570FF">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世纪大道和振兴大道交叉口</w:t>
            </w:r>
          </w:p>
        </w:tc>
      </w:tr>
      <w:tr w14:paraId="48248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A2AAEA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26</w:t>
            </w:r>
          </w:p>
        </w:tc>
        <w:tc>
          <w:tcPr>
            <w:tcW w:w="7002" w:type="dxa"/>
          </w:tcPr>
          <w:p w14:paraId="72ABFCC9">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尚海滩花园小区旁边公园东侧</w:t>
            </w:r>
          </w:p>
        </w:tc>
      </w:tr>
      <w:tr w14:paraId="74D28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95AE58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27</w:t>
            </w:r>
          </w:p>
        </w:tc>
        <w:tc>
          <w:tcPr>
            <w:tcW w:w="7002" w:type="dxa"/>
          </w:tcPr>
          <w:p w14:paraId="72519F2D">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经一路和盐渎路交叉口</w:t>
            </w:r>
          </w:p>
        </w:tc>
      </w:tr>
      <w:tr w14:paraId="44E55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E264C1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28</w:t>
            </w:r>
          </w:p>
        </w:tc>
        <w:tc>
          <w:tcPr>
            <w:tcW w:w="7002" w:type="dxa"/>
          </w:tcPr>
          <w:p w14:paraId="1B219504">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后徐庄村路边</w:t>
            </w:r>
          </w:p>
        </w:tc>
      </w:tr>
      <w:tr w14:paraId="67CA5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FDC20E9">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29</w:t>
            </w:r>
          </w:p>
        </w:tc>
        <w:tc>
          <w:tcPr>
            <w:tcW w:w="7002" w:type="dxa"/>
          </w:tcPr>
          <w:p w14:paraId="5B895310">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振兴大道靠盐洛高速路边</w:t>
            </w:r>
          </w:p>
        </w:tc>
      </w:tr>
      <w:tr w14:paraId="3E69F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4E2063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30</w:t>
            </w:r>
          </w:p>
        </w:tc>
        <w:tc>
          <w:tcPr>
            <w:tcW w:w="7002" w:type="dxa"/>
          </w:tcPr>
          <w:p w14:paraId="35EE2C2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火炬路南侧河边</w:t>
            </w:r>
          </w:p>
        </w:tc>
      </w:tr>
      <w:tr w14:paraId="60283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64F031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31</w:t>
            </w:r>
          </w:p>
        </w:tc>
        <w:tc>
          <w:tcPr>
            <w:tcW w:w="7002" w:type="dxa"/>
          </w:tcPr>
          <w:p w14:paraId="1CAB6508">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经五路南侧路边</w:t>
            </w:r>
          </w:p>
        </w:tc>
      </w:tr>
      <w:tr w14:paraId="0B68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B7E58C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32</w:t>
            </w:r>
          </w:p>
        </w:tc>
        <w:tc>
          <w:tcPr>
            <w:tcW w:w="7002" w:type="dxa"/>
          </w:tcPr>
          <w:p w14:paraId="70C41E95">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黄刘五组村道边</w:t>
            </w:r>
          </w:p>
        </w:tc>
      </w:tr>
      <w:tr w14:paraId="50FA9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0D23363">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33</w:t>
            </w:r>
          </w:p>
        </w:tc>
        <w:tc>
          <w:tcPr>
            <w:tcW w:w="7002" w:type="dxa"/>
          </w:tcPr>
          <w:p w14:paraId="2FFE3D79">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老吴村村道边</w:t>
            </w:r>
          </w:p>
        </w:tc>
      </w:tr>
      <w:tr w14:paraId="035297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2B77937">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34</w:t>
            </w:r>
          </w:p>
        </w:tc>
        <w:tc>
          <w:tcPr>
            <w:tcW w:w="7002" w:type="dxa"/>
          </w:tcPr>
          <w:p w14:paraId="31177045">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龙兴路和世纪大道交叉口</w:t>
            </w:r>
          </w:p>
        </w:tc>
      </w:tr>
      <w:tr w14:paraId="32138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623BD71">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35</w:t>
            </w:r>
          </w:p>
        </w:tc>
        <w:tc>
          <w:tcPr>
            <w:tcW w:w="7002" w:type="dxa"/>
          </w:tcPr>
          <w:p w14:paraId="324B365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龙兴路和钦达大道交叉口</w:t>
            </w:r>
          </w:p>
        </w:tc>
      </w:tr>
      <w:tr w14:paraId="3CCFD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76BEA3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36</w:t>
            </w:r>
          </w:p>
        </w:tc>
        <w:tc>
          <w:tcPr>
            <w:tcW w:w="7002" w:type="dxa"/>
          </w:tcPr>
          <w:p w14:paraId="49BC032D">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荣华七组近青年西路村道边</w:t>
            </w:r>
          </w:p>
        </w:tc>
      </w:tr>
      <w:tr w14:paraId="08E20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AA0AC1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37</w:t>
            </w:r>
          </w:p>
        </w:tc>
        <w:tc>
          <w:tcPr>
            <w:tcW w:w="7002" w:type="dxa"/>
          </w:tcPr>
          <w:p w14:paraId="5B52A3DF">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远航锦锂新能源公司办公楼顶</w:t>
            </w:r>
          </w:p>
        </w:tc>
      </w:tr>
      <w:tr w14:paraId="6CBAB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59C2ED6A">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38</w:t>
            </w:r>
          </w:p>
        </w:tc>
        <w:tc>
          <w:tcPr>
            <w:tcW w:w="7002" w:type="dxa"/>
          </w:tcPr>
          <w:p w14:paraId="2FA49BD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吴徐村村委楼顶</w:t>
            </w:r>
          </w:p>
        </w:tc>
      </w:tr>
      <w:tr w14:paraId="136F5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E8634D7">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39</w:t>
            </w:r>
          </w:p>
        </w:tc>
        <w:tc>
          <w:tcPr>
            <w:tcW w:w="7002" w:type="dxa"/>
          </w:tcPr>
          <w:p w14:paraId="0CB1B917">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禹衡工程公司大楼顶</w:t>
            </w:r>
          </w:p>
        </w:tc>
      </w:tr>
      <w:tr w14:paraId="08236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3BB8BD3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40</w:t>
            </w:r>
          </w:p>
        </w:tc>
        <w:tc>
          <w:tcPr>
            <w:tcW w:w="7002" w:type="dxa"/>
          </w:tcPr>
          <w:p w14:paraId="30A0126C">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禹衡工程公司大楼顶</w:t>
            </w:r>
          </w:p>
        </w:tc>
      </w:tr>
      <w:tr w14:paraId="2B153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078450EF">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41</w:t>
            </w:r>
          </w:p>
        </w:tc>
        <w:tc>
          <w:tcPr>
            <w:tcW w:w="7002" w:type="dxa"/>
          </w:tcPr>
          <w:p w14:paraId="7079E5E7">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禹衡工程公司大楼顶</w:t>
            </w:r>
          </w:p>
        </w:tc>
      </w:tr>
      <w:tr w14:paraId="18A82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72D1EFED">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42</w:t>
            </w:r>
          </w:p>
        </w:tc>
        <w:tc>
          <w:tcPr>
            <w:tcW w:w="7002" w:type="dxa"/>
          </w:tcPr>
          <w:p w14:paraId="03BC054D">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远航锦锂新能源公司西南角河边</w:t>
            </w:r>
          </w:p>
        </w:tc>
      </w:tr>
      <w:tr w14:paraId="26BA3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415E636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43</w:t>
            </w:r>
          </w:p>
        </w:tc>
        <w:tc>
          <w:tcPr>
            <w:tcW w:w="7002" w:type="dxa"/>
          </w:tcPr>
          <w:p w14:paraId="245A3BF8">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神鹤科技南面河边</w:t>
            </w:r>
          </w:p>
        </w:tc>
      </w:tr>
      <w:tr w14:paraId="2845D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9C5F824">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44</w:t>
            </w:r>
          </w:p>
        </w:tc>
        <w:tc>
          <w:tcPr>
            <w:tcW w:w="7002" w:type="dxa"/>
          </w:tcPr>
          <w:p w14:paraId="3AEC6AAB">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吴徐村村民委员会门口</w:t>
            </w:r>
          </w:p>
        </w:tc>
      </w:tr>
      <w:tr w14:paraId="4E8B1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4" w:type="dxa"/>
          </w:tcPr>
          <w:p w14:paraId="27BE96D5">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default"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45</w:t>
            </w:r>
          </w:p>
        </w:tc>
        <w:tc>
          <w:tcPr>
            <w:tcW w:w="7002" w:type="dxa"/>
          </w:tcPr>
          <w:p w14:paraId="2700B272">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vertAlign w:val="baseline"/>
                <w:lang w:val="en-US" w:eastAsia="zh-CN"/>
              </w:rPr>
            </w:pPr>
            <w:r>
              <w:rPr>
                <w:rFonts w:hint="eastAsia" w:ascii="仿宋" w:hAnsi="仿宋" w:eastAsia="仿宋" w:cs="仿宋"/>
                <w:color w:val="0000FF"/>
                <w:sz w:val="28"/>
                <w:szCs w:val="28"/>
                <w:highlight w:val="none"/>
                <w:vertAlign w:val="baseline"/>
                <w:lang w:val="en-US" w:eastAsia="zh-CN"/>
              </w:rPr>
              <w:t>吴徐村村道边</w:t>
            </w:r>
          </w:p>
        </w:tc>
      </w:tr>
    </w:tbl>
    <w:p w14:paraId="69587DEE">
      <w:pPr>
        <w:pStyle w:val="14"/>
        <w:keepNext/>
        <w:keepLines/>
        <w:pageBreakBefore w:val="0"/>
        <w:widowControl w:val="0"/>
        <w:kinsoku/>
        <w:wordWrap/>
        <w:overflowPunct/>
        <w:topLinePunct w:val="0"/>
        <w:autoSpaceDE/>
        <w:autoSpaceDN/>
        <w:bidi w:val="0"/>
        <w:adjustRightInd/>
        <w:snapToGrid/>
        <w:spacing w:beforeAutospacing="0" w:afterAutospacing="0"/>
        <w:ind w:right="-525" w:rightChars="-250"/>
        <w:jc w:val="both"/>
        <w:textAlignment w:val="auto"/>
        <w:rPr>
          <w:rFonts w:hint="eastAsia" w:ascii="仿宋" w:hAnsi="仿宋" w:eastAsia="仿宋" w:cs="仿宋"/>
          <w:color w:val="0000FF"/>
          <w:sz w:val="28"/>
          <w:szCs w:val="28"/>
          <w:highlight w:val="none"/>
          <w:lang w:val="en-US" w:eastAsia="zh-CN"/>
        </w:rPr>
      </w:pPr>
    </w:p>
    <w:p w14:paraId="40D4E963">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default" w:ascii="仿宋" w:hAnsi="仿宋" w:eastAsia="仿宋" w:cs="仿宋"/>
          <w:color w:val="0000FF"/>
          <w:sz w:val="28"/>
          <w:szCs w:val="28"/>
          <w:highlight w:val="none"/>
          <w:lang w:val="en-US" w:eastAsia="zh-CN"/>
        </w:rPr>
      </w:pPr>
      <w:r>
        <w:rPr>
          <w:rFonts w:hint="eastAsia" w:ascii="仿宋" w:hAnsi="仿宋" w:eastAsia="仿宋" w:cs="仿宋"/>
          <w:color w:val="0000FF"/>
          <w:sz w:val="28"/>
          <w:szCs w:val="28"/>
          <w:highlight w:val="none"/>
          <w:lang w:val="en-US" w:eastAsia="zh-CN"/>
        </w:rPr>
        <w:t>3.6.6  具体位置以甲方指定为准。</w:t>
      </w:r>
    </w:p>
    <w:p w14:paraId="384D2440">
      <w:pPr>
        <w:pStyle w:val="14"/>
        <w:keepNext/>
        <w:keepLines/>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br w:type="page"/>
      </w:r>
    </w:p>
    <w:p w14:paraId="5F7C6898">
      <w:pPr>
        <w:pStyle w:val="14"/>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第五章  </w:t>
      </w:r>
      <w:r>
        <w:rPr>
          <w:rFonts w:hint="eastAsia" w:ascii="黑体" w:hAnsi="宋体" w:eastAsia="黑体" w:cs="黑体"/>
          <w:b/>
          <w:color w:val="auto"/>
          <w:sz w:val="44"/>
          <w:szCs w:val="44"/>
          <w:highlight w:val="none"/>
        </w:rPr>
        <w:t>评标方法与评标标准</w:t>
      </w:r>
    </w:p>
    <w:p w14:paraId="2D648D58">
      <w:pPr>
        <w:pStyle w:val="14"/>
        <w:spacing w:beforeAutospacing="0" w:afterAutospacing="0"/>
        <w:jc w:val="both"/>
        <w:rPr>
          <w:color w:val="auto"/>
          <w:highlight w:val="none"/>
        </w:rPr>
      </w:pPr>
      <w:r>
        <w:rPr>
          <w:color w:val="auto"/>
          <w:highlight w:val="none"/>
        </w:rPr>
        <w:t> </w:t>
      </w:r>
    </w:p>
    <w:p w14:paraId="7EAE876C">
      <w:pPr>
        <w:pStyle w:val="14"/>
        <w:keepNext w:val="0"/>
        <w:keepLines w:val="0"/>
        <w:pageBreakBefore w:val="0"/>
        <w:widowControl w:val="0"/>
        <w:kinsoku/>
        <w:wordWrap/>
        <w:overflowPunct/>
        <w:topLinePunct w:val="0"/>
        <w:autoSpaceDE/>
        <w:autoSpaceDN/>
        <w:bidi w:val="0"/>
        <w:spacing w:before="120" w:beforeAutospacing="0" w:after="120" w:afterAutospacing="0" w:line="0" w:lineRule="atLeast"/>
        <w:ind w:left="-525" w:leftChars="-250" w:right="-525" w:rightChars="-250"/>
        <w:textAlignment w:val="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一、定标原则</w:t>
      </w:r>
    </w:p>
    <w:p w14:paraId="5486D9BF">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本项目采用</w:t>
      </w:r>
      <w:r>
        <w:rPr>
          <w:rFonts w:hint="eastAsia" w:ascii="仿宋" w:hAnsi="仿宋" w:eastAsia="仿宋" w:cs="仿宋"/>
          <w:color w:val="auto"/>
          <w:sz w:val="28"/>
          <w:szCs w:val="28"/>
          <w:highlight w:val="none"/>
          <w:u w:val="single"/>
          <w:lang w:val="en-US" w:eastAsia="zh-CN"/>
        </w:rPr>
        <w:t xml:space="preserve"> 综合评分 </w:t>
      </w:r>
      <w:r>
        <w:rPr>
          <w:rFonts w:hint="eastAsia" w:ascii="仿宋" w:hAnsi="仿宋" w:eastAsia="仿宋" w:cs="仿宋"/>
          <w:color w:val="auto"/>
          <w:sz w:val="28"/>
          <w:szCs w:val="28"/>
          <w:highlight w:val="none"/>
          <w:lang w:val="en-US" w:eastAsia="zh-CN"/>
        </w:rPr>
        <w:t>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rPr>
          <w:rFonts w:hint="eastAsia" w:ascii="仿宋" w:hAnsi="仿宋" w:eastAsia="仿宋" w:cs="仿宋"/>
          <w:color w:val="auto"/>
          <w:sz w:val="28"/>
          <w:szCs w:val="28"/>
          <w:highlight w:val="none"/>
        </w:rPr>
        <w:t>。</w:t>
      </w:r>
    </w:p>
    <w:p w14:paraId="1AB78249">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政府采购政策功能落实</w:t>
      </w:r>
    </w:p>
    <w:p w14:paraId="293BBD3F">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1、小微型企业价格扣除</w:t>
      </w:r>
    </w:p>
    <w:p w14:paraId="6AF63062">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（1）本项目为专门面向中小企业采购，不再对小型和微型企业报价给予价格扣除。</w:t>
      </w:r>
    </w:p>
    <w:p w14:paraId="0298928B">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（2）供应商需按照采购文件的要求提供相应的《中小企业声明函》。</w:t>
      </w:r>
    </w:p>
    <w:p w14:paraId="0F2F677D">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（3）企业标准请参照《关于印发中小企业划型标准规定的通知》（工信部联企业[2011]300号）文件规定自行填写。</w:t>
      </w:r>
    </w:p>
    <w:p w14:paraId="614A393A">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2、残疾人福利单位价格扣除</w:t>
      </w:r>
    </w:p>
    <w:p w14:paraId="765C3F6E">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（1）本项目对残疾人福利性单位视同小型、微型企业。</w:t>
      </w:r>
    </w:p>
    <w:p w14:paraId="7DB7C2DD">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（2）残疾人福利单位需按照采购文件的要求提供《残疾人福利性单位声明函》。</w:t>
      </w:r>
    </w:p>
    <w:p w14:paraId="20CAC0B2">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（3）残疾人福利单位标准请参照《关于促进残疾人就业政府采购政策的通知》（财库〔2017〕141号）。</w:t>
      </w:r>
    </w:p>
    <w:p w14:paraId="00D11C21">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3、监狱和戒毒企业价格扣除</w:t>
      </w:r>
    </w:p>
    <w:p w14:paraId="4D84015D">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（1）本项目对监狱和戒毒企业（简称监狱企业）视同小型、微型企业。</w:t>
      </w:r>
    </w:p>
    <w:p w14:paraId="7927D56F">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（2）监狱企业参加政府采购活动时，需提供由省级以上监狱管理局、戒毒管理局(含新疆生产建设兵团)出具的属于监狱企业的证明文件。供应商如不提供上述证明文件，价格将不做相应扣除。</w:t>
      </w:r>
    </w:p>
    <w:p w14:paraId="07B427B1">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（3）监狱企业标准请参照《关于政府采购支持监狱企业发展有关问题的通知》（财库[2014]68号）。</w:t>
      </w:r>
    </w:p>
    <w:p w14:paraId="5198C5B9">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4、残疾人福利单位、监狱企业属于小型、微型企业的，不重复享受政策。</w:t>
      </w:r>
    </w:p>
    <w:p w14:paraId="018A8531">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72E28751">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6、联合体各方均为小型、微型企业（残疾人福利单位、监狱企业）的，联合体享受20%的价格扣除。</w:t>
      </w:r>
    </w:p>
    <w:p w14:paraId="547A6AC6">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7、采购本国产品的支持政策</w:t>
      </w:r>
    </w:p>
    <w:p w14:paraId="1B35457D">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7.1 本项目政府采购活动中既有本国产品又有非本国产品参与竞争的，依法对本国产品给予价格评审优惠，对本国产品的报价给予 20%的价格扣除，用扣除后的价格参与评审。</w:t>
      </w:r>
    </w:p>
    <w:p w14:paraId="521B83EF">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7.2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62AAC6DC">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7.3 供应商需按照招标文件的要求提供《关于符合本国产品标准的声明函》（以下简称《声明函》），如不提供将不享受本国产品价格评审优惠。</w:t>
      </w:r>
    </w:p>
    <w:p w14:paraId="7BAC137E">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7.4 供应商需在《声明函》中逐一、准确填写产品名称、厂名、生产厂址三项信息（《声明函》中用横线划除的地方无需填写），三项信息中任意一项未填写的视为该项产品不符合本国产品标准，不享受本国产品价格评审优惠。</w:t>
      </w:r>
    </w:p>
    <w:p w14:paraId="142E84B6">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ADB2E4B">
      <w:pPr>
        <w:pStyle w:val="14"/>
        <w:keepNext w:val="0"/>
        <w:keepLines w:val="0"/>
        <w:pageBreakBefore w:val="0"/>
        <w:widowControl w:val="0"/>
        <w:kinsoku/>
        <w:wordWrap/>
        <w:overflowPunct/>
        <w:topLinePunct w:val="0"/>
        <w:autoSpaceDE/>
        <w:autoSpaceDN/>
        <w:bidi w:val="0"/>
        <w:adjustRightInd/>
        <w:snapToGrid/>
        <w:spacing w:beforeAutospacing="0" w:afterAutospacing="0" w:line="360" w:lineRule="auto"/>
        <w:ind w:left="-525" w:leftChars="-250" w:right="-525" w:rightChars="-250" w:firstLine="560" w:firstLineChars="200"/>
        <w:textAlignment w:val="auto"/>
        <w:rPr>
          <w:rFonts w:hint="eastAsia" w:ascii="仿宋" w:hAnsi="仿宋" w:eastAsia="仿宋" w:cs="仿宋"/>
          <w:color w:val="auto"/>
          <w:sz w:val="28"/>
          <w:szCs w:val="28"/>
          <w:highlight w:val="yellow"/>
          <w:lang w:val="en-US" w:eastAsia="zh-CN"/>
        </w:rPr>
      </w:pPr>
      <w:r>
        <w:rPr>
          <w:rFonts w:hint="eastAsia" w:ascii="仿宋" w:hAnsi="仿宋" w:eastAsia="仿宋" w:cs="仿宋"/>
          <w:color w:val="auto"/>
          <w:sz w:val="28"/>
          <w:szCs w:val="28"/>
          <w:highlight w:val="yellow"/>
          <w:lang w:val="en-US" w:eastAsia="zh-CN"/>
        </w:rPr>
        <w:t>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E514285">
      <w:pPr>
        <w:pStyle w:val="14"/>
        <w:keepNext w:val="0"/>
        <w:keepLines w:val="0"/>
        <w:pageBreakBefore w:val="0"/>
        <w:widowControl w:val="0"/>
        <w:kinsoku/>
        <w:wordWrap/>
        <w:overflowPunct/>
        <w:topLinePunct w:val="0"/>
        <w:autoSpaceDE/>
        <w:autoSpaceDN/>
        <w:bidi w:val="0"/>
        <w:spacing w:before="120" w:beforeAutospacing="0" w:after="120" w:afterAutospacing="0" w:line="0" w:lineRule="atLeast"/>
        <w:ind w:left="-525" w:leftChars="-250" w:right="-525" w:rightChars="-250"/>
        <w:textAlignment w:val="auto"/>
        <w:rPr>
          <w:rFonts w:ascii="仿宋" w:hAnsi="仿宋" w:eastAsia="仿宋" w:cs="仿宋"/>
          <w:color w:val="auto"/>
          <w:sz w:val="28"/>
          <w:szCs w:val="28"/>
          <w:highlight w:val="none"/>
        </w:rPr>
      </w:pPr>
      <w:r>
        <w:rPr>
          <w:rFonts w:hint="eastAsia" w:ascii="仿宋" w:hAnsi="仿宋" w:eastAsia="仿宋" w:cs="仿宋"/>
          <w:b/>
          <w:color w:val="auto"/>
          <w:sz w:val="28"/>
          <w:szCs w:val="28"/>
          <w:highlight w:val="none"/>
          <w:lang w:val="en-US" w:eastAsia="zh-CN"/>
        </w:rPr>
        <w:t>二、</w:t>
      </w:r>
      <w:r>
        <w:rPr>
          <w:rFonts w:hint="eastAsia" w:ascii="仿宋" w:hAnsi="仿宋" w:eastAsia="仿宋" w:cs="仿宋"/>
          <w:b/>
          <w:color w:val="auto"/>
          <w:sz w:val="28"/>
          <w:szCs w:val="28"/>
          <w:highlight w:val="none"/>
        </w:rPr>
        <w:t>评标方法与评标标准</w:t>
      </w:r>
    </w:p>
    <w:p w14:paraId="7F998C11">
      <w:pPr>
        <w:keepNext w:val="0"/>
        <w:keepLines w:val="0"/>
        <w:pageBreakBefore w:val="0"/>
        <w:widowControl w:val="0"/>
        <w:kinsoku/>
        <w:wordWrap/>
        <w:overflowPunct/>
        <w:topLinePunct w:val="0"/>
        <w:autoSpaceDE/>
        <w:autoSpaceDN/>
        <w:bidi w:val="0"/>
        <w:adjustRightInd w:val="0"/>
        <w:snapToGrid w:val="0"/>
        <w:spacing w:line="360" w:lineRule="auto"/>
        <w:ind w:left="-525" w:leftChars="-250" w:right="-525" w:rightChars="-250" w:firstLine="560" w:firstLineChars="200"/>
        <w:textAlignment w:val="auto"/>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本项目评分总分值为100分。</w:t>
      </w:r>
    </w:p>
    <w:tbl>
      <w:tblPr>
        <w:tblStyle w:val="17"/>
        <w:tblW w:w="89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0" w:type="dxa"/>
          <w:left w:w="0" w:type="dxa"/>
          <w:bottom w:w="0" w:type="dxa"/>
          <w:right w:w="0" w:type="dxa"/>
        </w:tblCellMar>
      </w:tblPr>
      <w:tblGrid>
        <w:gridCol w:w="447"/>
        <w:gridCol w:w="887"/>
        <w:gridCol w:w="1273"/>
        <w:gridCol w:w="720"/>
        <w:gridCol w:w="5631"/>
      </w:tblGrid>
      <w:tr w14:paraId="7A029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485" w:hRule="atLeast"/>
          <w:jc w:val="center"/>
        </w:trPr>
        <w:tc>
          <w:tcPr>
            <w:tcW w:w="447" w:type="dxa"/>
            <w:shd w:val="clear" w:color="auto" w:fill="FFFFFF"/>
            <w:tcMar>
              <w:top w:w="0" w:type="dxa"/>
              <w:left w:w="108" w:type="dxa"/>
              <w:bottom w:w="0" w:type="dxa"/>
              <w:right w:w="108" w:type="dxa"/>
            </w:tcMar>
            <w:vAlign w:val="center"/>
          </w:tcPr>
          <w:p w14:paraId="66500EE4">
            <w:pPr>
              <w:spacing w:line="360" w:lineRule="exact"/>
              <w:jc w:val="cente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rPr>
              <w:t>序</w:t>
            </w:r>
            <w:r>
              <w:rPr>
                <w:rFonts w:hint="eastAsia" w:ascii="仿宋" w:hAnsi="仿宋" w:eastAsia="仿宋" w:cs="仿宋"/>
                <w:b/>
                <w:color w:val="auto"/>
                <w:sz w:val="24"/>
                <w:highlight w:val="none"/>
                <w:lang w:val="en-US" w:eastAsia="zh-CN"/>
              </w:rPr>
              <w:t>号</w:t>
            </w:r>
          </w:p>
        </w:tc>
        <w:tc>
          <w:tcPr>
            <w:tcW w:w="887" w:type="dxa"/>
            <w:shd w:val="clear" w:color="auto" w:fill="FFFFFF"/>
            <w:vAlign w:val="center"/>
          </w:tcPr>
          <w:p w14:paraId="5E561181">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评分项</w:t>
            </w:r>
          </w:p>
        </w:tc>
        <w:tc>
          <w:tcPr>
            <w:tcW w:w="1273" w:type="dxa"/>
            <w:shd w:val="clear" w:color="auto" w:fill="FFFFFF"/>
            <w:tcMar>
              <w:top w:w="0" w:type="dxa"/>
              <w:left w:w="108" w:type="dxa"/>
              <w:bottom w:w="0" w:type="dxa"/>
              <w:right w:w="108" w:type="dxa"/>
            </w:tcMar>
            <w:vAlign w:val="center"/>
          </w:tcPr>
          <w:p w14:paraId="70BDA83E">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评分因素</w:t>
            </w:r>
          </w:p>
        </w:tc>
        <w:tc>
          <w:tcPr>
            <w:tcW w:w="720" w:type="dxa"/>
            <w:shd w:val="clear" w:color="auto" w:fill="FFFFFF"/>
            <w:vAlign w:val="center"/>
          </w:tcPr>
          <w:p w14:paraId="6835A0C5">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分值</w:t>
            </w:r>
          </w:p>
        </w:tc>
        <w:tc>
          <w:tcPr>
            <w:tcW w:w="5631" w:type="dxa"/>
            <w:shd w:val="clear" w:color="auto" w:fill="FFFFFF"/>
            <w:tcMar>
              <w:top w:w="0" w:type="dxa"/>
              <w:left w:w="108" w:type="dxa"/>
              <w:bottom w:w="0" w:type="dxa"/>
              <w:right w:w="108" w:type="dxa"/>
            </w:tcMar>
            <w:vAlign w:val="center"/>
          </w:tcPr>
          <w:p w14:paraId="6AA1B448">
            <w:pPr>
              <w:spacing w:line="36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评分准则</w:t>
            </w:r>
          </w:p>
        </w:tc>
      </w:tr>
      <w:tr w14:paraId="76B8E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36" w:hRule="atLeast"/>
          <w:jc w:val="center"/>
        </w:trPr>
        <w:tc>
          <w:tcPr>
            <w:tcW w:w="447" w:type="dxa"/>
            <w:shd w:val="clear" w:color="auto" w:fill="FFFFFF"/>
            <w:tcMar>
              <w:top w:w="0" w:type="dxa"/>
              <w:left w:w="108" w:type="dxa"/>
              <w:bottom w:w="0" w:type="dxa"/>
              <w:right w:w="108" w:type="dxa"/>
            </w:tcMar>
            <w:vAlign w:val="center"/>
          </w:tcPr>
          <w:p w14:paraId="7AA8B950">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一</w:t>
            </w:r>
          </w:p>
        </w:tc>
        <w:tc>
          <w:tcPr>
            <w:tcW w:w="887" w:type="dxa"/>
            <w:shd w:val="clear" w:color="auto" w:fill="FFFFFF"/>
            <w:vAlign w:val="center"/>
          </w:tcPr>
          <w:p w14:paraId="59B37A54">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报价</w:t>
            </w:r>
          </w:p>
          <w:p w14:paraId="64EF1CC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51331F6A">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投标报价</w:t>
            </w:r>
          </w:p>
        </w:tc>
        <w:tc>
          <w:tcPr>
            <w:tcW w:w="720" w:type="dxa"/>
            <w:shd w:val="clear" w:color="auto" w:fill="FFFFFF"/>
            <w:vAlign w:val="center"/>
          </w:tcPr>
          <w:p w14:paraId="39602A8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分</w:t>
            </w:r>
          </w:p>
        </w:tc>
        <w:tc>
          <w:tcPr>
            <w:tcW w:w="5631" w:type="dxa"/>
            <w:shd w:val="clear" w:color="auto" w:fill="FFFFFF"/>
            <w:tcMar>
              <w:top w:w="0" w:type="dxa"/>
              <w:left w:w="108" w:type="dxa"/>
              <w:bottom w:w="0" w:type="dxa"/>
              <w:right w:w="108" w:type="dxa"/>
            </w:tcMar>
          </w:tcPr>
          <w:p w14:paraId="16F40E17">
            <w:pPr>
              <w:spacing w:line="340" w:lineRule="exact"/>
              <w:jc w:val="lef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rPr>
              <w:t>满足招标文件要求且投标价格最低的投标报价为评标基准价，其价格分为满分。其他投标人的价格分统一按照下列公式计算：投标报价得分=(评标基准价／投标报价)×</w:t>
            </w:r>
            <w:r>
              <w:rPr>
                <w:rFonts w:hint="eastAsia" w:ascii="仿宋" w:hAnsi="仿宋" w:eastAsia="仿宋" w:cs="仿宋"/>
                <w:color w:val="auto"/>
                <w:sz w:val="24"/>
                <w:highlight w:val="none"/>
                <w:lang w:val="en-US" w:eastAsia="zh-CN"/>
              </w:rPr>
              <w:t>15</w:t>
            </w:r>
            <w:r>
              <w:rPr>
                <w:rFonts w:hint="eastAsia" w:ascii="仿宋" w:hAnsi="仿宋" w:eastAsia="仿宋" w:cs="仿宋"/>
                <w:color w:val="auto"/>
                <w:sz w:val="24"/>
                <w:highlight w:val="none"/>
              </w:rPr>
              <w:t>（该结果四舍五入，保留两位小数）</w:t>
            </w:r>
          </w:p>
        </w:tc>
      </w:tr>
      <w:tr w14:paraId="03491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425" w:hRule="atLeast"/>
          <w:jc w:val="center"/>
        </w:trPr>
        <w:tc>
          <w:tcPr>
            <w:tcW w:w="447" w:type="dxa"/>
            <w:vMerge w:val="restart"/>
            <w:shd w:val="clear" w:color="auto" w:fill="FFFFFF"/>
            <w:tcMar>
              <w:top w:w="0" w:type="dxa"/>
              <w:left w:w="108" w:type="dxa"/>
              <w:bottom w:w="0" w:type="dxa"/>
              <w:right w:w="108" w:type="dxa"/>
            </w:tcMar>
            <w:vAlign w:val="center"/>
          </w:tcPr>
          <w:p w14:paraId="4D0D4E6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二</w:t>
            </w:r>
          </w:p>
        </w:tc>
        <w:tc>
          <w:tcPr>
            <w:tcW w:w="887" w:type="dxa"/>
            <w:vMerge w:val="restart"/>
            <w:shd w:val="clear" w:color="auto" w:fill="FFFFFF"/>
            <w:vAlign w:val="center"/>
          </w:tcPr>
          <w:p w14:paraId="0E1F810B">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服务方案</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55</w:t>
            </w:r>
            <w:r>
              <w:rPr>
                <w:rFonts w:hint="eastAsia" w:ascii="仿宋" w:hAnsi="仿宋" w:eastAsia="仿宋" w:cs="仿宋"/>
                <w:color w:val="auto"/>
                <w:sz w:val="24"/>
                <w:highlight w:val="none"/>
              </w:rPr>
              <w:t>分）</w:t>
            </w:r>
          </w:p>
        </w:tc>
        <w:tc>
          <w:tcPr>
            <w:tcW w:w="1273" w:type="dxa"/>
            <w:shd w:val="clear" w:color="auto" w:fill="FFFFFF"/>
            <w:tcMar>
              <w:top w:w="0" w:type="dxa"/>
              <w:left w:w="108" w:type="dxa"/>
              <w:bottom w:w="0" w:type="dxa"/>
              <w:right w:w="108" w:type="dxa"/>
            </w:tcMar>
            <w:vAlign w:val="center"/>
          </w:tcPr>
          <w:p w14:paraId="4352C27D">
            <w:pPr>
              <w:spacing w:line="360" w:lineRule="exact"/>
              <w:jc w:val="both"/>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1.多类型监测设备运维服务方案</w:t>
            </w:r>
          </w:p>
        </w:tc>
        <w:tc>
          <w:tcPr>
            <w:tcW w:w="720" w:type="dxa"/>
            <w:shd w:val="clear" w:color="auto" w:fill="FFFFFF"/>
            <w:vAlign w:val="center"/>
          </w:tcPr>
          <w:p w14:paraId="61922FF8">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分</w:t>
            </w:r>
          </w:p>
        </w:tc>
        <w:tc>
          <w:tcPr>
            <w:tcW w:w="5631" w:type="dxa"/>
            <w:shd w:val="clear" w:color="auto" w:fill="FFFFFF"/>
            <w:tcMar>
              <w:top w:w="0" w:type="dxa"/>
              <w:left w:w="108" w:type="dxa"/>
              <w:bottom w:w="0" w:type="dxa"/>
              <w:right w:w="108" w:type="dxa"/>
            </w:tcMar>
            <w:vAlign w:val="center"/>
          </w:tcPr>
          <w:p w14:paraId="42DF41E8">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投标人根据本项目第四章项目需求提供“多类型监测设备运维服务方案”。至少包含按照规范完成日常运行、维护保养、故障维修、备机替换、确保所有设备稳定运行等内容。</w:t>
            </w:r>
          </w:p>
          <w:p w14:paraId="1B195FF8">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方案优于项目需求的得10分，符合项目需求的得9分，不符合或未提供的不得分。</w:t>
            </w:r>
          </w:p>
          <w:p w14:paraId="44129EA3">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328CD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0993B810">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3BC9CB92">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783E7B7C">
            <w:pPr>
              <w:spacing w:line="360" w:lineRule="exact"/>
              <w:jc w:val="both"/>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2.分级分类运维管理实施方案</w:t>
            </w:r>
          </w:p>
        </w:tc>
        <w:tc>
          <w:tcPr>
            <w:tcW w:w="720" w:type="dxa"/>
            <w:shd w:val="clear" w:color="auto" w:fill="FFFFFF"/>
            <w:vAlign w:val="center"/>
          </w:tcPr>
          <w:p w14:paraId="29CC0909">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10分</w:t>
            </w:r>
          </w:p>
        </w:tc>
        <w:tc>
          <w:tcPr>
            <w:tcW w:w="5631" w:type="dxa"/>
            <w:shd w:val="clear" w:color="auto" w:fill="FFFFFF"/>
            <w:tcMar>
              <w:top w:w="0" w:type="dxa"/>
              <w:left w:w="108" w:type="dxa"/>
              <w:bottom w:w="0" w:type="dxa"/>
              <w:right w:w="108" w:type="dxa"/>
            </w:tcMar>
            <w:vAlign w:val="center"/>
          </w:tcPr>
          <w:p w14:paraId="278C8C20">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本项目第四章项目需求提供“分级分类运维管理实施方案”。至少包含按设备类型（标准空气站/VOCs监测系统/空气自动监测微站的分类管理）制定分级运维标准（周/月/半年/年定期维护的分级管理），明确各环节工作要求与频次等内容。</w:t>
            </w:r>
          </w:p>
          <w:p w14:paraId="3D4BC767">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方案优于项目需求的得10分，符合项目需求的得9分，不符合或未提供的不得分。</w:t>
            </w:r>
          </w:p>
          <w:p w14:paraId="3A0FC1D9">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8F9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752" w:hRule="atLeast"/>
          <w:jc w:val="center"/>
        </w:trPr>
        <w:tc>
          <w:tcPr>
            <w:tcW w:w="447" w:type="dxa"/>
            <w:vMerge w:val="continue"/>
            <w:shd w:val="clear" w:color="auto" w:fill="FFFFFF"/>
            <w:tcMar>
              <w:top w:w="0" w:type="dxa"/>
              <w:left w:w="108" w:type="dxa"/>
              <w:bottom w:w="0" w:type="dxa"/>
              <w:right w:w="108" w:type="dxa"/>
            </w:tcMar>
            <w:vAlign w:val="center"/>
          </w:tcPr>
          <w:p w14:paraId="607512C5">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09095413">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4F99D3A2">
            <w:pPr>
              <w:spacing w:line="360" w:lineRule="exact"/>
              <w:jc w:val="both"/>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3.质量控制与溯源保障方案</w:t>
            </w:r>
          </w:p>
        </w:tc>
        <w:tc>
          <w:tcPr>
            <w:tcW w:w="720" w:type="dxa"/>
            <w:shd w:val="clear" w:color="auto" w:fill="FFFFFF"/>
            <w:vAlign w:val="center"/>
          </w:tcPr>
          <w:p w14:paraId="0DA1A956">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10分</w:t>
            </w:r>
          </w:p>
        </w:tc>
        <w:tc>
          <w:tcPr>
            <w:tcW w:w="5631" w:type="dxa"/>
            <w:shd w:val="clear" w:color="auto" w:fill="FFFFFF"/>
            <w:tcMar>
              <w:top w:w="0" w:type="dxa"/>
              <w:left w:w="108" w:type="dxa"/>
              <w:bottom w:w="0" w:type="dxa"/>
              <w:right w:w="108" w:type="dxa"/>
            </w:tcMar>
            <w:vAlign w:val="center"/>
          </w:tcPr>
          <w:p w14:paraId="3D196340">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投标人根据本项目第四章项目需求提供“质量控制与溯源保障方案”。至少包含建立完善的质量管理体系，配备专职质控管理人员，严格落实量值溯源与日常质控要求等内容。</w:t>
            </w:r>
          </w:p>
          <w:p w14:paraId="73E53B08">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方案优于项目需求的得10分，符合项目需求的得9分，不符合或未提供的不得分。</w:t>
            </w:r>
          </w:p>
          <w:p w14:paraId="3CA7164A">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EAB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694" w:hRule="atLeast"/>
          <w:jc w:val="center"/>
        </w:trPr>
        <w:tc>
          <w:tcPr>
            <w:tcW w:w="447" w:type="dxa"/>
            <w:vMerge w:val="continue"/>
            <w:shd w:val="clear" w:color="auto" w:fill="FFFFFF"/>
            <w:tcMar>
              <w:top w:w="0" w:type="dxa"/>
              <w:left w:w="108" w:type="dxa"/>
              <w:bottom w:w="0" w:type="dxa"/>
              <w:right w:w="108" w:type="dxa"/>
            </w:tcMar>
            <w:vAlign w:val="center"/>
          </w:tcPr>
          <w:p w14:paraId="551BA822">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78A60735">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10E81858">
            <w:pPr>
              <w:spacing w:line="360" w:lineRule="exact"/>
              <w:jc w:val="both"/>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4.信息化保障与数据服务方案</w:t>
            </w:r>
          </w:p>
          <w:p w14:paraId="45338B0E">
            <w:pPr>
              <w:adjustRightInd w:val="0"/>
              <w:snapToGrid w:val="0"/>
              <w:jc w:val="both"/>
              <w:rPr>
                <w:rFonts w:hint="eastAsia" w:ascii="仿宋" w:hAnsi="仿宋" w:eastAsia="仿宋" w:cs="仿宋"/>
                <w:color w:val="auto"/>
                <w:kern w:val="2"/>
                <w:sz w:val="24"/>
                <w:szCs w:val="21"/>
                <w:highlight w:val="none"/>
                <w:lang w:val="en-US" w:eastAsia="zh-CN" w:bidi="ar-SA"/>
              </w:rPr>
            </w:pPr>
          </w:p>
        </w:tc>
        <w:tc>
          <w:tcPr>
            <w:tcW w:w="720" w:type="dxa"/>
            <w:shd w:val="clear" w:color="auto" w:fill="FFFFFF"/>
            <w:vAlign w:val="center"/>
          </w:tcPr>
          <w:p w14:paraId="4512C50E">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10分</w:t>
            </w:r>
          </w:p>
        </w:tc>
        <w:tc>
          <w:tcPr>
            <w:tcW w:w="5631" w:type="dxa"/>
            <w:shd w:val="clear" w:color="auto" w:fill="FFFFFF"/>
            <w:tcMar>
              <w:top w:w="0" w:type="dxa"/>
              <w:left w:w="108" w:type="dxa"/>
              <w:bottom w:w="0" w:type="dxa"/>
              <w:right w:w="108" w:type="dxa"/>
            </w:tcMar>
            <w:vAlign w:val="center"/>
          </w:tcPr>
          <w:p w14:paraId="28FAC178">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投标人根据本项目第四章项目需求提供“信息化保障与数据服务方案”。至少包含园区环境质量“一图总览”，环境数据统计分析，园区高值预警推送等内容。</w:t>
            </w:r>
          </w:p>
          <w:p w14:paraId="40491334">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方案优于项目需求的得10分，符合项目需求的得9分，不符合或未提供的不得分。</w:t>
            </w:r>
          </w:p>
          <w:p w14:paraId="4FD81892">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5C4D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028" w:hRule="atLeast"/>
          <w:jc w:val="center"/>
        </w:trPr>
        <w:tc>
          <w:tcPr>
            <w:tcW w:w="447" w:type="dxa"/>
            <w:vMerge w:val="continue"/>
            <w:shd w:val="clear" w:color="auto" w:fill="FFFFFF"/>
            <w:tcMar>
              <w:top w:w="0" w:type="dxa"/>
              <w:left w:w="108" w:type="dxa"/>
              <w:bottom w:w="0" w:type="dxa"/>
              <w:right w:w="108" w:type="dxa"/>
            </w:tcMar>
            <w:vAlign w:val="center"/>
          </w:tcPr>
          <w:p w14:paraId="4EC51697">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2933CB0B">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3DE2C620">
            <w:pPr>
              <w:spacing w:line="360" w:lineRule="exact"/>
              <w:jc w:val="both"/>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5.监督考核响应方案</w:t>
            </w:r>
          </w:p>
          <w:p w14:paraId="4C47A052">
            <w:pPr>
              <w:adjustRightInd w:val="0"/>
              <w:snapToGrid w:val="0"/>
              <w:jc w:val="both"/>
              <w:rPr>
                <w:rFonts w:hint="default" w:ascii="仿宋" w:hAnsi="仿宋" w:eastAsia="仿宋" w:cs="仿宋"/>
                <w:color w:val="auto"/>
                <w:kern w:val="2"/>
                <w:sz w:val="24"/>
                <w:szCs w:val="21"/>
                <w:highlight w:val="none"/>
                <w:lang w:val="en-US" w:eastAsia="zh-CN" w:bidi="ar-SA"/>
              </w:rPr>
            </w:pPr>
          </w:p>
        </w:tc>
        <w:tc>
          <w:tcPr>
            <w:tcW w:w="720" w:type="dxa"/>
            <w:shd w:val="clear" w:color="auto" w:fill="FFFFFF"/>
            <w:vAlign w:val="center"/>
          </w:tcPr>
          <w:p w14:paraId="2E56DCB4">
            <w:pPr>
              <w:spacing w:line="360" w:lineRule="exact"/>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10分</w:t>
            </w:r>
          </w:p>
        </w:tc>
        <w:tc>
          <w:tcPr>
            <w:tcW w:w="5631" w:type="dxa"/>
            <w:shd w:val="clear" w:color="auto" w:fill="FFFFFF"/>
            <w:tcMar>
              <w:top w:w="0" w:type="dxa"/>
              <w:left w:w="108" w:type="dxa"/>
              <w:bottom w:w="0" w:type="dxa"/>
              <w:right w:w="108" w:type="dxa"/>
            </w:tcMar>
            <w:vAlign w:val="center"/>
          </w:tcPr>
          <w:p w14:paraId="43048DF7">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本项目第四章项目需求提供“监督考核响应方案”。至少包含遵守采购方监督管理要求，接受采购方的质量检查与考核、针对考核中发现的问题及时整改，杜绝违规操作，确保运维工作符合规范等内容。</w:t>
            </w:r>
          </w:p>
          <w:p w14:paraId="58DBF6D9">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方案优于项目需求的得10分，符合项目需求的得9分，不符合或未提供的不得分。</w:t>
            </w:r>
          </w:p>
          <w:p w14:paraId="4B0E7DD9">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14382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028" w:hRule="atLeast"/>
          <w:jc w:val="center"/>
        </w:trPr>
        <w:tc>
          <w:tcPr>
            <w:tcW w:w="447" w:type="dxa"/>
            <w:vMerge w:val="continue"/>
            <w:shd w:val="clear" w:color="auto" w:fill="FFFFFF"/>
            <w:tcMar>
              <w:top w:w="0" w:type="dxa"/>
              <w:left w:w="108" w:type="dxa"/>
              <w:bottom w:w="0" w:type="dxa"/>
              <w:right w:w="108" w:type="dxa"/>
            </w:tcMar>
            <w:vAlign w:val="center"/>
          </w:tcPr>
          <w:p w14:paraId="7A398C76">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794CC7D9">
            <w:pPr>
              <w:spacing w:line="360" w:lineRule="exact"/>
              <w:jc w:val="center"/>
              <w:rPr>
                <w:rFonts w:hint="eastAsia" w:ascii="仿宋" w:hAnsi="仿宋" w:eastAsia="仿宋" w:cs="仿宋"/>
                <w:color w:val="auto"/>
                <w:sz w:val="24"/>
                <w:highlight w:val="none"/>
              </w:rPr>
            </w:pPr>
          </w:p>
        </w:tc>
        <w:tc>
          <w:tcPr>
            <w:tcW w:w="1273" w:type="dxa"/>
            <w:shd w:val="clear" w:color="auto" w:fill="FFFFFF"/>
            <w:tcMar>
              <w:top w:w="0" w:type="dxa"/>
              <w:left w:w="108" w:type="dxa"/>
              <w:bottom w:w="0" w:type="dxa"/>
              <w:right w:w="108" w:type="dxa"/>
            </w:tcMar>
            <w:vAlign w:val="center"/>
          </w:tcPr>
          <w:p w14:paraId="16901D30">
            <w:pPr>
              <w:spacing w:line="360" w:lineRule="exact"/>
              <w:jc w:val="both"/>
              <w:rPr>
                <w:rFonts w:hint="default"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6.人员、设备及安全保障方案</w:t>
            </w:r>
          </w:p>
        </w:tc>
        <w:tc>
          <w:tcPr>
            <w:tcW w:w="720" w:type="dxa"/>
            <w:shd w:val="clear" w:color="auto" w:fill="FFFFFF"/>
            <w:vAlign w:val="center"/>
          </w:tcPr>
          <w:p w14:paraId="656AF7A9">
            <w:pPr>
              <w:spacing w:line="360" w:lineRule="exact"/>
              <w:jc w:val="center"/>
              <w:rPr>
                <w:rFonts w:hint="default"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5分</w:t>
            </w:r>
          </w:p>
        </w:tc>
        <w:tc>
          <w:tcPr>
            <w:tcW w:w="5631" w:type="dxa"/>
            <w:shd w:val="clear" w:color="auto" w:fill="FFFFFF"/>
            <w:tcMar>
              <w:top w:w="0" w:type="dxa"/>
              <w:left w:w="108" w:type="dxa"/>
              <w:bottom w:w="0" w:type="dxa"/>
              <w:right w:w="108" w:type="dxa"/>
            </w:tcMar>
            <w:vAlign w:val="center"/>
          </w:tcPr>
          <w:p w14:paraId="1DE58233">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投标人根据本项目第四章项目需求提供“人员、设备及安全保障方案”。至少包含配齐配足运维资源，保障服务质量与安全，配合采购方更换不称职技术人员，无条件提供技术配合，规范操作流程，防范各类安全意外等内容。</w:t>
            </w:r>
          </w:p>
          <w:p w14:paraId="4E128679">
            <w:pPr>
              <w:spacing w:line="340" w:lineRule="exact"/>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方案优于项目需求的得5分，符合项目需求的得4分，不符合或未提供的不得分。</w:t>
            </w:r>
          </w:p>
          <w:p w14:paraId="430DC2E1">
            <w:pPr>
              <w:spacing w:line="340" w:lineRule="exact"/>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1"/>
                <w:highlight w:val="none"/>
                <w:lang w:val="en-US" w:eastAsia="zh-CN" w:bidi="ar-SA"/>
              </w:rPr>
              <w:t>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r>
      <w:tr w14:paraId="719C5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260" w:hRule="atLeast"/>
          <w:jc w:val="center"/>
        </w:trPr>
        <w:tc>
          <w:tcPr>
            <w:tcW w:w="447" w:type="dxa"/>
            <w:vMerge w:val="restart"/>
            <w:shd w:val="clear" w:color="auto" w:fill="FFFFFF"/>
            <w:tcMar>
              <w:top w:w="0" w:type="dxa"/>
              <w:left w:w="108" w:type="dxa"/>
              <w:bottom w:w="0" w:type="dxa"/>
              <w:right w:w="108" w:type="dxa"/>
            </w:tcMar>
            <w:vAlign w:val="center"/>
          </w:tcPr>
          <w:p w14:paraId="28ED061E">
            <w:pPr>
              <w:spacing w:line="360" w:lineRule="exact"/>
              <w:jc w:val="center"/>
              <w:rPr>
                <w:rFonts w:hint="eastAsia" w:ascii="仿宋" w:hAnsi="仿宋" w:eastAsia="仿宋" w:cs="仿宋"/>
                <w:color w:val="auto"/>
                <w:sz w:val="24"/>
                <w:highlight w:val="none"/>
              </w:rPr>
            </w:pPr>
          </w:p>
          <w:p w14:paraId="1E4AF671">
            <w:pPr>
              <w:spacing w:line="360" w:lineRule="exact"/>
              <w:jc w:val="center"/>
              <w:rPr>
                <w:rFonts w:hint="eastAsia" w:ascii="仿宋" w:hAnsi="仿宋" w:eastAsia="仿宋" w:cs="仿宋"/>
                <w:color w:val="auto"/>
                <w:sz w:val="24"/>
                <w:highlight w:val="none"/>
              </w:rPr>
            </w:pPr>
          </w:p>
          <w:p w14:paraId="6E778973">
            <w:pPr>
              <w:spacing w:line="360" w:lineRule="exact"/>
              <w:jc w:val="center"/>
              <w:rPr>
                <w:rFonts w:hint="eastAsia" w:ascii="仿宋" w:hAnsi="仿宋" w:eastAsia="仿宋" w:cs="仿宋"/>
                <w:color w:val="auto"/>
                <w:sz w:val="24"/>
                <w:highlight w:val="none"/>
              </w:rPr>
            </w:pPr>
          </w:p>
          <w:p w14:paraId="5F20EBF3">
            <w:pPr>
              <w:spacing w:line="360" w:lineRule="exact"/>
              <w:jc w:val="center"/>
              <w:rPr>
                <w:rFonts w:hint="eastAsia" w:ascii="仿宋" w:hAnsi="仿宋" w:eastAsia="仿宋" w:cs="仿宋"/>
                <w:color w:val="auto"/>
                <w:sz w:val="24"/>
                <w:highlight w:val="none"/>
              </w:rPr>
            </w:pPr>
          </w:p>
          <w:p w14:paraId="262C1EFD">
            <w:pPr>
              <w:spacing w:line="360" w:lineRule="exact"/>
              <w:jc w:val="center"/>
              <w:rPr>
                <w:rFonts w:hint="eastAsia" w:ascii="仿宋" w:hAnsi="仿宋" w:eastAsia="仿宋" w:cs="仿宋"/>
                <w:color w:val="auto"/>
                <w:sz w:val="24"/>
                <w:highlight w:val="none"/>
              </w:rPr>
            </w:pPr>
          </w:p>
          <w:p w14:paraId="5EDA99BC">
            <w:pPr>
              <w:spacing w:line="360" w:lineRule="exact"/>
              <w:jc w:val="center"/>
              <w:rPr>
                <w:rFonts w:hint="eastAsia" w:ascii="仿宋" w:hAnsi="仿宋" w:eastAsia="仿宋" w:cs="仿宋"/>
                <w:color w:val="auto"/>
                <w:sz w:val="24"/>
                <w:highlight w:val="none"/>
              </w:rPr>
            </w:pPr>
          </w:p>
          <w:p w14:paraId="286367EE">
            <w:pPr>
              <w:spacing w:line="360" w:lineRule="exact"/>
              <w:jc w:val="center"/>
              <w:rPr>
                <w:rFonts w:hint="eastAsia" w:ascii="仿宋" w:hAnsi="仿宋" w:eastAsia="仿宋" w:cs="仿宋"/>
                <w:color w:val="auto"/>
                <w:sz w:val="24"/>
                <w:highlight w:val="none"/>
              </w:rPr>
            </w:pPr>
          </w:p>
          <w:p w14:paraId="219CEB1B">
            <w:pPr>
              <w:spacing w:line="360" w:lineRule="exact"/>
              <w:jc w:val="center"/>
              <w:rPr>
                <w:rFonts w:hint="eastAsia" w:ascii="仿宋" w:hAnsi="仿宋" w:eastAsia="仿宋" w:cs="仿宋"/>
                <w:color w:val="auto"/>
                <w:sz w:val="24"/>
                <w:highlight w:val="none"/>
              </w:rPr>
            </w:pPr>
          </w:p>
          <w:p w14:paraId="1F1F6D57">
            <w:pPr>
              <w:spacing w:line="360" w:lineRule="exact"/>
              <w:jc w:val="center"/>
              <w:rPr>
                <w:rFonts w:hint="eastAsia" w:ascii="仿宋" w:hAnsi="仿宋" w:eastAsia="仿宋" w:cs="仿宋"/>
                <w:color w:val="auto"/>
                <w:sz w:val="24"/>
                <w:highlight w:val="none"/>
              </w:rPr>
            </w:pPr>
          </w:p>
          <w:p w14:paraId="512BAA74">
            <w:pPr>
              <w:spacing w:line="360" w:lineRule="exact"/>
              <w:jc w:val="center"/>
              <w:rPr>
                <w:rFonts w:hint="eastAsia" w:ascii="仿宋" w:hAnsi="仿宋" w:eastAsia="仿宋" w:cs="仿宋"/>
                <w:color w:val="auto"/>
                <w:sz w:val="24"/>
                <w:highlight w:val="none"/>
              </w:rPr>
            </w:pPr>
          </w:p>
          <w:p w14:paraId="47F6B461">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三</w:t>
            </w:r>
          </w:p>
        </w:tc>
        <w:tc>
          <w:tcPr>
            <w:tcW w:w="887" w:type="dxa"/>
            <w:vMerge w:val="restart"/>
            <w:shd w:val="clear" w:color="auto" w:fill="FFFFFF"/>
            <w:vAlign w:val="center"/>
          </w:tcPr>
          <w:p w14:paraId="719E25C4">
            <w:pPr>
              <w:spacing w:line="360" w:lineRule="exact"/>
              <w:jc w:val="center"/>
              <w:rPr>
                <w:rFonts w:hint="eastAsia" w:ascii="仿宋" w:hAnsi="仿宋" w:eastAsia="仿宋" w:cs="仿宋"/>
                <w:color w:val="auto"/>
                <w:sz w:val="24"/>
                <w:highlight w:val="none"/>
              </w:rPr>
            </w:pPr>
          </w:p>
          <w:p w14:paraId="12EC924C">
            <w:pPr>
              <w:spacing w:line="360" w:lineRule="exact"/>
              <w:jc w:val="center"/>
              <w:rPr>
                <w:rFonts w:hint="eastAsia" w:ascii="仿宋" w:hAnsi="仿宋" w:eastAsia="仿宋" w:cs="仿宋"/>
                <w:color w:val="auto"/>
                <w:sz w:val="24"/>
                <w:highlight w:val="none"/>
              </w:rPr>
            </w:pPr>
          </w:p>
          <w:p w14:paraId="79B48079">
            <w:pPr>
              <w:spacing w:line="360" w:lineRule="exact"/>
              <w:jc w:val="center"/>
              <w:rPr>
                <w:rFonts w:hint="eastAsia" w:ascii="仿宋" w:hAnsi="仿宋" w:eastAsia="仿宋" w:cs="仿宋"/>
                <w:color w:val="auto"/>
                <w:sz w:val="24"/>
                <w:highlight w:val="none"/>
              </w:rPr>
            </w:pPr>
          </w:p>
          <w:p w14:paraId="2CC60B80">
            <w:pPr>
              <w:spacing w:line="360" w:lineRule="exact"/>
              <w:jc w:val="center"/>
              <w:rPr>
                <w:rFonts w:hint="eastAsia" w:ascii="仿宋" w:hAnsi="仿宋" w:eastAsia="仿宋" w:cs="仿宋"/>
                <w:color w:val="auto"/>
                <w:sz w:val="24"/>
                <w:highlight w:val="none"/>
              </w:rPr>
            </w:pPr>
          </w:p>
          <w:p w14:paraId="1E42CDC3">
            <w:pPr>
              <w:spacing w:line="360" w:lineRule="exact"/>
              <w:jc w:val="center"/>
              <w:rPr>
                <w:rFonts w:hint="eastAsia" w:ascii="仿宋" w:hAnsi="仿宋" w:eastAsia="仿宋" w:cs="仿宋"/>
                <w:color w:val="auto"/>
                <w:sz w:val="24"/>
                <w:highlight w:val="none"/>
              </w:rPr>
            </w:pPr>
          </w:p>
          <w:p w14:paraId="29135090">
            <w:pPr>
              <w:spacing w:line="360" w:lineRule="exact"/>
              <w:jc w:val="center"/>
              <w:rPr>
                <w:rFonts w:hint="eastAsia" w:ascii="仿宋" w:hAnsi="仿宋" w:eastAsia="仿宋" w:cs="仿宋"/>
                <w:color w:val="auto"/>
                <w:sz w:val="24"/>
                <w:highlight w:val="none"/>
              </w:rPr>
            </w:pPr>
          </w:p>
          <w:p w14:paraId="560C33B9">
            <w:pPr>
              <w:spacing w:line="360" w:lineRule="exact"/>
              <w:jc w:val="center"/>
              <w:rPr>
                <w:rFonts w:hint="eastAsia" w:ascii="仿宋" w:hAnsi="仿宋" w:eastAsia="仿宋" w:cs="仿宋"/>
                <w:color w:val="auto"/>
                <w:sz w:val="24"/>
                <w:highlight w:val="none"/>
              </w:rPr>
            </w:pPr>
          </w:p>
          <w:p w14:paraId="0D1B397D">
            <w:pPr>
              <w:spacing w:line="360" w:lineRule="exact"/>
              <w:jc w:val="center"/>
              <w:rPr>
                <w:rFonts w:hint="eastAsia" w:ascii="仿宋" w:hAnsi="仿宋" w:eastAsia="仿宋" w:cs="仿宋"/>
                <w:color w:val="auto"/>
                <w:sz w:val="24"/>
                <w:highlight w:val="none"/>
              </w:rPr>
            </w:pPr>
          </w:p>
          <w:p w14:paraId="286B3CAF">
            <w:pPr>
              <w:spacing w:line="360" w:lineRule="exact"/>
              <w:jc w:val="center"/>
              <w:rPr>
                <w:rFonts w:hint="eastAsia" w:ascii="仿宋" w:hAnsi="仿宋" w:eastAsia="仿宋" w:cs="仿宋"/>
                <w:color w:val="auto"/>
                <w:sz w:val="24"/>
                <w:highlight w:val="none"/>
              </w:rPr>
            </w:pPr>
          </w:p>
          <w:p w14:paraId="47F6B492">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企业综合实力</w:t>
            </w:r>
          </w:p>
          <w:p w14:paraId="327CCDD3">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分）</w:t>
            </w:r>
          </w:p>
        </w:tc>
        <w:tc>
          <w:tcPr>
            <w:tcW w:w="1273" w:type="dxa"/>
            <w:shd w:val="clear" w:color="auto" w:fill="FFFFFF"/>
            <w:vAlign w:val="center"/>
          </w:tcPr>
          <w:p w14:paraId="5F80FF97">
            <w:pPr>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kern w:val="2"/>
                <w:sz w:val="24"/>
                <w:szCs w:val="21"/>
                <w:highlight w:val="none"/>
                <w:lang w:val="en-US" w:eastAsia="zh-CN" w:bidi="ar-SA"/>
              </w:rPr>
              <w:t>1.业绩合同</w:t>
            </w:r>
          </w:p>
        </w:tc>
        <w:tc>
          <w:tcPr>
            <w:tcW w:w="720" w:type="dxa"/>
            <w:shd w:val="clear" w:color="auto" w:fill="FFFFFF"/>
            <w:vAlign w:val="center"/>
          </w:tcPr>
          <w:p w14:paraId="34FBA99D">
            <w:pPr>
              <w:spacing w:line="360" w:lineRule="exact"/>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分</w:t>
            </w:r>
          </w:p>
        </w:tc>
        <w:tc>
          <w:tcPr>
            <w:tcW w:w="5631" w:type="dxa"/>
            <w:shd w:val="clear" w:color="auto" w:fill="FFFFFF"/>
            <w:tcMar>
              <w:top w:w="0" w:type="dxa"/>
              <w:left w:w="108" w:type="dxa"/>
              <w:bottom w:w="0" w:type="dxa"/>
              <w:right w:w="108" w:type="dxa"/>
            </w:tcMar>
            <w:vAlign w:val="top"/>
          </w:tcPr>
          <w:p w14:paraId="755C6C70">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投标人自2022年1月1日（含）至今（以合同签订时间为准），投标人承接过类似运维项目的（类似运维项目是指标准空气自动监测站运维项目、VOCs（GCMS）自动监测站运维项目）得基本分2分，每增加一个得2分，最多加4分，本项最多得6分。</w:t>
            </w:r>
          </w:p>
          <w:p w14:paraId="01B84D8C">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注：重复合同只计一次。</w:t>
            </w:r>
          </w:p>
          <w:p w14:paraId="53F12A4F">
            <w:pPr>
              <w:pStyle w:val="29"/>
              <w:spacing w:line="340" w:lineRule="exact"/>
              <w:ind w:firstLine="0" w:firstLineChars="0"/>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w:t>
            </w:r>
            <w:r>
              <w:rPr>
                <w:rFonts w:hint="eastAsia" w:ascii="仿宋" w:hAnsi="仿宋" w:eastAsia="仿宋" w:cs="仿宋"/>
                <w:color w:val="auto"/>
                <w:kern w:val="2"/>
                <w:sz w:val="24"/>
                <w:szCs w:val="21"/>
                <w:highlight w:val="yellow"/>
                <w:lang w:val="en-US" w:eastAsia="zh-CN" w:bidi="ar-SA"/>
              </w:rPr>
              <w:t>须提供业绩合同</w:t>
            </w:r>
            <w:r>
              <w:rPr>
                <w:rFonts w:hint="eastAsia" w:ascii="仿宋" w:hAnsi="仿宋" w:cs="仿宋"/>
                <w:color w:val="auto"/>
                <w:kern w:val="2"/>
                <w:sz w:val="24"/>
                <w:szCs w:val="21"/>
                <w:highlight w:val="yellow"/>
                <w:lang w:val="en-US" w:eastAsia="zh-CN" w:bidi="ar-SA"/>
              </w:rPr>
              <w:t>原件扫描件</w:t>
            </w:r>
            <w:r>
              <w:rPr>
                <w:rFonts w:hint="eastAsia" w:ascii="仿宋" w:hAnsi="仿宋" w:eastAsia="仿宋" w:cs="仿宋"/>
                <w:color w:val="auto"/>
                <w:kern w:val="2"/>
                <w:sz w:val="24"/>
                <w:szCs w:val="21"/>
                <w:highlight w:val="yellow"/>
                <w:lang w:val="en-US" w:eastAsia="zh-CN" w:bidi="ar-SA"/>
              </w:rPr>
              <w:t>加盖公章</w:t>
            </w:r>
            <w:r>
              <w:rPr>
                <w:rFonts w:hint="eastAsia" w:ascii="仿宋" w:hAnsi="仿宋" w:eastAsia="仿宋" w:cs="仿宋"/>
                <w:color w:val="auto"/>
                <w:kern w:val="2"/>
                <w:sz w:val="24"/>
                <w:szCs w:val="21"/>
                <w:highlight w:val="none"/>
                <w:lang w:val="en-US" w:eastAsia="zh-CN" w:bidi="ar-SA"/>
              </w:rPr>
              <w:t>。</w:t>
            </w:r>
            <w:r>
              <w:rPr>
                <w:rFonts w:hint="eastAsia" w:ascii="仿宋" w:hAnsi="仿宋" w:cs="仿宋"/>
                <w:color w:val="auto"/>
                <w:kern w:val="2"/>
                <w:sz w:val="24"/>
                <w:szCs w:val="21"/>
                <w:highlight w:val="none"/>
                <w:lang w:val="en-US" w:eastAsia="zh-CN" w:bidi="ar-SA"/>
              </w:rPr>
              <w:t>上述材料</w:t>
            </w:r>
            <w:r>
              <w:rPr>
                <w:rFonts w:hint="eastAsia" w:ascii="仿宋" w:hAnsi="仿宋" w:eastAsia="仿宋" w:cs="仿宋"/>
                <w:color w:val="auto"/>
                <w:kern w:val="2"/>
                <w:sz w:val="24"/>
                <w:szCs w:val="21"/>
                <w:highlight w:val="none"/>
                <w:lang w:val="en-US" w:eastAsia="zh-CN" w:bidi="ar-SA"/>
              </w:rPr>
              <w:t>中承接方需与投标人名称一致，否则不予计分。）</w:t>
            </w:r>
          </w:p>
        </w:tc>
      </w:tr>
      <w:tr w14:paraId="1BFEF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58" w:hRule="atLeast"/>
          <w:jc w:val="center"/>
        </w:trPr>
        <w:tc>
          <w:tcPr>
            <w:tcW w:w="447" w:type="dxa"/>
            <w:vMerge w:val="continue"/>
            <w:shd w:val="clear" w:color="auto" w:fill="FFFFFF"/>
            <w:tcMar>
              <w:top w:w="0" w:type="dxa"/>
              <w:left w:w="108" w:type="dxa"/>
              <w:bottom w:w="0" w:type="dxa"/>
              <w:right w:w="108" w:type="dxa"/>
            </w:tcMar>
            <w:vAlign w:val="center"/>
          </w:tcPr>
          <w:p w14:paraId="75990B71">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1622DC43">
            <w:pPr>
              <w:spacing w:line="360" w:lineRule="exact"/>
              <w:jc w:val="center"/>
              <w:rPr>
                <w:rFonts w:hint="eastAsia" w:ascii="仿宋" w:hAnsi="仿宋" w:eastAsia="仿宋" w:cs="仿宋"/>
                <w:color w:val="auto"/>
                <w:sz w:val="24"/>
                <w:highlight w:val="none"/>
              </w:rPr>
            </w:pPr>
          </w:p>
        </w:tc>
        <w:tc>
          <w:tcPr>
            <w:tcW w:w="1273" w:type="dxa"/>
            <w:shd w:val="clear" w:color="auto" w:fill="FFFFFF"/>
            <w:vAlign w:val="center"/>
          </w:tcPr>
          <w:p w14:paraId="78C3DC41">
            <w:pPr>
              <w:adjustRightInd w:val="0"/>
              <w:snapToGrid w:val="0"/>
              <w:jc w:val="center"/>
              <w:rPr>
                <w:rFonts w:hint="eastAsia" w:ascii="仿宋" w:hAnsi="仿宋" w:eastAsia="仿宋" w:cs="仿宋"/>
                <w:color w:val="auto"/>
                <w:sz w:val="24"/>
                <w:highlight w:val="none"/>
              </w:rPr>
            </w:pPr>
            <w:r>
              <w:rPr>
                <w:rFonts w:hint="eastAsia" w:ascii="仿宋" w:hAnsi="仿宋" w:eastAsia="仿宋" w:cs="仿宋"/>
                <w:color w:val="auto"/>
                <w:kern w:val="2"/>
                <w:sz w:val="24"/>
                <w:szCs w:val="21"/>
                <w:highlight w:val="none"/>
                <w:lang w:val="en-US" w:eastAsia="zh-CN" w:bidi="ar-SA"/>
              </w:rPr>
              <w:t>2.企业资质</w:t>
            </w:r>
          </w:p>
        </w:tc>
        <w:tc>
          <w:tcPr>
            <w:tcW w:w="720" w:type="dxa"/>
            <w:shd w:val="clear" w:color="auto" w:fill="FFFFFF"/>
            <w:vAlign w:val="center"/>
          </w:tcPr>
          <w:p w14:paraId="5952D110">
            <w:pPr>
              <w:spacing w:line="36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3</w:t>
            </w:r>
            <w:r>
              <w:rPr>
                <w:rFonts w:hint="eastAsia" w:ascii="仿宋" w:hAnsi="仿宋" w:eastAsia="仿宋" w:cs="仿宋"/>
                <w:color w:val="auto"/>
                <w:sz w:val="24"/>
                <w:highlight w:val="none"/>
              </w:rPr>
              <w:t>分</w:t>
            </w:r>
          </w:p>
        </w:tc>
        <w:tc>
          <w:tcPr>
            <w:tcW w:w="5631" w:type="dxa"/>
            <w:shd w:val="clear" w:color="auto" w:fill="FFFFFF"/>
            <w:tcMar>
              <w:top w:w="0" w:type="dxa"/>
              <w:left w:w="108" w:type="dxa"/>
              <w:bottom w:w="0" w:type="dxa"/>
              <w:right w:w="108" w:type="dxa"/>
            </w:tcMar>
            <w:vAlign w:val="top"/>
          </w:tcPr>
          <w:p w14:paraId="728FBD98">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投标人具有质量管理体系认证证书，环境管理体系认证证书，职业健康安全管理体系认证证书，每提供一个得1分，本项最多得3分。</w:t>
            </w:r>
          </w:p>
          <w:p w14:paraId="441DCB39">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color w:val="auto"/>
                <w:sz w:val="24"/>
                <w:highlight w:val="none"/>
                <w:lang w:val="en-US" w:eastAsia="zh-CN"/>
              </w:rPr>
            </w:pPr>
            <w:r>
              <w:rPr>
                <w:rFonts w:hint="eastAsia" w:ascii="仿宋" w:hAnsi="仿宋" w:eastAsia="仿宋" w:cs="仿宋"/>
                <w:bCs/>
                <w:color w:val="auto"/>
                <w:sz w:val="24"/>
                <w:szCs w:val="24"/>
                <w:highlight w:val="none"/>
                <w:lang w:val="en-US" w:eastAsia="zh-CN"/>
              </w:rPr>
              <w:t>（提供证书原件彩色扫描件及加盖投标人公章的中国认监委网站（http://www.cnca.gov.cn/）查询截图，</w:t>
            </w:r>
            <w:r>
              <w:rPr>
                <w:rFonts w:hint="eastAsia" w:ascii="仿宋" w:hAnsi="仿宋" w:eastAsia="仿宋" w:cs="仿宋"/>
                <w:bCs/>
                <w:color w:val="auto"/>
                <w:kern w:val="2"/>
                <w:sz w:val="24"/>
                <w:szCs w:val="24"/>
                <w:highlight w:val="none"/>
                <w:lang w:val="en-US" w:eastAsia="zh-CN" w:bidi="ar-SA"/>
              </w:rPr>
              <w:t>不提供不得分</w:t>
            </w:r>
            <w:r>
              <w:rPr>
                <w:rFonts w:hint="eastAsia" w:ascii="仿宋" w:hAnsi="仿宋" w:eastAsia="仿宋" w:cs="仿宋"/>
                <w:bCs/>
                <w:color w:val="auto"/>
                <w:sz w:val="24"/>
                <w:szCs w:val="24"/>
                <w:highlight w:val="none"/>
                <w:lang w:val="en-US" w:eastAsia="zh-CN"/>
              </w:rPr>
              <w:t>。）</w:t>
            </w:r>
          </w:p>
        </w:tc>
      </w:tr>
      <w:tr w14:paraId="78E17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1158" w:hRule="atLeast"/>
          <w:jc w:val="center"/>
        </w:trPr>
        <w:tc>
          <w:tcPr>
            <w:tcW w:w="447" w:type="dxa"/>
            <w:vMerge w:val="continue"/>
            <w:shd w:val="clear" w:color="auto" w:fill="FFFFFF"/>
            <w:tcMar>
              <w:top w:w="0" w:type="dxa"/>
              <w:left w:w="108" w:type="dxa"/>
              <w:bottom w:w="0" w:type="dxa"/>
              <w:right w:w="108" w:type="dxa"/>
            </w:tcMar>
            <w:vAlign w:val="center"/>
          </w:tcPr>
          <w:p w14:paraId="13B3E469">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69145071">
            <w:pPr>
              <w:spacing w:line="360" w:lineRule="exact"/>
              <w:jc w:val="center"/>
              <w:rPr>
                <w:rFonts w:hint="eastAsia" w:ascii="仿宋" w:hAnsi="仿宋" w:eastAsia="仿宋" w:cs="仿宋"/>
                <w:color w:val="auto"/>
                <w:sz w:val="24"/>
                <w:highlight w:val="none"/>
              </w:rPr>
            </w:pPr>
          </w:p>
        </w:tc>
        <w:tc>
          <w:tcPr>
            <w:tcW w:w="1273" w:type="dxa"/>
            <w:shd w:val="clear" w:color="auto" w:fill="FFFFFF"/>
            <w:vAlign w:val="center"/>
          </w:tcPr>
          <w:p w14:paraId="2B54A3E0">
            <w:pPr>
              <w:adjustRightInd w:val="0"/>
              <w:snapToGrid w:val="0"/>
              <w:jc w:val="center"/>
              <w:rPr>
                <w:rFonts w:hint="eastAsia" w:ascii="仿宋" w:hAnsi="仿宋" w:eastAsia="仿宋" w:cs="仿宋"/>
                <w:color w:val="auto"/>
                <w:kern w:val="2"/>
                <w:sz w:val="24"/>
                <w:szCs w:val="21"/>
                <w:highlight w:val="none"/>
                <w:lang w:val="en-US" w:eastAsia="zh-CN" w:bidi="ar-SA"/>
              </w:rPr>
            </w:pPr>
            <w:r>
              <w:rPr>
                <w:rFonts w:hint="eastAsia" w:ascii="仿宋" w:hAnsi="仿宋" w:eastAsia="仿宋" w:cs="仿宋"/>
                <w:color w:val="auto"/>
                <w:kern w:val="2"/>
                <w:sz w:val="24"/>
                <w:szCs w:val="21"/>
                <w:highlight w:val="none"/>
                <w:lang w:val="en-US" w:eastAsia="zh-CN" w:bidi="ar-SA"/>
              </w:rPr>
              <w:t>3</w:t>
            </w:r>
            <w:r>
              <w:rPr>
                <w:rFonts w:hint="eastAsia" w:ascii="仿宋" w:hAnsi="仿宋" w:eastAsia="仿宋" w:cs="仿宋"/>
                <w:color w:val="auto"/>
                <w:kern w:val="2"/>
                <w:sz w:val="24"/>
                <w:szCs w:val="21"/>
                <w:highlight w:val="yellow"/>
                <w:lang w:val="en-US" w:eastAsia="zh-CN" w:bidi="ar-SA"/>
              </w:rPr>
              <w:t>.CMA实验室</w:t>
            </w:r>
          </w:p>
        </w:tc>
        <w:tc>
          <w:tcPr>
            <w:tcW w:w="720" w:type="dxa"/>
            <w:shd w:val="clear" w:color="auto" w:fill="FFFFFF"/>
            <w:vAlign w:val="center"/>
          </w:tcPr>
          <w:p w14:paraId="412DEF9D">
            <w:pPr>
              <w:spacing w:line="36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4分</w:t>
            </w:r>
          </w:p>
        </w:tc>
        <w:tc>
          <w:tcPr>
            <w:tcW w:w="5631" w:type="dxa"/>
            <w:shd w:val="clear" w:color="auto" w:fill="FFFFFF"/>
            <w:tcMar>
              <w:top w:w="0" w:type="dxa"/>
              <w:left w:w="108" w:type="dxa"/>
              <w:bottom w:w="0" w:type="dxa"/>
              <w:right w:w="108" w:type="dxa"/>
            </w:tcMar>
            <w:vAlign w:val="top"/>
          </w:tcPr>
          <w:p w14:paraId="7501A6C1">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投标人自有用于质量控制的CMA实验室的得4分；投标人自身无实验室，但有委托相关认证实验室（需提供服务期包含本次运维周期的委托协议）的得2分。实验室认证范围需包含：</w:t>
            </w:r>
            <w:r>
              <w:rPr>
                <w:rFonts w:hint="eastAsia" w:ascii="仿宋" w:hAnsi="仿宋" w:eastAsia="仿宋" w:cs="仿宋"/>
                <w:bCs/>
                <w:color w:val="0000FF"/>
                <w:sz w:val="24"/>
                <w:szCs w:val="24"/>
                <w:highlight w:val="none"/>
                <w:lang w:val="en-US" w:eastAsia="zh-CN"/>
              </w:rPr>
              <w:t>空气：SO2、NOx、CO、O3、PM2.5、PM10、挥发性有机物；</w:t>
            </w:r>
            <w:r>
              <w:rPr>
                <w:rFonts w:hint="eastAsia" w:ascii="仿宋" w:hAnsi="仿宋" w:eastAsia="仿宋" w:cs="仿宋"/>
                <w:bCs/>
                <w:color w:val="auto"/>
                <w:sz w:val="24"/>
                <w:szCs w:val="24"/>
                <w:highlight w:val="none"/>
                <w:lang w:val="en-US" w:eastAsia="zh-CN"/>
              </w:rPr>
              <w:t>本项最多得4分。</w:t>
            </w:r>
          </w:p>
          <w:p w14:paraId="77B2B9C4">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color w:val="auto"/>
                <w:kern w:val="2"/>
                <w:sz w:val="24"/>
                <w:szCs w:val="21"/>
                <w:highlight w:val="none"/>
                <w:lang w:val="en-US" w:eastAsia="zh-CN" w:bidi="ar-SA"/>
              </w:rPr>
              <w:t>（自有的须提供实验室资质证书及涵盖本项目指标的计量认证复印件加盖公章，委托的须提供委托协议及被委托单位实验室资质证书及涵盖本项目指标的计量认证复印件加盖公章，未提供不得分）。</w:t>
            </w:r>
          </w:p>
        </w:tc>
      </w:tr>
      <w:tr w14:paraId="52283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99" w:hRule="atLeast"/>
          <w:jc w:val="center"/>
        </w:trPr>
        <w:tc>
          <w:tcPr>
            <w:tcW w:w="447" w:type="dxa"/>
            <w:vMerge w:val="continue"/>
            <w:shd w:val="clear" w:color="auto" w:fill="FFFFFF"/>
            <w:tcMar>
              <w:top w:w="0" w:type="dxa"/>
              <w:left w:w="108" w:type="dxa"/>
              <w:bottom w:w="0" w:type="dxa"/>
              <w:right w:w="108" w:type="dxa"/>
            </w:tcMar>
            <w:vAlign w:val="center"/>
          </w:tcPr>
          <w:p w14:paraId="2BD3051E">
            <w:pPr>
              <w:spacing w:line="360" w:lineRule="exact"/>
              <w:jc w:val="center"/>
              <w:rPr>
                <w:rFonts w:hint="eastAsia" w:ascii="仿宋" w:hAnsi="仿宋" w:eastAsia="仿宋" w:cs="仿宋"/>
                <w:color w:val="auto"/>
                <w:sz w:val="24"/>
                <w:highlight w:val="none"/>
              </w:rPr>
            </w:pPr>
          </w:p>
        </w:tc>
        <w:tc>
          <w:tcPr>
            <w:tcW w:w="887" w:type="dxa"/>
            <w:vMerge w:val="continue"/>
            <w:shd w:val="clear" w:color="auto" w:fill="FFFFFF"/>
            <w:vAlign w:val="center"/>
          </w:tcPr>
          <w:p w14:paraId="29F28AB5">
            <w:pPr>
              <w:spacing w:line="360" w:lineRule="exact"/>
              <w:jc w:val="center"/>
              <w:rPr>
                <w:rFonts w:hint="eastAsia" w:ascii="仿宋" w:hAnsi="仿宋" w:eastAsia="仿宋" w:cs="仿宋"/>
                <w:color w:val="auto"/>
                <w:sz w:val="24"/>
                <w:highlight w:val="none"/>
              </w:rPr>
            </w:pPr>
          </w:p>
        </w:tc>
        <w:tc>
          <w:tcPr>
            <w:tcW w:w="1273" w:type="dxa"/>
            <w:shd w:val="clear" w:color="auto" w:fill="FFFFFF"/>
            <w:vAlign w:val="center"/>
          </w:tcPr>
          <w:p w14:paraId="1E42AADE">
            <w:pPr>
              <w:spacing w:line="360" w:lineRule="exact"/>
              <w:jc w:val="center"/>
              <w:rPr>
                <w:rFonts w:hint="eastAsia" w:cs="Times New Roman"/>
                <w:sz w:val="21"/>
                <w:szCs w:val="21"/>
                <w:lang w:val="en-US" w:eastAsia="zh-CN"/>
              </w:rPr>
            </w:pPr>
          </w:p>
          <w:p w14:paraId="359A6B5B">
            <w:pPr>
              <w:adjustRightInd w:val="0"/>
              <w:snapToGrid w:val="0"/>
              <w:jc w:val="both"/>
              <w:rPr>
                <w:rFonts w:hint="eastAsia" w:ascii="仿宋" w:hAnsi="仿宋" w:eastAsia="仿宋" w:cs="仿宋"/>
                <w:color w:val="auto"/>
                <w:sz w:val="24"/>
                <w:highlight w:val="none"/>
                <w:lang w:val="en-US" w:eastAsia="zh-CN"/>
              </w:rPr>
            </w:pPr>
            <w:r>
              <w:rPr>
                <w:rFonts w:hint="eastAsia" w:ascii="仿宋" w:hAnsi="仿宋" w:eastAsia="仿宋" w:cs="仿宋"/>
                <w:color w:val="auto"/>
                <w:kern w:val="2"/>
                <w:sz w:val="24"/>
                <w:szCs w:val="21"/>
                <w:highlight w:val="yellow"/>
                <w:lang w:val="en-US" w:eastAsia="zh-CN" w:bidi="ar-SA"/>
              </w:rPr>
              <w:t>4.项目实施团队</w:t>
            </w:r>
          </w:p>
        </w:tc>
        <w:tc>
          <w:tcPr>
            <w:tcW w:w="720" w:type="dxa"/>
            <w:shd w:val="clear" w:color="auto" w:fill="FFFFFF"/>
            <w:vAlign w:val="center"/>
          </w:tcPr>
          <w:p w14:paraId="71F7632B">
            <w:pPr>
              <w:spacing w:line="360" w:lineRule="exact"/>
              <w:jc w:val="center"/>
              <w:rPr>
                <w:rFonts w:hint="eastAsia" w:ascii="仿宋" w:hAnsi="仿宋" w:eastAsia="仿宋" w:cs="仿宋"/>
                <w:color w:val="auto"/>
                <w:sz w:val="24"/>
                <w:highlight w:val="none"/>
                <w:lang w:val="en-US" w:eastAsia="zh-CN"/>
              </w:rPr>
            </w:pPr>
          </w:p>
          <w:p w14:paraId="288D55D1">
            <w:pPr>
              <w:spacing w:line="360" w:lineRule="exact"/>
              <w:jc w:val="center"/>
              <w:rPr>
                <w:rFonts w:hint="eastAsia" w:ascii="仿宋" w:hAnsi="仿宋" w:eastAsia="仿宋" w:cs="仿宋"/>
                <w:color w:val="auto"/>
                <w:sz w:val="24"/>
                <w:highlight w:val="none"/>
                <w:lang w:val="en-US" w:eastAsia="zh-CN"/>
              </w:rPr>
            </w:pPr>
          </w:p>
          <w:p w14:paraId="5BFE241E">
            <w:pPr>
              <w:spacing w:line="360" w:lineRule="exact"/>
              <w:jc w:val="center"/>
              <w:rPr>
                <w:rFonts w:hint="eastAsia" w:ascii="仿宋" w:hAnsi="仿宋" w:eastAsia="仿宋" w:cs="仿宋"/>
                <w:color w:val="auto"/>
                <w:sz w:val="24"/>
                <w:highlight w:val="none"/>
                <w:lang w:val="en-US" w:eastAsia="zh-CN"/>
              </w:rPr>
            </w:pPr>
          </w:p>
          <w:p w14:paraId="7AE7C399">
            <w:pPr>
              <w:spacing w:line="360" w:lineRule="exact"/>
              <w:jc w:val="center"/>
              <w:rPr>
                <w:rFonts w:hint="eastAsia" w:ascii="仿宋" w:hAnsi="仿宋" w:eastAsia="仿宋" w:cs="仿宋"/>
                <w:color w:val="auto"/>
                <w:sz w:val="24"/>
                <w:highlight w:val="none"/>
                <w:lang w:val="en-US" w:eastAsia="zh-CN"/>
              </w:rPr>
            </w:pPr>
          </w:p>
          <w:p w14:paraId="08C2C27C">
            <w:pPr>
              <w:spacing w:line="36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12分</w:t>
            </w:r>
          </w:p>
        </w:tc>
        <w:tc>
          <w:tcPr>
            <w:tcW w:w="5631" w:type="dxa"/>
            <w:shd w:val="clear" w:color="auto" w:fill="FFFFFF"/>
            <w:tcMar>
              <w:top w:w="0" w:type="dxa"/>
              <w:left w:w="108" w:type="dxa"/>
              <w:bottom w:w="0" w:type="dxa"/>
              <w:right w:w="108" w:type="dxa"/>
            </w:tcMar>
            <w:vAlign w:val="top"/>
          </w:tcPr>
          <w:p w14:paraId="6F13C872">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cs="Times New Roman"/>
                <w:sz w:val="22"/>
                <w:szCs w:val="22"/>
              </w:rPr>
              <w:t>1</w:t>
            </w:r>
            <w:r>
              <w:rPr>
                <w:rFonts w:hint="eastAsia" w:ascii="仿宋" w:hAnsi="仿宋" w:eastAsia="仿宋" w:cs="仿宋"/>
                <w:bCs/>
                <w:color w:val="auto"/>
                <w:sz w:val="24"/>
                <w:szCs w:val="24"/>
                <w:highlight w:val="none"/>
                <w:lang w:val="en-US" w:eastAsia="zh-CN"/>
              </w:rPr>
              <w:t>、拟投入的项目负责人</w:t>
            </w:r>
            <w:r>
              <w:rPr>
                <w:rFonts w:hint="eastAsia" w:ascii="仿宋" w:hAnsi="仿宋" w:eastAsia="仿宋" w:cs="仿宋"/>
                <w:bCs/>
                <w:color w:val="0000FF"/>
                <w:sz w:val="24"/>
                <w:szCs w:val="24"/>
                <w:highlight w:val="none"/>
                <w:lang w:val="en-US" w:eastAsia="zh-CN"/>
              </w:rPr>
              <w:t>具备中国环境监测总站或省级生态环境监测部门</w:t>
            </w:r>
            <w:r>
              <w:rPr>
                <w:rFonts w:hint="eastAsia" w:ascii="仿宋" w:hAnsi="仿宋" w:eastAsia="仿宋" w:cs="仿宋"/>
                <w:bCs/>
                <w:color w:val="auto"/>
                <w:sz w:val="24"/>
                <w:szCs w:val="24"/>
                <w:highlight w:val="none"/>
                <w:lang w:val="en-US" w:eastAsia="zh-CN"/>
              </w:rPr>
              <w:t>颁发的空气自动监测培训合格证和环境空气挥发性有机物自动监测培训班合格证的得2分；</w:t>
            </w:r>
            <w:r>
              <w:rPr>
                <w:rFonts w:hint="eastAsia" w:ascii="仿宋" w:hAnsi="仿宋" w:eastAsia="仿宋" w:cs="仿宋"/>
                <w:bCs/>
                <w:color w:val="0000FF"/>
                <w:sz w:val="24"/>
                <w:szCs w:val="24"/>
                <w:highlight w:val="none"/>
                <w:lang w:val="en-US" w:eastAsia="zh-CN"/>
              </w:rPr>
              <w:t>拟投入的项目负责人具备环境类中级专业技术职称的加1分,具备环境类高级及以上专业技术职称的加2分</w:t>
            </w:r>
            <w:r>
              <w:rPr>
                <w:rFonts w:hint="eastAsia" w:ascii="仿宋" w:hAnsi="仿宋" w:eastAsia="仿宋" w:cs="仿宋"/>
                <w:bCs/>
                <w:color w:val="auto"/>
                <w:sz w:val="24"/>
                <w:szCs w:val="24"/>
                <w:highlight w:val="none"/>
                <w:lang w:val="en-US" w:eastAsia="zh-CN"/>
              </w:rPr>
              <w:t>。本项最高得4分。</w:t>
            </w:r>
          </w:p>
          <w:p w14:paraId="324FCC21">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2、投标人拟投入该项目的运维人员（项目负责人除外）中具备中国环境监测总站或</w:t>
            </w:r>
            <w:r>
              <w:rPr>
                <w:rFonts w:hint="eastAsia" w:ascii="仿宋" w:hAnsi="仿宋" w:eastAsia="仿宋" w:cs="仿宋"/>
                <w:bCs/>
                <w:color w:val="0000FF"/>
                <w:sz w:val="24"/>
                <w:szCs w:val="24"/>
                <w:highlight w:val="none"/>
                <w:lang w:val="en-US" w:eastAsia="zh-CN"/>
              </w:rPr>
              <w:t>省级生态环境监测部门颁</w:t>
            </w:r>
            <w:r>
              <w:rPr>
                <w:rFonts w:hint="eastAsia" w:ascii="仿宋" w:hAnsi="仿宋" w:eastAsia="仿宋" w:cs="仿宋"/>
                <w:bCs/>
                <w:color w:val="auto"/>
                <w:sz w:val="24"/>
                <w:szCs w:val="24"/>
                <w:highlight w:val="none"/>
                <w:lang w:val="en-US" w:eastAsia="zh-CN"/>
              </w:rPr>
              <w:t>发的空气自动监测培训合格证，每提供1人得1分，最高得3分；具备中国环境监测总站或</w:t>
            </w:r>
            <w:r>
              <w:rPr>
                <w:rFonts w:hint="eastAsia" w:ascii="仿宋" w:hAnsi="仿宋" w:eastAsia="仿宋" w:cs="仿宋"/>
                <w:bCs/>
                <w:color w:val="0000FF"/>
                <w:sz w:val="24"/>
                <w:szCs w:val="24"/>
                <w:highlight w:val="none"/>
                <w:lang w:val="en-US" w:eastAsia="zh-CN"/>
              </w:rPr>
              <w:t>省级生态环境监测部门颁</w:t>
            </w:r>
            <w:r>
              <w:rPr>
                <w:rFonts w:hint="eastAsia" w:ascii="仿宋" w:hAnsi="仿宋" w:eastAsia="仿宋" w:cs="仿宋"/>
                <w:bCs/>
                <w:color w:val="auto"/>
                <w:sz w:val="24"/>
                <w:szCs w:val="24"/>
                <w:highlight w:val="none"/>
                <w:lang w:val="en-US" w:eastAsia="zh-CN"/>
              </w:rPr>
              <w:t>发的环境空气挥发性有机物自动监测培训班合格证，每提供1人得1分，最高得3分。本项最高得6分。</w:t>
            </w:r>
          </w:p>
          <w:p w14:paraId="4C3A9F85">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3.数据审核和数据分析人员</w:t>
            </w:r>
            <w:r>
              <w:rPr>
                <w:rFonts w:hint="eastAsia" w:ascii="仿宋" w:hAnsi="仿宋" w:eastAsia="仿宋" w:cs="仿宋"/>
                <w:bCs/>
                <w:color w:val="0000FF"/>
                <w:sz w:val="24"/>
                <w:szCs w:val="24"/>
                <w:highlight w:val="none"/>
                <w:lang w:val="en-US" w:eastAsia="zh-CN"/>
              </w:rPr>
              <w:t>具备中国环境监测总站或省级生态环境监测部门</w:t>
            </w:r>
            <w:r>
              <w:rPr>
                <w:rFonts w:hint="eastAsia" w:ascii="仿宋" w:hAnsi="仿宋" w:eastAsia="仿宋" w:cs="仿宋"/>
                <w:bCs/>
                <w:color w:val="auto"/>
                <w:sz w:val="24"/>
                <w:szCs w:val="24"/>
                <w:highlight w:val="none"/>
                <w:lang w:val="en-US" w:eastAsia="zh-CN"/>
              </w:rPr>
              <w:t>颁发的空气自动监测培训合格证和环境空气挥发性有机物自动监测培训班合格证的得2分。本项最高得2分。</w:t>
            </w:r>
          </w:p>
          <w:p w14:paraId="5C393F26">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（注：</w:t>
            </w:r>
            <w:r>
              <w:rPr>
                <w:rFonts w:hint="eastAsia" w:ascii="仿宋" w:hAnsi="仿宋" w:eastAsia="仿宋" w:cs="仿宋"/>
                <w:bCs/>
                <w:color w:val="auto"/>
                <w:sz w:val="24"/>
                <w:szCs w:val="24"/>
                <w:highlight w:val="yellow"/>
                <w:lang w:val="en-US" w:eastAsia="zh-CN"/>
              </w:rPr>
              <w:t>运维人员有</w:t>
            </w:r>
            <w:r>
              <w:rPr>
                <w:rFonts w:hint="eastAsia" w:ascii="仿宋" w:hAnsi="仿宋" w:eastAsia="仿宋" w:cs="仿宋"/>
                <w:bCs/>
                <w:color w:val="0000FF"/>
                <w:sz w:val="24"/>
                <w:szCs w:val="24"/>
                <w:highlight w:val="yellow"/>
                <w:lang w:val="en-US" w:eastAsia="zh-CN"/>
              </w:rPr>
              <w:t>多个培训合格证书</w:t>
            </w:r>
            <w:r>
              <w:rPr>
                <w:rFonts w:hint="eastAsia" w:ascii="仿宋" w:hAnsi="仿宋" w:eastAsia="仿宋" w:cs="仿宋"/>
                <w:bCs/>
                <w:color w:val="auto"/>
                <w:sz w:val="24"/>
                <w:szCs w:val="24"/>
                <w:highlight w:val="yellow"/>
                <w:lang w:val="en-US" w:eastAsia="zh-CN"/>
              </w:rPr>
              <w:t>的不重复计分；</w:t>
            </w:r>
            <w:r>
              <w:rPr>
                <w:rFonts w:hint="eastAsia" w:ascii="仿宋" w:hAnsi="仿宋" w:eastAsia="仿宋" w:cs="仿宋"/>
                <w:bCs/>
                <w:color w:val="auto"/>
                <w:sz w:val="24"/>
                <w:szCs w:val="24"/>
                <w:highlight w:val="none"/>
                <w:lang w:val="en-US" w:eastAsia="zh-CN"/>
              </w:rPr>
              <w:t>同一人员有多个职称证书的按最高级别计分；须同时提供证书原件彩色扫描件及自招标文件上网公示当月向前3个月在本单位缴纳社保的相关证明材料扫描件进行计分。）</w:t>
            </w:r>
          </w:p>
        </w:tc>
      </w:tr>
      <w:tr w14:paraId="1E3FA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399" w:hRule="atLeast"/>
          <w:jc w:val="center"/>
        </w:trPr>
        <w:tc>
          <w:tcPr>
            <w:tcW w:w="447" w:type="dxa"/>
            <w:shd w:val="clear" w:color="auto" w:fill="FFFFFF"/>
            <w:tcMar>
              <w:top w:w="0" w:type="dxa"/>
              <w:left w:w="108" w:type="dxa"/>
              <w:bottom w:w="0" w:type="dxa"/>
              <w:right w:w="108" w:type="dxa"/>
            </w:tcMar>
            <w:vAlign w:val="center"/>
          </w:tcPr>
          <w:p w14:paraId="43716215">
            <w:pPr>
              <w:spacing w:line="360" w:lineRule="exact"/>
              <w:jc w:val="center"/>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四</w:t>
            </w:r>
          </w:p>
        </w:tc>
        <w:tc>
          <w:tcPr>
            <w:tcW w:w="2160" w:type="dxa"/>
            <w:gridSpan w:val="2"/>
            <w:shd w:val="clear" w:color="auto" w:fill="FFFFFF"/>
            <w:vAlign w:val="center"/>
          </w:tcPr>
          <w:p w14:paraId="07A4AD37">
            <w:pPr>
              <w:adjustRightInd w:val="0"/>
              <w:snapToGrid w:val="0"/>
              <w:jc w:val="both"/>
              <w:rPr>
                <w:rFonts w:hint="eastAsia" w:ascii="仿宋" w:hAnsi="仿宋" w:eastAsia="仿宋" w:cs="仿宋"/>
                <w:color w:val="auto"/>
                <w:kern w:val="2"/>
                <w:sz w:val="24"/>
                <w:szCs w:val="21"/>
                <w:highlight w:val="yellow"/>
                <w:lang w:val="en-US" w:eastAsia="zh-CN" w:bidi="ar-SA"/>
              </w:rPr>
            </w:pPr>
            <w:r>
              <w:rPr>
                <w:rFonts w:hint="eastAsia" w:ascii="仿宋" w:hAnsi="仿宋" w:eastAsia="仿宋" w:cs="仿宋"/>
                <w:color w:val="auto"/>
                <w:kern w:val="2"/>
                <w:sz w:val="24"/>
                <w:szCs w:val="21"/>
                <w:highlight w:val="none"/>
                <w:lang w:val="en-US" w:eastAsia="zh-CN" w:bidi="ar-SA"/>
              </w:rPr>
              <w:t>承诺服务（5分）</w:t>
            </w:r>
          </w:p>
        </w:tc>
        <w:tc>
          <w:tcPr>
            <w:tcW w:w="720" w:type="dxa"/>
            <w:shd w:val="clear" w:color="auto" w:fill="FFFFFF"/>
            <w:vAlign w:val="center"/>
          </w:tcPr>
          <w:p w14:paraId="7C90A536">
            <w:pPr>
              <w:spacing w:line="360" w:lineRule="exact"/>
              <w:jc w:val="center"/>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5分</w:t>
            </w:r>
          </w:p>
        </w:tc>
        <w:tc>
          <w:tcPr>
            <w:tcW w:w="5631" w:type="dxa"/>
            <w:shd w:val="clear" w:color="auto" w:fill="FFFFFF"/>
            <w:tcMar>
              <w:top w:w="0" w:type="dxa"/>
              <w:left w:w="108" w:type="dxa"/>
              <w:bottom w:w="0" w:type="dxa"/>
              <w:right w:w="108" w:type="dxa"/>
            </w:tcMar>
            <w:vAlign w:val="top"/>
          </w:tcPr>
          <w:p w14:paraId="0FC741AC">
            <w:pPr>
              <w:keepNext w:val="0"/>
              <w:keepLines w:val="0"/>
              <w:pageBreakBefore w:val="0"/>
              <w:widowControl w:val="0"/>
              <w:kinsoku/>
              <w:wordWrap/>
              <w:overflowPunct/>
              <w:topLinePunct w:val="0"/>
              <w:autoSpaceDE w:val="0"/>
              <w:autoSpaceDN w:val="0"/>
              <w:bidi w:val="0"/>
              <w:adjustRightInd w:val="0"/>
              <w:snapToGrid/>
              <w:spacing w:line="340" w:lineRule="exact"/>
              <w:textAlignment w:val="auto"/>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承诺服务满足招标人要求，后续期间的服务内容合理可行、保证措施可靠；对于后续期间可能出现的紧急情况有应对措施。提供的得5分，未提供不得分。（格式自拟）</w:t>
            </w:r>
          </w:p>
        </w:tc>
      </w:tr>
    </w:tbl>
    <w:p w14:paraId="399906FD">
      <w:pPr>
        <w:pStyle w:val="14"/>
        <w:keepNext w:val="0"/>
        <w:keepLines w:val="0"/>
        <w:pageBreakBefore w:val="0"/>
        <w:widowControl w:val="0"/>
        <w:kinsoku/>
        <w:wordWrap/>
        <w:overflowPunct/>
        <w:topLinePunct w:val="0"/>
        <w:autoSpaceDE/>
        <w:autoSpaceDN/>
        <w:bidi w:val="0"/>
        <w:adjustRightInd/>
        <w:snapToGrid/>
        <w:spacing w:beforeAutospacing="0" w:afterAutospacing="0"/>
        <w:ind w:left="-525" w:leftChars="-250" w:right="-525" w:rightChars="-250" w:firstLine="560" w:firstLineChars="200"/>
        <w:jc w:val="both"/>
        <w:textAlignment w:val="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注：以上投标人提供的评分材料，需真实有效，中标后2个工作日内提供原件由采购人逐一核查材料的真实性，若经发现存在弄虚作假行为，取消中标人中标资格，同时追究其法律赔偿与责任。</w:t>
      </w:r>
    </w:p>
    <w:p w14:paraId="607140F3">
      <w:pPr>
        <w:rPr>
          <w:rFonts w:hint="eastAsia" w:ascii="黑体" w:hAnsi="宋体" w:eastAsia="黑体" w:cs="黑体"/>
          <w:color w:val="auto"/>
          <w:sz w:val="44"/>
          <w:szCs w:val="44"/>
          <w:highlight w:val="none"/>
        </w:rPr>
      </w:pPr>
      <w:r>
        <w:rPr>
          <w:rFonts w:hint="eastAsia" w:ascii="黑体" w:hAnsi="宋体" w:eastAsia="黑体" w:cs="黑体"/>
          <w:color w:val="auto"/>
          <w:sz w:val="44"/>
          <w:szCs w:val="44"/>
          <w:highlight w:val="none"/>
        </w:rPr>
        <w:br w:type="page"/>
      </w:r>
    </w:p>
    <w:p w14:paraId="6ED91C23">
      <w:pPr>
        <w:pStyle w:val="14"/>
        <w:keepNext/>
        <w:spacing w:beforeAutospacing="0" w:afterAutospacing="0"/>
        <w:jc w:val="center"/>
        <w:rPr>
          <w:color w:val="auto"/>
          <w:highlight w:val="none"/>
        </w:rPr>
      </w:pPr>
      <w:r>
        <w:rPr>
          <w:rFonts w:hint="eastAsia" w:ascii="黑体" w:hAnsi="宋体" w:eastAsia="黑体" w:cs="黑体"/>
          <w:color w:val="auto"/>
          <w:sz w:val="44"/>
          <w:szCs w:val="44"/>
          <w:highlight w:val="none"/>
        </w:rPr>
        <w:t xml:space="preserve">第六章  投标文件格式 </w:t>
      </w:r>
    </w:p>
    <w:p w14:paraId="5C35730B">
      <w:pPr>
        <w:pStyle w:val="14"/>
        <w:spacing w:beforeAutospacing="0" w:afterAutospacing="0"/>
        <w:jc w:val="center"/>
        <w:rPr>
          <w:rFonts w:hint="eastAsia" w:ascii="宋体" w:hAnsi="宋体" w:eastAsia="宋体" w:cs="宋体"/>
          <w:b/>
          <w:color w:val="auto"/>
          <w:sz w:val="72"/>
          <w:szCs w:val="72"/>
          <w:highlight w:val="none"/>
        </w:rPr>
      </w:pPr>
      <w:bookmarkStart w:id="190" w:name="_Hlt26955039"/>
      <w:bookmarkEnd w:id="190"/>
      <w:bookmarkStart w:id="191" w:name="_Toc26554094"/>
      <w:bookmarkEnd w:id="191"/>
      <w:bookmarkStart w:id="192" w:name="_Hlt26671244"/>
      <w:bookmarkEnd w:id="192"/>
      <w:bookmarkStart w:id="193" w:name="_Toc120614282"/>
      <w:bookmarkStart w:id="194" w:name="_Toc49090576"/>
    </w:p>
    <w:p w14:paraId="5DE60FAA">
      <w:pPr>
        <w:pStyle w:val="14"/>
        <w:spacing w:beforeAutospacing="0" w:afterAutospacing="0"/>
        <w:jc w:val="center"/>
        <w:rPr>
          <w:rFonts w:hint="eastAsia" w:ascii="宋体" w:hAnsi="宋体" w:eastAsia="宋体" w:cs="宋体"/>
          <w:b/>
          <w:color w:val="auto"/>
          <w:sz w:val="72"/>
          <w:szCs w:val="72"/>
          <w:highlight w:val="none"/>
        </w:rPr>
      </w:pPr>
    </w:p>
    <w:p w14:paraId="36129105">
      <w:pPr>
        <w:pStyle w:val="14"/>
        <w:spacing w:beforeAutospacing="0" w:afterAutospacing="0"/>
        <w:jc w:val="center"/>
        <w:rPr>
          <w:rFonts w:hint="eastAsia" w:ascii="宋体" w:hAnsi="宋体" w:eastAsia="宋体" w:cs="宋体"/>
          <w:b/>
          <w:color w:val="auto"/>
          <w:sz w:val="72"/>
          <w:szCs w:val="72"/>
          <w:highlight w:val="none"/>
        </w:rPr>
      </w:pPr>
    </w:p>
    <w:p w14:paraId="56B19F88">
      <w:pPr>
        <w:pStyle w:val="14"/>
        <w:spacing w:beforeAutospacing="0" w:afterAutospacing="0"/>
        <w:jc w:val="center"/>
        <w:rPr>
          <w:color w:val="auto"/>
          <w:highlight w:val="none"/>
        </w:rPr>
      </w:pPr>
      <w:r>
        <w:rPr>
          <w:rFonts w:hint="eastAsia" w:ascii="宋体" w:hAnsi="宋体" w:eastAsia="宋体" w:cs="宋体"/>
          <w:b/>
          <w:color w:val="auto"/>
          <w:sz w:val="72"/>
          <w:szCs w:val="72"/>
          <w:highlight w:val="none"/>
        </w:rPr>
        <w:t>投  标  文  件</w:t>
      </w:r>
    </w:p>
    <w:p w14:paraId="567C6B4D">
      <w:pPr>
        <w:pStyle w:val="14"/>
        <w:spacing w:beforeAutospacing="0" w:afterAutospacing="0"/>
        <w:jc w:val="center"/>
        <w:rPr>
          <w:color w:val="auto"/>
          <w:highlight w:val="none"/>
        </w:rPr>
      </w:pPr>
      <w:r>
        <w:rPr>
          <w:color w:val="auto"/>
          <w:highlight w:val="none"/>
        </w:rPr>
        <w:t> </w:t>
      </w:r>
    </w:p>
    <w:p w14:paraId="4D493C40">
      <w:pPr>
        <w:pStyle w:val="14"/>
        <w:spacing w:beforeAutospacing="0" w:afterAutospacing="0"/>
        <w:jc w:val="center"/>
        <w:rPr>
          <w:color w:val="auto"/>
          <w:highlight w:val="none"/>
        </w:rPr>
      </w:pPr>
      <w:r>
        <w:rPr>
          <w:color w:val="auto"/>
          <w:highlight w:val="none"/>
        </w:rPr>
        <w:t> </w:t>
      </w:r>
    </w:p>
    <w:p w14:paraId="266BF702">
      <w:pPr>
        <w:pStyle w:val="14"/>
        <w:spacing w:beforeAutospacing="0" w:afterAutospacing="0"/>
        <w:jc w:val="center"/>
        <w:rPr>
          <w:color w:val="auto"/>
          <w:highlight w:val="none"/>
        </w:rPr>
      </w:pPr>
      <w:r>
        <w:rPr>
          <w:color w:val="auto"/>
          <w:highlight w:val="none"/>
        </w:rPr>
        <w:t> </w:t>
      </w:r>
    </w:p>
    <w:p w14:paraId="137CE618">
      <w:pPr>
        <w:pStyle w:val="14"/>
        <w:spacing w:beforeAutospacing="0" w:afterAutospacing="0"/>
        <w:jc w:val="center"/>
        <w:rPr>
          <w:color w:val="auto"/>
          <w:highlight w:val="none"/>
        </w:rPr>
      </w:pPr>
      <w:r>
        <w:rPr>
          <w:color w:val="auto"/>
          <w:highlight w:val="none"/>
        </w:rPr>
        <w:t> </w:t>
      </w:r>
    </w:p>
    <w:p w14:paraId="5B09C8C9">
      <w:pPr>
        <w:pStyle w:val="14"/>
        <w:spacing w:beforeAutospacing="0" w:afterAutospacing="0"/>
        <w:jc w:val="center"/>
        <w:rPr>
          <w:color w:val="auto"/>
          <w:highlight w:val="none"/>
        </w:rPr>
      </w:pPr>
      <w:r>
        <w:rPr>
          <w:color w:val="auto"/>
          <w:highlight w:val="none"/>
        </w:rPr>
        <w:t> </w:t>
      </w:r>
    </w:p>
    <w:p w14:paraId="58DBE0BA">
      <w:pPr>
        <w:pStyle w:val="14"/>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5E9D8A6D">
      <w:pPr>
        <w:pStyle w:val="14"/>
        <w:spacing w:beforeAutospacing="0" w:afterAutospacing="0"/>
        <w:ind w:firstLine="1084"/>
        <w:jc w:val="both"/>
        <w:rPr>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63597D06">
      <w:pPr>
        <w:pStyle w:val="14"/>
        <w:spacing w:beforeAutospacing="0" w:afterAutospacing="0"/>
        <w:jc w:val="both"/>
        <w:rPr>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4C487FBE">
      <w:pPr>
        <w:pStyle w:val="14"/>
        <w:spacing w:beforeAutospacing="0" w:afterAutospacing="0"/>
        <w:jc w:val="both"/>
        <w:rPr>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163E2FAD">
      <w:pPr>
        <w:pStyle w:val="14"/>
        <w:spacing w:beforeAutospacing="0" w:afterAutospacing="0" w:line="0" w:lineRule="atLeast"/>
        <w:jc w:val="center"/>
        <w:rPr>
          <w:color w:val="auto"/>
          <w:highlight w:val="none"/>
        </w:rPr>
      </w:pPr>
      <w:r>
        <w:rPr>
          <w:color w:val="auto"/>
          <w:highlight w:val="none"/>
        </w:rPr>
        <w:t> </w:t>
      </w:r>
    </w:p>
    <w:p w14:paraId="49033232">
      <w:pPr>
        <w:pStyle w:val="14"/>
        <w:spacing w:beforeAutospacing="0" w:afterAutospacing="0" w:line="0" w:lineRule="atLeast"/>
        <w:jc w:val="both"/>
        <w:rPr>
          <w:color w:val="auto"/>
          <w:highlight w:val="none"/>
        </w:rPr>
      </w:pPr>
      <w:r>
        <w:rPr>
          <w:color w:val="auto"/>
          <w:highlight w:val="none"/>
        </w:rPr>
        <w:t> </w:t>
      </w:r>
    </w:p>
    <w:p w14:paraId="2993747C">
      <w:pPr>
        <w:pStyle w:val="14"/>
        <w:spacing w:beforeAutospacing="0" w:afterAutospacing="0" w:line="0" w:lineRule="atLeast"/>
        <w:jc w:val="center"/>
        <w:rPr>
          <w:rFonts w:ascii="宋体" w:hAnsi="宋体" w:eastAsia="宋体" w:cs="宋体"/>
          <w:b/>
          <w:color w:val="auto"/>
          <w:sz w:val="36"/>
          <w:szCs w:val="36"/>
          <w:highlight w:val="none"/>
          <w:u w:val="single"/>
        </w:rPr>
      </w:pPr>
    </w:p>
    <w:p w14:paraId="53205827">
      <w:pPr>
        <w:pStyle w:val="14"/>
        <w:spacing w:beforeAutospacing="0" w:afterAutospacing="0" w:line="0" w:lineRule="atLeast"/>
        <w:jc w:val="center"/>
        <w:rPr>
          <w:rFonts w:ascii="宋体" w:hAnsi="宋体" w:eastAsia="宋体" w:cs="宋体"/>
          <w:b/>
          <w:color w:val="auto"/>
          <w:sz w:val="36"/>
          <w:szCs w:val="36"/>
          <w:highlight w:val="none"/>
          <w:u w:val="single"/>
        </w:rPr>
      </w:pPr>
    </w:p>
    <w:p w14:paraId="013F367D">
      <w:pPr>
        <w:pStyle w:val="14"/>
        <w:spacing w:beforeAutospacing="0" w:afterAutospacing="0" w:line="0" w:lineRule="atLeast"/>
        <w:jc w:val="center"/>
        <w:rPr>
          <w:rFonts w:ascii="宋体" w:hAnsi="宋体" w:eastAsia="宋体" w:cs="宋体"/>
          <w:b/>
          <w:color w:val="auto"/>
          <w:sz w:val="36"/>
          <w:szCs w:val="36"/>
          <w:highlight w:val="none"/>
          <w:u w:val="single"/>
        </w:rPr>
      </w:pPr>
    </w:p>
    <w:p w14:paraId="56D7C529">
      <w:pPr>
        <w:pStyle w:val="14"/>
        <w:spacing w:beforeAutospacing="0" w:afterAutospacing="0" w:line="0" w:lineRule="atLeast"/>
        <w:jc w:val="center"/>
        <w:rPr>
          <w:rFonts w:ascii="宋体" w:hAnsi="宋体" w:eastAsia="宋体" w:cs="宋体"/>
          <w:b/>
          <w:color w:val="auto"/>
          <w:sz w:val="36"/>
          <w:szCs w:val="36"/>
          <w:highlight w:val="none"/>
          <w:u w:val="single"/>
        </w:rPr>
      </w:pPr>
    </w:p>
    <w:p w14:paraId="6BC2A1CC">
      <w:pPr>
        <w:pStyle w:val="14"/>
        <w:spacing w:beforeAutospacing="0" w:afterAutospacing="0" w:line="0" w:lineRule="atLeast"/>
        <w:jc w:val="center"/>
        <w:rPr>
          <w:rFonts w:ascii="宋体" w:hAnsi="宋体" w:eastAsia="宋体" w:cs="宋体"/>
          <w:b/>
          <w:color w:val="auto"/>
          <w:sz w:val="36"/>
          <w:szCs w:val="36"/>
          <w:highlight w:val="none"/>
          <w:u w:val="single"/>
        </w:rPr>
      </w:pPr>
    </w:p>
    <w:p w14:paraId="68CF97D7">
      <w:pPr>
        <w:pStyle w:val="14"/>
        <w:spacing w:beforeAutospacing="0" w:afterAutospacing="0" w:line="0" w:lineRule="atLeast"/>
        <w:jc w:val="center"/>
        <w:rPr>
          <w:rFonts w:ascii="宋体" w:hAnsi="宋体" w:eastAsia="宋体" w:cs="宋体"/>
          <w:b/>
          <w:color w:val="auto"/>
          <w:sz w:val="36"/>
          <w:szCs w:val="36"/>
          <w:highlight w:val="none"/>
          <w:u w:val="single"/>
        </w:rPr>
      </w:pPr>
    </w:p>
    <w:p w14:paraId="1C50440D">
      <w:pPr>
        <w:pStyle w:val="14"/>
        <w:spacing w:beforeAutospacing="0" w:afterAutospacing="0" w:line="0" w:lineRule="atLeast"/>
        <w:jc w:val="center"/>
        <w:rPr>
          <w:rFonts w:ascii="宋体" w:hAnsi="宋体" w:eastAsia="宋体" w:cs="宋体"/>
          <w:b/>
          <w:color w:val="auto"/>
          <w:sz w:val="36"/>
          <w:szCs w:val="36"/>
          <w:highlight w:val="none"/>
          <w:u w:val="single"/>
        </w:rPr>
      </w:pPr>
    </w:p>
    <w:p w14:paraId="0A43C70B">
      <w:pPr>
        <w:pStyle w:val="14"/>
        <w:spacing w:beforeAutospacing="0" w:afterAutospacing="0" w:line="0" w:lineRule="atLeast"/>
        <w:jc w:val="center"/>
        <w:rPr>
          <w:rFonts w:ascii="宋体" w:hAnsi="宋体" w:eastAsia="宋体" w:cs="宋体"/>
          <w:b/>
          <w:color w:val="auto"/>
          <w:sz w:val="36"/>
          <w:szCs w:val="36"/>
          <w:highlight w:val="none"/>
          <w:u w:val="single"/>
        </w:rPr>
      </w:pPr>
    </w:p>
    <w:p w14:paraId="7E52F7E9">
      <w:pPr>
        <w:pStyle w:val="14"/>
        <w:spacing w:beforeAutospacing="0" w:afterAutospacing="0" w:line="0" w:lineRule="atLeast"/>
        <w:jc w:val="center"/>
        <w:rPr>
          <w:rFonts w:ascii="宋体" w:hAnsi="宋体" w:eastAsia="宋体" w:cs="宋体"/>
          <w:b/>
          <w:color w:val="auto"/>
          <w:sz w:val="36"/>
          <w:szCs w:val="36"/>
          <w:highlight w:val="none"/>
          <w:u w:val="single"/>
        </w:rPr>
      </w:pPr>
    </w:p>
    <w:p w14:paraId="7385157E">
      <w:pPr>
        <w:pStyle w:val="14"/>
        <w:spacing w:beforeAutospacing="0" w:afterAutospacing="0" w:line="0" w:lineRule="atLeast"/>
        <w:jc w:val="center"/>
        <w:rPr>
          <w:rFonts w:ascii="宋体" w:hAnsi="宋体" w:eastAsia="宋体" w:cs="宋体"/>
          <w:b/>
          <w:color w:val="auto"/>
          <w:sz w:val="36"/>
          <w:szCs w:val="36"/>
          <w:highlight w:val="none"/>
          <w:u w:val="single"/>
        </w:rPr>
      </w:pPr>
    </w:p>
    <w:p w14:paraId="3D77E5BC">
      <w:pPr>
        <w:pStyle w:val="14"/>
        <w:spacing w:beforeAutospacing="0" w:afterAutospacing="0" w:line="0" w:lineRule="atLeast"/>
        <w:jc w:val="center"/>
        <w:rPr>
          <w:color w:val="auto"/>
          <w:highlight w:val="none"/>
        </w:rPr>
      </w:pPr>
      <w:r>
        <w:rPr>
          <w:rFonts w:hint="eastAsia" w:ascii="宋体" w:hAnsi="宋体" w:eastAsia="宋体" w:cs="宋体"/>
          <w:b/>
          <w:color w:val="auto"/>
          <w:sz w:val="32"/>
          <w:szCs w:val="32"/>
          <w:highlight w:val="none"/>
        </w:rPr>
        <w:t>投标文件目录</w:t>
      </w:r>
    </w:p>
    <w:p w14:paraId="15190CCD">
      <w:pPr>
        <w:pStyle w:val="14"/>
        <w:spacing w:beforeAutospacing="0" w:afterAutospacing="0" w:line="0" w:lineRule="atLeast"/>
        <w:jc w:val="center"/>
        <w:rPr>
          <w:color w:val="auto"/>
          <w:highlight w:val="none"/>
        </w:rPr>
      </w:pPr>
      <w:r>
        <w:rPr>
          <w:color w:val="auto"/>
          <w:highlight w:val="none"/>
        </w:rPr>
        <w:t> </w:t>
      </w:r>
    </w:p>
    <w:p w14:paraId="3E265CB3">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一、法人或者其他组织的营业执照等证明文件，自然人的身份证明</w:t>
      </w:r>
    </w:p>
    <w:p w14:paraId="328B68C3">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二、</w:t>
      </w:r>
      <w:r>
        <w:rPr>
          <w:rFonts w:hint="eastAsia" w:ascii="宋体" w:hAnsi="宋体" w:eastAsia="宋体" w:cs="宋体"/>
          <w:i/>
          <w:color w:val="auto"/>
          <w:highlight w:val="none"/>
          <w:u w:val="single"/>
          <w:lang w:eastAsia="zh-CN"/>
        </w:rPr>
        <w:t>上一年度的财务状况报告</w:t>
      </w:r>
      <w:r>
        <w:rPr>
          <w:rFonts w:hint="eastAsia" w:ascii="宋体" w:hAnsi="宋体" w:eastAsia="宋体" w:cs="宋体"/>
          <w:i/>
          <w:color w:val="auto"/>
          <w:highlight w:val="none"/>
          <w:u w:val="single"/>
        </w:rPr>
        <w:t>（至少提供资产负债表、利润表、现金流量表，投标人成立不满一年无需提供）</w:t>
      </w:r>
    </w:p>
    <w:p w14:paraId="08B3E8E2">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三、具备履行合同所必需的设备和专业技术能力的书面声明</w:t>
      </w:r>
    </w:p>
    <w:p w14:paraId="71460692">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E8FA5B1">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五、参加政府采购活动前 3 年内在经营活动中没有重大违法记录的书面声明</w:t>
      </w:r>
    </w:p>
    <w:p w14:paraId="2E2BA629">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六、特定资格要求的证明文件（如果本项目设置特定资格要求，则需要提供）</w:t>
      </w:r>
    </w:p>
    <w:p w14:paraId="7CAB76BD">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七、法人授权书</w:t>
      </w:r>
    </w:p>
    <w:p w14:paraId="21001ED9">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八、投标函</w:t>
      </w:r>
    </w:p>
    <w:p w14:paraId="21E14643">
      <w:pPr>
        <w:pStyle w:val="14"/>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九、中小企业声明函</w:t>
      </w:r>
    </w:p>
    <w:p w14:paraId="719F7EE9">
      <w:pPr>
        <w:pStyle w:val="14"/>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十、残疾人福利性单位声明函</w:t>
      </w:r>
    </w:p>
    <w:p w14:paraId="5A16B8B8">
      <w:pPr>
        <w:pStyle w:val="14"/>
        <w:spacing w:beforeAutospacing="0" w:afterAutospacing="0" w:line="0" w:lineRule="atLeast"/>
        <w:ind w:firstLine="480"/>
        <w:jc w:val="both"/>
        <w:rPr>
          <w:rFonts w:hint="eastAsia" w:ascii="宋体" w:hAnsi="宋体" w:eastAsia="宋体" w:cs="宋体"/>
          <w:i w:val="0"/>
          <w:iCs/>
          <w:color w:val="000000"/>
          <w:highlight w:val="none"/>
          <w:u w:val="none"/>
        </w:rPr>
      </w:pPr>
      <w:r>
        <w:rPr>
          <w:rFonts w:hint="eastAsia" w:ascii="宋体" w:hAnsi="宋体" w:eastAsia="宋体" w:cs="宋体"/>
          <w:i w:val="0"/>
          <w:iCs/>
          <w:color w:val="FF0000"/>
          <w:highlight w:val="none"/>
          <w:u w:val="none"/>
          <w:lang w:val="en-US" w:eastAsia="zh-CN"/>
        </w:rPr>
        <w:t>十一、</w:t>
      </w:r>
      <w:r>
        <w:rPr>
          <w:rFonts w:hint="eastAsia" w:ascii="宋体" w:hAnsi="宋体" w:eastAsia="宋体" w:cs="宋体"/>
          <w:i w:val="0"/>
          <w:iCs/>
          <w:color w:val="FF0000"/>
          <w:highlight w:val="none"/>
          <w:u w:val="none"/>
        </w:rPr>
        <w:t xml:space="preserve"> 关于符合本国产品标准的声明函</w:t>
      </w:r>
    </w:p>
    <w:p w14:paraId="0263EB78">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二</w:t>
      </w:r>
      <w:r>
        <w:rPr>
          <w:rFonts w:hint="eastAsia" w:ascii="宋体" w:hAnsi="宋体" w:eastAsia="宋体" w:cs="宋体"/>
          <w:i w:val="0"/>
          <w:iCs/>
          <w:color w:val="000000"/>
          <w:highlight w:val="none"/>
          <w:u w:val="none"/>
        </w:rPr>
        <w:t>、联合体协议</w:t>
      </w:r>
    </w:p>
    <w:p w14:paraId="36EABC97">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三</w:t>
      </w:r>
      <w:r>
        <w:rPr>
          <w:rFonts w:hint="eastAsia" w:ascii="宋体" w:hAnsi="宋体" w:eastAsia="宋体" w:cs="宋体"/>
          <w:i w:val="0"/>
          <w:iCs/>
          <w:color w:val="000000"/>
          <w:highlight w:val="none"/>
          <w:u w:val="none"/>
        </w:rPr>
        <w:t>、投标分项报价表</w:t>
      </w:r>
    </w:p>
    <w:p w14:paraId="260078DA">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四</w:t>
      </w:r>
      <w:r>
        <w:rPr>
          <w:rFonts w:hint="eastAsia" w:ascii="宋体" w:hAnsi="宋体" w:eastAsia="宋体" w:cs="宋体"/>
          <w:i w:val="0"/>
          <w:iCs/>
          <w:color w:val="000000"/>
          <w:highlight w:val="none"/>
          <w:u w:val="none"/>
        </w:rPr>
        <w:t>、技术要求响应及偏离表</w:t>
      </w:r>
    </w:p>
    <w:p w14:paraId="7D69B72A">
      <w:pPr>
        <w:pStyle w:val="14"/>
        <w:spacing w:beforeAutospacing="0" w:afterAutospacing="0" w:line="0" w:lineRule="atLeast"/>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五</w:t>
      </w:r>
      <w:r>
        <w:rPr>
          <w:rFonts w:hint="eastAsia" w:ascii="宋体" w:hAnsi="宋体" w:eastAsia="宋体" w:cs="宋体"/>
          <w:i w:val="0"/>
          <w:iCs/>
          <w:color w:val="000000"/>
          <w:highlight w:val="none"/>
          <w:u w:val="none"/>
        </w:rPr>
        <w:t>、商务要求响应及偏离表</w:t>
      </w:r>
    </w:p>
    <w:p w14:paraId="48EFFF5A">
      <w:pPr>
        <w:pStyle w:val="14"/>
        <w:spacing w:beforeAutospacing="0" w:afterAutospacing="0"/>
        <w:ind w:left="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六</w:t>
      </w:r>
      <w:r>
        <w:rPr>
          <w:rFonts w:hint="eastAsia" w:ascii="宋体" w:hAnsi="宋体" w:eastAsia="宋体" w:cs="宋体"/>
          <w:i w:val="0"/>
          <w:iCs/>
          <w:color w:val="000000"/>
          <w:highlight w:val="none"/>
          <w:u w:val="none"/>
        </w:rPr>
        <w:t>、开标一览表</w:t>
      </w:r>
    </w:p>
    <w:p w14:paraId="161CCAB1">
      <w:pPr>
        <w:widowControl/>
        <w:spacing w:before="50" w:after="50"/>
        <w:ind w:firstLine="480" w:firstLineChars="200"/>
        <w:rPr>
          <w:rFonts w:ascii="宋体" w:hAnsi="宋体" w:eastAsia="宋体" w:cs="宋体"/>
          <w:i w:val="0"/>
          <w:iCs/>
          <w:color w:val="000000"/>
          <w:kern w:val="0"/>
          <w:sz w:val="24"/>
          <w:highlight w:val="none"/>
          <w:u w:val="none"/>
        </w:rPr>
      </w:pPr>
      <w:r>
        <w:rPr>
          <w:rFonts w:hint="eastAsia" w:ascii="宋体" w:hAnsi="宋体" w:eastAsia="宋体" w:cs="宋体"/>
          <w:i w:val="0"/>
          <w:iCs/>
          <w:color w:val="000000"/>
          <w:kern w:val="0"/>
          <w:sz w:val="24"/>
          <w:highlight w:val="none"/>
          <w:u w:val="none"/>
        </w:rPr>
        <w:t>十</w:t>
      </w:r>
      <w:r>
        <w:rPr>
          <w:rFonts w:hint="eastAsia" w:ascii="宋体" w:hAnsi="宋体" w:eastAsia="宋体" w:cs="宋体"/>
          <w:i w:val="0"/>
          <w:iCs/>
          <w:color w:val="000000"/>
          <w:kern w:val="0"/>
          <w:sz w:val="24"/>
          <w:highlight w:val="none"/>
          <w:u w:val="none"/>
          <w:lang w:val="en-US" w:eastAsia="zh-CN"/>
        </w:rPr>
        <w:t>七</w:t>
      </w:r>
      <w:r>
        <w:rPr>
          <w:rFonts w:hint="eastAsia" w:ascii="宋体" w:hAnsi="宋体" w:eastAsia="宋体" w:cs="宋体"/>
          <w:i w:val="0"/>
          <w:iCs/>
          <w:color w:val="000000"/>
          <w:kern w:val="0"/>
          <w:sz w:val="24"/>
          <w:highlight w:val="none"/>
          <w:u w:val="none"/>
        </w:rPr>
        <w:t>、技术方案、服务承诺、培训承诺等</w:t>
      </w:r>
    </w:p>
    <w:p w14:paraId="138E25DE">
      <w:pPr>
        <w:pStyle w:val="14"/>
        <w:spacing w:beforeAutospacing="0" w:afterAutospacing="0" w:line="360" w:lineRule="auto"/>
        <w:ind w:firstLine="480"/>
        <w:jc w:val="both"/>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十</w:t>
      </w:r>
      <w:r>
        <w:rPr>
          <w:rFonts w:hint="eastAsia" w:ascii="宋体" w:hAnsi="宋体" w:eastAsia="宋体" w:cs="宋体"/>
          <w:i w:val="0"/>
          <w:iCs/>
          <w:color w:val="000000"/>
          <w:highlight w:val="none"/>
          <w:u w:val="none"/>
          <w:lang w:val="en-US" w:eastAsia="zh-CN"/>
        </w:rPr>
        <w:t>八</w:t>
      </w:r>
      <w:r>
        <w:rPr>
          <w:rFonts w:hint="eastAsia" w:ascii="宋体" w:hAnsi="宋体" w:eastAsia="宋体" w:cs="宋体"/>
          <w:i w:val="0"/>
          <w:iCs/>
          <w:color w:val="000000"/>
          <w:highlight w:val="none"/>
          <w:u w:val="none"/>
        </w:rPr>
        <w:t>、盐城市政府采购事前信用承诺书</w:t>
      </w:r>
    </w:p>
    <w:p w14:paraId="029CA2B5">
      <w:pPr>
        <w:pStyle w:val="14"/>
        <w:spacing w:beforeAutospacing="0" w:afterAutospacing="0" w:line="0" w:lineRule="atLeast"/>
        <w:ind w:firstLine="480"/>
        <w:jc w:val="both"/>
        <w:rPr>
          <w:rFonts w:ascii="宋体" w:hAnsi="宋体" w:eastAsia="宋体" w:cs="宋体"/>
          <w:color w:val="auto"/>
          <w:highlight w:val="none"/>
        </w:rPr>
      </w:pPr>
    </w:p>
    <w:p w14:paraId="1779DF20">
      <w:pPr>
        <w:pStyle w:val="14"/>
        <w:spacing w:beforeAutospacing="0" w:afterAutospacing="0" w:line="0" w:lineRule="atLeast"/>
        <w:ind w:firstLine="480"/>
        <w:jc w:val="both"/>
        <w:rPr>
          <w:rFonts w:ascii="宋体" w:hAnsi="宋体" w:eastAsia="宋体" w:cs="宋体"/>
          <w:color w:val="auto"/>
          <w:highlight w:val="none"/>
        </w:rPr>
      </w:pPr>
    </w:p>
    <w:p w14:paraId="5903C966">
      <w:pPr>
        <w:pStyle w:val="14"/>
        <w:spacing w:beforeAutospacing="0" w:afterAutospacing="0" w:line="0" w:lineRule="atLeast"/>
        <w:ind w:firstLine="480"/>
        <w:jc w:val="both"/>
        <w:rPr>
          <w:color w:val="auto"/>
          <w:highlight w:val="none"/>
        </w:rPr>
      </w:pPr>
      <w:r>
        <w:rPr>
          <w:color w:val="auto"/>
          <w:highlight w:val="none"/>
        </w:rPr>
        <w:t> </w:t>
      </w:r>
    </w:p>
    <w:p w14:paraId="76632A8E">
      <w:pPr>
        <w:pStyle w:val="14"/>
        <w:spacing w:beforeAutospacing="0" w:afterAutospacing="0" w:line="0" w:lineRule="atLeast"/>
        <w:ind w:firstLine="480"/>
        <w:jc w:val="both"/>
        <w:rPr>
          <w:color w:val="auto"/>
          <w:highlight w:val="none"/>
        </w:rPr>
      </w:pPr>
      <w:r>
        <w:rPr>
          <w:color w:val="auto"/>
          <w:highlight w:val="none"/>
        </w:rPr>
        <w:t> </w:t>
      </w:r>
    </w:p>
    <w:p w14:paraId="0EC0847A">
      <w:pPr>
        <w:pStyle w:val="14"/>
        <w:spacing w:beforeAutospacing="0" w:afterAutospacing="0" w:line="0" w:lineRule="atLeast"/>
        <w:ind w:firstLine="480"/>
        <w:jc w:val="both"/>
        <w:rPr>
          <w:color w:val="auto"/>
          <w:highlight w:val="none"/>
        </w:rPr>
      </w:pPr>
      <w:r>
        <w:rPr>
          <w:color w:val="auto"/>
          <w:highlight w:val="none"/>
        </w:rPr>
        <w:t> </w:t>
      </w:r>
    </w:p>
    <w:p w14:paraId="50FC6746">
      <w:pPr>
        <w:rPr>
          <w:color w:val="auto"/>
          <w:highlight w:val="none"/>
        </w:rPr>
      </w:pPr>
      <w:r>
        <w:rPr>
          <w:color w:val="auto"/>
          <w:highlight w:val="none"/>
        </w:rPr>
        <w:br w:type="page"/>
      </w:r>
    </w:p>
    <w:p w14:paraId="3BB8FC6F">
      <w:pPr>
        <w:pStyle w:val="14"/>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一、法人或者其他组织的营业执照等证明文件，自然人的身份证明</w:t>
      </w:r>
    </w:p>
    <w:p w14:paraId="4FB38960">
      <w:pPr>
        <w:pStyle w:val="14"/>
        <w:spacing w:beforeAutospacing="0" w:afterAutospacing="0" w:line="0" w:lineRule="atLeast"/>
        <w:ind w:firstLine="480"/>
        <w:jc w:val="both"/>
        <w:rPr>
          <w:color w:val="auto"/>
          <w:highlight w:val="none"/>
        </w:rPr>
      </w:pPr>
      <w:r>
        <w:rPr>
          <w:color w:val="auto"/>
          <w:highlight w:val="none"/>
        </w:rPr>
        <w:t> </w:t>
      </w:r>
    </w:p>
    <w:p w14:paraId="22A166EE">
      <w:pPr>
        <w:pStyle w:val="14"/>
        <w:spacing w:beforeAutospacing="0" w:afterAutospacing="0"/>
        <w:jc w:val="both"/>
        <w:rPr>
          <w:rFonts w:eastAsia="黑体"/>
          <w:color w:val="auto"/>
          <w:highlight w:val="none"/>
        </w:rPr>
      </w:pPr>
      <w:r>
        <w:rPr>
          <w:rFonts w:hint="eastAsia" w:ascii="黑体" w:hAnsi="宋体" w:eastAsia="黑体" w:cs="黑体"/>
          <w:i/>
          <w:color w:val="auto"/>
          <w:sz w:val="32"/>
          <w:szCs w:val="32"/>
          <w:highlight w:val="none"/>
          <w:u w:val="single"/>
        </w:rPr>
        <w:t>二、</w:t>
      </w:r>
      <w:r>
        <w:rPr>
          <w:rFonts w:hint="eastAsia" w:ascii="黑体" w:hAnsi="宋体" w:eastAsia="黑体" w:cs="黑体"/>
          <w:i/>
          <w:color w:val="auto"/>
          <w:sz w:val="32"/>
          <w:szCs w:val="32"/>
          <w:highlight w:val="none"/>
          <w:u w:val="single"/>
          <w:lang w:eastAsia="zh-CN"/>
        </w:rPr>
        <w:t>上一年度的财务状况报告</w:t>
      </w:r>
    </w:p>
    <w:p w14:paraId="786A257F">
      <w:pPr>
        <w:pStyle w:val="14"/>
        <w:spacing w:beforeAutospacing="0" w:afterAutospacing="0"/>
        <w:ind w:left="480"/>
        <w:jc w:val="both"/>
        <w:rPr>
          <w:rFonts w:ascii="宋体" w:hAnsi="宋体" w:eastAsia="宋体" w:cs="宋体"/>
          <w:i/>
          <w:color w:val="auto"/>
          <w:highlight w:val="none"/>
          <w:u w:val="single"/>
        </w:rPr>
      </w:pPr>
      <w:r>
        <w:rPr>
          <w:rFonts w:hint="eastAsia" w:ascii="宋体" w:hAnsi="宋体" w:eastAsia="宋体" w:cs="宋体"/>
          <w:i/>
          <w:color w:val="auto"/>
          <w:highlight w:val="none"/>
          <w:u w:val="single"/>
        </w:rPr>
        <w:t>（至少提供资产负债表、利润表、现金流量表，投标人成立不满一年无需提供）</w:t>
      </w:r>
    </w:p>
    <w:p w14:paraId="55B46665">
      <w:pPr>
        <w:pStyle w:val="14"/>
        <w:spacing w:beforeAutospacing="0" w:afterAutospacing="0"/>
        <w:jc w:val="both"/>
        <w:rPr>
          <w:color w:val="auto"/>
          <w:highlight w:val="none"/>
        </w:rPr>
      </w:pPr>
    </w:p>
    <w:p w14:paraId="34FEDEC4">
      <w:pPr>
        <w:pStyle w:val="14"/>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三、具备履行合同所必需的设备和专业技术能力的书面声明</w:t>
      </w:r>
    </w:p>
    <w:p w14:paraId="3E1CFC31">
      <w:pPr>
        <w:pStyle w:val="14"/>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6FB804BC">
      <w:pPr>
        <w:pStyle w:val="14"/>
        <w:spacing w:beforeAutospacing="0" w:afterAutospacing="0" w:line="0" w:lineRule="atLeast"/>
        <w:ind w:firstLine="492"/>
        <w:jc w:val="both"/>
        <w:rPr>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514EF44D">
      <w:pPr>
        <w:pStyle w:val="14"/>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1804CB82">
      <w:pPr>
        <w:pStyle w:val="14"/>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四、依法缴纳税收和社会保障资金的相关材料</w:t>
      </w:r>
    </w:p>
    <w:p w14:paraId="462B13A2">
      <w:pPr>
        <w:pStyle w:val="14"/>
        <w:spacing w:beforeAutospacing="0" w:afterAutospacing="0"/>
        <w:ind w:firstLine="480"/>
        <w:jc w:val="both"/>
        <w:rPr>
          <w:color w:val="auto"/>
          <w:highlight w:val="none"/>
        </w:rPr>
      </w:pPr>
      <w:bookmarkStart w:id="195"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95"/>
    </w:p>
    <w:p w14:paraId="399F01C8">
      <w:pPr>
        <w:pStyle w:val="14"/>
        <w:spacing w:beforeAutospacing="0" w:afterAutospacing="0"/>
        <w:jc w:val="both"/>
        <w:rPr>
          <w:color w:val="auto"/>
          <w:highlight w:val="none"/>
        </w:rPr>
      </w:pPr>
      <w:r>
        <w:rPr>
          <w:rFonts w:hint="eastAsia" w:ascii="黑体" w:hAnsi="宋体" w:eastAsia="黑体" w:cs="黑体"/>
          <w:i/>
          <w:color w:val="auto"/>
          <w:sz w:val="32"/>
          <w:szCs w:val="32"/>
          <w:highlight w:val="none"/>
          <w:u w:val="single"/>
        </w:rPr>
        <w:t>五、参加政府采购活动前 3 年内在经营活动中没有重大违法记录的书面声明</w:t>
      </w:r>
    </w:p>
    <w:p w14:paraId="7CE2D667">
      <w:pPr>
        <w:pStyle w:val="14"/>
        <w:spacing w:beforeAutospacing="0" w:afterAutospacing="0" w:line="0" w:lineRule="atLeast"/>
        <w:jc w:val="both"/>
        <w:rPr>
          <w:color w:val="auto"/>
          <w:highlight w:val="none"/>
        </w:rPr>
      </w:pPr>
      <w:r>
        <w:rPr>
          <w:rFonts w:hint="eastAsia" w:ascii="宋体" w:hAnsi="宋体" w:eastAsia="宋体" w:cs="宋体"/>
          <w:b/>
          <w:color w:val="auto"/>
          <w:sz w:val="44"/>
          <w:szCs w:val="44"/>
          <w:highlight w:val="none"/>
        </w:rPr>
        <w:t>       声  明</w:t>
      </w:r>
    </w:p>
    <w:p w14:paraId="576C044A">
      <w:pPr>
        <w:pStyle w:val="14"/>
        <w:spacing w:beforeAutospacing="0" w:afterAutospacing="0" w:line="0" w:lineRule="atLeast"/>
        <w:jc w:val="both"/>
        <w:rPr>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BB59A96">
      <w:pPr>
        <w:pStyle w:val="14"/>
        <w:spacing w:beforeAutospacing="0" w:afterAutospacing="0"/>
        <w:jc w:val="both"/>
        <w:rPr>
          <w:color w:val="auto"/>
          <w:highlight w:val="none"/>
        </w:rPr>
      </w:pPr>
      <w:r>
        <w:rPr>
          <w:color w:val="auto"/>
          <w:highlight w:val="none"/>
        </w:rPr>
        <w:t> </w:t>
      </w:r>
    </w:p>
    <w:p w14:paraId="22CB6886">
      <w:pPr>
        <w:pStyle w:val="14"/>
        <w:spacing w:beforeAutospacing="0" w:afterAutospacing="0"/>
        <w:jc w:val="both"/>
        <w:rPr>
          <w:color w:val="auto"/>
          <w:highlight w:val="none"/>
        </w:rPr>
      </w:pPr>
      <w:r>
        <w:rPr>
          <w:rFonts w:hint="eastAsia" w:ascii="黑体" w:hAnsi="宋体" w:eastAsia="黑体" w:cs="黑体"/>
          <w:i/>
          <w:color w:val="auto"/>
          <w:sz w:val="32"/>
          <w:szCs w:val="32"/>
          <w:highlight w:val="none"/>
          <w:u w:val="single"/>
        </w:rPr>
        <w:t>六、特定资格要求的证明文件</w:t>
      </w:r>
    </w:p>
    <w:p w14:paraId="2E01792F">
      <w:pPr>
        <w:pStyle w:val="14"/>
        <w:spacing w:beforeAutospacing="0" w:afterAutospacing="0" w:line="0" w:lineRule="atLeast"/>
        <w:jc w:val="both"/>
        <w:rPr>
          <w:color w:val="auto"/>
          <w:highlight w:val="none"/>
        </w:rPr>
      </w:pPr>
      <w:r>
        <w:rPr>
          <w:rFonts w:hint="eastAsia" w:ascii="宋体" w:hAnsi="宋体" w:eastAsia="宋体" w:cs="宋体"/>
          <w:color w:val="auto"/>
          <w:highlight w:val="none"/>
        </w:rPr>
        <w:t>    如果本项目申请人的特定资格要求中要求提供的，必须提供。</w:t>
      </w:r>
    </w:p>
    <w:p w14:paraId="5084459D">
      <w:pPr>
        <w:pStyle w:val="14"/>
        <w:spacing w:beforeAutospacing="0" w:afterAutospacing="0" w:line="0" w:lineRule="atLeast"/>
        <w:jc w:val="both"/>
        <w:rPr>
          <w:color w:val="auto"/>
          <w:highlight w:val="none"/>
        </w:rPr>
      </w:pPr>
      <w:r>
        <w:rPr>
          <w:color w:val="auto"/>
          <w:highlight w:val="none"/>
        </w:rPr>
        <w:t> </w:t>
      </w:r>
    </w:p>
    <w:p w14:paraId="06F4D332">
      <w:pPr>
        <w:pStyle w:val="14"/>
        <w:spacing w:beforeAutospacing="0" w:afterAutospacing="0"/>
        <w:jc w:val="center"/>
        <w:rPr>
          <w:rFonts w:ascii="黑体" w:hAnsi="宋体" w:eastAsia="黑体" w:cs="黑体"/>
          <w:i/>
          <w:color w:val="auto"/>
          <w:sz w:val="32"/>
          <w:szCs w:val="32"/>
          <w:highlight w:val="none"/>
          <w:u w:val="single"/>
        </w:rPr>
      </w:pPr>
    </w:p>
    <w:p w14:paraId="1AB16DA7">
      <w:pPr>
        <w:pStyle w:val="14"/>
        <w:spacing w:beforeAutospacing="0" w:afterAutospacing="0"/>
        <w:jc w:val="center"/>
        <w:rPr>
          <w:rFonts w:ascii="黑体" w:hAnsi="宋体" w:eastAsia="黑体" w:cs="黑体"/>
          <w:i/>
          <w:color w:val="auto"/>
          <w:sz w:val="32"/>
          <w:szCs w:val="32"/>
          <w:highlight w:val="none"/>
          <w:u w:val="single"/>
        </w:rPr>
      </w:pPr>
    </w:p>
    <w:p w14:paraId="404E2016">
      <w:pPr>
        <w:rPr>
          <w:rFonts w:ascii="黑体" w:hAnsi="宋体" w:eastAsia="黑体" w:cs="黑体"/>
          <w:i/>
          <w:color w:val="auto"/>
          <w:sz w:val="32"/>
          <w:szCs w:val="32"/>
          <w:highlight w:val="none"/>
          <w:u w:val="single"/>
        </w:rPr>
      </w:pPr>
      <w:r>
        <w:rPr>
          <w:rFonts w:ascii="黑体" w:hAnsi="宋体" w:eastAsia="黑体" w:cs="黑体"/>
          <w:i/>
          <w:color w:val="auto"/>
          <w:sz w:val="32"/>
          <w:szCs w:val="32"/>
          <w:highlight w:val="none"/>
          <w:u w:val="single"/>
        </w:rPr>
        <w:br w:type="page"/>
      </w:r>
    </w:p>
    <w:p w14:paraId="3E9B23E9">
      <w:pPr>
        <w:pStyle w:val="14"/>
        <w:spacing w:beforeAutospacing="0" w:afterAutospacing="0"/>
        <w:jc w:val="center"/>
        <w:rPr>
          <w:color w:val="auto"/>
          <w:highlight w:val="none"/>
        </w:rPr>
      </w:pPr>
      <w:r>
        <w:rPr>
          <w:rFonts w:hint="eastAsia" w:ascii="黑体" w:hAnsi="宋体" w:eastAsia="黑体" w:cs="黑体"/>
          <w:i/>
          <w:color w:val="auto"/>
          <w:sz w:val="32"/>
          <w:szCs w:val="32"/>
          <w:highlight w:val="none"/>
          <w:u w:val="single"/>
        </w:rPr>
        <w:t>七、法人授权书</w:t>
      </w:r>
    </w:p>
    <w:p w14:paraId="1A5940F3">
      <w:pPr>
        <w:pStyle w:val="14"/>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本授权书声明：____________（投标人名称）授权________________（被授权人的姓名）为我方就</w:t>
      </w:r>
      <w:r>
        <w:rPr>
          <w:rFonts w:hint="eastAsia" w:ascii="Times New Roman" w:hAnsi="Times New Roman"/>
          <w:color w:val="auto"/>
          <w:highlight w:val="none"/>
          <w:u w:val="single"/>
          <w:lang w:val="en-US" w:eastAsia="zh-CN"/>
        </w:rPr>
        <w:t xml:space="preserve">            </w:t>
      </w:r>
      <w:r>
        <w:rPr>
          <w:rFonts w:ascii="Times New Roman" w:hAnsi="Times New Roman"/>
          <w:color w:val="auto"/>
          <w:highlight w:val="none"/>
        </w:rPr>
        <w:t>号项目采购活动的合法代理人，以本单位名义全权处理一切与该项目采购有关的事务。</w:t>
      </w:r>
    </w:p>
    <w:p w14:paraId="709404A9">
      <w:pPr>
        <w:pStyle w:val="14"/>
        <w:tabs>
          <w:tab w:val="left" w:pos="360"/>
        </w:tabs>
        <w:spacing w:beforeAutospacing="0" w:afterAutospacing="0"/>
        <w:ind w:firstLine="480"/>
        <w:jc w:val="both"/>
        <w:rPr>
          <w:color w:val="auto"/>
          <w:highlight w:val="none"/>
        </w:rPr>
      </w:pPr>
      <w:r>
        <w:rPr>
          <w:rFonts w:ascii="Times New Roman" w:hAnsi="Times New Roman"/>
          <w:color w:val="auto"/>
          <w:highlight w:val="none"/>
        </w:rPr>
        <w:t>本授权书于______年____月____日起生效，特此声明。</w:t>
      </w:r>
    </w:p>
    <w:p w14:paraId="6EB68325">
      <w:pPr>
        <w:pStyle w:val="14"/>
        <w:tabs>
          <w:tab w:val="left" w:pos="360"/>
        </w:tabs>
        <w:spacing w:beforeAutospacing="0" w:afterAutospacing="0"/>
        <w:jc w:val="both"/>
        <w:rPr>
          <w:color w:val="auto"/>
          <w:highlight w:val="none"/>
        </w:rPr>
      </w:pPr>
      <w:r>
        <w:rPr>
          <w:rFonts w:ascii="Times New Roman" w:hAnsi="Times New Roman"/>
          <w:color w:val="auto"/>
          <w:highlight w:val="none"/>
        </w:rPr>
        <w:t>          被授权人身份证号码：</w:t>
      </w:r>
      <w:r>
        <w:rPr>
          <w:rFonts w:ascii="Times New Roman" w:hAnsi="Times New Roman"/>
          <w:color w:val="auto"/>
          <w:highlight w:val="none"/>
          <w:u w:val="single"/>
        </w:rPr>
        <w:t xml:space="preserve">                              </w:t>
      </w:r>
    </w:p>
    <w:p w14:paraId="16E3163C">
      <w:pPr>
        <w:pStyle w:val="14"/>
        <w:tabs>
          <w:tab w:val="left" w:pos="360"/>
        </w:tabs>
        <w:spacing w:beforeAutospacing="0" w:afterAutospacing="0"/>
        <w:jc w:val="both"/>
        <w:rPr>
          <w:color w:val="auto"/>
          <w:highlight w:val="none"/>
        </w:rPr>
      </w:pPr>
      <w:r>
        <w:rPr>
          <w:rFonts w:ascii="Times New Roman" w:hAnsi="Times New Roman"/>
          <w:color w:val="auto"/>
          <w:highlight w:val="none"/>
        </w:rPr>
        <w:t>          被授权人联系电话：（手机）</w:t>
      </w:r>
      <w:r>
        <w:rPr>
          <w:rFonts w:ascii="Times New Roman" w:hAnsi="Times New Roman"/>
          <w:color w:val="auto"/>
          <w:highlight w:val="none"/>
          <w:u w:val="single"/>
        </w:rPr>
        <w:t xml:space="preserve">                          </w:t>
      </w:r>
    </w:p>
    <w:p w14:paraId="23CAAEDE">
      <w:pPr>
        <w:pStyle w:val="14"/>
        <w:tabs>
          <w:tab w:val="left" w:pos="360"/>
        </w:tabs>
        <w:spacing w:beforeAutospacing="0" w:afterAutospacing="0"/>
        <w:ind w:firstLine="1200"/>
        <w:jc w:val="both"/>
        <w:rPr>
          <w:color w:val="auto"/>
          <w:highlight w:val="none"/>
        </w:rPr>
      </w:pPr>
      <w:r>
        <w:rPr>
          <w:rFonts w:ascii="Times New Roman" w:hAnsi="Times New Roman"/>
          <w:color w:val="auto"/>
          <w:highlight w:val="none"/>
        </w:rPr>
        <w:t>授权单位名称：</w:t>
      </w:r>
      <w:r>
        <w:rPr>
          <w:rFonts w:ascii="Times New Roman" w:hAnsi="Times New Roman"/>
          <w:color w:val="auto"/>
          <w:highlight w:val="none"/>
          <w:u w:val="single"/>
        </w:rPr>
        <w:t>（加盖CA电子公章）</w:t>
      </w:r>
    </w:p>
    <w:p w14:paraId="02D72DCC">
      <w:pPr>
        <w:pStyle w:val="14"/>
        <w:tabs>
          <w:tab w:val="left" w:pos="360"/>
        </w:tabs>
        <w:spacing w:beforeAutospacing="0" w:afterAutospacing="0"/>
        <w:ind w:firstLine="480"/>
        <w:jc w:val="both"/>
        <w:rPr>
          <w:color w:val="auto"/>
          <w:highlight w:val="none"/>
        </w:rPr>
      </w:pPr>
      <w:r>
        <w:rPr>
          <w:rFonts w:ascii="Times New Roman" w:hAnsi="Times New Roman"/>
          <w:color w:val="auto"/>
          <w:highlight w:val="none"/>
        </w:rPr>
        <w:t>      单位地址：</w:t>
      </w:r>
      <w:r>
        <w:rPr>
          <w:rFonts w:ascii="Times New Roman" w:hAnsi="Times New Roman"/>
          <w:color w:val="auto"/>
          <w:highlight w:val="none"/>
          <w:u w:val="single"/>
        </w:rPr>
        <w:t xml:space="preserve">                                         </w:t>
      </w:r>
    </w:p>
    <w:p w14:paraId="5F2B9D8D">
      <w:pPr>
        <w:pStyle w:val="14"/>
        <w:tabs>
          <w:tab w:val="left" w:pos="360"/>
        </w:tabs>
        <w:spacing w:beforeAutospacing="0" w:afterAutospacing="0"/>
        <w:ind w:firstLine="480"/>
        <w:jc w:val="both"/>
        <w:rPr>
          <w:color w:val="auto"/>
          <w:highlight w:val="none"/>
        </w:rPr>
      </w:pPr>
      <w:r>
        <w:rPr>
          <w:rFonts w:ascii="Times New Roman" w:hAnsi="Times New Roman"/>
          <w:color w:val="auto"/>
          <w:highlight w:val="none"/>
        </w:rPr>
        <w:t>      日期：</w:t>
      </w:r>
      <w:bookmarkStart w:id="196" w:name="_Hlt26671380"/>
      <w:bookmarkStart w:id="197" w:name="_格式3__银行出具的资信证明"/>
      <w:bookmarkStart w:id="198" w:name="_Hlt26955070"/>
      <w:r>
        <w:rPr>
          <w:rFonts w:ascii="Times New Roman" w:hAnsi="Times New Roman"/>
          <w:color w:val="auto"/>
          <w:highlight w:val="none"/>
          <w:u w:val="single"/>
        </w:rPr>
        <w:t xml:space="preserve">                                         </w:t>
      </w:r>
    </w:p>
    <w:p w14:paraId="41F9C582">
      <w:pPr>
        <w:pStyle w:val="14"/>
        <w:spacing w:beforeAutospacing="0" w:afterAutospacing="0"/>
        <w:ind w:firstLine="420"/>
        <w:jc w:val="both"/>
        <w:rPr>
          <w:color w:val="auto"/>
          <w:highlight w:val="none"/>
        </w:rPr>
      </w:pPr>
      <w:r>
        <w:rPr>
          <w:color w:val="auto"/>
          <w:highlight w:val="none"/>
        </w:rPr>
        <w:t> </w:t>
      </w:r>
    </w:p>
    <w:p w14:paraId="62563498">
      <w:pPr>
        <w:pStyle w:val="14"/>
        <w:spacing w:beforeAutospacing="0" w:afterAutospacing="0"/>
        <w:jc w:val="both"/>
        <w:rPr>
          <w:color w:val="auto"/>
          <w:highlight w:val="none"/>
        </w:rPr>
      </w:pPr>
      <w:r>
        <w:rPr>
          <w:color w:val="auto"/>
          <w:highlight w:val="none"/>
        </w:rPr>
        <w:t> </w:t>
      </w:r>
    </w:p>
    <w:p w14:paraId="536EA024">
      <w:pPr>
        <w:pStyle w:val="14"/>
        <w:spacing w:beforeAutospacing="0" w:afterAutospacing="0" w:line="0" w:lineRule="atLeast"/>
        <w:jc w:val="both"/>
        <w:rPr>
          <w:color w:val="auto"/>
          <w:highlight w:val="none"/>
        </w:rPr>
      </w:pPr>
      <w:r>
        <w:rPr>
          <w:color w:val="auto"/>
          <w:highlight w:val="none"/>
        </w:rPr>
        <w:t> </w:t>
      </w:r>
    </w:p>
    <w:p w14:paraId="5B83043C">
      <w:pPr>
        <w:pStyle w:val="14"/>
        <w:spacing w:beforeAutospacing="0" w:afterAutospacing="0" w:line="0" w:lineRule="atLeast"/>
        <w:jc w:val="both"/>
        <w:rPr>
          <w:color w:val="auto"/>
          <w:highlight w:val="none"/>
        </w:rPr>
      </w:pPr>
      <w:r>
        <w:rPr>
          <w:color w:val="auto"/>
          <w:highlight w:val="none"/>
        </w:rPr>
        <w:t> </w:t>
      </w:r>
    </w:p>
    <w:p w14:paraId="111F57FA">
      <w:pPr>
        <w:pStyle w:val="14"/>
        <w:keepNext/>
        <w:keepLines/>
        <w:spacing w:before="260" w:beforeAutospacing="0" w:after="260" w:afterAutospacing="0" w:line="415" w:lineRule="auto"/>
        <w:ind w:firstLine="3390"/>
        <w:jc w:val="both"/>
        <w:rPr>
          <w:rFonts w:ascii="黑体" w:hAnsi="宋体" w:eastAsia="黑体" w:cs="黑体"/>
          <w:b/>
          <w:color w:val="auto"/>
          <w:sz w:val="32"/>
          <w:szCs w:val="32"/>
          <w:highlight w:val="none"/>
        </w:rPr>
      </w:pPr>
      <w:r>
        <w:rPr>
          <w:rFonts w:hint="eastAsia" w:ascii="宋体" w:hAnsi="宋体" w:eastAsia="宋体" w:cs="宋体"/>
          <w:b/>
          <w:color w:val="auto"/>
          <w:highlight w:val="none"/>
        </w:rPr>
        <w:br w:type="page"/>
      </w:r>
      <w:r>
        <w:rPr>
          <w:rFonts w:hint="eastAsia" w:ascii="宋体" w:hAnsi="宋体" w:eastAsia="宋体" w:cs="宋体"/>
          <w:b/>
          <w:color w:val="auto"/>
          <w:highlight w:val="none"/>
        </w:rPr>
        <w:t> </w:t>
      </w:r>
      <w:r>
        <w:rPr>
          <w:rFonts w:hint="eastAsia" w:ascii="黑体" w:hAnsi="宋体" w:eastAsia="黑体" w:cs="黑体"/>
          <w:b/>
          <w:color w:val="auto"/>
          <w:sz w:val="32"/>
          <w:szCs w:val="32"/>
          <w:highlight w:val="none"/>
        </w:rPr>
        <w:t>八、投标函</w:t>
      </w:r>
    </w:p>
    <w:p w14:paraId="7787FAAB">
      <w:pPr>
        <w:pStyle w:val="14"/>
        <w:spacing w:beforeAutospacing="0" w:afterAutospacing="0" w:line="0" w:lineRule="atLeast"/>
        <w:rPr>
          <w:rFonts w:hint="eastAsia" w:eastAsia="宋体"/>
          <w:color w:val="auto"/>
          <w:highlight w:val="none"/>
          <w:lang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eastAsia="zh-CN"/>
        </w:rPr>
        <w:t>江苏锦东信工程咨询有限公司</w:t>
      </w:r>
    </w:p>
    <w:p w14:paraId="460D70D2">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根据贵方的</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none"/>
          <w:lang w:val="en-US" w:eastAsia="zh-CN"/>
        </w:rPr>
        <w:t>号</w:t>
      </w:r>
      <w:r>
        <w:rPr>
          <w:rFonts w:hint="eastAsia" w:ascii="宋体" w:hAnsi="宋体" w:eastAsia="宋体" w:cs="宋体"/>
          <w:color w:val="auto"/>
          <w:highlight w:val="none"/>
        </w:rPr>
        <w:t>招标文件，正式授权下述签字人______(姓名)代表我方______________（投标人的名称），全权处理本次项目投标的有关事宜。</w:t>
      </w:r>
    </w:p>
    <w:p w14:paraId="3D99D967">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据此函，__________签字人兹宣布同意如下：</w:t>
      </w:r>
    </w:p>
    <w:p w14:paraId="0296FC99">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712A756D">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2.我们完全理解贵方不一定将合同授予最低报价的投标人。</w:t>
      </w:r>
    </w:p>
    <w:p w14:paraId="1C1596AE">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2ECE1662">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5D1E06CE">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6DCB6B10">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60CFD457">
      <w:pPr>
        <w:pStyle w:val="14"/>
        <w:spacing w:beforeAutospacing="0" w:afterAutospacing="0" w:line="0" w:lineRule="atLeast"/>
        <w:ind w:firstLine="480"/>
        <w:rPr>
          <w:color w:val="auto"/>
          <w:highlight w:val="none"/>
        </w:rPr>
      </w:pPr>
      <w:r>
        <w:rPr>
          <w:rFonts w:hint="eastAsia" w:ascii="宋体" w:hAnsi="宋体" w:eastAsia="宋体" w:cs="宋体"/>
          <w:color w:val="auto"/>
          <w:highlight w:val="none"/>
        </w:rPr>
        <w:t>7.与本投标有关的正式通讯地址为：</w:t>
      </w:r>
    </w:p>
    <w:p w14:paraId="65210B73">
      <w:pPr>
        <w:pStyle w:val="14"/>
        <w:spacing w:beforeAutospacing="0" w:afterAutospacing="0" w:line="0" w:lineRule="atLeast"/>
        <w:ind w:left="420" w:firstLine="480"/>
        <w:rPr>
          <w:color w:val="auto"/>
          <w:highlight w:val="none"/>
        </w:rPr>
      </w:pPr>
      <w:r>
        <w:rPr>
          <w:rFonts w:hint="eastAsia" w:ascii="宋体" w:hAnsi="宋体" w:eastAsia="宋体" w:cs="宋体"/>
          <w:color w:val="auto"/>
          <w:highlight w:val="none"/>
        </w:rPr>
        <w:t>地          址：</w:t>
      </w:r>
    </w:p>
    <w:p w14:paraId="5E1CACA6">
      <w:pPr>
        <w:pStyle w:val="14"/>
        <w:spacing w:beforeAutospacing="0" w:afterAutospacing="0" w:line="0" w:lineRule="atLeast"/>
        <w:ind w:left="420" w:firstLine="480"/>
        <w:rPr>
          <w:color w:val="auto"/>
          <w:highlight w:val="none"/>
        </w:rPr>
      </w:pPr>
      <w:r>
        <w:rPr>
          <w:rFonts w:hint="eastAsia" w:ascii="宋体" w:hAnsi="宋体" w:eastAsia="宋体" w:cs="宋体"/>
          <w:color w:val="auto"/>
          <w:highlight w:val="none"/>
        </w:rPr>
        <w:t>邮          编：</w:t>
      </w:r>
    </w:p>
    <w:p w14:paraId="4A7F9658">
      <w:pPr>
        <w:pStyle w:val="14"/>
        <w:spacing w:beforeAutospacing="0" w:afterAutospacing="0" w:line="0" w:lineRule="atLeast"/>
        <w:ind w:left="420" w:firstLine="480"/>
        <w:rPr>
          <w:color w:val="auto"/>
          <w:highlight w:val="none"/>
        </w:rPr>
      </w:pPr>
      <w:r>
        <w:rPr>
          <w:rFonts w:hint="eastAsia" w:ascii="宋体" w:hAnsi="宋体" w:eastAsia="宋体" w:cs="宋体"/>
          <w:color w:val="auto"/>
          <w:highlight w:val="none"/>
        </w:rPr>
        <w:t>电          话：</w:t>
      </w:r>
    </w:p>
    <w:p w14:paraId="5AF6DC56">
      <w:pPr>
        <w:pStyle w:val="14"/>
        <w:spacing w:beforeAutospacing="0" w:afterAutospacing="0" w:line="0" w:lineRule="atLeast"/>
        <w:ind w:left="420" w:firstLine="480"/>
        <w:rPr>
          <w:color w:val="auto"/>
          <w:highlight w:val="none"/>
        </w:rPr>
      </w:pPr>
      <w:r>
        <w:rPr>
          <w:rFonts w:hint="eastAsia" w:ascii="宋体" w:hAnsi="宋体" w:eastAsia="宋体" w:cs="宋体"/>
          <w:color w:val="auto"/>
          <w:highlight w:val="none"/>
        </w:rPr>
        <w:t>传          真：</w:t>
      </w:r>
    </w:p>
    <w:p w14:paraId="4CE066C9">
      <w:pPr>
        <w:pStyle w:val="14"/>
        <w:spacing w:beforeAutospacing="0" w:afterAutospacing="0" w:line="0" w:lineRule="atLeast"/>
        <w:ind w:left="420" w:firstLine="480"/>
        <w:rPr>
          <w:color w:val="auto"/>
          <w:highlight w:val="none"/>
        </w:rPr>
      </w:pPr>
      <w:r>
        <w:rPr>
          <w:rFonts w:hint="eastAsia" w:ascii="宋体" w:hAnsi="宋体" w:eastAsia="宋体" w:cs="宋体"/>
          <w:color w:val="auto"/>
          <w:highlight w:val="none"/>
        </w:rPr>
        <w:t>投标人开户行：</w:t>
      </w:r>
    </w:p>
    <w:p w14:paraId="5831478F">
      <w:pPr>
        <w:pStyle w:val="14"/>
        <w:spacing w:beforeAutospacing="0" w:afterAutospacing="0" w:line="0" w:lineRule="atLeast"/>
        <w:ind w:left="420" w:firstLine="480"/>
        <w:rPr>
          <w:color w:val="auto"/>
          <w:highlight w:val="none"/>
        </w:rPr>
      </w:pPr>
      <w:r>
        <w:rPr>
          <w:rFonts w:hint="eastAsia" w:ascii="宋体" w:hAnsi="宋体" w:eastAsia="宋体" w:cs="宋体"/>
          <w:color w:val="auto"/>
          <w:highlight w:val="none"/>
        </w:rPr>
        <w:t xml:space="preserve">账          号： </w:t>
      </w:r>
    </w:p>
    <w:p w14:paraId="3AEF64CF">
      <w:pPr>
        <w:pStyle w:val="14"/>
        <w:spacing w:beforeAutospacing="0" w:afterAutospacing="0" w:line="0" w:lineRule="atLeast"/>
        <w:ind w:left="420" w:firstLine="480"/>
        <w:rPr>
          <w:color w:val="auto"/>
          <w:highlight w:val="none"/>
        </w:rPr>
      </w:pPr>
      <w:r>
        <w:rPr>
          <w:rFonts w:hint="eastAsia" w:ascii="宋体" w:hAnsi="宋体" w:eastAsia="宋体" w:cs="宋体"/>
          <w:color w:val="auto"/>
          <w:highlight w:val="none"/>
        </w:rPr>
        <w:t>日           期：________年____月____日</w:t>
      </w:r>
    </w:p>
    <w:p w14:paraId="651E1465">
      <w:pPr>
        <w:pStyle w:val="14"/>
        <w:spacing w:beforeAutospacing="0" w:afterAutospacing="0" w:line="0" w:lineRule="atLeast"/>
        <w:ind w:firstLine="240"/>
        <w:jc w:val="center"/>
        <w:rPr>
          <w:color w:val="auto"/>
          <w:highlight w:val="none"/>
        </w:rPr>
      </w:pPr>
      <w:r>
        <w:rPr>
          <w:color w:val="auto"/>
          <w:highlight w:val="none"/>
        </w:rPr>
        <w:t> </w:t>
      </w:r>
    </w:p>
    <w:p w14:paraId="02C26FBC">
      <w:pPr>
        <w:pStyle w:val="14"/>
        <w:spacing w:beforeAutospacing="0" w:afterAutospacing="0" w:line="0" w:lineRule="atLeast"/>
        <w:ind w:firstLine="240"/>
        <w:jc w:val="center"/>
        <w:rPr>
          <w:color w:val="auto"/>
          <w:highlight w:val="none"/>
        </w:rPr>
      </w:pPr>
      <w:r>
        <w:rPr>
          <w:color w:val="auto"/>
          <w:highlight w:val="none"/>
        </w:rPr>
        <w:t> </w:t>
      </w:r>
    </w:p>
    <w:p w14:paraId="5B3B70D5">
      <w:pPr>
        <w:pStyle w:val="14"/>
        <w:spacing w:beforeAutospacing="0" w:afterAutospacing="0" w:line="0" w:lineRule="atLeast"/>
        <w:ind w:firstLine="240"/>
        <w:jc w:val="center"/>
        <w:rPr>
          <w:color w:val="auto"/>
          <w:highlight w:val="none"/>
        </w:rPr>
      </w:pPr>
      <w:r>
        <w:rPr>
          <w:color w:val="auto"/>
          <w:highlight w:val="none"/>
        </w:rPr>
        <w:t> </w:t>
      </w:r>
    </w:p>
    <w:p w14:paraId="7926AA33">
      <w:pPr>
        <w:pStyle w:val="14"/>
        <w:spacing w:beforeAutospacing="0" w:afterAutospacing="0" w:line="0" w:lineRule="atLeast"/>
        <w:ind w:firstLine="240"/>
        <w:jc w:val="center"/>
        <w:rPr>
          <w:color w:val="auto"/>
          <w:highlight w:val="none"/>
        </w:rPr>
      </w:pPr>
      <w:r>
        <w:rPr>
          <w:color w:val="auto"/>
          <w:highlight w:val="none"/>
        </w:rPr>
        <w:t> </w:t>
      </w:r>
    </w:p>
    <w:p w14:paraId="4AB6A22A">
      <w:pPr>
        <w:pStyle w:val="14"/>
        <w:spacing w:beforeAutospacing="0" w:afterAutospacing="0" w:line="0" w:lineRule="atLeast"/>
        <w:ind w:firstLine="240"/>
        <w:jc w:val="center"/>
        <w:rPr>
          <w:color w:val="auto"/>
          <w:highlight w:val="none"/>
        </w:rPr>
      </w:pPr>
      <w:r>
        <w:rPr>
          <w:color w:val="auto"/>
          <w:highlight w:val="none"/>
        </w:rPr>
        <w:t> </w:t>
      </w:r>
    </w:p>
    <w:p w14:paraId="60616794">
      <w:pPr>
        <w:pStyle w:val="14"/>
        <w:spacing w:beforeAutospacing="0" w:afterAutospacing="0" w:line="0" w:lineRule="atLeast"/>
        <w:ind w:firstLine="240"/>
        <w:jc w:val="center"/>
        <w:rPr>
          <w:color w:val="auto"/>
          <w:highlight w:val="none"/>
        </w:rPr>
      </w:pPr>
    </w:p>
    <w:p w14:paraId="0A2F031C">
      <w:pPr>
        <w:pStyle w:val="14"/>
        <w:spacing w:beforeAutospacing="0" w:afterAutospacing="0" w:line="0" w:lineRule="atLeast"/>
        <w:ind w:firstLine="240"/>
        <w:jc w:val="center"/>
        <w:rPr>
          <w:color w:val="auto"/>
          <w:highlight w:val="none"/>
        </w:rPr>
      </w:pPr>
    </w:p>
    <w:p w14:paraId="6C2E4C92">
      <w:pPr>
        <w:pStyle w:val="14"/>
        <w:spacing w:beforeAutospacing="0" w:afterAutospacing="0" w:line="0" w:lineRule="atLeast"/>
        <w:ind w:firstLine="240"/>
        <w:jc w:val="center"/>
        <w:rPr>
          <w:color w:val="auto"/>
          <w:highlight w:val="none"/>
        </w:rPr>
      </w:pPr>
    </w:p>
    <w:p w14:paraId="20F22F57">
      <w:pPr>
        <w:pStyle w:val="14"/>
        <w:spacing w:beforeAutospacing="0" w:afterAutospacing="0" w:line="0" w:lineRule="atLeast"/>
        <w:ind w:firstLine="240"/>
        <w:jc w:val="center"/>
        <w:rPr>
          <w:color w:val="auto"/>
          <w:highlight w:val="none"/>
        </w:rPr>
      </w:pPr>
    </w:p>
    <w:p w14:paraId="15B00392">
      <w:pPr>
        <w:pStyle w:val="14"/>
        <w:spacing w:beforeAutospacing="0" w:afterAutospacing="0" w:line="0" w:lineRule="atLeast"/>
        <w:ind w:firstLine="240"/>
        <w:jc w:val="center"/>
        <w:rPr>
          <w:color w:val="auto"/>
          <w:highlight w:val="none"/>
        </w:rPr>
      </w:pPr>
    </w:p>
    <w:p w14:paraId="24EF9FB8">
      <w:pPr>
        <w:pStyle w:val="14"/>
        <w:spacing w:beforeAutospacing="0" w:afterAutospacing="0" w:line="0" w:lineRule="atLeast"/>
        <w:ind w:firstLine="240"/>
        <w:jc w:val="center"/>
        <w:rPr>
          <w:color w:val="auto"/>
          <w:highlight w:val="none"/>
        </w:rPr>
      </w:pPr>
    </w:p>
    <w:p w14:paraId="25048188">
      <w:pPr>
        <w:pStyle w:val="14"/>
        <w:spacing w:beforeAutospacing="0" w:afterAutospacing="0" w:line="0" w:lineRule="atLeast"/>
        <w:ind w:firstLine="240"/>
        <w:jc w:val="center"/>
        <w:rPr>
          <w:color w:val="auto"/>
          <w:highlight w:val="none"/>
        </w:rPr>
      </w:pPr>
    </w:p>
    <w:p w14:paraId="67C442E0">
      <w:pPr>
        <w:pStyle w:val="14"/>
        <w:spacing w:beforeAutospacing="0" w:afterAutospacing="0" w:line="0" w:lineRule="atLeast"/>
        <w:ind w:firstLine="240"/>
        <w:jc w:val="center"/>
        <w:rPr>
          <w:color w:val="auto"/>
          <w:highlight w:val="none"/>
        </w:rPr>
      </w:pPr>
    </w:p>
    <w:p w14:paraId="1813A947">
      <w:pPr>
        <w:pStyle w:val="14"/>
        <w:spacing w:beforeAutospacing="0" w:afterAutospacing="0" w:line="0" w:lineRule="atLeast"/>
        <w:ind w:firstLine="240"/>
        <w:jc w:val="center"/>
        <w:rPr>
          <w:color w:val="auto"/>
          <w:highlight w:val="none"/>
        </w:rPr>
      </w:pPr>
    </w:p>
    <w:p w14:paraId="7582486A">
      <w:pPr>
        <w:pStyle w:val="14"/>
        <w:spacing w:beforeAutospacing="0" w:afterAutospacing="0" w:line="0" w:lineRule="atLeast"/>
        <w:ind w:firstLine="240"/>
        <w:jc w:val="center"/>
        <w:rPr>
          <w:color w:val="auto"/>
          <w:highlight w:val="none"/>
        </w:rPr>
      </w:pPr>
    </w:p>
    <w:p w14:paraId="334494EA">
      <w:pPr>
        <w:pStyle w:val="14"/>
        <w:spacing w:beforeAutospacing="0" w:afterAutospacing="0" w:line="0" w:lineRule="atLeast"/>
        <w:ind w:firstLine="240"/>
        <w:jc w:val="center"/>
        <w:rPr>
          <w:color w:val="auto"/>
          <w:highlight w:val="none"/>
        </w:rPr>
      </w:pPr>
    </w:p>
    <w:p w14:paraId="17B9CC57">
      <w:pPr>
        <w:pStyle w:val="14"/>
        <w:spacing w:beforeAutospacing="0" w:afterAutospacing="0" w:line="0" w:lineRule="atLeast"/>
        <w:jc w:val="center"/>
        <w:rPr>
          <w:color w:val="auto"/>
          <w:highlight w:val="none"/>
        </w:rPr>
      </w:pPr>
      <w:r>
        <w:rPr>
          <w:color w:val="auto"/>
          <w:highlight w:val="none"/>
        </w:rPr>
        <w:t> </w:t>
      </w:r>
    </w:p>
    <w:p w14:paraId="41A7D0CF">
      <w:pPr>
        <w:pStyle w:val="14"/>
        <w:spacing w:beforeAutospacing="0" w:afterAutospacing="0" w:line="0" w:lineRule="atLeast"/>
        <w:jc w:val="center"/>
        <w:rPr>
          <w:rFonts w:hint="eastAsia" w:ascii="黑体" w:hAnsi="宋体" w:eastAsia="黑体" w:cs="黑体"/>
          <w:b/>
          <w:color w:val="auto"/>
          <w:sz w:val="32"/>
          <w:szCs w:val="32"/>
          <w:highlight w:val="none"/>
        </w:rPr>
      </w:pPr>
    </w:p>
    <w:p w14:paraId="33B6696B">
      <w:pPr>
        <w:pStyle w:val="14"/>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九、中小企业声明函（服务）</w:t>
      </w:r>
    </w:p>
    <w:p w14:paraId="3F9086A0">
      <w:pPr>
        <w:pStyle w:val="14"/>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本公司（联合体）郑重声明，根据《政府采购促进中小企业发展管理办法》(财库[2020]46号)的规定，本公司（联合体）参加</w:t>
      </w:r>
      <w:r>
        <w:rPr>
          <w:rFonts w:hint="eastAsia" w:ascii="宋体" w:hAnsi="宋体" w:eastAsia="宋体" w:cs="宋体"/>
          <w:color w:val="auto"/>
          <w:highlight w:val="none"/>
          <w:lang w:eastAsia="zh-CN"/>
        </w:rPr>
        <w:t>江苏锦东信工程咨询有限公司</w:t>
      </w:r>
      <w:r>
        <w:rPr>
          <w:rFonts w:hint="eastAsia" w:ascii="宋体" w:hAnsi="宋体" w:eastAsia="宋体" w:cs="宋体"/>
          <w:color w:val="auto"/>
          <w:highlight w:val="none"/>
        </w:rPr>
        <w:t>组织的</w:t>
      </w:r>
      <w:r>
        <w:rPr>
          <w:rFonts w:hint="eastAsia" w:ascii="宋体" w:hAnsi="宋体" w:eastAsia="宋体" w:cs="宋体"/>
          <w:color w:val="auto"/>
          <w:highlight w:val="none"/>
          <w:u w:val="single"/>
        </w:rPr>
        <w:t>（单位名称）</w:t>
      </w:r>
      <w:r>
        <w:rPr>
          <w:rFonts w:hint="eastAsia" w:ascii="宋体" w:hAnsi="宋体" w:eastAsia="宋体" w:cs="宋体"/>
          <w:color w:val="auto"/>
          <w:highlight w:val="none"/>
        </w:rPr>
        <w:t>采购编号为</w:t>
      </w:r>
      <w:r>
        <w:rPr>
          <w:rFonts w:hint="eastAsia" w:ascii="宋体" w:hAnsi="宋体" w:eastAsia="宋体" w:cs="宋体"/>
          <w:color w:val="auto"/>
          <w:highlight w:val="none"/>
          <w:u w:val="single"/>
        </w:rPr>
        <w:t>***</w:t>
      </w:r>
      <w:r>
        <w:rPr>
          <w:rFonts w:hint="eastAsia" w:ascii="宋体" w:hAnsi="宋体" w:eastAsia="宋体" w:cs="宋体"/>
          <w:color w:val="auto"/>
          <w:highlight w:val="none"/>
        </w:rPr>
        <w:t>，</w:t>
      </w:r>
      <w:r>
        <w:rPr>
          <w:rFonts w:hint="eastAsia" w:ascii="宋体" w:hAnsi="宋体" w:eastAsia="宋体" w:cs="宋体"/>
          <w:color w:val="auto"/>
          <w:highlight w:val="none"/>
          <w:u w:val="single"/>
        </w:rPr>
        <w:t>（项目名称）（分包号：**）</w:t>
      </w:r>
      <w:r>
        <w:rPr>
          <w:rFonts w:hint="eastAsia" w:ascii="宋体" w:hAnsi="宋体" w:eastAsia="宋体" w:cs="宋体"/>
          <w:color w:val="auto"/>
          <w:highlight w:val="none"/>
        </w:rPr>
        <w:t>的采购活动，服务全部由符合政策的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小企业承接。根据《工业和信息化部、国家统计局、国家发展和改革委员会、财政部关于印发中小企业划型标准规定的通知》(工信部联企业[2011]300号)的规定，相关企业（含联合体中的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小企业、签订分包意向协议的</w:t>
      </w:r>
      <w:r>
        <w:rPr>
          <w:rFonts w:hint="eastAsia" w:ascii="宋体" w:hAnsi="宋体" w:eastAsia="宋体" w:cs="宋体"/>
          <w:color w:val="auto"/>
          <w:highlight w:val="none"/>
          <w:lang w:val="en-US" w:eastAsia="zh-CN"/>
        </w:rPr>
        <w:t>中</w:t>
      </w:r>
      <w:r>
        <w:rPr>
          <w:rFonts w:hint="eastAsia" w:ascii="宋体" w:hAnsi="宋体" w:eastAsia="宋体" w:cs="宋体"/>
          <w:color w:val="auto"/>
          <w:highlight w:val="none"/>
        </w:rPr>
        <w:t>小微企业）的具体情况如下：</w:t>
      </w:r>
    </w:p>
    <w:p w14:paraId="6D6167AF">
      <w:pPr>
        <w:pStyle w:val="14"/>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1.</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159C45E7">
      <w:pPr>
        <w:pStyle w:val="14"/>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u w:val="single"/>
        </w:rPr>
        <w:t>（标的名称）</w:t>
      </w:r>
      <w:r>
        <w:rPr>
          <w:rFonts w:hint="eastAsia" w:ascii="宋体" w:hAnsi="宋体" w:eastAsia="宋体" w:cs="宋体"/>
          <w:i/>
          <w:color w:val="auto"/>
          <w:highlight w:val="none"/>
        </w:rPr>
        <w:t>，</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行业；承接企业为</w:t>
      </w:r>
      <w:r>
        <w:rPr>
          <w:rFonts w:hint="eastAsia" w:ascii="宋体" w:hAnsi="宋体" w:eastAsia="宋体" w:cs="宋体"/>
          <w:color w:val="auto"/>
          <w:highlight w:val="none"/>
          <w:u w:val="single"/>
        </w:rPr>
        <w:t>（企业名称）</w:t>
      </w:r>
      <w:r>
        <w:rPr>
          <w:rFonts w:hint="eastAsia" w:ascii="宋体" w:hAnsi="宋体" w:eastAsia="宋体" w:cs="宋体"/>
          <w:color w:val="auto"/>
          <w:highlight w:val="none"/>
        </w:rPr>
        <w:t>，从业人员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万元</w:t>
      </w:r>
      <w:r>
        <w:rPr>
          <w:rFonts w:hint="eastAsia" w:ascii="宋体" w:hAnsi="宋体" w:eastAsia="宋体" w:cs="宋体"/>
          <w:color w:val="auto"/>
          <w:highlight w:val="none"/>
          <w:vertAlign w:val="superscript"/>
        </w:rPr>
        <w:t>1</w:t>
      </w:r>
      <w:r>
        <w:rPr>
          <w:rFonts w:hint="eastAsia" w:ascii="宋体" w:hAnsi="宋体" w:eastAsia="宋体" w:cs="宋体"/>
          <w:color w:val="auto"/>
          <w:highlight w:val="none"/>
        </w:rPr>
        <w:t>，属于</w:t>
      </w:r>
      <w:r>
        <w:rPr>
          <w:rFonts w:hint="eastAsia" w:ascii="宋体" w:hAnsi="宋体" w:eastAsia="宋体" w:cs="宋体"/>
          <w:color w:val="auto"/>
          <w:highlight w:val="none"/>
          <w:u w:val="single"/>
        </w:rPr>
        <w:t>（</w:t>
      </w:r>
      <w:r>
        <w:rPr>
          <w:rFonts w:hint="eastAsia" w:ascii="宋体" w:hAnsi="宋体" w:eastAsia="宋体" w:cs="宋体"/>
          <w:color w:val="auto"/>
          <w:highlight w:val="none"/>
          <w:u w:val="single"/>
          <w:lang w:val="en-US" w:eastAsia="zh-CN"/>
        </w:rPr>
        <w:t>中</w:t>
      </w:r>
      <w:r>
        <w:rPr>
          <w:rFonts w:hint="eastAsia" w:ascii="宋体" w:hAnsi="宋体" w:eastAsia="宋体" w:cs="宋体"/>
          <w:color w:val="auto"/>
          <w:highlight w:val="none"/>
          <w:u w:val="single"/>
        </w:rPr>
        <w:t>型企业</w:t>
      </w:r>
      <w:r>
        <w:rPr>
          <w:rFonts w:hint="eastAsia" w:ascii="宋体" w:hAnsi="宋体" w:eastAsia="宋体" w:cs="宋体"/>
          <w:color w:val="auto"/>
          <w:highlight w:val="none"/>
          <w:u w:val="single"/>
          <w:lang w:eastAsia="zh-CN"/>
        </w:rPr>
        <w:t>、</w:t>
      </w:r>
      <w:r>
        <w:rPr>
          <w:rFonts w:hint="eastAsia" w:ascii="宋体" w:hAnsi="宋体" w:eastAsia="宋体" w:cs="宋体"/>
          <w:color w:val="auto"/>
          <w:highlight w:val="none"/>
          <w:u w:val="single"/>
        </w:rPr>
        <w:t>小型企业、微型企业）；</w:t>
      </w:r>
    </w:p>
    <w:p w14:paraId="2830D4B3">
      <w:pPr>
        <w:pStyle w:val="14"/>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w:t>
      </w:r>
    </w:p>
    <w:p w14:paraId="5C4CB715">
      <w:pPr>
        <w:pStyle w:val="14"/>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以上企业，不属于大企业的分支机构，不存在控股股东为大企业的情形，也不存在与大企业的负责人为同一人的情形。</w:t>
      </w:r>
    </w:p>
    <w:p w14:paraId="7EC51861">
      <w:pPr>
        <w:pStyle w:val="14"/>
        <w:spacing w:beforeAutospacing="0" w:afterAutospacing="0" w:line="0" w:lineRule="atLeast"/>
        <w:ind w:firstLine="360"/>
        <w:jc w:val="both"/>
        <w:rPr>
          <w:color w:val="auto"/>
          <w:highlight w:val="none"/>
        </w:rPr>
      </w:pPr>
      <w:r>
        <w:rPr>
          <w:rFonts w:hint="eastAsia" w:ascii="宋体" w:hAnsi="宋体" w:eastAsia="宋体" w:cs="宋体"/>
          <w:color w:val="auto"/>
          <w:highlight w:val="none"/>
        </w:rPr>
        <w:t>本企业对上述声明内容的真实性负责。如有虚假，将依法承担相应责任</w:t>
      </w:r>
    </w:p>
    <w:p w14:paraId="53229AE0">
      <w:pPr>
        <w:pStyle w:val="14"/>
        <w:spacing w:beforeAutospacing="0" w:afterAutospacing="0" w:line="0" w:lineRule="atLeast"/>
        <w:ind w:right="720"/>
        <w:jc w:val="both"/>
        <w:rPr>
          <w:color w:val="auto"/>
          <w:highlight w:val="none"/>
        </w:rPr>
      </w:pPr>
      <w:r>
        <w:rPr>
          <w:color w:val="auto"/>
          <w:highlight w:val="none"/>
        </w:rPr>
        <w:t> </w:t>
      </w:r>
    </w:p>
    <w:p w14:paraId="13F78299">
      <w:pPr>
        <w:pStyle w:val="14"/>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6485535E">
      <w:pPr>
        <w:pStyle w:val="14"/>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792F5903">
      <w:pPr>
        <w:pStyle w:val="14"/>
        <w:spacing w:beforeAutospacing="0" w:afterAutospacing="0" w:line="0" w:lineRule="atLeast"/>
        <w:ind w:firstLine="240"/>
        <w:jc w:val="both"/>
        <w:rPr>
          <w:color w:val="auto"/>
          <w:highlight w:val="none"/>
        </w:rPr>
      </w:pPr>
      <w:r>
        <w:rPr>
          <w:color w:val="auto"/>
          <w:highlight w:val="none"/>
        </w:rPr>
        <w:t> </w:t>
      </w:r>
    </w:p>
    <w:p w14:paraId="7BD840F2">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CBFFE2B">
      <w:pPr>
        <w:pStyle w:val="14"/>
        <w:spacing w:beforeAutospacing="0" w:afterAutospacing="0" w:line="0" w:lineRule="atLeast"/>
        <w:ind w:firstLine="480"/>
        <w:jc w:val="both"/>
        <w:rPr>
          <w:rFonts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备注2：供应商如不提供此声明函，价格将不做相应扣除（如项目全面面向中小企业，则资格审查不通过）。</w:t>
      </w:r>
    </w:p>
    <w:p w14:paraId="2F7049BF">
      <w:pPr>
        <w:pStyle w:val="14"/>
        <w:spacing w:beforeAutospacing="0" w:afterAutospacing="0" w:line="0" w:lineRule="atLeast"/>
        <w:jc w:val="center"/>
        <w:rPr>
          <w:color w:val="auto"/>
          <w:highlight w:val="none"/>
        </w:rPr>
      </w:pPr>
      <w:r>
        <w:rPr>
          <w:rFonts w:hint="eastAsia" w:ascii="宋体" w:hAnsi="宋体" w:eastAsia="宋体" w:cs="宋体"/>
          <w:color w:val="auto"/>
          <w:highlight w:val="none"/>
        </w:rPr>
        <w:br w:type="page"/>
      </w:r>
      <w:r>
        <w:rPr>
          <w:rFonts w:hint="eastAsia" w:ascii="黑体" w:hAnsi="宋体" w:eastAsia="黑体" w:cs="黑体"/>
          <w:b/>
          <w:color w:val="auto"/>
          <w:sz w:val="32"/>
          <w:szCs w:val="32"/>
          <w:highlight w:val="none"/>
        </w:rPr>
        <w:t>十、残疾人福利性单位声明函</w:t>
      </w:r>
    </w:p>
    <w:p w14:paraId="41670CC8">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项目（分包号：**）采购活动由本单位提供服务。</w:t>
      </w:r>
    </w:p>
    <w:p w14:paraId="71A5D92F">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05B6D7F5">
      <w:pPr>
        <w:pStyle w:val="14"/>
        <w:spacing w:beforeAutospacing="0" w:afterAutospacing="0" w:line="0" w:lineRule="atLeast"/>
        <w:ind w:firstLine="480"/>
        <w:jc w:val="both"/>
        <w:rPr>
          <w:color w:val="auto"/>
          <w:highlight w:val="none"/>
        </w:rPr>
      </w:pPr>
      <w:r>
        <w:rPr>
          <w:color w:val="auto"/>
          <w:highlight w:val="none"/>
        </w:rPr>
        <w:t> </w:t>
      </w:r>
    </w:p>
    <w:p w14:paraId="5CAE76AA">
      <w:pPr>
        <w:pStyle w:val="14"/>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（备注：1、供应商如不提供此声明函，价格将不做相应扣除（如项目全面面向中小企业，则资格审查不通过）。2、中标人为残疾人福利单位的，此声明函将随中标结果同时公告，接受社会监督）</w:t>
      </w:r>
    </w:p>
    <w:p w14:paraId="368DEBBD">
      <w:pPr>
        <w:pStyle w:val="14"/>
        <w:spacing w:beforeAutospacing="0" w:afterAutospacing="0" w:line="0" w:lineRule="atLeast"/>
        <w:ind w:firstLine="624"/>
        <w:jc w:val="both"/>
        <w:rPr>
          <w:color w:val="auto"/>
          <w:highlight w:val="none"/>
        </w:rPr>
      </w:pPr>
      <w:r>
        <w:rPr>
          <w:color w:val="auto"/>
          <w:highlight w:val="none"/>
        </w:rPr>
        <w:t> </w:t>
      </w:r>
    </w:p>
    <w:p w14:paraId="3E09C217">
      <w:pPr>
        <w:pStyle w:val="14"/>
        <w:tabs>
          <w:tab w:val="left" w:pos="4864"/>
        </w:tabs>
        <w:spacing w:beforeAutospacing="0" w:afterAutospacing="0" w:line="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2232185B">
      <w:pPr>
        <w:pStyle w:val="14"/>
        <w:tabs>
          <w:tab w:val="left" w:pos="4864"/>
        </w:tabs>
        <w:spacing w:beforeAutospacing="0" w:afterAutospacing="0" w:line="0" w:lineRule="atLeast"/>
        <w:ind w:right="1560" w:firstLine="480"/>
        <w:jc w:val="center"/>
        <w:rPr>
          <w:color w:val="auto"/>
          <w:highlight w:val="none"/>
        </w:rPr>
      </w:pPr>
      <w:r>
        <w:rPr>
          <w:rFonts w:hint="eastAsia" w:ascii="宋体" w:hAnsi="宋体" w:eastAsia="宋体" w:cs="宋体"/>
          <w:color w:val="auto"/>
          <w:highlight w:val="none"/>
        </w:rPr>
        <w:t>        日  期：</w:t>
      </w:r>
    </w:p>
    <w:p w14:paraId="5B86FBAF">
      <w:pPr>
        <w:pStyle w:val="14"/>
        <w:spacing w:beforeAutospacing="0" w:afterAutospacing="0" w:line="0" w:lineRule="atLeast"/>
        <w:jc w:val="center"/>
        <w:rPr>
          <w:color w:val="auto"/>
          <w:highlight w:val="none"/>
        </w:rPr>
      </w:pPr>
      <w:r>
        <w:rPr>
          <w:color w:val="auto"/>
          <w:highlight w:val="none"/>
        </w:rPr>
        <w:t> </w:t>
      </w:r>
    </w:p>
    <w:p w14:paraId="452EA9AF">
      <w:pPr>
        <w:pStyle w:val="14"/>
        <w:spacing w:beforeAutospacing="0" w:afterAutospacing="0" w:line="0" w:lineRule="atLeast"/>
        <w:jc w:val="center"/>
        <w:rPr>
          <w:color w:val="auto"/>
          <w:highlight w:val="none"/>
        </w:rPr>
      </w:pPr>
      <w:r>
        <w:rPr>
          <w:color w:val="auto"/>
          <w:highlight w:val="none"/>
        </w:rPr>
        <w:t> </w:t>
      </w:r>
    </w:p>
    <w:p w14:paraId="56AE0964">
      <w:pPr>
        <w:pStyle w:val="14"/>
        <w:spacing w:beforeAutospacing="0" w:afterAutospacing="0" w:line="0" w:lineRule="atLeast"/>
        <w:jc w:val="center"/>
        <w:rPr>
          <w:color w:val="auto"/>
          <w:highlight w:val="none"/>
        </w:rPr>
      </w:pPr>
      <w:r>
        <w:rPr>
          <w:color w:val="auto"/>
          <w:highlight w:val="none"/>
        </w:rPr>
        <w:t> </w:t>
      </w:r>
    </w:p>
    <w:p w14:paraId="0B2167EA">
      <w:pPr>
        <w:pStyle w:val="14"/>
        <w:spacing w:beforeAutospacing="0" w:afterAutospacing="0" w:line="0" w:lineRule="atLeast"/>
        <w:jc w:val="center"/>
        <w:rPr>
          <w:color w:val="auto"/>
          <w:highlight w:val="none"/>
        </w:rPr>
      </w:pPr>
      <w:r>
        <w:rPr>
          <w:color w:val="auto"/>
          <w:highlight w:val="none"/>
        </w:rPr>
        <w:t> </w:t>
      </w:r>
    </w:p>
    <w:p w14:paraId="6DA06ED6">
      <w:pPr>
        <w:pStyle w:val="14"/>
        <w:spacing w:beforeAutospacing="0" w:afterAutospacing="0" w:line="0" w:lineRule="atLeast"/>
        <w:jc w:val="center"/>
        <w:rPr>
          <w:color w:val="auto"/>
          <w:highlight w:val="none"/>
        </w:rPr>
      </w:pPr>
      <w:r>
        <w:rPr>
          <w:color w:val="auto"/>
          <w:highlight w:val="none"/>
        </w:rPr>
        <w:t> </w:t>
      </w:r>
    </w:p>
    <w:p w14:paraId="7F892D0A">
      <w:pPr>
        <w:pStyle w:val="14"/>
        <w:spacing w:beforeAutospacing="0" w:afterAutospacing="0" w:line="0" w:lineRule="atLeast"/>
        <w:jc w:val="center"/>
        <w:rPr>
          <w:color w:val="auto"/>
          <w:highlight w:val="none"/>
        </w:rPr>
      </w:pPr>
      <w:r>
        <w:rPr>
          <w:color w:val="auto"/>
          <w:highlight w:val="none"/>
        </w:rPr>
        <w:t> </w:t>
      </w:r>
    </w:p>
    <w:p w14:paraId="548908C5">
      <w:pPr>
        <w:pStyle w:val="14"/>
        <w:spacing w:beforeAutospacing="0" w:afterAutospacing="0" w:line="0" w:lineRule="atLeast"/>
        <w:jc w:val="center"/>
        <w:rPr>
          <w:color w:val="auto"/>
          <w:highlight w:val="none"/>
        </w:rPr>
      </w:pPr>
      <w:r>
        <w:rPr>
          <w:color w:val="auto"/>
          <w:highlight w:val="none"/>
        </w:rPr>
        <w:t> </w:t>
      </w:r>
    </w:p>
    <w:p w14:paraId="48E0EC94">
      <w:pPr>
        <w:pStyle w:val="14"/>
        <w:spacing w:beforeAutospacing="0" w:afterAutospacing="0" w:line="0" w:lineRule="atLeast"/>
        <w:jc w:val="center"/>
        <w:rPr>
          <w:color w:val="auto"/>
          <w:highlight w:val="none"/>
        </w:rPr>
      </w:pPr>
      <w:r>
        <w:rPr>
          <w:color w:val="auto"/>
          <w:highlight w:val="none"/>
        </w:rPr>
        <w:t> </w:t>
      </w:r>
    </w:p>
    <w:p w14:paraId="6F8F519E">
      <w:pPr>
        <w:pStyle w:val="14"/>
        <w:spacing w:beforeAutospacing="0" w:afterAutospacing="0" w:line="0" w:lineRule="atLeast"/>
        <w:jc w:val="center"/>
        <w:rPr>
          <w:color w:val="auto"/>
          <w:highlight w:val="none"/>
        </w:rPr>
      </w:pPr>
    </w:p>
    <w:p w14:paraId="2BAE9F23">
      <w:pPr>
        <w:pStyle w:val="14"/>
        <w:spacing w:beforeAutospacing="0" w:afterAutospacing="0" w:line="0" w:lineRule="atLeast"/>
        <w:jc w:val="center"/>
        <w:rPr>
          <w:color w:val="auto"/>
          <w:highlight w:val="none"/>
        </w:rPr>
      </w:pPr>
    </w:p>
    <w:p w14:paraId="51D75F66">
      <w:pPr>
        <w:pStyle w:val="14"/>
        <w:spacing w:beforeAutospacing="0" w:afterAutospacing="0" w:line="0" w:lineRule="atLeast"/>
        <w:jc w:val="center"/>
        <w:rPr>
          <w:color w:val="auto"/>
          <w:highlight w:val="none"/>
        </w:rPr>
      </w:pPr>
    </w:p>
    <w:p w14:paraId="40F6A71A">
      <w:pPr>
        <w:pStyle w:val="14"/>
        <w:spacing w:beforeAutospacing="0" w:afterAutospacing="0" w:line="0" w:lineRule="atLeast"/>
        <w:jc w:val="center"/>
        <w:rPr>
          <w:color w:val="auto"/>
          <w:highlight w:val="none"/>
        </w:rPr>
      </w:pPr>
    </w:p>
    <w:p w14:paraId="494A6B4E">
      <w:pPr>
        <w:pStyle w:val="14"/>
        <w:spacing w:beforeAutospacing="0" w:afterAutospacing="0" w:line="0" w:lineRule="atLeast"/>
        <w:jc w:val="center"/>
        <w:rPr>
          <w:color w:val="auto"/>
          <w:highlight w:val="none"/>
        </w:rPr>
      </w:pPr>
    </w:p>
    <w:p w14:paraId="54820F39">
      <w:pPr>
        <w:pStyle w:val="14"/>
        <w:spacing w:beforeAutospacing="0" w:afterAutospacing="0" w:line="0" w:lineRule="atLeast"/>
        <w:jc w:val="center"/>
        <w:rPr>
          <w:color w:val="auto"/>
          <w:highlight w:val="none"/>
        </w:rPr>
      </w:pPr>
    </w:p>
    <w:p w14:paraId="7A37864E">
      <w:pPr>
        <w:pStyle w:val="14"/>
        <w:spacing w:beforeAutospacing="0" w:afterAutospacing="0" w:line="0" w:lineRule="atLeast"/>
        <w:jc w:val="center"/>
        <w:rPr>
          <w:color w:val="auto"/>
          <w:highlight w:val="none"/>
        </w:rPr>
      </w:pPr>
    </w:p>
    <w:p w14:paraId="4B8AE178">
      <w:pPr>
        <w:pStyle w:val="14"/>
        <w:spacing w:beforeAutospacing="0" w:afterAutospacing="0" w:line="0" w:lineRule="atLeast"/>
        <w:jc w:val="center"/>
        <w:rPr>
          <w:color w:val="auto"/>
          <w:highlight w:val="none"/>
        </w:rPr>
      </w:pPr>
    </w:p>
    <w:p w14:paraId="745070DF">
      <w:pPr>
        <w:pStyle w:val="14"/>
        <w:spacing w:beforeAutospacing="0" w:afterAutospacing="0" w:line="0" w:lineRule="atLeast"/>
        <w:jc w:val="center"/>
        <w:rPr>
          <w:color w:val="auto"/>
          <w:highlight w:val="none"/>
        </w:rPr>
      </w:pPr>
    </w:p>
    <w:p w14:paraId="3CEB066A">
      <w:pPr>
        <w:pStyle w:val="14"/>
        <w:spacing w:beforeAutospacing="0" w:afterAutospacing="0" w:line="0" w:lineRule="atLeast"/>
        <w:jc w:val="center"/>
        <w:rPr>
          <w:color w:val="auto"/>
          <w:highlight w:val="none"/>
        </w:rPr>
      </w:pPr>
    </w:p>
    <w:p w14:paraId="298BC17A">
      <w:pPr>
        <w:pStyle w:val="14"/>
        <w:spacing w:beforeAutospacing="0" w:afterAutospacing="0" w:line="0" w:lineRule="atLeast"/>
        <w:jc w:val="center"/>
        <w:rPr>
          <w:color w:val="auto"/>
          <w:highlight w:val="none"/>
        </w:rPr>
      </w:pPr>
    </w:p>
    <w:p w14:paraId="1BCB410C">
      <w:pPr>
        <w:pStyle w:val="14"/>
        <w:spacing w:beforeAutospacing="0" w:afterAutospacing="0" w:line="0" w:lineRule="atLeast"/>
        <w:jc w:val="center"/>
        <w:rPr>
          <w:color w:val="auto"/>
          <w:highlight w:val="none"/>
        </w:rPr>
      </w:pPr>
    </w:p>
    <w:p w14:paraId="230EDB1C">
      <w:pPr>
        <w:pStyle w:val="14"/>
        <w:spacing w:beforeAutospacing="0" w:afterAutospacing="0" w:line="0" w:lineRule="atLeast"/>
        <w:jc w:val="center"/>
        <w:rPr>
          <w:color w:val="auto"/>
          <w:highlight w:val="none"/>
        </w:rPr>
      </w:pPr>
    </w:p>
    <w:p w14:paraId="5148D040">
      <w:pPr>
        <w:pStyle w:val="14"/>
        <w:spacing w:beforeAutospacing="0" w:afterAutospacing="0" w:line="0" w:lineRule="atLeast"/>
        <w:jc w:val="center"/>
        <w:rPr>
          <w:color w:val="auto"/>
          <w:highlight w:val="none"/>
        </w:rPr>
      </w:pPr>
    </w:p>
    <w:p w14:paraId="46FC1044">
      <w:pPr>
        <w:pStyle w:val="14"/>
        <w:spacing w:beforeAutospacing="0" w:afterAutospacing="0" w:line="0" w:lineRule="atLeast"/>
        <w:jc w:val="center"/>
        <w:rPr>
          <w:color w:val="auto"/>
          <w:highlight w:val="none"/>
        </w:rPr>
      </w:pPr>
    </w:p>
    <w:p w14:paraId="52AC1B97">
      <w:pPr>
        <w:pStyle w:val="14"/>
        <w:spacing w:beforeAutospacing="0" w:afterAutospacing="0" w:line="0" w:lineRule="atLeast"/>
        <w:jc w:val="center"/>
        <w:rPr>
          <w:color w:val="auto"/>
          <w:highlight w:val="none"/>
        </w:rPr>
      </w:pPr>
    </w:p>
    <w:p w14:paraId="10BEE863">
      <w:pPr>
        <w:pStyle w:val="14"/>
        <w:spacing w:beforeAutospacing="0" w:afterAutospacing="0" w:line="0" w:lineRule="atLeast"/>
        <w:jc w:val="center"/>
        <w:rPr>
          <w:color w:val="auto"/>
          <w:highlight w:val="none"/>
        </w:rPr>
      </w:pPr>
    </w:p>
    <w:p w14:paraId="70555320">
      <w:pPr>
        <w:pStyle w:val="14"/>
        <w:spacing w:beforeAutospacing="0" w:afterAutospacing="0" w:line="0" w:lineRule="atLeast"/>
        <w:jc w:val="center"/>
        <w:rPr>
          <w:color w:val="auto"/>
          <w:highlight w:val="none"/>
        </w:rPr>
      </w:pPr>
    </w:p>
    <w:p w14:paraId="769D36A0">
      <w:pPr>
        <w:pStyle w:val="14"/>
        <w:spacing w:beforeAutospacing="0" w:afterAutospacing="0" w:line="0" w:lineRule="atLeast"/>
        <w:jc w:val="center"/>
        <w:rPr>
          <w:color w:val="auto"/>
          <w:highlight w:val="none"/>
        </w:rPr>
      </w:pPr>
    </w:p>
    <w:p w14:paraId="7B9DC95B">
      <w:pPr>
        <w:pStyle w:val="14"/>
        <w:spacing w:beforeAutospacing="0" w:afterAutospacing="0" w:line="0" w:lineRule="atLeast"/>
        <w:jc w:val="center"/>
        <w:rPr>
          <w:color w:val="auto"/>
          <w:highlight w:val="none"/>
        </w:rPr>
      </w:pPr>
    </w:p>
    <w:p w14:paraId="16216E98">
      <w:pPr>
        <w:pStyle w:val="14"/>
        <w:spacing w:beforeAutospacing="0" w:afterAutospacing="0" w:line="0" w:lineRule="atLeast"/>
        <w:jc w:val="center"/>
        <w:rPr>
          <w:color w:val="auto"/>
          <w:highlight w:val="none"/>
        </w:rPr>
      </w:pPr>
    </w:p>
    <w:p w14:paraId="06EC23AC">
      <w:pPr>
        <w:pStyle w:val="14"/>
        <w:spacing w:beforeAutospacing="0" w:afterAutospacing="0" w:line="0" w:lineRule="atLeast"/>
        <w:jc w:val="center"/>
        <w:rPr>
          <w:color w:val="auto"/>
          <w:highlight w:val="none"/>
        </w:rPr>
      </w:pPr>
    </w:p>
    <w:p w14:paraId="37DAD4A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rFonts w:ascii="黑体" w:hAnsi="宋体" w:eastAsia="黑体" w:cs="黑体"/>
          <w:b/>
          <w:bCs/>
          <w:color w:val="FF0000"/>
          <w:sz w:val="32"/>
          <w:szCs w:val="32"/>
        </w:rPr>
      </w:pPr>
    </w:p>
    <w:p w14:paraId="776905E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pPr>
      <w:r>
        <w:rPr>
          <w:rFonts w:ascii="黑体" w:hAnsi="宋体" w:eastAsia="黑体" w:cs="黑体"/>
          <w:b/>
          <w:bCs/>
          <w:color w:val="FF0000"/>
          <w:sz w:val="32"/>
          <w:szCs w:val="32"/>
        </w:rPr>
        <w:t>十一、 关于符合本国产品标准的声明函（</w:t>
      </w:r>
      <w:r>
        <w:rPr>
          <w:rFonts w:hint="eastAsia" w:ascii="黑体" w:hAnsi="宋体" w:eastAsia="黑体" w:cs="黑体"/>
          <w:b/>
          <w:bCs/>
          <w:color w:val="FF0000"/>
          <w:sz w:val="32"/>
          <w:szCs w:val="32"/>
          <w:lang w:val="en-US" w:eastAsia="zh-CN"/>
        </w:rPr>
        <w:t>如有</w:t>
      </w:r>
      <w:r>
        <w:rPr>
          <w:rFonts w:ascii="黑体" w:hAnsi="宋体" w:eastAsia="黑体" w:cs="黑体"/>
          <w:b/>
          <w:bCs/>
          <w:color w:val="FF0000"/>
          <w:sz w:val="32"/>
          <w:szCs w:val="32"/>
        </w:rPr>
        <w:t>）</w:t>
      </w:r>
    </w:p>
    <w:p w14:paraId="3D48EB6C">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pPr>
      <w:r>
        <w:rPr>
          <w:rFonts w:ascii="Arial" w:hAnsi="Arial" w:cs="Arial"/>
          <w:color w:val="FF0000"/>
          <w:sz w:val="24"/>
          <w:szCs w:val="24"/>
        </w:rPr>
        <w:t> </w:t>
      </w:r>
    </w:p>
    <w:p w14:paraId="311B4E8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bCs/>
        </w:rPr>
      </w:pPr>
      <w:r>
        <w:rPr>
          <w:rFonts w:ascii="宋体" w:hAnsi="宋体" w:eastAsia="宋体" w:cs="宋体"/>
          <w:b/>
          <w:bCs/>
          <w:color w:val="FF0000"/>
          <w:sz w:val="24"/>
          <w:szCs w:val="24"/>
        </w:rPr>
        <w:t>本公司（单位）郑重声明，根据《国务院办公厅关于在政府采购中实施本国产品标准及相关政策的通知》（国办发〔2025〕34号）的规定，本公司（单位）提供的以下产品属于本国产品。具体情况如下：</w:t>
      </w:r>
    </w:p>
    <w:p w14:paraId="5A8AFE73">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1.</w:t>
      </w:r>
      <w:r>
        <w:rPr>
          <w:rFonts w:ascii="宋体" w:hAnsi="宋体" w:eastAsia="宋体" w:cs="宋体"/>
          <w:b/>
          <w:bCs/>
          <w:color w:val="FF0000"/>
          <w:sz w:val="24"/>
          <w:szCs w:val="24"/>
          <w:u w:val="single"/>
          <w:shd w:val="clear" w:fill="FFFFFF"/>
        </w:rPr>
        <w:t>（产品名称1）</w:t>
      </w:r>
      <w:r>
        <w:rPr>
          <w:rFonts w:ascii="宋体" w:hAnsi="宋体" w:eastAsia="宋体" w:cs="宋体"/>
          <w:b/>
          <w:bCs/>
          <w:color w:val="FF0000"/>
          <w:sz w:val="24"/>
          <w:szCs w:val="24"/>
          <w:shd w:val="clear" w:fill="FFFFFF"/>
          <w:vertAlign w:val="superscript"/>
        </w:rPr>
        <w:t>1</w:t>
      </w:r>
      <w:r>
        <w:rPr>
          <w:rFonts w:ascii="宋体" w:hAnsi="宋体" w:eastAsia="宋体" w:cs="宋体"/>
          <w:b/>
          <w:bCs/>
          <w:color w:val="FF0000"/>
          <w:sz w:val="24"/>
          <w:szCs w:val="24"/>
          <w:shd w:val="clear" w:fill="FFFFFF"/>
        </w:rPr>
        <w:t>，生产厂为</w:t>
      </w:r>
      <w:r>
        <w:rPr>
          <w:rFonts w:ascii="宋体" w:hAnsi="宋体" w:eastAsia="宋体" w:cs="宋体"/>
          <w:b/>
          <w:bCs/>
          <w:color w:val="FF0000"/>
          <w:sz w:val="24"/>
          <w:szCs w:val="24"/>
          <w:u w:val="single"/>
          <w:shd w:val="clear" w:fill="FFFFFF"/>
        </w:rPr>
        <w:t>（厂名）</w:t>
      </w:r>
      <w:r>
        <w:rPr>
          <w:rFonts w:ascii="宋体" w:hAnsi="宋体" w:eastAsia="宋体" w:cs="宋体"/>
          <w:b/>
          <w:bCs/>
          <w:color w:val="FF0000"/>
          <w:sz w:val="24"/>
          <w:szCs w:val="24"/>
          <w:shd w:val="clear" w:fill="FFFFFF"/>
          <w:vertAlign w:val="superscript"/>
        </w:rPr>
        <w:t>2</w:t>
      </w:r>
      <w:r>
        <w:rPr>
          <w:rFonts w:ascii="宋体" w:hAnsi="宋体" w:eastAsia="宋体" w:cs="宋体"/>
          <w:b/>
          <w:bCs/>
          <w:color w:val="FF0000"/>
          <w:sz w:val="24"/>
          <w:szCs w:val="24"/>
          <w:shd w:val="clear" w:fill="FFFFFF"/>
        </w:rPr>
        <w:t>，厂址为</w:t>
      </w:r>
      <w:r>
        <w:rPr>
          <w:rFonts w:ascii="宋体" w:hAnsi="宋体" w:eastAsia="宋体" w:cs="宋体"/>
          <w:b/>
          <w:bCs/>
          <w:color w:val="FF0000"/>
          <w:sz w:val="24"/>
          <w:szCs w:val="24"/>
          <w:u w:val="single"/>
          <w:shd w:val="clear" w:fill="FFFFFF"/>
        </w:rPr>
        <w:t>（生产厂址）</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 （产品名称1）</w:t>
      </w:r>
      <w:r>
        <w:rPr>
          <w:rFonts w:ascii="宋体" w:hAnsi="宋体" w:eastAsia="宋体" w:cs="宋体"/>
          <w:b/>
          <w:bCs/>
          <w:color w:val="FF0000"/>
          <w:sz w:val="24"/>
          <w:szCs w:val="24"/>
          <w:u w:val="single"/>
          <w:shd w:val="clear" w:fill="FFFFFF"/>
        </w:rPr>
        <w:t> </w:t>
      </w:r>
      <w:r>
        <w:rPr>
          <w:rFonts w:ascii="宋体" w:hAnsi="宋体" w:eastAsia="宋体" w:cs="宋体"/>
          <w:b/>
          <w:bCs/>
          <w:color w:val="FF0000"/>
          <w:sz w:val="24"/>
          <w:szCs w:val="24"/>
          <w:shd w:val="clear" w:fill="FFFFFF"/>
        </w:rPr>
        <w:t>的中国境内生产的组件成本占比≥</w:t>
      </w:r>
      <w:r>
        <w:rPr>
          <w:rFonts w:ascii="宋体" w:hAnsi="宋体" w:eastAsia="宋体" w:cs="宋体"/>
          <w:b/>
          <w:bCs/>
          <w:strike/>
          <w:dstrike w:val="0"/>
          <w:color w:val="FF0000"/>
          <w:sz w:val="24"/>
          <w:szCs w:val="24"/>
          <w:u w:val="single"/>
          <w:shd w:val="clear" w:fill="FFFFFF"/>
        </w:rPr>
        <w:t>（规定比例）</w:t>
      </w:r>
      <w:r>
        <w:rPr>
          <w:rFonts w:ascii="宋体" w:hAnsi="宋体" w:eastAsia="宋体" w:cs="宋体"/>
          <w:b/>
          <w:bCs/>
          <w:strike/>
          <w:dstrike w:val="0"/>
          <w:color w:val="FF0000"/>
          <w:sz w:val="24"/>
          <w:szCs w:val="24"/>
          <w:shd w:val="clear" w:fill="FFFFFF"/>
          <w:vertAlign w:val="superscript"/>
        </w:rPr>
        <w:t>3</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（关键组件）</w:t>
      </w:r>
      <w:r>
        <w:rPr>
          <w:rFonts w:ascii="宋体" w:hAnsi="宋体" w:eastAsia="宋体" w:cs="宋体"/>
          <w:b/>
          <w:bCs/>
          <w:strike/>
          <w:dstrike w:val="0"/>
          <w:color w:val="FF0000"/>
          <w:sz w:val="24"/>
          <w:szCs w:val="24"/>
          <w:shd w:val="clear" w:fill="FFFFFF"/>
          <w:vertAlign w:val="superscript"/>
        </w:rPr>
        <w:t>4</w:t>
      </w:r>
      <w:r>
        <w:rPr>
          <w:rFonts w:ascii="宋体" w:hAnsi="宋体" w:eastAsia="宋体" w:cs="宋体"/>
          <w:b/>
          <w:bCs/>
          <w:color w:val="FF0000"/>
          <w:sz w:val="24"/>
          <w:szCs w:val="24"/>
          <w:shd w:val="clear" w:fill="FFFFFF"/>
        </w:rPr>
        <w:t>在中国境内生产。</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（关键工序）</w:t>
      </w:r>
      <w:r>
        <w:rPr>
          <w:rFonts w:ascii="宋体" w:hAnsi="宋体" w:eastAsia="宋体" w:cs="宋体"/>
          <w:b/>
          <w:bCs/>
          <w:strike/>
          <w:dstrike w:val="0"/>
          <w:color w:val="FF0000"/>
          <w:sz w:val="24"/>
          <w:szCs w:val="24"/>
          <w:shd w:val="clear" w:fill="FFFFFF"/>
          <w:vertAlign w:val="superscript"/>
        </w:rPr>
        <w:t>5</w:t>
      </w:r>
      <w:r>
        <w:rPr>
          <w:rFonts w:ascii="宋体" w:hAnsi="宋体" w:eastAsia="宋体" w:cs="宋体"/>
          <w:b/>
          <w:bCs/>
          <w:color w:val="FF0000"/>
          <w:sz w:val="24"/>
          <w:szCs w:val="24"/>
          <w:shd w:val="clear" w:fill="FFFFFF"/>
        </w:rPr>
        <w:t>在中国境内完成。</w:t>
      </w:r>
    </w:p>
    <w:p w14:paraId="20758D95">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2.</w:t>
      </w:r>
      <w:r>
        <w:rPr>
          <w:rFonts w:ascii="宋体" w:hAnsi="宋体" w:eastAsia="宋体" w:cs="宋体"/>
          <w:b/>
          <w:bCs/>
          <w:color w:val="FF0000"/>
          <w:sz w:val="24"/>
          <w:szCs w:val="24"/>
          <w:u w:val="single"/>
          <w:shd w:val="clear" w:fill="FFFFFF"/>
        </w:rPr>
        <w:t>（产品名称2）</w:t>
      </w:r>
      <w:r>
        <w:rPr>
          <w:rFonts w:ascii="宋体" w:hAnsi="宋体" w:eastAsia="宋体" w:cs="宋体"/>
          <w:b/>
          <w:bCs/>
          <w:color w:val="FF0000"/>
          <w:sz w:val="24"/>
          <w:szCs w:val="24"/>
          <w:shd w:val="clear" w:fill="FFFFFF"/>
        </w:rPr>
        <w:t>，生产厂为</w:t>
      </w:r>
      <w:r>
        <w:rPr>
          <w:rFonts w:ascii="宋体" w:hAnsi="宋体" w:eastAsia="宋体" w:cs="宋体"/>
          <w:b/>
          <w:bCs/>
          <w:color w:val="FF0000"/>
          <w:sz w:val="24"/>
          <w:szCs w:val="24"/>
          <w:u w:val="single"/>
          <w:shd w:val="clear" w:fill="FFFFFF"/>
        </w:rPr>
        <w:t>（厂名）</w:t>
      </w:r>
      <w:r>
        <w:rPr>
          <w:rFonts w:ascii="宋体" w:hAnsi="宋体" w:eastAsia="宋体" w:cs="宋体"/>
          <w:b/>
          <w:bCs/>
          <w:color w:val="FF0000"/>
          <w:sz w:val="24"/>
          <w:szCs w:val="24"/>
          <w:shd w:val="clear" w:fill="FFFFFF"/>
        </w:rPr>
        <w:t>，厂址为</w:t>
      </w:r>
      <w:r>
        <w:rPr>
          <w:rFonts w:ascii="宋体" w:hAnsi="宋体" w:eastAsia="宋体" w:cs="宋体"/>
          <w:b/>
          <w:bCs/>
          <w:color w:val="FF0000"/>
          <w:sz w:val="24"/>
          <w:szCs w:val="24"/>
          <w:u w:val="single"/>
          <w:shd w:val="clear" w:fill="FFFFFF"/>
        </w:rPr>
        <w:t>（生产厂址）</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（产品名称2）</w:t>
      </w:r>
      <w:r>
        <w:rPr>
          <w:rFonts w:ascii="宋体" w:hAnsi="宋体" w:eastAsia="宋体" w:cs="宋体"/>
          <w:b/>
          <w:bCs/>
          <w:color w:val="FF0000"/>
          <w:sz w:val="24"/>
          <w:szCs w:val="24"/>
          <w:shd w:val="clear" w:fill="FFFFFF"/>
        </w:rPr>
        <w:t>的中国境内生产的组件成本占比≥</w:t>
      </w:r>
      <w:r>
        <w:rPr>
          <w:rFonts w:ascii="宋体" w:hAnsi="宋体" w:eastAsia="宋体" w:cs="宋体"/>
          <w:b/>
          <w:bCs/>
          <w:strike/>
          <w:dstrike w:val="0"/>
          <w:color w:val="FF0000"/>
          <w:sz w:val="24"/>
          <w:szCs w:val="24"/>
          <w:u w:val="single"/>
          <w:shd w:val="clear" w:fill="FFFFFF"/>
        </w:rPr>
        <w:t>（规定比例）</w:t>
      </w:r>
      <w:r>
        <w:rPr>
          <w:rFonts w:ascii="宋体" w:hAnsi="宋体" w:eastAsia="宋体" w:cs="宋体"/>
          <w:b/>
          <w:bCs/>
          <w:color w:val="FF0000"/>
          <w:sz w:val="24"/>
          <w:szCs w:val="24"/>
          <w:shd w:val="clear" w:fill="FFFFFF"/>
        </w:rPr>
        <w:t>。</w:t>
      </w:r>
      <w:r>
        <w:rPr>
          <w:rFonts w:ascii="宋体" w:hAnsi="宋体" w:eastAsia="宋体" w:cs="宋体"/>
          <w:b/>
          <w:bCs/>
          <w:strike/>
          <w:dstrike w:val="0"/>
          <w:color w:val="FF0000"/>
          <w:sz w:val="24"/>
          <w:szCs w:val="24"/>
          <w:u w:val="single"/>
          <w:shd w:val="clear" w:fill="FFFFFF"/>
        </w:rPr>
        <w:t>（产品名称2）</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（关键组件）</w:t>
      </w:r>
      <w:r>
        <w:rPr>
          <w:rFonts w:ascii="宋体" w:hAnsi="宋体" w:eastAsia="宋体" w:cs="宋体"/>
          <w:b/>
          <w:bCs/>
          <w:color w:val="FF0000"/>
          <w:sz w:val="24"/>
          <w:szCs w:val="24"/>
          <w:shd w:val="clear" w:fill="FFFFFF"/>
        </w:rPr>
        <w:t>在中国境内生产。</w:t>
      </w:r>
      <w:r>
        <w:rPr>
          <w:rFonts w:ascii="宋体" w:hAnsi="宋体" w:eastAsia="宋体" w:cs="宋体"/>
          <w:b/>
          <w:bCs/>
          <w:strike/>
          <w:dstrike w:val="0"/>
          <w:color w:val="FF0000"/>
          <w:sz w:val="24"/>
          <w:szCs w:val="24"/>
          <w:u w:val="single"/>
          <w:shd w:val="clear" w:fill="FFFFFF"/>
        </w:rPr>
        <w:t>（产品名称1）</w:t>
      </w:r>
      <w:r>
        <w:rPr>
          <w:rFonts w:ascii="宋体" w:hAnsi="宋体" w:eastAsia="宋体" w:cs="宋体"/>
          <w:b/>
          <w:bCs/>
          <w:color w:val="FF0000"/>
          <w:sz w:val="24"/>
          <w:szCs w:val="24"/>
          <w:shd w:val="clear" w:fill="FFFFFF"/>
        </w:rPr>
        <w:t>的</w:t>
      </w:r>
      <w:r>
        <w:rPr>
          <w:rFonts w:ascii="宋体" w:hAnsi="宋体" w:eastAsia="宋体" w:cs="宋体"/>
          <w:b/>
          <w:bCs/>
          <w:strike/>
          <w:dstrike w:val="0"/>
          <w:color w:val="FF0000"/>
          <w:sz w:val="24"/>
          <w:szCs w:val="24"/>
          <w:u w:val="single"/>
          <w:shd w:val="clear" w:fill="FFFFFF"/>
        </w:rPr>
        <w:t>（关键工序）</w:t>
      </w:r>
      <w:r>
        <w:rPr>
          <w:rFonts w:ascii="宋体" w:hAnsi="宋体" w:eastAsia="宋体" w:cs="宋体"/>
          <w:b/>
          <w:bCs/>
          <w:color w:val="FF0000"/>
          <w:sz w:val="24"/>
          <w:szCs w:val="24"/>
          <w:shd w:val="clear" w:fill="FFFFFF"/>
        </w:rPr>
        <w:t>在中国境内完成。</w:t>
      </w:r>
    </w:p>
    <w:p w14:paraId="519DADE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w:t>
      </w:r>
    </w:p>
    <w:p w14:paraId="2898E24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bCs/>
        </w:rPr>
      </w:pPr>
      <w:r>
        <w:rPr>
          <w:rFonts w:ascii="宋体" w:hAnsi="宋体" w:eastAsia="宋体" w:cs="宋体"/>
          <w:b/>
          <w:bCs/>
          <w:color w:val="FF0000"/>
          <w:sz w:val="24"/>
          <w:szCs w:val="24"/>
          <w:shd w:val="clear" w:fill="FFFFFF"/>
        </w:rPr>
        <w:t>本公司（单位）对上述声明内容的真实性负责。如有虚假，愿承担相应法律责任。</w:t>
      </w:r>
    </w:p>
    <w:p w14:paraId="1CAC866F">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rPr>
        <w:t> </w:t>
      </w:r>
    </w:p>
    <w:p w14:paraId="4B7D608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b/>
          <w:bCs/>
        </w:rPr>
      </w:pPr>
      <w:r>
        <w:rPr>
          <w:rFonts w:ascii="宋体" w:hAnsi="宋体" w:eastAsia="宋体" w:cs="宋体"/>
          <w:b/>
          <w:bCs/>
          <w:color w:val="FF0000"/>
          <w:sz w:val="24"/>
          <w:szCs w:val="24"/>
          <w:shd w:val="clear" w:fill="FFFFFF"/>
        </w:rPr>
        <w:t>公司（单位）名称（盖章）：　</w:t>
      </w:r>
    </w:p>
    <w:p w14:paraId="4B86CD8E">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b/>
          <w:bCs/>
        </w:rPr>
      </w:pPr>
      <w:r>
        <w:rPr>
          <w:rFonts w:ascii="宋体" w:hAnsi="宋体" w:eastAsia="宋体" w:cs="宋体"/>
          <w:b/>
          <w:bCs/>
          <w:color w:val="FF0000"/>
          <w:sz w:val="24"/>
          <w:szCs w:val="24"/>
          <w:shd w:val="clear" w:fill="FFFFFF"/>
        </w:rPr>
        <w:t>                                日期：　   年　  月　  日         </w:t>
      </w:r>
    </w:p>
    <w:p w14:paraId="563751CB">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__________________</w:t>
      </w:r>
    </w:p>
    <w:p w14:paraId="0D130BF1">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1.产品如有型号，请在“产品名称”栏一并填写。</w:t>
      </w:r>
    </w:p>
    <w:p w14:paraId="3BE63DD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2.生产厂名与厂址应与生产厂营业执照载明的相关信息保持一致。</w:t>
      </w:r>
    </w:p>
    <w:p w14:paraId="187E10C6">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3.该产品的中国境内生产的组件成本占比相关要求实施前，“规定比例”栏可不填，下同。</w:t>
      </w:r>
    </w:p>
    <w:p w14:paraId="3267BE6A">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bCs/>
        </w:rPr>
      </w:pPr>
      <w:r>
        <w:rPr>
          <w:rFonts w:ascii="宋体" w:hAnsi="宋体" w:eastAsia="宋体" w:cs="宋体"/>
          <w:b/>
          <w:bCs/>
          <w:color w:val="FF0000"/>
          <w:sz w:val="24"/>
          <w:szCs w:val="24"/>
          <w:shd w:val="clear" w:fill="FFFFFF"/>
        </w:rPr>
        <w:t>4.该产品的关键组件要求实施前，“关键组件”栏可不填，下同。</w:t>
      </w:r>
    </w:p>
    <w:p w14:paraId="2E60DA6D">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sz w:val="24"/>
          <w:szCs w:val="24"/>
          <w:shd w:val="clear" w:fill="FFFFFF"/>
        </w:rPr>
      </w:pPr>
      <w:r>
        <w:rPr>
          <w:rFonts w:ascii="宋体" w:hAnsi="宋体" w:eastAsia="宋体" w:cs="宋体"/>
          <w:b/>
          <w:bCs/>
          <w:color w:val="FF0000"/>
          <w:sz w:val="24"/>
          <w:szCs w:val="24"/>
          <w:shd w:val="clear" w:fill="FFFFFF"/>
        </w:rPr>
        <w:t>5.该产品的关键工序要求实施前，“关键工序”栏可不填，下同。</w:t>
      </w:r>
    </w:p>
    <w:p w14:paraId="2039D937">
      <w:pPr>
        <w:pStyle w:val="14"/>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rFonts w:ascii="宋体" w:hAnsi="宋体" w:eastAsia="宋体" w:cs="宋体"/>
          <w:b/>
          <w:bCs/>
          <w:color w:val="FF0000"/>
          <w:sz w:val="24"/>
          <w:szCs w:val="24"/>
          <w:shd w:val="clear" w:fill="FFFFFF"/>
        </w:rPr>
      </w:pPr>
      <w:r>
        <w:rPr>
          <w:rFonts w:ascii="宋体" w:hAnsi="宋体" w:eastAsia="宋体" w:cs="宋体"/>
          <w:b/>
          <w:bCs/>
          <w:color w:val="FF0000"/>
          <w:sz w:val="24"/>
          <w:szCs w:val="24"/>
          <w:shd w:val="clear" w:fill="FFFFFF"/>
        </w:rPr>
        <w:t>6.用</w:t>
      </w:r>
      <w:r>
        <w:rPr>
          <w:rFonts w:hint="eastAsia" w:ascii="宋体" w:hAnsi="宋体" w:eastAsia="宋体" w:cs="宋体"/>
          <w:b/>
          <w:bCs/>
          <w:color w:val="FF0000"/>
          <w:sz w:val="24"/>
          <w:szCs w:val="24"/>
          <w:shd w:val="clear" w:fill="FFFFFF"/>
          <w:lang w:val="en-US" w:eastAsia="zh-CN"/>
        </w:rPr>
        <w:t>横</w:t>
      </w:r>
      <w:r>
        <w:rPr>
          <w:rFonts w:ascii="宋体" w:hAnsi="宋体" w:eastAsia="宋体" w:cs="宋体"/>
          <w:b/>
          <w:bCs/>
          <w:color w:val="FF0000"/>
          <w:sz w:val="24"/>
          <w:szCs w:val="24"/>
          <w:shd w:val="clear" w:fill="FFFFFF"/>
        </w:rPr>
        <w:t>线划除的地方无需填写。</w:t>
      </w:r>
    </w:p>
    <w:p w14:paraId="2272348F">
      <w:pPr>
        <w:pStyle w:val="14"/>
        <w:spacing w:beforeAutospacing="0" w:afterAutospacing="0" w:line="0" w:lineRule="atLeast"/>
        <w:jc w:val="center"/>
        <w:rPr>
          <w:color w:val="auto"/>
          <w:highlight w:val="none"/>
        </w:rPr>
      </w:pPr>
      <w:r>
        <w:rPr>
          <w:rFonts w:hint="eastAsia" w:ascii="宋体" w:hAnsi="宋体" w:eastAsia="宋体" w:cs="宋体"/>
          <w:b/>
          <w:bCs/>
          <w:color w:val="FF0000"/>
          <w:kern w:val="0"/>
          <w:sz w:val="24"/>
          <w:szCs w:val="24"/>
          <w:highlight w:val="none"/>
          <w:lang w:val="en-US" w:eastAsia="zh-CN" w:bidi="ar-SA"/>
        </w:rPr>
        <w:t>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FF0000"/>
          <w:kern w:val="0"/>
          <w:sz w:val="24"/>
          <w:szCs w:val="24"/>
          <w:highlight w:val="none"/>
          <w:u w:val="single"/>
          <w:lang w:val="en-US" w:eastAsia="zh-CN" w:bidi="ar-SA"/>
        </w:rPr>
        <w:t>故，如供应商所提供产品为本国产品的，应当对其提供的产品出具《关于符合本国产品标准的声明函》（以下简称《声明函》），不出具《声明函》的，不享受政府采购对本国产品的支持政策。</w:t>
      </w:r>
    </w:p>
    <w:p w14:paraId="6ADBAE94">
      <w:pPr>
        <w:pStyle w:val="14"/>
        <w:spacing w:beforeAutospacing="0" w:afterAutospacing="0" w:line="0" w:lineRule="atLeast"/>
        <w:jc w:val="center"/>
        <w:rPr>
          <w:color w:val="auto"/>
          <w:highlight w:val="none"/>
        </w:rPr>
      </w:pPr>
    </w:p>
    <w:p w14:paraId="4EAEC12B">
      <w:pPr>
        <w:pStyle w:val="14"/>
        <w:spacing w:beforeAutospacing="0" w:afterAutospacing="0" w:line="0" w:lineRule="atLeast"/>
        <w:jc w:val="center"/>
        <w:rPr>
          <w:color w:val="auto"/>
          <w:highlight w:val="none"/>
        </w:rPr>
      </w:pPr>
    </w:p>
    <w:p w14:paraId="063F6ACE">
      <w:pPr>
        <w:pStyle w:val="14"/>
        <w:spacing w:beforeAutospacing="0" w:afterAutospacing="0" w:line="0" w:lineRule="atLeast"/>
        <w:jc w:val="center"/>
        <w:rPr>
          <w:color w:val="auto"/>
          <w:highlight w:val="none"/>
        </w:rPr>
      </w:pPr>
    </w:p>
    <w:p w14:paraId="246CD75D">
      <w:pPr>
        <w:pStyle w:val="14"/>
        <w:spacing w:beforeAutospacing="0" w:afterAutospacing="0" w:line="0" w:lineRule="atLeast"/>
        <w:jc w:val="center"/>
        <w:rPr>
          <w:color w:val="auto"/>
          <w:highlight w:val="none"/>
        </w:rPr>
      </w:pPr>
    </w:p>
    <w:p w14:paraId="7D436621">
      <w:pPr>
        <w:pStyle w:val="14"/>
        <w:spacing w:beforeAutospacing="0" w:afterAutospacing="0" w:line="0" w:lineRule="atLeast"/>
        <w:jc w:val="center"/>
        <w:rPr>
          <w:color w:val="auto"/>
          <w:highlight w:val="none"/>
        </w:rPr>
      </w:pPr>
    </w:p>
    <w:p w14:paraId="0EB4115A">
      <w:pPr>
        <w:pStyle w:val="14"/>
        <w:spacing w:beforeAutospacing="0" w:afterAutospacing="0" w:line="0" w:lineRule="atLeast"/>
        <w:jc w:val="center"/>
        <w:rPr>
          <w:color w:val="auto"/>
          <w:highlight w:val="none"/>
        </w:rPr>
      </w:pPr>
    </w:p>
    <w:p w14:paraId="41A5B74A">
      <w:pPr>
        <w:pStyle w:val="14"/>
        <w:spacing w:beforeAutospacing="0" w:afterAutospacing="0" w:line="0" w:lineRule="atLeast"/>
        <w:jc w:val="center"/>
        <w:rPr>
          <w:color w:val="auto"/>
          <w:highlight w:val="none"/>
        </w:rPr>
      </w:pPr>
    </w:p>
    <w:p w14:paraId="6980995D">
      <w:pPr>
        <w:pStyle w:val="14"/>
        <w:spacing w:beforeAutospacing="0" w:afterAutospacing="0" w:line="0" w:lineRule="atLeast"/>
        <w:jc w:val="center"/>
        <w:rPr>
          <w:color w:val="auto"/>
          <w:highlight w:val="none"/>
        </w:rPr>
      </w:pPr>
    </w:p>
    <w:p w14:paraId="3CD20115">
      <w:pPr>
        <w:pStyle w:val="14"/>
        <w:spacing w:beforeAutospacing="0" w:afterAutospacing="0" w:line="0" w:lineRule="atLeast"/>
        <w:jc w:val="center"/>
        <w:rPr>
          <w:color w:val="auto"/>
          <w:highlight w:val="none"/>
        </w:rPr>
      </w:pPr>
    </w:p>
    <w:p w14:paraId="25632175">
      <w:pPr>
        <w:pStyle w:val="14"/>
        <w:spacing w:beforeAutospacing="0" w:afterAutospacing="0" w:line="0" w:lineRule="atLeast"/>
        <w:jc w:val="center"/>
        <w:rPr>
          <w:highlight w:val="none"/>
        </w:rPr>
      </w:pPr>
      <w:r>
        <w:rPr>
          <w:rFonts w:hint="eastAsia" w:ascii="黑体" w:hAnsi="宋体" w:eastAsia="黑体" w:cs="黑体"/>
          <w:b/>
          <w:color w:val="000000"/>
          <w:sz w:val="32"/>
          <w:szCs w:val="32"/>
          <w:highlight w:val="none"/>
        </w:rPr>
        <w:t>十</w:t>
      </w:r>
      <w:r>
        <w:rPr>
          <w:rFonts w:hint="eastAsia" w:ascii="黑体" w:hAnsi="宋体" w:eastAsia="黑体" w:cs="黑体"/>
          <w:b/>
          <w:color w:val="000000"/>
          <w:sz w:val="32"/>
          <w:szCs w:val="32"/>
          <w:highlight w:val="none"/>
          <w:lang w:val="en-US" w:eastAsia="zh-CN"/>
        </w:rPr>
        <w:t>二</w:t>
      </w:r>
      <w:r>
        <w:rPr>
          <w:rFonts w:hint="eastAsia" w:ascii="黑体" w:hAnsi="宋体" w:eastAsia="黑体" w:cs="黑体"/>
          <w:b/>
          <w:color w:val="000000"/>
          <w:sz w:val="32"/>
          <w:szCs w:val="32"/>
          <w:highlight w:val="none"/>
        </w:rPr>
        <w:t>、联合体协议（参考格式）（</w:t>
      </w:r>
      <w:r>
        <w:rPr>
          <w:rFonts w:hint="eastAsia" w:ascii="黑体" w:hAnsi="宋体" w:eastAsia="黑体" w:cs="黑体"/>
          <w:b/>
          <w:color w:val="000000"/>
          <w:sz w:val="32"/>
          <w:szCs w:val="32"/>
          <w:highlight w:val="none"/>
          <w:lang w:val="en-US" w:eastAsia="zh-CN"/>
        </w:rPr>
        <w:t>如有</w:t>
      </w:r>
      <w:r>
        <w:rPr>
          <w:rFonts w:hint="eastAsia" w:ascii="黑体" w:hAnsi="宋体" w:eastAsia="黑体" w:cs="黑体"/>
          <w:b/>
          <w:color w:val="000000"/>
          <w:sz w:val="32"/>
          <w:szCs w:val="32"/>
          <w:highlight w:val="none"/>
        </w:rPr>
        <w:t>）</w:t>
      </w:r>
    </w:p>
    <w:p w14:paraId="47099288">
      <w:pPr>
        <w:pStyle w:val="14"/>
        <w:spacing w:beforeAutospacing="0" w:afterAutospacing="0" w:line="0" w:lineRule="atLeast"/>
        <w:jc w:val="both"/>
        <w:rPr>
          <w:highlight w:val="none"/>
        </w:rPr>
      </w:pPr>
      <w:r>
        <w:rPr>
          <w:rFonts w:hint="eastAsia" w:ascii="宋体" w:hAnsi="宋体" w:eastAsia="宋体" w:cs="宋体"/>
          <w:color w:val="000000"/>
          <w:highlight w:val="none"/>
        </w:rPr>
        <w:t>（联合体中各供应商全称）在此达成以下协议：</w:t>
      </w:r>
    </w:p>
    <w:p w14:paraId="171F8296">
      <w:pPr>
        <w:pStyle w:val="14"/>
        <w:spacing w:beforeAutospacing="0" w:afterAutospacing="0" w:line="0" w:lineRule="atLeast"/>
        <w:ind w:firstLine="645"/>
        <w:jc w:val="both"/>
        <w:rPr>
          <w:highlight w:val="none"/>
        </w:rPr>
      </w:pPr>
      <w:r>
        <w:rPr>
          <w:rFonts w:hint="eastAsia" w:ascii="宋体" w:hAnsi="宋体" w:eastAsia="宋体" w:cs="宋体"/>
          <w:color w:val="000000"/>
          <w:highlight w:val="none"/>
        </w:rPr>
        <w:t>1、我们</w:t>
      </w:r>
      <w:r>
        <w:rPr>
          <w:rFonts w:hint="eastAsia" w:ascii="宋体" w:hAnsi="宋体" w:eastAsia="宋体" w:cs="宋体"/>
          <w:color w:val="000000"/>
          <w:highlight w:val="none"/>
          <w:u w:val="single"/>
        </w:rPr>
        <w:t xml:space="preserve"> （供应商1），（供应商2） ，……</w:t>
      </w:r>
      <w:r>
        <w:rPr>
          <w:rFonts w:hint="eastAsia" w:ascii="宋体" w:hAnsi="宋体" w:eastAsia="宋体" w:cs="宋体"/>
          <w:color w:val="000000"/>
          <w:highlight w:val="none"/>
        </w:rPr>
        <w:t>自愿组成联合体，参加盐城市政府采购中心组织的采购编号为</w:t>
      </w:r>
      <w:r>
        <w:rPr>
          <w:rFonts w:hint="eastAsia" w:ascii="宋体" w:hAnsi="宋体" w:eastAsia="宋体" w:cs="宋体"/>
          <w:color w:val="000000"/>
          <w:highlight w:val="none"/>
          <w:u w:val="single"/>
        </w:rPr>
        <w:t>（编号全称），（项目全称）</w:t>
      </w:r>
      <w:r>
        <w:rPr>
          <w:rFonts w:hint="eastAsia" w:ascii="宋体" w:hAnsi="宋体" w:eastAsia="宋体" w:cs="宋体"/>
          <w:color w:val="000000"/>
          <w:highlight w:val="none"/>
        </w:rPr>
        <w:t>项目（分包号：**）的政府采购活动，我联合体指定</w:t>
      </w:r>
      <w:r>
        <w:rPr>
          <w:rFonts w:hint="eastAsia" w:ascii="宋体" w:hAnsi="宋体" w:eastAsia="宋体" w:cs="宋体"/>
          <w:color w:val="000000"/>
          <w:highlight w:val="none"/>
          <w:u w:val="single"/>
        </w:rPr>
        <w:t>（供应商*）</w:t>
      </w:r>
      <w:r>
        <w:rPr>
          <w:rFonts w:hint="eastAsia" w:ascii="宋体" w:hAnsi="宋体" w:eastAsia="宋体" w:cs="宋体"/>
          <w:color w:val="000000"/>
          <w:highlight w:val="none"/>
        </w:rPr>
        <w:t>为牵头单位（牵头单位必须为联合体成员）。</w:t>
      </w:r>
    </w:p>
    <w:p w14:paraId="1E770E3A">
      <w:pPr>
        <w:pStyle w:val="14"/>
        <w:spacing w:beforeAutospacing="0" w:afterAutospacing="0" w:line="0" w:lineRule="atLeast"/>
        <w:ind w:firstLine="645"/>
        <w:jc w:val="both"/>
        <w:rPr>
          <w:highlight w:val="none"/>
        </w:rPr>
      </w:pPr>
      <w:r>
        <w:rPr>
          <w:rFonts w:hint="eastAsia" w:ascii="宋体" w:hAnsi="宋体" w:eastAsia="宋体" w:cs="宋体"/>
          <w:color w:val="000000"/>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3B965178">
      <w:pPr>
        <w:pStyle w:val="14"/>
        <w:spacing w:beforeAutospacing="0" w:afterAutospacing="0" w:line="0" w:lineRule="atLeast"/>
        <w:ind w:firstLine="645"/>
        <w:jc w:val="both"/>
        <w:rPr>
          <w:highlight w:val="none"/>
        </w:rPr>
      </w:pPr>
      <w:r>
        <w:rPr>
          <w:rFonts w:hint="eastAsia" w:ascii="宋体" w:hAnsi="宋体" w:eastAsia="宋体" w:cs="宋体"/>
          <w:color w:val="000000"/>
          <w:highlight w:val="none"/>
        </w:rPr>
        <w:t>3、其中</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（小型、微型企业/残疾人福利性单位/监狱企业）企业，且我们约定该公司/单位所承担的合同金额将占本项目合同总金额的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w:t>
      </w:r>
    </w:p>
    <w:p w14:paraId="2A603B1A">
      <w:pPr>
        <w:pStyle w:val="14"/>
        <w:spacing w:beforeAutospacing="0" w:afterAutospacing="0" w:line="0" w:lineRule="atLeast"/>
        <w:ind w:firstLine="645"/>
        <w:jc w:val="both"/>
        <w:rPr>
          <w:highlight w:val="none"/>
        </w:rPr>
      </w:pPr>
      <w:r>
        <w:rPr>
          <w:highlight w:val="none"/>
        </w:rPr>
        <w:t> </w:t>
      </w:r>
    </w:p>
    <w:p w14:paraId="48FA2AD9">
      <w:pPr>
        <w:pStyle w:val="14"/>
        <w:spacing w:beforeAutospacing="0" w:afterAutospacing="0" w:line="0" w:lineRule="atLeast"/>
        <w:ind w:firstLine="645"/>
        <w:jc w:val="both"/>
        <w:rPr>
          <w:highlight w:val="none"/>
        </w:rPr>
      </w:pPr>
      <w:r>
        <w:rPr>
          <w:rFonts w:hint="eastAsia" w:ascii="宋体" w:hAnsi="宋体" w:eastAsia="宋体" w:cs="宋体"/>
          <w:color w:val="000000"/>
          <w:highlight w:val="none"/>
        </w:rPr>
        <w:t>备注：本招标文件中要求加盖CA电子签章的地方，仅需加盖牵头单位的CA电子签章。</w:t>
      </w:r>
    </w:p>
    <w:p w14:paraId="1CB655E2">
      <w:pPr>
        <w:pStyle w:val="14"/>
        <w:spacing w:beforeAutospacing="0" w:afterAutospacing="0" w:line="0" w:lineRule="atLeast"/>
        <w:ind w:firstLine="645"/>
        <w:jc w:val="both"/>
        <w:rPr>
          <w:highlight w:val="none"/>
        </w:rPr>
      </w:pPr>
      <w:r>
        <w:rPr>
          <w:rFonts w:hint="eastAsia" w:ascii="宋体" w:hAnsi="宋体" w:eastAsia="宋体" w:cs="宋体"/>
          <w:color w:val="000000"/>
          <w:highlight w:val="none"/>
        </w:rPr>
        <w:t>                               </w:t>
      </w:r>
    </w:p>
    <w:p w14:paraId="41749F3F">
      <w:pPr>
        <w:pStyle w:val="14"/>
        <w:spacing w:beforeAutospacing="0" w:afterAutospacing="0" w:line="0" w:lineRule="atLeast"/>
        <w:ind w:firstLine="645"/>
        <w:jc w:val="right"/>
        <w:rPr>
          <w:highlight w:val="none"/>
        </w:rPr>
      </w:pPr>
      <w:r>
        <w:rPr>
          <w:rFonts w:hint="eastAsia" w:ascii="宋体" w:hAnsi="宋体" w:eastAsia="宋体" w:cs="宋体"/>
          <w:color w:val="000000"/>
          <w:highlight w:val="none"/>
        </w:rPr>
        <w:t xml:space="preserve">联合体中各供应商全称（公章）：     </w:t>
      </w:r>
    </w:p>
    <w:p w14:paraId="11E8FA9C">
      <w:pPr>
        <w:pStyle w:val="14"/>
        <w:spacing w:beforeAutospacing="0" w:afterAutospacing="0" w:line="0" w:lineRule="atLeast"/>
        <w:jc w:val="center"/>
        <w:rPr>
          <w:color w:val="auto"/>
          <w:highlight w:val="none"/>
        </w:rPr>
        <w:sectPr>
          <w:footerReference r:id="rId3" w:type="default"/>
          <w:pgSz w:w="11906" w:h="16838"/>
          <w:pgMar w:top="1440" w:right="1800" w:bottom="1440" w:left="1800" w:header="851" w:footer="992" w:gutter="0"/>
          <w:pgNumType w:start="1"/>
          <w:cols w:space="425" w:num="1"/>
          <w:docGrid w:type="lines" w:linePitch="312" w:charSpace="0"/>
        </w:sectPr>
      </w:pPr>
      <w:r>
        <w:rPr>
          <w:rFonts w:hint="eastAsia" w:ascii="宋体" w:hAnsi="宋体" w:eastAsia="宋体" w:cs="宋体"/>
          <w:color w:val="000000"/>
          <w:highlight w:val="none"/>
        </w:rPr>
        <w:t>                                                          日期</w:t>
      </w:r>
    </w:p>
    <w:p w14:paraId="2C2B83C3">
      <w:pPr>
        <w:pStyle w:val="14"/>
        <w:spacing w:beforeAutospacing="0" w:afterAutospacing="0" w:line="0" w:lineRule="atLeast"/>
        <w:jc w:val="both"/>
        <w:rPr>
          <w:color w:val="auto"/>
          <w:highlight w:val="none"/>
        </w:rPr>
      </w:pPr>
    </w:p>
    <w:p w14:paraId="4EC8A094">
      <w:pPr>
        <w:pStyle w:val="14"/>
        <w:spacing w:beforeAutospacing="0" w:afterAutospacing="0" w:line="0" w:lineRule="atLeast"/>
        <w:jc w:val="center"/>
        <w:rPr>
          <w:color w:val="auto"/>
          <w:highlight w:val="none"/>
        </w:rPr>
      </w:pPr>
    </w:p>
    <w:p w14:paraId="72576FEF">
      <w:pPr>
        <w:pStyle w:val="14"/>
        <w:spacing w:beforeAutospacing="0" w:afterAutospacing="0" w:line="0" w:lineRule="atLeast"/>
        <w:jc w:val="center"/>
        <w:rPr>
          <w:color w:val="auto"/>
          <w:highlight w:val="none"/>
        </w:rPr>
      </w:pPr>
    </w:p>
    <w:p w14:paraId="47410ADA">
      <w:pPr>
        <w:pStyle w:val="14"/>
        <w:spacing w:beforeAutospacing="0" w:afterAutospacing="0" w:line="0" w:lineRule="atLeast"/>
        <w:jc w:val="center"/>
        <w:rPr>
          <w:color w:val="auto"/>
          <w:highlight w:val="none"/>
        </w:rPr>
      </w:pPr>
      <w:r>
        <w:rPr>
          <w:color w:val="auto"/>
          <w:highlight w:val="none"/>
        </w:rPr>
        <w:t> </w:t>
      </w:r>
    </w:p>
    <w:p w14:paraId="5AF453C3">
      <w:pPr>
        <w:pStyle w:val="14"/>
        <w:spacing w:beforeAutospacing="0" w:afterAutospacing="0" w:line="0" w:lineRule="atLeast"/>
        <w:jc w:val="center"/>
        <w:rPr>
          <w:color w:val="auto"/>
          <w:highlight w:val="none"/>
        </w:rPr>
      </w:pPr>
      <w:r>
        <w:rPr>
          <w:color w:val="auto"/>
          <w:highlight w:val="none"/>
        </w:rPr>
        <w:t> </w:t>
      </w:r>
    </w:p>
    <w:p w14:paraId="33610243">
      <w:pPr>
        <w:pStyle w:val="14"/>
        <w:spacing w:beforeAutospacing="0" w:afterAutospacing="0" w:line="0" w:lineRule="atLeast"/>
        <w:jc w:val="center"/>
        <w:rPr>
          <w:color w:val="auto"/>
          <w:highlight w:val="none"/>
        </w:rPr>
      </w:pPr>
      <w:r>
        <w:rPr>
          <w:color w:val="auto"/>
          <w:highlight w:val="none"/>
        </w:rPr>
        <w:t> </w:t>
      </w:r>
    </w:p>
    <w:p w14:paraId="6A1F262A">
      <w:pPr>
        <w:pStyle w:val="14"/>
        <w:spacing w:beforeAutospacing="0" w:afterAutospacing="0" w:line="0" w:lineRule="atLeast"/>
        <w:jc w:val="center"/>
        <w:rPr>
          <w:color w:val="auto"/>
          <w:highlight w:val="none"/>
        </w:rPr>
      </w:pPr>
      <w:r>
        <w:rPr>
          <w:color w:val="auto"/>
          <w:highlight w:val="none"/>
        </w:rPr>
        <w:t> </w:t>
      </w:r>
    </w:p>
    <w:p w14:paraId="009D8EE4">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r>
    </w:p>
    <w:p w14:paraId="73639499">
      <w:pPr>
        <w:pStyle w:val="24"/>
        <w:numPr>
          <w:ilvl w:val="0"/>
          <w:numId w:val="0"/>
        </w:numPr>
        <w:spacing w:line="360" w:lineRule="auto"/>
        <w:jc w:val="center"/>
        <w:rPr>
          <w:rFonts w:ascii="黑体" w:hAnsi="宋体" w:eastAsia="黑体" w:cs="黑体"/>
          <w:b/>
          <w:color w:val="auto"/>
          <w:sz w:val="32"/>
          <w:szCs w:val="32"/>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三</w:t>
      </w:r>
      <w:r>
        <w:rPr>
          <w:rFonts w:hint="eastAsia" w:ascii="黑体" w:hAnsi="宋体" w:eastAsia="黑体" w:cs="黑体"/>
          <w:b/>
          <w:color w:val="auto"/>
          <w:kern w:val="2"/>
          <w:sz w:val="32"/>
          <w:szCs w:val="32"/>
          <w:highlight w:val="none"/>
          <w:lang w:val="en-US" w:eastAsia="zh-CN" w:bidi="ar-SA"/>
        </w:rPr>
        <w:t>、</w:t>
      </w:r>
      <w:r>
        <w:rPr>
          <w:rFonts w:hint="eastAsia" w:ascii="黑体" w:hAnsi="宋体" w:eastAsia="黑体" w:cs="黑体"/>
          <w:b/>
          <w:color w:val="auto"/>
          <w:sz w:val="32"/>
          <w:szCs w:val="32"/>
          <w:highlight w:val="none"/>
        </w:rPr>
        <w:t>投标分项报价表</w:t>
      </w:r>
    </w:p>
    <w:p w14:paraId="76819BD7">
      <w:pPr>
        <w:pStyle w:val="24"/>
        <w:spacing w:line="360" w:lineRule="auto"/>
        <w:rPr>
          <w:rFonts w:hint="eastAsia" w:ascii="Times New Roman" w:hAnsi="宋体" w:eastAsia="宋体"/>
          <w:color w:val="auto"/>
          <w:sz w:val="21"/>
          <w:highlight w:val="none"/>
        </w:rPr>
      </w:pPr>
      <w:r>
        <w:rPr>
          <w:rFonts w:hint="eastAsia" w:ascii="Times New Roman" w:hAnsi="宋体" w:eastAsia="宋体"/>
          <w:color w:val="auto"/>
          <w:sz w:val="21"/>
          <w:highlight w:val="none"/>
        </w:rPr>
        <w:t>项目名称：</w:t>
      </w:r>
    </w:p>
    <w:p w14:paraId="7DAAFDE6">
      <w:pPr>
        <w:pStyle w:val="24"/>
        <w:spacing w:line="360" w:lineRule="auto"/>
        <w:rPr>
          <w:rFonts w:hint="eastAsia" w:hAnsi="宋体" w:eastAsia="宋体"/>
          <w:color w:val="auto"/>
          <w:sz w:val="21"/>
          <w:highlight w:val="none"/>
        </w:rPr>
      </w:pPr>
      <w:r>
        <w:rPr>
          <w:rFonts w:hint="eastAsia" w:hAnsi="宋体" w:eastAsia="宋体"/>
          <w:color w:val="auto"/>
          <w:sz w:val="21"/>
          <w:highlight w:val="none"/>
        </w:rPr>
        <w:t>投标人名称（公章）：</w:t>
      </w:r>
    </w:p>
    <w:tbl>
      <w:tblPr>
        <w:tblStyle w:val="17"/>
        <w:tblW w:w="5500" w:type="pct"/>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9"/>
        <w:gridCol w:w="1779"/>
        <w:gridCol w:w="3025"/>
        <w:gridCol w:w="759"/>
        <w:gridCol w:w="739"/>
        <w:gridCol w:w="1210"/>
        <w:gridCol w:w="1538"/>
        <w:gridCol w:w="5443"/>
      </w:tblGrid>
      <w:tr w14:paraId="6144B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352" w:type="pct"/>
            <w:vAlign w:val="center"/>
          </w:tcPr>
          <w:p w14:paraId="70D2D98F">
            <w:pPr>
              <w:widowControl/>
              <w:spacing w:line="360" w:lineRule="auto"/>
              <w:jc w:val="center"/>
              <w:rPr>
                <w:rFonts w:ascii="宋体" w:hAnsi="宋体"/>
                <w:color w:val="auto"/>
                <w:kern w:val="0"/>
                <w:highlight w:val="none"/>
              </w:rPr>
            </w:pPr>
            <w:r>
              <w:rPr>
                <w:rFonts w:hint="eastAsia" w:ascii="宋体" w:hAnsi="宋体"/>
                <w:color w:val="auto"/>
                <w:kern w:val="0"/>
                <w:highlight w:val="none"/>
              </w:rPr>
              <w:t>序号</w:t>
            </w:r>
          </w:p>
        </w:tc>
        <w:tc>
          <w:tcPr>
            <w:tcW w:w="570" w:type="pct"/>
            <w:vAlign w:val="center"/>
          </w:tcPr>
          <w:p w14:paraId="7A6EACDC">
            <w:pPr>
              <w:widowControl/>
              <w:spacing w:line="360" w:lineRule="auto"/>
              <w:jc w:val="center"/>
              <w:rPr>
                <w:rFonts w:ascii="宋体" w:hAnsi="宋体"/>
                <w:color w:val="auto"/>
                <w:kern w:val="0"/>
                <w:highlight w:val="none"/>
              </w:rPr>
            </w:pPr>
            <w:r>
              <w:rPr>
                <w:rFonts w:hint="eastAsia" w:ascii="宋体" w:hAnsi="宋体"/>
                <w:color w:val="auto"/>
                <w:kern w:val="0"/>
                <w:highlight w:val="none"/>
              </w:rPr>
              <w:t>标的物名称</w:t>
            </w:r>
          </w:p>
        </w:tc>
        <w:tc>
          <w:tcPr>
            <w:tcW w:w="970" w:type="pct"/>
            <w:vAlign w:val="center"/>
          </w:tcPr>
          <w:p w14:paraId="38A6697A">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工作内容</w:t>
            </w:r>
          </w:p>
        </w:tc>
        <w:tc>
          <w:tcPr>
            <w:tcW w:w="243" w:type="pct"/>
            <w:vAlign w:val="center"/>
          </w:tcPr>
          <w:p w14:paraId="24BCB761">
            <w:pPr>
              <w:widowControl/>
              <w:spacing w:line="360" w:lineRule="auto"/>
              <w:jc w:val="center"/>
              <w:rPr>
                <w:rFonts w:ascii="宋体" w:hAnsi="宋体"/>
                <w:color w:val="auto"/>
                <w:kern w:val="0"/>
                <w:highlight w:val="none"/>
              </w:rPr>
            </w:pPr>
            <w:r>
              <w:rPr>
                <w:rFonts w:hint="eastAsia" w:ascii="宋体" w:hAnsi="宋体"/>
                <w:color w:val="auto"/>
                <w:kern w:val="0"/>
                <w:highlight w:val="none"/>
              </w:rPr>
              <w:t>单位</w:t>
            </w:r>
          </w:p>
        </w:tc>
        <w:tc>
          <w:tcPr>
            <w:tcW w:w="236" w:type="pct"/>
            <w:vAlign w:val="center"/>
          </w:tcPr>
          <w:p w14:paraId="0F87B34A">
            <w:pPr>
              <w:widowControl/>
              <w:spacing w:line="360" w:lineRule="auto"/>
              <w:jc w:val="center"/>
              <w:rPr>
                <w:rFonts w:ascii="宋体" w:hAnsi="宋体"/>
                <w:color w:val="auto"/>
                <w:kern w:val="0"/>
                <w:highlight w:val="none"/>
              </w:rPr>
            </w:pPr>
            <w:r>
              <w:rPr>
                <w:rFonts w:hint="eastAsia" w:ascii="宋体" w:hAnsi="宋体"/>
                <w:color w:val="auto"/>
                <w:kern w:val="0"/>
                <w:highlight w:val="none"/>
              </w:rPr>
              <w:t>数量</w:t>
            </w:r>
          </w:p>
        </w:tc>
        <w:tc>
          <w:tcPr>
            <w:tcW w:w="388" w:type="pct"/>
            <w:vAlign w:val="center"/>
          </w:tcPr>
          <w:p w14:paraId="6D6D5EEC">
            <w:pPr>
              <w:widowControl/>
              <w:spacing w:line="360" w:lineRule="auto"/>
              <w:jc w:val="center"/>
              <w:rPr>
                <w:rFonts w:hint="eastAsia" w:ascii="宋体" w:hAnsi="宋体"/>
                <w:color w:val="auto"/>
                <w:kern w:val="0"/>
                <w:highlight w:val="none"/>
              </w:rPr>
            </w:pPr>
            <w:r>
              <w:rPr>
                <w:rFonts w:hint="eastAsia" w:ascii="宋体" w:hAnsi="宋体"/>
                <w:color w:val="auto"/>
                <w:kern w:val="0"/>
                <w:highlight w:val="none"/>
              </w:rPr>
              <w:t>单价</w:t>
            </w:r>
          </w:p>
          <w:p w14:paraId="645D26C9">
            <w:pPr>
              <w:widowControl/>
              <w:spacing w:line="360" w:lineRule="auto"/>
              <w:jc w:val="center"/>
              <w:rPr>
                <w:rFonts w:hint="eastAsia" w:ascii="宋体" w:hAnsi="宋体" w:eastAsiaTheme="minorEastAsia"/>
                <w:color w:val="auto"/>
                <w:kern w:val="0"/>
                <w:highlight w:val="none"/>
                <w:lang w:eastAsia="zh-CN"/>
              </w:rPr>
            </w:pPr>
            <w:r>
              <w:rPr>
                <w:rFonts w:hint="eastAsia" w:ascii="宋体" w:hAnsi="宋体"/>
                <w:color w:val="auto"/>
                <w:kern w:val="0"/>
                <w:highlight w:val="none"/>
                <w:lang w:eastAsia="zh-CN"/>
              </w:rPr>
              <w:t>（</w:t>
            </w:r>
            <w:r>
              <w:rPr>
                <w:rFonts w:hint="eastAsia" w:ascii="宋体" w:hAnsi="宋体"/>
                <w:color w:val="auto"/>
                <w:kern w:val="0"/>
                <w:highlight w:val="none"/>
                <w:lang w:val="en-US" w:eastAsia="zh-CN"/>
              </w:rPr>
              <w:t>万元</w:t>
            </w:r>
            <w:r>
              <w:rPr>
                <w:rFonts w:hint="eastAsia" w:ascii="宋体" w:hAnsi="宋体"/>
                <w:color w:val="auto"/>
                <w:kern w:val="0"/>
                <w:highlight w:val="none"/>
                <w:lang w:eastAsia="zh-CN"/>
              </w:rPr>
              <w:t>）</w:t>
            </w:r>
          </w:p>
        </w:tc>
        <w:tc>
          <w:tcPr>
            <w:tcW w:w="493" w:type="pct"/>
            <w:vAlign w:val="center"/>
          </w:tcPr>
          <w:p w14:paraId="7519BA77">
            <w:pPr>
              <w:widowControl/>
              <w:spacing w:line="360" w:lineRule="auto"/>
              <w:jc w:val="center"/>
              <w:rPr>
                <w:rFonts w:hint="eastAsia" w:ascii="宋体" w:hAnsi="宋体"/>
                <w:color w:val="auto"/>
                <w:kern w:val="0"/>
                <w:highlight w:val="none"/>
              </w:rPr>
            </w:pPr>
            <w:r>
              <w:rPr>
                <w:rFonts w:hint="eastAsia" w:ascii="宋体" w:hAnsi="宋体"/>
                <w:color w:val="auto"/>
                <w:kern w:val="0"/>
                <w:highlight w:val="none"/>
              </w:rPr>
              <w:t xml:space="preserve"> 总价</w:t>
            </w:r>
          </w:p>
          <w:p w14:paraId="7F1B4C85">
            <w:pPr>
              <w:widowControl/>
              <w:spacing w:line="360" w:lineRule="auto"/>
              <w:jc w:val="center"/>
              <w:rPr>
                <w:rFonts w:ascii="宋体" w:hAnsi="宋体"/>
                <w:color w:val="auto"/>
                <w:kern w:val="0"/>
                <w:highlight w:val="none"/>
              </w:rPr>
            </w:pPr>
            <w:r>
              <w:rPr>
                <w:rFonts w:hint="eastAsia" w:ascii="宋体" w:hAnsi="宋体"/>
                <w:color w:val="auto"/>
                <w:kern w:val="0"/>
                <w:highlight w:val="none"/>
                <w:lang w:eastAsia="zh-CN"/>
              </w:rPr>
              <w:t>（</w:t>
            </w:r>
            <w:r>
              <w:rPr>
                <w:rFonts w:hint="eastAsia" w:ascii="宋体" w:hAnsi="宋体"/>
                <w:color w:val="auto"/>
                <w:kern w:val="0"/>
                <w:highlight w:val="none"/>
                <w:lang w:val="en-US" w:eastAsia="zh-CN"/>
              </w:rPr>
              <w:t>万元</w:t>
            </w:r>
            <w:r>
              <w:rPr>
                <w:rFonts w:hint="eastAsia" w:ascii="宋体" w:hAnsi="宋体"/>
                <w:color w:val="auto"/>
                <w:kern w:val="0"/>
                <w:highlight w:val="none"/>
                <w:lang w:eastAsia="zh-CN"/>
              </w:rPr>
              <w:t>）</w:t>
            </w:r>
            <w:r>
              <w:rPr>
                <w:rFonts w:hint="eastAsia" w:ascii="宋体" w:hAnsi="宋体"/>
                <w:color w:val="auto"/>
                <w:kern w:val="0"/>
                <w:highlight w:val="none"/>
              </w:rPr>
              <w:t xml:space="preserve"> </w:t>
            </w:r>
          </w:p>
        </w:tc>
        <w:tc>
          <w:tcPr>
            <w:tcW w:w="1745" w:type="pct"/>
            <w:vAlign w:val="center"/>
          </w:tcPr>
          <w:p w14:paraId="215147F4">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备注</w:t>
            </w:r>
          </w:p>
        </w:tc>
      </w:tr>
      <w:tr w14:paraId="357CC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352" w:type="pct"/>
            <w:vAlign w:val="center"/>
          </w:tcPr>
          <w:p w14:paraId="0013BE51">
            <w:pPr>
              <w:widowControl/>
              <w:spacing w:line="360" w:lineRule="auto"/>
              <w:jc w:val="center"/>
              <w:rPr>
                <w:rFonts w:ascii="宋体" w:hAnsi="宋体"/>
                <w:color w:val="auto"/>
                <w:kern w:val="0"/>
                <w:highlight w:val="none"/>
              </w:rPr>
            </w:pPr>
            <w:r>
              <w:rPr>
                <w:rFonts w:hint="eastAsia" w:ascii="宋体" w:hAnsi="宋体"/>
                <w:color w:val="auto"/>
                <w:kern w:val="0"/>
                <w:highlight w:val="none"/>
                <w:lang w:val="en-US" w:eastAsia="zh-CN"/>
              </w:rPr>
              <w:t>1</w:t>
            </w:r>
            <w:r>
              <w:rPr>
                <w:rFonts w:hint="eastAsia" w:ascii="宋体" w:hAnsi="宋体"/>
                <w:color w:val="auto"/>
                <w:kern w:val="0"/>
                <w:highlight w:val="none"/>
              </w:rPr>
              <w:t>　</w:t>
            </w:r>
          </w:p>
        </w:tc>
        <w:tc>
          <w:tcPr>
            <w:tcW w:w="570" w:type="pct"/>
            <w:vMerge w:val="restart"/>
            <w:vAlign w:val="center"/>
          </w:tcPr>
          <w:p w14:paraId="63AF822A">
            <w:pPr>
              <w:widowControl/>
              <w:spacing w:line="360" w:lineRule="auto"/>
              <w:jc w:val="center"/>
              <w:rPr>
                <w:rFonts w:ascii="宋体" w:hAnsi="宋体"/>
                <w:color w:val="auto"/>
                <w:kern w:val="0"/>
                <w:highlight w:val="none"/>
              </w:rPr>
            </w:pPr>
            <w:r>
              <w:rPr>
                <w:rFonts w:hint="eastAsia" w:ascii="宋体" w:hAnsi="宋体"/>
                <w:color w:val="auto"/>
                <w:kern w:val="0"/>
                <w:highlight w:val="none"/>
              </w:rPr>
              <w:t>高新区“限值限量”监测设备运维服务采购项目</w:t>
            </w:r>
          </w:p>
        </w:tc>
        <w:tc>
          <w:tcPr>
            <w:tcW w:w="970" w:type="pct"/>
            <w:vAlign w:val="center"/>
          </w:tcPr>
          <w:p w14:paraId="06639E2E">
            <w:pPr>
              <w:widowControl/>
              <w:spacing w:line="360" w:lineRule="auto"/>
              <w:jc w:val="center"/>
              <w:rPr>
                <w:rFonts w:hint="eastAsia" w:ascii="宋体" w:hAnsi="宋体" w:cs="宋体"/>
                <w:color w:val="auto"/>
                <w:szCs w:val="18"/>
                <w:highlight w:val="none"/>
                <w:lang w:eastAsia="zh-CN"/>
              </w:rPr>
            </w:pPr>
            <w:r>
              <w:rPr>
                <w:rFonts w:hint="eastAsia" w:ascii="宋体" w:hAnsi="宋体" w:cs="宋体"/>
                <w:color w:val="auto"/>
                <w:szCs w:val="18"/>
                <w:highlight w:val="none"/>
                <w:lang w:eastAsia="zh-CN"/>
              </w:rPr>
              <w:t>1套标准空气站（位于龙冈镇政府大楼顶）</w:t>
            </w:r>
          </w:p>
        </w:tc>
        <w:tc>
          <w:tcPr>
            <w:tcW w:w="243" w:type="pct"/>
            <w:vAlign w:val="center"/>
          </w:tcPr>
          <w:p w14:paraId="0AD7B28E">
            <w:pPr>
              <w:widowControl/>
              <w:spacing w:line="360" w:lineRule="auto"/>
              <w:jc w:val="center"/>
              <w:rPr>
                <w:rFonts w:hint="eastAsia" w:ascii="宋体" w:hAnsi="宋体" w:eastAsiaTheme="minorEastAsia"/>
                <w:color w:val="auto"/>
                <w:kern w:val="0"/>
                <w:highlight w:val="none"/>
                <w:lang w:val="en-US" w:eastAsia="zh-CN"/>
              </w:rPr>
            </w:pPr>
            <w:r>
              <w:rPr>
                <w:rFonts w:hint="eastAsia" w:ascii="宋体" w:hAnsi="宋体" w:cs="宋体"/>
                <w:color w:val="auto"/>
                <w:szCs w:val="18"/>
                <w:highlight w:val="none"/>
                <w:lang w:val="en-US" w:eastAsia="zh-CN"/>
              </w:rPr>
              <w:t>年</w:t>
            </w:r>
          </w:p>
        </w:tc>
        <w:tc>
          <w:tcPr>
            <w:tcW w:w="236" w:type="pct"/>
            <w:vAlign w:val="center"/>
          </w:tcPr>
          <w:p w14:paraId="5FFF5CC9">
            <w:pPr>
              <w:widowControl/>
              <w:spacing w:line="360" w:lineRule="auto"/>
              <w:jc w:val="center"/>
              <w:rPr>
                <w:rFonts w:hint="default" w:ascii="宋体" w:hAnsi="宋体" w:eastAsiaTheme="minorEastAsia"/>
                <w:color w:val="auto"/>
                <w:kern w:val="0"/>
                <w:highlight w:val="none"/>
                <w:lang w:val="en-US" w:eastAsia="zh-CN"/>
              </w:rPr>
            </w:pPr>
            <w:r>
              <w:rPr>
                <w:rFonts w:hint="eastAsia" w:ascii="宋体" w:hAnsi="宋体"/>
                <w:color w:val="auto"/>
                <w:kern w:val="0"/>
                <w:highlight w:val="none"/>
                <w:lang w:val="en-US" w:eastAsia="zh-CN"/>
              </w:rPr>
              <w:t>1</w:t>
            </w:r>
          </w:p>
        </w:tc>
        <w:tc>
          <w:tcPr>
            <w:tcW w:w="388" w:type="pct"/>
            <w:vAlign w:val="center"/>
          </w:tcPr>
          <w:p w14:paraId="126AC020">
            <w:pPr>
              <w:widowControl/>
              <w:spacing w:line="360" w:lineRule="auto"/>
              <w:jc w:val="center"/>
              <w:rPr>
                <w:rFonts w:ascii="宋体" w:hAnsi="宋体"/>
                <w:color w:val="auto"/>
                <w:kern w:val="0"/>
                <w:highlight w:val="none"/>
              </w:rPr>
            </w:pPr>
          </w:p>
        </w:tc>
        <w:tc>
          <w:tcPr>
            <w:tcW w:w="493" w:type="pct"/>
            <w:vAlign w:val="center"/>
          </w:tcPr>
          <w:p w14:paraId="6A1A05A7">
            <w:pPr>
              <w:widowControl/>
              <w:spacing w:line="360" w:lineRule="auto"/>
              <w:jc w:val="center"/>
              <w:rPr>
                <w:rFonts w:ascii="宋体" w:hAnsi="宋体"/>
                <w:color w:val="auto"/>
                <w:kern w:val="0"/>
                <w:highlight w:val="none"/>
              </w:rPr>
            </w:pPr>
          </w:p>
        </w:tc>
        <w:tc>
          <w:tcPr>
            <w:tcW w:w="1745" w:type="pct"/>
            <w:vMerge w:val="restart"/>
            <w:vAlign w:val="center"/>
          </w:tcPr>
          <w:p w14:paraId="08D766B7">
            <w:pPr>
              <w:widowControl/>
              <w:spacing w:line="360" w:lineRule="auto"/>
              <w:jc w:val="center"/>
              <w:rPr>
                <w:rFonts w:hint="eastAsia" w:ascii="宋体" w:hAnsi="宋体" w:eastAsiaTheme="minorEastAsia" w:cstheme="minorBidi"/>
                <w:color w:val="auto"/>
                <w:kern w:val="0"/>
                <w:sz w:val="21"/>
                <w:szCs w:val="24"/>
                <w:highlight w:val="none"/>
                <w:lang w:val="en-US" w:eastAsia="zh-CN" w:bidi="ar-SA"/>
              </w:rPr>
            </w:pPr>
            <w:r>
              <w:rPr>
                <w:rFonts w:hint="eastAsia" w:ascii="宋体" w:hAnsi="宋体" w:cs="宋体"/>
                <w:color w:val="auto"/>
                <w:sz w:val="20"/>
                <w:szCs w:val="16"/>
                <w:highlight w:val="none"/>
              </w:rPr>
              <w:t>对园区内的一套标准空气站和一套挥发性有机物（VOCs）监测系统（包含116种PAMS物质）为期一年及一套标准空气站、一套挥发性有机物（VOCs）监测系统（包含57种PAMS物质）和45套空气自动监测微站进行为期两年的全方位、系统化运维及管理服务，并包含对所运行维护设备进行必要的软件功能升级，保证设备稳定运行，并向园区提供环保智慧平台、数据监控预警以及技术咨询等服务。</w:t>
            </w:r>
          </w:p>
        </w:tc>
      </w:tr>
      <w:tr w14:paraId="1DEB9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352" w:type="pct"/>
            <w:vAlign w:val="center"/>
          </w:tcPr>
          <w:p w14:paraId="26BD30A2">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2</w:t>
            </w:r>
          </w:p>
        </w:tc>
        <w:tc>
          <w:tcPr>
            <w:tcW w:w="570" w:type="pct"/>
            <w:vMerge w:val="continue"/>
            <w:vAlign w:val="center"/>
          </w:tcPr>
          <w:p w14:paraId="2F6DF6E2">
            <w:pPr>
              <w:widowControl/>
              <w:spacing w:line="360" w:lineRule="auto"/>
              <w:jc w:val="center"/>
              <w:rPr>
                <w:rFonts w:hint="eastAsia" w:ascii="宋体" w:hAnsi="宋体"/>
                <w:color w:val="auto"/>
                <w:kern w:val="0"/>
                <w:highlight w:val="none"/>
              </w:rPr>
            </w:pPr>
          </w:p>
        </w:tc>
        <w:tc>
          <w:tcPr>
            <w:tcW w:w="970" w:type="pct"/>
            <w:vAlign w:val="center"/>
          </w:tcPr>
          <w:p w14:paraId="1E58F7EC">
            <w:pPr>
              <w:widowControl/>
              <w:spacing w:line="360" w:lineRule="auto"/>
              <w:jc w:val="center"/>
              <w:rPr>
                <w:rFonts w:hint="eastAsia" w:ascii="宋体" w:hAnsi="宋体" w:cs="宋体"/>
                <w:color w:val="auto"/>
                <w:szCs w:val="18"/>
                <w:highlight w:val="none"/>
                <w:lang w:eastAsia="zh-CN"/>
              </w:rPr>
            </w:pPr>
            <w:r>
              <w:rPr>
                <w:rFonts w:hint="eastAsia" w:ascii="宋体" w:hAnsi="宋体" w:cs="宋体"/>
                <w:color w:val="auto"/>
                <w:szCs w:val="18"/>
                <w:highlight w:val="none"/>
                <w:lang w:eastAsia="zh-CN"/>
              </w:rPr>
              <w:t>1套标准空气站（位于创新大厦裙楼顶）</w:t>
            </w:r>
          </w:p>
        </w:tc>
        <w:tc>
          <w:tcPr>
            <w:tcW w:w="243" w:type="pct"/>
            <w:vAlign w:val="center"/>
          </w:tcPr>
          <w:p w14:paraId="4D8410A9">
            <w:pPr>
              <w:widowControl/>
              <w:spacing w:line="360" w:lineRule="auto"/>
              <w:jc w:val="center"/>
              <w:rPr>
                <w:rFonts w:hint="default" w:ascii="宋体" w:hAnsi="宋体" w:cs="宋体"/>
                <w:color w:val="auto"/>
                <w:szCs w:val="18"/>
                <w:highlight w:val="none"/>
                <w:lang w:val="en-US" w:eastAsia="zh-CN"/>
              </w:rPr>
            </w:pPr>
            <w:r>
              <w:rPr>
                <w:rFonts w:hint="eastAsia" w:ascii="宋体" w:hAnsi="宋体" w:cs="宋体"/>
                <w:color w:val="auto"/>
                <w:szCs w:val="18"/>
                <w:highlight w:val="none"/>
                <w:lang w:val="en-US" w:eastAsia="zh-CN"/>
              </w:rPr>
              <w:t>年</w:t>
            </w:r>
          </w:p>
        </w:tc>
        <w:tc>
          <w:tcPr>
            <w:tcW w:w="236" w:type="pct"/>
            <w:vAlign w:val="center"/>
          </w:tcPr>
          <w:p w14:paraId="46106CF3">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2</w:t>
            </w:r>
          </w:p>
        </w:tc>
        <w:tc>
          <w:tcPr>
            <w:tcW w:w="388" w:type="pct"/>
            <w:vAlign w:val="center"/>
          </w:tcPr>
          <w:p w14:paraId="72DCF0AE">
            <w:pPr>
              <w:widowControl/>
              <w:spacing w:line="360" w:lineRule="auto"/>
              <w:jc w:val="center"/>
              <w:rPr>
                <w:rFonts w:ascii="宋体" w:hAnsi="宋体"/>
                <w:color w:val="auto"/>
                <w:kern w:val="0"/>
                <w:highlight w:val="none"/>
              </w:rPr>
            </w:pPr>
          </w:p>
        </w:tc>
        <w:tc>
          <w:tcPr>
            <w:tcW w:w="493" w:type="pct"/>
            <w:vAlign w:val="center"/>
          </w:tcPr>
          <w:p w14:paraId="5F900638">
            <w:pPr>
              <w:widowControl/>
              <w:spacing w:line="360" w:lineRule="auto"/>
              <w:jc w:val="center"/>
              <w:rPr>
                <w:rFonts w:ascii="宋体" w:hAnsi="宋体"/>
                <w:color w:val="auto"/>
                <w:kern w:val="0"/>
                <w:highlight w:val="none"/>
              </w:rPr>
            </w:pPr>
          </w:p>
        </w:tc>
        <w:tc>
          <w:tcPr>
            <w:tcW w:w="1745" w:type="pct"/>
            <w:vMerge w:val="continue"/>
            <w:vAlign w:val="center"/>
          </w:tcPr>
          <w:p w14:paraId="7B69B5B1">
            <w:pPr>
              <w:widowControl/>
              <w:spacing w:line="360" w:lineRule="auto"/>
              <w:jc w:val="center"/>
              <w:rPr>
                <w:rFonts w:hint="eastAsia" w:ascii="宋体" w:hAnsi="宋体" w:cs="宋体"/>
                <w:color w:val="auto"/>
                <w:sz w:val="20"/>
                <w:szCs w:val="16"/>
                <w:highlight w:val="none"/>
              </w:rPr>
            </w:pPr>
          </w:p>
        </w:tc>
      </w:tr>
      <w:tr w14:paraId="3E29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352" w:type="pct"/>
            <w:vAlign w:val="center"/>
          </w:tcPr>
          <w:p w14:paraId="63D933FF">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3</w:t>
            </w:r>
          </w:p>
        </w:tc>
        <w:tc>
          <w:tcPr>
            <w:tcW w:w="570" w:type="pct"/>
            <w:vMerge w:val="continue"/>
            <w:vAlign w:val="center"/>
          </w:tcPr>
          <w:p w14:paraId="416B2D30">
            <w:pPr>
              <w:widowControl/>
              <w:spacing w:line="360" w:lineRule="auto"/>
              <w:jc w:val="center"/>
              <w:rPr>
                <w:rFonts w:hint="eastAsia" w:ascii="宋体" w:hAnsi="宋体"/>
                <w:color w:val="auto"/>
                <w:kern w:val="0"/>
                <w:highlight w:val="none"/>
              </w:rPr>
            </w:pPr>
          </w:p>
        </w:tc>
        <w:tc>
          <w:tcPr>
            <w:tcW w:w="970" w:type="pct"/>
            <w:vAlign w:val="center"/>
          </w:tcPr>
          <w:p w14:paraId="6FC4BEE4">
            <w:pPr>
              <w:widowControl/>
              <w:spacing w:line="360" w:lineRule="auto"/>
              <w:jc w:val="center"/>
              <w:rPr>
                <w:rFonts w:hint="eastAsia" w:ascii="宋体" w:hAnsi="宋体" w:cs="宋体"/>
                <w:color w:val="auto"/>
                <w:szCs w:val="18"/>
                <w:highlight w:val="none"/>
                <w:lang w:eastAsia="zh-CN"/>
              </w:rPr>
            </w:pPr>
            <w:r>
              <w:rPr>
                <w:rFonts w:hint="eastAsia" w:ascii="宋体" w:hAnsi="宋体" w:cs="宋体"/>
                <w:color w:val="auto"/>
                <w:szCs w:val="18"/>
                <w:highlight w:val="none"/>
                <w:lang w:eastAsia="zh-CN"/>
              </w:rPr>
              <w:t>1套挥发性有机物（VOCs）监测系统（包含57种PAMS物质）（位于创新大厦裙楼顶）</w:t>
            </w:r>
          </w:p>
        </w:tc>
        <w:tc>
          <w:tcPr>
            <w:tcW w:w="243" w:type="pct"/>
            <w:vAlign w:val="center"/>
          </w:tcPr>
          <w:p w14:paraId="0E6E78D1">
            <w:pPr>
              <w:widowControl/>
              <w:spacing w:line="360" w:lineRule="auto"/>
              <w:jc w:val="center"/>
              <w:rPr>
                <w:rFonts w:hint="default" w:ascii="宋体" w:hAnsi="宋体" w:cs="宋体"/>
                <w:color w:val="auto"/>
                <w:szCs w:val="18"/>
                <w:highlight w:val="none"/>
                <w:lang w:val="en-US" w:eastAsia="zh-CN"/>
              </w:rPr>
            </w:pPr>
            <w:r>
              <w:rPr>
                <w:rFonts w:hint="eastAsia" w:ascii="宋体" w:hAnsi="宋体" w:cs="宋体"/>
                <w:color w:val="auto"/>
                <w:szCs w:val="18"/>
                <w:highlight w:val="none"/>
                <w:lang w:val="en-US" w:eastAsia="zh-CN"/>
              </w:rPr>
              <w:t>年</w:t>
            </w:r>
          </w:p>
        </w:tc>
        <w:tc>
          <w:tcPr>
            <w:tcW w:w="236" w:type="pct"/>
            <w:vAlign w:val="center"/>
          </w:tcPr>
          <w:p w14:paraId="516F7E06">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2</w:t>
            </w:r>
          </w:p>
        </w:tc>
        <w:tc>
          <w:tcPr>
            <w:tcW w:w="388" w:type="pct"/>
            <w:vAlign w:val="center"/>
          </w:tcPr>
          <w:p w14:paraId="2B11519D">
            <w:pPr>
              <w:widowControl/>
              <w:spacing w:line="360" w:lineRule="auto"/>
              <w:jc w:val="center"/>
              <w:rPr>
                <w:rFonts w:ascii="宋体" w:hAnsi="宋体"/>
                <w:color w:val="auto"/>
                <w:kern w:val="0"/>
                <w:highlight w:val="none"/>
              </w:rPr>
            </w:pPr>
          </w:p>
        </w:tc>
        <w:tc>
          <w:tcPr>
            <w:tcW w:w="493" w:type="pct"/>
            <w:vAlign w:val="center"/>
          </w:tcPr>
          <w:p w14:paraId="74481269">
            <w:pPr>
              <w:widowControl/>
              <w:spacing w:line="360" w:lineRule="auto"/>
              <w:jc w:val="center"/>
              <w:rPr>
                <w:rFonts w:ascii="宋体" w:hAnsi="宋体"/>
                <w:color w:val="auto"/>
                <w:kern w:val="0"/>
                <w:highlight w:val="none"/>
              </w:rPr>
            </w:pPr>
          </w:p>
        </w:tc>
        <w:tc>
          <w:tcPr>
            <w:tcW w:w="1745" w:type="pct"/>
            <w:vMerge w:val="continue"/>
            <w:vAlign w:val="center"/>
          </w:tcPr>
          <w:p w14:paraId="60A1487B">
            <w:pPr>
              <w:widowControl/>
              <w:spacing w:line="360" w:lineRule="auto"/>
              <w:jc w:val="center"/>
              <w:rPr>
                <w:rFonts w:hint="eastAsia" w:ascii="宋体" w:hAnsi="宋体" w:cs="宋体"/>
                <w:color w:val="auto"/>
                <w:sz w:val="20"/>
                <w:szCs w:val="16"/>
                <w:highlight w:val="none"/>
              </w:rPr>
            </w:pPr>
          </w:p>
        </w:tc>
      </w:tr>
      <w:tr w14:paraId="73A1C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352" w:type="pct"/>
            <w:vAlign w:val="center"/>
          </w:tcPr>
          <w:p w14:paraId="1DB76AF7">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4</w:t>
            </w:r>
          </w:p>
        </w:tc>
        <w:tc>
          <w:tcPr>
            <w:tcW w:w="570" w:type="pct"/>
            <w:vMerge w:val="continue"/>
            <w:vAlign w:val="center"/>
          </w:tcPr>
          <w:p w14:paraId="02C63DA5">
            <w:pPr>
              <w:widowControl/>
              <w:spacing w:line="360" w:lineRule="auto"/>
              <w:jc w:val="center"/>
              <w:rPr>
                <w:rFonts w:hint="eastAsia" w:ascii="宋体" w:hAnsi="宋体"/>
                <w:color w:val="auto"/>
                <w:kern w:val="0"/>
                <w:highlight w:val="none"/>
              </w:rPr>
            </w:pPr>
          </w:p>
        </w:tc>
        <w:tc>
          <w:tcPr>
            <w:tcW w:w="970" w:type="pct"/>
            <w:vAlign w:val="center"/>
          </w:tcPr>
          <w:p w14:paraId="2FDBE367">
            <w:pPr>
              <w:widowControl/>
              <w:spacing w:line="360" w:lineRule="auto"/>
              <w:jc w:val="center"/>
              <w:rPr>
                <w:rFonts w:hint="eastAsia" w:ascii="宋体" w:hAnsi="宋体" w:cs="宋体"/>
                <w:color w:val="auto"/>
                <w:szCs w:val="18"/>
                <w:highlight w:val="none"/>
                <w:lang w:eastAsia="zh-CN"/>
              </w:rPr>
            </w:pPr>
            <w:r>
              <w:rPr>
                <w:rFonts w:hint="eastAsia" w:ascii="宋体" w:hAnsi="宋体" w:cs="宋体"/>
                <w:color w:val="auto"/>
                <w:szCs w:val="18"/>
                <w:highlight w:val="none"/>
                <w:lang w:eastAsia="zh-CN"/>
              </w:rPr>
              <w:t>1套挥发性有机物（VOCs）监测系统（包含116种PAMS物质）（位于龙冈镇政府大楼顶）</w:t>
            </w:r>
          </w:p>
        </w:tc>
        <w:tc>
          <w:tcPr>
            <w:tcW w:w="243" w:type="pct"/>
            <w:vAlign w:val="center"/>
          </w:tcPr>
          <w:p w14:paraId="16A05BA1">
            <w:pPr>
              <w:widowControl/>
              <w:spacing w:line="360" w:lineRule="auto"/>
              <w:jc w:val="center"/>
              <w:rPr>
                <w:rFonts w:hint="default" w:ascii="宋体" w:hAnsi="宋体" w:cs="宋体"/>
                <w:color w:val="auto"/>
                <w:szCs w:val="18"/>
                <w:highlight w:val="none"/>
                <w:lang w:val="en-US" w:eastAsia="zh-CN"/>
              </w:rPr>
            </w:pPr>
            <w:r>
              <w:rPr>
                <w:rFonts w:hint="eastAsia" w:ascii="宋体" w:hAnsi="宋体" w:cs="宋体"/>
                <w:color w:val="auto"/>
                <w:szCs w:val="18"/>
                <w:highlight w:val="none"/>
                <w:lang w:val="en-US" w:eastAsia="zh-CN"/>
              </w:rPr>
              <w:t>年</w:t>
            </w:r>
          </w:p>
        </w:tc>
        <w:tc>
          <w:tcPr>
            <w:tcW w:w="236" w:type="pct"/>
            <w:vAlign w:val="center"/>
          </w:tcPr>
          <w:p w14:paraId="1425CCE7">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1</w:t>
            </w:r>
          </w:p>
        </w:tc>
        <w:tc>
          <w:tcPr>
            <w:tcW w:w="388" w:type="pct"/>
            <w:vAlign w:val="center"/>
          </w:tcPr>
          <w:p w14:paraId="0DA5F984">
            <w:pPr>
              <w:widowControl/>
              <w:spacing w:line="360" w:lineRule="auto"/>
              <w:jc w:val="center"/>
              <w:rPr>
                <w:rFonts w:ascii="宋体" w:hAnsi="宋体"/>
                <w:color w:val="auto"/>
                <w:kern w:val="0"/>
                <w:highlight w:val="none"/>
              </w:rPr>
            </w:pPr>
          </w:p>
        </w:tc>
        <w:tc>
          <w:tcPr>
            <w:tcW w:w="493" w:type="pct"/>
            <w:vAlign w:val="center"/>
          </w:tcPr>
          <w:p w14:paraId="41145D2F">
            <w:pPr>
              <w:widowControl/>
              <w:spacing w:line="360" w:lineRule="auto"/>
              <w:jc w:val="center"/>
              <w:rPr>
                <w:rFonts w:ascii="宋体" w:hAnsi="宋体"/>
                <w:color w:val="auto"/>
                <w:kern w:val="0"/>
                <w:highlight w:val="none"/>
              </w:rPr>
            </w:pPr>
          </w:p>
        </w:tc>
        <w:tc>
          <w:tcPr>
            <w:tcW w:w="1745" w:type="pct"/>
            <w:vMerge w:val="continue"/>
            <w:vAlign w:val="center"/>
          </w:tcPr>
          <w:p w14:paraId="0D3E3DC8">
            <w:pPr>
              <w:widowControl/>
              <w:spacing w:line="360" w:lineRule="auto"/>
              <w:jc w:val="center"/>
              <w:rPr>
                <w:rFonts w:hint="eastAsia" w:ascii="宋体" w:hAnsi="宋体" w:cs="宋体"/>
                <w:color w:val="auto"/>
                <w:sz w:val="20"/>
                <w:szCs w:val="16"/>
                <w:highlight w:val="none"/>
              </w:rPr>
            </w:pPr>
          </w:p>
        </w:tc>
      </w:tr>
      <w:tr w14:paraId="5091F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rPr>
        <w:tc>
          <w:tcPr>
            <w:tcW w:w="352" w:type="pct"/>
            <w:vAlign w:val="center"/>
          </w:tcPr>
          <w:p w14:paraId="672BE7FD">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5</w:t>
            </w:r>
          </w:p>
        </w:tc>
        <w:tc>
          <w:tcPr>
            <w:tcW w:w="570" w:type="pct"/>
            <w:vMerge w:val="continue"/>
            <w:vAlign w:val="center"/>
          </w:tcPr>
          <w:p w14:paraId="4B7FA58C">
            <w:pPr>
              <w:widowControl/>
              <w:spacing w:line="360" w:lineRule="auto"/>
              <w:jc w:val="center"/>
              <w:rPr>
                <w:rFonts w:hint="eastAsia" w:ascii="宋体" w:hAnsi="宋体"/>
                <w:color w:val="auto"/>
                <w:kern w:val="0"/>
                <w:highlight w:val="none"/>
              </w:rPr>
            </w:pPr>
          </w:p>
        </w:tc>
        <w:tc>
          <w:tcPr>
            <w:tcW w:w="970" w:type="pct"/>
            <w:vAlign w:val="center"/>
          </w:tcPr>
          <w:p w14:paraId="5475B808">
            <w:pPr>
              <w:widowControl/>
              <w:spacing w:line="360" w:lineRule="auto"/>
              <w:jc w:val="center"/>
              <w:rPr>
                <w:rFonts w:hint="eastAsia" w:ascii="宋体" w:hAnsi="宋体" w:cs="宋体"/>
                <w:color w:val="auto"/>
                <w:szCs w:val="18"/>
                <w:highlight w:val="none"/>
                <w:lang w:eastAsia="zh-CN"/>
              </w:rPr>
            </w:pPr>
            <w:r>
              <w:rPr>
                <w:rFonts w:hint="eastAsia" w:ascii="宋体" w:hAnsi="宋体" w:cs="宋体"/>
                <w:color w:val="auto"/>
                <w:szCs w:val="18"/>
                <w:highlight w:val="none"/>
                <w:lang w:eastAsia="zh-CN"/>
              </w:rPr>
              <w:t>45套空气自动监测微站（包含园区16个边界站点及29个网格站点，分布园区周边）</w:t>
            </w:r>
          </w:p>
        </w:tc>
        <w:tc>
          <w:tcPr>
            <w:tcW w:w="243" w:type="pct"/>
            <w:vAlign w:val="center"/>
          </w:tcPr>
          <w:p w14:paraId="73AFAABC">
            <w:pPr>
              <w:widowControl/>
              <w:spacing w:line="360" w:lineRule="auto"/>
              <w:jc w:val="center"/>
              <w:rPr>
                <w:rFonts w:hint="default" w:ascii="宋体" w:hAnsi="宋体" w:cs="宋体"/>
                <w:color w:val="auto"/>
                <w:szCs w:val="18"/>
                <w:highlight w:val="none"/>
                <w:lang w:val="en-US" w:eastAsia="zh-CN"/>
              </w:rPr>
            </w:pPr>
            <w:r>
              <w:rPr>
                <w:rFonts w:hint="eastAsia" w:ascii="宋体" w:hAnsi="宋体" w:cs="宋体"/>
                <w:color w:val="auto"/>
                <w:szCs w:val="18"/>
                <w:highlight w:val="none"/>
                <w:lang w:val="en-US" w:eastAsia="zh-CN"/>
              </w:rPr>
              <w:t>年</w:t>
            </w:r>
          </w:p>
        </w:tc>
        <w:tc>
          <w:tcPr>
            <w:tcW w:w="236" w:type="pct"/>
            <w:vAlign w:val="center"/>
          </w:tcPr>
          <w:p w14:paraId="2FB0EBDA">
            <w:pPr>
              <w:widowControl/>
              <w:spacing w:line="360" w:lineRule="auto"/>
              <w:jc w:val="center"/>
              <w:rPr>
                <w:rFonts w:hint="default" w:ascii="宋体" w:hAnsi="宋体"/>
                <w:color w:val="auto"/>
                <w:kern w:val="0"/>
                <w:highlight w:val="none"/>
                <w:lang w:val="en-US" w:eastAsia="zh-CN"/>
              </w:rPr>
            </w:pPr>
            <w:r>
              <w:rPr>
                <w:rFonts w:hint="eastAsia" w:ascii="宋体" w:hAnsi="宋体"/>
                <w:color w:val="auto"/>
                <w:kern w:val="0"/>
                <w:highlight w:val="none"/>
                <w:lang w:val="en-US" w:eastAsia="zh-CN"/>
              </w:rPr>
              <w:t>2</w:t>
            </w:r>
          </w:p>
        </w:tc>
        <w:tc>
          <w:tcPr>
            <w:tcW w:w="388" w:type="pct"/>
            <w:vAlign w:val="center"/>
          </w:tcPr>
          <w:p w14:paraId="6A2A509A">
            <w:pPr>
              <w:widowControl/>
              <w:spacing w:line="360" w:lineRule="auto"/>
              <w:jc w:val="center"/>
              <w:rPr>
                <w:rFonts w:ascii="宋体" w:hAnsi="宋体"/>
                <w:color w:val="auto"/>
                <w:kern w:val="0"/>
                <w:highlight w:val="none"/>
              </w:rPr>
            </w:pPr>
          </w:p>
        </w:tc>
        <w:tc>
          <w:tcPr>
            <w:tcW w:w="493" w:type="pct"/>
            <w:vAlign w:val="center"/>
          </w:tcPr>
          <w:p w14:paraId="30837A13">
            <w:pPr>
              <w:widowControl/>
              <w:spacing w:line="360" w:lineRule="auto"/>
              <w:jc w:val="center"/>
              <w:rPr>
                <w:rFonts w:ascii="宋体" w:hAnsi="宋体"/>
                <w:color w:val="auto"/>
                <w:kern w:val="0"/>
                <w:highlight w:val="none"/>
              </w:rPr>
            </w:pPr>
          </w:p>
        </w:tc>
        <w:tc>
          <w:tcPr>
            <w:tcW w:w="1745" w:type="pct"/>
            <w:vMerge w:val="continue"/>
            <w:vAlign w:val="center"/>
          </w:tcPr>
          <w:p w14:paraId="5FBA6EA8">
            <w:pPr>
              <w:widowControl/>
              <w:spacing w:line="360" w:lineRule="auto"/>
              <w:jc w:val="center"/>
              <w:rPr>
                <w:rFonts w:hint="eastAsia" w:ascii="宋体" w:hAnsi="宋体" w:cs="宋体"/>
                <w:color w:val="auto"/>
                <w:sz w:val="20"/>
                <w:szCs w:val="16"/>
                <w:highlight w:val="none"/>
              </w:rPr>
            </w:pPr>
          </w:p>
        </w:tc>
      </w:tr>
      <w:tr w14:paraId="77431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 w:hRule="atLeast"/>
        </w:trPr>
        <w:tc>
          <w:tcPr>
            <w:tcW w:w="352" w:type="pct"/>
            <w:vAlign w:val="center"/>
          </w:tcPr>
          <w:p w14:paraId="213373E9">
            <w:pPr>
              <w:widowControl/>
              <w:spacing w:line="360" w:lineRule="auto"/>
              <w:jc w:val="center"/>
              <w:rPr>
                <w:rFonts w:hint="eastAsia" w:ascii="宋体" w:hAnsi="宋体" w:eastAsiaTheme="minorEastAsia"/>
                <w:b/>
                <w:color w:val="auto"/>
                <w:kern w:val="0"/>
                <w:highlight w:val="none"/>
                <w:lang w:val="en-US" w:eastAsia="zh-CN"/>
              </w:rPr>
            </w:pPr>
            <w:r>
              <w:rPr>
                <w:rFonts w:hint="eastAsia" w:ascii="宋体" w:hAnsi="宋体"/>
                <w:b/>
                <w:color w:val="auto"/>
                <w:kern w:val="0"/>
                <w:highlight w:val="none"/>
                <w:lang w:val="en-US" w:eastAsia="zh-CN"/>
              </w:rPr>
              <w:t>6</w:t>
            </w:r>
          </w:p>
        </w:tc>
        <w:tc>
          <w:tcPr>
            <w:tcW w:w="2408" w:type="pct"/>
            <w:gridSpan w:val="5"/>
            <w:vAlign w:val="center"/>
          </w:tcPr>
          <w:p w14:paraId="0E1B5E52">
            <w:pPr>
              <w:widowControl/>
              <w:spacing w:line="360" w:lineRule="auto"/>
              <w:jc w:val="center"/>
              <w:rPr>
                <w:rFonts w:ascii="宋体" w:hAnsi="宋体"/>
                <w:b/>
                <w:color w:val="auto"/>
                <w:kern w:val="0"/>
                <w:highlight w:val="none"/>
              </w:rPr>
            </w:pPr>
            <w:r>
              <w:rPr>
                <w:rFonts w:hint="eastAsia" w:ascii="宋体" w:hAnsi="宋体"/>
                <w:b/>
                <w:color w:val="auto"/>
                <w:kern w:val="0"/>
                <w:highlight w:val="none"/>
              </w:rPr>
              <w:t>投标总报价</w:t>
            </w:r>
          </w:p>
        </w:tc>
        <w:tc>
          <w:tcPr>
            <w:tcW w:w="493" w:type="pct"/>
            <w:vAlign w:val="center"/>
          </w:tcPr>
          <w:p w14:paraId="31CE1506">
            <w:pPr>
              <w:widowControl/>
              <w:spacing w:line="360" w:lineRule="auto"/>
              <w:jc w:val="center"/>
              <w:rPr>
                <w:rFonts w:ascii="宋体" w:hAnsi="宋体"/>
                <w:color w:val="auto"/>
                <w:kern w:val="0"/>
                <w:highlight w:val="none"/>
              </w:rPr>
            </w:pPr>
          </w:p>
        </w:tc>
        <w:tc>
          <w:tcPr>
            <w:tcW w:w="1745" w:type="pct"/>
            <w:vAlign w:val="center"/>
          </w:tcPr>
          <w:p w14:paraId="42DB3417">
            <w:pPr>
              <w:widowControl/>
              <w:spacing w:line="360" w:lineRule="auto"/>
              <w:jc w:val="center"/>
              <w:rPr>
                <w:rFonts w:ascii="宋体" w:hAnsi="宋体"/>
                <w:color w:val="auto"/>
                <w:kern w:val="0"/>
                <w:highlight w:val="none"/>
              </w:rPr>
            </w:pPr>
          </w:p>
        </w:tc>
      </w:tr>
    </w:tbl>
    <w:p w14:paraId="41C2B153">
      <w:pPr>
        <w:pStyle w:val="24"/>
        <w:spacing w:line="360" w:lineRule="auto"/>
        <w:jc w:val="center"/>
        <w:rPr>
          <w:rFonts w:hint="eastAsia" w:hAnsi="宋体" w:eastAsia="宋体"/>
          <w:color w:val="auto"/>
          <w:sz w:val="21"/>
          <w:highlight w:val="none"/>
        </w:rPr>
      </w:pPr>
    </w:p>
    <w:p w14:paraId="49B2EC56">
      <w:pPr>
        <w:widowControl/>
        <w:spacing w:line="360" w:lineRule="auto"/>
        <w:jc w:val="left"/>
        <w:rPr>
          <w:rFonts w:hint="eastAsia" w:ascii="黑体" w:hAnsi="宋体" w:eastAsia="黑体" w:cs="黑体"/>
          <w:b/>
          <w:color w:val="auto"/>
          <w:sz w:val="32"/>
          <w:szCs w:val="32"/>
          <w:highlight w:val="none"/>
        </w:rPr>
      </w:pPr>
      <w:r>
        <w:rPr>
          <w:rFonts w:hint="eastAsia" w:ascii="宋体" w:hAnsi="宋体" w:cs="宋体"/>
          <w:color w:val="auto"/>
          <w:sz w:val="20"/>
          <w:szCs w:val="16"/>
          <w:highlight w:val="none"/>
        </w:rPr>
        <w:t>本项目合同采用“固定总价”合同。本合同价格包括运维期间的服务费及文件所要求的相关服务等全过程产生的所有成本和费用以及一切税费，即主要包含但不限于完成本项目所需的一切电费、网络传输费、无线通讯费、数据服务、安全防护、人工、管理、设备、耗材、零部件的更换、培训、售后服务、免费维护、质控、保险、利润、税金、政策性文件规定及合同包含的所有风险、责任等各项应有费用。凡漏项或少计均视为优惠，甲方不另行增加费用。各类风险和政策性调整等风险已包括在合同价中，最终结算时除合同约定调整外一律不予调整。</w:t>
      </w:r>
      <w:r>
        <w:rPr>
          <w:rFonts w:hint="eastAsia" w:ascii="黑体" w:hAnsi="宋体" w:eastAsia="黑体" w:cs="黑体"/>
          <w:b/>
          <w:color w:val="auto"/>
          <w:sz w:val="32"/>
          <w:szCs w:val="32"/>
          <w:highlight w:val="none"/>
        </w:rPr>
        <w:br w:type="page"/>
      </w:r>
    </w:p>
    <w:p w14:paraId="3136C0B8">
      <w:pPr>
        <w:pStyle w:val="14"/>
        <w:spacing w:beforeAutospacing="0" w:afterAutospacing="0"/>
        <w:jc w:val="center"/>
        <w:rPr>
          <w:rFonts w:hint="eastAsia" w:ascii="黑体" w:hAnsi="宋体" w:eastAsia="黑体" w:cs="黑体"/>
          <w:b/>
          <w:color w:val="auto"/>
          <w:sz w:val="32"/>
          <w:szCs w:val="32"/>
          <w:highlight w:val="none"/>
        </w:rPr>
        <w:sectPr>
          <w:type w:val="continuous"/>
          <w:pgSz w:w="16838" w:h="11906" w:orient="landscape"/>
          <w:pgMar w:top="1800" w:right="1440" w:bottom="1800" w:left="1440" w:header="851" w:footer="992" w:gutter="0"/>
          <w:cols w:space="425" w:num="1"/>
          <w:docGrid w:type="lines" w:linePitch="312" w:charSpace="0"/>
        </w:sectPr>
      </w:pPr>
    </w:p>
    <w:p w14:paraId="7C6FF856">
      <w:pPr>
        <w:pStyle w:val="14"/>
        <w:spacing w:beforeAutospacing="0" w:afterAutospacing="0"/>
        <w:jc w:val="center"/>
        <w:rPr>
          <w:color w:val="auto"/>
          <w:highlight w:val="none"/>
        </w:rPr>
      </w:pPr>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四</w:t>
      </w:r>
      <w:r>
        <w:rPr>
          <w:rFonts w:hint="eastAsia" w:ascii="黑体" w:hAnsi="宋体" w:eastAsia="黑体" w:cs="黑体"/>
          <w:b/>
          <w:color w:val="auto"/>
          <w:sz w:val="32"/>
          <w:szCs w:val="32"/>
          <w:highlight w:val="none"/>
        </w:rPr>
        <w:t>、技术要求响应及偏离表</w:t>
      </w:r>
    </w:p>
    <w:tbl>
      <w:tblPr>
        <w:tblStyle w:val="1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3E7ADFF">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1EF36">
            <w:pPr>
              <w:pStyle w:val="14"/>
              <w:spacing w:beforeAutospacing="0" w:afterAutospacing="0"/>
              <w:jc w:val="center"/>
              <w:rPr>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DF2B">
            <w:pPr>
              <w:pStyle w:val="14"/>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C8AAF">
            <w:pPr>
              <w:pStyle w:val="14"/>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CD9768">
            <w:pPr>
              <w:pStyle w:val="14"/>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7213">
            <w:pPr>
              <w:pStyle w:val="14"/>
              <w:spacing w:beforeAutospacing="0" w:afterAutospacing="0"/>
              <w:jc w:val="center"/>
              <w:rPr>
                <w:color w:val="auto"/>
                <w:highlight w:val="none"/>
              </w:rPr>
            </w:pPr>
            <w:r>
              <w:rPr>
                <w:rFonts w:hint="eastAsia" w:ascii="宋体" w:hAnsi="宋体" w:eastAsia="宋体" w:cs="宋体"/>
                <w:color w:val="auto"/>
                <w:highlight w:val="none"/>
              </w:rPr>
              <w:t>证明</w:t>
            </w:r>
          </w:p>
          <w:p w14:paraId="15D24F31">
            <w:pPr>
              <w:pStyle w:val="14"/>
              <w:spacing w:beforeAutospacing="0" w:afterAutospacing="0"/>
              <w:jc w:val="center"/>
              <w:rPr>
                <w:color w:val="auto"/>
                <w:highlight w:val="none"/>
              </w:rPr>
            </w:pPr>
            <w:r>
              <w:rPr>
                <w:rFonts w:hint="eastAsia" w:ascii="宋体" w:hAnsi="宋体" w:eastAsia="宋体" w:cs="宋体"/>
                <w:color w:val="auto"/>
                <w:highlight w:val="none"/>
              </w:rPr>
              <w:t>材料</w:t>
            </w:r>
          </w:p>
        </w:tc>
      </w:tr>
      <w:tr w14:paraId="649FEBA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28AE5">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52988">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50966">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95864">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D9CC">
            <w:pPr>
              <w:pStyle w:val="14"/>
              <w:spacing w:beforeAutospacing="0" w:afterAutospacing="0"/>
              <w:jc w:val="center"/>
              <w:rPr>
                <w:color w:val="auto"/>
                <w:highlight w:val="none"/>
              </w:rPr>
            </w:pPr>
            <w:r>
              <w:rPr>
                <w:color w:val="auto"/>
                <w:highlight w:val="none"/>
              </w:rPr>
              <w:t> </w:t>
            </w:r>
          </w:p>
        </w:tc>
      </w:tr>
      <w:tr w14:paraId="34414CD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917B9">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5011F">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13951">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FBCFD">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1620D">
            <w:pPr>
              <w:pStyle w:val="14"/>
              <w:spacing w:beforeAutospacing="0" w:afterAutospacing="0"/>
              <w:jc w:val="center"/>
              <w:rPr>
                <w:color w:val="auto"/>
                <w:highlight w:val="none"/>
              </w:rPr>
            </w:pPr>
            <w:r>
              <w:rPr>
                <w:color w:val="auto"/>
                <w:highlight w:val="none"/>
              </w:rPr>
              <w:t> </w:t>
            </w:r>
          </w:p>
        </w:tc>
      </w:tr>
      <w:tr w14:paraId="6C78A84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47624">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C870">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483A6">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22346">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87E28">
            <w:pPr>
              <w:pStyle w:val="14"/>
              <w:spacing w:beforeAutospacing="0" w:afterAutospacing="0"/>
              <w:jc w:val="center"/>
              <w:rPr>
                <w:color w:val="auto"/>
                <w:highlight w:val="none"/>
              </w:rPr>
            </w:pPr>
            <w:r>
              <w:rPr>
                <w:color w:val="auto"/>
                <w:highlight w:val="none"/>
              </w:rPr>
              <w:t> </w:t>
            </w:r>
          </w:p>
        </w:tc>
      </w:tr>
      <w:tr w14:paraId="1673AA70">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5FCCB">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E6F79">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36E99">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A958D">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E78C3">
            <w:pPr>
              <w:pStyle w:val="14"/>
              <w:spacing w:beforeAutospacing="0" w:afterAutospacing="0"/>
              <w:jc w:val="center"/>
              <w:rPr>
                <w:color w:val="auto"/>
                <w:highlight w:val="none"/>
              </w:rPr>
            </w:pPr>
            <w:r>
              <w:rPr>
                <w:color w:val="auto"/>
                <w:highlight w:val="none"/>
              </w:rPr>
              <w:t> </w:t>
            </w:r>
          </w:p>
        </w:tc>
      </w:tr>
      <w:tr w14:paraId="78AF3C9B">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DF73">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CAA48">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DB769">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98E14">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72323">
            <w:pPr>
              <w:pStyle w:val="14"/>
              <w:spacing w:beforeAutospacing="0" w:afterAutospacing="0"/>
              <w:jc w:val="center"/>
              <w:rPr>
                <w:color w:val="auto"/>
                <w:highlight w:val="none"/>
              </w:rPr>
            </w:pPr>
            <w:r>
              <w:rPr>
                <w:color w:val="auto"/>
                <w:highlight w:val="none"/>
              </w:rPr>
              <w:t> </w:t>
            </w:r>
          </w:p>
        </w:tc>
      </w:tr>
      <w:tr w14:paraId="1347E9E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C0527">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F0DF9">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5EAF01">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C454">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320E0">
            <w:pPr>
              <w:pStyle w:val="14"/>
              <w:spacing w:beforeAutospacing="0" w:afterAutospacing="0"/>
              <w:jc w:val="center"/>
              <w:rPr>
                <w:color w:val="auto"/>
                <w:highlight w:val="none"/>
              </w:rPr>
            </w:pPr>
            <w:r>
              <w:rPr>
                <w:color w:val="auto"/>
                <w:highlight w:val="none"/>
              </w:rPr>
              <w:t> </w:t>
            </w:r>
          </w:p>
        </w:tc>
      </w:tr>
      <w:tr w14:paraId="26D64765">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3759A">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F4B02">
            <w:pPr>
              <w:pStyle w:val="14"/>
              <w:spacing w:beforeAutospacing="0" w:afterAutospacing="0"/>
              <w:jc w:val="center"/>
              <w:rPr>
                <w:color w:val="auto"/>
                <w:highlight w:val="none"/>
              </w:rPr>
            </w:pPr>
            <w:r>
              <w:rPr>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ABF04">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F02A">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F3D3B">
            <w:pPr>
              <w:pStyle w:val="14"/>
              <w:spacing w:beforeAutospacing="0" w:afterAutospacing="0"/>
              <w:jc w:val="center"/>
              <w:rPr>
                <w:color w:val="auto"/>
                <w:highlight w:val="none"/>
              </w:rPr>
            </w:pPr>
            <w:r>
              <w:rPr>
                <w:color w:val="auto"/>
                <w:highlight w:val="none"/>
              </w:rPr>
              <w:t> </w:t>
            </w:r>
          </w:p>
        </w:tc>
      </w:tr>
      <w:tr w14:paraId="18EAA3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3BD94">
            <w:pPr>
              <w:pStyle w:val="14"/>
              <w:spacing w:beforeAutospacing="0" w:afterAutospacing="0"/>
              <w:jc w:val="center"/>
              <w:rPr>
                <w:color w:val="auto"/>
                <w:highlight w:val="none"/>
              </w:rPr>
            </w:pPr>
            <w:r>
              <w:rPr>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D72E4">
            <w:pPr>
              <w:pStyle w:val="14"/>
              <w:spacing w:beforeAutospacing="0" w:afterAutospacing="0"/>
              <w:jc w:val="center"/>
              <w:rPr>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F983">
            <w:pPr>
              <w:pStyle w:val="14"/>
              <w:spacing w:beforeAutospacing="0" w:afterAutospacing="0"/>
              <w:jc w:val="center"/>
              <w:rPr>
                <w:color w:val="auto"/>
                <w:highlight w:val="none"/>
              </w:rPr>
            </w:pPr>
            <w:r>
              <w:rPr>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BCBA">
            <w:pPr>
              <w:pStyle w:val="14"/>
              <w:spacing w:beforeAutospacing="0" w:afterAutospacing="0"/>
              <w:jc w:val="center"/>
              <w:rPr>
                <w:color w:val="auto"/>
                <w:highlight w:val="none"/>
              </w:rPr>
            </w:pPr>
            <w:r>
              <w:rPr>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6A3A0">
            <w:pPr>
              <w:pStyle w:val="14"/>
              <w:spacing w:beforeAutospacing="0" w:afterAutospacing="0"/>
              <w:jc w:val="center"/>
              <w:rPr>
                <w:color w:val="auto"/>
                <w:highlight w:val="none"/>
              </w:rPr>
            </w:pPr>
            <w:r>
              <w:rPr>
                <w:color w:val="auto"/>
                <w:highlight w:val="none"/>
              </w:rPr>
              <w:t> </w:t>
            </w:r>
          </w:p>
        </w:tc>
      </w:tr>
    </w:tbl>
    <w:p w14:paraId="1B5791B4">
      <w:pPr>
        <w:pStyle w:val="14"/>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FED5EC2">
      <w:pPr>
        <w:pStyle w:val="14"/>
        <w:spacing w:beforeAutospacing="0" w:afterAutospacing="0"/>
        <w:jc w:val="center"/>
        <w:rPr>
          <w:color w:val="auto"/>
          <w:highlight w:val="none"/>
        </w:rPr>
      </w:pPr>
      <w:r>
        <w:rPr>
          <w:color w:val="auto"/>
          <w:highlight w:val="none"/>
        </w:rPr>
        <w:t> </w:t>
      </w:r>
    </w:p>
    <w:p w14:paraId="3154A54A">
      <w:pPr>
        <w:pStyle w:val="14"/>
        <w:spacing w:beforeAutospacing="0" w:afterAutospacing="0"/>
        <w:jc w:val="center"/>
        <w:rPr>
          <w:color w:val="auto"/>
          <w:highlight w:val="none"/>
        </w:rPr>
      </w:pPr>
      <w:r>
        <w:rPr>
          <w:color w:val="auto"/>
          <w:highlight w:val="none"/>
        </w:rPr>
        <w:t> </w:t>
      </w:r>
    </w:p>
    <w:p w14:paraId="27DCF6EA">
      <w:pPr>
        <w:pStyle w:val="14"/>
        <w:spacing w:beforeAutospacing="0" w:afterAutospacing="0"/>
        <w:jc w:val="center"/>
        <w:rPr>
          <w:color w:val="auto"/>
          <w:highlight w:val="none"/>
        </w:rPr>
      </w:pPr>
      <w:r>
        <w:rPr>
          <w:color w:val="auto"/>
          <w:highlight w:val="none"/>
        </w:rPr>
        <w:t> </w:t>
      </w:r>
    </w:p>
    <w:p w14:paraId="0E391D77">
      <w:pPr>
        <w:pStyle w:val="14"/>
        <w:spacing w:beforeAutospacing="0" w:afterAutospacing="0"/>
        <w:jc w:val="center"/>
        <w:rPr>
          <w:color w:val="auto"/>
          <w:highlight w:val="none"/>
        </w:rPr>
      </w:pPr>
      <w:r>
        <w:rPr>
          <w:color w:val="auto"/>
          <w:highlight w:val="none"/>
        </w:rPr>
        <w:t> </w:t>
      </w:r>
    </w:p>
    <w:p w14:paraId="70AC29E3">
      <w:pPr>
        <w:pStyle w:val="14"/>
        <w:spacing w:beforeAutospacing="0" w:afterAutospacing="0"/>
        <w:jc w:val="both"/>
        <w:rPr>
          <w:color w:val="auto"/>
          <w:highlight w:val="none"/>
        </w:rPr>
      </w:pPr>
      <w:r>
        <w:rPr>
          <w:color w:val="auto"/>
          <w:highlight w:val="none"/>
        </w:rPr>
        <w:t> </w:t>
      </w:r>
    </w:p>
    <w:p w14:paraId="0D5D9037">
      <w:pPr>
        <w:pStyle w:val="14"/>
        <w:spacing w:beforeAutospacing="0" w:afterAutospacing="0"/>
        <w:jc w:val="both"/>
        <w:rPr>
          <w:color w:val="auto"/>
          <w:highlight w:val="none"/>
        </w:rPr>
      </w:pPr>
      <w:r>
        <w:rPr>
          <w:color w:val="auto"/>
          <w:highlight w:val="none"/>
        </w:rPr>
        <w:t> </w:t>
      </w:r>
    </w:p>
    <w:p w14:paraId="7806FECD">
      <w:pPr>
        <w:pStyle w:val="14"/>
        <w:spacing w:beforeAutospacing="0" w:afterAutospacing="0"/>
        <w:jc w:val="both"/>
        <w:rPr>
          <w:color w:val="auto"/>
          <w:highlight w:val="none"/>
        </w:rPr>
      </w:pPr>
      <w:r>
        <w:rPr>
          <w:color w:val="auto"/>
          <w:highlight w:val="none"/>
        </w:rPr>
        <w:t> </w:t>
      </w:r>
    </w:p>
    <w:p w14:paraId="173FD20A">
      <w:pPr>
        <w:pStyle w:val="14"/>
        <w:spacing w:beforeAutospacing="0" w:afterAutospacing="0"/>
        <w:jc w:val="both"/>
        <w:rPr>
          <w:color w:val="auto"/>
          <w:highlight w:val="none"/>
        </w:rPr>
      </w:pPr>
      <w:r>
        <w:rPr>
          <w:color w:val="auto"/>
          <w:highlight w:val="none"/>
        </w:rPr>
        <w:t> </w:t>
      </w:r>
    </w:p>
    <w:p w14:paraId="256D2D22">
      <w:pPr>
        <w:pStyle w:val="14"/>
        <w:spacing w:beforeAutospacing="0" w:afterAutospacing="0"/>
        <w:jc w:val="both"/>
        <w:rPr>
          <w:color w:val="auto"/>
          <w:highlight w:val="none"/>
        </w:rPr>
      </w:pPr>
    </w:p>
    <w:p w14:paraId="287B4125">
      <w:pPr>
        <w:pStyle w:val="14"/>
        <w:spacing w:beforeAutospacing="0" w:afterAutospacing="0"/>
        <w:jc w:val="both"/>
        <w:rPr>
          <w:color w:val="auto"/>
          <w:highlight w:val="none"/>
        </w:rPr>
      </w:pPr>
    </w:p>
    <w:p w14:paraId="5463312E">
      <w:pPr>
        <w:pStyle w:val="14"/>
        <w:spacing w:beforeAutospacing="0" w:afterAutospacing="0"/>
        <w:jc w:val="both"/>
        <w:rPr>
          <w:color w:val="auto"/>
          <w:highlight w:val="none"/>
        </w:rPr>
      </w:pPr>
    </w:p>
    <w:p w14:paraId="49436E4B">
      <w:pPr>
        <w:pStyle w:val="14"/>
        <w:spacing w:beforeAutospacing="0" w:afterAutospacing="0"/>
        <w:jc w:val="both"/>
        <w:rPr>
          <w:color w:val="auto"/>
          <w:highlight w:val="none"/>
        </w:rPr>
      </w:pPr>
    </w:p>
    <w:p w14:paraId="5CCAFE7B">
      <w:pPr>
        <w:pStyle w:val="14"/>
        <w:spacing w:beforeAutospacing="0" w:afterAutospacing="0"/>
        <w:jc w:val="both"/>
        <w:rPr>
          <w:color w:val="auto"/>
          <w:highlight w:val="none"/>
        </w:rPr>
      </w:pPr>
    </w:p>
    <w:p w14:paraId="42E6F870">
      <w:pPr>
        <w:pStyle w:val="14"/>
        <w:spacing w:beforeAutospacing="0" w:afterAutospacing="0"/>
        <w:jc w:val="both"/>
        <w:rPr>
          <w:color w:val="auto"/>
          <w:highlight w:val="none"/>
        </w:rPr>
      </w:pPr>
    </w:p>
    <w:p w14:paraId="1078122E">
      <w:pPr>
        <w:pStyle w:val="14"/>
        <w:spacing w:beforeAutospacing="0" w:afterAutospacing="0"/>
        <w:jc w:val="both"/>
        <w:rPr>
          <w:color w:val="auto"/>
          <w:highlight w:val="none"/>
        </w:rPr>
      </w:pPr>
    </w:p>
    <w:p w14:paraId="5817F764">
      <w:pPr>
        <w:pStyle w:val="14"/>
        <w:spacing w:beforeAutospacing="0" w:afterAutospacing="0"/>
        <w:jc w:val="both"/>
        <w:rPr>
          <w:color w:val="auto"/>
          <w:highlight w:val="none"/>
        </w:rPr>
      </w:pPr>
    </w:p>
    <w:p w14:paraId="1C091852">
      <w:pPr>
        <w:pStyle w:val="14"/>
        <w:spacing w:beforeAutospacing="0" w:afterAutospacing="0"/>
        <w:jc w:val="both"/>
        <w:rPr>
          <w:color w:val="auto"/>
          <w:highlight w:val="none"/>
        </w:rPr>
      </w:pPr>
    </w:p>
    <w:p w14:paraId="214ECEE3">
      <w:pPr>
        <w:pStyle w:val="14"/>
        <w:spacing w:beforeAutospacing="0" w:afterAutospacing="0"/>
        <w:jc w:val="both"/>
        <w:rPr>
          <w:color w:val="auto"/>
          <w:highlight w:val="none"/>
        </w:rPr>
      </w:pPr>
    </w:p>
    <w:p w14:paraId="5D4F7AA9">
      <w:pPr>
        <w:pStyle w:val="14"/>
        <w:spacing w:beforeAutospacing="0" w:afterAutospacing="0"/>
        <w:jc w:val="both"/>
        <w:rPr>
          <w:color w:val="auto"/>
          <w:highlight w:val="none"/>
        </w:rPr>
      </w:pPr>
    </w:p>
    <w:p w14:paraId="234C4138">
      <w:pPr>
        <w:pStyle w:val="14"/>
        <w:spacing w:beforeAutospacing="0" w:afterAutospacing="0"/>
        <w:jc w:val="both"/>
        <w:rPr>
          <w:color w:val="auto"/>
          <w:highlight w:val="none"/>
        </w:rPr>
      </w:pPr>
    </w:p>
    <w:p w14:paraId="2DD23872">
      <w:pPr>
        <w:pStyle w:val="14"/>
        <w:spacing w:beforeAutospacing="0" w:afterAutospacing="0"/>
        <w:jc w:val="both"/>
        <w:rPr>
          <w:color w:val="auto"/>
          <w:highlight w:val="none"/>
        </w:rPr>
      </w:pPr>
    </w:p>
    <w:p w14:paraId="485302C8">
      <w:pPr>
        <w:pStyle w:val="14"/>
        <w:spacing w:beforeAutospacing="0" w:afterAutospacing="0"/>
        <w:jc w:val="both"/>
        <w:rPr>
          <w:color w:val="auto"/>
          <w:highlight w:val="none"/>
        </w:rPr>
      </w:pPr>
      <w:r>
        <w:rPr>
          <w:color w:val="auto"/>
          <w:highlight w:val="none"/>
        </w:rPr>
        <w:t> </w:t>
      </w:r>
    </w:p>
    <w:p w14:paraId="0777E23F">
      <w:pPr>
        <w:pStyle w:val="14"/>
        <w:spacing w:beforeAutospacing="0" w:afterAutospacing="0"/>
        <w:jc w:val="center"/>
        <w:rPr>
          <w:color w:val="auto"/>
          <w:highlight w:val="none"/>
        </w:rPr>
      </w:pPr>
      <w:bookmarkStart w:id="199" w:name="_Hlt26955054"/>
      <w:r>
        <w:rPr>
          <w:rFonts w:hint="eastAsia" w:ascii="黑体" w:hAnsi="宋体" w:eastAsia="黑体" w:cs="黑体"/>
          <w:b/>
          <w:color w:val="auto"/>
          <w:sz w:val="32"/>
          <w:szCs w:val="32"/>
          <w:highlight w:val="none"/>
        </w:rPr>
        <w:t>十</w:t>
      </w:r>
      <w:r>
        <w:rPr>
          <w:rFonts w:hint="eastAsia" w:ascii="黑体" w:hAnsi="宋体" w:eastAsia="黑体" w:cs="黑体"/>
          <w:b/>
          <w:color w:val="auto"/>
          <w:sz w:val="32"/>
          <w:szCs w:val="32"/>
          <w:highlight w:val="none"/>
          <w:lang w:val="en-US" w:eastAsia="zh-CN"/>
        </w:rPr>
        <w:t>五</w:t>
      </w:r>
      <w:r>
        <w:rPr>
          <w:rFonts w:hint="eastAsia" w:ascii="黑体" w:hAnsi="宋体" w:eastAsia="黑体" w:cs="黑体"/>
          <w:b/>
          <w:color w:val="auto"/>
          <w:sz w:val="32"/>
          <w:szCs w:val="32"/>
          <w:highlight w:val="none"/>
        </w:rPr>
        <w:t>、商务要求响应及偏离表</w:t>
      </w:r>
    </w:p>
    <w:tbl>
      <w:tblPr>
        <w:tblStyle w:val="1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08B5EFB8">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B135F">
            <w:pPr>
              <w:pStyle w:val="14"/>
              <w:spacing w:beforeAutospacing="0" w:afterAutospacing="0"/>
              <w:jc w:val="center"/>
              <w:rPr>
                <w:color w:val="auto"/>
                <w:highlight w:val="none"/>
              </w:rPr>
            </w:pPr>
            <w:bookmarkStart w:id="200" w:name="_Hlt26671343"/>
            <w:bookmarkStart w:id="201" w:name="_Hlt26671372"/>
            <w:bookmarkStart w:id="202" w:name="_Hlt26782999"/>
            <w:bookmarkStart w:id="203" w:name="_Hlt24879081"/>
            <w:bookmarkStart w:id="204" w:name="_Hlt26955056"/>
            <w:bookmarkStart w:id="205" w:name="_Hlt26955064"/>
            <w:bookmarkStart w:id="206" w:name="_Hlt26609391"/>
            <w:bookmarkStart w:id="207" w:name="_Hlt26580838"/>
            <w:r>
              <w:rPr>
                <w:rFonts w:hint="eastAsia" w:ascii="宋体" w:hAnsi="宋体" w:eastAsia="宋体" w:cs="宋体"/>
                <w:color w:val="auto"/>
                <w:highlight w:val="none"/>
              </w:rPr>
              <w:t>序号</w:t>
            </w:r>
          </w:p>
          <w:bookmarkEnd w:id="200"/>
          <w:bookmarkEnd w:id="201"/>
          <w:bookmarkEnd w:id="202"/>
          <w:bookmarkEnd w:id="203"/>
          <w:bookmarkEnd w:id="204"/>
          <w:bookmarkEnd w:id="205"/>
          <w:bookmarkEnd w:id="206"/>
          <w:bookmarkEnd w:id="207"/>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6C7E4">
            <w:pPr>
              <w:pStyle w:val="14"/>
              <w:spacing w:beforeAutospacing="0" w:afterAutospacing="0"/>
              <w:jc w:val="center"/>
              <w:rPr>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69489">
            <w:pPr>
              <w:pStyle w:val="14"/>
              <w:spacing w:beforeAutospacing="0" w:afterAutospacing="0"/>
              <w:jc w:val="center"/>
              <w:rPr>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81CCC">
            <w:pPr>
              <w:pStyle w:val="14"/>
              <w:spacing w:beforeAutospacing="0" w:afterAutospacing="0"/>
              <w:jc w:val="center"/>
              <w:rPr>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E50CF">
            <w:pPr>
              <w:pStyle w:val="14"/>
              <w:spacing w:beforeAutospacing="0" w:afterAutospacing="0"/>
              <w:jc w:val="center"/>
              <w:rPr>
                <w:color w:val="auto"/>
                <w:highlight w:val="none"/>
              </w:rPr>
            </w:pPr>
            <w:r>
              <w:rPr>
                <w:rFonts w:hint="eastAsia" w:ascii="宋体" w:hAnsi="宋体" w:eastAsia="宋体" w:cs="宋体"/>
                <w:color w:val="auto"/>
                <w:highlight w:val="none"/>
              </w:rPr>
              <w:t>证明</w:t>
            </w:r>
          </w:p>
          <w:p w14:paraId="5C403C0F">
            <w:pPr>
              <w:pStyle w:val="14"/>
              <w:spacing w:beforeAutospacing="0" w:afterAutospacing="0"/>
              <w:jc w:val="center"/>
              <w:rPr>
                <w:color w:val="auto"/>
                <w:highlight w:val="none"/>
              </w:rPr>
            </w:pPr>
            <w:r>
              <w:rPr>
                <w:rFonts w:hint="eastAsia" w:ascii="宋体" w:hAnsi="宋体" w:eastAsia="宋体" w:cs="宋体"/>
                <w:color w:val="auto"/>
                <w:highlight w:val="none"/>
              </w:rPr>
              <w:t>材料</w:t>
            </w:r>
          </w:p>
        </w:tc>
      </w:tr>
      <w:tr w14:paraId="63A416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C7B3FD">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1ED68">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5F679">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E9B29">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B857F">
            <w:pPr>
              <w:pStyle w:val="14"/>
              <w:spacing w:beforeAutospacing="0" w:afterAutospacing="0"/>
              <w:jc w:val="center"/>
              <w:rPr>
                <w:color w:val="auto"/>
                <w:highlight w:val="none"/>
              </w:rPr>
            </w:pPr>
            <w:r>
              <w:rPr>
                <w:color w:val="auto"/>
                <w:highlight w:val="none"/>
              </w:rPr>
              <w:t> </w:t>
            </w:r>
          </w:p>
        </w:tc>
      </w:tr>
      <w:tr w14:paraId="4EF9556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1C357">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E95C0">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E38FB">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228C">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4C078">
            <w:pPr>
              <w:pStyle w:val="14"/>
              <w:spacing w:beforeAutospacing="0" w:afterAutospacing="0"/>
              <w:jc w:val="center"/>
              <w:rPr>
                <w:color w:val="auto"/>
                <w:highlight w:val="none"/>
              </w:rPr>
            </w:pPr>
            <w:r>
              <w:rPr>
                <w:color w:val="auto"/>
                <w:highlight w:val="none"/>
              </w:rPr>
              <w:t> </w:t>
            </w:r>
          </w:p>
        </w:tc>
      </w:tr>
      <w:tr w14:paraId="13D74BB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2D78E">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21D7A">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BCA91">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8DE64">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7AC29">
            <w:pPr>
              <w:pStyle w:val="14"/>
              <w:spacing w:beforeAutospacing="0" w:afterAutospacing="0"/>
              <w:jc w:val="center"/>
              <w:rPr>
                <w:color w:val="auto"/>
                <w:highlight w:val="none"/>
              </w:rPr>
            </w:pPr>
            <w:r>
              <w:rPr>
                <w:color w:val="auto"/>
                <w:highlight w:val="none"/>
              </w:rPr>
              <w:t> </w:t>
            </w:r>
          </w:p>
        </w:tc>
      </w:tr>
      <w:tr w14:paraId="32E9B7B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1FA05">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42056">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48BF5">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0F012">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153CC">
            <w:pPr>
              <w:pStyle w:val="14"/>
              <w:spacing w:beforeAutospacing="0" w:afterAutospacing="0"/>
              <w:jc w:val="center"/>
              <w:rPr>
                <w:color w:val="auto"/>
                <w:highlight w:val="none"/>
              </w:rPr>
            </w:pPr>
            <w:r>
              <w:rPr>
                <w:color w:val="auto"/>
                <w:highlight w:val="none"/>
              </w:rPr>
              <w:t> </w:t>
            </w:r>
          </w:p>
        </w:tc>
      </w:tr>
      <w:tr w14:paraId="4B2717D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7F8DE">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57AFD">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A8D3A">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513F5">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241C0">
            <w:pPr>
              <w:pStyle w:val="14"/>
              <w:spacing w:beforeAutospacing="0" w:afterAutospacing="0"/>
              <w:jc w:val="center"/>
              <w:rPr>
                <w:color w:val="auto"/>
                <w:highlight w:val="none"/>
              </w:rPr>
            </w:pPr>
            <w:r>
              <w:rPr>
                <w:color w:val="auto"/>
                <w:highlight w:val="none"/>
              </w:rPr>
              <w:t> </w:t>
            </w:r>
          </w:p>
        </w:tc>
      </w:tr>
      <w:tr w14:paraId="0519FF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A4CE4">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3E558">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72B08">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F5343">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EC0E">
            <w:pPr>
              <w:pStyle w:val="14"/>
              <w:spacing w:beforeAutospacing="0" w:afterAutospacing="0"/>
              <w:jc w:val="center"/>
              <w:rPr>
                <w:color w:val="auto"/>
                <w:highlight w:val="none"/>
              </w:rPr>
            </w:pPr>
            <w:r>
              <w:rPr>
                <w:color w:val="auto"/>
                <w:highlight w:val="none"/>
              </w:rPr>
              <w:t> </w:t>
            </w:r>
          </w:p>
        </w:tc>
      </w:tr>
      <w:tr w14:paraId="621244C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6128D">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63ADC">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E37A1">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4D3A">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26281">
            <w:pPr>
              <w:pStyle w:val="14"/>
              <w:spacing w:beforeAutospacing="0" w:afterAutospacing="0"/>
              <w:jc w:val="center"/>
              <w:rPr>
                <w:color w:val="auto"/>
                <w:highlight w:val="none"/>
              </w:rPr>
            </w:pPr>
            <w:r>
              <w:rPr>
                <w:color w:val="auto"/>
                <w:highlight w:val="none"/>
              </w:rPr>
              <w:t> </w:t>
            </w:r>
          </w:p>
        </w:tc>
      </w:tr>
      <w:tr w14:paraId="5669B8AB">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B7FA1">
            <w:pPr>
              <w:pStyle w:val="14"/>
              <w:spacing w:beforeAutospacing="0" w:afterAutospacing="0"/>
              <w:jc w:val="center"/>
              <w:rPr>
                <w:color w:val="auto"/>
                <w:highlight w:val="none"/>
              </w:rPr>
            </w:pPr>
            <w:r>
              <w:rPr>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CC3FE">
            <w:pPr>
              <w:pStyle w:val="14"/>
              <w:spacing w:beforeAutospacing="0" w:afterAutospacing="0"/>
              <w:jc w:val="center"/>
              <w:rPr>
                <w:color w:val="auto"/>
                <w:highlight w:val="none"/>
              </w:rPr>
            </w:pPr>
            <w:r>
              <w:rPr>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00842">
            <w:pPr>
              <w:pStyle w:val="14"/>
              <w:spacing w:beforeAutospacing="0" w:afterAutospacing="0"/>
              <w:jc w:val="center"/>
              <w:rPr>
                <w:color w:val="auto"/>
                <w:highlight w:val="none"/>
              </w:rPr>
            </w:pPr>
            <w:r>
              <w:rPr>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C0E41">
            <w:pPr>
              <w:pStyle w:val="14"/>
              <w:spacing w:beforeAutospacing="0" w:afterAutospacing="0"/>
              <w:jc w:val="center"/>
              <w:rPr>
                <w:color w:val="auto"/>
                <w:highlight w:val="none"/>
              </w:rPr>
            </w:pPr>
            <w:r>
              <w:rPr>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6CAE1">
            <w:pPr>
              <w:pStyle w:val="14"/>
              <w:spacing w:beforeAutospacing="0" w:afterAutospacing="0"/>
              <w:jc w:val="center"/>
              <w:rPr>
                <w:color w:val="auto"/>
                <w:highlight w:val="none"/>
              </w:rPr>
            </w:pPr>
            <w:r>
              <w:rPr>
                <w:color w:val="auto"/>
                <w:highlight w:val="none"/>
              </w:rPr>
              <w:t> </w:t>
            </w:r>
          </w:p>
        </w:tc>
      </w:tr>
    </w:tbl>
    <w:p w14:paraId="2A7875C8">
      <w:pPr>
        <w:pStyle w:val="14"/>
        <w:spacing w:beforeAutospacing="0" w:afterAutospacing="0"/>
        <w:jc w:val="both"/>
        <w:rPr>
          <w:color w:val="auto"/>
          <w:highlight w:val="none"/>
        </w:rPr>
      </w:pPr>
      <w:r>
        <w:rPr>
          <w:rFonts w:hint="eastAsia" w:ascii="宋体" w:hAnsi="宋体" w:eastAsia="宋体" w:cs="宋体"/>
          <w:color w:val="auto"/>
          <w:highlight w:val="none"/>
        </w:rPr>
        <w:t>注： 行数不够，可自行添加。</w:t>
      </w:r>
    </w:p>
    <w:p w14:paraId="0189D6BF">
      <w:pPr>
        <w:pStyle w:val="14"/>
        <w:spacing w:beforeAutospacing="0" w:afterAutospacing="0" w:line="480" w:lineRule="auto"/>
        <w:jc w:val="both"/>
        <w:rPr>
          <w:color w:val="auto"/>
          <w:highlight w:val="none"/>
        </w:rPr>
      </w:pPr>
      <w:r>
        <w:rPr>
          <w:color w:val="auto"/>
          <w:highlight w:val="none"/>
        </w:rPr>
        <w:t> </w:t>
      </w:r>
    </w:p>
    <w:p w14:paraId="47B8885B">
      <w:pPr>
        <w:pStyle w:val="14"/>
        <w:spacing w:beforeAutospacing="0" w:afterAutospacing="0" w:line="480" w:lineRule="auto"/>
        <w:jc w:val="both"/>
        <w:rPr>
          <w:color w:val="auto"/>
          <w:highlight w:val="none"/>
        </w:rPr>
      </w:pPr>
      <w:r>
        <w:rPr>
          <w:color w:val="auto"/>
          <w:highlight w:val="none"/>
        </w:rPr>
        <w:t> </w:t>
      </w:r>
    </w:p>
    <w:p w14:paraId="4FDC7C44">
      <w:pPr>
        <w:pStyle w:val="14"/>
        <w:spacing w:beforeAutospacing="0" w:afterAutospacing="0"/>
        <w:jc w:val="center"/>
        <w:rPr>
          <w:color w:val="auto"/>
          <w:highlight w:val="none"/>
        </w:rPr>
      </w:pPr>
      <w:bookmarkStart w:id="208" w:name="_Hlt26955066"/>
      <w:bookmarkStart w:id="209" w:name="_Hlt26671374"/>
      <w:bookmarkStart w:id="210" w:name="_Hlt26609389"/>
      <w:bookmarkStart w:id="211" w:name="_格式2__法定代表人授权书"/>
      <w:bookmarkStart w:id="212" w:name="_Toc462564146"/>
      <w:r>
        <w:rPr>
          <w:color w:val="auto"/>
          <w:highlight w:val="none"/>
        </w:rPr>
        <w:t> </w:t>
      </w:r>
    </w:p>
    <w:p w14:paraId="7DFC7EF3">
      <w:pPr>
        <w:pStyle w:val="14"/>
        <w:spacing w:beforeAutospacing="0" w:afterAutospacing="0"/>
        <w:jc w:val="both"/>
        <w:rPr>
          <w:color w:val="auto"/>
          <w:highlight w:val="none"/>
        </w:rPr>
      </w:pPr>
      <w:r>
        <w:rPr>
          <w:color w:val="auto"/>
          <w:highlight w:val="none"/>
        </w:rPr>
        <w:t> </w:t>
      </w:r>
    </w:p>
    <w:p w14:paraId="4627F219">
      <w:pPr>
        <w:pStyle w:val="14"/>
        <w:spacing w:beforeAutospacing="0" w:afterAutospacing="0"/>
        <w:jc w:val="both"/>
        <w:rPr>
          <w:color w:val="auto"/>
          <w:highlight w:val="none"/>
        </w:rPr>
      </w:pPr>
      <w:r>
        <w:rPr>
          <w:color w:val="auto"/>
          <w:highlight w:val="none"/>
        </w:rPr>
        <w:t> </w:t>
      </w:r>
    </w:p>
    <w:p w14:paraId="1B8F9AAB">
      <w:pPr>
        <w:pStyle w:val="14"/>
        <w:spacing w:beforeAutospacing="0" w:afterAutospacing="0"/>
        <w:jc w:val="both"/>
        <w:rPr>
          <w:color w:val="auto"/>
          <w:highlight w:val="none"/>
        </w:rPr>
      </w:pPr>
    </w:p>
    <w:p w14:paraId="5C7164AB">
      <w:pPr>
        <w:pStyle w:val="14"/>
        <w:spacing w:beforeAutospacing="0" w:afterAutospacing="0"/>
        <w:jc w:val="both"/>
        <w:rPr>
          <w:color w:val="auto"/>
          <w:highlight w:val="none"/>
        </w:rPr>
      </w:pPr>
    </w:p>
    <w:p w14:paraId="5F0E1B9B">
      <w:pPr>
        <w:pStyle w:val="14"/>
        <w:spacing w:beforeAutospacing="0" w:afterAutospacing="0"/>
        <w:jc w:val="both"/>
        <w:rPr>
          <w:color w:val="auto"/>
          <w:highlight w:val="none"/>
        </w:rPr>
      </w:pPr>
    </w:p>
    <w:p w14:paraId="75AFED91">
      <w:pPr>
        <w:pStyle w:val="14"/>
        <w:spacing w:beforeAutospacing="0" w:afterAutospacing="0"/>
        <w:jc w:val="both"/>
        <w:rPr>
          <w:color w:val="auto"/>
          <w:highlight w:val="none"/>
        </w:rPr>
      </w:pPr>
    </w:p>
    <w:p w14:paraId="65C0BA42">
      <w:pPr>
        <w:pStyle w:val="14"/>
        <w:spacing w:beforeAutospacing="0" w:afterAutospacing="0"/>
        <w:jc w:val="both"/>
        <w:rPr>
          <w:color w:val="auto"/>
          <w:highlight w:val="none"/>
        </w:rPr>
      </w:pPr>
    </w:p>
    <w:p w14:paraId="76744F58">
      <w:pPr>
        <w:pStyle w:val="14"/>
        <w:spacing w:beforeAutospacing="0" w:afterAutospacing="0"/>
        <w:jc w:val="both"/>
        <w:rPr>
          <w:color w:val="auto"/>
          <w:highlight w:val="none"/>
        </w:rPr>
      </w:pPr>
    </w:p>
    <w:p w14:paraId="3D64817B">
      <w:pPr>
        <w:pStyle w:val="14"/>
        <w:spacing w:beforeAutospacing="0" w:afterAutospacing="0"/>
        <w:jc w:val="both"/>
        <w:rPr>
          <w:color w:val="auto"/>
          <w:highlight w:val="none"/>
        </w:rPr>
      </w:pPr>
    </w:p>
    <w:p w14:paraId="1825274C">
      <w:pPr>
        <w:pStyle w:val="14"/>
        <w:spacing w:beforeAutospacing="0" w:afterAutospacing="0"/>
        <w:jc w:val="both"/>
        <w:rPr>
          <w:color w:val="auto"/>
          <w:highlight w:val="none"/>
        </w:rPr>
      </w:pPr>
    </w:p>
    <w:p w14:paraId="7BE3F65A">
      <w:pPr>
        <w:pStyle w:val="14"/>
        <w:spacing w:beforeAutospacing="0" w:afterAutospacing="0"/>
        <w:jc w:val="both"/>
        <w:rPr>
          <w:color w:val="auto"/>
          <w:highlight w:val="none"/>
        </w:rPr>
      </w:pPr>
    </w:p>
    <w:p w14:paraId="6E929167">
      <w:pPr>
        <w:pStyle w:val="14"/>
        <w:spacing w:beforeAutospacing="0" w:afterAutospacing="0"/>
        <w:jc w:val="both"/>
        <w:rPr>
          <w:color w:val="auto"/>
          <w:highlight w:val="none"/>
        </w:rPr>
      </w:pPr>
    </w:p>
    <w:p w14:paraId="73ACF181">
      <w:pPr>
        <w:pStyle w:val="14"/>
        <w:spacing w:beforeAutospacing="0" w:afterAutospacing="0"/>
        <w:jc w:val="both"/>
        <w:rPr>
          <w:color w:val="auto"/>
          <w:highlight w:val="none"/>
        </w:rPr>
      </w:pPr>
    </w:p>
    <w:p w14:paraId="3E2DED04">
      <w:pPr>
        <w:pStyle w:val="14"/>
        <w:spacing w:beforeAutospacing="0" w:afterAutospacing="0"/>
        <w:jc w:val="both"/>
        <w:rPr>
          <w:color w:val="auto"/>
          <w:highlight w:val="none"/>
        </w:rPr>
      </w:pPr>
    </w:p>
    <w:p w14:paraId="336C6F8A">
      <w:pPr>
        <w:pStyle w:val="14"/>
        <w:spacing w:beforeAutospacing="0" w:afterAutospacing="0"/>
        <w:jc w:val="both"/>
        <w:rPr>
          <w:color w:val="auto"/>
          <w:highlight w:val="none"/>
        </w:rPr>
      </w:pPr>
    </w:p>
    <w:p w14:paraId="18A9B162">
      <w:pPr>
        <w:pStyle w:val="14"/>
        <w:spacing w:beforeAutospacing="0" w:afterAutospacing="0"/>
        <w:jc w:val="both"/>
        <w:rPr>
          <w:color w:val="auto"/>
          <w:highlight w:val="none"/>
        </w:rPr>
      </w:pPr>
    </w:p>
    <w:p w14:paraId="7B6DE2CC">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r>
    </w:p>
    <w:p w14:paraId="1BB508CB">
      <w:pPr>
        <w:pStyle w:val="14"/>
        <w:spacing w:beforeAutospacing="0" w:afterAutospacing="0"/>
        <w:jc w:val="center"/>
        <w:rPr>
          <w:color w:val="auto"/>
          <w:highlight w:val="none"/>
        </w:rPr>
      </w:pPr>
      <w:r>
        <w:rPr>
          <w:rFonts w:hint="eastAsia" w:ascii="黑体" w:hAnsi="宋体" w:eastAsia="黑体" w:cs="黑体"/>
          <w:b/>
          <w:i/>
          <w:color w:val="auto"/>
          <w:sz w:val="32"/>
          <w:szCs w:val="32"/>
          <w:highlight w:val="none"/>
          <w:u w:val="single"/>
        </w:rPr>
        <w:t>十</w:t>
      </w:r>
      <w:r>
        <w:rPr>
          <w:rFonts w:hint="eastAsia" w:ascii="黑体" w:hAnsi="宋体" w:eastAsia="黑体" w:cs="黑体"/>
          <w:b/>
          <w:i/>
          <w:color w:val="auto"/>
          <w:sz w:val="32"/>
          <w:szCs w:val="32"/>
          <w:highlight w:val="none"/>
          <w:u w:val="single"/>
          <w:lang w:val="en-US" w:eastAsia="zh-CN"/>
        </w:rPr>
        <w:t>六</w:t>
      </w:r>
      <w:r>
        <w:rPr>
          <w:rFonts w:hint="eastAsia" w:ascii="黑体" w:hAnsi="宋体" w:eastAsia="黑体" w:cs="黑体"/>
          <w:b/>
          <w:i/>
          <w:color w:val="auto"/>
          <w:sz w:val="32"/>
          <w:szCs w:val="32"/>
          <w:highlight w:val="none"/>
          <w:u w:val="single"/>
        </w:rPr>
        <w:t>、开标一览表</w:t>
      </w:r>
    </w:p>
    <w:p w14:paraId="2D9349A9">
      <w:pPr>
        <w:pStyle w:val="14"/>
        <w:spacing w:beforeAutospacing="0" w:afterAutospacing="0"/>
        <w:jc w:val="both"/>
        <w:rPr>
          <w:color w:val="auto"/>
          <w:highlight w:val="none"/>
        </w:rPr>
      </w:pPr>
      <w:r>
        <w:rPr>
          <w:rFonts w:hint="eastAsia" w:ascii="宋体" w:hAnsi="宋体" w:eastAsia="宋体" w:cs="宋体"/>
          <w:color w:val="auto"/>
          <w:highlight w:val="none"/>
        </w:rPr>
        <w:t>投标人全称（加盖CA电子签章）：</w:t>
      </w:r>
    </w:p>
    <w:p w14:paraId="5935BE7A">
      <w:pPr>
        <w:pStyle w:val="14"/>
        <w:spacing w:beforeAutospacing="0" w:afterAutospacing="0"/>
        <w:jc w:val="both"/>
        <w:rPr>
          <w:color w:val="auto"/>
          <w:highlight w:val="none"/>
        </w:rPr>
      </w:pPr>
      <w:r>
        <w:rPr>
          <w:rFonts w:hint="eastAsia" w:ascii="宋体" w:hAnsi="宋体" w:eastAsia="宋体" w:cs="宋体"/>
          <w:color w:val="auto"/>
          <w:highlight w:val="none"/>
        </w:rPr>
        <w:t>项目名称：</w:t>
      </w:r>
    </w:p>
    <w:p w14:paraId="68E56E46">
      <w:pPr>
        <w:pStyle w:val="14"/>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招标编号：  </w:t>
      </w:r>
    </w:p>
    <w:p w14:paraId="310491DE">
      <w:pPr>
        <w:pStyle w:val="14"/>
        <w:spacing w:beforeAutospacing="0" w:afterAutospacing="0"/>
        <w:jc w:val="both"/>
        <w:rPr>
          <w:color w:val="auto"/>
          <w:highlight w:val="none"/>
        </w:rPr>
      </w:pPr>
      <w:r>
        <w:rPr>
          <w:rFonts w:hint="eastAsia" w:ascii="宋体" w:hAnsi="宋体" w:eastAsia="宋体" w:cs="宋体"/>
          <w:color w:val="auto"/>
          <w:highlight w:val="none"/>
        </w:rPr>
        <w:t>分包号：</w:t>
      </w:r>
    </w:p>
    <w:tbl>
      <w:tblPr>
        <w:tblStyle w:val="17"/>
        <w:tblW w:w="8206" w:type="dxa"/>
        <w:tblCellSpacing w:w="0" w:type="dxa"/>
        <w:tblInd w:w="118" w:type="dxa"/>
        <w:tblLayout w:type="fixed"/>
        <w:tblCellMar>
          <w:top w:w="0" w:type="dxa"/>
          <w:left w:w="108" w:type="dxa"/>
          <w:bottom w:w="0" w:type="dxa"/>
          <w:right w:w="108" w:type="dxa"/>
        </w:tblCellMar>
      </w:tblPr>
      <w:tblGrid>
        <w:gridCol w:w="8206"/>
      </w:tblGrid>
      <w:tr w14:paraId="27DC4B82">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745CE">
            <w:pPr>
              <w:pStyle w:val="14"/>
              <w:spacing w:beforeAutospacing="0" w:afterAutospacing="0"/>
              <w:jc w:val="both"/>
              <w:rPr>
                <w:color w:val="auto"/>
                <w:highlight w:val="none"/>
              </w:rPr>
            </w:pPr>
            <w:r>
              <w:rPr>
                <w:rFonts w:hint="eastAsia" w:ascii="宋体" w:hAnsi="宋体" w:eastAsia="宋体" w:cs="宋体"/>
                <w:color w:val="auto"/>
                <w:highlight w:val="none"/>
              </w:rPr>
              <w:t>                      投标总报价</w:t>
            </w:r>
          </w:p>
        </w:tc>
      </w:tr>
      <w:tr w14:paraId="7DE755B3">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85396">
            <w:pPr>
              <w:pStyle w:val="14"/>
              <w:spacing w:beforeAutospacing="0" w:afterAutospacing="0" w:line="0" w:lineRule="atLeast"/>
              <w:rPr>
                <w:color w:val="auto"/>
                <w:highlight w:val="none"/>
              </w:rPr>
            </w:pPr>
            <w:r>
              <w:rPr>
                <w:rFonts w:hint="eastAsia" w:ascii="宋体" w:hAnsi="宋体" w:eastAsia="宋体" w:cs="宋体"/>
                <w:color w:val="auto"/>
                <w:highlight w:val="none"/>
              </w:rPr>
              <w:t>小写：                  （人民币：元）</w:t>
            </w:r>
          </w:p>
        </w:tc>
      </w:tr>
    </w:tbl>
    <w:p w14:paraId="61EAFA82">
      <w:pPr>
        <w:pStyle w:val="14"/>
        <w:spacing w:beforeAutospacing="0" w:afterAutospacing="0"/>
        <w:jc w:val="both"/>
        <w:rPr>
          <w:color w:val="auto"/>
          <w:highlight w:val="none"/>
        </w:rPr>
      </w:pPr>
      <w:r>
        <w:rPr>
          <w:color w:val="auto"/>
          <w:highlight w:val="none"/>
        </w:rPr>
        <w:t> </w:t>
      </w:r>
    </w:p>
    <w:p w14:paraId="14EAD37D">
      <w:pPr>
        <w:pStyle w:val="14"/>
        <w:spacing w:beforeAutospacing="0" w:afterAutospacing="0"/>
        <w:ind w:firstLine="480"/>
        <w:jc w:val="both"/>
        <w:rPr>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41C73C3">
      <w:pPr>
        <w:pStyle w:val="14"/>
        <w:spacing w:beforeAutospacing="0" w:afterAutospacing="0"/>
        <w:ind w:firstLine="480"/>
        <w:jc w:val="both"/>
        <w:rPr>
          <w:color w:val="auto"/>
          <w:highlight w:val="none"/>
        </w:rPr>
      </w:pPr>
      <w:r>
        <w:rPr>
          <w:color w:val="auto"/>
          <w:highlight w:val="none"/>
        </w:rPr>
        <w:t> </w:t>
      </w:r>
    </w:p>
    <w:p w14:paraId="4C8D912B">
      <w:pPr>
        <w:widowControl/>
        <w:spacing w:before="50" w:after="50"/>
        <w:jc w:val="center"/>
        <w:rPr>
          <w:color w:val="auto"/>
          <w:highlight w:val="none"/>
        </w:rPr>
      </w:pPr>
      <w:r>
        <w:rPr>
          <w:color w:val="auto"/>
          <w:highlight w:val="none"/>
        </w:rPr>
        <w:tab/>
      </w:r>
    </w:p>
    <w:p w14:paraId="44803F4B">
      <w:pPr>
        <w:widowControl/>
        <w:spacing w:before="50" w:after="50"/>
        <w:jc w:val="center"/>
        <w:rPr>
          <w:color w:val="auto"/>
          <w:highlight w:val="none"/>
        </w:rPr>
      </w:pPr>
    </w:p>
    <w:p w14:paraId="3C363430">
      <w:pPr>
        <w:widowControl/>
        <w:spacing w:before="50" w:after="50"/>
        <w:jc w:val="center"/>
        <w:rPr>
          <w:color w:val="auto"/>
          <w:highlight w:val="none"/>
        </w:rPr>
      </w:pPr>
    </w:p>
    <w:p w14:paraId="2ACDE56A">
      <w:pPr>
        <w:widowControl/>
        <w:spacing w:before="50" w:after="50"/>
        <w:jc w:val="center"/>
        <w:rPr>
          <w:color w:val="auto"/>
          <w:highlight w:val="none"/>
        </w:rPr>
      </w:pPr>
    </w:p>
    <w:p w14:paraId="6C9FE14D">
      <w:pPr>
        <w:widowControl/>
        <w:spacing w:before="50" w:after="50"/>
        <w:jc w:val="center"/>
        <w:rPr>
          <w:color w:val="auto"/>
          <w:highlight w:val="none"/>
        </w:rPr>
      </w:pPr>
    </w:p>
    <w:p w14:paraId="5C0D5099">
      <w:pPr>
        <w:widowControl/>
        <w:spacing w:before="50" w:after="50"/>
        <w:jc w:val="center"/>
        <w:rPr>
          <w:color w:val="auto"/>
          <w:highlight w:val="none"/>
        </w:rPr>
      </w:pPr>
    </w:p>
    <w:p w14:paraId="3723C5AA">
      <w:pPr>
        <w:widowControl/>
        <w:spacing w:before="50" w:after="50"/>
        <w:jc w:val="center"/>
        <w:rPr>
          <w:color w:val="auto"/>
          <w:highlight w:val="none"/>
        </w:rPr>
      </w:pPr>
    </w:p>
    <w:p w14:paraId="3DF9496F">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18198E95">
      <w:pPr>
        <w:widowControl/>
        <w:spacing w:before="50" w:after="50"/>
        <w:jc w:val="center"/>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七</w:t>
      </w:r>
      <w:r>
        <w:rPr>
          <w:rFonts w:hint="eastAsia" w:ascii="宋体" w:hAnsi="宋体" w:eastAsia="宋体" w:cs="宋体"/>
          <w:color w:val="auto"/>
          <w:sz w:val="32"/>
          <w:szCs w:val="32"/>
          <w:highlight w:val="none"/>
        </w:rPr>
        <w:t>、技术方案、服务承诺、培训承诺等</w:t>
      </w:r>
    </w:p>
    <w:p w14:paraId="1CB49C79">
      <w:pPr>
        <w:pStyle w:val="14"/>
        <w:tabs>
          <w:tab w:val="left" w:pos="2160"/>
        </w:tabs>
        <w:spacing w:beforeAutospacing="0" w:afterAutospacing="0"/>
        <w:jc w:val="both"/>
        <w:rPr>
          <w:color w:val="auto"/>
          <w:highlight w:val="none"/>
        </w:rPr>
      </w:pPr>
    </w:p>
    <w:p w14:paraId="74A2A739">
      <w:pPr>
        <w:widowControl/>
        <w:spacing w:line="499" w:lineRule="atLeast"/>
        <w:ind w:firstLine="1600"/>
        <w:rPr>
          <w:rFonts w:ascii="宋体" w:hAnsi="宋体" w:eastAsia="宋体" w:cs="宋体"/>
          <w:color w:val="auto"/>
          <w:sz w:val="32"/>
          <w:szCs w:val="32"/>
          <w:highlight w:val="none"/>
        </w:rPr>
      </w:pPr>
    </w:p>
    <w:p w14:paraId="6A85A1D4">
      <w:pPr>
        <w:widowControl/>
        <w:spacing w:line="499" w:lineRule="atLeast"/>
        <w:ind w:firstLine="1600"/>
        <w:rPr>
          <w:rFonts w:ascii="宋体" w:hAnsi="宋体" w:eastAsia="宋体" w:cs="宋体"/>
          <w:color w:val="auto"/>
          <w:sz w:val="32"/>
          <w:szCs w:val="32"/>
          <w:highlight w:val="none"/>
        </w:rPr>
      </w:pPr>
    </w:p>
    <w:p w14:paraId="393DB9C4">
      <w:pPr>
        <w:widowControl/>
        <w:spacing w:line="499" w:lineRule="atLeast"/>
        <w:ind w:firstLine="1600"/>
        <w:rPr>
          <w:rFonts w:ascii="宋体" w:hAnsi="宋体" w:eastAsia="宋体" w:cs="宋体"/>
          <w:color w:val="auto"/>
          <w:sz w:val="32"/>
          <w:szCs w:val="32"/>
          <w:highlight w:val="none"/>
        </w:rPr>
      </w:pPr>
    </w:p>
    <w:p w14:paraId="7ECDE9C8">
      <w:pPr>
        <w:widowControl/>
        <w:spacing w:line="499" w:lineRule="atLeast"/>
        <w:ind w:firstLine="1600"/>
        <w:rPr>
          <w:rFonts w:ascii="宋体" w:hAnsi="宋体" w:eastAsia="宋体" w:cs="宋体"/>
          <w:color w:val="auto"/>
          <w:sz w:val="32"/>
          <w:szCs w:val="32"/>
          <w:highlight w:val="none"/>
        </w:rPr>
      </w:pPr>
    </w:p>
    <w:p w14:paraId="542A04DB">
      <w:pPr>
        <w:widowControl/>
        <w:spacing w:line="499" w:lineRule="atLeast"/>
        <w:ind w:firstLine="1600"/>
        <w:rPr>
          <w:rFonts w:ascii="宋体" w:hAnsi="宋体" w:eastAsia="宋体" w:cs="宋体"/>
          <w:color w:val="auto"/>
          <w:sz w:val="32"/>
          <w:szCs w:val="32"/>
          <w:highlight w:val="none"/>
        </w:rPr>
      </w:pPr>
    </w:p>
    <w:p w14:paraId="7C783D9B">
      <w:pPr>
        <w:widowControl/>
        <w:spacing w:line="499" w:lineRule="atLeast"/>
        <w:ind w:firstLine="1600"/>
        <w:rPr>
          <w:rFonts w:ascii="宋体" w:hAnsi="宋体" w:eastAsia="宋体" w:cs="宋体"/>
          <w:color w:val="auto"/>
          <w:sz w:val="32"/>
          <w:szCs w:val="32"/>
          <w:highlight w:val="none"/>
        </w:rPr>
      </w:pPr>
    </w:p>
    <w:p w14:paraId="417E7B1D">
      <w:pPr>
        <w:widowControl/>
        <w:spacing w:line="499" w:lineRule="atLeast"/>
        <w:ind w:firstLine="1600"/>
        <w:rPr>
          <w:rFonts w:ascii="宋体" w:hAnsi="宋体" w:eastAsia="宋体" w:cs="宋体"/>
          <w:color w:val="auto"/>
          <w:sz w:val="32"/>
          <w:szCs w:val="32"/>
          <w:highlight w:val="none"/>
        </w:rPr>
      </w:pPr>
    </w:p>
    <w:p w14:paraId="04D33EDA">
      <w:pPr>
        <w:widowControl/>
        <w:spacing w:line="499" w:lineRule="atLeast"/>
        <w:ind w:firstLine="1600"/>
        <w:rPr>
          <w:rFonts w:ascii="宋体" w:hAnsi="宋体" w:eastAsia="宋体" w:cs="宋体"/>
          <w:color w:val="auto"/>
          <w:sz w:val="32"/>
          <w:szCs w:val="32"/>
          <w:highlight w:val="none"/>
        </w:rPr>
      </w:pPr>
    </w:p>
    <w:p w14:paraId="725C80E8">
      <w:pPr>
        <w:widowControl/>
        <w:spacing w:line="499" w:lineRule="atLeast"/>
        <w:ind w:firstLine="1600"/>
        <w:rPr>
          <w:rFonts w:ascii="宋体" w:hAnsi="宋体" w:eastAsia="宋体" w:cs="宋体"/>
          <w:color w:val="auto"/>
          <w:sz w:val="32"/>
          <w:szCs w:val="32"/>
          <w:highlight w:val="none"/>
        </w:rPr>
      </w:pPr>
    </w:p>
    <w:p w14:paraId="2DADBFBF">
      <w:pPr>
        <w:widowControl/>
        <w:spacing w:line="499" w:lineRule="atLeast"/>
        <w:ind w:firstLine="1600"/>
        <w:rPr>
          <w:rFonts w:ascii="宋体" w:hAnsi="宋体" w:eastAsia="宋体" w:cs="宋体"/>
          <w:color w:val="auto"/>
          <w:sz w:val="32"/>
          <w:szCs w:val="32"/>
          <w:highlight w:val="none"/>
        </w:rPr>
      </w:pPr>
    </w:p>
    <w:p w14:paraId="03FC0510">
      <w:pPr>
        <w:widowControl/>
        <w:spacing w:line="499" w:lineRule="atLeast"/>
        <w:ind w:firstLine="1600"/>
        <w:rPr>
          <w:rFonts w:ascii="宋体" w:hAnsi="宋体" w:eastAsia="宋体" w:cs="宋体"/>
          <w:color w:val="auto"/>
          <w:sz w:val="32"/>
          <w:szCs w:val="32"/>
          <w:highlight w:val="none"/>
        </w:rPr>
      </w:pPr>
    </w:p>
    <w:p w14:paraId="20C588AD">
      <w:pPr>
        <w:widowControl/>
        <w:spacing w:line="499" w:lineRule="atLeast"/>
        <w:ind w:firstLine="1600"/>
        <w:rPr>
          <w:rFonts w:ascii="宋体" w:hAnsi="宋体" w:eastAsia="宋体" w:cs="宋体"/>
          <w:color w:val="auto"/>
          <w:sz w:val="32"/>
          <w:szCs w:val="32"/>
          <w:highlight w:val="none"/>
        </w:rPr>
      </w:pPr>
    </w:p>
    <w:p w14:paraId="326BCDC2">
      <w:pPr>
        <w:widowControl/>
        <w:spacing w:line="499" w:lineRule="atLeast"/>
        <w:ind w:firstLine="1600"/>
        <w:rPr>
          <w:rFonts w:ascii="宋体" w:hAnsi="宋体" w:eastAsia="宋体" w:cs="宋体"/>
          <w:color w:val="auto"/>
          <w:sz w:val="32"/>
          <w:szCs w:val="32"/>
          <w:highlight w:val="none"/>
        </w:rPr>
      </w:pPr>
    </w:p>
    <w:p w14:paraId="15A31552">
      <w:pPr>
        <w:widowControl/>
        <w:spacing w:line="499" w:lineRule="atLeast"/>
        <w:ind w:firstLine="1600"/>
        <w:rPr>
          <w:rFonts w:ascii="宋体" w:hAnsi="宋体" w:eastAsia="宋体" w:cs="宋体"/>
          <w:color w:val="auto"/>
          <w:sz w:val="32"/>
          <w:szCs w:val="32"/>
          <w:highlight w:val="none"/>
        </w:rPr>
      </w:pPr>
    </w:p>
    <w:p w14:paraId="7D9CDC2F">
      <w:pPr>
        <w:widowControl/>
        <w:spacing w:line="499" w:lineRule="atLeast"/>
        <w:ind w:firstLine="1600"/>
        <w:rPr>
          <w:rFonts w:ascii="宋体" w:hAnsi="宋体" w:eastAsia="宋体" w:cs="宋体"/>
          <w:color w:val="auto"/>
          <w:sz w:val="32"/>
          <w:szCs w:val="32"/>
          <w:highlight w:val="none"/>
        </w:rPr>
      </w:pPr>
    </w:p>
    <w:p w14:paraId="3F859832">
      <w:pPr>
        <w:widowControl/>
        <w:spacing w:line="499" w:lineRule="atLeast"/>
        <w:rPr>
          <w:rFonts w:ascii="宋体" w:hAnsi="宋体" w:eastAsia="宋体" w:cs="宋体"/>
          <w:color w:val="auto"/>
          <w:sz w:val="32"/>
          <w:szCs w:val="32"/>
          <w:highlight w:val="none"/>
        </w:rPr>
      </w:pPr>
    </w:p>
    <w:p w14:paraId="6550BC38">
      <w:pPr>
        <w:widowControl/>
        <w:spacing w:line="499" w:lineRule="atLeast"/>
        <w:ind w:firstLine="1600"/>
        <w:rPr>
          <w:rFonts w:ascii="宋体" w:hAnsi="宋体" w:eastAsia="宋体" w:cs="宋体"/>
          <w:color w:val="auto"/>
          <w:sz w:val="32"/>
          <w:szCs w:val="32"/>
          <w:highlight w:val="none"/>
        </w:rPr>
      </w:pPr>
    </w:p>
    <w:p w14:paraId="662610B9">
      <w:pPr>
        <w:rPr>
          <w:rFonts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r>
    </w:p>
    <w:p w14:paraId="277D0B34">
      <w:pPr>
        <w:widowControl/>
        <w:spacing w:line="499" w:lineRule="atLeast"/>
        <w:ind w:firstLine="1600"/>
        <w:rPr>
          <w:rFonts w:ascii="宋体" w:hAnsi="宋体" w:eastAsia="宋体" w:cs="宋体"/>
          <w:color w:val="auto"/>
          <w:sz w:val="24"/>
          <w:highlight w:val="none"/>
        </w:rPr>
      </w:pPr>
      <w:r>
        <w:rPr>
          <w:rFonts w:hint="eastAsia" w:ascii="宋体" w:hAnsi="宋体" w:eastAsia="宋体" w:cs="宋体"/>
          <w:color w:val="auto"/>
          <w:sz w:val="32"/>
          <w:szCs w:val="32"/>
          <w:highlight w:val="none"/>
        </w:rPr>
        <w:t>十</w:t>
      </w:r>
      <w:r>
        <w:rPr>
          <w:rFonts w:hint="eastAsia" w:ascii="宋体" w:hAnsi="宋体" w:eastAsia="宋体" w:cs="宋体"/>
          <w:color w:val="auto"/>
          <w:sz w:val="32"/>
          <w:szCs w:val="32"/>
          <w:highlight w:val="none"/>
          <w:lang w:val="en-US" w:eastAsia="zh-CN"/>
        </w:rPr>
        <w:t>八</w:t>
      </w:r>
      <w:r>
        <w:rPr>
          <w:rFonts w:hint="eastAsia" w:ascii="宋体" w:hAnsi="宋体" w:eastAsia="宋体" w:cs="宋体"/>
          <w:color w:val="auto"/>
          <w:sz w:val="32"/>
          <w:szCs w:val="32"/>
          <w:highlight w:val="none"/>
        </w:rPr>
        <w:t>、盐都区政府采购事前信用承诺书</w:t>
      </w:r>
    </w:p>
    <w:p w14:paraId="28C449F9">
      <w:pPr>
        <w:widowControl/>
        <w:spacing w:line="499" w:lineRule="atLeast"/>
        <w:ind w:firstLine="640"/>
        <w:jc w:val="left"/>
        <w:rPr>
          <w:rFonts w:ascii="宋体" w:hAnsi="宋体" w:eastAsia="宋体" w:cs="宋体"/>
          <w:color w:val="auto"/>
          <w:sz w:val="24"/>
          <w:highlight w:val="none"/>
        </w:rPr>
      </w:pPr>
      <w:r>
        <w:rPr>
          <w:rFonts w:hint="eastAsia" w:ascii="宋体" w:hAnsi="宋体" w:eastAsia="宋体" w:cs="宋体"/>
          <w:color w:val="auto"/>
          <w:sz w:val="32"/>
          <w:szCs w:val="32"/>
          <w:highlight w:val="none"/>
        </w:rPr>
        <w:t> </w:t>
      </w:r>
    </w:p>
    <w:p w14:paraId="2A2C3A90">
      <w:pPr>
        <w:widowControl/>
        <w:spacing w:line="499" w:lineRule="atLeast"/>
        <w:ind w:firstLine="480"/>
        <w:jc w:val="left"/>
        <w:rPr>
          <w:rFonts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23249375">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（一）本单位对所提交的企（事）业单位基本信息、企（事）业负责人、项目负责人、技术负责人、从业资质和资格、业绩、财务状况、信誉等所有资料，均合法、真实、准确、有效，无任何伪造、修改、虚假成</w:t>
      </w:r>
      <w:r>
        <w:rPr>
          <w:rFonts w:hint="eastAsia" w:ascii="宋体" w:hAnsi="宋体" w:eastAsia="宋体" w:cs="宋体"/>
          <w:color w:val="auto"/>
          <w:sz w:val="24"/>
          <w:highlight w:val="none"/>
          <w:lang w:val="en-US" w:eastAsia="zh-CN"/>
        </w:rPr>
        <w:t>分</w:t>
      </w:r>
      <w:r>
        <w:rPr>
          <w:rFonts w:hint="eastAsia" w:ascii="宋体" w:hAnsi="宋体" w:eastAsia="宋体" w:cs="宋体"/>
          <w:color w:val="auto"/>
          <w:sz w:val="24"/>
          <w:highlight w:val="none"/>
        </w:rPr>
        <w:t>，并对所提供资料的真实性负责；</w:t>
      </w:r>
    </w:p>
    <w:p w14:paraId="6EB43483">
      <w:pPr>
        <w:widowControl/>
        <w:spacing w:line="499" w:lineRule="atLeast"/>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FF6F38A">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（三）严格依照国家和省、市关于政府采购的法律、法规、规章、规范性文件，参加政府采购投标活动；积极履行社会责任，促进廉政建设； </w:t>
      </w:r>
    </w:p>
    <w:p w14:paraId="67E614B6">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（四）严格遵守即时信息公示规定，及时维护和更新盐城市政府采购网中与本单位相关的信息；</w:t>
      </w:r>
    </w:p>
    <w:p w14:paraId="27D5CB74">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F682684">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（六）自觉接受政府、行业组织、社会公众、新闻舆论的监督；</w:t>
      </w:r>
    </w:p>
    <w:p w14:paraId="0C6AF14D">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8E26259">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（八）本人已认真阅读了上述承诺，并向本单位员工作了宣传教育。</w:t>
      </w:r>
    </w:p>
    <w:p w14:paraId="767FF0BB">
      <w:pPr>
        <w:widowControl/>
        <w:spacing w:line="499" w:lineRule="atLeast"/>
        <w:jc w:val="left"/>
        <w:rPr>
          <w:rFonts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53773852">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188A903A">
      <w:pPr>
        <w:widowControl/>
        <w:spacing w:line="499" w:lineRule="atLeast"/>
        <w:jc w:val="center"/>
        <w:rPr>
          <w:rFonts w:ascii="宋体" w:hAnsi="宋体" w:eastAsia="宋体" w:cs="宋体"/>
          <w:color w:val="auto"/>
          <w:sz w:val="24"/>
          <w:highlight w:val="none"/>
        </w:rPr>
      </w:pPr>
      <w:r>
        <w:rPr>
          <w:rFonts w:hint="eastAsia" w:ascii="宋体" w:hAnsi="宋体" w:eastAsia="宋体" w:cs="宋体"/>
          <w:color w:val="auto"/>
          <w:sz w:val="24"/>
          <w:highlight w:val="none"/>
        </w:rPr>
        <w:t>                      年月日</w:t>
      </w:r>
    </w:p>
    <w:p w14:paraId="0341C0DA">
      <w:pPr>
        <w:pStyle w:val="14"/>
        <w:spacing w:beforeAutospacing="0" w:afterAutospacing="0"/>
        <w:jc w:val="center"/>
        <w:rPr>
          <w:color w:val="auto"/>
          <w:highlight w:val="none"/>
        </w:rPr>
      </w:pPr>
    </w:p>
    <w:bookmarkEnd w:id="6"/>
    <w:bookmarkEnd w:id="47"/>
    <w:bookmarkEnd w:id="92"/>
    <w:bookmarkEnd w:id="93"/>
    <w:bookmarkEnd w:id="94"/>
    <w:bookmarkEnd w:id="97"/>
    <w:bookmarkEnd w:id="98"/>
    <w:bookmarkEnd w:id="99"/>
    <w:bookmarkEnd w:id="100"/>
    <w:bookmarkEnd w:id="101"/>
    <w:bookmarkEnd w:id="102"/>
    <w:bookmarkEnd w:id="103"/>
    <w:bookmarkEnd w:id="104"/>
    <w:bookmarkEnd w:id="105"/>
    <w:bookmarkEnd w:id="106"/>
    <w:bookmarkEnd w:id="107"/>
    <w:bookmarkEnd w:id="108"/>
    <w:bookmarkEnd w:id="109"/>
    <w:bookmarkEnd w:id="114"/>
    <w:bookmarkEnd w:id="115"/>
    <w:bookmarkEnd w:id="116"/>
    <w:bookmarkEnd w:id="121"/>
    <w:bookmarkEnd w:id="122"/>
    <w:bookmarkEnd w:id="129"/>
    <w:bookmarkEnd w:id="184"/>
    <w:bookmarkEnd w:id="187"/>
    <w:bookmarkEnd w:id="193"/>
    <w:bookmarkEnd w:id="194"/>
    <w:bookmarkEnd w:id="196"/>
    <w:bookmarkEnd w:id="197"/>
    <w:bookmarkEnd w:id="198"/>
    <w:bookmarkEnd w:id="199"/>
    <w:bookmarkEnd w:id="208"/>
    <w:bookmarkEnd w:id="209"/>
    <w:bookmarkEnd w:id="210"/>
    <w:bookmarkEnd w:id="211"/>
    <w:bookmarkEnd w:id="212"/>
    <w:p w14:paraId="07E2C685">
      <w:pPr>
        <w:rPr>
          <w:color w:val="auto"/>
          <w:highlight w:val="none"/>
        </w:rPr>
      </w:pPr>
    </w:p>
    <w:p w14:paraId="455A4139">
      <w:pPr>
        <w:pStyle w:val="14"/>
        <w:spacing w:beforeAutospacing="0" w:afterAutospacing="0"/>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5CE2F8A0">
      <w:pPr>
        <w:pStyle w:val="14"/>
        <w:spacing w:before="290"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一、质疑供应商基本信息</w:t>
      </w:r>
    </w:p>
    <w:p w14:paraId="07E5D830">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577E1A8D">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6C2BF6D3">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71DBBAC5">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6456502">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09F66940">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91133AC">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01BE9E22">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002AF0C">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01017C9D">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二、质疑项目基本情况</w:t>
      </w:r>
    </w:p>
    <w:p w14:paraId="067AFCB6">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20388830">
      <w:pPr>
        <w:pStyle w:val="14"/>
        <w:spacing w:beforeAutospacing="0" w:afterAutospacing="0" w:line="360" w:lineRule="auto"/>
        <w:jc w:val="both"/>
        <w:rPr>
          <w:rFonts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F4BD9E2">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265647A">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407116E0">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69EA744F">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三、质疑事项具体内容</w:t>
      </w:r>
    </w:p>
    <w:p w14:paraId="7EA1A11C">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0984C797">
      <w:pPr>
        <w:pStyle w:val="14"/>
        <w:spacing w:beforeAutospacing="0" w:afterAutospacing="0" w:line="360" w:lineRule="auto"/>
        <w:rPr>
          <w:rFonts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7137CF55">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49682AC0">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质疑事项2</w:t>
      </w:r>
    </w:p>
    <w:p w14:paraId="7DC77106">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w:t>
      </w:r>
    </w:p>
    <w:p w14:paraId="679AF682">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5D7E44CD">
      <w:pPr>
        <w:pStyle w:val="14"/>
        <w:spacing w:beforeAutospacing="0" w:afterAutospacing="0" w:line="360" w:lineRule="auto"/>
        <w:jc w:val="both"/>
        <w:rPr>
          <w:rFonts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7D72B05D">
      <w:pPr>
        <w:pStyle w:val="14"/>
        <w:spacing w:beforeAutospacing="0" w:afterAutospacing="0"/>
        <w:jc w:val="both"/>
        <w:rPr>
          <w:rFonts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4B172D1F">
      <w:pPr>
        <w:pStyle w:val="14"/>
        <w:spacing w:beforeAutospacing="0" w:afterAutospacing="0" w:line="0" w:lineRule="atLeast"/>
        <w:jc w:val="both"/>
        <w:rPr>
          <w:rFonts w:ascii="宋体" w:hAnsi="宋体" w:eastAsia="宋体" w:cs="宋体"/>
          <w:color w:val="auto"/>
          <w:highlight w:val="none"/>
        </w:rPr>
      </w:pPr>
      <w:r>
        <w:rPr>
          <w:rFonts w:hint="eastAsia" w:ascii="宋体" w:hAnsi="宋体" w:eastAsia="宋体" w:cs="宋体"/>
          <w:b/>
          <w:color w:val="auto"/>
          <w:highlight w:val="none"/>
        </w:rPr>
        <w:t>质疑函制作说明：</w:t>
      </w:r>
    </w:p>
    <w:p w14:paraId="3518BBA1">
      <w:pPr>
        <w:pStyle w:val="14"/>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1EC846F0">
      <w:pPr>
        <w:pStyle w:val="14"/>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8F200EE">
      <w:pPr>
        <w:pStyle w:val="14"/>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4DA3DA81">
      <w:pPr>
        <w:pStyle w:val="14"/>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137BDF1">
      <w:pPr>
        <w:pStyle w:val="14"/>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4B892349">
      <w:pPr>
        <w:pStyle w:val="14"/>
        <w:widowControl/>
        <w:spacing w:beforeAutospacing="0" w:afterAutospacing="0" w:line="0" w:lineRule="atLeast"/>
        <w:ind w:firstLine="480"/>
        <w:rPr>
          <w:rFonts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12121408">
      <w:pPr>
        <w:pStyle w:val="14"/>
        <w:spacing w:beforeAutospacing="0" w:afterAutospacing="0"/>
        <w:ind w:firstLine="420"/>
        <w:jc w:val="both"/>
        <w:rPr>
          <w:rFonts w:ascii="宋体" w:hAnsi="宋体" w:eastAsia="宋体" w:cs="宋体"/>
          <w:color w:val="auto"/>
          <w:highlight w:val="none"/>
        </w:rPr>
      </w:pPr>
      <w:r>
        <w:rPr>
          <w:rFonts w:hint="eastAsia" w:ascii="宋体" w:hAnsi="宋体" w:eastAsia="宋体" w:cs="宋体"/>
          <w:color w:val="auto"/>
          <w:highlight w:val="none"/>
        </w:rPr>
        <w:t> </w:t>
      </w:r>
    </w:p>
    <w:p w14:paraId="0E35D2CE">
      <w:pPr>
        <w:rPr>
          <w:color w:val="auto"/>
          <w:highlight w:val="none"/>
        </w:rPr>
      </w:pPr>
    </w:p>
    <w:p w14:paraId="3BB3C224">
      <w:pPr>
        <w:rPr>
          <w:color w:val="auto"/>
          <w:highlight w:val="none"/>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MS PGothic">
    <w:panose1 w:val="020B0600070205080204"/>
    <w:charset w:val="80"/>
    <w:family w:val="auto"/>
    <w:pitch w:val="default"/>
    <w:sig w:usb0="E00002FF" w:usb1="6AC7FDFB" w:usb2="08000012" w:usb3="00000000" w:csb0="4002009F" w:csb1="DFD7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B4E953">
    <w:pPr>
      <w:pStyle w:val="1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C382A">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70C382A">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699A6C"/>
    <w:multiLevelType w:val="singleLevel"/>
    <w:tmpl w:val="CE699A6C"/>
    <w:lvl w:ilvl="0" w:tentative="0">
      <w:start w:val="2"/>
      <w:numFmt w:val="decimal"/>
      <w:lvlText w:val="%1."/>
      <w:lvlJc w:val="left"/>
      <w:pPr>
        <w:tabs>
          <w:tab w:val="left" w:pos="312"/>
        </w:tabs>
      </w:pPr>
    </w:lvl>
  </w:abstractNum>
  <w:abstractNum w:abstractNumId="1">
    <w:nsid w:val="397A41B4"/>
    <w:multiLevelType w:val="singleLevel"/>
    <w:tmpl w:val="397A41B4"/>
    <w:lvl w:ilvl="0" w:tentative="0">
      <w:start w:val="1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jYzRmMGJmNTNmYjJkNmJkNjhjMjEwOTQ4YzI5NWMifQ=="/>
    <w:docVar w:name="KSO_WPS_MARK_KEY" w:val="6ba5770c-3a17-4152-bbdf-e5d4216a2f2c"/>
  </w:docVars>
  <w:rsids>
    <w:rsidRoot w:val="004C5600"/>
    <w:rsid w:val="001C5EE0"/>
    <w:rsid w:val="003F55C5"/>
    <w:rsid w:val="004C5331"/>
    <w:rsid w:val="004C5600"/>
    <w:rsid w:val="004D5BCE"/>
    <w:rsid w:val="005902D3"/>
    <w:rsid w:val="005919D3"/>
    <w:rsid w:val="00641DF0"/>
    <w:rsid w:val="00740591"/>
    <w:rsid w:val="007D0A5A"/>
    <w:rsid w:val="00884654"/>
    <w:rsid w:val="00A80FAB"/>
    <w:rsid w:val="00B87CC8"/>
    <w:rsid w:val="00D63A57"/>
    <w:rsid w:val="00DC54F3"/>
    <w:rsid w:val="00EB66BD"/>
    <w:rsid w:val="00ED128E"/>
    <w:rsid w:val="00F3774C"/>
    <w:rsid w:val="01092E43"/>
    <w:rsid w:val="016D0648"/>
    <w:rsid w:val="01B7433E"/>
    <w:rsid w:val="01C43576"/>
    <w:rsid w:val="01D7576C"/>
    <w:rsid w:val="02306DE2"/>
    <w:rsid w:val="024352EF"/>
    <w:rsid w:val="026E7947"/>
    <w:rsid w:val="028B27F7"/>
    <w:rsid w:val="02986DD2"/>
    <w:rsid w:val="033231F8"/>
    <w:rsid w:val="035148F2"/>
    <w:rsid w:val="03EA376B"/>
    <w:rsid w:val="03FC11ED"/>
    <w:rsid w:val="047768CF"/>
    <w:rsid w:val="04EC4F54"/>
    <w:rsid w:val="0515698F"/>
    <w:rsid w:val="05185DCF"/>
    <w:rsid w:val="05573D16"/>
    <w:rsid w:val="05603532"/>
    <w:rsid w:val="05991F64"/>
    <w:rsid w:val="05E35235"/>
    <w:rsid w:val="062E2E2E"/>
    <w:rsid w:val="063D464A"/>
    <w:rsid w:val="064962E3"/>
    <w:rsid w:val="06783F44"/>
    <w:rsid w:val="06B64A6C"/>
    <w:rsid w:val="070F49A2"/>
    <w:rsid w:val="073E518E"/>
    <w:rsid w:val="07CA6288"/>
    <w:rsid w:val="08136986"/>
    <w:rsid w:val="084911BB"/>
    <w:rsid w:val="08564CB9"/>
    <w:rsid w:val="08654420"/>
    <w:rsid w:val="087D77EC"/>
    <w:rsid w:val="08B6067C"/>
    <w:rsid w:val="08E60E2C"/>
    <w:rsid w:val="09781064"/>
    <w:rsid w:val="09930631"/>
    <w:rsid w:val="0A62232D"/>
    <w:rsid w:val="0B0264D2"/>
    <w:rsid w:val="0B3D750A"/>
    <w:rsid w:val="0B4611F7"/>
    <w:rsid w:val="0B4E7969"/>
    <w:rsid w:val="0B5B3F0C"/>
    <w:rsid w:val="0B7D7388"/>
    <w:rsid w:val="0B811AED"/>
    <w:rsid w:val="0BC71BE8"/>
    <w:rsid w:val="0C002831"/>
    <w:rsid w:val="0C0A1AE2"/>
    <w:rsid w:val="0C9515FD"/>
    <w:rsid w:val="0CF915E6"/>
    <w:rsid w:val="0D6E7E4F"/>
    <w:rsid w:val="0D8B3E92"/>
    <w:rsid w:val="0E024951"/>
    <w:rsid w:val="0E28072B"/>
    <w:rsid w:val="0E412116"/>
    <w:rsid w:val="0ED85EC8"/>
    <w:rsid w:val="0EE161E4"/>
    <w:rsid w:val="0F0071CD"/>
    <w:rsid w:val="0F1B7B63"/>
    <w:rsid w:val="0F3052F1"/>
    <w:rsid w:val="0F9242C9"/>
    <w:rsid w:val="0F953DB9"/>
    <w:rsid w:val="0FD03043"/>
    <w:rsid w:val="0FD04AF8"/>
    <w:rsid w:val="107F6265"/>
    <w:rsid w:val="10961B97"/>
    <w:rsid w:val="10A76007"/>
    <w:rsid w:val="11427949"/>
    <w:rsid w:val="11BC7F56"/>
    <w:rsid w:val="12021AC7"/>
    <w:rsid w:val="12217339"/>
    <w:rsid w:val="12927533"/>
    <w:rsid w:val="12ED454F"/>
    <w:rsid w:val="131808AA"/>
    <w:rsid w:val="13C26B66"/>
    <w:rsid w:val="13DD7283"/>
    <w:rsid w:val="13F943AE"/>
    <w:rsid w:val="13F97C06"/>
    <w:rsid w:val="13FF2FDC"/>
    <w:rsid w:val="144B7496"/>
    <w:rsid w:val="156E26D0"/>
    <w:rsid w:val="16254881"/>
    <w:rsid w:val="16351328"/>
    <w:rsid w:val="166E6F3D"/>
    <w:rsid w:val="1686445B"/>
    <w:rsid w:val="171530A7"/>
    <w:rsid w:val="183B2B5A"/>
    <w:rsid w:val="18C43019"/>
    <w:rsid w:val="18CE28C0"/>
    <w:rsid w:val="18E04888"/>
    <w:rsid w:val="18FF04F5"/>
    <w:rsid w:val="19206EF6"/>
    <w:rsid w:val="19597DE2"/>
    <w:rsid w:val="1A0072A2"/>
    <w:rsid w:val="1A38665C"/>
    <w:rsid w:val="1AD70716"/>
    <w:rsid w:val="1AF726B9"/>
    <w:rsid w:val="1AFF7E9E"/>
    <w:rsid w:val="1B952491"/>
    <w:rsid w:val="1BB15E7B"/>
    <w:rsid w:val="1C2C1048"/>
    <w:rsid w:val="1C3F69E4"/>
    <w:rsid w:val="1C7217BC"/>
    <w:rsid w:val="1C880A5C"/>
    <w:rsid w:val="1CD16D35"/>
    <w:rsid w:val="1DA31316"/>
    <w:rsid w:val="1DDA18CD"/>
    <w:rsid w:val="1E1F733C"/>
    <w:rsid w:val="1EC743FA"/>
    <w:rsid w:val="1F073C5F"/>
    <w:rsid w:val="1F0B09FE"/>
    <w:rsid w:val="1FA35CFB"/>
    <w:rsid w:val="2033757A"/>
    <w:rsid w:val="20E00C0C"/>
    <w:rsid w:val="21073D19"/>
    <w:rsid w:val="21274C73"/>
    <w:rsid w:val="21612471"/>
    <w:rsid w:val="21F3172C"/>
    <w:rsid w:val="22032E04"/>
    <w:rsid w:val="226B0DAB"/>
    <w:rsid w:val="22D93B65"/>
    <w:rsid w:val="23173028"/>
    <w:rsid w:val="23181B28"/>
    <w:rsid w:val="23467AF0"/>
    <w:rsid w:val="23BE1723"/>
    <w:rsid w:val="23DB6542"/>
    <w:rsid w:val="243E1407"/>
    <w:rsid w:val="247840E5"/>
    <w:rsid w:val="24924C8F"/>
    <w:rsid w:val="24AD2696"/>
    <w:rsid w:val="25125890"/>
    <w:rsid w:val="254259F1"/>
    <w:rsid w:val="25D643AB"/>
    <w:rsid w:val="26842BB5"/>
    <w:rsid w:val="26AE1196"/>
    <w:rsid w:val="26BE19EF"/>
    <w:rsid w:val="273B4DEE"/>
    <w:rsid w:val="28155353"/>
    <w:rsid w:val="281713B7"/>
    <w:rsid w:val="28201DDD"/>
    <w:rsid w:val="28770089"/>
    <w:rsid w:val="28905912"/>
    <w:rsid w:val="28981947"/>
    <w:rsid w:val="28CB0306"/>
    <w:rsid w:val="28E70D52"/>
    <w:rsid w:val="28E765DD"/>
    <w:rsid w:val="29D820DA"/>
    <w:rsid w:val="2A9F38E6"/>
    <w:rsid w:val="2ABF60CD"/>
    <w:rsid w:val="2AD63CED"/>
    <w:rsid w:val="2B5951B9"/>
    <w:rsid w:val="2B9D3E9D"/>
    <w:rsid w:val="2BC635BF"/>
    <w:rsid w:val="2BD521D1"/>
    <w:rsid w:val="2C60016F"/>
    <w:rsid w:val="2C6724E0"/>
    <w:rsid w:val="2C7E6A0F"/>
    <w:rsid w:val="2CE85ECD"/>
    <w:rsid w:val="2D003E6F"/>
    <w:rsid w:val="2D4332A5"/>
    <w:rsid w:val="2D8E2E4A"/>
    <w:rsid w:val="2DEA6EED"/>
    <w:rsid w:val="2E8F138D"/>
    <w:rsid w:val="2E9077CD"/>
    <w:rsid w:val="2E927EFC"/>
    <w:rsid w:val="2EFB77C4"/>
    <w:rsid w:val="2F43024C"/>
    <w:rsid w:val="2F4B2593"/>
    <w:rsid w:val="2FFE4C0B"/>
    <w:rsid w:val="303625F7"/>
    <w:rsid w:val="30676AE4"/>
    <w:rsid w:val="307E0A13"/>
    <w:rsid w:val="309D2027"/>
    <w:rsid w:val="30D065A7"/>
    <w:rsid w:val="30D372B7"/>
    <w:rsid w:val="30ED53AB"/>
    <w:rsid w:val="31AD7DF1"/>
    <w:rsid w:val="321921D0"/>
    <w:rsid w:val="322E7A29"/>
    <w:rsid w:val="32560D2E"/>
    <w:rsid w:val="32826233"/>
    <w:rsid w:val="32876A90"/>
    <w:rsid w:val="33745057"/>
    <w:rsid w:val="33CA3782"/>
    <w:rsid w:val="34034C43"/>
    <w:rsid w:val="3422503E"/>
    <w:rsid w:val="3482419A"/>
    <w:rsid w:val="34B460F1"/>
    <w:rsid w:val="34CA155F"/>
    <w:rsid w:val="35080D00"/>
    <w:rsid w:val="352E7D40"/>
    <w:rsid w:val="353535E0"/>
    <w:rsid w:val="35661288"/>
    <w:rsid w:val="35860857"/>
    <w:rsid w:val="35B35DCF"/>
    <w:rsid w:val="360946F7"/>
    <w:rsid w:val="36366780"/>
    <w:rsid w:val="364610BA"/>
    <w:rsid w:val="364F4412"/>
    <w:rsid w:val="368D390B"/>
    <w:rsid w:val="37A2019E"/>
    <w:rsid w:val="380D63FD"/>
    <w:rsid w:val="389A756D"/>
    <w:rsid w:val="38AC1155"/>
    <w:rsid w:val="38F77B0B"/>
    <w:rsid w:val="38F77C64"/>
    <w:rsid w:val="391C6F31"/>
    <w:rsid w:val="393467AB"/>
    <w:rsid w:val="39367522"/>
    <w:rsid w:val="3A3169B0"/>
    <w:rsid w:val="3A63048C"/>
    <w:rsid w:val="3A9E6883"/>
    <w:rsid w:val="3AE03A6E"/>
    <w:rsid w:val="3AEC0481"/>
    <w:rsid w:val="3AFC5601"/>
    <w:rsid w:val="3AFC7CF6"/>
    <w:rsid w:val="3B1630AC"/>
    <w:rsid w:val="3B4D60F6"/>
    <w:rsid w:val="3C263DBE"/>
    <w:rsid w:val="3C94492D"/>
    <w:rsid w:val="3CE05DC4"/>
    <w:rsid w:val="3D515C28"/>
    <w:rsid w:val="3D6F750E"/>
    <w:rsid w:val="3D74650C"/>
    <w:rsid w:val="3D987765"/>
    <w:rsid w:val="3EA1684F"/>
    <w:rsid w:val="3ED3286E"/>
    <w:rsid w:val="3F0B353D"/>
    <w:rsid w:val="3FFB1573"/>
    <w:rsid w:val="401F6C03"/>
    <w:rsid w:val="40830F63"/>
    <w:rsid w:val="40F251A3"/>
    <w:rsid w:val="419B52B3"/>
    <w:rsid w:val="42277FF1"/>
    <w:rsid w:val="42334364"/>
    <w:rsid w:val="425A3F23"/>
    <w:rsid w:val="4380661D"/>
    <w:rsid w:val="43B458B4"/>
    <w:rsid w:val="43EC445A"/>
    <w:rsid w:val="444A39F2"/>
    <w:rsid w:val="446B1BC1"/>
    <w:rsid w:val="44AB2ECC"/>
    <w:rsid w:val="44D47212"/>
    <w:rsid w:val="45050BD8"/>
    <w:rsid w:val="45285930"/>
    <w:rsid w:val="4565155C"/>
    <w:rsid w:val="45B11BFE"/>
    <w:rsid w:val="45E34778"/>
    <w:rsid w:val="45E7257A"/>
    <w:rsid w:val="466F1F67"/>
    <w:rsid w:val="46B04006"/>
    <w:rsid w:val="46B5664E"/>
    <w:rsid w:val="47060B1D"/>
    <w:rsid w:val="47600426"/>
    <w:rsid w:val="47FC38A8"/>
    <w:rsid w:val="48286A07"/>
    <w:rsid w:val="48357040"/>
    <w:rsid w:val="4839282C"/>
    <w:rsid w:val="48483794"/>
    <w:rsid w:val="48570659"/>
    <w:rsid w:val="488564A6"/>
    <w:rsid w:val="489B7043"/>
    <w:rsid w:val="492B07D8"/>
    <w:rsid w:val="49747682"/>
    <w:rsid w:val="49903799"/>
    <w:rsid w:val="499F0DB5"/>
    <w:rsid w:val="49C00C61"/>
    <w:rsid w:val="49DE098A"/>
    <w:rsid w:val="4A431740"/>
    <w:rsid w:val="4A706FB0"/>
    <w:rsid w:val="4B557DB4"/>
    <w:rsid w:val="4B606CD6"/>
    <w:rsid w:val="4BDC6EAE"/>
    <w:rsid w:val="4BE53273"/>
    <w:rsid w:val="4BF25D04"/>
    <w:rsid w:val="4C416139"/>
    <w:rsid w:val="4CE20FF8"/>
    <w:rsid w:val="4CEC6690"/>
    <w:rsid w:val="4D6C27F8"/>
    <w:rsid w:val="4D896004"/>
    <w:rsid w:val="4DA16EA9"/>
    <w:rsid w:val="4DD677E1"/>
    <w:rsid w:val="4DFD6D8A"/>
    <w:rsid w:val="4E1D2666"/>
    <w:rsid w:val="4EE259CC"/>
    <w:rsid w:val="4EE31289"/>
    <w:rsid w:val="4EFE0523"/>
    <w:rsid w:val="4F9C201E"/>
    <w:rsid w:val="508407FB"/>
    <w:rsid w:val="509E5BDF"/>
    <w:rsid w:val="50C86E43"/>
    <w:rsid w:val="50CC6933"/>
    <w:rsid w:val="511D2CEB"/>
    <w:rsid w:val="51454B7E"/>
    <w:rsid w:val="51627812"/>
    <w:rsid w:val="51786C85"/>
    <w:rsid w:val="51886C26"/>
    <w:rsid w:val="51956EAA"/>
    <w:rsid w:val="5218468F"/>
    <w:rsid w:val="522D0E9F"/>
    <w:rsid w:val="526606C2"/>
    <w:rsid w:val="52B40BC7"/>
    <w:rsid w:val="52C82DE5"/>
    <w:rsid w:val="531E71EE"/>
    <w:rsid w:val="537E1A3B"/>
    <w:rsid w:val="53AD28DE"/>
    <w:rsid w:val="54027B86"/>
    <w:rsid w:val="543640C4"/>
    <w:rsid w:val="54463F45"/>
    <w:rsid w:val="549B7CA5"/>
    <w:rsid w:val="54B020C8"/>
    <w:rsid w:val="54F71AA5"/>
    <w:rsid w:val="55683F6A"/>
    <w:rsid w:val="55704ABA"/>
    <w:rsid w:val="559F4336"/>
    <w:rsid w:val="55C23F1B"/>
    <w:rsid w:val="55C4779B"/>
    <w:rsid w:val="56623148"/>
    <w:rsid w:val="569A57B0"/>
    <w:rsid w:val="56B9490A"/>
    <w:rsid w:val="570F757A"/>
    <w:rsid w:val="571B3010"/>
    <w:rsid w:val="57383B85"/>
    <w:rsid w:val="575B27BF"/>
    <w:rsid w:val="57A37CC2"/>
    <w:rsid w:val="57AD5FE6"/>
    <w:rsid w:val="57D6726A"/>
    <w:rsid w:val="57ED06D1"/>
    <w:rsid w:val="57F734DD"/>
    <w:rsid w:val="581C7E94"/>
    <w:rsid w:val="58395B37"/>
    <w:rsid w:val="5868748F"/>
    <w:rsid w:val="588F22CB"/>
    <w:rsid w:val="59030FC0"/>
    <w:rsid w:val="59371389"/>
    <w:rsid w:val="596352CB"/>
    <w:rsid w:val="5A490F26"/>
    <w:rsid w:val="5A4C63EF"/>
    <w:rsid w:val="5A79327D"/>
    <w:rsid w:val="5A9008BF"/>
    <w:rsid w:val="5AB83A84"/>
    <w:rsid w:val="5AC93EE4"/>
    <w:rsid w:val="5B4B77BA"/>
    <w:rsid w:val="5B5524EB"/>
    <w:rsid w:val="5C097F96"/>
    <w:rsid w:val="5D1A034E"/>
    <w:rsid w:val="5D375134"/>
    <w:rsid w:val="5D3A4C25"/>
    <w:rsid w:val="5D3C26CC"/>
    <w:rsid w:val="5D6A44E6"/>
    <w:rsid w:val="5DAE407C"/>
    <w:rsid w:val="5DCA244C"/>
    <w:rsid w:val="5E011217"/>
    <w:rsid w:val="5EA71D5F"/>
    <w:rsid w:val="5F1722B5"/>
    <w:rsid w:val="5F844F80"/>
    <w:rsid w:val="5F9A2B8C"/>
    <w:rsid w:val="606A409A"/>
    <w:rsid w:val="606F4B42"/>
    <w:rsid w:val="609F2776"/>
    <w:rsid w:val="61841DA9"/>
    <w:rsid w:val="61EB26CA"/>
    <w:rsid w:val="62BA3765"/>
    <w:rsid w:val="63251104"/>
    <w:rsid w:val="63367DB4"/>
    <w:rsid w:val="635D341B"/>
    <w:rsid w:val="635F2C96"/>
    <w:rsid w:val="63824DDA"/>
    <w:rsid w:val="641D69ED"/>
    <w:rsid w:val="64616AAE"/>
    <w:rsid w:val="646A3FF9"/>
    <w:rsid w:val="64E750B0"/>
    <w:rsid w:val="653A1489"/>
    <w:rsid w:val="65534AB2"/>
    <w:rsid w:val="66467401"/>
    <w:rsid w:val="669272D6"/>
    <w:rsid w:val="670C16C0"/>
    <w:rsid w:val="67713D60"/>
    <w:rsid w:val="6837667E"/>
    <w:rsid w:val="683A60A0"/>
    <w:rsid w:val="68AB69D7"/>
    <w:rsid w:val="691E1836"/>
    <w:rsid w:val="69C6056C"/>
    <w:rsid w:val="69D60F58"/>
    <w:rsid w:val="69D637DF"/>
    <w:rsid w:val="6A6932BA"/>
    <w:rsid w:val="6A965682"/>
    <w:rsid w:val="6AAA4E8C"/>
    <w:rsid w:val="6AEB69D2"/>
    <w:rsid w:val="6AED777A"/>
    <w:rsid w:val="6B006F4B"/>
    <w:rsid w:val="6B5E4C86"/>
    <w:rsid w:val="6BAC6D7A"/>
    <w:rsid w:val="6C0E4A66"/>
    <w:rsid w:val="6C474F23"/>
    <w:rsid w:val="6C5A0556"/>
    <w:rsid w:val="6C911353"/>
    <w:rsid w:val="6CC313AB"/>
    <w:rsid w:val="6CC52DC2"/>
    <w:rsid w:val="6CE150BD"/>
    <w:rsid w:val="6D0A375E"/>
    <w:rsid w:val="6DB433C6"/>
    <w:rsid w:val="6EF371D4"/>
    <w:rsid w:val="6F1218C9"/>
    <w:rsid w:val="6F166241"/>
    <w:rsid w:val="6F654466"/>
    <w:rsid w:val="6FB47A1C"/>
    <w:rsid w:val="6FCC61CE"/>
    <w:rsid w:val="702B5B7A"/>
    <w:rsid w:val="704333C0"/>
    <w:rsid w:val="705F2643"/>
    <w:rsid w:val="713C43F6"/>
    <w:rsid w:val="71651E5C"/>
    <w:rsid w:val="71FD72EC"/>
    <w:rsid w:val="720B208F"/>
    <w:rsid w:val="72147C38"/>
    <w:rsid w:val="72383300"/>
    <w:rsid w:val="72414F83"/>
    <w:rsid w:val="727D3AE3"/>
    <w:rsid w:val="728A3B13"/>
    <w:rsid w:val="73674D66"/>
    <w:rsid w:val="737177C6"/>
    <w:rsid w:val="743F3744"/>
    <w:rsid w:val="744877CF"/>
    <w:rsid w:val="745B5405"/>
    <w:rsid w:val="746A1E3C"/>
    <w:rsid w:val="74864AE5"/>
    <w:rsid w:val="76377AFB"/>
    <w:rsid w:val="765353AD"/>
    <w:rsid w:val="76593502"/>
    <w:rsid w:val="77C17BD0"/>
    <w:rsid w:val="7843265A"/>
    <w:rsid w:val="784C1F84"/>
    <w:rsid w:val="78512C75"/>
    <w:rsid w:val="786C2BB5"/>
    <w:rsid w:val="788C29FF"/>
    <w:rsid w:val="78FB5758"/>
    <w:rsid w:val="792C6836"/>
    <w:rsid w:val="795F1843"/>
    <w:rsid w:val="796D0251"/>
    <w:rsid w:val="79884EF0"/>
    <w:rsid w:val="7A045D70"/>
    <w:rsid w:val="7B407452"/>
    <w:rsid w:val="7B593EE5"/>
    <w:rsid w:val="7BDA2BFE"/>
    <w:rsid w:val="7BDC22F5"/>
    <w:rsid w:val="7C136FD3"/>
    <w:rsid w:val="7C1E59E5"/>
    <w:rsid w:val="7C490589"/>
    <w:rsid w:val="7C4D0079"/>
    <w:rsid w:val="7CB26E8E"/>
    <w:rsid w:val="7CB57759"/>
    <w:rsid w:val="7CC93986"/>
    <w:rsid w:val="7D621902"/>
    <w:rsid w:val="7D795594"/>
    <w:rsid w:val="7EC363D0"/>
    <w:rsid w:val="7F12733D"/>
    <w:rsid w:val="7FA562B4"/>
    <w:rsid w:val="7FAD794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outlineLvl w:val="0"/>
    </w:pPr>
    <w:rPr>
      <w:b/>
      <w:kern w:val="44"/>
    </w:rPr>
  </w:style>
  <w:style w:type="paragraph" w:styleId="3">
    <w:name w:val="heading 2"/>
    <w:basedOn w:val="1"/>
    <w:next w:val="1"/>
    <w:semiHidden/>
    <w:unhideWhenUsed/>
    <w:qFormat/>
    <w:uiPriority w:val="0"/>
    <w:pPr>
      <w:spacing w:beforeAutospacing="1" w:afterAutospacing="1"/>
      <w:jc w:val="left"/>
      <w:outlineLvl w:val="1"/>
    </w:pPr>
    <w:rPr>
      <w:rFonts w:hint="eastAsia" w:ascii="宋体" w:hAnsi="宋体" w:eastAsia="宋体" w:cs="Times New Roman"/>
      <w:b/>
      <w:bCs/>
      <w:kern w:val="0"/>
      <w:sz w:val="36"/>
      <w:szCs w:val="36"/>
    </w:rPr>
  </w:style>
  <w:style w:type="paragraph" w:styleId="4">
    <w:name w:val="heading 3"/>
    <w:basedOn w:val="1"/>
    <w:next w:val="1"/>
    <w:qFormat/>
    <w:uiPriority w:val="99"/>
    <w:pPr>
      <w:keepNext/>
      <w:keepLines/>
      <w:spacing w:before="260" w:after="260" w:line="416" w:lineRule="auto"/>
      <w:outlineLvl w:val="2"/>
    </w:pPr>
    <w:rPr>
      <w:rFonts w:ascii="Times New Roman" w:hAnsi="Times New Roman"/>
      <w:b/>
      <w:bCs/>
      <w:kern w:val="0"/>
      <w:sz w:val="32"/>
      <w:szCs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5">
    <w:name w:val="Normal Indent"/>
    <w:basedOn w:val="1"/>
    <w:unhideWhenUsed/>
    <w:qFormat/>
    <w:uiPriority w:val="0"/>
    <w:pPr>
      <w:ind w:firstLine="420"/>
    </w:pPr>
  </w:style>
  <w:style w:type="paragraph" w:styleId="6">
    <w:name w:val="Body Text"/>
    <w:basedOn w:val="1"/>
    <w:next w:val="7"/>
    <w:qFormat/>
    <w:uiPriority w:val="99"/>
    <w:rPr>
      <w:rFonts w:ascii="楷体_GB2312" w:hAnsi="Arial" w:eastAsia="楷体_GB2312"/>
      <w:sz w:val="28"/>
      <w:szCs w:val="28"/>
    </w:rPr>
  </w:style>
  <w:style w:type="paragraph" w:customStyle="1" w:styleId="7">
    <w:name w:val="_Style 2"/>
    <w:basedOn w:val="1"/>
    <w:next w:val="1"/>
    <w:autoRedefine/>
    <w:qFormat/>
    <w:uiPriority w:val="0"/>
    <w:pPr>
      <w:ind w:firstLine="420"/>
    </w:pPr>
  </w:style>
  <w:style w:type="paragraph" w:styleId="8">
    <w:name w:val="Body Text Indent"/>
    <w:basedOn w:val="1"/>
    <w:qFormat/>
    <w:uiPriority w:val="0"/>
    <w:pPr>
      <w:ind w:firstLine="645"/>
    </w:pPr>
    <w:rPr>
      <w:rFonts w:ascii="楷体_GB2312" w:eastAsia="楷体_GB2312"/>
      <w:sz w:val="32"/>
      <w:szCs w:val="32"/>
    </w:rPr>
  </w:style>
  <w:style w:type="paragraph" w:styleId="9">
    <w:name w:val="Plain Text"/>
    <w:basedOn w:val="1"/>
    <w:next w:val="1"/>
    <w:qFormat/>
    <w:uiPriority w:val="99"/>
    <w:rPr>
      <w:rFonts w:ascii="宋体" w:hAnsi="Courier New" w:cs="Courier New"/>
    </w:rPr>
  </w:style>
  <w:style w:type="paragraph" w:styleId="10">
    <w:name w:val="footer"/>
    <w:basedOn w:val="1"/>
    <w:link w:val="26"/>
    <w:qFormat/>
    <w:uiPriority w:val="0"/>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Indent 3"/>
    <w:basedOn w:val="1"/>
    <w:qFormat/>
    <w:uiPriority w:val="0"/>
    <w:pPr>
      <w:ind w:left="645" w:firstLine="645"/>
    </w:pPr>
    <w:rPr>
      <w:rFonts w:ascii="Arial" w:hAnsi="Arial" w:eastAsia="仿宋_GB2312" w:cs="Arial"/>
      <w:color w:val="FFFF00"/>
      <w:sz w:val="32"/>
      <w:szCs w:val="32"/>
    </w:rPr>
  </w:style>
  <w:style w:type="paragraph" w:styleId="13">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Body Text First Indent"/>
    <w:basedOn w:val="6"/>
    <w:unhideWhenUsed/>
    <w:qFormat/>
    <w:uiPriority w:val="99"/>
    <w:pPr>
      <w:ind w:firstLine="420"/>
    </w:pPr>
    <w:rPr>
      <w:rFonts w:ascii="Times New Roman" w:hAnsi="Times New Roman" w:eastAsia="宋体" w:cs="Times New Roman"/>
    </w:rPr>
  </w:style>
  <w:style w:type="paragraph" w:styleId="16">
    <w:name w:val="Body Text First Indent 2"/>
    <w:basedOn w:val="8"/>
    <w:qFormat/>
    <w:uiPriority w:val="0"/>
    <w:pPr>
      <w:spacing w:line="360" w:lineRule="auto"/>
      <w:ind w:firstLine="420" w:firstLineChars="200"/>
    </w:pPr>
    <w:rPr>
      <w:rFonts w:ascii="宋体" w:hAnsi="宋体" w:eastAsia="宋体"/>
      <w:sz w:val="21"/>
      <w:szCs w:val="20"/>
    </w:r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0">
    <w:name w:val="正文1"/>
    <w:basedOn w:val="21"/>
    <w:qFormat/>
    <w:uiPriority w:val="0"/>
    <w:pPr>
      <w:spacing w:line="500" w:lineRule="exact"/>
      <w:ind w:firstLine="0"/>
    </w:pPr>
    <w:rPr>
      <w:rFonts w:hAnsi="新宋体"/>
    </w:rPr>
  </w:style>
  <w:style w:type="paragraph" w:customStyle="1" w:styleId="21">
    <w:name w:val="正文缩进1"/>
    <w:basedOn w:val="1"/>
    <w:qFormat/>
    <w:uiPriority w:val="0"/>
    <w:pPr>
      <w:ind w:firstLine="420"/>
    </w:pPr>
    <w:rPr>
      <w:szCs w:val="21"/>
    </w:rPr>
  </w:style>
  <w:style w:type="paragraph" w:customStyle="1" w:styleId="22">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23">
    <w:name w:val="4"/>
    <w:basedOn w:val="1"/>
    <w:next w:val="12"/>
    <w:qFormat/>
    <w:uiPriority w:val="0"/>
    <w:pPr>
      <w:spacing w:line="360" w:lineRule="auto"/>
      <w:ind w:firstLine="420"/>
    </w:pPr>
    <w:rPr>
      <w:color w:val="FF0000"/>
      <w:sz w:val="24"/>
    </w:rPr>
  </w:style>
  <w:style w:type="paragraph" w:customStyle="1" w:styleId="24">
    <w:name w:val="纯文本1"/>
    <w:basedOn w:val="1"/>
    <w:qFormat/>
    <w:uiPriority w:val="0"/>
    <w:pPr>
      <w:adjustRightInd w:val="0"/>
    </w:pPr>
    <w:rPr>
      <w:rFonts w:ascii="宋体" w:hAnsi="Courier New" w:eastAsia="楷体_GB2312"/>
      <w:sz w:val="28"/>
      <w:szCs w:val="20"/>
    </w:rPr>
  </w:style>
  <w:style w:type="character" w:customStyle="1" w:styleId="25">
    <w:name w:val="页眉 Char"/>
    <w:basedOn w:val="19"/>
    <w:link w:val="11"/>
    <w:qFormat/>
    <w:uiPriority w:val="0"/>
    <w:rPr>
      <w:kern w:val="2"/>
      <w:sz w:val="18"/>
      <w:szCs w:val="18"/>
    </w:rPr>
  </w:style>
  <w:style w:type="character" w:customStyle="1" w:styleId="26">
    <w:name w:val="页脚 Char"/>
    <w:basedOn w:val="19"/>
    <w:link w:val="10"/>
    <w:qFormat/>
    <w:uiPriority w:val="0"/>
    <w:rPr>
      <w:kern w:val="2"/>
      <w:sz w:val="18"/>
      <w:szCs w:val="18"/>
    </w:rPr>
  </w:style>
  <w:style w:type="character" w:customStyle="1" w:styleId="27">
    <w:name w:val="NormalCharacter"/>
    <w:qFormat/>
    <w:uiPriority w:val="99"/>
    <w:rPr>
      <w:rFonts w:ascii="Calibri" w:hAnsi="Calibri" w:eastAsia="宋体"/>
    </w:rPr>
  </w:style>
  <w:style w:type="paragraph" w:customStyle="1" w:styleId="28">
    <w:name w:val="普通正文"/>
    <w:basedOn w:val="1"/>
    <w:qFormat/>
    <w:uiPriority w:val="0"/>
    <w:pPr>
      <w:spacing w:before="120" w:after="120" w:line="360" w:lineRule="auto"/>
      <w:ind w:firstLine="480"/>
      <w:jc w:val="left"/>
    </w:pPr>
    <w:rPr>
      <w:rFonts w:ascii="Arial" w:hAnsi="Arial" w:eastAsia="等线" w:cs="Arial"/>
      <w:kern w:val="0"/>
      <w:sz w:val="24"/>
    </w:rPr>
  </w:style>
  <w:style w:type="paragraph" w:styleId="29">
    <w:name w:val="List Paragraph"/>
    <w:basedOn w:val="1"/>
    <w:qFormat/>
    <w:uiPriority w:val="34"/>
    <w:pPr>
      <w:widowControl/>
      <w:ind w:firstLine="420" w:firstLineChars="200"/>
      <w:jc w:val="left"/>
    </w:pPr>
    <w:rPr>
      <w:rFonts w:eastAsia="仿宋" w:cs="宋体"/>
      <w:color w:val="000000"/>
      <w:sz w:val="28"/>
    </w:rPr>
  </w:style>
  <w:style w:type="paragraph" w:customStyle="1" w:styleId="30">
    <w:name w:val="普通(网站)1111"/>
    <w:basedOn w:val="1"/>
    <w:qFormat/>
    <w:uiPriority w:val="0"/>
    <w:pPr>
      <w:widowControl/>
      <w:spacing w:before="100" w:beforeAutospacing="1" w:after="100" w:afterAutospacing="1"/>
      <w:jc w:val="left"/>
    </w:pPr>
    <w:rPr>
      <w:rFonts w:ascii="宋体" w:hAnsi="宋体" w:cs="宋体"/>
      <w:sz w:val="24"/>
    </w:rPr>
  </w:style>
  <w:style w:type="paragraph" w:customStyle="1" w:styleId="31">
    <w:name w:val="正文首行缩进1"/>
    <w:basedOn w:val="1"/>
    <w:next w:val="1"/>
    <w:autoRedefine/>
    <w:qFormat/>
    <w:uiPriority w:val="0"/>
    <w:pPr>
      <w:ind w:firstLine="420"/>
    </w:pPr>
    <w:rPr>
      <w:szCs w:val="24"/>
    </w:rPr>
  </w:style>
  <w:style w:type="character" w:customStyle="1" w:styleId="32">
    <w:name w:val="NormalCharacter1"/>
    <w:autoRedefine/>
    <w:qFormat/>
    <w:uiPriority w:val="99"/>
    <w:rPr>
      <w:rFonts w:ascii="Calibri" w:hAnsi="Calibri" w:eastAsia="宋体"/>
    </w:rPr>
  </w:style>
  <w:style w:type="paragraph" w:customStyle="1" w:styleId="33">
    <w:name w:val="标题 41"/>
    <w:basedOn w:val="1"/>
    <w:next w:val="21"/>
    <w:qFormat/>
    <w:uiPriority w:val="0"/>
    <w:pPr>
      <w:keepNext/>
      <w:keepLines/>
      <w:spacing w:before="280" w:after="290" w:line="376" w:lineRule="auto"/>
      <w:outlineLvl w:val="3"/>
    </w:pPr>
    <w:rPr>
      <w:rFonts w:ascii="Arial" w:hAnsi="Arial" w:eastAsia="黑体" w:cs="Arial"/>
      <w:b/>
      <w:bCs/>
      <w:szCs w:val="28"/>
    </w:rPr>
  </w:style>
  <w:style w:type="paragraph" w:customStyle="1" w:styleId="34">
    <w:name w:val="列出段落"/>
    <w:basedOn w:val="1"/>
    <w:autoRedefine/>
    <w:qFormat/>
    <w:uiPriority w:val="0"/>
    <w:pPr>
      <w:ind w:firstLine="420"/>
    </w:pPr>
    <w:rPr>
      <w:rFonts w:ascii="Calibri" w:hAnsi="Calibri"/>
      <w:szCs w:val="22"/>
    </w:rPr>
  </w:style>
  <w:style w:type="paragraph" w:customStyle="1" w:styleId="35">
    <w:name w:val="Table Paragraph"/>
    <w:basedOn w:val="1"/>
    <w:qFormat/>
    <w:uiPriority w:val="1"/>
  </w:style>
  <w:style w:type="table" w:customStyle="1" w:styleId="36">
    <w:name w:val="Table Normal"/>
    <w:unhideWhenUsed/>
    <w:qFormat/>
    <w:uiPriority w:val="2"/>
    <w:rPr>
      <w:lang w:val="en-US" w:eastAsia="zh-CN" w:bidi="ar-SA"/>
    </w:rPr>
    <w:tblPr>
      <w:tblCellMar>
        <w:top w:w="0" w:type="dxa"/>
        <w:left w:w="0" w:type="dxa"/>
        <w:bottom w:w="0" w:type="dxa"/>
        <w:right w:w="0" w:type="dxa"/>
      </w:tblCellMar>
    </w:tblPr>
  </w:style>
  <w:style w:type="paragraph" w:customStyle="1" w:styleId="37">
    <w:name w:val="首行缩进"/>
    <w:basedOn w:val="1"/>
    <w:qFormat/>
    <w:uiPriority w:val="0"/>
    <w:pPr>
      <w:autoSpaceDE w:val="0"/>
      <w:autoSpaceDN w:val="0"/>
      <w:adjustRightInd w:val="0"/>
      <w:ind w:firstLine="720"/>
      <w:jc w:val="left"/>
    </w:pPr>
    <w:rPr>
      <w:rFonts w:ascii="宋体" w:hAnsi="宋体"/>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87</Pages>
  <Words>285</Words>
  <Characters>296</Characters>
  <Lines>272</Lines>
  <Paragraphs>76</Paragraphs>
  <TotalTime>8</TotalTime>
  <ScaleCrop>false</ScaleCrop>
  <LinksUpToDate>false</LinksUpToDate>
  <CharactersWithSpaces>390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2024-07-19T02:42:00Z</dcterms:created>
  <dc:creator>Administrator</dc:creator>
  <cp:lastModifiedBy>明</cp:lastModifiedBy>
  <cp:lastPrinted>2026-02-28T07:32:00Z</cp:lastPrinted>
  <dcterms:modified xsi:type="dcterms:W3CDTF">2026-03-06T01:25:37Z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9CEC1AEB6F94468CAE822FADFD6667D8_13</vt:lpwstr>
  </property>
  <property fmtid="{D5CDD505-2E9C-101B-9397-08002B2CF9AE}" pid="4" name="KSOTemplateDocerSaveRecord">
    <vt:lpwstr>eyJoZGlkIjoiMTlkZDVhNTczM2ExMTFmOTI5NzFmMjBkM2NjM2Y4YjUiLCJ1c2VySWQiOiIyMjk5Mzg3MzMifQ==</vt:lpwstr>
  </property>
</Properties>
</file>