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4"/>
        <w:jc w:val="center"/>
        <w:spacing w:before="120" w:beforeAutospacing="0" w:after="120" w:afterAutospacing="0" w:line="360" w:lineRule="auto"/>
        <w:rPr>
          <w:rFonts w:hint="eastAsia" w:ascii="宋体" w:hAnsi="宋体" w:eastAsia="宋体" w:cs="宋体"/>
          <w:b w:val="0"/>
          <w:bCs/>
          <w:color w:val="000000" w:themeColor="text1"/>
          <w:sz w:val="84"/>
          <w:szCs w:val="84"/>
          <w:highlight w:val="none"/>
          <w14:textFill>
            <w14:solidFill>
              <w14:schemeClr w14:val="tx1"/>
            </w14:solidFill>
          </w14:textFill>
        </w:rPr>
      </w:pPr>
      <w:r>
        <w:rPr>
          <w:rFonts w:hint="eastAsia" w:ascii="宋体" w:hAnsi="宋体" w:eastAsia="宋体" w:cs="宋体"/>
          <w:b w:val="0"/>
          <w:bCs/>
          <w:color w:val="000000" w:themeColor="text1"/>
          <w:sz w:val="84"/>
          <w:szCs w:val="84"/>
          <w:highlight w:val="none"/>
          <w14:textFill>
            <w14:solidFill>
              <w14:schemeClr w14:val="tx1"/>
            </w14:solidFill>
          </w14:textFill>
        </w:rPr>
      </w:r>
      <w:r/>
    </w:p>
    <w:p>
      <w:pPr>
        <w:pStyle w:val="744"/>
        <w:jc w:val="center"/>
        <w:spacing w:before="120" w:beforeAutospacing="0" w:after="120" w:afterAutospacing="0" w:line="360" w:lineRule="auto"/>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sz w:val="84"/>
          <w:szCs w:val="84"/>
          <w:highlight w:val="none"/>
          <w14:textFill>
            <w14:solidFill>
              <w14:schemeClr w14:val="tx1"/>
            </w14:solidFill>
          </w14:textFill>
        </w:rPr>
        <w:t xml:space="preserve">竞争性磋商文件</w:t>
      </w:r>
      <w:r/>
    </w:p>
    <w:p>
      <w:pPr>
        <w:pStyle w:val="744"/>
        <w:ind w:firstLine="2249"/>
        <w:spacing w:before="120" w:beforeAutospacing="0" w:after="120" w:afterAutospacing="0" w:line="360" w:lineRule="auto"/>
        <w:rPr>
          <w:rFonts w:hint="eastAsia" w:ascii="宋体" w:hAnsi="宋体" w:eastAsia="宋体" w:cs="宋体"/>
          <w:b w:val="0"/>
          <w:bCs/>
          <w:color w:val="000000" w:themeColor="text1"/>
          <w:sz w:val="32"/>
          <w:szCs w:val="32"/>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r>
      <w:r/>
    </w:p>
    <w:p>
      <w:pPr>
        <w:pStyle w:val="744"/>
        <w:spacing w:before="120" w:beforeAutospacing="0" w:after="120" w:afterAutospacing="0" w:line="360" w:lineRule="auto"/>
        <w:rPr>
          <w:rFonts w:hint="eastAsia" w:ascii="宋体" w:hAnsi="宋体" w:eastAsia="宋体" w:cs="宋体"/>
          <w:b w:val="0"/>
          <w:bCs/>
          <w:color w:val="000000" w:themeColor="text1"/>
          <w:sz w:val="32"/>
          <w:szCs w:val="32"/>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r>
      <w:r/>
    </w:p>
    <w:p>
      <w:pPr>
        <w:pStyle w:val="744"/>
        <w:spacing w:before="120" w:beforeAutospacing="0" w:after="120" w:afterAutospacing="0" w:line="360" w:lineRule="auto"/>
        <w:rPr>
          <w:rFonts w:hint="eastAsia" w:ascii="宋体" w:hAnsi="宋体" w:eastAsia="宋体" w:cs="宋体"/>
          <w:b w:val="0"/>
          <w:bCs/>
          <w:color w:val="000000" w:themeColor="text1"/>
          <w:sz w:val="32"/>
          <w:szCs w:val="32"/>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r>
      <w:r/>
    </w:p>
    <w:p>
      <w:pPr>
        <w:pStyle w:val="744"/>
        <w:ind w:left="718" w:firstLine="360"/>
        <w:spacing w:beforeAutospacing="0" w:afterAutospacing="0" w:line="360" w:lineRule="auto"/>
        <w:rPr>
          <w:rFonts w:hint="eastAsia" w:ascii="宋体" w:hAnsi="宋体" w:eastAsia="宋体" w:cs="宋体"/>
          <w:b w:val="0"/>
          <w:bCs/>
          <w:color w:val="000000" w:themeColor="text1"/>
          <w:sz w:val="36"/>
          <w:szCs w:val="32"/>
          <w:highlight w:val="none"/>
          <w:lang w:eastAsia="zh-CN"/>
          <w14:textFill>
            <w14:solidFill>
              <w14:schemeClr w14:val="tx1"/>
            </w14:solidFill>
          </w14:textFill>
        </w:rPr>
      </w:pPr>
      <w:r>
        <w:rPr>
          <w:rFonts w:hint="eastAsia" w:ascii="宋体" w:hAnsi="宋体" w:eastAsia="宋体" w:cs="宋体"/>
          <w:b w:val="0"/>
          <w:bCs/>
          <w:color w:val="000000" w:themeColor="text1"/>
          <w:sz w:val="36"/>
          <w:szCs w:val="32"/>
          <w:highlight w:val="none"/>
          <w:lang w:eastAsia="zh-CN"/>
          <w14:textFill>
            <w14:solidFill>
              <w14:schemeClr w14:val="tx1"/>
            </w14:solidFill>
          </w14:textFill>
        </w:rPr>
        <w:t xml:space="preserve">项目名称：盐城市公安局2026年度公安民警家庭</w:t>
      </w:r>
      <w:r/>
    </w:p>
    <w:p>
      <w:pPr>
        <w:pStyle w:val="744"/>
        <w:spacing w:beforeAutospacing="0" w:afterAutospacing="0" w:line="360" w:lineRule="auto"/>
        <w:rPr>
          <w:rFonts w:hint="eastAsia" w:ascii="宋体" w:hAnsi="宋体" w:eastAsia="宋体" w:cs="宋体"/>
          <w:b w:val="0"/>
          <w:bCs/>
          <w:color w:val="000000" w:themeColor="text1"/>
          <w:sz w:val="36"/>
          <w:szCs w:val="32"/>
          <w:highlight w:val="none"/>
          <w:lang w:eastAsia="zh-CN"/>
          <w14:textFill>
            <w14:solidFill>
              <w14:schemeClr w14:val="tx1"/>
            </w14:solidFill>
          </w14:textFill>
        </w:rPr>
      </w:pPr>
      <w:r>
        <w:rPr>
          <w:rFonts w:hint="eastAsia" w:ascii="宋体" w:hAnsi="宋体" w:eastAsia="宋体" w:cs="宋体"/>
          <w:b w:val="0"/>
          <w:bCs/>
          <w:color w:val="000000" w:themeColor="text1"/>
          <w:sz w:val="36"/>
          <w:szCs w:val="32"/>
          <w:highlight w:val="none"/>
          <w:lang w:eastAsia="zh-CN"/>
          <w14:textFill>
            <w14:solidFill>
              <w14:schemeClr w14:val="tx1"/>
            </w14:solidFill>
          </w14:textFill>
        </w:rPr>
        <w:t xml:space="preserve">医疗保险服务采购项目</w:t>
      </w:r>
      <w:r/>
    </w:p>
    <w:p>
      <w:pPr>
        <w:pStyle w:val="744"/>
        <w:ind w:left="718" w:firstLine="360"/>
        <w:spacing w:beforeAutospacing="0" w:afterAutospacing="0" w:line="360" w:lineRule="auto"/>
        <w:rPr>
          <w:rFonts w:hint="eastAsia" w:ascii="宋体" w:hAnsi="宋体" w:eastAsia="宋体" w:cs="宋体"/>
          <w:b w:val="0"/>
          <w:bCs/>
          <w:color w:val="000000" w:themeColor="text1"/>
          <w:sz w:val="36"/>
          <w:szCs w:val="32"/>
          <w:highlight w:val="none"/>
          <w:lang w:val="en-US" w:eastAsia="zh-CN"/>
          <w14:textFill>
            <w14:solidFill>
              <w14:schemeClr w14:val="tx1"/>
            </w14:solidFill>
          </w14:textFill>
        </w:rPr>
      </w:pPr>
      <w:r>
        <w:rPr>
          <w:rFonts w:hint="eastAsia" w:ascii="宋体" w:hAnsi="宋体" w:eastAsia="宋体" w:cs="宋体"/>
          <w:b w:val="0"/>
          <w:bCs/>
          <w:color w:val="000000" w:themeColor="text1"/>
          <w:sz w:val="36"/>
          <w:szCs w:val="32"/>
          <w:highlight w:val="none"/>
          <w:lang w:eastAsia="zh-CN"/>
          <w14:textFill>
            <w14:solidFill>
              <w14:schemeClr w14:val="tx1"/>
            </w14:solidFill>
          </w14:textFill>
        </w:rPr>
        <w:t xml:space="preserve">项目编号：</w:t>
      </w:r>
      <w:r>
        <w:rPr>
          <w:rFonts w:hint="eastAsia" w:ascii="宋体" w:hAnsi="宋体" w:eastAsia="宋体" w:cs="宋体"/>
          <w:b w:val="0"/>
          <w:bCs/>
          <w:color w:val="000000" w:themeColor="text1"/>
          <w:sz w:val="36"/>
          <w:szCs w:val="32"/>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sz w:val="36"/>
          <w:szCs w:val="32"/>
          <w:highlight w:val="none"/>
          <w:lang w:eastAsia="zh-CN"/>
          <w14:textFill>
            <w14:solidFill>
              <w14:schemeClr w14:val="tx1"/>
            </w14:solidFill>
          </w14:textFill>
        </w:rPr>
        <w:t xml:space="preserve">JSZC-320900-YCZH-C2026-0010</w:t>
      </w:r>
      <w:r/>
    </w:p>
    <w:p>
      <w:pPr>
        <w:pStyle w:val="744"/>
        <w:spacing w:beforeAutospacing="0" w:afterAutospacing="0" w:line="360" w:lineRule="auto"/>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p>
      <w:pPr>
        <w:pStyle w:val="744"/>
        <w:spacing w:beforeAutospacing="0" w:afterAutospacing="0" w:line="360" w:lineRule="auto"/>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r>
      <w:r/>
    </w:p>
    <w:p>
      <w:pPr>
        <w:pStyle w:val="744"/>
        <w:spacing w:beforeAutospacing="0" w:afterAutospacing="0" w:line="360" w:lineRule="auto"/>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p>
      <w:pPr>
        <w:pStyle w:val="744"/>
        <w:spacing w:beforeAutospacing="0" w:afterAutospacing="0" w:line="360" w:lineRule="auto"/>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p>
      <w:pPr>
        <w:pStyle w:val="744"/>
        <w:spacing w:beforeAutospacing="0" w:afterAutospacing="0" w:line="360" w:lineRule="auto"/>
        <w:rPr>
          <w:rFonts w:hint="eastAsia" w:ascii="宋体" w:hAnsi="宋体" w:eastAsia="宋体" w:cs="宋体"/>
          <w:b w:val="0"/>
          <w:bCs/>
          <w:color w:val="000000" w:themeColor="text1"/>
          <w:spacing w:val="60"/>
          <w:sz w:val="32"/>
          <w:szCs w:val="40"/>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p>
      <w:pPr>
        <w:pStyle w:val="744"/>
        <w:jc w:val="center"/>
        <w:spacing w:beforeAutospacing="0" w:afterAutospacing="0" w:line="700" w:lineRule="exact"/>
        <w:tabs>
          <w:tab w:val="center" w:pos="5009" w:leader="none"/>
        </w:tabs>
        <w:rPr>
          <w:rFonts w:hint="eastAsia" w:ascii="宋体" w:hAnsi="宋体" w:eastAsia="宋体" w:cs="宋体"/>
          <w:b w:val="0"/>
          <w:bCs/>
          <w:color w:val="000000" w:themeColor="text1"/>
          <w:sz w:val="36"/>
          <w:szCs w:val="32"/>
          <w:highlight w:val="none"/>
          <w:lang w:eastAsia="zh-CN"/>
          <w14:textFill>
            <w14:solidFill>
              <w14:schemeClr w14:val="tx1"/>
            </w14:solidFill>
          </w14:textFill>
        </w:rPr>
      </w:pPr>
      <w:r>
        <w:rPr>
          <w:rFonts w:hint="eastAsia" w:ascii="宋体" w:hAnsi="宋体" w:eastAsia="宋体" w:cs="宋体"/>
          <w:b w:val="0"/>
          <w:bCs/>
          <w:color w:val="000000" w:themeColor="text1"/>
          <w:sz w:val="36"/>
          <w:szCs w:val="32"/>
          <w:highlight w:val="none"/>
          <w:lang w:eastAsia="zh-CN"/>
          <w14:textFill>
            <w14:solidFill>
              <w14:schemeClr w14:val="tx1"/>
            </w14:solidFill>
          </w14:textFill>
        </w:rPr>
        <w:t xml:space="preserve">盐城市公安局</w:t>
      </w:r>
      <w:r/>
    </w:p>
    <w:p>
      <w:pPr>
        <w:pStyle w:val="744"/>
        <w:jc w:val="center"/>
        <w:spacing w:beforeAutospacing="0" w:afterAutospacing="0" w:line="700" w:lineRule="exact"/>
        <w:tabs>
          <w:tab w:val="center" w:pos="5009" w:leader="none"/>
        </w:tabs>
        <w:rPr>
          <w:rFonts w:hint="eastAsia" w:ascii="宋体" w:hAnsi="宋体" w:eastAsia="宋体" w:cs="宋体"/>
          <w:b w:val="0"/>
          <w:bCs/>
          <w:color w:val="000000" w:themeColor="text1"/>
          <w:sz w:val="36"/>
          <w:szCs w:val="32"/>
          <w:highlight w:val="none"/>
          <w:lang w:eastAsia="zh-CN"/>
          <w14:textFill>
            <w14:solidFill>
              <w14:schemeClr w14:val="tx1"/>
            </w14:solidFill>
          </w14:textFill>
        </w:rPr>
      </w:pPr>
      <w:r>
        <w:rPr>
          <w:rFonts w:hint="eastAsia" w:ascii="宋体" w:hAnsi="宋体" w:eastAsia="宋体" w:cs="宋体"/>
          <w:b w:val="0"/>
          <w:bCs/>
          <w:color w:val="000000" w:themeColor="text1"/>
          <w:sz w:val="36"/>
          <w:szCs w:val="32"/>
          <w:highlight w:val="none"/>
          <w:lang w:val="en-US" w:eastAsia="zh-CN"/>
          <w14:textFill>
            <w14:solidFill>
              <w14:schemeClr w14:val="tx1"/>
            </w14:solidFill>
          </w14:textFill>
        </w:rPr>
        <w:t xml:space="preserve">盐城市智禾项目管理有限公司</w:t>
      </w:r>
      <w:r/>
    </w:p>
    <w:p>
      <w:pPr>
        <w:pStyle w:val="744"/>
        <w:jc w:val="center"/>
        <w:spacing w:beforeAutospacing="0" w:afterAutospacing="0" w:line="700" w:lineRule="exact"/>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40"/>
          <w:szCs w:val="40"/>
          <w:highlight w:val="none"/>
          <w14:textFill>
            <w14:solidFill>
              <w14:schemeClr w14:val="tx1"/>
            </w14:solidFill>
          </w14:textFill>
        </w:rPr>
        <w:t xml:space="preserve">2026年</w:t>
      </w:r>
      <w:r>
        <w:rPr>
          <w:rFonts w:hint="eastAsia" w:ascii="宋体" w:hAnsi="宋体" w:eastAsia="宋体" w:cs="宋体"/>
          <w:b w:val="0"/>
          <w:bCs/>
          <w:color w:val="000000" w:themeColor="text1"/>
          <w:sz w:val="40"/>
          <w:szCs w:val="40"/>
          <w:highlight w:val="none"/>
          <w:lang w:val="en-US" w:eastAsia="zh-CN"/>
          <w14:textFill>
            <w14:solidFill>
              <w14:schemeClr w14:val="tx1"/>
            </w14:solidFill>
          </w14:textFill>
        </w:rPr>
        <w:t xml:space="preserve">6</w:t>
      </w:r>
      <w:r>
        <w:rPr>
          <w:rFonts w:hint="eastAsia" w:ascii="宋体" w:hAnsi="宋体" w:eastAsia="宋体" w:cs="宋体"/>
          <w:b w:val="0"/>
          <w:bCs/>
          <w:color w:val="000000" w:themeColor="text1"/>
          <w:sz w:val="40"/>
          <w:szCs w:val="40"/>
          <w:highlight w:val="none"/>
          <w14:textFill>
            <w14:solidFill>
              <w14:schemeClr w14:val="tx1"/>
            </w14:solidFill>
          </w14:textFill>
        </w:rPr>
        <w:t xml:space="preserve">月</w:t>
      </w:r>
      <w:r>
        <w:rPr>
          <w:rFonts w:hint="eastAsia" w:ascii="宋体" w:hAnsi="宋体" w:eastAsia="宋体" w:cs="宋体"/>
          <w:b w:val="0"/>
          <w:bCs/>
          <w:color w:val="000000" w:themeColor="text1"/>
          <w:highlight w:val="none"/>
          <w14:textFill>
            <w14:solidFill>
              <w14:schemeClr w14:val="tx1"/>
            </w14:solidFill>
          </w14:textFill>
        </w:rPr>
        <w:br w:type="page" w:clear="all"/>
      </w:r>
      <w:r/>
    </w:p>
    <w:p>
      <w:pPr>
        <w:pStyle w:val="744"/>
        <w:jc w:val="center"/>
        <w:spacing w:beforeAutospacing="0" w:afterAutospacing="0" w:line="480" w:lineRule="auto"/>
        <w:rPr>
          <w:rFonts w:hint="eastAsia" w:ascii="宋体" w:hAnsi="宋体" w:eastAsia="宋体" w:cs="宋体"/>
          <w:b w:val="0"/>
          <w:bCs/>
          <w:color w:val="000000" w:themeColor="text1"/>
          <w:highlight w:val="none"/>
          <w14:textFill>
            <w14:solidFill>
              <w14:schemeClr w14:val="tx1"/>
            </w14:solidFill>
          </w14:textFill>
        </w:rPr>
      </w:pPr>
      <w:r/>
      <w:bookmarkStart w:id="0" w:name="_Toc523127445"/>
      <w:r/>
      <w:bookmarkStart w:id="1" w:name="_Toc513029200"/>
      <w:r/>
      <w:bookmarkStart w:id="2" w:name="_Toc16938516"/>
      <w:r/>
      <w:bookmarkStart w:id="3" w:name="_Toc20823272"/>
      <w:r/>
      <w:bookmarkStart w:id="4" w:name="_Toc120614210"/>
      <w:r/>
      <w:bookmarkStart w:id="5" w:name="_Toc479757206"/>
      <w:r>
        <w:rPr>
          <w:rFonts w:hint="eastAsia" w:ascii="宋体" w:hAnsi="宋体" w:eastAsia="宋体" w:cs="宋体"/>
          <w:b w:val="0"/>
          <w:bCs/>
          <w:color w:val="000000" w:themeColor="text1"/>
          <w:sz w:val="44"/>
          <w:szCs w:val="44"/>
          <w:highlight w:val="none"/>
          <w14:textFill>
            <w14:solidFill>
              <w14:schemeClr w14:val="tx1"/>
            </w14:solidFill>
          </w14:textFill>
        </w:rPr>
        <w:t xml:space="preserve">总　目　录</w:t>
      </w:r>
      <w:bookmarkEnd w:id="0"/>
      <w:r/>
      <w:bookmarkEnd w:id="1"/>
      <w:r/>
      <w:bookmarkEnd w:id="2"/>
      <w:r/>
      <w:bookmarkEnd w:id="3"/>
      <w:r/>
      <w:bookmarkEnd w:id="4"/>
      <w:r/>
      <w:bookmarkEnd w:id="5"/>
      <w:r/>
      <w:r/>
    </w:p>
    <w:p>
      <w:pPr>
        <w:pStyle w:val="744"/>
        <w:jc w:val="both"/>
        <w:spacing w:beforeAutospacing="0" w:afterAutospacing="0" w:line="480" w:lineRule="auto"/>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p>
      <w:pPr>
        <w:pStyle w:val="736"/>
        <w:spacing w:line="480" w:lineRule="auto"/>
        <w:tabs>
          <w:tab w:val="right" w:pos="8847" w:leader="dot"/>
        </w:tabs>
        <w:rPr>
          <w:rFonts w:hint="eastAsia" w:ascii="宋体" w:hAnsi="宋体" w:eastAsia="宋体" w:cs="宋体"/>
          <w:b w:val="0"/>
          <w:bCs/>
          <w:color w:val="000000" w:themeColor="text1"/>
          <w:sz w:val="28"/>
          <w:szCs w:val="28"/>
          <w:highlight w:val="none"/>
          <w14:textFill>
            <w14:solidFill>
              <w14:schemeClr w14:val="tx1"/>
            </w14:solidFill>
          </w14:textFill>
        </w:rPr>
      </w:pPr>
      <w:r>
        <w:rPr>
          <w:rFonts w:hint="eastAsia" w:ascii="宋体" w:hAnsi="宋体" w:eastAsia="宋体" w:cs="宋体"/>
          <w:b w:val="0"/>
          <w:bCs/>
          <w:color w:val="000000" w:themeColor="text1"/>
          <w:sz w:val="28"/>
          <w:szCs w:val="28"/>
          <w:highlight w:val="none"/>
          <w14:textFill>
            <w14:solidFill>
              <w14:schemeClr w14:val="tx1"/>
            </w14:solidFill>
          </w14:textFill>
        </w:rPr>
        <w:fldChar w:fldCharType="begin"/>
      </w:r>
      <w:r>
        <w:rPr>
          <w:rFonts w:hint="eastAsia" w:ascii="宋体" w:hAnsi="宋体" w:eastAsia="宋体" w:cs="宋体"/>
          <w:b w:val="0"/>
          <w:bCs/>
          <w:color w:val="000000" w:themeColor="text1"/>
          <w:sz w:val="28"/>
          <w:szCs w:val="28"/>
          <w:highlight w:val="none"/>
          <w14:textFill>
            <w14:solidFill>
              <w14:schemeClr w14:val="tx1"/>
            </w14:solidFill>
          </w14:textFill>
        </w:rPr>
        <w:instrText xml:space="preserve"> TOC \o "1-1" \h \z \u </w:instrText>
      </w:r>
      <w:r>
        <w:rPr>
          <w:rFonts w:hint="eastAsia" w:ascii="宋体" w:hAnsi="宋体" w:eastAsia="宋体" w:cs="宋体"/>
          <w:b w:val="0"/>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 w:val="0"/>
          <w:bCs/>
          <w:color w:val="000000" w:themeColor="text1"/>
          <w:highlight w:val="none"/>
          <w14:textFill>
            <w14:solidFill>
              <w14:schemeClr w14:val="tx1"/>
            </w14:solidFill>
          </w14:textFill>
        </w:rPr>
        <w:fldChar w:fldCharType="begin"/>
      </w:r>
      <w:r>
        <w:rPr>
          <w:rFonts w:hint="eastAsia" w:ascii="宋体" w:hAnsi="宋体" w:eastAsia="宋体" w:cs="宋体"/>
          <w:b w:val="0"/>
          <w:bCs/>
          <w:color w:val="000000" w:themeColor="text1"/>
          <w:highlight w:val="none"/>
          <w14:textFill>
            <w14:solidFill>
              <w14:schemeClr w14:val="tx1"/>
            </w14:solidFill>
          </w14:textFill>
        </w:rPr>
        <w:instrText xml:space="preserve"> HYPERLINK \l "_Toc222837038" </w:instrText>
      </w:r>
      <w:r>
        <w:rPr>
          <w:rFonts w:hint="eastAsia" w:ascii="宋体" w:hAnsi="宋体" w:eastAsia="宋体" w:cs="宋体"/>
          <w:b w:val="0"/>
          <w:bCs/>
          <w:color w:val="000000" w:themeColor="text1"/>
          <w:highlight w:val="none"/>
          <w14:textFill>
            <w14:solidFill>
              <w14:schemeClr w14:val="tx1"/>
            </w14:solidFill>
          </w14:textFill>
        </w:rPr>
        <w:fldChar w:fldCharType="separate"/>
      </w:r>
      <w:r>
        <w:rPr>
          <w:rStyle w:val="751"/>
          <w:rFonts w:hint="eastAsia" w:ascii="宋体" w:hAnsi="宋体" w:eastAsia="宋体" w:cs="宋体"/>
          <w:b w:val="0"/>
          <w:bCs/>
          <w:color w:val="000000" w:themeColor="text1"/>
          <w:sz w:val="28"/>
          <w:szCs w:val="28"/>
          <w:highlight w:val="none"/>
          <w14:textFill>
            <w14:solidFill>
              <w14:schemeClr w14:val="tx1"/>
            </w14:solidFill>
          </w14:textFill>
        </w:rPr>
        <w:t xml:space="preserve">第一章　竞争性磋商公告</w:t>
      </w:r>
      <w:r>
        <w:rPr>
          <w:rFonts w:hint="eastAsia" w:ascii="宋体" w:hAnsi="宋体" w:eastAsia="宋体" w:cs="宋体"/>
          <w:b w:val="0"/>
          <w:bCs/>
          <w:color w:val="000000" w:themeColor="text1"/>
          <w:sz w:val="28"/>
          <w:szCs w:val="28"/>
          <w:highlight w:val="none"/>
          <w14:textFill>
            <w14:solidFill>
              <w14:schemeClr w14:val="tx1"/>
            </w14:solidFill>
          </w14:textFill>
        </w:rPr>
        <w:tab/>
      </w:r>
      <w:r>
        <w:rPr>
          <w:rFonts w:hint="eastAsia" w:ascii="宋体" w:hAnsi="宋体" w:eastAsia="宋体" w:cs="宋体"/>
          <w:b w:val="0"/>
          <w:bCs/>
          <w:color w:val="000000" w:themeColor="text1"/>
          <w:sz w:val="28"/>
          <w:szCs w:val="28"/>
          <w:highlight w:val="none"/>
          <w14:textFill>
            <w14:solidFill>
              <w14:schemeClr w14:val="tx1"/>
            </w14:solidFill>
          </w14:textFill>
        </w:rPr>
        <w:fldChar w:fldCharType="begin"/>
      </w:r>
      <w:r>
        <w:rPr>
          <w:rFonts w:hint="eastAsia" w:ascii="宋体" w:hAnsi="宋体" w:eastAsia="宋体" w:cs="宋体"/>
          <w:b w:val="0"/>
          <w:bCs/>
          <w:color w:val="000000" w:themeColor="text1"/>
          <w:sz w:val="28"/>
          <w:szCs w:val="28"/>
          <w:highlight w:val="none"/>
          <w14:textFill>
            <w14:solidFill>
              <w14:schemeClr w14:val="tx1"/>
            </w14:solidFill>
          </w14:textFill>
        </w:rPr>
        <w:instrText xml:space="preserve"> PAGEREF _Toc222837038 \h </w:instrText>
      </w:r>
      <w:r>
        <w:rPr>
          <w:rFonts w:hint="eastAsia" w:ascii="宋体" w:hAnsi="宋体" w:eastAsia="宋体" w:cs="宋体"/>
          <w:b w:val="0"/>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 w:val="0"/>
          <w:bCs/>
          <w:color w:val="000000" w:themeColor="text1"/>
          <w:sz w:val="28"/>
          <w:szCs w:val="28"/>
          <w:highlight w:val="none"/>
          <w14:textFill>
            <w14:solidFill>
              <w14:schemeClr w14:val="tx1"/>
            </w14:solidFill>
          </w14:textFill>
        </w:rPr>
        <w:t xml:space="preserve">3</w:t>
      </w:r>
      <w:r>
        <w:rPr>
          <w:rFonts w:hint="eastAsia" w:ascii="宋体" w:hAnsi="宋体" w:eastAsia="宋体" w:cs="宋体"/>
          <w:b w:val="0"/>
          <w:bCs/>
          <w:color w:val="000000" w:themeColor="text1"/>
          <w:sz w:val="28"/>
          <w:szCs w:val="28"/>
          <w:highlight w:val="none"/>
          <w14:textFill>
            <w14:solidFill>
              <w14:schemeClr w14:val="tx1"/>
            </w14:solidFill>
          </w14:textFill>
        </w:rPr>
        <w:fldChar w:fldCharType="end"/>
      </w:r>
      <w:r>
        <w:rPr>
          <w:rFonts w:hint="eastAsia" w:ascii="宋体" w:hAnsi="宋体" w:eastAsia="宋体" w:cs="宋体"/>
          <w:b w:val="0"/>
          <w:bCs/>
          <w:color w:val="000000" w:themeColor="text1"/>
          <w:sz w:val="28"/>
          <w:szCs w:val="28"/>
          <w:highlight w:val="none"/>
          <w14:textFill>
            <w14:solidFill>
              <w14:schemeClr w14:val="tx1"/>
            </w14:solidFill>
          </w14:textFill>
        </w:rPr>
        <w:fldChar w:fldCharType="end"/>
      </w:r>
      <w:r/>
    </w:p>
    <w:p>
      <w:pPr>
        <w:pStyle w:val="736"/>
        <w:spacing w:line="480" w:lineRule="auto"/>
        <w:tabs>
          <w:tab w:val="right" w:pos="8847" w:leader="dot"/>
        </w:tabs>
        <w:rPr>
          <w:rFonts w:hint="eastAsia" w:ascii="宋体" w:hAnsi="宋体" w:eastAsia="宋体" w:cs="宋体"/>
          <w:b w:val="0"/>
          <w:bCs/>
          <w:color w:val="000000" w:themeColor="text1"/>
          <w:sz w:val="28"/>
          <w:szCs w:val="28"/>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fldChar w:fldCharType="begin"/>
      </w:r>
      <w:r>
        <w:rPr>
          <w:rFonts w:hint="eastAsia" w:ascii="宋体" w:hAnsi="宋体" w:eastAsia="宋体" w:cs="宋体"/>
          <w:b w:val="0"/>
          <w:bCs/>
          <w:color w:val="000000" w:themeColor="text1"/>
          <w:highlight w:val="none"/>
          <w14:textFill>
            <w14:solidFill>
              <w14:schemeClr w14:val="tx1"/>
            </w14:solidFill>
          </w14:textFill>
        </w:rPr>
        <w:instrText xml:space="preserve"> HYPERLINK \l "_Toc222837039" </w:instrText>
      </w:r>
      <w:r>
        <w:rPr>
          <w:rFonts w:hint="eastAsia" w:ascii="宋体" w:hAnsi="宋体" w:eastAsia="宋体" w:cs="宋体"/>
          <w:b w:val="0"/>
          <w:bCs/>
          <w:color w:val="000000" w:themeColor="text1"/>
          <w:highlight w:val="none"/>
          <w14:textFill>
            <w14:solidFill>
              <w14:schemeClr w14:val="tx1"/>
            </w14:solidFill>
          </w14:textFill>
        </w:rPr>
        <w:fldChar w:fldCharType="separate"/>
      </w:r>
      <w:r>
        <w:rPr>
          <w:rStyle w:val="751"/>
          <w:rFonts w:hint="eastAsia" w:ascii="宋体" w:hAnsi="宋体" w:eastAsia="宋体" w:cs="宋体"/>
          <w:b w:val="0"/>
          <w:bCs/>
          <w:color w:val="000000" w:themeColor="text1"/>
          <w:sz w:val="28"/>
          <w:szCs w:val="28"/>
          <w:highlight w:val="none"/>
          <w:u w:val="none"/>
          <w14:textFill>
            <w14:solidFill>
              <w14:schemeClr w14:val="tx1"/>
            </w14:solidFill>
          </w14:textFill>
        </w:rPr>
        <w:t xml:space="preserve">第二章　供应商须知</w:t>
      </w:r>
      <w:r>
        <w:rPr>
          <w:rFonts w:hint="eastAsia" w:ascii="宋体" w:hAnsi="宋体" w:eastAsia="宋体" w:cs="宋体"/>
          <w:b w:val="0"/>
          <w:bCs/>
          <w:color w:val="000000" w:themeColor="text1"/>
          <w:sz w:val="28"/>
          <w:szCs w:val="28"/>
          <w:highlight w:val="none"/>
          <w14:textFill>
            <w14:solidFill>
              <w14:schemeClr w14:val="tx1"/>
            </w14:solidFill>
          </w14:textFill>
        </w:rPr>
        <w:tab/>
      </w:r>
      <w:r>
        <w:rPr>
          <w:rFonts w:hint="eastAsia" w:ascii="宋体" w:hAnsi="宋体" w:eastAsia="宋体" w:cs="宋体"/>
          <w:b w:val="0"/>
          <w:bCs/>
          <w:color w:val="000000" w:themeColor="text1"/>
          <w:sz w:val="28"/>
          <w:szCs w:val="28"/>
          <w:highlight w:val="none"/>
          <w14:textFill>
            <w14:solidFill>
              <w14:schemeClr w14:val="tx1"/>
            </w14:solidFill>
          </w14:textFill>
        </w:rPr>
        <w:fldChar w:fldCharType="begin"/>
      </w:r>
      <w:r>
        <w:rPr>
          <w:rFonts w:hint="eastAsia" w:ascii="宋体" w:hAnsi="宋体" w:eastAsia="宋体" w:cs="宋体"/>
          <w:b w:val="0"/>
          <w:bCs/>
          <w:color w:val="000000" w:themeColor="text1"/>
          <w:sz w:val="28"/>
          <w:szCs w:val="28"/>
          <w:highlight w:val="none"/>
          <w14:textFill>
            <w14:solidFill>
              <w14:schemeClr w14:val="tx1"/>
            </w14:solidFill>
          </w14:textFill>
        </w:rPr>
        <w:instrText xml:space="preserve"> PAGEREF _Toc222837039 \h </w:instrText>
      </w:r>
      <w:r>
        <w:rPr>
          <w:rFonts w:hint="eastAsia" w:ascii="宋体" w:hAnsi="宋体" w:eastAsia="宋体" w:cs="宋体"/>
          <w:b w:val="0"/>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 w:val="0"/>
          <w:bCs/>
          <w:color w:val="000000" w:themeColor="text1"/>
          <w:sz w:val="28"/>
          <w:szCs w:val="28"/>
          <w:highlight w:val="none"/>
          <w14:textFill>
            <w14:solidFill>
              <w14:schemeClr w14:val="tx1"/>
            </w14:solidFill>
          </w14:textFill>
        </w:rPr>
        <w:t xml:space="preserve">8</w:t>
      </w:r>
      <w:r>
        <w:rPr>
          <w:rFonts w:hint="eastAsia" w:ascii="宋体" w:hAnsi="宋体" w:eastAsia="宋体" w:cs="宋体"/>
          <w:b w:val="0"/>
          <w:bCs/>
          <w:color w:val="000000" w:themeColor="text1"/>
          <w:sz w:val="28"/>
          <w:szCs w:val="28"/>
          <w:highlight w:val="none"/>
          <w14:textFill>
            <w14:solidFill>
              <w14:schemeClr w14:val="tx1"/>
            </w14:solidFill>
          </w14:textFill>
        </w:rPr>
        <w:fldChar w:fldCharType="end"/>
      </w:r>
      <w:r>
        <w:rPr>
          <w:rFonts w:hint="eastAsia" w:ascii="宋体" w:hAnsi="宋体" w:eastAsia="宋体" w:cs="宋体"/>
          <w:b w:val="0"/>
          <w:bCs/>
          <w:color w:val="000000" w:themeColor="text1"/>
          <w:sz w:val="28"/>
          <w:szCs w:val="28"/>
          <w:highlight w:val="none"/>
          <w14:textFill>
            <w14:solidFill>
              <w14:schemeClr w14:val="tx1"/>
            </w14:solidFill>
          </w14:textFill>
        </w:rPr>
        <w:fldChar w:fldCharType="end"/>
      </w:r>
      <w:r/>
    </w:p>
    <w:p>
      <w:pPr>
        <w:pStyle w:val="736"/>
        <w:spacing w:line="480" w:lineRule="auto"/>
        <w:tabs>
          <w:tab w:val="right" w:pos="8847" w:leader="dot"/>
        </w:tabs>
        <w:rPr>
          <w:rFonts w:hint="eastAsia" w:ascii="宋体" w:hAnsi="宋体" w:eastAsia="宋体" w:cs="宋体"/>
          <w:b w:val="0"/>
          <w:bCs/>
          <w:color w:val="000000" w:themeColor="text1"/>
          <w:sz w:val="28"/>
          <w:szCs w:val="28"/>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fldChar w:fldCharType="begin"/>
      </w:r>
      <w:r>
        <w:rPr>
          <w:rFonts w:hint="eastAsia" w:ascii="宋体" w:hAnsi="宋体" w:eastAsia="宋体" w:cs="宋体"/>
          <w:b w:val="0"/>
          <w:bCs/>
          <w:color w:val="000000" w:themeColor="text1"/>
          <w:highlight w:val="none"/>
          <w14:textFill>
            <w14:solidFill>
              <w14:schemeClr w14:val="tx1"/>
            </w14:solidFill>
          </w14:textFill>
        </w:rPr>
        <w:instrText xml:space="preserve"> HYPERLINK \l "_Toc222837040" </w:instrText>
      </w:r>
      <w:r>
        <w:rPr>
          <w:rFonts w:hint="eastAsia" w:ascii="宋体" w:hAnsi="宋体" w:eastAsia="宋体" w:cs="宋体"/>
          <w:b w:val="0"/>
          <w:bCs/>
          <w:color w:val="000000" w:themeColor="text1"/>
          <w:highlight w:val="none"/>
          <w14:textFill>
            <w14:solidFill>
              <w14:schemeClr w14:val="tx1"/>
            </w14:solidFill>
          </w14:textFill>
        </w:rPr>
        <w:fldChar w:fldCharType="separate"/>
      </w:r>
      <w:r>
        <w:rPr>
          <w:rStyle w:val="751"/>
          <w:rFonts w:hint="eastAsia" w:ascii="宋体" w:hAnsi="宋体" w:eastAsia="宋体" w:cs="宋体"/>
          <w:b w:val="0"/>
          <w:bCs/>
          <w:color w:val="000000" w:themeColor="text1"/>
          <w:sz w:val="28"/>
          <w:szCs w:val="28"/>
          <w:highlight w:val="none"/>
          <w:u w:val="none"/>
          <w14:textFill>
            <w14:solidFill>
              <w14:schemeClr w14:val="tx1"/>
            </w14:solidFill>
          </w14:textFill>
        </w:rPr>
        <w:t xml:space="preserve">第三章　合同条款及格式</w:t>
      </w:r>
      <w:r>
        <w:rPr>
          <w:rFonts w:hint="eastAsia" w:ascii="宋体" w:hAnsi="宋体" w:eastAsia="宋体" w:cs="宋体"/>
          <w:b w:val="0"/>
          <w:bCs/>
          <w:color w:val="000000" w:themeColor="text1"/>
          <w:sz w:val="28"/>
          <w:szCs w:val="28"/>
          <w:highlight w:val="none"/>
          <w14:textFill>
            <w14:solidFill>
              <w14:schemeClr w14:val="tx1"/>
            </w14:solidFill>
          </w14:textFill>
        </w:rPr>
        <w:tab/>
      </w:r>
      <w:r>
        <w:rPr>
          <w:rFonts w:hint="eastAsia" w:ascii="宋体" w:hAnsi="宋体" w:eastAsia="宋体" w:cs="宋体"/>
          <w:b w:val="0"/>
          <w:bCs/>
          <w:color w:val="000000" w:themeColor="text1"/>
          <w:sz w:val="28"/>
          <w:szCs w:val="28"/>
          <w:highlight w:val="none"/>
          <w14:textFill>
            <w14:solidFill>
              <w14:schemeClr w14:val="tx1"/>
            </w14:solidFill>
          </w14:textFill>
        </w:rPr>
        <w:fldChar w:fldCharType="begin"/>
      </w:r>
      <w:r>
        <w:rPr>
          <w:rFonts w:hint="eastAsia" w:ascii="宋体" w:hAnsi="宋体" w:eastAsia="宋体" w:cs="宋体"/>
          <w:b w:val="0"/>
          <w:bCs/>
          <w:color w:val="000000" w:themeColor="text1"/>
          <w:sz w:val="28"/>
          <w:szCs w:val="28"/>
          <w:highlight w:val="none"/>
          <w14:textFill>
            <w14:solidFill>
              <w14:schemeClr w14:val="tx1"/>
            </w14:solidFill>
          </w14:textFill>
        </w:rPr>
        <w:instrText xml:space="preserve"> PAGEREF _Toc222837040 \h </w:instrText>
      </w:r>
      <w:r>
        <w:rPr>
          <w:rFonts w:hint="eastAsia" w:ascii="宋体" w:hAnsi="宋体" w:eastAsia="宋体" w:cs="宋体"/>
          <w:b w:val="0"/>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 w:val="0"/>
          <w:bCs/>
          <w:color w:val="000000" w:themeColor="text1"/>
          <w:sz w:val="28"/>
          <w:szCs w:val="28"/>
          <w:highlight w:val="none"/>
          <w14:textFill>
            <w14:solidFill>
              <w14:schemeClr w14:val="tx1"/>
            </w14:solidFill>
          </w14:textFill>
        </w:rPr>
        <w:t xml:space="preserve">26</w:t>
      </w:r>
      <w:r>
        <w:rPr>
          <w:rFonts w:hint="eastAsia" w:ascii="宋体" w:hAnsi="宋体" w:eastAsia="宋体" w:cs="宋体"/>
          <w:b w:val="0"/>
          <w:bCs/>
          <w:color w:val="000000" w:themeColor="text1"/>
          <w:sz w:val="28"/>
          <w:szCs w:val="28"/>
          <w:highlight w:val="none"/>
          <w14:textFill>
            <w14:solidFill>
              <w14:schemeClr w14:val="tx1"/>
            </w14:solidFill>
          </w14:textFill>
        </w:rPr>
        <w:fldChar w:fldCharType="end"/>
      </w:r>
      <w:r>
        <w:rPr>
          <w:rFonts w:hint="eastAsia" w:ascii="宋体" w:hAnsi="宋体" w:eastAsia="宋体" w:cs="宋体"/>
          <w:b w:val="0"/>
          <w:bCs/>
          <w:color w:val="000000" w:themeColor="text1"/>
          <w:sz w:val="28"/>
          <w:szCs w:val="28"/>
          <w:highlight w:val="none"/>
          <w14:textFill>
            <w14:solidFill>
              <w14:schemeClr w14:val="tx1"/>
            </w14:solidFill>
          </w14:textFill>
        </w:rPr>
        <w:fldChar w:fldCharType="end"/>
      </w:r>
      <w:r/>
    </w:p>
    <w:p>
      <w:pPr>
        <w:pStyle w:val="736"/>
        <w:spacing w:line="480" w:lineRule="auto"/>
        <w:tabs>
          <w:tab w:val="right" w:pos="8847" w:leader="dot"/>
        </w:tabs>
        <w:rPr>
          <w:rFonts w:hint="eastAsia" w:ascii="宋体" w:hAnsi="宋体" w:eastAsia="宋体" w:cs="宋体"/>
          <w:b w:val="0"/>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fldChar w:fldCharType="begin"/>
      </w:r>
      <w:r>
        <w:rPr>
          <w:rFonts w:hint="eastAsia" w:ascii="宋体" w:hAnsi="宋体" w:eastAsia="宋体" w:cs="宋体"/>
          <w:b w:val="0"/>
          <w:bCs/>
          <w:color w:val="000000" w:themeColor="text1"/>
          <w:highlight w:val="none"/>
          <w14:textFill>
            <w14:solidFill>
              <w14:schemeClr w14:val="tx1"/>
            </w14:solidFill>
          </w14:textFill>
        </w:rPr>
        <w:instrText xml:space="preserve"> HYPERLINK \l "_Toc222837041" </w:instrText>
      </w:r>
      <w:r>
        <w:rPr>
          <w:rFonts w:hint="eastAsia" w:ascii="宋体" w:hAnsi="宋体" w:eastAsia="宋体" w:cs="宋体"/>
          <w:b w:val="0"/>
          <w:bCs/>
          <w:color w:val="000000" w:themeColor="text1"/>
          <w:highlight w:val="none"/>
          <w14:textFill>
            <w14:solidFill>
              <w14:schemeClr w14:val="tx1"/>
            </w14:solidFill>
          </w14:textFill>
        </w:rPr>
        <w:fldChar w:fldCharType="separate"/>
      </w:r>
      <w:r>
        <w:rPr>
          <w:rStyle w:val="751"/>
          <w:rFonts w:hint="eastAsia" w:ascii="宋体" w:hAnsi="宋体" w:eastAsia="宋体" w:cs="宋体"/>
          <w:b w:val="0"/>
          <w:bCs/>
          <w:color w:val="000000" w:themeColor="text1"/>
          <w:sz w:val="28"/>
          <w:szCs w:val="28"/>
          <w:highlight w:val="none"/>
          <w:u w:val="none"/>
          <w14:textFill>
            <w14:solidFill>
              <w14:schemeClr w14:val="tx1"/>
            </w14:solidFill>
          </w14:textFill>
        </w:rPr>
        <w:t xml:space="preserve">第四章　采购需求</w:t>
      </w:r>
      <w:r>
        <w:rPr>
          <w:rFonts w:hint="eastAsia" w:ascii="宋体" w:hAnsi="宋体" w:eastAsia="宋体" w:cs="宋体"/>
          <w:b w:val="0"/>
          <w:bCs/>
          <w:color w:val="000000" w:themeColor="text1"/>
          <w:sz w:val="28"/>
          <w:szCs w:val="28"/>
          <w:highlight w:val="none"/>
          <w14:textFill>
            <w14:solidFill>
              <w14:schemeClr w14:val="tx1"/>
            </w14:solidFill>
          </w14:textFill>
        </w:rPr>
        <w:tab/>
      </w:r>
      <w:r>
        <w:rPr>
          <w:rFonts w:hint="eastAsia" w:ascii="宋体" w:hAnsi="宋体" w:eastAsia="宋体" w:cs="宋体"/>
          <w:b w:val="0"/>
          <w:bCs/>
          <w:color w:val="000000" w:themeColor="text1"/>
          <w:sz w:val="28"/>
          <w:szCs w:val="28"/>
          <w:highlight w:val="none"/>
          <w:lang w:val="en-US" w:eastAsia="zh-CN"/>
          <w14:textFill>
            <w14:solidFill>
              <w14:schemeClr w14:val="tx1"/>
            </w14:solidFill>
          </w14:textFill>
        </w:rPr>
        <w:t xml:space="preserve">3</w:t>
      </w:r>
      <w:r>
        <w:rPr>
          <w:rFonts w:hint="eastAsia" w:ascii="宋体" w:hAnsi="宋体" w:eastAsia="宋体" w:cs="宋体"/>
          <w:b w:val="0"/>
          <w:bCs/>
          <w:color w:val="000000" w:themeColor="text1"/>
          <w:sz w:val="28"/>
          <w:szCs w:val="28"/>
          <w:highlight w:val="none"/>
          <w14:textFill>
            <w14:solidFill>
              <w14:schemeClr w14:val="tx1"/>
            </w14:solidFill>
          </w14:textFill>
        </w:rPr>
        <w:fldChar w:fldCharType="end"/>
      </w:r>
      <w:r>
        <w:rPr>
          <w:rFonts w:hint="eastAsia" w:ascii="宋体" w:hAnsi="宋体" w:eastAsia="宋体" w:cs="宋体"/>
          <w:b w:val="0"/>
          <w:bCs/>
          <w:color w:val="000000" w:themeColor="text1"/>
          <w:sz w:val="28"/>
          <w:szCs w:val="28"/>
          <w:highlight w:val="none"/>
          <w:lang w:val="en-US" w:eastAsia="zh-CN"/>
          <w14:textFill>
            <w14:solidFill>
              <w14:schemeClr w14:val="tx1"/>
            </w14:solidFill>
          </w14:textFill>
        </w:rPr>
        <w:t xml:space="preserve">7</w:t>
      </w:r>
      <w:r/>
    </w:p>
    <w:p>
      <w:pPr>
        <w:pStyle w:val="736"/>
        <w:spacing w:line="480" w:lineRule="auto"/>
        <w:tabs>
          <w:tab w:val="right" w:pos="8847" w:leader="dot"/>
        </w:tabs>
        <w:rPr>
          <w:rFonts w:hint="eastAsia" w:ascii="宋体" w:hAnsi="宋体" w:eastAsia="宋体" w:cs="宋体"/>
          <w:b w:val="0"/>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fldChar w:fldCharType="begin"/>
      </w:r>
      <w:r>
        <w:rPr>
          <w:rFonts w:hint="eastAsia" w:ascii="宋体" w:hAnsi="宋体" w:eastAsia="宋体" w:cs="宋体"/>
          <w:b w:val="0"/>
          <w:bCs/>
          <w:color w:val="000000" w:themeColor="text1"/>
          <w:highlight w:val="none"/>
          <w14:textFill>
            <w14:solidFill>
              <w14:schemeClr w14:val="tx1"/>
            </w14:solidFill>
          </w14:textFill>
        </w:rPr>
        <w:instrText xml:space="preserve"> HYPERLINK \l "_Toc222837042" </w:instrText>
      </w:r>
      <w:r>
        <w:rPr>
          <w:rFonts w:hint="eastAsia" w:ascii="宋体" w:hAnsi="宋体" w:eastAsia="宋体" w:cs="宋体"/>
          <w:b w:val="0"/>
          <w:bCs/>
          <w:color w:val="000000" w:themeColor="text1"/>
          <w:highlight w:val="none"/>
          <w14:textFill>
            <w14:solidFill>
              <w14:schemeClr w14:val="tx1"/>
            </w14:solidFill>
          </w14:textFill>
        </w:rPr>
        <w:fldChar w:fldCharType="separate"/>
      </w:r>
      <w:r>
        <w:rPr>
          <w:rStyle w:val="751"/>
          <w:rFonts w:hint="eastAsia" w:ascii="宋体" w:hAnsi="宋体" w:eastAsia="宋体" w:cs="宋体"/>
          <w:b w:val="0"/>
          <w:bCs/>
          <w:color w:val="000000" w:themeColor="text1"/>
          <w:sz w:val="28"/>
          <w:szCs w:val="28"/>
          <w:highlight w:val="none"/>
          <w:u w:val="none"/>
          <w14:textFill>
            <w14:solidFill>
              <w14:schemeClr w14:val="tx1"/>
            </w14:solidFill>
          </w14:textFill>
        </w:rPr>
        <w:t xml:space="preserve">第五章　评审方法与评审标准</w:t>
      </w:r>
      <w:r>
        <w:rPr>
          <w:rFonts w:hint="eastAsia" w:ascii="宋体" w:hAnsi="宋体" w:eastAsia="宋体" w:cs="宋体"/>
          <w:b w:val="0"/>
          <w:bCs/>
          <w:color w:val="000000" w:themeColor="text1"/>
          <w:sz w:val="28"/>
          <w:szCs w:val="28"/>
          <w:highlight w:val="none"/>
          <w14:textFill>
            <w14:solidFill>
              <w14:schemeClr w14:val="tx1"/>
            </w14:solidFill>
          </w14:textFill>
        </w:rPr>
        <w:tab/>
      </w:r>
      <w:r>
        <w:rPr>
          <w:rFonts w:hint="eastAsia" w:ascii="宋体" w:hAnsi="宋体" w:eastAsia="宋体" w:cs="宋体"/>
          <w:b w:val="0"/>
          <w:bCs/>
          <w:color w:val="000000" w:themeColor="text1"/>
          <w:sz w:val="28"/>
          <w:szCs w:val="28"/>
          <w:highlight w:val="none"/>
          <w:lang w:val="en-US" w:eastAsia="zh-CN"/>
          <w14:textFill>
            <w14:solidFill>
              <w14:schemeClr w14:val="tx1"/>
            </w14:solidFill>
          </w14:textFill>
        </w:rPr>
        <w:t xml:space="preserve">5</w:t>
      </w:r>
      <w:r>
        <w:rPr>
          <w:rFonts w:hint="eastAsia" w:ascii="宋体" w:hAnsi="宋体" w:eastAsia="宋体" w:cs="宋体"/>
          <w:b w:val="0"/>
          <w:bCs/>
          <w:color w:val="000000" w:themeColor="text1"/>
          <w:sz w:val="28"/>
          <w:szCs w:val="28"/>
          <w:highlight w:val="none"/>
          <w14:textFill>
            <w14:solidFill>
              <w14:schemeClr w14:val="tx1"/>
            </w14:solidFill>
          </w14:textFill>
        </w:rPr>
        <w:fldChar w:fldCharType="end"/>
      </w:r>
      <w:r>
        <w:rPr>
          <w:rFonts w:hint="eastAsia" w:ascii="宋体" w:hAnsi="宋体" w:eastAsia="宋体" w:cs="宋体"/>
          <w:b w:val="0"/>
          <w:bCs/>
          <w:color w:val="000000" w:themeColor="text1"/>
          <w:sz w:val="28"/>
          <w:szCs w:val="28"/>
          <w:highlight w:val="none"/>
          <w:lang w:val="en-US" w:eastAsia="zh-CN"/>
          <w14:textFill>
            <w14:solidFill>
              <w14:schemeClr w14:val="tx1"/>
            </w14:solidFill>
          </w14:textFill>
        </w:rPr>
        <w:t xml:space="preserve">2</w:t>
      </w:r>
      <w:r/>
    </w:p>
    <w:p>
      <w:pPr>
        <w:pStyle w:val="736"/>
        <w:spacing w:line="480" w:lineRule="auto"/>
        <w:tabs>
          <w:tab w:val="right" w:pos="8847" w:leader="dot"/>
        </w:tabs>
        <w:rPr>
          <w:rFonts w:hint="eastAsia" w:ascii="宋体" w:hAnsi="宋体" w:eastAsia="宋体" w:cs="宋体"/>
          <w:b w:val="0"/>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fldChar w:fldCharType="begin"/>
      </w:r>
      <w:r>
        <w:rPr>
          <w:rFonts w:hint="eastAsia" w:ascii="宋体" w:hAnsi="宋体" w:eastAsia="宋体" w:cs="宋体"/>
          <w:b w:val="0"/>
          <w:bCs/>
          <w:color w:val="000000" w:themeColor="text1"/>
          <w:highlight w:val="none"/>
          <w14:textFill>
            <w14:solidFill>
              <w14:schemeClr w14:val="tx1"/>
            </w14:solidFill>
          </w14:textFill>
        </w:rPr>
        <w:instrText xml:space="preserve"> HYPERLINK \l "_Toc222837043" </w:instrText>
      </w:r>
      <w:r>
        <w:rPr>
          <w:rFonts w:hint="eastAsia" w:ascii="宋体" w:hAnsi="宋体" w:eastAsia="宋体" w:cs="宋体"/>
          <w:b w:val="0"/>
          <w:bCs/>
          <w:color w:val="000000" w:themeColor="text1"/>
          <w:highlight w:val="none"/>
          <w14:textFill>
            <w14:solidFill>
              <w14:schemeClr w14:val="tx1"/>
            </w14:solidFill>
          </w14:textFill>
        </w:rPr>
        <w:fldChar w:fldCharType="separate"/>
      </w:r>
      <w:r>
        <w:rPr>
          <w:rStyle w:val="751"/>
          <w:rFonts w:hint="eastAsia" w:ascii="宋体" w:hAnsi="宋体" w:eastAsia="宋体" w:cs="宋体"/>
          <w:b w:val="0"/>
          <w:bCs/>
          <w:color w:val="000000" w:themeColor="text1"/>
          <w:sz w:val="28"/>
          <w:szCs w:val="28"/>
          <w:highlight w:val="none"/>
          <w:u w:val="none"/>
          <w14:textFill>
            <w14:solidFill>
              <w14:schemeClr w14:val="tx1"/>
            </w14:solidFill>
          </w14:textFill>
        </w:rPr>
        <w:t xml:space="preserve">第六章　响应文件格式</w:t>
      </w:r>
      <w:r>
        <w:rPr>
          <w:rFonts w:hint="eastAsia" w:ascii="宋体" w:hAnsi="宋体" w:eastAsia="宋体" w:cs="宋体"/>
          <w:b w:val="0"/>
          <w:bCs/>
          <w:color w:val="000000" w:themeColor="text1"/>
          <w:sz w:val="28"/>
          <w:szCs w:val="28"/>
          <w:highlight w:val="none"/>
          <w14:textFill>
            <w14:solidFill>
              <w14:schemeClr w14:val="tx1"/>
            </w14:solidFill>
          </w14:textFill>
        </w:rPr>
        <w:tab/>
      </w:r>
      <w:r>
        <w:rPr>
          <w:rFonts w:hint="eastAsia" w:ascii="宋体" w:hAnsi="宋体" w:eastAsia="宋体" w:cs="宋体"/>
          <w:b w:val="0"/>
          <w:bCs/>
          <w:color w:val="000000" w:themeColor="text1"/>
          <w:sz w:val="28"/>
          <w:szCs w:val="28"/>
          <w:highlight w:val="none"/>
          <w:lang w:val="en-US" w:eastAsia="zh-CN"/>
          <w14:textFill>
            <w14:solidFill>
              <w14:schemeClr w14:val="tx1"/>
            </w14:solidFill>
          </w14:textFill>
        </w:rPr>
        <w:t xml:space="preserve">5</w:t>
      </w:r>
      <w:r>
        <w:rPr>
          <w:rFonts w:hint="eastAsia" w:ascii="宋体" w:hAnsi="宋体" w:eastAsia="宋体" w:cs="宋体"/>
          <w:b w:val="0"/>
          <w:bCs/>
          <w:color w:val="000000" w:themeColor="text1"/>
          <w:sz w:val="28"/>
          <w:szCs w:val="28"/>
          <w:highlight w:val="none"/>
          <w14:textFill>
            <w14:solidFill>
              <w14:schemeClr w14:val="tx1"/>
            </w14:solidFill>
          </w14:textFill>
        </w:rPr>
        <w:fldChar w:fldCharType="end"/>
      </w:r>
      <w:r>
        <w:rPr>
          <w:rFonts w:hint="eastAsia" w:ascii="宋体" w:hAnsi="宋体" w:eastAsia="宋体" w:cs="宋体"/>
          <w:b w:val="0"/>
          <w:bCs/>
          <w:color w:val="000000" w:themeColor="text1"/>
          <w:sz w:val="28"/>
          <w:szCs w:val="28"/>
          <w:highlight w:val="none"/>
          <w:lang w:val="en-US" w:eastAsia="zh-CN"/>
          <w14:textFill>
            <w14:solidFill>
              <w14:schemeClr w14:val="tx1"/>
            </w14:solidFill>
          </w14:textFill>
        </w:rPr>
        <w:t xml:space="preserve">7</w:t>
      </w:r>
      <w:r/>
    </w:p>
    <w:p>
      <w:pPr>
        <w:pStyle w:val="744"/>
        <w:jc w:val="both"/>
        <w:spacing w:beforeAutospacing="0" w:afterAutospacing="0" w:line="480" w:lineRule="auto"/>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sz w:val="28"/>
          <w:szCs w:val="28"/>
          <w:highlight w:val="none"/>
          <w14:textFill>
            <w14:solidFill>
              <w14:schemeClr w14:val="tx1"/>
            </w14:solidFill>
          </w14:textFill>
        </w:rPr>
        <w:fldChar w:fldCharType="end"/>
      </w:r>
      <w:r>
        <w:rPr>
          <w:rFonts w:hint="eastAsia" w:ascii="宋体" w:hAnsi="宋体" w:eastAsia="宋体" w:cs="宋体"/>
          <w:b w:val="0"/>
          <w:bCs/>
          <w:color w:val="000000" w:themeColor="text1"/>
          <w:highlight w:val="none"/>
          <w14:textFill>
            <w14:solidFill>
              <w14:schemeClr w14:val="tx1"/>
            </w14:solidFill>
          </w14:textFill>
        </w:rPr>
        <w:t xml:space="preserve"> </w:t>
      </w:r>
      <w:r/>
    </w:p>
    <w:p>
      <w:pPr>
        <w:pStyle w:val="744"/>
        <w:jc w:val="both"/>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p>
      <w:pPr>
        <w:pStyle w:val="744"/>
        <w:jc w:val="both"/>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p>
      <w:pPr>
        <w:pStyle w:val="744"/>
        <w:jc w:val="both"/>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p>
      <w:pPr>
        <w:pStyle w:val="744"/>
        <w:jc w:val="both"/>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p>
      <w:pPr>
        <w:pStyle w:val="744"/>
        <w:jc w:val="both"/>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p>
      <w:pPr>
        <w:pStyle w:val="744"/>
        <w:jc w:val="both"/>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p>
      <w:pPr>
        <w:pStyle w:val="744"/>
        <w:jc w:val="both"/>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p>
      <w:pPr>
        <w:pStyle w:val="744"/>
        <w:jc w:val="both"/>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p>
      <w:pPr>
        <w:pStyle w:val="744"/>
        <w:jc w:val="both"/>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p>
      <w:pPr>
        <w:jc w:val="left"/>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br w:type="page" w:clear="all"/>
      </w:r>
      <w:r/>
    </w:p>
    <w:p>
      <w:pPr>
        <w:pStyle w:val="744"/>
        <w:jc w:val="center"/>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outlineLvl w:val="0"/>
      </w:pPr>
      <w:r/>
      <w:bookmarkStart w:id="6" w:name="_Toc222837038"/>
      <w:r/>
      <w:bookmarkStart w:id="7" w:name="_Toc28359086"/>
      <w:r>
        <w:rPr>
          <w:rFonts w:hint="eastAsia" w:ascii="宋体" w:hAnsi="宋体" w:eastAsia="宋体" w:cs="宋体"/>
          <w:b w:val="0"/>
          <w:bCs/>
          <w:color w:val="000000" w:themeColor="text1"/>
          <w:sz w:val="44"/>
          <w:szCs w:val="44"/>
          <w:highlight w:val="none"/>
          <w14:textFill>
            <w14:solidFill>
              <w14:schemeClr w14:val="tx1"/>
            </w14:solidFill>
          </w14:textFill>
        </w:rPr>
        <w:t xml:space="preserve">第一章　竞争性磋商公告</w:t>
      </w:r>
      <w:bookmarkEnd w:id="6"/>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b w:val="0"/>
          <w:bCs/>
          <w:color w:val="000000" w:themeColor="text1"/>
          <w:sz w:val="24"/>
          <w:szCs w:val="24"/>
          <w:highlight w:val="none"/>
          <w14:textFill>
            <w14:solidFill>
              <w14:schemeClr w14:val="tx1"/>
            </w14:solidFill>
          </w14:textFill>
        </w:rPr>
        <w:t xml:space="preserve">项目概况</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b w:val="0"/>
          <w:bCs/>
          <w:color w:val="000000" w:themeColor="text1"/>
          <w:sz w:val="24"/>
          <w:szCs w:val="24"/>
          <w:highlight w:val="none"/>
          <w:u w:val="single"/>
          <w:lang w:eastAsia="zh-CN"/>
          <w14:textFill>
            <w14:solidFill>
              <w14:schemeClr w14:val="tx1"/>
            </w14:solidFill>
          </w14:textFill>
        </w:rPr>
        <w:t xml:space="preserve">盐城市公安局2026年度公安民警家庭医疗保险服务采购项目</w:t>
      </w:r>
      <w:r>
        <w:rPr>
          <w:rFonts w:hint="eastAsia" w:ascii="宋体" w:hAnsi="宋体" w:eastAsia="宋体" w:cs="宋体"/>
          <w:b w:val="0"/>
          <w:bCs/>
          <w:color w:val="000000" w:themeColor="text1"/>
          <w:sz w:val="24"/>
          <w:szCs w:val="24"/>
          <w:highlight w:val="none"/>
          <w14:textFill>
            <w14:solidFill>
              <w14:schemeClr w14:val="tx1"/>
            </w14:solidFill>
          </w14:textFill>
        </w:rPr>
        <w:t xml:space="preserve">的潜在供应商应在</w:t>
      </w:r>
      <w:r>
        <w:rPr>
          <w:rFonts w:hint="eastAsia" w:ascii="宋体" w:hAnsi="宋体" w:eastAsia="宋体" w:cs="宋体"/>
          <w:b w:val="0"/>
          <w:bCs/>
          <w:color w:val="000000" w:themeColor="text1"/>
          <w:sz w:val="24"/>
          <w:szCs w:val="24"/>
          <w:highlight w:val="none"/>
          <w:shd w:val="clear" w:color="auto" w:fill="ffffff"/>
          <w14:textFill>
            <w14:solidFill>
              <w14:schemeClr w14:val="tx1"/>
            </w14:solidFill>
          </w14:textFill>
        </w:rPr>
        <w:t xml:space="preserve">“苏采云”系统内免费下载（投标人必须在苏采云系统中获</w:t>
      </w:r>
      <w:r>
        <w:rPr>
          <w:rFonts w:hint="eastAsia" w:ascii="宋体" w:hAnsi="宋体" w:eastAsia="宋体" w:cs="宋体"/>
          <w:b w:val="0"/>
          <w:bCs/>
          <w:color w:val="000000" w:themeColor="text1"/>
          <w:sz w:val="24"/>
          <w:szCs w:val="24"/>
          <w:highlight w:val="none"/>
          <w14:textFill>
            <w14:solidFill>
              <w14:schemeClr w14:val="tx1"/>
            </w14:solidFill>
          </w14:textFill>
        </w:rPr>
        <w:t xml:space="preserve">取磋商文件，方</w:t>
      </w:r>
      <w:r>
        <w:rPr>
          <w:rFonts w:hint="eastAsia" w:ascii="宋体" w:hAnsi="宋体" w:eastAsia="宋体" w:cs="宋体"/>
          <w:b w:val="0"/>
          <w:bCs/>
          <w:color w:val="000000" w:themeColor="text1"/>
          <w:sz w:val="24"/>
          <w:szCs w:val="24"/>
          <w:highlight w:val="none"/>
          <w:shd w:val="clear" w:color="auto" w:fill="ffffff"/>
          <w14:textFill>
            <w14:solidFill>
              <w14:schemeClr w14:val="tx1"/>
            </w14:solidFill>
          </w14:textFill>
        </w:rPr>
        <w:t xml:space="preserve">能参与政府采购项目）；</w:t>
      </w:r>
      <w:r>
        <w:rPr>
          <w:rFonts w:hint="eastAsia" w:ascii="宋体" w:hAnsi="宋体" w:eastAsia="宋体" w:cs="宋体"/>
          <w:b w:val="0"/>
          <w:bCs/>
          <w:color w:val="000000" w:themeColor="text1"/>
          <w:sz w:val="24"/>
          <w:szCs w:val="24"/>
          <w:highlight w:val="none"/>
          <w14:textFill>
            <w14:solidFill>
              <w14:schemeClr w14:val="tx1"/>
            </w14:solidFill>
          </w14:textFill>
        </w:rPr>
        <w:t xml:space="preserve">并于</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2026年</w:t>
      </w:r>
      <w:r>
        <w:rPr>
          <w:rFonts w:hint="eastAsia" w:ascii="宋体" w:hAnsi="宋体" w:eastAsia="宋体" w:cs="宋体"/>
          <w:b w:val="0"/>
          <w:bCs/>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月</w:t>
      </w:r>
      <w:r>
        <w:rPr>
          <w:rFonts w:hint="eastAsia" w:ascii="宋体" w:hAnsi="宋体" w:eastAsia="宋体" w:cs="宋体"/>
          <w:b w:val="0"/>
          <w:bCs/>
          <w:color w:val="000000" w:themeColor="text1"/>
          <w:sz w:val="24"/>
          <w:szCs w:val="24"/>
          <w:highlight w:val="none"/>
          <w:u w:val="single"/>
          <w:lang w:val="en-US" w:eastAsia="zh-CN"/>
          <w14:textFill>
            <w14:solidFill>
              <w14:schemeClr w14:val="tx1"/>
            </w14:solidFill>
          </w14:textFill>
        </w:rPr>
        <w:t xml:space="preserve">26</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日</w:t>
      </w:r>
      <w:r>
        <w:rPr>
          <w:rFonts w:hint="eastAsia" w:ascii="宋体" w:hAnsi="宋体" w:eastAsia="宋体" w:cs="宋体"/>
          <w:b w:val="0"/>
          <w:bCs/>
          <w:color w:val="000000" w:themeColor="text1"/>
          <w:sz w:val="24"/>
          <w:szCs w:val="24"/>
          <w:highlight w:val="none"/>
          <w:u w:val="single"/>
          <w:lang w:val="en-US" w:eastAsia="zh-CN"/>
          <w14:textFill>
            <w14:solidFill>
              <w14:schemeClr w14:val="tx1"/>
            </w14:solidFill>
          </w14:textFill>
        </w:rPr>
        <w:t xml:space="preserve">09</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点</w:t>
      </w:r>
      <w:r>
        <w:rPr>
          <w:rFonts w:hint="eastAsia" w:ascii="宋体" w:hAnsi="宋体" w:eastAsia="宋体" w:cs="宋体"/>
          <w:b w:val="0"/>
          <w:bCs/>
          <w:color w:val="000000" w:themeColor="text1"/>
          <w:sz w:val="24"/>
          <w:szCs w:val="24"/>
          <w:highlight w:val="none"/>
          <w:u w:val="single"/>
          <w:lang w:val="en-US" w:eastAsia="zh-CN"/>
          <w14:textFill>
            <w14:solidFill>
              <w14:schemeClr w14:val="tx1"/>
            </w14:solidFill>
          </w14:textFill>
        </w:rPr>
        <w:t xml:space="preserve">30</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分（</w:t>
      </w:r>
      <w:r>
        <w:rPr>
          <w:rFonts w:hint="eastAsia" w:ascii="宋体" w:hAnsi="宋体" w:eastAsia="宋体" w:cs="宋体"/>
          <w:b w:val="0"/>
          <w:bCs/>
          <w:color w:val="000000" w:themeColor="text1"/>
          <w:sz w:val="24"/>
          <w:szCs w:val="24"/>
          <w:highlight w:val="none"/>
          <w14:textFill>
            <w14:solidFill>
              <w14:schemeClr w14:val="tx1"/>
            </w14:solidFill>
          </w14:textFill>
        </w:rPr>
        <w:t xml:space="preserve">北京时间）前递交响应文件。</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bookmarkStart w:id="8" w:name="_Hlk24379207"/>
      <w:r/>
      <w:bookmarkStart w:id="9" w:name="_Toc38985263"/>
      <w:r/>
      <w:bookmarkStart w:id="10" w:name="_Toc28359079"/>
      <w:r/>
      <w:bookmarkStart w:id="11" w:name="_Toc35393621"/>
      <w:r/>
      <w:bookmarkStart w:id="12" w:name="_Toc28359002"/>
      <w:r/>
      <w:bookmarkStart w:id="13" w:name="_Toc35393790"/>
      <w:r>
        <w:rPr>
          <w:rFonts w:hint="eastAsia" w:ascii="宋体" w:hAnsi="宋体" w:eastAsia="宋体" w:cs="宋体"/>
          <w:b w:val="0"/>
          <w:bCs/>
          <w:color w:val="000000" w:themeColor="text1"/>
          <w:sz w:val="24"/>
          <w:szCs w:val="24"/>
          <w:highlight w:val="none"/>
          <w14:textFill>
            <w14:solidFill>
              <w14:schemeClr w14:val="tx1"/>
            </w14:solidFill>
          </w14:textFill>
        </w:rPr>
        <w:t xml:space="preserve">一、项目基本情况</w:t>
      </w:r>
      <w:bookmarkEnd w:id="8"/>
      <w:r/>
      <w:bookmarkEnd w:id="9"/>
      <w:r/>
      <w:bookmarkEnd w:id="10"/>
      <w:r/>
      <w:bookmarkEnd w:id="11"/>
      <w:r/>
      <w:bookmarkEnd w:id="12"/>
      <w:r/>
      <w:bookmarkEnd w:id="13"/>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1.项目编号：</w:t>
      </w:r>
      <w:bookmarkStart w:id="14" w:name="_Toc38985264"/>
      <w:r/>
      <w:bookmarkStart w:id="15" w:name="_Toc35393791"/>
      <w:r/>
      <w:bookmarkStart w:id="16" w:name="_Toc28359003"/>
      <w:r/>
      <w:bookmarkStart w:id="17" w:name="_Toc28359080"/>
      <w:r/>
      <w:bookmarkStart w:id="18" w:name="_Toc35393622"/>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JSZC-320900-YCZH-C2026-0010</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2.项目名称：盐城市公安局2026年度公安民警家庭医疗保险服务采购项目</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3.采购方式：竞争性磋商</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14:ligatures w14:val="none"/>
        </w:rPr>
      </w:pPr>
      <w:r/>
      <w:bookmarkStart w:id="19" w:name="OLE_LINK25"/>
      <w:r/>
      <w:bookmarkStart w:id="20" w:name="OLE_LINK26"/>
      <w:r>
        <w:rPr>
          <w:rFonts w:hint="eastAsia" w:ascii="宋体" w:hAnsi="宋体" w:eastAsia="宋体" w:cs="宋体"/>
          <w:b w:val="0"/>
          <w:bCs/>
          <w:color w:val="000000" w:themeColor="text1"/>
          <w:sz w:val="24"/>
          <w:szCs w:val="24"/>
          <w:highlight w:val="none"/>
          <w14:textFill>
            <w14:solidFill>
              <w14:schemeClr w14:val="tx1"/>
            </w14:solidFill>
          </w14:textFill>
        </w:rPr>
        <w:t xml:space="preserve">4.预算金额：</w:t>
      </w:r>
      <w:bookmarkStart w:id="21" w:name="OLE_LINK19"/>
      <w:r/>
      <w:bookmarkStart w:id="22" w:name="OLE_LINK20"/>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354.96</w:t>
      </w:r>
      <w:r>
        <w:rPr>
          <w:rFonts w:hint="eastAsia" w:ascii="宋体" w:hAnsi="宋体" w:eastAsia="宋体" w:cs="宋体"/>
          <w:b w:val="0"/>
          <w:bCs/>
          <w:color w:val="000000" w:themeColor="text1"/>
          <w:sz w:val="24"/>
          <w:szCs w:val="24"/>
          <w:highlight w:val="none"/>
          <w14:textFill>
            <w14:solidFill>
              <w14:schemeClr w14:val="tx1"/>
            </w14:solidFill>
          </w14:textFill>
        </w:rPr>
        <w:t xml:space="preserve">万</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元</w:t>
      </w:r>
      <w:bookmarkEnd w:id="21"/>
      <w:r/>
      <w:bookmarkEnd w:id="22"/>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/年。</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bookmarkStart w:id="23" w:name="OLE_LINK13"/>
      <w:r/>
      <w:bookmarkStart w:id="24" w:name="OLE_LINK29"/>
      <w:r/>
      <w:bookmarkStart w:id="25" w:name="OLE_LINK28"/>
      <w:r>
        <w:rPr>
          <w:rFonts w:hint="eastAsia" w:ascii="宋体" w:hAnsi="宋体" w:eastAsia="宋体" w:cs="宋体"/>
          <w:b w:val="0"/>
          <w:bCs/>
          <w:color w:val="000000" w:themeColor="text1"/>
          <w:sz w:val="24"/>
          <w:szCs w:val="24"/>
          <w:highlight w:val="none"/>
          <w14:textFill>
            <w14:solidFill>
              <w14:schemeClr w14:val="tx1"/>
            </w14:solidFill>
          </w14:textFill>
        </w:rPr>
        <w:t xml:space="preserve">最高限价：</w:t>
      </w:r>
      <w:bookmarkStart w:id="26" w:name="OLE_LINK21"/>
      <w:r/>
      <w:bookmarkStart w:id="27" w:name="OLE_LINK22"/>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400元/人/年、354.96</w:t>
      </w:r>
      <w:r>
        <w:rPr>
          <w:rFonts w:hint="eastAsia" w:ascii="宋体" w:hAnsi="宋体" w:eastAsia="宋体" w:cs="宋体"/>
          <w:b w:val="0"/>
          <w:bCs/>
          <w:color w:val="000000" w:themeColor="text1"/>
          <w:sz w:val="24"/>
          <w:szCs w:val="24"/>
          <w:highlight w:val="none"/>
          <w:lang w:val="zh-CN" w:eastAsia="zh-CN"/>
          <w14:textFill>
            <w14:solidFill>
              <w14:schemeClr w14:val="tx1"/>
            </w14:solidFill>
          </w14:textFill>
        </w:rPr>
        <w:t xml:space="preserve">万元</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/年</w:t>
      </w:r>
      <w:bookmarkEnd w:id="23"/>
      <w:r/>
      <w:bookmarkEnd w:id="24"/>
      <w:r/>
      <w:bookmarkEnd w:id="25"/>
      <w:r/>
      <w:bookmarkEnd w:id="26"/>
      <w:r/>
      <w:bookmarkEnd w:id="27"/>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本项目对人均单人费用设定最高限价为400元/人/年，供应商对人均单人费用予以报价，超过最高限价的为无效响应。采购人根据实际服务人数据实结算；超过最高限价的为无效响应。</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color w:val="000000" w:themeColor="text1"/>
          <w:sz w:val="24"/>
          <w:szCs w:val="24"/>
          <w:highlight w:val="none"/>
          <w14:textFill>
            <w14:solidFill>
              <w14:schemeClr w14:val="tx1"/>
            </w14:solidFill>
          </w14:textFill>
        </w:rPr>
        <w:t xml:space="preserve">采购需求：</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盐城市公安局</w:t>
      </w:r>
      <w:r>
        <w:rPr>
          <w:rFonts w:hint="eastAsia" w:ascii="宋体" w:hAnsi="宋体" w:eastAsia="宋体" w:cs="宋体"/>
          <w:b w:val="0"/>
          <w:bCs/>
          <w:color w:val="000000" w:themeColor="text1"/>
          <w:sz w:val="24"/>
          <w:szCs w:val="24"/>
          <w:highlight w:val="none"/>
          <w14:textFill>
            <w14:solidFill>
              <w14:schemeClr w14:val="tx1"/>
            </w14:solidFill>
          </w14:textFill>
        </w:rPr>
        <w:t xml:space="preserve">为市局机关、盐南分局、开发区分局及盐都分局的民警家庭（含配偶及子女）</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退休民警</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家庭（含配偶）</w:t>
      </w:r>
      <w:r>
        <w:rPr>
          <w:rFonts w:hint="eastAsia" w:ascii="宋体" w:hAnsi="宋体" w:eastAsia="宋体" w:cs="宋体"/>
          <w:b w:val="0"/>
          <w:bCs/>
          <w:color w:val="000000" w:themeColor="text1"/>
          <w:sz w:val="24"/>
          <w:szCs w:val="24"/>
          <w:highlight w:val="none"/>
          <w14:textFill>
            <w14:solidFill>
              <w14:schemeClr w14:val="tx1"/>
            </w14:solidFill>
          </w14:textFill>
        </w:rPr>
        <w:t xml:space="preserve">投保家庭医疗保险</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主要保险项目为：意外伤害身故、伤残保险、意外医疗保险、疾病身故保险、疾病住院医疗保险、住院津贴保险、重大疾病保险、重症监护津贴保险等。人员数量以实际投保人数为准。</w:t>
      </w:r>
      <w:r>
        <w:rPr>
          <w:rFonts w:hint="eastAsia" w:ascii="宋体" w:hAnsi="宋体" w:eastAsia="宋体" w:cs="宋体"/>
          <w:b w:val="0"/>
          <w:bCs/>
          <w:color w:val="000000" w:themeColor="text1"/>
          <w:sz w:val="24"/>
          <w:szCs w:val="24"/>
          <w:highlight w:val="none"/>
          <w:lang w:val="zh-CN" w:eastAsia="zh-CN"/>
          <w14:textFill>
            <w14:solidFill>
              <w14:schemeClr w14:val="tx1"/>
            </w14:solidFill>
          </w14:textFill>
        </w:rPr>
        <w:t xml:space="preserve">（详细内容见本</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磋商</w:t>
      </w:r>
      <w:r>
        <w:rPr>
          <w:rFonts w:hint="eastAsia" w:ascii="宋体" w:hAnsi="宋体" w:eastAsia="宋体" w:cs="宋体"/>
          <w:b w:val="0"/>
          <w:bCs/>
          <w:color w:val="000000" w:themeColor="text1"/>
          <w:sz w:val="24"/>
          <w:szCs w:val="24"/>
          <w:highlight w:val="none"/>
          <w:lang w:val="zh-CN" w:eastAsia="zh-CN"/>
          <w14:textFill>
            <w14:solidFill>
              <w14:schemeClr w14:val="tx1"/>
            </w14:solidFill>
          </w14:textFill>
        </w:rPr>
        <w:t xml:space="preserve">文件第四章）</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7.合同履行期限：</w:t>
      </w:r>
      <w:bookmarkEnd w:id="19"/>
      <w:r/>
      <w:bookmarkEnd w:id="20"/>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1年。</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14:ligatures w14:val="none"/>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8.本项目（是/否）接受联合体投标：否。</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二、申请人的资格要求：</w:t>
      </w:r>
      <w:bookmarkEnd w:id="14"/>
      <w:r/>
      <w:bookmarkEnd w:id="15"/>
      <w:r/>
      <w:bookmarkEnd w:id="16"/>
      <w:r/>
      <w:bookmarkEnd w:id="17"/>
      <w:r/>
      <w:bookmarkEnd w:id="18"/>
      <w:r/>
      <w:r/>
    </w:p>
    <w:p>
      <w:pPr>
        <w:ind w:firstLine="560"/>
        <w:spacing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1.满足《</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中华人民共和国政府采购法</w:t>
      </w:r>
      <w:r>
        <w:rPr>
          <w:rFonts w:hint="eastAsia" w:ascii="宋体" w:hAnsi="宋体" w:eastAsia="宋体" w:cs="宋体"/>
          <w:b w:val="0"/>
          <w:bCs/>
          <w:color w:val="000000" w:themeColor="text1"/>
          <w:sz w:val="24"/>
          <w:szCs w:val="24"/>
          <w:highlight w:val="none"/>
          <w14:textFill>
            <w14:solidFill>
              <w14:schemeClr w14:val="tx1"/>
            </w14:solidFill>
          </w14:textFill>
        </w:rPr>
        <w:t xml:space="preserve">》第二十二条规定，并提供下列材料：</w:t>
      </w:r>
      <w:r/>
    </w:p>
    <w:p>
      <w:pPr>
        <w:ind w:firstLine="560"/>
        <w:spacing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1.1 法人或者其他组织的营业执照等证明文件，自然人的身份证明；</w:t>
      </w:r>
      <w:r/>
    </w:p>
    <w:p>
      <w:pPr>
        <w:ind w:firstLine="560"/>
        <w:spacing w:line="508" w:lineRule="exact"/>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1.2</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上一年度的财务状况报表（</w:t>
      </w:r>
      <w:bookmarkStart w:id="220" w:name="_GoBack"/>
      <w:r/>
      <w:bookmarkEnd w:id="220"/>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成立不满一年无需提供）；</w:t>
      </w:r>
      <w:r/>
    </w:p>
    <w:p>
      <w:pPr>
        <w:ind w:firstLine="560"/>
        <w:spacing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560"/>
        <w:spacing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1.4具备履行合同所必需的设备和专业技术能力的书面声明；</w:t>
      </w:r>
      <w:r/>
    </w:p>
    <w:p>
      <w:pPr>
        <w:ind w:firstLine="560"/>
        <w:spacing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1.5参加政府采购活动前3年内在经营活动中没有重大违法记录的书面声明。</w:t>
      </w:r>
      <w:r/>
    </w:p>
    <w:p>
      <w:pPr>
        <w:ind w:firstLine="560"/>
        <w:spacing w:line="508"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1.6法律、行政法规规定的其他条件。</w:t>
      </w:r>
      <w:r/>
    </w:p>
    <w:p>
      <w:pPr>
        <w:ind w:firstLine="560"/>
        <w:spacing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14:textFill>
            <w14:solidFill>
              <w14:schemeClr w14:val="tx1"/>
            </w14:solidFill>
          </w14:textFill>
        </w:rPr>
        <w:t xml:space="preserve">在“信用中国”网站查询，无被列入失信被执行人、重大税收违法案件当事人名单、政府采购严重失信行为记录名单及其他不符合《</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中华人民共和国政府采购法</w:t>
      </w:r>
      <w:r>
        <w:rPr>
          <w:rFonts w:hint="eastAsia" w:ascii="宋体" w:hAnsi="宋体" w:eastAsia="宋体" w:cs="宋体"/>
          <w:b w:val="0"/>
          <w:bCs/>
          <w:color w:val="000000" w:themeColor="text1"/>
          <w:sz w:val="24"/>
          <w:szCs w:val="24"/>
          <w:highlight w:val="none"/>
          <w14:textFill>
            <w14:solidFill>
              <w14:schemeClr w14:val="tx1"/>
            </w14:solidFill>
          </w14:textFill>
        </w:rPr>
        <w:t xml:space="preserve">》第二十二条规定条件的信用记录。（响应文件中无需提供证明材料）</w:t>
      </w:r>
      <w:r/>
    </w:p>
    <w:p>
      <w:pPr>
        <w:ind w:firstLine="560"/>
        <w:spacing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val="0"/>
          <w:bCs/>
          <w:color w:val="000000" w:themeColor="text1"/>
          <w:sz w:val="24"/>
          <w:szCs w:val="24"/>
          <w:highlight w:val="none"/>
          <w14:textFill>
            <w14:solidFill>
              <w14:schemeClr w14:val="tx1"/>
            </w14:solidFill>
          </w14:textFill>
        </w:rPr>
        <w:t xml:space="preserve">单位负责人为同一人或者存在直接控股、管理关系的不同供应商，不得参加同一合同项下的政府采购活动。</w:t>
      </w:r>
      <w:r/>
    </w:p>
    <w:p>
      <w:pPr>
        <w:ind w:firstLine="560"/>
        <w:spacing w:line="508"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2.落实政府采购政策需满足的资格要求：</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无。</w:t>
      </w:r>
      <w:r/>
    </w:p>
    <w:p>
      <w:pPr>
        <w:ind w:firstLine="560"/>
        <w:spacing w:line="508" w:lineRule="exact"/>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3.本项目的特定资格要求</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p>
    <w:p>
      <w:pPr>
        <w:ind w:firstLine="560"/>
        <w:spacing w:line="508"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3.1供应商须为经保险业监督管理机构批准设立的保险公司，具有保险业监督管理机构核发的《保险许可证》或《金融许可证》。</w:t>
      </w:r>
      <w:r/>
    </w:p>
    <w:p>
      <w:pPr>
        <w:ind w:firstLine="560"/>
        <w:spacing w:line="508"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3.2供应商具备经过保险业监督管理机构备案的本次采购相关保险条款。</w:t>
      </w:r>
      <w:r/>
    </w:p>
    <w:p>
      <w:pPr>
        <w:ind w:firstLine="560"/>
        <w:spacing w:line="508"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3.3</w:t>
      </w:r>
      <w:r>
        <w:rPr>
          <w:rFonts w:hint="eastAsia" w:ascii="宋体" w:hAnsi="宋体" w:eastAsia="宋体" w:cs="宋体"/>
          <w:b w:val="0"/>
          <w:bCs/>
          <w:color w:val="000000" w:themeColor="text1"/>
          <w:sz w:val="24"/>
          <w:szCs w:val="24"/>
          <w:highlight w:val="none"/>
          <w:lang w:val="zh-CN" w:eastAsia="zh-CN"/>
          <w14:textFill>
            <w14:solidFill>
              <w14:schemeClr w14:val="tx1"/>
            </w14:solidFill>
          </w14:textFill>
        </w:rPr>
        <w:t xml:space="preserve">本项目仅接受具有独立法人资格的公司或其下属分公司/支公司的投标（总公司及其各分公司/支公司视为同一家公司，不得同时作为投标人参与本项目的投标，如不同分公司/支公司同时投标，只接受能够出具具有独立法人资格的公司针对本项目唯一授权书的分公司/支公司的投标）</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w:t>
      </w:r>
      <w:r/>
    </w:p>
    <w:p>
      <w:pPr>
        <w:ind w:firstLine="560"/>
        <w:spacing w:line="508" w:lineRule="exact"/>
        <w:rPr>
          <w:rFonts w:hint="eastAsia" w:ascii="宋体" w:hAnsi="宋体" w:eastAsia="宋体" w:cs="宋体"/>
          <w:b w:val="0"/>
          <w:bCs/>
          <w:color w:val="000000" w:themeColor="text1"/>
          <w:sz w:val="24"/>
          <w:szCs w:val="24"/>
          <w:highlight w:val="none"/>
          <w:lang w:val="zh-CN"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3.4既往症：因该项目具有连续性，对2018年6月29日前已经患有尚未治愈的疾病的，为既往病史，该疾病及并发症，按照保险业监督管理机构相关规定，不承担保险责任；但对2018年6月29日后，</w:t>
      </w:r>
      <w:r>
        <w:rPr>
          <w:rFonts w:hint="eastAsia" w:ascii="宋体" w:hAnsi="宋体" w:eastAsia="宋体" w:cs="宋体"/>
          <w:b w:val="0"/>
          <w:bCs/>
          <w:color w:val="000000" w:themeColor="text1"/>
          <w:sz w:val="24"/>
          <w:szCs w:val="24"/>
          <w:highlight w:val="none"/>
          <w:lang w:val="zh-CN" w:eastAsia="zh-CN"/>
          <w14:textFill>
            <w14:solidFill>
              <w14:schemeClr w14:val="tx1"/>
            </w14:solidFill>
          </w14:textFill>
        </w:rPr>
        <w:t xml:space="preserve">民警家庭医疗保险</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投保期间发现的相关疾病及并发症，供应商需承诺承担赔偿责任。</w:t>
      </w:r>
      <w:r/>
    </w:p>
    <w:p>
      <w:pPr>
        <w:ind w:firstLine="560"/>
        <w:spacing w:line="508" w:lineRule="exact"/>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zh-CN" w:eastAsia="zh-CN"/>
          <w14:textFill>
            <w14:solidFill>
              <w14:schemeClr w14:val="tx1"/>
            </w14:solidFill>
          </w14:textFill>
        </w:rPr>
        <w:t xml:space="preserve">注：法人的分支机构由于其不能独立承担民事责任，不能以分支机构的身份参加政府采购，只能以法人身份参加。但银行、保险、石油石化、电力、电信等因有行业特殊情况，可以分支机构身份参加政府采购，其投标文件中法定代表人相关事项可由负责人代替。</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三、获取磋商文件</w:t>
      </w:r>
      <w:r/>
    </w:p>
    <w:p>
      <w:pPr>
        <w:ind w:firstLine="560"/>
        <w:spacing w:line="508" w:lineRule="exact"/>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28" w:name="_Toc28359005"/>
      <w:r/>
      <w:bookmarkStart w:id="29" w:name="_Toc28359082"/>
      <w:r/>
      <w:bookmarkStart w:id="30" w:name="_Toc38985266"/>
      <w:r/>
      <w:bookmarkStart w:id="31" w:name="_Toc35393793"/>
      <w:r/>
      <w:bookmarkStart w:id="32" w:name="_Toc35393624"/>
      <w:r>
        <w:rPr>
          <w:rFonts w:hint="eastAsia" w:ascii="宋体" w:hAnsi="宋体" w:eastAsia="宋体" w:cs="宋体"/>
          <w:b w:val="0"/>
          <w:bCs/>
          <w:color w:val="000000" w:themeColor="text1"/>
          <w:sz w:val="24"/>
          <w:szCs w:val="24"/>
          <w:highlight w:val="none"/>
          <w14:textFill>
            <w14:solidFill>
              <w14:schemeClr w14:val="tx1"/>
            </w14:solidFill>
          </w14:textFill>
        </w:rPr>
        <w:t xml:space="preserve">1.时间：自磋商文件公告发布之日起5个工作日。</w:t>
      </w:r>
      <w:bookmarkEnd w:id="28"/>
      <w:r/>
      <w:bookmarkEnd w:id="29"/>
      <w:r/>
      <w:bookmarkEnd w:id="30"/>
      <w:r/>
      <w:bookmarkEnd w:id="31"/>
      <w:r/>
      <w:bookmarkEnd w:id="32"/>
      <w:r/>
      <w:r/>
    </w:p>
    <w:p>
      <w:pPr>
        <w:ind w:firstLine="560"/>
        <w:spacing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2.地点：“苏采云”系统内免费下载（投标人必须在苏采云系统中获取磋商文件，方能参与政府采购项目）；</w:t>
      </w:r>
      <w:r/>
    </w:p>
    <w:p>
      <w:pPr>
        <w:ind w:firstLine="560"/>
        <w:spacing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3.方式：本项目采用网上注册登记方式。</w:t>
      </w:r>
      <w:r/>
    </w:p>
    <w:p>
      <w:pPr>
        <w:ind w:firstLine="560"/>
        <w:spacing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4.售价：0元</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四、响应文件提交</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1.截止时间：</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2026年</w:t>
      </w:r>
      <w:r>
        <w:rPr>
          <w:rFonts w:hint="eastAsia" w:ascii="宋体" w:hAnsi="宋体" w:eastAsia="宋体" w:cs="宋体"/>
          <w:b w:val="0"/>
          <w:bCs/>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月</w:t>
      </w:r>
      <w:r>
        <w:rPr>
          <w:rFonts w:hint="eastAsia" w:ascii="宋体" w:hAnsi="宋体" w:eastAsia="宋体" w:cs="宋体"/>
          <w:b w:val="0"/>
          <w:bCs/>
          <w:color w:val="000000" w:themeColor="text1"/>
          <w:sz w:val="24"/>
          <w:szCs w:val="24"/>
          <w:highlight w:val="none"/>
          <w:u w:val="single"/>
          <w:lang w:val="en-US" w:eastAsia="zh-CN"/>
          <w14:textFill>
            <w14:solidFill>
              <w14:schemeClr w14:val="tx1"/>
            </w14:solidFill>
          </w14:textFill>
        </w:rPr>
        <w:t xml:space="preserve">26</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日</w:t>
      </w:r>
      <w:r>
        <w:rPr>
          <w:rFonts w:hint="eastAsia" w:ascii="宋体" w:hAnsi="宋体" w:eastAsia="宋体" w:cs="宋体"/>
          <w:b w:val="0"/>
          <w:bCs/>
          <w:color w:val="000000" w:themeColor="text1"/>
          <w:sz w:val="24"/>
          <w:szCs w:val="24"/>
          <w:highlight w:val="none"/>
          <w:u w:val="single"/>
          <w:lang w:val="en-US" w:eastAsia="zh-CN"/>
          <w14:textFill>
            <w14:solidFill>
              <w14:schemeClr w14:val="tx1"/>
            </w14:solidFill>
          </w14:textFill>
        </w:rPr>
        <w:t xml:space="preserve">09</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点</w:t>
      </w:r>
      <w:r>
        <w:rPr>
          <w:rFonts w:hint="eastAsia" w:ascii="宋体" w:hAnsi="宋体" w:eastAsia="宋体" w:cs="宋体"/>
          <w:b w:val="0"/>
          <w:bCs/>
          <w:color w:val="000000" w:themeColor="text1"/>
          <w:sz w:val="24"/>
          <w:szCs w:val="24"/>
          <w:highlight w:val="none"/>
          <w:u w:val="single"/>
          <w:lang w:val="en-US" w:eastAsia="zh-CN"/>
          <w14:textFill>
            <w14:solidFill>
              <w14:schemeClr w14:val="tx1"/>
            </w14:solidFill>
          </w14:textFill>
        </w:rPr>
        <w:t xml:space="preserve">30</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分</w:t>
      </w:r>
      <w:r>
        <w:rPr>
          <w:rFonts w:hint="eastAsia" w:ascii="宋体" w:hAnsi="宋体" w:eastAsia="宋体" w:cs="宋体"/>
          <w:b w:val="0"/>
          <w:bCs/>
          <w:color w:val="000000" w:themeColor="text1"/>
          <w:sz w:val="24"/>
          <w:szCs w:val="24"/>
          <w:highlight w:val="none"/>
          <w14:textFill>
            <w14:solidFill>
              <w14:schemeClr w14:val="tx1"/>
            </w14:solidFill>
          </w14:textFill>
        </w:rPr>
        <w:t xml:space="preserve">（北京时间）。</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2.地点：苏采云“不见面”开标大厅。</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bookmarkStart w:id="33" w:name="_Toc38985268"/>
      <w:r/>
      <w:bookmarkStart w:id="34" w:name="_Toc35393626"/>
      <w:r/>
      <w:bookmarkStart w:id="35" w:name="_Toc35393795"/>
      <w:r>
        <w:rPr>
          <w:rFonts w:hint="eastAsia" w:ascii="宋体" w:hAnsi="宋体" w:eastAsia="宋体" w:cs="宋体"/>
          <w:b w:val="0"/>
          <w:bCs/>
          <w:color w:val="000000" w:themeColor="text1"/>
          <w:sz w:val="24"/>
          <w:szCs w:val="24"/>
          <w:highlight w:val="none"/>
          <w14:textFill>
            <w14:solidFill>
              <w14:schemeClr w14:val="tx1"/>
            </w14:solidFill>
          </w14:textFill>
        </w:rPr>
        <w:t xml:space="preserve">五、开启</w:t>
      </w:r>
      <w:r/>
    </w:p>
    <w:p>
      <w:pPr>
        <w:pStyle w:val="744"/>
        <w:ind w:firstLine="560"/>
        <w:jc w:val="both"/>
        <w:spacing w:beforeAutospacing="0" w:afterAutospacing="0" w:line="508" w:lineRule="exact"/>
        <w:shd w:val="clear" w:color="auto" w:fill="ffff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1.时间：</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2026年</w:t>
      </w:r>
      <w:r>
        <w:rPr>
          <w:rFonts w:hint="eastAsia" w:ascii="宋体" w:hAnsi="宋体" w:eastAsia="宋体" w:cs="宋体"/>
          <w:b w:val="0"/>
          <w:bCs/>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月</w:t>
      </w:r>
      <w:r>
        <w:rPr>
          <w:rFonts w:hint="eastAsia" w:ascii="宋体" w:hAnsi="宋体" w:eastAsia="宋体" w:cs="宋体"/>
          <w:b w:val="0"/>
          <w:bCs/>
          <w:color w:val="000000" w:themeColor="text1"/>
          <w:sz w:val="24"/>
          <w:szCs w:val="24"/>
          <w:highlight w:val="none"/>
          <w:u w:val="single"/>
          <w:lang w:val="en-US" w:eastAsia="zh-CN"/>
          <w14:textFill>
            <w14:solidFill>
              <w14:schemeClr w14:val="tx1"/>
            </w14:solidFill>
          </w14:textFill>
        </w:rPr>
        <w:t xml:space="preserve">26</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日</w:t>
      </w:r>
      <w:r>
        <w:rPr>
          <w:rFonts w:hint="eastAsia" w:ascii="宋体" w:hAnsi="宋体" w:eastAsia="宋体" w:cs="宋体"/>
          <w:b w:val="0"/>
          <w:bCs/>
          <w:color w:val="000000" w:themeColor="text1"/>
          <w:sz w:val="24"/>
          <w:szCs w:val="24"/>
          <w:highlight w:val="none"/>
          <w:u w:val="single"/>
          <w:lang w:val="en-US" w:eastAsia="zh-CN"/>
          <w14:textFill>
            <w14:solidFill>
              <w14:schemeClr w14:val="tx1"/>
            </w14:solidFill>
          </w14:textFill>
        </w:rPr>
        <w:t xml:space="preserve">09</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点</w:t>
      </w:r>
      <w:r>
        <w:rPr>
          <w:rFonts w:hint="eastAsia" w:ascii="宋体" w:hAnsi="宋体" w:eastAsia="宋体" w:cs="宋体"/>
          <w:b w:val="0"/>
          <w:bCs/>
          <w:color w:val="000000" w:themeColor="text1"/>
          <w:sz w:val="24"/>
          <w:szCs w:val="24"/>
          <w:highlight w:val="none"/>
          <w:u w:val="single"/>
          <w:lang w:val="en-US" w:eastAsia="zh-CN"/>
          <w14:textFill>
            <w14:solidFill>
              <w14:schemeClr w14:val="tx1"/>
            </w14:solidFill>
          </w14:textFill>
        </w:rPr>
        <w:t xml:space="preserve">30</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分</w:t>
      </w:r>
      <w:r>
        <w:rPr>
          <w:rFonts w:hint="eastAsia" w:ascii="宋体" w:hAnsi="宋体" w:eastAsia="宋体" w:cs="宋体"/>
          <w:b w:val="0"/>
          <w:bCs/>
          <w:color w:val="000000" w:themeColor="text1"/>
          <w:sz w:val="24"/>
          <w:szCs w:val="24"/>
          <w:highlight w:val="none"/>
          <w14:textFill>
            <w14:solidFill>
              <w14:schemeClr w14:val="tx1"/>
            </w14:solidFill>
          </w14:textFill>
        </w:rPr>
        <w:t xml:space="preserve">（北京时间）。</w:t>
      </w:r>
      <w:bookmarkEnd w:id="33"/>
      <w:r/>
      <w:bookmarkEnd w:id="34"/>
      <w:r/>
      <w:bookmarkEnd w:id="35"/>
      <w:r/>
      <w:r/>
    </w:p>
    <w:p>
      <w:pPr>
        <w:pStyle w:val="744"/>
        <w:ind w:firstLine="560"/>
        <w:jc w:val="both"/>
        <w:spacing w:beforeAutospacing="0" w:afterAutospacing="0" w:line="508" w:lineRule="exact"/>
        <w:shd w:val="clear" w:color="auto" w:fill="ffff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2.地点：苏采云“不见面”开标大厅。</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bookmarkStart w:id="36" w:name="_Toc28359094"/>
      <w:r>
        <w:rPr>
          <w:rFonts w:hint="eastAsia" w:ascii="宋体" w:hAnsi="宋体" w:eastAsia="宋体" w:cs="宋体"/>
          <w:b w:val="0"/>
          <w:bCs/>
          <w:color w:val="000000" w:themeColor="text1"/>
          <w:sz w:val="24"/>
          <w:szCs w:val="24"/>
          <w:highlight w:val="none"/>
          <w14:textFill>
            <w14:solidFill>
              <w14:schemeClr w14:val="tx1"/>
            </w14:solidFill>
          </w14:textFill>
        </w:rPr>
        <w:t xml:space="preserve">六、公告期限</w:t>
      </w:r>
      <w:bookmarkEnd w:id="36"/>
      <w:r/>
      <w:r/>
    </w:p>
    <w:p>
      <w:pPr>
        <w:pStyle w:val="744"/>
        <w:ind w:firstLine="560"/>
        <w:jc w:val="both"/>
        <w:spacing w:beforeAutospacing="0" w:afterAutospacing="0" w:line="508" w:lineRule="exact"/>
        <w:shd w:val="clear" w:color="auto" w:fill="ffff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自本公告发布之日起3个工作日。</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七、其他补充事宜</w:t>
      </w:r>
      <w:r/>
    </w:p>
    <w:p>
      <w:pPr>
        <w:ind w:firstLine="560"/>
        <w:spacing w:line="507" w:lineRule="exact"/>
        <w:rPr>
          <w:rFonts w:hint="eastAsia" w:ascii="宋体" w:hAnsi="宋体" w:eastAsia="宋体" w:cs="宋体"/>
          <w:b w:val="0"/>
          <w:bCs/>
          <w:color w:val="000000" w:themeColor="text1"/>
          <w:sz w:val="24"/>
          <w:szCs w:val="24"/>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560"/>
        <w:spacing w:line="507" w:lineRule="exact"/>
        <w:rPr>
          <w:rFonts w:hint="eastAsia" w:ascii="宋体" w:hAnsi="宋体" w:eastAsia="宋体" w:cs="宋体"/>
          <w:b w:val="0"/>
          <w:bCs/>
          <w:color w:val="000000" w:themeColor="text1"/>
          <w:sz w:val="24"/>
          <w:szCs w:val="24"/>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14:textFill>
            <w14:solidFill>
              <w14:schemeClr w14:val="tx1"/>
            </w14:solidFill>
          </w14:textFill>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560"/>
        <w:spacing w:line="507" w:lineRule="exact"/>
        <w:rPr>
          <w:rFonts w:hint="eastAsia" w:ascii="宋体" w:hAnsi="宋体" w:eastAsia="宋体" w:cs="宋体"/>
          <w:b w:val="0"/>
          <w:bCs/>
          <w:color w:val="000000" w:themeColor="text1"/>
          <w:sz w:val="24"/>
          <w:szCs w:val="24"/>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 潜在供应商访问电子招标响应交易平台的网络地址和方法： </w:t>
      </w:r>
      <w:r/>
    </w:p>
    <w:p>
      <w:pPr>
        <w:ind w:firstLine="560"/>
        <w:spacing w:line="507" w:lineRule="exact"/>
        <w:rPr>
          <w:rFonts w:hint="eastAsia" w:ascii="宋体" w:hAnsi="宋体" w:eastAsia="宋体" w:cs="宋体"/>
          <w:b w:val="0"/>
          <w:bCs/>
          <w:color w:val="000000" w:themeColor="text1"/>
          <w:sz w:val="24"/>
          <w:szCs w:val="24"/>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ind w:firstLine="560"/>
        <w:spacing w:line="507" w:lineRule="exact"/>
        <w:rPr>
          <w:rFonts w:hint="eastAsia" w:ascii="宋体" w:hAnsi="宋体" w:eastAsia="宋体" w:cs="宋体"/>
          <w:b w:val="0"/>
          <w:bCs/>
          <w:color w:val="000000" w:themeColor="text1"/>
          <w:sz w:val="24"/>
          <w:szCs w:val="24"/>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2.2潜在投标人访问“苏采云”系统方法：江苏省政府采购网首页-“苏采云”链接。 </w:t>
      </w:r>
      <w:r/>
    </w:p>
    <w:p>
      <w:pPr>
        <w:ind w:firstLine="560"/>
        <w:spacing w:line="507" w:lineRule="exact"/>
        <w:rPr>
          <w:rFonts w:hint="eastAsia" w:ascii="宋体" w:hAnsi="宋体" w:eastAsia="宋体" w:cs="宋体"/>
          <w:b w:val="0"/>
          <w:bCs/>
          <w:color w:val="000000" w:themeColor="text1"/>
          <w:sz w:val="24"/>
          <w:szCs w:val="24"/>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2.3采购文件（后缀名为“.kedt”）、供应商操作手册及政府采购客户端 工具可通过“苏采云”系统相应链接进行下载。 </w:t>
      </w:r>
      <w:r/>
    </w:p>
    <w:p>
      <w:pPr>
        <w:ind w:firstLine="560"/>
        <w:spacing w:line="507" w:lineRule="exact"/>
        <w:rPr>
          <w:rFonts w:hint="eastAsia" w:ascii="宋体" w:hAnsi="宋体" w:eastAsia="宋体" w:cs="宋体"/>
          <w:b w:val="0"/>
          <w:bCs/>
          <w:color w:val="000000" w:themeColor="text1"/>
          <w:sz w:val="24"/>
          <w:szCs w:val="24"/>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2.4采购代理机构将数据电文形式的采购文件加载至“苏采云”系统，供潜在供应商下载或者查阅。 </w:t>
      </w:r>
      <w:r/>
    </w:p>
    <w:p>
      <w:pPr>
        <w:ind w:firstLine="560"/>
        <w:spacing w:line="507" w:lineRule="exact"/>
        <w:rPr>
          <w:rFonts w:hint="eastAsia" w:ascii="宋体" w:hAnsi="宋体" w:eastAsia="宋体" w:cs="宋体"/>
          <w:b w:val="0"/>
          <w:bCs/>
          <w:color w:val="000000" w:themeColor="text1"/>
          <w:sz w:val="24"/>
          <w:szCs w:val="24"/>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2.5请潜在投标单位提前安装相应的控件（详见《“苏采云”系统供应商操作手册》）并使用谷歌浏览器登录“苏采云”系统参与不见面开评标。 </w:t>
      </w:r>
      <w:r/>
    </w:p>
    <w:p>
      <w:pPr>
        <w:ind w:firstLine="560"/>
        <w:spacing w:line="507" w:lineRule="exact"/>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如潜在投标人未按上述要求操作，将自行承担所产生的风险。</w:t>
      </w:r>
      <w:r/>
    </w:p>
    <w:p>
      <w:pPr>
        <w:ind w:firstLine="560"/>
        <w:spacing w:line="507"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有关本次磋商的事项若存在变动或修改，敬请及时关注采购代理机构在“中国政府采购网”“江苏政府采购网”“盐城市政府采购网”发布的更正公告。</w:t>
      </w:r>
      <w:r/>
    </w:p>
    <w:p>
      <w:pPr>
        <w:ind w:firstLine="560"/>
        <w:spacing w:line="507" w:lineRule="exact"/>
        <w:rPr>
          <w:rFonts w:hint="eastAsia" w:ascii="宋体" w:hAnsi="宋体" w:eastAsia="宋体" w:cs="宋体"/>
          <w:b w:val="0"/>
          <w:bCs/>
          <w:color w:val="000000" w:themeColor="text1"/>
          <w:sz w:val="24"/>
          <w:szCs w:val="24"/>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 本次磋商不收取磋商保证金，不收取质量保证金。</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八、凡对本次采购提出询问，请按以下方式联系。</w:t>
      </w:r>
      <w:r/>
    </w:p>
    <w:p>
      <w:pPr>
        <w:ind w:firstLine="560"/>
        <w:spacing w:line="507"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37" w:name="_Toc28359096"/>
      <w:r/>
      <w:bookmarkStart w:id="38" w:name="_Toc35393637"/>
      <w:r/>
      <w:bookmarkStart w:id="39" w:name="_Toc35393806"/>
      <w:r/>
      <w:bookmarkStart w:id="40" w:name="_Toc28359019"/>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1.采购人信息</w:t>
      </w:r>
      <w:bookmarkEnd w:id="37"/>
      <w:r/>
      <w:bookmarkEnd w:id="38"/>
      <w:r/>
      <w:bookmarkEnd w:id="39"/>
      <w:r/>
      <w:bookmarkEnd w:id="40"/>
      <w:r/>
      <w:bookmarkStart w:id="41" w:name="_Toc35393807"/>
      <w:r/>
      <w:bookmarkEnd w:id="41"/>
      <w:r/>
      <w:bookmarkStart w:id="42" w:name="_Toc28359020"/>
      <w:r/>
      <w:bookmarkEnd w:id="42"/>
      <w:r/>
      <w:bookmarkStart w:id="43" w:name="_Toc35393638"/>
      <w:r/>
      <w:bookmarkEnd w:id="43"/>
      <w:r/>
      <w:bookmarkStart w:id="44" w:name="_Toc28359097"/>
      <w:r/>
      <w:bookmarkEnd w:id="44"/>
      <w:r/>
      <w:r/>
    </w:p>
    <w:p>
      <w:pPr>
        <w:ind w:firstLine="560"/>
        <w:spacing w:line="507"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45" w:name="_Toc28359098"/>
      <w:r/>
      <w:bookmarkStart w:id="46" w:name="_Toc35393639"/>
      <w:r/>
      <w:bookmarkStart w:id="47" w:name="_Toc35393808"/>
      <w:r/>
      <w:bookmarkStart w:id="48" w:name="_Toc28359021"/>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名    称：盐城市公安局</w:t>
      </w:r>
      <w:r/>
    </w:p>
    <w:p>
      <w:pPr>
        <w:ind w:firstLine="560"/>
        <w:spacing w:line="507"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地    址：盐城市平安路9号</w:t>
      </w:r>
      <w:r/>
    </w:p>
    <w:p>
      <w:pPr>
        <w:ind w:firstLine="560"/>
        <w:spacing w:line="507"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联 系 人：江警官</w:t>
      </w:r>
      <w:r/>
    </w:p>
    <w:p>
      <w:pPr>
        <w:ind w:firstLine="560"/>
        <w:spacing w:line="507"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联系电话：0515-83220095</w:t>
      </w:r>
      <w:r/>
    </w:p>
    <w:p>
      <w:pPr>
        <w:ind w:firstLine="560"/>
        <w:spacing w:line="507"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2.采购代理机构信息</w:t>
      </w:r>
      <w:bookmarkEnd w:id="45"/>
      <w:r/>
      <w:bookmarkEnd w:id="46"/>
      <w:r/>
      <w:bookmarkEnd w:id="47"/>
      <w:r/>
      <w:bookmarkEnd w:id="48"/>
      <w:r/>
      <w:r/>
    </w:p>
    <w:p>
      <w:pPr>
        <w:ind w:firstLine="560"/>
        <w:spacing w:line="507"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名    称：盐城市智禾项目管理有限公司</w:t>
      </w:r>
      <w:r/>
    </w:p>
    <w:p>
      <w:pPr>
        <w:ind w:firstLine="560"/>
        <w:spacing w:line="507"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地    址：盐城市盐都区宏都路华邦国际西厦 603室</w:t>
      </w:r>
      <w:r/>
    </w:p>
    <w:p>
      <w:pPr>
        <w:ind w:firstLine="560"/>
        <w:spacing w:line="507"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联 系 人：王女士</w:t>
      </w:r>
      <w:r/>
    </w:p>
    <w:p>
      <w:pPr>
        <w:ind w:firstLine="560"/>
        <w:spacing w:line="507"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联系电话：18151392913</w:t>
      </w:r>
      <w:r/>
    </w:p>
    <w:p>
      <w:pPr>
        <w:ind w:firstLine="560"/>
        <w:spacing w:line="507"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3.项目联系方式</w:t>
      </w:r>
      <w:r/>
    </w:p>
    <w:p>
      <w:pPr>
        <w:ind w:firstLine="560"/>
        <w:spacing w:line="507"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项目联系人：王女士</w:t>
      </w:r>
      <w:r/>
    </w:p>
    <w:p>
      <w:pPr>
        <w:ind w:firstLine="560"/>
        <w:spacing w:line="507"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电话：18151392913</w:t>
      </w:r>
      <w:r/>
    </w:p>
    <w:p>
      <w:pPr>
        <w:ind w:firstLine="560"/>
        <w:spacing w:line="360" w:lineRule="auto"/>
        <w:rPr>
          <w:rFonts w:hint="eastAsia" w:ascii="宋体" w:hAnsi="宋体" w:eastAsia="宋体" w:cs="宋体"/>
          <w:b w:val="0"/>
          <w:bCs/>
          <w:color w:val="000000" w:themeColor="text1"/>
          <w:sz w:val="28"/>
          <w:szCs w:val="28"/>
          <w:highlight w:val="none"/>
          <w14:textFill>
            <w14:solidFill>
              <w14:schemeClr w14:val="tx1"/>
            </w14:solidFill>
          </w14:textFill>
        </w:rPr>
      </w:pPr>
      <w:r>
        <w:rPr>
          <w:rFonts w:hint="eastAsia" w:ascii="宋体" w:hAnsi="宋体" w:eastAsia="宋体" w:cs="宋体"/>
          <w:b w:val="0"/>
          <w:bCs/>
          <w:color w:val="000000" w:themeColor="text1"/>
          <w:sz w:val="28"/>
          <w:szCs w:val="28"/>
          <w:highlight w:val="none"/>
          <w14:textFill>
            <w14:solidFill>
              <w14:schemeClr w14:val="tx1"/>
            </w14:solidFill>
          </w14:textFill>
        </w:rPr>
        <w:t xml:space="preserve">　　　　　　　　　　　　</w:t>
      </w:r>
      <w:r/>
    </w:p>
    <w:p>
      <w:pPr>
        <w:rPr>
          <w:rFonts w:hint="eastAsia" w:ascii="宋体" w:hAnsi="宋体" w:eastAsia="宋体" w:cs="宋体"/>
          <w:b w:val="0"/>
          <w:bCs/>
          <w:color w:val="000000" w:themeColor="text1"/>
          <w:sz w:val="28"/>
          <w:szCs w:val="28"/>
          <w:highlight w:val="none"/>
          <w14:textFill>
            <w14:solidFill>
              <w14:schemeClr w14:val="tx1"/>
            </w14:solidFill>
          </w14:textFill>
        </w:rPr>
      </w:pPr>
      <w:r>
        <w:rPr>
          <w:rFonts w:hint="eastAsia" w:ascii="宋体" w:hAnsi="宋体" w:eastAsia="宋体" w:cs="宋体"/>
          <w:b w:val="0"/>
          <w:bCs/>
          <w:color w:val="000000" w:themeColor="text1"/>
          <w:sz w:val="28"/>
          <w:szCs w:val="28"/>
          <w:highlight w:val="none"/>
          <w14:textFill>
            <w14:solidFill>
              <w14:schemeClr w14:val="tx1"/>
            </w14:solidFill>
          </w14:textFill>
        </w:rPr>
        <w:br w:type="page" w:clear="all"/>
      </w:r>
      <w:r/>
    </w:p>
    <w:p>
      <w:pPr>
        <w:pStyle w:val="744"/>
        <w:jc w:val="center"/>
        <w:spacing w:beforeAutospacing="0" w:afterAutospacing="0" w:line="508" w:lineRule="exact"/>
        <w:rPr>
          <w:rFonts w:hint="eastAsia" w:ascii="宋体" w:hAnsi="宋体" w:eastAsia="宋体" w:cs="宋体"/>
          <w:b w:val="0"/>
          <w:bCs/>
          <w:color w:val="000000" w:themeColor="text1"/>
          <w:sz w:val="44"/>
          <w:szCs w:val="44"/>
          <w:highlight w:val="none"/>
          <w14:textFill>
            <w14:solidFill>
              <w14:schemeClr w14:val="tx1"/>
            </w14:solidFill>
          </w14:textFill>
        </w:rPr>
        <w:outlineLvl w:val="0"/>
      </w:pPr>
      <w:r/>
      <w:bookmarkStart w:id="49" w:name="_Toc120614211"/>
      <w:r/>
      <w:bookmarkStart w:id="50" w:name="_Toc222837039"/>
      <w:r>
        <w:rPr>
          <w:rFonts w:hint="eastAsia" w:ascii="宋体" w:hAnsi="宋体" w:eastAsia="宋体" w:cs="宋体"/>
          <w:b w:val="0"/>
          <w:bCs/>
          <w:color w:val="000000" w:themeColor="text1"/>
          <w:sz w:val="44"/>
          <w:szCs w:val="44"/>
          <w:highlight w:val="none"/>
          <w14:textFill>
            <w14:solidFill>
              <w14:schemeClr w14:val="tx1"/>
            </w14:solidFill>
          </w14:textFill>
        </w:rPr>
        <w:t xml:space="preserve">第二章</w:t>
      </w:r>
      <w:bookmarkEnd w:id="49"/>
      <w:r>
        <w:rPr>
          <w:rFonts w:hint="eastAsia" w:ascii="宋体" w:hAnsi="宋体" w:eastAsia="宋体" w:cs="宋体"/>
          <w:b w:val="0"/>
          <w:bCs/>
          <w:color w:val="000000" w:themeColor="text1"/>
          <w:sz w:val="44"/>
          <w:szCs w:val="44"/>
          <w:highlight w:val="none"/>
          <w14:textFill>
            <w14:solidFill>
              <w14:schemeClr w14:val="tx1"/>
            </w14:solidFill>
          </w14:textFill>
        </w:rPr>
        <w:t xml:space="preserve">供应商须知</w:t>
      </w:r>
      <w:bookmarkEnd w:id="50"/>
      <w:r/>
      <w:r/>
    </w:p>
    <w:p>
      <w:pPr>
        <w:ind w:firstLine="560"/>
        <w:spacing w:line="508" w:lineRule="exact"/>
        <w:rPr>
          <w:rFonts w:hint="eastAsia" w:ascii="宋体" w:hAnsi="宋体" w:eastAsia="宋体" w:cs="宋体"/>
          <w:b w:val="0"/>
          <w:bCs/>
          <w:color w:val="000000" w:themeColor="text1"/>
          <w:sz w:val="28"/>
          <w:szCs w:val="28"/>
          <w:highlight w:val="none"/>
          <w14:textFill>
            <w14:solidFill>
              <w14:schemeClr w14:val="tx1"/>
            </w14:solidFill>
          </w14:textFill>
        </w:rPr>
      </w:pPr>
      <w:r>
        <w:rPr>
          <w:rFonts w:hint="eastAsia" w:ascii="宋体" w:hAnsi="宋体" w:eastAsia="宋体" w:cs="宋体"/>
          <w:b w:val="0"/>
          <w:bCs/>
          <w:color w:val="000000" w:themeColor="text1"/>
          <w:sz w:val="28"/>
          <w:szCs w:val="28"/>
          <w:highlight w:val="none"/>
          <w14:textFill>
            <w14:solidFill>
              <w14:schemeClr w14:val="tx1"/>
            </w14:solidFill>
          </w14:textFill>
        </w:rPr>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bookmarkStart w:id="51" w:name="_Toc16938519"/>
      <w:r/>
      <w:bookmarkStart w:id="52" w:name="_Toc120614214"/>
      <w:r/>
      <w:bookmarkStart w:id="53" w:name="_Toc20823275"/>
      <w:r/>
      <w:bookmarkStart w:id="54" w:name="_Toc513029203"/>
      <w:r>
        <w:rPr>
          <w:rFonts w:hint="eastAsia" w:ascii="宋体" w:hAnsi="宋体" w:eastAsia="宋体" w:cs="宋体"/>
          <w:b w:val="0"/>
          <w:bCs/>
          <w:color w:val="000000" w:themeColor="text1"/>
          <w:sz w:val="24"/>
          <w:szCs w:val="24"/>
          <w:highlight w:val="none"/>
          <w14:textFill>
            <w14:solidFill>
              <w14:schemeClr w14:val="tx1"/>
            </w14:solidFill>
          </w14:textFill>
        </w:rPr>
        <w:t xml:space="preserve">一、总则</w:t>
      </w:r>
      <w:bookmarkEnd w:id="51"/>
      <w:r/>
      <w:bookmarkEnd w:id="52"/>
      <w:r/>
      <w:bookmarkEnd w:id="53"/>
      <w:r/>
      <w:bookmarkEnd w:id="54"/>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bookmarkStart w:id="55" w:name="_Toc20823276"/>
      <w:r/>
      <w:bookmarkStart w:id="56" w:name="_Toc513029204"/>
      <w:r/>
      <w:bookmarkStart w:id="57" w:name="_Toc16938520"/>
      <w:r/>
      <w:bookmarkStart w:id="58" w:name="_Toc458694821"/>
      <w:r/>
      <w:bookmarkStart w:id="59" w:name="_Hlt16619475"/>
      <w:r>
        <w:rPr>
          <w:rFonts w:hint="eastAsia" w:ascii="宋体" w:hAnsi="宋体" w:eastAsia="宋体" w:cs="宋体"/>
          <w:b w:val="0"/>
          <w:bCs/>
          <w:color w:val="000000" w:themeColor="text1"/>
          <w:sz w:val="24"/>
          <w:szCs w:val="24"/>
          <w:highlight w:val="none"/>
          <w14:textFill>
            <w14:solidFill>
              <w14:schemeClr w14:val="tx1"/>
            </w14:solidFill>
          </w14:textFill>
        </w:rPr>
        <w:t xml:space="preserve">1</w:t>
      </w:r>
      <w:bookmarkEnd w:id="55"/>
      <w:r>
        <w:rPr>
          <w:rFonts w:hint="eastAsia" w:ascii="宋体" w:hAnsi="宋体" w:eastAsia="宋体" w:cs="宋体"/>
          <w:b w:val="0"/>
          <w:bCs/>
          <w:color w:val="000000" w:themeColor="text1"/>
          <w:sz w:val="24"/>
          <w:szCs w:val="24"/>
          <w:highlight w:val="none"/>
          <w14:textFill>
            <w14:solidFill>
              <w14:schemeClr w14:val="tx1"/>
            </w14:solidFill>
          </w14:textFill>
        </w:rPr>
        <w:t xml:space="preserve">.采购方式</w:t>
      </w:r>
      <w:bookmarkEnd w:id="56"/>
      <w:r/>
      <w:bookmarkEnd w:id="57"/>
      <w:r/>
      <w:bookmarkEnd w:id="58"/>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1.1本次政府采购活动采取竞争性磋商(以下简称磋商)方式，本磋商文件仅适用于磋商公告中所述项目。</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bookmarkStart w:id="60" w:name="_Toc20823277"/>
      <w:r/>
      <w:bookmarkStart w:id="61" w:name="_Toc16938521"/>
      <w:r/>
      <w:bookmarkStart w:id="62" w:name="_Toc513029205"/>
      <w:r>
        <w:rPr>
          <w:rFonts w:hint="eastAsia" w:ascii="宋体" w:hAnsi="宋体" w:eastAsia="宋体" w:cs="宋体"/>
          <w:b w:val="0"/>
          <w:bCs/>
          <w:color w:val="000000" w:themeColor="text1"/>
          <w:sz w:val="24"/>
          <w:szCs w:val="24"/>
          <w:highlight w:val="none"/>
          <w14:textFill>
            <w14:solidFill>
              <w14:schemeClr w14:val="tx1"/>
            </w14:solidFill>
          </w14:textFill>
        </w:rPr>
        <w:t xml:space="preserve">2.合格的</w:t>
      </w:r>
      <w:bookmarkEnd w:id="60"/>
      <w:r/>
      <w:bookmarkEnd w:id="61"/>
      <w:r/>
      <w:bookmarkEnd w:id="62"/>
      <w:r>
        <w:rPr>
          <w:rFonts w:hint="eastAsia" w:ascii="宋体" w:hAnsi="宋体" w:eastAsia="宋体" w:cs="宋体"/>
          <w:b w:val="0"/>
          <w:bCs/>
          <w:color w:val="000000" w:themeColor="text1"/>
          <w:sz w:val="24"/>
          <w:szCs w:val="24"/>
          <w:highlight w:val="none"/>
          <w14:textFill>
            <w14:solidFill>
              <w14:schemeClr w14:val="tx1"/>
            </w14:solidFill>
          </w14:textFill>
        </w:rPr>
        <w:t xml:space="preserve">供应商</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2.1满足磋商公告中供应商资格要求的规定。</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2.2满足本磋商文件实质性要求和条件的规定。</w:t>
      </w:r>
      <w:r/>
    </w:p>
    <w:p>
      <w:pPr>
        <w:ind w:firstLine="560"/>
        <w:spacing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bookmarkStart w:id="63" w:name="_Toc16938522"/>
      <w:r/>
      <w:bookmarkStart w:id="64" w:name="_Toc20823278"/>
      <w:r/>
      <w:bookmarkStart w:id="65" w:name="_Toc513029206"/>
      <w:r/>
      <w:bookmarkStart w:id="66" w:name="_Toc16938523"/>
      <w:r/>
      <w:bookmarkStart w:id="67" w:name="_Toc20823279"/>
      <w:r/>
      <w:bookmarkStart w:id="68" w:name="_Toc462564067"/>
      <w:r/>
      <w:bookmarkStart w:id="69" w:name="_Toc513029207"/>
      <w:r>
        <w:rPr>
          <w:rFonts w:hint="eastAsia" w:ascii="宋体" w:hAnsi="宋体" w:eastAsia="宋体" w:cs="宋体"/>
          <w:b w:val="0"/>
          <w:bCs/>
          <w:color w:val="000000" w:themeColor="text1"/>
          <w:sz w:val="24"/>
          <w:szCs w:val="24"/>
          <w:highlight w:val="none"/>
          <w14:textFill>
            <w14:solidFill>
              <w14:schemeClr w14:val="tx1"/>
            </w14:solidFill>
          </w14:textFill>
        </w:rPr>
        <w:t xml:space="preserve">3.适用法律</w:t>
      </w:r>
      <w:bookmarkEnd w:id="63"/>
      <w:r/>
      <w:bookmarkEnd w:id="64"/>
      <w:r/>
      <w:bookmarkEnd w:id="65"/>
      <w:r>
        <w:rPr>
          <w:rFonts w:hint="eastAsia" w:ascii="宋体" w:hAnsi="宋体" w:eastAsia="宋体" w:cs="宋体"/>
          <w:b w:val="0"/>
          <w:bCs/>
          <w:color w:val="000000" w:themeColor="text1"/>
          <w:sz w:val="24"/>
          <w:szCs w:val="24"/>
          <w:highlight w:val="none"/>
          <w14:textFill>
            <w14:solidFill>
              <w14:schemeClr w14:val="tx1"/>
            </w14:solidFill>
          </w14:textFill>
        </w:rPr>
        <w:t xml:space="preserve">和标准</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3.1本次招标及由此产生的合同受中华人民共和国有关的法律法规制约和保护。</w:t>
      </w:r>
      <w:r/>
    </w:p>
    <w:p>
      <w:pPr>
        <w:ind w:firstLine="560"/>
        <w:spacing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3.2在本项目政府采购活动过程中，如果所执行的标准有更新的，按照最新标准执行。</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4.磋商费用</w:t>
      </w:r>
      <w:bookmarkEnd w:id="66"/>
      <w:r/>
      <w:bookmarkEnd w:id="67"/>
      <w:r/>
      <w:bookmarkEnd w:id="68"/>
      <w:r/>
      <w:bookmarkEnd w:id="69"/>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4.1供应商应自行承担所有与参加本次磋商有关的费用，无论磋商过程中的做法和结果如何，采购人和</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采购</w:t>
      </w:r>
      <w:r>
        <w:rPr>
          <w:rFonts w:hint="eastAsia" w:ascii="宋体" w:hAnsi="宋体" w:eastAsia="宋体" w:cs="宋体"/>
          <w:b w:val="0"/>
          <w:bCs/>
          <w:color w:val="000000" w:themeColor="text1"/>
          <w:sz w:val="24"/>
          <w:szCs w:val="24"/>
          <w:highlight w:val="none"/>
          <w14:textFill>
            <w14:solidFill>
              <w14:schemeClr w14:val="tx1"/>
            </w14:solidFill>
          </w14:textFill>
        </w:rPr>
        <w:t xml:space="preserve">代理机构在任何情况下均无义务和责任承担这些费用。</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4.2本次磋商</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b w:val="0"/>
          <w:bCs/>
          <w:color w:val="000000" w:themeColor="text1"/>
          <w:sz w:val="24"/>
          <w:szCs w:val="24"/>
          <w:highlight w:val="none"/>
          <w14:textFill>
            <w14:solidFill>
              <w14:schemeClr w14:val="tx1"/>
            </w14:solidFill>
          </w14:textFill>
        </w:rPr>
        <w:t xml:space="preserve">和采购人不收取标书工本费。</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4.3</w:t>
      </w:r>
      <w:r>
        <w:rPr>
          <w:rFonts w:hint="eastAsia" w:ascii="宋体" w:hAnsi="宋体" w:eastAsia="宋体" w:cs="宋体"/>
          <w:b w:val="0"/>
          <w:bCs/>
          <w:color w:val="000000" w:themeColor="text1"/>
          <w:sz w:val="24"/>
          <w:szCs w:val="24"/>
          <w:highlight w:val="none"/>
          <w14:textFill>
            <w14:solidFill>
              <w14:schemeClr w14:val="tx1"/>
            </w14:solidFill>
          </w14:textFill>
        </w:rPr>
        <w:t xml:space="preserve">本项目代理服务费由项目</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成交供应商</w:t>
      </w:r>
      <w:r>
        <w:rPr>
          <w:rFonts w:hint="eastAsia" w:ascii="宋体" w:hAnsi="宋体" w:eastAsia="宋体" w:cs="宋体"/>
          <w:b w:val="0"/>
          <w:bCs/>
          <w:color w:val="000000" w:themeColor="text1"/>
          <w:sz w:val="24"/>
          <w:szCs w:val="24"/>
          <w:highlight w:val="none"/>
          <w14:textFill>
            <w14:solidFill>
              <w14:schemeClr w14:val="tx1"/>
            </w14:solidFill>
          </w14:textFill>
        </w:rPr>
        <w:t xml:space="preserve">支付，代理服务费收费标准按照《江苏省政府采购代理服务收费指导意见》的通知（苏政采协【2024】20号）收费标准的43.5%计取，由</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成交供应商</w:t>
      </w:r>
      <w:r>
        <w:rPr>
          <w:rFonts w:hint="eastAsia" w:ascii="宋体" w:hAnsi="宋体" w:eastAsia="宋体" w:cs="宋体"/>
          <w:b w:val="0"/>
          <w:bCs/>
          <w:color w:val="000000" w:themeColor="text1"/>
          <w:sz w:val="24"/>
          <w:szCs w:val="24"/>
          <w:highlight w:val="none"/>
          <w14:textFill>
            <w14:solidFill>
              <w14:schemeClr w14:val="tx1"/>
            </w14:solidFill>
          </w14:textFill>
        </w:rPr>
        <w:t xml:space="preserve">领取</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成交</w:t>
      </w:r>
      <w:r>
        <w:rPr>
          <w:rFonts w:hint="eastAsia" w:ascii="宋体" w:hAnsi="宋体" w:eastAsia="宋体" w:cs="宋体"/>
          <w:b w:val="0"/>
          <w:bCs/>
          <w:color w:val="000000" w:themeColor="text1"/>
          <w:sz w:val="24"/>
          <w:szCs w:val="24"/>
          <w:highlight w:val="none"/>
          <w14:textFill>
            <w14:solidFill>
              <w14:schemeClr w14:val="tx1"/>
            </w14:solidFill>
          </w14:textFill>
        </w:rPr>
        <w:t xml:space="preserve">通知书前，向代理公司支付，请投标人考虑在投标报价中。</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5.磋商文件的约束力</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5.1供应商一旦参加本项目采购活动，即被认为接受了本磋商文件的规定和约束。</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bookmarkStart w:id="70" w:name="_Toc16938525"/>
      <w:r/>
      <w:bookmarkStart w:id="71" w:name="_Toc120614215"/>
      <w:r/>
      <w:bookmarkStart w:id="72" w:name="_Toc513029209"/>
      <w:r/>
      <w:bookmarkStart w:id="73" w:name="_Toc20823281"/>
      <w:r>
        <w:rPr>
          <w:rFonts w:hint="eastAsia" w:ascii="宋体" w:hAnsi="宋体" w:eastAsia="宋体" w:cs="宋体"/>
          <w:b w:val="0"/>
          <w:bCs/>
          <w:color w:val="000000" w:themeColor="text1"/>
          <w:sz w:val="24"/>
          <w:szCs w:val="24"/>
          <w:highlight w:val="none"/>
          <w14:textFill>
            <w14:solidFill>
              <w14:schemeClr w14:val="tx1"/>
            </w14:solidFill>
          </w14:textFill>
        </w:rPr>
        <w:t xml:space="preserve">二、</w:t>
      </w:r>
      <w:bookmarkEnd w:id="70"/>
      <w:r/>
      <w:bookmarkEnd w:id="71"/>
      <w:r/>
      <w:bookmarkEnd w:id="72"/>
      <w:r/>
      <w:bookmarkEnd w:id="73"/>
      <w:r>
        <w:rPr>
          <w:rFonts w:hint="eastAsia" w:ascii="宋体" w:hAnsi="宋体" w:eastAsia="宋体" w:cs="宋体"/>
          <w:b w:val="0"/>
          <w:bCs/>
          <w:color w:val="000000" w:themeColor="text1"/>
          <w:sz w:val="24"/>
          <w:szCs w:val="24"/>
          <w:highlight w:val="none"/>
          <w14:textFill>
            <w14:solidFill>
              <w14:schemeClr w14:val="tx1"/>
            </w14:solidFill>
          </w14:textFill>
        </w:rPr>
        <w:t xml:space="preserve">磋商文件</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bookmarkStart w:id="74" w:name="_Toc513029210"/>
      <w:r/>
      <w:bookmarkStart w:id="75" w:name="_Toc20823282"/>
      <w:r/>
      <w:bookmarkStart w:id="76" w:name="_Toc16938526"/>
      <w:r>
        <w:rPr>
          <w:rFonts w:hint="eastAsia" w:ascii="宋体" w:hAnsi="宋体" w:eastAsia="宋体" w:cs="宋体"/>
          <w:b w:val="0"/>
          <w:bCs/>
          <w:color w:val="000000" w:themeColor="text1"/>
          <w:sz w:val="24"/>
          <w:szCs w:val="24"/>
          <w:highlight w:val="none"/>
          <w14:textFill>
            <w14:solidFill>
              <w14:schemeClr w14:val="tx1"/>
            </w14:solidFill>
          </w14:textFill>
        </w:rPr>
        <w:t xml:space="preserve">6.磋商文件构成</w:t>
      </w:r>
      <w:bookmarkEnd w:id="74"/>
      <w:r/>
      <w:bookmarkEnd w:id="75"/>
      <w:r/>
      <w:bookmarkEnd w:id="76"/>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6.1磋商文件由以下部分组成：</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（1）磋商公告</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（2）供应商须知</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（3）合同文本</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（4）采购需求</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（5）评审方法与评审标准</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（6）响应文件格式</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请仔细检查磋商文件是否齐全，如有缺漏请立即与</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b w:val="0"/>
          <w:bCs/>
          <w:color w:val="000000" w:themeColor="text1"/>
          <w:sz w:val="24"/>
          <w:szCs w:val="24"/>
          <w:highlight w:val="none"/>
          <w14:textFill>
            <w14:solidFill>
              <w14:schemeClr w14:val="tx1"/>
            </w14:solidFill>
          </w14:textFill>
        </w:rPr>
        <w:t xml:space="preserve">联系解决。</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bookmarkStart w:id="77" w:name="_Toc462564070"/>
      <w:r/>
      <w:bookmarkStart w:id="78" w:name="_Toc20823283"/>
      <w:r/>
      <w:bookmarkStart w:id="79" w:name="_Toc513029211"/>
      <w:r/>
      <w:bookmarkStart w:id="80" w:name="_Toc16938527"/>
      <w:r>
        <w:rPr>
          <w:rFonts w:hint="eastAsia" w:ascii="宋体" w:hAnsi="宋体" w:eastAsia="宋体" w:cs="宋体"/>
          <w:b w:val="0"/>
          <w:bCs/>
          <w:color w:val="000000" w:themeColor="text1"/>
          <w:sz w:val="24"/>
          <w:szCs w:val="24"/>
          <w:highlight w:val="none"/>
          <w14:textFill>
            <w14:solidFill>
              <w14:schemeClr w14:val="tx1"/>
            </w14:solidFill>
          </w14:textFill>
        </w:rPr>
        <w:t xml:space="preserve">7.磋商文件的澄清</w:t>
      </w:r>
      <w:bookmarkEnd w:id="77"/>
      <w:r/>
      <w:bookmarkEnd w:id="78"/>
      <w:r/>
      <w:bookmarkEnd w:id="79"/>
      <w:r/>
      <w:bookmarkEnd w:id="80"/>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7.1任何要求对磋商文件进行澄清的供应商，应在磋商截止期5日前按磋商公告中的通讯地址，以书面形式通知</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bookmarkStart w:id="81" w:name="_Toc16938528"/>
      <w:r/>
      <w:bookmarkStart w:id="82" w:name="_Toc20823284"/>
      <w:r/>
      <w:bookmarkStart w:id="83" w:name="_Toc462564071"/>
      <w:r/>
      <w:bookmarkStart w:id="84" w:name="_Toc513029212"/>
      <w:r>
        <w:rPr>
          <w:rFonts w:hint="eastAsia" w:ascii="宋体" w:hAnsi="宋体" w:eastAsia="宋体" w:cs="宋体"/>
          <w:b w:val="0"/>
          <w:bCs/>
          <w:color w:val="000000" w:themeColor="text1"/>
          <w:sz w:val="24"/>
          <w:szCs w:val="24"/>
          <w:highlight w:val="none"/>
          <w14:textFill>
            <w14:solidFill>
              <w14:schemeClr w14:val="tx1"/>
            </w14:solidFill>
          </w14:textFill>
        </w:rPr>
        <w:t xml:space="preserve">8.磋商文件的澄清和修改</w:t>
      </w:r>
      <w:bookmarkEnd w:id="81"/>
      <w:r/>
      <w:bookmarkEnd w:id="82"/>
      <w:r/>
      <w:bookmarkEnd w:id="83"/>
      <w:r/>
      <w:bookmarkEnd w:id="84"/>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8.1在响应文件提交截止时间前，</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b w:val="0"/>
          <w:bCs/>
          <w:color w:val="000000" w:themeColor="text1"/>
          <w:sz w:val="24"/>
          <w:szCs w:val="24"/>
          <w:highlight w:val="none"/>
          <w14:textFill>
            <w14:solidFill>
              <w14:schemeClr w14:val="tx1"/>
            </w14:solidFill>
          </w14:textFill>
        </w:rPr>
        <w:t xml:space="preserve">可以对磋商文件进行澄清和修改，澄清或者修改的内容作为磋商文件的组成部分。澄清或者修改的内容可能影响响应文件编制的，</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b w:val="0"/>
          <w:bCs/>
          <w:color w:val="000000" w:themeColor="text1"/>
          <w:sz w:val="24"/>
          <w:szCs w:val="24"/>
          <w:highlight w:val="none"/>
          <w14:textFill>
            <w14:solidFill>
              <w14:schemeClr w14:val="tx1"/>
            </w14:solidFill>
          </w14:textFill>
        </w:rPr>
        <w:t xml:space="preserve">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b w:val="0"/>
          <w:bCs/>
          <w:color w:val="000000" w:themeColor="text1"/>
          <w:sz w:val="24"/>
          <w:szCs w:val="24"/>
          <w:highlight w:val="none"/>
          <w14:textFill>
            <w14:solidFill>
              <w14:schemeClr w14:val="tx1"/>
            </w14:solidFill>
          </w14:textFill>
        </w:rPr>
        <w:t xml:space="preserve">将顺延提交首次响应文件截止时间。</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8.2</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b w:val="0"/>
          <w:bCs/>
          <w:color w:val="000000" w:themeColor="text1"/>
          <w:sz w:val="24"/>
          <w:szCs w:val="24"/>
          <w:highlight w:val="none"/>
          <w14:textFill>
            <w14:solidFill>
              <w14:schemeClr w14:val="tx1"/>
            </w14:solidFill>
          </w14:textFill>
        </w:rPr>
        <w:t xml:space="preserve">可以视采购项目的具体情况，组织供应商进行现场考察或召开磋商前答疑会，但不单独或分别组织只有一个供应商参加的现场考察和答疑会。</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bookmarkStart w:id="85" w:name="_Toc462564072"/>
      <w:r/>
      <w:bookmarkStart w:id="86" w:name="_Toc16938529"/>
      <w:r/>
      <w:bookmarkStart w:id="87" w:name="_Toc513029213"/>
      <w:r/>
      <w:bookmarkStart w:id="88" w:name="_Toc120614216"/>
      <w:r/>
      <w:bookmarkStart w:id="89" w:name="_Toc20823285"/>
      <w:r>
        <w:rPr>
          <w:rFonts w:hint="eastAsia" w:ascii="宋体" w:hAnsi="宋体" w:eastAsia="宋体" w:cs="宋体"/>
          <w:b w:val="0"/>
          <w:bCs/>
          <w:color w:val="000000" w:themeColor="text1"/>
          <w:sz w:val="24"/>
          <w:szCs w:val="24"/>
          <w:highlight w:val="none"/>
          <w14:textFill>
            <w14:solidFill>
              <w14:schemeClr w14:val="tx1"/>
            </w14:solidFill>
          </w14:textFill>
        </w:rPr>
        <w:t xml:space="preserve">三、响应文件的编制</w:t>
      </w:r>
      <w:bookmarkEnd w:id="85"/>
      <w:r/>
      <w:bookmarkEnd w:id="86"/>
      <w:r/>
      <w:bookmarkEnd w:id="87"/>
      <w:r/>
      <w:bookmarkEnd w:id="88"/>
      <w:r/>
      <w:bookmarkEnd w:id="89"/>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bookmarkStart w:id="90" w:name="_Toc513029214"/>
      <w:r/>
      <w:bookmarkStart w:id="91" w:name="_Toc462564073"/>
      <w:r/>
      <w:bookmarkStart w:id="92" w:name="_Toc20823286"/>
      <w:r/>
      <w:bookmarkStart w:id="93" w:name="_Toc16938530"/>
      <w:r>
        <w:rPr>
          <w:rFonts w:hint="eastAsia" w:ascii="宋体" w:hAnsi="宋体" w:eastAsia="宋体" w:cs="宋体"/>
          <w:b w:val="0"/>
          <w:bCs/>
          <w:color w:val="000000" w:themeColor="text1"/>
          <w:sz w:val="24"/>
          <w:szCs w:val="24"/>
          <w:highlight w:val="none"/>
          <w14:textFill>
            <w14:solidFill>
              <w14:schemeClr w14:val="tx1"/>
            </w14:solidFill>
          </w14:textFill>
        </w:rPr>
        <w:t xml:space="preserve">9.响应文件的语言及度量衡单位</w:t>
      </w:r>
      <w:bookmarkEnd w:id="90"/>
      <w:r/>
      <w:bookmarkEnd w:id="91"/>
      <w:r/>
      <w:bookmarkEnd w:id="92"/>
      <w:r/>
      <w:bookmarkEnd w:id="93"/>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9.1供应商提交的响应文件以及供应商与</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b w:val="0"/>
          <w:bCs/>
          <w:color w:val="000000" w:themeColor="text1"/>
          <w:sz w:val="24"/>
          <w:szCs w:val="24"/>
          <w:highlight w:val="none"/>
          <w14:textFill>
            <w14:solidFill>
              <w14:schemeClr w14:val="tx1"/>
            </w14:solidFill>
          </w14:textFill>
        </w:rPr>
        <w:t xml:space="preserve">就有关磋商的所有来往通知、函件和文件均应使用简体中文。</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9.2 除技术性能另有规定外，响应文件所使用的度量衡单位，均须采用国家法定计量单位。</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bookmarkStart w:id="94" w:name="_Toc462564074"/>
      <w:r/>
      <w:bookmarkStart w:id="95" w:name="_Toc20823287"/>
      <w:r/>
      <w:bookmarkStart w:id="96" w:name="_Toc16938531"/>
      <w:r/>
      <w:bookmarkStart w:id="97" w:name="_Toc513029215"/>
      <w:r>
        <w:rPr>
          <w:rFonts w:hint="eastAsia" w:ascii="宋体" w:hAnsi="宋体" w:eastAsia="宋体" w:cs="宋体"/>
          <w:b w:val="0"/>
          <w:bCs/>
          <w:color w:val="000000" w:themeColor="text1"/>
          <w:sz w:val="24"/>
          <w:szCs w:val="24"/>
          <w:highlight w:val="none"/>
          <w14:textFill>
            <w14:solidFill>
              <w14:schemeClr w14:val="tx1"/>
            </w14:solidFill>
          </w14:textFill>
        </w:rPr>
        <w:t xml:space="preserve">10.响应文件构成</w:t>
      </w:r>
      <w:bookmarkEnd w:id="94"/>
      <w:r/>
      <w:bookmarkEnd w:id="95"/>
      <w:r/>
      <w:bookmarkEnd w:id="96"/>
      <w:r/>
      <w:bookmarkEnd w:id="97"/>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10.1供应商编写的响应文件应包括资格证明文件、符合性证明文件、分项报价表、技术要求响应及偏离表、商务要求响应及偏离表、其他证明文件、磋商响应函等部分。</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10.2如标书制作工具中格式和内容与“中国政府采购网”、“江苏政府采购网”“盐城市政府采购网”发布的磋商文件不一致，请以“中国政府采购网”“江苏政府采购网”“盐城市政府采购网”发布的磋商文件为准。</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bookmarkStart w:id="98" w:name="_Toc49090507"/>
      <w:r/>
      <w:bookmarkStart w:id="99" w:name="_Toc513029219"/>
      <w:r/>
      <w:bookmarkStart w:id="100" w:name="_Toc49090508"/>
      <w:r/>
      <w:bookmarkStart w:id="101" w:name="_Toc513029216"/>
      <w:r/>
      <w:bookmarkStart w:id="102" w:name="_Toc14577357"/>
      <w:r/>
      <w:bookmarkStart w:id="103" w:name="_Toc49090509"/>
      <w:r/>
      <w:bookmarkStart w:id="104" w:name="_Toc14577355"/>
      <w:r/>
      <w:bookmarkStart w:id="105" w:name="_Toc14577354"/>
      <w:r/>
      <w:bookmarkStart w:id="106" w:name="_Hlt26954838"/>
      <w:r/>
      <w:bookmarkStart w:id="107" w:name="_Hlt26670360"/>
      <w:r/>
      <w:bookmarkStart w:id="108" w:name="_Hlt26668975"/>
      <w:r>
        <w:rPr>
          <w:rFonts w:hint="eastAsia" w:ascii="宋体" w:hAnsi="宋体" w:eastAsia="宋体" w:cs="宋体"/>
          <w:b w:val="0"/>
          <w:bCs/>
          <w:color w:val="000000" w:themeColor="text1"/>
          <w:sz w:val="24"/>
          <w:szCs w:val="24"/>
          <w:highlight w:val="none"/>
          <w14:textFill>
            <w14:solidFill>
              <w14:schemeClr w14:val="tx1"/>
            </w14:solidFill>
          </w14:textFill>
        </w:rPr>
        <w:t xml:space="preserve">11.证明磋商响应标的符合磋商文件规定的文件</w:t>
      </w:r>
      <w:bookmarkEnd w:id="98"/>
      <w:r/>
      <w:bookmarkEnd w:id="99"/>
      <w:r/>
      <w:bookmarkEnd w:id="100"/>
      <w:r/>
      <w:bookmarkEnd w:id="101"/>
      <w:r/>
      <w:bookmarkEnd w:id="102"/>
      <w:r/>
      <w:bookmarkEnd w:id="103"/>
      <w:r/>
      <w:bookmarkEnd w:id="104"/>
      <w:r/>
      <w:bookmarkEnd w:id="105"/>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11.1供应商应按照磋商文件要求提交证明文件，证明其及磋商响应标的符合磋商文件规定。</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11.2磋商文件对证明文件无明确形式要求的，证明文件可以以文字资料、图纸和数据等形式提交。</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12.分项报价表</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12.1供应商应按照磋商文件规定格式填报分项报价表。</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12.2磋商货币。响应文件中的单价和总价无特殊规定的采用人民币报价，以元为单位标注。磋商文件中另有规定的按规定执行。</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bookmarkStart w:id="109" w:name="_Hlt26670482"/>
      <w:r/>
      <w:bookmarkStart w:id="110" w:name="_Hlt26954848"/>
      <w:r/>
      <w:bookmarkStart w:id="111" w:name="_Hlt26670486"/>
      <w:r/>
      <w:bookmarkStart w:id="112" w:name="_Hlt26954846"/>
      <w:r/>
      <w:bookmarkStart w:id="113" w:name="_Hlt26954731"/>
      <w:r>
        <w:rPr>
          <w:rFonts w:hint="eastAsia" w:ascii="宋体" w:hAnsi="宋体" w:eastAsia="宋体" w:cs="宋体"/>
          <w:b w:val="0"/>
          <w:bCs/>
          <w:color w:val="000000" w:themeColor="text1"/>
          <w:sz w:val="24"/>
          <w:szCs w:val="24"/>
          <w:highlight w:val="none"/>
          <w14:textFill>
            <w14:solidFill>
              <w14:schemeClr w14:val="tx1"/>
            </w14:solidFill>
          </w14:textFill>
        </w:rPr>
        <w:t xml:space="preserve">13.技术要求响应及偏离表、商务要求响应及偏离表</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13.1供应商需对磋商文件中的技术要求与商务要求逐项作出响应或偏离，并说明原因。</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13.2供应商可在响应文件中提供认为需要的其他技术文件或说明。</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14.服务承诺、培训计划、人员安排及其他</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14.1供应商需根据磋商文件要求提供有关售后服务的管理制度，售后服务机构的分布情况，售后服务人员的数量、素质、技术水平及售后服务的反应能力等。</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14.2供应商需根据磋商文件要求提供培训计划。</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14.3供应商需根据磋商文件要求提供磋商响应标的的主要组成部分、功能设计、实现思路及关键技术等。</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bookmarkStart w:id="114" w:name="_Toc49090510"/>
      <w:r/>
      <w:bookmarkStart w:id="115" w:name="_Toc14577359"/>
      <w:r>
        <w:rPr>
          <w:rFonts w:hint="eastAsia" w:ascii="宋体" w:hAnsi="宋体" w:eastAsia="宋体" w:cs="宋体"/>
          <w:b w:val="0"/>
          <w:bCs/>
          <w:color w:val="000000" w:themeColor="text1"/>
          <w:sz w:val="24"/>
          <w:szCs w:val="24"/>
          <w:highlight w:val="none"/>
          <w14:textFill>
            <w14:solidFill>
              <w14:schemeClr w14:val="tx1"/>
            </w14:solidFill>
          </w14:textFill>
        </w:rPr>
        <w:t xml:space="preserve">15.磋商响应函</w:t>
      </w:r>
      <w:bookmarkEnd w:id="114"/>
      <w:r/>
      <w:bookmarkEnd w:id="115"/>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15.1供应商应按照磋商文件中提供的格式完整、正确填写磋商响应函。</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bookmarkStart w:id="116" w:name="_Toc49090511"/>
      <w:r/>
      <w:bookmarkStart w:id="117" w:name="_Toc14577360"/>
      <w:r>
        <w:rPr>
          <w:rFonts w:hint="eastAsia" w:ascii="宋体" w:hAnsi="宋体" w:eastAsia="宋体" w:cs="宋体"/>
          <w:b w:val="0"/>
          <w:bCs/>
          <w:color w:val="000000" w:themeColor="text1"/>
          <w:sz w:val="24"/>
          <w:szCs w:val="24"/>
          <w:highlight w:val="none"/>
          <w14:textFill>
            <w14:solidFill>
              <w14:schemeClr w14:val="tx1"/>
            </w14:solidFill>
          </w14:textFill>
        </w:rPr>
        <w:t xml:space="preserve">16.磋商有效期</w:t>
      </w:r>
      <w:bookmarkEnd w:id="116"/>
      <w:r/>
      <w:bookmarkEnd w:id="117"/>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16.1磋商有效期为</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b w:val="0"/>
          <w:bCs/>
          <w:color w:val="000000" w:themeColor="text1"/>
          <w:sz w:val="24"/>
          <w:szCs w:val="24"/>
          <w:highlight w:val="none"/>
          <w14:textFill>
            <w14:solidFill>
              <w14:schemeClr w14:val="tx1"/>
            </w14:solidFill>
          </w14:textFill>
        </w:rPr>
        <w:t xml:space="preserve">规定的提交响应文件截止之日后</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九十（90）天</w:t>
      </w:r>
      <w:r>
        <w:rPr>
          <w:rFonts w:hint="eastAsia" w:ascii="宋体" w:hAnsi="宋体" w:eastAsia="宋体" w:cs="宋体"/>
          <w:b w:val="0"/>
          <w:bCs/>
          <w:color w:val="000000" w:themeColor="text1"/>
          <w:sz w:val="24"/>
          <w:szCs w:val="24"/>
          <w:highlight w:val="none"/>
          <w14:textFill>
            <w14:solidFill>
              <w14:schemeClr w14:val="tx1"/>
            </w14:solidFill>
          </w14:textFill>
        </w:rPr>
        <w:t xml:space="preserve">。磋商有效期比规定短的将被视为非实质性响应磋商文件而予以拒绝。</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17.磋商有效期的延长</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17.1在特殊情况下，</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b w:val="0"/>
          <w:bCs/>
          <w:color w:val="000000" w:themeColor="text1"/>
          <w:sz w:val="24"/>
          <w:szCs w:val="24"/>
          <w:highlight w:val="none"/>
          <w14:textFill>
            <w14:solidFill>
              <w14:schemeClr w14:val="tx1"/>
            </w14:solidFill>
          </w14:textFill>
        </w:rPr>
        <w:t xml:space="preserve">于原磋商有效期满之前，可向供应商提出延长磋商有效期的要求。这种要求与答复均应采用书面形式。供应商可以拒绝</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b w:val="0"/>
          <w:bCs/>
          <w:color w:val="000000" w:themeColor="text1"/>
          <w:sz w:val="24"/>
          <w:szCs w:val="24"/>
          <w:highlight w:val="none"/>
          <w14:textFill>
            <w14:solidFill>
              <w14:schemeClr w14:val="tx1"/>
            </w14:solidFill>
          </w14:textFill>
        </w:rPr>
        <w:t xml:space="preserve">的这一要求而放弃磋商，同意延长磋商有效期的供应商既不能要求也不允许修改其响应文件。受磋商有效期约束的所有权利与义务均延长至新的有效期。</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bookmarkStart w:id="118" w:name="_Toc20823296"/>
      <w:r/>
      <w:bookmarkStart w:id="119" w:name="_Toc16938540"/>
      <w:r/>
      <w:bookmarkStart w:id="120" w:name="_Toc120614217"/>
      <w:r/>
      <w:bookmarkStart w:id="121" w:name="_Toc513029224"/>
      <w:r/>
      <w:bookmarkStart w:id="122" w:name="_Hlt26954852"/>
      <w:r/>
      <w:bookmarkStart w:id="123" w:name="_Hlt26954739"/>
      <w:r>
        <w:rPr>
          <w:rFonts w:hint="eastAsia" w:ascii="宋体" w:hAnsi="宋体" w:eastAsia="宋体" w:cs="宋体"/>
          <w:b w:val="0"/>
          <w:bCs/>
          <w:color w:val="000000" w:themeColor="text1"/>
          <w:sz w:val="24"/>
          <w:szCs w:val="24"/>
          <w:highlight w:val="none"/>
          <w14:textFill>
            <w14:solidFill>
              <w14:schemeClr w14:val="tx1"/>
            </w14:solidFill>
          </w14:textFill>
        </w:rPr>
        <w:t xml:space="preserve">四、响应文件的递交</w:t>
      </w:r>
      <w:bookmarkEnd w:id="118"/>
      <w:r/>
      <w:bookmarkEnd w:id="119"/>
      <w:r/>
      <w:bookmarkEnd w:id="120"/>
      <w:r/>
      <w:bookmarkEnd w:id="121"/>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bookmarkStart w:id="124" w:name="_Toc16938541"/>
      <w:r/>
      <w:bookmarkStart w:id="125" w:name="_Toc462564084"/>
      <w:r/>
      <w:bookmarkStart w:id="126" w:name="_Toc513029225"/>
      <w:r/>
      <w:bookmarkStart w:id="127" w:name="_Toc20823297"/>
      <w:r>
        <w:rPr>
          <w:rFonts w:hint="eastAsia" w:ascii="宋体" w:hAnsi="宋体" w:eastAsia="宋体" w:cs="宋体"/>
          <w:b w:val="0"/>
          <w:bCs/>
          <w:color w:val="000000" w:themeColor="text1"/>
          <w:sz w:val="24"/>
          <w:szCs w:val="24"/>
          <w:highlight w:val="none"/>
          <w14:textFill>
            <w14:solidFill>
              <w14:schemeClr w14:val="tx1"/>
            </w14:solidFill>
          </w14:textFill>
        </w:rPr>
        <w:t xml:space="preserve">18.电子磋商</w:t>
      </w:r>
      <w:bookmarkEnd w:id="124"/>
      <w:r/>
      <w:bookmarkEnd w:id="125"/>
      <w:r/>
      <w:bookmarkEnd w:id="126"/>
      <w:r/>
      <w:bookmarkEnd w:id="127"/>
      <w:r>
        <w:rPr>
          <w:rFonts w:hint="eastAsia" w:ascii="宋体" w:hAnsi="宋体" w:eastAsia="宋体" w:cs="宋体"/>
          <w:b w:val="0"/>
          <w:bCs/>
          <w:color w:val="000000" w:themeColor="text1"/>
          <w:sz w:val="24"/>
          <w:szCs w:val="24"/>
          <w:highlight w:val="none"/>
          <w14:textFill>
            <w14:solidFill>
              <w14:schemeClr w14:val="tx1"/>
            </w14:solidFill>
          </w14:textFill>
        </w:rPr>
        <w:t xml:space="preserve">响应文件的递交</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18.1供应商应当按照《操作手册》规定，在提交响应文件截止时间前制作并上传电子响应文件。</w:t>
      </w:r>
      <w:bookmarkStart w:id="128" w:name="_Toc20823298"/>
      <w:r/>
      <w:bookmarkEnd w:id="128"/>
      <w:r/>
      <w:bookmarkStart w:id="129" w:name="_Toc16938542"/>
      <w:r/>
      <w:bookmarkEnd w:id="129"/>
      <w:r/>
      <w:bookmarkStart w:id="130" w:name="_Toc513029226"/>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19.提交响应文件截止时间</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i/>
          <w:color w:val="000000" w:themeColor="text1"/>
          <w:sz w:val="24"/>
          <w:szCs w:val="24"/>
          <w:highlight w:val="none"/>
          <w:u w:val="single"/>
          <w14:textFill>
            <w14:solidFill>
              <w14:schemeClr w14:val="tx1"/>
            </w14:solidFill>
          </w14:textFill>
        </w:rPr>
        <w:t xml:space="preserve">19.1供应商上传电子响应文件的时间不得迟于磋商公告中规定的提交响应文件截止时间。</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供应商应充分考虑到网络环境、网络带宽等风险因素，如因供应商自身原因造成的电子响应文件上传不成功的按照本磋商文件第二章第26.3.2条规定做无效响应处理。</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19.2</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b w:val="0"/>
          <w:bCs/>
          <w:color w:val="000000" w:themeColor="text1"/>
          <w:sz w:val="24"/>
          <w:szCs w:val="24"/>
          <w:highlight w:val="none"/>
          <w14:textFill>
            <w14:solidFill>
              <w14:schemeClr w14:val="tx1"/>
            </w14:solidFill>
          </w14:textFill>
        </w:rPr>
        <w:t xml:space="preserve">可以按照规定，通过修改磋商文件酌情延长提交响应文件截止日期，在此情况下，供应商的所有权利和义务以及供应商受制的截止日期均应以延长后新的截止日期为准。</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bookmarkStart w:id="131" w:name="_Toc20823299"/>
      <w:r/>
      <w:bookmarkStart w:id="132" w:name="_Toc16938543"/>
      <w:r/>
      <w:bookmarkStart w:id="133" w:name="_Toc513029227"/>
      <w:r>
        <w:rPr>
          <w:rFonts w:hint="eastAsia" w:ascii="宋体" w:hAnsi="宋体" w:eastAsia="宋体" w:cs="宋体"/>
          <w:b w:val="0"/>
          <w:bCs/>
          <w:color w:val="000000" w:themeColor="text1"/>
          <w:sz w:val="24"/>
          <w:szCs w:val="24"/>
          <w:highlight w:val="none"/>
          <w14:textFill>
            <w14:solidFill>
              <w14:schemeClr w14:val="tx1"/>
            </w14:solidFill>
          </w14:textFill>
        </w:rPr>
        <w:t xml:space="preserve">20.响应文件</w:t>
      </w:r>
      <w:bookmarkEnd w:id="131"/>
      <w:r/>
      <w:bookmarkEnd w:id="132"/>
      <w:r/>
      <w:bookmarkEnd w:id="133"/>
      <w:r>
        <w:rPr>
          <w:rFonts w:hint="eastAsia" w:ascii="宋体" w:hAnsi="宋体" w:eastAsia="宋体" w:cs="宋体"/>
          <w:b w:val="0"/>
          <w:bCs/>
          <w:color w:val="000000" w:themeColor="text1"/>
          <w:sz w:val="24"/>
          <w:szCs w:val="24"/>
          <w:highlight w:val="none"/>
          <w14:textFill>
            <w14:solidFill>
              <w14:schemeClr w14:val="tx1"/>
            </w14:solidFill>
          </w14:textFill>
        </w:rPr>
        <w:t xml:space="preserve">的拒收</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20.1</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b w:val="0"/>
          <w:bCs/>
          <w:color w:val="000000" w:themeColor="text1"/>
          <w:sz w:val="24"/>
          <w:szCs w:val="24"/>
          <w:highlight w:val="none"/>
          <w14:textFill>
            <w14:solidFill>
              <w14:schemeClr w14:val="tx1"/>
            </w14:solidFill>
          </w14:textFill>
        </w:rPr>
        <w:t xml:space="preserve">拒绝接收在其规定的提交响应文件截止时间后上传的任何电子响应文件。</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bookmarkStart w:id="134" w:name="_Toc16938544"/>
      <w:r/>
      <w:bookmarkStart w:id="135" w:name="_Toc513029228"/>
      <w:r/>
      <w:bookmarkStart w:id="136" w:name="_Toc20823300"/>
      <w:r>
        <w:rPr>
          <w:rFonts w:hint="eastAsia" w:ascii="宋体" w:hAnsi="宋体" w:eastAsia="宋体" w:cs="宋体"/>
          <w:b w:val="0"/>
          <w:bCs/>
          <w:color w:val="000000" w:themeColor="text1"/>
          <w:sz w:val="24"/>
          <w:szCs w:val="24"/>
          <w:highlight w:val="none"/>
          <w14:textFill>
            <w14:solidFill>
              <w14:schemeClr w14:val="tx1"/>
            </w14:solidFill>
          </w14:textFill>
        </w:rPr>
        <w:t xml:space="preserve">21.响应文件的撤回和修改</w:t>
      </w:r>
      <w:bookmarkEnd w:id="134"/>
      <w:r/>
      <w:bookmarkEnd w:id="135"/>
      <w:r/>
      <w:bookmarkEnd w:id="136"/>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21.1响应文件的撤回</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21.1.1电子响应文件的撤回</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供应商可在提交响应文件截止时间前，撤回其电子响应文件，具体操作方法见《操作手册》。</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21.1.2供应商撤回电子响应文件，则认为其不再参与本项目磋商活动。</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21.2响应文件的修改</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供应商可在提交响应文件截止时间前，对其电子响应文件进行修改，具体操作方法见《操作手册》。</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21.3在提交响应文件截止时间之后，供应商不得对其电子响应文件作任何修改。</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21.4在提交响应文件截止时间至磋商文件中规定的磋商有效期满之间的这段时间内，供应商不得撤回其响应文件。</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bookmarkStart w:id="137" w:name="_Toc20823301"/>
      <w:r/>
      <w:bookmarkStart w:id="138" w:name="_Toc16938545"/>
      <w:r/>
      <w:bookmarkStart w:id="139" w:name="_Toc120614218"/>
      <w:r/>
      <w:bookmarkStart w:id="140" w:name="_Toc513029229"/>
      <w:r>
        <w:rPr>
          <w:rFonts w:hint="eastAsia" w:ascii="宋体" w:hAnsi="宋体" w:eastAsia="宋体" w:cs="宋体"/>
          <w:b w:val="0"/>
          <w:bCs/>
          <w:color w:val="000000" w:themeColor="text1"/>
          <w:sz w:val="24"/>
          <w:szCs w:val="24"/>
          <w:highlight w:val="none"/>
          <w14:textFill>
            <w14:solidFill>
              <w14:schemeClr w14:val="tx1"/>
            </w14:solidFill>
          </w14:textFill>
        </w:rPr>
        <w:t xml:space="preserve">五、响应文件的解密与评审</w:t>
      </w:r>
      <w:bookmarkEnd w:id="137"/>
      <w:r/>
      <w:bookmarkEnd w:id="138"/>
      <w:r/>
      <w:bookmarkEnd w:id="139"/>
      <w:r/>
      <w:bookmarkEnd w:id="140"/>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bookmarkStart w:id="141" w:name="_Toc16938546"/>
      <w:r/>
      <w:bookmarkStart w:id="142" w:name="_Toc513029230"/>
      <w:r/>
      <w:bookmarkStart w:id="143" w:name="_Toc20823302"/>
      <w:r>
        <w:rPr>
          <w:rFonts w:hint="eastAsia" w:ascii="宋体" w:hAnsi="宋体" w:eastAsia="宋体" w:cs="宋体"/>
          <w:b w:val="0"/>
          <w:bCs/>
          <w:color w:val="000000" w:themeColor="text1"/>
          <w:sz w:val="24"/>
          <w:szCs w:val="24"/>
          <w:highlight w:val="none"/>
          <w14:textFill>
            <w14:solidFill>
              <w14:schemeClr w14:val="tx1"/>
            </w14:solidFill>
          </w14:textFill>
        </w:rPr>
        <w:t xml:space="preserve">22</w:t>
      </w:r>
      <w:bookmarkEnd w:id="141"/>
      <w:r/>
      <w:bookmarkEnd w:id="142"/>
      <w:r/>
      <w:bookmarkEnd w:id="143"/>
      <w:r>
        <w:rPr>
          <w:rFonts w:hint="eastAsia" w:ascii="宋体" w:hAnsi="宋体" w:eastAsia="宋体" w:cs="宋体"/>
          <w:b w:val="0"/>
          <w:bCs/>
          <w:color w:val="000000" w:themeColor="text1"/>
          <w:sz w:val="24"/>
          <w:szCs w:val="24"/>
          <w:highlight w:val="none"/>
          <w14:textFill>
            <w14:solidFill>
              <w14:schemeClr w14:val="tx1"/>
            </w14:solidFill>
          </w14:textFill>
        </w:rPr>
        <w:t xml:space="preserve">.响应文件解密</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22.1供应商应当按照《操作手册》规定，在苏采云系统规定的时间内对磋商响应文件进行解密。</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bookmarkStart w:id="144" w:name="_Toc513029231"/>
      <w:r/>
      <w:bookmarkStart w:id="145" w:name="_Toc20823303"/>
      <w:r/>
      <w:bookmarkStart w:id="146" w:name="_Toc16938547"/>
      <w:r>
        <w:rPr>
          <w:rFonts w:hint="eastAsia" w:ascii="宋体" w:hAnsi="宋体" w:eastAsia="宋体" w:cs="宋体"/>
          <w:b w:val="0"/>
          <w:bCs/>
          <w:color w:val="000000" w:themeColor="text1"/>
          <w:sz w:val="24"/>
          <w:szCs w:val="24"/>
          <w:highlight w:val="none"/>
          <w14:textFill>
            <w14:solidFill>
              <w14:schemeClr w14:val="tx1"/>
            </w14:solidFill>
          </w14:textFill>
        </w:rPr>
        <w:t xml:space="preserve">23.磋商小组</w:t>
      </w:r>
      <w:bookmarkEnd w:id="144"/>
      <w:r/>
      <w:bookmarkEnd w:id="145"/>
      <w:r/>
      <w:bookmarkEnd w:id="146"/>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23.1</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b w:val="0"/>
          <w:bCs/>
          <w:color w:val="000000" w:themeColor="text1"/>
          <w:sz w:val="24"/>
          <w:szCs w:val="24"/>
          <w:highlight w:val="none"/>
          <w14:textFill>
            <w14:solidFill>
              <w14:schemeClr w14:val="tx1"/>
            </w14:solidFill>
          </w14:textFill>
        </w:rPr>
        <w:t xml:space="preserve">将组织磋商小组对响应文件进行评审。磋商小组由采购人代表和有关技术、经济等方面的专家组成，且人员构成符合政府采购有关规定。</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23.2磋商小组独立工作，负责评审所有响应文件并确定成交候选人。</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24.评审过程的保密与公正</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24.1磋商小组、采购人和</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b w:val="0"/>
          <w:bCs/>
          <w:color w:val="000000" w:themeColor="text1"/>
          <w:sz w:val="24"/>
          <w:szCs w:val="24"/>
          <w:highlight w:val="none"/>
          <w14:textFill>
            <w14:solidFill>
              <w14:schemeClr w14:val="tx1"/>
            </w14:solidFill>
          </w14:textFill>
        </w:rPr>
        <w:t xml:space="preserve">工作人员、相关监督人员等与评审工作有关的人员，对评审情况以及在评审过程中获悉的国家秘密、商业秘密负有保密责任。</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24.2在评审过程中，供应商不得以任何行为影响磋商评审过程，否则其响应文件将被视为无效响应文件。</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24.3在项目评审期间，</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b w:val="0"/>
          <w:bCs/>
          <w:color w:val="000000" w:themeColor="text1"/>
          <w:sz w:val="24"/>
          <w:szCs w:val="24"/>
          <w:highlight w:val="none"/>
          <w14:textFill>
            <w14:solidFill>
              <w14:schemeClr w14:val="tx1"/>
            </w14:solidFill>
          </w14:textFill>
        </w:rPr>
        <w:t xml:space="preserve">将设专门人员与供应商联系。</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24.4</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b w:val="0"/>
          <w:bCs/>
          <w:color w:val="000000" w:themeColor="text1"/>
          <w:sz w:val="24"/>
          <w:szCs w:val="24"/>
          <w:highlight w:val="none"/>
          <w14:textFill>
            <w14:solidFill>
              <w14:schemeClr w14:val="tx1"/>
            </w14:solidFill>
          </w14:textFill>
        </w:rPr>
        <w:t xml:space="preserve">和磋商小组不向未成交的供应商解释未成交原因，也不公布评审过程中的相关细节。</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bookmarkStart w:id="147" w:name="_Toc16938548"/>
      <w:r/>
      <w:bookmarkStart w:id="148" w:name="_Toc513029232"/>
      <w:r/>
      <w:bookmarkStart w:id="149" w:name="_Toc20823304"/>
      <w:r>
        <w:rPr>
          <w:rFonts w:hint="eastAsia" w:ascii="宋体" w:hAnsi="宋体" w:eastAsia="宋体" w:cs="宋体"/>
          <w:b w:val="0"/>
          <w:bCs/>
          <w:color w:val="000000" w:themeColor="text1"/>
          <w:sz w:val="24"/>
          <w:szCs w:val="24"/>
          <w:highlight w:val="none"/>
          <w14:textFill>
            <w14:solidFill>
              <w14:schemeClr w14:val="tx1"/>
            </w14:solidFill>
          </w14:textFill>
        </w:rPr>
        <w:t xml:space="preserve">25.评审过程中的澄清</w:t>
      </w:r>
      <w:bookmarkEnd w:id="147"/>
      <w:r/>
      <w:bookmarkEnd w:id="148"/>
      <w:r/>
      <w:bookmarkEnd w:id="149"/>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磋商小组并非对每个供应商都作澄清要求。</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25.3接到磋商小组澄清、说明和更正要求的供应商如未按规定作出澄清、说明和更正，其风险由供应商自行承担。</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bookmarkStart w:id="150" w:name="_Toc16938549"/>
      <w:r/>
      <w:bookmarkStart w:id="151" w:name="_Toc513029233"/>
      <w:r/>
      <w:bookmarkStart w:id="152" w:name="_Toc20823305"/>
      <w:r>
        <w:rPr>
          <w:rFonts w:hint="eastAsia" w:ascii="宋体" w:hAnsi="宋体" w:eastAsia="宋体" w:cs="宋体"/>
          <w:b w:val="0"/>
          <w:bCs/>
          <w:color w:val="000000" w:themeColor="text1"/>
          <w:sz w:val="24"/>
          <w:szCs w:val="24"/>
          <w:highlight w:val="none"/>
          <w14:textFill>
            <w14:solidFill>
              <w14:schemeClr w14:val="tx1"/>
            </w14:solidFill>
          </w14:textFill>
        </w:rPr>
        <w:t xml:space="preserve">26.对响应文件的审</w:t>
      </w:r>
      <w:bookmarkEnd w:id="150"/>
      <w:r/>
      <w:bookmarkEnd w:id="151"/>
      <w:r/>
      <w:bookmarkEnd w:id="152"/>
      <w:r>
        <w:rPr>
          <w:rFonts w:hint="eastAsia" w:ascii="宋体" w:hAnsi="宋体" w:eastAsia="宋体" w:cs="宋体"/>
          <w:b w:val="0"/>
          <w:bCs/>
          <w:color w:val="000000" w:themeColor="text1"/>
          <w:sz w:val="24"/>
          <w:szCs w:val="24"/>
          <w:highlight w:val="none"/>
          <w14:textFill>
            <w14:solidFill>
              <w14:schemeClr w14:val="tx1"/>
            </w14:solidFill>
          </w14:textFill>
        </w:rPr>
        <w:t xml:space="preserve">查</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26.1响应文件审查分为资格审查和符合性审查。</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26.1.1资格审查：由磋商小组依据法律法规和磋商文件的规定，对响应文件中的资格证明文件进行审查，以确定供应商是否具备参加磋商的资格。</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磋商小组在进行资格审查的同时，将在“信用中国”网站（www.creditchina.gov.cn）查询供应商的信用记录，以确定供应商是否具备磋商资格，查询结果留存并归档。</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26.1.2符合性审查：依据磋商文件的规定，由磋商小组从响应文件的有效性、完整性和对磋商文件的响应程度进行审查，以确定是否对磋商文件的实质性要求作出响应。</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所谓重大偏离或保留是指与磋商文件规定的实质性要求存在负偏离，或者在实质上与磋商文件不一致，而且限制了合同中买方和</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b w:val="0"/>
          <w:bCs/>
          <w:color w:val="000000" w:themeColor="text1"/>
          <w:sz w:val="24"/>
          <w:szCs w:val="24"/>
          <w:highlight w:val="none"/>
          <w14:textFill>
            <w14:solidFill>
              <w14:schemeClr w14:val="tx1"/>
            </w14:solidFill>
          </w14:textFill>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26.3未实质性响应磋商文件的情形</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26.3.1供应商在苏采云系统规定的时间内未成功解密电子响应文件的。</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26.3.2供应商未按照磋商文件要求上传电子响应文件的。</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26.3.3同一供应商提交两个（含两个）以上不同的响应文件或者最后报价的。</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26.3.4供应商不具备磋商文件中规定资格要求的。</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26.3.5供应商的最后报价超过了采购预算。</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26.3.6不符合磋商文件中规定的实质性要求和条件的</w:t>
      </w:r>
      <w:r>
        <w:rPr>
          <w:rFonts w:hint="eastAsia" w:ascii="宋体" w:hAnsi="宋体" w:eastAsia="宋体" w:cs="宋体"/>
          <w:b w:val="0"/>
          <w:bCs/>
          <w:i/>
          <w:color w:val="000000" w:themeColor="text1"/>
          <w:sz w:val="24"/>
          <w:szCs w:val="24"/>
          <w:highlight w:val="none"/>
          <w:u w:val="single"/>
          <w14:textFill>
            <w14:solidFill>
              <w14:schemeClr w14:val="tx1"/>
            </w14:solidFill>
          </w14:textFill>
        </w:rPr>
        <w:t xml:space="preserve">（本磋商文件中斜体且有下划线部分为实质性要求和条件）。</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26.3.7供应商被“信用中国”网站（www.creditchina.gov.cn）列入失信被执行人或重大税收违法案件当事人名单或政府采购严重失信行为记录名单。或查询“信用中国”网站后发现供应商存在其他不符合《</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中华人民共和国政府采购法</w:t>
      </w:r>
      <w:r>
        <w:rPr>
          <w:rFonts w:hint="eastAsia" w:ascii="宋体" w:hAnsi="宋体" w:eastAsia="宋体" w:cs="宋体"/>
          <w:b w:val="0"/>
          <w:bCs/>
          <w:color w:val="000000" w:themeColor="text1"/>
          <w:sz w:val="24"/>
          <w:szCs w:val="24"/>
          <w:highlight w:val="none"/>
          <w14:textFill>
            <w14:solidFill>
              <w14:schemeClr w14:val="tx1"/>
            </w14:solidFill>
          </w14:textFill>
        </w:rPr>
        <w:t xml:space="preserve">》第二十二条规定条件的信用记录。</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26.3.8响应文件含有采购人不能接受的附加条件的。</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26.3.9 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26.3.10供应商不能证明其报价合理性的，磋商小组应当将其作为无效响应处理。</w:t>
      </w:r>
      <w:r/>
    </w:p>
    <w:p>
      <w:pPr>
        <w:pStyle w:val="744"/>
        <w:ind w:firstLine="560"/>
        <w:jc w:val="both"/>
        <w:spacing w:beforeAutospacing="0" w:afterAutospacing="0" w:line="508" w:lineRule="exact"/>
        <w:rPr>
          <w:rFonts w:hint="eastAsia" w:ascii="宋体" w:hAnsi="宋体" w:eastAsia="宋体" w:cs="宋体"/>
          <w:b w:val="0"/>
          <w:bCs/>
          <w:color w:val="ff0000"/>
          <w:sz w:val="24"/>
          <w:szCs w:val="24"/>
          <w:highlight w:val="none"/>
        </w:rPr>
      </w:pPr>
      <w:r>
        <w:rPr>
          <w:rFonts w:hint="eastAsia" w:ascii="宋体" w:hAnsi="宋体" w:eastAsia="宋体" w:cs="宋体"/>
          <w:b w:val="0"/>
          <w:bCs/>
          <w:color w:val="ff0000"/>
          <w:sz w:val="24"/>
          <w:szCs w:val="24"/>
          <w:highlight w:val="none"/>
        </w:rPr>
        <w:t xml:space="preserve">（一）评审过程中出现下列情形之一的，磋商小组应当启动异常低价响应审查程序：</w:t>
      </w:r>
      <w:r/>
    </w:p>
    <w:p>
      <w:pPr>
        <w:pStyle w:val="744"/>
        <w:ind w:firstLine="560"/>
        <w:jc w:val="both"/>
        <w:spacing w:beforeAutospacing="0" w:afterAutospacing="0" w:line="508" w:lineRule="exact"/>
        <w:rPr>
          <w:rFonts w:hint="eastAsia" w:ascii="宋体" w:hAnsi="宋体" w:eastAsia="宋体" w:cs="宋体"/>
          <w:b w:val="0"/>
          <w:bCs/>
          <w:color w:val="ff0000"/>
          <w:sz w:val="24"/>
          <w:szCs w:val="24"/>
          <w:highlight w:val="none"/>
        </w:rPr>
      </w:pPr>
      <w:r>
        <w:rPr>
          <w:rFonts w:hint="eastAsia" w:ascii="宋体" w:hAnsi="宋体" w:eastAsia="宋体" w:cs="宋体"/>
          <w:b w:val="0"/>
          <w:bCs/>
          <w:color w:val="ff0000"/>
          <w:sz w:val="24"/>
          <w:szCs w:val="24"/>
          <w:highlight w:val="none"/>
        </w:rPr>
        <w:t xml:space="preserve">1.投标（响应）报价低于全部通过符合性审查供应商投标（响应）报价平均值50%的，即投标（响应）报价&lt;全部通过符合性审查供应商投标（响应）报价平均值×50%；</w:t>
      </w:r>
      <w:r/>
    </w:p>
    <w:p>
      <w:pPr>
        <w:pStyle w:val="744"/>
        <w:ind w:firstLine="560"/>
        <w:jc w:val="both"/>
        <w:spacing w:beforeAutospacing="0" w:afterAutospacing="0" w:line="508" w:lineRule="exact"/>
        <w:rPr>
          <w:rFonts w:hint="eastAsia" w:ascii="宋体" w:hAnsi="宋体" w:eastAsia="宋体" w:cs="宋体"/>
          <w:b w:val="0"/>
          <w:bCs/>
          <w:color w:val="ff0000"/>
          <w:sz w:val="24"/>
          <w:szCs w:val="24"/>
          <w:highlight w:val="none"/>
        </w:rPr>
      </w:pPr>
      <w:r>
        <w:rPr>
          <w:rFonts w:hint="eastAsia" w:ascii="宋体" w:hAnsi="宋体" w:eastAsia="宋体" w:cs="宋体"/>
          <w:b w:val="0"/>
          <w:bCs/>
          <w:color w:val="ff0000"/>
          <w:sz w:val="24"/>
          <w:szCs w:val="24"/>
          <w:highlight w:val="none"/>
        </w:rPr>
        <w:t xml:space="preserve">2.投标（响应）报价低于通过符合性审查的次低报价供应商投标（响应）报价50%的，即投标（响应）报价&lt;通过符合性审查的次低报价供应商投标（响应）报价×50%；</w:t>
      </w:r>
      <w:r/>
    </w:p>
    <w:p>
      <w:pPr>
        <w:pStyle w:val="744"/>
        <w:ind w:firstLine="560"/>
        <w:jc w:val="both"/>
        <w:spacing w:beforeAutospacing="0" w:afterAutospacing="0" w:line="508" w:lineRule="exact"/>
        <w:rPr>
          <w:rFonts w:hint="eastAsia" w:ascii="宋体" w:hAnsi="宋体" w:eastAsia="宋体" w:cs="宋体"/>
          <w:b w:val="0"/>
          <w:bCs/>
          <w:color w:val="ff0000"/>
          <w:sz w:val="24"/>
          <w:szCs w:val="24"/>
          <w:highlight w:val="none"/>
        </w:rPr>
      </w:pPr>
      <w:r>
        <w:rPr>
          <w:rFonts w:hint="eastAsia" w:ascii="宋体" w:hAnsi="宋体" w:eastAsia="宋体" w:cs="宋体"/>
          <w:b w:val="0"/>
          <w:bCs/>
          <w:color w:val="ff0000"/>
          <w:sz w:val="24"/>
          <w:szCs w:val="24"/>
          <w:highlight w:val="none"/>
        </w:rPr>
        <w:t xml:space="preserve">3.投标（响应）报价低于采购项目最高限价45%的，即投标（响应）报价&lt;采购项目最高限价×45%；</w:t>
      </w:r>
      <w:r/>
    </w:p>
    <w:p>
      <w:pPr>
        <w:pStyle w:val="744"/>
        <w:ind w:firstLine="560"/>
        <w:jc w:val="both"/>
        <w:spacing w:beforeAutospacing="0" w:afterAutospacing="0" w:line="508" w:lineRule="exact"/>
        <w:rPr>
          <w:rFonts w:hint="eastAsia" w:ascii="宋体" w:hAnsi="宋体" w:eastAsia="宋体" w:cs="宋体"/>
          <w:b w:val="0"/>
          <w:bCs/>
          <w:color w:val="ff0000"/>
          <w:sz w:val="24"/>
          <w:szCs w:val="24"/>
          <w:highlight w:val="none"/>
        </w:rPr>
      </w:pPr>
      <w:r>
        <w:rPr>
          <w:rFonts w:hint="eastAsia" w:ascii="宋体" w:hAnsi="宋体" w:eastAsia="宋体" w:cs="宋体"/>
          <w:b w:val="0"/>
          <w:bCs/>
          <w:color w:val="ff0000"/>
          <w:sz w:val="24"/>
          <w:szCs w:val="24"/>
          <w:highlight w:val="none"/>
        </w:rPr>
        <w:t xml:space="preserve">4.评审委员会基于专业判断，认为供应商报价过低，有可能影响产品质量或者不能诚信履约的其他情形。</w:t>
      </w:r>
      <w:r/>
    </w:p>
    <w:p>
      <w:pPr>
        <w:pStyle w:val="744"/>
        <w:ind w:firstLine="562"/>
        <w:jc w:val="both"/>
        <w:spacing w:beforeAutospacing="0" w:afterAutospacing="0" w:line="508" w:lineRule="exact"/>
        <w:rPr>
          <w:rFonts w:hint="eastAsia" w:ascii="宋体" w:hAnsi="宋体" w:eastAsia="宋体" w:cs="宋体"/>
          <w:b w:val="0"/>
          <w:bCs/>
          <w:color w:val="ff0000"/>
          <w:sz w:val="24"/>
          <w:szCs w:val="24"/>
          <w:highlight w:val="none"/>
          <w:u w:val="single"/>
        </w:rPr>
      </w:pPr>
      <w:r>
        <w:rPr>
          <w:rFonts w:hint="eastAsia" w:ascii="宋体" w:hAnsi="宋体" w:eastAsia="宋体" w:cs="宋体"/>
          <w:b w:val="0"/>
          <w:bCs/>
          <w:color w:val="ff0000"/>
          <w:sz w:val="24"/>
          <w:szCs w:val="24"/>
          <w:highlight w:val="none"/>
          <w:u w:val="single"/>
        </w:rPr>
        <w:t xml:space="preserve">提醒：采购人可以结合具体项目实际情况，提高上述第1项至第3项中启动异常低价投标（响应）审查的数值标准，但是最高不得超过65%。</w:t>
      </w:r>
      <w:r/>
    </w:p>
    <w:p>
      <w:pPr>
        <w:pStyle w:val="744"/>
        <w:ind w:firstLine="560"/>
        <w:jc w:val="both"/>
        <w:spacing w:beforeAutospacing="0" w:afterAutospacing="0" w:line="508" w:lineRule="exact"/>
        <w:rPr>
          <w:rFonts w:hint="eastAsia" w:ascii="宋体" w:hAnsi="宋体" w:eastAsia="宋体" w:cs="宋体"/>
          <w:b w:val="0"/>
          <w:bCs/>
          <w:color w:val="ff0000"/>
          <w:sz w:val="24"/>
          <w:szCs w:val="24"/>
          <w:highlight w:val="none"/>
        </w:rPr>
      </w:pPr>
      <w:r>
        <w:rPr>
          <w:rFonts w:hint="eastAsia" w:ascii="宋体" w:hAnsi="宋体" w:eastAsia="宋体" w:cs="宋体"/>
          <w:b w:val="0"/>
          <w:bCs/>
          <w:color w:val="ff0000"/>
          <w:sz w:val="24"/>
          <w:szCs w:val="24"/>
          <w:highlight w:val="none"/>
        </w:rPr>
        <w:t xml:space="preserve">相关法律法规对供应商报价有规定的，从其规定。</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26.3.11响应文件未按照磋商文件要求加盖CA电子公章的。</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26.4未实质性响应磋商文件的响应文件按无效响应处理。</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26.5如果响应文件实质上没有响应磋商文件的要求，磋商小组将予以拒绝，供应商不得通过修改或撤销不符合要求的偏离或保留而使其成为实质性响应的文件。</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bookmarkStart w:id="153" w:name="_Toc20823306"/>
      <w:r/>
      <w:bookmarkStart w:id="154" w:name="_Toc16938550"/>
      <w:r/>
      <w:bookmarkStart w:id="155" w:name="_Toc513029234"/>
      <w:r>
        <w:rPr>
          <w:rFonts w:hint="eastAsia" w:ascii="宋体" w:hAnsi="宋体" w:eastAsia="宋体" w:cs="宋体"/>
          <w:b w:val="0"/>
          <w:bCs/>
          <w:color w:val="000000" w:themeColor="text1"/>
          <w:sz w:val="24"/>
          <w:szCs w:val="24"/>
          <w:highlight w:val="none"/>
          <w14:textFill>
            <w14:solidFill>
              <w14:schemeClr w14:val="tx1"/>
            </w14:solidFill>
          </w14:textFill>
        </w:rPr>
        <w:t xml:space="preserve">26.6供应商在项目评审全过程中应保持通信畅通，并安排专人与</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b w:val="0"/>
          <w:bCs/>
          <w:color w:val="000000" w:themeColor="text1"/>
          <w:sz w:val="24"/>
          <w:szCs w:val="24"/>
          <w:highlight w:val="none"/>
          <w14:textFill>
            <w14:solidFill>
              <w14:schemeClr w14:val="tx1"/>
            </w14:solidFill>
          </w14:textFill>
        </w:rPr>
        <w:t xml:space="preserve">及磋商小组联系。</w:t>
      </w:r>
      <w:bookmarkEnd w:id="153"/>
      <w:r/>
      <w:bookmarkEnd w:id="154"/>
      <w:r/>
      <w:bookmarkEnd w:id="155"/>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27.磋商程序及评审方法和评审标准</w:t>
      </w:r>
      <w:r/>
    </w:p>
    <w:p>
      <w:pPr>
        <w:pStyle w:val="744"/>
        <w:ind w:firstLine="560"/>
        <w:jc w:val="both"/>
        <w:spacing w:beforeAutospacing="0" w:afterAutospacing="0" w:line="508" w:lineRule="exact"/>
        <w:tabs>
          <w:tab w:val="left" w:pos="90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27.1磋商程序</w:t>
      </w:r>
      <w:r/>
    </w:p>
    <w:p>
      <w:pPr>
        <w:pStyle w:val="744"/>
        <w:ind w:firstLine="560"/>
        <w:jc w:val="both"/>
        <w:spacing w:beforeAutospacing="0" w:afterAutospacing="0" w:line="508" w:lineRule="exact"/>
        <w:tabs>
          <w:tab w:val="left" w:pos="90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744"/>
        <w:ind w:firstLine="560"/>
        <w:jc w:val="both"/>
        <w:spacing w:beforeAutospacing="0" w:afterAutospacing="0" w:line="508" w:lineRule="exact"/>
        <w:tabs>
          <w:tab w:val="left" w:pos="90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744"/>
        <w:ind w:firstLine="560"/>
        <w:jc w:val="both"/>
        <w:spacing w:beforeAutospacing="0" w:afterAutospacing="0" w:line="508" w:lineRule="exact"/>
        <w:tabs>
          <w:tab w:val="left" w:pos="90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744"/>
        <w:ind w:firstLine="560"/>
        <w:jc w:val="both"/>
        <w:spacing w:beforeAutospacing="0" w:afterAutospacing="0" w:line="508" w:lineRule="exact"/>
        <w:tabs>
          <w:tab w:val="left" w:pos="90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744"/>
        <w:ind w:firstLine="560"/>
        <w:jc w:val="both"/>
        <w:spacing w:beforeAutospacing="0" w:afterAutospacing="0" w:line="508" w:lineRule="exact"/>
        <w:tabs>
          <w:tab w:val="left" w:pos="90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744"/>
        <w:ind w:firstLine="560"/>
        <w:jc w:val="both"/>
        <w:spacing w:beforeAutospacing="0" w:afterAutospacing="0" w:line="508" w:lineRule="exact"/>
        <w:tabs>
          <w:tab w:val="left" w:pos="90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744"/>
        <w:ind w:firstLine="560"/>
        <w:jc w:val="both"/>
        <w:spacing w:beforeAutospacing="0" w:afterAutospacing="0" w:line="508" w:lineRule="exact"/>
        <w:tabs>
          <w:tab w:val="left" w:pos="90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27.2评审方法和评审标准</w:t>
      </w:r>
      <w:r/>
    </w:p>
    <w:p>
      <w:pPr>
        <w:pStyle w:val="744"/>
        <w:ind w:firstLine="560"/>
        <w:jc w:val="both"/>
        <w:spacing w:beforeAutospacing="0" w:afterAutospacing="0" w:line="508" w:lineRule="exact"/>
        <w:tabs>
          <w:tab w:val="left" w:pos="90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27.2.1评审方法。经磋商确定最终采购需求和提交最后报价的供应商后，由磋商小组采用综合评分法对提交最后报价的供应商的响应文件和最后报价进行综合评分。</w:t>
      </w:r>
      <w:r/>
    </w:p>
    <w:p>
      <w:pPr>
        <w:pStyle w:val="744"/>
        <w:ind w:firstLine="560"/>
        <w:jc w:val="both"/>
        <w:spacing w:beforeAutospacing="0" w:afterAutospacing="0" w:line="508" w:lineRule="exact"/>
        <w:tabs>
          <w:tab w:val="left" w:pos="90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744"/>
        <w:ind w:firstLine="560"/>
        <w:jc w:val="both"/>
        <w:spacing w:beforeAutospacing="0" w:afterAutospacing="0" w:line="508" w:lineRule="exact"/>
        <w:tabs>
          <w:tab w:val="left" w:pos="90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27.2.2评审标准</w:t>
      </w:r>
      <w:r/>
    </w:p>
    <w:p>
      <w:pPr>
        <w:pStyle w:val="744"/>
        <w:ind w:firstLine="560"/>
        <w:jc w:val="both"/>
        <w:spacing w:beforeAutospacing="0" w:afterAutospacing="0" w:line="508" w:lineRule="exact"/>
        <w:tabs>
          <w:tab w:val="left" w:pos="90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见本磋商文件第五章规定。</w:t>
      </w:r>
      <w:r/>
    </w:p>
    <w:p>
      <w:pPr>
        <w:pStyle w:val="744"/>
        <w:ind w:firstLine="560"/>
        <w:jc w:val="both"/>
        <w:spacing w:beforeAutospacing="0" w:afterAutospacing="0" w:line="508" w:lineRule="exact"/>
        <w:tabs>
          <w:tab w:val="left" w:pos="90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27.3采购活动终止的情况</w:t>
      </w:r>
      <w:r/>
    </w:p>
    <w:p>
      <w:pPr>
        <w:pStyle w:val="744"/>
        <w:ind w:firstLine="560"/>
        <w:jc w:val="both"/>
        <w:spacing w:beforeAutospacing="0" w:afterAutospacing="0" w:line="508" w:lineRule="exact"/>
        <w:tabs>
          <w:tab w:val="left" w:pos="90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出现下列情形之一的，本次竞争性磋商采购活动将被终止：</w:t>
      </w:r>
      <w:r/>
    </w:p>
    <w:p>
      <w:pPr>
        <w:pStyle w:val="744"/>
        <w:ind w:firstLine="560"/>
        <w:jc w:val="both"/>
        <w:spacing w:beforeAutospacing="0" w:afterAutospacing="0" w:line="508" w:lineRule="exact"/>
        <w:tabs>
          <w:tab w:val="left" w:pos="90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27.3.1因情况变化，不再符合规定的竞争性磋商采购方式适用情形的。</w:t>
      </w:r>
      <w:r/>
    </w:p>
    <w:p>
      <w:pPr>
        <w:pStyle w:val="744"/>
        <w:ind w:firstLine="560"/>
        <w:jc w:val="both"/>
        <w:spacing w:beforeAutospacing="0" w:afterAutospacing="0" w:line="508" w:lineRule="exact"/>
        <w:tabs>
          <w:tab w:val="left" w:pos="90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27.3.2出现影响采购公正的违法、违规行为的。</w:t>
      </w:r>
      <w:r/>
    </w:p>
    <w:p>
      <w:pPr>
        <w:pStyle w:val="744"/>
        <w:ind w:firstLine="560"/>
        <w:jc w:val="both"/>
        <w:spacing w:beforeAutospacing="0" w:afterAutospacing="0" w:line="508" w:lineRule="exact"/>
        <w:tabs>
          <w:tab w:val="left" w:pos="90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27.3.3除本磋商文件第二章第27.1.2条第三款规定的情形外，在磋商过程中符合要求的供应商或者最后报价未超过采购预算的供应商不足3家的。</w:t>
      </w:r>
      <w:r/>
    </w:p>
    <w:p>
      <w:pPr>
        <w:pStyle w:val="744"/>
        <w:ind w:firstLine="560"/>
        <w:jc w:val="both"/>
        <w:spacing w:beforeAutospacing="0" w:afterAutospacing="0" w:line="508" w:lineRule="exact"/>
        <w:tabs>
          <w:tab w:val="left" w:pos="90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27.3.4在苏采云系统规定时间内成功解密电子响应文件的供应商不足3家的。</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bookmarkStart w:id="156" w:name="_Toc16938551"/>
      <w:r/>
      <w:bookmarkStart w:id="157" w:name="_Toc513029235"/>
      <w:r/>
      <w:bookmarkStart w:id="158" w:name="_Toc20823307"/>
      <w:r/>
      <w:bookmarkStart w:id="159" w:name="_Toc120614219"/>
      <w:r>
        <w:rPr>
          <w:rFonts w:hint="eastAsia" w:ascii="宋体" w:hAnsi="宋体" w:eastAsia="宋体" w:cs="宋体"/>
          <w:b w:val="0"/>
          <w:bCs/>
          <w:color w:val="000000" w:themeColor="text1"/>
          <w:sz w:val="24"/>
          <w:szCs w:val="24"/>
          <w:highlight w:val="none"/>
          <w14:textFill>
            <w14:solidFill>
              <w14:schemeClr w14:val="tx1"/>
            </w14:solidFill>
          </w14:textFill>
        </w:rPr>
        <w:t xml:space="preserve">六、</w:t>
      </w:r>
      <w:bookmarkEnd w:id="156"/>
      <w:r/>
      <w:bookmarkEnd w:id="157"/>
      <w:r/>
      <w:bookmarkEnd w:id="158"/>
      <w:r/>
      <w:bookmarkEnd w:id="159"/>
      <w:r>
        <w:rPr>
          <w:rFonts w:hint="eastAsia" w:ascii="宋体" w:hAnsi="宋体" w:eastAsia="宋体" w:cs="宋体"/>
          <w:b w:val="0"/>
          <w:bCs/>
          <w:color w:val="000000" w:themeColor="text1"/>
          <w:sz w:val="24"/>
          <w:szCs w:val="24"/>
          <w:highlight w:val="none"/>
          <w14:textFill>
            <w14:solidFill>
              <w14:schemeClr w14:val="tx1"/>
            </w14:solidFill>
          </w14:textFill>
        </w:rPr>
        <w:t xml:space="preserve">成交</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bookmarkStart w:id="160" w:name="_Toc20823310"/>
      <w:r/>
      <w:bookmarkStart w:id="161" w:name="_Toc16938554"/>
      <w:r/>
      <w:bookmarkStart w:id="162" w:name="_Toc513029238"/>
      <w:r>
        <w:rPr>
          <w:rFonts w:hint="eastAsia" w:ascii="宋体" w:hAnsi="宋体" w:eastAsia="宋体" w:cs="宋体"/>
          <w:b w:val="0"/>
          <w:bCs/>
          <w:color w:val="000000" w:themeColor="text1"/>
          <w:sz w:val="24"/>
          <w:szCs w:val="24"/>
          <w:highlight w:val="none"/>
          <w14:textFill>
            <w14:solidFill>
              <w14:schemeClr w14:val="tx1"/>
            </w14:solidFill>
          </w14:textFill>
        </w:rPr>
        <w:t xml:space="preserve">28</w:t>
      </w:r>
      <w:bookmarkEnd w:id="160"/>
      <w:r>
        <w:rPr>
          <w:rFonts w:hint="eastAsia" w:ascii="宋体" w:hAnsi="宋体" w:eastAsia="宋体" w:cs="宋体"/>
          <w:b w:val="0"/>
          <w:bCs/>
          <w:color w:val="000000" w:themeColor="text1"/>
          <w:sz w:val="24"/>
          <w:szCs w:val="24"/>
          <w:highlight w:val="none"/>
          <w14:textFill>
            <w14:solidFill>
              <w14:schemeClr w14:val="tx1"/>
            </w14:solidFill>
          </w14:textFill>
        </w:rPr>
        <w:t xml:space="preserve">.确定</w:t>
      </w:r>
      <w:bookmarkEnd w:id="161"/>
      <w:r/>
      <w:bookmarkEnd w:id="162"/>
      <w:r>
        <w:rPr>
          <w:rFonts w:hint="eastAsia" w:ascii="宋体" w:hAnsi="宋体" w:eastAsia="宋体" w:cs="宋体"/>
          <w:b w:val="0"/>
          <w:bCs/>
          <w:color w:val="000000" w:themeColor="text1"/>
          <w:sz w:val="24"/>
          <w:szCs w:val="24"/>
          <w:highlight w:val="none"/>
          <w14:textFill>
            <w14:solidFill>
              <w14:schemeClr w14:val="tx1"/>
            </w14:solidFill>
          </w14:textFill>
        </w:rPr>
        <w:t xml:space="preserve">成交单位</w:t>
      </w:r>
      <w:r/>
    </w:p>
    <w:p>
      <w:pPr>
        <w:pStyle w:val="744"/>
        <w:ind w:firstLine="560"/>
        <w:jc w:val="both"/>
        <w:spacing w:beforeAutospacing="0" w:afterAutospacing="0" w:line="508" w:lineRule="exact"/>
        <w:tabs>
          <w:tab w:val="left" w:pos="90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28.2采购人从评审报告提出的成交候选供应商中，按照排序由高到低的原则确定成交供应商。采购人确定成交供应商后，</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b w:val="0"/>
          <w:bCs/>
          <w:color w:val="000000" w:themeColor="text1"/>
          <w:sz w:val="24"/>
          <w:szCs w:val="24"/>
          <w:highlight w:val="none"/>
          <w14:textFill>
            <w14:solidFill>
              <w14:schemeClr w14:val="tx1"/>
            </w14:solidFill>
          </w14:textFill>
        </w:rPr>
        <w:t xml:space="preserve">将在“中国政府采购网”、“江苏政府采购网”“盐城市政府采购网”发布成交结果公告，公告期限为1个工作日。</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28.3若有充分证据证明，成交供应商出现下列情况之一的，一经查实，将被取消成交资格：</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28.3.1提供虚假材料谋取成交的。</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28.3.2与评审专家、采购人、其他供应商或者</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b w:val="0"/>
          <w:bCs/>
          <w:color w:val="000000" w:themeColor="text1"/>
          <w:sz w:val="24"/>
          <w:szCs w:val="24"/>
          <w:highlight w:val="none"/>
          <w14:textFill>
            <w14:solidFill>
              <w14:schemeClr w14:val="tx1"/>
            </w14:solidFill>
          </w14:textFill>
        </w:rPr>
        <w:t xml:space="preserve">工作人员恶意串通的。</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28.3.3向评审专家、采购人或</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b w:val="0"/>
          <w:bCs/>
          <w:color w:val="000000" w:themeColor="text1"/>
          <w:sz w:val="24"/>
          <w:szCs w:val="24"/>
          <w:highlight w:val="none"/>
          <w14:textFill>
            <w14:solidFill>
              <w14:schemeClr w14:val="tx1"/>
            </w14:solidFill>
          </w14:textFill>
        </w:rPr>
        <w:t xml:space="preserve">工作人员行贿或者提供其他不正当利益的。</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28.3.4恶意竞争，最后报价明显低于其自身合理成本且又无法提供证明的。</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28.3.5不满足本磋商文件规定的实质性要求，但在评审过程中又未被磋商小组发现的。</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28.3.6成交后无正当理由拒不与采购人签订政府采购合同或者未按照磋商文件确定的事项签订政府采购合同的。</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28.3.7将政府采购合同转包的。</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bookmarkStart w:id="163" w:name="_Toc200451960"/>
      <w:r>
        <w:rPr>
          <w:rFonts w:hint="eastAsia" w:ascii="宋体" w:hAnsi="宋体" w:eastAsia="宋体" w:cs="宋体"/>
          <w:b w:val="0"/>
          <w:bCs/>
          <w:color w:val="000000" w:themeColor="text1"/>
          <w:sz w:val="24"/>
          <w:szCs w:val="24"/>
          <w:highlight w:val="none"/>
          <w14:textFill>
            <w14:solidFill>
              <w14:schemeClr w14:val="tx1"/>
            </w14:solidFill>
          </w14:textFill>
        </w:rPr>
        <w:t xml:space="preserve">29.质疑处理</w:t>
      </w:r>
      <w:bookmarkEnd w:id="163"/>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29.1提出质疑的供应商应当是参与所质疑项目采购活动的供应商。潜在供应商依法获取其可质疑的磋商文件的，可以对磋商文件提出质疑。</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29.2供应商认为磋商文件、磋商过程和磋商结果使自己的权益受到损害的，可以在知道或应知其权益受到损害之日起七个工作日内，以书面形式根据下述29.4条款的规定向</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b w:val="0"/>
          <w:bCs/>
          <w:color w:val="000000" w:themeColor="text1"/>
          <w:sz w:val="24"/>
          <w:szCs w:val="24"/>
          <w:highlight w:val="none"/>
          <w14:textFill>
            <w14:solidFill>
              <w14:schemeClr w14:val="tx1"/>
            </w14:solidFill>
          </w14:textFill>
        </w:rPr>
        <w:t xml:space="preserve">或采购人提出质疑。上述应知其权益受到损害之日，是指：</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29.2.1对可以质疑的磋商文件提出质疑的，为收到磋商文件之日或者磋商文件公告期限届满之日。</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29.2.2对磋商过程提出质疑的，为各采购程序环节结束之日。</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29.2.3对成交结果提出质疑的，为成交结果公告期限届满之日。</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b w:val="0"/>
          <w:bCs/>
          <w:color w:val="000000" w:themeColor="text1"/>
          <w:sz w:val="24"/>
          <w:szCs w:val="24"/>
          <w:highlight w:val="none"/>
          <w14:textFill>
            <w14:solidFill>
              <w14:schemeClr w14:val="tx1"/>
            </w14:solidFill>
          </w14:textFill>
        </w:rPr>
        <w:t xml:space="preserve">、采购人将只对供应商第一次质疑作出答复。</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29.4供应商（含潜在供应商）对采购方式、采购需求、供应商资格条件、评审方法与评审标准、合同文本的询问、质疑请向采购人提出，由采购人负责答复。供应商对其他事项的询问、质疑请向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b w:val="0"/>
          <w:bCs/>
          <w:color w:val="000000" w:themeColor="text1"/>
          <w:sz w:val="24"/>
          <w:szCs w:val="24"/>
          <w:highlight w:val="none"/>
          <w14:textFill>
            <w14:solidFill>
              <w14:schemeClr w14:val="tx1"/>
            </w14:solidFill>
          </w14:textFill>
        </w:rPr>
        <w:t xml:space="preserve">提出，由</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b w:val="0"/>
          <w:bCs/>
          <w:color w:val="000000" w:themeColor="text1"/>
          <w:sz w:val="24"/>
          <w:szCs w:val="24"/>
          <w:highlight w:val="none"/>
          <w14:textFill>
            <w14:solidFill>
              <w14:schemeClr w14:val="tx1"/>
            </w14:solidFill>
          </w14:textFill>
        </w:rPr>
        <w:t xml:space="preserve">负责答复。</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采购人及</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b w:val="0"/>
          <w:bCs/>
          <w:color w:val="000000" w:themeColor="text1"/>
          <w:sz w:val="24"/>
          <w:szCs w:val="24"/>
          <w:highlight w:val="none"/>
          <w14:textFill>
            <w14:solidFill>
              <w14:schemeClr w14:val="tx1"/>
            </w14:solidFill>
          </w14:textFill>
        </w:rPr>
        <w:t xml:space="preserve">只接收以纸质原件形式送达的质疑，采购人和</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b w:val="0"/>
          <w:bCs/>
          <w:color w:val="000000" w:themeColor="text1"/>
          <w:sz w:val="24"/>
          <w:szCs w:val="24"/>
          <w:highlight w:val="none"/>
          <w14:textFill>
            <w14:solidFill>
              <w14:schemeClr w14:val="tx1"/>
            </w14:solidFill>
          </w14:textFill>
        </w:rPr>
        <w:t xml:space="preserve">不接受未填写快递运单的快件。联系地址及联系方式同</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磋商</w:t>
      </w:r>
      <w:r>
        <w:rPr>
          <w:rFonts w:hint="eastAsia" w:ascii="宋体" w:hAnsi="宋体" w:eastAsia="宋体" w:cs="宋体"/>
          <w:b w:val="0"/>
          <w:bCs/>
          <w:color w:val="000000" w:themeColor="text1"/>
          <w:sz w:val="24"/>
          <w:szCs w:val="24"/>
          <w:highlight w:val="none"/>
          <w14:textFill>
            <w14:solidFill>
              <w14:schemeClr w14:val="tx1"/>
            </w14:solidFill>
          </w14:textFill>
        </w:rPr>
        <w:t xml:space="preserve">公告。</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29.5以下情形的质疑不予受理</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29.5.1内容不符合《政府采购质疑和投诉办法》第十二条规定的质疑。</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29.5.2超出</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中华人民共和国政府采购法</w:t>
      </w:r>
      <w:r>
        <w:rPr>
          <w:rFonts w:hint="eastAsia" w:ascii="宋体" w:hAnsi="宋体" w:eastAsia="宋体" w:cs="宋体"/>
          <w:b w:val="0"/>
          <w:bCs/>
          <w:color w:val="000000" w:themeColor="text1"/>
          <w:sz w:val="24"/>
          <w:szCs w:val="24"/>
          <w:highlight w:val="none"/>
          <w14:textFill>
            <w14:solidFill>
              <w14:schemeClr w14:val="tx1"/>
            </w14:solidFill>
          </w14:textFill>
        </w:rPr>
        <w:t xml:space="preserve">定期限的质疑。</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29.5.3以传真、电子邮件等方式递交的非原件形式的质疑。</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29.5.4未参加磋商活动的供应商或在磋商活动中自身权益未受到损害的供应商所提出的质疑。</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29.5.5供应商组成联合体参加磋商，联合体中任何一方或多方未按要求签字、盖章、加盖公章的质疑。</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29.6供应商提出书面质疑必须有理、有据，不得捏造事实、提供虚假材料进行恶意质疑。否则，一经查实，</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b w:val="0"/>
          <w:bCs/>
          <w:color w:val="000000" w:themeColor="text1"/>
          <w:sz w:val="24"/>
          <w:szCs w:val="24"/>
          <w:highlight w:val="none"/>
          <w14:textFill>
            <w14:solidFill>
              <w14:schemeClr w14:val="tx1"/>
            </w14:solidFill>
          </w14:textFill>
        </w:rPr>
        <w:t xml:space="preserve">有权依据政府采购的有关规定，报请政府采购监管部门对该供应商进行相应的行政处罚和记录该供应商的失信信息。</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30.成交通知书</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30.1成交结果确定后，</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b w:val="0"/>
          <w:bCs/>
          <w:color w:val="000000" w:themeColor="text1"/>
          <w:sz w:val="24"/>
          <w:szCs w:val="24"/>
          <w:highlight w:val="none"/>
          <w14:textFill>
            <w14:solidFill>
              <w14:schemeClr w14:val="tx1"/>
            </w14:solidFill>
          </w14:textFill>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bookmarkStart w:id="164" w:name="_Toc20823308"/>
      <w:r/>
      <w:bookmarkStart w:id="165" w:name="_Toc120614220"/>
      <w:r/>
      <w:bookmarkStart w:id="166" w:name="_Toc16938552"/>
      <w:r/>
      <w:bookmarkStart w:id="167" w:name="_Toc513029236"/>
      <w:r>
        <w:rPr>
          <w:rFonts w:hint="eastAsia" w:ascii="宋体" w:hAnsi="宋体" w:eastAsia="宋体" w:cs="宋体"/>
          <w:b w:val="0"/>
          <w:bCs/>
          <w:color w:val="000000" w:themeColor="text1"/>
          <w:sz w:val="24"/>
          <w:szCs w:val="24"/>
          <w:highlight w:val="none"/>
          <w14:textFill>
            <w14:solidFill>
              <w14:schemeClr w14:val="tx1"/>
            </w14:solidFill>
          </w14:textFill>
        </w:rPr>
        <w:t xml:space="preserve">七、授予合同</w:t>
      </w:r>
      <w:bookmarkEnd w:id="164"/>
      <w:r/>
      <w:bookmarkEnd w:id="165"/>
      <w:r/>
      <w:bookmarkEnd w:id="166"/>
      <w:r/>
      <w:bookmarkEnd w:id="167"/>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bookmarkStart w:id="168" w:name="_Toc20823309"/>
      <w:r/>
      <w:bookmarkStart w:id="169" w:name="_Toc513029237"/>
      <w:r/>
      <w:bookmarkStart w:id="170" w:name="_Toc16938553"/>
      <w:r>
        <w:rPr>
          <w:rFonts w:hint="eastAsia" w:ascii="宋体" w:hAnsi="宋体" w:eastAsia="宋体" w:cs="宋体"/>
          <w:b w:val="0"/>
          <w:bCs/>
          <w:color w:val="000000" w:themeColor="text1"/>
          <w:sz w:val="24"/>
          <w:szCs w:val="24"/>
          <w:highlight w:val="none"/>
          <w14:textFill>
            <w14:solidFill>
              <w14:schemeClr w14:val="tx1"/>
            </w14:solidFill>
          </w14:textFill>
        </w:rPr>
        <w:t xml:space="preserve">31.签订合同</w:t>
      </w:r>
      <w:bookmarkEnd w:id="168"/>
      <w:r/>
      <w:bookmarkEnd w:id="169"/>
      <w:r/>
      <w:bookmarkEnd w:id="170"/>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31.l成交供应商应当在成交通知书发出之日起三十日内，按照磋商文件确定的事项与采购人签订政府采购合同。</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31.2磋商文件、成交供应商的响应文件及磋商过程中有关澄清、承诺文件均应作为合同附件。</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31.3签订合同后，</w:t>
      </w:r>
      <w:r>
        <w:rPr>
          <w:rFonts w:hint="eastAsia" w:ascii="宋体" w:hAnsi="宋体" w:eastAsia="宋体" w:cs="宋体"/>
          <w:b w:val="0"/>
          <w:bCs/>
          <w:i/>
          <w:color w:val="000000" w:themeColor="text1"/>
          <w:sz w:val="24"/>
          <w:szCs w:val="24"/>
          <w:highlight w:val="none"/>
          <w:u w:val="single"/>
          <w14:textFill>
            <w14:solidFill>
              <w14:schemeClr w14:val="tx1"/>
            </w14:solidFill>
          </w14:textFill>
        </w:rPr>
        <w:t xml:space="preserve">成交供应商不得将合同标的进行转包</w:t>
      </w:r>
      <w:r>
        <w:rPr>
          <w:rFonts w:hint="eastAsia" w:ascii="宋体" w:hAnsi="宋体" w:eastAsia="宋体" w:cs="宋体"/>
          <w:b w:val="0"/>
          <w:bCs/>
          <w:color w:val="000000" w:themeColor="text1"/>
          <w:sz w:val="24"/>
          <w:szCs w:val="24"/>
          <w:highlight w:val="none"/>
          <w14:textFill>
            <w14:solidFill>
              <w14:schemeClr w14:val="tx1"/>
            </w14:solidFill>
          </w14:textFill>
        </w:rPr>
        <w:t xml:space="preserve">。未经采购人同意，成交供应商也不得采用分包形式履行合同，否则采购人有权终止合同。转包或分包造成采购人损失的，成交供应商应承担相应赔偿责任。</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（备注：项目经办人在发标前应与采购人商定是否允许成交供应商分包履行合同，确定后该备注删除）</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32.标的物的追加</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33.政府采购政策功能落实</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33.1政府采购线上合同信用融资政策</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560"/>
        <w:spacing w:line="508" w:lineRule="exact"/>
        <w:tabs>
          <w:tab w:val="left" w:pos="138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33.2进口产品</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560"/>
        <w:spacing w:line="508" w:lineRule="exact"/>
        <w:tabs>
          <w:tab w:val="left" w:pos="138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33.3中小企业、监狱企业及残疾人福利性单位</w:t>
      </w:r>
      <w:r/>
    </w:p>
    <w:p>
      <w:pPr>
        <w:ind w:firstLine="560"/>
        <w:spacing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33.3.1中小企业定义：</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中小企业</w:t>
      </w:r>
      <w:r>
        <w:rPr>
          <w:rFonts w:hint="eastAsia" w:ascii="宋体" w:hAnsi="宋体" w:eastAsia="宋体" w:cs="宋体"/>
          <w:b w:val="0"/>
          <w:bCs/>
          <w:color w:val="000000" w:themeColor="text1"/>
          <w:sz w:val="24"/>
          <w:szCs w:val="24"/>
          <w:highlight w:val="none"/>
          <w14:textFill>
            <w14:solidFill>
              <w14:schemeClr w14:val="tx1"/>
            </w14:solidFill>
          </w14:textFill>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33.3.2供应商提供的货物、工程或者服务符合下列情形的，享受中小企业扶持政策：</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33.3.2.1在货物采购项目中，货物由中小企业制造，即货物由中小企业生产且使用该中小企业商号或者注册商标；</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33.3.2.2在工程采购项目中，工程由中小企业承建，即工程施工单位为中小企业；</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33.3.2.3在服务采购项目中，服务由中小企业承接，即提供服务的人员为中小企业依照《中华人民共和国劳动合同法》订立劳动合同的从业人员。</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33.3.3在货物采购项目中，供应商提供的货物既有中小企业制造货物，也有大型企业制造货物的，不享受中小企业扶持政策。</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33.3.4以联合体形式参加政府采购活动，联合体各方均为中小企业的，联合体视同中小企业。其中，联合体各方均为小微企业的，联合体视同小微企业。</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33.3.6残疾人福利单位定义：享受政府采购支持政策的残疾人福利性单位应当同时满足以下条件：</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33.3.6.1安置的残疾人占本单位在职职工人数的比例不低于25%（含25%），并且安置的残疾人人数不少于10 人（含10 人）；</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33.3.6.2依法与安置的每位残疾人签订了一年以上（含一年）的劳动合同或服务协议；</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33.3.6.3为安置的每位残疾人按月足额缴纳了基本养老保险、基本医疗保险、失业保险、工伤保险和生育保险等社会保险费；</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33.3.6.4通过银行等金融机构向安置的每位残疾人，按月支付了不低于单位所在区县适用的经省级人民政府批准的月最低工资标准的工资；</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33.3.6.5提供本单位制造的货物、承担的工程或者服务（以下简称产品），或者提供其他残疾人福利性单位制造的货物（不包括使用非残疾人福利性单位注册商标的货物）；</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33.3.7本项目是否专门面向中小企业预留采购份额见第一章《竞争性磋商公告》。</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33.3.8采购标的对应的中小企业划分标准所属行业见第四章《采购需求》。</w:t>
      </w:r>
      <w:r/>
    </w:p>
    <w:p>
      <w:pPr>
        <w:pStyle w:val="744"/>
        <w:ind w:firstLine="560"/>
        <w:jc w:val="both"/>
        <w:spacing w:beforeAutospacing="0" w:afterAutospacing="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33.3.9小微企业价格评审优惠的政策：见第五章《评标方法和评标标准》。</w:t>
      </w:r>
      <w:r/>
    </w:p>
    <w:p>
      <w:pPr>
        <w:ind w:firstLine="560"/>
        <w:spacing w:line="508" w:lineRule="exact"/>
        <w:tabs>
          <w:tab w:val="left" w:pos="138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33.4政府采购节能产品、环境标志产品</w:t>
      </w:r>
      <w:r/>
    </w:p>
    <w:p>
      <w:pPr>
        <w:ind w:firstLine="560"/>
        <w:spacing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val="0"/>
          <w:bCs/>
          <w:i/>
          <w:color w:val="000000" w:themeColor="text1"/>
          <w:sz w:val="24"/>
          <w:szCs w:val="24"/>
          <w:highlight w:val="none"/>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eastAsia="宋体" w:cs="宋体"/>
          <w:b w:val="0"/>
          <w:bCs/>
          <w:color w:val="000000" w:themeColor="text1"/>
          <w:sz w:val="24"/>
          <w:szCs w:val="24"/>
          <w:highlight w:val="none"/>
          <w14:textFill>
            <w14:solidFill>
              <w14:schemeClr w14:val="tx1"/>
            </w14:solidFill>
          </w14:textFill>
        </w:rPr>
        <w:t xml:space="preserve">其他条件相同情况下，应当优先采购节能产品、环境标志产品。</w:t>
      </w:r>
      <w:r/>
    </w:p>
    <w:p>
      <w:pPr>
        <w:ind w:firstLine="560"/>
        <w:spacing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560"/>
        <w:spacing w:line="508" w:lineRule="exact"/>
        <w:tabs>
          <w:tab w:val="left" w:pos="138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33.5绿色包装</w:t>
      </w:r>
      <w:r/>
    </w:p>
    <w:p>
      <w:pPr>
        <w:ind w:firstLine="560"/>
        <w:spacing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560"/>
        <w:spacing w:line="508" w:lineRule="exact"/>
        <w:tabs>
          <w:tab w:val="left" w:pos="138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33.6政府采购创新产品</w:t>
      </w:r>
      <w:r/>
    </w:p>
    <w:p>
      <w:pPr>
        <w:ind w:firstLine="560"/>
        <w:spacing w:line="508" w:lineRule="exact"/>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14:textFill>
            <w14:solidFill>
              <w14:schemeClr w14:val="tx1"/>
            </w14:solidFill>
          </w14:textFill>
        </w:rPr>
        <w:t xml:space="preserve">采购人优先采购各级政府部门公开发布的有效期内的创新产品、创新服务、首台套、首购首用等《目录》的创新产品。</w:t>
      </w:r>
      <w:r/>
    </w:p>
    <w:p>
      <w:pPr>
        <w:ind w:firstLine="560"/>
        <w:spacing w:line="508" w:lineRule="exact"/>
        <w:tabs>
          <w:tab w:val="left" w:pos="138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33.7绿色数据中心政策</w:t>
      </w:r>
      <w:r/>
    </w:p>
    <w:p>
      <w:pPr>
        <w:ind w:firstLine="560"/>
        <w:spacing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本文件中若涉及到数据中心采购，采购人应依据《绿色数据中心政府采购需求标准（试行）》（财办库〔2023〕7号）文件精神</w:t>
      </w:r>
      <w:r>
        <w:rPr>
          <w:rFonts w:hint="eastAsia" w:ascii="宋体" w:hAnsi="宋体" w:eastAsia="宋体" w:cs="宋体"/>
          <w:b w:val="0"/>
          <w:bCs/>
          <w:color w:val="000000" w:themeColor="text1"/>
          <w:sz w:val="24"/>
          <w:szCs w:val="24"/>
          <w:highlight w:val="none"/>
          <w14:textFill>
            <w14:solidFill>
              <w14:schemeClr w14:val="tx1"/>
            </w14:solidFill>
          </w14:textFill>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60"/>
        <w:spacing w:line="508" w:lineRule="exact"/>
        <w:rPr>
          <w:rFonts w:hint="eastAsia" w:ascii="宋体" w:hAnsi="宋体" w:eastAsia="宋体" w:cs="宋体"/>
          <w:b w:val="0"/>
          <w:bCs/>
          <w:color w:val="ff0000"/>
          <w:sz w:val="24"/>
          <w:szCs w:val="24"/>
          <w:highlight w:val="none"/>
        </w:rPr>
      </w:pPr>
      <w:r>
        <w:rPr>
          <w:rFonts w:hint="eastAsia" w:ascii="宋体" w:hAnsi="宋体" w:eastAsia="宋体" w:cs="宋体"/>
          <w:b w:val="0"/>
          <w:bCs/>
          <w:color w:val="ff0000"/>
          <w:sz w:val="24"/>
          <w:szCs w:val="24"/>
          <w:highlight w:val="none"/>
        </w:rPr>
        <w:t xml:space="preserve">33.8实施本国产品标准及相关政策</w:t>
      </w:r>
      <w:r/>
    </w:p>
    <w:p>
      <w:pPr>
        <w:ind w:firstLine="560"/>
        <w:spacing w:line="508" w:lineRule="exact"/>
        <w:rPr>
          <w:rFonts w:hint="eastAsia" w:ascii="宋体" w:hAnsi="宋体" w:eastAsia="宋体" w:cs="宋体"/>
          <w:b w:val="0"/>
          <w:bCs/>
          <w:color w:val="ff0000"/>
          <w:sz w:val="24"/>
          <w:szCs w:val="24"/>
          <w:highlight w:val="none"/>
        </w:rPr>
      </w:pPr>
      <w:r>
        <w:rPr>
          <w:rFonts w:hint="eastAsia" w:ascii="宋体" w:hAnsi="宋体" w:eastAsia="宋体" w:cs="宋体"/>
          <w:b w:val="0"/>
          <w:bCs/>
          <w:color w:val="ff0000"/>
          <w:sz w:val="24"/>
          <w:szCs w:val="24"/>
          <w:highlight w:val="none"/>
        </w:rPr>
        <w:t xml:space="preserve">1.本项目对采购本国产品给予政策支持，具体内容见招标文件“第五章 评标方法与评标标准”。</w:t>
      </w:r>
      <w:r/>
    </w:p>
    <w:p>
      <w:pPr>
        <w:ind w:firstLine="560"/>
        <w:spacing w:line="508" w:lineRule="exact"/>
        <w:rPr>
          <w:rFonts w:hint="eastAsia" w:ascii="宋体" w:hAnsi="宋体" w:eastAsia="宋体" w:cs="宋体"/>
          <w:b w:val="0"/>
          <w:bCs/>
          <w:color w:val="ff0000"/>
          <w:sz w:val="24"/>
          <w:szCs w:val="24"/>
          <w:highlight w:val="none"/>
        </w:rPr>
      </w:pPr>
      <w:r>
        <w:rPr>
          <w:rFonts w:hint="eastAsia" w:ascii="宋体" w:hAnsi="宋体" w:eastAsia="宋体" w:cs="宋体"/>
          <w:b w:val="0"/>
          <w:bCs/>
          <w:color w:val="ff0000"/>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08" w:lineRule="exact"/>
        <w:rPr>
          <w:rFonts w:hint="eastAsia" w:ascii="宋体" w:hAnsi="宋体" w:eastAsia="宋体" w:cs="宋体"/>
          <w:b w:val="0"/>
          <w:bCs/>
          <w:color w:val="ff0000"/>
          <w:sz w:val="24"/>
          <w:szCs w:val="24"/>
          <w:highlight w:val="none"/>
        </w:rPr>
      </w:pPr>
      <w:r>
        <w:rPr>
          <w:rFonts w:hint="eastAsia" w:ascii="宋体" w:hAnsi="宋体" w:eastAsia="宋体" w:cs="宋体"/>
          <w:b w:val="0"/>
          <w:bCs/>
          <w:color w:val="ff0000"/>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508" w:lineRule="exact"/>
        <w:rPr>
          <w:rFonts w:hint="eastAsia" w:ascii="宋体" w:hAnsi="宋体" w:eastAsia="宋体" w:cs="宋体"/>
          <w:b w:val="0"/>
          <w:bCs/>
          <w:color w:val="000000" w:themeColor="text1"/>
          <w:sz w:val="24"/>
          <w:szCs w:val="24"/>
          <w:highlight w:val="none"/>
          <w:u w:val="single"/>
          <w14:textFill>
            <w14:solidFill>
              <w14:schemeClr w14:val="tx1"/>
            </w14:solidFill>
          </w14:textFill>
        </w:rPr>
      </w:pPr>
      <w:r>
        <w:rPr>
          <w:rFonts w:hint="eastAsia" w:ascii="宋体" w:hAnsi="宋体" w:eastAsia="宋体" w:cs="宋体"/>
          <w:b w:val="0"/>
          <w:bCs/>
          <w:color w:val="ff0000"/>
          <w:sz w:val="24"/>
          <w:szCs w:val="24"/>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val="0"/>
          <w:bCs/>
          <w:color w:val="ff0000"/>
          <w:sz w:val="24"/>
          <w:szCs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w:t>
      </w:r>
      <w:r/>
    </w:p>
    <w:p>
      <w:pPr>
        <w:ind w:firstLine="560"/>
        <w:spacing w:line="508" w:lineRule="exact"/>
        <w:tabs>
          <w:tab w:val="left" w:pos="138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33.9履约保证金政策</w:t>
      </w:r>
      <w:r/>
    </w:p>
    <w:p>
      <w:pPr>
        <w:pStyle w:val="925"/>
        <w:ind w:left="0" w:firstLine="560"/>
        <w:spacing w:after="0"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确需收取履约保证金的，履约保证金的缴纳形式：</w:t>
      </w:r>
      <w:r/>
    </w:p>
    <w:p>
      <w:pPr>
        <w:ind w:firstLine="560"/>
        <w:spacing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560"/>
        <w:spacing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如以履约保函（保险）形式缴纳履约保证金，供应商可通过政府采购电子履约保函（保险）平台（www.jsdzbh.com）在线申请履约保函（保险）。</w:t>
      </w:r>
      <w:r/>
    </w:p>
    <w:p>
      <w:pPr>
        <w:ind w:firstLine="560"/>
        <w:spacing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履约保证金金额不得超过合同金额的</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14:textFill>
            <w14:solidFill>
              <w14:schemeClr w14:val="tx1"/>
            </w14:solidFill>
          </w14:textFill>
        </w:rPr>
        <w:t xml:space="preserve">%，采购人对第三方信用服务机构依据标准规范评定为 AA 级及以上的政府采购供应商（需在签订采购合同前提供信用管理部门备案的第三方信用报告，且信用报告通过“信用盐城网”可查实），免收履约保证金。</w:t>
      </w:r>
      <w:r/>
    </w:p>
    <w:p>
      <w:pPr>
        <w:ind w:firstLine="560"/>
        <w:spacing w:line="508" w:lineRule="exact"/>
        <w:tabs>
          <w:tab w:val="left" w:pos="138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34.预付款制度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本项目落实预付款制度，预付款比例为</w:t>
      </w:r>
      <w:r>
        <w:rPr>
          <w:rFonts w:ascii="SimSun" w:hAnsi="SimSun" w:eastAsia="SimSun" w:cs="SimSun"/>
          <w:color w:val="000000"/>
          <w:sz w:val="24"/>
          <w:u w:val="single"/>
        </w:rPr>
        <w:t xml:space="preserve">100%</w:t>
      </w:r>
      <w:r>
        <w:rPr>
          <w:rFonts w:ascii="SimSun" w:hAnsi="SimSun" w:eastAsia="SimSun" w:cs="SimSun"/>
          <w:color w:val="000000"/>
          <w:sz w:val="24"/>
        </w:rPr>
        <w:t xml:space="preserve">（因保险项目的特殊性，需一次性付款后才生成保险），中标人收到供应商发票后10个工作日内支付预付款。在签订合同时，中标、成交供应商明确书面表示无需预付款或者主动要求降低预付款比例的，采购人可就预付款比例作相应调整。</w:t>
      </w:r>
      <w:r/>
    </w:p>
    <w:p>
      <w:pPr>
        <w:ind w:firstLine="560"/>
        <w:spacing w:line="508" w:lineRule="exact"/>
        <w:rPr>
          <w:rFonts w:hint="eastAsia" w:ascii="宋体" w:hAnsi="宋体" w:eastAsia="宋体" w:cs="宋体"/>
          <w:b w:val="0"/>
          <w:bCs w:val="0"/>
          <w:sz w:val="44"/>
          <w:szCs w:val="44"/>
          <w:highlight w:val="none"/>
          <w14:textFill>
            <w14:solidFill>
              <w14:schemeClr w14:val="tx1"/>
            </w14:solidFill>
          </w14:textFill>
        </w:rPr>
      </w:pPr>
      <w:r>
        <w:rPr>
          <w:rFonts w:hint="eastAsia" w:ascii="宋体" w:hAnsi="宋体" w:eastAsia="宋体" w:cs="宋体"/>
          <w:b w:val="0"/>
          <w:bCs/>
          <w:color w:val="000000" w:themeColor="text1"/>
          <w:sz w:val="44"/>
          <w:szCs w:val="44"/>
          <w:highlight w:val="none"/>
          <w14:textFill>
            <w14:solidFill>
              <w14:schemeClr w14:val="tx1"/>
            </w14:solidFill>
          </w14:textFill>
        </w:rPr>
      </w:r>
      <w:r>
        <w:rPr>
          <w:rFonts w:hint="eastAsia" w:ascii="宋体" w:hAnsi="宋体" w:eastAsia="宋体" w:cs="宋体"/>
          <w:b w:val="0"/>
          <w:bCs/>
          <w:color w:val="000000" w:themeColor="text1"/>
          <w:sz w:val="44"/>
          <w:szCs w:val="44"/>
          <w:highlight w:val="none"/>
          <w14:textFill>
            <w14:solidFill>
              <w14:schemeClr w14:val="tx1"/>
            </w14:solidFill>
          </w14:textFill>
        </w:rPr>
      </w:r>
      <w:r/>
    </w:p>
    <w:p>
      <w:pPr>
        <w:ind w:firstLine="560"/>
        <w:spacing w:line="508" w:lineRule="exact"/>
        <w:rPr>
          <w:rFonts w:hint="eastAsia" w:ascii="宋体" w:hAnsi="宋体" w:eastAsia="宋体" w:cs="宋体"/>
          <w:b w:val="0"/>
          <w:bCs w:val="0"/>
          <w:sz w:val="44"/>
          <w:szCs w:val="44"/>
          <w:highlight w:val="none"/>
          <w14:textFill>
            <w14:solidFill>
              <w14:schemeClr w14:val="tx1"/>
            </w14:solidFill>
          </w14:textFill>
        </w:rPr>
      </w:pPr>
      <w:r>
        <w:rPr>
          <w:rFonts w:hint="eastAsia" w:ascii="宋体" w:hAnsi="宋体" w:eastAsia="宋体" w:cs="宋体"/>
          <w:b w:val="0"/>
          <w:bCs w:val="0"/>
          <w:sz w:val="44"/>
          <w:szCs w:val="44"/>
          <w:highlight w:val="none"/>
          <w14:textFill>
            <w14:solidFill>
              <w14:schemeClr w14:val="tx1"/>
            </w14:solidFill>
          </w14:textFill>
        </w:rPr>
      </w:r>
      <w:r>
        <w:rPr>
          <w:rFonts w:hint="eastAsia" w:ascii="宋体" w:hAnsi="宋体" w:eastAsia="宋体" w:cs="宋体"/>
          <w:b w:val="0"/>
          <w:bCs w:val="0"/>
          <w:sz w:val="44"/>
          <w:szCs w:val="44"/>
          <w:highlight w:val="none"/>
          <w14:textFill>
            <w14:solidFill>
              <w14:schemeClr w14:val="tx1"/>
            </w14:solidFill>
          </w14:textFill>
        </w:rPr>
      </w:r>
      <w:r/>
    </w:p>
    <w:p>
      <w:pPr>
        <w:ind w:firstLine="560"/>
        <w:spacing w:line="508" w:lineRule="exact"/>
        <w:rPr>
          <w:rFonts w:hint="eastAsia" w:ascii="宋体" w:hAnsi="宋体" w:eastAsia="宋体" w:cs="宋体"/>
          <w:b w:val="0"/>
          <w:bCs w:val="0"/>
          <w:sz w:val="44"/>
          <w:szCs w:val="44"/>
          <w:highlight w:val="none"/>
          <w14:textFill>
            <w14:solidFill>
              <w14:schemeClr w14:val="tx1"/>
            </w14:solidFill>
          </w14:textFill>
        </w:rPr>
      </w:pPr>
      <w:r>
        <w:rPr>
          <w:rFonts w:hint="eastAsia" w:ascii="宋体" w:hAnsi="宋体" w:eastAsia="宋体" w:cs="宋体"/>
          <w:b w:val="0"/>
          <w:bCs w:val="0"/>
          <w:sz w:val="44"/>
          <w:szCs w:val="44"/>
          <w:highlight w:val="none"/>
          <w14:textFill>
            <w14:solidFill>
              <w14:schemeClr w14:val="tx1"/>
            </w14:solidFill>
          </w14:textFill>
        </w:rPr>
      </w:r>
      <w:r>
        <w:rPr>
          <w:rFonts w:hint="eastAsia" w:ascii="宋体" w:hAnsi="宋体" w:eastAsia="宋体" w:cs="宋体"/>
          <w:b w:val="0"/>
          <w:bCs w:val="0"/>
          <w:sz w:val="44"/>
          <w:szCs w:val="44"/>
          <w:highlight w:val="none"/>
          <w14:textFill>
            <w14:solidFill>
              <w14:schemeClr w14:val="tx1"/>
            </w14:solidFill>
          </w14:textFill>
        </w:rPr>
      </w:r>
      <w:r/>
    </w:p>
    <w:p>
      <w:pPr>
        <w:ind w:firstLine="560"/>
        <w:spacing w:line="508" w:lineRule="exact"/>
        <w:rPr>
          <w:rFonts w:hint="eastAsia" w:ascii="宋体" w:hAnsi="宋体" w:eastAsia="宋体" w:cs="宋体"/>
          <w:b w:val="0"/>
          <w:bCs w:val="0"/>
          <w:sz w:val="44"/>
          <w:szCs w:val="44"/>
          <w:highlight w:val="none"/>
          <w14:textFill>
            <w14:solidFill>
              <w14:schemeClr w14:val="tx1"/>
            </w14:solidFill>
          </w14:textFill>
        </w:rPr>
      </w:pPr>
      <w:r>
        <w:rPr>
          <w:rFonts w:hint="eastAsia" w:ascii="宋体" w:hAnsi="宋体" w:eastAsia="宋体" w:cs="宋体"/>
          <w:b w:val="0"/>
          <w:bCs w:val="0"/>
          <w:sz w:val="44"/>
          <w:szCs w:val="44"/>
          <w:highlight w:val="none"/>
          <w14:textFill>
            <w14:solidFill>
              <w14:schemeClr w14:val="tx1"/>
            </w14:solidFill>
          </w14:textFill>
        </w:rPr>
      </w:r>
      <w:r>
        <w:rPr>
          <w:rFonts w:hint="eastAsia" w:ascii="宋体" w:hAnsi="宋体" w:eastAsia="宋体" w:cs="宋体"/>
          <w:b w:val="0"/>
          <w:bCs w:val="0"/>
          <w:sz w:val="44"/>
          <w:szCs w:val="44"/>
          <w:highlight w:val="none"/>
          <w14:textFill>
            <w14:solidFill>
              <w14:schemeClr w14:val="tx1"/>
            </w14:solidFill>
          </w14:textFill>
        </w:rPr>
      </w:r>
      <w:r/>
    </w:p>
    <w:p>
      <w:pPr>
        <w:ind w:firstLine="560"/>
        <w:spacing w:line="508" w:lineRule="exact"/>
        <w:rPr>
          <w:rFonts w:hint="eastAsia" w:ascii="宋体" w:hAnsi="宋体" w:eastAsia="宋体" w:cs="宋体"/>
          <w:b w:val="0"/>
          <w:bCs w:val="0"/>
          <w:sz w:val="44"/>
          <w:szCs w:val="44"/>
          <w:highlight w:val="none"/>
          <w14:textFill>
            <w14:solidFill>
              <w14:schemeClr w14:val="tx1"/>
            </w14:solidFill>
          </w14:textFill>
        </w:rPr>
      </w:pPr>
      <w:r>
        <w:rPr>
          <w:rFonts w:hint="eastAsia" w:ascii="宋体" w:hAnsi="宋体" w:eastAsia="宋体" w:cs="宋体"/>
          <w:b w:val="0"/>
          <w:bCs w:val="0"/>
          <w:sz w:val="44"/>
          <w:szCs w:val="44"/>
          <w:highlight w:val="none"/>
          <w14:textFill>
            <w14:solidFill>
              <w14:schemeClr w14:val="tx1"/>
            </w14:solidFill>
          </w14:textFill>
        </w:rPr>
      </w:r>
      <w:r>
        <w:rPr>
          <w:rFonts w:hint="eastAsia" w:ascii="宋体" w:hAnsi="宋体" w:eastAsia="宋体" w:cs="宋体"/>
          <w:b w:val="0"/>
          <w:bCs w:val="0"/>
          <w:sz w:val="44"/>
          <w:szCs w:val="44"/>
          <w:highlight w:val="none"/>
          <w14:textFill>
            <w14:solidFill>
              <w14:schemeClr w14:val="tx1"/>
            </w14:solidFill>
          </w14:textFill>
        </w:rPr>
      </w:r>
      <w:r/>
    </w:p>
    <w:p>
      <w:pPr>
        <w:ind w:firstLine="560"/>
        <w:spacing w:line="508" w:lineRule="exact"/>
        <w:rPr>
          <w:rFonts w:hint="eastAsia" w:ascii="宋体" w:hAnsi="宋体" w:eastAsia="宋体" w:cs="宋体"/>
          <w:b w:val="0"/>
          <w:bCs w:val="0"/>
          <w:sz w:val="44"/>
          <w:szCs w:val="44"/>
          <w:highlight w:val="none"/>
          <w14:textFill>
            <w14:solidFill>
              <w14:schemeClr w14:val="tx1"/>
            </w14:solidFill>
          </w14:textFill>
        </w:rPr>
      </w:pPr>
      <w:r>
        <w:rPr>
          <w:rFonts w:hint="eastAsia" w:ascii="宋体" w:hAnsi="宋体" w:eastAsia="宋体" w:cs="宋体"/>
          <w:b w:val="0"/>
          <w:bCs w:val="0"/>
          <w:sz w:val="44"/>
          <w:szCs w:val="44"/>
          <w:highlight w:val="none"/>
          <w14:textFill>
            <w14:solidFill>
              <w14:schemeClr w14:val="tx1"/>
            </w14:solidFill>
          </w14:textFill>
        </w:rPr>
      </w:r>
      <w:r>
        <w:rPr>
          <w:rFonts w:hint="eastAsia" w:ascii="宋体" w:hAnsi="宋体" w:eastAsia="宋体" w:cs="宋体"/>
          <w:b w:val="0"/>
          <w:bCs w:val="0"/>
          <w:sz w:val="44"/>
          <w:szCs w:val="44"/>
          <w:highlight w:val="none"/>
          <w14:textFill>
            <w14:solidFill>
              <w14:schemeClr w14:val="tx1"/>
            </w14:solidFill>
          </w14:textFill>
        </w:rPr>
      </w:r>
      <w:r/>
    </w:p>
    <w:p>
      <w:pPr>
        <w:ind w:firstLine="560"/>
        <w:spacing w:line="508" w:lineRule="exact"/>
        <w:rPr>
          <w:rFonts w:hint="eastAsia" w:ascii="宋体" w:hAnsi="宋体" w:eastAsia="宋体" w:cs="宋体"/>
          <w:b w:val="0"/>
          <w:bCs w:val="0"/>
          <w:sz w:val="44"/>
          <w:szCs w:val="44"/>
          <w:highlight w:val="none"/>
          <w14:textFill>
            <w14:solidFill>
              <w14:schemeClr w14:val="tx1"/>
            </w14:solidFill>
          </w14:textFill>
        </w:rPr>
      </w:pPr>
      <w:r>
        <w:rPr>
          <w:rFonts w:hint="eastAsia" w:ascii="宋体" w:hAnsi="宋体" w:eastAsia="宋体" w:cs="宋体"/>
          <w:b w:val="0"/>
          <w:bCs w:val="0"/>
          <w:sz w:val="44"/>
          <w:szCs w:val="44"/>
          <w:highlight w:val="none"/>
          <w14:textFill>
            <w14:solidFill>
              <w14:schemeClr w14:val="tx1"/>
            </w14:solidFill>
          </w14:textFill>
        </w:rPr>
      </w:r>
      <w:r>
        <w:rPr>
          <w:rFonts w:hint="eastAsia" w:ascii="宋体" w:hAnsi="宋体" w:eastAsia="宋体" w:cs="宋体"/>
          <w:b w:val="0"/>
          <w:bCs w:val="0"/>
          <w:sz w:val="44"/>
          <w:szCs w:val="44"/>
          <w:highlight w:val="none"/>
          <w14:textFill>
            <w14:solidFill>
              <w14:schemeClr w14:val="tx1"/>
            </w14:solidFill>
          </w14:textFill>
        </w:rPr>
      </w:r>
      <w:r/>
    </w:p>
    <w:p>
      <w:pPr>
        <w:ind w:firstLine="560"/>
        <w:spacing w:line="508" w:lineRule="exact"/>
        <w:rPr>
          <w:rFonts w:hint="eastAsia" w:ascii="宋体" w:hAnsi="宋体" w:eastAsia="宋体" w:cs="宋体"/>
          <w:b w:val="0"/>
          <w:bCs w:val="0"/>
          <w:sz w:val="44"/>
          <w:szCs w:val="44"/>
          <w:highlight w:val="none"/>
          <w14:textFill>
            <w14:solidFill>
              <w14:schemeClr w14:val="tx1"/>
            </w14:solidFill>
          </w14:textFill>
        </w:rPr>
      </w:pPr>
      <w:r>
        <w:rPr>
          <w:rFonts w:hint="eastAsia" w:ascii="宋体" w:hAnsi="宋体" w:eastAsia="宋体" w:cs="宋体"/>
          <w:b w:val="0"/>
          <w:bCs w:val="0"/>
          <w:sz w:val="44"/>
          <w:szCs w:val="44"/>
          <w:highlight w:val="none"/>
          <w14:textFill>
            <w14:solidFill>
              <w14:schemeClr w14:val="tx1"/>
            </w14:solidFill>
          </w14:textFill>
        </w:rPr>
      </w:r>
      <w:r>
        <w:rPr>
          <w:rFonts w:hint="eastAsia" w:ascii="宋体" w:hAnsi="宋体" w:eastAsia="宋体" w:cs="宋体"/>
          <w:b w:val="0"/>
          <w:bCs w:val="0"/>
          <w:sz w:val="44"/>
          <w:szCs w:val="44"/>
          <w:highlight w:val="none"/>
          <w14:textFill>
            <w14:solidFill>
              <w14:schemeClr w14:val="tx1"/>
            </w14:solidFill>
          </w14:textFill>
        </w:rPr>
      </w:r>
      <w:r/>
    </w:p>
    <w:p>
      <w:pPr>
        <w:ind w:firstLine="560"/>
        <w:spacing w:line="508" w:lineRule="exact"/>
        <w:rPr>
          <w:rFonts w:hint="eastAsia" w:ascii="宋体" w:hAnsi="宋体" w:eastAsia="宋体" w:cs="宋体"/>
          <w:b w:val="0"/>
          <w:bCs w:val="0"/>
          <w:sz w:val="44"/>
          <w:szCs w:val="44"/>
          <w:highlight w:val="none"/>
          <w14:textFill>
            <w14:solidFill>
              <w14:schemeClr w14:val="tx1"/>
            </w14:solidFill>
          </w14:textFill>
        </w:rPr>
      </w:pPr>
      <w:r>
        <w:rPr>
          <w:rFonts w:hint="eastAsia" w:ascii="宋体" w:hAnsi="宋体" w:eastAsia="宋体" w:cs="宋体"/>
          <w:b w:val="0"/>
          <w:bCs w:val="0"/>
          <w:sz w:val="44"/>
          <w:szCs w:val="44"/>
          <w:highlight w:val="none"/>
          <w14:textFill>
            <w14:solidFill>
              <w14:schemeClr w14:val="tx1"/>
            </w14:solidFill>
          </w14:textFill>
        </w:rPr>
      </w:r>
      <w:r>
        <w:rPr>
          <w:rFonts w:hint="eastAsia" w:ascii="宋体" w:hAnsi="宋体" w:eastAsia="宋体" w:cs="宋体"/>
          <w:b w:val="0"/>
          <w:bCs w:val="0"/>
          <w:sz w:val="44"/>
          <w:szCs w:val="44"/>
          <w:highlight w:val="none"/>
          <w14:textFill>
            <w14:solidFill>
              <w14:schemeClr w14:val="tx1"/>
            </w14:solidFill>
          </w14:textFill>
        </w:rPr>
      </w:r>
      <w:r/>
    </w:p>
    <w:p>
      <w:pPr>
        <w:ind w:firstLine="560"/>
        <w:spacing w:line="508" w:lineRule="exact"/>
        <w:rPr>
          <w:rFonts w:hint="eastAsia" w:ascii="宋体" w:hAnsi="宋体" w:eastAsia="宋体" w:cs="宋体"/>
          <w:b w:val="0"/>
          <w:bCs w:val="0"/>
          <w:sz w:val="44"/>
          <w:szCs w:val="44"/>
          <w:highlight w:val="none"/>
          <w14:textFill>
            <w14:solidFill>
              <w14:schemeClr w14:val="tx1"/>
            </w14:solidFill>
          </w14:textFill>
        </w:rPr>
      </w:pPr>
      <w:r>
        <w:rPr>
          <w:rFonts w:hint="eastAsia" w:ascii="宋体" w:hAnsi="宋体" w:eastAsia="宋体" w:cs="宋体"/>
          <w:b w:val="0"/>
          <w:bCs w:val="0"/>
          <w:sz w:val="44"/>
          <w:szCs w:val="44"/>
          <w:highlight w:val="none"/>
          <w14:textFill>
            <w14:solidFill>
              <w14:schemeClr w14:val="tx1"/>
            </w14:solidFill>
          </w14:textFill>
        </w:rPr>
      </w:r>
      <w:r>
        <w:rPr>
          <w:rFonts w:hint="eastAsia" w:ascii="宋体" w:hAnsi="宋体" w:eastAsia="宋体" w:cs="宋体"/>
          <w:b w:val="0"/>
          <w:bCs w:val="0"/>
          <w:sz w:val="44"/>
          <w:szCs w:val="44"/>
          <w:highlight w:val="none"/>
          <w14:textFill>
            <w14:solidFill>
              <w14:schemeClr w14:val="tx1"/>
            </w14:solidFill>
          </w14:textFill>
        </w:rPr>
      </w:r>
      <w:r/>
    </w:p>
    <w:p>
      <w:pPr>
        <w:ind w:firstLine="560"/>
        <w:spacing w:line="508" w:lineRule="exact"/>
        <w:rPr>
          <w:rFonts w:hint="eastAsia" w:ascii="宋体" w:hAnsi="宋体" w:eastAsia="宋体" w:cs="宋体"/>
          <w:b w:val="0"/>
          <w:bCs w:val="0"/>
          <w:sz w:val="44"/>
          <w:szCs w:val="44"/>
          <w:highlight w:val="none"/>
          <w14:textFill>
            <w14:solidFill>
              <w14:schemeClr w14:val="tx1"/>
            </w14:solidFill>
          </w14:textFill>
        </w:rPr>
      </w:pPr>
      <w:r>
        <w:rPr>
          <w:rFonts w:hint="eastAsia" w:ascii="宋体" w:hAnsi="宋体" w:eastAsia="宋体" w:cs="宋体"/>
          <w:b w:val="0"/>
          <w:bCs w:val="0"/>
          <w:sz w:val="44"/>
          <w:szCs w:val="44"/>
          <w:highlight w:val="none"/>
          <w14:textFill>
            <w14:solidFill>
              <w14:schemeClr w14:val="tx1"/>
            </w14:solidFill>
          </w14:textFill>
        </w:rPr>
      </w:r>
      <w:r>
        <w:rPr>
          <w:rFonts w:hint="eastAsia" w:ascii="宋体" w:hAnsi="宋体" w:eastAsia="宋体" w:cs="宋体"/>
          <w:b w:val="0"/>
          <w:bCs w:val="0"/>
          <w:sz w:val="44"/>
          <w:szCs w:val="44"/>
          <w:highlight w:val="none"/>
          <w14:textFill>
            <w14:solidFill>
              <w14:schemeClr w14:val="tx1"/>
            </w14:solidFill>
          </w14:textFill>
        </w:rPr>
      </w:r>
      <w:r/>
    </w:p>
    <w:p>
      <w:pPr>
        <w:ind w:firstLine="560"/>
        <w:spacing w:line="508" w:lineRule="exact"/>
        <w:rPr>
          <w:rFonts w:hint="eastAsia" w:ascii="宋体" w:hAnsi="宋体" w:eastAsia="宋体" w:cs="宋体"/>
          <w:b w:val="0"/>
          <w:bCs w:val="0"/>
          <w:sz w:val="44"/>
          <w:szCs w:val="44"/>
          <w:highlight w:val="none"/>
          <w14:textFill>
            <w14:solidFill>
              <w14:schemeClr w14:val="tx1"/>
            </w14:solidFill>
          </w14:textFill>
        </w:rPr>
      </w:pPr>
      <w:r>
        <w:rPr>
          <w:rFonts w:hint="eastAsia" w:ascii="宋体" w:hAnsi="宋体" w:eastAsia="宋体" w:cs="宋体"/>
          <w:b w:val="0"/>
          <w:bCs w:val="0"/>
          <w:sz w:val="44"/>
          <w:szCs w:val="44"/>
          <w:highlight w:val="none"/>
          <w14:textFill>
            <w14:solidFill>
              <w14:schemeClr w14:val="tx1"/>
            </w14:solidFill>
          </w14:textFill>
        </w:rPr>
      </w:r>
      <w:r>
        <w:rPr>
          <w:rFonts w:hint="eastAsia" w:ascii="宋体" w:hAnsi="宋体" w:eastAsia="宋体" w:cs="宋体"/>
          <w:b w:val="0"/>
          <w:bCs w:val="0"/>
          <w:sz w:val="44"/>
          <w:szCs w:val="44"/>
          <w:highlight w:val="none"/>
          <w14:textFill>
            <w14:solidFill>
              <w14:schemeClr w14:val="tx1"/>
            </w14:solidFill>
          </w14:textFill>
        </w:rPr>
      </w:r>
      <w:r/>
    </w:p>
    <w:p>
      <w:pPr>
        <w:ind w:firstLine="560"/>
        <w:spacing w:line="508" w:lineRule="exact"/>
        <w:rPr>
          <w:rFonts w:hint="eastAsia" w:ascii="宋体" w:hAnsi="宋体" w:eastAsia="宋体" w:cs="宋体"/>
          <w:b w:val="0"/>
          <w:bCs w:val="0"/>
          <w:sz w:val="44"/>
          <w:szCs w:val="44"/>
          <w:highlight w:val="none"/>
          <w14:textFill>
            <w14:solidFill>
              <w14:schemeClr w14:val="tx1"/>
            </w14:solidFill>
          </w14:textFill>
        </w:rPr>
      </w:pPr>
      <w:r>
        <w:rPr>
          <w:rFonts w:hint="eastAsia" w:ascii="宋体" w:hAnsi="宋体" w:eastAsia="宋体" w:cs="宋体"/>
          <w:b w:val="0"/>
          <w:bCs w:val="0"/>
          <w:sz w:val="44"/>
          <w:szCs w:val="44"/>
          <w:highlight w:val="none"/>
          <w14:textFill>
            <w14:solidFill>
              <w14:schemeClr w14:val="tx1"/>
            </w14:solidFill>
          </w14:textFill>
        </w:rPr>
      </w:r>
      <w:r>
        <w:rPr>
          <w:rFonts w:hint="eastAsia" w:ascii="宋体" w:hAnsi="宋体" w:eastAsia="宋体" w:cs="宋体"/>
          <w:b w:val="0"/>
          <w:bCs w:val="0"/>
          <w:sz w:val="44"/>
          <w:szCs w:val="44"/>
          <w:highlight w:val="none"/>
          <w14:textFill>
            <w14:solidFill>
              <w14:schemeClr w14:val="tx1"/>
            </w14:solidFill>
          </w14:textFill>
        </w:rPr>
      </w:r>
      <w:r/>
    </w:p>
    <w:p>
      <w:pPr>
        <w:ind w:firstLine="560"/>
        <w:spacing w:line="508" w:lineRule="exact"/>
        <w:rPr>
          <w:rFonts w:hint="eastAsia" w:ascii="宋体" w:hAnsi="宋体" w:eastAsia="宋体" w:cs="宋体"/>
          <w:b w:val="0"/>
          <w:bCs w:val="0"/>
          <w:sz w:val="44"/>
          <w:szCs w:val="44"/>
          <w:highlight w:val="none"/>
          <w14:textFill>
            <w14:solidFill>
              <w14:schemeClr w14:val="tx1"/>
            </w14:solidFill>
          </w14:textFill>
        </w:rPr>
      </w:pPr>
      <w:r>
        <w:rPr>
          <w:rFonts w:hint="eastAsia" w:ascii="宋体" w:hAnsi="宋体" w:eastAsia="宋体" w:cs="宋体"/>
          <w:b w:val="0"/>
          <w:bCs w:val="0"/>
          <w:sz w:val="44"/>
          <w:szCs w:val="44"/>
          <w:highlight w:val="none"/>
          <w14:textFill>
            <w14:solidFill>
              <w14:schemeClr w14:val="tx1"/>
            </w14:solidFill>
          </w14:textFill>
        </w:rPr>
      </w:r>
      <w:r>
        <w:rPr>
          <w:rFonts w:hint="eastAsia" w:ascii="宋体" w:hAnsi="宋体" w:eastAsia="宋体" w:cs="宋体"/>
          <w:b w:val="0"/>
          <w:bCs w:val="0"/>
          <w:sz w:val="44"/>
          <w:szCs w:val="44"/>
          <w:highlight w:val="none"/>
          <w14:textFill>
            <w14:solidFill>
              <w14:schemeClr w14:val="tx1"/>
            </w14:solidFill>
          </w14:textFill>
        </w:rPr>
      </w:r>
      <w:r/>
    </w:p>
    <w:p>
      <w:pPr>
        <w:ind w:firstLine="560"/>
        <w:spacing w:line="508" w:lineRule="exact"/>
        <w:rPr>
          <w:rFonts w:hint="eastAsia" w:ascii="宋体" w:hAnsi="宋体" w:eastAsia="宋体" w:cs="宋体"/>
          <w:b w:val="0"/>
          <w:bCs w:val="0"/>
          <w:sz w:val="44"/>
          <w:szCs w:val="44"/>
          <w:highlight w:val="none"/>
          <w14:textFill>
            <w14:solidFill>
              <w14:schemeClr w14:val="tx1"/>
            </w14:solidFill>
          </w14:textFill>
        </w:rPr>
      </w:pPr>
      <w:r>
        <w:rPr>
          <w:rFonts w:hint="eastAsia" w:ascii="宋体" w:hAnsi="宋体" w:eastAsia="宋体" w:cs="宋体"/>
          <w:b w:val="0"/>
          <w:bCs w:val="0"/>
          <w:sz w:val="44"/>
          <w:szCs w:val="44"/>
          <w:highlight w:val="none"/>
          <w14:textFill>
            <w14:solidFill>
              <w14:schemeClr w14:val="tx1"/>
            </w14:solidFill>
          </w14:textFill>
        </w:rPr>
      </w:r>
      <w:r>
        <w:rPr>
          <w:rFonts w:hint="eastAsia" w:ascii="宋体" w:hAnsi="宋体" w:eastAsia="宋体" w:cs="宋体"/>
          <w:b w:val="0"/>
          <w:bCs w:val="0"/>
          <w:sz w:val="44"/>
          <w:szCs w:val="44"/>
          <w:highlight w:val="none"/>
          <w14:textFill>
            <w14:solidFill>
              <w14:schemeClr w14:val="tx1"/>
            </w14:solidFill>
          </w14:textFill>
        </w:rPr>
      </w:r>
      <w:r/>
    </w:p>
    <w:p>
      <w:pPr>
        <w:ind w:firstLine="560"/>
        <w:spacing w:line="508" w:lineRule="exact"/>
        <w:rPr>
          <w:rFonts w:hint="eastAsia" w:ascii="宋体" w:hAnsi="宋体" w:eastAsia="宋体" w:cs="宋体"/>
          <w:b w:val="0"/>
          <w:bCs w:val="0"/>
          <w:sz w:val="44"/>
          <w:szCs w:val="44"/>
          <w:highlight w:val="none"/>
          <w14:textFill>
            <w14:solidFill>
              <w14:schemeClr w14:val="tx1"/>
            </w14:solidFill>
          </w14:textFill>
        </w:rPr>
      </w:pPr>
      <w:r>
        <w:rPr>
          <w:rFonts w:hint="eastAsia" w:ascii="宋体" w:hAnsi="宋体" w:eastAsia="宋体" w:cs="宋体"/>
          <w:b w:val="0"/>
          <w:bCs w:val="0"/>
          <w:sz w:val="44"/>
          <w:szCs w:val="44"/>
          <w:highlight w:val="none"/>
          <w14:textFill>
            <w14:solidFill>
              <w14:schemeClr w14:val="tx1"/>
            </w14:solidFill>
          </w14:textFill>
        </w:rPr>
      </w:r>
      <w:r>
        <w:rPr>
          <w:rFonts w:hint="eastAsia" w:ascii="宋体" w:hAnsi="宋体" w:eastAsia="宋体" w:cs="宋体"/>
          <w:b w:val="0"/>
          <w:bCs w:val="0"/>
          <w:sz w:val="44"/>
          <w:szCs w:val="44"/>
          <w:highlight w:val="none"/>
          <w14:textFill>
            <w14:solidFill>
              <w14:schemeClr w14:val="tx1"/>
            </w14:solidFill>
          </w14:textFill>
        </w:rPr>
      </w:r>
      <w:r/>
    </w:p>
    <w:p>
      <w:pPr>
        <w:ind w:firstLine="560"/>
        <w:spacing w:line="508" w:lineRule="exact"/>
        <w:rPr>
          <w:rFonts w:hint="eastAsia" w:ascii="宋体" w:hAnsi="宋体" w:eastAsia="宋体" w:cs="宋体"/>
          <w:b w:val="0"/>
          <w:bCs w:val="0"/>
          <w:sz w:val="44"/>
          <w:szCs w:val="44"/>
          <w:highlight w:val="none"/>
          <w14:textFill>
            <w14:solidFill>
              <w14:schemeClr w14:val="tx1"/>
            </w14:solidFill>
          </w14:textFill>
        </w:rPr>
      </w:pPr>
      <w:r>
        <w:rPr>
          <w:rFonts w:hint="eastAsia" w:ascii="宋体" w:hAnsi="宋体" w:eastAsia="宋体" w:cs="宋体"/>
          <w:b w:val="0"/>
          <w:bCs w:val="0"/>
          <w:sz w:val="44"/>
          <w:szCs w:val="44"/>
          <w:highlight w:val="none"/>
          <w14:textFill>
            <w14:solidFill>
              <w14:schemeClr w14:val="tx1"/>
            </w14:solidFill>
          </w14:textFill>
        </w:rPr>
      </w:r>
      <w:r>
        <w:rPr>
          <w:rFonts w:hint="eastAsia" w:ascii="宋体" w:hAnsi="宋体" w:eastAsia="宋体" w:cs="宋体"/>
          <w:b w:val="0"/>
          <w:bCs w:val="0"/>
          <w:sz w:val="44"/>
          <w:szCs w:val="44"/>
          <w:highlight w:val="none"/>
          <w14:textFill>
            <w14:solidFill>
              <w14:schemeClr w14:val="tx1"/>
            </w14:solidFill>
          </w14:textFill>
        </w:rPr>
      </w:r>
      <w:r/>
    </w:p>
    <w:p>
      <w:pPr>
        <w:ind w:firstLine="560"/>
        <w:spacing w:line="508" w:lineRule="exact"/>
        <w:rPr>
          <w:rFonts w:hint="eastAsia" w:ascii="宋体" w:hAnsi="宋体" w:eastAsia="宋体" w:cs="宋体"/>
          <w:b w:val="0"/>
          <w:bCs w:val="0"/>
          <w:sz w:val="44"/>
          <w:szCs w:val="44"/>
          <w:highlight w:val="none"/>
          <w14:textFill>
            <w14:solidFill>
              <w14:schemeClr w14:val="tx1"/>
            </w14:solidFill>
          </w14:textFill>
        </w:rPr>
      </w:pPr>
      <w:r>
        <w:rPr>
          <w:rFonts w:hint="eastAsia" w:ascii="宋体" w:hAnsi="宋体" w:eastAsia="宋体" w:cs="宋体"/>
          <w:b w:val="0"/>
          <w:bCs w:val="0"/>
          <w:sz w:val="44"/>
          <w:szCs w:val="44"/>
          <w:highlight w:val="none"/>
          <w14:textFill>
            <w14:solidFill>
              <w14:schemeClr w14:val="tx1"/>
            </w14:solidFill>
          </w14:textFill>
        </w:rPr>
      </w:r>
      <w:r>
        <w:rPr>
          <w:rFonts w:hint="eastAsia" w:ascii="宋体" w:hAnsi="宋体" w:eastAsia="宋体" w:cs="宋体"/>
          <w:b w:val="0"/>
          <w:bCs w:val="0"/>
          <w:sz w:val="44"/>
          <w:szCs w:val="44"/>
          <w:highlight w:val="none"/>
          <w14:textFill>
            <w14:solidFill>
              <w14:schemeClr w14:val="tx1"/>
            </w14:solidFill>
          </w14:textFill>
        </w:rPr>
      </w:r>
      <w:r/>
    </w:p>
    <w:p>
      <w:pPr>
        <w:ind w:firstLine="560"/>
        <w:spacing w:line="508" w:lineRule="exact"/>
        <w:rPr>
          <w:rFonts w:hint="eastAsia" w:ascii="宋体" w:hAnsi="宋体" w:eastAsia="宋体" w:cs="宋体"/>
          <w:b w:val="0"/>
          <w:bCs w:val="0"/>
          <w:sz w:val="44"/>
          <w:szCs w:val="4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p>
      <w:pPr>
        <w:pStyle w:val="744"/>
        <w:jc w:val="center"/>
        <w:spacing w:beforeAutospacing="0" w:afterAutospacing="0" w:line="508" w:lineRule="exact"/>
        <w:rPr>
          <w:rFonts w:hint="eastAsia" w:ascii="宋体" w:hAnsi="宋体" w:eastAsia="宋体" w:cs="宋体"/>
          <w:b w:val="0"/>
          <w:bCs/>
          <w:color w:val="000000" w:themeColor="text1"/>
          <w:sz w:val="44"/>
          <w:szCs w:val="44"/>
          <w:highlight w:val="none"/>
          <w14:textFill>
            <w14:solidFill>
              <w14:schemeClr w14:val="tx1"/>
            </w14:solidFill>
          </w14:textFill>
        </w:rPr>
        <w:outlineLvl w:val="0"/>
      </w:pPr>
      <w:r>
        <w:rPr>
          <w:rFonts w:hint="eastAsia" w:ascii="宋体" w:hAnsi="宋体" w:eastAsia="宋体" w:cs="宋体"/>
          <w:b w:val="0"/>
          <w:bCs/>
          <w:color w:val="000000" w:themeColor="text1"/>
          <w:sz w:val="44"/>
          <w:szCs w:val="44"/>
          <w:highlight w:val="none"/>
          <w14:textFill>
            <w14:solidFill>
              <w14:schemeClr w14:val="tx1"/>
            </w14:solidFill>
          </w14:textFill>
        </w:rPr>
        <w:t xml:space="preserve">第三章合同条款及格式</w:t>
      </w:r>
      <w:r/>
    </w:p>
    <w:p>
      <w:pPr>
        <w:ind w:firstLine="560"/>
        <w:spacing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以下为成交后签订本项目合同的通用条款，成交供应商不得提出实质性的修改，关于专用条款将由采购人与成交供应商结合本项目具体情况协商后签订。</w:t>
      </w:r>
      <w:r/>
    </w:p>
    <w:p>
      <w:pPr>
        <w:ind w:firstLine="480"/>
        <w:jc w:val="center"/>
        <w:spacing w:line="508" w:lineRule="exact"/>
        <w:rPr>
          <w:rFonts w:hint="eastAsia" w:ascii="宋体" w:hAnsi="宋体" w:eastAsia="宋体" w:cs="宋体"/>
          <w:b w:val="0"/>
          <w:bCs/>
          <w:color w:val="000000" w:themeColor="text1"/>
          <w:sz w:val="28"/>
          <w:szCs w:val="28"/>
          <w:highlight w:val="none"/>
          <w14:textFill>
            <w14:solidFill>
              <w14:schemeClr w14:val="tx1"/>
            </w14:solidFill>
          </w14:textFill>
        </w:rPr>
      </w:pPr>
      <w:r>
        <w:rPr>
          <w:rFonts w:hint="eastAsia" w:ascii="宋体" w:hAnsi="宋体" w:eastAsia="宋体" w:cs="宋体"/>
          <w:b w:val="0"/>
          <w:bCs/>
          <w:color w:val="000000" w:themeColor="text1"/>
          <w:sz w:val="28"/>
          <w:szCs w:val="28"/>
          <w:highlight w:val="none"/>
          <w14:textFill>
            <w14:solidFill>
              <w14:schemeClr w14:val="tx1"/>
            </w14:solidFill>
          </w14:textFill>
        </w:rPr>
      </w:r>
      <w:r/>
    </w:p>
    <w:p>
      <w:pPr>
        <w:jc w:val="center"/>
        <w:spacing w:line="508"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盐城市政府采购合同</w:t>
      </w:r>
      <w:r/>
    </w:p>
    <w:p>
      <w:pPr>
        <w:pStyle w:val="933"/>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项目名称：</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盐城市公安局2026年度公安民警家庭医疗保险服务采购项目</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        </w:t>
      </w:r>
      <w:r/>
    </w:p>
    <w:p>
      <w:pPr>
        <w:pStyle w:val="933"/>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项目编号：</w:t>
      </w:r>
      <w:r/>
    </w:p>
    <w:p>
      <w:pPr>
        <w:pStyle w:val="933"/>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u w:val="singl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甲方：</w:t>
      </w:r>
      <w:r>
        <w:rPr>
          <w:rFonts w:hint="eastAsia" w:ascii="宋体" w:hAnsi="宋体" w:eastAsia="宋体" w:cs="宋体"/>
          <w:b w:val="0"/>
          <w:bCs/>
          <w:color w:val="000000" w:themeColor="text1"/>
          <w:sz w:val="24"/>
          <w:szCs w:val="24"/>
          <w:highlight w:val="none"/>
          <w:u w:val="single"/>
          <w:shd w:val="clear" w:color="auto" w:fill="auto"/>
          <w:lang w:val="en-US" w:eastAsia="zh-CN"/>
          <w14:textFill>
            <w14:solidFill>
              <w14:schemeClr w14:val="tx1"/>
            </w14:solidFill>
          </w14:textFill>
        </w:rPr>
        <w:t xml:space="preserve">盐城市公安局            </w:t>
      </w:r>
      <w:r/>
    </w:p>
    <w:p>
      <w:pPr>
        <w:pStyle w:val="933"/>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u w:val="singl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乙方：</w:t>
      </w:r>
      <w:r>
        <w:rPr>
          <w:rFonts w:hint="eastAsia" w:ascii="宋体" w:hAnsi="宋体" w:eastAsia="宋体" w:cs="宋体"/>
          <w:b w:val="0"/>
          <w:bCs/>
          <w:color w:val="000000" w:themeColor="text1"/>
          <w:sz w:val="24"/>
          <w:szCs w:val="24"/>
          <w:highlight w:val="none"/>
          <w:u w:val="single"/>
          <w:shd w:val="clear" w:color="auto" w:fill="auto"/>
          <w:lang w:val="en-US" w:eastAsia="zh-CN"/>
          <w14:textFill>
            <w14:solidFill>
              <w14:schemeClr w14:val="tx1"/>
            </w14:solidFill>
          </w14:textFill>
        </w:rPr>
        <w:t xml:space="preserve">                        </w:t>
      </w:r>
      <w:r/>
    </w:p>
    <w:p>
      <w:pPr>
        <w:pStyle w:val="933"/>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   甲、乙双方根据</w:t>
      </w:r>
      <w:r>
        <w:rPr>
          <w:rFonts w:hint="eastAsia" w:ascii="宋体" w:hAnsi="宋体" w:eastAsia="宋体" w:cs="宋体"/>
          <w:b w:val="0"/>
          <w:bCs/>
          <w:color w:val="000000" w:themeColor="text1"/>
          <w:sz w:val="24"/>
          <w:szCs w:val="24"/>
          <w:highlight w:val="none"/>
          <w:u w:val="single"/>
          <w:lang w:eastAsia="zh-CN"/>
          <w14:textFill>
            <w14:solidFill>
              <w14:schemeClr w14:val="tx1"/>
            </w14:solidFill>
          </w14:textFill>
        </w:rPr>
        <w:t xml:space="preserve">盐城市公安局2026年度公安民警家庭医疗保险服务采购项目</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竞争性</w:t>
      </w: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磋商</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的结果，</w:t>
      </w:r>
      <w:r>
        <w:rPr>
          <w:rFonts w:hint="eastAsia" w:ascii="宋体" w:hAnsi="宋体" w:eastAsia="宋体" w:cs="宋体"/>
          <w:b w:val="0"/>
          <w:bCs/>
          <w:color w:val="000000" w:themeColor="text1"/>
          <w:sz w:val="24"/>
          <w:szCs w:val="24"/>
          <w:highlight w:val="none"/>
          <w14:textFill>
            <w14:solidFill>
              <w14:schemeClr w14:val="tx1"/>
            </w14:solidFill>
          </w14:textFill>
        </w:rPr>
        <w:t xml:space="preserve">本着自愿、平等、互利和诚实信用的原则，经充分协商签署本协议。</w:t>
      </w:r>
      <w:r/>
    </w:p>
    <w:p>
      <w:pPr>
        <w:pStyle w:val="933"/>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一、合同内容</w:t>
      </w:r>
      <w:r/>
    </w:p>
    <w:p>
      <w:pPr>
        <w:pStyle w:val="933"/>
        <w:ind w:firstLine="480"/>
        <w:jc w:val="both"/>
        <w:keepLines w:val="0"/>
        <w:keepNext w:val="0"/>
        <w:pageBreakBefore w:val="0"/>
        <w:spacing w:before="120" w:beforeAutospacing="0" w:after="120" w:afterAutospacing="0" w:line="40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1.参保范围：</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经盐城市公安局认定的人员</w:t>
      </w:r>
      <w:r/>
    </w:p>
    <w:p>
      <w:pPr>
        <w:pStyle w:val="933"/>
        <w:ind w:firstLine="480"/>
        <w:jc w:val="both"/>
        <w:keepLines w:val="0"/>
        <w:keepNext w:val="0"/>
        <w:pageBreakBefore w:val="0"/>
        <w:spacing w:before="120" w:beforeAutospacing="0" w:after="120" w:afterAutospacing="0" w:line="400" w:lineRule="exact"/>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保险费</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u w:val="single"/>
          <w:lang w:val="en-US" w:eastAsia="zh-CN"/>
          <w14:textFill>
            <w14:solidFill>
              <w14:schemeClr w14:val="tx1"/>
            </w14:solidFill>
          </w14:textFill>
        </w:rPr>
        <w:t xml:space="preserve">（中标单价）</w:t>
      </w:r>
      <w:r>
        <w:rPr>
          <w:rFonts w:hint="eastAsia" w:ascii="宋体" w:hAnsi="宋体" w:eastAsia="宋体" w:cs="宋体"/>
          <w:b w:val="0"/>
          <w:bCs/>
          <w:color w:val="000000" w:themeColor="text1"/>
          <w:sz w:val="24"/>
          <w:szCs w:val="24"/>
          <w:highlight w:val="none"/>
          <w14:textFill>
            <w14:solidFill>
              <w14:schemeClr w14:val="tx1"/>
            </w14:solidFill>
          </w14:textFill>
        </w:rPr>
        <w:t xml:space="preserve">元/人/年，</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根据实际投保人数按实结算</w:t>
      </w: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p>
    <w:p>
      <w:pPr>
        <w:pStyle w:val="933"/>
        <w:ind w:firstLine="480"/>
        <w:jc w:val="both"/>
        <w:keepLines w:val="0"/>
        <w:keepNext w:val="0"/>
        <w:pageBreakBefore w:val="0"/>
        <w:spacing w:before="120" w:beforeAutospacing="0" w:after="120" w:afterAutospacing="0" w:line="400" w:lineRule="exact"/>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3.付款条件：乙方完成投保资料审核后，向甲方出具保险费发票，甲方将保险费转入乙方指定账户后，乙方在一个工作日内完成系统出单，保险责任生效。</w:t>
      </w:r>
      <w:r/>
    </w:p>
    <w:p>
      <w:pPr>
        <w:pStyle w:val="933"/>
        <w:ind w:firstLine="480"/>
        <w:jc w:val="both"/>
        <w:keepLines w:val="0"/>
        <w:keepNext w:val="0"/>
        <w:pageBreakBefore w:val="0"/>
        <w:spacing w:before="120" w:beforeAutospacing="0" w:after="120" w:afterAutospacing="0" w:line="400" w:lineRule="exact"/>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保险期间：壹年，自保险合同生效之日起至合同约定终止日二十四时止。（自202</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color w:val="000000" w:themeColor="text1"/>
          <w:sz w:val="24"/>
          <w:szCs w:val="24"/>
          <w:highlight w:val="none"/>
          <w14:textFill>
            <w14:solidFill>
              <w14:schemeClr w14:val="tx1"/>
            </w14:solidFill>
          </w14:textFill>
        </w:rPr>
        <w:t xml:space="preserve">年</w:t>
      </w:r>
      <w:r>
        <w:rPr>
          <w:rFonts w:hint="eastAsia" w:ascii="宋体" w:hAnsi="宋体" w:eastAsia="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14:textFill>
            <w14:solidFill>
              <w14:schemeClr w14:val="tx1"/>
            </w14:solidFill>
          </w14:textFill>
        </w:rPr>
        <w:t xml:space="preserve">月</w:t>
      </w:r>
      <w:r>
        <w:rPr>
          <w:rFonts w:hint="eastAsia" w:ascii="宋体" w:hAnsi="宋体" w:eastAsia="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14:textFill>
            <w14:solidFill>
              <w14:schemeClr w14:val="tx1"/>
            </w14:solidFill>
          </w14:textFill>
        </w:rPr>
        <w:t xml:space="preserve">日起至202</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14:textFill>
            <w14:solidFill>
              <w14:schemeClr w14:val="tx1"/>
            </w14:solidFill>
          </w14:textFill>
        </w:rPr>
        <w:t xml:space="preserve">年</w:t>
      </w:r>
      <w:r>
        <w:rPr>
          <w:rFonts w:hint="eastAsia" w:ascii="宋体" w:hAnsi="宋体" w:eastAsia="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14:textFill>
            <w14:solidFill>
              <w14:schemeClr w14:val="tx1"/>
            </w14:solidFill>
          </w14:textFill>
        </w:rPr>
        <w:t xml:space="preserve">月</w:t>
      </w:r>
      <w:r>
        <w:rPr>
          <w:rFonts w:hint="eastAsia" w:ascii="宋体" w:hAnsi="宋体" w:eastAsia="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14:textFill>
            <w14:solidFill>
              <w14:schemeClr w14:val="tx1"/>
            </w14:solidFill>
          </w14:textFill>
        </w:rPr>
        <w:t xml:space="preserve">日二十四时止）</w:t>
      </w:r>
      <w:r/>
    </w:p>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5.人员名单：</w:t>
      </w:r>
      <w:r/>
    </w:p>
    <w:tbl>
      <w:tblPr>
        <w:tblStyle w:val="722"/>
        <w:tblW w:w="947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7"/>
        <w:gridCol w:w="1288"/>
        <w:gridCol w:w="1829"/>
        <w:gridCol w:w="1667"/>
        <w:gridCol w:w="3309"/>
      </w:tblGrid>
      <w:tr>
        <w:trPr/>
        <w:tc>
          <w:tcPr>
            <w:tcW w:w="1377"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姓名</w:t>
            </w:r>
            <w:r/>
          </w:p>
        </w:tc>
        <w:tc>
          <w:tcPr>
            <w:tcW w:w="1288"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性别</w:t>
            </w:r>
            <w:r/>
          </w:p>
        </w:tc>
        <w:tc>
          <w:tcPr>
            <w:tcW w:w="1829"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身份证号码</w:t>
            </w:r>
            <w:r/>
          </w:p>
        </w:tc>
        <w:tc>
          <w:tcPr>
            <w:tcW w:w="1667"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联系电话</w:t>
            </w:r>
            <w:r/>
          </w:p>
        </w:tc>
        <w:tc>
          <w:tcPr>
            <w:tcW w:w="3309"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职务</w:t>
            </w:r>
            <w:r/>
          </w:p>
        </w:tc>
      </w:tr>
      <w:tr>
        <w:trPr/>
        <w:tc>
          <w:tcPr>
            <w:tcW w:w="1377"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c>
          <w:tcPr>
            <w:tcW w:w="1288"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c>
          <w:tcPr>
            <w:tcW w:w="1829"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c>
          <w:tcPr>
            <w:tcW w:w="1667"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c>
          <w:tcPr>
            <w:tcW w:w="3309"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r>
      <w:tr>
        <w:trPr/>
        <w:tc>
          <w:tcPr>
            <w:tcW w:w="1377" w:type="dxa"/>
            <w:vAlign w:val="top"/>
            <w:textDirection w:val="lrTb"/>
            <w:noWrap w:val="false"/>
          </w:tcPr>
          <w:p>
            <w:pPr>
              <w:keepLines w:val="0"/>
              <w:keepNext w:val="0"/>
              <w:pageBreakBefore w:val="0"/>
              <w:spacing w:line="40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c>
          <w:tcPr>
            <w:tcW w:w="1288" w:type="dxa"/>
            <w:vAlign w:val="top"/>
            <w:textDirection w:val="lrTb"/>
            <w:noWrap w:val="false"/>
          </w:tcPr>
          <w:p>
            <w:pPr>
              <w:keepLines w:val="0"/>
              <w:keepNext w:val="0"/>
              <w:pageBreakBefore w:val="0"/>
              <w:spacing w:line="40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c>
          <w:tcPr>
            <w:tcW w:w="1829" w:type="dxa"/>
            <w:vAlign w:val="top"/>
            <w:textDirection w:val="lrTb"/>
            <w:noWrap w:val="false"/>
          </w:tcPr>
          <w:p>
            <w:pPr>
              <w:keepLines w:val="0"/>
              <w:keepNext w:val="0"/>
              <w:pageBreakBefore w:val="0"/>
              <w:spacing w:line="40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c>
          <w:tcPr>
            <w:tcW w:w="1667" w:type="dxa"/>
            <w:vAlign w:val="top"/>
            <w:textDirection w:val="lrTb"/>
            <w:noWrap w:val="false"/>
          </w:tcPr>
          <w:p>
            <w:pPr>
              <w:keepLines w:val="0"/>
              <w:keepNext w:val="0"/>
              <w:pageBreakBefore w:val="0"/>
              <w:spacing w:line="40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c>
          <w:tcPr>
            <w:tcW w:w="3309" w:type="dxa"/>
            <w:vAlign w:val="top"/>
            <w:textDirection w:val="lrTb"/>
            <w:noWrap w:val="false"/>
          </w:tcPr>
          <w:p>
            <w:pPr>
              <w:keepLines w:val="0"/>
              <w:keepNext w:val="0"/>
              <w:pageBreakBefore w:val="0"/>
              <w:spacing w:line="40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r>
      <w:tr>
        <w:trPr/>
        <w:tc>
          <w:tcPr>
            <w:tcW w:w="1377" w:type="dxa"/>
            <w:vAlign w:val="top"/>
            <w:textDirection w:val="lrTb"/>
            <w:noWrap w:val="false"/>
          </w:tcPr>
          <w:p>
            <w:pPr>
              <w:keepLines w:val="0"/>
              <w:keepNext w:val="0"/>
              <w:pageBreakBefore w:val="0"/>
              <w:spacing w:line="40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c>
          <w:tcPr>
            <w:tcW w:w="1288" w:type="dxa"/>
            <w:vAlign w:val="top"/>
            <w:textDirection w:val="lrTb"/>
            <w:noWrap w:val="false"/>
          </w:tcPr>
          <w:p>
            <w:pPr>
              <w:keepLines w:val="0"/>
              <w:keepNext w:val="0"/>
              <w:pageBreakBefore w:val="0"/>
              <w:spacing w:line="40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c>
          <w:tcPr>
            <w:tcW w:w="1829" w:type="dxa"/>
            <w:vAlign w:val="top"/>
            <w:textDirection w:val="lrTb"/>
            <w:noWrap w:val="false"/>
          </w:tcPr>
          <w:p>
            <w:pPr>
              <w:keepLines w:val="0"/>
              <w:keepNext w:val="0"/>
              <w:pageBreakBefore w:val="0"/>
              <w:spacing w:line="40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c>
          <w:tcPr>
            <w:tcW w:w="1667" w:type="dxa"/>
            <w:vAlign w:val="top"/>
            <w:textDirection w:val="lrTb"/>
            <w:noWrap w:val="false"/>
          </w:tcPr>
          <w:p>
            <w:pPr>
              <w:keepLines w:val="0"/>
              <w:keepNext w:val="0"/>
              <w:pageBreakBefore w:val="0"/>
              <w:spacing w:line="40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c>
          <w:tcPr>
            <w:tcW w:w="3309" w:type="dxa"/>
            <w:vAlign w:val="top"/>
            <w:textDirection w:val="lrTb"/>
            <w:noWrap w:val="false"/>
          </w:tcPr>
          <w:p>
            <w:pPr>
              <w:keepLines w:val="0"/>
              <w:keepNext w:val="0"/>
              <w:pageBreakBefore w:val="0"/>
              <w:spacing w:line="40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r>
      <w:tr>
        <w:trPr/>
        <w:tc>
          <w:tcPr>
            <w:tcW w:w="1377" w:type="dxa"/>
            <w:vAlign w:val="top"/>
            <w:textDirection w:val="lrTb"/>
            <w:noWrap w:val="false"/>
          </w:tcPr>
          <w:p>
            <w:pPr>
              <w:keepLines w:val="0"/>
              <w:keepNext w:val="0"/>
              <w:pageBreakBefore w:val="0"/>
              <w:spacing w:line="40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c>
          <w:tcPr>
            <w:tcW w:w="1288" w:type="dxa"/>
            <w:vAlign w:val="top"/>
            <w:textDirection w:val="lrTb"/>
            <w:noWrap w:val="false"/>
          </w:tcPr>
          <w:p>
            <w:pPr>
              <w:keepLines w:val="0"/>
              <w:keepNext w:val="0"/>
              <w:pageBreakBefore w:val="0"/>
              <w:spacing w:line="40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c>
          <w:tcPr>
            <w:tcW w:w="1829" w:type="dxa"/>
            <w:vAlign w:val="top"/>
            <w:textDirection w:val="lrTb"/>
            <w:noWrap w:val="false"/>
          </w:tcPr>
          <w:p>
            <w:pPr>
              <w:keepLines w:val="0"/>
              <w:keepNext w:val="0"/>
              <w:pageBreakBefore w:val="0"/>
              <w:spacing w:line="40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c>
          <w:tcPr>
            <w:tcW w:w="1667" w:type="dxa"/>
            <w:vAlign w:val="top"/>
            <w:textDirection w:val="lrTb"/>
            <w:noWrap w:val="false"/>
          </w:tcPr>
          <w:p>
            <w:pPr>
              <w:keepLines w:val="0"/>
              <w:keepNext w:val="0"/>
              <w:pageBreakBefore w:val="0"/>
              <w:spacing w:line="40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c>
          <w:tcPr>
            <w:tcW w:w="3309" w:type="dxa"/>
            <w:vAlign w:val="top"/>
            <w:textDirection w:val="lrTb"/>
            <w:noWrap w:val="false"/>
          </w:tcPr>
          <w:p>
            <w:pPr>
              <w:keepLines w:val="0"/>
              <w:keepNext w:val="0"/>
              <w:pageBreakBefore w:val="0"/>
              <w:spacing w:line="40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r>
      <w:tr>
        <w:trPr/>
        <w:tc>
          <w:tcPr>
            <w:tcW w:w="1377" w:type="dxa"/>
            <w:vAlign w:val="top"/>
            <w:textDirection w:val="lrTb"/>
            <w:noWrap w:val="false"/>
          </w:tcPr>
          <w:p>
            <w:pPr>
              <w:keepLines w:val="0"/>
              <w:keepNext w:val="0"/>
              <w:pageBreakBefore w:val="0"/>
              <w:spacing w:line="40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c>
          <w:tcPr>
            <w:tcW w:w="1288" w:type="dxa"/>
            <w:vAlign w:val="top"/>
            <w:textDirection w:val="lrTb"/>
            <w:noWrap w:val="false"/>
          </w:tcPr>
          <w:p>
            <w:pPr>
              <w:keepLines w:val="0"/>
              <w:keepNext w:val="0"/>
              <w:pageBreakBefore w:val="0"/>
              <w:spacing w:line="40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c>
          <w:tcPr>
            <w:tcW w:w="1829" w:type="dxa"/>
            <w:vAlign w:val="top"/>
            <w:textDirection w:val="lrTb"/>
            <w:noWrap w:val="false"/>
          </w:tcPr>
          <w:p>
            <w:pPr>
              <w:keepLines w:val="0"/>
              <w:keepNext w:val="0"/>
              <w:pageBreakBefore w:val="0"/>
              <w:spacing w:line="40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c>
          <w:tcPr>
            <w:tcW w:w="1667" w:type="dxa"/>
            <w:vAlign w:val="top"/>
            <w:textDirection w:val="lrTb"/>
            <w:noWrap w:val="false"/>
          </w:tcPr>
          <w:p>
            <w:pPr>
              <w:keepLines w:val="0"/>
              <w:keepNext w:val="0"/>
              <w:pageBreakBefore w:val="0"/>
              <w:spacing w:line="40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c>
          <w:tcPr>
            <w:tcW w:w="3309" w:type="dxa"/>
            <w:vAlign w:val="top"/>
            <w:textDirection w:val="lrTb"/>
            <w:noWrap w:val="false"/>
          </w:tcPr>
          <w:p>
            <w:pPr>
              <w:keepLines w:val="0"/>
              <w:keepNext w:val="0"/>
              <w:pageBreakBefore w:val="0"/>
              <w:spacing w:line="40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r>
    </w:tbl>
    <w:p>
      <w:pPr>
        <w:keepLines w:val="0"/>
        <w:keepNext w:val="0"/>
        <w:pageBreakBefore w:val="0"/>
        <w:spacing w:line="400" w:lineRule="exact"/>
        <w:widowControl/>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p>
      <w:pPr>
        <w:keepLines w:val="0"/>
        <w:keepNext w:val="0"/>
        <w:pageBreakBefore w:val="0"/>
        <w:spacing w:line="400" w:lineRule="exact"/>
        <w:widowControl/>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 w:val="0"/>
          <w:bCs/>
          <w:color w:val="000000" w:themeColor="text1"/>
          <w:sz w:val="24"/>
          <w:szCs w:val="24"/>
          <w:highlight w:val="none"/>
          <w14:textFill>
            <w14:solidFill>
              <w14:schemeClr w14:val="tx1"/>
            </w14:solidFill>
          </w14:textFill>
        </w:rPr>
        <w:t xml:space="preserve">保险责任</w:t>
      </w:r>
      <w:r/>
    </w:p>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1.意外伤害身故、伤残责任：在保险期间内，被保险人发生意外伤害，并因该伤害导致的身故或残疾，按约定金额给付保险金。</w:t>
      </w:r>
      <w:r/>
    </w:p>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意外医疗责任：在保险期间内，被保险人发生意外伤害（含动物咬伤），并因该伤害在二级以上（含二级）医院或本公司认可的其他医疗机构诊疗，对被保险人每次意外伤害事故所发生并实际支出的符合当地社会基本医疗保险支付范围的医疗费用，按约定金额给付保险金。</w:t>
      </w:r>
      <w:r/>
    </w:p>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3.疾病身故责任：在保险期间内，被保险人因疾病身故，本公司按该被保险人的保险金额给付身故保险金，本合同对该被保险人的保险责任终止。因公牺牲的按因公保额给付保险金，保险责任终止。</w:t>
      </w:r>
      <w:r/>
    </w:p>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疾病住院医疗责任：参保30天后，被保险人因疾病在二级以上（含二级）医院或本公司认可的其他医疗机构诊疗，对被保险人所发生并实际支出的符合当地社会基本医疗保险支付范围的医疗费用，按约定金额给付保险金。</w:t>
      </w:r>
      <w:r/>
    </w:p>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5.住院津贴责任：在保险期间内，被保险人因疾病在二级以上（含二级）医院或本公司认可的其他医疗机构诊疗，对被保险人按实际住院天数给付住院护理津贴。</w:t>
      </w:r>
      <w:r/>
    </w:p>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6.重大疾病保险责任：在保险期内，初次发生并经专科医生明确诊断患条款列明的包含癌症等50种重大疾病，一旦确诊，对被保险人按约定金额给付保险金。被保险人在本次投保前已患重大疾病，保险人不承担该重大疾病保险金的给付责任。</w:t>
      </w:r>
      <w:r/>
    </w:p>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7.重症监护责任：在保险期内，因遭受意外伤害或因疾病（等待期30天）在二级及以上公立医院入住重症监护病房治疗，对被保险人按实际入住天数给付重症监护津贴。</w:t>
      </w:r>
      <w:r/>
    </w:p>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8.定点医疗机构：二级以上（含二级）公立医院，民营医院除外。</w:t>
      </w:r>
      <w:r/>
    </w:p>
    <w:p>
      <w:pPr>
        <w:pStyle w:val="933"/>
        <w:ind w:firstLine="480"/>
        <w:jc w:val="both"/>
        <w:keepLines w:val="0"/>
        <w:keepNext w:val="0"/>
        <w:pageBreakBefore w:val="0"/>
        <w:spacing w:before="120" w:beforeAutospacing="0" w:after="120" w:afterAutospacing="0" w:line="400" w:lineRule="exact"/>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9.既往症：因该项目具有连续性，对2018年6月29日前已经患有尚未治愈的疾病的，为既往病史，该疾病及其并发症，按照保险业监督管理机构相关规定，不承担保险责任；但对2018年6月29日后，民警家庭医疗保险投保期间发现的相关疾病及其并发症，乙方需承诺承担赔偿责任。</w:t>
      </w:r>
      <w:r/>
    </w:p>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10.合理的医疗费用指：符合社会基本医疗保险管理规定范围内的医疗费用，在社会基本医疗保险报销后的剩余部分，按照合同约定的比例进行报销。</w:t>
      </w:r>
      <w:r/>
    </w:p>
    <w:p>
      <w:pPr>
        <w:jc w:val="both"/>
        <w:keepLines w:val="0"/>
        <w:keepNext w:val="0"/>
        <w:pageBreakBefore w:val="0"/>
        <w:spacing w:line="400" w:lineRule="exact"/>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三、保险金额</w:t>
      </w:r>
      <w:r/>
    </w:p>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 在职民警保险责任</w:t>
      </w:r>
      <w:r/>
    </w:p>
    <w:tbl>
      <w:tblPr>
        <w:tblStyle w:val="722"/>
        <w:tblW w:w="9567" w:type="dxa"/>
        <w:jc w:val="center"/>
        <w:tblLayout w:type="fixed"/>
        <w:tblCellMar>
          <w:left w:w="108" w:type="dxa"/>
          <w:top w:w="0" w:type="dxa"/>
          <w:right w:w="108" w:type="dxa"/>
          <w:bottom w:w="0" w:type="dxa"/>
        </w:tblCellMar>
        <w:tblLook w:val="04A0" w:firstRow="1" w:lastRow="0" w:firstColumn="1" w:lastColumn="0" w:noHBand="0" w:noVBand="1"/>
      </w:tblPr>
      <w:tblGrid>
        <w:gridCol w:w="1522"/>
        <w:gridCol w:w="1818"/>
        <w:gridCol w:w="6227"/>
      </w:tblGrid>
      <w:tr>
        <w:trPr>
          <w:jc w:val="center"/>
          <w:trHeight w:val="525"/>
        </w:trPr>
        <w:tc>
          <w:tcPr>
            <w:tcBorders>
              <w:top w:val="single" w:color="auto" w:sz="4" w:space="0"/>
              <w:left w:val="single" w:color="auto" w:sz="4" w:space="0"/>
              <w:bottom w:val="single" w:color="auto" w:sz="4" w:space="0"/>
              <w:right w:val="single" w:color="auto" w:sz="4" w:space="0"/>
            </w:tcBorders>
            <w:tcW w:w="1522" w:type="dxa"/>
            <w:vAlign w:val="center"/>
            <w:textDirection w:val="lrTb"/>
            <w:noWrap w:val="false"/>
          </w:tcPr>
          <w:p>
            <w:pPr>
              <w:pStyle w:val="933"/>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保险责任</w:t>
            </w:r>
            <w:r/>
          </w:p>
        </w:tc>
        <w:tc>
          <w:tcPr>
            <w:tcBorders>
              <w:top w:val="single" w:color="auto" w:sz="4" w:space="0"/>
              <w:left w:val="none" w:color="000000" w:sz="4" w:space="0"/>
              <w:bottom w:val="single" w:color="auto" w:sz="4" w:space="0"/>
              <w:right w:val="single" w:color="auto" w:sz="4" w:space="0"/>
            </w:tcBorders>
            <w:tcW w:w="1818"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保险金额</w:t>
            </w:r>
            <w:r/>
          </w:p>
        </w:tc>
        <w:tc>
          <w:tcPr>
            <w:tcBorders>
              <w:top w:val="single" w:color="auto" w:sz="4" w:space="0"/>
              <w:left w:val="none" w:color="000000" w:sz="4" w:space="0"/>
              <w:bottom w:val="single" w:color="auto" w:sz="4" w:space="0"/>
              <w:right w:val="single" w:color="auto" w:sz="4" w:space="0"/>
            </w:tcBorders>
            <w:tcW w:w="6227"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保障说明</w:t>
            </w:r>
            <w:r/>
          </w:p>
        </w:tc>
      </w:tr>
      <w:tr>
        <w:trPr>
          <w:jc w:val="center"/>
          <w:trHeight w:val="435"/>
        </w:trPr>
        <w:tc>
          <w:tcPr>
            <w:tcBorders>
              <w:top w:val="none" w:color="000000" w:sz="4" w:space="0"/>
              <w:left w:val="single" w:color="auto" w:sz="4" w:space="0"/>
              <w:bottom w:val="single" w:color="auto" w:sz="4" w:space="0"/>
              <w:right w:val="single" w:color="auto" w:sz="4" w:space="0"/>
            </w:tcBorders>
            <w:tcW w:w="1522" w:type="dxa"/>
            <w:vAlign w:val="center"/>
            <w:vMerge w:val="restart"/>
            <w:textDirection w:val="lrTb"/>
            <w:noWrap w:val="false"/>
          </w:tcPr>
          <w:p>
            <w:pPr>
              <w:pStyle w:val="933"/>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意外身故</w:t>
            </w:r>
            <w:r/>
          </w:p>
        </w:tc>
        <w:tc>
          <w:tcPr>
            <w:tcBorders>
              <w:top w:val="none" w:color="000000" w:sz="4" w:space="0"/>
              <w:left w:val="none" w:color="000000" w:sz="4" w:space="0"/>
              <w:bottom w:val="single" w:color="auto" w:sz="4" w:space="0"/>
              <w:right w:val="single" w:color="auto" w:sz="4" w:space="0"/>
            </w:tcBorders>
            <w:tcW w:w="1818"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烈士40万</w:t>
            </w:r>
            <w:r/>
          </w:p>
        </w:tc>
        <w:tc>
          <w:tcPr>
            <w:tcBorders>
              <w:top w:val="none" w:color="000000" w:sz="4" w:space="0"/>
              <w:left w:val="single" w:color="auto" w:sz="4" w:space="0"/>
              <w:bottom w:val="single" w:color="auto" w:sz="4" w:space="0"/>
              <w:right w:val="single" w:color="auto" w:sz="4" w:space="0"/>
            </w:tcBorders>
            <w:tcW w:w="6227" w:type="dxa"/>
            <w:vAlign w:val="center"/>
            <w:vMerge w:val="restart"/>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因意外伤害导致身故给付保险金；意外残疾按照《工伤认定标准》执行。</w:t>
            </w:r>
            <w:r/>
          </w:p>
        </w:tc>
      </w:tr>
      <w:tr>
        <w:trPr>
          <w:jc w:val="center"/>
          <w:trHeight w:val="435"/>
        </w:trPr>
        <w:tc>
          <w:tcPr>
            <w:tcBorders>
              <w:top w:val="none" w:color="000000" w:sz="4" w:space="0"/>
              <w:left w:val="single" w:color="auto" w:sz="4" w:space="0"/>
              <w:bottom w:val="single" w:color="auto" w:sz="4" w:space="0"/>
              <w:right w:val="single" w:color="auto" w:sz="4" w:space="0"/>
            </w:tcBorders>
            <w:tcW w:w="1522" w:type="dxa"/>
            <w:vAlign w:val="center"/>
            <w:vMerge w:val="continue"/>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818"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因公30万</w:t>
            </w:r>
            <w:r/>
          </w:p>
        </w:tc>
        <w:tc>
          <w:tcPr>
            <w:tcBorders>
              <w:top w:val="none" w:color="000000" w:sz="4" w:space="0"/>
              <w:left w:val="single" w:color="auto" w:sz="4" w:space="0"/>
              <w:bottom w:val="single" w:color="auto" w:sz="4" w:space="0"/>
              <w:right w:val="single" w:color="auto" w:sz="4" w:space="0"/>
            </w:tcBorders>
            <w:tcW w:w="6227" w:type="dxa"/>
            <w:vAlign w:val="center"/>
            <w:vMerge w:val="continue"/>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tc>
      </w:tr>
      <w:tr>
        <w:trPr>
          <w:jc w:val="center"/>
          <w:trHeight w:val="435"/>
        </w:trPr>
        <w:tc>
          <w:tcPr>
            <w:tcBorders>
              <w:top w:val="none" w:color="000000" w:sz="4" w:space="0"/>
              <w:left w:val="single" w:color="auto" w:sz="4" w:space="0"/>
              <w:bottom w:val="single" w:color="auto" w:sz="4" w:space="0"/>
              <w:right w:val="single" w:color="auto" w:sz="4" w:space="0"/>
            </w:tcBorders>
            <w:tcW w:w="1522" w:type="dxa"/>
            <w:vAlign w:val="center"/>
            <w:vMerge w:val="continue"/>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818"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非公15万</w:t>
            </w:r>
            <w:r/>
          </w:p>
        </w:tc>
        <w:tc>
          <w:tcPr>
            <w:tcBorders>
              <w:top w:val="none" w:color="000000" w:sz="4" w:space="0"/>
              <w:left w:val="single" w:color="auto" w:sz="4" w:space="0"/>
              <w:bottom w:val="single" w:color="auto" w:sz="4" w:space="0"/>
              <w:right w:val="single" w:color="auto" w:sz="4" w:space="0"/>
            </w:tcBorders>
            <w:tcW w:w="6227" w:type="dxa"/>
            <w:vAlign w:val="center"/>
            <w:vMerge w:val="continue"/>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tc>
      </w:tr>
      <w:tr>
        <w:trPr>
          <w:jc w:val="center"/>
          <w:trHeight w:val="435"/>
        </w:trPr>
        <w:tc>
          <w:tcPr>
            <w:tcBorders>
              <w:top w:val="none" w:color="000000" w:sz="4" w:space="0"/>
              <w:left w:val="single" w:color="auto" w:sz="4" w:space="0"/>
              <w:bottom w:val="single" w:color="auto" w:sz="4" w:space="0"/>
              <w:right w:val="single" w:color="auto" w:sz="4" w:space="0"/>
            </w:tcBorders>
            <w:tcW w:w="1522" w:type="dxa"/>
            <w:vAlign w:val="center"/>
            <w:vMerge w:val="restart"/>
            <w:textDirection w:val="lrTb"/>
            <w:noWrap w:val="false"/>
          </w:tcPr>
          <w:p>
            <w:pPr>
              <w:pStyle w:val="933"/>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意外伤残</w:t>
            </w:r>
            <w:r/>
          </w:p>
        </w:tc>
        <w:tc>
          <w:tcPr>
            <w:tcBorders>
              <w:top w:val="none" w:color="000000" w:sz="4" w:space="0"/>
              <w:left w:val="none" w:color="000000" w:sz="4" w:space="0"/>
              <w:bottom w:val="single" w:color="auto" w:sz="4" w:space="0"/>
              <w:right w:val="single" w:color="auto" w:sz="4" w:space="0"/>
            </w:tcBorders>
            <w:tcW w:w="1818"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因公30万</w:t>
            </w:r>
            <w:r/>
          </w:p>
        </w:tc>
        <w:tc>
          <w:tcPr>
            <w:tcBorders>
              <w:top w:val="none" w:color="000000" w:sz="4" w:space="0"/>
              <w:left w:val="single" w:color="auto" w:sz="4" w:space="0"/>
              <w:bottom w:val="single" w:color="auto" w:sz="4" w:space="0"/>
              <w:right w:val="single" w:color="auto" w:sz="4" w:space="0"/>
            </w:tcBorders>
            <w:tcW w:w="6227" w:type="dxa"/>
            <w:vAlign w:val="center"/>
            <w:vMerge w:val="continue"/>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tc>
      </w:tr>
      <w:tr>
        <w:trPr>
          <w:jc w:val="center"/>
          <w:trHeight w:val="435"/>
        </w:trPr>
        <w:tc>
          <w:tcPr>
            <w:tcBorders>
              <w:top w:val="none" w:color="000000" w:sz="4" w:space="0"/>
              <w:left w:val="single" w:color="auto" w:sz="4" w:space="0"/>
              <w:bottom w:val="single" w:color="auto" w:sz="4" w:space="0"/>
              <w:right w:val="single" w:color="auto" w:sz="4" w:space="0"/>
            </w:tcBorders>
            <w:tcW w:w="1522" w:type="dxa"/>
            <w:vAlign w:val="center"/>
            <w:vMerge w:val="continue"/>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818"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非公15万</w:t>
            </w:r>
            <w:r/>
          </w:p>
        </w:tc>
        <w:tc>
          <w:tcPr>
            <w:tcBorders>
              <w:top w:val="none" w:color="000000" w:sz="4" w:space="0"/>
              <w:left w:val="single" w:color="auto" w:sz="4" w:space="0"/>
              <w:bottom w:val="single" w:color="auto" w:sz="4" w:space="0"/>
              <w:right w:val="single" w:color="auto" w:sz="4" w:space="0"/>
            </w:tcBorders>
            <w:tcW w:w="6227" w:type="dxa"/>
            <w:vAlign w:val="center"/>
            <w:vMerge w:val="continue"/>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tc>
      </w:tr>
      <w:tr>
        <w:trPr>
          <w:jc w:val="center"/>
          <w:trHeight w:val="435"/>
        </w:trPr>
        <w:tc>
          <w:tcPr>
            <w:tcBorders>
              <w:top w:val="none" w:color="000000" w:sz="4" w:space="0"/>
              <w:left w:val="single" w:color="auto" w:sz="4" w:space="0"/>
              <w:bottom w:val="single" w:color="auto" w:sz="4" w:space="0"/>
              <w:right w:val="single" w:color="auto" w:sz="4" w:space="0"/>
            </w:tcBorders>
            <w:tcW w:w="1522" w:type="dxa"/>
            <w:vAlign w:val="center"/>
            <w:textDirection w:val="lrTb"/>
            <w:noWrap w:val="false"/>
          </w:tcPr>
          <w:p>
            <w:pPr>
              <w:pStyle w:val="933"/>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意外门诊</w:t>
            </w:r>
            <w:r/>
          </w:p>
        </w:tc>
        <w:tc>
          <w:tcPr>
            <w:tcBorders>
              <w:top w:val="none" w:color="000000" w:sz="4" w:space="0"/>
              <w:left w:val="none" w:color="000000" w:sz="4" w:space="0"/>
              <w:bottom w:val="single" w:color="auto" w:sz="4" w:space="0"/>
              <w:right w:val="single" w:color="auto" w:sz="4" w:space="0"/>
            </w:tcBorders>
            <w:tcW w:w="1818"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3万</w:t>
            </w:r>
            <w:r/>
          </w:p>
        </w:tc>
        <w:tc>
          <w:tcPr>
            <w:tcBorders>
              <w:top w:val="none" w:color="000000" w:sz="4" w:space="0"/>
              <w:left w:val="single" w:color="auto" w:sz="4" w:space="0"/>
              <w:bottom w:val="single" w:color="auto" w:sz="4" w:space="0"/>
              <w:right w:val="single" w:color="auto" w:sz="4" w:space="0"/>
            </w:tcBorders>
            <w:tcW w:w="6227" w:type="dxa"/>
            <w:vAlign w:val="top"/>
            <w:vMerge w:val="restart"/>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因意外产生的门诊和住院医疗费用，在医保范围内，免赔为0，报销比例95%。</w:t>
            </w:r>
            <w:r/>
          </w:p>
        </w:tc>
      </w:tr>
      <w:tr>
        <w:trPr>
          <w:jc w:val="center"/>
          <w:trHeight w:val="435"/>
        </w:trPr>
        <w:tc>
          <w:tcPr>
            <w:tcBorders>
              <w:top w:val="none" w:color="000000" w:sz="4" w:space="0"/>
              <w:left w:val="single" w:color="auto" w:sz="4" w:space="0"/>
              <w:bottom w:val="single" w:color="auto" w:sz="4" w:space="0"/>
              <w:right w:val="single" w:color="auto" w:sz="4" w:space="0"/>
            </w:tcBorders>
            <w:tcW w:w="1522" w:type="dxa"/>
            <w:vAlign w:val="center"/>
            <w:textDirection w:val="lrTb"/>
            <w:noWrap w:val="false"/>
          </w:tcPr>
          <w:p>
            <w:pPr>
              <w:pStyle w:val="933"/>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意外住院</w:t>
            </w:r>
            <w:r/>
          </w:p>
        </w:tc>
        <w:tc>
          <w:tcPr>
            <w:tcBorders>
              <w:top w:val="none" w:color="000000" w:sz="4" w:space="0"/>
              <w:left w:val="none" w:color="000000" w:sz="4" w:space="0"/>
              <w:bottom w:val="single" w:color="auto" w:sz="4" w:space="0"/>
              <w:right w:val="single" w:color="auto" w:sz="4" w:space="0"/>
            </w:tcBorders>
            <w:tcW w:w="1818"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3万</w:t>
            </w:r>
            <w:r/>
          </w:p>
        </w:tc>
        <w:tc>
          <w:tcPr>
            <w:tcBorders>
              <w:top w:val="none" w:color="000000" w:sz="4" w:space="0"/>
              <w:left w:val="single" w:color="auto" w:sz="4" w:space="0"/>
              <w:bottom w:val="single" w:color="auto" w:sz="4" w:space="0"/>
              <w:right w:val="single" w:color="auto" w:sz="4" w:space="0"/>
            </w:tcBorders>
            <w:tcW w:w="6227" w:type="dxa"/>
            <w:vAlign w:val="center"/>
            <w:vMerge w:val="continue"/>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tc>
      </w:tr>
      <w:tr>
        <w:trPr>
          <w:jc w:val="center"/>
          <w:trHeight w:val="600"/>
        </w:trPr>
        <w:tc>
          <w:tcPr>
            <w:tcBorders>
              <w:top w:val="none" w:color="000000" w:sz="4" w:space="0"/>
              <w:left w:val="single" w:color="auto" w:sz="4" w:space="0"/>
              <w:bottom w:val="single" w:color="auto" w:sz="4" w:space="0"/>
              <w:right w:val="single" w:color="auto" w:sz="4" w:space="0"/>
            </w:tcBorders>
            <w:tcW w:w="1522" w:type="dxa"/>
            <w:vAlign w:val="center"/>
            <w:textDirection w:val="lrTb"/>
            <w:noWrap w:val="false"/>
          </w:tcPr>
          <w:p>
            <w:pPr>
              <w:pStyle w:val="933"/>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汽车、轨道交通、水上交通</w:t>
            </w:r>
            <w:r/>
          </w:p>
        </w:tc>
        <w:tc>
          <w:tcPr>
            <w:tcBorders>
              <w:top w:val="none" w:color="000000" w:sz="4" w:space="0"/>
              <w:left w:val="none" w:color="000000" w:sz="4" w:space="0"/>
              <w:bottom w:val="single" w:color="auto" w:sz="4" w:space="0"/>
              <w:right w:val="single" w:color="auto" w:sz="4" w:space="0"/>
            </w:tcBorders>
            <w:tcW w:w="1818"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20万</w:t>
            </w:r>
            <w:r/>
          </w:p>
        </w:tc>
        <w:tc>
          <w:tcPr>
            <w:tcBorders>
              <w:top w:val="none" w:color="000000" w:sz="4" w:space="0"/>
              <w:left w:val="single" w:color="auto" w:sz="4" w:space="0"/>
              <w:bottom w:val="single" w:color="auto" w:sz="4" w:space="0"/>
              <w:right w:val="single" w:color="auto" w:sz="4" w:space="0"/>
            </w:tcBorders>
            <w:tcW w:w="6227" w:type="dxa"/>
            <w:vAlign w:val="top"/>
            <w:vMerge w:val="restart"/>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因驾驶或搭乘指定交通工具（驾驶指驾驶非营运汽车），发生交通事故导致身故按对应的保额给付。</w:t>
            </w:r>
            <w:r/>
          </w:p>
        </w:tc>
      </w:tr>
      <w:tr>
        <w:trPr>
          <w:jc w:val="center"/>
          <w:trHeight w:val="435"/>
        </w:trPr>
        <w:tc>
          <w:tcPr>
            <w:tcBorders>
              <w:top w:val="none" w:color="000000" w:sz="4" w:space="0"/>
              <w:left w:val="single" w:color="auto" w:sz="4" w:space="0"/>
              <w:bottom w:val="single" w:color="auto" w:sz="4" w:space="0"/>
              <w:right w:val="single" w:color="auto" w:sz="4" w:space="0"/>
            </w:tcBorders>
            <w:tcW w:w="1522"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飞机</w:t>
            </w:r>
            <w:r/>
          </w:p>
        </w:tc>
        <w:tc>
          <w:tcPr>
            <w:tcBorders>
              <w:top w:val="none" w:color="000000" w:sz="4" w:space="0"/>
              <w:left w:val="none" w:color="000000" w:sz="4" w:space="0"/>
              <w:bottom w:val="single" w:color="auto" w:sz="4" w:space="0"/>
              <w:right w:val="single" w:color="auto" w:sz="4" w:space="0"/>
            </w:tcBorders>
            <w:tcW w:w="1818"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100万</w:t>
            </w:r>
            <w:r/>
          </w:p>
        </w:tc>
        <w:tc>
          <w:tcPr>
            <w:tcBorders>
              <w:top w:val="none" w:color="000000" w:sz="4" w:space="0"/>
              <w:left w:val="single" w:color="auto" w:sz="4" w:space="0"/>
              <w:bottom w:val="single" w:color="auto" w:sz="4" w:space="0"/>
              <w:right w:val="single" w:color="auto" w:sz="4" w:space="0"/>
            </w:tcBorders>
            <w:tcW w:w="6227" w:type="dxa"/>
            <w:vAlign w:val="center"/>
            <w:vMerge w:val="continue"/>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tc>
      </w:tr>
      <w:tr>
        <w:trPr>
          <w:jc w:val="center"/>
          <w:trHeight w:val="705"/>
        </w:trPr>
        <w:tc>
          <w:tcPr>
            <w:tcBorders>
              <w:top w:val="none" w:color="000000" w:sz="4" w:space="0"/>
              <w:left w:val="single" w:color="auto" w:sz="4" w:space="0"/>
              <w:bottom w:val="single" w:color="auto" w:sz="4" w:space="0"/>
              <w:right w:val="single" w:color="auto" w:sz="4" w:space="0"/>
            </w:tcBorders>
            <w:tcW w:w="1522" w:type="dxa"/>
            <w:vAlign w:val="center"/>
            <w:textDirection w:val="lrTb"/>
            <w:noWrap w:val="false"/>
          </w:tcPr>
          <w:p>
            <w:pPr>
              <w:pStyle w:val="933"/>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疾病身故</w:t>
            </w:r>
            <w:r/>
          </w:p>
        </w:tc>
        <w:tc>
          <w:tcPr>
            <w:tcBorders>
              <w:top w:val="none" w:color="000000" w:sz="4" w:space="0"/>
              <w:left w:val="none" w:color="000000" w:sz="4" w:space="0"/>
              <w:bottom w:val="single" w:color="auto" w:sz="4" w:space="0"/>
              <w:right w:val="single" w:color="auto" w:sz="4" w:space="0"/>
            </w:tcBorders>
            <w:tcW w:w="1818"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8万</w:t>
            </w:r>
            <w:r/>
          </w:p>
        </w:tc>
        <w:tc>
          <w:tcPr>
            <w:tcBorders>
              <w:top w:val="none" w:color="000000" w:sz="4" w:space="0"/>
              <w:left w:val="none" w:color="000000" w:sz="4" w:space="0"/>
              <w:bottom w:val="single" w:color="auto" w:sz="4" w:space="0"/>
              <w:right w:val="single" w:color="auto" w:sz="4" w:space="0"/>
            </w:tcBorders>
            <w:tcW w:w="6227"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首次参保人员等待期30天，因疾病导致的身故，按保额赔付，不承担既往病史责任。</w:t>
            </w:r>
            <w:r/>
          </w:p>
        </w:tc>
      </w:tr>
      <w:tr>
        <w:trPr>
          <w:jc w:val="center"/>
          <w:trHeight w:val="1140"/>
        </w:trPr>
        <w:tc>
          <w:tcPr>
            <w:tcBorders>
              <w:top w:val="single" w:color="auto" w:sz="4" w:space="0"/>
              <w:left w:val="single" w:color="auto" w:sz="4" w:space="0"/>
              <w:bottom w:val="single" w:color="auto" w:sz="4" w:space="0"/>
              <w:right w:val="single" w:color="auto" w:sz="4" w:space="0"/>
            </w:tcBorders>
            <w:tcW w:w="1522" w:type="dxa"/>
            <w:vAlign w:val="center"/>
            <w:textDirection w:val="lrTb"/>
            <w:noWrap w:val="false"/>
          </w:tcPr>
          <w:p>
            <w:pPr>
              <w:pStyle w:val="933"/>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疾病住院医疗</w:t>
            </w:r>
            <w:r/>
          </w:p>
        </w:tc>
        <w:tc>
          <w:tcPr>
            <w:tcBorders>
              <w:top w:val="single" w:color="auto" w:sz="4" w:space="0"/>
              <w:left w:val="none" w:color="000000" w:sz="4" w:space="0"/>
              <w:bottom w:val="single" w:color="auto" w:sz="4" w:space="0"/>
              <w:right w:val="single" w:color="auto" w:sz="4" w:space="0"/>
            </w:tcBorders>
            <w:tcW w:w="1818"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2万</w:t>
            </w:r>
            <w:r/>
          </w:p>
        </w:tc>
        <w:tc>
          <w:tcPr>
            <w:tcBorders>
              <w:top w:val="single" w:color="auto" w:sz="4" w:space="0"/>
              <w:left w:val="none" w:color="000000" w:sz="4" w:space="0"/>
              <w:bottom w:val="single" w:color="auto" w:sz="4" w:space="0"/>
              <w:right w:val="single" w:color="auto" w:sz="4" w:space="0"/>
            </w:tcBorders>
            <w:tcW w:w="6227"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首次参保人员等待期30天，因疾病在二级（含）以上医院住院治疗，在医保范围内，免赔为0，给付比例95%。不承担既往病史责任。</w:t>
            </w:r>
            <w:r/>
          </w:p>
        </w:tc>
      </w:tr>
      <w:tr>
        <w:trPr>
          <w:jc w:val="center"/>
          <w:trHeight w:val="450"/>
        </w:trPr>
        <w:tc>
          <w:tcPr>
            <w:tcBorders>
              <w:top w:val="single" w:color="auto" w:sz="4" w:space="0"/>
              <w:left w:val="single" w:color="auto" w:sz="4" w:space="0"/>
              <w:bottom w:val="single" w:color="auto" w:sz="4" w:space="0"/>
              <w:right w:val="single" w:color="auto" w:sz="4" w:space="0"/>
            </w:tcBorders>
            <w:tcW w:w="1522" w:type="dxa"/>
            <w:vAlign w:val="center"/>
            <w:textDirection w:val="lrTb"/>
            <w:noWrap w:val="false"/>
          </w:tcPr>
          <w:p>
            <w:pPr>
              <w:pStyle w:val="933"/>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重大疾病</w:t>
            </w:r>
            <w:r/>
          </w:p>
        </w:tc>
        <w:tc>
          <w:tcPr>
            <w:tcBorders>
              <w:top w:val="single" w:color="auto" w:sz="4" w:space="0"/>
              <w:left w:val="none" w:color="000000" w:sz="4" w:space="0"/>
              <w:bottom w:val="single" w:color="auto" w:sz="4" w:space="0"/>
              <w:right w:val="single" w:color="auto" w:sz="4" w:space="0"/>
            </w:tcBorders>
            <w:tcW w:w="1818"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12万</w:t>
            </w:r>
            <w:r/>
          </w:p>
        </w:tc>
        <w:tc>
          <w:tcPr>
            <w:tcBorders>
              <w:top w:val="single" w:color="auto" w:sz="4" w:space="0"/>
              <w:left w:val="none" w:color="000000" w:sz="4" w:space="0"/>
              <w:bottom w:val="single" w:color="auto" w:sz="4" w:space="0"/>
              <w:right w:val="single" w:color="auto" w:sz="4" w:space="0"/>
            </w:tcBorders>
            <w:tcW w:w="6227"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首次参保人员等待期30天，初次发生并经专科医生明确诊断患条款列明的包含癌症等50种重大疾病，一旦确诊，每人按保险金额赔付。首次确诊为甲状腺癌症的按2万元给付，其他首次确诊但不在合同约定50种重大疾病范围内，年度医疗总费用大于12万元的给付保险金2万元。</w:t>
            </w:r>
            <w:r/>
          </w:p>
        </w:tc>
      </w:tr>
      <w:tr>
        <w:trPr>
          <w:jc w:val="center"/>
          <w:trHeight w:val="1110"/>
        </w:trPr>
        <w:tc>
          <w:tcPr>
            <w:tcBorders>
              <w:top w:val="none" w:color="000000" w:sz="4" w:space="0"/>
              <w:left w:val="single" w:color="auto" w:sz="4" w:space="0"/>
              <w:bottom w:val="single" w:color="auto" w:sz="4" w:space="0"/>
              <w:right w:val="single" w:color="auto" w:sz="4" w:space="0"/>
            </w:tcBorders>
            <w:tcW w:w="1522" w:type="dxa"/>
            <w:vAlign w:val="center"/>
            <w:textDirection w:val="lrTb"/>
            <w:noWrap w:val="false"/>
          </w:tcPr>
          <w:p>
            <w:pPr>
              <w:pStyle w:val="933"/>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疾病住院津贴</w:t>
            </w:r>
            <w:r/>
          </w:p>
        </w:tc>
        <w:tc>
          <w:tcPr>
            <w:tcBorders>
              <w:top w:val="none" w:color="000000" w:sz="4" w:space="0"/>
              <w:left w:val="none" w:color="000000" w:sz="4" w:space="0"/>
              <w:bottom w:val="single" w:color="auto" w:sz="4" w:space="0"/>
              <w:right w:val="single" w:color="auto" w:sz="4" w:space="0"/>
            </w:tcBorders>
            <w:tcW w:w="1818"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3.96万</w:t>
            </w:r>
            <w:r/>
          </w:p>
        </w:tc>
        <w:tc>
          <w:tcPr>
            <w:tcBorders>
              <w:top w:val="none" w:color="000000" w:sz="4" w:space="0"/>
              <w:left w:val="none" w:color="000000" w:sz="4" w:space="0"/>
              <w:bottom w:val="single" w:color="auto" w:sz="4" w:space="0"/>
              <w:right w:val="single" w:color="auto" w:sz="4" w:space="0"/>
            </w:tcBorders>
            <w:tcW w:w="6227"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首次参保人员等待期30天，因疾病在二级及以上医院住院治疗，按220元/天给付护理津贴，每次住院给付日数以90天为限，累计给付180天，不承担既往病史责任。</w:t>
            </w:r>
            <w:r/>
          </w:p>
        </w:tc>
      </w:tr>
      <w:tr>
        <w:trPr>
          <w:jc w:val="center"/>
          <w:trHeight w:val="1200"/>
        </w:trPr>
        <w:tc>
          <w:tcPr>
            <w:tcBorders>
              <w:top w:val="none" w:color="000000" w:sz="4" w:space="0"/>
              <w:left w:val="single" w:color="auto" w:sz="4" w:space="0"/>
              <w:bottom w:val="single" w:color="auto" w:sz="4" w:space="0"/>
              <w:right w:val="single" w:color="auto" w:sz="4" w:space="0"/>
            </w:tcBorders>
            <w:tcW w:w="1522" w:type="dxa"/>
            <w:vAlign w:val="center"/>
            <w:textDirection w:val="lrTb"/>
            <w:noWrap w:val="false"/>
          </w:tcPr>
          <w:p>
            <w:pPr>
              <w:pStyle w:val="933"/>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重症监护津贴</w:t>
            </w:r>
            <w:r/>
          </w:p>
        </w:tc>
        <w:tc>
          <w:tcPr>
            <w:tcBorders>
              <w:top w:val="none" w:color="000000" w:sz="4" w:space="0"/>
              <w:left w:val="none" w:color="000000" w:sz="4" w:space="0"/>
              <w:bottom w:val="single" w:color="auto" w:sz="4" w:space="0"/>
              <w:right w:val="single" w:color="auto" w:sz="4" w:space="0"/>
            </w:tcBorders>
            <w:tcW w:w="1818"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12万</w:t>
            </w:r>
            <w:r/>
          </w:p>
        </w:tc>
        <w:tc>
          <w:tcPr>
            <w:tcBorders>
              <w:top w:val="none" w:color="000000" w:sz="4" w:space="0"/>
              <w:left w:val="none" w:color="000000" w:sz="4" w:space="0"/>
              <w:bottom w:val="single" w:color="auto" w:sz="4" w:space="0"/>
              <w:right w:val="single" w:color="auto" w:sz="4" w:space="0"/>
            </w:tcBorders>
            <w:tcW w:w="6227"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因意外或疾病（首次参保人员等待期30天）在二级及以上医院入住重症监护病房治疗，按1000元/天给付重症监津贴，累计给付120天为限。</w:t>
            </w:r>
            <w:r/>
          </w:p>
        </w:tc>
      </w:tr>
    </w:tbl>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 在职民警配偶及成年子女保险责任</w:t>
      </w:r>
      <w:r/>
    </w:p>
    <w:tbl>
      <w:tblPr>
        <w:tblStyle w:val="722"/>
        <w:tblW w:w="9397" w:type="dxa"/>
        <w:tblInd w:w="93" w:type="dxa"/>
        <w:tblLayout w:type="fixed"/>
        <w:tblCellMar>
          <w:left w:w="108" w:type="dxa"/>
          <w:top w:w="0" w:type="dxa"/>
          <w:right w:w="108" w:type="dxa"/>
          <w:bottom w:w="0" w:type="dxa"/>
        </w:tblCellMar>
        <w:tblLook w:val="04A0" w:firstRow="1" w:lastRow="0" w:firstColumn="1" w:lastColumn="0" w:noHBand="0" w:noVBand="1"/>
      </w:tblPr>
      <w:tblGrid>
        <w:gridCol w:w="1880"/>
        <w:gridCol w:w="1460"/>
        <w:gridCol w:w="6057"/>
      </w:tblGrid>
      <w:tr>
        <w:trPr>
          <w:trHeight w:val="579"/>
        </w:trPr>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保险责任</w:t>
            </w:r>
            <w:r/>
          </w:p>
        </w:tc>
        <w:tc>
          <w:tcPr>
            <w:tcBorders>
              <w:top w:val="single" w:color="auto" w:sz="4" w:space="0"/>
              <w:left w:val="none" w:color="000000" w:sz="4" w:space="0"/>
              <w:bottom w:val="single" w:color="auto" w:sz="4" w:space="0"/>
              <w:right w:val="single" w:color="auto" w:sz="4" w:space="0"/>
            </w:tcBorders>
            <w:tcW w:w="1460"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保险金额</w:t>
            </w:r>
            <w:r/>
          </w:p>
        </w:tc>
        <w:tc>
          <w:tcPr>
            <w:tcBorders>
              <w:top w:val="single" w:color="auto" w:sz="4" w:space="0"/>
              <w:left w:val="none" w:color="000000" w:sz="4" w:space="0"/>
              <w:bottom w:val="single" w:color="auto" w:sz="4" w:space="0"/>
              <w:right w:val="single" w:color="auto" w:sz="4" w:space="0"/>
            </w:tcBorders>
            <w:tcW w:w="6057"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保障说明</w:t>
            </w:r>
            <w:r/>
          </w:p>
        </w:tc>
      </w:tr>
      <w:tr>
        <w:trPr>
          <w:trHeight w:val="390"/>
        </w:trPr>
        <w:tc>
          <w:tcPr>
            <w:tcBorders>
              <w:top w:val="none" w:color="000000" w:sz="4" w:space="0"/>
              <w:left w:val="single" w:color="auto" w:sz="4" w:space="0"/>
              <w:bottom w:val="single" w:color="auto" w:sz="4" w:space="0"/>
              <w:right w:val="single" w:color="auto" w:sz="4" w:space="0"/>
            </w:tcBorders>
            <w:tcW w:w="1880"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意外身故</w:t>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20万</w:t>
            </w:r>
            <w:r/>
          </w:p>
        </w:tc>
        <w:tc>
          <w:tcPr>
            <w:tcBorders>
              <w:top w:val="none" w:color="000000" w:sz="4" w:space="0"/>
              <w:left w:val="single" w:color="auto" w:sz="4" w:space="0"/>
              <w:bottom w:val="single" w:color="auto" w:sz="4" w:space="0"/>
              <w:right w:val="single" w:color="auto" w:sz="4" w:space="0"/>
            </w:tcBorders>
            <w:tcW w:w="6057" w:type="dxa"/>
            <w:vAlign w:val="center"/>
            <w:vMerge w:val="restart"/>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因意外伤害导致身故给付保险金；意外残疾按照《人身保险伤残评定标准（行业标准）》的规定进行赔付。</w:t>
            </w:r>
            <w:r/>
          </w:p>
        </w:tc>
      </w:tr>
      <w:tr>
        <w:trPr>
          <w:trHeight w:val="390"/>
        </w:trPr>
        <w:tc>
          <w:tcPr>
            <w:tcBorders>
              <w:top w:val="none" w:color="000000" w:sz="4" w:space="0"/>
              <w:left w:val="single" w:color="auto" w:sz="4" w:space="0"/>
              <w:bottom w:val="single" w:color="auto" w:sz="4" w:space="0"/>
              <w:right w:val="single" w:color="auto" w:sz="4" w:space="0"/>
            </w:tcBorders>
            <w:tcW w:w="1880"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意外伤残</w:t>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20万</w:t>
            </w:r>
            <w:r/>
          </w:p>
        </w:tc>
        <w:tc>
          <w:tcPr>
            <w:tcBorders>
              <w:top w:val="none" w:color="000000" w:sz="4" w:space="0"/>
              <w:left w:val="single" w:color="auto" w:sz="4" w:space="0"/>
              <w:bottom w:val="single" w:color="auto" w:sz="4" w:space="0"/>
              <w:right w:val="single" w:color="auto" w:sz="4" w:space="0"/>
            </w:tcBorders>
            <w:tcW w:w="6057" w:type="dxa"/>
            <w:vAlign w:val="center"/>
            <w:vMerge w:val="continue"/>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tc>
      </w:tr>
      <w:tr>
        <w:trPr>
          <w:trHeight w:val="390"/>
        </w:trPr>
        <w:tc>
          <w:tcPr>
            <w:tcBorders>
              <w:top w:val="none" w:color="000000" w:sz="4" w:space="0"/>
              <w:left w:val="single" w:color="auto" w:sz="4" w:space="0"/>
              <w:bottom w:val="single" w:color="auto" w:sz="4" w:space="0"/>
              <w:right w:val="single" w:color="auto" w:sz="4" w:space="0"/>
            </w:tcBorders>
            <w:tcW w:w="1880"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意外门诊</w:t>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2万</w:t>
            </w:r>
            <w:r/>
          </w:p>
        </w:tc>
        <w:tc>
          <w:tcPr>
            <w:tcBorders>
              <w:top w:val="none" w:color="000000" w:sz="4" w:space="0"/>
              <w:left w:val="single" w:color="auto" w:sz="4" w:space="0"/>
              <w:bottom w:val="single" w:color="auto" w:sz="4" w:space="0"/>
              <w:right w:val="single" w:color="auto" w:sz="4" w:space="0"/>
            </w:tcBorders>
            <w:tcW w:w="6057" w:type="dxa"/>
            <w:vAlign w:val="center"/>
            <w:vMerge w:val="restart"/>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因意外产生的门诊和住院医疗费用，在医保范围内，免赔为0，报销比例95%。</w:t>
            </w:r>
            <w:r/>
          </w:p>
        </w:tc>
      </w:tr>
      <w:tr>
        <w:trPr>
          <w:trHeight w:val="390"/>
        </w:trPr>
        <w:tc>
          <w:tcPr>
            <w:tcBorders>
              <w:top w:val="none" w:color="000000" w:sz="4" w:space="0"/>
              <w:left w:val="single" w:color="auto" w:sz="4" w:space="0"/>
              <w:bottom w:val="single" w:color="auto" w:sz="4" w:space="0"/>
              <w:right w:val="single" w:color="auto" w:sz="4" w:space="0"/>
            </w:tcBorders>
            <w:tcW w:w="1880"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意外住院</w:t>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2万</w:t>
            </w:r>
            <w:r/>
          </w:p>
        </w:tc>
        <w:tc>
          <w:tcPr>
            <w:tcBorders>
              <w:top w:val="none" w:color="000000" w:sz="4" w:space="0"/>
              <w:left w:val="single" w:color="auto" w:sz="4" w:space="0"/>
              <w:bottom w:val="single" w:color="auto" w:sz="4" w:space="0"/>
              <w:right w:val="single" w:color="auto" w:sz="4" w:space="0"/>
            </w:tcBorders>
            <w:tcW w:w="6057" w:type="dxa"/>
            <w:vAlign w:val="center"/>
            <w:vMerge w:val="continue"/>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tc>
      </w:tr>
      <w:tr>
        <w:trPr>
          <w:trHeight w:val="390"/>
        </w:trPr>
        <w:tc>
          <w:tcPr>
            <w:tcBorders>
              <w:top w:val="none" w:color="000000" w:sz="4" w:space="0"/>
              <w:left w:val="single" w:color="auto" w:sz="4" w:space="0"/>
              <w:bottom w:val="single" w:color="auto" w:sz="4" w:space="0"/>
              <w:right w:val="single" w:color="auto" w:sz="4" w:space="0"/>
            </w:tcBorders>
            <w:tcW w:w="1880"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汽车、轨道交通、水上交通</w:t>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20万</w:t>
            </w:r>
            <w:r/>
          </w:p>
        </w:tc>
        <w:tc>
          <w:tcPr>
            <w:tcBorders>
              <w:top w:val="none" w:color="000000" w:sz="4" w:space="0"/>
              <w:left w:val="single" w:color="auto" w:sz="4" w:space="0"/>
              <w:bottom w:val="single" w:color="auto" w:sz="4" w:space="0"/>
              <w:right w:val="single" w:color="auto" w:sz="4" w:space="0"/>
            </w:tcBorders>
            <w:tcW w:w="6057" w:type="dxa"/>
            <w:vAlign w:val="center"/>
            <w:vMerge w:val="restart"/>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因驾驶或搭乘指定交通工具（驾驶指驾驶非营运汽车），发生交通事故导致身故按对应的保额给付。</w:t>
            </w:r>
            <w:r/>
          </w:p>
        </w:tc>
      </w:tr>
      <w:tr>
        <w:trPr>
          <w:trHeight w:val="390"/>
        </w:trPr>
        <w:tc>
          <w:tcPr>
            <w:tcBorders>
              <w:top w:val="none" w:color="000000" w:sz="4" w:space="0"/>
              <w:left w:val="single" w:color="auto" w:sz="4" w:space="0"/>
              <w:bottom w:val="single" w:color="auto" w:sz="4" w:space="0"/>
              <w:right w:val="single" w:color="auto" w:sz="4" w:space="0"/>
            </w:tcBorders>
            <w:tcW w:w="1880"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飞机</w:t>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100万</w:t>
            </w:r>
            <w:r/>
          </w:p>
        </w:tc>
        <w:tc>
          <w:tcPr>
            <w:tcBorders>
              <w:top w:val="none" w:color="000000" w:sz="4" w:space="0"/>
              <w:left w:val="single" w:color="auto" w:sz="4" w:space="0"/>
              <w:bottom w:val="single" w:color="auto" w:sz="4" w:space="0"/>
              <w:right w:val="single" w:color="auto" w:sz="4" w:space="0"/>
            </w:tcBorders>
            <w:tcW w:w="6057" w:type="dxa"/>
            <w:vAlign w:val="center"/>
            <w:vMerge w:val="continue"/>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tc>
      </w:tr>
      <w:tr>
        <w:trPr>
          <w:trHeight w:val="630"/>
        </w:trPr>
        <w:tc>
          <w:tcPr>
            <w:tcBorders>
              <w:top w:val="none" w:color="000000" w:sz="4" w:space="0"/>
              <w:left w:val="single" w:color="auto" w:sz="4" w:space="0"/>
              <w:bottom w:val="single" w:color="auto" w:sz="4" w:space="0"/>
              <w:right w:val="single" w:color="auto" w:sz="4" w:space="0"/>
            </w:tcBorders>
            <w:tcW w:w="1880"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疾病身故</w:t>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5万</w:t>
            </w:r>
            <w:r/>
          </w:p>
        </w:tc>
        <w:tc>
          <w:tcPr>
            <w:tcBorders>
              <w:top w:val="none" w:color="000000" w:sz="4" w:space="0"/>
              <w:left w:val="none" w:color="000000" w:sz="4" w:space="0"/>
              <w:bottom w:val="single" w:color="auto" w:sz="4" w:space="0"/>
              <w:right w:val="single" w:color="auto" w:sz="4" w:space="0"/>
            </w:tcBorders>
            <w:tcW w:w="6057"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首次参保人员等待期30天，因疾病导致的身故，按保额赔付，不承担既往病史责任。</w:t>
            </w:r>
            <w:r/>
          </w:p>
        </w:tc>
      </w:tr>
      <w:tr>
        <w:trPr>
          <w:trHeight w:val="945"/>
        </w:trPr>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pStyle w:val="933"/>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疾病住院医疗</w:t>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2万</w:t>
            </w:r>
            <w:r/>
          </w:p>
        </w:tc>
        <w:tc>
          <w:tcPr>
            <w:tcBorders>
              <w:top w:val="single" w:color="auto" w:sz="4" w:space="0"/>
              <w:left w:val="single" w:color="auto" w:sz="4" w:space="0"/>
              <w:bottom w:val="single" w:color="auto" w:sz="4" w:space="0"/>
              <w:right w:val="single" w:color="auto" w:sz="4" w:space="0"/>
            </w:tcBorders>
            <w:tcW w:w="6057"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首次参保人员等待期30天，因疾病在二级（含）以上医院住院治疗，在医保范围内，免赔为0，给付比例95%，不承担既往病史责任。</w:t>
            </w:r>
            <w:r/>
          </w:p>
        </w:tc>
      </w:tr>
      <w:tr>
        <w:trPr>
          <w:trHeight w:val="1260"/>
        </w:trPr>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pStyle w:val="933"/>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疾病住院津贴</w:t>
            </w:r>
            <w:r/>
          </w:p>
        </w:tc>
        <w:tc>
          <w:tcPr>
            <w:tcBorders>
              <w:top w:val="single" w:color="auto" w:sz="4" w:space="0"/>
              <w:left w:val="none" w:color="000000" w:sz="4" w:space="0"/>
              <w:bottom w:val="single" w:color="auto" w:sz="4" w:space="0"/>
              <w:right w:val="single" w:color="auto" w:sz="4" w:space="0"/>
            </w:tcBorders>
            <w:tcW w:w="1460"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3.96万</w:t>
            </w:r>
            <w:r/>
          </w:p>
        </w:tc>
        <w:tc>
          <w:tcPr>
            <w:tcBorders>
              <w:top w:val="single" w:color="auto" w:sz="4" w:space="0"/>
              <w:left w:val="none" w:color="000000" w:sz="4" w:space="0"/>
              <w:bottom w:val="single" w:color="auto" w:sz="4" w:space="0"/>
              <w:right w:val="single" w:color="auto" w:sz="4" w:space="0"/>
            </w:tcBorders>
            <w:tcW w:w="6057"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首次参保人员等待期30天，因疾病在二级及以上医院住院治疗，按220元/天给付护理津贴，每次住院给付日数以90天为限，累计给付180天，不承担既往病史责任。</w:t>
            </w:r>
            <w:r/>
          </w:p>
        </w:tc>
      </w:tr>
      <w:tr>
        <w:trPr>
          <w:trHeight w:val="1890"/>
        </w:trPr>
        <w:tc>
          <w:tcPr>
            <w:tcBorders>
              <w:top w:val="none" w:color="000000" w:sz="4" w:space="0"/>
              <w:left w:val="single" w:color="auto" w:sz="4" w:space="0"/>
              <w:bottom w:val="single" w:color="auto" w:sz="4" w:space="0"/>
              <w:right w:val="single" w:color="auto" w:sz="4" w:space="0"/>
            </w:tcBorders>
            <w:tcW w:w="1880"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重大疾病</w:t>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12万</w:t>
            </w:r>
            <w:r/>
          </w:p>
        </w:tc>
        <w:tc>
          <w:tcPr>
            <w:tcBorders>
              <w:top w:val="none" w:color="000000" w:sz="4" w:space="0"/>
              <w:left w:val="none" w:color="000000" w:sz="4" w:space="0"/>
              <w:bottom w:val="single" w:color="auto" w:sz="4" w:space="0"/>
              <w:right w:val="single" w:color="auto" w:sz="4" w:space="0"/>
            </w:tcBorders>
            <w:tcW w:w="6057"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首次参保人员等待期30天，初次发生并经专科医生明确诊断患条款列明的包含癌症等50种重大疾病，一旦确诊，每人按保险金额赔付。首次确诊为甲状腺癌症的按2万元给付，其他首次确诊但不在合同约定50种重大疾病范围内，年度医疗总费用大于12万元的给付保险金2万元。</w:t>
            </w:r>
            <w:r/>
          </w:p>
        </w:tc>
      </w:tr>
    </w:tbl>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 在职民警未成年子女保险责任</w:t>
      </w:r>
      <w:r/>
    </w:p>
    <w:tbl>
      <w:tblPr>
        <w:tblStyle w:val="722"/>
        <w:tblW w:w="9382" w:type="dxa"/>
        <w:tblInd w:w="93" w:type="dxa"/>
        <w:tblLayout w:type="fixed"/>
        <w:tblCellMar>
          <w:left w:w="108" w:type="dxa"/>
          <w:top w:w="0" w:type="dxa"/>
          <w:right w:w="108" w:type="dxa"/>
          <w:bottom w:w="0" w:type="dxa"/>
        </w:tblCellMar>
        <w:tblLook w:val="04A0" w:firstRow="1" w:lastRow="0" w:firstColumn="1" w:lastColumn="0" w:noHBand="0" w:noVBand="1"/>
      </w:tblPr>
      <w:tblGrid>
        <w:gridCol w:w="1880"/>
        <w:gridCol w:w="1460"/>
        <w:gridCol w:w="6042"/>
      </w:tblGrid>
      <w:tr>
        <w:trPr>
          <w:trHeight w:val="600"/>
        </w:trPr>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保险责任</w:t>
            </w:r>
            <w:r/>
          </w:p>
        </w:tc>
        <w:tc>
          <w:tcPr>
            <w:tcBorders>
              <w:top w:val="single" w:color="auto" w:sz="4" w:space="0"/>
              <w:left w:val="none" w:color="000000" w:sz="4" w:space="0"/>
              <w:bottom w:val="single" w:color="auto" w:sz="4" w:space="0"/>
              <w:right w:val="single" w:color="auto" w:sz="4" w:space="0"/>
            </w:tcBorders>
            <w:tcW w:w="1460" w:type="dxa"/>
            <w:vAlign w:val="center"/>
            <w:textDirection w:val="lrTb"/>
            <w:noWrap w:val="false"/>
          </w:tcPr>
          <w:p>
            <w:pPr>
              <w:pStyle w:val="933"/>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保险金额</w:t>
            </w:r>
            <w:r/>
          </w:p>
        </w:tc>
        <w:tc>
          <w:tcPr>
            <w:tcBorders>
              <w:top w:val="single" w:color="auto" w:sz="4" w:space="0"/>
              <w:left w:val="none" w:color="000000" w:sz="4" w:space="0"/>
              <w:bottom w:val="single" w:color="auto" w:sz="4" w:space="0"/>
              <w:right w:val="single" w:color="auto" w:sz="4" w:space="0"/>
            </w:tcBorders>
            <w:tcW w:w="6042"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保障说明</w:t>
            </w:r>
            <w:r/>
          </w:p>
        </w:tc>
      </w:tr>
      <w:tr>
        <w:trPr>
          <w:trHeight w:val="585"/>
        </w:trPr>
        <w:tc>
          <w:tcPr>
            <w:tcBorders>
              <w:top w:val="none" w:color="000000" w:sz="4" w:space="0"/>
              <w:left w:val="single" w:color="auto" w:sz="4" w:space="0"/>
              <w:bottom w:val="single" w:color="auto" w:sz="4" w:space="0"/>
              <w:right w:val="single" w:color="auto" w:sz="4" w:space="0"/>
            </w:tcBorders>
            <w:tcW w:w="1880"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意外身故</w:t>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20万</w:t>
            </w:r>
            <w:r/>
          </w:p>
        </w:tc>
        <w:tc>
          <w:tcPr>
            <w:tcBorders>
              <w:top w:val="none" w:color="000000" w:sz="4" w:space="0"/>
              <w:left w:val="single" w:color="auto" w:sz="4" w:space="0"/>
              <w:bottom w:val="single" w:color="auto" w:sz="4" w:space="0"/>
              <w:right w:val="single" w:color="auto" w:sz="4" w:space="0"/>
            </w:tcBorders>
            <w:tcW w:w="6042" w:type="dxa"/>
            <w:vAlign w:val="center"/>
            <w:vMerge w:val="restart"/>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因意外伤害导致身故给付保险金；意外残疾按照《人身保险伤残评定标准（行业标准）》的规定进行赔付。</w:t>
            </w:r>
            <w:r/>
          </w:p>
        </w:tc>
      </w:tr>
      <w:tr>
        <w:trPr>
          <w:trHeight w:val="585"/>
        </w:trPr>
        <w:tc>
          <w:tcPr>
            <w:tcBorders>
              <w:top w:val="none" w:color="000000" w:sz="4" w:space="0"/>
              <w:left w:val="single" w:color="auto" w:sz="4" w:space="0"/>
              <w:bottom w:val="single" w:color="auto" w:sz="4" w:space="0"/>
              <w:right w:val="single" w:color="auto" w:sz="4" w:space="0"/>
            </w:tcBorders>
            <w:tcW w:w="1880"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意外伤残</w:t>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20万</w:t>
            </w:r>
            <w:r/>
          </w:p>
        </w:tc>
        <w:tc>
          <w:tcPr>
            <w:tcBorders>
              <w:top w:val="none" w:color="000000" w:sz="4" w:space="0"/>
              <w:left w:val="single" w:color="auto" w:sz="4" w:space="0"/>
              <w:bottom w:val="single" w:color="auto" w:sz="4" w:space="0"/>
              <w:right w:val="single" w:color="auto" w:sz="4" w:space="0"/>
            </w:tcBorders>
            <w:tcW w:w="6042" w:type="dxa"/>
            <w:vAlign w:val="center"/>
            <w:vMerge w:val="continue"/>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tc>
      </w:tr>
      <w:tr>
        <w:trPr>
          <w:trHeight w:val="630"/>
        </w:trPr>
        <w:tc>
          <w:tcPr>
            <w:tcBorders>
              <w:top w:val="none" w:color="000000" w:sz="4" w:space="0"/>
              <w:left w:val="single" w:color="auto" w:sz="4" w:space="0"/>
              <w:bottom w:val="single" w:color="auto" w:sz="4" w:space="0"/>
              <w:right w:val="single" w:color="auto" w:sz="4" w:space="0"/>
            </w:tcBorders>
            <w:tcW w:w="1880"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意外医疗（含门急诊和住院）</w:t>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2万</w:t>
            </w:r>
            <w:r/>
          </w:p>
        </w:tc>
        <w:tc>
          <w:tcPr>
            <w:tcBorders>
              <w:top w:val="none" w:color="000000" w:sz="4" w:space="0"/>
              <w:left w:val="none" w:color="000000" w:sz="4" w:space="0"/>
              <w:bottom w:val="single" w:color="auto" w:sz="4" w:space="0"/>
              <w:right w:val="single" w:color="auto" w:sz="4" w:space="0"/>
            </w:tcBorders>
            <w:tcW w:w="6042"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因意外产生的医疗费用，在医保范围内，免赔为0，报销比例80%。（动物咬伤定额300元）</w:t>
            </w:r>
            <w:r/>
          </w:p>
        </w:tc>
      </w:tr>
      <w:tr>
        <w:trPr>
          <w:trHeight w:val="630"/>
        </w:trPr>
        <w:tc>
          <w:tcPr>
            <w:tcBorders>
              <w:top w:val="none" w:color="000000" w:sz="4" w:space="0"/>
              <w:left w:val="single" w:color="auto" w:sz="4" w:space="0"/>
              <w:bottom w:val="single" w:color="auto" w:sz="4" w:space="0"/>
              <w:right w:val="single" w:color="auto" w:sz="4" w:space="0"/>
            </w:tcBorders>
            <w:tcW w:w="1880"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疾病身故</w:t>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5万</w:t>
            </w:r>
            <w:r/>
          </w:p>
        </w:tc>
        <w:tc>
          <w:tcPr>
            <w:tcBorders>
              <w:top w:val="none" w:color="000000" w:sz="4" w:space="0"/>
              <w:left w:val="none" w:color="000000" w:sz="4" w:space="0"/>
              <w:bottom w:val="single" w:color="auto" w:sz="4" w:space="0"/>
              <w:right w:val="single" w:color="auto" w:sz="4" w:space="0"/>
            </w:tcBorders>
            <w:tcW w:w="6042"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首次参保人员等待期30天，因疾病导致的身故，按保额赔付，不承担既往病史责任。</w:t>
            </w:r>
            <w:r/>
          </w:p>
        </w:tc>
      </w:tr>
      <w:tr>
        <w:trPr>
          <w:trHeight w:val="475"/>
        </w:trPr>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pStyle w:val="933"/>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疾病住院医疗</w:t>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15万</w:t>
            </w:r>
            <w:r/>
          </w:p>
        </w:tc>
        <w:tc>
          <w:tcPr>
            <w:tcBorders>
              <w:top w:val="single" w:color="auto" w:sz="4" w:space="0"/>
              <w:left w:val="single" w:color="auto" w:sz="4" w:space="0"/>
              <w:bottom w:val="single" w:color="auto" w:sz="4" w:space="0"/>
              <w:right w:val="single" w:color="auto" w:sz="4" w:space="0"/>
            </w:tcBorders>
            <w:tcW w:w="6042"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首次参保人员等待期30天，因疾病在二级（含）以上医院住院治疗，在医保范围内，有医保，免赔额为0，赔付比例80%；无医保，免赔额100元，赔付比例80%。不承担既往病史责任。</w:t>
            </w:r>
            <w:r/>
          </w:p>
        </w:tc>
      </w:tr>
      <w:tr>
        <w:trPr>
          <w:trHeight w:val="1260"/>
        </w:trPr>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疾病住院津贴</w:t>
            </w:r>
            <w:r/>
          </w:p>
        </w:tc>
        <w:tc>
          <w:tcPr>
            <w:tcBorders>
              <w:top w:val="single" w:color="auto" w:sz="4" w:space="0"/>
              <w:left w:val="none" w:color="000000" w:sz="4" w:space="0"/>
              <w:bottom w:val="single" w:color="auto" w:sz="4" w:space="0"/>
              <w:right w:val="single" w:color="auto" w:sz="4" w:space="0"/>
            </w:tcBorders>
            <w:tcW w:w="1460"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3.96万</w:t>
            </w:r>
            <w:r/>
          </w:p>
        </w:tc>
        <w:tc>
          <w:tcPr>
            <w:tcBorders>
              <w:top w:val="single" w:color="auto" w:sz="4" w:space="0"/>
              <w:left w:val="none" w:color="000000" w:sz="4" w:space="0"/>
              <w:bottom w:val="single" w:color="auto" w:sz="4" w:space="0"/>
              <w:right w:val="single" w:color="auto" w:sz="4" w:space="0"/>
            </w:tcBorders>
            <w:tcW w:w="6042"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首次参保人员等待期30天，因疾病在二级（含）以上医院住院治疗，按220元/天给付护理津贴，每次住院给付日数以90天为限，累计给付180天，不承担既往病史责任。</w:t>
            </w:r>
            <w:r/>
          </w:p>
        </w:tc>
      </w:tr>
      <w:tr>
        <w:trPr>
          <w:trHeight w:val="910"/>
        </w:trPr>
        <w:tc>
          <w:tcPr>
            <w:tcBorders>
              <w:top w:val="none" w:color="000000" w:sz="4" w:space="0"/>
              <w:left w:val="single" w:color="auto" w:sz="4" w:space="0"/>
              <w:bottom w:val="single" w:color="auto" w:sz="4" w:space="0"/>
              <w:right w:val="single" w:color="auto" w:sz="4" w:space="0"/>
            </w:tcBorders>
            <w:tcW w:w="1880"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重大疾病</w:t>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12万</w:t>
            </w:r>
            <w:r/>
          </w:p>
        </w:tc>
        <w:tc>
          <w:tcPr>
            <w:tcBorders>
              <w:top w:val="none" w:color="000000" w:sz="4" w:space="0"/>
              <w:left w:val="none" w:color="000000" w:sz="4" w:space="0"/>
              <w:bottom w:val="single" w:color="auto" w:sz="4" w:space="0"/>
              <w:right w:val="single" w:color="auto" w:sz="4" w:space="0"/>
            </w:tcBorders>
            <w:tcW w:w="6042" w:type="dxa"/>
            <w:vAlign w:val="top"/>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首次参保人员等待期30天，初次发生并经专科医生明确诊断患条款列明的包含癌症等15种重大疾病，一旦确诊，每人按保险金额赔付。</w:t>
            </w:r>
            <w:r/>
          </w:p>
        </w:tc>
      </w:tr>
    </w:tbl>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 离退休民警保险责任</w:t>
      </w:r>
      <w:r/>
    </w:p>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男性保险对象年满62周岁（含），女性保险对象年满60周岁（含），按照以下方案投保（已退休但男性尚未年满62周岁，女性尚未年满60周岁的，参照在职民警家庭投保）</w:t>
      </w:r>
      <w:r/>
    </w:p>
    <w:tbl>
      <w:tblPr>
        <w:tblStyle w:val="722"/>
        <w:tblW w:w="9411" w:type="dxa"/>
        <w:tblInd w:w="94" w:type="dxa"/>
        <w:tblLayout w:type="fixed"/>
        <w:tblCellMar>
          <w:left w:w="108" w:type="dxa"/>
          <w:top w:w="0" w:type="dxa"/>
          <w:right w:w="108" w:type="dxa"/>
          <w:bottom w:w="0" w:type="dxa"/>
        </w:tblCellMar>
        <w:tblLook w:val="04A0" w:firstRow="1" w:lastRow="0" w:firstColumn="1" w:lastColumn="0" w:noHBand="0" w:noVBand="1"/>
      </w:tblPr>
      <w:tblGrid>
        <w:gridCol w:w="1720"/>
        <w:gridCol w:w="1555"/>
        <w:gridCol w:w="1559"/>
        <w:gridCol w:w="4577"/>
      </w:tblGrid>
      <w:tr>
        <w:trPr>
          <w:trHeight w:val="315"/>
        </w:trPr>
        <w:tc>
          <w:tcPr>
            <w:tcBorders>
              <w:top w:val="single" w:color="auto" w:sz="4" w:space="0"/>
              <w:left w:val="single" w:color="auto" w:sz="4" w:space="0"/>
              <w:bottom w:val="single" w:color="auto" w:sz="4" w:space="0"/>
              <w:right w:val="single" w:color="auto" w:sz="4" w:space="0"/>
            </w:tcBorders>
            <w:tcW w:w="1720" w:type="dxa"/>
            <w:vAlign w:val="center"/>
            <w:vMerge w:val="restart"/>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保险责任</w:t>
            </w:r>
            <w:r/>
          </w:p>
        </w:tc>
        <w:tc>
          <w:tcPr>
            <w:gridSpan w:val="2"/>
            <w:tcBorders>
              <w:top w:val="single" w:color="auto" w:sz="4" w:space="0"/>
              <w:left w:val="none" w:color="000000" w:sz="4" w:space="0"/>
              <w:bottom w:val="single" w:color="auto" w:sz="4" w:space="0"/>
              <w:right w:val="single" w:color="auto" w:sz="4" w:space="0"/>
            </w:tcBorders>
            <w:tcW w:w="3114"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保险金额（元）</w:t>
            </w:r>
            <w:r/>
          </w:p>
        </w:tc>
        <w:tc>
          <w:tcPr>
            <w:tcBorders>
              <w:top w:val="single" w:color="auto" w:sz="4" w:space="0"/>
              <w:left w:val="single" w:color="auto" w:sz="4" w:space="0"/>
              <w:bottom w:val="single" w:color="auto" w:sz="4" w:space="0"/>
              <w:right w:val="single" w:color="auto" w:sz="4" w:space="0"/>
            </w:tcBorders>
            <w:tcW w:w="4577" w:type="dxa"/>
            <w:vAlign w:val="center"/>
            <w:vMerge w:val="restart"/>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保障说明</w:t>
            </w:r>
            <w:r/>
          </w:p>
        </w:tc>
      </w:tr>
      <w:tr>
        <w:trPr>
          <w:trHeight w:val="435"/>
        </w:trPr>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555" w:type="dxa"/>
            <w:vAlign w:val="center"/>
            <w:textDirection w:val="lrTb"/>
            <w:noWrap w:val="false"/>
          </w:tcPr>
          <w:p>
            <w:pPr>
              <w:pStyle w:val="933"/>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60—75周岁</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Style w:val="933"/>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75周岁以上</w:t>
            </w:r>
            <w:r/>
          </w:p>
        </w:tc>
        <w:tc>
          <w:tcPr>
            <w:tcBorders>
              <w:top w:val="single" w:color="auto" w:sz="4" w:space="0"/>
              <w:left w:val="single" w:color="auto" w:sz="4" w:space="0"/>
              <w:bottom w:val="single" w:color="auto" w:sz="4" w:space="0"/>
              <w:right w:val="single" w:color="auto" w:sz="4" w:space="0"/>
            </w:tcBorders>
            <w:tcW w:w="4577" w:type="dxa"/>
            <w:vAlign w:val="center"/>
            <w:vMerge w:val="continue"/>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tc>
      </w:tr>
      <w:tr>
        <w:trPr>
          <w:trHeight w:val="660"/>
        </w:trPr>
        <w:tc>
          <w:tcPr>
            <w:tcBorders>
              <w:top w:val="none" w:color="000000" w:sz="4" w:space="0"/>
              <w:left w:val="single" w:color="auto" w:sz="4" w:space="0"/>
              <w:bottom w:val="single" w:color="auto" w:sz="4" w:space="0"/>
              <w:right w:val="single" w:color="auto" w:sz="4" w:space="0"/>
            </w:tcBorders>
            <w:tcW w:w="1720"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意外身故</w:t>
            </w:r>
            <w:r/>
          </w:p>
        </w:tc>
        <w:tc>
          <w:tcPr>
            <w:tcBorders>
              <w:top w:val="none" w:color="000000" w:sz="4" w:space="0"/>
              <w:left w:val="none" w:color="000000" w:sz="4" w:space="0"/>
              <w:bottom w:val="single" w:color="auto" w:sz="4" w:space="0"/>
              <w:right w:val="single" w:color="auto" w:sz="4" w:space="0"/>
            </w:tcBorders>
            <w:tcW w:w="1555"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50000</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10000</w:t>
            </w:r>
            <w:r/>
          </w:p>
        </w:tc>
        <w:tc>
          <w:tcPr>
            <w:tcBorders>
              <w:top w:val="none" w:color="000000" w:sz="4" w:space="0"/>
              <w:left w:val="single" w:color="auto" w:sz="4" w:space="0"/>
              <w:bottom w:val="single" w:color="auto" w:sz="4" w:space="0"/>
              <w:right w:val="single" w:color="auto" w:sz="4" w:space="0"/>
            </w:tcBorders>
            <w:tcW w:w="4577" w:type="dxa"/>
            <w:vAlign w:val="center"/>
            <w:vMerge w:val="restart"/>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因意外伤害导致身故给付保险金；意外残疾按照《人身保险伤残评定标准（行业标准）》的规定进行赔付。</w:t>
            </w:r>
            <w:r/>
          </w:p>
        </w:tc>
      </w:tr>
      <w:tr>
        <w:trPr>
          <w:trHeight w:val="660"/>
        </w:trPr>
        <w:tc>
          <w:tcPr>
            <w:tcBorders>
              <w:top w:val="none" w:color="000000" w:sz="4" w:space="0"/>
              <w:left w:val="single" w:color="auto" w:sz="4" w:space="0"/>
              <w:bottom w:val="single" w:color="auto" w:sz="4" w:space="0"/>
              <w:right w:val="single" w:color="auto" w:sz="4" w:space="0"/>
            </w:tcBorders>
            <w:tcW w:w="1720"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意外伤残</w:t>
            </w:r>
            <w:r/>
          </w:p>
        </w:tc>
        <w:tc>
          <w:tcPr>
            <w:tcBorders>
              <w:top w:val="none" w:color="000000" w:sz="4" w:space="0"/>
              <w:left w:val="none" w:color="000000" w:sz="4" w:space="0"/>
              <w:bottom w:val="single" w:color="auto" w:sz="4" w:space="0"/>
              <w:right w:val="single" w:color="auto" w:sz="4" w:space="0"/>
            </w:tcBorders>
            <w:tcW w:w="1555"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50000</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10000</w:t>
            </w:r>
            <w:r/>
          </w:p>
        </w:tc>
        <w:tc>
          <w:tcPr>
            <w:tcBorders>
              <w:top w:val="none" w:color="000000" w:sz="4" w:space="0"/>
              <w:left w:val="single" w:color="auto" w:sz="4" w:space="0"/>
              <w:bottom w:val="single" w:color="auto" w:sz="4" w:space="0"/>
              <w:right w:val="single" w:color="auto" w:sz="4" w:space="0"/>
            </w:tcBorders>
            <w:tcW w:w="4577" w:type="dxa"/>
            <w:vAlign w:val="center"/>
            <w:vMerge w:val="continue"/>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tc>
      </w:tr>
      <w:tr>
        <w:trPr>
          <w:trHeight w:val="660"/>
        </w:trPr>
        <w:tc>
          <w:tcPr>
            <w:tcBorders>
              <w:top w:val="none" w:color="000000" w:sz="4" w:space="0"/>
              <w:left w:val="single" w:color="auto" w:sz="4" w:space="0"/>
              <w:bottom w:val="single" w:color="auto" w:sz="4" w:space="0"/>
              <w:right w:val="single" w:color="auto" w:sz="4" w:space="0"/>
            </w:tcBorders>
            <w:tcW w:w="1720" w:type="dxa"/>
            <w:vAlign w:val="center"/>
            <w:textDirection w:val="lrTb"/>
            <w:noWrap w:val="false"/>
          </w:tcPr>
          <w:p>
            <w:pPr>
              <w:pStyle w:val="933"/>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意外住院医疗</w:t>
            </w:r>
            <w:r/>
          </w:p>
        </w:tc>
        <w:tc>
          <w:tcPr>
            <w:tcBorders>
              <w:top w:val="none" w:color="000000" w:sz="4" w:space="0"/>
              <w:left w:val="none" w:color="000000" w:sz="4" w:space="0"/>
              <w:bottom w:val="none" w:color="000000" w:sz="4" w:space="0"/>
              <w:right w:val="single" w:color="auto" w:sz="4" w:space="0"/>
            </w:tcBorders>
            <w:tcW w:w="1555"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20000</w:t>
            </w:r>
            <w:r/>
          </w:p>
        </w:tc>
        <w:tc>
          <w:tcPr>
            <w:tcBorders>
              <w:top w:val="none" w:color="000000" w:sz="4" w:space="0"/>
              <w:left w:val="none" w:color="000000" w:sz="4" w:space="0"/>
              <w:bottom w:val="none" w:color="000000" w:sz="4" w:space="0"/>
              <w:right w:val="single" w:color="auto" w:sz="4" w:space="0"/>
            </w:tcBorders>
            <w:tcW w:w="1559"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4000</w:t>
            </w:r>
            <w:r/>
          </w:p>
        </w:tc>
        <w:tc>
          <w:tcPr>
            <w:tcBorders>
              <w:top w:val="none" w:color="000000" w:sz="4" w:space="0"/>
              <w:left w:val="none" w:color="000000" w:sz="4" w:space="0"/>
              <w:bottom w:val="none" w:color="000000" w:sz="4" w:space="0"/>
              <w:right w:val="single" w:color="auto" w:sz="4" w:space="0"/>
            </w:tcBorders>
            <w:tcW w:w="4577"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因意外产生的医疗费用，在医保范围内，免赔200元，报销比例90%。</w:t>
            </w:r>
            <w:r/>
          </w:p>
        </w:tc>
      </w:tr>
      <w:tr>
        <w:trPr>
          <w:trHeight w:val="660"/>
        </w:trPr>
        <w:tc>
          <w:tcPr>
            <w:tcBorders>
              <w:top w:val="none" w:color="000000" w:sz="4" w:space="0"/>
              <w:left w:val="single" w:color="auto" w:sz="4" w:space="0"/>
              <w:bottom w:val="single" w:color="auto" w:sz="4" w:space="0"/>
              <w:right w:val="single" w:color="auto" w:sz="4" w:space="0"/>
            </w:tcBorders>
            <w:tcW w:w="1720" w:type="dxa"/>
            <w:vAlign w:val="center"/>
            <w:textDirection w:val="lrTb"/>
            <w:noWrap w:val="false"/>
          </w:tcPr>
          <w:p>
            <w:pPr>
              <w:pStyle w:val="933"/>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意外住院津贴</w:t>
            </w:r>
            <w:r/>
          </w:p>
        </w:tc>
        <w:tc>
          <w:tcPr>
            <w:tcBorders>
              <w:top w:val="single" w:color="auto" w:sz="4" w:space="0"/>
              <w:left w:val="none" w:color="000000" w:sz="4" w:space="0"/>
              <w:bottom w:val="single" w:color="auto" w:sz="4" w:space="0"/>
              <w:right w:val="single" w:color="auto" w:sz="4" w:space="0"/>
            </w:tcBorders>
            <w:tcW w:w="1555"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27000</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27000</w:t>
            </w:r>
            <w:r/>
          </w:p>
        </w:tc>
        <w:tc>
          <w:tcPr>
            <w:tcBorders>
              <w:top w:val="single" w:color="auto" w:sz="4" w:space="0"/>
              <w:left w:val="none" w:color="000000" w:sz="4" w:space="0"/>
              <w:bottom w:val="single" w:color="auto" w:sz="4" w:space="0"/>
              <w:right w:val="single" w:color="auto" w:sz="4" w:space="0"/>
            </w:tcBorders>
            <w:tcW w:w="4577"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因各类意外而住院，按实际住院天数*150元/天给付，不超过180天。</w:t>
            </w:r>
            <w:r/>
          </w:p>
        </w:tc>
      </w:tr>
      <w:tr>
        <w:trPr>
          <w:trHeight w:val="350"/>
        </w:trPr>
        <w:tc>
          <w:tcPr>
            <w:tcBorders>
              <w:top w:val="single" w:color="auto" w:sz="4" w:space="0"/>
              <w:left w:val="single" w:color="auto" w:sz="4" w:space="0"/>
              <w:bottom w:val="single" w:color="auto" w:sz="4" w:space="0"/>
              <w:right w:val="single" w:color="auto" w:sz="4" w:space="0"/>
            </w:tcBorders>
            <w:tcW w:w="1720" w:type="dxa"/>
            <w:vAlign w:val="center"/>
            <w:textDirection w:val="lrTb"/>
            <w:noWrap w:val="false"/>
          </w:tcPr>
          <w:p>
            <w:pPr>
              <w:pStyle w:val="933"/>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疾病住院医疗</w:t>
            </w:r>
            <w:r/>
          </w:p>
        </w:tc>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20000</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4000</w:t>
            </w:r>
            <w:r/>
          </w:p>
        </w:tc>
        <w:tc>
          <w:tcPr>
            <w:tcBorders>
              <w:top w:val="single" w:color="auto" w:sz="4" w:space="0"/>
              <w:left w:val="single" w:color="auto" w:sz="4" w:space="0"/>
              <w:bottom w:val="single" w:color="auto" w:sz="4" w:space="0"/>
              <w:right w:val="single" w:color="auto" w:sz="4" w:space="0"/>
            </w:tcBorders>
            <w:tcW w:w="4577"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首次参保30天后，因疾病在二级（含）以上医院住院治疗，在医保范围内，经医保报销后的剩余个人自费费用，免赔额300元，剩余部分按60%进行报销。不承担既往病史责任。</w:t>
            </w:r>
            <w:r/>
          </w:p>
        </w:tc>
      </w:tr>
      <w:tr>
        <w:trPr>
          <w:trHeight w:val="660"/>
        </w:trPr>
        <w:tc>
          <w:tcPr>
            <w:tcBorders>
              <w:top w:val="single" w:color="auto" w:sz="4" w:space="0"/>
              <w:left w:val="single" w:color="auto" w:sz="4" w:space="0"/>
              <w:bottom w:val="single" w:color="auto" w:sz="4" w:space="0"/>
              <w:right w:val="single" w:color="auto" w:sz="4" w:space="0"/>
            </w:tcBorders>
            <w:tcW w:w="1720"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疾病身故</w:t>
            </w:r>
            <w:r/>
          </w:p>
        </w:tc>
        <w:tc>
          <w:tcPr>
            <w:tcBorders>
              <w:top w:val="single" w:color="auto" w:sz="4" w:space="0"/>
              <w:left w:val="none" w:color="000000" w:sz="4" w:space="0"/>
              <w:bottom w:val="single" w:color="auto" w:sz="4" w:space="0"/>
              <w:right w:val="single" w:color="auto" w:sz="4" w:space="0"/>
            </w:tcBorders>
            <w:tcW w:w="1555"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5000</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1000</w:t>
            </w:r>
            <w:r/>
          </w:p>
        </w:tc>
        <w:tc>
          <w:tcPr>
            <w:tcBorders>
              <w:top w:val="single" w:color="auto" w:sz="4" w:space="0"/>
              <w:left w:val="none" w:color="000000" w:sz="4" w:space="0"/>
              <w:bottom w:val="single" w:color="auto" w:sz="4" w:space="0"/>
              <w:right w:val="single" w:color="auto" w:sz="4" w:space="0"/>
            </w:tcBorders>
            <w:tcW w:w="4577" w:type="dxa"/>
            <w:vAlign w:val="center"/>
            <w:textDirection w:val="lrTb"/>
            <w:noWrap w:val="false"/>
          </w:tcPr>
          <w:p>
            <w:pPr>
              <w:pStyle w:val="933"/>
              <w:ind w:firstLine="480"/>
              <w:jc w:val="both"/>
              <w:keepLines w:val="0"/>
              <w:keepNext w:val="0"/>
              <w:pageBreakBefore w:val="0"/>
              <w:spacing w:before="120" w:beforeAutospacing="0" w:after="120" w:afterAutospacing="0"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首次参保等待期30天，因疾病导致的身故，按保额赔付。</w:t>
            </w:r>
            <w:r/>
          </w:p>
        </w:tc>
      </w:tr>
    </w:tbl>
    <w:p>
      <w:pPr>
        <w:ind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四</w:t>
      </w:r>
      <w:r>
        <w:rPr>
          <w:rFonts w:hint="eastAsia" w:ascii="宋体" w:hAnsi="宋体" w:eastAsia="宋体" w:cs="宋体"/>
          <w:b w:val="0"/>
          <w:bCs/>
          <w:color w:val="000000" w:themeColor="text1"/>
          <w:sz w:val="24"/>
          <w:szCs w:val="24"/>
          <w:highlight w:val="none"/>
          <w14:textFill>
            <w14:solidFill>
              <w14:schemeClr w14:val="tx1"/>
            </w14:solidFill>
          </w14:textFill>
        </w:rPr>
        <w:t xml:space="preserve">、税费</w:t>
      </w:r>
      <w:r/>
    </w:p>
    <w:p>
      <w:pPr>
        <w:ind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本合同执行中相关的一切税费均由乙方负担。</w:t>
      </w:r>
      <w:r/>
    </w:p>
    <w:p>
      <w:pPr>
        <w:ind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五</w:t>
      </w:r>
      <w:r>
        <w:rPr>
          <w:rFonts w:hint="eastAsia" w:ascii="宋体" w:hAnsi="宋体" w:eastAsia="宋体" w:cs="宋体"/>
          <w:b w:val="0"/>
          <w:bCs/>
          <w:color w:val="000000" w:themeColor="text1"/>
          <w:sz w:val="24"/>
          <w:szCs w:val="24"/>
          <w:highlight w:val="none"/>
          <w14:textFill>
            <w14:solidFill>
              <w14:schemeClr w14:val="tx1"/>
            </w14:solidFill>
          </w14:textFill>
        </w:rPr>
        <w:t xml:space="preserve">、履约保证金</w:t>
      </w:r>
      <w:r/>
    </w:p>
    <w:p>
      <w:pPr>
        <w:ind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color w:val="000000" w:themeColor="text1"/>
          <w:sz w:val="24"/>
          <w:szCs w:val="24"/>
          <w:highlight w:val="none"/>
          <w14:textFill>
            <w14:solidFill>
              <w14:schemeClr w14:val="tx1"/>
            </w14:solidFill>
          </w14:textFill>
        </w:rPr>
        <w:t xml:space="preserve"> 乙方交纳人民币_________元作为本合同的履约保证金</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合同金额的5%</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甲方对AA评级及以上政府采购供应商（需提供信用管理部门备案的第三方信用报告，且信用报告通过“信用盐城网”可查实）免收履约保证金。</w:t>
      </w:r>
      <w:r/>
    </w:p>
    <w:p>
      <w:pPr>
        <w:ind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2.确需收取履约保证金的，</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履约保证金的缴纳形式：</w:t>
      </w:r>
      <w:r/>
    </w:p>
    <w:p>
      <w:pPr>
        <w:ind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b w:val="0"/>
          <w:bCs/>
          <w:color w:val="000000" w:themeColor="text1"/>
          <w:sz w:val="24"/>
          <w:szCs w:val="24"/>
          <w:highlight w:val="none"/>
          <w14:textFill>
            <w14:solidFill>
              <w14:schemeClr w14:val="tx1"/>
            </w14:solidFill>
          </w14:textFill>
        </w:rPr>
        <w:t xml:space="preserve">供应商应当以支票、汇票、本票或者金融机构、担保机构出具的保函等非现金形式提交</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履约保证金</w:t>
      </w:r>
      <w:r>
        <w:rPr>
          <w:rFonts w:hint="eastAsia" w:ascii="宋体" w:hAnsi="宋体" w:eastAsia="宋体" w:cs="宋体"/>
          <w:b w:val="0"/>
          <w:bCs/>
          <w:color w:val="000000" w:themeColor="text1"/>
          <w:sz w:val="24"/>
          <w:szCs w:val="24"/>
          <w:highlight w:val="none"/>
          <w14:textFill>
            <w14:solidFill>
              <w14:schemeClr w14:val="tx1"/>
            </w14:solidFill>
          </w14:textFill>
        </w:rPr>
        <w:t xml:space="preserve">。依据《关于在全省政府采购领域推行电子履约保函（保险）的通知》，鼓励供应商自愿使用</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电子</w:t>
      </w:r>
      <w:r>
        <w:rPr>
          <w:rFonts w:hint="eastAsia" w:ascii="宋体" w:hAnsi="宋体" w:eastAsia="宋体" w:cs="宋体"/>
          <w:b w:val="0"/>
          <w:bCs/>
          <w:color w:val="000000" w:themeColor="text1"/>
          <w:sz w:val="24"/>
          <w:szCs w:val="24"/>
          <w:highlight w:val="none"/>
          <w14:textFill>
            <w14:solidFill>
              <w14:schemeClr w14:val="tx1"/>
            </w14:solidFill>
          </w14:textFill>
        </w:rPr>
        <w:t xml:space="preserve">履约保函（保险）代替缴纳履约保证金</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p>
    <w:p>
      <w:pPr>
        <w:ind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2.2 如以履约保函（保险）形式缴纳履约保证金，供应商可通过政府采购电子履约保函（保险）平台（www.jsdzbh.com）在线申请履约保函（保险）。</w:t>
      </w:r>
      <w:r/>
    </w:p>
    <w:p>
      <w:pPr>
        <w:ind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color w:val="000000" w:themeColor="text1"/>
          <w:sz w:val="24"/>
          <w:szCs w:val="24"/>
          <w:highlight w:val="none"/>
          <w14:textFill>
            <w14:solidFill>
              <w14:schemeClr w14:val="tx1"/>
            </w14:solidFill>
          </w14:textFill>
        </w:rPr>
        <w:t xml:space="preserve">合同履行结束后，甲方应及时退还交纳的履约保证金。</w:t>
      </w:r>
      <w:r/>
    </w:p>
    <w:p>
      <w:pPr>
        <w:ind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val="0"/>
          <w:bCs/>
          <w:color w:val="000000" w:themeColor="text1"/>
          <w:sz w:val="24"/>
          <w:szCs w:val="24"/>
          <w:highlight w:val="none"/>
          <w14:textFill>
            <w14:solidFill>
              <w14:schemeClr w14:val="tx1"/>
            </w14:solidFill>
          </w14:textFill>
        </w:rPr>
        <w:t xml:space="preserve">履约保证金的退还：</w:t>
      </w:r>
      <w:r/>
    </w:p>
    <w:p>
      <w:pPr>
        <w:ind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val="0"/>
          <w:bCs/>
          <w:color w:val="000000" w:themeColor="text1"/>
          <w:sz w:val="24"/>
          <w:szCs w:val="24"/>
          <w:highlight w:val="none"/>
          <w14:textFill>
            <w14:solidFill>
              <w14:schemeClr w14:val="tx1"/>
            </w14:solidFill>
          </w14:textFill>
        </w:rPr>
        <w:t xml:space="preserve">.1方式：退还至投标人缴纳履约保证金的账户。如为保函，在到期时自行失效。</w:t>
      </w:r>
      <w:r/>
    </w:p>
    <w:p>
      <w:pPr>
        <w:ind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val="0"/>
          <w:bCs/>
          <w:color w:val="000000" w:themeColor="text1"/>
          <w:sz w:val="24"/>
          <w:szCs w:val="24"/>
          <w:highlight w:val="none"/>
          <w14:textFill>
            <w14:solidFill>
              <w14:schemeClr w14:val="tx1"/>
            </w14:solidFill>
          </w14:textFill>
        </w:rPr>
        <w:t xml:space="preserve">.2时间：验收合格且采购人收到发票后30日内。</w:t>
      </w:r>
      <w:r/>
    </w:p>
    <w:p>
      <w:pPr>
        <w:ind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val="0"/>
          <w:bCs/>
          <w:color w:val="000000" w:themeColor="text1"/>
          <w:sz w:val="24"/>
          <w:szCs w:val="24"/>
          <w:highlight w:val="none"/>
          <w14:textFill>
            <w14:solidFill>
              <w14:schemeClr w14:val="tx1"/>
            </w14:solidFill>
          </w14:textFill>
        </w:rPr>
        <w:t xml:space="preserve">.3条件：按合同要求全部履约完成并经采购人验收合格，且采购人收到中标人出具的发票。</w:t>
      </w:r>
      <w:r/>
    </w:p>
    <w:p>
      <w:pPr>
        <w:ind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val="0"/>
          <w:bCs/>
          <w:color w:val="000000" w:themeColor="text1"/>
          <w:sz w:val="24"/>
          <w:szCs w:val="24"/>
          <w:highlight w:val="none"/>
          <w14:textFill>
            <w14:solidFill>
              <w14:schemeClr w14:val="tx1"/>
            </w14:solidFill>
          </w14:textFill>
        </w:rPr>
        <w:t xml:space="preserve">.4不予退还情形：</w:t>
      </w:r>
      <w:r/>
    </w:p>
    <w:p>
      <w:pPr>
        <w:ind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ind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（2）中标人不履行与采购人订立的合同的；</w:t>
      </w:r>
      <w:r/>
    </w:p>
    <w:p>
      <w:pPr>
        <w:ind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（3）中标人所供货物或服务不符合</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磋商</w:t>
      </w:r>
      <w:r>
        <w:rPr>
          <w:rFonts w:hint="eastAsia" w:ascii="宋体" w:hAnsi="宋体" w:eastAsia="宋体" w:cs="宋体"/>
          <w:b w:val="0"/>
          <w:bCs/>
          <w:color w:val="000000" w:themeColor="text1"/>
          <w:sz w:val="24"/>
          <w:szCs w:val="24"/>
          <w:highlight w:val="none"/>
          <w14:textFill>
            <w14:solidFill>
              <w14:schemeClr w14:val="tx1"/>
            </w14:solidFill>
          </w14:textFill>
        </w:rPr>
        <w:t xml:space="preserve">文件规定要求的；</w:t>
      </w:r>
      <w:r/>
    </w:p>
    <w:p>
      <w:pPr>
        <w:ind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（4）中标人采取欺骗、弄虚作假方式投标的或与</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其他</w:t>
      </w:r>
      <w:r>
        <w:rPr>
          <w:rFonts w:hint="eastAsia" w:ascii="宋体" w:hAnsi="宋体" w:eastAsia="宋体" w:cs="宋体"/>
          <w:b w:val="0"/>
          <w:bCs/>
          <w:color w:val="000000" w:themeColor="text1"/>
          <w:sz w:val="24"/>
          <w:szCs w:val="24"/>
          <w:highlight w:val="none"/>
          <w14:textFill>
            <w14:solidFill>
              <w14:schemeClr w14:val="tx1"/>
            </w14:solidFill>
          </w14:textFill>
        </w:rPr>
        <w:t xml:space="preserve">投标人串通投标的；</w:t>
      </w:r>
      <w:r/>
    </w:p>
    <w:p>
      <w:pPr>
        <w:ind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（5）中标人将合同内容转包、违法分包的；</w:t>
      </w:r>
      <w:r/>
    </w:p>
    <w:p>
      <w:pPr>
        <w:ind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（6）中标人故意捏造事实或伪造证明材料，进行虚假恶意投诉或反映的。</w:t>
      </w:r>
      <w:r/>
    </w:p>
    <w:p>
      <w:pPr>
        <w:ind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val="0"/>
          <w:bCs/>
          <w:color w:val="000000" w:themeColor="text1"/>
          <w:sz w:val="24"/>
          <w:szCs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ind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val="0"/>
          <w:bCs/>
          <w:color w:val="000000" w:themeColor="text1"/>
          <w:sz w:val="24"/>
          <w:szCs w:val="24"/>
          <w:highlight w:val="none"/>
          <w14:textFill>
            <w14:solidFill>
              <w14:schemeClr w14:val="tx1"/>
            </w14:solidFill>
          </w14:textFill>
        </w:rPr>
        <w:t xml:space="preserve">、违约责任</w:t>
      </w:r>
      <w:r/>
    </w:p>
    <w:p>
      <w:pPr>
        <w:ind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color w:val="000000" w:themeColor="text1"/>
          <w:sz w:val="24"/>
          <w:szCs w:val="24"/>
          <w:highlight w:val="none"/>
          <w14:textFill>
            <w14:solidFill>
              <w14:schemeClr w14:val="tx1"/>
            </w14:solidFill>
          </w14:textFill>
        </w:rPr>
        <w:t xml:space="preserve">甲方组织有关人员定期或不定期对签订合同的保险公司的承保服务、保险价格和理赔服务进行监督和检查。对于下列的违约情况，将对乙方进行相应金额的罚款，第一次有效投诉罚款1000.00元，第二次有效投诉罚款5000.00元，第三次有效投诉罚款10000.00元，情节特别严重，对被保险人名誉和利益造成特别重大损害者，投保人或被保险人有权立即终止本合同，并要求退回所有未到期保费。</w:t>
      </w:r>
      <w:r/>
    </w:p>
    <w:p>
      <w:pPr>
        <w:ind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color w:val="000000" w:themeColor="text1"/>
          <w:sz w:val="24"/>
          <w:szCs w:val="24"/>
          <w:highlight w:val="none"/>
          <w14:textFill>
            <w14:solidFill>
              <w14:schemeClr w14:val="tx1"/>
            </w14:solidFill>
          </w14:textFill>
        </w:rPr>
        <w:t xml:space="preserve">如乙方不能</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上门进行</w:t>
      </w:r>
      <w:r>
        <w:rPr>
          <w:rFonts w:hint="eastAsia" w:ascii="宋体" w:hAnsi="宋体" w:eastAsia="宋体" w:cs="宋体"/>
          <w:b w:val="0"/>
          <w:bCs/>
          <w:color w:val="000000" w:themeColor="text1"/>
          <w:sz w:val="24"/>
          <w:szCs w:val="24"/>
          <w:highlight w:val="none"/>
          <w14:textFill>
            <w14:solidFill>
              <w14:schemeClr w14:val="tx1"/>
            </w14:solidFill>
          </w14:textFill>
        </w:rPr>
        <w:t xml:space="preserve">服务的，甲方有权要求乙方应向甲方支付合同总价5%的违约金。</w:t>
      </w:r>
      <w:r/>
    </w:p>
    <w:p>
      <w:pPr>
        <w:ind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color w:val="000000" w:themeColor="text1"/>
          <w:sz w:val="24"/>
          <w:szCs w:val="24"/>
          <w:highlight w:val="none"/>
          <w14:textFill>
            <w14:solidFill>
              <w14:schemeClr w14:val="tx1"/>
            </w14:solidFill>
          </w14:textFill>
        </w:rPr>
        <w:t xml:space="preserve">乙方所交付的服务不符合合同规定的，甲方有权中止合同，并责令乙方按合同规定进行整改，同时甲方有权要求乙方向甲方支付合同总款5%的违约金。</w:t>
      </w:r>
      <w:r/>
    </w:p>
    <w:p>
      <w:pPr>
        <w:ind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val="0"/>
          <w:bCs/>
          <w:color w:val="000000" w:themeColor="text1"/>
          <w:sz w:val="24"/>
          <w:szCs w:val="24"/>
          <w:highlight w:val="none"/>
          <w14:textFill>
            <w14:solidFill>
              <w14:schemeClr w14:val="tx1"/>
            </w14:solidFill>
          </w14:textFill>
        </w:rPr>
        <w:t xml:space="preserve">乙方投标属虚假承诺，或经权威部门监测提供的服务不能满足招标文件要求，或是由于乙方的过错造成合同无法继续履行的，乙方应向甲方支付不少于合同总价30%赔偿金。</w:t>
      </w:r>
      <w:r/>
    </w:p>
    <w:p>
      <w:pPr>
        <w:ind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14:textFill>
            <w14:solidFill>
              <w14:schemeClr w14:val="tx1"/>
            </w14:solidFill>
          </w14:textFill>
        </w:rPr>
        <w:t xml:space="preserve">乙方须无条件配合甲方针对乙方服务人员进行政审，并提供对应材料，如乙方存在拒绝配合或拒绝提供所需对应资料等情形，按违约处理，甲方有权终止合同并由乙方承担全部责任。</w:t>
      </w:r>
      <w:r/>
    </w:p>
    <w:p>
      <w:pPr>
        <w:ind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color w:val="000000" w:themeColor="text1"/>
          <w:sz w:val="24"/>
          <w:szCs w:val="24"/>
          <w:highlight w:val="none"/>
          <w14:textFill>
            <w14:solidFill>
              <w14:schemeClr w14:val="tx1"/>
            </w14:solidFill>
          </w14:textFill>
        </w:rPr>
        <w:t xml:space="preserve">反商业贿赂义务：如乙方违反法律法规围标、串标或者行贿甲方相关人员被查实的，甲方有权终止合同且不支付剩余合同款。乙方自愿放弃参与江苏省公安厅后三年度采购活动。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七、验收条款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1.项目验收通过后，乙方仍需持续履行质保及后续服务义务，保障参保家庭在保障周期内持续享受合规、优质的医保服务，不得擅自降低服务标准、终止服务内容。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甲方对已验收项目实行常态化复核、年度抽检机制，后续运营期间出现服务滑坡、合规违规问题的，可重新启动验收核查，依规追究乙方责任。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八、消费者权益保护条款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有权对乙方消费者权益保护相关工作进行监督评价，乙方应积极进行配合。若发现乙方存在侵害消费者权益行为，甲方有权督促乙方进行整改。乙方拒不整改或不积极整改的，甲方可单方面解除合作协议，并将乙方机构列入甲方合作机构黑名单。对此造成的不利后果，由乙方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应做好产品和服务信息的披露及告知，不得存在夸大业务功能、收取额外费用等侵犯消费者权益和违反监管部门相关规定的情况。因乙方及其业务人员的违规行为，给甲方及其客户造成的损失，由乙方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合作业务发生消费纠纷的，乙方应积极配合甲方妥善处理，对投诉事项进行核实。若发现乙方存在本合同项下违约行为，甲方可向乙方进行追责；因乙方额外向甲方客户提供的本合同之外的增值服务发生消费纠纷的，由乙方单方进行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4.根据国家有关监管部门相关监管要求，在开展业务前，乙方需向甲方提供其在消费者权益保护相关举措或相关制度等。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5.甲乙双方应有效保护消费者个人信息，在消费者授权同意的基础上共同处理消费者个人信息，确保不发生数据滥用或泄露。</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6.为有效预防和及时准确地处置涉及合作业务的突发事件，乙方应建立相关应急预案，做好应对突发事件的处置，确保服务的连续性。事件发生后，乙方应及时将合作业务相关的影响情况向甲方报告。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7.甲乙双方应确保相关合作行为符合法律、监管法规、行业规则等要求，做好风险管理。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九、不可抗力事件处理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1.在合同有效期内，任何一方因不可抗力事件导致不能履行合同，则合同履行期可延长，其延长期与不可抗力影响期相同。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2.不可抗力事件发生后，应立即通知对方，并寄送有关权威机构出具的证明。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3.不可抗力事件延续120天以上，双方应通过友好协商，确定是否继续履行合同。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十、保密条款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非下列情况，自本协议生效之日起，甲、乙双方不得将本协议涉及的所有有形、无形的信息及资料（包括但不限于双方的往来书面文字文件、电子邮件及其他信息资料等）泄露给除本协议合同方和被保险人之外的其他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1.应法律或司法管辖要求而提供。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2.经甲、乙双方书面同意。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本协议一方因过错泄密而给另一方造成损失的，过错方应依法承担损害赔偿等法律责任。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本协议终止时本条款继续并长期有效。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十一、合同生效及其他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合同经双方法定代表人或授权委托代表人签字并加盖单位公章后生效。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2.本合同未尽事宜，遵照《中华人民共和国民法典》《中华人民共和国政府采购法》有关条文执行。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3.本协议自签字盖章之日生效。保险合同到期后，乙方将继续接受甲方（被保险人）在保险合同有效期间发生的理赔相关事宜，直至处理完毕。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4.本协议履行期限：一年。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5.甲乙双方有关本协议执行中的争议应友好协商解决。协商不成的，应提请甲方所在地人民法院通过诉讼裁定。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6.本合同正本一式陆份，具有同等法律效力，甲方、乙方各执叁份。</w:t>
      </w:r>
      <w:r/>
    </w:p>
    <w:p>
      <w:pPr>
        <w:ind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rPr>
          <w:rFonts w:hint="eastAsia" w:ascii="宋体" w:hAnsi="宋体" w:eastAsia="宋体" w:cs="宋体"/>
          <w:b w:val="0"/>
          <w:bCs/>
          <w:color w:val="000000" w:themeColor="text1"/>
          <w:sz w:val="24"/>
          <w:szCs w:val="24"/>
          <w:highlight w:val="none"/>
          <w14:textFill>
            <w14:solidFill>
              <w14:schemeClr w14:val="tx1"/>
            </w14:solidFill>
          </w14:textFill>
        </w:rPr>
      </w:r>
      <w:r/>
    </w:p>
    <w:p>
      <w:pPr>
        <w:pStyle w:val="933"/>
        <w:ind w:left="482" w:hanging="64"/>
        <w:jc w:val="both"/>
        <w:keepLines w:val="0"/>
        <w:keepNext w:val="0"/>
        <w:pageBreakBefore w:val="0"/>
        <w:spacing w:before="120" w:beforeAutospacing="0" w:after="120" w:afterAutospacing="0" w:line="276" w:lineRule="auto"/>
        <w:widowControl w:val="off"/>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甲方：                         乙方： </w:t>
      </w:r>
      <w:r/>
    </w:p>
    <w:p>
      <w:pPr>
        <w:pStyle w:val="933"/>
        <w:ind w:firstLine="480"/>
        <w:jc w:val="both"/>
        <w:keepLines w:val="0"/>
        <w:keepNext w:val="0"/>
        <w:pageBreakBefore w:val="0"/>
        <w:spacing w:before="120" w:beforeAutospacing="0" w:after="120" w:afterAutospacing="0" w:line="276" w:lineRule="auto"/>
        <w:widowControl w:val="off"/>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地址：                         地址： </w:t>
      </w:r>
      <w:r/>
    </w:p>
    <w:p>
      <w:pPr>
        <w:pStyle w:val="933"/>
        <w:ind w:firstLine="480"/>
        <w:jc w:val="both"/>
        <w:keepLines w:val="0"/>
        <w:keepNext w:val="0"/>
        <w:pageBreakBefore w:val="0"/>
        <w:spacing w:before="120" w:beforeAutospacing="0" w:after="120" w:afterAutospacing="0" w:line="276" w:lineRule="auto"/>
        <w:widowControl w:val="off"/>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法定代表人或授权代表：        </w:t>
      </w: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法定代表人或授权代表：</w:t>
      </w:r>
      <w:r/>
    </w:p>
    <w:p>
      <w:pPr>
        <w:pStyle w:val="933"/>
        <w:ind w:firstLine="480"/>
        <w:jc w:val="both"/>
        <w:keepLines w:val="0"/>
        <w:keepNext w:val="0"/>
        <w:pageBreakBefore w:val="0"/>
        <w:spacing w:before="120" w:beforeAutospacing="0" w:after="120" w:afterAutospacing="0" w:line="276" w:lineRule="auto"/>
        <w:widowControl w:val="off"/>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联系电话：          </w:t>
      </w: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   联系电话：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pStyle w:val="933"/>
        <w:ind w:left="480" w:hanging="480"/>
        <w:jc w:val="right"/>
        <w:spacing w:before="120" w:beforeAutospacing="0" w:after="120" w:afterAutospacing="0" w:line="276" w:lineRule="auto"/>
        <w:rPr>
          <w:rFonts w:hint="eastAsia" w:ascii="宋体" w:hAnsi="宋体" w:eastAsia="宋体" w:cs="宋体"/>
          <w:b w:val="0"/>
          <w:bCs w:val="0"/>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签订日期：</w:t>
      </w: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 年  月 日</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pStyle w:val="933"/>
        <w:ind w:left="480" w:hanging="480"/>
        <w:jc w:val="left"/>
        <w:spacing w:before="120" w:beforeAutospacing="0" w:after="120" w:afterAutospacing="0" w:line="276" w:lineRule="auto"/>
        <w:rPr>
          <w:rFonts w:hint="eastAsia" w:ascii="宋体" w:hAnsi="宋体" w:eastAsia="宋体" w:cs="宋体"/>
          <w:b w:val="0"/>
          <w:bCs w:val="0"/>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rPr>
          <w:rFonts w:hint="eastAsia" w:ascii="宋体" w:hAnsi="宋体" w:eastAsia="宋体" w:cs="宋体"/>
          <w:b w:val="0"/>
          <w:bCs/>
          <w:color w:val="000000" w:themeColor="text1"/>
          <w:sz w:val="24"/>
          <w:szCs w:val="24"/>
          <w:highlight w:val="none"/>
          <w14:textFill>
            <w14:solidFill>
              <w14:schemeClr w14:val="tx1"/>
            </w14:solidFill>
          </w14:textFill>
        </w:rPr>
      </w:r>
      <w:r/>
    </w:p>
    <w:p>
      <w:pPr>
        <w:pStyle w:val="933"/>
        <w:ind w:left="480" w:hanging="480"/>
        <w:jc w:val="left"/>
        <w:spacing w:before="120" w:beforeAutospacing="0" w:after="120" w:afterAutospacing="0" w:line="276" w:lineRule="auto"/>
        <w:rPr>
          <w:rFonts w:hint="eastAsia" w:ascii="宋体" w:hAnsi="宋体" w:eastAsia="宋体" w:cs="宋体"/>
          <w:b w:val="0"/>
          <w:bCs w:val="0"/>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rPr>
          <w:rFonts w:hint="eastAsia" w:ascii="宋体" w:hAnsi="宋体" w:eastAsia="宋体" w:cs="宋体"/>
          <w:b w:val="0"/>
          <w:bCs/>
          <w:color w:val="000000" w:themeColor="text1"/>
          <w:sz w:val="24"/>
          <w:szCs w:val="24"/>
          <w:highlight w:val="none"/>
          <w14:textFill>
            <w14:solidFill>
              <w14:schemeClr w14:val="tx1"/>
            </w14:solidFill>
          </w14:textFill>
        </w:rPr>
      </w:r>
      <w:r/>
    </w:p>
    <w:p>
      <w:pPr>
        <w:pStyle w:val="933"/>
        <w:ind w:left="480" w:hanging="480"/>
        <w:jc w:val="left"/>
        <w:spacing w:before="120" w:beforeAutospacing="0" w:after="120" w:afterAutospacing="0" w:line="276" w:lineRule="auto"/>
        <w:rPr>
          <w:rFonts w:hint="eastAsia" w:ascii="宋体" w:hAnsi="宋体" w:eastAsia="宋体" w:cs="宋体"/>
          <w:b w:val="0"/>
          <w:bCs w:val="0"/>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rPr>
          <w:rFonts w:hint="eastAsia" w:ascii="宋体" w:hAnsi="宋体" w:eastAsia="宋体" w:cs="宋体"/>
          <w:b w:val="0"/>
          <w:bCs/>
          <w:color w:val="000000" w:themeColor="text1"/>
          <w:sz w:val="24"/>
          <w:szCs w:val="24"/>
          <w:highlight w:val="none"/>
          <w14:textFill>
            <w14:solidFill>
              <w14:schemeClr w14:val="tx1"/>
            </w14:solidFill>
          </w14:textFill>
        </w:rPr>
        <w:t xml:space="preserve">合同附件：</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jc w:val="center"/>
        <w:spacing w:line="5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项目建设供应商承诺函</w:t>
      </w:r>
      <w:r/>
    </w:p>
    <w:p>
      <w:pPr>
        <w:spacing w:line="5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p>
      <w:pPr>
        <w:ind w:left="-210" w:right="-210" w:firstLine="420"/>
        <w:keepLines w:val="0"/>
        <w:keepNext w:val="0"/>
        <w:pageBreakBefore w:val="0"/>
        <w:spacing w:line="460" w:lineRule="exact"/>
        <w:widowControl/>
        <w:tabs>
          <w:tab w:val="left" w:pos="360" w:leader="none"/>
          <w:tab w:val="left" w:pos="540" w:leader="none"/>
          <w:tab w:val="left" w:pos="1080" w:leader="none"/>
        </w:tabs>
        <w:rPr>
          <w:rFonts w:hint="eastAsia" w:ascii="宋体" w:hAnsi="宋体" w:eastAsia="宋体" w:cs="宋体"/>
          <w:b w:val="0"/>
          <w:bCs/>
          <w:color w:val="000000" w:themeColor="text1"/>
          <w:sz w:val="24"/>
          <w:szCs w:val="24"/>
          <w:highlight w:val="none"/>
          <w:lang w:val="zh-TW"/>
          <w14:textFill>
            <w14:solidFill>
              <w14:schemeClr w14:val="tx1"/>
            </w14:solidFill>
          </w14:textFill>
        </w:rPr>
      </w:pPr>
      <w:r>
        <w:rPr>
          <w:rFonts w:hint="eastAsia" w:ascii="宋体" w:hAnsi="宋体" w:eastAsia="宋体" w:cs="宋体"/>
          <w:b w:val="0"/>
          <w:bCs/>
          <w:color w:val="000000" w:themeColor="text1"/>
          <w:sz w:val="24"/>
          <w:szCs w:val="24"/>
          <w:highlight w:val="none"/>
          <w:lang w:val="zh-TW"/>
          <w14:textFill>
            <w14:solidFill>
              <w14:schemeClr w14:val="tx1"/>
            </w14:solidFill>
          </w14:textFill>
        </w:rPr>
        <w:t xml:space="preserve">1、在项目实施过程中要严格按照合同履行，所有的变更必须经市公安局书面审批完成后方可实施，否则不予验收和付款；项目的变更（增项、减项绝对值的合计）不能超合同价的10%，超过废标处理，且不予结算。</w:t>
      </w:r>
      <w:r/>
    </w:p>
    <w:p>
      <w:pPr>
        <w:ind w:left="-210" w:right="-210" w:firstLine="420"/>
        <w:keepLines w:val="0"/>
        <w:keepNext w:val="0"/>
        <w:pageBreakBefore w:val="0"/>
        <w:spacing w:line="460" w:lineRule="exact"/>
        <w:widowControl/>
        <w:tabs>
          <w:tab w:val="left" w:pos="360" w:leader="none"/>
          <w:tab w:val="left" w:pos="540" w:leader="none"/>
          <w:tab w:val="left" w:pos="1080" w:leader="none"/>
        </w:tabs>
        <w:rPr>
          <w:rFonts w:hint="eastAsia" w:ascii="宋体" w:hAnsi="宋体" w:eastAsia="宋体" w:cs="宋体"/>
          <w:b w:val="0"/>
          <w:bCs/>
          <w:color w:val="000000" w:themeColor="text1"/>
          <w:sz w:val="24"/>
          <w:szCs w:val="24"/>
          <w:highlight w:val="none"/>
          <w:lang w:val="zh-TW"/>
          <w14:textFill>
            <w14:solidFill>
              <w14:schemeClr w14:val="tx1"/>
            </w14:solidFill>
          </w14:textFill>
        </w:rPr>
      </w:pPr>
      <w:r>
        <w:rPr>
          <w:rFonts w:hint="eastAsia" w:ascii="宋体" w:hAnsi="宋体" w:eastAsia="宋体" w:cs="宋体"/>
          <w:b w:val="0"/>
          <w:bCs/>
          <w:color w:val="000000" w:themeColor="text1"/>
          <w:sz w:val="24"/>
          <w:szCs w:val="24"/>
          <w:highlight w:val="none"/>
          <w:lang w:val="zh-TW"/>
          <w14:textFill>
            <w14:solidFill>
              <w14:schemeClr w14:val="tx1"/>
            </w14:solidFill>
          </w14:textFill>
        </w:rPr>
        <w:t xml:space="preserve">2、市公安局采购办将在合同约定的履约期限结束的7日内组织项目验收，供应商应当及时做好验收的准备工作，验收的每次结果将存档，如未能验收通过将根据未通过的原因按照合同约定追究违约责任。</w:t>
      </w:r>
      <w:r/>
    </w:p>
    <w:p>
      <w:pPr>
        <w:ind w:left="-210" w:right="-210" w:firstLine="420"/>
        <w:keepLines w:val="0"/>
        <w:keepNext w:val="0"/>
        <w:pageBreakBefore w:val="0"/>
        <w:spacing w:line="460" w:lineRule="exact"/>
        <w:widowControl/>
        <w:tabs>
          <w:tab w:val="left" w:pos="360" w:leader="none"/>
          <w:tab w:val="left" w:pos="540" w:leader="none"/>
          <w:tab w:val="left" w:pos="1080" w:leader="none"/>
        </w:tabs>
        <w:rPr>
          <w:rFonts w:hint="eastAsia" w:ascii="宋体" w:hAnsi="宋体" w:eastAsia="宋体" w:cs="宋体"/>
          <w:b w:val="0"/>
          <w:bCs/>
          <w:color w:val="000000" w:themeColor="text1"/>
          <w:sz w:val="24"/>
          <w:szCs w:val="24"/>
          <w:highlight w:val="none"/>
          <w:lang w:val="zh-TW"/>
          <w14:textFill>
            <w14:solidFill>
              <w14:schemeClr w14:val="tx1"/>
            </w14:solidFill>
          </w14:textFill>
        </w:rPr>
      </w:pPr>
      <w:r>
        <w:rPr>
          <w:rFonts w:hint="eastAsia" w:ascii="宋体" w:hAnsi="宋体" w:eastAsia="宋体" w:cs="宋体"/>
          <w:b w:val="0"/>
          <w:bCs/>
          <w:color w:val="000000" w:themeColor="text1"/>
          <w:sz w:val="24"/>
          <w:szCs w:val="24"/>
          <w:highlight w:val="none"/>
          <w:lang w:val="zh-TW"/>
          <w14:textFill>
            <w14:solidFill>
              <w14:schemeClr w14:val="tx1"/>
            </w14:solidFill>
          </w14:textFill>
        </w:rPr>
        <w:t xml:space="preserve">对未列出的其他事项，应当严格按照法律法规等具体规定执行。</w:t>
      </w:r>
      <w:r/>
    </w:p>
    <w:p>
      <w:pPr>
        <w:ind w:firstLine="420"/>
        <w:keepLines w:val="0"/>
        <w:keepNext w:val="0"/>
        <w:pageBreakBefore w:val="0"/>
        <w:spacing w:before="120" w:after="120" w:line="460" w:lineRule="exact"/>
        <w:widowControl/>
        <w:rPr>
          <w:rFonts w:hint="eastAsia" w:ascii="宋体" w:hAnsi="宋体" w:eastAsia="宋体" w:cs="宋体"/>
          <w:b w:val="0"/>
          <w:bCs/>
          <w:color w:val="000000" w:themeColor="text1"/>
          <w:sz w:val="24"/>
          <w:szCs w:val="24"/>
          <w:highlight w:val="none"/>
          <w:lang w:val="zh-TW"/>
          <w14:textFill>
            <w14:solidFill>
              <w14:schemeClr w14:val="tx1"/>
            </w14:solidFill>
          </w14:textFill>
        </w:rPr>
      </w:pPr>
      <w:r>
        <w:rPr>
          <w:rFonts w:hint="eastAsia" w:ascii="宋体" w:hAnsi="宋体" w:eastAsia="宋体" w:cs="宋体"/>
          <w:b w:val="0"/>
          <w:bCs/>
          <w:color w:val="000000" w:themeColor="text1"/>
          <w:sz w:val="24"/>
          <w:szCs w:val="24"/>
          <w:highlight w:val="none"/>
          <w:lang w:val="zh-TW"/>
          <w14:textFill>
            <w14:solidFill>
              <w14:schemeClr w14:val="tx1"/>
            </w14:solidFill>
          </w14:textFill>
        </w:rPr>
        <w:t xml:space="preserve">现承诺，我单位在履行</w:t>
      </w:r>
      <w:r>
        <w:rPr>
          <w:rFonts w:hint="eastAsia" w:ascii="宋体" w:hAnsi="宋体" w:eastAsia="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项目</w:t>
      </w:r>
      <w:r>
        <w:rPr>
          <w:rFonts w:hint="eastAsia" w:ascii="宋体" w:hAnsi="宋体" w:eastAsia="宋体" w:cs="宋体"/>
          <w:b w:val="0"/>
          <w:bCs/>
          <w:color w:val="000000" w:themeColor="text1"/>
          <w:sz w:val="24"/>
          <w:szCs w:val="24"/>
          <w:highlight w:val="none"/>
          <w:lang w:val="zh-TW"/>
          <w14:textFill>
            <w14:solidFill>
              <w14:schemeClr w14:val="tx1"/>
            </w14:solidFill>
          </w14:textFill>
        </w:rPr>
        <w:t xml:space="preserve">的采购活动中，将严格按照提示函的内容和要求执行，如若违反愿意承担相应的责任。</w:t>
      </w:r>
      <w:r/>
    </w:p>
    <w:p>
      <w:pPr>
        <w:ind w:left="-210" w:right="-210" w:firstLine="420"/>
        <w:keepLines w:val="0"/>
        <w:keepNext w:val="0"/>
        <w:pageBreakBefore w:val="0"/>
        <w:spacing w:line="460" w:lineRule="exact"/>
        <w:widowControl/>
        <w:tabs>
          <w:tab w:val="left" w:pos="360" w:leader="none"/>
          <w:tab w:val="left" w:pos="540" w:leader="none"/>
          <w:tab w:val="left" w:pos="1080" w:leader="none"/>
        </w:tabs>
        <w:rPr>
          <w:rFonts w:hint="eastAsia" w:ascii="宋体" w:hAnsi="宋体" w:eastAsia="宋体" w:cs="宋体"/>
          <w:b w:val="0"/>
          <w:bCs/>
          <w:color w:val="000000" w:themeColor="text1"/>
          <w:sz w:val="24"/>
          <w:szCs w:val="24"/>
          <w:highlight w:val="none"/>
          <w:lang w:val="zh-TW"/>
          <w14:textFill>
            <w14:solidFill>
              <w14:schemeClr w14:val="tx1"/>
            </w14:solidFill>
          </w14:textFill>
        </w:rPr>
      </w:pPr>
      <w:r>
        <w:rPr>
          <w:rFonts w:hint="eastAsia" w:ascii="宋体" w:hAnsi="宋体" w:eastAsia="宋体" w:cs="宋体"/>
          <w:b w:val="0"/>
          <w:bCs/>
          <w:color w:val="000000" w:themeColor="text1"/>
          <w:sz w:val="24"/>
          <w:szCs w:val="24"/>
          <w:highlight w:val="none"/>
          <w:lang w:val="zh-TW"/>
          <w14:textFill>
            <w14:solidFill>
              <w14:schemeClr w14:val="tx1"/>
            </w14:solidFill>
          </w14:textFill>
        </w:rPr>
      </w:r>
      <w:r/>
    </w:p>
    <w:p>
      <w:pPr>
        <w:ind w:left="-210" w:right="-210" w:firstLine="420"/>
        <w:keepLines w:val="0"/>
        <w:keepNext w:val="0"/>
        <w:pageBreakBefore w:val="0"/>
        <w:spacing w:line="460" w:lineRule="exact"/>
        <w:widowControl/>
        <w:tabs>
          <w:tab w:val="left" w:pos="360" w:leader="none"/>
          <w:tab w:val="left" w:pos="540" w:leader="none"/>
          <w:tab w:val="left" w:pos="1080" w:leader="none"/>
        </w:tabs>
        <w:rPr>
          <w:rFonts w:hint="eastAsia" w:ascii="宋体" w:hAnsi="宋体" w:eastAsia="宋体" w:cs="宋体"/>
          <w:b w:val="0"/>
          <w:bCs/>
          <w:color w:val="000000" w:themeColor="text1"/>
          <w:sz w:val="24"/>
          <w:szCs w:val="24"/>
          <w:highlight w:val="none"/>
          <w:lang w:val="zh-TW"/>
          <w14:textFill>
            <w14:solidFill>
              <w14:schemeClr w14:val="tx1"/>
            </w14:solidFill>
          </w14:textFill>
        </w:rPr>
      </w:pPr>
      <w:r>
        <w:rPr>
          <w:rFonts w:hint="eastAsia" w:ascii="宋体" w:hAnsi="宋体" w:eastAsia="宋体" w:cs="宋体"/>
          <w:b w:val="0"/>
          <w:bCs/>
          <w:color w:val="000000" w:themeColor="text1"/>
          <w:sz w:val="24"/>
          <w:szCs w:val="24"/>
          <w:highlight w:val="none"/>
          <w:lang w:val="zh-TW"/>
          <w14:textFill>
            <w14:solidFill>
              <w14:schemeClr w14:val="tx1"/>
            </w14:solidFill>
          </w14:textFill>
        </w:rPr>
      </w:r>
      <w:r/>
    </w:p>
    <w:p>
      <w:pPr>
        <w:ind w:left="-210" w:right="-210" w:firstLine="420"/>
        <w:keepLines w:val="0"/>
        <w:keepNext w:val="0"/>
        <w:pageBreakBefore w:val="0"/>
        <w:spacing w:line="460" w:lineRule="exact"/>
        <w:widowControl/>
        <w:tabs>
          <w:tab w:val="left" w:pos="360" w:leader="none"/>
          <w:tab w:val="left" w:pos="540" w:leader="none"/>
          <w:tab w:val="left" w:pos="1080" w:leader="none"/>
        </w:tabs>
        <w:rPr>
          <w:rFonts w:hint="eastAsia" w:ascii="宋体" w:hAnsi="宋体" w:eastAsia="宋体" w:cs="宋体"/>
          <w:b w:val="0"/>
          <w:bCs/>
          <w:color w:val="000000" w:themeColor="text1"/>
          <w:sz w:val="24"/>
          <w:szCs w:val="24"/>
          <w:highlight w:val="none"/>
          <w:lang w:val="zh-TW"/>
          <w14:textFill>
            <w14:solidFill>
              <w14:schemeClr w14:val="tx1"/>
            </w14:solidFill>
          </w14:textFill>
        </w:rPr>
      </w:pPr>
      <w:r>
        <w:rPr>
          <w:rFonts w:hint="eastAsia" w:ascii="宋体" w:hAnsi="宋体" w:eastAsia="宋体" w:cs="宋体"/>
          <w:b w:val="0"/>
          <w:bCs/>
          <w:color w:val="000000" w:themeColor="text1"/>
          <w:sz w:val="24"/>
          <w:szCs w:val="24"/>
          <w:highlight w:val="none"/>
          <w:lang w:val="zh-TW"/>
          <w14:textFill>
            <w14:solidFill>
              <w14:schemeClr w14:val="tx1"/>
            </w14:solidFill>
          </w14:textFill>
        </w:rPr>
        <w:t xml:space="preserve">项目负责人（签字）：      </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lang w:val="zh-TW"/>
          <w14:textFill>
            <w14:solidFill>
              <w14:schemeClr w14:val="tx1"/>
            </w14:solidFill>
          </w14:textFill>
        </w:rPr>
        <w:t xml:space="preserve">  联系方式：</w:t>
      </w:r>
      <w:r/>
    </w:p>
    <w:p>
      <w:pPr>
        <w:spacing w:line="540" w:lineRule="exact"/>
        <w:rPr>
          <w:rFonts w:hint="eastAsia" w:ascii="宋体" w:hAnsi="宋体" w:eastAsia="宋体" w:cs="宋体"/>
          <w:b w:val="0"/>
          <w:bCs/>
          <w:color w:val="000000" w:themeColor="text1"/>
          <w:sz w:val="24"/>
          <w:szCs w:val="24"/>
          <w:highlight w:val="none"/>
          <w:u w:val="single"/>
          <w14:textFill>
            <w14:solidFill>
              <w14:schemeClr w14:val="tx1"/>
            </w14:solidFill>
          </w14:textFill>
        </w:rPr>
      </w:pPr>
      <w:r>
        <w:rPr>
          <w:rFonts w:hint="eastAsia" w:ascii="宋体" w:hAnsi="宋体" w:eastAsia="宋体" w:cs="宋体"/>
          <w:b w:val="0"/>
          <w:bCs/>
          <w:color w:val="000000" w:themeColor="text1"/>
          <w:sz w:val="24"/>
          <w:szCs w:val="24"/>
          <w:highlight w:val="none"/>
          <w:u w:val="single"/>
          <w14:textFill>
            <w14:solidFill>
              <w14:schemeClr w14:val="tx1"/>
            </w14:solidFill>
          </w14:textFill>
        </w:rPr>
      </w:r>
      <w:r/>
    </w:p>
    <w:p>
      <w:pPr>
        <w:spacing w:line="5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p>
      <w:pPr>
        <w:pStyle w:val="934"/>
        <w:jc w:val="right"/>
        <w:spacing w:line="500" w:lineRule="exact"/>
        <w:rPr>
          <w:rFonts w:hint="eastAsia" w:ascii="宋体" w:hAnsi="宋体" w:eastAsia="宋体" w:cs="宋体"/>
          <w:b w:val="0"/>
          <w:bCs/>
          <w:color w:val="000000" w:themeColor="text1"/>
          <w:sz w:val="24"/>
          <w:szCs w:val="24"/>
          <w:highlight w:val="none"/>
          <w:lang w:val="zh-TW"/>
          <w14:textFill>
            <w14:solidFill>
              <w14:schemeClr w14:val="tx1"/>
            </w14:solidFill>
          </w14:textFill>
        </w:rPr>
      </w:pPr>
      <w:r>
        <w:rPr>
          <w:rFonts w:hint="eastAsia" w:ascii="宋体" w:hAnsi="宋体" w:eastAsia="宋体" w:cs="宋体"/>
          <w:b w:val="0"/>
          <w:bCs/>
          <w:color w:val="000000" w:themeColor="text1"/>
          <w:sz w:val="24"/>
          <w:szCs w:val="24"/>
          <w:highlight w:val="none"/>
          <w:lang w:val="zh-TW"/>
          <w14:textFill>
            <w14:solidFill>
              <w14:schemeClr w14:val="tx1"/>
            </w14:solidFill>
          </w14:textFill>
        </w:rPr>
        <w:t xml:space="preserve">（供应商单位公章）</w:t>
      </w:r>
      <w:r/>
    </w:p>
    <w:p>
      <w:pPr>
        <w:jc w:val="both"/>
        <w:spacing w:line="360" w:lineRule="auto"/>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pStyle w:val="744"/>
        <w:jc w:val="center"/>
        <w:spacing w:beforeAutospacing="0" w:afterAutospacing="0" w:line="508" w:lineRule="exact"/>
        <w:rPr>
          <w:rFonts w:hint="eastAsia" w:ascii="宋体" w:hAnsi="宋体" w:eastAsia="宋体" w:cs="宋体"/>
          <w:b w:val="0"/>
          <w:bCs/>
          <w:color w:val="000000" w:themeColor="text1"/>
          <w:sz w:val="28"/>
          <w:szCs w:val="28"/>
          <w:highlight w:val="none"/>
          <w14:textFill>
            <w14:solidFill>
              <w14:schemeClr w14:val="tx1"/>
            </w14:solidFill>
          </w14:textFill>
        </w:rPr>
        <w:outlineLvl w:val="0"/>
      </w:pPr>
      <w:r>
        <w:rPr>
          <w:rFonts w:hint="eastAsia" w:ascii="宋体" w:hAnsi="宋体" w:eastAsia="宋体" w:cs="宋体"/>
          <w:b w:val="0"/>
          <w:bCs/>
          <w:color w:val="000000" w:themeColor="text1"/>
          <w:sz w:val="24"/>
          <w:szCs w:val="24"/>
          <w:highlight w:val="none"/>
          <w14:textFill>
            <w14:solidFill>
              <w14:schemeClr w14:val="tx1"/>
            </w14:solidFill>
          </w14:textFill>
        </w:rPr>
        <w:br w:type="page" w:clear="all"/>
      </w:r>
      <w:bookmarkStart w:id="182" w:name="_Toc222837041"/>
      <w:r>
        <w:rPr>
          <w:rFonts w:hint="eastAsia" w:ascii="宋体" w:hAnsi="宋体" w:eastAsia="宋体" w:cs="宋体"/>
          <w:b w:val="0"/>
          <w:bCs/>
          <w:color w:val="000000" w:themeColor="text1"/>
          <w:sz w:val="44"/>
          <w:szCs w:val="44"/>
          <w:highlight w:val="none"/>
          <w14:textFill>
            <w14:solidFill>
              <w14:schemeClr w14:val="tx1"/>
            </w14:solidFill>
          </w14:textFill>
        </w:rPr>
        <w:t xml:space="preserve">第四章采购需求</w:t>
      </w:r>
      <w:bookmarkEnd w:id="182"/>
      <w:r/>
      <w:bookmarkStart w:id="183" w:name="_Toc49090575"/>
      <w:r/>
      <w:bookmarkEnd w:id="183"/>
      <w:r/>
      <w:bookmarkStart w:id="184" w:name="_Toc26554093"/>
      <w:r/>
      <w:bookmarkEnd w:id="184"/>
      <w:r/>
      <w:r/>
    </w:p>
    <w:p>
      <w:pPr>
        <w:pStyle w:val="935"/>
        <w:ind w:firstLine="482"/>
        <w:keepLines w:val="0"/>
        <w:keepNext w:val="0"/>
        <w:pageBreakBefore w:val="0"/>
        <w:spacing w:beforeAutospacing="0" w:afterAutospacing="0" w:line="440" w:lineRule="exact"/>
        <w:widowControl w:val="off"/>
        <w:rPr>
          <w:rFonts w:hint="eastAsia" w:ascii="宋体" w:hAnsi="宋体" w:eastAsia="宋体" w:cs="宋体"/>
          <w:b w:val="0"/>
          <w:bCs/>
          <w:color w:val="000000" w:themeColor="text1"/>
          <w:sz w:val="24"/>
          <w:szCs w:val="24"/>
          <w:highlight w:val="none"/>
          <w14:textFill>
            <w14:solidFill>
              <w14:schemeClr w14:val="tx1"/>
            </w14:solidFill>
          </w14:textFill>
        </w:rPr>
        <w:outlineLvl w:val="1"/>
      </w:pPr>
      <w:r/>
      <w:bookmarkStart w:id="185" w:name="_Toc120614281"/>
      <w:r/>
      <w:bookmarkStart w:id="186" w:name="_Toc222837042"/>
      <w:r>
        <w:rPr>
          <w:rFonts w:hint="eastAsia" w:ascii="宋体" w:hAnsi="宋体" w:eastAsia="宋体" w:cs="宋体"/>
          <w:b w:val="0"/>
          <w:bCs/>
          <w:color w:val="000000" w:themeColor="text1"/>
          <w:sz w:val="24"/>
          <w:szCs w:val="24"/>
          <w:highlight w:val="none"/>
          <w14:textFill>
            <w14:solidFill>
              <w14:schemeClr w14:val="tx1"/>
            </w14:solidFill>
          </w14:textFill>
        </w:rPr>
        <w:t xml:space="preserve">一、项目概况及要求</w:t>
      </w:r>
      <w:r/>
    </w:p>
    <w:p>
      <w:pPr>
        <w:pStyle w:val="744"/>
        <w:ind w:firstLine="560"/>
        <w:jc w:val="both"/>
        <w:keepLines w:val="0"/>
        <w:keepNext w:val="0"/>
        <w:pageBreakBefore w:val="0"/>
        <w:spacing w:beforeAutospacing="0" w:afterAutospacing="0" w:line="440" w:lineRule="exact"/>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1.项目名称：盐城市公安局2026年度公安民警家庭医疗保险服务采购项目</w:t>
      </w:r>
      <w:r/>
    </w:p>
    <w:p>
      <w:pPr>
        <w:pStyle w:val="744"/>
        <w:ind w:firstLine="560"/>
        <w:jc w:val="both"/>
        <w:keepLines w:val="0"/>
        <w:keepNext w:val="0"/>
        <w:pageBreakBefore w:val="0"/>
        <w:spacing w:beforeAutospacing="0" w:afterAutospacing="0" w:line="44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2.预算金额（最高限价）：</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354.96</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万</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元/年</w:t>
      </w:r>
      <w:r/>
    </w:p>
    <w:p>
      <w:pPr>
        <w:pStyle w:val="744"/>
        <w:ind w:firstLine="560"/>
        <w:jc w:val="both"/>
        <w:keepLines w:val="0"/>
        <w:keepNext w:val="0"/>
        <w:pageBreakBefore w:val="0"/>
        <w:spacing w:beforeAutospacing="0" w:afterAutospacing="0" w:line="440" w:lineRule="exact"/>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3.采购内容：</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盐城市公安局</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为市局机关、盐南分局、开发区分局及盐都分局的民警家庭（含配偶及子女）、退休民警</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家庭（含配偶）</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投保家庭医疗保险。</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主要保险项目为：意外伤害身故、伤残保险、意外医疗保险、疾病身故保险、疾病住院医疗保险、住院津贴保险、重大疾病保险、重症监护津贴保险等。人员数量以实际投保人数为准。</w:t>
      </w:r>
      <w:r/>
    </w:p>
    <w:p>
      <w:pPr>
        <w:pStyle w:val="744"/>
        <w:ind w:firstLine="560"/>
        <w:jc w:val="both"/>
        <w:keepLines w:val="0"/>
        <w:keepNext w:val="0"/>
        <w:pageBreakBefore w:val="0"/>
        <w:spacing w:beforeAutospacing="0" w:afterAutospacing="0" w:line="44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4.被保险人：是经盐城市公安局认定的人员。</w:t>
      </w:r>
      <w:r/>
    </w:p>
    <w:p>
      <w:pPr>
        <w:pStyle w:val="744"/>
        <w:ind w:firstLine="560"/>
        <w:jc w:val="both"/>
        <w:keepLines w:val="0"/>
        <w:keepNext w:val="0"/>
        <w:pageBreakBefore w:val="0"/>
        <w:spacing w:beforeAutospacing="0" w:afterAutospacing="0" w:line="44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5.筹资标准：本次采购的</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盐城市公安局2026年度公安民警家庭医疗保险服务采购项目</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，保费标准不高于400元/人/年，所需保费由盐城市公安局承担。</w:t>
      </w:r>
      <w:r/>
    </w:p>
    <w:p>
      <w:pPr>
        <w:pStyle w:val="744"/>
        <w:ind w:firstLine="560"/>
        <w:jc w:val="both"/>
        <w:keepLines w:val="0"/>
        <w:keepNext w:val="0"/>
        <w:pageBreakBefore w:val="0"/>
        <w:spacing w:beforeAutospacing="0" w:afterAutospacing="0" w:line="44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付款方式：</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成交供应商完成投保资料审核后，向采购人出具保险费发票，采购人将保险费转入成交供应商指定账户后，成交供应商在一个工作日内完成系统出单，保险责任生效。</w:t>
      </w:r>
      <w:r/>
    </w:p>
    <w:p>
      <w:pPr>
        <w:pStyle w:val="936"/>
        <w:ind w:firstLine="482"/>
        <w:jc w:val="both"/>
        <w:keepLines w:val="0"/>
        <w:keepNext w:val="0"/>
        <w:pageBreakBefore w:val="0"/>
        <w:spacing w:before="0" w:beforeAutospacing="0" w:after="0" w:afterAutospacing="0"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bookmarkStart w:id="187" w:name="_Toc528848848"/>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二、保险险种名称及条款报备</w:t>
      </w:r>
      <w:bookmarkEnd w:id="187"/>
      <w:r/>
      <w:bookmarkStart w:id="188" w:name="_Toc528848849"/>
      <w:r/>
      <w:r/>
    </w:p>
    <w:p>
      <w:pPr>
        <w:ind w:firstLine="480"/>
        <w:jc w:val="both"/>
        <w:keepLines w:val="0"/>
        <w:keepNext w:val="0"/>
        <w:pageBreakBefore w:val="0"/>
        <w:spacing w:beforeAutospacing="0" w:afterAutospacing="0" w:line="440" w:lineRule="exact"/>
        <w:widowControl w:val="off"/>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（一）本项目保险条款名称以保险人向保险业监督管理机构报备的条款名称为准。</w:t>
      </w:r>
      <w:r/>
    </w:p>
    <w:p>
      <w:pPr>
        <w:ind w:firstLine="480"/>
        <w:jc w:val="both"/>
        <w:keepLines w:val="0"/>
        <w:keepNext w:val="0"/>
        <w:pageBreakBefore w:val="0"/>
        <w:spacing w:beforeAutospacing="0" w:afterAutospacing="0" w:line="440" w:lineRule="exact"/>
        <w:widowControl w:val="off"/>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（二）投保险种：满足采购人需求的，在保险业监督管理机构报备的险种。</w:t>
      </w:r>
      <w:r/>
    </w:p>
    <w:p>
      <w:pPr>
        <w:pStyle w:val="936"/>
        <w:ind w:firstLine="482"/>
        <w:jc w:val="both"/>
        <w:keepLines w:val="0"/>
        <w:keepNext w:val="0"/>
        <w:pageBreakBefore w:val="0"/>
        <w:spacing w:before="0" w:beforeAutospacing="0" w:after="0" w:afterAutospacing="0"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三、保险</w:t>
      </w:r>
      <w:bookmarkEnd w:id="188"/>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期限</w:t>
      </w:r>
      <w:r/>
    </w:p>
    <w:p>
      <w:pPr>
        <w:ind w:firstLine="480"/>
        <w:jc w:val="both"/>
        <w:keepLines w:val="0"/>
        <w:keepNext w:val="0"/>
        <w:pageBreakBefore w:val="0"/>
        <w:spacing w:beforeAutospacing="0" w:afterAutospacing="0" w:line="440" w:lineRule="exact"/>
        <w:widowControl w:val="off"/>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（一）合同履行期限：一年。    </w:t>
      </w:r>
      <w:r/>
    </w:p>
    <w:p>
      <w:pPr>
        <w:ind w:firstLine="480"/>
        <w:jc w:val="both"/>
        <w:keepLines w:val="0"/>
        <w:keepNext w:val="0"/>
        <w:pageBreakBefore w:val="0"/>
        <w:spacing w:beforeAutospacing="0" w:afterAutospacing="0" w:line="440" w:lineRule="exact"/>
        <w:widowControl w:val="off"/>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（二）本项目保险期限以保险单载明的起讫时间为准。</w:t>
      </w:r>
      <w:r/>
    </w:p>
    <w:p>
      <w:pPr>
        <w:ind w:firstLine="480"/>
        <w:jc w:val="both"/>
        <w:keepLines w:val="0"/>
        <w:keepNext w:val="0"/>
        <w:pageBreakBefore w:val="0"/>
        <w:spacing w:beforeAutospacing="0" w:afterAutospacing="0" w:line="440" w:lineRule="exact"/>
        <w:widowControl w:val="off"/>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（三）为保障项目的连续性，该项目的保险期限需与上年度的保险止期接续，自2018年6月30日起发生的保险事故中标单位均需承担保险责任。</w:t>
      </w:r>
      <w:r/>
    </w:p>
    <w:p>
      <w:pPr>
        <w:pStyle w:val="936"/>
        <w:ind w:firstLine="482"/>
        <w:jc w:val="both"/>
        <w:keepLines w:val="0"/>
        <w:keepNext w:val="0"/>
        <w:pageBreakBefore w:val="0"/>
        <w:spacing w:before="0" w:beforeAutospacing="0" w:after="0" w:afterAutospacing="0"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四、保险方案及特别约定</w:t>
      </w:r>
      <w:r/>
    </w:p>
    <w:p>
      <w:pPr>
        <w:ind w:firstLine="480"/>
        <w:jc w:val="both"/>
        <w:keepLines w:val="0"/>
        <w:keepNext w:val="0"/>
        <w:pageBreakBefore w:val="0"/>
        <w:spacing w:beforeAutospacing="0" w:afterAutospacing="0" w:line="440" w:lineRule="exact"/>
        <w:widowControl w:val="off"/>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bookmarkStart w:id="189" w:name="_Toc14282"/>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1.意外伤害身故、伤残责任：在保险期间内，被保险人发生意外伤害，并因该伤害导致的身故或残疾，按约定金额给付保险金。</w:t>
      </w:r>
      <w:r/>
    </w:p>
    <w:p>
      <w:pPr>
        <w:ind w:firstLine="480"/>
        <w:jc w:val="both"/>
        <w:keepLines w:val="0"/>
        <w:keepNext w:val="0"/>
        <w:pageBreakBefore w:val="0"/>
        <w:spacing w:beforeAutospacing="0" w:afterAutospacing="0" w:line="440" w:lineRule="exact"/>
        <w:widowControl w:val="off"/>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意外医疗责任：在保险期间内，被保险人发生意外伤害（含动物咬伤），并因该伤害在二级以上（含二级）医院或本公司认可的其他医疗机构诊疗，对被保险人每次意外伤害事故所发生并实际支出的符合当地社会基本医疗保险支付范围的医疗费用，按约定金额给付保险金。</w:t>
      </w:r>
      <w:r/>
    </w:p>
    <w:p>
      <w:pPr>
        <w:ind w:firstLine="480"/>
        <w:jc w:val="both"/>
        <w:keepLines w:val="0"/>
        <w:keepNext w:val="0"/>
        <w:pageBreakBefore w:val="0"/>
        <w:spacing w:beforeAutospacing="0" w:afterAutospacing="0" w:line="440" w:lineRule="exact"/>
        <w:widowControl w:val="off"/>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3.疾病身故责任：在保险期间内，被保险人因疾病身故，本公司按该被保险人的保险金额给付身故保险金，本合同对该被保险人的保险责任终止。因公牺牲的按因公保额给付保险金，保险责任终止。</w:t>
      </w:r>
      <w:r/>
    </w:p>
    <w:p>
      <w:pPr>
        <w:ind w:firstLine="480"/>
        <w:jc w:val="both"/>
        <w:keepLines w:val="0"/>
        <w:keepNext w:val="0"/>
        <w:pageBreakBefore w:val="0"/>
        <w:spacing w:beforeAutospacing="0" w:afterAutospacing="0" w:line="440" w:lineRule="exact"/>
        <w:widowControl w:val="off"/>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疾病住院医疗责任：参保30天后，被保险人因疾病在二级以上（含二级）医院或本公司认可的其他医疗机构诊疗，对被保险人所发生并实际支出的符合当地社会基本医疗保险支付范围的医疗费用，按约定金额给付保险金。</w:t>
      </w:r>
      <w:r/>
    </w:p>
    <w:p>
      <w:pPr>
        <w:ind w:firstLine="480"/>
        <w:jc w:val="both"/>
        <w:keepLines w:val="0"/>
        <w:keepNext w:val="0"/>
        <w:pageBreakBefore w:val="0"/>
        <w:spacing w:beforeAutospacing="0" w:afterAutospacing="0" w:line="440" w:lineRule="exact"/>
        <w:widowControl w:val="off"/>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5.住院津贴责任：在保险期间内，被保险人因疾病在二级以上（含二级）医院或本公司认可的其他医疗机构诊疗，对被保险人按实际住院天数给付住院护理津贴。</w:t>
      </w:r>
      <w:r/>
    </w:p>
    <w:p>
      <w:pPr>
        <w:ind w:firstLine="480"/>
        <w:jc w:val="both"/>
        <w:keepLines w:val="0"/>
        <w:keepNext w:val="0"/>
        <w:pageBreakBefore w:val="0"/>
        <w:spacing w:beforeAutospacing="0" w:afterAutospacing="0" w:line="440" w:lineRule="exact"/>
        <w:widowControl w:val="off"/>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6.重大疾病保险责任：在保险期内，初次发生并经专科医生明确诊断患条款列明的包含癌症等50种重大疾病，一旦确诊，对被保险人按约定金额给付保险金。被保险人在本次投保前已患重大疾病，保险人不承担该重大疾病保险金的给付责任。</w:t>
      </w:r>
      <w:r/>
    </w:p>
    <w:p>
      <w:pPr>
        <w:ind w:firstLine="480"/>
        <w:jc w:val="both"/>
        <w:keepLines w:val="0"/>
        <w:keepNext w:val="0"/>
        <w:pageBreakBefore w:val="0"/>
        <w:spacing w:beforeAutospacing="0" w:afterAutospacing="0" w:line="440" w:lineRule="exact"/>
        <w:widowControl w:val="off"/>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7.重症监护责任：在保险期内，因遭受意外伤害或因疾病（等待期30天）在二级及以上公立医院入住重症监护病房治疗，对被保险人按实际入住天数给付重症监护津贴。</w:t>
      </w:r>
      <w:r/>
    </w:p>
    <w:p>
      <w:pPr>
        <w:ind w:firstLine="480"/>
        <w:jc w:val="both"/>
        <w:keepLines w:val="0"/>
        <w:keepNext w:val="0"/>
        <w:pageBreakBefore w:val="0"/>
        <w:spacing w:beforeAutospacing="0" w:afterAutospacing="0" w:line="440" w:lineRule="exact"/>
        <w:widowControl w:val="off"/>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8.定点医疗机构：二级以上（含二级）公立医院，民营医院除外。</w:t>
      </w:r>
      <w:r/>
    </w:p>
    <w:p>
      <w:pPr>
        <w:ind w:firstLine="480"/>
        <w:jc w:val="both"/>
        <w:keepLines w:val="0"/>
        <w:keepNext w:val="0"/>
        <w:pageBreakBefore w:val="0"/>
        <w:spacing w:beforeAutospacing="0" w:afterAutospacing="0" w:line="440" w:lineRule="exact"/>
        <w:widowControl w:val="off"/>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9.既往症：因该项目具有连续性，对2018年6月29日前已经患有尚未治愈的疾病的，为既往病史，该疾病及其并发症，按照保险业监督管理机构相关规定，不承担保险责任；但对2018年6月29日后，民警家庭医疗保险投保期间发现的相关疾病及其并发症，供应商需承诺承担赔偿责任。</w:t>
      </w:r>
      <w:r/>
    </w:p>
    <w:p>
      <w:pPr>
        <w:ind w:firstLine="480"/>
        <w:jc w:val="both"/>
        <w:keepLines w:val="0"/>
        <w:keepNext w:val="0"/>
        <w:pageBreakBefore w:val="0"/>
        <w:spacing w:beforeAutospacing="0" w:afterAutospacing="0" w:line="440" w:lineRule="exact"/>
        <w:widowControl w:val="off"/>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10.合理的医疗费用指：符合社会基本医疗保险管理规定范围内的医疗费用，在社会基本医疗保险报销后的剩余部分，按照合同约定的比例进行报销。</w:t>
      </w:r>
      <w:r/>
    </w:p>
    <w:p>
      <w:pPr>
        <w:pStyle w:val="777"/>
        <w:numPr>
          <w:ilvl w:val="0"/>
          <w:numId w:val="0"/>
        </w:numPr>
        <w:ind w:firstLine="240"/>
        <w:jc w:val="both"/>
        <w:keepLines w:val="0"/>
        <w:keepNext w:val="0"/>
        <w:pageBreakBefore w:val="0"/>
        <w:spacing w:beforeAutospacing="0" w:afterAutospacing="0"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1"/>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（一）主要保险责任</w:t>
      </w:r>
      <w:bookmarkEnd w:id="189"/>
      <w:r/>
      <w:r/>
    </w:p>
    <w:p>
      <w:pPr>
        <w:ind w:firstLine="480"/>
        <w:jc w:val="both"/>
        <w:keepLines w:val="0"/>
        <w:keepNext w:val="0"/>
        <w:pageBreakBefore w:val="0"/>
        <w:spacing w:line="4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 在职民警保险责任</w:t>
      </w:r>
      <w:r/>
    </w:p>
    <w:tbl>
      <w:tblPr>
        <w:tblStyle w:val="722"/>
        <w:tblW w:w="9567" w:type="dxa"/>
        <w:jc w:val="center"/>
        <w:tblLayout w:type="fixed"/>
        <w:tblCellMar>
          <w:left w:w="108" w:type="dxa"/>
          <w:top w:w="0" w:type="dxa"/>
          <w:right w:w="108" w:type="dxa"/>
          <w:bottom w:w="0" w:type="dxa"/>
        </w:tblCellMar>
        <w:tblLook w:val="04A0" w:firstRow="1" w:lastRow="0" w:firstColumn="1" w:lastColumn="0" w:noHBand="0" w:noVBand="1"/>
      </w:tblPr>
      <w:tblGrid>
        <w:gridCol w:w="1522"/>
        <w:gridCol w:w="1818"/>
        <w:gridCol w:w="6227"/>
      </w:tblGrid>
      <w:tr>
        <w:trPr>
          <w:jc w:val="center"/>
          <w:trHeight w:val="525"/>
        </w:trPr>
        <w:tc>
          <w:tcPr>
            <w:tcBorders>
              <w:top w:val="single" w:color="auto" w:sz="4" w:space="0"/>
              <w:left w:val="single" w:color="auto" w:sz="4" w:space="0"/>
              <w:bottom w:val="single" w:color="auto" w:sz="4" w:space="0"/>
              <w:right w:val="single" w:color="auto" w:sz="4" w:space="0"/>
            </w:tcBorders>
            <w:tcW w:w="1522"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保险责任</w:t>
            </w:r>
            <w:r/>
          </w:p>
        </w:tc>
        <w:tc>
          <w:tcPr>
            <w:tcBorders>
              <w:top w:val="single" w:color="auto" w:sz="4" w:space="0"/>
              <w:left w:val="none" w:color="000000" w:sz="4" w:space="0"/>
              <w:bottom w:val="single" w:color="auto" w:sz="4" w:space="0"/>
              <w:right w:val="single" w:color="auto" w:sz="4" w:space="0"/>
            </w:tcBorders>
            <w:tcW w:w="1818"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保险金额</w:t>
            </w:r>
            <w:r/>
          </w:p>
        </w:tc>
        <w:tc>
          <w:tcPr>
            <w:tcBorders>
              <w:top w:val="single" w:color="auto" w:sz="4" w:space="0"/>
              <w:left w:val="none" w:color="000000" w:sz="4" w:space="0"/>
              <w:bottom w:val="single" w:color="auto" w:sz="4" w:space="0"/>
              <w:right w:val="single" w:color="auto" w:sz="4" w:space="0"/>
            </w:tcBorders>
            <w:tcW w:w="6227"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保障说明</w:t>
            </w:r>
            <w:r/>
          </w:p>
        </w:tc>
      </w:tr>
      <w:tr>
        <w:trPr>
          <w:jc w:val="center"/>
          <w:trHeight w:val="435"/>
        </w:trPr>
        <w:tc>
          <w:tcPr>
            <w:tcBorders>
              <w:top w:val="none" w:color="000000" w:sz="4" w:space="0"/>
              <w:left w:val="single" w:color="auto" w:sz="4" w:space="0"/>
              <w:bottom w:val="single" w:color="auto" w:sz="4" w:space="0"/>
              <w:right w:val="single" w:color="auto" w:sz="4" w:space="0"/>
            </w:tcBorders>
            <w:tcW w:w="1522" w:type="dxa"/>
            <w:vAlign w:val="center"/>
            <w:vMerge w:val="restart"/>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意外身故</w:t>
            </w:r>
            <w:r/>
          </w:p>
        </w:tc>
        <w:tc>
          <w:tcPr>
            <w:tcBorders>
              <w:top w:val="none" w:color="000000" w:sz="4" w:space="0"/>
              <w:left w:val="none" w:color="000000" w:sz="4" w:space="0"/>
              <w:bottom w:val="single" w:color="auto" w:sz="4" w:space="0"/>
              <w:right w:val="single" w:color="auto" w:sz="4" w:space="0"/>
            </w:tcBorders>
            <w:tcW w:w="1818"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烈士40万</w:t>
            </w:r>
            <w:r/>
          </w:p>
        </w:tc>
        <w:tc>
          <w:tcPr>
            <w:tcBorders>
              <w:top w:val="none" w:color="000000" w:sz="4" w:space="0"/>
              <w:left w:val="single" w:color="auto" w:sz="4" w:space="0"/>
              <w:bottom w:val="single" w:color="auto" w:sz="4" w:space="0"/>
              <w:right w:val="single" w:color="auto" w:sz="4" w:space="0"/>
            </w:tcBorders>
            <w:tcW w:w="6227" w:type="dxa"/>
            <w:vAlign w:val="center"/>
            <w:vMerge w:val="restart"/>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因意外伤害导致身故给付保险金；意外残疾按照《工伤认定标准》执行。</w:t>
            </w:r>
            <w:r/>
          </w:p>
        </w:tc>
      </w:tr>
      <w:tr>
        <w:trPr>
          <w:jc w:val="center"/>
          <w:trHeight w:val="435"/>
        </w:trPr>
        <w:tc>
          <w:tcPr>
            <w:tcBorders>
              <w:top w:val="none" w:color="000000" w:sz="4" w:space="0"/>
              <w:left w:val="single" w:color="auto" w:sz="4" w:space="0"/>
              <w:bottom w:val="single" w:color="auto" w:sz="4" w:space="0"/>
              <w:right w:val="single" w:color="auto" w:sz="4" w:space="0"/>
            </w:tcBorders>
            <w:tcW w:w="1522" w:type="dxa"/>
            <w:vAlign w:val="center"/>
            <w:vMerge w:val="continue"/>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818"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因公30万</w:t>
            </w:r>
            <w:r/>
          </w:p>
        </w:tc>
        <w:tc>
          <w:tcPr>
            <w:tcBorders>
              <w:top w:val="none" w:color="000000" w:sz="4" w:space="0"/>
              <w:left w:val="single" w:color="auto" w:sz="4" w:space="0"/>
              <w:bottom w:val="single" w:color="auto" w:sz="4" w:space="0"/>
              <w:right w:val="single" w:color="auto" w:sz="4" w:space="0"/>
            </w:tcBorders>
            <w:tcW w:w="6227" w:type="dxa"/>
            <w:vAlign w:val="center"/>
            <w:vMerge w:val="continue"/>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r>
      <w:tr>
        <w:trPr>
          <w:jc w:val="center"/>
          <w:trHeight w:val="435"/>
        </w:trPr>
        <w:tc>
          <w:tcPr>
            <w:tcBorders>
              <w:top w:val="none" w:color="000000" w:sz="4" w:space="0"/>
              <w:left w:val="single" w:color="auto" w:sz="4" w:space="0"/>
              <w:bottom w:val="single" w:color="auto" w:sz="4" w:space="0"/>
              <w:right w:val="single" w:color="auto" w:sz="4" w:space="0"/>
            </w:tcBorders>
            <w:tcW w:w="1522" w:type="dxa"/>
            <w:vAlign w:val="center"/>
            <w:vMerge w:val="continue"/>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818"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非公15万</w:t>
            </w:r>
            <w:r/>
          </w:p>
        </w:tc>
        <w:tc>
          <w:tcPr>
            <w:tcBorders>
              <w:top w:val="none" w:color="000000" w:sz="4" w:space="0"/>
              <w:left w:val="single" w:color="auto" w:sz="4" w:space="0"/>
              <w:bottom w:val="single" w:color="auto" w:sz="4" w:space="0"/>
              <w:right w:val="single" w:color="auto" w:sz="4" w:space="0"/>
            </w:tcBorders>
            <w:tcW w:w="6227" w:type="dxa"/>
            <w:vAlign w:val="center"/>
            <w:vMerge w:val="continue"/>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r>
      <w:tr>
        <w:trPr>
          <w:jc w:val="center"/>
          <w:trHeight w:val="435"/>
        </w:trPr>
        <w:tc>
          <w:tcPr>
            <w:tcBorders>
              <w:top w:val="none" w:color="000000" w:sz="4" w:space="0"/>
              <w:left w:val="single" w:color="auto" w:sz="4" w:space="0"/>
              <w:bottom w:val="single" w:color="auto" w:sz="4" w:space="0"/>
              <w:right w:val="single" w:color="auto" w:sz="4" w:space="0"/>
            </w:tcBorders>
            <w:tcW w:w="1522" w:type="dxa"/>
            <w:vAlign w:val="center"/>
            <w:vMerge w:val="restart"/>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意外伤残</w:t>
            </w:r>
            <w:r/>
          </w:p>
        </w:tc>
        <w:tc>
          <w:tcPr>
            <w:tcBorders>
              <w:top w:val="none" w:color="000000" w:sz="4" w:space="0"/>
              <w:left w:val="none" w:color="000000" w:sz="4" w:space="0"/>
              <w:bottom w:val="single" w:color="auto" w:sz="4" w:space="0"/>
              <w:right w:val="single" w:color="auto" w:sz="4" w:space="0"/>
            </w:tcBorders>
            <w:tcW w:w="1818"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因公30万</w:t>
            </w:r>
            <w:r/>
          </w:p>
        </w:tc>
        <w:tc>
          <w:tcPr>
            <w:tcBorders>
              <w:top w:val="none" w:color="000000" w:sz="4" w:space="0"/>
              <w:left w:val="single" w:color="auto" w:sz="4" w:space="0"/>
              <w:bottom w:val="single" w:color="auto" w:sz="4" w:space="0"/>
              <w:right w:val="single" w:color="auto" w:sz="4" w:space="0"/>
            </w:tcBorders>
            <w:tcW w:w="6227" w:type="dxa"/>
            <w:vAlign w:val="center"/>
            <w:vMerge w:val="continue"/>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r>
      <w:tr>
        <w:trPr>
          <w:jc w:val="center"/>
          <w:trHeight w:val="435"/>
        </w:trPr>
        <w:tc>
          <w:tcPr>
            <w:tcBorders>
              <w:top w:val="single" w:color="auto" w:sz="4" w:space="0"/>
              <w:left w:val="single" w:color="auto" w:sz="4" w:space="0"/>
              <w:bottom w:val="single" w:color="auto" w:sz="4" w:space="0"/>
              <w:right w:val="single" w:color="auto" w:sz="4" w:space="0"/>
            </w:tcBorders>
            <w:tcW w:w="1522" w:type="dxa"/>
            <w:vAlign w:val="center"/>
            <w:vMerge w:val="continue"/>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818"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非公15万</w:t>
            </w:r>
            <w:r/>
          </w:p>
        </w:tc>
        <w:tc>
          <w:tcPr>
            <w:tcBorders>
              <w:top w:val="single" w:color="auto" w:sz="4" w:space="0"/>
              <w:left w:val="single" w:color="auto" w:sz="4" w:space="0"/>
              <w:bottom w:val="single" w:color="auto" w:sz="4" w:space="0"/>
              <w:right w:val="single" w:color="auto" w:sz="4" w:space="0"/>
            </w:tcBorders>
            <w:tcW w:w="6227" w:type="dxa"/>
            <w:vAlign w:val="center"/>
            <w:vMerge w:val="continue"/>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r>
      <w:tr>
        <w:trPr>
          <w:jc w:val="center"/>
          <w:trHeight w:val="435"/>
        </w:trPr>
        <w:tc>
          <w:tcPr>
            <w:tcBorders>
              <w:top w:val="single" w:color="auto" w:sz="4" w:space="0"/>
              <w:left w:val="single" w:color="auto" w:sz="4" w:space="0"/>
              <w:bottom w:val="single" w:color="auto" w:sz="4" w:space="0"/>
              <w:right w:val="single" w:color="auto" w:sz="4" w:space="0"/>
            </w:tcBorders>
            <w:tcW w:w="1522"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意外门诊</w:t>
            </w:r>
            <w:r/>
          </w:p>
        </w:tc>
        <w:tc>
          <w:tcPr>
            <w:tcBorders>
              <w:top w:val="single" w:color="auto" w:sz="4" w:space="0"/>
              <w:left w:val="none" w:color="000000" w:sz="4" w:space="0"/>
              <w:bottom w:val="single" w:color="auto" w:sz="4" w:space="0"/>
              <w:right w:val="single" w:color="auto" w:sz="4" w:space="0"/>
            </w:tcBorders>
            <w:tcW w:w="1818"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3万</w:t>
            </w:r>
            <w:r/>
          </w:p>
        </w:tc>
        <w:tc>
          <w:tcPr>
            <w:tcBorders>
              <w:top w:val="single" w:color="auto" w:sz="4" w:space="0"/>
              <w:left w:val="single" w:color="auto" w:sz="4" w:space="0"/>
              <w:bottom w:val="single" w:color="auto" w:sz="4" w:space="0"/>
              <w:right w:val="single" w:color="auto" w:sz="4" w:space="0"/>
            </w:tcBorders>
            <w:tcW w:w="6227" w:type="dxa"/>
            <w:vAlign w:val="top"/>
            <w:vMerge w:val="restart"/>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因意外产生的门诊和住院医疗费用，在医保范围内，免赔为0，报销比例95%。</w:t>
            </w:r>
            <w:r/>
          </w:p>
        </w:tc>
      </w:tr>
      <w:tr>
        <w:trPr>
          <w:jc w:val="center"/>
          <w:trHeight w:val="435"/>
        </w:trPr>
        <w:tc>
          <w:tcPr>
            <w:tcBorders>
              <w:top w:val="none" w:color="000000" w:sz="4" w:space="0"/>
              <w:left w:val="single" w:color="auto" w:sz="4" w:space="0"/>
              <w:bottom w:val="single" w:color="auto" w:sz="4" w:space="0"/>
              <w:right w:val="single" w:color="auto" w:sz="4" w:space="0"/>
            </w:tcBorders>
            <w:tcW w:w="1522"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意外住院</w:t>
            </w:r>
            <w:r/>
          </w:p>
        </w:tc>
        <w:tc>
          <w:tcPr>
            <w:tcBorders>
              <w:top w:val="none" w:color="000000" w:sz="4" w:space="0"/>
              <w:left w:val="none" w:color="000000" w:sz="4" w:space="0"/>
              <w:bottom w:val="single" w:color="auto" w:sz="4" w:space="0"/>
              <w:right w:val="single" w:color="auto" w:sz="4" w:space="0"/>
            </w:tcBorders>
            <w:tcW w:w="1818"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3万</w:t>
            </w:r>
            <w:r/>
          </w:p>
        </w:tc>
        <w:tc>
          <w:tcPr>
            <w:tcBorders>
              <w:top w:val="none" w:color="000000" w:sz="4" w:space="0"/>
              <w:left w:val="single" w:color="auto" w:sz="4" w:space="0"/>
              <w:bottom w:val="single" w:color="auto" w:sz="4" w:space="0"/>
              <w:right w:val="single" w:color="auto" w:sz="4" w:space="0"/>
            </w:tcBorders>
            <w:tcW w:w="6227" w:type="dxa"/>
            <w:vAlign w:val="center"/>
            <w:vMerge w:val="continue"/>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r>
      <w:tr>
        <w:trPr>
          <w:jc w:val="center"/>
          <w:trHeight w:val="600"/>
        </w:trPr>
        <w:tc>
          <w:tcPr>
            <w:tcBorders>
              <w:top w:val="none" w:color="000000" w:sz="4" w:space="0"/>
              <w:left w:val="single" w:color="auto" w:sz="4" w:space="0"/>
              <w:bottom w:val="single" w:color="auto" w:sz="4" w:space="0"/>
              <w:right w:val="single" w:color="auto" w:sz="4" w:space="0"/>
            </w:tcBorders>
            <w:tcW w:w="1522"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汽车、轨道交通、水上交通</w:t>
            </w:r>
            <w:r/>
          </w:p>
        </w:tc>
        <w:tc>
          <w:tcPr>
            <w:tcBorders>
              <w:top w:val="none" w:color="000000" w:sz="4" w:space="0"/>
              <w:left w:val="none" w:color="000000" w:sz="4" w:space="0"/>
              <w:bottom w:val="single" w:color="auto" w:sz="4" w:space="0"/>
              <w:right w:val="single" w:color="auto" w:sz="4" w:space="0"/>
            </w:tcBorders>
            <w:tcW w:w="1818"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20万</w:t>
            </w:r>
            <w:r/>
          </w:p>
        </w:tc>
        <w:tc>
          <w:tcPr>
            <w:tcBorders>
              <w:top w:val="none" w:color="000000" w:sz="4" w:space="0"/>
              <w:left w:val="single" w:color="auto" w:sz="4" w:space="0"/>
              <w:bottom w:val="single" w:color="auto" w:sz="4" w:space="0"/>
              <w:right w:val="single" w:color="auto" w:sz="4" w:space="0"/>
            </w:tcBorders>
            <w:tcW w:w="6227" w:type="dxa"/>
            <w:vAlign w:val="top"/>
            <w:vMerge w:val="restart"/>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因驾驶或搭乘指定交通工具（驾驶指驾驶非营运汽车），发生交通事故导致身故按对应的保额给付。</w:t>
            </w:r>
            <w:r/>
          </w:p>
        </w:tc>
      </w:tr>
      <w:tr>
        <w:trPr>
          <w:jc w:val="center"/>
          <w:trHeight w:val="435"/>
        </w:trPr>
        <w:tc>
          <w:tcPr>
            <w:tcBorders>
              <w:top w:val="none" w:color="000000" w:sz="4" w:space="0"/>
              <w:left w:val="single" w:color="auto" w:sz="4" w:space="0"/>
              <w:bottom w:val="single" w:color="auto" w:sz="4" w:space="0"/>
              <w:right w:val="single" w:color="auto" w:sz="4" w:space="0"/>
            </w:tcBorders>
            <w:tcW w:w="1522"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飞机</w:t>
            </w:r>
            <w:r/>
          </w:p>
        </w:tc>
        <w:tc>
          <w:tcPr>
            <w:tcBorders>
              <w:top w:val="none" w:color="000000" w:sz="4" w:space="0"/>
              <w:left w:val="none" w:color="000000" w:sz="4" w:space="0"/>
              <w:bottom w:val="single" w:color="auto" w:sz="4" w:space="0"/>
              <w:right w:val="single" w:color="auto" w:sz="4" w:space="0"/>
            </w:tcBorders>
            <w:tcW w:w="1818"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100万</w:t>
            </w:r>
            <w:r/>
          </w:p>
        </w:tc>
        <w:tc>
          <w:tcPr>
            <w:tcBorders>
              <w:top w:val="none" w:color="000000" w:sz="4" w:space="0"/>
              <w:left w:val="single" w:color="auto" w:sz="4" w:space="0"/>
              <w:bottom w:val="single" w:color="auto" w:sz="4" w:space="0"/>
              <w:right w:val="single" w:color="auto" w:sz="4" w:space="0"/>
            </w:tcBorders>
            <w:tcW w:w="6227" w:type="dxa"/>
            <w:vAlign w:val="center"/>
            <w:vMerge w:val="continue"/>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r>
      <w:tr>
        <w:trPr>
          <w:jc w:val="center"/>
          <w:trHeight w:val="705"/>
        </w:trPr>
        <w:tc>
          <w:tcPr>
            <w:tcBorders>
              <w:top w:val="none" w:color="000000" w:sz="4" w:space="0"/>
              <w:left w:val="single" w:color="auto" w:sz="4" w:space="0"/>
              <w:bottom w:val="single" w:color="auto" w:sz="4" w:space="0"/>
              <w:right w:val="single" w:color="auto" w:sz="4" w:space="0"/>
            </w:tcBorders>
            <w:tcW w:w="1522"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疾病身故</w:t>
            </w:r>
            <w:r/>
          </w:p>
        </w:tc>
        <w:tc>
          <w:tcPr>
            <w:tcBorders>
              <w:top w:val="none" w:color="000000" w:sz="4" w:space="0"/>
              <w:left w:val="none" w:color="000000" w:sz="4" w:space="0"/>
              <w:bottom w:val="single" w:color="auto" w:sz="4" w:space="0"/>
              <w:right w:val="single" w:color="auto" w:sz="4" w:space="0"/>
            </w:tcBorders>
            <w:tcW w:w="1818"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8万</w:t>
            </w:r>
            <w:r/>
          </w:p>
        </w:tc>
        <w:tc>
          <w:tcPr>
            <w:tcBorders>
              <w:top w:val="none" w:color="000000" w:sz="4" w:space="0"/>
              <w:left w:val="none" w:color="000000" w:sz="4" w:space="0"/>
              <w:bottom w:val="single" w:color="auto" w:sz="4" w:space="0"/>
              <w:right w:val="single" w:color="auto" w:sz="4" w:space="0"/>
            </w:tcBorders>
            <w:tcW w:w="6227"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首次参保人员</w:t>
            </w:r>
            <w:r>
              <w:rPr>
                <w:rFonts w:hint="eastAsia" w:ascii="宋体" w:hAnsi="宋体" w:eastAsia="宋体" w:cs="宋体"/>
                <w:b w:val="0"/>
                <w:bCs/>
                <w:color w:val="000000" w:themeColor="text1"/>
                <w:sz w:val="24"/>
                <w:szCs w:val="24"/>
                <w:highlight w:val="none"/>
                <w14:textFill>
                  <w14:solidFill>
                    <w14:schemeClr w14:val="tx1"/>
                  </w14:solidFill>
                </w14:textFill>
              </w:rPr>
              <w:t xml:space="preserve">等待期</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b w:val="0"/>
                <w:bCs/>
                <w:color w:val="000000" w:themeColor="text1"/>
                <w:sz w:val="24"/>
                <w:szCs w:val="24"/>
                <w:highlight w:val="none"/>
                <w14:textFill>
                  <w14:solidFill>
                    <w14:schemeClr w14:val="tx1"/>
                  </w14:solidFill>
                </w14:textFill>
              </w:rPr>
              <w:t xml:space="preserve">天，因疾病导致的身故，按保额赔付，不承担既往病史责任。</w:t>
            </w:r>
            <w:r/>
          </w:p>
        </w:tc>
      </w:tr>
      <w:tr>
        <w:trPr>
          <w:jc w:val="center"/>
          <w:trHeight w:val="1140"/>
        </w:trPr>
        <w:tc>
          <w:tcPr>
            <w:tcBorders>
              <w:top w:val="single" w:color="auto" w:sz="4" w:space="0"/>
              <w:left w:val="single" w:color="auto" w:sz="4" w:space="0"/>
              <w:bottom w:val="single" w:color="auto" w:sz="4" w:space="0"/>
              <w:right w:val="single" w:color="auto" w:sz="4" w:space="0"/>
            </w:tcBorders>
            <w:tcW w:w="1522"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疾病住院医疗</w:t>
            </w:r>
            <w:r/>
          </w:p>
        </w:tc>
        <w:tc>
          <w:tcPr>
            <w:tcBorders>
              <w:top w:val="single" w:color="auto" w:sz="4" w:space="0"/>
              <w:left w:val="none" w:color="000000" w:sz="4" w:space="0"/>
              <w:bottom w:val="single" w:color="auto" w:sz="4" w:space="0"/>
              <w:right w:val="single" w:color="auto" w:sz="4" w:space="0"/>
            </w:tcBorders>
            <w:tcW w:w="1818"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2万</w:t>
            </w:r>
            <w:r/>
          </w:p>
        </w:tc>
        <w:tc>
          <w:tcPr>
            <w:tcBorders>
              <w:top w:val="single" w:color="auto" w:sz="4" w:space="0"/>
              <w:left w:val="none" w:color="000000" w:sz="4" w:space="0"/>
              <w:bottom w:val="single" w:color="auto" w:sz="4" w:space="0"/>
              <w:right w:val="single" w:color="auto" w:sz="4" w:space="0"/>
            </w:tcBorders>
            <w:tcW w:w="6227"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首次参保人员</w:t>
            </w:r>
            <w:r>
              <w:rPr>
                <w:rFonts w:hint="eastAsia" w:ascii="宋体" w:hAnsi="宋体" w:eastAsia="宋体" w:cs="宋体"/>
                <w:b w:val="0"/>
                <w:bCs/>
                <w:color w:val="000000" w:themeColor="text1"/>
                <w:sz w:val="24"/>
                <w:szCs w:val="24"/>
                <w:highlight w:val="none"/>
                <w14:textFill>
                  <w14:solidFill>
                    <w14:schemeClr w14:val="tx1"/>
                  </w14:solidFill>
                </w14:textFill>
              </w:rPr>
              <w:t xml:space="preserve">等待期30天，因疾病在二级（含）以上医院住院治疗，在医保范围内，免赔为0，给付比例95%。不承担既往病史责任。</w:t>
            </w:r>
            <w:r/>
          </w:p>
        </w:tc>
      </w:tr>
      <w:tr>
        <w:trPr>
          <w:jc w:val="center"/>
          <w:trHeight w:val="1710"/>
        </w:trPr>
        <w:tc>
          <w:tcPr>
            <w:tcBorders>
              <w:top w:val="single" w:color="auto" w:sz="4" w:space="0"/>
              <w:left w:val="single" w:color="auto" w:sz="4" w:space="0"/>
              <w:bottom w:val="single" w:color="auto" w:sz="4" w:space="0"/>
              <w:right w:val="single" w:color="auto" w:sz="4" w:space="0"/>
            </w:tcBorders>
            <w:tcW w:w="1522"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重大疾病</w:t>
            </w:r>
            <w:r/>
          </w:p>
        </w:tc>
        <w:tc>
          <w:tcPr>
            <w:tcBorders>
              <w:top w:val="single" w:color="auto" w:sz="4" w:space="0"/>
              <w:left w:val="none" w:color="000000" w:sz="4" w:space="0"/>
              <w:bottom w:val="single" w:color="auto" w:sz="4" w:space="0"/>
              <w:right w:val="single" w:color="auto" w:sz="4" w:space="0"/>
            </w:tcBorders>
            <w:tcW w:w="1818"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12万</w:t>
            </w:r>
            <w:r/>
          </w:p>
        </w:tc>
        <w:tc>
          <w:tcPr>
            <w:tcBorders>
              <w:top w:val="single" w:color="auto" w:sz="4" w:space="0"/>
              <w:left w:val="none" w:color="000000" w:sz="4" w:space="0"/>
              <w:bottom w:val="single" w:color="auto" w:sz="4" w:space="0"/>
              <w:right w:val="single" w:color="auto" w:sz="4" w:space="0"/>
            </w:tcBorders>
            <w:tcW w:w="6227"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首次参保人员</w:t>
            </w:r>
            <w:r>
              <w:rPr>
                <w:rFonts w:hint="eastAsia" w:ascii="宋体" w:hAnsi="宋体" w:eastAsia="宋体" w:cs="宋体"/>
                <w:b w:val="0"/>
                <w:bCs/>
                <w:color w:val="000000" w:themeColor="text1"/>
                <w:sz w:val="24"/>
                <w:szCs w:val="24"/>
                <w:highlight w:val="none"/>
                <w14:textFill>
                  <w14:solidFill>
                    <w14:schemeClr w14:val="tx1"/>
                  </w14:solidFill>
                </w14:textFill>
              </w:rPr>
              <w:t xml:space="preserve">等待期30天，初次发生并经专科医生明确诊断患条款列明的包含癌症等50种重大疾病，一旦确诊，每人按保险金额赔付。首次确诊为甲状腺癌症的按2万元给付，其他首次确诊但不在合同约定50种重大疾病范围内，年度医疗总费用大于12万元的给付保险金2万元。</w:t>
            </w:r>
            <w:r/>
          </w:p>
        </w:tc>
      </w:tr>
      <w:tr>
        <w:trPr>
          <w:jc w:val="center"/>
          <w:trHeight w:val="1110"/>
        </w:trPr>
        <w:tc>
          <w:tcPr>
            <w:tcBorders>
              <w:top w:val="none" w:color="000000" w:sz="4" w:space="0"/>
              <w:left w:val="single" w:color="auto" w:sz="4" w:space="0"/>
              <w:bottom w:val="single" w:color="auto" w:sz="4" w:space="0"/>
              <w:right w:val="single" w:color="auto" w:sz="4" w:space="0"/>
            </w:tcBorders>
            <w:tcW w:w="1522"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疾病住院津贴</w:t>
            </w:r>
            <w:r/>
          </w:p>
        </w:tc>
        <w:tc>
          <w:tcPr>
            <w:tcBorders>
              <w:top w:val="none" w:color="000000" w:sz="4" w:space="0"/>
              <w:left w:val="none" w:color="000000" w:sz="4" w:space="0"/>
              <w:bottom w:val="single" w:color="auto" w:sz="4" w:space="0"/>
              <w:right w:val="single" w:color="auto" w:sz="4" w:space="0"/>
            </w:tcBorders>
            <w:tcW w:w="1818"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3.96万</w:t>
            </w:r>
            <w:r/>
          </w:p>
        </w:tc>
        <w:tc>
          <w:tcPr>
            <w:tcBorders>
              <w:top w:val="none" w:color="000000" w:sz="4" w:space="0"/>
              <w:left w:val="none" w:color="000000" w:sz="4" w:space="0"/>
              <w:bottom w:val="single" w:color="auto" w:sz="4" w:space="0"/>
              <w:right w:val="single" w:color="auto" w:sz="4" w:space="0"/>
            </w:tcBorders>
            <w:tcW w:w="6227"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首次参保人员</w:t>
            </w:r>
            <w:r>
              <w:rPr>
                <w:rFonts w:hint="eastAsia" w:ascii="宋体" w:hAnsi="宋体" w:eastAsia="宋体" w:cs="宋体"/>
                <w:b w:val="0"/>
                <w:bCs/>
                <w:color w:val="000000" w:themeColor="text1"/>
                <w:sz w:val="24"/>
                <w:szCs w:val="24"/>
                <w:highlight w:val="none"/>
                <w14:textFill>
                  <w14:solidFill>
                    <w14:schemeClr w14:val="tx1"/>
                  </w14:solidFill>
                </w14:textFill>
              </w:rPr>
              <w:t xml:space="preserve">等待期30天，因疾病在二级及以上医院住院治疗，按220元/天给付护理津贴，每次住院给付日数以90天为限，累计给付180天，不承担既往病史责任。</w:t>
            </w:r>
            <w:r/>
          </w:p>
        </w:tc>
      </w:tr>
      <w:tr>
        <w:trPr>
          <w:jc w:val="center"/>
          <w:trHeight w:val="1200"/>
        </w:trPr>
        <w:tc>
          <w:tcPr>
            <w:tcBorders>
              <w:top w:val="none" w:color="000000" w:sz="4" w:space="0"/>
              <w:left w:val="single" w:color="auto" w:sz="4" w:space="0"/>
              <w:bottom w:val="single" w:color="auto" w:sz="4" w:space="0"/>
              <w:right w:val="single" w:color="auto" w:sz="4" w:space="0"/>
            </w:tcBorders>
            <w:tcW w:w="1522"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重症监护津贴</w:t>
            </w:r>
            <w:r/>
          </w:p>
        </w:tc>
        <w:tc>
          <w:tcPr>
            <w:tcBorders>
              <w:top w:val="none" w:color="000000" w:sz="4" w:space="0"/>
              <w:left w:val="none" w:color="000000" w:sz="4" w:space="0"/>
              <w:bottom w:val="single" w:color="auto" w:sz="4" w:space="0"/>
              <w:right w:val="single" w:color="auto" w:sz="4" w:space="0"/>
            </w:tcBorders>
            <w:tcW w:w="1818"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12万</w:t>
            </w:r>
            <w:r/>
          </w:p>
        </w:tc>
        <w:tc>
          <w:tcPr>
            <w:tcBorders>
              <w:top w:val="none" w:color="000000" w:sz="4" w:space="0"/>
              <w:left w:val="none" w:color="000000" w:sz="4" w:space="0"/>
              <w:bottom w:val="single" w:color="auto" w:sz="4" w:space="0"/>
              <w:right w:val="single" w:color="auto" w:sz="4" w:space="0"/>
            </w:tcBorders>
            <w:tcW w:w="6227"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因意外或疾病（</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首次参保人员</w:t>
            </w:r>
            <w:r>
              <w:rPr>
                <w:rFonts w:hint="eastAsia" w:ascii="宋体" w:hAnsi="宋体" w:eastAsia="宋体" w:cs="宋体"/>
                <w:b w:val="0"/>
                <w:bCs/>
                <w:color w:val="000000" w:themeColor="text1"/>
                <w:sz w:val="24"/>
                <w:szCs w:val="24"/>
                <w:highlight w:val="none"/>
                <w14:textFill>
                  <w14:solidFill>
                    <w14:schemeClr w14:val="tx1"/>
                  </w14:solidFill>
                </w14:textFill>
              </w:rPr>
              <w:t xml:space="preserve">等待期30天）在二级及以上医院入住重症监护病房治疗，按1000元/天给付重症监津贴，累计给付120天为限。</w:t>
            </w:r>
            <w:r/>
          </w:p>
        </w:tc>
      </w:tr>
    </w:tbl>
    <w:p>
      <w:pPr>
        <w:pStyle w:val="924"/>
        <w:ind w:firstLine="0"/>
        <w:jc w:val="both"/>
        <w:keepLines w:val="0"/>
        <w:keepNext w:val="0"/>
        <w:pageBreakBefore w:val="0"/>
        <w:spacing w:line="4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 在职民警配偶及成年子女保险责任</w:t>
      </w:r>
      <w:r/>
    </w:p>
    <w:tbl>
      <w:tblPr>
        <w:tblStyle w:val="722"/>
        <w:tblW w:w="9397" w:type="dxa"/>
        <w:tblInd w:w="93" w:type="dxa"/>
        <w:tblLayout w:type="fixed"/>
        <w:tblCellMar>
          <w:left w:w="108" w:type="dxa"/>
          <w:top w:w="0" w:type="dxa"/>
          <w:right w:w="108" w:type="dxa"/>
          <w:bottom w:w="0" w:type="dxa"/>
        </w:tblCellMar>
        <w:tblLook w:val="04A0" w:firstRow="1" w:lastRow="0" w:firstColumn="1" w:lastColumn="0" w:noHBand="0" w:noVBand="1"/>
      </w:tblPr>
      <w:tblGrid>
        <w:gridCol w:w="1880"/>
        <w:gridCol w:w="1460"/>
        <w:gridCol w:w="6057"/>
      </w:tblGrid>
      <w:tr>
        <w:trPr>
          <w:trHeight w:val="579"/>
        </w:trPr>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保险责任</w:t>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保险金额</w:t>
            </w:r>
            <w:r/>
          </w:p>
        </w:tc>
        <w:tc>
          <w:tcPr>
            <w:tcBorders>
              <w:top w:val="single" w:color="auto" w:sz="4" w:space="0"/>
              <w:left w:val="single" w:color="auto" w:sz="4" w:space="0"/>
              <w:bottom w:val="single" w:color="auto" w:sz="4" w:space="0"/>
              <w:right w:val="single" w:color="auto" w:sz="4" w:space="0"/>
            </w:tcBorders>
            <w:tcW w:w="6057"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保障说明</w:t>
            </w:r>
            <w:r/>
          </w:p>
        </w:tc>
      </w:tr>
      <w:tr>
        <w:trPr>
          <w:trHeight w:val="390"/>
        </w:trPr>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意外身故</w:t>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20万</w:t>
            </w:r>
            <w:r/>
          </w:p>
        </w:tc>
        <w:tc>
          <w:tcPr>
            <w:tcBorders>
              <w:top w:val="single" w:color="auto" w:sz="4" w:space="0"/>
              <w:left w:val="single" w:color="auto" w:sz="4" w:space="0"/>
              <w:bottom w:val="single" w:color="auto" w:sz="4" w:space="0"/>
              <w:right w:val="single" w:color="auto" w:sz="4" w:space="0"/>
            </w:tcBorders>
            <w:tcW w:w="6057" w:type="dxa"/>
            <w:vAlign w:val="center"/>
            <w:vMerge w:val="restart"/>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因意外伤害导致身故给付保险金；意外残疾按照《人身保险伤残评定标准（行业标准）》的规定进行赔付。</w:t>
            </w:r>
            <w:r/>
          </w:p>
        </w:tc>
      </w:tr>
      <w:tr>
        <w:trPr>
          <w:trHeight w:val="390"/>
        </w:trPr>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意外伤残</w:t>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20万</w:t>
            </w:r>
            <w:r/>
          </w:p>
        </w:tc>
        <w:tc>
          <w:tcPr>
            <w:tcBorders>
              <w:top w:val="single" w:color="auto" w:sz="4" w:space="0"/>
              <w:left w:val="single" w:color="auto" w:sz="4" w:space="0"/>
              <w:bottom w:val="single" w:color="auto" w:sz="4" w:space="0"/>
              <w:right w:val="single" w:color="auto" w:sz="4" w:space="0"/>
            </w:tcBorders>
            <w:tcW w:w="6057" w:type="dxa"/>
            <w:vAlign w:val="center"/>
            <w:vMerge w:val="continue"/>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r>
      <w:tr>
        <w:trPr>
          <w:trHeight w:val="390"/>
        </w:trPr>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意外门诊</w:t>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2万</w:t>
            </w:r>
            <w:r/>
          </w:p>
        </w:tc>
        <w:tc>
          <w:tcPr>
            <w:tcBorders>
              <w:top w:val="single" w:color="auto" w:sz="4" w:space="0"/>
              <w:left w:val="single" w:color="auto" w:sz="4" w:space="0"/>
              <w:bottom w:val="single" w:color="auto" w:sz="4" w:space="0"/>
              <w:right w:val="single" w:color="auto" w:sz="4" w:space="0"/>
            </w:tcBorders>
            <w:tcW w:w="6057" w:type="dxa"/>
            <w:vAlign w:val="center"/>
            <w:vMerge w:val="restart"/>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因意外产生的门诊和住院医疗费用，在医保范围内，免赔为0，报销比例95%。</w:t>
            </w:r>
            <w:r/>
          </w:p>
        </w:tc>
      </w:tr>
      <w:tr>
        <w:trPr>
          <w:trHeight w:val="390"/>
        </w:trPr>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意外住院</w:t>
            </w:r>
            <w:r/>
          </w:p>
        </w:tc>
        <w:tc>
          <w:tcPr>
            <w:tcBorders>
              <w:top w:val="single" w:color="auto" w:sz="4" w:space="0"/>
              <w:left w:val="none" w:color="000000" w:sz="4" w:space="0"/>
              <w:bottom w:val="single" w:color="auto" w:sz="4" w:space="0"/>
              <w:right w:val="single" w:color="auto" w:sz="4" w:space="0"/>
            </w:tcBorders>
            <w:tcW w:w="146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2万</w:t>
            </w:r>
            <w:r/>
          </w:p>
        </w:tc>
        <w:tc>
          <w:tcPr>
            <w:tcBorders>
              <w:top w:val="single" w:color="auto" w:sz="4" w:space="0"/>
              <w:left w:val="single" w:color="auto" w:sz="4" w:space="0"/>
              <w:bottom w:val="single" w:color="auto" w:sz="4" w:space="0"/>
              <w:right w:val="single" w:color="auto" w:sz="4" w:space="0"/>
            </w:tcBorders>
            <w:tcW w:w="6057" w:type="dxa"/>
            <w:vAlign w:val="center"/>
            <w:vMerge w:val="continue"/>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r>
      <w:tr>
        <w:trPr>
          <w:trHeight w:val="390"/>
        </w:trPr>
        <w:tc>
          <w:tcPr>
            <w:tcBorders>
              <w:top w:val="none" w:color="000000" w:sz="4" w:space="0"/>
              <w:left w:val="single" w:color="auto" w:sz="4" w:space="0"/>
              <w:bottom w:val="single" w:color="auto" w:sz="4" w:space="0"/>
              <w:right w:val="single" w:color="auto" w:sz="4" w:space="0"/>
            </w:tcBorders>
            <w:tcW w:w="188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汽车、轨道交通、水上交通</w:t>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20万</w:t>
            </w:r>
            <w:r/>
          </w:p>
        </w:tc>
        <w:tc>
          <w:tcPr>
            <w:tcBorders>
              <w:top w:val="none" w:color="000000" w:sz="4" w:space="0"/>
              <w:left w:val="single" w:color="auto" w:sz="4" w:space="0"/>
              <w:bottom w:val="single" w:color="auto" w:sz="4" w:space="0"/>
              <w:right w:val="single" w:color="auto" w:sz="4" w:space="0"/>
            </w:tcBorders>
            <w:tcW w:w="6057" w:type="dxa"/>
            <w:vAlign w:val="center"/>
            <w:vMerge w:val="restart"/>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因驾驶或搭乘指定交通工具（驾驶指驾驶非营运汽车），发生交通事故导致身故按对应的保额给付。</w:t>
            </w:r>
            <w:r/>
          </w:p>
        </w:tc>
      </w:tr>
      <w:tr>
        <w:trPr>
          <w:trHeight w:val="390"/>
        </w:trPr>
        <w:tc>
          <w:tcPr>
            <w:tcBorders>
              <w:top w:val="none" w:color="000000" w:sz="4" w:space="0"/>
              <w:left w:val="single" w:color="auto" w:sz="4" w:space="0"/>
              <w:bottom w:val="single" w:color="auto" w:sz="4" w:space="0"/>
              <w:right w:val="single" w:color="auto" w:sz="4" w:space="0"/>
            </w:tcBorders>
            <w:tcW w:w="188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飞机</w:t>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100万</w:t>
            </w:r>
            <w:r/>
          </w:p>
        </w:tc>
        <w:tc>
          <w:tcPr>
            <w:tcBorders>
              <w:top w:val="none" w:color="000000" w:sz="4" w:space="0"/>
              <w:left w:val="single" w:color="auto" w:sz="4" w:space="0"/>
              <w:bottom w:val="single" w:color="auto" w:sz="4" w:space="0"/>
              <w:right w:val="single" w:color="auto" w:sz="4" w:space="0"/>
            </w:tcBorders>
            <w:tcW w:w="6057" w:type="dxa"/>
            <w:vAlign w:val="center"/>
            <w:vMerge w:val="continue"/>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r>
      <w:tr>
        <w:trPr>
          <w:trHeight w:val="630"/>
        </w:trPr>
        <w:tc>
          <w:tcPr>
            <w:tcBorders>
              <w:top w:val="none" w:color="000000" w:sz="4" w:space="0"/>
              <w:left w:val="single" w:color="auto" w:sz="4" w:space="0"/>
              <w:bottom w:val="single" w:color="auto" w:sz="4" w:space="0"/>
              <w:right w:val="single" w:color="auto" w:sz="4" w:space="0"/>
            </w:tcBorders>
            <w:tcW w:w="188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疾病身故</w:t>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5万</w:t>
            </w:r>
            <w:r/>
          </w:p>
        </w:tc>
        <w:tc>
          <w:tcPr>
            <w:tcBorders>
              <w:top w:val="none" w:color="000000" w:sz="4" w:space="0"/>
              <w:left w:val="none" w:color="000000" w:sz="4" w:space="0"/>
              <w:bottom w:val="single" w:color="auto" w:sz="4" w:space="0"/>
              <w:right w:val="single" w:color="auto" w:sz="4" w:space="0"/>
            </w:tcBorders>
            <w:tcW w:w="6057"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首次参保人员</w:t>
            </w:r>
            <w:r>
              <w:rPr>
                <w:rFonts w:hint="eastAsia" w:ascii="宋体" w:hAnsi="宋体" w:eastAsia="宋体" w:cs="宋体"/>
                <w:b w:val="0"/>
                <w:bCs/>
                <w:color w:val="000000" w:themeColor="text1"/>
                <w:sz w:val="24"/>
                <w:szCs w:val="24"/>
                <w:highlight w:val="none"/>
                <w14:textFill>
                  <w14:solidFill>
                    <w14:schemeClr w14:val="tx1"/>
                  </w14:solidFill>
                </w14:textFill>
              </w:rPr>
              <w:t xml:space="preserve">等待期30天，因疾病导致的身故，按保额赔付，不承担既往病史责任。</w:t>
            </w:r>
            <w:r/>
          </w:p>
        </w:tc>
      </w:tr>
      <w:tr>
        <w:trPr>
          <w:trHeight w:val="945"/>
        </w:trPr>
        <w:tc>
          <w:tcPr>
            <w:tcBorders>
              <w:top w:val="none" w:color="000000" w:sz="4" w:space="0"/>
              <w:left w:val="single" w:color="auto" w:sz="4" w:space="0"/>
              <w:bottom w:val="single" w:color="auto" w:sz="4" w:space="0"/>
              <w:right w:val="single" w:color="auto" w:sz="4" w:space="0"/>
            </w:tcBorders>
            <w:tcW w:w="188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疾病住院医疗</w:t>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2万</w:t>
            </w:r>
            <w:r/>
          </w:p>
        </w:tc>
        <w:tc>
          <w:tcPr>
            <w:tcBorders>
              <w:top w:val="none" w:color="000000" w:sz="4" w:space="0"/>
              <w:left w:val="none" w:color="000000" w:sz="4" w:space="0"/>
              <w:bottom w:val="single" w:color="auto" w:sz="4" w:space="0"/>
              <w:right w:val="single" w:color="auto" w:sz="4" w:space="0"/>
            </w:tcBorders>
            <w:tcW w:w="6057"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首次参保人员</w:t>
            </w:r>
            <w:r>
              <w:rPr>
                <w:rFonts w:hint="eastAsia" w:ascii="宋体" w:hAnsi="宋体" w:eastAsia="宋体" w:cs="宋体"/>
                <w:b w:val="0"/>
                <w:bCs/>
                <w:color w:val="000000" w:themeColor="text1"/>
                <w:sz w:val="24"/>
                <w:szCs w:val="24"/>
                <w:highlight w:val="none"/>
                <w14:textFill>
                  <w14:solidFill>
                    <w14:schemeClr w14:val="tx1"/>
                  </w14:solidFill>
                </w14:textFill>
              </w:rPr>
              <w:t xml:space="preserve">等待期30天，因疾病在二级（含）以上医院住院治疗，在医保范围内，免赔为0，给付比例95%，不承担既往病史责任。</w:t>
            </w:r>
            <w:r/>
          </w:p>
        </w:tc>
      </w:tr>
      <w:tr>
        <w:trPr>
          <w:trHeight w:val="1260"/>
        </w:trPr>
        <w:tc>
          <w:tcPr>
            <w:tcBorders>
              <w:top w:val="none" w:color="000000" w:sz="4" w:space="0"/>
              <w:left w:val="single" w:color="auto" w:sz="4" w:space="0"/>
              <w:bottom w:val="single" w:color="auto" w:sz="4" w:space="0"/>
              <w:right w:val="single" w:color="auto" w:sz="4" w:space="0"/>
            </w:tcBorders>
            <w:tcW w:w="188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疾病住院津贴</w:t>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3.96万</w:t>
            </w:r>
            <w:r/>
          </w:p>
        </w:tc>
        <w:tc>
          <w:tcPr>
            <w:tcBorders>
              <w:top w:val="none" w:color="000000" w:sz="4" w:space="0"/>
              <w:left w:val="none" w:color="000000" w:sz="4" w:space="0"/>
              <w:bottom w:val="single" w:color="auto" w:sz="4" w:space="0"/>
              <w:right w:val="single" w:color="auto" w:sz="4" w:space="0"/>
            </w:tcBorders>
            <w:tcW w:w="6057"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首次参保人员</w:t>
            </w:r>
            <w:r>
              <w:rPr>
                <w:rFonts w:hint="eastAsia" w:ascii="宋体" w:hAnsi="宋体" w:eastAsia="宋体" w:cs="宋体"/>
                <w:b w:val="0"/>
                <w:bCs/>
                <w:color w:val="000000" w:themeColor="text1"/>
                <w:sz w:val="24"/>
                <w:szCs w:val="24"/>
                <w:highlight w:val="none"/>
                <w14:textFill>
                  <w14:solidFill>
                    <w14:schemeClr w14:val="tx1"/>
                  </w14:solidFill>
                </w14:textFill>
              </w:rPr>
              <w:t xml:space="preserve">等待期30天，因疾病在二级及以上医院住院治疗，按220元/天给付护理津贴，每次住院给付日数以90天为限，累计给付180天，不承担既往病史责任。</w:t>
            </w:r>
            <w:r/>
          </w:p>
        </w:tc>
      </w:tr>
      <w:tr>
        <w:trPr>
          <w:trHeight w:val="1890"/>
        </w:trPr>
        <w:tc>
          <w:tcPr>
            <w:tcBorders>
              <w:top w:val="none" w:color="000000" w:sz="4" w:space="0"/>
              <w:left w:val="single" w:color="auto" w:sz="4" w:space="0"/>
              <w:bottom w:val="single" w:color="auto" w:sz="4" w:space="0"/>
              <w:right w:val="single" w:color="auto" w:sz="4" w:space="0"/>
            </w:tcBorders>
            <w:tcW w:w="188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重大疾病</w:t>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12万</w:t>
            </w:r>
            <w:r/>
          </w:p>
        </w:tc>
        <w:tc>
          <w:tcPr>
            <w:tcBorders>
              <w:top w:val="none" w:color="000000" w:sz="4" w:space="0"/>
              <w:left w:val="none" w:color="000000" w:sz="4" w:space="0"/>
              <w:bottom w:val="single" w:color="auto" w:sz="4" w:space="0"/>
              <w:right w:val="single" w:color="auto" w:sz="4" w:space="0"/>
            </w:tcBorders>
            <w:tcW w:w="6057"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首次参保人员</w:t>
            </w:r>
            <w:r>
              <w:rPr>
                <w:rFonts w:hint="eastAsia" w:ascii="宋体" w:hAnsi="宋体" w:eastAsia="宋体" w:cs="宋体"/>
                <w:b w:val="0"/>
                <w:bCs/>
                <w:color w:val="000000" w:themeColor="text1"/>
                <w:sz w:val="24"/>
                <w:szCs w:val="24"/>
                <w:highlight w:val="none"/>
                <w14:textFill>
                  <w14:solidFill>
                    <w14:schemeClr w14:val="tx1"/>
                  </w14:solidFill>
                </w14:textFill>
              </w:rPr>
              <w:t xml:space="preserve">等待期30天，初次发生并经专科医生明确诊断患条款列明的包含癌症等50种重大疾病，一旦确诊，每人按保险金额赔付。首次确诊为甲状腺癌症的按2万元给付，其他首次确诊但不在合同约定50种重大疾病范围内，年度医疗总费用大于12万元的给付保险金2万元。</w:t>
            </w:r>
            <w:r/>
          </w:p>
        </w:tc>
      </w:tr>
    </w:tbl>
    <w:p>
      <w:pPr>
        <w:ind w:firstLine="480"/>
        <w:jc w:val="both"/>
        <w:keepLines w:val="0"/>
        <w:keepNext w:val="0"/>
        <w:pageBreakBefore w:val="0"/>
        <w:spacing w:line="4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 在职民警未成年子女保险责任</w:t>
      </w:r>
      <w:r/>
    </w:p>
    <w:tbl>
      <w:tblPr>
        <w:tblStyle w:val="722"/>
        <w:tblW w:w="9382" w:type="dxa"/>
        <w:tblInd w:w="93" w:type="dxa"/>
        <w:tblLayout w:type="fixed"/>
        <w:tblCellMar>
          <w:left w:w="108" w:type="dxa"/>
          <w:top w:w="0" w:type="dxa"/>
          <w:right w:w="108" w:type="dxa"/>
          <w:bottom w:w="0" w:type="dxa"/>
        </w:tblCellMar>
        <w:tblLook w:val="04A0" w:firstRow="1" w:lastRow="0" w:firstColumn="1" w:lastColumn="0" w:noHBand="0" w:noVBand="1"/>
      </w:tblPr>
      <w:tblGrid>
        <w:gridCol w:w="1880"/>
        <w:gridCol w:w="1460"/>
        <w:gridCol w:w="6042"/>
      </w:tblGrid>
      <w:tr>
        <w:trPr>
          <w:trHeight w:val="600"/>
        </w:trPr>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保险责任</w:t>
            </w:r>
            <w:r/>
          </w:p>
        </w:tc>
        <w:tc>
          <w:tcPr>
            <w:tcBorders>
              <w:top w:val="single" w:color="auto" w:sz="4" w:space="0"/>
              <w:left w:val="none" w:color="000000" w:sz="4" w:space="0"/>
              <w:bottom w:val="single" w:color="auto" w:sz="4" w:space="0"/>
              <w:right w:val="single" w:color="auto" w:sz="4" w:space="0"/>
            </w:tcBorders>
            <w:tcW w:w="146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保险金额</w:t>
            </w:r>
            <w:r/>
          </w:p>
        </w:tc>
        <w:tc>
          <w:tcPr>
            <w:tcBorders>
              <w:top w:val="single" w:color="auto" w:sz="4" w:space="0"/>
              <w:left w:val="none" w:color="000000" w:sz="4" w:space="0"/>
              <w:bottom w:val="single" w:color="auto" w:sz="4" w:space="0"/>
              <w:right w:val="single" w:color="auto" w:sz="4" w:space="0"/>
            </w:tcBorders>
            <w:tcW w:w="6042"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保障说明</w:t>
            </w:r>
            <w:r/>
          </w:p>
        </w:tc>
      </w:tr>
      <w:tr>
        <w:trPr>
          <w:trHeight w:val="585"/>
        </w:trPr>
        <w:tc>
          <w:tcPr>
            <w:tcBorders>
              <w:top w:val="none" w:color="000000" w:sz="4" w:space="0"/>
              <w:left w:val="single" w:color="auto" w:sz="4" w:space="0"/>
              <w:bottom w:val="single" w:color="auto" w:sz="4" w:space="0"/>
              <w:right w:val="single" w:color="auto" w:sz="4" w:space="0"/>
            </w:tcBorders>
            <w:tcW w:w="188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意外身故</w:t>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20万</w:t>
            </w:r>
            <w:r/>
          </w:p>
        </w:tc>
        <w:tc>
          <w:tcPr>
            <w:tcBorders>
              <w:top w:val="none" w:color="000000" w:sz="4" w:space="0"/>
              <w:left w:val="single" w:color="auto" w:sz="4" w:space="0"/>
              <w:bottom w:val="single" w:color="auto" w:sz="4" w:space="0"/>
              <w:right w:val="single" w:color="auto" w:sz="4" w:space="0"/>
            </w:tcBorders>
            <w:tcW w:w="6042" w:type="dxa"/>
            <w:vAlign w:val="center"/>
            <w:vMerge w:val="restart"/>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因意外伤害导致身故给付保险金；意外残疾按照《人身保险伤残评定标准（行业标准）》的规定进行赔付。</w:t>
            </w:r>
            <w:r/>
          </w:p>
        </w:tc>
      </w:tr>
      <w:tr>
        <w:trPr>
          <w:trHeight w:val="585"/>
        </w:trPr>
        <w:tc>
          <w:tcPr>
            <w:tcBorders>
              <w:top w:val="none" w:color="000000" w:sz="4" w:space="0"/>
              <w:left w:val="single" w:color="auto" w:sz="4" w:space="0"/>
              <w:bottom w:val="single" w:color="auto" w:sz="4" w:space="0"/>
              <w:right w:val="single" w:color="auto" w:sz="4" w:space="0"/>
            </w:tcBorders>
            <w:tcW w:w="188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意外伤残</w:t>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20万</w:t>
            </w:r>
            <w:r/>
          </w:p>
        </w:tc>
        <w:tc>
          <w:tcPr>
            <w:tcBorders>
              <w:top w:val="none" w:color="000000" w:sz="4" w:space="0"/>
              <w:left w:val="single" w:color="auto" w:sz="4" w:space="0"/>
              <w:bottom w:val="single" w:color="auto" w:sz="4" w:space="0"/>
              <w:right w:val="single" w:color="auto" w:sz="4" w:space="0"/>
            </w:tcBorders>
            <w:tcW w:w="6042" w:type="dxa"/>
            <w:vAlign w:val="center"/>
            <w:vMerge w:val="continue"/>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r>
      <w:tr>
        <w:trPr>
          <w:trHeight w:val="630"/>
        </w:trPr>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意外医疗（含门急诊和住院）</w:t>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2万</w:t>
            </w:r>
            <w:r/>
          </w:p>
        </w:tc>
        <w:tc>
          <w:tcPr>
            <w:tcBorders>
              <w:top w:val="single" w:color="auto" w:sz="4" w:space="0"/>
              <w:left w:val="single" w:color="auto" w:sz="4" w:space="0"/>
              <w:bottom w:val="single" w:color="auto" w:sz="4" w:space="0"/>
              <w:right w:val="single" w:color="auto" w:sz="4" w:space="0"/>
            </w:tcBorders>
            <w:tcW w:w="6042"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因意外产生的医疗费用，在医保范围内，免赔为0，报销比例80%。（动物咬伤定额300元）</w:t>
            </w:r>
            <w:r/>
          </w:p>
        </w:tc>
      </w:tr>
      <w:tr>
        <w:trPr>
          <w:trHeight w:val="630"/>
        </w:trPr>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疾病身故</w:t>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5万</w:t>
            </w:r>
            <w:r/>
          </w:p>
        </w:tc>
        <w:tc>
          <w:tcPr>
            <w:tcBorders>
              <w:top w:val="single" w:color="auto" w:sz="4" w:space="0"/>
              <w:left w:val="single" w:color="auto" w:sz="4" w:space="0"/>
              <w:bottom w:val="single" w:color="auto" w:sz="4" w:space="0"/>
              <w:right w:val="single" w:color="auto" w:sz="4" w:space="0"/>
            </w:tcBorders>
            <w:tcW w:w="6042"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首次参保人员</w:t>
            </w:r>
            <w:r>
              <w:rPr>
                <w:rFonts w:hint="eastAsia" w:ascii="宋体" w:hAnsi="宋体" w:eastAsia="宋体" w:cs="宋体"/>
                <w:b w:val="0"/>
                <w:bCs/>
                <w:color w:val="000000" w:themeColor="text1"/>
                <w:sz w:val="24"/>
                <w:szCs w:val="24"/>
                <w:highlight w:val="none"/>
                <w14:textFill>
                  <w14:solidFill>
                    <w14:schemeClr w14:val="tx1"/>
                  </w14:solidFill>
                </w14:textFill>
              </w:rPr>
              <w:t xml:space="preserve">等待期30天，因疾病导致的身故，按保额赔付，不承担既往病史责任。</w:t>
            </w:r>
            <w:r/>
          </w:p>
        </w:tc>
      </w:tr>
      <w:tr>
        <w:trPr>
          <w:trHeight w:val="1260"/>
        </w:trPr>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疾病住院医疗</w:t>
            </w:r>
            <w:r/>
          </w:p>
        </w:tc>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15万</w:t>
            </w:r>
            <w:r/>
          </w:p>
        </w:tc>
        <w:tc>
          <w:tcPr>
            <w:tcBorders>
              <w:top w:val="single" w:color="auto" w:sz="4" w:space="0"/>
              <w:left w:val="single" w:color="auto" w:sz="4" w:space="0"/>
              <w:bottom w:val="single" w:color="auto" w:sz="4" w:space="0"/>
              <w:right w:val="single" w:color="auto" w:sz="4" w:space="0"/>
            </w:tcBorders>
            <w:tcW w:w="6042"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首次参保人员</w:t>
            </w:r>
            <w:r>
              <w:rPr>
                <w:rFonts w:hint="eastAsia" w:ascii="宋体" w:hAnsi="宋体" w:eastAsia="宋体" w:cs="宋体"/>
                <w:b w:val="0"/>
                <w:bCs/>
                <w:color w:val="000000" w:themeColor="text1"/>
                <w:sz w:val="24"/>
                <w:szCs w:val="24"/>
                <w:highlight w:val="none"/>
                <w14:textFill>
                  <w14:solidFill>
                    <w14:schemeClr w14:val="tx1"/>
                  </w14:solidFill>
                </w14:textFill>
              </w:rPr>
              <w:t xml:space="preserve">等待期30天，因疾病在二级（含）以上医院住院治疗，在医保范围内，有医保，免赔额为0，赔付比例80%；无医保，免赔额100元，赔付比例80%。不承担既往病史责任。</w:t>
            </w:r>
            <w:r/>
          </w:p>
        </w:tc>
      </w:tr>
      <w:tr>
        <w:trPr>
          <w:trHeight w:val="1260"/>
        </w:trPr>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疾病住院津贴</w:t>
            </w:r>
            <w:r/>
          </w:p>
        </w:tc>
        <w:tc>
          <w:tcPr>
            <w:tcBorders>
              <w:top w:val="single" w:color="auto" w:sz="4" w:space="0"/>
              <w:left w:val="none" w:color="000000" w:sz="4" w:space="0"/>
              <w:bottom w:val="single" w:color="auto" w:sz="4" w:space="0"/>
              <w:right w:val="single" w:color="auto" w:sz="4" w:space="0"/>
            </w:tcBorders>
            <w:tcW w:w="146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3.96万</w:t>
            </w:r>
            <w:r/>
          </w:p>
        </w:tc>
        <w:tc>
          <w:tcPr>
            <w:tcBorders>
              <w:top w:val="single" w:color="auto" w:sz="4" w:space="0"/>
              <w:left w:val="none" w:color="000000" w:sz="4" w:space="0"/>
              <w:bottom w:val="single" w:color="auto" w:sz="4" w:space="0"/>
              <w:right w:val="single" w:color="auto" w:sz="4" w:space="0"/>
            </w:tcBorders>
            <w:tcW w:w="6042"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首次参保人员</w:t>
            </w:r>
            <w:r>
              <w:rPr>
                <w:rFonts w:hint="eastAsia" w:ascii="宋体" w:hAnsi="宋体" w:eastAsia="宋体" w:cs="宋体"/>
                <w:b w:val="0"/>
                <w:bCs/>
                <w:color w:val="000000" w:themeColor="text1"/>
                <w:sz w:val="24"/>
                <w:szCs w:val="24"/>
                <w:highlight w:val="none"/>
                <w14:textFill>
                  <w14:solidFill>
                    <w14:schemeClr w14:val="tx1"/>
                  </w14:solidFill>
                </w14:textFill>
              </w:rPr>
              <w:t xml:space="preserve">等待期30天，因疾病在二级（含）以上医院住院治疗，按220元/天给付护理津贴，每次住院给付日数以90天为限，累计给付180天，不承担既往病史责任。</w:t>
            </w:r>
            <w:r/>
          </w:p>
        </w:tc>
      </w:tr>
      <w:tr>
        <w:trPr>
          <w:trHeight w:val="910"/>
        </w:trPr>
        <w:tc>
          <w:tcPr>
            <w:tcBorders>
              <w:top w:val="none" w:color="000000" w:sz="4" w:space="0"/>
              <w:left w:val="single" w:color="auto" w:sz="4" w:space="0"/>
              <w:bottom w:val="single" w:color="auto" w:sz="4" w:space="0"/>
              <w:right w:val="single" w:color="auto" w:sz="4" w:space="0"/>
            </w:tcBorders>
            <w:tcW w:w="188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重大疾病</w:t>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12万</w:t>
            </w:r>
            <w:r/>
          </w:p>
        </w:tc>
        <w:tc>
          <w:tcPr>
            <w:tcBorders>
              <w:top w:val="none" w:color="000000" w:sz="4" w:space="0"/>
              <w:left w:val="none" w:color="000000" w:sz="4" w:space="0"/>
              <w:bottom w:val="single" w:color="auto" w:sz="4" w:space="0"/>
              <w:right w:val="single" w:color="auto" w:sz="4" w:space="0"/>
            </w:tcBorders>
            <w:tcW w:w="6042" w:type="dxa"/>
            <w:vAlign w:val="top"/>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首次参保人员</w:t>
            </w:r>
            <w:r>
              <w:rPr>
                <w:rFonts w:hint="eastAsia" w:ascii="宋体" w:hAnsi="宋体" w:eastAsia="宋体" w:cs="宋体"/>
                <w:b w:val="0"/>
                <w:bCs/>
                <w:color w:val="000000" w:themeColor="text1"/>
                <w:sz w:val="24"/>
                <w:szCs w:val="24"/>
                <w:highlight w:val="none"/>
                <w14:textFill>
                  <w14:solidFill>
                    <w14:schemeClr w14:val="tx1"/>
                  </w14:solidFill>
                </w14:textFill>
              </w:rPr>
              <w:t xml:space="preserve">等待期30天，初次发生并经专科医生明确诊断患条款列明的包含癌症等15种重大疾病，一旦确诊，每人按保险金额赔付。</w:t>
            </w:r>
            <w:r/>
          </w:p>
        </w:tc>
      </w:tr>
    </w:tbl>
    <w:p>
      <w:pPr>
        <w:ind w:firstLine="480"/>
        <w:jc w:val="both"/>
        <w:keepLines w:val="0"/>
        <w:keepNext w:val="0"/>
        <w:pageBreakBefore w:val="0"/>
        <w:spacing w:line="4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 离退休民警保险责任</w:t>
      </w:r>
      <w:r/>
    </w:p>
    <w:p>
      <w:pPr>
        <w:ind w:firstLine="640"/>
        <w:keepLines w:val="0"/>
        <w:keepNext w:val="0"/>
        <w:pageBreakBefore w:val="0"/>
        <w:spacing w:line="4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男性保险对象年满62周岁（含），女性保险对象年满60周岁（含），按照以下方案投保（已退休但男性尚未年满62周岁，女性尚未年满60周岁的，参照在职民警家庭投保）</w:t>
      </w:r>
      <w:r/>
    </w:p>
    <w:tbl>
      <w:tblPr>
        <w:tblStyle w:val="722"/>
        <w:tblW w:w="9411" w:type="dxa"/>
        <w:tblInd w:w="94" w:type="dxa"/>
        <w:tblLayout w:type="fixed"/>
        <w:tblCellMar>
          <w:left w:w="108" w:type="dxa"/>
          <w:top w:w="0" w:type="dxa"/>
          <w:right w:w="108" w:type="dxa"/>
          <w:bottom w:w="0" w:type="dxa"/>
        </w:tblCellMar>
        <w:tblLook w:val="04A0" w:firstRow="1" w:lastRow="0" w:firstColumn="1" w:lastColumn="0" w:noHBand="0" w:noVBand="1"/>
      </w:tblPr>
      <w:tblGrid>
        <w:gridCol w:w="1720"/>
        <w:gridCol w:w="1555"/>
        <w:gridCol w:w="1559"/>
        <w:gridCol w:w="4577"/>
      </w:tblGrid>
      <w:tr>
        <w:trPr>
          <w:trHeight w:val="315"/>
        </w:trPr>
        <w:tc>
          <w:tcPr>
            <w:tcBorders>
              <w:top w:val="single" w:color="auto" w:sz="4" w:space="0"/>
              <w:left w:val="single" w:color="auto" w:sz="4" w:space="0"/>
              <w:bottom w:val="single" w:color="auto" w:sz="4" w:space="0"/>
              <w:right w:val="single" w:color="auto" w:sz="4" w:space="0"/>
            </w:tcBorders>
            <w:tcW w:w="1720" w:type="dxa"/>
            <w:vAlign w:val="center"/>
            <w:vMerge w:val="restart"/>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保险责任</w:t>
            </w:r>
            <w:r/>
          </w:p>
        </w:tc>
        <w:tc>
          <w:tcPr>
            <w:gridSpan w:val="2"/>
            <w:tcBorders>
              <w:top w:val="single" w:color="auto" w:sz="4" w:space="0"/>
              <w:left w:val="none" w:color="000000" w:sz="4" w:space="0"/>
              <w:bottom w:val="single" w:color="auto" w:sz="4" w:space="0"/>
              <w:right w:val="single" w:color="auto" w:sz="4" w:space="0"/>
            </w:tcBorders>
            <w:tcW w:w="3114"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保险金额（元）</w:t>
            </w:r>
            <w:r/>
          </w:p>
        </w:tc>
        <w:tc>
          <w:tcPr>
            <w:tcBorders>
              <w:top w:val="single" w:color="auto" w:sz="4" w:space="0"/>
              <w:left w:val="single" w:color="auto" w:sz="4" w:space="0"/>
              <w:bottom w:val="single" w:color="auto" w:sz="4" w:space="0"/>
              <w:right w:val="single" w:color="auto" w:sz="4" w:space="0"/>
            </w:tcBorders>
            <w:tcW w:w="4577" w:type="dxa"/>
            <w:vAlign w:val="center"/>
            <w:vMerge w:val="restart"/>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保障说明</w:t>
            </w:r>
            <w:r/>
          </w:p>
        </w:tc>
      </w:tr>
      <w:tr>
        <w:trPr>
          <w:trHeight w:val="435"/>
        </w:trPr>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555"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60—75周岁</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75周岁以上</w:t>
            </w:r>
            <w:r/>
          </w:p>
        </w:tc>
        <w:tc>
          <w:tcPr>
            <w:tcBorders>
              <w:top w:val="single" w:color="auto" w:sz="4" w:space="0"/>
              <w:left w:val="single" w:color="auto" w:sz="4" w:space="0"/>
              <w:bottom w:val="single" w:color="auto" w:sz="4" w:space="0"/>
              <w:right w:val="single" w:color="auto" w:sz="4" w:space="0"/>
            </w:tcBorders>
            <w:tcW w:w="4577" w:type="dxa"/>
            <w:vAlign w:val="center"/>
            <w:vMerge w:val="continue"/>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r>
      <w:tr>
        <w:trPr>
          <w:trHeight w:val="660"/>
        </w:trPr>
        <w:tc>
          <w:tcPr>
            <w:tcBorders>
              <w:top w:val="none" w:color="000000" w:sz="4" w:space="0"/>
              <w:left w:val="single" w:color="auto" w:sz="4" w:space="0"/>
              <w:bottom w:val="single" w:color="auto" w:sz="4" w:space="0"/>
              <w:right w:val="single" w:color="auto" w:sz="4" w:space="0"/>
            </w:tcBorders>
            <w:tcW w:w="172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意外身故</w:t>
            </w:r>
            <w:r/>
          </w:p>
        </w:tc>
        <w:tc>
          <w:tcPr>
            <w:tcBorders>
              <w:top w:val="none" w:color="000000" w:sz="4" w:space="0"/>
              <w:left w:val="none" w:color="000000" w:sz="4" w:space="0"/>
              <w:bottom w:val="single" w:color="auto" w:sz="4" w:space="0"/>
              <w:right w:val="single" w:color="auto" w:sz="4" w:space="0"/>
            </w:tcBorders>
            <w:tcW w:w="1555"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50000</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10000</w:t>
            </w:r>
            <w:r/>
          </w:p>
        </w:tc>
        <w:tc>
          <w:tcPr>
            <w:tcBorders>
              <w:top w:val="none" w:color="000000" w:sz="4" w:space="0"/>
              <w:left w:val="single" w:color="auto" w:sz="4" w:space="0"/>
              <w:bottom w:val="single" w:color="auto" w:sz="4" w:space="0"/>
              <w:right w:val="single" w:color="auto" w:sz="4" w:space="0"/>
            </w:tcBorders>
            <w:tcW w:w="4577" w:type="dxa"/>
            <w:vAlign w:val="center"/>
            <w:vMerge w:val="restart"/>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因意外伤害导致身故给付保险金；意外残疾按照《人身保险伤残评定标准（行业标准）》的规定进行赔付。</w:t>
            </w:r>
            <w:r/>
          </w:p>
        </w:tc>
      </w:tr>
      <w:tr>
        <w:trPr>
          <w:trHeight w:val="660"/>
        </w:trPr>
        <w:tc>
          <w:tcPr>
            <w:tcBorders>
              <w:top w:val="none" w:color="000000" w:sz="4" w:space="0"/>
              <w:left w:val="single" w:color="auto" w:sz="4" w:space="0"/>
              <w:bottom w:val="single" w:color="auto" w:sz="4" w:space="0"/>
              <w:right w:val="single" w:color="auto" w:sz="4" w:space="0"/>
            </w:tcBorders>
            <w:tcW w:w="172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意外伤残</w:t>
            </w:r>
            <w:r/>
          </w:p>
        </w:tc>
        <w:tc>
          <w:tcPr>
            <w:tcBorders>
              <w:top w:val="none" w:color="000000" w:sz="4" w:space="0"/>
              <w:left w:val="none" w:color="000000" w:sz="4" w:space="0"/>
              <w:bottom w:val="single" w:color="auto" w:sz="4" w:space="0"/>
              <w:right w:val="single" w:color="auto" w:sz="4" w:space="0"/>
            </w:tcBorders>
            <w:tcW w:w="1555"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50000</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10000</w:t>
            </w:r>
            <w:r/>
          </w:p>
        </w:tc>
        <w:tc>
          <w:tcPr>
            <w:tcBorders>
              <w:top w:val="none" w:color="000000" w:sz="4" w:space="0"/>
              <w:left w:val="single" w:color="auto" w:sz="4" w:space="0"/>
              <w:bottom w:val="single" w:color="auto" w:sz="4" w:space="0"/>
              <w:right w:val="single" w:color="auto" w:sz="4" w:space="0"/>
            </w:tcBorders>
            <w:tcW w:w="4577" w:type="dxa"/>
            <w:vAlign w:val="center"/>
            <w:vMerge w:val="continue"/>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r>
      <w:tr>
        <w:trPr>
          <w:trHeight w:val="660"/>
        </w:trPr>
        <w:tc>
          <w:tcPr>
            <w:tcBorders>
              <w:top w:val="none" w:color="000000" w:sz="4" w:space="0"/>
              <w:left w:val="single" w:color="auto" w:sz="4" w:space="0"/>
              <w:bottom w:val="single" w:color="auto" w:sz="4" w:space="0"/>
              <w:right w:val="single" w:color="auto" w:sz="4" w:space="0"/>
            </w:tcBorders>
            <w:tcW w:w="172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意外住院医疗</w:t>
            </w:r>
            <w:r/>
          </w:p>
        </w:tc>
        <w:tc>
          <w:tcPr>
            <w:tcBorders>
              <w:top w:val="none" w:color="000000" w:sz="4" w:space="0"/>
              <w:left w:val="none" w:color="000000" w:sz="4" w:space="0"/>
              <w:bottom w:val="none" w:color="000000" w:sz="4" w:space="0"/>
              <w:right w:val="single" w:color="auto" w:sz="4" w:space="0"/>
            </w:tcBorders>
            <w:tcW w:w="1555"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20000</w:t>
            </w:r>
            <w:r/>
          </w:p>
        </w:tc>
        <w:tc>
          <w:tcPr>
            <w:tcBorders>
              <w:top w:val="none" w:color="000000" w:sz="4" w:space="0"/>
              <w:left w:val="none" w:color="000000" w:sz="4" w:space="0"/>
              <w:bottom w:val="none" w:color="000000" w:sz="4" w:space="0"/>
              <w:right w:val="single" w:color="auto" w:sz="4" w:space="0"/>
            </w:tcBorders>
            <w:tcW w:w="1559"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4000</w:t>
            </w:r>
            <w:r/>
          </w:p>
        </w:tc>
        <w:tc>
          <w:tcPr>
            <w:tcBorders>
              <w:top w:val="none" w:color="000000" w:sz="4" w:space="0"/>
              <w:left w:val="none" w:color="000000" w:sz="4" w:space="0"/>
              <w:bottom w:val="none" w:color="000000" w:sz="4" w:space="0"/>
              <w:right w:val="single" w:color="auto" w:sz="4" w:space="0"/>
            </w:tcBorders>
            <w:tcW w:w="4577"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因意外产生的医疗费用，在医保范围内，免赔200元，报销比例90%。</w:t>
            </w:r>
            <w:r/>
          </w:p>
        </w:tc>
      </w:tr>
      <w:tr>
        <w:trPr>
          <w:trHeight w:val="660"/>
        </w:trPr>
        <w:tc>
          <w:tcPr>
            <w:tcBorders>
              <w:top w:val="none" w:color="000000" w:sz="4" w:space="0"/>
              <w:left w:val="single" w:color="auto" w:sz="4" w:space="0"/>
              <w:bottom w:val="single" w:color="auto" w:sz="4" w:space="0"/>
              <w:right w:val="single" w:color="auto" w:sz="4" w:space="0"/>
            </w:tcBorders>
            <w:tcW w:w="172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意外住院津贴</w:t>
            </w:r>
            <w:r/>
          </w:p>
        </w:tc>
        <w:tc>
          <w:tcPr>
            <w:tcBorders>
              <w:top w:val="single" w:color="auto" w:sz="4" w:space="0"/>
              <w:left w:val="none" w:color="000000" w:sz="4" w:space="0"/>
              <w:bottom w:val="single" w:color="auto" w:sz="4" w:space="0"/>
              <w:right w:val="single" w:color="auto" w:sz="4" w:space="0"/>
            </w:tcBorders>
            <w:tcW w:w="1555"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27000</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27000</w:t>
            </w:r>
            <w:r/>
          </w:p>
        </w:tc>
        <w:tc>
          <w:tcPr>
            <w:tcBorders>
              <w:top w:val="single" w:color="auto" w:sz="4" w:space="0"/>
              <w:left w:val="none" w:color="000000" w:sz="4" w:space="0"/>
              <w:bottom w:val="single" w:color="auto" w:sz="4" w:space="0"/>
              <w:right w:val="single" w:color="auto" w:sz="4" w:space="0"/>
            </w:tcBorders>
            <w:tcW w:w="4577"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因各类意外而住院，按实际住院天数*150元/天给付，不超过180天。</w:t>
            </w:r>
            <w:r/>
          </w:p>
        </w:tc>
      </w:tr>
      <w:tr>
        <w:trPr>
          <w:trHeight w:val="660"/>
        </w:trPr>
        <w:tc>
          <w:tcPr>
            <w:tcBorders>
              <w:top w:val="single" w:color="auto" w:sz="4" w:space="0"/>
              <w:left w:val="single" w:color="auto" w:sz="4" w:space="0"/>
              <w:bottom w:val="single" w:color="auto" w:sz="4" w:space="0"/>
              <w:right w:val="single" w:color="auto" w:sz="4" w:space="0"/>
            </w:tcBorders>
            <w:tcW w:w="172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疾病住院医疗</w:t>
            </w:r>
            <w:r/>
          </w:p>
        </w:tc>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20000</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4000</w:t>
            </w:r>
            <w:r/>
          </w:p>
        </w:tc>
        <w:tc>
          <w:tcPr>
            <w:tcBorders>
              <w:top w:val="single" w:color="auto" w:sz="4" w:space="0"/>
              <w:left w:val="single" w:color="auto" w:sz="4" w:space="0"/>
              <w:bottom w:val="single" w:color="auto" w:sz="4" w:space="0"/>
              <w:right w:val="single" w:color="auto" w:sz="4" w:space="0"/>
            </w:tcBorders>
            <w:tcW w:w="4577"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首次参保30天后，因疾病在二级（含）以上医院住院治疗，在医保范围内，经医保报销后的剩余个人自费费用，免赔额300元，剩余部分按60%进行报销。不承担既往病史责任。</w:t>
            </w:r>
            <w:r/>
          </w:p>
        </w:tc>
      </w:tr>
      <w:tr>
        <w:trPr>
          <w:trHeight w:val="660"/>
        </w:trPr>
        <w:tc>
          <w:tcPr>
            <w:tcBorders>
              <w:top w:val="single" w:color="auto" w:sz="4" w:space="0"/>
              <w:left w:val="single" w:color="auto" w:sz="4" w:space="0"/>
              <w:bottom w:val="single" w:color="auto" w:sz="4" w:space="0"/>
              <w:right w:val="single" w:color="auto" w:sz="4" w:space="0"/>
            </w:tcBorders>
            <w:tcW w:w="172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疾病身故</w:t>
            </w:r>
            <w:r/>
          </w:p>
        </w:tc>
        <w:tc>
          <w:tcPr>
            <w:tcBorders>
              <w:top w:val="single" w:color="auto" w:sz="4" w:space="0"/>
              <w:left w:val="none" w:color="000000" w:sz="4" w:space="0"/>
              <w:bottom w:val="single" w:color="auto" w:sz="4" w:space="0"/>
              <w:right w:val="single" w:color="auto" w:sz="4" w:space="0"/>
            </w:tcBorders>
            <w:tcW w:w="1555"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5000</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1000</w:t>
            </w:r>
            <w:r/>
          </w:p>
        </w:tc>
        <w:tc>
          <w:tcPr>
            <w:tcBorders>
              <w:top w:val="single" w:color="auto" w:sz="4" w:space="0"/>
              <w:left w:val="none" w:color="000000" w:sz="4" w:space="0"/>
              <w:bottom w:val="single" w:color="auto" w:sz="4" w:space="0"/>
              <w:right w:val="single" w:color="auto" w:sz="4" w:space="0"/>
            </w:tcBorders>
            <w:tcW w:w="4577"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首次参保等待期30天，因疾病导致的身故，按保额赔付。</w:t>
            </w:r>
            <w:r/>
          </w:p>
        </w:tc>
      </w:tr>
    </w:tbl>
    <w:p>
      <w:pPr>
        <w:ind w:firstLine="480"/>
        <w:jc w:val="both"/>
        <w:keepLines w:val="0"/>
        <w:keepNext w:val="0"/>
        <w:pageBreakBefore w:val="0"/>
        <w:spacing w:line="440" w:lineRule="exact"/>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bookmarkStart w:id="190" w:name="_Toc26083"/>
      <w:r/>
      <w:bookmarkStart w:id="191" w:name="_Toc14624"/>
      <w:r/>
      <w:bookmarkStart w:id="192" w:name="_Toc12885"/>
      <w:r/>
      <w:bookmarkStart w:id="193" w:name="_Toc22041"/>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（二）特别约定</w:t>
      </w:r>
      <w:bookmarkEnd w:id="190"/>
      <w:r/>
      <w:bookmarkEnd w:id="191"/>
      <w:r/>
      <w:bookmarkEnd w:id="192"/>
      <w:r/>
      <w:r/>
    </w:p>
    <w:p>
      <w:pPr>
        <w:ind w:firstLine="480"/>
        <w:jc w:val="both"/>
        <w:keepLines w:val="0"/>
        <w:keepNext w:val="0"/>
        <w:pageBreakBefore w:val="0"/>
        <w:spacing w:line="440" w:lineRule="exact"/>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意外</w:t>
      </w:r>
      <w:r>
        <w:rPr>
          <w:rFonts w:hint="eastAsia" w:ascii="宋体" w:hAnsi="宋体" w:eastAsia="宋体" w:cs="宋体"/>
          <w:b w:val="0"/>
          <w:bCs/>
          <w:color w:val="000000" w:themeColor="text1"/>
          <w:sz w:val="24"/>
          <w:szCs w:val="24"/>
          <w:highlight w:val="none"/>
          <w14:textFill>
            <w14:solidFill>
              <w14:schemeClr w14:val="tx1"/>
            </w14:solidFill>
          </w14:textFill>
        </w:rPr>
        <w:t xml:space="preserve">赔付期限：自事故发生之日起一年内。无等待期，被保险人在保险生效后发生保险责任范围内的事故，保险人按合同约定给予赔付。</w:t>
      </w:r>
      <w:r/>
    </w:p>
    <w:p>
      <w:pPr>
        <w:ind w:firstLine="480"/>
        <w:jc w:val="both"/>
        <w:keepLines w:val="0"/>
        <w:keepNext w:val="0"/>
        <w:pageBreakBefore w:val="0"/>
        <w:spacing w:line="440" w:lineRule="exact"/>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2.为保障项目的连续性，该项目的保险期限需与上年度的保险止期接续，在此期间发生的保险事故中标单位均需承担保险责任。</w:t>
      </w:r>
      <w:r/>
    </w:p>
    <w:p>
      <w:pPr>
        <w:ind w:firstLine="480"/>
        <w:jc w:val="both"/>
        <w:keepLines w:val="0"/>
        <w:keepNext w:val="0"/>
        <w:pageBreakBefore w:val="0"/>
        <w:spacing w:line="440" w:lineRule="exact"/>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3.连续参保期内首次确诊的疾病，后续保单年度内不得以既往症拒赔</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（即自</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2018年6月30日起项目投保期间发生的疾病仍承担保险责任，不视为既往病史</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p>
    <w:p>
      <w:pPr>
        <w:ind w:firstLine="480"/>
        <w:jc w:val="both"/>
        <w:keepLines w:val="0"/>
        <w:keepNext w:val="0"/>
        <w:pageBreakBefore w:val="0"/>
        <w:spacing w:line="440" w:lineRule="exact"/>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4.关于重大疾病病种 </w:t>
      </w:r>
      <w:r/>
    </w:p>
    <w:p>
      <w:pPr>
        <w:ind w:firstLine="480"/>
        <w:jc w:val="both"/>
        <w:keepLines w:val="0"/>
        <w:keepNext w:val="0"/>
        <w:pageBreakBefore w:val="0"/>
        <w:spacing w:line="440" w:lineRule="exact"/>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本保险所承保病种为50种重大疾病，具体病种如下：</w:t>
      </w:r>
      <w:r/>
    </w:p>
    <w:p>
      <w:pPr>
        <w:ind w:firstLine="480"/>
        <w:jc w:val="both"/>
        <w:keepLines w:val="0"/>
        <w:keepNext w:val="0"/>
        <w:pageBreakBefore w:val="0"/>
        <w:spacing w:line="440" w:lineRule="exact"/>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恶性肿瘤——重度、较重急性心肌梗死、严重脑中风后遗症、重大器官移植术或造血干细胞移植术、冠状动脉搭桥术（或称冠状动脉旁路移植术）、严重慢性肾衰竭、多个肢体缺失、急性或亚急性重症肝炎、严重非恶性颅内肿瘤、严重慢性肝衰竭、严重脑炎后遗症或严重脑膜炎后遗症、深度昏迷、特定年龄双耳失聪、特定年龄双目失明、瘫痪、心脏瓣膜手术、严重</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阿尔茨海默</w:t>
      </w:r>
      <w:r>
        <w:rPr>
          <w:rFonts w:hint="eastAsia" w:ascii="宋体" w:hAnsi="宋体" w:eastAsia="宋体" w:cs="宋体"/>
          <w:b w:val="0"/>
          <w:bCs/>
          <w:color w:val="000000" w:themeColor="text1"/>
          <w:sz w:val="24"/>
          <w:szCs w:val="24"/>
          <w:highlight w:val="none"/>
          <w14:textFill>
            <w14:solidFill>
              <w14:schemeClr w14:val="tx1"/>
            </w14:solidFill>
          </w14:textFill>
        </w:rPr>
        <w:t xml:space="preserve">病、严重脑损伤、严重原发性帕金森病、严重Ⅲ度烧伤、严重特发性肺动脉高压、严重运动神经元病、语言能力丧失、重型再生障碍性贫血、主动脉手术、严重慢性呼吸衰竭、严重克罗恩病、严重溃疡性结肠炎、严重原发性心肌病、严重多发性硬化症、严重脊髓灰质炎、严重类风湿性关节炎、严重系统性红斑狼疮性肾病、植物人状态、严重胰岛素依赖型糖尿病、严重冠心病、急性坏死性胰腺炎开腹手术、经输血导致的人类免疫缺陷病毒感染、非</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阿尔茨海默</w:t>
      </w:r>
      <w:r>
        <w:rPr>
          <w:rFonts w:hint="eastAsia" w:ascii="宋体" w:hAnsi="宋体" w:eastAsia="宋体" w:cs="宋体"/>
          <w:b w:val="0"/>
          <w:bCs/>
          <w:color w:val="000000" w:themeColor="text1"/>
          <w:sz w:val="24"/>
          <w:szCs w:val="24"/>
          <w:highlight w:val="none"/>
          <w14:textFill>
            <w14:solidFill>
              <w14:schemeClr w14:val="tx1"/>
            </w14:solidFill>
          </w14:textFill>
        </w:rPr>
        <w:t xml:space="preserve">病所致严重痴呆、严重弥漫性系统性硬皮病、重症急性坏死性筋膜炎、埃博拉出血热、严重感染性心内膜炎、胰腺移植、严重自身免疫性肝炎、原发性硬化性胆管炎、头臂动脉型多发性大动脉炎旁路移植手术、溶血性链球菌性坏疽、克—雅氏病（CJD、人类疯牛病）、丝虫病所致象皮肿。</w:t>
      </w:r>
      <w:r/>
    </w:p>
    <w:p>
      <w:pPr>
        <w:ind w:firstLine="480"/>
        <w:keepLines w:val="0"/>
        <w:keepNext w:val="0"/>
        <w:pageBreakBefore w:val="0"/>
        <w:spacing w:line="4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在职民警未成年子女</w:t>
      </w:r>
      <w:r>
        <w:rPr>
          <w:rFonts w:hint="eastAsia" w:ascii="宋体" w:hAnsi="宋体" w:eastAsia="宋体" w:cs="宋体"/>
          <w:b w:val="0"/>
          <w:bCs/>
          <w:color w:val="000000" w:themeColor="text1"/>
          <w:sz w:val="24"/>
          <w:szCs w:val="24"/>
          <w:highlight w:val="none"/>
          <w14:textFill>
            <w14:solidFill>
              <w14:schemeClr w14:val="tx1"/>
            </w14:solidFill>
          </w14:textFill>
        </w:rPr>
        <w:t xml:space="preserve">15种重大疾病</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具体病种如下：</w:t>
      </w:r>
      <w:r/>
    </w:p>
    <w:p>
      <w:pPr>
        <w:ind w:firstLine="480"/>
        <w:jc w:val="both"/>
        <w:keepLines w:val="0"/>
        <w:keepNext w:val="0"/>
        <w:pageBreakBefore w:val="0"/>
        <w:spacing w:line="440" w:lineRule="exact"/>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（1)恶性肿瘤—重度 </w:t>
      </w:r>
      <w:r/>
    </w:p>
    <w:p>
      <w:pPr>
        <w:ind w:firstLine="480"/>
        <w:jc w:val="both"/>
        <w:keepLines w:val="0"/>
        <w:keepNext w:val="0"/>
        <w:pageBreakBefore w:val="0"/>
        <w:spacing w:line="440" w:lineRule="exact"/>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 下列疾病不属于恶性肿瘤—重度，不在保障范围内： </w:t>
      </w:r>
      <w:r/>
    </w:p>
    <w:p>
      <w:pPr>
        <w:ind w:firstLine="480"/>
        <w:jc w:val="both"/>
        <w:keepLines w:val="0"/>
        <w:keepNext w:val="0"/>
        <w:pageBreakBefore w:val="0"/>
        <w:spacing w:line="440" w:lineRule="exact"/>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1）ICD-O-3 肿瘤形态学编码属于0（良性肿瘤）、1（动态未定性肿瘤）、2（原位癌和非侵袭性癌）范畴的疾病，如： </w:t>
      </w:r>
      <w:r/>
    </w:p>
    <w:p>
      <w:pPr>
        <w:ind w:firstLine="480"/>
        <w:jc w:val="both"/>
        <w:keepLines w:val="0"/>
        <w:keepNext w:val="0"/>
        <w:pageBreakBefore w:val="0"/>
        <w:spacing w:line="440" w:lineRule="exact"/>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a. 原位癌，癌前病变，非浸润性癌，非侵袭性癌，肿瘤细胞未侵犯基底层，上皮内瘤变，细胞不典型性增生等； </w:t>
      </w:r>
      <w:r/>
    </w:p>
    <w:p>
      <w:pPr>
        <w:ind w:firstLine="480"/>
        <w:jc w:val="both"/>
        <w:keepLines w:val="0"/>
        <w:keepNext w:val="0"/>
        <w:pageBreakBefore w:val="0"/>
        <w:spacing w:line="440" w:lineRule="exact"/>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b. 交界性肿瘤，交界恶性肿瘤，肿瘤低度恶性潜能，潜在低度恶性肿瘤等；</w:t>
      </w:r>
      <w:r/>
    </w:p>
    <w:p>
      <w:pPr>
        <w:ind w:firstLine="480"/>
        <w:jc w:val="both"/>
        <w:keepLines w:val="0"/>
        <w:keepNext w:val="0"/>
        <w:pageBreakBefore w:val="0"/>
        <w:spacing w:line="440" w:lineRule="exact"/>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2）TNM分期为Ⅰ期或更轻分期的甲状腺癌； </w:t>
      </w:r>
      <w:r/>
    </w:p>
    <w:p>
      <w:pPr>
        <w:ind w:firstLine="480"/>
        <w:jc w:val="both"/>
        <w:keepLines w:val="0"/>
        <w:keepNext w:val="0"/>
        <w:pageBreakBefore w:val="0"/>
        <w:spacing w:line="440" w:lineRule="exact"/>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3）TNM分期为 T1N0M0期或更轻分期的前列腺癌； </w:t>
      </w:r>
      <w:r/>
    </w:p>
    <w:p>
      <w:pPr>
        <w:ind w:firstLine="480"/>
        <w:jc w:val="both"/>
        <w:keepLines w:val="0"/>
        <w:keepNext w:val="0"/>
        <w:pageBreakBefore w:val="0"/>
        <w:spacing w:line="440" w:lineRule="exact"/>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4）黑色素瘤以外的未发生淋巴结和远处转移的皮肤恶性肿瘤； </w:t>
      </w:r>
      <w:r/>
    </w:p>
    <w:p>
      <w:pPr>
        <w:ind w:firstLine="480"/>
        <w:jc w:val="both"/>
        <w:keepLines w:val="0"/>
        <w:keepNext w:val="0"/>
        <w:pageBreakBefore w:val="0"/>
        <w:spacing w:line="440" w:lineRule="exact"/>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5）相当于Binet分期方案A期程度的慢性淋巴细胞白血病； </w:t>
      </w:r>
      <w:r/>
    </w:p>
    <w:p>
      <w:pPr>
        <w:ind w:firstLine="480"/>
        <w:jc w:val="both"/>
        <w:keepLines w:val="0"/>
        <w:keepNext w:val="0"/>
        <w:pageBreakBefore w:val="0"/>
        <w:spacing w:line="440" w:lineRule="exact"/>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6）相当于 Ann Arbor 分期方案Ⅰ期程度的何杰金氏病； </w:t>
      </w:r>
      <w:r/>
    </w:p>
    <w:p>
      <w:pPr>
        <w:ind w:firstLine="480"/>
        <w:jc w:val="both"/>
        <w:keepLines w:val="0"/>
        <w:keepNext w:val="0"/>
        <w:pageBreakBefore w:val="0"/>
        <w:spacing w:line="440" w:lineRule="exact"/>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7）未发生淋巴结和远处转移且WHO分级为G1级别（核分裂像&lt;10/50 HPF和ki-67≤2%）或更轻分级的神经内分泌肿瘤。</w:t>
      </w:r>
      <w:r/>
    </w:p>
    <w:p>
      <w:pPr>
        <w:ind w:firstLine="480"/>
        <w:jc w:val="both"/>
        <w:keepLines w:val="0"/>
        <w:keepNext w:val="0"/>
        <w:pageBreakBefore w:val="0"/>
        <w:spacing w:line="440" w:lineRule="exact"/>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(2)严重瑞氏综合征</w:t>
      </w:r>
      <w:r/>
    </w:p>
    <w:p>
      <w:pPr>
        <w:ind w:firstLine="480"/>
        <w:jc w:val="both"/>
        <w:keepLines w:val="0"/>
        <w:keepNext w:val="0"/>
        <w:pageBreakBefore w:val="0"/>
        <w:spacing w:line="440" w:lineRule="exact"/>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(3)严重获得性或继发性肺泡蛋白质沉积症</w:t>
      </w:r>
      <w:r/>
    </w:p>
    <w:p>
      <w:pPr>
        <w:ind w:firstLine="480"/>
        <w:jc w:val="both"/>
        <w:keepLines w:val="0"/>
        <w:keepNext w:val="0"/>
        <w:pageBreakBefore w:val="0"/>
        <w:spacing w:line="440" w:lineRule="exact"/>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(4)脊髓小脑变性症</w:t>
      </w:r>
      <w:r/>
    </w:p>
    <w:p>
      <w:pPr>
        <w:ind w:firstLine="480"/>
        <w:jc w:val="both"/>
        <w:keepLines w:val="0"/>
        <w:keepNext w:val="0"/>
        <w:pageBreakBefore w:val="0"/>
        <w:spacing w:line="440" w:lineRule="exact"/>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(5)原发性骨髓纤维化</w:t>
      </w:r>
      <w:r/>
    </w:p>
    <w:p>
      <w:pPr>
        <w:ind w:firstLine="480"/>
        <w:jc w:val="both"/>
        <w:keepLines w:val="0"/>
        <w:keepNext w:val="0"/>
        <w:pageBreakBefore w:val="0"/>
        <w:spacing w:line="440" w:lineRule="exact"/>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(6)进行性风疹性全脑炎</w:t>
      </w:r>
      <w:r/>
    </w:p>
    <w:p>
      <w:pPr>
        <w:ind w:firstLine="480"/>
        <w:jc w:val="both"/>
        <w:keepLines w:val="0"/>
        <w:keepNext w:val="0"/>
        <w:pageBreakBefore w:val="0"/>
        <w:spacing w:line="440" w:lineRule="exact"/>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(7)艾森门格综合征</w:t>
      </w:r>
      <w:r/>
    </w:p>
    <w:p>
      <w:pPr>
        <w:ind w:firstLine="480"/>
        <w:jc w:val="both"/>
        <w:keepLines w:val="0"/>
        <w:keepNext w:val="0"/>
        <w:pageBreakBefore w:val="0"/>
        <w:spacing w:line="440" w:lineRule="exact"/>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(8)亚急性硬化性全脑炎 </w:t>
      </w:r>
      <w:r/>
    </w:p>
    <w:p>
      <w:pPr>
        <w:ind w:firstLine="480"/>
        <w:jc w:val="both"/>
        <w:keepLines w:val="0"/>
        <w:keepNext w:val="0"/>
        <w:pageBreakBefore w:val="0"/>
        <w:spacing w:line="440" w:lineRule="exact"/>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(9)尼曼匹克病 </w:t>
      </w:r>
      <w:r/>
    </w:p>
    <w:p>
      <w:pPr>
        <w:ind w:firstLine="480"/>
        <w:jc w:val="both"/>
        <w:keepLines w:val="0"/>
        <w:keepNext w:val="0"/>
        <w:pageBreakBefore w:val="0"/>
        <w:spacing w:line="440" w:lineRule="exact"/>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(10)精氨酸酶缺乏症 </w:t>
      </w:r>
      <w:r/>
    </w:p>
    <w:p>
      <w:pPr>
        <w:ind w:firstLine="480"/>
        <w:jc w:val="both"/>
        <w:keepLines w:val="0"/>
        <w:keepNext w:val="0"/>
        <w:pageBreakBefore w:val="0"/>
        <w:spacing w:line="440" w:lineRule="exact"/>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(11</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原发性肉碱缺乏症 </w:t>
      </w:r>
      <w:r/>
    </w:p>
    <w:p>
      <w:pPr>
        <w:ind w:firstLine="480"/>
        <w:jc w:val="both"/>
        <w:keepLines w:val="0"/>
        <w:keepNext w:val="0"/>
        <w:pageBreakBefore w:val="0"/>
        <w:spacing w:line="440" w:lineRule="exact"/>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(12</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范科尼贫血 </w:t>
      </w:r>
      <w:r/>
    </w:p>
    <w:p>
      <w:pPr>
        <w:ind w:firstLine="480"/>
        <w:jc w:val="both"/>
        <w:keepLines w:val="0"/>
        <w:keepNext w:val="0"/>
        <w:pageBreakBefore w:val="0"/>
        <w:spacing w:line="440" w:lineRule="exact"/>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(13)戊二酸血症Ⅰ型 </w:t>
      </w:r>
      <w:r/>
    </w:p>
    <w:p>
      <w:pPr>
        <w:ind w:firstLine="480"/>
        <w:jc w:val="both"/>
        <w:keepLines w:val="0"/>
        <w:keepNext w:val="0"/>
        <w:pageBreakBefore w:val="0"/>
        <w:spacing w:line="440" w:lineRule="exact"/>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(14)严重特发性肺动脉高压 </w:t>
      </w:r>
      <w:r/>
    </w:p>
    <w:p>
      <w:pPr>
        <w:ind w:firstLine="480"/>
        <w:jc w:val="both"/>
        <w:keepLines w:val="0"/>
        <w:keepNext w:val="0"/>
        <w:pageBreakBefore w:val="0"/>
        <w:spacing w:line="440" w:lineRule="exact"/>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(15)严重运动神经元病。</w:t>
      </w:r>
      <w:bookmarkEnd w:id="193"/>
      <w:r/>
      <w:r/>
    </w:p>
    <w:p>
      <w:pPr>
        <w:ind w:firstLine="482"/>
        <w:jc w:val="both"/>
        <w:keepLines w:val="0"/>
        <w:keepNext w:val="0"/>
        <w:pageBreakBefore w:val="0"/>
        <w:spacing w:line="440" w:lineRule="exact"/>
        <w:widowControl w:val="off"/>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五、服务要求</w:t>
      </w:r>
      <w:r/>
    </w:p>
    <w:p>
      <w:pPr>
        <w:pStyle w:val="938"/>
        <w:ind w:firstLine="480"/>
        <w:jc w:val="both"/>
        <w:keepLines w:val="0"/>
        <w:keepNext w:val="0"/>
        <w:pageBreakBefore w:val="0"/>
        <w:spacing w:line="4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1、人员配备</w:t>
      </w:r>
      <w:r/>
    </w:p>
    <w:p>
      <w:pPr>
        <w:pStyle w:val="938"/>
        <w:ind w:firstLine="480"/>
        <w:jc w:val="both"/>
        <w:keepLines w:val="0"/>
        <w:keepNext w:val="0"/>
        <w:pageBreakBefore w:val="0"/>
        <w:spacing w:line="4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1.1</w:t>
      </w:r>
      <w:r>
        <w:rPr>
          <w:rFonts w:hint="eastAsia" w:ascii="宋体" w:hAnsi="宋体" w:eastAsia="宋体" w:cs="宋体"/>
          <w:b w:val="0"/>
          <w:bCs/>
          <w:i/>
          <w:iCs/>
          <w:color w:val="000000" w:themeColor="text1"/>
          <w:sz w:val="24"/>
          <w:szCs w:val="24"/>
          <w:highlight w:val="none"/>
          <w:u w:val="single"/>
          <w14:textFill>
            <w14:solidFill>
              <w14:schemeClr w14:val="tx1"/>
            </w14:solidFill>
          </w14:textFill>
        </w:rPr>
        <w:t xml:space="preserve">对本采购项目须设立专项小组</w:t>
      </w:r>
      <w:r>
        <w:rPr>
          <w:rFonts w:hint="eastAsia" w:ascii="宋体" w:hAnsi="宋体" w:eastAsia="宋体" w:cs="宋体"/>
          <w:b w:val="0"/>
          <w:bCs/>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b w:val="0"/>
          <w:bCs/>
          <w:i/>
          <w:iCs/>
          <w:color w:val="000000" w:themeColor="text1"/>
          <w:sz w:val="24"/>
          <w:szCs w:val="24"/>
          <w:highlight w:val="none"/>
          <w:u w:val="single"/>
          <w14:textFill>
            <w14:solidFill>
              <w14:schemeClr w14:val="tx1"/>
            </w14:solidFill>
          </w14:textFill>
        </w:rPr>
        <w:t xml:space="preserve">其中项目经理1名，负责按照本次保险的有关要求提供承保、理赔及其他各类保险服务，包括必要的组织与协调工作；客户服务专员：至少配备5名，其中有2名应为项目专职承保人员，2名应为项目专职理赔人员，协助项目经理提供保险服务。（投标时提供专项小组名单，格式自拟，不提供为未实质性响应处理）</w:t>
      </w:r>
      <w:r/>
    </w:p>
    <w:p>
      <w:pPr>
        <w:pStyle w:val="938"/>
        <w:ind w:firstLine="480"/>
        <w:jc w:val="both"/>
        <w:keepLines w:val="0"/>
        <w:keepNext w:val="0"/>
        <w:pageBreakBefore w:val="0"/>
        <w:spacing w:line="440" w:lineRule="exact"/>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注：人员不得随意更换，如需更换须经采购人同意。</w:t>
      </w:r>
      <w:r/>
    </w:p>
    <w:p>
      <w:pPr>
        <w:pStyle w:val="938"/>
        <w:ind w:firstLine="480"/>
        <w:jc w:val="both"/>
        <w:keepLines w:val="0"/>
        <w:keepNext w:val="0"/>
        <w:pageBreakBefore w:val="0"/>
        <w:spacing w:line="4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1.2</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14:textFill>
            <w14:solidFill>
              <w14:schemeClr w14:val="tx1"/>
            </w14:solidFill>
          </w14:textFill>
        </w:rPr>
        <w:t xml:space="preserve">成交供应商须随时与采购人沟通被保险人上一份保单的到期时间，必须保证被保险人不脱保，否则采购人有权取消合同。</w:t>
      </w:r>
      <w:r/>
    </w:p>
    <w:p>
      <w:pPr>
        <w:pStyle w:val="938"/>
        <w:ind w:firstLine="480"/>
        <w:jc w:val="both"/>
        <w:keepLines w:val="0"/>
        <w:keepNext w:val="0"/>
        <w:pageBreakBefore w:val="0"/>
        <w:spacing w:line="4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1.3根据相应文件内容，配合投保人完成核保与出单事宜，并在收到保费的次日生效保单并在5个工作日内将保单正本和保费发票派专人送达投保人。 </w:t>
      </w:r>
      <w:r/>
    </w:p>
    <w:p>
      <w:pPr>
        <w:pStyle w:val="938"/>
        <w:ind w:firstLine="480"/>
        <w:jc w:val="both"/>
        <w:keepLines w:val="0"/>
        <w:keepNext w:val="0"/>
        <w:pageBreakBefore w:val="0"/>
        <w:spacing w:line="4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2、承保服务：</w:t>
      </w:r>
      <w:r/>
    </w:p>
    <w:p>
      <w:pPr>
        <w:pStyle w:val="938"/>
        <w:ind w:firstLine="480"/>
        <w:jc w:val="both"/>
        <w:keepLines w:val="0"/>
        <w:keepNext w:val="0"/>
        <w:pageBreakBefore w:val="0"/>
        <w:spacing w:line="4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2.1指定专门的客服人员，接受各方咨询，解释相关保险内容。</w:t>
      </w:r>
      <w:r/>
    </w:p>
    <w:p>
      <w:pPr>
        <w:pStyle w:val="938"/>
        <w:ind w:firstLine="480"/>
        <w:jc w:val="both"/>
        <w:keepLines w:val="0"/>
        <w:keepNext w:val="0"/>
        <w:pageBreakBefore w:val="0"/>
        <w:spacing w:line="4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2.2定期走访</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投保人</w:t>
      </w:r>
      <w:r>
        <w:rPr>
          <w:rFonts w:hint="eastAsia" w:ascii="宋体" w:hAnsi="宋体" w:eastAsia="宋体" w:cs="宋体"/>
          <w:b w:val="0"/>
          <w:bCs/>
          <w:color w:val="000000" w:themeColor="text1"/>
          <w:sz w:val="24"/>
          <w:szCs w:val="24"/>
          <w:highlight w:val="none"/>
          <w14:textFill>
            <w14:solidFill>
              <w14:schemeClr w14:val="tx1"/>
            </w14:solidFill>
          </w14:textFill>
        </w:rPr>
        <w:t xml:space="preserve">，听取相关意见和建议，不断提高服务水平。</w:t>
      </w:r>
      <w:r/>
    </w:p>
    <w:p>
      <w:pPr>
        <w:pStyle w:val="938"/>
        <w:ind w:firstLine="480"/>
        <w:jc w:val="both"/>
        <w:keepLines w:val="0"/>
        <w:keepNext w:val="0"/>
        <w:pageBreakBefore w:val="0"/>
        <w:spacing w:line="4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2.3每季度按时向</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投保人</w:t>
      </w:r>
      <w:r>
        <w:rPr>
          <w:rFonts w:hint="eastAsia" w:ascii="宋体" w:hAnsi="宋体" w:eastAsia="宋体" w:cs="宋体"/>
          <w:b w:val="0"/>
          <w:bCs/>
          <w:color w:val="000000" w:themeColor="text1"/>
          <w:sz w:val="24"/>
          <w:szCs w:val="24"/>
          <w:highlight w:val="none"/>
          <w14:textFill>
            <w14:solidFill>
              <w14:schemeClr w14:val="tx1"/>
            </w14:solidFill>
          </w14:textFill>
        </w:rPr>
        <w:t xml:space="preserve">汇报上季度的理赔情况。</w:t>
      </w:r>
      <w:r/>
    </w:p>
    <w:p>
      <w:pPr>
        <w:pStyle w:val="938"/>
        <w:ind w:firstLine="480"/>
        <w:jc w:val="both"/>
        <w:keepLines w:val="0"/>
        <w:keepNext w:val="0"/>
        <w:pageBreakBefore w:val="0"/>
        <w:spacing w:line="4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3、理赔服务</w:t>
      </w:r>
      <w:r/>
    </w:p>
    <w:p>
      <w:pPr>
        <w:pStyle w:val="938"/>
        <w:ind w:firstLine="480"/>
        <w:jc w:val="both"/>
        <w:keepLines w:val="0"/>
        <w:keepNext w:val="0"/>
        <w:pageBreakBefore w:val="0"/>
        <w:spacing w:line="4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3.1保险服务基础标准：</w:t>
      </w:r>
      <w:r/>
    </w:p>
    <w:p>
      <w:pPr>
        <w:pStyle w:val="938"/>
        <w:ind w:firstLine="480"/>
        <w:jc w:val="both"/>
        <w:keepLines w:val="0"/>
        <w:keepNext w:val="0"/>
        <w:pageBreakBefore w:val="0"/>
        <w:spacing w:line="4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3.1.1统一实行24小时接报案；</w:t>
      </w:r>
      <w:r/>
    </w:p>
    <w:p>
      <w:pPr>
        <w:pStyle w:val="938"/>
        <w:ind w:firstLine="480"/>
        <w:jc w:val="both"/>
        <w:keepLines w:val="0"/>
        <w:keepNext w:val="0"/>
        <w:pageBreakBefore w:val="0"/>
        <w:spacing w:line="4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3.1.2统一实行24小时查勘；</w:t>
      </w:r>
      <w:r/>
    </w:p>
    <w:p>
      <w:pPr>
        <w:pStyle w:val="938"/>
        <w:ind w:firstLine="480"/>
        <w:jc w:val="both"/>
        <w:keepLines w:val="0"/>
        <w:keepNext w:val="0"/>
        <w:pageBreakBefore w:val="0"/>
        <w:spacing w:line="4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3.1.3统一实行24小时救援；</w:t>
      </w:r>
      <w:r/>
    </w:p>
    <w:p>
      <w:pPr>
        <w:pStyle w:val="938"/>
        <w:ind w:firstLine="480"/>
        <w:jc w:val="both"/>
        <w:keepLines w:val="0"/>
        <w:keepNext w:val="0"/>
        <w:pageBreakBefore w:val="0"/>
        <w:spacing w:line="4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3.1.4统一实行8小时全年无休理赔工作；</w:t>
      </w:r>
      <w:r/>
    </w:p>
    <w:p>
      <w:pPr>
        <w:pStyle w:val="938"/>
        <w:ind w:firstLine="480"/>
        <w:jc w:val="both"/>
        <w:keepLines w:val="0"/>
        <w:keepNext w:val="0"/>
        <w:pageBreakBefore w:val="0"/>
        <w:spacing w:line="4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3.1.5统一实行24小时投诉服务；</w:t>
      </w:r>
      <w:r/>
    </w:p>
    <w:p>
      <w:pPr>
        <w:pStyle w:val="938"/>
        <w:ind w:firstLine="480"/>
        <w:jc w:val="both"/>
        <w:keepLines w:val="0"/>
        <w:keepNext w:val="0"/>
        <w:pageBreakBefore w:val="0"/>
        <w:spacing w:line="4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3.1.6设立24小时保险服务专线电话，电脑录音系统和查勘调度系统保证畅通无误，及时准确。全年365天随时接受被保险人的出险报案，并立即通知保险公司本项目客户服务专员。               </w:t>
      </w:r>
      <w:r/>
    </w:p>
    <w:p>
      <w:pPr>
        <w:pStyle w:val="938"/>
        <w:ind w:firstLine="480"/>
        <w:jc w:val="both"/>
        <w:keepLines w:val="0"/>
        <w:keepNext w:val="0"/>
        <w:pageBreakBefore w:val="0"/>
        <w:spacing w:line="4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3.2设立专人专门窗口负责受理赔款案件，实行一站式服务，确保理赔、财务、信息技术等环节的高效畅通。</w:t>
      </w:r>
      <w:r/>
    </w:p>
    <w:p>
      <w:pPr>
        <w:pStyle w:val="938"/>
        <w:ind w:firstLine="480"/>
        <w:jc w:val="both"/>
        <w:keepLines w:val="0"/>
        <w:keepNext w:val="0"/>
        <w:pageBreakBefore w:val="0"/>
        <w:spacing w:line="4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3.3接到报案后应详细的告知被保险人注意事项，承保范围，保障内容及理赔时需要准备的材料等，不得欺骗、误导被保险人；</w:t>
      </w:r>
      <w:r/>
    </w:p>
    <w:p>
      <w:pPr>
        <w:pStyle w:val="938"/>
        <w:ind w:firstLine="480"/>
        <w:jc w:val="both"/>
        <w:keepLines w:val="0"/>
        <w:keepNext w:val="0"/>
        <w:pageBreakBefore w:val="0"/>
        <w:spacing w:line="4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3.4配合被保险人了解、熟悉理赔流程，指定专人上门收取索赔单证，并在约定的时间内上门收取，不得以任何理由拒绝上门服务。</w:t>
      </w:r>
      <w:r/>
    </w:p>
    <w:p>
      <w:pPr>
        <w:pStyle w:val="938"/>
        <w:ind w:firstLine="480"/>
        <w:jc w:val="both"/>
        <w:keepLines w:val="0"/>
        <w:keepNext w:val="0"/>
        <w:pageBreakBefore w:val="0"/>
        <w:spacing w:line="4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3.5保险公司上门收取理赔资料时，若认为有关证明或材料不完整，</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应</w:t>
      </w:r>
      <w:r>
        <w:rPr>
          <w:rFonts w:hint="eastAsia" w:ascii="宋体" w:hAnsi="宋体" w:eastAsia="宋体" w:cs="宋体"/>
          <w:b w:val="0"/>
          <w:bCs/>
          <w:color w:val="000000" w:themeColor="text1"/>
          <w:sz w:val="24"/>
          <w:szCs w:val="24"/>
          <w:highlight w:val="none"/>
          <w14:textFill>
            <w14:solidFill>
              <w14:schemeClr w14:val="tx1"/>
            </w14:solidFill>
          </w14:textFill>
        </w:rPr>
        <w:t xml:space="preserve">立刻以书面或口头方式通知被保险人需补充提供的有关证明或材料。若保险公司在接到索赔资料后1个工作日内未给予有关审核意见，则视为认可索赔资料的完整性。</w:t>
      </w:r>
      <w:r/>
    </w:p>
    <w:p>
      <w:pPr>
        <w:pStyle w:val="938"/>
        <w:ind w:firstLine="480"/>
        <w:jc w:val="both"/>
        <w:keepLines w:val="0"/>
        <w:keepNext w:val="0"/>
        <w:pageBreakBefore w:val="0"/>
        <w:spacing w:line="4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3.6在收到理赔材料后，简化理赔手续，应在规定时间内告知被保险人赔偿金额，除外金额或不予赔偿的理由，超过规定时间的，视为同意赔偿。</w:t>
      </w:r>
      <w:r/>
    </w:p>
    <w:p>
      <w:pPr>
        <w:pStyle w:val="938"/>
        <w:ind w:firstLine="480"/>
        <w:jc w:val="both"/>
        <w:keepLines w:val="0"/>
        <w:keepNext w:val="0"/>
        <w:pageBreakBefore w:val="0"/>
        <w:spacing w:line="4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3.7接到被保险人报案后，对于属于保险责任的事故，同意按照以下约定及时确定赔偿金额：</w:t>
      </w:r>
      <w:r/>
    </w:p>
    <w:p>
      <w:pPr>
        <w:pStyle w:val="938"/>
        <w:ind w:firstLine="480"/>
        <w:jc w:val="both"/>
        <w:keepLines w:val="0"/>
        <w:keepNext w:val="0"/>
        <w:pageBreakBefore w:val="0"/>
        <w:spacing w:line="4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3.7.1对于意外伤害，资料齐全后10工作日内确定赔偿金额。 </w:t>
      </w:r>
      <w:r/>
    </w:p>
    <w:p>
      <w:pPr>
        <w:pStyle w:val="938"/>
        <w:ind w:firstLine="480"/>
        <w:jc w:val="both"/>
        <w:keepLines w:val="0"/>
        <w:keepNext w:val="0"/>
        <w:pageBreakBefore w:val="0"/>
        <w:spacing w:line="4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3.8治疗医院应为二级以上（含二级）公立医院，民营医院除外。急症可就近就医，待病情稳定后可转至指定医院。</w:t>
      </w:r>
      <w:r/>
    </w:p>
    <w:p>
      <w:pPr>
        <w:pStyle w:val="938"/>
        <w:ind w:firstLine="480"/>
        <w:jc w:val="both"/>
        <w:keepLines w:val="0"/>
        <w:keepNext w:val="0"/>
        <w:pageBreakBefore w:val="0"/>
        <w:spacing w:line="4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3.9对于不属于保险责任的，同意在接到被保险人赔偿请求后5个工作日内向其发出《拒赔通知书》。</w:t>
      </w:r>
      <w:r/>
    </w:p>
    <w:p>
      <w:pPr>
        <w:pStyle w:val="938"/>
        <w:ind w:firstLine="480"/>
        <w:jc w:val="both"/>
        <w:keepLines w:val="0"/>
        <w:keepNext w:val="0"/>
        <w:pageBreakBefore w:val="0"/>
        <w:spacing w:line="4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3.10对于不属于保险责任的，保险公司在接到被保险人赔偿请求后没有按规定时间向其发出《拒赔通知书》，则按保险责任处理。 </w:t>
      </w:r>
      <w:r/>
    </w:p>
    <w:p>
      <w:pPr>
        <w:pStyle w:val="938"/>
        <w:ind w:firstLine="480"/>
        <w:jc w:val="both"/>
        <w:keepLines w:val="0"/>
        <w:keepNext w:val="0"/>
        <w:pageBreakBefore w:val="0"/>
        <w:spacing w:line="4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4、其他保险服务承诺</w:t>
      </w:r>
      <w:r/>
    </w:p>
    <w:p>
      <w:pPr>
        <w:pStyle w:val="938"/>
        <w:ind w:firstLine="480"/>
        <w:jc w:val="both"/>
        <w:keepLines w:val="0"/>
        <w:keepNext w:val="0"/>
        <w:pageBreakBefore w:val="0"/>
        <w:spacing w:line="4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4.1定期沟通制</w:t>
      </w:r>
      <w:r/>
    </w:p>
    <w:p>
      <w:pPr>
        <w:pStyle w:val="938"/>
        <w:ind w:firstLine="480"/>
        <w:jc w:val="both"/>
        <w:keepLines w:val="0"/>
        <w:keepNext w:val="0"/>
        <w:pageBreakBefore w:val="0"/>
        <w:spacing w:line="4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每季度召开保险工作例会，通报保险事故情况、理赔进展情况、商定各项服务计划和共同解决需双方协调的事宜； </w:t>
      </w:r>
      <w:r/>
    </w:p>
    <w:p>
      <w:pPr>
        <w:pStyle w:val="938"/>
        <w:ind w:firstLine="480"/>
        <w:jc w:val="both"/>
        <w:keepLines w:val="0"/>
        <w:keepNext w:val="0"/>
        <w:pageBreakBefore w:val="0"/>
        <w:spacing w:line="4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4.2培训、考察机制</w:t>
      </w:r>
      <w:r/>
    </w:p>
    <w:p>
      <w:pPr>
        <w:pStyle w:val="938"/>
        <w:ind w:firstLine="480"/>
        <w:jc w:val="both"/>
        <w:keepLines w:val="0"/>
        <w:keepNext w:val="0"/>
        <w:pageBreakBefore w:val="0"/>
        <w:spacing w:line="4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定期不定期提供专项培训，培训内容主要包括保险的基础知识、保险合同责任及条款解释、保险事故索赔程序等方面的内容。</w:t>
      </w:r>
      <w:r/>
    </w:p>
    <w:p>
      <w:pPr>
        <w:pStyle w:val="938"/>
        <w:ind w:firstLine="480"/>
        <w:jc w:val="both"/>
        <w:keepLines w:val="0"/>
        <w:keepNext w:val="0"/>
        <w:pageBreakBefore w:val="0"/>
        <w:spacing w:line="4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4.3风险管理计划</w:t>
      </w:r>
      <w:r/>
    </w:p>
    <w:p>
      <w:pPr>
        <w:pStyle w:val="938"/>
        <w:ind w:firstLine="480"/>
        <w:jc w:val="both"/>
        <w:keepLines w:val="0"/>
        <w:keepNext w:val="0"/>
        <w:pageBreakBefore w:val="0"/>
        <w:spacing w:line="4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每年举办一次针对意外事故防范的活动，培训活动时间由投保人、保险人共同拟定。</w:t>
      </w:r>
      <w:r/>
    </w:p>
    <w:p>
      <w:pPr>
        <w:pStyle w:val="938"/>
        <w:ind w:firstLine="480"/>
        <w:jc w:val="both"/>
        <w:keepLines w:val="0"/>
        <w:keepNext w:val="0"/>
        <w:pageBreakBefore w:val="0"/>
        <w:spacing w:line="4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4.4 提供业主方要求的其他保险服务。</w:t>
      </w:r>
      <w:r/>
    </w:p>
    <w:p>
      <w:pPr>
        <w:ind w:firstLine="482"/>
        <w:jc w:val="both"/>
        <w:keepLines w:val="0"/>
        <w:keepNext w:val="0"/>
        <w:pageBreakBefore w:val="0"/>
        <w:spacing w:line="440" w:lineRule="exact"/>
        <w:widowControl w:val="off"/>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六、商务部分</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1、投标人或其总公司综合偿付能力充足率100%（含）以上的优先；</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2、投标人或其总公司核心偿付能力充足率100%（含）以上的优先；</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3、2024年四季度至2025年三季度连续四个季度投标人或其总公司的风险综合评级B类（含）以上的优先；</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4、投标人自2023年1月1日起（以签订合同时间为准），具有同类团体人身保险业绩的优先；</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5、宣传培训承诺协助采购方每年开展不少于2次的宣传活动，提升被保险人对本保险项目了解的优先；协助采购方每年开展不少于2次保险项目培训的优先；提升参保人对保险知识了解和对医保信息掌握的优先；在项目开展过程中，对获取的参保人身份及就诊医疗等信息承担保密职责，确保数据安全的优先；协助采购方建立盐城市公安局专属团体综合保险业务档案的优先；</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6、本项目拟投入的项目经理保险从业经验5年及以上的优先；</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7、本项目配备的客户服务专员人数在10人及以上的优先。</w:t>
      </w:r>
      <w:r/>
    </w:p>
    <w:p>
      <w:pPr>
        <w:ind w:firstLine="482"/>
        <w:jc w:val="both"/>
        <w:keepLines w:val="0"/>
        <w:keepNext w:val="0"/>
        <w:pageBreakBefore w:val="0"/>
        <w:spacing w:line="440" w:lineRule="exact"/>
        <w:widowControl w:val="off"/>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8、投标人根据本项目保险服务团队配备要求提供项目团队组成（包括项目团队人员情况、工作分工安排）、办公设备及交通工具等进行详细阐述。至少包含以下内容：</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①项目团队人员情况</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本项目组建专职本地化服务团队，全员持证上岗，具备医保理赔、基金审核、合规风控、客户服务相关从业经验，人员结构稳定、专业匹配度高。团队包含项目负责人、业务主管、理赔审核专员、风控稽核专员、客服专员、外勤核查专员，实现岗位全覆盖、人员充足、梯队完整，可完全满足本项目全流程理赔经办与常态化服务工作。</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②团队工作分工安排</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1.项目负责人：统筹项目整体运行，负责团队管理、资源调配、质量管控、对外对接、重大事项决策，保障项目合规履约。</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2.业务主管：负责理赔业务统筹、流程管控、质量督查、问题整改、人员排班及日常业务管理。</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3.理赔审核专员：负责案件受理、资料审核、费用核算、理赔审结、台账登记，落实限时办结要求。</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4.风控稽核专员：负责理赔风险筛查、费用稽核、违规排查、案例复盘、风险减量管控，保障基金安全。</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5.客服专员：负责接报案、咨询答疑、投诉处理、群众沟通、服务回访，保障服务畅通。</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6.外勤核查专员：负责现场核查、资料核验、纠纷现场处置、医疗机构对接、上门服务等外勤工作。</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团队实行定岗定责、AB岗互补、轮岗值守制度，杜绝岗位空缺、服务断档，保障服务连续性与稳定性。</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③办公设备保障</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为本项目配齐全套专用办公设备，保障日常理赔经办、资料归档、数据处理、线上办公需求，具体配置：专用办公电脑、打印机、复印机、扫描仪、档案存储设备、智能终端、不间断电源及网络、通讯设备，设备充足、性能稳定，满足大批量案件审核、资料处理及常态化办公需要。</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④交通工具保障</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配置专属外勤服务交通工具，用于现场核查、上门服务、应急处置、跨区域对接工作，保障外勤人员快速抵达服务现场、高效完成核查及处置任务，确保应急响应及时、外勤服务不掉档，全面支撑项目落地服务。</w:t>
      </w:r>
      <w:r/>
    </w:p>
    <w:p>
      <w:pPr>
        <w:pStyle w:val="938"/>
        <w:numPr>
          <w:ilvl w:val="0"/>
          <w:numId w:val="0"/>
        </w:numPr>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七、技术部分</w:t>
      </w:r>
      <w:r/>
    </w:p>
    <w:p>
      <w:pPr>
        <w:ind w:firstLine="482"/>
        <w:jc w:val="both"/>
        <w:keepLines w:val="0"/>
        <w:keepNext w:val="0"/>
        <w:pageBreakBefore w:val="0"/>
        <w:spacing w:line="440" w:lineRule="exact"/>
        <w:widowControl w:val="off"/>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投标人应根据采购需求和本项目实际要求，制订相应的服务方案至少包含以下内容：</w:t>
      </w:r>
      <w:r/>
    </w:p>
    <w:p>
      <w:pPr>
        <w:ind w:firstLine="482"/>
        <w:jc w:val="both"/>
        <w:keepLines w:val="0"/>
        <w:keepNext w:val="0"/>
        <w:pageBreakBefore w:val="0"/>
        <w:spacing w:line="440" w:lineRule="exact"/>
        <w:widowControl w:val="off"/>
        <w:tabs>
          <w:tab w:val="left" w:pos="525" w:leader="none"/>
          <w:tab w:val="left" w:pos="960" w:leader="none"/>
          <w:tab w:val="left" w:pos="1050" w:leader="none"/>
          <w:tab w:val="left" w:pos="114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1.投标人根据本项目总体要求，提供科学合理的总体服务流程可行性方案，进行详细阐述。至少包含以下内容：</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（1）保险保障范围</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至少包括保险责任、保险方案、保险条款。</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①明确保险责任：列明承保的具体风险类型、责任范围及免责情形；</w:t>
      </w:r>
      <w:r/>
    </w:p>
    <w:p>
      <w:pPr>
        <w:pStyle w:val="938"/>
        <w:ind w:firstLine="480"/>
        <w:jc w:val="both"/>
        <w:keepLines w:val="0"/>
        <w:keepNext w:val="0"/>
        <w:pageBreakBefore w:val="0"/>
        <w:spacing w:line="440" w:lineRule="exact"/>
        <w:widowControl w:val="off"/>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供应</w:t>
      </w: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商主观违规、弄虚作假、违法谋利造成的所有损失；超授权范围开展业务引发的风险；政策重大调整、不可抗力、官方系统故障等非</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供应</w:t>
      </w: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商履职问题产生的损失；保险脱保、断保期间发生的各类风险，均不在保险承保范围内，由</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供应</w:t>
      </w: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商自行承担全部责任。</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②制定保险方案：说明保险标的、保额设定、保费计算方式、保障期限等核心内容；</w:t>
      </w:r>
      <w:r/>
    </w:p>
    <w:p>
      <w:pPr>
        <w:pStyle w:val="938"/>
        <w:ind w:firstLine="480"/>
        <w:jc w:val="both"/>
        <w:keepLines w:val="0"/>
        <w:keepNext w:val="0"/>
        <w:pageBreakBefore w:val="0"/>
        <w:spacing w:line="440" w:lineRule="exact"/>
        <w:widowControl w:val="off"/>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本项目全部履约行为，包含医保经办、审核结算、系统运维、档案管理、数据服务等全业务场景及全部在岗服务人员的执业、管理、安全服务行为。结合项目体量、服务人数、行业风险等级综合测算，保费由</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供应商</w:t>
      </w: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全额承担，纳入履约成本，不增加采购</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人</w:t>
      </w: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任何负担。</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③保险条款：解读核心条款含义，明确双方权利义务及理赔相关约定。</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须如实提交投保资料，常态化落实合规管控、风险自查及人员培训；发生保险需在24小时内报备采购</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人</w:t>
      </w: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，留存完整业务台账与操作日志，全程配合核查、理赔工作。采购</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人</w:t>
      </w: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享有保单核验、履约监督、处置知情权与监督权，并协助提供项目资料。</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（2）承保团队组建</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至少包括①组建承保服务小组：人员名单至少5人，需列明姓名、岗位、从业经验；②明确小组相关工作职责：划分各岗位的具体工作内容、权限及协作流程。</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（3）承保流程规划</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至少包括①规范承保服务：制定标准化的承保操作规范，涵盖资料审核、核保标准、出单流程等；</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建立统一标准化承保操作流程，覆盖资料审核、风险核保、保单出单全链条。严格核验投保资料的真实性、完整性与有效性；结合本项目业务体量、岗位规模及风险等级统一核保标准，科学核定保障额度与承保范围；规范保单录入、校验、出单及归档流程，实现承保全程标准化、闭环化、可追溯。</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②依法合规承保：列明承保过程中需遵循的法律法规、行业规范，制定合规审核流程；</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承保全过程严格遵照《</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中华人民共和国</w:t>
      </w: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保险法》《</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中华人民共和国</w:t>
      </w: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政府采购法》及医保行业监管规定执行。将合规审查嵌入承保各环节，严格审核投保资质、承保范围、保额设置及条款约定的合法性，杜绝违规承保、超范围承保等问题。常态化开展合规自查，确保保险条款、责任界定、理赔规则完全契合医保风控与政府采购履约要求，保障保险保障合法有效。</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（4）风险评估与管理</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至少包括①风险预警机制：设计风险识别、监测、预警的流程及指标，明确预警响应措施；</w:t>
      </w:r>
      <w:r/>
    </w:p>
    <w:p>
      <w:pPr>
        <w:pStyle w:val="938"/>
        <w:ind w:firstLine="480"/>
        <w:jc w:val="both"/>
        <w:keepLines w:val="0"/>
        <w:keepNext w:val="0"/>
        <w:pageBreakBefore w:val="0"/>
        <w:spacing w:line="440" w:lineRule="exact"/>
        <w:widowControl w:val="off"/>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采用“人工核查+系统智能监测+多部门联审”模式，每日抽查项目台账、履约记录、结算资料，依托医保结算平台、监管平台实时抓取数据。实行分级动态监测：一般风险日常监测、较大风险每日核查、重大风险专人盯守、特大风险24小时值守监测，每周风险研判、每月形成风控分析报告。</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②应急救援团队：说明团队人员配置、响应时效、救援流程及资源保障；</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组建专项应急处置团队，专门应对项目突发履约事故、基金异常、投诉等突发事件，保障快速处置、降损维稳。风险接报后1分钟核实上报、3分钟全员到岗分工、5分钟启动现场处置；一般问题30分钟初步稳控、24小时闭环办结；重大风险实时跟进、当日报送处置进展。</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③风险防控服务：制定风险排查、风险规避、风险转移等具体服务内容及实施方式。</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实施日抽查、周排查、月全覆盖常态化排查机制。聚焦采购合规、服务履约、基金使用、岗位履职</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四</w:t>
      </w: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大板块。通过资料核查、系统比对、现场抽查、群众回访等方式开展排查，所有隐患纳入台账管理，实行销号整改、复核闭环，确保隐患清零。</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（5）增值服务提供</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至少包括①应急救援支持：列明救援服务的范围、响应时间、服务方式及资源保障；</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针对医疗保险服务项目，覆盖履约异常、基金结算错误、参保群众投诉纠纷、突发负面问题等各类应急事件处置。提供7×24小时全天候应急值守。一般问题即时响应，普通突发事件5分钟响应、30分钟出具处置方案；重大事件立即启动预案，1小时内到场处置，全程闭环跟进。采用远程指导、现场支撑、专项专班处置相结合的方式。常规问题线上快速处理。</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②安全管理咨询：说明咨询服务的内容（如安全制度搭建、风险排查指导等）、服务形式及频次。</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搭建安全合规、履约监管、基金风控等制度体系；指导全周期风险排查、隐患整改及流程优化；提供医保合规、采购政策、风险管控专项培训与咨询建议。日常咨询全天候响应；每月1次专项排查与优化指导；每季度1次合规培训；项目关键节点提供驻点专项咨询服务。</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2.投标人应根据本项目服务要求，制定理赔程序方案，至少包含以下内容：</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（1）定制理赔服务方案</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至少包含①组建理赔领导小组，明确小组职责及决策流程；</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成立专项医保理赔工作领导小组，理赔经办、审核、复核、客服骨干，全面统筹、监督、决策本项目所有医保理赔相关工作。</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②规划理赔队伍建设，说明人员配置及专业能力要求；</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全面负责理赔服务整体规划、制度落地、流程优化、质量管控及日常管理工作。监督理赔时效、差错率、投诉率，定期开展理赔质量复盘、风险研判与问题整改。对接医保主管部门、医疗机构、参保群众，协调解决理赔重大问题及服务纠纷。</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③成立应急救援团队，制定团队响应机制及工作流程；</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实行7×24小时应急响应机制，日常值守不断档；普通理赔突发问题5分钟响应、30分钟办结；复杂争议问题优先加急处置；群体性、重大问题立即启动应急预案，专人专班跟进。</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④制定理赔服务保障措施，涵盖资源、技术、人员等方面；</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实行专人专岗、AB岗互补制度，杜绝岗位空缺；建立常态化培训、月度考核、季度评优机制，稳定队伍、提升专业能力；配备专职争议处理人员，专项化解理赔纠纷。建立完善的政策文件库、理赔案例库、问题答疑库；配齐办公、核查、档案存储配套资源；与医保部门、医疗机构建立常态化对接通道，保障问题快速协调解决。依托医保结算系统、智能审核平台开展自动化理赔核查，通过数据比对、智能筛查，精准识别异常数据、违规费用；建立理赔数据台账，实现全程可追溯、可核查、可监管，提升理赔精准度与效率。</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⑤作出接报案服务承诺，明确响应时效、服务渠道等；</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坚持公开、公平、公正理赔，政策透明、标准统一、流程规范；杜绝拖延赔付、违规审核、推诿扯皮，全力提升参保群众理赔体验。</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⑥开通绿色理赔通道，说明通道适用场景及办理流程；</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针对特殊人群及紧急情形开通绿色理赔通道，适用范围：重大疾病、危重住院、意外受伤、特困人员、低保、残疾、高龄等特殊群体；紧急就医、异地急诊</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⑦制定疑难争议案件处理规则，明确处理流程及解决机制。</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针对医保理赔政策界定模糊、费用核算分歧、参保人理赔异议、票据存疑、重复报销争议、跨机构理赔纠纷等疑难复杂案件。实行一案一议、三级复核机制，保障案件处置公正规范；建立政企联动协调机制，协同医保、医疗机构化解分歧；定期复盘典型案例，优化理赔流程，从源头减少理赔争议。</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（2）特色理赔服务</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至少包含①赔付时效：分别制定核赔时效、预付赔款时效、限时赔款时效标准；</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针对危重住院、重大疾病、大额医疗紧急案件，符合条件的24小时内启动预付赔款，缓解患者就医压力。案件审结无误后，常规案件1个工作日内拨付赔款；绿色通道及特困群体案件当日审结、当日拨付。</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②有专门的风控机构提供风险减量服务：说明其提供风险减量服务的具体内容及方式。</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开展理赔前置筛查，拦截虚假报销、重复报销、超标准报销等违规行为；全程稽核费用、票据及病历数据，纠正核算偏差；定期复盘风险问题，优化理赔审核规则；开展合规宣教，减少经办及就医违规理赔问题。</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（3）理赔手续</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至少包含线下理赔流程：列明办理地点、所需材料、审核步骤及时效。</w:t>
      </w:r>
      <w:r/>
    </w:p>
    <w:p>
      <w:pPr>
        <w:pStyle w:val="938"/>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政务医保窗口、项目专属线下理赔服务网点，支持就近现场办理。本人身份证件、医保凭证、医疗票据、费用清单、病历、出院小结；特殊病种、异地、意外情形按需补充备案及佐证材料。常规无争议案件1个工作日内核结；一般复杂案件2个工作日办结；疑难核查案件最长5个工作日办结反馈。</w:t>
      </w:r>
      <w:r/>
    </w:p>
    <w:p>
      <w:pPr>
        <w:pStyle w:val="938"/>
        <w:numPr>
          <w:ilvl w:val="0"/>
          <w:numId w:val="1"/>
        </w:numPr>
        <w:ind w:firstLine="480"/>
        <w:jc w:val="both"/>
        <w:keepLines w:val="0"/>
        <w:keepNext w:val="0"/>
        <w:pageBreakBefore w:val="0"/>
        <w:spacing w:line="44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出险金额在10000元以下的赔付时效三个工作日（含）以内的优先；</w:t>
      </w:r>
      <w:r/>
    </w:p>
    <w:p>
      <w:pPr>
        <w:pStyle w:val="938"/>
        <w:numPr>
          <w:ilvl w:val="0"/>
          <w:numId w:val="0"/>
        </w:numPr>
        <w:ind w:firstLine="482"/>
        <w:jc w:val="both"/>
        <w:keepLines w:val="0"/>
        <w:keepNext w:val="0"/>
        <w:pageBreakBefore w:val="0"/>
        <w:spacing w:line="440" w:lineRule="exact"/>
        <w:widowControl w:val="off"/>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sz w:val="24"/>
          <w:szCs w:val="24"/>
          <w:highlight w:val="none"/>
          <w:shd w:val="clear" w:color="auto" w:fill="auto"/>
          <w:lang w:val="en-US" w:eastAsia="zh-CN"/>
        </w:rPr>
        <w:t xml:space="preserve">八、</w:t>
      </w:r>
      <w:r>
        <w:rPr>
          <w:rFonts w:hint="eastAsia" w:ascii="宋体" w:hAnsi="宋体" w:eastAsia="宋体" w:cs="宋体"/>
          <w:b/>
          <w:bCs w:val="0"/>
          <w:color w:val="000000" w:themeColor="text1"/>
          <w:sz w:val="24"/>
          <w:szCs w:val="24"/>
          <w:highlight w:val="none"/>
          <w14:textFill>
            <w14:solidFill>
              <w14:schemeClr w14:val="tx1"/>
            </w14:solidFill>
          </w14:textFill>
        </w:rPr>
        <w:t xml:space="preserve">采购标的对应的中小企业划分标准所属行业一览表</w:t>
      </w:r>
      <w:r/>
    </w:p>
    <w:tbl>
      <w:tblPr>
        <w:tblStyle w:val="722"/>
        <w:tblW w:w="8501"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690"/>
        <w:gridCol w:w="3661"/>
        <w:gridCol w:w="3150"/>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933"/>
              <w:jc w:val="center"/>
              <w:keepLines w:val="0"/>
              <w:keepNext w:val="0"/>
              <w:pageBreakBefore w:val="0"/>
              <w:spacing w:beforeAutospacing="0" w:afterAutospacing="0" w:line="440" w:lineRule="exact"/>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661" w:type="dxa"/>
            <w:vAlign w:val="center"/>
            <w:textDirection w:val="lrTb"/>
            <w:noWrap w:val="false"/>
          </w:tcPr>
          <w:p>
            <w:pPr>
              <w:pStyle w:val="933"/>
              <w:jc w:val="center"/>
              <w:keepLines w:val="0"/>
              <w:keepNext w:val="0"/>
              <w:pageBreakBefore w:val="0"/>
              <w:spacing w:beforeAutospacing="0" w:afterAutospacing="0" w:line="440" w:lineRule="exact"/>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采购标的</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33"/>
              <w:jc w:val="center"/>
              <w:keepLines w:val="0"/>
              <w:keepNext w:val="0"/>
              <w:pageBreakBefore w:val="0"/>
              <w:spacing w:beforeAutospacing="0" w:afterAutospacing="0" w:line="440" w:lineRule="exact"/>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933"/>
              <w:jc w:val="center"/>
              <w:keepLines w:val="0"/>
              <w:keepNext w:val="0"/>
              <w:pageBreakBefore w:val="0"/>
              <w:spacing w:beforeAutospacing="0" w:afterAutospacing="0" w:line="440" w:lineRule="exact"/>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661" w:type="dxa"/>
            <w:vAlign w:val="center"/>
            <w:textDirection w:val="lrTb"/>
            <w:noWrap w:val="false"/>
          </w:tcPr>
          <w:p>
            <w:pPr>
              <w:pStyle w:val="933"/>
              <w:jc w:val="center"/>
              <w:keepLines w:val="0"/>
              <w:keepNext w:val="0"/>
              <w:pageBreakBefore w:val="0"/>
              <w:spacing w:beforeAutospacing="0" w:afterAutospacing="0" w:line="440" w:lineRule="exact"/>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盐城市公安局2026年度公安民警家庭医疗保险服务采购项目</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33"/>
              <w:jc w:val="center"/>
              <w:keepLines w:val="0"/>
              <w:keepNext w:val="0"/>
              <w:pageBreakBefore w:val="0"/>
              <w:spacing w:beforeAutospacing="0" w:afterAutospacing="0" w:line="440" w:lineRule="exact"/>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租赁和商务服务业</w:t>
            </w:r>
            <w:r/>
          </w:p>
        </w:tc>
      </w:tr>
    </w:tbl>
    <w:p>
      <w:pPr>
        <w:pStyle w:val="933"/>
        <w:ind w:firstLine="480"/>
        <w:jc w:val="both"/>
        <w:spacing w:beforeAutospacing="0" w:afterAutospacing="0" w:line="0" w:lineRule="atLeast"/>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 </w:t>
      </w:r>
      <w:r/>
    </w:p>
    <w:p>
      <w:pPr>
        <w:keepLines w:val="0"/>
        <w:keepNext w:val="0"/>
        <w:pageBreakBefore w:val="0"/>
        <w:spacing w:line="540" w:lineRule="exact"/>
        <w:widowControl w:val="off"/>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r>
      <w:r/>
    </w:p>
    <w:p>
      <w:pPr>
        <w:keepLines w:val="0"/>
        <w:keepNext w:val="0"/>
        <w:pageBreakBefore w:val="0"/>
        <w:spacing w:line="540" w:lineRule="exact"/>
        <w:widowControl w:val="off"/>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r>
      <w:r/>
    </w:p>
    <w:p>
      <w:pPr>
        <w:keepLines w:val="0"/>
        <w:keepNext w:val="0"/>
        <w:pageBreakBefore w:val="0"/>
        <w:spacing w:line="540" w:lineRule="exact"/>
        <w:widowControl w:val="off"/>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r>
      <w:r/>
    </w:p>
    <w:p>
      <w:pPr>
        <w:keepLines w:val="0"/>
        <w:keepNext w:val="0"/>
        <w:pageBreakBefore w:val="0"/>
        <w:spacing w:line="540" w:lineRule="exact"/>
        <w:widowControl w:val="off"/>
        <w:rPr>
          <w:rFonts w:hint="eastAsia" w:ascii="宋体" w:hAnsi="宋体" w:eastAsia="宋体" w:cs="宋体"/>
          <w:b w:val="0"/>
          <w:bCs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r>
      <w:r/>
    </w:p>
    <w:p>
      <w:pPr>
        <w:keepLines w:val="0"/>
        <w:keepNext w:val="0"/>
        <w:pageBreakBefore w:val="0"/>
        <w:spacing w:line="540" w:lineRule="exact"/>
        <w:widowControl w:val="off"/>
        <w:rPr>
          <w:rFonts w:hint="eastAsia" w:ascii="宋体" w:hAnsi="宋体" w:eastAsia="宋体" w:cs="宋体"/>
          <w:b w:val="0"/>
          <w:bCs w:val="0"/>
          <w:sz w:val="24"/>
          <w:szCs w:val="24"/>
          <w:highlight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r>
      <w:r/>
    </w:p>
    <w:p>
      <w:pPr>
        <w:keepLines w:val="0"/>
        <w:keepNext w:val="0"/>
        <w:pageBreakBefore w:val="0"/>
        <w:spacing w:line="540" w:lineRule="exact"/>
        <w:widowControl w:val="off"/>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r>
      <w:r/>
    </w:p>
    <w:p>
      <w:pPr>
        <w:pStyle w:val="744"/>
        <w:jc w:val="center"/>
        <w:spacing w:beforeAutospacing="0" w:afterAutospacing="0" w:line="508" w:lineRule="exact"/>
        <w:rPr>
          <w:rFonts w:hint="eastAsia" w:ascii="宋体" w:hAnsi="宋体" w:eastAsia="宋体" w:cs="宋体"/>
          <w:b w:val="0"/>
          <w:bCs/>
          <w:color w:val="000000" w:themeColor="text1"/>
          <w:sz w:val="44"/>
          <w:szCs w:val="44"/>
          <w:highlight w:val="none"/>
          <w14:textFill>
            <w14:solidFill>
              <w14:schemeClr w14:val="tx1"/>
            </w14:solidFill>
          </w14:textFill>
        </w:rPr>
        <w:outlineLvl w:val="0"/>
      </w:pPr>
      <w:r>
        <w:rPr>
          <w:rFonts w:hint="eastAsia" w:ascii="宋体" w:hAnsi="宋体" w:eastAsia="宋体" w:cs="宋体"/>
          <w:b w:val="0"/>
          <w:bCs/>
          <w:color w:val="000000" w:themeColor="text1"/>
          <w:sz w:val="44"/>
          <w:szCs w:val="44"/>
          <w:highlight w:val="none"/>
          <w14:textFill>
            <w14:solidFill>
              <w14:schemeClr w14:val="tx1"/>
            </w14:solidFill>
          </w14:textFill>
        </w:rPr>
        <w:t xml:space="preserve">第五章评审方法与评审标准</w:t>
      </w:r>
      <w:bookmarkEnd w:id="185"/>
      <w:r/>
      <w:bookmarkEnd w:id="186"/>
      <w:r/>
      <w:r/>
    </w:p>
    <w:p>
      <w:pPr>
        <w:ind w:firstLine="420"/>
        <w:spacing w:line="400" w:lineRule="exact"/>
        <w:rPr>
          <w:rFonts w:ascii="黑体" w:hAnsi="黑体" w:eastAsia="黑体"/>
          <w:b w:val="0"/>
          <w:bCs/>
          <w:color w:val="000000" w:themeColor="text1"/>
          <w:sz w:val="24"/>
          <w:szCs w:val="24"/>
          <w:highlight w:val="none"/>
          <w14:textFill>
            <w14:solidFill>
              <w14:schemeClr w14:val="tx1"/>
            </w14:solidFill>
          </w14:textFill>
        </w:rPr>
      </w:pPr>
      <w:r>
        <w:rPr>
          <w:rFonts w:hint="eastAsia" w:ascii="黑体" w:hAnsi="黑体" w:eastAsia="黑体"/>
          <w:b w:val="0"/>
          <w:bCs/>
          <w:color w:val="000000" w:themeColor="text1"/>
          <w:sz w:val="24"/>
          <w:szCs w:val="24"/>
          <w:highlight w:val="none"/>
          <w14:textFill>
            <w14:solidFill>
              <w14:schemeClr w14:val="tx1"/>
            </w14:solidFill>
          </w14:textFill>
        </w:rPr>
        <w:t xml:space="preserve">一、定标原则</w:t>
      </w:r>
      <w:r/>
    </w:p>
    <w:p>
      <w:pPr>
        <w:ind w:firstLine="420"/>
        <w:spacing w:line="400" w:lineRule="exact"/>
        <w:rPr>
          <w:rFonts w:cs="Arial" w:asciiTheme="minorEastAsia" w:hAnsiTheme="minorEastAsia"/>
          <w:b w:val="0"/>
          <w:bCs/>
          <w:color w:val="000000" w:themeColor="text1"/>
          <w:sz w:val="24"/>
          <w:szCs w:val="24"/>
          <w:highlight w:val="none"/>
          <w14:textFill>
            <w14:solidFill>
              <w14:schemeClr w14:val="tx1"/>
            </w14:solidFill>
          </w14:textFill>
        </w:rPr>
      </w:pPr>
      <w:r>
        <w:rPr>
          <w:rFonts w:hint="eastAsia" w:asciiTheme="minorEastAsia" w:hAnsiTheme="minorEastAsia"/>
          <w:b w:val="0"/>
          <w:bCs/>
          <w:color w:val="000000" w:themeColor="text1"/>
          <w:sz w:val="24"/>
          <w:szCs w:val="24"/>
          <w:highlight w:val="none"/>
          <w14:textFill>
            <w14:solidFill>
              <w14:schemeClr w14:val="tx1"/>
            </w14:solidFill>
          </w14:textFill>
        </w:rPr>
        <w:t xml:space="preserve">本项目采用综合评分法，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ind w:firstLine="422"/>
        <w:spacing w:line="400" w:lineRule="exact"/>
        <w:rPr>
          <w:rFonts w:asciiTheme="minorEastAsia" w:hAnsiTheme="minorEastAsia"/>
          <w:b w:val="0"/>
          <w:bCs/>
          <w:color w:val="000000" w:themeColor="text1"/>
          <w:sz w:val="24"/>
          <w:szCs w:val="24"/>
          <w:highlight w:val="none"/>
          <w14:textFill>
            <w14:solidFill>
              <w14:schemeClr w14:val="tx1"/>
            </w14:solidFill>
          </w14:textFill>
        </w:rPr>
      </w:pPr>
      <w:r>
        <w:rPr>
          <w:rFonts w:hint="eastAsia" w:asciiTheme="minorEastAsia" w:hAnsiTheme="minorEastAsia"/>
          <w:b w:val="0"/>
          <w:bCs/>
          <w:color w:val="000000" w:themeColor="text1"/>
          <w:sz w:val="24"/>
          <w:szCs w:val="24"/>
          <w:highlight w:val="none"/>
          <w14:textFill>
            <w14:solidFill>
              <w14:schemeClr w14:val="tx1"/>
            </w14:solidFill>
          </w14:textFill>
        </w:rPr>
        <w:t xml:space="preserve">政府采购政策功能落实</w:t>
      </w:r>
      <w:r/>
    </w:p>
    <w:p>
      <w:pPr>
        <w:ind w:firstLine="420"/>
        <w:spacing w:line="400" w:lineRule="exact"/>
        <w:rPr>
          <w:rFonts w:asciiTheme="minorEastAsia" w:hAnsiTheme="minorEastAsia"/>
          <w:b w:val="0"/>
          <w:bCs/>
          <w:color w:val="000000" w:themeColor="text1"/>
          <w:sz w:val="24"/>
          <w:szCs w:val="24"/>
          <w:highlight w:val="none"/>
          <w14:textFill>
            <w14:solidFill>
              <w14:schemeClr w14:val="tx1"/>
            </w14:solidFill>
          </w14:textFill>
        </w:rPr>
      </w:pPr>
      <w:r>
        <w:rPr>
          <w:rFonts w:hint="eastAsia" w:asciiTheme="minorEastAsia" w:hAnsiTheme="minorEastAsia"/>
          <w:b w:val="0"/>
          <w:bCs/>
          <w:color w:val="000000" w:themeColor="text1"/>
          <w:sz w:val="24"/>
          <w:szCs w:val="24"/>
          <w:highlight w:val="none"/>
          <w14:textFill>
            <w14:solidFill>
              <w14:schemeClr w14:val="tx1"/>
            </w14:solidFill>
          </w14:textFill>
        </w:rPr>
        <w:t xml:space="preserve">1.小微型企业价格扣除</w:t>
      </w:r>
      <w:r/>
    </w:p>
    <w:p>
      <w:pPr>
        <w:ind w:firstLine="420"/>
        <w:spacing w:line="400" w:lineRule="exact"/>
        <w:rPr>
          <w:rFonts w:asciiTheme="minorEastAsia" w:hAnsiTheme="minorEastAsia"/>
          <w:b w:val="0"/>
          <w:bCs/>
          <w:color w:val="000000" w:themeColor="text1"/>
          <w:sz w:val="24"/>
          <w:szCs w:val="24"/>
          <w:highlight w:val="none"/>
          <w14:textFill>
            <w14:solidFill>
              <w14:schemeClr w14:val="tx1"/>
            </w14:solidFill>
          </w14:textFill>
        </w:rPr>
      </w:pPr>
      <w:r>
        <w:rPr>
          <w:rFonts w:hint="eastAsia" w:asciiTheme="minorEastAsia" w:hAnsiTheme="minorEastAsia"/>
          <w:b w:val="0"/>
          <w:bCs/>
          <w:color w:val="000000" w:themeColor="text1"/>
          <w:sz w:val="24"/>
          <w:szCs w:val="24"/>
          <w:highlight w:val="none"/>
          <w14:textFill>
            <w14:solidFill>
              <w14:schemeClr w14:val="tx1"/>
            </w14:solidFill>
          </w14:textFill>
        </w:rPr>
        <w:t xml:space="preserve">（1）本项目不专门面向中小企业采购，对符合规定的小型和微型企业报价给予</w:t>
      </w:r>
      <w:r>
        <w:rPr>
          <w:rFonts w:hint="eastAsia" w:asciiTheme="minorEastAsia" w:hAnsiTheme="minorEastAsia"/>
          <w:b w:val="0"/>
          <w:bCs/>
          <w:color w:val="000000" w:themeColor="text1"/>
          <w:sz w:val="24"/>
          <w:szCs w:val="24"/>
          <w:highlight w:val="none"/>
          <w:u w:val="single"/>
          <w14:textFill>
            <w14:solidFill>
              <w14:schemeClr w14:val="tx1"/>
            </w14:solidFill>
          </w14:textFill>
        </w:rPr>
        <w:t xml:space="preserve">20%</w:t>
      </w:r>
      <w:r>
        <w:rPr>
          <w:rFonts w:hint="eastAsia" w:asciiTheme="minorEastAsia" w:hAnsiTheme="minorEastAsia"/>
          <w:b w:val="0"/>
          <w:bCs/>
          <w:color w:val="000000" w:themeColor="text1"/>
          <w:sz w:val="24"/>
          <w:szCs w:val="24"/>
          <w:highlight w:val="none"/>
          <w14:textFill>
            <w14:solidFill>
              <w14:schemeClr w14:val="tx1"/>
            </w14:solidFill>
          </w14:textFill>
        </w:rPr>
        <w:t xml:space="preserve">的扣除价格，用扣除后的价格参与评审。</w:t>
      </w:r>
      <w:r/>
    </w:p>
    <w:p>
      <w:pPr>
        <w:ind w:firstLine="420"/>
        <w:spacing w:line="400" w:lineRule="exact"/>
        <w:rPr>
          <w:rFonts w:asciiTheme="minorEastAsia" w:hAnsiTheme="minorEastAsia"/>
          <w:b w:val="0"/>
          <w:bCs/>
          <w:color w:val="000000" w:themeColor="text1"/>
          <w:sz w:val="24"/>
          <w:szCs w:val="24"/>
          <w:highlight w:val="none"/>
          <w14:textFill>
            <w14:solidFill>
              <w14:schemeClr w14:val="tx1"/>
            </w14:solidFill>
          </w14:textFill>
        </w:rPr>
      </w:pPr>
      <w:r>
        <w:rPr>
          <w:rFonts w:hint="eastAsia" w:asciiTheme="minorEastAsia" w:hAnsiTheme="minorEastAsia"/>
          <w:b w:val="0"/>
          <w:bCs/>
          <w:color w:val="000000" w:themeColor="text1"/>
          <w:sz w:val="24"/>
          <w:szCs w:val="24"/>
          <w:highlight w:val="none"/>
          <w14:textFill>
            <w14:solidFill>
              <w14:schemeClr w14:val="tx1"/>
            </w14:solidFill>
          </w14:textFill>
        </w:rPr>
        <w:t xml:space="preserve">（2）供应商需按照磋商文件的要求提供相应的《中小企业声明函》。</w:t>
      </w:r>
      <w:r/>
    </w:p>
    <w:p>
      <w:pPr>
        <w:ind w:firstLine="420"/>
        <w:spacing w:line="400" w:lineRule="exact"/>
        <w:rPr>
          <w:rFonts w:asciiTheme="minorEastAsia" w:hAnsiTheme="minorEastAsia"/>
          <w:b w:val="0"/>
          <w:bCs/>
          <w:color w:val="000000" w:themeColor="text1"/>
          <w:sz w:val="24"/>
          <w:szCs w:val="24"/>
          <w:highlight w:val="none"/>
          <w14:textFill>
            <w14:solidFill>
              <w14:schemeClr w14:val="tx1"/>
            </w14:solidFill>
          </w14:textFill>
        </w:rPr>
      </w:pPr>
      <w:r>
        <w:rPr>
          <w:rFonts w:hint="eastAsia" w:asciiTheme="minorEastAsia" w:hAnsiTheme="minorEastAsia"/>
          <w:b w:val="0"/>
          <w:bCs/>
          <w:color w:val="000000" w:themeColor="text1"/>
          <w:sz w:val="24"/>
          <w:szCs w:val="24"/>
          <w:highlight w:val="none"/>
          <w14:textFill>
            <w14:solidFill>
              <w14:schemeClr w14:val="tx1"/>
            </w14:solidFill>
          </w14:textFill>
        </w:rPr>
        <w:t xml:space="preserve">（3）企业标准请参照《关于印发中小企业划型标准规定的通知》（工信部联企业〔2011〕300号）文件规定自行填写。</w:t>
      </w:r>
      <w:r/>
    </w:p>
    <w:p>
      <w:pPr>
        <w:ind w:firstLine="420"/>
        <w:spacing w:line="400" w:lineRule="exact"/>
        <w:rPr>
          <w:rFonts w:asciiTheme="minorEastAsia" w:hAnsiTheme="minorEastAsia"/>
          <w:b w:val="0"/>
          <w:bCs/>
          <w:color w:val="000000" w:themeColor="text1"/>
          <w:sz w:val="24"/>
          <w:szCs w:val="24"/>
          <w:highlight w:val="none"/>
          <w14:textFill>
            <w14:solidFill>
              <w14:schemeClr w14:val="tx1"/>
            </w14:solidFill>
          </w14:textFill>
        </w:rPr>
      </w:pPr>
      <w:r>
        <w:rPr>
          <w:rFonts w:hint="eastAsia" w:asciiTheme="minorEastAsia" w:hAnsiTheme="minorEastAsia"/>
          <w:b w:val="0"/>
          <w:bCs/>
          <w:color w:val="000000" w:themeColor="text1"/>
          <w:sz w:val="24"/>
          <w:szCs w:val="24"/>
          <w:highlight w:val="none"/>
          <w14:textFill>
            <w14:solidFill>
              <w14:schemeClr w14:val="tx1"/>
            </w14:solidFill>
          </w14:textFill>
        </w:rPr>
        <w:t xml:space="preserve">2.残疾人福利单位价格扣除</w:t>
      </w:r>
      <w:r/>
    </w:p>
    <w:p>
      <w:pPr>
        <w:ind w:firstLine="420"/>
        <w:spacing w:line="400" w:lineRule="exact"/>
        <w:rPr>
          <w:rFonts w:asciiTheme="minorEastAsia" w:hAnsiTheme="minorEastAsia"/>
          <w:b w:val="0"/>
          <w:bCs/>
          <w:color w:val="000000" w:themeColor="text1"/>
          <w:sz w:val="24"/>
          <w:szCs w:val="24"/>
          <w:highlight w:val="none"/>
          <w14:textFill>
            <w14:solidFill>
              <w14:schemeClr w14:val="tx1"/>
            </w14:solidFill>
          </w14:textFill>
        </w:rPr>
      </w:pPr>
      <w:r>
        <w:rPr>
          <w:rFonts w:hint="eastAsia" w:asciiTheme="minorEastAsia" w:hAnsiTheme="minorEastAsia"/>
          <w:b w:val="0"/>
          <w:bCs/>
          <w:color w:val="000000" w:themeColor="text1"/>
          <w:sz w:val="24"/>
          <w:szCs w:val="24"/>
          <w:highlight w:val="none"/>
          <w14:textFill>
            <w14:solidFill>
              <w14:schemeClr w14:val="tx1"/>
            </w14:solidFill>
          </w14:textFill>
        </w:rPr>
        <w:t xml:space="preserve">（1）本项目对残疾人福利性单位视同小型、微型企业，给予</w:t>
      </w:r>
      <w:r>
        <w:rPr>
          <w:rFonts w:hint="eastAsia" w:asciiTheme="minorEastAsia" w:hAnsiTheme="minorEastAsia"/>
          <w:b w:val="0"/>
          <w:bCs/>
          <w:color w:val="000000" w:themeColor="text1"/>
          <w:sz w:val="24"/>
          <w:szCs w:val="24"/>
          <w:highlight w:val="none"/>
          <w:u w:val="single"/>
          <w14:textFill>
            <w14:solidFill>
              <w14:schemeClr w14:val="tx1"/>
            </w14:solidFill>
          </w14:textFill>
        </w:rPr>
        <w:t xml:space="preserve">20%</w:t>
      </w:r>
      <w:r>
        <w:rPr>
          <w:rFonts w:hint="eastAsia" w:asciiTheme="minorEastAsia" w:hAnsiTheme="minorEastAsia"/>
          <w:b w:val="0"/>
          <w:bCs/>
          <w:color w:val="000000" w:themeColor="text1"/>
          <w:sz w:val="24"/>
          <w:szCs w:val="24"/>
          <w:highlight w:val="none"/>
          <w14:textFill>
            <w14:solidFill>
              <w14:schemeClr w14:val="tx1"/>
            </w14:solidFill>
          </w14:textFill>
        </w:rPr>
        <w:t xml:space="preserve">的价格扣除，用扣除后的价格参与评审。</w:t>
      </w:r>
      <w:r/>
    </w:p>
    <w:p>
      <w:pPr>
        <w:ind w:firstLine="420"/>
        <w:spacing w:line="400" w:lineRule="exact"/>
        <w:rPr>
          <w:rFonts w:asciiTheme="minorEastAsia" w:hAnsiTheme="minorEastAsia"/>
          <w:b w:val="0"/>
          <w:bCs/>
          <w:color w:val="000000" w:themeColor="text1"/>
          <w:sz w:val="24"/>
          <w:szCs w:val="24"/>
          <w:highlight w:val="none"/>
          <w14:textFill>
            <w14:solidFill>
              <w14:schemeClr w14:val="tx1"/>
            </w14:solidFill>
          </w14:textFill>
        </w:rPr>
      </w:pPr>
      <w:r>
        <w:rPr>
          <w:rFonts w:hint="eastAsia" w:asciiTheme="minorEastAsia" w:hAnsiTheme="minorEastAsia"/>
          <w:b w:val="0"/>
          <w:bCs/>
          <w:color w:val="000000" w:themeColor="text1"/>
          <w:sz w:val="24"/>
          <w:szCs w:val="24"/>
          <w:highlight w:val="none"/>
          <w14:textFill>
            <w14:solidFill>
              <w14:schemeClr w14:val="tx1"/>
            </w14:solidFill>
          </w14:textFill>
        </w:rPr>
        <w:t xml:space="preserve">（2）残疾人福利单位需按照磋商文件的要求提供《残疾人福利性单位声明函》。</w:t>
      </w:r>
      <w:r/>
    </w:p>
    <w:p>
      <w:pPr>
        <w:ind w:firstLine="420"/>
        <w:spacing w:line="400" w:lineRule="exact"/>
        <w:rPr>
          <w:rFonts w:asciiTheme="minorEastAsia" w:hAnsiTheme="minorEastAsia"/>
          <w:b w:val="0"/>
          <w:bCs/>
          <w:color w:val="000000" w:themeColor="text1"/>
          <w:sz w:val="24"/>
          <w:szCs w:val="24"/>
          <w:highlight w:val="none"/>
          <w14:textFill>
            <w14:solidFill>
              <w14:schemeClr w14:val="tx1"/>
            </w14:solidFill>
          </w14:textFill>
        </w:rPr>
      </w:pPr>
      <w:r>
        <w:rPr>
          <w:rFonts w:hint="eastAsia" w:asciiTheme="minorEastAsia" w:hAnsiTheme="minorEastAsia"/>
          <w:b w:val="0"/>
          <w:bCs/>
          <w:color w:val="000000" w:themeColor="text1"/>
          <w:sz w:val="24"/>
          <w:szCs w:val="24"/>
          <w:highlight w:val="none"/>
          <w14:textFill>
            <w14:solidFill>
              <w14:schemeClr w14:val="tx1"/>
            </w14:solidFill>
          </w14:textFill>
        </w:rPr>
        <w:t xml:space="preserve">（3）残疾人福利单位标准请参照《关于促进残疾人就业政府采购政策的通知》（财库〔2017〕141号）。</w:t>
      </w:r>
      <w:r/>
    </w:p>
    <w:p>
      <w:pPr>
        <w:ind w:firstLine="420"/>
        <w:spacing w:line="400" w:lineRule="exact"/>
        <w:rPr>
          <w:rFonts w:asciiTheme="minorEastAsia" w:hAnsiTheme="minorEastAsia"/>
          <w:b w:val="0"/>
          <w:bCs/>
          <w:color w:val="000000" w:themeColor="text1"/>
          <w:sz w:val="24"/>
          <w:szCs w:val="24"/>
          <w:highlight w:val="none"/>
          <w14:textFill>
            <w14:solidFill>
              <w14:schemeClr w14:val="tx1"/>
            </w14:solidFill>
          </w14:textFill>
        </w:rPr>
      </w:pPr>
      <w:r>
        <w:rPr>
          <w:rFonts w:hint="eastAsia" w:asciiTheme="minorEastAsia" w:hAnsiTheme="minorEastAsia"/>
          <w:b w:val="0"/>
          <w:bCs/>
          <w:color w:val="000000" w:themeColor="text1"/>
          <w:sz w:val="24"/>
          <w:szCs w:val="24"/>
          <w:highlight w:val="none"/>
          <w14:textFill>
            <w14:solidFill>
              <w14:schemeClr w14:val="tx1"/>
            </w14:solidFill>
          </w14:textFill>
        </w:rPr>
        <w:t xml:space="preserve">3.监狱和戒毒企业价格扣除</w:t>
      </w:r>
      <w:r/>
    </w:p>
    <w:p>
      <w:pPr>
        <w:ind w:firstLine="420"/>
        <w:spacing w:line="400" w:lineRule="exact"/>
        <w:rPr>
          <w:rFonts w:asciiTheme="minorEastAsia" w:hAnsiTheme="minorEastAsia"/>
          <w:b w:val="0"/>
          <w:bCs/>
          <w:color w:val="000000" w:themeColor="text1"/>
          <w:sz w:val="24"/>
          <w:szCs w:val="24"/>
          <w:highlight w:val="none"/>
          <w14:textFill>
            <w14:solidFill>
              <w14:schemeClr w14:val="tx1"/>
            </w14:solidFill>
          </w14:textFill>
        </w:rPr>
      </w:pPr>
      <w:r>
        <w:rPr>
          <w:rFonts w:hint="eastAsia" w:asciiTheme="minorEastAsia" w:hAnsiTheme="minorEastAsia"/>
          <w:b w:val="0"/>
          <w:bCs/>
          <w:color w:val="000000" w:themeColor="text1"/>
          <w:sz w:val="24"/>
          <w:szCs w:val="24"/>
          <w:highlight w:val="none"/>
          <w14:textFill>
            <w14:solidFill>
              <w14:schemeClr w14:val="tx1"/>
            </w14:solidFill>
          </w14:textFill>
        </w:rPr>
        <w:t xml:space="preserve">（1）本项目对监狱和戒毒企业（简称监狱企业）视同小型、微型企业，给予</w:t>
      </w:r>
      <w:r>
        <w:rPr>
          <w:rFonts w:hint="eastAsia" w:asciiTheme="minorEastAsia" w:hAnsiTheme="minorEastAsia"/>
          <w:b w:val="0"/>
          <w:bCs/>
          <w:color w:val="000000" w:themeColor="text1"/>
          <w:sz w:val="24"/>
          <w:szCs w:val="24"/>
          <w:highlight w:val="none"/>
          <w:u w:val="single"/>
          <w14:textFill>
            <w14:solidFill>
              <w14:schemeClr w14:val="tx1"/>
            </w14:solidFill>
          </w14:textFill>
        </w:rPr>
        <w:t xml:space="preserve">20%</w:t>
      </w:r>
      <w:r>
        <w:rPr>
          <w:rFonts w:hint="eastAsia" w:asciiTheme="minorEastAsia" w:hAnsiTheme="minorEastAsia"/>
          <w:b w:val="0"/>
          <w:bCs/>
          <w:color w:val="000000" w:themeColor="text1"/>
          <w:sz w:val="24"/>
          <w:szCs w:val="24"/>
          <w:highlight w:val="none"/>
          <w14:textFill>
            <w14:solidFill>
              <w14:schemeClr w14:val="tx1"/>
            </w14:solidFill>
          </w14:textFill>
        </w:rPr>
        <w:t xml:space="preserve">的价格扣除，用扣除后的价格参与评审。</w:t>
      </w:r>
      <w:r/>
    </w:p>
    <w:p>
      <w:pPr>
        <w:ind w:firstLine="420"/>
        <w:spacing w:line="400" w:lineRule="exact"/>
        <w:rPr>
          <w:rFonts w:asciiTheme="minorEastAsia" w:hAnsiTheme="minorEastAsia"/>
          <w:b w:val="0"/>
          <w:bCs/>
          <w:color w:val="000000" w:themeColor="text1"/>
          <w:sz w:val="24"/>
          <w:szCs w:val="24"/>
          <w:highlight w:val="none"/>
          <w14:textFill>
            <w14:solidFill>
              <w14:schemeClr w14:val="tx1"/>
            </w14:solidFill>
          </w14:textFill>
        </w:rPr>
      </w:pPr>
      <w:r>
        <w:rPr>
          <w:rFonts w:hint="eastAsia" w:asciiTheme="minorEastAsia" w:hAnsiTheme="minorEastAsia"/>
          <w:b w:val="0"/>
          <w:bCs/>
          <w:color w:val="000000" w:themeColor="text1"/>
          <w:sz w:val="24"/>
          <w:szCs w:val="24"/>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400" w:lineRule="exact"/>
        <w:rPr>
          <w:rFonts w:asciiTheme="minorEastAsia" w:hAnsiTheme="minorEastAsia"/>
          <w:b w:val="0"/>
          <w:bCs/>
          <w:color w:val="000000" w:themeColor="text1"/>
          <w:sz w:val="24"/>
          <w:szCs w:val="24"/>
          <w:highlight w:val="none"/>
          <w14:textFill>
            <w14:solidFill>
              <w14:schemeClr w14:val="tx1"/>
            </w14:solidFill>
          </w14:textFill>
        </w:rPr>
      </w:pPr>
      <w:r>
        <w:rPr>
          <w:rFonts w:hint="eastAsia" w:asciiTheme="minorEastAsia" w:hAnsiTheme="minorEastAsia"/>
          <w:b w:val="0"/>
          <w:bCs/>
          <w:color w:val="000000" w:themeColor="text1"/>
          <w:sz w:val="24"/>
          <w:szCs w:val="24"/>
          <w:highlight w:val="none"/>
          <w14:textFill>
            <w14:solidFill>
              <w14:schemeClr w14:val="tx1"/>
            </w14:solidFill>
          </w14:textFill>
        </w:rPr>
        <w:t xml:space="preserve">（3）监狱企业标准请参照《关于政府采购支持监狱企业发展有关问题的通知》（财库〔2014〕68号）。</w:t>
      </w:r>
      <w:r/>
    </w:p>
    <w:p>
      <w:pPr>
        <w:ind w:firstLine="420"/>
        <w:spacing w:line="400" w:lineRule="exact"/>
        <w:rPr>
          <w:rFonts w:asciiTheme="minorEastAsia" w:hAnsiTheme="minorEastAsia"/>
          <w:b w:val="0"/>
          <w:bCs/>
          <w:color w:val="000000" w:themeColor="text1"/>
          <w:sz w:val="24"/>
          <w:szCs w:val="24"/>
          <w:highlight w:val="none"/>
          <w14:textFill>
            <w14:solidFill>
              <w14:schemeClr w14:val="tx1"/>
            </w14:solidFill>
          </w14:textFill>
        </w:rPr>
      </w:pPr>
      <w:r>
        <w:rPr>
          <w:rFonts w:hint="eastAsia" w:asciiTheme="minorEastAsia" w:hAnsiTheme="minorEastAsia"/>
          <w:b w:val="0"/>
          <w:bCs/>
          <w:color w:val="000000" w:themeColor="text1"/>
          <w:sz w:val="24"/>
          <w:szCs w:val="24"/>
          <w:highlight w:val="none"/>
          <w14:textFill>
            <w14:solidFill>
              <w14:schemeClr w14:val="tx1"/>
            </w14:solidFill>
          </w14:textFill>
        </w:rPr>
        <w:t xml:space="preserve">4.残疾人福利单位、监狱企业属于小型、微型企业的，不重复享受政策。</w:t>
      </w:r>
      <w:r/>
    </w:p>
    <w:p>
      <w:pPr>
        <w:ind w:firstLine="420"/>
        <w:spacing w:line="400" w:lineRule="exact"/>
        <w:rPr>
          <w:rFonts w:asciiTheme="minorEastAsia" w:hAnsiTheme="minorEastAsia"/>
          <w:b w:val="0"/>
          <w:bCs/>
          <w:color w:val="000000" w:themeColor="text1"/>
          <w:sz w:val="24"/>
          <w:szCs w:val="24"/>
          <w:highlight w:val="none"/>
          <w14:textFill>
            <w14:solidFill>
              <w14:schemeClr w14:val="tx1"/>
            </w14:solidFill>
          </w14:textFill>
        </w:rPr>
      </w:pPr>
      <w:r>
        <w:rPr>
          <w:rFonts w:hint="eastAsia" w:asciiTheme="minorEastAsia" w:hAnsiTheme="minorEastAsia"/>
          <w:b w:val="0"/>
          <w:bCs/>
          <w:color w:val="000000" w:themeColor="text1"/>
          <w:sz w:val="24"/>
          <w:szCs w:val="24"/>
          <w:highlight w:val="none"/>
          <w14:textFill>
            <w14:solidFill>
              <w14:schemeClr w14:val="tx1"/>
            </w14:solidFill>
          </w14:textFill>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Theme="minorEastAsia" w:hAnsiTheme="minorEastAsia"/>
          <w:b w:val="0"/>
          <w:bCs/>
          <w:color w:val="000000" w:themeColor="text1"/>
          <w:sz w:val="24"/>
          <w:szCs w:val="24"/>
          <w:highlight w:val="none"/>
          <w:u w:val="single"/>
          <w14:textFill>
            <w14:solidFill>
              <w14:schemeClr w14:val="tx1"/>
            </w14:solidFill>
          </w14:textFill>
        </w:rPr>
        <w:t xml:space="preserve">6%</w:t>
      </w:r>
      <w:r>
        <w:rPr>
          <w:rFonts w:hint="eastAsia" w:asciiTheme="minorEastAsia" w:hAnsiTheme="minorEastAsia"/>
          <w:b w:val="0"/>
          <w:bCs/>
          <w:color w:val="000000" w:themeColor="text1"/>
          <w:sz w:val="24"/>
          <w:szCs w:val="24"/>
          <w:highlight w:val="none"/>
          <w14:textFill>
            <w14:solidFill>
              <w14:schemeClr w14:val="tx1"/>
            </w14:solidFill>
          </w14:textFill>
        </w:rPr>
        <w:t xml:space="preserve">的价格扣除，用扣除后的价格参与评审。</w:t>
      </w:r>
      <w:r/>
    </w:p>
    <w:p>
      <w:pPr>
        <w:ind w:firstLine="420"/>
        <w:spacing w:line="400" w:lineRule="exact"/>
        <w:rPr>
          <w:rFonts w:asciiTheme="minorEastAsia" w:hAnsiTheme="minorEastAsia"/>
          <w:b w:val="0"/>
          <w:bCs/>
          <w:color w:val="000000" w:themeColor="text1"/>
          <w:sz w:val="24"/>
          <w:szCs w:val="24"/>
          <w:highlight w:val="none"/>
          <w14:textFill>
            <w14:solidFill>
              <w14:schemeClr w14:val="tx1"/>
            </w14:solidFill>
          </w14:textFill>
        </w:rPr>
      </w:pPr>
      <w:r>
        <w:rPr>
          <w:rFonts w:hint="eastAsia" w:asciiTheme="minorEastAsia" w:hAnsiTheme="minorEastAsia"/>
          <w:b w:val="0"/>
          <w:bCs/>
          <w:color w:val="000000" w:themeColor="text1"/>
          <w:sz w:val="24"/>
          <w:szCs w:val="24"/>
          <w:highlight w:val="none"/>
          <w14:textFill>
            <w14:solidFill>
              <w14:schemeClr w14:val="tx1"/>
            </w14:solidFill>
          </w14:textFill>
        </w:rPr>
        <w:t xml:space="preserve">6.联合体各方均为小型、微型企业（残疾人福利单位、监狱企业）的，联合体享受</w:t>
      </w:r>
      <w:r>
        <w:rPr>
          <w:rFonts w:hint="eastAsia" w:asciiTheme="minorEastAsia" w:hAnsiTheme="minorEastAsia"/>
          <w:b w:val="0"/>
          <w:bCs/>
          <w:color w:val="000000" w:themeColor="text1"/>
          <w:sz w:val="24"/>
          <w:szCs w:val="24"/>
          <w:highlight w:val="none"/>
          <w:u w:val="single"/>
          <w14:textFill>
            <w14:solidFill>
              <w14:schemeClr w14:val="tx1"/>
            </w14:solidFill>
          </w14:textFill>
        </w:rPr>
        <w:t xml:space="preserve"> 20%</w:t>
      </w:r>
      <w:r>
        <w:rPr>
          <w:rFonts w:hint="eastAsia" w:asciiTheme="minorEastAsia" w:hAnsiTheme="minorEastAsia"/>
          <w:b w:val="0"/>
          <w:bCs/>
          <w:color w:val="000000" w:themeColor="text1"/>
          <w:sz w:val="24"/>
          <w:szCs w:val="24"/>
          <w:highlight w:val="none"/>
          <w14:textFill>
            <w14:solidFill>
              <w14:schemeClr w14:val="tx1"/>
            </w14:solidFill>
          </w14:textFill>
        </w:rPr>
        <w:t xml:space="preserve">价格扣除，用扣除后的价格参与评审。</w:t>
      </w:r>
      <w:r/>
    </w:p>
    <w:p>
      <w:pPr>
        <w:ind w:firstLine="420"/>
        <w:spacing w:line="400" w:lineRule="exact"/>
        <w:rPr>
          <w:rFonts w:asciiTheme="minorEastAsia" w:hAnsiTheme="minorEastAsia"/>
          <w:b w:val="0"/>
          <w:bCs/>
          <w:color w:val="000000" w:themeColor="text1"/>
          <w:sz w:val="24"/>
          <w:szCs w:val="24"/>
          <w:highlight w:val="none"/>
          <w14:textFill>
            <w14:solidFill>
              <w14:schemeClr w14:val="tx1"/>
            </w14:solidFill>
          </w14:textFill>
        </w:rPr>
      </w:pPr>
      <w:r>
        <w:rPr>
          <w:rFonts w:hint="eastAsia" w:asciiTheme="minorEastAsia" w:hAnsiTheme="minorEastAsia"/>
          <w:b w:val="0"/>
          <w:bCs/>
          <w:color w:val="000000" w:themeColor="text1"/>
          <w:sz w:val="24"/>
          <w:szCs w:val="24"/>
          <w:highlight w:val="none"/>
          <w14:textFill>
            <w14:solidFill>
              <w14:schemeClr w14:val="tx1"/>
            </w14:solidFill>
          </w14:textFill>
        </w:rPr>
        <w:t xml:space="preserve">7.采购本国产品的支持政策（本采购项目不涉及产品、货物采购）</w:t>
      </w:r>
      <w:r/>
    </w:p>
    <w:p>
      <w:pPr>
        <w:ind w:firstLine="420"/>
        <w:spacing w:line="400" w:lineRule="exact"/>
        <w:rPr>
          <w:rFonts w:asciiTheme="minorEastAsia" w:hAnsiTheme="minorEastAsia"/>
          <w:b w:val="0"/>
          <w:bCs/>
          <w:color w:val="000000" w:themeColor="text1"/>
          <w:sz w:val="24"/>
          <w:szCs w:val="24"/>
          <w:highlight w:val="none"/>
          <w14:textFill>
            <w14:solidFill>
              <w14:schemeClr w14:val="tx1"/>
            </w14:solidFill>
          </w14:textFill>
        </w:rPr>
      </w:pPr>
      <w:r>
        <w:rPr>
          <w:rFonts w:hint="eastAsia" w:asciiTheme="minorEastAsia" w:hAnsiTheme="minorEastAsia"/>
          <w:b w:val="0"/>
          <w:bCs/>
          <w:color w:val="000000" w:themeColor="text1"/>
          <w:sz w:val="24"/>
          <w:szCs w:val="24"/>
          <w:highlight w:val="none"/>
          <w14:textFill>
            <w14:solidFill>
              <w14:schemeClr w14:val="tx1"/>
            </w14:solidFill>
          </w14:textFill>
        </w:rPr>
        <w:t xml:space="preserve">7.1本项目政府采购活动中既有本国产品又有非本国产品参与竞争的，依法对本国产品给予价格评审优惠，对本国产品的报价给予20%的价格扣除，用扣除后的价格参与评审。</w:t>
      </w:r>
      <w:r/>
    </w:p>
    <w:p>
      <w:pPr>
        <w:ind w:firstLine="420"/>
        <w:spacing w:line="400" w:lineRule="exact"/>
        <w:rPr>
          <w:rFonts w:asciiTheme="minorEastAsia" w:hAnsiTheme="minorEastAsia"/>
          <w:b w:val="0"/>
          <w:bCs/>
          <w:color w:val="000000" w:themeColor="text1"/>
          <w:sz w:val="24"/>
          <w:szCs w:val="24"/>
          <w:highlight w:val="none"/>
          <w14:textFill>
            <w14:solidFill>
              <w14:schemeClr w14:val="tx1"/>
            </w14:solidFill>
          </w14:textFill>
        </w:rPr>
      </w:pPr>
      <w:r>
        <w:rPr>
          <w:rFonts w:hint="eastAsia" w:asciiTheme="minorEastAsia" w:hAnsiTheme="minorEastAsia"/>
          <w:b w:val="0"/>
          <w:bCs/>
          <w:color w:val="000000" w:themeColor="text1"/>
          <w:sz w:val="24"/>
          <w:szCs w:val="24"/>
          <w:highlight w:val="none"/>
          <w14:textFill>
            <w14:solidFill>
              <w14:schemeClr w14:val="tx1"/>
            </w14:solidFill>
          </w14:textFill>
        </w:rPr>
        <w:t xml:space="preserve">7.2当采购项目或者采购包中含有多种产品，供应商为该采购项目或者采购包提供的符合本国产品标准的产品成本之和占该供应商提供的全部产品成本之和的比例达到80%以上时（供应商需在“第六章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400" w:lineRule="exact"/>
        <w:rPr>
          <w:rFonts w:asciiTheme="minorEastAsia" w:hAnsiTheme="minorEastAsia"/>
          <w:b w:val="0"/>
          <w:bCs/>
          <w:color w:val="000000" w:themeColor="text1"/>
          <w:sz w:val="24"/>
          <w:szCs w:val="24"/>
          <w:highlight w:val="none"/>
          <w14:textFill>
            <w14:solidFill>
              <w14:schemeClr w14:val="tx1"/>
            </w14:solidFill>
          </w14:textFill>
        </w:rPr>
      </w:pPr>
      <w:r>
        <w:rPr>
          <w:rFonts w:hint="eastAsia" w:asciiTheme="minorEastAsia" w:hAnsiTheme="minorEastAsia"/>
          <w:b w:val="0"/>
          <w:bCs/>
          <w:color w:val="000000" w:themeColor="text1"/>
          <w:sz w:val="24"/>
          <w:szCs w:val="24"/>
          <w:highlight w:val="none"/>
          <w14:textFill>
            <w14:solidFill>
              <w14:schemeClr w14:val="tx1"/>
            </w14:solidFill>
          </w14:textFill>
        </w:rPr>
        <w:t xml:space="preserve">7.3供应商需按照招标文件的要求提供《关于符合本国产品标准的声明函》（以下简称《声明函》），如不提供将不享受本国产品价格评审优惠。</w:t>
      </w:r>
      <w:r/>
    </w:p>
    <w:p>
      <w:pPr>
        <w:ind w:firstLine="420"/>
        <w:spacing w:line="400" w:lineRule="exact"/>
        <w:rPr>
          <w:rFonts w:asciiTheme="minorEastAsia" w:hAnsiTheme="minorEastAsia"/>
          <w:b w:val="0"/>
          <w:bCs/>
          <w:color w:val="000000" w:themeColor="text1"/>
          <w:sz w:val="24"/>
          <w:szCs w:val="24"/>
          <w:highlight w:val="none"/>
          <w14:textFill>
            <w14:solidFill>
              <w14:schemeClr w14:val="tx1"/>
            </w14:solidFill>
          </w14:textFill>
        </w:rPr>
      </w:pPr>
      <w:r>
        <w:rPr>
          <w:rFonts w:hint="eastAsia" w:asciiTheme="minorEastAsia" w:hAnsiTheme="minorEastAsia"/>
          <w:b w:val="0"/>
          <w:bCs/>
          <w:color w:val="000000" w:themeColor="text1"/>
          <w:sz w:val="24"/>
          <w:szCs w:val="24"/>
          <w:highlight w:val="none"/>
          <w14:textFill>
            <w14:solidFill>
              <w14:schemeClr w14:val="tx1"/>
            </w14:solidFill>
          </w14:textFill>
        </w:rPr>
        <w:t xml:space="preserve">7.4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20"/>
        <w:spacing w:line="400" w:lineRule="exact"/>
        <w:rPr>
          <w:rFonts w:asciiTheme="minorEastAsia" w:hAnsiTheme="minorEastAsia"/>
          <w:b w:val="0"/>
          <w:bCs/>
          <w:color w:val="000000" w:themeColor="text1"/>
          <w:sz w:val="24"/>
          <w:szCs w:val="24"/>
          <w:highlight w:val="none"/>
          <w14:textFill>
            <w14:solidFill>
              <w14:schemeClr w14:val="tx1"/>
            </w14:solidFill>
          </w14:textFill>
        </w:rPr>
      </w:pPr>
      <w:r>
        <w:rPr>
          <w:rFonts w:hint="eastAsia" w:asciiTheme="minorEastAsia" w:hAnsiTheme="minorEastAsia"/>
          <w:b w:val="0"/>
          <w:bCs/>
          <w:color w:val="000000" w:themeColor="text1"/>
          <w:sz w:val="24"/>
          <w:szCs w:val="24"/>
          <w:highlight w:val="none"/>
          <w14:textFill>
            <w14:solidFill>
              <w14:schemeClr w14:val="tx1"/>
            </w14:solidFill>
          </w14:textFill>
        </w:rPr>
        <w:t xml:space="preserve">7.5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400" w:lineRule="exact"/>
        <w:rPr>
          <w:rFonts w:asciiTheme="minorEastAsia" w:hAnsiTheme="minorEastAsia"/>
          <w:b w:val="0"/>
          <w:bCs/>
          <w:color w:val="000000" w:themeColor="text1"/>
          <w:sz w:val="24"/>
          <w:szCs w:val="24"/>
          <w:highlight w:val="none"/>
          <w14:textFill>
            <w14:solidFill>
              <w14:schemeClr w14:val="tx1"/>
            </w14:solidFill>
          </w14:textFill>
        </w:rPr>
      </w:pPr>
      <w:r>
        <w:rPr>
          <w:rFonts w:hint="eastAsia" w:asciiTheme="minorEastAsia" w:hAnsiTheme="minorEastAsia"/>
          <w:b w:val="0"/>
          <w:bCs/>
          <w:color w:val="000000" w:themeColor="text1"/>
          <w:sz w:val="24"/>
          <w:szCs w:val="24"/>
          <w:highlight w:val="none"/>
          <w14:textFill>
            <w14:solidFill>
              <w14:schemeClr w14:val="tx1"/>
            </w14:solidFill>
          </w14:textFill>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b w:val="0"/>
          <w:bCs/>
          <w:i/>
          <w:color w:val="000000" w:themeColor="text1"/>
          <w:sz w:val="24"/>
          <w:szCs w:val="24"/>
          <w:highlight w:val="none"/>
          <w14:textFill>
            <w14:solidFill>
              <w14:schemeClr w14:val="tx1"/>
            </w14:solidFill>
          </w14:textFill>
        </w:rPr>
        <w:t xml:space="preserve">如属政府强制采购产品未提供认证证书的或认证证书提供不全的将视为未实质性响应采购要求</w:t>
      </w:r>
      <w:r>
        <w:rPr>
          <w:rFonts w:hint="eastAsia" w:asciiTheme="minorEastAsia" w:hAnsiTheme="minorEastAsia"/>
          <w:b w:val="0"/>
          <w:bCs/>
          <w:color w:val="000000" w:themeColor="text1"/>
          <w:sz w:val="24"/>
          <w:szCs w:val="24"/>
          <w:highlight w:val="none"/>
          <w14:textFill>
            <w14:solidFill>
              <w14:schemeClr w14:val="tx1"/>
            </w14:solidFill>
          </w14:textFill>
        </w:rPr>
        <w:t xml:space="preserve">。其他条件相同情况下，应当优先采购节能产品、环境标志产品。</w:t>
      </w:r>
      <w:r/>
    </w:p>
    <w:p>
      <w:pPr>
        <w:ind w:firstLine="420"/>
        <w:spacing w:line="400" w:lineRule="exact"/>
        <w:rPr>
          <w:rFonts w:hint="eastAsia" w:asciiTheme="minorEastAsia" w:hAnsiTheme="minorEastAsia"/>
          <w:b w:val="0"/>
          <w:bCs/>
          <w:color w:val="000000" w:themeColor="text1"/>
          <w:sz w:val="24"/>
          <w:szCs w:val="24"/>
          <w:highlight w:val="none"/>
          <w14:textFill>
            <w14:solidFill>
              <w14:schemeClr w14:val="tx1"/>
            </w14:solidFill>
          </w14:textFill>
        </w:rPr>
      </w:pPr>
      <w:r>
        <w:rPr>
          <w:rFonts w:hint="eastAsia" w:asciiTheme="minorEastAsia" w:hAnsiTheme="minorEastAsia"/>
          <w:b w:val="0"/>
          <w:bCs/>
          <w:color w:val="000000" w:themeColor="text1"/>
          <w:sz w:val="24"/>
          <w:szCs w:val="24"/>
          <w:highlight w:val="none"/>
          <w14:textFill>
            <w14:solidFill>
              <w14:schemeClr w14:val="tx1"/>
            </w14:solidFill>
          </w14:textFill>
        </w:rPr>
      </w:r>
      <w:r/>
    </w:p>
    <w:p>
      <w:pPr>
        <w:ind w:firstLine="420"/>
        <w:spacing w:line="400" w:lineRule="exact"/>
        <w:rPr>
          <w:rFonts w:hint="eastAsia" w:asciiTheme="minorEastAsia" w:hAnsiTheme="minorEastAsia"/>
          <w:b w:val="0"/>
          <w:bCs/>
          <w:color w:val="000000" w:themeColor="text1"/>
          <w:sz w:val="24"/>
          <w:szCs w:val="24"/>
          <w:highlight w:val="none"/>
          <w14:textFill>
            <w14:solidFill>
              <w14:schemeClr w14:val="tx1"/>
            </w14:solidFill>
          </w14:textFill>
        </w:rPr>
      </w:pPr>
      <w:r>
        <w:rPr>
          <w:rFonts w:hint="eastAsia" w:asciiTheme="minorEastAsia" w:hAnsiTheme="minorEastAsia"/>
          <w:b w:val="0"/>
          <w:bCs/>
          <w:color w:val="000000" w:themeColor="text1"/>
          <w:sz w:val="24"/>
          <w:szCs w:val="24"/>
          <w:highlight w:val="none"/>
          <w14:textFill>
            <w14:solidFill>
              <w14:schemeClr w14:val="tx1"/>
            </w14:solidFill>
          </w14:textFill>
        </w:rPr>
        <w:t xml:space="preserve">二、评标标准</w:t>
      </w:r>
      <w:r/>
    </w:p>
    <w:p>
      <w:pPr>
        <w:ind w:firstLine="420"/>
        <w:spacing w:line="400" w:lineRule="exact"/>
        <w:rPr>
          <w:rFonts w:hint="eastAsia" w:ascii="宋体" w:hAnsi="宋体" w:eastAsia="宋体" w:cs="宋体"/>
          <w:b w:val="0"/>
          <w:bCs/>
          <w:color w:val="000000" w:themeColor="text1"/>
          <w:sz w:val="44"/>
          <w:szCs w:val="44"/>
          <w:highlight w:val="none"/>
          <w14:textFill>
            <w14:solidFill>
              <w14:schemeClr w14:val="tx1"/>
            </w14:solidFill>
          </w14:textFill>
        </w:rPr>
      </w:pPr>
      <w:r>
        <w:rPr>
          <w:rFonts w:hint="eastAsia" w:asciiTheme="minorEastAsia" w:hAnsiTheme="minorEastAsia"/>
          <w:b w:val="0"/>
          <w:bCs/>
          <w:color w:val="000000" w:themeColor="text1"/>
          <w:sz w:val="24"/>
          <w:szCs w:val="24"/>
          <w:highlight w:val="none"/>
          <w14:textFill>
            <w14:solidFill>
              <w14:schemeClr w14:val="tx1"/>
            </w14:solidFill>
          </w14:textFill>
        </w:rPr>
        <w:t xml:space="preserve">本次采购的评审方法采用综合评分法，评标委员会将按以下评审方法和标准进行评分，总分值为100分。</w:t>
      </w:r>
      <w:r/>
    </w:p>
    <w:tbl>
      <w:tblPr>
        <w:tblStyle w:val="722"/>
        <w:tblpPr w:horzAnchor="page" w:tblpXSpec="center" w:vertAnchor="text" w:tblpY="536" w:leftFromText="180" w:topFromText="0" w:rightFromText="180" w:bottomFromText="0"/>
        <w:tblW w:w="93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7"/>
        <w:gridCol w:w="1398"/>
        <w:gridCol w:w="6611"/>
      </w:tblGrid>
      <w:tr>
        <w:trPr>
          <w:jc w:val="center"/>
          <w:trHeight w:val="523"/>
        </w:trPr>
        <w:tc>
          <w:tcPr>
            <w:gridSpan w:val="2"/>
            <w:shd w:val="clear" w:color="000000" w:fill="auto"/>
            <w:tcW w:w="272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评分因素和分值</w:t>
            </w:r>
            <w:r/>
          </w:p>
        </w:tc>
        <w:tc>
          <w:tcPr>
            <w:shd w:val="clear" w:color="000000" w:fill="auto"/>
            <w:tcW w:w="661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详细因素和分值</w:t>
            </w:r>
            <w:r/>
          </w:p>
        </w:tc>
      </w:tr>
      <w:tr>
        <w:trPr>
          <w:jc w:val="center"/>
          <w:trHeight w:val="90"/>
        </w:trPr>
        <w:tc>
          <w:tcPr>
            <w:gridSpan w:val="2"/>
            <w:shd w:val="clear" w:color="000000" w:fill="auto"/>
            <w:tcW w:w="272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价格部分</w:t>
            </w:r>
            <w:r/>
          </w:p>
          <w:p>
            <w:pPr>
              <w:jc w:val="center"/>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 w:val="0"/>
                <w:bCs/>
                <w:color w:val="000000" w:themeColor="text1"/>
                <w:sz w:val="24"/>
                <w:szCs w:val="24"/>
                <w:highlight w:val="none"/>
                <w14:textFill>
                  <w14:solidFill>
                    <w14:schemeClr w14:val="tx1"/>
                  </w14:solidFill>
                </w14:textFill>
              </w:rPr>
              <w:t xml:space="preserve">分</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w:t>
            </w:r>
            <w:r/>
          </w:p>
        </w:tc>
        <w:tc>
          <w:tcPr>
            <w:shd w:val="clear" w:color="000000" w:fill="auto"/>
            <w:tcW w:w="6611" w:type="dxa"/>
            <w:vAlign w:val="center"/>
            <w:textDirection w:val="lrTb"/>
            <w:noWrap w:val="false"/>
          </w:tcPr>
          <w:p>
            <w:pPr>
              <w:ind w:firstLine="440"/>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满足</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磋商</w:t>
            </w:r>
            <w:r>
              <w:rPr>
                <w:rFonts w:hint="eastAsia" w:ascii="宋体" w:hAnsi="宋体" w:eastAsia="宋体" w:cs="宋体"/>
                <w:b w:val="0"/>
                <w:bCs/>
                <w:color w:val="000000" w:themeColor="text1"/>
                <w:sz w:val="24"/>
                <w:szCs w:val="24"/>
                <w:highlight w:val="none"/>
                <w14:textFill>
                  <w14:solidFill>
                    <w14:schemeClr w14:val="tx1"/>
                  </w14:solidFill>
                </w14:textFill>
              </w:rPr>
              <w:t xml:space="preserve">文件要求且参与投标价格最低的有效投标报价为评标基准价，其价格分为</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 w:val="0"/>
                <w:bCs/>
                <w:color w:val="000000" w:themeColor="text1"/>
                <w:sz w:val="24"/>
                <w:szCs w:val="24"/>
                <w:highlight w:val="none"/>
                <w14:textFill>
                  <w14:solidFill>
                    <w14:schemeClr w14:val="tx1"/>
                  </w14:solidFill>
                </w14:textFill>
              </w:rPr>
              <w:t xml:space="preserve">分。其他供应商的价格分统一按照下列公式计算：参与投标报价得分=(评标基准价／投标报价)×</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 w:val="0"/>
                <w:bCs/>
                <w:color w:val="000000" w:themeColor="text1"/>
                <w:sz w:val="24"/>
                <w:szCs w:val="24"/>
                <w:highlight w:val="none"/>
                <w14:textFill>
                  <w14:solidFill>
                    <w14:schemeClr w14:val="tx1"/>
                  </w14:solidFill>
                </w14:textFill>
              </w:rPr>
              <w:t xml:space="preserve">，小数点后保留两位。</w:t>
            </w:r>
            <w:r/>
          </w:p>
        </w:tc>
      </w:tr>
      <w:tr>
        <w:trPr>
          <w:jc w:val="center"/>
          <w:trHeight w:val="90"/>
        </w:trPr>
        <w:tc>
          <w:tcPr>
            <w:tcW w:w="1327" w:type="dxa"/>
            <w:vAlign w:val="center"/>
            <w:vMerge w:val="restart"/>
            <w:textDirection w:val="lrTb"/>
            <w:noWrap w:val="false"/>
          </w:tcPr>
          <w:p>
            <w:pPr>
              <w:jc w:val="center"/>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商务</w:t>
            </w:r>
            <w:r/>
          </w:p>
          <w:p>
            <w:pPr>
              <w:jc w:val="center"/>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部分 </w:t>
            </w:r>
            <w:r/>
          </w:p>
          <w:p>
            <w:pPr>
              <w:jc w:val="center"/>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64分</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p>
        </w:tc>
        <w:tc>
          <w:tcPr>
            <w:tcW w:w="1398" w:type="dxa"/>
            <w:vAlign w:val="center"/>
            <w:vMerge w:val="restart"/>
            <w:textDirection w:val="lrTb"/>
            <w:noWrap w:val="false"/>
          </w:tcPr>
          <w:p>
            <w:pPr>
              <w:jc w:val="center"/>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企业履约能力</w:t>
            </w:r>
            <w:r/>
          </w:p>
          <w:p>
            <w:pPr>
              <w:jc w:val="center"/>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（36分）</w:t>
            </w:r>
            <w:r/>
          </w:p>
        </w:tc>
        <w:tc>
          <w:tcPr>
            <w:tcW w:w="6611" w:type="dxa"/>
            <w:vAlign w:val="center"/>
            <w:textDirection w:val="lrTb"/>
            <w:noWrap w:val="false"/>
          </w:tcPr>
          <w:p>
            <w:pPr>
              <w:pStyle w:val="726"/>
              <w:ind w:firstLine="48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2025年一季度至2025年四季度连续四个季度投标人或其总公司综合偿付能力充足率，其中：综合偿付能力充足率≥200%，得3分/季度；150%≤综合偿付能力充足率﹤200%，得2分/季度；100%≤综合偿付能力充足率﹤150%，得1分/季度；综合偿付能力低于100%的不得分。四个季度累加计算,最高得12分。</w:t>
            </w:r>
            <w:r/>
          </w:p>
          <w:p>
            <w:pPr>
              <w:ind w:firstLine="440"/>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注：</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投标时供应商须提供经保险业监督管理机构发布的或行业协会网站下载的偿付能力情况截图或其他可以体现综合偿付能力充足率的证明材料加盖公章扫描上传</w:t>
            </w:r>
            <w:r>
              <w:rPr>
                <w:rFonts w:hint="eastAsia" w:ascii="宋体" w:hAnsi="宋体" w:eastAsia="宋体" w:cs="宋体"/>
                <w:b w:val="0"/>
                <w:bCs/>
                <w:color w:val="000000" w:themeColor="text1"/>
                <w:sz w:val="24"/>
                <w:szCs w:val="24"/>
                <w:highlight w:val="none"/>
                <w14:textFill>
                  <w14:solidFill>
                    <w14:schemeClr w14:val="tx1"/>
                  </w14:solidFill>
                </w14:textFill>
              </w:rPr>
              <w:t xml:space="preserve">，未提供不得分。</w:t>
            </w:r>
            <w:r/>
          </w:p>
        </w:tc>
      </w:tr>
      <w:tr>
        <w:trPr>
          <w:jc w:val="center"/>
          <w:trHeight w:val="779"/>
        </w:trPr>
        <w:tc>
          <w:tcPr>
            <w:tcW w:w="1327" w:type="dxa"/>
            <w:vAlign w:val="center"/>
            <w:vMerge w:val="continue"/>
            <w:textDirection w:val="lrTb"/>
            <w:noWrap w:val="false"/>
          </w:tcPr>
          <w:p>
            <w:pPr>
              <w:jc w:val="center"/>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c>
          <w:tcPr>
            <w:tcW w:w="1398" w:type="dxa"/>
            <w:vAlign w:val="center"/>
            <w:vMerge w:val="continue"/>
            <w:textDirection w:val="lrTb"/>
            <w:noWrap w:val="false"/>
          </w:tcPr>
          <w:p>
            <w:pPr>
              <w:jc w:val="center"/>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c>
          <w:tcPr>
            <w:tcW w:w="6611" w:type="dxa"/>
            <w:vAlign w:val="center"/>
            <w:textDirection w:val="lrTb"/>
            <w:noWrap w:val="false"/>
          </w:tcPr>
          <w:p>
            <w:pPr>
              <w:ind w:firstLine="480"/>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2025年一季度至2025年四季度连续四个季度投标人或其总公司核心偿付能力充足率，其中：核心偿付能力充足率≥200%，得3分/季度；150%≤核心偿付能力充足率﹤200%，得2分/季度；100%≤核心偿付能力充足率﹤150%，得1分/季度；核心偿付能力低于100%的不得分。四个季度累加计算,最高得12分。</w:t>
            </w:r>
            <w:r/>
          </w:p>
          <w:p>
            <w:pPr>
              <w:ind w:firstLine="440"/>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注：投标时供应商须提供经保险业监督管理机构发布的或行业协会网站公开信息披露上述内容的偿付能力报告扫描件并加盖投标人公章。</w:t>
            </w:r>
            <w:r/>
          </w:p>
        </w:tc>
      </w:tr>
      <w:tr>
        <w:trPr>
          <w:jc w:val="center"/>
          <w:trHeight w:val="388"/>
        </w:trPr>
        <w:tc>
          <w:tcPr>
            <w:tcW w:w="1327" w:type="dxa"/>
            <w:vAlign w:val="center"/>
            <w:vMerge w:val="continue"/>
            <w:textDirection w:val="lrTb"/>
            <w:noWrap w:val="false"/>
          </w:tcPr>
          <w:p>
            <w:pPr>
              <w:jc w:val="center"/>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c>
          <w:tcPr>
            <w:tcW w:w="1398" w:type="dxa"/>
            <w:vAlign w:val="center"/>
            <w:vMerge w:val="continue"/>
            <w:textDirection w:val="lrTb"/>
            <w:noWrap w:val="false"/>
          </w:tcPr>
          <w:p>
            <w:pPr>
              <w:jc w:val="center"/>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c>
          <w:tcPr>
            <w:tcW w:w="6611" w:type="dxa"/>
            <w:vAlign w:val="center"/>
            <w:textDirection w:val="lrTb"/>
            <w:noWrap w:val="false"/>
          </w:tcPr>
          <w:p>
            <w:pPr>
              <w:ind w:firstLine="480"/>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2024年四季度至2025年三季度连续四个季度投标人或其总公司的风险综合评级，其中：风险综合评级A类的，得3分/季度；风险综合评级B类的，得2分/季度；风险综合评级C类及以下的不得分。四个季度累加计算,最高得12分。</w:t>
            </w:r>
            <w:r/>
          </w:p>
          <w:p>
            <w:pPr>
              <w:ind w:firstLine="440"/>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注：</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投标时供应商须提供经保险业监督管理机构审核发布的或行业协会网站下载的或</w:t>
            </w:r>
            <w:r>
              <w:rPr>
                <w:rFonts w:hint="eastAsia" w:ascii="宋体" w:hAnsi="宋体" w:eastAsia="宋体" w:cs="宋体"/>
                <w:b w:val="0"/>
                <w:bCs/>
                <w:color w:val="000000" w:themeColor="text1"/>
                <w:sz w:val="24"/>
                <w:szCs w:val="24"/>
                <w:highlight w:val="none"/>
                <w:lang w:val="en-US" w:eastAsia="zh-CN" w:bidi="ar"/>
                <w14:textFill>
                  <w14:solidFill>
                    <w14:schemeClr w14:val="tx1"/>
                  </w14:solidFill>
                </w14:textFill>
              </w:rPr>
              <w:t xml:space="preserve">保险监管部门</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偿二代监管系统披露的保险公司风险综合评级情况截图或其他可以体现风险综合评级的证明材料加盖公章扫描上传，未提供不得分</w:t>
            </w: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p>
        </w:tc>
      </w:tr>
      <w:tr>
        <w:trPr>
          <w:jc w:val="center"/>
          <w:trHeight w:val="1952"/>
        </w:trPr>
        <w:tc>
          <w:tcPr>
            <w:tcW w:w="1327" w:type="dxa"/>
            <w:vAlign w:val="center"/>
            <w:vMerge w:val="continue"/>
            <w:textDirection w:val="lrTb"/>
            <w:noWrap w:val="false"/>
          </w:tcPr>
          <w:p>
            <w:pPr>
              <w:jc w:val="center"/>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c>
          <w:tcPr>
            <w:tcW w:w="1398"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类似业绩（14</w:t>
            </w:r>
            <w:r>
              <w:rPr>
                <w:rFonts w:hint="eastAsia" w:ascii="宋体" w:hAnsi="宋体" w:eastAsia="宋体" w:cs="宋体"/>
                <w:b w:val="0"/>
                <w:bCs/>
                <w:color w:val="000000" w:themeColor="text1"/>
                <w:sz w:val="24"/>
                <w:szCs w:val="24"/>
                <w:highlight w:val="none"/>
                <w14:textFill>
                  <w14:solidFill>
                    <w14:schemeClr w14:val="tx1"/>
                  </w14:solidFill>
                </w14:textFill>
              </w:rPr>
              <w:t xml:space="preserve">分</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w:t>
            </w:r>
            <w:r/>
          </w:p>
        </w:tc>
        <w:tc>
          <w:tcPr>
            <w:tcW w:w="6611" w:type="dxa"/>
            <w:vAlign w:val="center"/>
            <w:textDirection w:val="lrTb"/>
            <w:noWrap w:val="false"/>
          </w:tcPr>
          <w:p>
            <w:pPr>
              <w:ind w:firstLine="440"/>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
                <w14:textFill>
                  <w14:solidFill>
                    <w14:schemeClr w14:val="tx1"/>
                  </w14:solidFill>
                </w14:textFill>
              </w:rPr>
              <w:t xml:space="preserve">投标人自2023年1月1日起（以签订合同时间为准）签订过同类团体人身保险业绩的承保经验，每提供1个得2分，本项最高得14分。</w:t>
            </w:r>
            <w:r/>
          </w:p>
          <w:p>
            <w:pPr>
              <w:ind w:firstLine="440"/>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
                <w14:textFill>
                  <w14:solidFill>
                    <w14:schemeClr w14:val="tx1"/>
                  </w14:solidFill>
                </w14:textFill>
              </w:rPr>
              <w:t xml:space="preserve">注：投标时须提供合同</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及保单</w:t>
            </w:r>
            <w:r>
              <w:rPr>
                <w:rFonts w:hint="eastAsia" w:ascii="宋体" w:hAnsi="宋体" w:eastAsia="宋体" w:cs="宋体"/>
                <w:b w:val="0"/>
                <w:bCs/>
                <w:color w:val="000000" w:themeColor="text1"/>
                <w:sz w:val="24"/>
                <w:szCs w:val="24"/>
                <w:highlight w:val="none"/>
                <w:lang w:val="en-US" w:eastAsia="zh-CN" w:bidi="ar"/>
                <w14:textFill>
                  <w14:solidFill>
                    <w14:schemeClr w14:val="tx1"/>
                  </w14:solidFill>
                </w14:textFill>
              </w:rPr>
              <w:t xml:space="preserve">原件的扫描件并加盖投标人公章，</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合同签订单位需与投标人一致，</w:t>
            </w:r>
            <w:r>
              <w:rPr>
                <w:rFonts w:hint="eastAsia" w:ascii="宋体" w:hAnsi="宋体" w:eastAsia="宋体" w:cs="宋体"/>
                <w:b w:val="0"/>
                <w:bCs/>
                <w:color w:val="000000" w:themeColor="text1"/>
                <w:sz w:val="24"/>
                <w:szCs w:val="24"/>
                <w:highlight w:val="none"/>
                <w:lang w:val="en-US" w:eastAsia="zh-CN" w:bidi="ar"/>
                <w14:textFill>
                  <w14:solidFill>
                    <w14:schemeClr w14:val="tx1"/>
                  </w14:solidFill>
                </w14:textFill>
              </w:rPr>
              <w:t xml:space="preserve">合同中必须包含服务内容、合同签订时间等信息，未提供不得分。</w:t>
            </w:r>
            <w:r/>
          </w:p>
        </w:tc>
      </w:tr>
      <w:tr>
        <w:trPr>
          <w:jc w:val="center"/>
          <w:trHeight w:val="4252"/>
        </w:trPr>
        <w:tc>
          <w:tcPr>
            <w:tcW w:w="1327" w:type="dxa"/>
            <w:vAlign w:val="center"/>
            <w:vMerge w:val="continue"/>
            <w:textDirection w:val="lrTb"/>
            <w:noWrap w:val="false"/>
          </w:tcPr>
          <w:p>
            <w:pPr>
              <w:jc w:val="center"/>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c>
          <w:tcPr>
            <w:shd w:val="clear" w:color="auto" w:fill="auto"/>
            <w:tcW w:w="1398"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相关承诺（8分）</w:t>
            </w:r>
            <w:r/>
          </w:p>
        </w:tc>
        <w:tc>
          <w:tcPr>
            <w:shd w:val="clear" w:color="auto" w:fill="auto"/>
            <w:tcW w:w="6611" w:type="dxa"/>
            <w:vAlign w:val="center"/>
            <w:textDirection w:val="lrTb"/>
            <w:noWrap w:val="false"/>
          </w:tcPr>
          <w:p>
            <w:pPr>
              <w:ind w:firstLine="440"/>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
                <w14:textFill>
                  <w14:solidFill>
                    <w14:schemeClr w14:val="tx1"/>
                  </w14:solidFill>
                </w14:textFill>
              </w:rPr>
              <w:t xml:space="preserve">1.承诺协助采购方，每年开展不少于2次的宣传活动，提升被保险人对本保险项目的了解程度，提供承诺书得2分；</w:t>
            </w:r>
            <w:r/>
          </w:p>
          <w:p>
            <w:pPr>
              <w:ind w:firstLine="440"/>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
                <w14:textFill>
                  <w14:solidFill>
                    <w14:schemeClr w14:val="tx1"/>
                  </w14:solidFill>
                </w14:textFill>
              </w:rPr>
              <w:t xml:space="preserve">2.承诺协助采购方每年开展不少于2次的保险项目培训，提升参保人对保险知识的了解，对医保信息的掌握，提供承诺书，得2分；</w:t>
            </w:r>
            <w:r/>
          </w:p>
          <w:p>
            <w:pPr>
              <w:ind w:firstLine="440"/>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
                <w14:textFill>
                  <w14:solidFill>
                    <w14:schemeClr w14:val="tx1"/>
                  </w14:solidFill>
                </w14:textFill>
              </w:rPr>
              <w:t xml:space="preserve">3.在项目开展过程中，承诺对获取的参保人身份及就诊医疗等信息承担保密职责，确保数据安全，提供承诺书，得2分；</w:t>
            </w:r>
            <w:r/>
          </w:p>
          <w:p>
            <w:pPr>
              <w:ind w:firstLine="440"/>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
                <w14:textFill>
                  <w14:solidFill>
                    <w14:schemeClr w14:val="tx1"/>
                  </w14:solidFill>
                </w14:textFill>
              </w:rPr>
              <w:t xml:space="preserve">4.档案管理承诺，承诺建立盐城市公安局专属团体综合保险业务档案得2分。</w:t>
            </w:r>
            <w:r/>
          </w:p>
          <w:p>
            <w:pPr>
              <w:ind w:firstLine="440"/>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
                <w14:textFill>
                  <w14:solidFill>
                    <w14:schemeClr w14:val="tx1"/>
                  </w14:solidFill>
                </w14:textFill>
              </w:rPr>
              <w:t xml:space="preserve">注：投标时须提供承诺书（格式自拟）并加盖公章，未提供不得分。</w:t>
            </w:r>
            <w:r/>
          </w:p>
        </w:tc>
      </w:tr>
      <w:tr>
        <w:trPr>
          <w:jc w:val="center"/>
          <w:trHeight w:val="2995"/>
        </w:trPr>
        <w:tc>
          <w:tcPr>
            <w:tcW w:w="1327" w:type="dxa"/>
            <w:vAlign w:val="center"/>
            <w:vMerge w:val="continue"/>
            <w:textDirection w:val="lrTb"/>
            <w:noWrap w:val="false"/>
          </w:tcPr>
          <w:p>
            <w:pPr>
              <w:jc w:val="center"/>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c>
          <w:tcPr>
            <w:tcW w:w="1398" w:type="dxa"/>
            <w:vAlign w:val="center"/>
            <w:textDirection w:val="lrTb"/>
            <w:noWrap w:val="false"/>
          </w:tcPr>
          <w:p>
            <w:pPr>
              <w:jc w:val="center"/>
              <w:keepLines w:val="0"/>
              <w:keepNext w:val="0"/>
              <w:pageBreakBefore w:val="0"/>
              <w:spacing w:line="264"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人员配备（6分）</w:t>
            </w:r>
            <w:r/>
          </w:p>
        </w:tc>
        <w:tc>
          <w:tcPr>
            <w:tcW w:w="6611" w:type="dxa"/>
            <w:vAlign w:val="center"/>
            <w:textDirection w:val="lrTb"/>
            <w:noWrap w:val="false"/>
          </w:tcPr>
          <w:p>
            <w:pPr>
              <w:ind w:firstLine="440"/>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1.拟投入本项目的项目经理保险从业经验5年（含）的，得1分；6年（含）~10年（含）的，得2分；10年（不含）以上的，得3分。</w:t>
            </w:r>
            <w:r/>
          </w:p>
          <w:p>
            <w:pPr>
              <w:ind w:firstLine="440"/>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2.为本项目配备的客户服务专员人数在10人及以上，得3分；7-8人，得2分；6-7人，得1分。提供具体服务方案和专人7*24小时服务联系方式。</w:t>
            </w:r>
            <w:r/>
          </w:p>
          <w:p>
            <w:pPr>
              <w:ind w:firstLine="440"/>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注：投标时须提供以上项目组成员在开标之日当月向前6个月中任意一个月在本单位缴纳社保的证明材料加盖投标人公章。</w:t>
            </w:r>
            <w:r/>
          </w:p>
        </w:tc>
      </w:tr>
      <w:tr>
        <w:trPr>
          <w:jc w:val="center"/>
          <w:trHeight w:val="2024"/>
        </w:trPr>
        <w:tc>
          <w:tcPr>
            <w:tcW w:w="1327" w:type="dxa"/>
            <w:vAlign w:val="center"/>
            <w:vMerge w:val="restart"/>
            <w:textDirection w:val="lrTb"/>
            <w:noWrap w:val="false"/>
          </w:tcPr>
          <w:p>
            <w:pPr>
              <w:jc w:val="center"/>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技术部分（26分）</w:t>
            </w:r>
            <w:r/>
          </w:p>
        </w:tc>
        <w:tc>
          <w:tcPr>
            <w:shd w:val="clear" w:color="auto" w:fill="auto"/>
            <w:tcW w:w="1398"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保险服务团队配备（8分）</w:t>
            </w:r>
            <w:r/>
          </w:p>
        </w:tc>
        <w:tc>
          <w:tcPr>
            <w:shd w:val="clear" w:color="auto" w:fill="auto"/>
            <w:tcW w:w="6611" w:type="dxa"/>
            <w:vAlign w:val="center"/>
            <w:textDirection w:val="lrTb"/>
            <w:noWrap w:val="false"/>
          </w:tcPr>
          <w:p>
            <w:pPr>
              <w:ind w:firstLine="440"/>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投标人根据本项目第四章采购需求中“</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保险服务团队配备</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提供项目团队组成（包括项目团队人员情况、工作分工安排）、办公设备及交通工具等进行评审。项目服务团队配备优于项目需求的得8分；项目服务团队配备满足项目需求的得6分；项目服务团队配备不满足项目需求或未提供的得0分。</w:t>
            </w:r>
            <w:r/>
          </w:p>
        </w:tc>
      </w:tr>
      <w:tr>
        <w:trPr>
          <w:jc w:val="center"/>
          <w:trHeight w:val="1729"/>
        </w:trPr>
        <w:tc>
          <w:tcPr>
            <w:tcW w:w="1327" w:type="dxa"/>
            <w:vAlign w:val="center"/>
            <w:vMerge w:val="continue"/>
            <w:textDirection w:val="lrTb"/>
            <w:noWrap w:val="false"/>
          </w:tcPr>
          <w:p>
            <w:pPr>
              <w:jc w:val="center"/>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tc>
        <w:tc>
          <w:tcPr>
            <w:tcW w:w="1398"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总体服务流程可行性方案 （8分）</w:t>
            </w:r>
            <w:r/>
          </w:p>
        </w:tc>
        <w:tc>
          <w:tcPr>
            <w:tcW w:w="6611" w:type="dxa"/>
            <w:vAlign w:val="center"/>
            <w:textDirection w:val="lrTb"/>
            <w:noWrap w:val="false"/>
          </w:tcPr>
          <w:p>
            <w:pPr>
              <w:ind w:firstLine="440"/>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bookmarkStart w:id="194" w:name="OLE_LINK61"/>
            <w:r/>
            <w:bookmarkStart w:id="195" w:name="OLE_LINK62"/>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投标人根据本项目第四章采购需求中“总体服务流程可行性方案”，提供科学合理的项目实施方案，方案至少包含：①保险保障范围②</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承保团队组建</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③</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承保流程规划④风险评估与管理⑤增值服务提供</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等内容。方案优于要求的得</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分，符合要求得</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分</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，不符合要求或未提供的不得分</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bookmarkEnd w:id="194"/>
            <w:r/>
            <w:bookmarkEnd w:id="195"/>
            <w:r/>
            <w:r/>
          </w:p>
        </w:tc>
      </w:tr>
      <w:tr>
        <w:trPr>
          <w:jc w:val="center"/>
          <w:trHeight w:val="779"/>
        </w:trPr>
        <w:tc>
          <w:tcPr>
            <w:tcW w:w="1327" w:type="dxa"/>
            <w:vAlign w:val="center"/>
            <w:vMerge w:val="continue"/>
            <w:textDirection w:val="lrTb"/>
            <w:noWrap w:val="false"/>
          </w:tcPr>
          <w:p>
            <w:pPr>
              <w:jc w:val="center"/>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c>
          <w:tcPr>
            <w:tcW w:w="1398" w:type="dxa"/>
            <w:vAlign w:val="center"/>
            <w:vMerge w:val="restart"/>
            <w:textDirection w:val="lrTb"/>
            <w:noWrap w:val="false"/>
          </w:tcPr>
          <w:p>
            <w:pPr>
              <w:jc w:val="center"/>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理赔服务方案</w:t>
            </w:r>
            <w:r/>
          </w:p>
          <w:p>
            <w:pPr>
              <w:jc w:val="center"/>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（10分）</w:t>
            </w:r>
            <w:r/>
          </w:p>
        </w:tc>
        <w:tc>
          <w:tcPr>
            <w:tcW w:w="6611" w:type="dxa"/>
            <w:vAlign w:val="center"/>
            <w:textDirection w:val="lrTb"/>
            <w:noWrap w:val="false"/>
          </w:tcPr>
          <w:p>
            <w:pPr>
              <w:ind w:firstLine="440"/>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理赔程序。根据供应商制定的理赔程序，考察理赔程序是否具备完整的流程，是否在理赔过程中能及时高效，理赔方式是否包括线上理赔（包括但不限于自助理赔APP、微信理赔），理赔手续（包括线上、线下）是否简化便捷等情况进行评审。理赔程序优于项目需求的得4分；理赔程序满足项目需求的得2分；理赔程序不满足项目需求的得0分。</w:t>
            </w:r>
            <w:r/>
          </w:p>
        </w:tc>
      </w:tr>
      <w:tr>
        <w:trPr>
          <w:jc w:val="center"/>
          <w:trHeight w:val="477"/>
        </w:trPr>
        <w:tc>
          <w:tcPr>
            <w:tcW w:w="1327" w:type="dxa"/>
            <w:vAlign w:val="center"/>
            <w:vMerge w:val="continue"/>
            <w:textDirection w:val="lrTb"/>
            <w:noWrap w:val="false"/>
          </w:tcPr>
          <w:p>
            <w:pPr>
              <w:jc w:val="center"/>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c>
          <w:tcPr>
            <w:tcW w:w="1398" w:type="dxa"/>
            <w:vAlign w:val="center"/>
            <w:vMerge w:val="continue"/>
            <w:textDirection w:val="lrTb"/>
            <w:noWrap w:val="false"/>
          </w:tcPr>
          <w:p>
            <w:pPr>
              <w:jc w:val="center"/>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tc>
        <w:tc>
          <w:tcPr>
            <w:tcW w:w="6611" w:type="dxa"/>
            <w:vAlign w:val="center"/>
            <w:textDirection w:val="lrTb"/>
            <w:noWrap w:val="false"/>
          </w:tcPr>
          <w:p>
            <w:pPr>
              <w:numPr>
                <w:ilvl w:val="0"/>
                <w:numId w:val="0"/>
              </w:numPr>
              <w:ind w:firstLine="440"/>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出险金额在10000元以下的赔付时效承诺，以赔付时效长短判断。投标人能够在一个工作日内赔付的得6分；投标人能够在两个工作日内赔付的得4分；投标人能够在三个工作日内赔付的得2分；投标人赔付时间超过三个工作日的不得分。</w:t>
            </w:r>
            <w:r/>
          </w:p>
          <w:p>
            <w:pPr>
              <w:numPr>
                <w:ilvl w:val="0"/>
                <w:numId w:val="0"/>
              </w:numPr>
              <w:ind w:firstLine="440"/>
              <w:keepLines w:val="0"/>
              <w:keepNext w:val="0"/>
              <w:pageBreakBefore w:val="0"/>
              <w:spacing w:line="264" w:lineRule="auto"/>
              <w:widowControl w:val="off"/>
              <w:rPr>
                <w:rFonts w:hint="eastAsia" w:ascii="宋体" w:hAnsi="宋体" w:eastAsia="宋体" w:cs="宋体"/>
                <w:b w:val="0"/>
                <w:bCs/>
                <w:color w:val="000000" w:themeColor="text1"/>
                <w:sz w:val="24"/>
                <w:szCs w:val="24"/>
                <w:highlight w:val="none"/>
                <w:lang w:val="en-US"/>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 注：提供承诺函、以往赔付案例证明等相关证明材料，扫描上传，承诺函格式自拟。</w:t>
            </w:r>
            <w:r/>
          </w:p>
        </w:tc>
      </w:tr>
    </w:tbl>
    <w:p>
      <w:pPr>
        <w:spacing w:line="24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p>
      <w:pPr>
        <w:pStyle w:val="744"/>
        <w:jc w:val="both"/>
        <w:keepLines w:val="0"/>
        <w:keepNext w:val="0"/>
        <w:pageBreakBefore w:val="0"/>
        <w:spacing w:beforeAutospacing="0" w:afterAutospacing="0" w:line="264"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bookmarkStart w:id="196" w:name="_Toc222837043"/>
      <w:r>
        <w:rPr>
          <w:rFonts w:hint="eastAsia" w:ascii="宋体" w:hAnsi="宋体" w:eastAsia="宋体" w:cs="宋体"/>
          <w:b w:val="0"/>
          <w:bCs/>
          <w:color w:val="000000" w:themeColor="text1"/>
          <w:sz w:val="24"/>
          <w:szCs w:val="24"/>
          <w:highlight w:val="none"/>
          <w14:textFill>
            <w14:solidFill>
              <w14:schemeClr w14:val="tx1"/>
            </w14:solidFill>
          </w14:textFill>
        </w:rPr>
        <w:t xml:space="preserve">注：中标公示期间，采购人有权要求中标方提供相关评审材料的原件供采购人审核。经检查发现如有虚假材料，采购人有权取消其中标资格，并报相关部门进行处罚。</w:t>
      </w:r>
      <w:r/>
    </w:p>
    <w:p>
      <w:pPr>
        <w:keepLines w:val="0"/>
        <w:keepNext w:val="0"/>
        <w:pageBreakBefore w:val="0"/>
        <w:spacing w:line="264" w:lineRule="auto"/>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说明：1</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针对评分标准中评分的每一条内容，投标人应提供相关资料并作出相应说明供评委评审，未提供相关资料的视为不具备该项得分的条件。所有上传的材料扫描件必须清晰完整，真实有效，否则评委有权作出不利于投标人的认定。</w:t>
      </w:r>
      <w:r/>
    </w:p>
    <w:p>
      <w:pPr>
        <w:ind w:firstLine="720"/>
        <w:keepLines w:val="0"/>
        <w:keepNext w:val="0"/>
        <w:pageBreakBefore w:val="0"/>
        <w:spacing w:line="264" w:lineRule="auto"/>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投标报价超过本项目预算（最高限价）的为无效响应。</w:t>
      </w:r>
      <w:r/>
    </w:p>
    <w:p>
      <w:pPr>
        <w:ind w:firstLine="720"/>
        <w:keepLines w:val="0"/>
        <w:keepNext w:val="0"/>
        <w:pageBreakBefore w:val="0"/>
        <w:spacing w:line="264" w:lineRule="auto"/>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投标人需确保所提供商务、技术、业绩、证书等资料全部真实有效，若提供虚假资料，一经查实作无效投标处理，同时视作投标人自动放弃投标及中标资格，并报相关部门作相关处罚。</w:t>
      </w:r>
      <w:r/>
    </w:p>
    <w:p>
      <w:pPr>
        <w:rPr>
          <w:rFonts w:hint="eastAsia" w:ascii="宋体" w:hAnsi="宋体" w:eastAsia="宋体" w:cs="宋体"/>
          <w:b w:val="0"/>
          <w:bCs/>
          <w:color w:val="000000" w:themeColor="text1"/>
          <w:sz w:val="44"/>
          <w:szCs w:val="44"/>
          <w:highlight w:val="none"/>
          <w14:textFill>
            <w14:solidFill>
              <w14:schemeClr w14:val="tx1"/>
            </w14:solidFill>
          </w14:textFill>
        </w:rPr>
      </w:pPr>
      <w:r>
        <w:rPr>
          <w:rFonts w:hint="eastAsia" w:ascii="宋体" w:hAnsi="宋体" w:eastAsia="宋体" w:cs="宋体"/>
          <w:b w:val="0"/>
          <w:bCs/>
          <w:color w:val="000000" w:themeColor="text1"/>
          <w:sz w:val="44"/>
          <w:szCs w:val="44"/>
          <w:highlight w:val="none"/>
          <w14:textFill>
            <w14:solidFill>
              <w14:schemeClr w14:val="tx1"/>
            </w14:solidFill>
          </w14:textFill>
        </w:rPr>
        <w:br w:type="page" w:clear="all"/>
      </w:r>
      <w:r/>
    </w:p>
    <w:p>
      <w:pPr>
        <w:pStyle w:val="744"/>
        <w:jc w:val="center"/>
        <w:spacing w:beforeAutospacing="0" w:afterAutospacing="0"/>
        <w:rPr>
          <w:rFonts w:hint="eastAsia" w:ascii="宋体" w:hAnsi="宋体" w:eastAsia="宋体" w:cs="宋体"/>
          <w:b w:val="0"/>
          <w:bCs/>
          <w:color w:val="000000" w:themeColor="text1"/>
          <w:sz w:val="44"/>
          <w:szCs w:val="44"/>
          <w:highlight w:val="none"/>
          <w14:textFill>
            <w14:solidFill>
              <w14:schemeClr w14:val="tx1"/>
            </w14:solidFill>
          </w14:textFill>
        </w:rPr>
        <w:outlineLvl w:val="0"/>
      </w:pPr>
      <w:r>
        <w:rPr>
          <w:rFonts w:hint="eastAsia" w:ascii="宋体" w:hAnsi="宋体" w:eastAsia="宋体" w:cs="宋体"/>
          <w:b w:val="0"/>
          <w:bCs/>
          <w:color w:val="000000" w:themeColor="text1"/>
          <w:sz w:val="44"/>
          <w:szCs w:val="44"/>
          <w:highlight w:val="none"/>
          <w14:textFill>
            <w14:solidFill>
              <w14:schemeClr w14:val="tx1"/>
            </w14:solidFill>
          </w14:textFill>
        </w:rPr>
      </w:r>
      <w:r/>
    </w:p>
    <w:p>
      <w:pPr>
        <w:pStyle w:val="744"/>
        <w:jc w:val="center"/>
        <w:spacing w:beforeAutospacing="0" w:afterAutospacing="0"/>
        <w:rPr>
          <w:rFonts w:hint="eastAsia" w:ascii="宋体" w:hAnsi="宋体" w:eastAsia="宋体" w:cs="宋体"/>
          <w:b w:val="0"/>
          <w:bCs/>
          <w:color w:val="000000" w:themeColor="text1"/>
          <w:sz w:val="44"/>
          <w:szCs w:val="44"/>
          <w:highlight w:val="none"/>
          <w14:textFill>
            <w14:solidFill>
              <w14:schemeClr w14:val="tx1"/>
            </w14:solidFill>
          </w14:textFill>
        </w:rPr>
        <w:outlineLvl w:val="0"/>
      </w:pPr>
      <w:r>
        <w:rPr>
          <w:rFonts w:hint="eastAsia" w:ascii="宋体" w:hAnsi="宋体" w:eastAsia="宋体" w:cs="宋体"/>
          <w:b w:val="0"/>
          <w:bCs/>
          <w:color w:val="000000" w:themeColor="text1"/>
          <w:sz w:val="44"/>
          <w:szCs w:val="44"/>
          <w:highlight w:val="none"/>
          <w14:textFill>
            <w14:solidFill>
              <w14:schemeClr w14:val="tx1"/>
            </w14:solidFill>
          </w14:textFill>
        </w:rPr>
        <w:t xml:space="preserve">第六章响应文件格式</w:t>
      </w:r>
      <w:bookmarkEnd w:id="196"/>
      <w:r/>
      <w:r/>
    </w:p>
    <w:p>
      <w:pPr>
        <w:pStyle w:val="744"/>
        <w:jc w:val="center"/>
        <w:spacing w:beforeAutospacing="0" w:afterAutospacing="0"/>
        <w:rPr>
          <w:rFonts w:hint="eastAsia" w:ascii="宋体" w:hAnsi="宋体" w:eastAsia="宋体" w:cs="宋体"/>
          <w:b w:val="0"/>
          <w:bCs/>
          <w:color w:val="000000" w:themeColor="text1"/>
          <w:sz w:val="72"/>
          <w:szCs w:val="72"/>
          <w:highlight w:val="none"/>
          <w14:textFill>
            <w14:solidFill>
              <w14:schemeClr w14:val="tx1"/>
            </w14:solidFill>
          </w14:textFill>
        </w:rPr>
      </w:pPr>
      <w:r/>
      <w:bookmarkStart w:id="197" w:name="_Toc120614282"/>
      <w:r/>
      <w:bookmarkEnd w:id="197"/>
      <w:r/>
      <w:bookmarkStart w:id="198" w:name="_Toc49090576"/>
      <w:r/>
      <w:bookmarkEnd w:id="198"/>
      <w:r/>
      <w:bookmarkStart w:id="199" w:name="_Toc26554094"/>
      <w:r/>
      <w:bookmarkStart w:id="200" w:name="_Hlt26955039"/>
      <w:r/>
      <w:bookmarkStart w:id="201" w:name="_Hlt26671244"/>
      <w:r/>
      <w:r/>
    </w:p>
    <w:p>
      <w:pPr>
        <w:pStyle w:val="744"/>
        <w:jc w:val="center"/>
        <w:spacing w:beforeAutospacing="0" w:afterAutospacing="0"/>
        <w:rPr>
          <w:rFonts w:hint="eastAsia" w:ascii="宋体" w:hAnsi="宋体" w:eastAsia="宋体" w:cs="宋体"/>
          <w:b w:val="0"/>
          <w:bCs/>
          <w:color w:val="000000" w:themeColor="text1"/>
          <w:sz w:val="72"/>
          <w:szCs w:val="72"/>
          <w:highlight w:val="none"/>
          <w14:textFill>
            <w14:solidFill>
              <w14:schemeClr w14:val="tx1"/>
            </w14:solidFill>
          </w14:textFill>
        </w:rPr>
      </w:pPr>
      <w:r>
        <w:rPr>
          <w:rFonts w:hint="eastAsia" w:ascii="宋体" w:hAnsi="宋体" w:eastAsia="宋体" w:cs="宋体"/>
          <w:b w:val="0"/>
          <w:bCs/>
          <w:color w:val="000000" w:themeColor="text1"/>
          <w:sz w:val="72"/>
          <w:szCs w:val="72"/>
          <w:highlight w:val="none"/>
          <w14:textFill>
            <w14:solidFill>
              <w14:schemeClr w14:val="tx1"/>
            </w14:solidFill>
          </w14:textFill>
        </w:rPr>
      </w:r>
      <w:r/>
    </w:p>
    <w:p>
      <w:pPr>
        <w:pStyle w:val="744"/>
        <w:jc w:val="center"/>
        <w:spacing w:beforeAutospacing="0" w:afterAutospacing="0"/>
        <w:rPr>
          <w:rFonts w:hint="eastAsia" w:ascii="宋体" w:hAnsi="宋体" w:eastAsia="宋体" w:cs="宋体"/>
          <w:b w:val="0"/>
          <w:bCs/>
          <w:color w:val="000000" w:themeColor="text1"/>
          <w:sz w:val="72"/>
          <w:szCs w:val="72"/>
          <w:highlight w:val="none"/>
          <w14:textFill>
            <w14:solidFill>
              <w14:schemeClr w14:val="tx1"/>
            </w14:solidFill>
          </w14:textFill>
        </w:rPr>
      </w:pPr>
      <w:r>
        <w:rPr>
          <w:rFonts w:hint="eastAsia" w:ascii="宋体" w:hAnsi="宋体" w:eastAsia="宋体" w:cs="宋体"/>
          <w:b w:val="0"/>
          <w:bCs/>
          <w:color w:val="000000" w:themeColor="text1"/>
          <w:sz w:val="72"/>
          <w:szCs w:val="72"/>
          <w:highlight w:val="none"/>
          <w14:textFill>
            <w14:solidFill>
              <w14:schemeClr w14:val="tx1"/>
            </w14:solidFill>
          </w14:textFill>
        </w:rPr>
      </w:r>
      <w:r/>
    </w:p>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sz w:val="72"/>
          <w:szCs w:val="72"/>
          <w:highlight w:val="none"/>
          <w14:textFill>
            <w14:solidFill>
              <w14:schemeClr w14:val="tx1"/>
            </w14:solidFill>
          </w14:textFill>
        </w:rPr>
        <w:t xml:space="preserve">响  应  文  件</w:t>
      </w:r>
      <w:r/>
    </w:p>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r>
      <w:r/>
    </w:p>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r>
      <w:r/>
    </w:p>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p>
      <w:pPr>
        <w:pStyle w:val="744"/>
        <w:ind w:left="630"/>
        <w:jc w:val="both"/>
        <w:spacing w:beforeAutospacing="0" w:afterAutospacing="0"/>
        <w:rPr>
          <w:rFonts w:hint="eastAsia" w:ascii="宋体" w:hAnsi="宋体" w:eastAsia="宋体" w:cs="宋体"/>
          <w:b w:val="0"/>
          <w:bCs/>
          <w:color w:val="000000" w:themeColor="text1"/>
          <w:highlight w:val="none"/>
          <w:u w:val="single"/>
          <w:lang w:val="en-US" w:eastAsia="zh-CN"/>
          <w14:textFill>
            <w14:solidFill>
              <w14:schemeClr w14:val="tx1"/>
            </w14:solidFill>
          </w14:textFill>
        </w:rPr>
      </w:pPr>
      <w:r>
        <w:rPr>
          <w:rFonts w:hint="eastAsia" w:ascii="宋体" w:hAnsi="宋体" w:eastAsia="宋体" w:cs="宋体"/>
          <w:b w:val="0"/>
          <w:bCs/>
          <w:color w:val="000000" w:themeColor="text1"/>
          <w:spacing w:val="60"/>
          <w:sz w:val="36"/>
          <w:szCs w:val="36"/>
          <w:highlight w:val="none"/>
          <w14:textFill>
            <w14:solidFill>
              <w14:schemeClr w14:val="tx1"/>
            </w14:solidFill>
          </w14:textFill>
        </w:rPr>
        <w:t xml:space="preserve">项目名</w:t>
      </w:r>
      <w:r>
        <w:rPr>
          <w:rFonts w:hint="eastAsia" w:ascii="宋体" w:hAnsi="宋体" w:eastAsia="宋体" w:cs="宋体"/>
          <w:b w:val="0"/>
          <w:bCs/>
          <w:color w:val="000000" w:themeColor="text1"/>
          <w:spacing w:val="2"/>
          <w:sz w:val="36"/>
          <w:szCs w:val="36"/>
          <w:highlight w:val="none"/>
          <w14:textFill>
            <w14:solidFill>
              <w14:schemeClr w14:val="tx1"/>
            </w14:solidFill>
          </w14:textFill>
        </w:rPr>
        <w:t xml:space="preserve">称</w:t>
      </w:r>
      <w:r>
        <w:rPr>
          <w:rFonts w:hint="eastAsia" w:ascii="宋体" w:hAnsi="宋体" w:eastAsia="宋体" w:cs="宋体"/>
          <w:b w:val="0"/>
          <w:bCs/>
          <w:color w:val="000000" w:themeColor="text1"/>
          <w:sz w:val="36"/>
          <w:szCs w:val="36"/>
          <w:highlight w:val="none"/>
          <w14:textFill>
            <w14:solidFill>
              <w14:schemeClr w14:val="tx1"/>
            </w14:solidFill>
          </w14:textFill>
        </w:rPr>
        <w:t xml:space="preserve">：</w:t>
      </w:r>
      <w:r>
        <w:rPr>
          <w:rFonts w:hint="eastAsia" w:ascii="宋体" w:hAnsi="宋体" w:eastAsia="宋体" w:cs="宋体"/>
          <w:b w:val="0"/>
          <w:bCs/>
          <w:color w:val="000000" w:themeColor="text1"/>
          <w:sz w:val="36"/>
          <w:szCs w:val="36"/>
          <w:highlight w:val="none"/>
          <w:lang w:val="en-US" w:eastAsia="zh-CN"/>
          <w14:textFill>
            <w14:solidFill>
              <w14:schemeClr w14:val="tx1"/>
            </w14:solidFill>
          </w14:textFill>
        </w:rPr>
        <w:t xml:space="preserve">                </w:t>
      </w:r>
      <w:r/>
    </w:p>
    <w:p>
      <w:pPr>
        <w:pStyle w:val="744"/>
        <w:ind w:left="630"/>
        <w:jc w:val="both"/>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spacing w:val="60"/>
          <w:sz w:val="36"/>
          <w:szCs w:val="36"/>
          <w:highlight w:val="none"/>
          <w14:textFill>
            <w14:solidFill>
              <w14:schemeClr w14:val="tx1"/>
            </w14:solidFill>
          </w14:textFill>
        </w:rPr>
        <w:t xml:space="preserve">项目编</w:t>
      </w:r>
      <w:r>
        <w:rPr>
          <w:rFonts w:hint="eastAsia" w:ascii="宋体" w:hAnsi="宋体" w:eastAsia="宋体" w:cs="宋体"/>
          <w:b w:val="0"/>
          <w:bCs/>
          <w:color w:val="000000" w:themeColor="text1"/>
          <w:spacing w:val="2"/>
          <w:sz w:val="36"/>
          <w:szCs w:val="36"/>
          <w:highlight w:val="none"/>
          <w14:textFill>
            <w14:solidFill>
              <w14:schemeClr w14:val="tx1"/>
            </w14:solidFill>
          </w14:textFill>
        </w:rPr>
        <w:t xml:space="preserve">号</w:t>
      </w:r>
      <w:r>
        <w:rPr>
          <w:rFonts w:hint="eastAsia" w:ascii="宋体" w:hAnsi="宋体" w:eastAsia="宋体" w:cs="宋体"/>
          <w:b w:val="0"/>
          <w:bCs/>
          <w:color w:val="000000" w:themeColor="text1"/>
          <w:sz w:val="36"/>
          <w:szCs w:val="36"/>
          <w:highlight w:val="none"/>
          <w14:textFill>
            <w14:solidFill>
              <w14:schemeClr w14:val="tx1"/>
            </w14:solidFill>
          </w14:textFill>
        </w:rPr>
        <w:t xml:space="preserve">：</w:t>
      </w:r>
      <w:r/>
    </w:p>
    <w:p>
      <w:pPr>
        <w:pStyle w:val="744"/>
        <w:ind w:left="630"/>
        <w:jc w:val="both"/>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sz w:val="36"/>
          <w:szCs w:val="36"/>
          <w:highlight w:val="none"/>
          <w14:textFill>
            <w14:solidFill>
              <w14:schemeClr w14:val="tx1"/>
            </w14:solidFill>
          </w14:textFill>
        </w:rPr>
        <w:t xml:space="preserve">供应商名称：</w:t>
      </w:r>
      <w:r>
        <w:rPr>
          <w:rFonts w:hint="eastAsia" w:ascii="宋体" w:hAnsi="宋体" w:eastAsia="宋体" w:cs="宋体"/>
          <w:b w:val="0"/>
          <w:bCs/>
          <w:color w:val="000000" w:themeColor="text1"/>
          <w:sz w:val="36"/>
          <w:szCs w:val="36"/>
          <w:highlight w:val="none"/>
          <w:u w:val="single"/>
          <w14:textFill>
            <w14:solidFill>
              <w14:schemeClr w14:val="tx1"/>
            </w14:solidFill>
          </w14:textFill>
        </w:rPr>
        <w:t xml:space="preserve">（加盖CA电子公章）</w:t>
      </w:r>
      <w:r/>
    </w:p>
    <w:p>
      <w:pPr>
        <w:pStyle w:val="744"/>
        <w:ind w:left="630"/>
        <w:jc w:val="both"/>
        <w:spacing w:beforeAutospacing="0" w:afterAutospacing="0"/>
        <w:rPr>
          <w:rFonts w:hint="eastAsia" w:ascii="宋体" w:hAnsi="宋体" w:eastAsia="宋体" w:cs="宋体"/>
          <w:b w:val="0"/>
          <w:bCs/>
          <w:color w:val="000000" w:themeColor="text1"/>
          <w:highlight w:val="none"/>
          <w:u w:val="single"/>
          <w14:textFill>
            <w14:solidFill>
              <w14:schemeClr w14:val="tx1"/>
            </w14:solidFill>
          </w14:textFill>
        </w:rPr>
      </w:pPr>
      <w:r>
        <w:rPr>
          <w:rFonts w:hint="eastAsia" w:ascii="宋体" w:hAnsi="宋体" w:eastAsia="宋体" w:cs="宋体"/>
          <w:b w:val="0"/>
          <w:bCs/>
          <w:color w:val="000000" w:themeColor="text1"/>
          <w:sz w:val="36"/>
          <w:szCs w:val="36"/>
          <w:highlight w:val="none"/>
          <w14:textFill>
            <w14:solidFill>
              <w14:schemeClr w14:val="tx1"/>
            </w14:solidFill>
          </w14:textFill>
        </w:rPr>
        <w:t xml:space="preserve">日　   </w:t>
      </w:r>
      <w:r>
        <w:rPr>
          <w:rFonts w:hint="eastAsia" w:ascii="宋体" w:hAnsi="宋体" w:eastAsia="宋体" w:cs="宋体"/>
          <w:b w:val="0"/>
          <w:bCs/>
          <w:color w:val="000000" w:themeColor="text1"/>
          <w:sz w:val="36"/>
          <w:szCs w:val="36"/>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sz w:val="36"/>
          <w:szCs w:val="36"/>
          <w:highlight w:val="none"/>
          <w14:textFill>
            <w14:solidFill>
              <w14:schemeClr w14:val="tx1"/>
            </w14:solidFill>
          </w14:textFill>
        </w:rPr>
        <w:t xml:space="preserve">期：</w:t>
      </w:r>
      <w:r/>
    </w:p>
    <w:p>
      <w:pPr>
        <w:pStyle w:val="744"/>
        <w:jc w:val="center"/>
        <w:spacing w:beforeAutospacing="0" w:afterAutospacing="0" w:line="0" w:lineRule="atLeas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p>
      <w:pPr>
        <w:pStyle w:val="744"/>
        <w:jc w:val="center"/>
        <w:spacing w:beforeAutospacing="0" w:afterAutospacing="0" w:line="0" w:lineRule="atLeast"/>
        <w:rPr>
          <w:rFonts w:hint="eastAsia" w:ascii="宋体" w:hAnsi="宋体" w:eastAsia="宋体" w:cs="宋体"/>
          <w:b w:val="0"/>
          <w:bCs/>
          <w:color w:val="000000" w:themeColor="text1"/>
          <w:sz w:val="32"/>
          <w:szCs w:val="32"/>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r>
      <w:r/>
    </w:p>
    <w:p>
      <w:pPr>
        <w:pStyle w:val="744"/>
        <w:jc w:val="center"/>
        <w:spacing w:beforeAutospacing="0" w:afterAutospacing="0" w:line="0" w:lineRule="atLeast"/>
        <w:rPr>
          <w:rFonts w:hint="eastAsia" w:ascii="宋体" w:hAnsi="宋体" w:eastAsia="宋体" w:cs="宋体"/>
          <w:b w:val="0"/>
          <w:bCs/>
          <w:color w:val="000000" w:themeColor="text1"/>
          <w:sz w:val="32"/>
          <w:szCs w:val="32"/>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r>
      <w:r/>
    </w:p>
    <w:p>
      <w:pPr>
        <w:pStyle w:val="744"/>
        <w:jc w:val="center"/>
        <w:spacing w:beforeAutospacing="0" w:afterAutospacing="0" w:line="0" w:lineRule="atLeast"/>
        <w:rPr>
          <w:rFonts w:hint="eastAsia" w:ascii="宋体" w:hAnsi="宋体" w:eastAsia="宋体" w:cs="宋体"/>
          <w:b w:val="0"/>
          <w:bCs/>
          <w:color w:val="000000" w:themeColor="text1"/>
          <w:sz w:val="32"/>
          <w:szCs w:val="32"/>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r>
      <w:r/>
    </w:p>
    <w:p>
      <w:pPr>
        <w:pStyle w:val="744"/>
        <w:jc w:val="center"/>
        <w:spacing w:beforeAutospacing="0" w:afterAutospacing="0" w:line="0" w:lineRule="atLeast"/>
        <w:rPr>
          <w:rFonts w:hint="eastAsia" w:ascii="宋体" w:hAnsi="宋体" w:eastAsia="宋体" w:cs="宋体"/>
          <w:b w:val="0"/>
          <w:bCs/>
          <w:color w:val="000000" w:themeColor="text1"/>
          <w:sz w:val="32"/>
          <w:szCs w:val="32"/>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r>
      <w:r/>
    </w:p>
    <w:p>
      <w:pPr>
        <w:pStyle w:val="744"/>
        <w:jc w:val="center"/>
        <w:spacing w:beforeAutospacing="0" w:afterAutospacing="0" w:line="0" w:lineRule="atLeast"/>
        <w:rPr>
          <w:rFonts w:hint="eastAsia" w:ascii="宋体" w:hAnsi="宋体" w:eastAsia="宋体" w:cs="宋体"/>
          <w:b w:val="0"/>
          <w:bCs/>
          <w:color w:val="000000" w:themeColor="text1"/>
          <w:sz w:val="32"/>
          <w:szCs w:val="32"/>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r>
      <w:r/>
    </w:p>
    <w:p>
      <w:pPr>
        <w:pStyle w:val="744"/>
        <w:jc w:val="center"/>
        <w:spacing w:beforeAutospacing="0" w:afterAutospacing="0" w:line="0" w:lineRule="atLeast"/>
        <w:rPr>
          <w:rFonts w:hint="eastAsia" w:ascii="宋体" w:hAnsi="宋体" w:eastAsia="宋体" w:cs="宋体"/>
          <w:b w:val="0"/>
          <w:bCs/>
          <w:color w:val="000000" w:themeColor="text1"/>
          <w:sz w:val="32"/>
          <w:szCs w:val="32"/>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r>
      <w:r/>
    </w:p>
    <w:p>
      <w:pPr>
        <w:pStyle w:val="744"/>
        <w:jc w:val="center"/>
        <w:spacing w:beforeAutospacing="0" w:afterAutospacing="0" w:line="508" w:lineRule="exact"/>
        <w:rPr>
          <w:rFonts w:hint="eastAsia" w:ascii="宋体" w:hAnsi="宋体" w:eastAsia="宋体" w:cs="宋体"/>
          <w:b w:val="0"/>
          <w:bCs/>
          <w:color w:val="000000" w:themeColor="text1"/>
          <w:sz w:val="32"/>
          <w:szCs w:val="32"/>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r>
      <w:r/>
    </w:p>
    <w:p>
      <w:pPr>
        <w:pStyle w:val="744"/>
        <w:jc w:val="center"/>
        <w:spacing w:beforeAutospacing="0" w:afterAutospacing="0" w:line="508" w:lineRule="exact"/>
        <w:rPr>
          <w:rFonts w:hint="eastAsia" w:ascii="宋体" w:hAnsi="宋体" w:eastAsia="宋体" w:cs="宋体"/>
          <w:b w:val="0"/>
          <w:bCs/>
          <w:color w:val="000000" w:themeColor="text1"/>
          <w:sz w:val="32"/>
          <w:szCs w:val="32"/>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r>
      <w:r/>
    </w:p>
    <w:p>
      <w:pPr>
        <w:pStyle w:val="744"/>
        <w:jc w:val="center"/>
        <w:spacing w:beforeAutospacing="0" w:afterAutospacing="0" w:line="508" w:lineRule="exact"/>
        <w:rPr>
          <w:rFonts w:hint="eastAsia" w:ascii="宋体" w:hAnsi="宋体" w:eastAsia="宋体" w:cs="宋体"/>
          <w:b w:val="0"/>
          <w:bCs/>
          <w:color w:val="000000" w:themeColor="text1"/>
          <w:sz w:val="32"/>
          <w:szCs w:val="32"/>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r>
      <w:r/>
    </w:p>
    <w:p>
      <w:pPr>
        <w:pStyle w:val="744"/>
        <w:jc w:val="center"/>
        <w:spacing w:beforeAutospacing="0" w:afterAutospacing="0" w:line="508" w:lineRule="exact"/>
        <w:rPr>
          <w:rFonts w:hint="eastAsia" w:ascii="宋体" w:hAnsi="宋体" w:eastAsia="宋体" w:cs="宋体"/>
          <w:b w:val="0"/>
          <w:bCs/>
          <w:color w:val="000000" w:themeColor="text1"/>
          <w:sz w:val="44"/>
          <w:szCs w:val="44"/>
          <w:highlight w:val="none"/>
          <w14:textFill>
            <w14:solidFill>
              <w14:schemeClr w14:val="tx1"/>
            </w14:solidFill>
          </w14:textFill>
        </w:rPr>
      </w:pPr>
      <w:r>
        <w:rPr>
          <w:rFonts w:hint="eastAsia" w:ascii="宋体" w:hAnsi="宋体" w:eastAsia="宋体" w:cs="宋体"/>
          <w:b w:val="0"/>
          <w:bCs/>
          <w:color w:val="000000" w:themeColor="text1"/>
          <w:sz w:val="44"/>
          <w:szCs w:val="44"/>
          <w:highlight w:val="none"/>
          <w14:textFill>
            <w14:solidFill>
              <w14:schemeClr w14:val="tx1"/>
            </w14:solidFill>
          </w14:textFill>
        </w:rPr>
        <w:t xml:space="preserve">响应文件目录</w:t>
      </w:r>
      <w:r/>
    </w:p>
    <w:p>
      <w:pPr>
        <w:pStyle w:val="744"/>
        <w:jc w:val="center"/>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p>
      <w:pPr>
        <w:pStyle w:val="744"/>
        <w:ind w:left="480" w:hanging="480"/>
        <w:jc w:val="both"/>
        <w:spacing w:beforeAutospacing="0" w:afterAutospacing="0" w:line="508" w:lineRule="exact"/>
        <w:rPr>
          <w:rFonts w:hint="eastAsia" w:ascii="宋体" w:hAnsi="宋体" w:eastAsia="宋体" w:cs="宋体"/>
          <w:b w:val="0"/>
          <w:bCs/>
          <w:iCs/>
          <w:color w:val="000000" w:themeColor="text1"/>
          <w:highlight w:val="none"/>
          <w14:textFill>
            <w14:solidFill>
              <w14:schemeClr w14:val="tx1"/>
            </w14:solidFill>
          </w14:textFill>
        </w:rPr>
      </w:pPr>
      <w:r>
        <w:rPr>
          <w:rFonts w:hint="eastAsia" w:ascii="宋体" w:hAnsi="宋体" w:eastAsia="宋体" w:cs="宋体"/>
          <w:b w:val="0"/>
          <w:bCs/>
          <w:iCs/>
          <w:color w:val="000000" w:themeColor="text1"/>
          <w:highlight w:val="none"/>
          <w14:textFill>
            <w14:solidFill>
              <w14:schemeClr w14:val="tx1"/>
            </w14:solidFill>
          </w14:textFill>
        </w:rPr>
        <w:t xml:space="preserve">一、法人或者其他组织的营业执照等证明文件，自然人的身份证明</w:t>
      </w:r>
      <w:r/>
    </w:p>
    <w:p>
      <w:pPr>
        <w:pStyle w:val="744"/>
        <w:ind w:left="480" w:hanging="480"/>
        <w:jc w:val="both"/>
        <w:spacing w:beforeAutospacing="0" w:afterAutospacing="0" w:line="508" w:lineRule="exact"/>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iCs/>
          <w:color w:val="000000" w:themeColor="text1"/>
          <w:highlight w:val="none"/>
          <w14:textFill>
            <w14:solidFill>
              <w14:schemeClr w14:val="tx1"/>
            </w14:solidFill>
          </w14:textFill>
        </w:rPr>
        <w:t xml:space="preserve">二、</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上一年度的财务状况报表（至少提供资产负债表、利润表、现金流量表，投标人成立不满一年无需提供）</w:t>
      </w:r>
      <w:r/>
    </w:p>
    <w:p>
      <w:pPr>
        <w:pStyle w:val="744"/>
        <w:ind w:left="480" w:hanging="480"/>
        <w:jc w:val="both"/>
        <w:spacing w:beforeAutospacing="0" w:afterAutospacing="0" w:line="508" w:lineRule="exact"/>
        <w:rPr>
          <w:rFonts w:hint="eastAsia" w:ascii="宋体" w:hAnsi="宋体" w:eastAsia="宋体" w:cs="宋体"/>
          <w:b w:val="0"/>
          <w:bCs/>
          <w:iCs/>
          <w:color w:val="000000" w:themeColor="text1"/>
          <w:highlight w:val="none"/>
          <w14:textFill>
            <w14:solidFill>
              <w14:schemeClr w14:val="tx1"/>
            </w14:solidFill>
          </w14:textFill>
        </w:rPr>
      </w:pPr>
      <w:r>
        <w:rPr>
          <w:rFonts w:hint="eastAsia" w:ascii="宋体" w:hAnsi="宋体" w:eastAsia="宋体" w:cs="宋体"/>
          <w:b w:val="0"/>
          <w:bCs/>
          <w:iCs/>
          <w:color w:val="000000" w:themeColor="text1"/>
          <w:highlight w:val="none"/>
          <w14:textFill>
            <w14:solidFill>
              <w14:schemeClr w14:val="tx1"/>
            </w14:solidFill>
          </w14:textFill>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744"/>
        <w:ind w:left="480" w:hanging="480"/>
        <w:jc w:val="both"/>
        <w:spacing w:beforeAutospacing="0" w:afterAutospacing="0" w:line="508" w:lineRule="exact"/>
        <w:rPr>
          <w:rFonts w:hint="eastAsia" w:ascii="宋体" w:hAnsi="宋体" w:eastAsia="宋体" w:cs="宋体"/>
          <w:b w:val="0"/>
          <w:bCs/>
          <w:iCs/>
          <w:color w:val="000000" w:themeColor="text1"/>
          <w:highlight w:val="none"/>
          <w14:textFill>
            <w14:solidFill>
              <w14:schemeClr w14:val="tx1"/>
            </w14:solidFill>
          </w14:textFill>
        </w:rPr>
      </w:pPr>
      <w:r>
        <w:rPr>
          <w:rFonts w:hint="eastAsia" w:ascii="宋体" w:hAnsi="宋体" w:eastAsia="宋体" w:cs="宋体"/>
          <w:b w:val="0"/>
          <w:bCs/>
          <w:iCs/>
          <w:color w:val="000000" w:themeColor="text1"/>
          <w:highlight w:val="none"/>
          <w14:textFill>
            <w14:solidFill>
              <w14:schemeClr w14:val="tx1"/>
            </w14:solidFill>
          </w14:textFill>
        </w:rPr>
        <w:t xml:space="preserve">四、具备履行合同所必需的设备和专业技术能力的书面声明五、参加政府采购活动前 3 年内在经营活动中没有重大违法记录的书面声明</w:t>
      </w:r>
      <w:r/>
    </w:p>
    <w:p>
      <w:pPr>
        <w:pStyle w:val="744"/>
        <w:ind w:left="480" w:hanging="480"/>
        <w:jc w:val="both"/>
        <w:spacing w:beforeAutospacing="0" w:afterAutospacing="0" w:line="508" w:lineRule="exact"/>
        <w:rPr>
          <w:rFonts w:hint="eastAsia" w:ascii="宋体" w:hAnsi="宋体" w:eastAsia="宋体" w:cs="宋体"/>
          <w:b w:val="0"/>
          <w:bCs/>
          <w:iCs/>
          <w:color w:val="000000" w:themeColor="text1"/>
          <w:highlight w:val="none"/>
          <w14:textFill>
            <w14:solidFill>
              <w14:schemeClr w14:val="tx1"/>
            </w14:solidFill>
          </w14:textFill>
        </w:rPr>
      </w:pPr>
      <w:r>
        <w:rPr>
          <w:rFonts w:hint="eastAsia" w:ascii="宋体" w:hAnsi="宋体" w:eastAsia="宋体" w:cs="宋体"/>
          <w:b w:val="0"/>
          <w:bCs/>
          <w:iCs/>
          <w:color w:val="000000" w:themeColor="text1"/>
          <w:highlight w:val="none"/>
          <w14:textFill>
            <w14:solidFill>
              <w14:schemeClr w14:val="tx1"/>
            </w14:solidFill>
          </w14:textFill>
        </w:rPr>
        <w:t xml:space="preserve">六、特定资格要求的证明文件（如果本项目设置特定资格要求，则需要提供）</w:t>
      </w:r>
      <w:r/>
    </w:p>
    <w:p>
      <w:pPr>
        <w:pStyle w:val="744"/>
        <w:ind w:left="480" w:hanging="480"/>
        <w:jc w:val="both"/>
        <w:spacing w:beforeAutospacing="0" w:afterAutospacing="0" w:line="508" w:lineRule="exact"/>
        <w:rPr>
          <w:rFonts w:hint="eastAsia" w:ascii="宋体" w:hAnsi="宋体" w:eastAsia="宋体" w:cs="宋体"/>
          <w:b w:val="0"/>
          <w:bCs/>
          <w:iCs/>
          <w:color w:val="000000" w:themeColor="text1"/>
          <w:highlight w:val="none"/>
          <w14:textFill>
            <w14:solidFill>
              <w14:schemeClr w14:val="tx1"/>
            </w14:solidFill>
          </w14:textFill>
        </w:rPr>
      </w:pPr>
      <w:r>
        <w:rPr>
          <w:rFonts w:hint="eastAsia" w:ascii="宋体" w:hAnsi="宋体" w:eastAsia="宋体" w:cs="宋体"/>
          <w:b w:val="0"/>
          <w:bCs/>
          <w:iCs/>
          <w:color w:val="000000" w:themeColor="text1"/>
          <w:highlight w:val="none"/>
          <w14:textFill>
            <w14:solidFill>
              <w14:schemeClr w14:val="tx1"/>
            </w14:solidFill>
          </w14:textFill>
        </w:rPr>
        <w:t xml:space="preserve">七、法人授权书</w:t>
      </w:r>
      <w:r/>
    </w:p>
    <w:p>
      <w:pPr>
        <w:pStyle w:val="744"/>
        <w:ind w:left="480" w:hanging="480"/>
        <w:jc w:val="both"/>
        <w:spacing w:beforeAutospacing="0" w:afterAutospacing="0" w:line="508" w:lineRule="exact"/>
        <w:rPr>
          <w:rFonts w:hint="eastAsia" w:ascii="宋体" w:hAnsi="宋体" w:eastAsia="宋体" w:cs="宋体"/>
          <w:b w:val="0"/>
          <w:bCs/>
          <w:iCs/>
          <w:color w:val="000000" w:themeColor="text1"/>
          <w:highlight w:val="none"/>
          <w14:textFill>
            <w14:solidFill>
              <w14:schemeClr w14:val="tx1"/>
            </w14:solidFill>
          </w14:textFill>
        </w:rPr>
      </w:pPr>
      <w:r>
        <w:rPr>
          <w:rFonts w:hint="eastAsia" w:ascii="宋体" w:hAnsi="宋体" w:eastAsia="宋体" w:cs="宋体"/>
          <w:b w:val="0"/>
          <w:bCs/>
          <w:iCs/>
          <w:color w:val="000000" w:themeColor="text1"/>
          <w:highlight w:val="none"/>
          <w14:textFill>
            <w14:solidFill>
              <w14:schemeClr w14:val="tx1"/>
            </w14:solidFill>
          </w14:textFill>
        </w:rPr>
        <w:t xml:space="preserve">八、磋商响应函</w:t>
      </w:r>
      <w:r/>
    </w:p>
    <w:p>
      <w:pPr>
        <w:pStyle w:val="744"/>
        <w:ind w:left="480" w:hanging="480"/>
        <w:jc w:val="both"/>
        <w:spacing w:beforeAutospacing="0" w:afterAutospacing="0" w:line="508" w:lineRule="exact"/>
        <w:rPr>
          <w:rFonts w:hint="eastAsia" w:ascii="宋体" w:hAnsi="宋体" w:eastAsia="宋体" w:cs="宋体"/>
          <w:b w:val="0"/>
          <w:bCs/>
          <w:iCs/>
          <w:color w:val="000000" w:themeColor="text1"/>
          <w:highlight w:val="none"/>
          <w14:textFill>
            <w14:solidFill>
              <w14:schemeClr w14:val="tx1"/>
            </w14:solidFill>
          </w14:textFill>
        </w:rPr>
      </w:pPr>
      <w:r>
        <w:rPr>
          <w:rFonts w:hint="eastAsia" w:ascii="宋体" w:hAnsi="宋体" w:eastAsia="宋体" w:cs="宋体"/>
          <w:b w:val="0"/>
          <w:bCs/>
          <w:iCs/>
          <w:color w:val="000000" w:themeColor="text1"/>
          <w:highlight w:val="none"/>
          <w14:textFill>
            <w14:solidFill>
              <w14:schemeClr w14:val="tx1"/>
            </w14:solidFill>
          </w14:textFill>
        </w:rPr>
        <w:t xml:space="preserve">九、中小企业声明函</w:t>
      </w:r>
      <w:r/>
    </w:p>
    <w:p>
      <w:pPr>
        <w:pStyle w:val="744"/>
        <w:ind w:left="480" w:hanging="480"/>
        <w:jc w:val="both"/>
        <w:spacing w:beforeAutospacing="0" w:afterAutospacing="0" w:line="508" w:lineRule="exact"/>
        <w:rPr>
          <w:rFonts w:hint="eastAsia" w:ascii="宋体" w:hAnsi="宋体" w:eastAsia="宋体" w:cs="宋体"/>
          <w:b w:val="0"/>
          <w:bCs/>
          <w:iCs/>
          <w:color w:val="000000" w:themeColor="text1"/>
          <w:highlight w:val="none"/>
          <w14:textFill>
            <w14:solidFill>
              <w14:schemeClr w14:val="tx1"/>
            </w14:solidFill>
          </w14:textFill>
        </w:rPr>
      </w:pPr>
      <w:r>
        <w:rPr>
          <w:rFonts w:hint="eastAsia" w:ascii="宋体" w:hAnsi="宋体" w:eastAsia="宋体" w:cs="宋体"/>
          <w:b w:val="0"/>
          <w:bCs/>
          <w:iCs/>
          <w:color w:val="000000" w:themeColor="text1"/>
          <w:highlight w:val="none"/>
          <w14:textFill>
            <w14:solidFill>
              <w14:schemeClr w14:val="tx1"/>
            </w14:solidFill>
          </w14:textFill>
        </w:rPr>
        <w:t xml:space="preserve">十、残疾人福利性单位声明函</w:t>
      </w:r>
      <w:r/>
    </w:p>
    <w:p>
      <w:pPr>
        <w:pStyle w:val="744"/>
        <w:ind w:left="480" w:hanging="480"/>
        <w:jc w:val="both"/>
        <w:spacing w:beforeAutospacing="0" w:afterAutospacing="0" w:line="508" w:lineRule="exact"/>
        <w:rPr>
          <w:rFonts w:hint="eastAsia" w:ascii="宋体" w:hAnsi="宋体" w:eastAsia="宋体" w:cs="宋体"/>
          <w:b w:val="0"/>
          <w:bCs/>
          <w:iCs/>
          <w:color w:val="000000" w:themeColor="text1"/>
          <w:highlight w:val="none"/>
          <w14:textFill>
            <w14:solidFill>
              <w14:schemeClr w14:val="tx1"/>
            </w14:solidFill>
          </w14:textFill>
        </w:rPr>
      </w:pPr>
      <w:r>
        <w:rPr>
          <w:rFonts w:hint="eastAsia" w:ascii="宋体" w:hAnsi="宋体" w:eastAsia="宋体" w:cs="宋体"/>
          <w:b w:val="0"/>
          <w:bCs/>
          <w:iCs/>
          <w:color w:val="000000" w:themeColor="text1"/>
          <w:highlight w:val="none"/>
          <w14:textFill>
            <w14:solidFill>
              <w14:schemeClr w14:val="tx1"/>
            </w14:solidFill>
          </w14:textFill>
        </w:rPr>
        <w:t xml:space="preserve">十</w:t>
      </w:r>
      <w:r>
        <w:rPr>
          <w:rFonts w:hint="eastAsia" w:ascii="宋体" w:hAnsi="宋体" w:eastAsia="宋体" w:cs="宋体"/>
          <w:b w:val="0"/>
          <w:bCs/>
          <w:iCs/>
          <w:color w:val="000000" w:themeColor="text1"/>
          <w:highlight w:val="none"/>
          <w:lang w:eastAsia="zh-CN"/>
          <w14:textFill>
            <w14:solidFill>
              <w14:schemeClr w14:val="tx1"/>
            </w14:solidFill>
          </w14:textFill>
        </w:rPr>
        <w:t xml:space="preserve">一</w:t>
      </w:r>
      <w:r>
        <w:rPr>
          <w:rFonts w:hint="eastAsia" w:ascii="宋体" w:hAnsi="宋体" w:eastAsia="宋体" w:cs="宋体"/>
          <w:b w:val="0"/>
          <w:bCs/>
          <w:iCs/>
          <w:color w:val="000000" w:themeColor="text1"/>
          <w:highlight w:val="none"/>
          <w14:textFill>
            <w14:solidFill>
              <w14:schemeClr w14:val="tx1"/>
            </w14:solidFill>
          </w14:textFill>
        </w:rPr>
        <w:t xml:space="preserve">、分项报价表</w:t>
      </w:r>
      <w:r/>
    </w:p>
    <w:p>
      <w:pPr>
        <w:pStyle w:val="744"/>
        <w:ind w:left="480" w:hanging="480"/>
        <w:jc w:val="both"/>
        <w:spacing w:beforeAutospacing="0" w:afterAutospacing="0" w:line="508" w:lineRule="exact"/>
        <w:rPr>
          <w:rFonts w:hint="eastAsia" w:ascii="宋体" w:hAnsi="宋体" w:eastAsia="宋体" w:cs="宋体"/>
          <w:b w:val="0"/>
          <w:bCs/>
          <w:iCs/>
          <w:color w:val="000000" w:themeColor="text1"/>
          <w:highlight w:val="none"/>
          <w14:textFill>
            <w14:solidFill>
              <w14:schemeClr w14:val="tx1"/>
            </w14:solidFill>
          </w14:textFill>
        </w:rPr>
      </w:pPr>
      <w:r>
        <w:rPr>
          <w:rFonts w:hint="eastAsia" w:ascii="宋体" w:hAnsi="宋体" w:eastAsia="宋体" w:cs="宋体"/>
          <w:b w:val="0"/>
          <w:bCs/>
          <w:iCs/>
          <w:color w:val="000000" w:themeColor="text1"/>
          <w:highlight w:val="none"/>
          <w14:textFill>
            <w14:solidFill>
              <w14:schemeClr w14:val="tx1"/>
            </w14:solidFill>
          </w14:textFill>
        </w:rPr>
        <w:t xml:space="preserve">十</w:t>
      </w:r>
      <w:r>
        <w:rPr>
          <w:rFonts w:hint="eastAsia" w:ascii="宋体" w:hAnsi="宋体" w:eastAsia="宋体" w:cs="宋体"/>
          <w:b w:val="0"/>
          <w:bCs/>
          <w:iCs/>
          <w:color w:val="000000" w:themeColor="text1"/>
          <w:highlight w:val="none"/>
          <w:lang w:eastAsia="zh-CN"/>
          <w14:textFill>
            <w14:solidFill>
              <w14:schemeClr w14:val="tx1"/>
            </w14:solidFill>
          </w14:textFill>
        </w:rPr>
        <w:t xml:space="preserve">二</w:t>
      </w:r>
      <w:r>
        <w:rPr>
          <w:rFonts w:hint="eastAsia" w:ascii="宋体" w:hAnsi="宋体" w:eastAsia="宋体" w:cs="宋体"/>
          <w:b w:val="0"/>
          <w:bCs/>
          <w:iCs/>
          <w:color w:val="000000" w:themeColor="text1"/>
          <w:highlight w:val="none"/>
          <w14:textFill>
            <w14:solidFill>
              <w14:schemeClr w14:val="tx1"/>
            </w14:solidFill>
          </w14:textFill>
        </w:rPr>
        <w:t xml:space="preserve">、技术要求响应及偏离表</w:t>
      </w:r>
      <w:r/>
    </w:p>
    <w:p>
      <w:pPr>
        <w:pStyle w:val="744"/>
        <w:ind w:left="480" w:hanging="480"/>
        <w:jc w:val="both"/>
        <w:spacing w:beforeAutospacing="0" w:afterAutospacing="0" w:line="508" w:lineRule="exact"/>
        <w:rPr>
          <w:rFonts w:hint="eastAsia" w:ascii="宋体" w:hAnsi="宋体" w:eastAsia="宋体" w:cs="宋体"/>
          <w:b w:val="0"/>
          <w:bCs/>
          <w:iCs/>
          <w:color w:val="000000" w:themeColor="text1"/>
          <w:highlight w:val="none"/>
          <w14:textFill>
            <w14:solidFill>
              <w14:schemeClr w14:val="tx1"/>
            </w14:solidFill>
          </w14:textFill>
        </w:rPr>
      </w:pPr>
      <w:r>
        <w:rPr>
          <w:rFonts w:hint="eastAsia" w:ascii="宋体" w:hAnsi="宋体" w:eastAsia="宋体" w:cs="宋体"/>
          <w:b w:val="0"/>
          <w:bCs/>
          <w:iCs/>
          <w:color w:val="000000" w:themeColor="text1"/>
          <w:highlight w:val="none"/>
          <w14:textFill>
            <w14:solidFill>
              <w14:schemeClr w14:val="tx1"/>
            </w14:solidFill>
          </w14:textFill>
        </w:rPr>
        <w:t xml:space="preserve">十</w:t>
      </w:r>
      <w:r>
        <w:rPr>
          <w:rFonts w:hint="eastAsia" w:ascii="宋体" w:hAnsi="宋体" w:eastAsia="宋体" w:cs="宋体"/>
          <w:b w:val="0"/>
          <w:bCs/>
          <w:iCs/>
          <w:color w:val="000000" w:themeColor="text1"/>
          <w:highlight w:val="none"/>
          <w:lang w:eastAsia="zh-CN"/>
          <w14:textFill>
            <w14:solidFill>
              <w14:schemeClr w14:val="tx1"/>
            </w14:solidFill>
          </w14:textFill>
        </w:rPr>
        <w:t xml:space="preserve">三</w:t>
      </w:r>
      <w:r>
        <w:rPr>
          <w:rFonts w:hint="eastAsia" w:ascii="宋体" w:hAnsi="宋体" w:eastAsia="宋体" w:cs="宋体"/>
          <w:b w:val="0"/>
          <w:bCs/>
          <w:iCs/>
          <w:color w:val="000000" w:themeColor="text1"/>
          <w:highlight w:val="none"/>
          <w14:textFill>
            <w14:solidFill>
              <w14:schemeClr w14:val="tx1"/>
            </w14:solidFill>
          </w14:textFill>
        </w:rPr>
        <w:t xml:space="preserve">、商务要求响应及偏离表</w:t>
      </w:r>
      <w:r/>
    </w:p>
    <w:p>
      <w:pPr>
        <w:pStyle w:val="744"/>
        <w:ind w:left="480" w:hanging="480"/>
        <w:jc w:val="both"/>
        <w:spacing w:beforeAutospacing="0" w:afterAutospacing="0" w:line="508" w:lineRule="exact"/>
        <w:rPr>
          <w:rFonts w:hint="eastAsia" w:ascii="宋体" w:hAnsi="宋体" w:eastAsia="宋体" w:cs="宋体"/>
          <w:b w:val="0"/>
          <w:bCs/>
          <w:iCs/>
          <w:color w:val="000000" w:themeColor="text1"/>
          <w:highlight w:val="none"/>
          <w14:textFill>
            <w14:solidFill>
              <w14:schemeClr w14:val="tx1"/>
            </w14:solidFill>
          </w14:textFill>
        </w:rPr>
      </w:pPr>
      <w:r>
        <w:rPr>
          <w:rFonts w:hint="eastAsia" w:ascii="宋体" w:hAnsi="宋体" w:eastAsia="宋体" w:cs="宋体"/>
          <w:b w:val="0"/>
          <w:bCs/>
          <w:iCs/>
          <w:color w:val="000000" w:themeColor="text1"/>
          <w:highlight w:val="none"/>
          <w14:textFill>
            <w14:solidFill>
              <w14:schemeClr w14:val="tx1"/>
            </w14:solidFill>
          </w14:textFill>
        </w:rPr>
        <w:t xml:space="preserve">十</w:t>
      </w:r>
      <w:r>
        <w:rPr>
          <w:rFonts w:hint="eastAsia" w:ascii="宋体" w:hAnsi="宋体" w:eastAsia="宋体" w:cs="宋体"/>
          <w:b w:val="0"/>
          <w:bCs/>
          <w:iCs/>
          <w:color w:val="000000" w:themeColor="text1"/>
          <w:highlight w:val="none"/>
          <w:lang w:eastAsia="zh-CN"/>
          <w14:textFill>
            <w14:solidFill>
              <w14:schemeClr w14:val="tx1"/>
            </w14:solidFill>
          </w14:textFill>
        </w:rPr>
        <w:t xml:space="preserve">四</w:t>
      </w:r>
      <w:r>
        <w:rPr>
          <w:rFonts w:hint="eastAsia" w:ascii="宋体" w:hAnsi="宋体" w:eastAsia="宋体" w:cs="宋体"/>
          <w:b w:val="0"/>
          <w:bCs/>
          <w:iCs/>
          <w:color w:val="000000" w:themeColor="text1"/>
          <w:highlight w:val="none"/>
          <w14:textFill>
            <w14:solidFill>
              <w14:schemeClr w14:val="tx1"/>
            </w14:solidFill>
          </w14:textFill>
        </w:rPr>
        <w:t xml:space="preserve">、开标一览表</w:t>
      </w:r>
      <w:r/>
    </w:p>
    <w:p>
      <w:pPr>
        <w:ind w:left="480" w:hanging="480"/>
        <w:spacing w:line="508" w:lineRule="exact"/>
        <w:rPr>
          <w:rFonts w:hint="eastAsia" w:ascii="宋体" w:hAnsi="宋体" w:eastAsia="宋体" w:cs="宋体"/>
          <w:b w:val="0"/>
          <w:bCs/>
          <w:iCs/>
          <w:color w:val="000000" w:themeColor="text1"/>
          <w:sz w:val="24"/>
          <w:highlight w:val="none"/>
          <w14:textFill>
            <w14:solidFill>
              <w14:schemeClr w14:val="tx1"/>
            </w14:solidFill>
          </w14:textFill>
        </w:rPr>
      </w:pPr>
      <w:r>
        <w:rPr>
          <w:rFonts w:hint="eastAsia" w:ascii="宋体" w:hAnsi="宋体" w:eastAsia="宋体" w:cs="宋体"/>
          <w:b w:val="0"/>
          <w:bCs/>
          <w:iCs/>
          <w:color w:val="000000" w:themeColor="text1"/>
          <w:sz w:val="24"/>
          <w:highlight w:val="none"/>
          <w14:textFill>
            <w14:solidFill>
              <w14:schemeClr w14:val="tx1"/>
            </w14:solidFill>
          </w14:textFill>
        </w:rPr>
        <w:t xml:space="preserve">十</w:t>
      </w:r>
      <w:r>
        <w:rPr>
          <w:rFonts w:hint="eastAsia" w:ascii="宋体" w:hAnsi="宋体" w:eastAsia="宋体" w:cs="宋体"/>
          <w:b w:val="0"/>
          <w:bCs/>
          <w:iCs/>
          <w:color w:val="000000" w:themeColor="text1"/>
          <w:sz w:val="24"/>
          <w:highlight w:val="none"/>
          <w:lang w:eastAsia="zh-CN"/>
          <w14:textFill>
            <w14:solidFill>
              <w14:schemeClr w14:val="tx1"/>
            </w14:solidFill>
          </w14:textFill>
        </w:rPr>
        <w:t xml:space="preserve">五</w:t>
      </w:r>
      <w:r>
        <w:rPr>
          <w:rFonts w:hint="eastAsia" w:ascii="宋体" w:hAnsi="宋体" w:eastAsia="宋体" w:cs="宋体"/>
          <w:b w:val="0"/>
          <w:bCs/>
          <w:iCs/>
          <w:color w:val="000000" w:themeColor="text1"/>
          <w:sz w:val="24"/>
          <w:highlight w:val="none"/>
          <w14:textFill>
            <w14:solidFill>
              <w14:schemeClr w14:val="tx1"/>
            </w14:solidFill>
          </w14:textFill>
        </w:rPr>
        <w:t xml:space="preserve">、技术方案、服务承诺、培训承诺等</w:t>
      </w:r>
      <w:r/>
    </w:p>
    <w:p>
      <w:pPr>
        <w:pStyle w:val="744"/>
        <w:ind w:left="480" w:hanging="480"/>
        <w:jc w:val="both"/>
        <w:spacing w:beforeAutospacing="0" w:afterAutospacing="0" w:line="508" w:lineRule="exact"/>
        <w:rPr>
          <w:rFonts w:hint="eastAsia" w:ascii="宋体" w:hAnsi="宋体" w:eastAsia="宋体" w:cs="宋体"/>
          <w:b w:val="0"/>
          <w:bCs/>
          <w:iCs/>
          <w:color w:val="000000" w:themeColor="text1"/>
          <w:highlight w:val="none"/>
          <w14:textFill>
            <w14:solidFill>
              <w14:schemeClr w14:val="tx1"/>
            </w14:solidFill>
          </w14:textFill>
        </w:rPr>
      </w:pPr>
      <w:r>
        <w:rPr>
          <w:rFonts w:hint="eastAsia" w:ascii="宋体" w:hAnsi="宋体" w:eastAsia="宋体" w:cs="宋体"/>
          <w:b w:val="0"/>
          <w:bCs/>
          <w:iCs/>
          <w:color w:val="000000" w:themeColor="text1"/>
          <w:highlight w:val="none"/>
          <w14:textFill>
            <w14:solidFill>
              <w14:schemeClr w14:val="tx1"/>
            </w14:solidFill>
          </w14:textFill>
        </w:rPr>
        <w:t xml:space="preserve">十</w:t>
      </w:r>
      <w:r>
        <w:rPr>
          <w:rFonts w:hint="eastAsia" w:ascii="宋体" w:hAnsi="宋体" w:eastAsia="宋体" w:cs="宋体"/>
          <w:b w:val="0"/>
          <w:bCs/>
          <w:iCs/>
          <w:color w:val="000000" w:themeColor="text1"/>
          <w:highlight w:val="none"/>
          <w:lang w:eastAsia="zh-CN"/>
          <w14:textFill>
            <w14:solidFill>
              <w14:schemeClr w14:val="tx1"/>
            </w14:solidFill>
          </w14:textFill>
        </w:rPr>
        <w:t xml:space="preserve">六</w:t>
      </w:r>
      <w:r>
        <w:rPr>
          <w:rFonts w:hint="eastAsia" w:ascii="宋体" w:hAnsi="宋体" w:eastAsia="宋体" w:cs="宋体"/>
          <w:b w:val="0"/>
          <w:bCs/>
          <w:iCs/>
          <w:color w:val="000000" w:themeColor="text1"/>
          <w:highlight w:val="none"/>
          <w14:textFill>
            <w14:solidFill>
              <w14:schemeClr w14:val="tx1"/>
            </w14:solidFill>
          </w14:textFill>
        </w:rPr>
        <w:t xml:space="preserve">、盐城市政府采购事前信用承诺书</w:t>
      </w:r>
      <w:r/>
    </w:p>
    <w:p>
      <w:pPr>
        <w:pStyle w:val="744"/>
        <w:ind w:left="480" w:hanging="480"/>
        <w:jc w:val="both"/>
        <w:spacing w:beforeAutospacing="0" w:afterAutospacing="0" w:line="508" w:lineRule="exact"/>
        <w:rPr>
          <w:rFonts w:hint="eastAsia" w:ascii="宋体" w:hAnsi="宋体" w:eastAsia="宋体" w:cs="宋体"/>
          <w:b w:val="0"/>
          <w:bCs/>
          <w:iCs/>
          <w:color w:val="000000" w:themeColor="text1"/>
          <w:highlight w:val="none"/>
          <w14:textFill>
            <w14:solidFill>
              <w14:schemeClr w14:val="tx1"/>
            </w14:solidFill>
          </w14:textFill>
        </w:rPr>
      </w:pPr>
      <w:r>
        <w:rPr>
          <w:rFonts w:hint="eastAsia" w:ascii="宋体" w:hAnsi="宋体" w:eastAsia="宋体" w:cs="宋体"/>
          <w:b w:val="0"/>
          <w:bCs/>
          <w:iCs/>
          <w:color w:val="000000" w:themeColor="text1"/>
          <w:highlight w:val="none"/>
          <w:lang w:eastAsia="zh-CN"/>
          <w14:textFill>
            <w14:solidFill>
              <w14:schemeClr w14:val="tx1"/>
            </w14:solidFill>
          </w14:textFill>
        </w:rPr>
        <w:t xml:space="preserve">十七、</w:t>
      </w:r>
      <w:r>
        <w:rPr>
          <w:rFonts w:hint="eastAsia" w:ascii="宋体" w:hAnsi="宋体" w:eastAsia="宋体" w:cs="宋体"/>
          <w:b w:val="0"/>
          <w:bCs/>
          <w:iCs/>
          <w:color w:val="000000" w:themeColor="text1"/>
          <w:highlight w:val="none"/>
          <w14:textFill>
            <w14:solidFill>
              <w14:schemeClr w14:val="tx1"/>
            </w14:solidFill>
          </w14:textFill>
        </w:rPr>
        <w:t xml:space="preserve">项目建设供应商承诺函</w:t>
      </w:r>
      <w:r/>
    </w:p>
    <w:p>
      <w:pPr>
        <w:pStyle w:val="744"/>
        <w:ind w:left="480" w:hanging="480"/>
        <w:jc w:val="both"/>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br w:type="page" w:clear="all"/>
      </w:r>
      <w:r/>
    </w:p>
    <w:p>
      <w:pPr>
        <w:pStyle w:val="744"/>
        <w:jc w:val="both"/>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i/>
          <w:color w:val="000000" w:themeColor="text1"/>
          <w:sz w:val="32"/>
          <w:szCs w:val="32"/>
          <w:highlight w:val="none"/>
          <w:u w:val="single"/>
          <w14:textFill>
            <w14:solidFill>
              <w14:schemeClr w14:val="tx1"/>
            </w14:solidFill>
          </w14:textFill>
        </w:rPr>
        <w:t xml:space="preserve">一、法人或者其他组织的营业执照等证明文件，自然人的身份证明</w:t>
      </w:r>
      <w:r/>
    </w:p>
    <w:p>
      <w:pPr>
        <w:pStyle w:val="744"/>
        <w:ind w:firstLine="480"/>
        <w:jc w:val="both"/>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p>
      <w:pPr>
        <w:pStyle w:val="744"/>
        <w:jc w:val="both"/>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i/>
          <w:color w:val="000000" w:themeColor="text1"/>
          <w:sz w:val="32"/>
          <w:szCs w:val="32"/>
          <w:highlight w:val="none"/>
          <w:u w:val="single"/>
          <w14:textFill>
            <w14:solidFill>
              <w14:schemeClr w14:val="tx1"/>
            </w14:solidFill>
          </w14:textFill>
        </w:rPr>
        <w:t xml:space="preserve">二、上一年度的财务状况报表</w:t>
      </w:r>
      <w:r/>
    </w:p>
    <w:p>
      <w:pPr>
        <w:ind w:firstLine="480"/>
        <w:jc w:val="left"/>
        <w:spacing w:line="508" w:lineRule="exact"/>
        <w:tabs>
          <w:tab w:val="left" w:pos="1331" w:leader="none"/>
          <w:tab w:val="left" w:pos="2590" w:leader="none"/>
        </w:tabs>
        <w:rPr>
          <w:rFonts w:hint="eastAsia" w:ascii="宋体" w:hAnsi="宋体" w:eastAsia="宋体" w:cs="宋体"/>
          <w:b w:val="0"/>
          <w:bCs/>
          <w:iCs/>
          <w:color w:val="000000" w:themeColor="text1"/>
          <w:sz w:val="24"/>
          <w:highlight w:val="none"/>
          <w14:textFill>
            <w14:solidFill>
              <w14:schemeClr w14:val="tx1"/>
            </w14:solidFill>
          </w14:textFill>
        </w:rPr>
      </w:pPr>
      <w:r>
        <w:rPr>
          <w:rFonts w:hint="eastAsia" w:ascii="宋体" w:hAnsi="宋体" w:eastAsia="宋体" w:cs="宋体"/>
          <w:b w:val="0"/>
          <w:bCs/>
          <w:iCs/>
          <w:color w:val="000000" w:themeColor="text1"/>
          <w:sz w:val="24"/>
          <w:highlight w:val="none"/>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至少提供资产负债表、利润表、现金流量表，投标人成立不满一年无需提供</w:t>
      </w:r>
      <w:r>
        <w:rPr>
          <w:rFonts w:hint="eastAsia" w:ascii="宋体" w:hAnsi="宋体" w:eastAsia="宋体" w:cs="宋体"/>
          <w:b w:val="0"/>
          <w:bCs/>
          <w:iCs/>
          <w:color w:val="000000" w:themeColor="text1"/>
          <w:sz w:val="24"/>
          <w:highlight w:val="none"/>
          <w14:textFill>
            <w14:solidFill>
              <w14:schemeClr w14:val="tx1"/>
            </w14:solidFill>
          </w14:textFill>
        </w:rPr>
        <w:t xml:space="preserve">）</w:t>
      </w:r>
      <w:r/>
    </w:p>
    <w:p>
      <w:pPr>
        <w:pStyle w:val="744"/>
        <w:ind w:firstLine="480"/>
        <w:jc w:val="both"/>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r>
      <w:r/>
    </w:p>
    <w:p>
      <w:pPr>
        <w:pStyle w:val="744"/>
        <w:jc w:val="both"/>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i/>
          <w:color w:val="000000" w:themeColor="text1"/>
          <w:sz w:val="32"/>
          <w:szCs w:val="32"/>
          <w:highlight w:val="none"/>
          <w:u w:val="single"/>
          <w14:textFill>
            <w14:solidFill>
              <w14:schemeClr w14:val="tx1"/>
            </w14:solidFill>
          </w14:textFill>
        </w:rPr>
        <w:t xml:space="preserve">三、依法缴纳税收和社会保障资金的相关材料</w:t>
      </w:r>
      <w:r/>
    </w:p>
    <w:p>
      <w:pPr>
        <w:pStyle w:val="744"/>
        <w:ind w:firstLine="480"/>
        <w:jc w:val="both"/>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提供提交响应文件截止时间前一年内至少一个月依法缴纳税收及缴纳社会保障资金的证明材料。供应商依法享受缓缴、免缴税收、社会保障资金的提供证明材料。</w:t>
      </w:r>
      <w:r/>
    </w:p>
    <w:p>
      <w:pPr>
        <w:pStyle w:val="744"/>
        <w:ind w:firstLine="480"/>
        <w:jc w:val="both"/>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r>
      <w:r/>
    </w:p>
    <w:p>
      <w:pPr>
        <w:pStyle w:val="744"/>
        <w:jc w:val="both"/>
        <w:spacing w:beforeAutospacing="0" w:afterAutospacing="0" w:line="508" w:lineRule="exact"/>
        <w:rPr>
          <w:rFonts w:hint="eastAsia" w:ascii="宋体" w:hAnsi="宋体" w:eastAsia="宋体" w:cs="宋体"/>
          <w:b w:val="0"/>
          <w:bCs/>
          <w:i/>
          <w:color w:val="000000" w:themeColor="text1"/>
          <w:sz w:val="32"/>
          <w:szCs w:val="32"/>
          <w:highlight w:val="none"/>
          <w:u w:val="single"/>
          <w14:textFill>
            <w14:solidFill>
              <w14:schemeClr w14:val="tx1"/>
            </w14:solidFill>
          </w14:textFill>
        </w:rPr>
      </w:pPr>
      <w:r>
        <w:rPr>
          <w:rFonts w:hint="eastAsia" w:ascii="宋体" w:hAnsi="宋体" w:eastAsia="宋体" w:cs="宋体"/>
          <w:b w:val="0"/>
          <w:bCs/>
          <w:i/>
          <w:color w:val="000000" w:themeColor="text1"/>
          <w:sz w:val="32"/>
          <w:szCs w:val="32"/>
          <w:highlight w:val="none"/>
          <w:u w:val="single"/>
          <w14:textFill>
            <w14:solidFill>
              <w14:schemeClr w14:val="tx1"/>
            </w14:solidFill>
          </w14:textFill>
        </w:rPr>
      </w:r>
      <w:r/>
    </w:p>
    <w:p>
      <w:pPr>
        <w:pStyle w:val="744"/>
        <w:jc w:val="both"/>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i/>
          <w:color w:val="000000" w:themeColor="text1"/>
          <w:sz w:val="32"/>
          <w:szCs w:val="32"/>
          <w:highlight w:val="none"/>
          <w:u w:val="single"/>
          <w14:textFill>
            <w14:solidFill>
              <w14:schemeClr w14:val="tx1"/>
            </w14:solidFill>
          </w14:textFill>
        </w:rPr>
        <w:t xml:space="preserve">四、具备履行合同所必需的设备和专业技术能力的书面声明</w:t>
      </w:r>
      <w:r/>
    </w:p>
    <w:p>
      <w:pPr>
        <w:pStyle w:val="744"/>
        <w:ind w:firstLine="480"/>
        <w:jc w:val="both"/>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pStyle w:val="744"/>
        <w:ind w:firstLine="480"/>
        <w:jc w:val="both"/>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主要设备有：</w:t>
      </w:r>
      <w:r>
        <w:rPr>
          <w:rFonts w:hint="eastAsia" w:ascii="宋体" w:hAnsi="宋体" w:eastAsia="宋体" w:cs="宋体"/>
          <w:b w:val="0"/>
          <w:bCs/>
          <w:color w:val="000000" w:themeColor="text1"/>
          <w:highlight w:val="none"/>
          <w:u w:val="single"/>
          <w14:textFill>
            <w14:solidFill>
              <w14:schemeClr w14:val="tx1"/>
            </w14:solidFill>
          </w14:textFill>
        </w:rPr>
        <w:t xml:space="preserve">  </w:t>
      </w:r>
      <w:r>
        <w:rPr>
          <w:rFonts w:hint="eastAsia" w:ascii="宋体" w:hAnsi="宋体" w:eastAsia="宋体" w:cs="宋体"/>
          <w:b w:val="0"/>
          <w:bCs/>
          <w:color w:val="000000" w:themeColor="text1"/>
          <w:highlight w:val="none"/>
          <w14:textFill>
            <w14:solidFill>
              <w14:schemeClr w14:val="tx1"/>
            </w14:solidFill>
          </w14:textFill>
        </w:rPr>
        <w:t xml:space="preserve">。</w:t>
      </w:r>
      <w:r/>
    </w:p>
    <w:p>
      <w:pPr>
        <w:pStyle w:val="744"/>
        <w:ind w:firstLine="480"/>
        <w:jc w:val="both"/>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主要专业技术能力有：</w:t>
      </w:r>
      <w:r>
        <w:rPr>
          <w:rFonts w:hint="eastAsia" w:ascii="宋体" w:hAnsi="宋体" w:eastAsia="宋体" w:cs="宋体"/>
          <w:b w:val="0"/>
          <w:bCs/>
          <w:color w:val="000000" w:themeColor="text1"/>
          <w:highlight w:val="none"/>
          <w:u w:val="single"/>
          <w14:textFill>
            <w14:solidFill>
              <w14:schemeClr w14:val="tx1"/>
            </w14:solidFill>
          </w14:textFill>
        </w:rPr>
        <w:t xml:space="preserve">   </w:t>
      </w:r>
      <w:r>
        <w:rPr>
          <w:rFonts w:hint="eastAsia" w:ascii="宋体" w:hAnsi="宋体" w:eastAsia="宋体" w:cs="宋体"/>
          <w:b w:val="0"/>
          <w:bCs/>
          <w:color w:val="000000" w:themeColor="text1"/>
          <w:highlight w:val="none"/>
          <w14:textFill>
            <w14:solidFill>
              <w14:schemeClr w14:val="tx1"/>
            </w14:solidFill>
          </w14:textFill>
        </w:rPr>
        <w:t xml:space="preserve">。</w:t>
      </w:r>
      <w:r/>
    </w:p>
    <w:p>
      <w:pPr>
        <w:pStyle w:val="744"/>
        <w:jc w:val="both"/>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p>
      <w:pPr>
        <w:pStyle w:val="744"/>
        <w:jc w:val="both"/>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i/>
          <w:color w:val="000000" w:themeColor="text1"/>
          <w:sz w:val="32"/>
          <w:szCs w:val="32"/>
          <w:highlight w:val="none"/>
          <w:u w:val="single"/>
          <w14:textFill>
            <w14:solidFill>
              <w14:schemeClr w14:val="tx1"/>
            </w14:solidFill>
          </w14:textFill>
        </w:rPr>
        <w:t xml:space="preserve">五、参加政府采购活动前 3 年内在经营活动中没有重大违法记录的书面声明</w:t>
      </w:r>
      <w:r/>
    </w:p>
    <w:p>
      <w:pPr>
        <w:pStyle w:val="744"/>
        <w:jc w:val="center"/>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sz w:val="44"/>
          <w:szCs w:val="44"/>
          <w:highlight w:val="none"/>
          <w14:textFill>
            <w14:solidFill>
              <w14:schemeClr w14:val="tx1"/>
            </w14:solidFill>
          </w14:textFill>
        </w:rPr>
        <w:t xml:space="preserve">声明</w:t>
      </w:r>
      <w:r/>
    </w:p>
    <w:p>
      <w:pPr>
        <w:pStyle w:val="744"/>
        <w:ind w:firstLine="480"/>
        <w:jc w:val="both"/>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pStyle w:val="744"/>
        <w:jc w:val="both"/>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p>
      <w:pPr>
        <w:pStyle w:val="744"/>
        <w:jc w:val="both"/>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i/>
          <w:color w:val="000000" w:themeColor="text1"/>
          <w:sz w:val="32"/>
          <w:szCs w:val="32"/>
          <w:highlight w:val="none"/>
          <w:u w:val="single"/>
          <w14:textFill>
            <w14:solidFill>
              <w14:schemeClr w14:val="tx1"/>
            </w14:solidFill>
          </w14:textFill>
        </w:rPr>
        <w:t xml:space="preserve">六、特定资格要求的证明文件</w:t>
      </w:r>
      <w:r/>
    </w:p>
    <w:p>
      <w:pPr>
        <w:pStyle w:val="744"/>
        <w:ind w:firstLine="480"/>
        <w:jc w:val="both"/>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如果本项目申请人的特定资格要求中要求提供的，必须提供。</w:t>
      </w:r>
      <w:r>
        <w:rPr>
          <w:rFonts w:hint="eastAsia" w:ascii="宋体" w:hAnsi="宋体" w:eastAsia="宋体" w:cs="宋体"/>
          <w:b w:val="0"/>
          <w:bCs/>
          <w:i/>
          <w:color w:val="000000" w:themeColor="text1"/>
          <w:sz w:val="32"/>
          <w:szCs w:val="32"/>
          <w:highlight w:val="none"/>
          <w:u w:val="single"/>
          <w14:textFill>
            <w14:solidFill>
              <w14:schemeClr w14:val="tx1"/>
            </w14:solidFill>
          </w14:textFill>
        </w:rPr>
        <w:br w:type="page" w:clear="all"/>
      </w:r>
      <w:r>
        <w:rPr>
          <w:rFonts w:hint="eastAsia" w:ascii="宋体" w:hAnsi="宋体" w:eastAsia="宋体" w:cs="宋体"/>
          <w:b w:val="0"/>
          <w:bCs/>
          <w:color w:val="000000" w:themeColor="text1"/>
          <w:highlight w:val="none"/>
          <w14:textFill>
            <w14:solidFill>
              <w14:schemeClr w14:val="tx1"/>
            </w14:solidFill>
          </w14:textFill>
        </w:rPr>
      </w:r>
      <w:r/>
    </w:p>
    <w:p>
      <w:pPr>
        <w:pStyle w:val="744"/>
        <w:jc w:val="center"/>
        <w:spacing w:beforeAutospacing="0" w:afterAutospacing="0" w:line="508" w:lineRule="exact"/>
        <w:rPr>
          <w:rFonts w:hint="eastAsia" w:ascii="宋体" w:hAnsi="宋体" w:eastAsia="宋体" w:cs="宋体"/>
          <w:b w:val="0"/>
          <w:bCs/>
          <w:i/>
          <w:color w:val="000000" w:themeColor="text1"/>
          <w:sz w:val="32"/>
          <w:szCs w:val="32"/>
          <w:highlight w:val="none"/>
          <w:u w:val="single"/>
          <w14:textFill>
            <w14:solidFill>
              <w14:schemeClr w14:val="tx1"/>
            </w14:solidFill>
          </w14:textFill>
        </w:rPr>
      </w:pPr>
      <w:r/>
      <w:bookmarkStart w:id="202" w:name="_Toc120614284"/>
      <w:r>
        <w:rPr>
          <w:rFonts w:hint="eastAsia" w:ascii="宋体" w:hAnsi="宋体" w:eastAsia="宋体" w:cs="宋体"/>
          <w:b w:val="0"/>
          <w:bCs/>
          <w:i/>
          <w:color w:val="000000" w:themeColor="text1"/>
          <w:sz w:val="32"/>
          <w:szCs w:val="32"/>
          <w:highlight w:val="none"/>
          <w:u w:val="single"/>
          <w14:textFill>
            <w14:solidFill>
              <w14:schemeClr w14:val="tx1"/>
            </w14:solidFill>
          </w14:textFill>
        </w:rPr>
        <w:t xml:space="preserve">七、法人授权书</w:t>
      </w:r>
      <w:r/>
    </w:p>
    <w:p>
      <w:pPr>
        <w:pStyle w:val="744"/>
        <w:ind w:firstLine="480"/>
        <w:jc w:val="both"/>
        <w:spacing w:beforeAutospacing="0" w:afterAutospacing="0" w:line="508" w:lineRule="exact"/>
        <w:tabs>
          <w:tab w:val="left" w:pos="360" w:leader="none"/>
        </w:tabs>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r>
      <w:r/>
    </w:p>
    <w:p>
      <w:pPr>
        <w:pStyle w:val="744"/>
        <w:ind w:firstLine="480"/>
        <w:jc w:val="both"/>
        <w:spacing w:beforeAutospacing="0" w:afterAutospacing="0" w:line="508" w:lineRule="exact"/>
        <w:tabs>
          <w:tab w:val="left" w:pos="360" w:leader="none"/>
        </w:tabs>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本授权书声明：____________（供应商名称）授权________________（被授权人的姓名）为我方就</w:t>
      </w:r>
      <w:r>
        <w:rPr>
          <w:rFonts w:hint="eastAsia" w:ascii="宋体" w:hAnsi="宋体" w:eastAsia="宋体" w:cs="宋体"/>
          <w:b w:val="0"/>
          <w:bCs/>
          <w:color w:val="000000" w:themeColor="text1"/>
          <w:highlight w:val="none"/>
          <w:lang w:eastAsia="zh-CN"/>
          <w14:textFill>
            <w14:solidFill>
              <w14:schemeClr w14:val="tx1"/>
            </w14:solidFill>
          </w14:textFill>
        </w:rPr>
        <w:t xml:space="preserve">JSZC-320900-</w:t>
      </w:r>
      <w:r>
        <w:rPr>
          <w:rFonts w:hint="eastAsia" w:ascii="宋体" w:hAnsi="宋体" w:eastAsia="宋体" w:cs="宋体"/>
          <w:b w:val="0"/>
          <w:bCs/>
          <w:color w:val="000000" w:themeColor="text1"/>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highlight w:val="none"/>
          <w14:textFill>
            <w14:solidFill>
              <w14:schemeClr w14:val="tx1"/>
            </w14:solidFill>
          </w14:textFill>
        </w:rPr>
        <w:t xml:space="preserve">号项目采购活动的合法代理人，以本单位名义全权处理一切与该项目采购有关的事务。</w:t>
      </w:r>
      <w:r/>
    </w:p>
    <w:p>
      <w:pPr>
        <w:pStyle w:val="744"/>
        <w:ind w:firstLine="480"/>
        <w:jc w:val="both"/>
        <w:spacing w:beforeAutospacing="0" w:afterAutospacing="0" w:line="508" w:lineRule="exact"/>
        <w:tabs>
          <w:tab w:val="left" w:pos="360" w:leader="none"/>
        </w:tabs>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本授权书于______年____月____日起生效，特此声明。</w:t>
      </w:r>
      <w:r/>
    </w:p>
    <w:p>
      <w:pPr>
        <w:pStyle w:val="744"/>
        <w:ind w:firstLine="480"/>
        <w:jc w:val="both"/>
        <w:spacing w:beforeAutospacing="0" w:afterAutospacing="0" w:line="508" w:lineRule="exact"/>
        <w:tabs>
          <w:tab w:val="left" w:pos="360" w:leader="none"/>
        </w:tabs>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被授权人身份证号码：</w:t>
      </w:r>
      <w:r>
        <w:rPr>
          <w:rFonts w:hint="eastAsia" w:ascii="宋体" w:hAnsi="宋体" w:eastAsia="宋体" w:cs="宋体"/>
          <w:b w:val="0"/>
          <w:bCs/>
          <w:color w:val="000000" w:themeColor="text1"/>
          <w:highlight w:val="none"/>
          <w:u w:val="single"/>
          <w14:textFill>
            <w14:solidFill>
              <w14:schemeClr w14:val="tx1"/>
            </w14:solidFill>
          </w14:textFill>
        </w:rPr>
        <w:t xml:space="preserve">               </w:t>
      </w:r>
      <w:r/>
    </w:p>
    <w:p>
      <w:pPr>
        <w:pStyle w:val="744"/>
        <w:ind w:firstLine="480"/>
        <w:jc w:val="both"/>
        <w:spacing w:beforeAutospacing="0" w:afterAutospacing="0" w:line="508" w:lineRule="exact"/>
        <w:tabs>
          <w:tab w:val="left" w:pos="360" w:leader="none"/>
        </w:tabs>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被授权人联系电话：（手机）</w:t>
      </w:r>
      <w:r>
        <w:rPr>
          <w:rFonts w:hint="eastAsia" w:ascii="宋体" w:hAnsi="宋体" w:eastAsia="宋体" w:cs="宋体"/>
          <w:b w:val="0"/>
          <w:bCs/>
          <w:color w:val="000000" w:themeColor="text1"/>
          <w:highlight w:val="none"/>
          <w:u w:val="single"/>
          <w14:textFill>
            <w14:solidFill>
              <w14:schemeClr w14:val="tx1"/>
            </w14:solidFill>
          </w14:textFill>
        </w:rPr>
        <w:t xml:space="preserve">            </w:t>
      </w:r>
      <w:r/>
    </w:p>
    <w:p>
      <w:pPr>
        <w:pStyle w:val="744"/>
        <w:ind w:firstLine="480"/>
        <w:jc w:val="both"/>
        <w:spacing w:beforeAutospacing="0" w:afterAutospacing="0" w:line="508" w:lineRule="exact"/>
        <w:tabs>
          <w:tab w:val="left" w:pos="360" w:leader="none"/>
        </w:tabs>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单位地址：</w:t>
      </w:r>
      <w:r>
        <w:rPr>
          <w:rFonts w:hint="eastAsia" w:ascii="宋体" w:hAnsi="宋体" w:eastAsia="宋体" w:cs="宋体"/>
          <w:b w:val="0"/>
          <w:bCs/>
          <w:color w:val="000000" w:themeColor="text1"/>
          <w:highlight w:val="none"/>
          <w:u w:val="single"/>
          <w14:textFill>
            <w14:solidFill>
              <w14:schemeClr w14:val="tx1"/>
            </w14:solidFill>
          </w14:textFill>
        </w:rPr>
        <w:t xml:space="preserve">                    </w:t>
      </w:r>
      <w:r/>
    </w:p>
    <w:p>
      <w:pPr>
        <w:pStyle w:val="744"/>
        <w:ind w:firstLine="480"/>
        <w:jc w:val="both"/>
        <w:spacing w:beforeAutospacing="0" w:afterAutospacing="0" w:line="508" w:lineRule="exact"/>
        <w:tabs>
          <w:tab w:val="left" w:pos="360" w:leader="none"/>
        </w:tabs>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日　　期：</w:t>
      </w:r>
      <w:bookmarkStart w:id="203" w:name="_Hlt26671380"/>
      <w:r/>
      <w:bookmarkStart w:id="204" w:name="_格式3__银行出具的资信证明"/>
      <w:r/>
      <w:bookmarkStart w:id="205" w:name="_Hlt26955070"/>
      <w:r>
        <w:rPr>
          <w:rFonts w:hint="eastAsia" w:ascii="宋体" w:hAnsi="宋体" w:eastAsia="宋体" w:cs="宋体"/>
          <w:b w:val="0"/>
          <w:bCs/>
          <w:color w:val="000000" w:themeColor="text1"/>
          <w:highlight w:val="none"/>
          <w:u w:val="single"/>
          <w14:textFill>
            <w14:solidFill>
              <w14:schemeClr w14:val="tx1"/>
            </w14:solidFill>
          </w14:textFill>
        </w:rPr>
        <w:t xml:space="preserve">                    </w:t>
      </w:r>
      <w:r/>
    </w:p>
    <w:p>
      <w:pPr>
        <w:jc w:val="left"/>
        <w:widowControl/>
        <w:rPr>
          <w:rFonts w:hint="eastAsia" w:ascii="宋体" w:hAnsi="宋体" w:eastAsia="宋体" w:cs="宋体"/>
          <w:b w:val="0"/>
          <w:bCs/>
          <w:i/>
          <w:color w:val="000000" w:themeColor="text1"/>
          <w:sz w:val="32"/>
          <w:szCs w:val="32"/>
          <w:highlight w:val="none"/>
          <w:u w:val="single"/>
          <w14:textFill>
            <w14:solidFill>
              <w14:schemeClr w14:val="tx1"/>
            </w14:solidFill>
          </w14:textFill>
        </w:rPr>
      </w:pPr>
      <w:r>
        <w:rPr>
          <w:rFonts w:hint="eastAsia" w:ascii="宋体" w:hAnsi="宋体" w:eastAsia="宋体" w:cs="宋体"/>
          <w:b w:val="0"/>
          <w:bCs/>
          <w:i/>
          <w:color w:val="000000" w:themeColor="text1"/>
          <w:sz w:val="32"/>
          <w:szCs w:val="32"/>
          <w:highlight w:val="none"/>
          <w:u w:val="single"/>
          <w14:textFill>
            <w14:solidFill>
              <w14:schemeClr w14:val="tx1"/>
            </w14:solidFill>
          </w14:textFill>
        </w:rPr>
        <w:br w:type="page" w:clear="all"/>
      </w:r>
      <w:r/>
    </w:p>
    <w:p>
      <w:pPr>
        <w:pStyle w:val="744"/>
        <w:jc w:val="center"/>
        <w:spacing w:beforeAutospacing="0" w:afterAutospacing="0" w:line="508" w:lineRule="exact"/>
        <w:tabs>
          <w:tab w:val="left" w:pos="360" w:leader="none"/>
        </w:tabs>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i/>
          <w:color w:val="000000" w:themeColor="text1"/>
          <w:sz w:val="32"/>
          <w:szCs w:val="32"/>
          <w:highlight w:val="none"/>
          <w:u w:val="single"/>
          <w14:textFill>
            <w14:solidFill>
              <w14:schemeClr w14:val="tx1"/>
            </w14:solidFill>
          </w14:textFill>
        </w:rPr>
        <w:t xml:space="preserve">八、磋商响应函</w:t>
      </w:r>
      <w:r/>
    </w:p>
    <w:p>
      <w:pPr>
        <w:pStyle w:val="744"/>
        <w:spacing w:beforeAutospacing="0" w:afterAutospacing="0" w:line="508" w:lineRule="exact"/>
        <w:rPr>
          <w:rFonts w:hint="eastAsia" w:ascii="宋体" w:hAnsi="宋体" w:eastAsia="宋体" w:cs="宋体"/>
          <w:b w:val="0"/>
          <w:bCs/>
          <w:color w:val="000000" w:themeColor="text1"/>
          <w:highlight w:val="none"/>
          <w:lang w:eastAsia="zh-CN"/>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致：盐城市</w:t>
      </w:r>
      <w:r>
        <w:rPr>
          <w:rFonts w:hint="eastAsia" w:ascii="宋体" w:hAnsi="宋体" w:eastAsia="宋体" w:cs="宋体"/>
          <w:b w:val="0"/>
          <w:bCs/>
          <w:color w:val="000000" w:themeColor="text1"/>
          <w:highlight w:val="none"/>
          <w:lang w:eastAsia="zh-CN"/>
          <w14:textFill>
            <w14:solidFill>
              <w14:schemeClr w14:val="tx1"/>
            </w14:solidFill>
          </w14:textFill>
        </w:rPr>
        <w:t xml:space="preserve">公安局</w:t>
      </w:r>
      <w:r/>
    </w:p>
    <w:p>
      <w:pPr>
        <w:pStyle w:val="744"/>
        <w:ind w:firstLine="480"/>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根据贵方的</w:t>
      </w:r>
      <w:r>
        <w:rPr>
          <w:rFonts w:hint="eastAsia" w:ascii="宋体" w:hAnsi="宋体" w:eastAsia="宋体" w:cs="宋体"/>
          <w:b w:val="0"/>
          <w:bCs/>
          <w:color w:val="000000" w:themeColor="text1"/>
          <w:highlight w:val="none"/>
          <w:lang w:eastAsia="zh-CN"/>
          <w14:textFill>
            <w14:solidFill>
              <w14:schemeClr w14:val="tx1"/>
            </w14:solidFill>
          </w14:textFill>
        </w:rPr>
        <w:t xml:space="preserve">JSZC-320900-</w:t>
      </w:r>
      <w:r>
        <w:rPr>
          <w:rFonts w:hint="eastAsia" w:ascii="宋体" w:hAnsi="宋体" w:eastAsia="宋体" w:cs="宋体"/>
          <w:b w:val="0"/>
          <w:bCs/>
          <w:color w:val="000000" w:themeColor="text1"/>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highlight w:val="none"/>
          <w14:textFill>
            <w14:solidFill>
              <w14:schemeClr w14:val="tx1"/>
            </w14:solidFill>
          </w14:textFill>
        </w:rPr>
        <w:t xml:space="preserve">号磋商文件，正式授权下述签字人______(姓名)代表我方______________（供应商的名称），全权处理本次项目磋商的有关事宜。</w:t>
      </w:r>
      <w:r/>
    </w:p>
    <w:p>
      <w:pPr>
        <w:pStyle w:val="744"/>
        <w:ind w:firstLine="480"/>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据此函，__________签字人兹宣布同意如下：</w:t>
      </w:r>
      <w:r/>
    </w:p>
    <w:p>
      <w:pPr>
        <w:pStyle w:val="744"/>
        <w:ind w:firstLine="480"/>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1.按磋商文件规定的各项要求，向买方提供所需货物、服务（包含与货物相关的服务及与服务相关的货物）。</w:t>
      </w:r>
      <w:r/>
    </w:p>
    <w:p>
      <w:pPr>
        <w:pStyle w:val="744"/>
        <w:ind w:firstLine="480"/>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2.我们完全理解贵方不一定将合同授予最低报价的供应商。</w:t>
      </w:r>
      <w:r/>
    </w:p>
    <w:p>
      <w:pPr>
        <w:pStyle w:val="744"/>
        <w:ind w:firstLine="480"/>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3.我们已详细审核全部磋商文件及其有效补充文件，我们知道必须放弃提出含糊不清或误解问题的权利。</w:t>
      </w:r>
      <w:r/>
    </w:p>
    <w:p>
      <w:pPr>
        <w:pStyle w:val="744"/>
        <w:ind w:firstLine="480"/>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4.我们同意从规定的开标日期起遵循本响应文件，并在规定的磋商有效期期满之前均具有约束力。</w:t>
      </w:r>
      <w:r/>
    </w:p>
    <w:p>
      <w:pPr>
        <w:pStyle w:val="744"/>
        <w:ind w:firstLine="480"/>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5.同意向贵方提供贵方可能另外要求的与磋商有关的任何证据或资料，并保证我方已提供和将要提供的文件是真实的、准确的。</w:t>
      </w:r>
      <w:r/>
    </w:p>
    <w:p>
      <w:pPr>
        <w:pStyle w:val="744"/>
        <w:ind w:firstLine="480"/>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6.一旦我方成交，我方将根据磋商文件的规定，严格履行合同的责任和义务，并保证在磋商文件规定的时间完成项目，交付买方验收、使用。</w:t>
      </w:r>
      <w:r/>
    </w:p>
    <w:p>
      <w:pPr>
        <w:pStyle w:val="744"/>
        <w:ind w:firstLine="480"/>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7.我方与本磋商有关的正式通讯地址为：</w:t>
      </w:r>
      <w:r/>
    </w:p>
    <w:p>
      <w:pPr>
        <w:pStyle w:val="744"/>
        <w:ind w:firstLine="480"/>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地　　址：</w:t>
      </w:r>
      <w:r/>
    </w:p>
    <w:p>
      <w:pPr>
        <w:pStyle w:val="744"/>
        <w:ind w:firstLine="480"/>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邮　　编：</w:t>
      </w:r>
      <w:r/>
    </w:p>
    <w:p>
      <w:pPr>
        <w:pStyle w:val="744"/>
        <w:ind w:firstLine="480"/>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电　　话：</w:t>
      </w:r>
      <w:r/>
    </w:p>
    <w:p>
      <w:pPr>
        <w:pStyle w:val="744"/>
        <w:ind w:firstLine="480"/>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传　　真：</w:t>
      </w:r>
      <w:r/>
    </w:p>
    <w:p>
      <w:pPr>
        <w:pStyle w:val="744"/>
        <w:ind w:firstLine="480"/>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供应商开户行：</w:t>
      </w:r>
      <w:r/>
    </w:p>
    <w:p>
      <w:pPr>
        <w:pStyle w:val="744"/>
        <w:ind w:firstLine="480"/>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账　　号：</w:t>
      </w:r>
      <w:r/>
    </w:p>
    <w:p>
      <w:pPr>
        <w:pStyle w:val="744"/>
        <w:ind w:firstLine="480"/>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日　　期：________年____月____日</w:t>
      </w:r>
      <w:r/>
    </w:p>
    <w:p>
      <w:pPr>
        <w:pStyle w:val="744"/>
        <w:ind w:firstLine="480"/>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r>
      <w:r/>
    </w:p>
    <w:p>
      <w:pPr>
        <w:pStyle w:val="744"/>
        <w:jc w:val="center"/>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t xml:space="preserve">九、中小企业声明函（服务）</w:t>
      </w:r>
      <w:r/>
    </w:p>
    <w:p>
      <w:pPr>
        <w:ind w:firstLine="480"/>
        <w:spacing w:line="508" w:lineRule="exact"/>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r>
      <w:r/>
    </w:p>
    <w:p>
      <w:pPr>
        <w:ind w:firstLine="480"/>
        <w:spacing w:line="508" w:lineRule="exact"/>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本公司（联合体）郑重声明，根据《政府采购促进中小企业发展管理办法》（财库﹝2020﹞46号）的规定，本公司（联合体）参加盐城市政府</w:t>
      </w: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采购代理机构</w:t>
      </w:r>
      <w:r>
        <w:rPr>
          <w:rFonts w:hint="eastAsia" w:ascii="宋体" w:hAnsi="宋体" w:eastAsia="宋体" w:cs="宋体"/>
          <w:b w:val="0"/>
          <w:bCs/>
          <w:color w:val="000000" w:themeColor="text1"/>
          <w:sz w:val="24"/>
          <w:highlight w:val="none"/>
          <w14:textFill>
            <w14:solidFill>
              <w14:schemeClr w14:val="tx1"/>
            </w14:solidFill>
          </w14:textFill>
        </w:rPr>
        <w:t xml:space="preserve">组织的</w:t>
      </w:r>
      <w:r>
        <w:rPr>
          <w:rFonts w:hint="eastAsia" w:ascii="宋体" w:hAnsi="宋体" w:eastAsia="宋体" w:cs="宋体"/>
          <w:b w:val="0"/>
          <w:bCs/>
          <w:color w:val="000000" w:themeColor="text1"/>
          <w:sz w:val="24"/>
          <w:highlight w:val="none"/>
          <w:u w:val="single"/>
          <w:lang w:eastAsia="zh-CN"/>
          <w14:textFill>
            <w14:solidFill>
              <w14:schemeClr w14:val="tx1"/>
            </w14:solidFill>
          </w14:textFill>
        </w:rPr>
        <w:t xml:space="preserve">盐城市公安局2026年度公安民警家庭医疗保险服务采购项目</w:t>
      </w:r>
      <w:r>
        <w:rPr>
          <w:rFonts w:hint="eastAsia" w:ascii="宋体" w:hAnsi="宋体" w:eastAsia="宋体" w:cs="宋体"/>
          <w:b w:val="0"/>
          <w:bCs/>
          <w:color w:val="000000" w:themeColor="text1"/>
          <w:sz w:val="24"/>
          <w:szCs w:val="20"/>
          <w:highlight w:val="none"/>
          <w14:textFill>
            <w14:solidFill>
              <w14:schemeClr w14:val="tx1"/>
            </w14:solidFill>
          </w14:textFill>
        </w:rPr>
        <w:t xml:space="preserve">，</w:t>
      </w:r>
      <w:r>
        <w:rPr>
          <w:rFonts w:hint="eastAsia" w:ascii="宋体" w:hAnsi="宋体" w:eastAsia="宋体" w:cs="宋体"/>
          <w:b w:val="0"/>
          <w:bCs/>
          <w:color w:val="000000" w:themeColor="text1"/>
          <w:sz w:val="24"/>
          <w:highlight w:val="none"/>
          <w14:textFill>
            <w14:solidFill>
              <w14:schemeClr w14:val="tx1"/>
            </w14:solidFill>
          </w14:textFill>
        </w:rPr>
        <w:t xml:space="preserve">采购编号为的</w:t>
      </w:r>
      <w:r>
        <w:rPr>
          <w:rFonts w:hint="eastAsia" w:ascii="宋体" w:hAnsi="宋体" w:eastAsia="宋体" w:cs="宋体"/>
          <w:b w:val="0"/>
          <w:bCs/>
          <w:color w:val="000000" w:themeColor="text1"/>
          <w:sz w:val="24"/>
          <w:highlight w:val="none"/>
          <w:u w:val="single"/>
          <w:lang w:eastAsia="zh-CN"/>
          <w14:textFill>
            <w14:solidFill>
              <w14:schemeClr w14:val="tx1"/>
            </w14:solidFill>
          </w14:textFill>
        </w:rPr>
        <w:t xml:space="preserve">JSZC-320900-</w:t>
      </w:r>
      <w:r>
        <w:rPr>
          <w:rFonts w:hint="eastAsia" w:ascii="宋体" w:hAnsi="宋体" w:eastAsia="宋体" w:cs="宋体"/>
          <w:b w:val="0"/>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highlight w:val="none"/>
          <w14:textFill>
            <w14:solidFill>
              <w14:schemeClr w14:val="tx1"/>
            </w14:solidFill>
          </w14:textFill>
        </w:rPr>
        <w:t xml:space="preserve">的采购活动，服务全部由符合政策要求的中小企业承接。相关企业（含联合体中的中小企业、签订分包意向协议的中小企业）的具体情况如下：</w:t>
      </w:r>
      <w:r/>
    </w:p>
    <w:p>
      <w:pPr>
        <w:ind w:firstLine="480"/>
        <w:spacing w:line="508" w:lineRule="exact"/>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1. </w:t>
      </w:r>
      <w:r>
        <w:rPr>
          <w:rFonts w:hint="eastAsia" w:ascii="宋体" w:hAnsi="宋体" w:eastAsia="宋体" w:cs="宋体"/>
          <w:b w:val="0"/>
          <w:bCs/>
          <w:i/>
          <w:iCs/>
          <w:color w:val="000000" w:themeColor="text1"/>
          <w:sz w:val="24"/>
          <w:highlight w:val="none"/>
          <w:u w:val="single"/>
          <w14:textFill>
            <w14:solidFill>
              <w14:schemeClr w14:val="tx1"/>
            </w14:solidFill>
          </w14:textFill>
        </w:rPr>
        <w:t xml:space="preserve">（标的名称）</w:t>
      </w:r>
      <w:r>
        <w:rPr>
          <w:rFonts w:hint="eastAsia" w:ascii="宋体" w:hAnsi="宋体" w:eastAsia="宋体" w:cs="宋体"/>
          <w:b w:val="0"/>
          <w:bCs/>
          <w:color w:val="000000" w:themeColor="text1"/>
          <w:sz w:val="24"/>
          <w:highlight w:val="none"/>
          <w14:textFill>
            <w14:solidFill>
              <w14:schemeClr w14:val="tx1"/>
            </w14:solidFill>
          </w14:textFill>
        </w:rPr>
        <w:t xml:space="preserve">，属于</w:t>
      </w:r>
      <w:r>
        <w:rPr>
          <w:rFonts w:hint="eastAsia" w:ascii="宋体" w:hAnsi="宋体" w:eastAsia="宋体" w:cs="宋体"/>
          <w:b w:val="0"/>
          <w:bCs/>
          <w:i/>
          <w:iCs/>
          <w:color w:val="000000" w:themeColor="text1"/>
          <w:sz w:val="24"/>
          <w:highlight w:val="none"/>
          <w:u w:val="single"/>
          <w14:textFill>
            <w14:solidFill>
              <w14:schemeClr w14:val="tx1"/>
            </w14:solidFill>
          </w14:textFill>
        </w:rPr>
        <w:t xml:space="preserve">（磋商文件中明确的所属行业）</w:t>
      </w:r>
      <w:r>
        <w:rPr>
          <w:rFonts w:hint="eastAsia" w:ascii="宋体" w:hAnsi="宋体" w:eastAsia="宋体" w:cs="宋体"/>
          <w:b w:val="0"/>
          <w:bCs/>
          <w:color w:val="000000" w:themeColor="text1"/>
          <w:sz w:val="24"/>
          <w:highlight w:val="none"/>
          <w14:textFill>
            <w14:solidFill>
              <w14:schemeClr w14:val="tx1"/>
            </w14:solidFill>
          </w14:textFill>
        </w:rPr>
        <w:t xml:space="preserve">；承建（承接）企业为</w:t>
      </w:r>
      <w:r>
        <w:rPr>
          <w:rFonts w:hint="eastAsia" w:ascii="宋体" w:hAnsi="宋体" w:eastAsia="宋体" w:cs="宋体"/>
          <w:b w:val="0"/>
          <w:bCs/>
          <w:i/>
          <w:iCs/>
          <w:color w:val="000000" w:themeColor="text1"/>
          <w:sz w:val="24"/>
          <w:highlight w:val="none"/>
          <w:u w:val="single"/>
          <w14:textFill>
            <w14:solidFill>
              <w14:schemeClr w14:val="tx1"/>
            </w14:solidFill>
          </w14:textFill>
        </w:rPr>
        <w:t xml:space="preserve">（企业名称）</w:t>
      </w:r>
      <w:r>
        <w:rPr>
          <w:rFonts w:hint="eastAsia" w:ascii="宋体" w:hAnsi="宋体" w:eastAsia="宋体" w:cs="宋体"/>
          <w:b w:val="0"/>
          <w:bCs/>
          <w:color w:val="000000" w:themeColor="text1"/>
          <w:sz w:val="24"/>
          <w:highlight w:val="none"/>
          <w14:textFill>
            <w14:solidFill>
              <w14:schemeClr w14:val="tx1"/>
            </w14:solidFill>
          </w14:textFill>
        </w:rPr>
        <w:t xml:space="preserve">，从业人员人，营业收入为万元，资产总额为万元，属于（</w:t>
      </w:r>
      <w:r>
        <w:rPr>
          <w:rFonts w:hint="eastAsia" w:ascii="宋体" w:hAnsi="宋体" w:eastAsia="宋体" w:cs="宋体"/>
          <w:b w:val="0"/>
          <w:bCs/>
          <w:i/>
          <w:iCs/>
          <w:color w:val="000000" w:themeColor="text1"/>
          <w:sz w:val="24"/>
          <w:highlight w:val="none"/>
          <w:u w:val="single"/>
          <w14:textFill>
            <w14:solidFill>
              <w14:schemeClr w14:val="tx1"/>
            </w14:solidFill>
          </w14:textFill>
        </w:rPr>
        <w:t xml:space="preserve">中型企业、小型企业、微型企业</w:t>
      </w:r>
      <w:r>
        <w:rPr>
          <w:rFonts w:hint="eastAsia" w:ascii="宋体" w:hAnsi="宋体" w:eastAsia="宋体" w:cs="宋体"/>
          <w:b w:val="0"/>
          <w:bCs/>
          <w:color w:val="000000" w:themeColor="text1"/>
          <w:sz w:val="24"/>
          <w:highlight w:val="none"/>
          <w14:textFill>
            <w14:solidFill>
              <w14:schemeClr w14:val="tx1"/>
            </w14:solidFill>
          </w14:textFill>
        </w:rPr>
        <w:t xml:space="preserve">）；</w:t>
      </w:r>
      <w:r/>
    </w:p>
    <w:p>
      <w:pPr>
        <w:ind w:firstLine="480"/>
        <w:spacing w:line="508" w:lineRule="exact"/>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2. </w:t>
      </w:r>
      <w:r>
        <w:rPr>
          <w:rFonts w:hint="eastAsia" w:ascii="宋体" w:hAnsi="宋体" w:eastAsia="宋体" w:cs="宋体"/>
          <w:b w:val="0"/>
          <w:bCs/>
          <w:i/>
          <w:iCs/>
          <w:color w:val="000000" w:themeColor="text1"/>
          <w:sz w:val="24"/>
          <w:highlight w:val="none"/>
          <w:u w:val="single"/>
          <w14:textFill>
            <w14:solidFill>
              <w14:schemeClr w14:val="tx1"/>
            </w14:solidFill>
          </w14:textFill>
        </w:rPr>
        <w:t xml:space="preserve">（标的名称）</w:t>
      </w:r>
      <w:r>
        <w:rPr>
          <w:rFonts w:hint="eastAsia" w:ascii="宋体" w:hAnsi="宋体" w:eastAsia="宋体" w:cs="宋体"/>
          <w:b w:val="0"/>
          <w:bCs/>
          <w:color w:val="000000" w:themeColor="text1"/>
          <w:sz w:val="24"/>
          <w:highlight w:val="none"/>
          <w14:textFill>
            <w14:solidFill>
              <w14:schemeClr w14:val="tx1"/>
            </w14:solidFill>
          </w14:textFill>
        </w:rPr>
        <w:t xml:space="preserve">，属于</w:t>
      </w:r>
      <w:r>
        <w:rPr>
          <w:rFonts w:hint="eastAsia" w:ascii="宋体" w:hAnsi="宋体" w:eastAsia="宋体" w:cs="宋体"/>
          <w:b w:val="0"/>
          <w:bCs/>
          <w:i/>
          <w:iCs/>
          <w:color w:val="000000" w:themeColor="text1"/>
          <w:sz w:val="24"/>
          <w:highlight w:val="none"/>
          <w:u w:val="single"/>
          <w14:textFill>
            <w14:solidFill>
              <w14:schemeClr w14:val="tx1"/>
            </w14:solidFill>
          </w14:textFill>
        </w:rPr>
        <w:t xml:space="preserve">（磋商文件中明确的所属行业）</w:t>
      </w:r>
      <w:r>
        <w:rPr>
          <w:rFonts w:hint="eastAsia" w:ascii="宋体" w:hAnsi="宋体" w:eastAsia="宋体" w:cs="宋体"/>
          <w:b w:val="0"/>
          <w:bCs/>
          <w:color w:val="000000" w:themeColor="text1"/>
          <w:sz w:val="24"/>
          <w:highlight w:val="none"/>
          <w14:textFill>
            <w14:solidFill>
              <w14:schemeClr w14:val="tx1"/>
            </w14:solidFill>
          </w14:textFill>
        </w:rPr>
        <w:t xml:space="preserve">；承建（承接）企业为</w:t>
      </w:r>
      <w:r>
        <w:rPr>
          <w:rFonts w:hint="eastAsia" w:ascii="宋体" w:hAnsi="宋体" w:eastAsia="宋体" w:cs="宋体"/>
          <w:b w:val="0"/>
          <w:bCs/>
          <w:i/>
          <w:iCs/>
          <w:color w:val="000000" w:themeColor="text1"/>
          <w:sz w:val="24"/>
          <w:highlight w:val="none"/>
          <w:u w:val="single"/>
          <w14:textFill>
            <w14:solidFill>
              <w14:schemeClr w14:val="tx1"/>
            </w14:solidFill>
          </w14:textFill>
        </w:rPr>
        <w:t xml:space="preserve">（企业名称）</w:t>
      </w:r>
      <w:r>
        <w:rPr>
          <w:rFonts w:hint="eastAsia" w:ascii="宋体" w:hAnsi="宋体" w:eastAsia="宋体" w:cs="宋体"/>
          <w:b w:val="0"/>
          <w:bCs/>
          <w:color w:val="000000" w:themeColor="text1"/>
          <w:sz w:val="24"/>
          <w:highlight w:val="none"/>
          <w14:textFill>
            <w14:solidFill>
              <w14:schemeClr w14:val="tx1"/>
            </w14:solidFill>
          </w14:textFill>
        </w:rPr>
        <w:t xml:space="preserve">，从业人员人，营业收入为万元，资产总额为万元，属于</w:t>
      </w:r>
      <w:r>
        <w:rPr>
          <w:rFonts w:hint="eastAsia" w:ascii="宋体" w:hAnsi="宋体" w:eastAsia="宋体" w:cs="宋体"/>
          <w:b w:val="0"/>
          <w:bCs/>
          <w:i/>
          <w:iCs/>
          <w:color w:val="000000" w:themeColor="text1"/>
          <w:sz w:val="24"/>
          <w:highlight w:val="none"/>
          <w:u w:val="single"/>
          <w14:textFill>
            <w14:solidFill>
              <w14:schemeClr w14:val="tx1"/>
            </w14:solidFill>
          </w14:textFill>
        </w:rPr>
        <w:t xml:space="preserve">（中型企业、小型企业、微型企业）</w:t>
      </w:r>
      <w:r>
        <w:rPr>
          <w:rFonts w:hint="eastAsia" w:ascii="宋体" w:hAnsi="宋体" w:eastAsia="宋体" w:cs="宋体"/>
          <w:b w:val="0"/>
          <w:bCs/>
          <w:color w:val="000000" w:themeColor="text1"/>
          <w:sz w:val="24"/>
          <w:highlight w:val="none"/>
          <w14:textFill>
            <w14:solidFill>
              <w14:schemeClr w14:val="tx1"/>
            </w14:solidFill>
          </w14:textFill>
        </w:rPr>
        <w:t xml:space="preserve">；</w:t>
      </w:r>
      <w:r/>
    </w:p>
    <w:p>
      <w:pPr>
        <w:ind w:firstLine="480"/>
        <w:spacing w:line="508" w:lineRule="exact"/>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w:t>
      </w:r>
      <w:r/>
    </w:p>
    <w:p>
      <w:pPr>
        <w:ind w:firstLine="480"/>
        <w:spacing w:line="508" w:lineRule="exact"/>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508" w:lineRule="exact"/>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本企业对上述声明内容的真实性负责。如有虚假，将依法承担相应责任。</w:t>
      </w:r>
      <w:r/>
    </w:p>
    <w:p>
      <w:pPr>
        <w:pStyle w:val="744"/>
        <w:ind w:right="720"/>
        <w:jc w:val="both"/>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p>
      <w:pPr>
        <w:pStyle w:val="744"/>
        <w:ind w:right="2268" w:firstLine="2160"/>
        <w:jc w:val="right"/>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企业名称（加盖CA电子公章）：</w:t>
      </w:r>
      <w:r/>
    </w:p>
    <w:p>
      <w:pPr>
        <w:pStyle w:val="744"/>
        <w:ind w:right="2268" w:firstLine="5278"/>
        <w:jc w:val="right"/>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日　　期：</w:t>
      </w:r>
      <w:r/>
    </w:p>
    <w:p>
      <w:pPr>
        <w:pStyle w:val="744"/>
        <w:ind w:firstLine="240"/>
        <w:jc w:val="both"/>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p>
      <w:pPr>
        <w:pStyle w:val="744"/>
        <w:ind w:firstLine="480"/>
        <w:jc w:val="both"/>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备注1：从业人员、营业收入、资产总额填报上一年度数据，无上一年度数据的新成立企业可不填报。</w:t>
      </w:r>
      <w:r/>
    </w:p>
    <w:p>
      <w:pPr>
        <w:pStyle w:val="744"/>
        <w:ind w:firstLine="480"/>
        <w:jc w:val="both"/>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备注2：供应商如不提供此声明函，价格将不做相应扣除（如项目全面面向中小企业，则资格审查不通过）。</w:t>
      </w:r>
      <w:r/>
    </w:p>
    <w:p>
      <w:pPr>
        <w:pStyle w:val="744"/>
        <w:jc w:val="center"/>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br w:type="page" w:clear="all"/>
      </w:r>
      <w:r>
        <w:rPr>
          <w:rFonts w:hint="eastAsia" w:ascii="宋体" w:hAnsi="宋体" w:eastAsia="宋体" w:cs="宋体"/>
          <w:b w:val="0"/>
          <w:bCs/>
          <w:color w:val="000000" w:themeColor="text1"/>
          <w:sz w:val="32"/>
          <w:szCs w:val="32"/>
          <w:highlight w:val="none"/>
          <w14:textFill>
            <w14:solidFill>
              <w14:schemeClr w14:val="tx1"/>
            </w14:solidFill>
          </w14:textFill>
        </w:rPr>
        <w:t xml:space="preserve">十、残疾人福利性单位声明函</w:t>
      </w:r>
      <w:r/>
    </w:p>
    <w:p>
      <w:pPr>
        <w:pStyle w:val="744"/>
        <w:ind w:firstLine="480"/>
        <w:jc w:val="both"/>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r>
      <w:r/>
    </w:p>
    <w:p>
      <w:pPr>
        <w:ind w:firstLine="480"/>
        <w:spacing w:before="240" w:after="240" w:line="507" w:lineRule="atLeast"/>
        <w:rPr>
          <w:rFonts w:hint="eastAsia" w:ascii="宋体" w:hAnsi="宋体" w:eastAsia="宋体" w:cs="宋体"/>
          <w:b w:val="0"/>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b w:val="0"/>
          <w:bCs/>
          <w:color w:val="000000" w:themeColor="text1"/>
          <w:sz w:val="24"/>
          <w:highlight w:val="none"/>
          <w:u w:val="single"/>
          <w:lang w:eastAsia="zh-CN"/>
          <w14:textFill>
            <w14:solidFill>
              <w14:schemeClr w14:val="tx1"/>
            </w14:solidFill>
          </w14:textFill>
        </w:rPr>
        <w:t xml:space="preserve">盐城市公安局</w:t>
      </w:r>
      <w:r>
        <w:rPr>
          <w:rFonts w:hint="eastAsia" w:ascii="宋体" w:hAnsi="宋体" w:eastAsia="宋体" w:cs="宋体"/>
          <w:b w:val="0"/>
          <w:bCs/>
          <w:color w:val="000000" w:themeColor="text1"/>
          <w:sz w:val="24"/>
          <w:highlight w:val="none"/>
          <w14:textFill>
            <w14:solidFill>
              <w14:schemeClr w14:val="tx1"/>
            </w14:solidFill>
          </w14:textFill>
        </w:rPr>
        <w:t xml:space="preserve">单位的磋商文件编号为</w:t>
      </w:r>
      <w:r>
        <w:rPr>
          <w:rFonts w:hint="eastAsia" w:ascii="宋体" w:hAnsi="宋体" w:eastAsia="宋体" w:cs="宋体"/>
          <w:b w:val="0"/>
          <w:bCs/>
          <w:color w:val="000000" w:themeColor="text1"/>
          <w:sz w:val="24"/>
          <w:highlight w:val="none"/>
          <w:u w:val="single"/>
          <w:lang w:eastAsia="zh-CN"/>
          <w14:textFill>
            <w14:solidFill>
              <w14:schemeClr w14:val="tx1"/>
            </w14:solidFill>
          </w14:textFill>
        </w:rPr>
        <w:t xml:space="preserve">JSZC-320900-</w:t>
      </w:r>
      <w:r>
        <w:rPr>
          <w:rFonts w:hint="eastAsia" w:ascii="宋体" w:hAnsi="宋体" w:eastAsia="宋体" w:cs="宋体"/>
          <w:b w:val="0"/>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highlight w:val="none"/>
          <w14:textFill>
            <w14:solidFill>
              <w14:schemeClr w14:val="tx1"/>
            </w14:solidFill>
          </w14:textFill>
        </w:rPr>
        <w:t xml:space="preserve">的</w:t>
      </w:r>
      <w:r>
        <w:rPr>
          <w:rFonts w:hint="eastAsia" w:ascii="宋体" w:hAnsi="宋体" w:eastAsia="宋体" w:cs="宋体"/>
          <w:b w:val="0"/>
          <w:bCs/>
          <w:color w:val="000000" w:themeColor="text1"/>
          <w:sz w:val="24"/>
          <w:highlight w:val="none"/>
          <w:u w:val="single"/>
          <w:lang w:eastAsia="zh-CN"/>
          <w14:textFill>
            <w14:solidFill>
              <w14:schemeClr w14:val="tx1"/>
            </w14:solidFill>
          </w14:textFill>
        </w:rPr>
        <w:t xml:space="preserve">盐城市公安局2026年度公安民警家庭医疗保险服务采购项目</w:t>
      </w:r>
      <w:r>
        <w:rPr>
          <w:rFonts w:hint="eastAsia" w:ascii="宋体" w:hAnsi="宋体" w:eastAsia="宋体" w:cs="宋体"/>
          <w:b w:val="0"/>
          <w:bCs/>
          <w:color w:val="000000" w:themeColor="text1"/>
          <w:sz w:val="24"/>
          <w:highlight w:val="none"/>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ind w:firstLine="480"/>
        <w:spacing w:before="240" w:after="240" w:line="507" w:lineRule="atLeast"/>
        <w:rPr>
          <w:rFonts w:hint="eastAsia" w:ascii="宋体" w:hAnsi="宋体" w:eastAsia="宋体" w:cs="宋体"/>
          <w:b w:val="0"/>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highlight w:val="none"/>
          <w14:textFill>
            <w14:solidFill>
              <w14:schemeClr w14:val="tx1"/>
            </w14:solidFill>
          </w14:textFill>
        </w:rPr>
        <w:t xml:space="preserve">本单位对上述声明的真实性负责。如有虚假，将依法承担相应责任。</w:t>
      </w:r>
      <w:r/>
    </w:p>
    <w:p>
      <w:pPr>
        <w:ind w:firstLine="480"/>
        <w:spacing w:before="240" w:after="240" w:line="507" w:lineRule="atLeast"/>
        <w:rPr>
          <w:rFonts w:hint="eastAsia" w:ascii="宋体" w:hAnsi="宋体" w:eastAsia="宋体" w:cs="宋体"/>
          <w:b w:val="0"/>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highlight w:val="none"/>
          <w14:textFill>
            <w14:solidFill>
              <w14:schemeClr w14:val="tx1"/>
            </w14:solidFill>
          </w14:textFill>
        </w:rPr>
        <w:t xml:space="preserve">（备注：1、供应商如不提供此声明函，价格将不做相应扣除（如项目全面面向中小企业，则资格审查不通过）。2、成交供应商为残疾人福利单位的，此声明函将随成交结果同时公告，接受社会监督）</w:t>
      </w:r>
      <w:r/>
    </w:p>
    <w:p>
      <w:pPr>
        <w:ind w:firstLine="624"/>
        <w:spacing w:before="240" w:after="240" w:line="507" w:lineRule="atLeast"/>
        <w:rPr>
          <w:rFonts w:hint="eastAsia" w:ascii="宋体" w:hAnsi="宋体" w:eastAsia="宋体" w:cs="宋体"/>
          <w:b w:val="0"/>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highlight w:val="none"/>
          <w14:textFill>
            <w14:solidFill>
              <w14:schemeClr w14:val="tx1"/>
            </w14:solidFill>
          </w14:textFill>
        </w:rPr>
        <w:t xml:space="preserve"> </w:t>
      </w:r>
      <w:r/>
    </w:p>
    <w:p>
      <w:pPr>
        <w:spacing w:before="240" w:after="240" w:line="507" w:lineRule="atLeast"/>
        <w:rPr>
          <w:rFonts w:hint="eastAsia" w:ascii="宋体" w:hAnsi="宋体" w:eastAsia="宋体" w:cs="宋体"/>
          <w:b w:val="0"/>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8"/>
          <w:highlight w:val="none"/>
          <w14:textFill>
            <w14:solidFill>
              <w14:schemeClr w14:val="tx1"/>
            </w14:solidFill>
          </w14:textFill>
        </w:rPr>
        <w:t xml:space="preserve">             </w:t>
      </w:r>
      <w:r>
        <w:rPr>
          <w:rFonts w:hint="eastAsia" w:ascii="宋体" w:hAnsi="宋体" w:eastAsia="宋体" w:cs="宋体"/>
          <w:b w:val="0"/>
          <w:bCs/>
          <w:color w:val="000000" w:themeColor="text1"/>
          <w:sz w:val="24"/>
          <w:highlight w:val="none"/>
          <w14:textFill>
            <w14:solidFill>
              <w14:schemeClr w14:val="tx1"/>
            </w14:solidFill>
          </w14:textFill>
        </w:rPr>
        <w:t xml:space="preserve">        </w:t>
      </w:r>
      <w:r/>
    </w:p>
    <w:p>
      <w:pPr>
        <w:ind w:right="2268" w:firstLine="2880"/>
        <w:jc w:val="right"/>
        <w:spacing w:before="240" w:after="240" w:line="507" w:lineRule="atLeast"/>
        <w:rPr>
          <w:rFonts w:hint="eastAsia" w:ascii="宋体" w:hAnsi="宋体" w:eastAsia="宋体" w:cs="宋体"/>
          <w:b w:val="0"/>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highlight w:val="none"/>
          <w14:textFill>
            <w14:solidFill>
              <w14:schemeClr w14:val="tx1"/>
            </w14:solidFill>
          </w14:textFill>
        </w:rPr>
        <w:t xml:space="preserve">供应商全称（加盖CA电子公章）：</w:t>
      </w:r>
      <w:r/>
    </w:p>
    <w:p>
      <w:pPr>
        <w:pStyle w:val="744"/>
        <w:ind w:right="2126"/>
        <w:jc w:val="right"/>
        <w:spacing w:beforeAutospacing="0" w:afterAutospacing="0" w:line="508" w:lineRule="exact"/>
        <w:tabs>
          <w:tab w:val="left" w:pos="3374" w:leader="none"/>
          <w:tab w:val="left" w:pos="4864" w:leader="none"/>
          <w:tab w:val="left" w:pos="6521" w:leader="none"/>
        </w:tabs>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日期：</w:t>
      </w:r>
      <w:r/>
    </w:p>
    <w:p>
      <w:pPr>
        <w:pStyle w:val="744"/>
        <w:jc w:val="center"/>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r>
      <w:r/>
    </w:p>
    <w:p>
      <w:pPr>
        <w:spacing w:line="508" w:lineRule="exact"/>
        <w:rPr>
          <w:rFonts w:hint="eastAsia" w:ascii="宋体" w:hAnsi="宋体" w:eastAsia="宋体" w:cs="宋体"/>
          <w:b w:val="0"/>
          <w:bCs/>
          <w:color w:val="000000" w:themeColor="text1"/>
          <w:sz w:val="32"/>
          <w:szCs w:val="32"/>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br w:type="page" w:clear="all"/>
      </w:r>
      <w:r/>
    </w:p>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t xml:space="preserve">十</w:t>
      </w:r>
      <w:r>
        <w:rPr>
          <w:rFonts w:hint="eastAsia" w:ascii="宋体" w:hAnsi="宋体" w:eastAsia="宋体" w:cs="宋体"/>
          <w:b w:val="0"/>
          <w:bCs/>
          <w:color w:val="000000" w:themeColor="text1"/>
          <w:sz w:val="32"/>
          <w:szCs w:val="32"/>
          <w:highlight w:val="none"/>
          <w:lang w:eastAsia="zh-CN"/>
          <w14:textFill>
            <w14:solidFill>
              <w14:schemeClr w14:val="tx1"/>
            </w14:solidFill>
          </w14:textFill>
        </w:rPr>
        <w:t xml:space="preserve">一</w:t>
      </w:r>
      <w:r>
        <w:rPr>
          <w:rFonts w:hint="eastAsia" w:ascii="宋体" w:hAnsi="宋体" w:eastAsia="宋体" w:cs="宋体"/>
          <w:b w:val="0"/>
          <w:bCs/>
          <w:color w:val="000000" w:themeColor="text1"/>
          <w:sz w:val="32"/>
          <w:szCs w:val="32"/>
          <w:highlight w:val="none"/>
          <w14:textFill>
            <w14:solidFill>
              <w14:schemeClr w14:val="tx1"/>
            </w14:solidFill>
          </w14:textFill>
        </w:rPr>
        <w:t xml:space="preserve">、分项报价表（服务类）</w:t>
      </w:r>
      <w:r/>
    </w:p>
    <w:tbl>
      <w:tblPr>
        <w:tblStyle w:val="939"/>
        <w:tblW w:w="9438" w:type="dxa"/>
        <w:tblInd w:w="1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00"/>
        <w:gridCol w:w="7538"/>
      </w:tblGrid>
      <w:tr>
        <w:trPr>
          <w:trHeight w:val="827"/>
        </w:trPr>
        <w:tc>
          <w:tcPr>
            <w:tcW w:w="1900" w:type="dxa"/>
            <w:vAlign w:val="center"/>
            <w:textDirection w:val="lrTb"/>
            <w:noWrap w:val="false"/>
          </w:tcPr>
          <w:p>
            <w:pPr>
              <w:pStyle w:val="933"/>
              <w:jc w:val="center"/>
              <w:spacing w:beforeAutospacing="0" w:afterAutospacing="0"/>
              <w:rPr>
                <w:rFonts w:hint="eastAsia" w:ascii="宋体" w:hAnsi="宋体" w:eastAsia="宋体" w:cs="宋体"/>
                <w:b w:val="0"/>
                <w:bCs/>
                <w:color w:val="000000" w:themeColor="text1"/>
                <w:highlight w:val="none"/>
                <w:shd w:val="clear" w:color="auto" w:fill="auto"/>
                <w:vertAlign w:val="baseline"/>
                <w:lang w:val="en-US" w:eastAsia="zh-CN"/>
                <w14:textFill>
                  <w14:solidFill>
                    <w14:schemeClr w14:val="tx1"/>
                  </w14:solidFill>
                </w14:textFill>
              </w:rPr>
            </w:pPr>
            <w:r>
              <w:rPr>
                <w:rFonts w:hint="eastAsia" w:ascii="宋体" w:hAnsi="宋体" w:eastAsia="宋体" w:cs="宋体"/>
                <w:b w:val="0"/>
                <w:bCs/>
                <w:color w:val="000000" w:themeColor="text1"/>
                <w:highlight w:val="none"/>
                <w:shd w:val="clear" w:color="auto" w:fill="auto"/>
                <w:vertAlign w:val="baseline"/>
                <w:lang w:val="en-US" w:eastAsia="zh-CN"/>
                <w14:textFill>
                  <w14:solidFill>
                    <w14:schemeClr w14:val="tx1"/>
                  </w14:solidFill>
                </w14:textFill>
              </w:rPr>
              <w:t xml:space="preserve">项目编号</w:t>
            </w:r>
            <w:r/>
          </w:p>
        </w:tc>
        <w:tc>
          <w:tcPr>
            <w:tcW w:w="7538" w:type="dxa"/>
            <w:vAlign w:val="center"/>
            <w:textDirection w:val="lrTb"/>
            <w:noWrap w:val="false"/>
          </w:tcPr>
          <w:p>
            <w:pPr>
              <w:pStyle w:val="933"/>
              <w:jc w:val="center"/>
              <w:spacing w:beforeAutospacing="0" w:afterAutospacing="0"/>
              <w:rPr>
                <w:rFonts w:hint="eastAsia" w:ascii="宋体" w:hAnsi="宋体" w:eastAsia="宋体" w:cs="宋体"/>
                <w:b w:val="0"/>
                <w:bCs/>
                <w:color w:val="000000" w:themeColor="text1"/>
                <w:highlight w:val="none"/>
                <w:shd w:val="clear" w:color="auto" w:fill="auto"/>
                <w:vertAlign w:val="baseline"/>
                <w14:textFill>
                  <w14:solidFill>
                    <w14:schemeClr w14:val="tx1"/>
                  </w14:solidFill>
                </w14:textFill>
              </w:rPr>
            </w:pPr>
            <w:r>
              <w:rPr>
                <w:rFonts w:hint="eastAsia" w:ascii="宋体" w:hAnsi="宋体" w:eastAsia="宋体" w:cs="宋体"/>
                <w:b w:val="0"/>
                <w:bCs/>
                <w:color w:val="000000" w:themeColor="text1"/>
                <w:highlight w:val="none"/>
                <w:shd w:val="clear" w:color="auto" w:fill="auto"/>
                <w:vertAlign w:val="baseline"/>
                <w14:textFill>
                  <w14:solidFill>
                    <w14:schemeClr w14:val="tx1"/>
                  </w14:solidFill>
                </w14:textFill>
              </w:rPr>
            </w:r>
            <w:r/>
          </w:p>
        </w:tc>
      </w:tr>
      <w:tr>
        <w:trPr>
          <w:trHeight w:val="789"/>
        </w:trPr>
        <w:tc>
          <w:tcPr>
            <w:tcW w:w="1900" w:type="dxa"/>
            <w:vAlign w:val="center"/>
            <w:textDirection w:val="lrTb"/>
            <w:noWrap w:val="false"/>
          </w:tcPr>
          <w:p>
            <w:pPr>
              <w:pStyle w:val="933"/>
              <w:jc w:val="center"/>
              <w:spacing w:beforeAutospacing="0" w:afterAutospacing="0"/>
              <w:rPr>
                <w:rFonts w:hint="eastAsia" w:ascii="宋体" w:hAnsi="宋体" w:eastAsia="宋体" w:cs="宋体"/>
                <w:b w:val="0"/>
                <w:bCs/>
                <w:color w:val="000000" w:themeColor="text1"/>
                <w:highlight w:val="none"/>
                <w:shd w:val="clear" w:color="auto" w:fill="auto"/>
                <w:vertAlign w:val="baseline"/>
                <w:lang w:val="en-US" w:eastAsia="zh-CN"/>
                <w14:textFill>
                  <w14:solidFill>
                    <w14:schemeClr w14:val="tx1"/>
                  </w14:solidFill>
                </w14:textFill>
              </w:rPr>
            </w:pPr>
            <w:r>
              <w:rPr>
                <w:rFonts w:hint="eastAsia" w:ascii="宋体" w:hAnsi="宋体" w:eastAsia="宋体" w:cs="宋体"/>
                <w:b w:val="0"/>
                <w:bCs/>
                <w:color w:val="000000" w:themeColor="text1"/>
                <w:highlight w:val="none"/>
                <w:shd w:val="clear" w:color="auto" w:fill="auto"/>
                <w:vertAlign w:val="baseline"/>
                <w:lang w:val="en-US" w:eastAsia="zh-CN"/>
                <w14:textFill>
                  <w14:solidFill>
                    <w14:schemeClr w14:val="tx1"/>
                  </w14:solidFill>
                </w14:textFill>
              </w:rPr>
              <w:t xml:space="preserve">项目名称</w:t>
            </w:r>
            <w:r/>
          </w:p>
        </w:tc>
        <w:tc>
          <w:tcPr>
            <w:tcW w:w="7538" w:type="dxa"/>
            <w:vAlign w:val="center"/>
            <w:textDirection w:val="lrTb"/>
            <w:noWrap w:val="false"/>
          </w:tcPr>
          <w:p>
            <w:pPr>
              <w:pStyle w:val="933"/>
              <w:jc w:val="center"/>
              <w:spacing w:beforeAutospacing="0" w:afterAutospacing="0"/>
              <w:rPr>
                <w:rFonts w:hint="eastAsia" w:ascii="宋体" w:hAnsi="宋体" w:eastAsia="宋体" w:cs="宋体"/>
                <w:b w:val="0"/>
                <w:bCs/>
                <w:color w:val="000000" w:themeColor="text1"/>
                <w:highlight w:val="none"/>
                <w:shd w:val="clear" w:color="auto" w:fill="auto"/>
                <w:vertAlign w:val="baseline"/>
                <w14:textFill>
                  <w14:solidFill>
                    <w14:schemeClr w14:val="tx1"/>
                  </w14:solidFill>
                </w14:textFill>
              </w:rPr>
            </w:pPr>
            <w:r>
              <w:rPr>
                <w:rFonts w:hint="eastAsia" w:ascii="宋体" w:hAnsi="宋体" w:eastAsia="宋体" w:cs="宋体"/>
                <w:b w:val="0"/>
                <w:bCs/>
                <w:color w:val="000000" w:themeColor="text1"/>
                <w:highlight w:val="none"/>
                <w:shd w:val="clear" w:color="auto" w:fill="auto"/>
                <w:vertAlign w:val="baseline"/>
                <w14:textFill>
                  <w14:solidFill>
                    <w14:schemeClr w14:val="tx1"/>
                  </w14:solidFill>
                </w14:textFill>
              </w:rPr>
            </w:r>
            <w:r/>
          </w:p>
        </w:tc>
      </w:tr>
      <w:tr>
        <w:trPr>
          <w:trHeight w:val="1177"/>
        </w:trPr>
        <w:tc>
          <w:tcPr>
            <w:tcW w:w="1900" w:type="dxa"/>
            <w:vAlign w:val="center"/>
            <w:textDirection w:val="lrTb"/>
            <w:noWrap w:val="false"/>
          </w:tcPr>
          <w:p>
            <w:pPr>
              <w:pStyle w:val="933"/>
              <w:jc w:val="center"/>
              <w:spacing w:beforeAutospacing="0" w:afterAutospacing="0"/>
              <w:rPr>
                <w:rFonts w:hint="eastAsia" w:ascii="宋体" w:hAnsi="宋体" w:eastAsia="宋体" w:cs="宋体"/>
                <w:b w:val="0"/>
                <w:bCs/>
                <w:color w:val="000000" w:themeColor="text1"/>
                <w:highlight w:val="none"/>
                <w:shd w:val="clear" w:color="auto" w:fill="auto"/>
                <w:vertAlign w:val="baseline"/>
                <w:lang w:val="en-US" w:eastAsia="zh-CN"/>
                <w14:textFill>
                  <w14:solidFill>
                    <w14:schemeClr w14:val="tx1"/>
                  </w14:solidFill>
                </w14:textFill>
              </w:rPr>
            </w:pPr>
            <w:r>
              <w:rPr>
                <w:rFonts w:hint="eastAsia" w:ascii="宋体" w:hAnsi="宋体" w:eastAsia="宋体" w:cs="宋体"/>
                <w:b w:val="0"/>
                <w:bCs/>
                <w:color w:val="000000" w:themeColor="text1"/>
                <w:highlight w:val="none"/>
                <w:shd w:val="clear" w:color="auto" w:fill="auto"/>
                <w:vertAlign w:val="baseline"/>
                <w:lang w:val="en-US" w:eastAsia="zh-CN"/>
                <w14:textFill>
                  <w14:solidFill>
                    <w14:schemeClr w14:val="tx1"/>
                  </w14:solidFill>
                </w14:textFill>
              </w:rPr>
              <w:t xml:space="preserve">每人每年保费</w:t>
            </w:r>
            <w:r/>
          </w:p>
          <w:p>
            <w:pPr>
              <w:pStyle w:val="933"/>
              <w:jc w:val="center"/>
              <w:spacing w:beforeAutospacing="0" w:afterAutospacing="0"/>
              <w:rPr>
                <w:rFonts w:hint="eastAsia" w:ascii="宋体" w:hAnsi="宋体" w:eastAsia="宋体" w:cs="宋体"/>
                <w:b w:val="0"/>
                <w:bCs/>
                <w:color w:val="000000" w:themeColor="text1"/>
                <w:highlight w:val="none"/>
                <w:shd w:val="clear" w:color="auto" w:fill="auto"/>
                <w:vertAlign w:val="baseline"/>
                <w:lang w:val="en-US" w:eastAsia="zh-CN"/>
                <w14:textFill>
                  <w14:solidFill>
                    <w14:schemeClr w14:val="tx1"/>
                  </w14:solidFill>
                </w14:textFill>
              </w:rPr>
            </w:pPr>
            <w:r>
              <w:rPr>
                <w:rFonts w:hint="eastAsia" w:ascii="宋体" w:hAnsi="宋体" w:eastAsia="宋体" w:cs="宋体"/>
                <w:b w:val="0"/>
                <w:bCs/>
                <w:color w:val="000000" w:themeColor="text1"/>
                <w:highlight w:val="none"/>
                <w:shd w:val="clear" w:color="auto" w:fill="auto"/>
                <w:vertAlign w:val="baseline"/>
                <w:lang w:val="en-US" w:eastAsia="zh-CN"/>
                <w14:textFill>
                  <w14:solidFill>
                    <w14:schemeClr w14:val="tx1"/>
                  </w14:solidFill>
                </w14:textFill>
              </w:rPr>
              <w:t xml:space="preserve">金额（元）</w:t>
            </w:r>
            <w:r/>
          </w:p>
        </w:tc>
        <w:tc>
          <w:tcPr>
            <w:tcW w:w="7538" w:type="dxa"/>
            <w:vAlign w:val="center"/>
            <w:textDirection w:val="lrTb"/>
            <w:noWrap w:val="false"/>
          </w:tcPr>
          <w:p>
            <w:pPr>
              <w:pStyle w:val="933"/>
              <w:jc w:val="left"/>
              <w:spacing w:beforeAutospacing="0" w:afterAutospacing="0"/>
              <w:rPr>
                <w:rFonts w:hint="eastAsia" w:ascii="宋体" w:hAnsi="宋体" w:eastAsia="宋体" w:cs="宋体"/>
                <w:b w:val="0"/>
                <w:bCs/>
                <w:color w:val="000000" w:themeColor="text1"/>
                <w:highlight w:val="none"/>
                <w:u w:val="single"/>
                <w:shd w:val="clear" w:color="auto" w:fill="auto"/>
                <w:vertAlign w:val="baseline"/>
                <w:lang w:val="en-US" w:eastAsia="zh-CN"/>
                <w14:textFill>
                  <w14:solidFill>
                    <w14:schemeClr w14:val="tx1"/>
                  </w14:solidFill>
                </w14:textFill>
              </w:rPr>
            </w:pPr>
            <w:r>
              <w:rPr>
                <w:rFonts w:hint="eastAsia" w:ascii="宋体" w:hAnsi="宋体" w:eastAsia="宋体" w:cs="宋体"/>
                <w:b w:val="0"/>
                <w:bCs/>
                <w:color w:val="000000" w:themeColor="text1"/>
                <w:highlight w:val="none"/>
                <w:u w:val="single"/>
                <w:shd w:val="clear" w:color="auto" w:fill="auto"/>
                <w:vertAlign w:val="baseline"/>
                <w:lang w:val="en-US" w:eastAsia="zh-CN"/>
                <w14:textFill>
                  <w14:solidFill>
                    <w14:schemeClr w14:val="tx1"/>
                  </w14:solidFill>
                </w14:textFill>
              </w:rPr>
              <w:t xml:space="preserve">大写：</w:t>
            </w:r>
            <w:r/>
          </w:p>
          <w:p>
            <w:pPr>
              <w:pStyle w:val="933"/>
              <w:jc w:val="left"/>
              <w:spacing w:beforeAutospacing="0" w:afterAutospacing="0"/>
              <w:rPr>
                <w:rFonts w:hint="eastAsia" w:ascii="宋体" w:hAnsi="宋体" w:eastAsia="宋体" w:cs="宋体"/>
                <w:b w:val="0"/>
                <w:bCs/>
                <w:color w:val="000000" w:themeColor="text1"/>
                <w:highlight w:val="none"/>
                <w:u w:val="single"/>
                <w:shd w:val="clear" w:color="auto" w:fill="auto"/>
                <w:vertAlign w:val="baseline"/>
                <w:lang w:val="en-US" w:eastAsia="zh-CN"/>
                <w14:textFill>
                  <w14:solidFill>
                    <w14:schemeClr w14:val="tx1"/>
                  </w14:solidFill>
                </w14:textFill>
              </w:rPr>
            </w:pPr>
            <w:r>
              <w:rPr>
                <w:rFonts w:hint="eastAsia" w:ascii="宋体" w:hAnsi="宋体" w:eastAsia="宋体" w:cs="宋体"/>
                <w:b w:val="0"/>
                <w:bCs/>
                <w:color w:val="000000" w:themeColor="text1"/>
                <w:highlight w:val="none"/>
                <w:u w:val="single"/>
                <w:shd w:val="clear" w:color="auto" w:fill="auto"/>
                <w:vertAlign w:val="baseline"/>
                <w:lang w:val="en-US" w:eastAsia="zh-CN"/>
                <w14:textFill>
                  <w14:solidFill>
                    <w14:schemeClr w14:val="tx1"/>
                  </w14:solidFill>
                </w14:textFill>
              </w:rPr>
            </w:r>
            <w:r/>
          </w:p>
          <w:p>
            <w:pPr>
              <w:pStyle w:val="933"/>
              <w:jc w:val="left"/>
              <w:spacing w:beforeAutospacing="0" w:afterAutospacing="0"/>
              <w:rPr>
                <w:rFonts w:hint="eastAsia" w:ascii="宋体" w:hAnsi="宋体" w:eastAsia="宋体" w:cs="宋体"/>
                <w:b w:val="0"/>
                <w:bCs/>
                <w:color w:val="000000" w:themeColor="text1"/>
                <w:highlight w:val="none"/>
                <w:u w:val="single"/>
                <w:shd w:val="clear" w:color="auto" w:fill="auto"/>
                <w:vertAlign w:val="baseline"/>
                <w:lang w:val="en-US" w:eastAsia="zh-CN"/>
                <w14:textFill>
                  <w14:solidFill>
                    <w14:schemeClr w14:val="tx1"/>
                  </w14:solidFill>
                </w14:textFill>
              </w:rPr>
            </w:pPr>
            <w:r>
              <w:rPr>
                <w:rFonts w:hint="eastAsia" w:ascii="宋体" w:hAnsi="宋体" w:eastAsia="宋体" w:cs="宋体"/>
                <w:b w:val="0"/>
                <w:bCs/>
                <w:color w:val="000000" w:themeColor="text1"/>
                <w:highlight w:val="none"/>
                <w:u w:val="single"/>
                <w:shd w:val="clear" w:color="auto" w:fill="auto"/>
                <w:vertAlign w:val="baseline"/>
                <w:lang w:val="en-US" w:eastAsia="zh-CN"/>
                <w14:textFill>
                  <w14:solidFill>
                    <w14:schemeClr w14:val="tx1"/>
                  </w14:solidFill>
                </w14:textFill>
              </w:rPr>
              <w:t xml:space="preserve">小写：</w:t>
            </w:r>
            <w:r/>
          </w:p>
        </w:tc>
      </w:tr>
      <w:tr>
        <w:trPr>
          <w:trHeight w:val="964"/>
        </w:trPr>
        <w:tc>
          <w:tcPr>
            <w:tcW w:w="1900" w:type="dxa"/>
            <w:vAlign w:val="center"/>
            <w:textDirection w:val="lrTb"/>
            <w:noWrap w:val="false"/>
          </w:tcPr>
          <w:p>
            <w:pPr>
              <w:pStyle w:val="933"/>
              <w:jc w:val="center"/>
              <w:spacing w:beforeAutospacing="0" w:afterAutospacing="0"/>
              <w:rPr>
                <w:rFonts w:hint="eastAsia" w:ascii="宋体" w:hAnsi="宋体" w:eastAsia="宋体" w:cs="宋体"/>
                <w:b w:val="0"/>
                <w:bCs/>
                <w:color w:val="000000" w:themeColor="text1"/>
                <w:highlight w:val="none"/>
                <w:shd w:val="clear" w:color="auto" w:fill="auto"/>
                <w:vertAlign w:val="baseline"/>
                <w:lang w:val="en-US" w:eastAsia="zh-CN"/>
                <w14:textFill>
                  <w14:solidFill>
                    <w14:schemeClr w14:val="tx1"/>
                  </w14:solidFill>
                </w14:textFill>
              </w:rPr>
            </w:pPr>
            <w:r>
              <w:rPr>
                <w:rFonts w:hint="eastAsia" w:ascii="宋体" w:hAnsi="宋体" w:eastAsia="宋体" w:cs="宋体"/>
                <w:b w:val="0"/>
                <w:bCs/>
                <w:color w:val="000000" w:themeColor="text1"/>
                <w:highlight w:val="none"/>
                <w:shd w:val="clear" w:color="auto" w:fill="auto"/>
                <w:vertAlign w:val="baseline"/>
                <w:lang w:val="en-US" w:eastAsia="zh-CN"/>
                <w14:textFill>
                  <w14:solidFill>
                    <w14:schemeClr w14:val="tx1"/>
                  </w14:solidFill>
                </w14:textFill>
              </w:rPr>
              <w:t xml:space="preserve">保险期限</w:t>
            </w:r>
            <w:r/>
          </w:p>
        </w:tc>
        <w:tc>
          <w:tcPr>
            <w:tcW w:w="7538" w:type="dxa"/>
            <w:vAlign w:val="center"/>
            <w:textDirection w:val="lrTb"/>
            <w:noWrap w:val="false"/>
          </w:tcPr>
          <w:p>
            <w:pPr>
              <w:pStyle w:val="933"/>
              <w:jc w:val="center"/>
              <w:spacing w:beforeAutospacing="0" w:afterAutospacing="0"/>
              <w:rPr>
                <w:rFonts w:hint="eastAsia" w:ascii="宋体" w:hAnsi="宋体" w:eastAsia="宋体" w:cs="宋体"/>
                <w:b w:val="0"/>
                <w:bCs/>
                <w:color w:val="000000" w:themeColor="text1"/>
                <w:highlight w:val="none"/>
                <w:shd w:val="clear" w:color="auto" w:fill="auto"/>
                <w:vertAlign w:val="baseline"/>
                <w14:textFill>
                  <w14:solidFill>
                    <w14:schemeClr w14:val="tx1"/>
                  </w14:solidFill>
                </w14:textFill>
              </w:rPr>
            </w:pPr>
            <w:r>
              <w:rPr>
                <w:rFonts w:hint="eastAsia" w:ascii="宋体" w:hAnsi="宋体" w:eastAsia="宋体" w:cs="宋体"/>
                <w:b w:val="0"/>
                <w:bCs/>
                <w:color w:val="000000" w:themeColor="text1"/>
                <w:highlight w:val="none"/>
                <w:shd w:val="clear" w:color="auto" w:fill="auto"/>
                <w:vertAlign w:val="baseline"/>
                <w14:textFill>
                  <w14:solidFill>
                    <w14:schemeClr w14:val="tx1"/>
                  </w14:solidFill>
                </w14:textFill>
              </w:rPr>
            </w:r>
            <w:r/>
          </w:p>
        </w:tc>
      </w:tr>
      <w:tr>
        <w:trPr>
          <w:trHeight w:val="1349"/>
        </w:trPr>
        <w:tc>
          <w:tcPr>
            <w:tcW w:w="1900" w:type="dxa"/>
            <w:vAlign w:val="center"/>
            <w:textDirection w:val="lrTb"/>
            <w:noWrap w:val="false"/>
          </w:tcPr>
          <w:p>
            <w:pPr>
              <w:pStyle w:val="933"/>
              <w:jc w:val="center"/>
              <w:spacing w:beforeAutospacing="0" w:afterAutospacing="0"/>
              <w:rPr>
                <w:rFonts w:hint="eastAsia" w:ascii="宋体" w:hAnsi="宋体" w:eastAsia="宋体" w:cs="宋体"/>
                <w:b w:val="0"/>
                <w:bCs/>
                <w:color w:val="000000" w:themeColor="text1"/>
                <w:highlight w:val="none"/>
                <w:shd w:val="clear" w:color="auto" w:fill="auto"/>
                <w:vertAlign w:val="baseline"/>
                <w:lang w:val="en-US" w:eastAsia="zh-CN"/>
                <w14:textFill>
                  <w14:solidFill>
                    <w14:schemeClr w14:val="tx1"/>
                  </w14:solidFill>
                </w14:textFill>
              </w:rPr>
            </w:pPr>
            <w:r>
              <w:rPr>
                <w:rFonts w:hint="eastAsia" w:ascii="宋体" w:hAnsi="宋体" w:eastAsia="宋体" w:cs="宋体"/>
                <w:b w:val="0"/>
                <w:bCs/>
                <w:color w:val="000000" w:themeColor="text1"/>
                <w:highlight w:val="none"/>
                <w:shd w:val="clear" w:color="auto" w:fill="auto"/>
                <w:vertAlign w:val="baseline"/>
                <w:lang w:val="en-US" w:eastAsia="zh-CN"/>
                <w14:textFill>
                  <w14:solidFill>
                    <w14:schemeClr w14:val="tx1"/>
                  </w14:solidFill>
                </w14:textFill>
              </w:rPr>
              <w:t xml:space="preserve">项目经理</w:t>
            </w:r>
            <w:r/>
          </w:p>
        </w:tc>
        <w:tc>
          <w:tcPr>
            <w:tcW w:w="7538" w:type="dxa"/>
            <w:vAlign w:val="center"/>
            <w:textDirection w:val="lrTb"/>
            <w:noWrap w:val="false"/>
          </w:tcPr>
          <w:p>
            <w:pPr>
              <w:pStyle w:val="933"/>
              <w:jc w:val="center"/>
              <w:spacing w:beforeAutospacing="0" w:afterAutospacing="0"/>
              <w:rPr>
                <w:rFonts w:hint="eastAsia" w:ascii="宋体" w:hAnsi="宋体" w:eastAsia="宋体" w:cs="宋体"/>
                <w:b w:val="0"/>
                <w:bCs/>
                <w:color w:val="000000" w:themeColor="text1"/>
                <w:highlight w:val="none"/>
                <w:shd w:val="clear" w:color="auto" w:fill="auto"/>
                <w:vertAlign w:val="baseline"/>
                <w14:textFill>
                  <w14:solidFill>
                    <w14:schemeClr w14:val="tx1"/>
                  </w14:solidFill>
                </w14:textFill>
              </w:rPr>
            </w:pPr>
            <w:r>
              <w:rPr>
                <w:rFonts w:hint="eastAsia" w:ascii="宋体" w:hAnsi="宋体" w:eastAsia="宋体" w:cs="宋体"/>
                <w:b w:val="0"/>
                <w:bCs/>
                <w:color w:val="000000" w:themeColor="text1"/>
                <w:highlight w:val="none"/>
                <w:shd w:val="clear" w:color="auto" w:fill="auto"/>
                <w:vertAlign w:val="baseline"/>
                <w14:textFill>
                  <w14:solidFill>
                    <w14:schemeClr w14:val="tx1"/>
                  </w14:solidFill>
                </w14:textFill>
              </w:rPr>
            </w:r>
            <w:r/>
          </w:p>
        </w:tc>
      </w:tr>
      <w:tr>
        <w:trPr>
          <w:trHeight w:val="1349"/>
        </w:trPr>
        <w:tc>
          <w:tcPr>
            <w:gridSpan w:val="2"/>
            <w:tcW w:w="9438" w:type="dxa"/>
            <w:vAlign w:val="center"/>
            <w:textDirection w:val="lrTb"/>
            <w:noWrap w:val="false"/>
          </w:tcPr>
          <w:p>
            <w:pPr>
              <w:pStyle w:val="933"/>
              <w:jc w:val="left"/>
              <w:spacing w:beforeAutospacing="0" w:afterAutospacing="0"/>
              <w:rPr>
                <w:rFonts w:hint="eastAsia" w:ascii="宋体" w:hAnsi="宋体" w:eastAsia="宋体" w:cs="宋体"/>
                <w:b w:val="0"/>
                <w:bCs/>
                <w:color w:val="000000" w:themeColor="text1"/>
                <w:highlight w:val="none"/>
                <w:u w:val="single"/>
                <w:shd w:val="clear" w:color="auto" w:fill="auto"/>
                <w:vertAlign w:val="baseline"/>
                <w:lang w:val="en-US" w:eastAsia="zh-CN"/>
                <w14:textFill>
                  <w14:solidFill>
                    <w14:schemeClr w14:val="tx1"/>
                  </w14:solidFill>
                </w14:textFill>
              </w:rPr>
            </w:pPr>
            <w:r>
              <w:rPr>
                <w:rFonts w:hint="eastAsia" w:ascii="宋体" w:hAnsi="宋体" w:eastAsia="宋体" w:cs="宋体"/>
                <w:b w:val="0"/>
                <w:bCs/>
                <w:color w:val="000000" w:themeColor="text1"/>
                <w:highlight w:val="none"/>
                <w:shd w:val="clear" w:color="auto" w:fill="auto"/>
                <w:vertAlign w:val="baseline"/>
                <w:lang w:val="en-US" w:eastAsia="zh-CN"/>
                <w14:textFill>
                  <w14:solidFill>
                    <w14:schemeClr w14:val="tx1"/>
                  </w14:solidFill>
                </w14:textFill>
              </w:rPr>
              <w:t xml:space="preserve">供应商名称（单位公章）：</w:t>
            </w:r>
            <w:r/>
          </w:p>
          <w:p>
            <w:pPr>
              <w:pStyle w:val="933"/>
              <w:jc w:val="left"/>
              <w:spacing w:beforeAutospacing="0" w:afterAutospacing="0"/>
              <w:rPr>
                <w:rFonts w:hint="eastAsia" w:ascii="宋体" w:hAnsi="宋体" w:eastAsia="宋体" w:cs="宋体"/>
                <w:b w:val="0"/>
                <w:bCs/>
                <w:color w:val="000000" w:themeColor="text1"/>
                <w:highlight w:val="none"/>
                <w:u w:val="single"/>
                <w:shd w:val="clear" w:color="auto" w:fill="auto"/>
                <w:vertAlign w:val="baseline"/>
                <w:lang w:val="en-US" w:eastAsia="zh-CN"/>
                <w14:textFill>
                  <w14:solidFill>
                    <w14:schemeClr w14:val="tx1"/>
                  </w14:solidFill>
                </w14:textFill>
              </w:rPr>
            </w:pPr>
            <w:r>
              <w:rPr>
                <w:rFonts w:hint="eastAsia" w:ascii="宋体" w:hAnsi="宋体" w:eastAsia="宋体" w:cs="宋体"/>
                <w:b w:val="0"/>
                <w:bCs/>
                <w:color w:val="000000" w:themeColor="text1"/>
                <w:highlight w:val="none"/>
                <w:u w:val="single"/>
                <w:shd w:val="clear" w:color="auto" w:fill="auto"/>
                <w:vertAlign w:val="baseline"/>
                <w:lang w:val="en-US" w:eastAsia="zh-CN"/>
                <w14:textFill>
                  <w14:solidFill>
                    <w14:schemeClr w14:val="tx1"/>
                  </w14:solidFill>
                </w14:textFill>
              </w:rPr>
            </w:r>
            <w:r/>
          </w:p>
          <w:p>
            <w:pPr>
              <w:pStyle w:val="933"/>
              <w:jc w:val="left"/>
              <w:spacing w:beforeAutospacing="0" w:afterAutospacing="0"/>
              <w:rPr>
                <w:rFonts w:hint="eastAsia" w:ascii="宋体" w:hAnsi="宋体" w:eastAsia="宋体" w:cs="宋体"/>
                <w:b w:val="0"/>
                <w:bCs/>
                <w:color w:val="000000" w:themeColor="text1"/>
                <w:highlight w:val="none"/>
                <w:u w:val="single"/>
                <w:shd w:val="clear" w:color="auto" w:fill="auto"/>
                <w:vertAlign w:val="baseline"/>
                <w:lang w:val="en-US" w:eastAsia="zh-CN"/>
                <w14:textFill>
                  <w14:solidFill>
                    <w14:schemeClr w14:val="tx1"/>
                  </w14:solidFill>
                </w14:textFill>
              </w:rPr>
            </w:pPr>
            <w:r>
              <w:rPr>
                <w:rFonts w:hint="eastAsia" w:ascii="宋体" w:hAnsi="宋体" w:eastAsia="宋体" w:cs="宋体"/>
                <w:b w:val="0"/>
                <w:bCs/>
                <w:color w:val="000000" w:themeColor="text1"/>
                <w:highlight w:val="none"/>
                <w:u w:val="none"/>
                <w:shd w:val="clear" w:color="auto" w:fill="auto"/>
                <w:vertAlign w:val="baseline"/>
                <w:lang w:val="en-US" w:eastAsia="zh-CN"/>
                <w14:textFill>
                  <w14:solidFill>
                    <w14:schemeClr w14:val="tx1"/>
                  </w14:solidFill>
                </w14:textFill>
              </w:rPr>
              <w:t xml:space="preserve">日期：</w:t>
            </w:r>
            <w:r>
              <w:rPr>
                <w:rFonts w:hint="eastAsia" w:ascii="宋体" w:hAnsi="宋体" w:eastAsia="宋体" w:cs="宋体"/>
                <w:b w:val="0"/>
                <w:bCs/>
                <w:color w:val="000000" w:themeColor="text1"/>
                <w:highlight w:val="none"/>
                <w:u w:val="single"/>
                <w:shd w:val="clear" w:color="auto" w:fill="auto"/>
                <w:vertAlign w:val="baseline"/>
                <w:lang w:val="en-US" w:eastAsia="zh-CN"/>
                <w14:textFill>
                  <w14:solidFill>
                    <w14:schemeClr w14:val="tx1"/>
                  </w14:solidFill>
                </w14:textFill>
              </w:rPr>
              <w:t xml:space="preserve">    年     月    日</w:t>
            </w:r>
            <w:r/>
          </w:p>
        </w:tc>
      </w:tr>
    </w:tbl>
    <w:p>
      <w:pPr>
        <w:pStyle w:val="933"/>
        <w:jc w:val="both"/>
        <w:spacing w:beforeAutospacing="0" w:afterAutospacing="0"/>
        <w:rPr>
          <w:rFonts w:hint="eastAsia" w:ascii="宋体" w:hAnsi="宋体" w:eastAsia="宋体" w:cs="宋体"/>
          <w:b w:val="0"/>
          <w:bCs/>
          <w:color w:val="000000" w:themeColor="text1"/>
          <w:sz w:val="24"/>
          <w:szCs w:val="24"/>
          <w:highlight w:val="none"/>
          <w:shd w:val="clear" w:color="auto" w:fill="auto"/>
          <w:vertAlign w:val="baseline"/>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 </w:t>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备注：</w:t>
      </w: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本项目对人均单人费用设定最高限价为400元/人/年，供应商对人均单人费用予以报价，超过最高限价的为无效响应。采购人根据实际服务人数据实结算；超过最高限价的为无效响应。</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供应商的</w:t>
      </w: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报价</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应包括采购人需求的服务（包含与服务相关的产品）价格、质量保证费用及售后服务和所有相关税金费用及为完成整个项目所产生的</w:t>
      </w:r>
      <w:r>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t xml:space="preserve">其他所有</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费用。</w:t>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t xml:space="preserve">十</w:t>
      </w:r>
      <w:r>
        <w:rPr>
          <w:rFonts w:hint="eastAsia" w:ascii="宋体" w:hAnsi="宋体" w:eastAsia="宋体" w:cs="宋体"/>
          <w:b w:val="0"/>
          <w:bCs/>
          <w:color w:val="000000" w:themeColor="text1"/>
          <w:sz w:val="32"/>
          <w:szCs w:val="32"/>
          <w:highlight w:val="none"/>
          <w:lang w:eastAsia="zh-CN"/>
          <w14:textFill>
            <w14:solidFill>
              <w14:schemeClr w14:val="tx1"/>
            </w14:solidFill>
          </w14:textFill>
        </w:rPr>
        <w:t xml:space="preserve">二</w:t>
      </w:r>
      <w:r>
        <w:rPr>
          <w:rFonts w:hint="eastAsia" w:ascii="宋体" w:hAnsi="宋体" w:eastAsia="宋体" w:cs="宋体"/>
          <w:b w:val="0"/>
          <w:bCs/>
          <w:color w:val="000000" w:themeColor="text1"/>
          <w:sz w:val="32"/>
          <w:szCs w:val="32"/>
          <w:highlight w:val="none"/>
          <w14:textFill>
            <w14:solidFill>
              <w14:schemeClr w14:val="tx1"/>
            </w14:solidFill>
          </w14:textFill>
        </w:rPr>
        <w:t xml:space="preserve">、技术要求响应及偏离表</w:t>
      </w:r>
      <w:r/>
    </w:p>
    <w:tbl>
      <w:tblPr>
        <w:tblStyle w:val="722"/>
        <w:tblW w:w="9492"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16"/>
        <w:gridCol w:w="3155"/>
        <w:gridCol w:w="2682"/>
        <w:gridCol w:w="2156"/>
        <w:gridCol w:w="783"/>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证明</w:t>
            </w:r>
            <w:r/>
          </w:p>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r>
    </w:tbl>
    <w:p>
      <w:pPr>
        <w:pStyle w:val="744"/>
        <w:jc w:val="both"/>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注：行数不够，可自行添加。</w:t>
      </w:r>
      <w:r/>
    </w:p>
    <w:p>
      <w:pPr>
        <w:rPr>
          <w:rFonts w:hint="eastAsia" w:ascii="宋体" w:hAnsi="宋体" w:eastAsia="宋体" w:cs="宋体"/>
          <w:b w:val="0"/>
          <w:bCs/>
          <w:color w:val="000000" w:themeColor="text1"/>
          <w:sz w:val="32"/>
          <w:szCs w:val="32"/>
          <w:highlight w:val="none"/>
          <w14:textFill>
            <w14:solidFill>
              <w14:schemeClr w14:val="tx1"/>
            </w14:solidFill>
          </w14:textFill>
        </w:rPr>
      </w:pPr>
      <w:r/>
      <w:bookmarkStart w:id="206" w:name="_Hlt26955054"/>
      <w:r>
        <w:rPr>
          <w:rFonts w:hint="eastAsia" w:ascii="宋体" w:hAnsi="宋体" w:eastAsia="宋体" w:cs="宋体"/>
          <w:b w:val="0"/>
          <w:bCs/>
          <w:color w:val="000000" w:themeColor="text1"/>
          <w:sz w:val="32"/>
          <w:szCs w:val="32"/>
          <w:highlight w:val="none"/>
          <w14:textFill>
            <w14:solidFill>
              <w14:schemeClr w14:val="tx1"/>
            </w14:solidFill>
          </w14:textFill>
        </w:rPr>
        <w:br w:type="page" w:clear="all"/>
      </w:r>
      <w:r/>
    </w:p>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t xml:space="preserve">十</w:t>
      </w:r>
      <w:r>
        <w:rPr>
          <w:rFonts w:hint="eastAsia" w:ascii="宋体" w:hAnsi="宋体" w:eastAsia="宋体" w:cs="宋体"/>
          <w:b w:val="0"/>
          <w:bCs/>
          <w:color w:val="000000" w:themeColor="text1"/>
          <w:sz w:val="32"/>
          <w:szCs w:val="32"/>
          <w:highlight w:val="none"/>
          <w:lang w:eastAsia="zh-CN"/>
          <w14:textFill>
            <w14:solidFill>
              <w14:schemeClr w14:val="tx1"/>
            </w14:solidFill>
          </w14:textFill>
        </w:rPr>
        <w:t xml:space="preserve">三</w:t>
      </w:r>
      <w:r>
        <w:rPr>
          <w:rFonts w:hint="eastAsia" w:ascii="宋体" w:hAnsi="宋体" w:eastAsia="宋体" w:cs="宋体"/>
          <w:b w:val="0"/>
          <w:bCs/>
          <w:color w:val="000000" w:themeColor="text1"/>
          <w:sz w:val="32"/>
          <w:szCs w:val="32"/>
          <w:highlight w:val="none"/>
          <w14:textFill>
            <w14:solidFill>
              <w14:schemeClr w14:val="tx1"/>
            </w14:solidFill>
          </w14:textFill>
        </w:rPr>
        <w:t xml:space="preserve">、商务要求响应及偏离表</w:t>
      </w:r>
      <w:r/>
    </w:p>
    <w:tbl>
      <w:tblPr>
        <w:tblStyle w:val="722"/>
        <w:tblW w:w="9492"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16"/>
        <w:gridCol w:w="3155"/>
        <w:gridCol w:w="2682"/>
        <w:gridCol w:w="2156"/>
        <w:gridCol w:w="783"/>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bookmarkStart w:id="207" w:name="_Hlt26671372"/>
            <w:r/>
            <w:bookmarkStart w:id="208" w:name="_Hlt26955064"/>
            <w:r/>
            <w:bookmarkStart w:id="209" w:name="_Hlt26609391"/>
            <w:r/>
            <w:bookmarkStart w:id="210" w:name="_Hlt26782999"/>
            <w:r/>
            <w:bookmarkStart w:id="211" w:name="_Hlt26580838"/>
            <w:r/>
            <w:bookmarkStart w:id="212" w:name="_Hlt26955056"/>
            <w:r/>
            <w:bookmarkStart w:id="213" w:name="_Hlt26671343"/>
            <w:r/>
            <w:bookmarkStart w:id="214" w:name="_Hlt24879081"/>
            <w:r>
              <w:rPr>
                <w:rFonts w:hint="eastAsia" w:ascii="宋体" w:hAnsi="宋体" w:eastAsia="宋体" w:cs="宋体"/>
                <w:b w:val="0"/>
                <w:bCs/>
                <w:color w:val="000000" w:themeColor="text1"/>
                <w:highlight w:val="none"/>
                <w14:textFill>
                  <w14:solidFill>
                    <w14:schemeClr w14:val="tx1"/>
                  </w14:solidFill>
                </w14:textFill>
              </w:rPr>
              <w:t xml:space="preserve">序号</w:t>
            </w:r>
            <w:bookmarkEnd w:id="207"/>
            <w:r/>
            <w:bookmarkEnd w:id="208"/>
            <w:r/>
            <w:bookmarkEnd w:id="209"/>
            <w:r/>
            <w:bookmarkEnd w:id="210"/>
            <w:r/>
            <w:bookmarkEnd w:id="211"/>
            <w:r/>
            <w:bookmarkEnd w:id="212"/>
            <w:r/>
            <w:bookmarkEnd w:id="213"/>
            <w:r/>
            <w:bookmarkEnd w:id="214"/>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证明</w:t>
            </w:r>
            <w:r/>
          </w:p>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744"/>
              <w:jc w:val="center"/>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tc>
      </w:tr>
    </w:tbl>
    <w:p>
      <w:pPr>
        <w:pStyle w:val="744"/>
        <w:jc w:val="both"/>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注：行数不够，可自行添加。</w:t>
      </w:r>
      <w:r/>
    </w:p>
    <w:p>
      <w:pPr>
        <w:rPr>
          <w:rFonts w:hint="eastAsia" w:ascii="宋体" w:hAnsi="宋体" w:eastAsia="宋体" w:cs="宋体"/>
          <w:b w:val="0"/>
          <w:bCs/>
          <w:color w:val="000000" w:themeColor="text1"/>
          <w:sz w:val="32"/>
          <w:szCs w:val="32"/>
          <w:highlight w:val="none"/>
          <w14:textFill>
            <w14:solidFill>
              <w14:schemeClr w14:val="tx1"/>
            </w14:solidFill>
          </w14:textFill>
        </w:rPr>
      </w:pPr>
      <w:r/>
      <w:bookmarkStart w:id="215" w:name="_格式2__法定代表人授权书"/>
      <w:r/>
      <w:bookmarkStart w:id="216" w:name="_Hlt26955066"/>
      <w:r/>
      <w:bookmarkStart w:id="217" w:name="_Hlt26609389"/>
      <w:r/>
      <w:bookmarkStart w:id="218" w:name="_Toc462564146"/>
      <w:r/>
      <w:bookmarkStart w:id="219" w:name="_Hlt26671374"/>
      <w:r>
        <w:rPr>
          <w:rFonts w:hint="eastAsia" w:ascii="宋体" w:hAnsi="宋体" w:eastAsia="宋体" w:cs="宋体"/>
          <w:b w:val="0"/>
          <w:bCs/>
          <w:color w:val="000000" w:themeColor="text1"/>
          <w:sz w:val="32"/>
          <w:szCs w:val="32"/>
          <w:highlight w:val="none"/>
          <w14:textFill>
            <w14:solidFill>
              <w14:schemeClr w14:val="tx1"/>
            </w14:solidFill>
          </w14:textFill>
        </w:rPr>
        <w:br w:type="page" w:clear="all"/>
      </w:r>
      <w:r/>
    </w:p>
    <w:p>
      <w:pPr>
        <w:pStyle w:val="744"/>
        <w:ind w:firstLine="2570"/>
        <w:jc w:val="both"/>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i/>
          <w:color w:val="000000" w:themeColor="text1"/>
          <w:sz w:val="32"/>
          <w:szCs w:val="32"/>
          <w:highlight w:val="none"/>
          <w:u w:val="single"/>
          <w14:textFill>
            <w14:solidFill>
              <w14:schemeClr w14:val="tx1"/>
            </w14:solidFill>
          </w14:textFill>
        </w:rPr>
        <w:t xml:space="preserve">十</w:t>
      </w:r>
      <w:r>
        <w:rPr>
          <w:rFonts w:hint="eastAsia" w:ascii="宋体" w:hAnsi="宋体" w:eastAsia="宋体" w:cs="宋体"/>
          <w:b w:val="0"/>
          <w:bCs/>
          <w:i/>
          <w:color w:val="000000" w:themeColor="text1"/>
          <w:sz w:val="32"/>
          <w:szCs w:val="32"/>
          <w:highlight w:val="none"/>
          <w:u w:val="single"/>
          <w:lang w:eastAsia="zh-CN"/>
          <w14:textFill>
            <w14:solidFill>
              <w14:schemeClr w14:val="tx1"/>
            </w14:solidFill>
          </w14:textFill>
        </w:rPr>
        <w:t xml:space="preserve">四</w:t>
      </w:r>
      <w:r>
        <w:rPr>
          <w:rFonts w:hint="eastAsia" w:ascii="宋体" w:hAnsi="宋体" w:eastAsia="宋体" w:cs="宋体"/>
          <w:b w:val="0"/>
          <w:bCs/>
          <w:i/>
          <w:color w:val="000000" w:themeColor="text1"/>
          <w:sz w:val="32"/>
          <w:szCs w:val="32"/>
          <w:highlight w:val="none"/>
          <w:u w:val="single"/>
          <w14:textFill>
            <w14:solidFill>
              <w14:schemeClr w14:val="tx1"/>
            </w14:solidFill>
          </w14:textFill>
        </w:rPr>
        <w:t xml:space="preserve">、开标一览表</w:t>
      </w:r>
      <w:r/>
    </w:p>
    <w:p>
      <w:pPr>
        <w:ind w:left="0" w:right="0" w:firstLine="0"/>
        <w:jc w:val="both"/>
        <w:spacing w:before="100" w:after="100"/>
        <w:rPr>
          <w:rFonts w:hint="eastAsia" w:ascii="宋体" w:hAnsi="宋体" w:eastAsia="宋体" w:cs="宋体"/>
          <w:b w:val="0"/>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highlight w:val="none"/>
          <w14:textFill>
            <w14:solidFill>
              <w14:schemeClr w14:val="tx1"/>
            </w14:solidFill>
          </w14:textFill>
        </w:rPr>
        <w:t xml:space="preserve">货币单位：人民币元</w:t>
      </w:r>
      <w:r/>
    </w:p>
    <w:p>
      <w:pPr>
        <w:ind w:left="0" w:right="0" w:firstLine="0"/>
        <w:jc w:val="both"/>
        <w:spacing w:before="0" w:after="0"/>
        <w:rPr>
          <w:rFonts w:hint="eastAsia" w:ascii="宋体" w:hAnsi="宋体" w:eastAsia="宋体" w:cs="宋体"/>
          <w:b w:val="0"/>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highlight w:val="none"/>
          <w14:textFill>
            <w14:solidFill>
              <w14:schemeClr w14:val="tx1"/>
            </w14:solidFill>
          </w14:textFill>
        </w:rPr>
        <w:t xml:space="preserve">项目编号：</w:t>
      </w:r>
      <w:r/>
    </w:p>
    <w:tbl>
      <w:tblPr>
        <w:tblStyle w:val="747"/>
        <w:tblW w:w="913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45"/>
        <w:gridCol w:w="3045"/>
        <w:gridCol w:w="304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5" w:type="dxa"/>
            <w:vAlign w:val="top"/>
            <w:textDirection w:val="lrTb"/>
            <w:noWrap w:val="false"/>
          </w:tcPr>
          <w:p>
            <w:pPr>
              <w:ind w:left="0" w:right="0" w:firstLine="0"/>
              <w:jc w:val="center"/>
              <w:spacing w:before="100" w:after="100" w:line="240" w:lineRule="auto"/>
              <w:rPr>
                <w:rFonts w:hint="eastAsia" w:ascii="宋体" w:hAnsi="宋体" w:eastAsia="宋体" w:cs="宋体"/>
                <w:b w:val="0"/>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highlight w:val="none"/>
                <w14:textFill>
                  <w14:solidFill>
                    <w14:schemeClr w14:val="tx1"/>
                  </w14:solidFill>
                </w14:textFill>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5" w:type="dxa"/>
            <w:vAlign w:val="top"/>
            <w:textDirection w:val="lrTb"/>
            <w:noWrap w:val="false"/>
          </w:tcPr>
          <w:p>
            <w:pPr>
              <w:ind w:left="0" w:right="0" w:firstLine="0"/>
              <w:jc w:val="center"/>
              <w:spacing w:before="100" w:after="100" w:line="240" w:lineRule="auto"/>
              <w:rPr>
                <w:rFonts w:hint="eastAsia" w:ascii="宋体" w:hAnsi="宋体" w:eastAsia="宋体" w:cs="宋体"/>
                <w:b w:val="0"/>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highlight w:val="none"/>
                <w14:textFill>
                  <w14:solidFill>
                    <w14:schemeClr w14:val="tx1"/>
                  </w14:solidFill>
                </w14:textFill>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6" w:type="dxa"/>
            <w:vAlign w:val="top"/>
            <w:textDirection w:val="lrTb"/>
            <w:noWrap w:val="false"/>
          </w:tcPr>
          <w:p>
            <w:pPr>
              <w:ind w:left="0" w:right="0" w:firstLine="0"/>
              <w:jc w:val="center"/>
              <w:spacing w:before="100" w:after="100" w:line="240" w:lineRule="auto"/>
              <w:rPr>
                <w:rFonts w:hint="eastAsia" w:ascii="宋体" w:hAnsi="宋体" w:eastAsia="宋体" w:cs="宋体"/>
                <w:b w:val="0"/>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每人每年保费</w:t>
            </w:r>
            <w:r>
              <w:rPr>
                <w:rFonts w:hint="eastAsia" w:ascii="宋体" w:hAnsi="宋体" w:eastAsia="宋体" w:cs="宋体"/>
                <w:b w:val="0"/>
                <w:bCs/>
                <w:color w:val="000000" w:themeColor="text1"/>
                <w:sz w:val="24"/>
                <w:highlight w:val="none"/>
                <w14:textFill>
                  <w14:solidFill>
                    <w14:schemeClr w14:val="tx1"/>
                  </w14:solidFill>
                </w14:textFill>
              </w:rPr>
              <w:t xml:space="preserve">（小写）</w:t>
            </w:r>
            <w:r/>
          </w:p>
        </w:tc>
      </w:tr>
      <w:tr>
        <w:trPr>
          <w:trHeight w:val="9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5" w:type="dxa"/>
            <w:vAlign w:val="center"/>
            <w:textDirection w:val="lrTb"/>
            <w:noWrap w:val="false"/>
          </w:tcPr>
          <w:p>
            <w:pPr>
              <w:ind w:left="0" w:right="0" w:firstLine="0"/>
              <w:jc w:val="left"/>
              <w:spacing w:before="0" w:after="0" w:line="240" w:lineRule="auto"/>
              <w:rPr>
                <w:rFonts w:hint="eastAsia" w:ascii="宋体" w:hAnsi="宋体" w:eastAsia="宋体" w:cs="宋体"/>
                <w:b w:val="0"/>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盐城市公安局2026年度公安民警家庭医疗保险服务采购项目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5" w:type="dxa"/>
            <w:vAlign w:val="center"/>
            <w:textDirection w:val="lrTb"/>
            <w:noWrap w:val="false"/>
          </w:tcPr>
          <w:p>
            <w:pPr>
              <w:ind w:left="0" w:right="0" w:firstLine="0"/>
              <w:jc w:val="center"/>
              <w:spacing w:before="100" w:after="100" w:line="240" w:lineRule="auto"/>
              <w:rPr>
                <w:rFonts w:hint="eastAsia" w:ascii="宋体" w:hAnsi="宋体" w:eastAsia="宋体" w:cs="宋体"/>
                <w:b w:val="0"/>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highlight w:val="none"/>
                <w14:textFill>
                  <w14:solidFill>
                    <w14:schemeClr w14:val="tx1"/>
                  </w14:solidFill>
                </w14:textFill>
              </w:rPr>
              <w:t xml:space="preserve">详见响应文件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6" w:type="dxa"/>
            <w:vAlign w:val="center"/>
            <w:textDirection w:val="lrTb"/>
            <w:noWrap w:val="false"/>
          </w:tcPr>
          <w:p>
            <w:pPr>
              <w:ind w:left="0" w:right="0" w:firstLine="0"/>
              <w:jc w:val="center"/>
              <w:spacing w:before="100" w:after="100" w:line="240" w:lineRule="auto"/>
              <w:rPr>
                <w:rFonts w:hint="eastAsia" w:ascii="宋体" w:hAnsi="宋体" w:eastAsia="宋体" w:cs="宋体"/>
                <w:b w:val="0"/>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highlight w:val="none"/>
                <w14:textFill>
                  <w14:solidFill>
                    <w14:schemeClr w14:val="tx1"/>
                  </w14:solidFill>
                </w14:textFill>
              </w:rPr>
              <w:t xml:space="preserve">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5" w:type="dxa"/>
            <w:vAlign w:val="center"/>
            <w:textDirection w:val="lrTb"/>
            <w:noWrap w:val="false"/>
          </w:tcPr>
          <w:p>
            <w:pPr>
              <w:ind w:left="0" w:right="0" w:firstLine="0"/>
              <w:jc w:val="center"/>
              <w:spacing w:before="100" w:after="100" w:line="240" w:lineRule="auto"/>
              <w:rPr>
                <w:rFonts w:hint="eastAsia" w:ascii="宋体" w:hAnsi="宋体" w:eastAsia="宋体" w:cs="宋体"/>
                <w:b w:val="0"/>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highlight w:val="none"/>
                <w14:textFill>
                  <w14:solidFill>
                    <w14:schemeClr w14:val="tx1"/>
                  </w14:solidFill>
                </w14:textFill>
              </w:rPr>
            </w:r>
            <w:r>
              <w:rPr>
                <w:rFonts w:ascii="SimSun" w:hAnsi="SimSun" w:eastAsia="SimSun" w:cs="SimSun"/>
                <w:color w:val="000000"/>
                <w:sz w:val="24"/>
              </w:rPr>
              <w:t xml:space="preserve">单价</w:t>
            </w:r>
            <w:r>
              <w:rPr>
                <w:rFonts w:hint="eastAsia" w:ascii="宋体" w:hAnsi="宋体" w:eastAsia="宋体" w:cs="宋体"/>
                <w:b w:val="0"/>
                <w:bCs/>
                <w:color w:val="000000" w:themeColor="text1"/>
                <w:sz w:val="24"/>
                <w:highlight w:val="none"/>
                <w14:textFill>
                  <w14:solidFill>
                    <w14:schemeClr w14:val="tx1"/>
                  </w14:solidFill>
                </w14:textFill>
              </w:rPr>
              <w:t xml:space="preserve">（大写）：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1" w:type="dxa"/>
            <w:vAlign w:val="center"/>
            <w:textDirection w:val="lrTb"/>
            <w:noWrap w:val="false"/>
          </w:tcPr>
          <w:p>
            <w:pPr>
              <w:ind w:left="0" w:right="0" w:firstLine="0"/>
              <w:jc w:val="left"/>
              <w:spacing w:before="100" w:after="100" w:line="240" w:lineRule="auto"/>
              <w:rPr>
                <w:rFonts w:hint="eastAsia" w:ascii="宋体" w:hAnsi="宋体" w:eastAsia="宋体" w:cs="宋体"/>
                <w:b w:val="0"/>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highlight w:val="none"/>
                <w14:textFill>
                  <w14:solidFill>
                    <w14:schemeClr w14:val="tx1"/>
                  </w14:solidFill>
                </w14:textFill>
              </w:rPr>
              <w:t xml:space="preserve">金额大写</w:t>
            </w:r>
            <w:r/>
          </w:p>
        </w:tc>
      </w:tr>
    </w:tbl>
    <w:p>
      <w:pPr>
        <w:ind w:left="0" w:right="0" w:firstLine="0"/>
        <w:jc w:val="both"/>
        <w:spacing w:before="100" w:after="100"/>
        <w:rPr>
          <w:rFonts w:hint="eastAsia" w:ascii="宋体" w:hAnsi="宋体" w:eastAsia="宋体" w:cs="宋体"/>
          <w:b w:val="0"/>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highlight w:val="none"/>
          <w14:textFill>
            <w14:solidFill>
              <w14:schemeClr w14:val="tx1"/>
            </w14:solidFill>
          </w14:textFill>
        </w:rPr>
        <w:t xml:space="preserve"> </w:t>
      </w:r>
      <w:r/>
    </w:p>
    <w:p>
      <w:pPr>
        <w:spacing w:before="240" w:after="240"/>
        <w:rPr>
          <w:rFonts w:hint="eastAsia" w:ascii="宋体" w:hAnsi="宋体" w:eastAsia="宋体" w:cs="宋体"/>
          <w:b w:val="0"/>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highlight w:val="none"/>
          <w14:textFill>
            <w14:solidFill>
              <w14:schemeClr w14:val="tx1"/>
            </w14:solidFill>
          </w14:textFill>
        </w:rPr>
        <w:t xml:space="preserve">                      供应商（电子签章）：</w:t>
      </w:r>
      <w:r/>
    </w:p>
    <w:p>
      <w:pPr>
        <w:jc w:val="right"/>
        <w:spacing w:before="240" w:after="240"/>
        <w:rPr>
          <w:rFonts w:hint="eastAsia" w:ascii="宋体" w:hAnsi="宋体" w:eastAsia="宋体" w:cs="宋体"/>
          <w:b w:val="0"/>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highlight w:val="none"/>
          <w14:textFill>
            <w14:solidFill>
              <w14:schemeClr w14:val="tx1"/>
            </w14:solidFill>
          </w14:textFill>
        </w:rPr>
        <w:t xml:space="preserve">日期：  </w:t>
      </w:r>
      <w:r>
        <w:rPr>
          <w:rFonts w:hint="eastAsia" w:ascii="宋体" w:hAnsi="宋体" w:eastAsia="宋体" w:cs="宋体"/>
          <w:b w:val="0"/>
          <w:bCs/>
          <w:color w:val="000000" w:themeColor="text1"/>
          <w:sz w:val="24"/>
          <w:highlight w:val="none"/>
          <w:u w:val="single"/>
          <w14:textFill>
            <w14:solidFill>
              <w14:schemeClr w14:val="tx1"/>
            </w14:solidFill>
          </w14:textFill>
        </w:rPr>
        <w:t xml:space="preserve">     </w:t>
      </w:r>
      <w:r>
        <w:rPr>
          <w:rFonts w:hint="eastAsia" w:ascii="宋体" w:hAnsi="宋体" w:eastAsia="宋体" w:cs="宋体"/>
          <w:b w:val="0"/>
          <w:bCs/>
          <w:color w:val="000000" w:themeColor="text1"/>
          <w:sz w:val="24"/>
          <w:highlight w:val="none"/>
          <w14:textFill>
            <w14:solidFill>
              <w14:schemeClr w14:val="tx1"/>
            </w14:solidFill>
          </w14:textFill>
        </w:rPr>
        <w:t xml:space="preserve">年</w:t>
      </w:r>
      <w:r>
        <w:rPr>
          <w:rFonts w:hint="eastAsia" w:ascii="宋体" w:hAnsi="宋体" w:eastAsia="宋体" w:cs="宋体"/>
          <w:b w:val="0"/>
          <w:bCs/>
          <w:color w:val="000000" w:themeColor="text1"/>
          <w:sz w:val="24"/>
          <w:highlight w:val="none"/>
          <w:u w:val="single"/>
          <w14:textFill>
            <w14:solidFill>
              <w14:schemeClr w14:val="tx1"/>
            </w14:solidFill>
          </w14:textFill>
        </w:rPr>
        <w:t xml:space="preserve">   </w:t>
      </w:r>
      <w:r>
        <w:rPr>
          <w:rFonts w:hint="eastAsia" w:ascii="宋体" w:hAnsi="宋体" w:eastAsia="宋体" w:cs="宋体"/>
          <w:b w:val="0"/>
          <w:bCs/>
          <w:color w:val="000000" w:themeColor="text1"/>
          <w:sz w:val="24"/>
          <w:highlight w:val="none"/>
          <w14:textFill>
            <w14:solidFill>
              <w14:schemeClr w14:val="tx1"/>
            </w14:solidFill>
          </w14:textFill>
        </w:rPr>
        <w:t xml:space="preserve">月</w:t>
      </w:r>
      <w:r>
        <w:rPr>
          <w:rFonts w:hint="eastAsia" w:ascii="宋体" w:hAnsi="宋体" w:eastAsia="宋体" w:cs="宋体"/>
          <w:b w:val="0"/>
          <w:bCs/>
          <w:color w:val="000000" w:themeColor="text1"/>
          <w:sz w:val="24"/>
          <w:highlight w:val="none"/>
          <w:u w:val="single"/>
          <w14:textFill>
            <w14:solidFill>
              <w14:schemeClr w14:val="tx1"/>
            </w14:solidFill>
          </w14:textFill>
        </w:rPr>
        <w:t xml:space="preserve">   </w:t>
      </w:r>
      <w:r>
        <w:rPr>
          <w:rFonts w:hint="eastAsia" w:ascii="宋体" w:hAnsi="宋体" w:eastAsia="宋体" w:cs="宋体"/>
          <w:b w:val="0"/>
          <w:bCs/>
          <w:color w:val="000000" w:themeColor="text1"/>
          <w:sz w:val="24"/>
          <w:highlight w:val="none"/>
          <w14:textFill>
            <w14:solidFill>
              <w14:schemeClr w14:val="tx1"/>
            </w14:solidFill>
          </w14:textFill>
        </w:rPr>
        <w:t xml:space="preserve">日 </w:t>
      </w:r>
      <w:r/>
    </w:p>
    <w:p>
      <w:pPr>
        <w:pStyle w:val="744"/>
        <w:ind w:firstLine="480"/>
        <w:jc w:val="right"/>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r>
      <w:r/>
    </w:p>
    <w:p>
      <w:pPr>
        <w:pStyle w:val="744"/>
        <w:ind w:firstLine="480"/>
        <w:jc w:val="both"/>
        <w:spacing w:beforeAutospacing="0" w:afterAutospacing="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w:t>
      </w:r>
      <w:r/>
    </w:p>
    <w:p>
      <w:pPr>
        <w:spacing w:before="50" w:after="50"/>
        <w:rPr>
          <w:rFonts w:hint="eastAsia" w:ascii="宋体" w:hAnsi="宋体" w:eastAsia="宋体" w:cs="宋体"/>
          <w:b w:val="0"/>
          <w:bCs/>
          <w:color w:val="000000" w:themeColor="text1"/>
          <w:sz w:val="32"/>
          <w:szCs w:val="32"/>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r>
      <w:r/>
    </w:p>
    <w:p>
      <w:pPr>
        <w:jc w:val="center"/>
        <w:spacing w:before="50" w:after="50"/>
        <w:rPr>
          <w:rFonts w:hint="eastAsia" w:ascii="宋体" w:hAnsi="宋体" w:eastAsia="宋体" w:cs="宋体"/>
          <w:b w:val="0"/>
          <w:bCs/>
          <w:color w:val="000000" w:themeColor="text1"/>
          <w:sz w:val="32"/>
          <w:szCs w:val="32"/>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r>
      <w:r/>
    </w:p>
    <w:p>
      <w:pPr>
        <w:jc w:val="center"/>
        <w:spacing w:before="50" w:after="50"/>
        <w:rPr>
          <w:rFonts w:hint="eastAsia" w:ascii="宋体" w:hAnsi="宋体" w:eastAsia="宋体" w:cs="宋体"/>
          <w:b w:val="0"/>
          <w:bCs/>
          <w:color w:val="000000" w:themeColor="text1"/>
          <w:sz w:val="32"/>
          <w:szCs w:val="32"/>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r>
      <w:r/>
    </w:p>
    <w:p>
      <w:pPr>
        <w:rPr>
          <w:rFonts w:hint="eastAsia" w:ascii="宋体" w:hAnsi="宋体" w:eastAsia="宋体" w:cs="宋体"/>
          <w:b w:val="0"/>
          <w:bCs/>
          <w:color w:val="000000" w:themeColor="text1"/>
          <w:sz w:val="32"/>
          <w:szCs w:val="32"/>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br w:type="page" w:clear="all"/>
      </w:r>
      <w:r/>
    </w:p>
    <w:p>
      <w:pPr>
        <w:jc w:val="center"/>
        <w:spacing w:before="50" w:after="50"/>
        <w:rPr>
          <w:rFonts w:hint="eastAsia" w:ascii="宋体" w:hAnsi="宋体" w:eastAsia="宋体" w:cs="宋体"/>
          <w:b w:val="0"/>
          <w:bCs/>
          <w:color w:val="000000" w:themeColor="text1"/>
          <w:sz w:val="32"/>
          <w:szCs w:val="32"/>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t xml:space="preserve">十</w:t>
      </w:r>
      <w:r>
        <w:rPr>
          <w:rFonts w:hint="eastAsia" w:ascii="宋体" w:hAnsi="宋体" w:eastAsia="宋体" w:cs="宋体"/>
          <w:b w:val="0"/>
          <w:bCs/>
          <w:color w:val="000000" w:themeColor="text1"/>
          <w:sz w:val="32"/>
          <w:szCs w:val="32"/>
          <w:highlight w:val="none"/>
          <w:lang w:eastAsia="zh-CN"/>
          <w14:textFill>
            <w14:solidFill>
              <w14:schemeClr w14:val="tx1"/>
            </w14:solidFill>
          </w14:textFill>
        </w:rPr>
        <w:t xml:space="preserve">五</w:t>
      </w:r>
      <w:r>
        <w:rPr>
          <w:rFonts w:hint="eastAsia" w:ascii="宋体" w:hAnsi="宋体" w:eastAsia="宋体" w:cs="宋体"/>
          <w:b w:val="0"/>
          <w:bCs/>
          <w:color w:val="000000" w:themeColor="text1"/>
          <w:sz w:val="32"/>
          <w:szCs w:val="32"/>
          <w:highlight w:val="none"/>
          <w14:textFill>
            <w14:solidFill>
              <w14:schemeClr w14:val="tx1"/>
            </w14:solidFill>
          </w14:textFill>
        </w:rPr>
        <w:t xml:space="preserve">、技术方案、服务承诺、培训承诺等</w:t>
      </w:r>
      <w:r/>
    </w:p>
    <w:p>
      <w:pPr>
        <w:pStyle w:val="744"/>
        <w:jc w:val="both"/>
        <w:spacing w:beforeAutospacing="0" w:afterAutospacing="0"/>
        <w:tabs>
          <w:tab w:val="left" w:pos="2160" w:leader="none"/>
        </w:tabs>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r>
      <w:r/>
    </w:p>
    <w:p>
      <w:pPr>
        <w:ind w:firstLine="1600"/>
        <w:spacing w:line="499" w:lineRule="atLeast"/>
        <w:rPr>
          <w:rFonts w:hint="eastAsia" w:ascii="宋体" w:hAnsi="宋体" w:eastAsia="宋体" w:cs="宋体"/>
          <w:b w:val="0"/>
          <w:bCs/>
          <w:color w:val="000000" w:themeColor="text1"/>
          <w:sz w:val="32"/>
          <w:szCs w:val="32"/>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r>
      <w:r/>
    </w:p>
    <w:p>
      <w:pPr>
        <w:ind w:firstLine="1600"/>
        <w:spacing w:line="499" w:lineRule="atLeast"/>
        <w:rPr>
          <w:rFonts w:hint="eastAsia" w:ascii="宋体" w:hAnsi="宋体" w:eastAsia="宋体" w:cs="宋体"/>
          <w:b w:val="0"/>
          <w:bCs/>
          <w:color w:val="000000" w:themeColor="text1"/>
          <w:sz w:val="32"/>
          <w:szCs w:val="32"/>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r>
      <w:r/>
    </w:p>
    <w:p>
      <w:pPr>
        <w:ind w:firstLine="1600"/>
        <w:spacing w:line="499" w:lineRule="atLeast"/>
        <w:rPr>
          <w:rFonts w:hint="eastAsia" w:ascii="宋体" w:hAnsi="宋体" w:eastAsia="宋体" w:cs="宋体"/>
          <w:b w:val="0"/>
          <w:bCs/>
          <w:color w:val="000000" w:themeColor="text1"/>
          <w:sz w:val="32"/>
          <w:szCs w:val="32"/>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r>
      <w:r/>
    </w:p>
    <w:p>
      <w:pPr>
        <w:ind w:firstLine="1600"/>
        <w:spacing w:line="499" w:lineRule="atLeast"/>
        <w:rPr>
          <w:rFonts w:hint="eastAsia" w:ascii="宋体" w:hAnsi="宋体" w:eastAsia="宋体" w:cs="宋体"/>
          <w:b w:val="0"/>
          <w:bCs/>
          <w:color w:val="000000" w:themeColor="text1"/>
          <w:sz w:val="32"/>
          <w:szCs w:val="32"/>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r>
      <w:r/>
    </w:p>
    <w:p>
      <w:pPr>
        <w:ind w:firstLine="1600"/>
        <w:spacing w:line="499" w:lineRule="atLeast"/>
        <w:rPr>
          <w:rFonts w:hint="eastAsia" w:ascii="宋体" w:hAnsi="宋体" w:eastAsia="宋体" w:cs="宋体"/>
          <w:b w:val="0"/>
          <w:bCs/>
          <w:color w:val="000000" w:themeColor="text1"/>
          <w:sz w:val="32"/>
          <w:szCs w:val="32"/>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r>
      <w:r/>
    </w:p>
    <w:p>
      <w:pPr>
        <w:ind w:firstLine="1600"/>
        <w:spacing w:line="499" w:lineRule="atLeast"/>
        <w:rPr>
          <w:rFonts w:hint="eastAsia" w:ascii="宋体" w:hAnsi="宋体" w:eastAsia="宋体" w:cs="宋体"/>
          <w:b w:val="0"/>
          <w:bCs/>
          <w:color w:val="000000" w:themeColor="text1"/>
          <w:sz w:val="32"/>
          <w:szCs w:val="32"/>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r>
      <w:r/>
    </w:p>
    <w:p>
      <w:pPr>
        <w:ind w:firstLine="1600"/>
        <w:spacing w:line="499" w:lineRule="atLeast"/>
        <w:rPr>
          <w:rFonts w:hint="eastAsia" w:ascii="宋体" w:hAnsi="宋体" w:eastAsia="宋体" w:cs="宋体"/>
          <w:b w:val="0"/>
          <w:bCs/>
          <w:color w:val="000000" w:themeColor="text1"/>
          <w:sz w:val="32"/>
          <w:szCs w:val="32"/>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r>
      <w:r/>
    </w:p>
    <w:p>
      <w:pPr>
        <w:ind w:firstLine="1600"/>
        <w:spacing w:line="499" w:lineRule="atLeast"/>
        <w:rPr>
          <w:rFonts w:hint="eastAsia" w:ascii="宋体" w:hAnsi="宋体" w:eastAsia="宋体" w:cs="宋体"/>
          <w:b w:val="0"/>
          <w:bCs/>
          <w:color w:val="000000" w:themeColor="text1"/>
          <w:sz w:val="32"/>
          <w:szCs w:val="32"/>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r>
      <w:r/>
    </w:p>
    <w:p>
      <w:pPr>
        <w:ind w:firstLine="1600"/>
        <w:spacing w:line="499" w:lineRule="atLeast"/>
        <w:rPr>
          <w:rFonts w:hint="eastAsia" w:ascii="宋体" w:hAnsi="宋体" w:eastAsia="宋体" w:cs="宋体"/>
          <w:b w:val="0"/>
          <w:bCs/>
          <w:color w:val="000000" w:themeColor="text1"/>
          <w:sz w:val="32"/>
          <w:szCs w:val="32"/>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r>
      <w:r/>
    </w:p>
    <w:p>
      <w:pPr>
        <w:ind w:firstLine="1600"/>
        <w:spacing w:line="499" w:lineRule="atLeast"/>
        <w:rPr>
          <w:rFonts w:hint="eastAsia" w:ascii="宋体" w:hAnsi="宋体" w:eastAsia="宋体" w:cs="宋体"/>
          <w:b w:val="0"/>
          <w:bCs/>
          <w:color w:val="000000" w:themeColor="text1"/>
          <w:sz w:val="32"/>
          <w:szCs w:val="32"/>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r>
      <w:r/>
    </w:p>
    <w:p>
      <w:pPr>
        <w:ind w:firstLine="1600"/>
        <w:spacing w:line="499" w:lineRule="atLeast"/>
        <w:rPr>
          <w:rFonts w:hint="eastAsia" w:ascii="宋体" w:hAnsi="宋体" w:eastAsia="宋体" w:cs="宋体"/>
          <w:b w:val="0"/>
          <w:bCs/>
          <w:color w:val="000000" w:themeColor="text1"/>
          <w:sz w:val="32"/>
          <w:szCs w:val="32"/>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r>
      <w:r/>
    </w:p>
    <w:p>
      <w:pPr>
        <w:ind w:firstLine="1600"/>
        <w:spacing w:line="499" w:lineRule="atLeast"/>
        <w:rPr>
          <w:rFonts w:hint="eastAsia" w:ascii="宋体" w:hAnsi="宋体" w:eastAsia="宋体" w:cs="宋体"/>
          <w:b w:val="0"/>
          <w:bCs/>
          <w:color w:val="000000" w:themeColor="text1"/>
          <w:sz w:val="32"/>
          <w:szCs w:val="32"/>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r>
      <w:r/>
    </w:p>
    <w:p>
      <w:pPr>
        <w:ind w:firstLine="1600"/>
        <w:spacing w:line="499" w:lineRule="atLeast"/>
        <w:rPr>
          <w:rFonts w:hint="eastAsia" w:ascii="宋体" w:hAnsi="宋体" w:eastAsia="宋体" w:cs="宋体"/>
          <w:b w:val="0"/>
          <w:bCs/>
          <w:color w:val="000000" w:themeColor="text1"/>
          <w:sz w:val="32"/>
          <w:szCs w:val="32"/>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r>
      <w:r/>
    </w:p>
    <w:p>
      <w:pPr>
        <w:ind w:firstLine="1600"/>
        <w:spacing w:line="499" w:lineRule="atLeast"/>
        <w:rPr>
          <w:rFonts w:hint="eastAsia" w:ascii="宋体" w:hAnsi="宋体" w:eastAsia="宋体" w:cs="宋体"/>
          <w:b w:val="0"/>
          <w:bCs/>
          <w:color w:val="000000" w:themeColor="text1"/>
          <w:sz w:val="32"/>
          <w:szCs w:val="32"/>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r>
      <w:r/>
    </w:p>
    <w:p>
      <w:pPr>
        <w:ind w:firstLine="1600"/>
        <w:spacing w:line="499" w:lineRule="atLeast"/>
        <w:rPr>
          <w:rFonts w:hint="eastAsia" w:ascii="宋体" w:hAnsi="宋体" w:eastAsia="宋体" w:cs="宋体"/>
          <w:b w:val="0"/>
          <w:bCs/>
          <w:color w:val="000000" w:themeColor="text1"/>
          <w:sz w:val="32"/>
          <w:szCs w:val="32"/>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r>
      <w:r/>
    </w:p>
    <w:p>
      <w:pPr>
        <w:ind w:firstLine="1600"/>
        <w:spacing w:line="499" w:lineRule="atLeast"/>
        <w:rPr>
          <w:rFonts w:hint="eastAsia" w:ascii="宋体" w:hAnsi="宋体" w:eastAsia="宋体" w:cs="宋体"/>
          <w:b w:val="0"/>
          <w:bCs/>
          <w:color w:val="000000" w:themeColor="text1"/>
          <w:sz w:val="32"/>
          <w:szCs w:val="32"/>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r>
      <w:r/>
    </w:p>
    <w:p>
      <w:pPr>
        <w:ind w:firstLine="1600"/>
        <w:spacing w:line="499" w:lineRule="atLeast"/>
        <w:rPr>
          <w:rFonts w:hint="eastAsia" w:ascii="宋体" w:hAnsi="宋体" w:eastAsia="宋体" w:cs="宋体"/>
          <w:b w:val="0"/>
          <w:bCs/>
          <w:color w:val="000000" w:themeColor="text1"/>
          <w:sz w:val="32"/>
          <w:szCs w:val="32"/>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r>
      <w:r/>
    </w:p>
    <w:p>
      <w:pPr>
        <w:rPr>
          <w:rFonts w:hint="eastAsia" w:ascii="宋体" w:hAnsi="宋体" w:eastAsia="宋体" w:cs="宋体"/>
          <w:b w:val="0"/>
          <w:bCs/>
          <w:color w:val="000000" w:themeColor="text1"/>
          <w:sz w:val="32"/>
          <w:szCs w:val="32"/>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br w:type="page" w:clear="all"/>
      </w:r>
      <w:r/>
    </w:p>
    <w:p>
      <w:pPr>
        <w:jc w:val="center"/>
        <w:spacing w:before="50" w:after="50" w:line="508" w:lineRule="exact"/>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t xml:space="preserve">十</w:t>
      </w:r>
      <w:r>
        <w:rPr>
          <w:rFonts w:hint="eastAsia" w:ascii="宋体" w:hAnsi="宋体" w:eastAsia="宋体" w:cs="宋体"/>
          <w:b w:val="0"/>
          <w:bCs/>
          <w:color w:val="000000" w:themeColor="text1"/>
          <w:sz w:val="32"/>
          <w:szCs w:val="32"/>
          <w:highlight w:val="none"/>
          <w:lang w:eastAsia="zh-CN"/>
          <w14:textFill>
            <w14:solidFill>
              <w14:schemeClr w14:val="tx1"/>
            </w14:solidFill>
          </w14:textFill>
        </w:rPr>
        <w:t xml:space="preserve">六</w:t>
      </w:r>
      <w:r>
        <w:rPr>
          <w:rFonts w:hint="eastAsia" w:ascii="宋体" w:hAnsi="宋体" w:eastAsia="宋体" w:cs="宋体"/>
          <w:b w:val="0"/>
          <w:bCs/>
          <w:color w:val="000000" w:themeColor="text1"/>
          <w:sz w:val="32"/>
          <w:szCs w:val="32"/>
          <w:highlight w:val="none"/>
          <w14:textFill>
            <w14:solidFill>
              <w14:schemeClr w14:val="tx1"/>
            </w14:solidFill>
          </w14:textFill>
        </w:rPr>
        <w:t xml:space="preserve">、盐城市政府采购事前信用承诺书</w:t>
      </w:r>
      <w:r/>
    </w:p>
    <w:p>
      <w:pPr>
        <w:ind w:firstLine="480"/>
        <w:jc w:val="left"/>
        <w:spacing w:line="508" w:lineRule="exact"/>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为营造我市公开、公平、公正、诚实守信的政府采购交易环境，树立诚信守法的投标人形象，本人代表本单位作出以下承诺：</w:t>
      </w:r>
      <w:r/>
    </w:p>
    <w:p>
      <w:pPr>
        <w:ind w:firstLine="480"/>
        <w:jc w:val="left"/>
        <w:spacing w:line="508" w:lineRule="exact"/>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508" w:lineRule="exact"/>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508" w:lineRule="exact"/>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（三）严格依照国家和省、市关于政府采购的法律、法规、规章、规范性文件，参加政府采购投标活动；积极履行社会责任，促进廉政建设；</w:t>
      </w:r>
      <w:r/>
    </w:p>
    <w:p>
      <w:pPr>
        <w:ind w:firstLine="480"/>
        <w:jc w:val="left"/>
        <w:spacing w:line="508" w:lineRule="exact"/>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（四）严格遵守即时信息公示规定，及时维护和更新盐城市政府采购网中与本单位相关的信息；</w:t>
      </w:r>
      <w:r/>
    </w:p>
    <w:p>
      <w:pPr>
        <w:ind w:firstLine="480"/>
        <w:jc w:val="left"/>
        <w:spacing w:line="508" w:lineRule="exact"/>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508" w:lineRule="exact"/>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（六）自觉接受政府、行业组织、社会公众、新闻舆论的监督；</w:t>
      </w:r>
      <w:r/>
    </w:p>
    <w:p>
      <w:pPr>
        <w:ind w:firstLine="480"/>
        <w:jc w:val="left"/>
        <w:spacing w:line="508" w:lineRule="exact"/>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508" w:lineRule="exact"/>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（八）本人已认真阅读了上述承诺，并向本单位员工作了宣传教育。</w:t>
      </w:r>
      <w:r/>
    </w:p>
    <w:p>
      <w:pPr>
        <w:ind w:right="2268" w:firstLine="480"/>
        <w:jc w:val="right"/>
        <w:spacing w:line="508" w:lineRule="exact"/>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法定代表人签名：</w:t>
      </w:r>
      <w:r/>
    </w:p>
    <w:p>
      <w:pPr>
        <w:ind w:right="2268"/>
        <w:jc w:val="right"/>
        <w:spacing w:line="508" w:lineRule="exact"/>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sz w:val="24"/>
          <w:highlight w:val="none"/>
          <w14:textFill>
            <w14:solidFill>
              <w14:schemeClr w14:val="tx1"/>
            </w14:solidFill>
          </w14:textFill>
        </w:rPr>
        <w:t xml:space="preserve">单位名称（盖章）：</w:t>
      </w:r>
      <w:r/>
    </w:p>
    <w:p>
      <w:pPr>
        <w:jc w:val="center"/>
        <w:spacing w:line="508" w:lineRule="exact"/>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sz w:val="24"/>
          <w:highlight w:val="none"/>
          <w14:textFill>
            <w14:solidFill>
              <w14:schemeClr w14:val="tx1"/>
            </w14:solidFill>
          </w14:textFill>
        </w:rPr>
        <w:t xml:space="preserve">年</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sz w:val="24"/>
          <w:highlight w:val="none"/>
          <w14:textFill>
            <w14:solidFill>
              <w14:schemeClr w14:val="tx1"/>
            </w14:solidFill>
          </w14:textFill>
        </w:rPr>
        <w:t xml:space="preserve">月</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sz w:val="24"/>
          <w:highlight w:val="none"/>
          <w14:textFill>
            <w14:solidFill>
              <w14:schemeClr w14:val="tx1"/>
            </w14:solidFill>
          </w14:textFill>
        </w:rPr>
        <w:t xml:space="preserve">日</w:t>
      </w:r>
      <w:r/>
    </w:p>
    <w:p>
      <w:pPr>
        <w:pStyle w:val="744"/>
        <w:jc w:val="center"/>
        <w:spacing w:beforeAutospacing="0" w:afterAutospacing="0" w:line="508" w:lineRule="exact"/>
        <w:rPr>
          <w:rFonts w:hint="eastAsia" w:ascii="宋体" w:hAnsi="宋体" w:eastAsia="宋体" w:cs="宋体"/>
          <w:b w:val="0"/>
          <w:bCs/>
          <w:color w:val="000000" w:themeColor="text1"/>
          <w:sz w:val="32"/>
          <w:szCs w:val="32"/>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r>
      <w:r/>
    </w:p>
    <w:p>
      <w:pPr>
        <w:pStyle w:val="744"/>
        <w:jc w:val="center"/>
        <w:spacing w:beforeAutospacing="0" w:afterAutospacing="0" w:line="508" w:lineRule="exact"/>
        <w:rPr>
          <w:rFonts w:hint="eastAsia" w:ascii="宋体" w:hAnsi="宋体" w:eastAsia="宋体" w:cs="宋体"/>
          <w:b w:val="0"/>
          <w:bCs/>
          <w:color w:val="000000" w:themeColor="text1"/>
          <w:sz w:val="32"/>
          <w:szCs w:val="32"/>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t xml:space="preserve">质疑函范本</w:t>
      </w:r>
      <w:r/>
    </w:p>
    <w:p>
      <w:pPr>
        <w:pStyle w:val="744"/>
        <w:jc w:val="both"/>
        <w:spacing w:beforeAutospacing="0" w:afterAutospacing="0" w:line="508" w:lineRule="exact"/>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r>
      <w:r/>
    </w:p>
    <w:p>
      <w:pPr>
        <w:pStyle w:val="744"/>
        <w:jc w:val="both"/>
        <w:keepLines w:val="0"/>
        <w:keepNext w:val="0"/>
        <w:pageBreakBefore w:val="0"/>
        <w:spacing w:beforeAutospacing="0" w:afterAutospacing="0" w:line="252"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一、质疑供应商基本信息</w:t>
      </w:r>
      <w:r/>
    </w:p>
    <w:p>
      <w:pPr>
        <w:pStyle w:val="744"/>
        <w:jc w:val="both"/>
        <w:keepLines w:val="0"/>
        <w:keepNext w:val="0"/>
        <w:pageBreakBefore w:val="0"/>
        <w:spacing w:beforeAutospacing="0" w:afterAutospacing="0" w:line="252"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质疑供应商：</w:t>
      </w:r>
      <w:r>
        <w:rPr>
          <w:rFonts w:hint="eastAsia" w:ascii="宋体" w:hAnsi="宋体" w:eastAsia="宋体" w:cs="宋体"/>
          <w:b w:val="0"/>
          <w:bCs/>
          <w:color w:val="000000" w:themeColor="text1"/>
          <w:highlight w:val="none"/>
          <w:u w:val="single"/>
          <w14:textFill>
            <w14:solidFill>
              <w14:schemeClr w14:val="tx1"/>
            </w14:solidFill>
          </w14:textFill>
        </w:rPr>
        <w:t xml:space="preserve">                    </w:t>
      </w:r>
      <w:r>
        <w:rPr>
          <w:rFonts w:hint="eastAsia" w:ascii="宋体" w:hAnsi="宋体" w:eastAsia="宋体" w:cs="宋体"/>
          <w:b w:val="0"/>
          <w:bCs/>
          <w:color w:val="000000" w:themeColor="text1"/>
          <w:highlight w:val="none"/>
          <w:u w:val="single"/>
          <w14:textFill>
            <w14:solidFill>
              <w14:schemeClr w14:val="tx1"/>
            </w14:solidFill>
          </w14:textFill>
        </w:rPr>
        <w:tab/>
      </w:r>
      <w:r>
        <w:rPr>
          <w:rFonts w:hint="eastAsia" w:ascii="宋体" w:hAnsi="宋体" w:eastAsia="宋体" w:cs="宋体"/>
          <w:b w:val="0"/>
          <w:bCs/>
          <w:color w:val="000000" w:themeColor="text1"/>
          <w:highlight w:val="none"/>
          <w:u w:val="single"/>
          <w14:textFill>
            <w14:solidFill>
              <w14:schemeClr w14:val="tx1"/>
            </w14:solidFill>
          </w14:textFill>
        </w:rPr>
        <w:t xml:space="preserve"> </w:t>
      </w:r>
      <w:r>
        <w:rPr>
          <w:rFonts w:hint="eastAsia" w:ascii="宋体" w:hAnsi="宋体" w:eastAsia="宋体" w:cs="宋体"/>
          <w:b w:val="0"/>
          <w:bCs/>
          <w:color w:val="000000" w:themeColor="text1"/>
          <w:highlight w:val="none"/>
          <w:u w:val="single"/>
          <w14:textFill>
            <w14:solidFill>
              <w14:schemeClr w14:val="tx1"/>
            </w14:solidFill>
          </w14:textFill>
        </w:rPr>
        <w:tab/>
      </w:r>
      <w:r>
        <w:rPr>
          <w:rFonts w:hint="eastAsia" w:ascii="宋体" w:hAnsi="宋体" w:eastAsia="宋体" w:cs="宋体"/>
          <w:b w:val="0"/>
          <w:bCs/>
          <w:color w:val="000000" w:themeColor="text1"/>
          <w:highlight w:val="none"/>
          <w:u w:val="single"/>
          <w14:textFill>
            <w14:solidFill>
              <w14:schemeClr w14:val="tx1"/>
            </w14:solidFill>
          </w14:textFill>
        </w:rPr>
        <w:t xml:space="preserve">       </w:t>
      </w:r>
      <w:r/>
    </w:p>
    <w:p>
      <w:pPr>
        <w:pStyle w:val="744"/>
        <w:jc w:val="both"/>
        <w:keepLines w:val="0"/>
        <w:keepNext w:val="0"/>
        <w:pageBreakBefore w:val="0"/>
        <w:spacing w:beforeAutospacing="0" w:afterAutospacing="0" w:line="252" w:lineRule="auto"/>
        <w:widowControl w:val="off"/>
        <w:rPr>
          <w:rFonts w:hint="eastAsia" w:ascii="宋体" w:hAnsi="宋体" w:eastAsia="宋体" w:cs="宋体"/>
          <w:b w:val="0"/>
          <w:bCs/>
          <w:color w:val="000000" w:themeColor="text1"/>
          <w:highlight w:val="none"/>
          <w:u w:val="singl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地　　址：</w:t>
      </w:r>
      <w:r>
        <w:rPr>
          <w:rFonts w:hint="eastAsia" w:ascii="宋体" w:hAnsi="宋体" w:eastAsia="宋体" w:cs="宋体"/>
          <w:b w:val="0"/>
          <w:bCs/>
          <w:color w:val="000000" w:themeColor="text1"/>
          <w:highlight w:val="none"/>
          <w:u w:val="single"/>
          <w14:textFill>
            <w14:solidFill>
              <w14:schemeClr w14:val="tx1"/>
            </w14:solidFill>
          </w14:textFill>
        </w:rPr>
        <w:t xml:space="preserve">                                          </w:t>
      </w:r>
      <w:r/>
    </w:p>
    <w:p>
      <w:pPr>
        <w:pStyle w:val="744"/>
        <w:jc w:val="both"/>
        <w:keepLines w:val="0"/>
        <w:keepNext w:val="0"/>
        <w:pageBreakBefore w:val="0"/>
        <w:spacing w:beforeAutospacing="0" w:afterAutospacing="0" w:line="252"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邮　　编：</w:t>
      </w:r>
      <w:r>
        <w:rPr>
          <w:rFonts w:hint="eastAsia" w:ascii="宋体" w:hAnsi="宋体" w:eastAsia="宋体" w:cs="宋体"/>
          <w:b w:val="0"/>
          <w:bCs/>
          <w:color w:val="000000" w:themeColor="text1"/>
          <w:highlight w:val="none"/>
          <w:u w:val="single"/>
          <w14:textFill>
            <w14:solidFill>
              <w14:schemeClr w14:val="tx1"/>
            </w14:solidFill>
          </w14:textFill>
        </w:rPr>
        <w:t xml:space="preserve">                                          </w:t>
      </w:r>
      <w:r/>
    </w:p>
    <w:p>
      <w:pPr>
        <w:pStyle w:val="744"/>
        <w:jc w:val="both"/>
        <w:keepLines w:val="0"/>
        <w:keepNext w:val="0"/>
        <w:pageBreakBefore w:val="0"/>
        <w:spacing w:beforeAutospacing="0" w:afterAutospacing="0" w:line="252" w:lineRule="auto"/>
        <w:widowControl w:val="off"/>
        <w:rPr>
          <w:rFonts w:hint="eastAsia" w:ascii="宋体" w:hAnsi="宋体" w:eastAsia="宋体" w:cs="宋体"/>
          <w:b w:val="0"/>
          <w:bCs/>
          <w:color w:val="000000" w:themeColor="text1"/>
          <w:highlight w:val="none"/>
          <w:u w:val="singl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联系人：</w:t>
      </w:r>
      <w:r>
        <w:rPr>
          <w:rFonts w:hint="eastAsia" w:ascii="宋体" w:hAnsi="宋体" w:eastAsia="宋体" w:cs="宋体"/>
          <w:b w:val="0"/>
          <w:bCs/>
          <w:color w:val="000000" w:themeColor="text1"/>
          <w:highlight w:val="none"/>
          <w:u w:val="single"/>
          <w14:textFill>
            <w14:solidFill>
              <w14:schemeClr w14:val="tx1"/>
            </w14:solidFill>
          </w14:textFill>
        </w:rPr>
        <w:t xml:space="preserve">                                          </w:t>
      </w:r>
      <w:r/>
    </w:p>
    <w:p>
      <w:pPr>
        <w:pStyle w:val="744"/>
        <w:jc w:val="both"/>
        <w:keepLines w:val="0"/>
        <w:keepNext w:val="0"/>
        <w:pageBreakBefore w:val="0"/>
        <w:spacing w:beforeAutospacing="0" w:afterAutospacing="0" w:line="252"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联系电话：</w:t>
      </w:r>
      <w:r>
        <w:rPr>
          <w:rFonts w:hint="eastAsia" w:ascii="宋体" w:hAnsi="宋体" w:eastAsia="宋体" w:cs="宋体"/>
          <w:b w:val="0"/>
          <w:bCs/>
          <w:color w:val="000000" w:themeColor="text1"/>
          <w:highlight w:val="none"/>
          <w:u w:val="single"/>
          <w14:textFill>
            <w14:solidFill>
              <w14:schemeClr w14:val="tx1"/>
            </w14:solidFill>
          </w14:textFill>
        </w:rPr>
        <w:t xml:space="preserve">                                          </w:t>
      </w:r>
      <w:r/>
    </w:p>
    <w:p>
      <w:pPr>
        <w:pStyle w:val="744"/>
        <w:jc w:val="both"/>
        <w:keepLines w:val="0"/>
        <w:keepNext w:val="0"/>
        <w:pageBreakBefore w:val="0"/>
        <w:spacing w:beforeAutospacing="0" w:afterAutospacing="0" w:line="252"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授权代表：</w:t>
      </w:r>
      <w:r>
        <w:rPr>
          <w:rFonts w:hint="eastAsia" w:ascii="宋体" w:hAnsi="宋体" w:eastAsia="宋体" w:cs="宋体"/>
          <w:b w:val="0"/>
          <w:bCs/>
          <w:color w:val="000000" w:themeColor="text1"/>
          <w:highlight w:val="none"/>
          <w:u w:val="single"/>
          <w14:textFill>
            <w14:solidFill>
              <w14:schemeClr w14:val="tx1"/>
            </w14:solidFill>
          </w14:textFill>
        </w:rPr>
        <w:t xml:space="preserve">                                          </w:t>
      </w:r>
      <w:r/>
    </w:p>
    <w:p>
      <w:pPr>
        <w:pStyle w:val="744"/>
        <w:jc w:val="both"/>
        <w:keepLines w:val="0"/>
        <w:keepNext w:val="0"/>
        <w:pageBreakBefore w:val="0"/>
        <w:spacing w:beforeAutospacing="0" w:afterAutospacing="0" w:line="252"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联系电话：</w:t>
      </w:r>
      <w:r>
        <w:rPr>
          <w:rFonts w:hint="eastAsia" w:ascii="宋体" w:hAnsi="宋体" w:eastAsia="宋体" w:cs="宋体"/>
          <w:b w:val="0"/>
          <w:bCs/>
          <w:color w:val="000000" w:themeColor="text1"/>
          <w:highlight w:val="none"/>
          <w:u w:val="single"/>
          <w14:textFill>
            <w14:solidFill>
              <w14:schemeClr w14:val="tx1"/>
            </w14:solidFill>
          </w14:textFill>
        </w:rPr>
        <w:t xml:space="preserve">                                          </w:t>
      </w:r>
      <w:r/>
    </w:p>
    <w:p>
      <w:pPr>
        <w:pStyle w:val="744"/>
        <w:jc w:val="both"/>
        <w:keepLines w:val="0"/>
        <w:keepNext w:val="0"/>
        <w:pageBreakBefore w:val="0"/>
        <w:spacing w:beforeAutospacing="0" w:afterAutospacing="0" w:line="252" w:lineRule="auto"/>
        <w:widowControl w:val="off"/>
        <w:rPr>
          <w:rFonts w:hint="eastAsia" w:ascii="宋体" w:hAnsi="宋体" w:eastAsia="宋体" w:cs="宋体"/>
          <w:b w:val="0"/>
          <w:bCs/>
          <w:color w:val="000000" w:themeColor="text1"/>
          <w:highlight w:val="none"/>
          <w:u w:val="singl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地　　址：</w:t>
      </w:r>
      <w:r>
        <w:rPr>
          <w:rFonts w:hint="eastAsia" w:ascii="宋体" w:hAnsi="宋体" w:eastAsia="宋体" w:cs="宋体"/>
          <w:b w:val="0"/>
          <w:bCs/>
          <w:color w:val="000000" w:themeColor="text1"/>
          <w:highlight w:val="none"/>
          <w:u w:val="single"/>
          <w14:textFill>
            <w14:solidFill>
              <w14:schemeClr w14:val="tx1"/>
            </w14:solidFill>
          </w14:textFill>
        </w:rPr>
        <w:t xml:space="preserve">                                          </w:t>
      </w:r>
      <w:r/>
    </w:p>
    <w:p>
      <w:pPr>
        <w:pStyle w:val="744"/>
        <w:jc w:val="both"/>
        <w:keepLines w:val="0"/>
        <w:keepNext w:val="0"/>
        <w:pageBreakBefore w:val="0"/>
        <w:spacing w:beforeAutospacing="0" w:afterAutospacing="0" w:line="252"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邮　　编：</w:t>
      </w:r>
      <w:r>
        <w:rPr>
          <w:rFonts w:hint="eastAsia" w:ascii="宋体" w:hAnsi="宋体" w:eastAsia="宋体" w:cs="宋体"/>
          <w:b w:val="0"/>
          <w:bCs/>
          <w:color w:val="000000" w:themeColor="text1"/>
          <w:highlight w:val="none"/>
          <w:u w:val="single"/>
          <w14:textFill>
            <w14:solidFill>
              <w14:schemeClr w14:val="tx1"/>
            </w14:solidFill>
          </w14:textFill>
        </w:rPr>
        <w:t xml:space="preserve">                                          </w:t>
      </w:r>
      <w:r/>
    </w:p>
    <w:p>
      <w:pPr>
        <w:pStyle w:val="744"/>
        <w:jc w:val="both"/>
        <w:keepLines w:val="0"/>
        <w:keepNext w:val="0"/>
        <w:pageBreakBefore w:val="0"/>
        <w:spacing w:beforeAutospacing="0" w:afterAutospacing="0" w:line="252"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二、质疑项目基本情况</w:t>
      </w:r>
      <w:r/>
    </w:p>
    <w:p>
      <w:pPr>
        <w:pStyle w:val="744"/>
        <w:jc w:val="both"/>
        <w:keepLines w:val="0"/>
        <w:keepNext w:val="0"/>
        <w:pageBreakBefore w:val="0"/>
        <w:spacing w:beforeAutospacing="0" w:afterAutospacing="0" w:line="252"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质疑项目的名称：</w:t>
      </w:r>
      <w:r>
        <w:rPr>
          <w:rFonts w:hint="eastAsia" w:ascii="宋体" w:hAnsi="宋体" w:eastAsia="宋体" w:cs="宋体"/>
          <w:b w:val="0"/>
          <w:bCs/>
          <w:color w:val="000000" w:themeColor="text1"/>
          <w:highlight w:val="none"/>
          <w:u w:val="single"/>
          <w14:textFill>
            <w14:solidFill>
              <w14:schemeClr w14:val="tx1"/>
            </w14:solidFill>
          </w14:textFill>
        </w:rPr>
        <w:t xml:space="preserve">                                          </w:t>
      </w:r>
      <w:r/>
    </w:p>
    <w:p>
      <w:pPr>
        <w:pStyle w:val="744"/>
        <w:jc w:val="both"/>
        <w:keepLines w:val="0"/>
        <w:keepNext w:val="0"/>
        <w:pageBreakBefore w:val="0"/>
        <w:spacing w:beforeAutospacing="0" w:afterAutospacing="0" w:line="252" w:lineRule="auto"/>
        <w:widowControl w:val="off"/>
        <w:rPr>
          <w:rFonts w:hint="eastAsia" w:ascii="宋体" w:hAnsi="宋体" w:eastAsia="宋体" w:cs="宋体"/>
          <w:b w:val="0"/>
          <w:bCs/>
          <w:color w:val="000000" w:themeColor="text1"/>
          <w:highlight w:val="none"/>
          <w:u w:val="singl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质疑项目的编号：</w:t>
      </w:r>
      <w:r>
        <w:rPr>
          <w:rFonts w:hint="eastAsia" w:ascii="宋体" w:hAnsi="宋体" w:eastAsia="宋体" w:cs="宋体"/>
          <w:b w:val="0"/>
          <w:bCs/>
          <w:color w:val="000000" w:themeColor="text1"/>
          <w:highlight w:val="none"/>
          <w:u w:val="single"/>
          <w14:textFill>
            <w14:solidFill>
              <w14:schemeClr w14:val="tx1"/>
            </w14:solidFill>
          </w14:textFill>
        </w:rPr>
        <w:t xml:space="preserve">                                          </w:t>
      </w:r>
      <w:r/>
    </w:p>
    <w:p>
      <w:pPr>
        <w:pStyle w:val="744"/>
        <w:jc w:val="both"/>
        <w:keepLines w:val="0"/>
        <w:keepNext w:val="0"/>
        <w:pageBreakBefore w:val="0"/>
        <w:spacing w:beforeAutospacing="0" w:afterAutospacing="0" w:line="252"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包　　号：</w:t>
      </w:r>
      <w:r>
        <w:rPr>
          <w:rFonts w:hint="eastAsia" w:ascii="宋体" w:hAnsi="宋体" w:eastAsia="宋体" w:cs="宋体"/>
          <w:b w:val="0"/>
          <w:bCs/>
          <w:color w:val="000000" w:themeColor="text1"/>
          <w:highlight w:val="none"/>
          <w:u w:val="single"/>
          <w14:textFill>
            <w14:solidFill>
              <w14:schemeClr w14:val="tx1"/>
            </w14:solidFill>
          </w14:textFill>
        </w:rPr>
        <w:t xml:space="preserve">                                          </w:t>
      </w:r>
      <w:r/>
    </w:p>
    <w:p>
      <w:pPr>
        <w:pStyle w:val="744"/>
        <w:jc w:val="both"/>
        <w:keepLines w:val="0"/>
        <w:keepNext w:val="0"/>
        <w:pageBreakBefore w:val="0"/>
        <w:spacing w:beforeAutospacing="0" w:afterAutospacing="0" w:line="252"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采购人名称：</w:t>
      </w:r>
      <w:r>
        <w:rPr>
          <w:rFonts w:hint="eastAsia" w:ascii="宋体" w:hAnsi="宋体" w:eastAsia="宋体" w:cs="宋体"/>
          <w:b w:val="0"/>
          <w:bCs/>
          <w:color w:val="000000" w:themeColor="text1"/>
          <w:highlight w:val="none"/>
          <w:u w:val="single"/>
          <w14:textFill>
            <w14:solidFill>
              <w14:schemeClr w14:val="tx1"/>
            </w14:solidFill>
          </w14:textFill>
        </w:rPr>
        <w:t xml:space="preserve">                                          </w:t>
      </w:r>
      <w:r/>
    </w:p>
    <w:p>
      <w:pPr>
        <w:pStyle w:val="744"/>
        <w:jc w:val="both"/>
        <w:keepLines w:val="0"/>
        <w:keepNext w:val="0"/>
        <w:pageBreakBefore w:val="0"/>
        <w:spacing w:beforeAutospacing="0" w:afterAutospacing="0" w:line="252"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磋商文件获取日期：</w:t>
      </w:r>
      <w:r>
        <w:rPr>
          <w:rFonts w:hint="eastAsia" w:ascii="宋体" w:hAnsi="宋体" w:eastAsia="宋体" w:cs="宋体"/>
          <w:b w:val="0"/>
          <w:bCs/>
          <w:color w:val="000000" w:themeColor="text1"/>
          <w:highlight w:val="none"/>
          <w:u w:val="single"/>
          <w14:textFill>
            <w14:solidFill>
              <w14:schemeClr w14:val="tx1"/>
            </w14:solidFill>
          </w14:textFill>
        </w:rPr>
        <w:t xml:space="preserve">                                         </w:t>
      </w:r>
      <w:r/>
    </w:p>
    <w:p>
      <w:pPr>
        <w:pStyle w:val="744"/>
        <w:jc w:val="both"/>
        <w:keepLines w:val="0"/>
        <w:keepNext w:val="0"/>
        <w:pageBreakBefore w:val="0"/>
        <w:spacing w:beforeAutospacing="0" w:afterAutospacing="0" w:line="252"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三、质疑事项具体内容</w:t>
      </w:r>
      <w:r/>
    </w:p>
    <w:p>
      <w:pPr>
        <w:pStyle w:val="744"/>
        <w:jc w:val="both"/>
        <w:keepLines w:val="0"/>
        <w:keepNext w:val="0"/>
        <w:pageBreakBefore w:val="0"/>
        <w:spacing w:beforeAutospacing="0" w:afterAutospacing="0" w:line="252"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质疑事项1：</w:t>
      </w:r>
      <w:r>
        <w:rPr>
          <w:rFonts w:hint="eastAsia" w:ascii="宋体" w:hAnsi="宋体" w:eastAsia="宋体" w:cs="宋体"/>
          <w:b w:val="0"/>
          <w:bCs/>
          <w:color w:val="000000" w:themeColor="text1"/>
          <w:highlight w:val="none"/>
          <w:u w:val="single"/>
          <w14:textFill>
            <w14:solidFill>
              <w14:schemeClr w14:val="tx1"/>
            </w14:solidFill>
          </w14:textFill>
        </w:rPr>
        <w:t xml:space="preserve">                                          </w:t>
      </w:r>
      <w:r/>
    </w:p>
    <w:p>
      <w:pPr>
        <w:pStyle w:val="744"/>
        <w:keepLines w:val="0"/>
        <w:keepNext w:val="0"/>
        <w:pageBreakBefore w:val="0"/>
        <w:spacing w:beforeAutospacing="0" w:afterAutospacing="0" w:line="252"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事实依据：</w:t>
      </w:r>
      <w:r>
        <w:rPr>
          <w:rFonts w:hint="eastAsia" w:ascii="宋体" w:hAnsi="宋体" w:eastAsia="宋体" w:cs="宋体"/>
          <w:b w:val="0"/>
          <w:bCs/>
          <w:color w:val="000000" w:themeColor="text1"/>
          <w:highlight w:val="none"/>
          <w:u w:val="single"/>
          <w14:textFill>
            <w14:solidFill>
              <w14:schemeClr w14:val="tx1"/>
            </w14:solidFill>
          </w14:textFill>
        </w:rPr>
        <w:t xml:space="preserve">                                                   </w:t>
      </w:r>
      <w:r/>
    </w:p>
    <w:p>
      <w:pPr>
        <w:pStyle w:val="744"/>
        <w:jc w:val="both"/>
        <w:keepLines w:val="0"/>
        <w:keepNext w:val="0"/>
        <w:pageBreakBefore w:val="0"/>
        <w:spacing w:beforeAutospacing="0" w:afterAutospacing="0" w:line="252"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法律依据：</w:t>
      </w:r>
      <w:r>
        <w:rPr>
          <w:rFonts w:hint="eastAsia" w:ascii="宋体" w:hAnsi="宋体" w:eastAsia="宋体" w:cs="宋体"/>
          <w:b w:val="0"/>
          <w:bCs/>
          <w:color w:val="000000" w:themeColor="text1"/>
          <w:highlight w:val="none"/>
          <w:u w:val="single"/>
          <w14:textFill>
            <w14:solidFill>
              <w14:schemeClr w14:val="tx1"/>
            </w14:solidFill>
          </w14:textFill>
        </w:rPr>
        <w:t xml:space="preserve">                                                  </w:t>
      </w:r>
      <w:r/>
    </w:p>
    <w:p>
      <w:pPr>
        <w:pStyle w:val="744"/>
        <w:jc w:val="both"/>
        <w:keepLines w:val="0"/>
        <w:keepNext w:val="0"/>
        <w:pageBreakBefore w:val="0"/>
        <w:spacing w:beforeAutospacing="0" w:afterAutospacing="0" w:line="252"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质疑事项2</w:t>
      </w:r>
      <w:r/>
    </w:p>
    <w:p>
      <w:pPr>
        <w:pStyle w:val="744"/>
        <w:jc w:val="both"/>
        <w:keepLines w:val="0"/>
        <w:keepNext w:val="0"/>
        <w:pageBreakBefore w:val="0"/>
        <w:spacing w:beforeAutospacing="0" w:afterAutospacing="0" w:line="252"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w:t>
      </w:r>
      <w:r/>
    </w:p>
    <w:p>
      <w:pPr>
        <w:pStyle w:val="744"/>
        <w:jc w:val="both"/>
        <w:keepLines w:val="0"/>
        <w:keepNext w:val="0"/>
        <w:pageBreakBefore w:val="0"/>
        <w:spacing w:beforeAutospacing="0" w:afterAutospacing="0" w:line="252"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四、与质疑事项相关的质疑请求</w:t>
      </w:r>
      <w:r/>
    </w:p>
    <w:p>
      <w:pPr>
        <w:pStyle w:val="744"/>
        <w:jc w:val="both"/>
        <w:keepLines w:val="0"/>
        <w:keepNext w:val="0"/>
        <w:pageBreakBefore w:val="0"/>
        <w:spacing w:beforeAutospacing="0" w:afterAutospacing="0" w:line="252"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请求：</w:t>
      </w:r>
      <w:r>
        <w:rPr>
          <w:rFonts w:hint="eastAsia" w:ascii="宋体" w:hAnsi="宋体" w:eastAsia="宋体" w:cs="宋体"/>
          <w:b w:val="0"/>
          <w:bCs/>
          <w:color w:val="000000" w:themeColor="text1"/>
          <w:highlight w:val="none"/>
          <w:u w:val="single"/>
          <w14:textFill>
            <w14:solidFill>
              <w14:schemeClr w14:val="tx1"/>
            </w14:solidFill>
          </w14:textFill>
        </w:rPr>
        <w:t xml:space="preserve">                                                          </w:t>
      </w:r>
      <w:r/>
    </w:p>
    <w:p>
      <w:pPr>
        <w:pStyle w:val="744"/>
        <w:jc w:val="both"/>
        <w:keepLines w:val="0"/>
        <w:keepNext w:val="0"/>
        <w:pageBreakBefore w:val="0"/>
        <w:spacing w:beforeAutospacing="0" w:afterAutospacing="0" w:line="252"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签字(签章)：                 公章：               日期：    </w:t>
      </w:r>
      <w:r/>
    </w:p>
    <w:p>
      <w:pPr>
        <w:pStyle w:val="744"/>
        <w:jc w:val="both"/>
        <w:keepLines w:val="0"/>
        <w:keepNext w:val="0"/>
        <w:pageBreakBefore w:val="0"/>
        <w:spacing w:beforeAutospacing="0" w:afterAutospacing="0" w:line="252"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质疑函制作说明：</w:t>
      </w:r>
      <w:r/>
    </w:p>
    <w:p>
      <w:pPr>
        <w:pStyle w:val="744"/>
        <w:ind w:firstLine="480"/>
        <w:keepLines w:val="0"/>
        <w:keepNext w:val="0"/>
        <w:pageBreakBefore w:val="0"/>
        <w:spacing w:beforeAutospacing="0" w:afterAutospacing="0" w:line="252"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1.供应商提出质疑时，应提交质疑函和必要的证明材料。</w:t>
      </w:r>
      <w:r/>
    </w:p>
    <w:p>
      <w:pPr>
        <w:pStyle w:val="744"/>
        <w:ind w:firstLine="480"/>
        <w:keepLines w:val="0"/>
        <w:keepNext w:val="0"/>
        <w:pageBreakBefore w:val="0"/>
        <w:spacing w:beforeAutospacing="0" w:afterAutospacing="0" w:line="252"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44"/>
        <w:ind w:firstLine="480"/>
        <w:keepLines w:val="0"/>
        <w:keepNext w:val="0"/>
        <w:pageBreakBefore w:val="0"/>
        <w:spacing w:beforeAutospacing="0" w:afterAutospacing="0" w:line="252"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3.质疑供应商若对项目的某一分包进行质疑，质疑函中应列明具体分包号。</w:t>
      </w:r>
      <w:r/>
    </w:p>
    <w:p>
      <w:pPr>
        <w:pStyle w:val="744"/>
        <w:ind w:firstLine="480"/>
        <w:keepLines w:val="0"/>
        <w:keepNext w:val="0"/>
        <w:pageBreakBefore w:val="0"/>
        <w:spacing w:beforeAutospacing="0" w:afterAutospacing="0" w:line="252"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4.质疑函的质疑事项应具体、明确，并有必要的事实依据和法律依据。</w:t>
      </w:r>
      <w:r/>
    </w:p>
    <w:p>
      <w:pPr>
        <w:pStyle w:val="744"/>
        <w:ind w:firstLine="480"/>
        <w:keepLines w:val="0"/>
        <w:keepNext w:val="0"/>
        <w:pageBreakBefore w:val="0"/>
        <w:spacing w:beforeAutospacing="0" w:afterAutospacing="0" w:line="252"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5.质疑函的质疑请求应与质疑事项相关。</w:t>
      </w:r>
      <w:r/>
    </w:p>
    <w:p>
      <w:pPr>
        <w:pStyle w:val="744"/>
        <w:ind w:firstLine="480"/>
        <w:keepLines w:val="0"/>
        <w:keepNext w:val="0"/>
        <w:pageBreakBefore w:val="0"/>
        <w:spacing w:beforeAutospacing="0" w:afterAutospacing="0" w:line="252"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bookmarkEnd w:id="7"/>
      <w:r/>
      <w:bookmarkEnd w:id="59"/>
      <w:r/>
      <w:bookmarkEnd w:id="106"/>
      <w:r/>
      <w:bookmarkEnd w:id="107"/>
      <w:r/>
      <w:bookmarkEnd w:id="108"/>
      <w:r/>
      <w:bookmarkEnd w:id="109"/>
      <w:r/>
      <w:bookmarkEnd w:id="110"/>
      <w:r/>
      <w:bookmarkEnd w:id="111"/>
      <w:r/>
      <w:bookmarkEnd w:id="112"/>
      <w:r/>
      <w:bookmarkEnd w:id="113"/>
      <w:r/>
      <w:bookmarkEnd w:id="122"/>
      <w:r/>
      <w:bookmarkEnd w:id="123"/>
      <w:r/>
      <w:bookmarkEnd w:id="130"/>
      <w:r/>
      <w:bookmarkEnd w:id="199"/>
      <w:r/>
      <w:bookmarkEnd w:id="200"/>
      <w:r/>
      <w:bookmarkEnd w:id="201"/>
      <w:r/>
      <w:bookmarkEnd w:id="202"/>
      <w:r/>
      <w:bookmarkEnd w:id="203"/>
      <w:r/>
      <w:bookmarkEnd w:id="204"/>
      <w:r/>
      <w:bookmarkEnd w:id="205"/>
      <w:r/>
      <w:bookmarkEnd w:id="206"/>
      <w:r/>
      <w:bookmarkEnd w:id="215"/>
      <w:r/>
      <w:bookmarkEnd w:id="216"/>
      <w:r/>
      <w:bookmarkEnd w:id="217"/>
      <w:r/>
      <w:bookmarkEnd w:id="218"/>
      <w:r/>
      <w:bookmarkEnd w:id="219"/>
      <w:r/>
      <w:r/>
    </w:p>
    <w:p>
      <w:pPr>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r>
      <w:r/>
    </w:p>
    <w:p>
      <w:pPr>
        <w:numPr>
          <w:ilvl w:val="0"/>
          <w:numId w:val="2"/>
        </w:numPr>
        <w:jc w:val="center"/>
        <w:spacing w:line="499" w:lineRule="atLeast"/>
        <w:widowControl/>
        <w:rPr>
          <w:rFonts w:hint="eastAsia" w:ascii="宋体" w:hAnsi="宋体" w:eastAsia="宋体" w:cs="宋体"/>
          <w:b w:val="0"/>
          <w:bCs/>
          <w:color w:val="000000" w:themeColor="text1"/>
          <w:sz w:val="32"/>
          <w:szCs w:val="32"/>
          <w:highlight w:val="none"/>
          <w14:textFill>
            <w14:solidFill>
              <w14:schemeClr w14:val="tx1"/>
            </w14:solidFill>
          </w14:textFill>
        </w:rPr>
      </w:pPr>
      <w:r>
        <w:rPr>
          <w:rFonts w:hint="eastAsia" w:ascii="宋体" w:hAnsi="宋体" w:eastAsia="宋体" w:cs="宋体"/>
          <w:b w:val="0"/>
          <w:bCs/>
          <w:color w:val="000000" w:themeColor="text1"/>
          <w:sz w:val="32"/>
          <w:szCs w:val="32"/>
          <w:highlight w:val="none"/>
          <w14:textFill>
            <w14:solidFill>
              <w14:schemeClr w14:val="tx1"/>
            </w14:solidFill>
          </w14:textFill>
        </w:rPr>
        <w:t xml:space="preserve">项目建设供应商承诺函</w:t>
      </w:r>
      <w:r/>
    </w:p>
    <w:p>
      <w:pPr>
        <w:pStyle w:val="941"/>
        <w:numPr>
          <w:ilvl w:val="0"/>
          <w:numId w:val="0"/>
        </w:numPr>
        <w:rPr>
          <w:b w:val="0"/>
          <w:bCs/>
          <w:color w:val="000000" w:themeColor="text1"/>
          <w:highlight w:val="none"/>
          <w14:textFill>
            <w14:solidFill>
              <w14:schemeClr w14:val="tx1"/>
            </w14:solidFill>
          </w14:textFill>
        </w:rPr>
      </w:pPr>
      <w:r>
        <w:rPr>
          <w:b w:val="0"/>
          <w:bCs/>
          <w:color w:val="000000" w:themeColor="text1"/>
          <w:highlight w:val="none"/>
          <w14:textFill>
            <w14:solidFill>
              <w14:schemeClr w14:val="tx1"/>
            </w14:solidFill>
          </w14:textFill>
        </w:rPr>
      </w:r>
      <w:r/>
    </w:p>
    <w:p>
      <w:pPr>
        <w:rPr>
          <w:b w:val="0"/>
          <w:bCs/>
          <w:color w:val="000000" w:themeColor="text1"/>
          <w:highlight w:val="none"/>
          <w14:textFill>
            <w14:solidFill>
              <w14:schemeClr w14:val="tx1"/>
            </w14:solidFill>
          </w14:textFill>
        </w:rPr>
      </w:pPr>
      <w:r>
        <w:rPr>
          <w:b w:val="0"/>
          <w:bCs/>
          <w:color w:val="000000" w:themeColor="text1"/>
          <w:highlight w:val="none"/>
          <w14:textFill>
            <w14:solidFill>
              <w14:schemeClr w14:val="tx1"/>
            </w14:solidFill>
          </w14:textFill>
        </w:rPr>
      </w:r>
      <w:r/>
    </w:p>
    <w:p>
      <w:pPr>
        <w:ind w:firstLine="420"/>
        <w:spacing w:line="480" w:lineRule="auto"/>
        <w:rPr>
          <w:rFonts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p>
    <w:p>
      <w:pPr>
        <w:ind w:firstLine="420"/>
        <w:spacing w:line="480" w:lineRule="auto"/>
        <w:rPr>
          <w:rFonts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p>
    <w:p>
      <w:pPr>
        <w:ind w:firstLine="420"/>
        <w:spacing w:line="480" w:lineRule="auto"/>
        <w:rPr>
          <w:rFonts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对未列出的其他事项，严格按照法律法规等具体规定执行。</w:t>
      </w:r>
      <w:r/>
    </w:p>
    <w:p>
      <w:pPr>
        <w:ind w:firstLine="420"/>
        <w:spacing w:line="480" w:lineRule="auto"/>
        <w:rPr>
          <w:rFonts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现承诺，我单位在履行</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    （ 项目名称  ）         </w:t>
      </w:r>
      <w:r>
        <w:rPr>
          <w:rFonts w:hint="eastAsia" w:ascii="宋体" w:hAnsi="宋体" w:eastAsia="宋体" w:cs="宋体"/>
          <w:b w:val="0"/>
          <w:bCs/>
          <w:color w:val="000000" w:themeColor="text1"/>
          <w:sz w:val="24"/>
          <w:szCs w:val="24"/>
          <w:highlight w:val="none"/>
          <w14:textFill>
            <w14:solidFill>
              <w14:schemeClr w14:val="tx1"/>
            </w14:solidFill>
          </w14:textFill>
        </w:rPr>
        <w:t xml:space="preserve">的项目建设中，将严格按照提示函的内容和要求执行，如若违反愿意承担相应的责任。</w:t>
      </w:r>
      <w:r/>
    </w:p>
    <w:p>
      <w:pPr>
        <w:spacing w:line="480" w:lineRule="auto"/>
        <w:rPr>
          <w:rFonts w:ascii="宋体" w:hAnsi="宋体" w:eastAsia="宋体" w:cs="宋体"/>
          <w:b w:val="0"/>
          <w:bCs/>
          <w:color w:val="000000" w:themeColor="text1"/>
          <w:sz w:val="24"/>
          <w:szCs w:val="24"/>
          <w:highlight w:val="none"/>
          <w14:textFill>
            <w14:solidFill>
              <w14:schemeClr w14:val="tx1"/>
            </w14:solidFill>
          </w14:textFill>
        </w:rPr>
      </w:pPr>
      <w:r>
        <w:rPr>
          <w:rFonts w:ascii="宋体" w:hAnsi="宋体" w:eastAsia="宋体" w:cs="宋体"/>
          <w:b w:val="0"/>
          <w:bCs/>
          <w:color w:val="000000" w:themeColor="text1"/>
          <w:sz w:val="24"/>
          <w:szCs w:val="24"/>
          <w:highlight w:val="none"/>
          <w14:textFill>
            <w14:solidFill>
              <w14:schemeClr w14:val="tx1"/>
            </w14:solidFill>
          </w14:textFill>
        </w:rPr>
      </w:r>
      <w:r/>
    </w:p>
    <w:p>
      <w:pPr>
        <w:ind w:firstLine="720"/>
        <w:spacing w:line="480" w:lineRule="auto"/>
        <w:rPr>
          <w:rFonts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供应商项目负责人（签字）：            联系方式：</w:t>
      </w:r>
      <w:r/>
    </w:p>
    <w:p>
      <w:pPr>
        <w:jc w:val="center"/>
        <w:spacing w:line="499" w:lineRule="atLeast"/>
        <w:widowControl/>
        <w:rPr>
          <w:rFonts w:ascii="宋体" w:hAnsi="宋体" w:eastAsia="宋体" w:cs="宋体"/>
          <w:b w:val="0"/>
          <w:bCs/>
          <w:color w:val="000000" w:themeColor="text1"/>
          <w:sz w:val="24"/>
          <w:szCs w:val="24"/>
          <w:highlight w:val="none"/>
          <w14:textFill>
            <w14:solidFill>
              <w14:schemeClr w14:val="tx1"/>
            </w14:solidFill>
          </w14:textFill>
        </w:rPr>
      </w:pPr>
      <w:r>
        <w:rPr>
          <w:rFonts w:ascii="宋体" w:hAnsi="宋体" w:eastAsia="宋体" w:cs="宋体"/>
          <w:b w:val="0"/>
          <w:bCs/>
          <w:color w:val="000000" w:themeColor="text1"/>
          <w:sz w:val="24"/>
          <w:szCs w:val="24"/>
          <w:highlight w:val="none"/>
          <w14:textFill>
            <w14:solidFill>
              <w14:schemeClr w14:val="tx1"/>
            </w14:solidFill>
          </w14:textFill>
        </w:rPr>
      </w:r>
      <w:r/>
    </w:p>
    <w:p>
      <w:pPr>
        <w:jc w:val="center"/>
        <w:spacing w:line="499" w:lineRule="atLeast"/>
        <w:widowControl/>
        <w:rPr>
          <w:rFonts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               单位名称（盖章）：</w:t>
      </w:r>
      <w:r/>
    </w:p>
    <w:p>
      <w:pPr>
        <w:jc w:val="center"/>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                   年    月   日</w:t>
      </w:r>
      <w:r/>
    </w:p>
    <w:sectPr>
      <w:footerReference w:type="default" r:id="rId9"/>
      <w:footerReference w:type="first" r:id="rId10"/>
      <w:footnotePr/>
      <w:endnotePr/>
      <w:type w:val="nextPage"/>
      <w:pgSz w:w="11906" w:h="16838" w:orient="portrait"/>
      <w:pgMar w:top="2098" w:right="1135" w:bottom="1985" w:left="1331" w:header="1417" w:footer="1361"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Calibri">
    <w:panose1 w:val="020F0502020204030204"/>
  </w:font>
  <w:font w:name="Courier New">
    <w:panose1 w:val="02070309020205020404"/>
  </w:font>
  <w:font w:name="楷体_GB2312">
    <w:panose1 w:val="02010609060101010101"/>
  </w:font>
  <w:font w:name="黑体">
    <w:panose1 w:val="02010609060101010101"/>
  </w:font>
  <w:font w:name="Verdana">
    <w:panose1 w:val="020B060403050404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422" w:leader="none"/>
        <w:tab w:val="clear" w:pos="7143" w:leader="none"/>
        <w:tab w:val="clear" w:pos="14287" w:leader="none"/>
      </w:tabs>
      <w:rPr>
        <w:rFonts w:ascii="Times New Roman" w:hAnsi="Times New Roman" w:cs="Times New Roman"/>
        <w:sz w:val="28"/>
        <w:szCs w:val="28"/>
      </w:rPr>
    </w:pPr>
    <w:r>
      <w:rPr>
        <w:rFonts w:ascii="Times New Roman" w:hAnsi="Times New Roman" w:cs="Times New Roman"/>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39065" cy="15303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39038" cy="153339"/>
                      </a:xfrm>
                      <a:prstGeom prst="rect">
                        <a:avLst/>
                      </a:prstGeom>
                      <a:noFill/>
                      <a:ln w="6350">
                        <a:noFill/>
                      </a:ln>
                      <a:effectLst/>
                    </wps:spPr>
                    <wps:txbx>
                      <w:txbxContent>
                        <w:p>
                          <w:pPr>
                            <w:pStyle w:val="734"/>
                          </w:pPr>
                          <w:r>
                            <w:fldChar w:fldCharType="begin"/>
                          </w:r>
                          <w:r>
                            <w:instrText xml:space="preserve"> PAGE  \* MERGEFORMAT </w:instrText>
                          </w:r>
                          <w:r>
                            <w:fldChar w:fldCharType="separate"/>
                          </w:r>
                          <w:r>
                            <w:t xml:space="preserve">68</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0.9pt;height:12.0pt;mso-wrap-distance-left:9.0pt;mso-wrap-distance-top:0.0pt;mso-wrap-distance-right:9.0pt;mso-wrap-distance-bottom:0.0pt;v-text-anchor:top;visibility:visible;" filled="f" stroked="f" strokeweight="0.50pt">
              <v:textbox inset="0,0,0,0">
                <w:txbxContent>
                  <w:p>
                    <w:pPr>
                      <w:pStyle w:val="734"/>
                    </w:pPr>
                    <w:r>
                      <w:fldChar w:fldCharType="begin"/>
                    </w:r>
                    <w:r>
                      <w:instrText xml:space="preserve"> PAGE  \* MERGEFORMAT </w:instrText>
                    </w:r>
                    <w:r>
                      <w:fldChar w:fldCharType="separate"/>
                    </w:r>
                    <w:r>
                      <w:t xml:space="preserve">68</w:t>
                    </w:r>
                    <w:r>
                      <w:fldChar w:fldCharType="end"/>
                    </w:r>
                    <w:r/>
                  </w:p>
                </w:txbxContent>
              </v:textbox>
            </v:shape>
          </w:pict>
        </mc:Fallback>
      </mc:AlternateContent>
    </w:r>
    <w:r>
      <w:rPr>
        <w:rFonts w:ascii="Times New Roman" w:hAnsi="Times New Roman" w:cs="Times New Roman"/>
        <w:sz w:val="28"/>
        <w:szCs w:val="28"/>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34"/>
                          </w:pPr>
                          <w:r>
                            <w:fldChar w:fldCharType="begin"/>
                          </w:r>
                          <w:r>
                            <w:instrText xml:space="preserve">PAGE \* MERGEFORMAT</w:instrText>
                          </w:r>
                          <w:r>
                            <w:fldChar w:fldCharType="separate"/>
                          </w:r>
                          <w:r>
                            <w:t xml:space="preserve">72</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4"/>
                    </w:pPr>
                    <w:r>
                      <w:fldChar w:fldCharType="begin"/>
                    </w:r>
                    <w:r>
                      <w:instrText xml:space="preserve">PAGE \* MERGEFORMAT</w:instrText>
                    </w:r>
                    <w:r>
                      <w:fldChar w:fldCharType="separate"/>
                    </w:r>
                    <w:r>
                      <w:t xml:space="preserve">72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12">
    <w:name w:val="Heading 1"/>
    <w:basedOn w:val="711"/>
    <w:next w:val="711"/>
    <w:uiPriority w:val="0"/>
    <w:qFormat/>
    <w:pPr>
      <w:jc w:val="left"/>
      <w:spacing w:beforeAutospacing="1" w:afterAutospacing="1"/>
      <w:outlineLvl w:val="0"/>
    </w:pPr>
    <w:rPr>
      <w:rFonts w:hint="eastAsia" w:ascii="宋体" w:hAnsi="宋体" w:eastAsia="宋体" w:cs="Times New Roman"/>
      <w:b/>
      <w:bCs/>
      <w:sz w:val="48"/>
      <w:szCs w:val="48"/>
    </w:rPr>
  </w:style>
  <w:style w:type="paragraph" w:styleId="713">
    <w:name w:val="Heading 2"/>
    <w:basedOn w:val="711"/>
    <w:next w:val="711"/>
    <w:uiPriority w:val="0"/>
    <w:unhideWhenUsed/>
    <w:qFormat/>
    <w:pPr>
      <w:ind w:firstLine="562"/>
      <w:jc w:val="left"/>
      <w:spacing w:line="508" w:lineRule="exact"/>
      <w:outlineLvl w:val="1"/>
    </w:pPr>
    <w:rPr>
      <w:rFonts w:ascii="宋体" w:hAnsi="宋体" w:eastAsia="宋体" w:cs="Times New Roman"/>
      <w:b/>
      <w:bCs/>
      <w:sz w:val="28"/>
      <w:szCs w:val="28"/>
    </w:rPr>
  </w:style>
  <w:style w:type="paragraph" w:styleId="714">
    <w:name w:val="Heading 3"/>
    <w:basedOn w:val="711"/>
    <w:next w:val="711"/>
    <w:link w:val="770"/>
    <w:uiPriority w:val="9"/>
    <w:unhideWhenUsed/>
    <w:qFormat/>
    <w:pPr>
      <w:keepLines/>
      <w:keepNext/>
      <w:spacing w:before="320" w:after="200"/>
      <w:outlineLvl w:val="2"/>
    </w:pPr>
    <w:rPr>
      <w:rFonts w:ascii="Arial" w:hAnsi="Arial" w:eastAsia="Arial" w:cs="Arial"/>
      <w:sz w:val="30"/>
      <w:szCs w:val="30"/>
    </w:rPr>
  </w:style>
  <w:style w:type="paragraph" w:styleId="715">
    <w:name w:val="Heading 4"/>
    <w:basedOn w:val="711"/>
    <w:next w:val="711"/>
    <w:link w:val="771"/>
    <w:uiPriority w:val="9"/>
    <w:unhideWhenUsed/>
    <w:qFormat/>
    <w:pPr>
      <w:keepLines/>
      <w:keepNext/>
      <w:spacing w:before="320" w:after="200"/>
      <w:outlineLvl w:val="3"/>
    </w:pPr>
    <w:rPr>
      <w:rFonts w:ascii="Arial" w:hAnsi="Arial" w:eastAsia="Arial" w:cs="Arial"/>
      <w:b/>
      <w:bCs/>
      <w:sz w:val="26"/>
      <w:szCs w:val="26"/>
    </w:rPr>
  </w:style>
  <w:style w:type="paragraph" w:styleId="716">
    <w:name w:val="Heading 5"/>
    <w:basedOn w:val="711"/>
    <w:next w:val="711"/>
    <w:link w:val="772"/>
    <w:uiPriority w:val="9"/>
    <w:unhideWhenUsed/>
    <w:qFormat/>
    <w:pPr>
      <w:keepLines/>
      <w:keepNext/>
      <w:spacing w:before="320" w:after="200"/>
      <w:outlineLvl w:val="4"/>
    </w:pPr>
    <w:rPr>
      <w:rFonts w:ascii="Arial" w:hAnsi="Arial" w:eastAsia="Arial" w:cs="Arial"/>
      <w:b/>
      <w:bCs/>
      <w:sz w:val="24"/>
    </w:rPr>
  </w:style>
  <w:style w:type="paragraph" w:styleId="717">
    <w:name w:val="Heading 6"/>
    <w:basedOn w:val="711"/>
    <w:next w:val="711"/>
    <w:link w:val="773"/>
    <w:uiPriority w:val="9"/>
    <w:unhideWhenUsed/>
    <w:qFormat/>
    <w:pPr>
      <w:keepLines/>
      <w:keepNext/>
      <w:spacing w:before="320" w:after="200"/>
      <w:outlineLvl w:val="5"/>
    </w:pPr>
    <w:rPr>
      <w:rFonts w:ascii="Arial" w:hAnsi="Arial" w:eastAsia="Arial" w:cs="Arial"/>
      <w:b/>
      <w:bCs/>
      <w:sz w:val="22"/>
      <w:szCs w:val="22"/>
    </w:rPr>
  </w:style>
  <w:style w:type="paragraph" w:styleId="718">
    <w:name w:val="Heading 7"/>
    <w:basedOn w:val="711"/>
    <w:next w:val="711"/>
    <w:link w:val="774"/>
    <w:uiPriority w:val="9"/>
    <w:unhideWhenUsed/>
    <w:qFormat/>
    <w:pPr>
      <w:keepLines/>
      <w:keepNext/>
      <w:spacing w:before="320" w:after="200"/>
      <w:outlineLvl w:val="6"/>
    </w:pPr>
    <w:rPr>
      <w:rFonts w:ascii="Arial" w:hAnsi="Arial" w:eastAsia="Arial" w:cs="Arial"/>
      <w:b/>
      <w:bCs/>
      <w:i/>
      <w:iCs/>
      <w:sz w:val="22"/>
      <w:szCs w:val="22"/>
    </w:rPr>
  </w:style>
  <w:style w:type="paragraph" w:styleId="719">
    <w:name w:val="Heading 8"/>
    <w:basedOn w:val="711"/>
    <w:next w:val="711"/>
    <w:link w:val="775"/>
    <w:uiPriority w:val="9"/>
    <w:unhideWhenUsed/>
    <w:qFormat/>
    <w:pPr>
      <w:keepLines/>
      <w:keepNext/>
      <w:spacing w:before="320" w:after="200"/>
      <w:outlineLvl w:val="7"/>
    </w:pPr>
    <w:rPr>
      <w:rFonts w:ascii="Arial" w:hAnsi="Arial" w:eastAsia="Arial" w:cs="Arial"/>
      <w:i/>
      <w:iCs/>
      <w:sz w:val="22"/>
      <w:szCs w:val="22"/>
    </w:rPr>
  </w:style>
  <w:style w:type="paragraph" w:styleId="720">
    <w:name w:val="Heading 9"/>
    <w:basedOn w:val="711"/>
    <w:next w:val="711"/>
    <w:link w:val="776"/>
    <w:uiPriority w:val="9"/>
    <w:unhideWhenUsed/>
    <w:qFormat/>
    <w:pPr>
      <w:keepLines/>
      <w:keepNext/>
      <w:spacing w:before="320" w:after="200"/>
      <w:outlineLvl w:val="8"/>
    </w:pPr>
    <w:rPr>
      <w:rFonts w:ascii="Arial" w:hAnsi="Arial" w:eastAsia="Arial" w:cs="Arial"/>
      <w:i/>
      <w:iCs/>
      <w:szCs w:val="21"/>
    </w:rPr>
  </w:style>
  <w:style w:type="character" w:styleId="721" w:default="1">
    <w:name w:val="Default Paragraph Font"/>
    <w:uiPriority w:val="1"/>
    <w:unhideWhenUsed/>
    <w:qFormat/>
  </w:style>
  <w:style w:type="table" w:styleId="722" w:default="1">
    <w:name w:val="Normal Table"/>
    <w:uiPriority w:val="99"/>
    <w:unhideWhenUsed/>
    <w:qFormat/>
    <w:tblPr>
      <w:tblCellMar>
        <w:left w:w="108" w:type="dxa"/>
        <w:top w:w="0" w:type="dxa"/>
        <w:right w:w="108" w:type="dxa"/>
        <w:bottom w:w="0" w:type="dxa"/>
      </w:tblCellMar>
    </w:tblPr>
  </w:style>
  <w:style w:type="paragraph" w:styleId="723">
    <w:name w:val="toc 7"/>
    <w:basedOn w:val="711"/>
    <w:next w:val="711"/>
    <w:uiPriority w:val="39"/>
    <w:unhideWhenUsed/>
    <w:qFormat/>
    <w:pPr>
      <w:ind w:left="2520"/>
    </w:pPr>
    <w:rPr>
      <w:szCs w:val="22"/>
    </w:rPr>
  </w:style>
  <w:style w:type="paragraph" w:styleId="724">
    <w:name w:val="Note Heading"/>
    <w:basedOn w:val="711"/>
    <w:next w:val="711"/>
    <w:uiPriority w:val="0"/>
    <w:qFormat/>
    <w:rPr>
      <w:rFonts w:ascii="Verdana" w:hAnsi="Verdana"/>
      <w:szCs w:val="20"/>
    </w:rPr>
  </w:style>
  <w:style w:type="paragraph" w:styleId="725">
    <w:name w:val="Caption"/>
    <w:basedOn w:val="711"/>
    <w:next w:val="711"/>
    <w:uiPriority w:val="35"/>
    <w:unhideWhenUsed/>
    <w:qFormat/>
    <w:pPr>
      <w:spacing w:line="276" w:lineRule="auto"/>
    </w:pPr>
    <w:rPr>
      <w:b/>
      <w:bCs/>
      <w:color w:val="5b9bd5" w:themeColor="accent1"/>
      <w:sz w:val="18"/>
      <w:szCs w:val="18"/>
      <w14:textFill>
        <w14:solidFill>
          <w14:schemeClr w14:val="accent1"/>
        </w14:solidFill>
      </w14:textFill>
    </w:rPr>
  </w:style>
  <w:style w:type="paragraph" w:styleId="726">
    <w:name w:val="annotation text"/>
    <w:basedOn w:val="711"/>
    <w:link w:val="931"/>
    <w:uiPriority w:val="0"/>
    <w:qFormat/>
    <w:pPr>
      <w:jc w:val="left"/>
    </w:pPr>
  </w:style>
  <w:style w:type="paragraph" w:styleId="727">
    <w:name w:val="Body Text"/>
    <w:basedOn w:val="711"/>
    <w:next w:val="711"/>
    <w:uiPriority w:val="99"/>
    <w:qFormat/>
    <w:rPr>
      <w:rFonts w:ascii="楷体_GB2312" w:hAnsi="Arial" w:eastAsia="楷体_GB2312"/>
      <w:sz w:val="28"/>
      <w:szCs w:val="20"/>
    </w:rPr>
  </w:style>
  <w:style w:type="paragraph" w:styleId="728">
    <w:name w:val="toc 5"/>
    <w:basedOn w:val="711"/>
    <w:next w:val="711"/>
    <w:uiPriority w:val="39"/>
    <w:unhideWhenUsed/>
    <w:qFormat/>
    <w:pPr>
      <w:ind w:left="1680"/>
    </w:pPr>
    <w:rPr>
      <w:szCs w:val="22"/>
    </w:rPr>
  </w:style>
  <w:style w:type="paragraph" w:styleId="729">
    <w:name w:val="toc 3"/>
    <w:basedOn w:val="711"/>
    <w:next w:val="711"/>
    <w:uiPriority w:val="39"/>
    <w:unhideWhenUsed/>
    <w:qFormat/>
    <w:pPr>
      <w:ind w:left="840"/>
    </w:pPr>
    <w:rPr>
      <w:szCs w:val="22"/>
    </w:rPr>
  </w:style>
  <w:style w:type="paragraph" w:styleId="730">
    <w:name w:val="Plain Text"/>
    <w:basedOn w:val="711"/>
    <w:link w:val="929"/>
    <w:uiPriority w:val="0"/>
    <w:qFormat/>
    <w:rPr>
      <w:rFonts w:hint="eastAsia" w:ascii="宋体" w:hAnsi="Courier New"/>
      <w:szCs w:val="20"/>
    </w:rPr>
  </w:style>
  <w:style w:type="paragraph" w:styleId="731">
    <w:name w:val="toc 8"/>
    <w:basedOn w:val="711"/>
    <w:next w:val="711"/>
    <w:uiPriority w:val="39"/>
    <w:unhideWhenUsed/>
    <w:qFormat/>
    <w:pPr>
      <w:ind w:left="2940"/>
    </w:pPr>
    <w:rPr>
      <w:szCs w:val="22"/>
    </w:rPr>
  </w:style>
  <w:style w:type="paragraph" w:styleId="732">
    <w:name w:val="endnote text"/>
    <w:basedOn w:val="711"/>
    <w:link w:val="914"/>
    <w:uiPriority w:val="99"/>
    <w:unhideWhenUsed/>
    <w:qFormat/>
    <w:rPr>
      <w:sz w:val="20"/>
    </w:rPr>
  </w:style>
  <w:style w:type="paragraph" w:styleId="733">
    <w:name w:val="Balloon Text"/>
    <w:basedOn w:val="711"/>
    <w:link w:val="928"/>
    <w:uiPriority w:val="0"/>
    <w:qFormat/>
    <w:rPr>
      <w:sz w:val="18"/>
      <w:szCs w:val="18"/>
    </w:rPr>
  </w:style>
  <w:style w:type="paragraph" w:styleId="734">
    <w:name w:val="Footer"/>
    <w:basedOn w:val="711"/>
    <w:link w:val="923"/>
    <w:uiPriority w:val="0"/>
    <w:qFormat/>
    <w:pPr>
      <w:jc w:val="left"/>
      <w:tabs>
        <w:tab w:val="center" w:pos="4153" w:leader="none"/>
        <w:tab w:val="right" w:pos="8306" w:leader="none"/>
      </w:tabs>
    </w:pPr>
    <w:rPr>
      <w:rFonts w:ascii="Times New Roman" w:hAnsi="Times New Roman" w:cs="Times New Roman"/>
      <w:szCs w:val="21"/>
    </w:rPr>
  </w:style>
  <w:style w:type="paragraph" w:styleId="735">
    <w:name w:val="Header"/>
    <w:basedOn w:val="711"/>
    <w:link w:val="922"/>
    <w:uiPriority w:val="0"/>
    <w:qFormat/>
    <w:pPr>
      <w:jc w:val="center"/>
      <w:tabs>
        <w:tab w:val="center" w:pos="4153" w:leader="none"/>
        <w:tab w:val="right" w:pos="8306" w:leader="none"/>
      </w:tabs>
      <w:pBdr>
        <w:bottom w:val="single" w:color="auto" w:sz="6" w:space="1"/>
      </w:pBdr>
    </w:pPr>
    <w:rPr>
      <w:sz w:val="18"/>
      <w:szCs w:val="18"/>
    </w:rPr>
  </w:style>
  <w:style w:type="paragraph" w:styleId="736">
    <w:name w:val="toc 1"/>
    <w:basedOn w:val="711"/>
    <w:next w:val="711"/>
    <w:uiPriority w:val="39"/>
    <w:qFormat/>
  </w:style>
  <w:style w:type="paragraph" w:styleId="737">
    <w:name w:val="toc 4"/>
    <w:basedOn w:val="711"/>
    <w:next w:val="711"/>
    <w:uiPriority w:val="39"/>
    <w:unhideWhenUsed/>
    <w:qFormat/>
    <w:pPr>
      <w:ind w:left="1260"/>
    </w:pPr>
    <w:rPr>
      <w:szCs w:val="22"/>
    </w:rPr>
  </w:style>
  <w:style w:type="paragraph" w:styleId="738">
    <w:name w:val="Subtitle"/>
    <w:basedOn w:val="711"/>
    <w:next w:val="711"/>
    <w:link w:val="780"/>
    <w:uiPriority w:val="11"/>
    <w:qFormat/>
    <w:pPr>
      <w:spacing w:before="200" w:after="200"/>
    </w:pPr>
    <w:rPr>
      <w:sz w:val="24"/>
    </w:rPr>
  </w:style>
  <w:style w:type="paragraph" w:styleId="739">
    <w:name w:val="footnote text"/>
    <w:basedOn w:val="711"/>
    <w:link w:val="913"/>
    <w:uiPriority w:val="99"/>
    <w:unhideWhenUsed/>
    <w:qFormat/>
    <w:pPr>
      <w:spacing w:after="40"/>
    </w:pPr>
    <w:rPr>
      <w:sz w:val="18"/>
    </w:rPr>
  </w:style>
  <w:style w:type="paragraph" w:styleId="740">
    <w:name w:val="toc 6"/>
    <w:basedOn w:val="711"/>
    <w:next w:val="711"/>
    <w:uiPriority w:val="39"/>
    <w:unhideWhenUsed/>
    <w:qFormat/>
    <w:pPr>
      <w:ind w:left="2100"/>
    </w:pPr>
    <w:rPr>
      <w:szCs w:val="22"/>
    </w:rPr>
  </w:style>
  <w:style w:type="paragraph" w:styleId="741">
    <w:name w:val="table of figures"/>
    <w:basedOn w:val="711"/>
    <w:next w:val="711"/>
    <w:uiPriority w:val="99"/>
    <w:unhideWhenUsed/>
    <w:qFormat/>
  </w:style>
  <w:style w:type="paragraph" w:styleId="742">
    <w:name w:val="toc 2"/>
    <w:basedOn w:val="711"/>
    <w:next w:val="711"/>
    <w:uiPriority w:val="39"/>
    <w:unhideWhenUsed/>
    <w:qFormat/>
    <w:pPr>
      <w:ind w:left="420"/>
    </w:pPr>
    <w:rPr>
      <w:szCs w:val="22"/>
    </w:rPr>
  </w:style>
  <w:style w:type="paragraph" w:styleId="743">
    <w:name w:val="toc 9"/>
    <w:basedOn w:val="711"/>
    <w:next w:val="711"/>
    <w:uiPriority w:val="39"/>
    <w:unhideWhenUsed/>
    <w:qFormat/>
    <w:pPr>
      <w:ind w:left="3360"/>
    </w:pPr>
    <w:rPr>
      <w:szCs w:val="22"/>
    </w:rPr>
  </w:style>
  <w:style w:type="paragraph" w:styleId="744">
    <w:name w:val="Normal (Web)"/>
    <w:basedOn w:val="711"/>
    <w:uiPriority w:val="0"/>
    <w:qFormat/>
    <w:pPr>
      <w:jc w:val="left"/>
      <w:spacing w:beforeAutospacing="1" w:afterAutospacing="1"/>
    </w:pPr>
    <w:rPr>
      <w:rFonts w:cs="Times New Roman"/>
      <w:sz w:val="24"/>
    </w:rPr>
  </w:style>
  <w:style w:type="paragraph" w:styleId="745">
    <w:name w:val="Title"/>
    <w:basedOn w:val="711"/>
    <w:next w:val="711"/>
    <w:link w:val="779"/>
    <w:uiPriority w:val="10"/>
    <w:qFormat/>
    <w:pPr>
      <w:contextualSpacing/>
      <w:spacing w:before="300" w:after="200"/>
    </w:pPr>
    <w:rPr>
      <w:sz w:val="48"/>
      <w:szCs w:val="48"/>
    </w:rPr>
  </w:style>
  <w:style w:type="paragraph" w:styleId="746">
    <w:name w:val="annotation subject"/>
    <w:basedOn w:val="726"/>
    <w:next w:val="726"/>
    <w:link w:val="932"/>
    <w:uiPriority w:val="0"/>
    <w:qFormat/>
    <w:rPr>
      <w:b/>
      <w:bCs/>
    </w:rPr>
  </w:style>
  <w:style w:type="table" w:styleId="747">
    <w:name w:val="Table Grid"/>
    <w:basedOn w:val="72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8">
    <w:name w:val="Strong"/>
    <w:basedOn w:val="721"/>
    <w:uiPriority w:val="22"/>
    <w:qFormat/>
    <w:rPr>
      <w:b/>
    </w:rPr>
  </w:style>
  <w:style w:type="character" w:styleId="749">
    <w:name w:val="endnote reference"/>
    <w:basedOn w:val="721"/>
    <w:uiPriority w:val="99"/>
    <w:unhideWhenUsed/>
    <w:qFormat/>
    <w:rPr>
      <w:vertAlign w:val="superscript"/>
    </w:rPr>
  </w:style>
  <w:style w:type="character" w:styleId="750">
    <w:name w:val="Emphasis"/>
    <w:uiPriority w:val="0"/>
    <w:qFormat/>
    <w:rPr>
      <w:i/>
    </w:rPr>
  </w:style>
  <w:style w:type="character" w:styleId="751">
    <w:name w:val="Hyperlink"/>
    <w:basedOn w:val="721"/>
    <w:uiPriority w:val="99"/>
    <w:unhideWhenUsed/>
    <w:qFormat/>
    <w:rPr>
      <w:color w:val="0563c1" w:themeColor="hyperlink"/>
      <w:u w:val="single"/>
      <w14:textFill>
        <w14:solidFill>
          <w14:schemeClr w14:val="hlink"/>
        </w14:solidFill>
      </w14:textFill>
    </w:rPr>
  </w:style>
  <w:style w:type="character" w:styleId="752">
    <w:name w:val="annotation reference"/>
    <w:basedOn w:val="721"/>
    <w:uiPriority w:val="99"/>
    <w:qFormat/>
    <w:rPr>
      <w:sz w:val="21"/>
      <w:szCs w:val="21"/>
    </w:rPr>
  </w:style>
  <w:style w:type="character" w:styleId="753">
    <w:name w:val="footnote reference"/>
    <w:basedOn w:val="721"/>
    <w:uiPriority w:val="99"/>
    <w:unhideWhenUsed/>
    <w:qFormat/>
    <w:rPr>
      <w:vertAlign w:val="superscript"/>
    </w:rPr>
  </w:style>
  <w:style w:type="character" w:styleId="754" w:customStyle="1">
    <w:name w:val="Heading 3 Char"/>
    <w:basedOn w:val="721"/>
    <w:uiPriority w:val="9"/>
    <w:qFormat/>
    <w:rPr>
      <w:rFonts w:ascii="Arial" w:hAnsi="Arial" w:eastAsia="Arial" w:cs="Arial"/>
      <w:sz w:val="30"/>
      <w:szCs w:val="30"/>
    </w:rPr>
  </w:style>
  <w:style w:type="character" w:styleId="755" w:customStyle="1">
    <w:name w:val="Heading 4 Char"/>
    <w:basedOn w:val="721"/>
    <w:uiPriority w:val="9"/>
    <w:qFormat/>
    <w:rPr>
      <w:rFonts w:ascii="Arial" w:hAnsi="Arial" w:eastAsia="Arial" w:cs="Arial"/>
      <w:b/>
      <w:bCs/>
      <w:sz w:val="26"/>
      <w:szCs w:val="26"/>
    </w:rPr>
  </w:style>
  <w:style w:type="character" w:styleId="756" w:customStyle="1">
    <w:name w:val="Heading 5 Char"/>
    <w:basedOn w:val="721"/>
    <w:uiPriority w:val="9"/>
    <w:qFormat/>
    <w:rPr>
      <w:rFonts w:ascii="Arial" w:hAnsi="Arial" w:eastAsia="Arial" w:cs="Arial"/>
      <w:b/>
      <w:bCs/>
      <w:sz w:val="24"/>
      <w:szCs w:val="24"/>
    </w:rPr>
  </w:style>
  <w:style w:type="character" w:styleId="757" w:customStyle="1">
    <w:name w:val="Heading 6 Char"/>
    <w:basedOn w:val="721"/>
    <w:uiPriority w:val="9"/>
    <w:qFormat/>
    <w:rPr>
      <w:rFonts w:ascii="Arial" w:hAnsi="Arial" w:eastAsia="Arial" w:cs="Arial"/>
      <w:b/>
      <w:bCs/>
      <w:sz w:val="22"/>
      <w:szCs w:val="22"/>
    </w:rPr>
  </w:style>
  <w:style w:type="character" w:styleId="758" w:customStyle="1">
    <w:name w:val="Heading 7 Char"/>
    <w:basedOn w:val="721"/>
    <w:uiPriority w:val="9"/>
    <w:qFormat/>
    <w:rPr>
      <w:rFonts w:ascii="Arial" w:hAnsi="Arial" w:eastAsia="Arial" w:cs="Arial"/>
      <w:b/>
      <w:bCs/>
      <w:i/>
      <w:iCs/>
      <w:sz w:val="22"/>
      <w:szCs w:val="22"/>
    </w:rPr>
  </w:style>
  <w:style w:type="character" w:styleId="759" w:customStyle="1">
    <w:name w:val="Heading 8 Char"/>
    <w:basedOn w:val="721"/>
    <w:uiPriority w:val="9"/>
    <w:qFormat/>
    <w:rPr>
      <w:rFonts w:ascii="Arial" w:hAnsi="Arial" w:eastAsia="Arial" w:cs="Arial"/>
      <w:i/>
      <w:iCs/>
      <w:sz w:val="22"/>
      <w:szCs w:val="22"/>
    </w:rPr>
  </w:style>
  <w:style w:type="character" w:styleId="760" w:customStyle="1">
    <w:name w:val="Heading 9 Char"/>
    <w:basedOn w:val="721"/>
    <w:uiPriority w:val="9"/>
    <w:qFormat/>
    <w:rPr>
      <w:rFonts w:ascii="Arial" w:hAnsi="Arial" w:eastAsia="Arial" w:cs="Arial"/>
      <w:i/>
      <w:iCs/>
      <w:sz w:val="21"/>
      <w:szCs w:val="21"/>
    </w:rPr>
  </w:style>
  <w:style w:type="character" w:styleId="761" w:customStyle="1">
    <w:name w:val="Title Char"/>
    <w:basedOn w:val="721"/>
    <w:uiPriority w:val="10"/>
    <w:qFormat/>
    <w:rPr>
      <w:sz w:val="48"/>
      <w:szCs w:val="48"/>
    </w:rPr>
  </w:style>
  <w:style w:type="character" w:styleId="762" w:customStyle="1">
    <w:name w:val="Subtitle Char"/>
    <w:basedOn w:val="721"/>
    <w:uiPriority w:val="11"/>
    <w:qFormat/>
    <w:rPr>
      <w:sz w:val="24"/>
      <w:szCs w:val="24"/>
    </w:rPr>
  </w:style>
  <w:style w:type="character" w:styleId="763" w:customStyle="1">
    <w:name w:val="Quote Char"/>
    <w:uiPriority w:val="29"/>
    <w:qFormat/>
    <w:rPr>
      <w:i/>
    </w:rPr>
  </w:style>
  <w:style w:type="character" w:styleId="764" w:customStyle="1">
    <w:name w:val="Intense Quote Char"/>
    <w:uiPriority w:val="30"/>
    <w:qFormat/>
    <w:rPr>
      <w:i/>
    </w:rPr>
  </w:style>
  <w:style w:type="character" w:styleId="765" w:customStyle="1">
    <w:name w:val="Footnote Text Char"/>
    <w:uiPriority w:val="99"/>
    <w:qFormat/>
    <w:rPr>
      <w:sz w:val="18"/>
    </w:rPr>
  </w:style>
  <w:style w:type="character" w:styleId="766" w:customStyle="1">
    <w:name w:val="Endnote Text Char"/>
    <w:uiPriority w:val="99"/>
    <w:qFormat/>
    <w:rPr>
      <w:sz w:val="20"/>
    </w:rPr>
  </w:style>
  <w:style w:type="paragraph" w:styleId="767" w:customStyle="1">
    <w:name w:val="TOC Heading"/>
    <w:uiPriority w:val="39"/>
    <w:unhideWhenUsed/>
    <w:qFormat/>
    <w:rPr>
      <w:rFonts w:hint="default" w:ascii="Times New Roman" w:hAnsi="Times New Roman" w:eastAsia="宋体" w:cs="Times New Roman"/>
    </w:rPr>
  </w:style>
  <w:style w:type="character" w:styleId="768" w:customStyle="1">
    <w:name w:val="Heading 1 Char"/>
    <w:basedOn w:val="721"/>
    <w:uiPriority w:val="9"/>
    <w:qFormat/>
    <w:rPr>
      <w:rFonts w:ascii="Arial" w:hAnsi="Arial" w:eastAsia="Arial" w:cs="Arial"/>
      <w:sz w:val="40"/>
      <w:szCs w:val="40"/>
    </w:rPr>
  </w:style>
  <w:style w:type="character" w:styleId="769" w:customStyle="1">
    <w:name w:val="Heading 2 Char"/>
    <w:basedOn w:val="721"/>
    <w:uiPriority w:val="9"/>
    <w:qFormat/>
    <w:rPr>
      <w:rFonts w:ascii="Arial" w:hAnsi="Arial" w:eastAsia="Arial" w:cs="Arial"/>
      <w:sz w:val="34"/>
    </w:rPr>
  </w:style>
  <w:style w:type="character" w:styleId="770" w:customStyle="1">
    <w:name w:val="标题 3 Char"/>
    <w:basedOn w:val="721"/>
    <w:link w:val="714"/>
    <w:uiPriority w:val="9"/>
    <w:qFormat/>
    <w:rPr>
      <w:rFonts w:ascii="Arial" w:hAnsi="Arial" w:eastAsia="Arial" w:cs="Arial"/>
      <w:sz w:val="30"/>
      <w:szCs w:val="30"/>
    </w:rPr>
  </w:style>
  <w:style w:type="character" w:styleId="771" w:customStyle="1">
    <w:name w:val="标题 4 Char"/>
    <w:basedOn w:val="721"/>
    <w:link w:val="715"/>
    <w:uiPriority w:val="9"/>
    <w:qFormat/>
    <w:rPr>
      <w:rFonts w:ascii="Arial" w:hAnsi="Arial" w:eastAsia="Arial" w:cs="Arial"/>
      <w:b/>
      <w:bCs/>
      <w:sz w:val="26"/>
      <w:szCs w:val="26"/>
    </w:rPr>
  </w:style>
  <w:style w:type="character" w:styleId="772" w:customStyle="1">
    <w:name w:val="标题 5 Char"/>
    <w:basedOn w:val="721"/>
    <w:link w:val="716"/>
    <w:uiPriority w:val="9"/>
    <w:qFormat/>
    <w:rPr>
      <w:rFonts w:ascii="Arial" w:hAnsi="Arial" w:eastAsia="Arial" w:cs="Arial"/>
      <w:b/>
      <w:bCs/>
      <w:sz w:val="24"/>
      <w:szCs w:val="24"/>
    </w:rPr>
  </w:style>
  <w:style w:type="character" w:styleId="773" w:customStyle="1">
    <w:name w:val="标题 6 Char"/>
    <w:basedOn w:val="721"/>
    <w:link w:val="717"/>
    <w:uiPriority w:val="9"/>
    <w:qFormat/>
    <w:rPr>
      <w:rFonts w:ascii="Arial" w:hAnsi="Arial" w:eastAsia="Arial" w:cs="Arial"/>
      <w:b/>
      <w:bCs/>
      <w:sz w:val="22"/>
      <w:szCs w:val="22"/>
    </w:rPr>
  </w:style>
  <w:style w:type="character" w:styleId="774" w:customStyle="1">
    <w:name w:val="标题 7 Char"/>
    <w:basedOn w:val="721"/>
    <w:link w:val="718"/>
    <w:uiPriority w:val="9"/>
    <w:qFormat/>
    <w:rPr>
      <w:rFonts w:ascii="Arial" w:hAnsi="Arial" w:eastAsia="Arial" w:cs="Arial"/>
      <w:b/>
      <w:bCs/>
      <w:i/>
      <w:iCs/>
      <w:sz w:val="22"/>
      <w:szCs w:val="22"/>
    </w:rPr>
  </w:style>
  <w:style w:type="character" w:styleId="775" w:customStyle="1">
    <w:name w:val="标题 8 Char"/>
    <w:basedOn w:val="721"/>
    <w:link w:val="719"/>
    <w:uiPriority w:val="9"/>
    <w:qFormat/>
    <w:rPr>
      <w:rFonts w:ascii="Arial" w:hAnsi="Arial" w:eastAsia="Arial" w:cs="Arial"/>
      <w:i/>
      <w:iCs/>
      <w:sz w:val="22"/>
      <w:szCs w:val="22"/>
    </w:rPr>
  </w:style>
  <w:style w:type="character" w:styleId="776" w:customStyle="1">
    <w:name w:val="标题 9 Char"/>
    <w:basedOn w:val="721"/>
    <w:link w:val="720"/>
    <w:uiPriority w:val="9"/>
    <w:qFormat/>
    <w:rPr>
      <w:rFonts w:ascii="Arial" w:hAnsi="Arial" w:eastAsia="Arial" w:cs="Arial"/>
      <w:i/>
      <w:iCs/>
      <w:sz w:val="21"/>
      <w:szCs w:val="21"/>
    </w:rPr>
  </w:style>
  <w:style w:type="paragraph" w:styleId="777" w:customStyle="1">
    <w:name w:val="List Paragraph"/>
    <w:basedOn w:val="711"/>
    <w:uiPriority w:val="34"/>
    <w:qFormat/>
    <w:pPr>
      <w:contextualSpacing/>
      <w:ind w:left="720"/>
    </w:pPr>
  </w:style>
  <w:style w:type="paragraph" w:styleId="778" w:customStyle="1">
    <w:name w:val="No Spacing"/>
    <w:uiPriority w:val="1"/>
    <w:qFormat/>
    <w:rPr>
      <w:rFonts w:hint="default" w:ascii="Times New Roman" w:hAnsi="Times New Roman" w:eastAsia="宋体" w:cs="Times New Roman"/>
      <w:lang w:val="en-US" w:eastAsia="zh-CN" w:bidi="ar-SA"/>
    </w:rPr>
  </w:style>
  <w:style w:type="character" w:styleId="779" w:customStyle="1">
    <w:name w:val="标题 Char"/>
    <w:basedOn w:val="721"/>
    <w:link w:val="745"/>
    <w:uiPriority w:val="10"/>
    <w:qFormat/>
    <w:rPr>
      <w:sz w:val="48"/>
      <w:szCs w:val="48"/>
    </w:rPr>
  </w:style>
  <w:style w:type="character" w:styleId="780" w:customStyle="1">
    <w:name w:val="副标题 Char"/>
    <w:basedOn w:val="721"/>
    <w:link w:val="738"/>
    <w:uiPriority w:val="11"/>
    <w:qFormat/>
    <w:rPr>
      <w:sz w:val="24"/>
      <w:szCs w:val="24"/>
    </w:rPr>
  </w:style>
  <w:style w:type="paragraph" w:styleId="781" w:customStyle="1">
    <w:name w:val="Quote"/>
    <w:basedOn w:val="711"/>
    <w:next w:val="711"/>
    <w:link w:val="782"/>
    <w:uiPriority w:val="29"/>
    <w:qFormat/>
    <w:pPr>
      <w:ind w:left="720" w:right="720"/>
    </w:pPr>
    <w:rPr>
      <w:i/>
    </w:rPr>
  </w:style>
  <w:style w:type="character" w:styleId="782" w:customStyle="1">
    <w:name w:val="引用 Char"/>
    <w:link w:val="781"/>
    <w:uiPriority w:val="29"/>
    <w:qFormat/>
    <w:rPr>
      <w:i/>
    </w:rPr>
  </w:style>
  <w:style w:type="paragraph" w:styleId="783" w:customStyle="1">
    <w:name w:val="Intense Quote"/>
    <w:basedOn w:val="711"/>
    <w:next w:val="711"/>
    <w:link w:val="7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明显引用 Char"/>
    <w:link w:val="783"/>
    <w:uiPriority w:val="30"/>
    <w:qFormat/>
    <w:rPr>
      <w:i/>
    </w:rPr>
  </w:style>
  <w:style w:type="character" w:styleId="785" w:customStyle="1">
    <w:name w:val="Header Char"/>
    <w:basedOn w:val="721"/>
    <w:uiPriority w:val="99"/>
    <w:qFormat/>
  </w:style>
  <w:style w:type="character" w:styleId="786" w:customStyle="1">
    <w:name w:val="Footer Char"/>
    <w:basedOn w:val="721"/>
    <w:uiPriority w:val="99"/>
    <w:qFormat/>
  </w:style>
  <w:style w:type="character" w:styleId="787" w:customStyle="1">
    <w:name w:val="Caption Char"/>
    <w:uiPriority w:val="99"/>
    <w:qFormat/>
  </w:style>
  <w:style w:type="table" w:styleId="788" w:customStyle="1">
    <w:name w:val="Table Grid Light"/>
    <w:basedOn w:val="72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9" w:customStyle="1">
    <w:name w:val="Plain Table 1"/>
    <w:basedOn w:val="72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2"/>
    <w:basedOn w:val="72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3"/>
    <w:basedOn w:val="72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Plain Table 4"/>
    <w:basedOn w:val="72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Plain Table 5"/>
    <w:basedOn w:val="72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Grid Table 1 Light"/>
    <w:basedOn w:val="72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1"/>
    <w:basedOn w:val="72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basedOn w:val="72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basedOn w:val="72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basedOn w:val="72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basedOn w:val="72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basedOn w:val="72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1" w:customStyle="1">
    <w:name w:val="Grid Table 2"/>
    <w:basedOn w:val="72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2 - Accent 1"/>
    <w:basedOn w:val="72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basedOn w:val="72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basedOn w:val="72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basedOn w:val="72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basedOn w:val="722"/>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7" w:customStyle="1">
    <w:name w:val="Grid Table 2 - Accent 6"/>
    <w:basedOn w:val="722"/>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8" w:customStyle="1">
    <w:name w:val="Grid Table 3"/>
    <w:basedOn w:val="72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basedOn w:val="72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basedOn w:val="72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basedOn w:val="72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basedOn w:val="72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basedOn w:val="722"/>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basedOn w:val="722"/>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4"/>
    <w:basedOn w:val="72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4 - Accent 1"/>
    <w:basedOn w:val="72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7" w:customStyle="1">
    <w:name w:val="Grid Table 4 - Accent 2"/>
    <w:basedOn w:val="72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8" w:customStyle="1">
    <w:name w:val="Grid Table 4 - Accent 3"/>
    <w:basedOn w:val="72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9" w:customStyle="1">
    <w:name w:val="Grid Table 4 - Accent 4"/>
    <w:basedOn w:val="72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0" w:customStyle="1">
    <w:name w:val="Grid Table 4 - Accent 5"/>
    <w:basedOn w:val="72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1" w:customStyle="1">
    <w:name w:val="Grid Table 4 - Accent 6"/>
    <w:basedOn w:val="72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2" w:customStyle="1">
    <w:name w:val="Grid Table 5 Dark"/>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5 Dark- Accent 1"/>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24" w:customStyle="1">
    <w:name w:val="Grid Table 5 Dark - Accent 2"/>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5" w:customStyle="1">
    <w:name w:val="Grid Table 5 Dark - Accent 3"/>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6" w:customStyle="1">
    <w:name w:val="Grid Table 5 Dark- Accent 4"/>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7" w:customStyle="1">
    <w:name w:val="Grid Table 5 Dark - Accent 5"/>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8" w:customStyle="1">
    <w:name w:val="Grid Table 5 Dark - Accent 6"/>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9" w:customStyle="1">
    <w:name w:val="Grid Table 6 Colorful"/>
    <w:basedOn w:val="72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0" w:customStyle="1">
    <w:name w:val="Grid Table 6 Colorful - Accent 1"/>
    <w:basedOn w:val="722"/>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31" w:customStyle="1">
    <w:name w:val="Grid Table 6 Colorful - Accent 2"/>
    <w:basedOn w:val="72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2" w:customStyle="1">
    <w:name w:val="Grid Table 6 Colorful - Accent 3"/>
    <w:basedOn w:val="72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33" w:customStyle="1">
    <w:name w:val="Grid Table 6 Colorful - Accent 4"/>
    <w:basedOn w:val="72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34" w:customStyle="1">
    <w:name w:val="Grid Table 6 Colorful - Accent 5"/>
    <w:basedOn w:val="72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5" w:customStyle="1">
    <w:name w:val="Grid Table 6 Colorful - Accent 6"/>
    <w:basedOn w:val="72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6" w:customStyle="1">
    <w:name w:val="Grid Table 7 Colorful"/>
    <w:basedOn w:val="72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Grid Table 7 Colorful - Accent 1"/>
    <w:basedOn w:val="722"/>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8" w:customStyle="1">
    <w:name w:val="Grid Table 7 Colorful - Accent 2"/>
    <w:basedOn w:val="72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9" w:customStyle="1">
    <w:name w:val="Grid Table 7 Colorful - Accent 3"/>
    <w:basedOn w:val="72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0" w:customStyle="1">
    <w:name w:val="Grid Table 7 Colorful - Accent 4"/>
    <w:basedOn w:val="72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1" w:customStyle="1">
    <w:name w:val="Grid Table 7 Colorful - Accent 5"/>
    <w:basedOn w:val="72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2" w:customStyle="1">
    <w:name w:val="Grid Table 7 Colorful - Accent 6"/>
    <w:basedOn w:val="72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3" w:customStyle="1">
    <w:name w:val="List Table 1 Light"/>
    <w:basedOn w:val="72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1 Light - Accent 1"/>
    <w:basedOn w:val="722"/>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5" w:customStyle="1">
    <w:name w:val="List Table 1 Light - Accent 2"/>
    <w:basedOn w:val="722"/>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6" w:customStyle="1">
    <w:name w:val="List Table 1 Light - Accent 3"/>
    <w:basedOn w:val="722"/>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7" w:customStyle="1">
    <w:name w:val="List Table 1 Light - Accent 4"/>
    <w:basedOn w:val="722"/>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8" w:customStyle="1">
    <w:name w:val="List Table 1 Light - Accent 5"/>
    <w:basedOn w:val="722"/>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9" w:customStyle="1">
    <w:name w:val="List Table 1 Light - Accent 6"/>
    <w:basedOn w:val="722"/>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0" w:customStyle="1">
    <w:name w:val="List Table 2"/>
    <w:basedOn w:val="72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1" w:customStyle="1">
    <w:name w:val="List Table 2 - Accent 1"/>
    <w:basedOn w:val="72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2" w:customStyle="1">
    <w:name w:val="List Table 2 - Accent 2"/>
    <w:basedOn w:val="72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3" w:customStyle="1">
    <w:name w:val="List Table 2 - Accent 3"/>
    <w:basedOn w:val="72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4" w:customStyle="1">
    <w:name w:val="List Table 2 - Accent 4"/>
    <w:basedOn w:val="72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5" w:customStyle="1">
    <w:name w:val="List Table 2 - Accent 5"/>
    <w:basedOn w:val="72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6" w:customStyle="1">
    <w:name w:val="List Table 2 - Accent 6"/>
    <w:basedOn w:val="72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7" w:customStyle="1">
    <w:name w:val="List Table 3"/>
    <w:basedOn w:val="72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3 - Accent 1"/>
    <w:basedOn w:val="72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9" w:customStyle="1">
    <w:name w:val="List Table 3 - Accent 2"/>
    <w:basedOn w:val="72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0" w:customStyle="1">
    <w:name w:val="List Table 3 - Accent 3"/>
    <w:basedOn w:val="72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1" w:customStyle="1">
    <w:name w:val="List Table 3 - Accent 4"/>
    <w:basedOn w:val="72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2" w:customStyle="1">
    <w:name w:val="List Table 3 - Accent 5"/>
    <w:basedOn w:val="722"/>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3" w:customStyle="1">
    <w:name w:val="List Table 3 - Accent 6"/>
    <w:basedOn w:val="72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4" w:customStyle="1">
    <w:name w:val="List Table 4"/>
    <w:basedOn w:val="72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 Accent 1"/>
    <w:basedOn w:val="72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6" w:customStyle="1">
    <w:name w:val="List Table 4 - Accent 2"/>
    <w:basedOn w:val="72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7" w:customStyle="1">
    <w:name w:val="List Table 4 - Accent 3"/>
    <w:basedOn w:val="72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8" w:customStyle="1">
    <w:name w:val="List Table 4 - Accent 4"/>
    <w:basedOn w:val="72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9" w:customStyle="1">
    <w:name w:val="List Table 4 - Accent 5"/>
    <w:basedOn w:val="72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0" w:customStyle="1">
    <w:name w:val="List Table 4 - Accent 6"/>
    <w:basedOn w:val="72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1" w:customStyle="1">
    <w:name w:val="List Table 5 Dark"/>
    <w:basedOn w:val="72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1"/>
    <w:basedOn w:val="72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2"/>
    <w:basedOn w:val="72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3"/>
    <w:basedOn w:val="72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4"/>
    <w:basedOn w:val="72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5"/>
    <w:basedOn w:val="722"/>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6"/>
    <w:basedOn w:val="72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6 Colorful"/>
    <w:basedOn w:val="72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9" w:customStyle="1">
    <w:name w:val="List Table 6 Colorful - Accent 1"/>
    <w:basedOn w:val="722"/>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0" w:customStyle="1">
    <w:name w:val="List Table 6 Colorful - Accent 2"/>
    <w:basedOn w:val="722"/>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1" w:customStyle="1">
    <w:name w:val="List Table 6 Colorful - Accent 3"/>
    <w:basedOn w:val="722"/>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2" w:customStyle="1">
    <w:name w:val="List Table 6 Colorful - Accent 4"/>
    <w:basedOn w:val="722"/>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3" w:customStyle="1">
    <w:name w:val="List Table 6 Colorful - Accent 5"/>
    <w:basedOn w:val="722"/>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84" w:customStyle="1">
    <w:name w:val="List Table 6 Colorful - Accent 6"/>
    <w:basedOn w:val="722"/>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5" w:customStyle="1">
    <w:name w:val="List Table 7 Colorful"/>
    <w:basedOn w:val="72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List Table 7 Colorful - Accent 1"/>
    <w:basedOn w:val="722"/>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basedOn w:val="722"/>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basedOn w:val="722"/>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basedOn w:val="722"/>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basedOn w:val="722"/>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basedOn w:val="722"/>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2" w:customStyle="1">
    <w:name w:val="Lined - Accent"/>
    <w:basedOn w:val="72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Lined - Accent 1"/>
    <w:basedOn w:val="72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4" w:customStyle="1">
    <w:name w:val="Lined - Accent 2"/>
    <w:basedOn w:val="72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5" w:customStyle="1">
    <w:name w:val="Lined - Accent 3"/>
    <w:basedOn w:val="72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6" w:customStyle="1">
    <w:name w:val="Lined - Accent 4"/>
    <w:basedOn w:val="72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7" w:customStyle="1">
    <w:name w:val="Lined - Accent 5"/>
    <w:basedOn w:val="72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8" w:customStyle="1">
    <w:name w:val="Lined - Accent 6"/>
    <w:basedOn w:val="72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9" w:customStyle="1">
    <w:name w:val="Bordered &amp; Lined - Accent"/>
    <w:basedOn w:val="72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Bordered &amp; Lined - Accent 1"/>
    <w:basedOn w:val="722"/>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1" w:customStyle="1">
    <w:name w:val="Bordered &amp; Lined - Accent 2"/>
    <w:basedOn w:val="72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2" w:customStyle="1">
    <w:name w:val="Bordered &amp; Lined - Accent 3"/>
    <w:basedOn w:val="72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3" w:customStyle="1">
    <w:name w:val="Bordered &amp; Lined - Accent 4"/>
    <w:basedOn w:val="72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4" w:customStyle="1">
    <w:name w:val="Bordered &amp; Lined - Accent 5"/>
    <w:basedOn w:val="722"/>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5" w:customStyle="1">
    <w:name w:val="Bordered &amp; Lined - Accent 6"/>
    <w:basedOn w:val="72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6" w:customStyle="1">
    <w:name w:val="Bordered"/>
    <w:basedOn w:val="72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7" w:customStyle="1">
    <w:name w:val="Bordered - Accent 1"/>
    <w:basedOn w:val="72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8" w:customStyle="1">
    <w:name w:val="Bordered - Accent 2"/>
    <w:basedOn w:val="72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9" w:customStyle="1">
    <w:name w:val="Bordered - Accent 3"/>
    <w:basedOn w:val="72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0" w:customStyle="1">
    <w:name w:val="Bordered - Accent 4"/>
    <w:basedOn w:val="72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1" w:customStyle="1">
    <w:name w:val="Bordered - Accent 5"/>
    <w:basedOn w:val="72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2" w:customStyle="1">
    <w:name w:val="Bordered - Accent 6"/>
    <w:basedOn w:val="72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3" w:customStyle="1">
    <w:name w:val="脚注文本 Char"/>
    <w:link w:val="739"/>
    <w:uiPriority w:val="99"/>
    <w:qFormat/>
    <w:rPr>
      <w:sz w:val="18"/>
    </w:rPr>
  </w:style>
  <w:style w:type="character" w:styleId="914" w:customStyle="1">
    <w:name w:val="尾注文本 Char"/>
    <w:link w:val="732"/>
    <w:uiPriority w:val="99"/>
    <w:qFormat/>
    <w:rPr>
      <w:sz w:val="20"/>
    </w:rPr>
  </w:style>
  <w:style w:type="paragraph" w:styleId="915" w:customStyle="1">
    <w:name w:val="TOC 标题1"/>
    <w:uiPriority w:val="39"/>
    <w:unhideWhenUsed/>
    <w:qFormat/>
    <w:rPr>
      <w:rFonts w:hint="default" w:ascii="Times New Roman" w:hAnsi="Times New Roman" w:eastAsia="宋体" w:cs="Times New Roman"/>
      <w:lang w:val="en-US" w:eastAsia="zh-CN" w:bidi="ar-SA"/>
    </w:rPr>
  </w:style>
  <w:style w:type="paragraph" w:styleId="916" w:customStyle="1">
    <w:name w:val="段"/>
    <w:next w:val="711"/>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917" w:customStyle="1">
    <w:name w:val="正文首行缩进 211"/>
    <w:basedOn w:val="918"/>
    <w:next w:val="920"/>
    <w:uiPriority w:val="0"/>
    <w:qFormat/>
    <w:pPr>
      <w:ind w:firstLine="420"/>
    </w:pPr>
  </w:style>
  <w:style w:type="paragraph" w:styleId="918" w:customStyle="1">
    <w:name w:val="正文文本缩进11"/>
    <w:basedOn w:val="711"/>
    <w:next w:val="919"/>
    <w:uiPriority w:val="0"/>
    <w:qFormat/>
    <w:pPr>
      <w:ind w:left="420"/>
      <w:spacing w:after="120"/>
    </w:pPr>
  </w:style>
  <w:style w:type="paragraph" w:styleId="919" w:customStyle="1">
    <w:name w:val="寄信人地址11"/>
    <w:basedOn w:val="711"/>
    <w:uiPriority w:val="0"/>
    <w:qFormat/>
    <w:rPr>
      <w:rFonts w:ascii="Arial" w:hAnsi="Arial" w:cs="Arial"/>
    </w:rPr>
  </w:style>
  <w:style w:type="paragraph" w:styleId="920" w:customStyle="1">
    <w:name w:val="样式 标题 3 + (中文) 黑体 小四 非加粗 段前: 7.8 磅 段后: 0 磅 行距: 固定值 20 磅_0"/>
    <w:basedOn w:val="711"/>
    <w:uiPriority w:val="0"/>
    <w:qFormat/>
    <w:pPr>
      <w:keepLines/>
      <w:keepNext/>
      <w:spacing w:line="400" w:lineRule="exact"/>
      <w:outlineLvl w:val="2"/>
    </w:pPr>
    <w:rPr>
      <w:rFonts w:eastAsia="黑体" w:cs="宋体"/>
      <w:szCs w:val="21"/>
    </w:rPr>
  </w:style>
  <w:style w:type="paragraph" w:styleId="921" w:customStyle="1">
    <w:name w:val="Default"/>
    <w:basedOn w:val="711"/>
    <w:uiPriority w:val="0"/>
    <w:semiHidden/>
    <w:qFormat/>
    <w:pPr>
      <w:jc w:val="left"/>
    </w:pPr>
    <w:rPr>
      <w:rFonts w:ascii="宋体" w:hAnsi="Calibri" w:cs="宋体"/>
      <w:color w:val="000000"/>
      <w:sz w:val="24"/>
    </w:rPr>
  </w:style>
  <w:style w:type="character" w:styleId="922" w:customStyle="1">
    <w:name w:val="页眉 Char"/>
    <w:basedOn w:val="721"/>
    <w:link w:val="735"/>
    <w:uiPriority w:val="0"/>
    <w:qFormat/>
    <w:rPr>
      <w:rFonts w:asciiTheme="minorHAnsi" w:hAnsiTheme="minorHAnsi" w:eastAsiaTheme="minorEastAsia" w:cstheme="minorBidi"/>
      <w:sz w:val="18"/>
      <w:szCs w:val="18"/>
    </w:rPr>
  </w:style>
  <w:style w:type="character" w:styleId="923" w:customStyle="1">
    <w:name w:val="页脚 Char"/>
    <w:basedOn w:val="721"/>
    <w:link w:val="734"/>
    <w:uiPriority w:val="0"/>
    <w:qFormat/>
    <w:rPr>
      <w:rFonts w:eastAsiaTheme="minorEastAsia"/>
      <w:sz w:val="21"/>
      <w:szCs w:val="21"/>
    </w:rPr>
  </w:style>
  <w:style w:type="paragraph" w:styleId="924" w:customStyle="1">
    <w:name w:val="普通正文"/>
    <w:basedOn w:val="711"/>
    <w:uiPriority w:val="0"/>
    <w:qFormat/>
    <w:pPr>
      <w:ind w:firstLine="480"/>
      <w:jc w:val="left"/>
      <w:spacing w:before="120" w:after="120" w:line="360" w:lineRule="auto"/>
    </w:pPr>
    <w:rPr>
      <w:rFonts w:ascii="Arial" w:hAnsi="Arial" w:eastAsia="等线" w:cs="Arial"/>
      <w:sz w:val="24"/>
    </w:rPr>
  </w:style>
  <w:style w:type="paragraph" w:styleId="925" w:customStyle="1">
    <w:name w:val="正文首行缩进 21"/>
    <w:basedOn w:val="926"/>
    <w:uiPriority w:val="0"/>
    <w:qFormat/>
    <w:pPr>
      <w:ind w:firstLine="420"/>
    </w:pPr>
  </w:style>
  <w:style w:type="paragraph" w:styleId="926" w:customStyle="1">
    <w:name w:val="正文文本缩进1"/>
    <w:basedOn w:val="711"/>
    <w:uiPriority w:val="0"/>
    <w:qFormat/>
    <w:pPr>
      <w:ind w:left="420"/>
      <w:spacing w:after="120"/>
    </w:pPr>
  </w:style>
  <w:style w:type="paragraph" w:styleId="927" w:customStyle="1">
    <w:name w:val="页脚1"/>
    <w:basedOn w:val="711"/>
    <w:uiPriority w:val="99"/>
    <w:unhideWhenUsed/>
    <w:qFormat/>
    <w:pPr>
      <w:tabs>
        <w:tab w:val="center" w:pos="7143" w:leader="none"/>
        <w:tab w:val="right" w:pos="14287" w:leader="none"/>
      </w:tabs>
    </w:pPr>
  </w:style>
  <w:style w:type="character" w:styleId="928" w:customStyle="1">
    <w:name w:val="批注框文本 Char"/>
    <w:basedOn w:val="721"/>
    <w:link w:val="733"/>
    <w:uiPriority w:val="0"/>
    <w:qFormat/>
    <w:rPr>
      <w:rFonts w:asciiTheme="minorHAnsi" w:hAnsiTheme="minorHAnsi" w:eastAsiaTheme="minorEastAsia" w:cstheme="minorBidi"/>
      <w:sz w:val="18"/>
      <w:szCs w:val="18"/>
    </w:rPr>
  </w:style>
  <w:style w:type="character" w:styleId="929" w:customStyle="1">
    <w:name w:val="纯文本 Char"/>
    <w:basedOn w:val="721"/>
    <w:link w:val="730"/>
    <w:uiPriority w:val="0"/>
    <w:qFormat/>
    <w:rPr>
      <w:rFonts w:ascii="宋体" w:hAnsi="Courier New" w:eastAsiaTheme="minorEastAsia" w:cstheme="minorBidi"/>
      <w:sz w:val="21"/>
    </w:rPr>
  </w:style>
  <w:style w:type="paragraph" w:styleId="930" w:customStyle="1">
    <w:name w:val="标书_正文"/>
    <w:basedOn w:val="711"/>
    <w:uiPriority w:val="99"/>
    <w:qFormat/>
    <w:rPr>
      <w:rFonts w:ascii="宋体" w:hAnsi="宋体" w:cs="Times New Roman"/>
      <w:szCs w:val="20"/>
    </w:rPr>
  </w:style>
  <w:style w:type="character" w:styleId="931" w:customStyle="1">
    <w:name w:val="批注文字 Char"/>
    <w:basedOn w:val="721"/>
    <w:link w:val="726"/>
    <w:uiPriority w:val="0"/>
    <w:qFormat/>
    <w:rPr>
      <w:rFonts w:asciiTheme="minorHAnsi" w:hAnsiTheme="minorHAnsi" w:eastAsiaTheme="minorEastAsia" w:cstheme="minorBidi"/>
      <w:sz w:val="21"/>
      <w:szCs w:val="24"/>
    </w:rPr>
  </w:style>
  <w:style w:type="character" w:styleId="932" w:customStyle="1">
    <w:name w:val="批注主题 Char"/>
    <w:basedOn w:val="931"/>
    <w:link w:val="746"/>
    <w:uiPriority w:val="0"/>
    <w:qFormat/>
    <w:rPr>
      <w:rFonts w:asciiTheme="minorHAnsi" w:hAnsiTheme="minorHAnsi" w:eastAsiaTheme="minorEastAsia" w:cstheme="minorBidi"/>
      <w:b/>
      <w:bCs/>
      <w:sz w:val="21"/>
      <w:szCs w:val="24"/>
    </w:rPr>
  </w:style>
  <w:style w:type="paragraph" w:styleId="933" w:customStyle="1">
    <w:name w:val="普通(网站)1"/>
    <w:basedOn w:val="711"/>
    <w:uiPriority w:val="0"/>
    <w:qFormat/>
    <w:pPr>
      <w:jc w:val="left"/>
      <w:spacing w:beforeAutospacing="1" w:afterAutospacing="1"/>
    </w:pPr>
    <w:rPr>
      <w:rFonts w:cs="Times New Roman"/>
      <w:sz w:val="24"/>
    </w:rPr>
  </w:style>
  <w:style w:type="paragraph" w:styleId="934" w:customStyle="1">
    <w:name w:val="纯文本11"/>
    <w:basedOn w:val="711"/>
    <w:uiPriority w:val="99"/>
    <w:qFormat/>
    <w:rPr>
      <w:rFonts w:ascii="宋体" w:hAnsi="Courier New"/>
      <w:szCs w:val="21"/>
    </w:rPr>
  </w:style>
  <w:style w:type="paragraph" w:styleId="935" w:customStyle="1">
    <w:name w:val="列出段落3"/>
    <w:basedOn w:val="711"/>
    <w:uiPriority w:val="0"/>
    <w:qFormat/>
    <w:pPr>
      <w:ind w:firstLine="420"/>
    </w:pPr>
    <w:rPr>
      <w:szCs w:val="20"/>
    </w:rPr>
  </w:style>
  <w:style w:type="paragraph" w:styleId="936" w:customStyle="1">
    <w:name w:val="标题 21"/>
    <w:basedOn w:val="711"/>
    <w:next w:val="937"/>
    <w:uiPriority w:val="0"/>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937" w:customStyle="1">
    <w:name w:val="正文缩进1"/>
    <w:basedOn w:val="711"/>
    <w:uiPriority w:val="0"/>
    <w:qFormat/>
    <w:pPr>
      <w:ind w:firstLine="420"/>
    </w:pPr>
  </w:style>
  <w:style w:type="paragraph" w:styleId="938" w:customStyle="1">
    <w:name w:val="纯文本1"/>
    <w:basedOn w:val="711"/>
    <w:uiPriority w:val="0"/>
    <w:qFormat/>
    <w:rPr>
      <w:rFonts w:hAnsi="Courier New" w:eastAsia="楷体_GB2312"/>
    </w:rPr>
  </w:style>
  <w:style w:type="table" w:styleId="939" w:customStyle="1">
    <w:name w:val="网格型1"/>
    <w:basedOn w:val="940"/>
    <w:uiPriority w:val="0"/>
    <w:qFormat/>
    <w:pPr>
      <w:jc w:val="both"/>
      <w:widowControl w:val="off"/>
    </w:pPr>
    <w:tblPr/>
  </w:style>
  <w:style w:type="table" w:styleId="940" w:customStyle="1">
    <w:name w:val="普通表格1"/>
    <w:uiPriority w:val="99"/>
    <w:unhideWhenUsed/>
    <w:qFormat/>
    <w:tblPr/>
  </w:style>
  <w:style w:type="paragraph" w:styleId="941" w:customStyle="1">
    <w:name w:val="标题 11"/>
    <w:basedOn w:val="711"/>
    <w:next w:val="711"/>
    <w:uiPriority w:val="0"/>
    <w:qFormat/>
    <w:pPr>
      <w:ind w:left="120"/>
      <w:spacing w:before="39"/>
      <w:outlineLvl w:val="0"/>
    </w:pPr>
    <w:rPr>
      <w:sz w:val="27"/>
      <w:szCs w:val="27"/>
    </w:rPr>
  </w:style>
  <w:style w:type="numbering" w:styleId="9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http://schemas.openxmlformats.org/officeDocument/2006/bibliography" xmlns:b="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E4D19A65-C6CE-46B6-B3FD-7F7AC2A5D6D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杨工</cp:lastModifiedBy>
  <cp:revision>109</cp:revision>
  <dcterms:created xsi:type="dcterms:W3CDTF">2026-02-25T08:12:00Z</dcterms:created>
  <dcterms:modified xsi:type="dcterms:W3CDTF">2026-06-15T01:40:23Z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D1DC68D64175497281227E046ED3F9BA_13</vt:lpwstr>
  </property>
  <property fmtid="{D5CDD505-2E9C-101B-9397-08002B2CF9AE}" pid="4" name="KSOTemplateDocerSaveRecord">
    <vt:lpwstr>eyJoZGlkIjoiN2NjOTY5YjRkZTRkMzY2MTIxNmU4M2EyZjFjYzkzNjUiLCJ1c2VySWQiOiIxMDc1NDEyMTE5In0=</vt:lpwstr>
  </property>
</Properties>
</file>