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7D4AD">
      <w:pPr>
        <w:pStyle w:val="32"/>
        <w:spacing w:before="120" w:beforeAutospacing="0" w:after="120" w:afterAutospacing="0" w:line="360" w:lineRule="auto"/>
      </w:pPr>
      <w:r>
        <w:t> </w:t>
      </w:r>
    </w:p>
    <w:p w14:paraId="4FB9C99C">
      <w:pPr>
        <w:pStyle w:val="32"/>
        <w:spacing w:before="120" w:beforeAutospacing="0" w:after="120" w:afterAutospacing="0" w:line="360" w:lineRule="auto"/>
        <w:jc w:val="center"/>
      </w:pPr>
      <w:r>
        <w:rPr>
          <w:rFonts w:ascii="Arial" w:hAnsi="Arial" w:cs="Arial"/>
          <w:b/>
          <w:color w:val="000000"/>
          <w:sz w:val="84"/>
          <w:szCs w:val="84"/>
        </w:rPr>
        <w:t>招标文件</w:t>
      </w:r>
    </w:p>
    <w:p w14:paraId="6914BB9E">
      <w:pPr>
        <w:pStyle w:val="32"/>
        <w:spacing w:before="120" w:beforeAutospacing="0" w:after="120" w:afterAutospacing="0" w:line="360" w:lineRule="auto"/>
        <w:ind w:firstLine="2249"/>
        <w:rPr>
          <w:rFonts w:ascii="Arial" w:hAnsi="Arial" w:cs="Arial"/>
          <w:b/>
          <w:color w:val="000000"/>
          <w:sz w:val="32"/>
          <w:szCs w:val="32"/>
        </w:rPr>
      </w:pPr>
    </w:p>
    <w:p w14:paraId="52DD7096">
      <w:pPr>
        <w:pStyle w:val="32"/>
        <w:spacing w:before="120" w:beforeAutospacing="0" w:after="120" w:afterAutospacing="0" w:line="360" w:lineRule="auto"/>
        <w:ind w:firstLine="2249"/>
        <w:rPr>
          <w:rFonts w:ascii="Arial" w:hAnsi="Arial" w:cs="Arial"/>
          <w:b/>
          <w:color w:val="000000"/>
          <w:sz w:val="32"/>
          <w:szCs w:val="32"/>
        </w:rPr>
      </w:pPr>
    </w:p>
    <w:p w14:paraId="7B0DD1C7">
      <w:pPr>
        <w:pStyle w:val="32"/>
        <w:spacing w:before="120" w:beforeAutospacing="0" w:after="120" w:afterAutospacing="0" w:line="360" w:lineRule="auto"/>
        <w:ind w:firstLine="2249"/>
        <w:rPr>
          <w:rFonts w:ascii="Arial" w:hAnsi="Arial" w:cs="Arial"/>
          <w:b/>
          <w:color w:val="000000"/>
          <w:sz w:val="32"/>
          <w:szCs w:val="32"/>
        </w:rPr>
      </w:pPr>
    </w:p>
    <w:p w14:paraId="47242A5D">
      <w:pPr>
        <w:pStyle w:val="32"/>
        <w:spacing w:before="120" w:beforeAutospacing="0" w:after="120" w:afterAutospacing="0" w:line="360" w:lineRule="auto"/>
        <w:ind w:firstLine="643"/>
        <w:rPr>
          <w:rFonts w:hint="eastAsia" w:ascii="宋体" w:hAnsi="宋体" w:eastAsia="宋体" w:cs="宋体"/>
          <w:b/>
          <w:bCs/>
          <w:sz w:val="30"/>
          <w:szCs w:val="30"/>
        </w:rPr>
      </w:pPr>
      <w:r>
        <w:rPr>
          <w:rFonts w:ascii="Arial" w:hAnsi="Arial" w:cs="Arial"/>
          <w:b/>
          <w:color w:val="000000"/>
          <w:sz w:val="32"/>
          <w:szCs w:val="32"/>
        </w:rPr>
        <w:t>项目名称：</w:t>
      </w:r>
      <w:r>
        <w:rPr>
          <w:rFonts w:hint="eastAsia" w:ascii="宋体" w:hAnsi="宋体" w:eastAsia="宋体" w:cs="宋体"/>
          <w:b/>
          <w:bCs/>
          <w:sz w:val="30"/>
          <w:szCs w:val="30"/>
        </w:rPr>
        <w:t>滨海县行政办公中心机房及网络安全建设项目</w:t>
      </w:r>
    </w:p>
    <w:p w14:paraId="6A0E1FBA">
      <w:pPr>
        <w:pStyle w:val="32"/>
        <w:spacing w:before="120" w:beforeAutospacing="0" w:after="120" w:afterAutospacing="0" w:line="360" w:lineRule="auto"/>
        <w:ind w:firstLine="643"/>
        <w:rPr>
          <w:rFonts w:hint="eastAsia" w:ascii="宋体" w:hAnsi="宋体" w:eastAsia="宋体" w:cs="宋体"/>
          <w:b/>
          <w:bCs/>
          <w:sz w:val="30"/>
          <w:szCs w:val="30"/>
        </w:rPr>
      </w:pPr>
      <w:r>
        <w:rPr>
          <w:rFonts w:hint="eastAsia" w:ascii="Arial" w:hAnsi="Arial" w:cs="Arial"/>
          <w:b/>
          <w:color w:val="000000"/>
          <w:sz w:val="32"/>
          <w:szCs w:val="32"/>
        </w:rPr>
        <w:t>项目编号：</w:t>
      </w:r>
      <w:r>
        <w:rPr>
          <w:rFonts w:hint="eastAsia" w:ascii="宋体" w:hAnsi="宋体" w:eastAsia="宋体" w:cs="宋体"/>
          <w:b/>
          <w:bCs/>
          <w:sz w:val="30"/>
          <w:szCs w:val="30"/>
        </w:rPr>
        <w:t>JSZC-320922-JZCG-G2026-0006</w:t>
      </w:r>
    </w:p>
    <w:p w14:paraId="1F7E699F">
      <w:pPr>
        <w:pStyle w:val="32"/>
        <w:spacing w:beforeAutospacing="0" w:afterAutospacing="0" w:line="360" w:lineRule="auto"/>
      </w:pPr>
      <w:r>
        <w:t> </w:t>
      </w:r>
    </w:p>
    <w:p w14:paraId="5F248CA5">
      <w:pPr>
        <w:pStyle w:val="32"/>
        <w:spacing w:beforeAutospacing="0" w:afterAutospacing="0" w:line="360" w:lineRule="auto"/>
      </w:pPr>
      <w:r>
        <w:t> </w:t>
      </w:r>
    </w:p>
    <w:p w14:paraId="6E24C81B">
      <w:pPr>
        <w:pStyle w:val="32"/>
        <w:spacing w:beforeAutospacing="0" w:afterAutospacing="0" w:line="360" w:lineRule="auto"/>
      </w:pPr>
      <w:r>
        <w:t> </w:t>
      </w:r>
    </w:p>
    <w:p w14:paraId="0010270E">
      <w:pPr>
        <w:pStyle w:val="32"/>
        <w:spacing w:beforeAutospacing="0" w:afterAutospacing="0" w:line="360" w:lineRule="auto"/>
      </w:pPr>
      <w:r>
        <w:t> </w:t>
      </w:r>
    </w:p>
    <w:p w14:paraId="6A6F21A7">
      <w:pPr>
        <w:pStyle w:val="32"/>
        <w:spacing w:beforeAutospacing="0" w:afterAutospacing="0" w:line="360" w:lineRule="auto"/>
      </w:pPr>
      <w:r>
        <w:t> </w:t>
      </w:r>
    </w:p>
    <w:p w14:paraId="6A14540D">
      <w:pPr>
        <w:pStyle w:val="32"/>
        <w:spacing w:beforeAutospacing="0" w:afterAutospacing="0" w:line="360" w:lineRule="auto"/>
      </w:pPr>
      <w:r>
        <w:t> </w:t>
      </w:r>
    </w:p>
    <w:p w14:paraId="77E7F24B">
      <w:pPr>
        <w:pStyle w:val="32"/>
        <w:spacing w:beforeAutospacing="0" w:afterAutospacing="0" w:line="360" w:lineRule="auto"/>
      </w:pPr>
      <w:r>
        <w:t> </w:t>
      </w:r>
    </w:p>
    <w:p w14:paraId="060FFBB5">
      <w:pPr>
        <w:pStyle w:val="32"/>
        <w:spacing w:before="120" w:beforeAutospacing="0" w:after="120" w:afterAutospacing="0" w:line="360" w:lineRule="auto"/>
        <w:jc w:val="center"/>
        <w:rPr>
          <w:rFonts w:hint="eastAsia" w:ascii="Arial" w:hAnsi="Arial" w:eastAsia="宋体" w:cs="Arial"/>
          <w:b/>
          <w:color w:val="000000"/>
          <w:sz w:val="32"/>
          <w:szCs w:val="32"/>
        </w:rPr>
      </w:pPr>
    </w:p>
    <w:p w14:paraId="461258F4">
      <w:pPr>
        <w:pStyle w:val="32"/>
        <w:spacing w:before="120" w:beforeAutospacing="0" w:after="120" w:afterAutospacing="0" w:line="360" w:lineRule="auto"/>
        <w:jc w:val="center"/>
        <w:rPr>
          <w:rFonts w:hint="eastAsia" w:ascii="Arial" w:hAnsi="Arial" w:eastAsia="宋体" w:cs="Arial"/>
          <w:b/>
          <w:color w:val="000000"/>
          <w:sz w:val="32"/>
          <w:szCs w:val="32"/>
        </w:rPr>
      </w:pPr>
    </w:p>
    <w:p w14:paraId="110482D2">
      <w:pPr>
        <w:pStyle w:val="32"/>
        <w:spacing w:before="120" w:beforeAutospacing="0" w:after="120" w:afterAutospacing="0" w:line="360" w:lineRule="auto"/>
        <w:jc w:val="center"/>
        <w:rPr>
          <w:rFonts w:hint="eastAsia" w:ascii="Arial" w:hAnsi="Arial" w:eastAsia="宋体" w:cs="Arial"/>
          <w:b/>
          <w:color w:val="000000"/>
          <w:sz w:val="32"/>
          <w:szCs w:val="32"/>
        </w:rPr>
      </w:pPr>
    </w:p>
    <w:p w14:paraId="4697E0C2">
      <w:pPr>
        <w:pStyle w:val="32"/>
        <w:spacing w:before="120" w:beforeAutospacing="0" w:after="120" w:afterAutospacing="0" w:line="360" w:lineRule="auto"/>
        <w:jc w:val="center"/>
        <w:rPr>
          <w:rFonts w:hint="eastAsia" w:ascii="Arial" w:hAnsi="Arial" w:eastAsia="宋体" w:cs="Arial"/>
          <w:b/>
          <w:color w:val="000000"/>
          <w:sz w:val="32"/>
          <w:szCs w:val="32"/>
        </w:rPr>
      </w:pPr>
    </w:p>
    <w:p w14:paraId="6F80BE90">
      <w:pPr>
        <w:pStyle w:val="32"/>
        <w:spacing w:before="120" w:beforeAutospacing="0" w:after="120" w:afterAutospacing="0" w:line="360" w:lineRule="auto"/>
        <w:jc w:val="center"/>
        <w:rPr>
          <w:rFonts w:ascii="Arial" w:hAnsi="Arial" w:eastAsia="宋体" w:cs="Arial"/>
          <w:b/>
          <w:color w:val="000000"/>
          <w:sz w:val="32"/>
          <w:szCs w:val="32"/>
        </w:rPr>
      </w:pPr>
      <w:r>
        <w:rPr>
          <w:rFonts w:hint="eastAsia" w:ascii="Arial" w:hAnsi="Arial" w:eastAsia="宋体" w:cs="Arial"/>
          <w:b/>
          <w:color w:val="000000"/>
          <w:sz w:val="32"/>
          <w:szCs w:val="32"/>
        </w:rPr>
        <w:t>滨海县人民政府办公室</w:t>
      </w:r>
    </w:p>
    <w:p w14:paraId="685CAE86">
      <w:pPr>
        <w:pStyle w:val="32"/>
        <w:spacing w:before="120" w:beforeAutospacing="0" w:after="120" w:afterAutospacing="0" w:line="360" w:lineRule="auto"/>
        <w:jc w:val="center"/>
      </w:pPr>
      <w:r>
        <w:rPr>
          <w:rFonts w:hint="eastAsia" w:ascii="Arial" w:hAnsi="Arial" w:cs="Arial"/>
          <w:b/>
          <w:color w:val="000000"/>
          <w:sz w:val="32"/>
          <w:szCs w:val="32"/>
        </w:rPr>
        <w:t>2026</w:t>
      </w:r>
      <w:r>
        <w:rPr>
          <w:rFonts w:ascii="Arial" w:hAnsi="Arial" w:cs="Arial"/>
          <w:b/>
          <w:color w:val="000000"/>
          <w:sz w:val="32"/>
          <w:szCs w:val="32"/>
        </w:rPr>
        <w:t>年</w:t>
      </w:r>
      <w:r>
        <w:rPr>
          <w:rFonts w:hint="eastAsia" w:ascii="Arial" w:hAnsi="Arial" w:eastAsia="宋体" w:cs="Arial"/>
          <w:b/>
          <w:color w:val="000000"/>
          <w:sz w:val="32"/>
          <w:szCs w:val="32"/>
          <w:lang w:val="en-US" w:eastAsia="zh-CN"/>
        </w:rPr>
        <w:t>6</w:t>
      </w:r>
      <w:bookmarkStart w:id="204" w:name="_GoBack"/>
      <w:bookmarkEnd w:id="204"/>
      <w:r>
        <w:rPr>
          <w:rFonts w:ascii="Arial" w:hAnsi="Arial" w:cs="Arial"/>
          <w:b/>
          <w:color w:val="000000"/>
          <w:sz w:val="32"/>
          <w:szCs w:val="32"/>
        </w:rPr>
        <w:t>月</w:t>
      </w:r>
    </w:p>
    <w:p w14:paraId="169BFDE5">
      <w:pPr>
        <w:pStyle w:val="32"/>
        <w:spacing w:before="120" w:beforeAutospacing="0" w:after="120" w:afterAutospacing="0" w:line="360" w:lineRule="auto"/>
      </w:pPr>
      <w:r>
        <w:rPr>
          <w:rFonts w:ascii="Arial" w:hAnsi="Arial" w:cs="Arial"/>
          <w:color w:val="000000"/>
        </w:rPr>
        <w:t>                       </w:t>
      </w:r>
    </w:p>
    <w:p w14:paraId="3CB4D792">
      <w:pPr>
        <w:pStyle w:val="32"/>
        <w:spacing w:beforeAutospacing="0" w:afterAutospacing="0" w:line="36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16938516"/>
      <w:bookmarkStart w:id="1" w:name="_Toc20823272"/>
      <w:bookmarkStart w:id="2" w:name="_Toc523127445"/>
      <w:bookmarkStart w:id="3" w:name="_Toc513029200"/>
      <w:bookmarkStart w:id="4" w:name="_Toc120614210"/>
      <w:bookmarkStart w:id="5" w:name="_Toc479757206"/>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518B4041">
      <w:pPr>
        <w:pStyle w:val="32"/>
        <w:spacing w:beforeAutospacing="0" w:afterAutospacing="0" w:line="360" w:lineRule="auto"/>
        <w:jc w:val="both"/>
      </w:pPr>
      <w:r>
        <w:t> </w:t>
      </w:r>
    </w:p>
    <w:p w14:paraId="7076CA2F">
      <w:pPr>
        <w:pStyle w:val="32"/>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第一章  招标公告</w:t>
      </w:r>
    </w:p>
    <w:p w14:paraId="6CC6833B">
      <w:pPr>
        <w:pStyle w:val="32"/>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第二章  投标人须知 </w:t>
      </w:r>
    </w:p>
    <w:p w14:paraId="65A6FD36">
      <w:pPr>
        <w:pStyle w:val="32"/>
        <w:tabs>
          <w:tab w:val="left" w:pos="1441"/>
        </w:tabs>
        <w:spacing w:beforeAutospacing="0" w:afterAutospacing="0" w:line="360" w:lineRule="auto"/>
        <w:ind w:firstLine="720"/>
        <w:jc w:val="both"/>
      </w:pPr>
      <w:r>
        <w:rPr>
          <w:rFonts w:hint="eastAsia" w:ascii="黑体" w:hAnsi="宋体" w:eastAsia="黑体" w:cs="黑体"/>
          <w:color w:val="000000"/>
          <w:sz w:val="36"/>
          <w:szCs w:val="36"/>
        </w:rPr>
        <w:t>第三章  合同文本</w:t>
      </w:r>
    </w:p>
    <w:p w14:paraId="1AD9A31C">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第四章  采购需求</w:t>
      </w:r>
    </w:p>
    <w:p w14:paraId="16CFBD74">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第五章  评标方法与评标标准</w:t>
      </w:r>
    </w:p>
    <w:p w14:paraId="6BBB1809">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第六章  投标文件格式</w:t>
      </w:r>
    </w:p>
    <w:p w14:paraId="3FA32B0F">
      <w:pPr>
        <w:pStyle w:val="32"/>
        <w:spacing w:beforeAutospacing="0" w:afterAutospacing="0" w:line="360" w:lineRule="auto"/>
        <w:jc w:val="both"/>
      </w:pPr>
      <w:r>
        <w:t> </w:t>
      </w:r>
    </w:p>
    <w:p w14:paraId="5D9C4229">
      <w:pPr>
        <w:pStyle w:val="32"/>
        <w:spacing w:beforeAutospacing="0" w:afterAutospacing="0" w:line="360" w:lineRule="auto"/>
        <w:jc w:val="both"/>
      </w:pPr>
      <w:r>
        <w:t> </w:t>
      </w:r>
    </w:p>
    <w:p w14:paraId="113ADA5D">
      <w:pPr>
        <w:pStyle w:val="32"/>
        <w:spacing w:beforeAutospacing="0" w:afterAutospacing="0" w:line="360" w:lineRule="auto"/>
        <w:jc w:val="both"/>
      </w:pPr>
      <w:r>
        <w:t> </w:t>
      </w:r>
    </w:p>
    <w:p w14:paraId="280B5C50">
      <w:pPr>
        <w:pStyle w:val="32"/>
        <w:spacing w:beforeAutospacing="0" w:afterAutospacing="0" w:line="360" w:lineRule="auto"/>
        <w:jc w:val="both"/>
      </w:pPr>
      <w:r>
        <w:t> </w:t>
      </w:r>
    </w:p>
    <w:p w14:paraId="13A6C1D6">
      <w:pPr>
        <w:pStyle w:val="32"/>
        <w:spacing w:beforeAutospacing="0" w:afterAutospacing="0" w:line="360" w:lineRule="auto"/>
        <w:jc w:val="both"/>
      </w:pPr>
      <w:r>
        <w:t> </w:t>
      </w:r>
    </w:p>
    <w:p w14:paraId="5FE471E2">
      <w:pPr>
        <w:pStyle w:val="32"/>
        <w:spacing w:beforeAutospacing="0" w:afterAutospacing="0" w:line="360" w:lineRule="auto"/>
        <w:jc w:val="both"/>
      </w:pPr>
      <w:r>
        <w:t> </w:t>
      </w:r>
    </w:p>
    <w:p w14:paraId="737F2202">
      <w:pPr>
        <w:pStyle w:val="32"/>
        <w:spacing w:beforeAutospacing="0" w:afterAutospacing="0" w:line="360" w:lineRule="auto"/>
        <w:jc w:val="both"/>
      </w:pPr>
      <w:r>
        <w:t> </w:t>
      </w:r>
    </w:p>
    <w:p w14:paraId="3B5DAB39">
      <w:pPr>
        <w:pStyle w:val="32"/>
        <w:spacing w:beforeAutospacing="0" w:afterAutospacing="0" w:line="360" w:lineRule="auto"/>
        <w:jc w:val="both"/>
      </w:pPr>
      <w:r>
        <w:t> </w:t>
      </w:r>
    </w:p>
    <w:p w14:paraId="2ECC4B52">
      <w:pPr>
        <w:pStyle w:val="32"/>
        <w:spacing w:beforeAutospacing="0" w:afterAutospacing="0" w:line="360" w:lineRule="auto"/>
        <w:jc w:val="both"/>
      </w:pPr>
      <w:r>
        <w:t> </w:t>
      </w:r>
    </w:p>
    <w:p w14:paraId="5783611B">
      <w:pPr>
        <w:pStyle w:val="32"/>
        <w:spacing w:beforeAutospacing="0" w:afterAutospacing="0" w:line="360" w:lineRule="auto"/>
        <w:jc w:val="both"/>
      </w:pPr>
      <w:r>
        <w:t> </w:t>
      </w:r>
    </w:p>
    <w:p w14:paraId="25D6B11D">
      <w:pPr>
        <w:pStyle w:val="32"/>
        <w:spacing w:beforeAutospacing="0" w:afterAutospacing="0" w:line="360" w:lineRule="auto"/>
        <w:jc w:val="both"/>
      </w:pPr>
      <w:r>
        <w:t> </w:t>
      </w:r>
    </w:p>
    <w:p w14:paraId="25615BE8">
      <w:pPr>
        <w:pStyle w:val="32"/>
        <w:spacing w:beforeAutospacing="0" w:afterAutospacing="0" w:line="360" w:lineRule="auto"/>
        <w:jc w:val="both"/>
      </w:pPr>
      <w:r>
        <w:t> </w:t>
      </w:r>
    </w:p>
    <w:p w14:paraId="7D3D42E5">
      <w:pPr>
        <w:pStyle w:val="32"/>
        <w:spacing w:beforeAutospacing="0" w:afterAutospacing="0" w:line="360" w:lineRule="auto"/>
        <w:jc w:val="both"/>
      </w:pPr>
      <w:r>
        <w:t> </w:t>
      </w:r>
    </w:p>
    <w:p w14:paraId="44F7A015">
      <w:pPr>
        <w:pStyle w:val="32"/>
        <w:spacing w:beforeAutospacing="0" w:afterAutospacing="0" w:line="360" w:lineRule="auto"/>
        <w:jc w:val="both"/>
      </w:pPr>
      <w:r>
        <w:t> </w:t>
      </w:r>
    </w:p>
    <w:p w14:paraId="24072D9A">
      <w:pPr>
        <w:pStyle w:val="32"/>
        <w:spacing w:beforeAutospacing="0" w:afterAutospacing="0" w:line="360" w:lineRule="auto"/>
        <w:jc w:val="both"/>
      </w:pPr>
      <w:r>
        <w:t> </w:t>
      </w:r>
    </w:p>
    <w:p w14:paraId="30722B2B">
      <w:pPr>
        <w:pStyle w:val="32"/>
        <w:spacing w:beforeAutospacing="0" w:afterAutospacing="0" w:line="360" w:lineRule="auto"/>
        <w:jc w:val="both"/>
      </w:pPr>
      <w:r>
        <w:t> </w:t>
      </w:r>
    </w:p>
    <w:p w14:paraId="63FD2143">
      <w:pPr>
        <w:pStyle w:val="32"/>
        <w:spacing w:beforeAutospacing="0" w:afterAutospacing="0" w:line="360" w:lineRule="auto"/>
        <w:jc w:val="both"/>
      </w:pPr>
      <w:r>
        <w:t> </w:t>
      </w:r>
    </w:p>
    <w:p w14:paraId="081E88B4">
      <w:pPr>
        <w:pStyle w:val="32"/>
        <w:spacing w:beforeAutospacing="0" w:afterAutospacing="0" w:line="360" w:lineRule="auto"/>
        <w:jc w:val="both"/>
      </w:pPr>
      <w:r>
        <w:t> </w:t>
      </w:r>
    </w:p>
    <w:p w14:paraId="6BC7B3B1">
      <w:pPr>
        <w:pStyle w:val="32"/>
        <w:spacing w:beforeAutospacing="0" w:afterAutospacing="0" w:line="360" w:lineRule="auto"/>
        <w:jc w:val="both"/>
      </w:pPr>
      <w:r>
        <w:t> </w:t>
      </w:r>
    </w:p>
    <w:p w14:paraId="3B7BAA46">
      <w:pPr>
        <w:pStyle w:val="32"/>
        <w:spacing w:beforeAutospacing="0" w:afterAutospacing="0" w:line="360" w:lineRule="auto"/>
        <w:jc w:val="both"/>
        <w:sectPr>
          <w:pgSz w:w="11906" w:h="16838"/>
          <w:pgMar w:top="1440" w:right="1701" w:bottom="1440" w:left="1701" w:header="851" w:footer="992" w:gutter="0"/>
          <w:cols w:space="425" w:num="1"/>
          <w:docGrid w:linePitch="360" w:charSpace="0"/>
        </w:sectPr>
      </w:pPr>
    </w:p>
    <w:p w14:paraId="1FC930BA">
      <w:pPr>
        <w:pStyle w:val="32"/>
        <w:spacing w:beforeAutospacing="0" w:afterAutospacing="0" w:line="360" w:lineRule="auto"/>
        <w:jc w:val="both"/>
        <w:rPr>
          <w:rFonts w:eastAsia="黑体"/>
          <w:sz w:val="48"/>
          <w:szCs w:val="48"/>
        </w:rPr>
      </w:pPr>
      <w:r>
        <w:t> </w:t>
      </w:r>
      <w:r>
        <w:rPr>
          <w:rFonts w:hint="eastAsia"/>
        </w:rPr>
        <w:t xml:space="preserve">               </w:t>
      </w:r>
      <w:r>
        <w:rPr>
          <w:rFonts w:hint="eastAsia"/>
          <w:sz w:val="48"/>
          <w:szCs w:val="48"/>
        </w:rPr>
        <w:t xml:space="preserve"> </w:t>
      </w:r>
      <w:r>
        <w:rPr>
          <w:rFonts w:hint="eastAsia" w:ascii="黑体" w:hAnsi="宋体" w:eastAsia="黑体" w:cs="黑体"/>
          <w:color w:val="000000"/>
          <w:sz w:val="48"/>
          <w:szCs w:val="48"/>
        </w:rPr>
        <w:t>第一章 招标公告</w:t>
      </w:r>
    </w:p>
    <w:p w14:paraId="353EDAC1">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项目概况</w:t>
      </w:r>
    </w:p>
    <w:p w14:paraId="5698BB06">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u w:val="single"/>
        </w:rPr>
        <w:t>滨海县行政办公中心机房及网络安全建设项目</w:t>
      </w:r>
      <w:r>
        <w:rPr>
          <w:rFonts w:hint="eastAsia" w:ascii="宋体" w:hAnsi="宋体" w:eastAsia="宋体" w:cs="宋体"/>
          <w:color w:val="000000"/>
        </w:rPr>
        <w:t>招标项目的潜在投标人可在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，并于</w:t>
      </w:r>
      <w:r>
        <w:rPr>
          <w:rFonts w:hint="eastAsia" w:ascii="宋体" w:hAnsi="宋体" w:eastAsia="宋体" w:cs="宋体"/>
          <w:u w:val="single"/>
        </w:rPr>
        <w:t>2026年</w:t>
      </w:r>
      <w:r>
        <w:rPr>
          <w:rFonts w:hint="eastAsia" w:ascii="宋体" w:hAnsi="宋体" w:eastAsia="宋体" w:cs="宋体"/>
          <w:u w:val="single"/>
          <w:lang w:val="en-US" w:eastAsia="zh-CN"/>
        </w:rPr>
        <w:t>6</w:t>
      </w:r>
      <w:r>
        <w:rPr>
          <w:rFonts w:hint="eastAsia" w:ascii="宋体" w:hAnsi="宋体" w:eastAsia="宋体" w:cs="宋体"/>
          <w:u w:val="single"/>
        </w:rPr>
        <w:t>月</w:t>
      </w:r>
      <w:r>
        <w:rPr>
          <w:rFonts w:hint="eastAsia" w:ascii="宋体" w:hAnsi="宋体" w:eastAsia="宋体" w:cs="宋体"/>
          <w:u w:val="single"/>
          <w:lang w:val="en-US" w:eastAsia="zh-CN"/>
        </w:rPr>
        <w:t>25</w:t>
      </w:r>
      <w:r>
        <w:rPr>
          <w:rFonts w:hint="eastAsia" w:ascii="宋体" w:hAnsi="宋体" w:eastAsia="宋体" w:cs="宋体"/>
          <w:u w:val="single"/>
        </w:rPr>
        <w:t>日9点00分00秒</w:t>
      </w:r>
      <w:r>
        <w:rPr>
          <w:rFonts w:hint="eastAsia" w:ascii="宋体" w:hAnsi="宋体" w:eastAsia="宋体" w:cs="宋体"/>
          <w:color w:val="000000"/>
          <w:u w:val="single"/>
        </w:rPr>
        <w:t>（</w:t>
      </w:r>
      <w:r>
        <w:rPr>
          <w:rFonts w:hint="eastAsia" w:ascii="宋体" w:hAnsi="宋体" w:eastAsia="宋体" w:cs="宋体"/>
          <w:color w:val="000000"/>
        </w:rPr>
        <w:t>北京时间）前递交投标文件。</w:t>
      </w:r>
    </w:p>
    <w:p w14:paraId="034D449E">
      <w:pPr>
        <w:pStyle w:val="32"/>
        <w:keepNext/>
        <w:keepLines/>
        <w:spacing w:beforeAutospacing="0" w:afterAutospacing="0" w:line="500" w:lineRule="exact"/>
        <w:ind w:firstLine="498"/>
        <w:jc w:val="both"/>
        <w:rPr>
          <w:rFonts w:hint="eastAsia" w:ascii="宋体" w:hAnsi="宋体" w:eastAsia="宋体" w:cs="宋体"/>
        </w:rPr>
      </w:pPr>
      <w:bookmarkStart w:id="6" w:name="_Toc35393790"/>
      <w:bookmarkStart w:id="7" w:name="_Toc35393621"/>
      <w:bookmarkStart w:id="8" w:name="_Toc28359079"/>
      <w:bookmarkStart w:id="9" w:name="_Hlk24379207"/>
      <w:bookmarkStart w:id="10" w:name="_Toc28359002"/>
      <w:bookmarkStart w:id="11" w:name="_Toc38985263"/>
      <w:r>
        <w:rPr>
          <w:rFonts w:hint="eastAsia" w:ascii="宋体" w:hAnsi="宋体" w:eastAsia="宋体" w:cs="宋体"/>
          <w:b/>
          <w:color w:val="000000"/>
        </w:rPr>
        <w:t>一、项目基本情况</w:t>
      </w:r>
      <w:bookmarkEnd w:id="6"/>
      <w:bookmarkEnd w:id="7"/>
      <w:bookmarkEnd w:id="8"/>
      <w:bookmarkEnd w:id="9"/>
      <w:bookmarkEnd w:id="10"/>
      <w:bookmarkEnd w:id="11"/>
    </w:p>
    <w:p w14:paraId="50DD4B9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1.项目编号：JSZC-320922-JZCG-G2026-0006</w:t>
      </w:r>
    </w:p>
    <w:p w14:paraId="0528729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2.项目名称：滨海县行政办公中心机房及网络安全建设项目</w:t>
      </w:r>
    </w:p>
    <w:p w14:paraId="611CA5A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442FD43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4.预算金额：110万元</w:t>
      </w:r>
    </w:p>
    <w:p w14:paraId="1ADD5F7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5.最高限价：110万元</w:t>
      </w:r>
    </w:p>
    <w:p w14:paraId="2898FC8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6.采购需求（简介）：</w:t>
      </w:r>
      <w:r>
        <w:rPr>
          <w:rFonts w:ascii="宋体" w:hAnsi="宋体" w:eastAsia="宋体" w:cs="宋体"/>
        </w:rPr>
        <w:t>滨海县人民政府机房因软硬件设施过保、环境监控缺失等问题需系统性整改升级，采购网络安全设备、机房电源及空调、交换设备，并配备 1 名专职驻场人员提供巡检、漏洞扫描等运维服务，含设备采购、安装调试、培训及三年维保等全流程服务。</w:t>
      </w:r>
      <w:r>
        <w:rPr>
          <w:rFonts w:hint="eastAsia" w:ascii="宋体" w:hAnsi="宋体" w:eastAsia="宋体" w:cs="宋体"/>
          <w:color w:val="000000"/>
        </w:rPr>
        <w:t>详细内容见本招标文件第四章。</w:t>
      </w:r>
    </w:p>
    <w:p w14:paraId="5B8C346D">
      <w:pPr>
        <w:pStyle w:val="32"/>
        <w:spacing w:beforeAutospacing="0" w:afterAutospacing="0" w:line="500" w:lineRule="exact"/>
        <w:ind w:firstLine="480"/>
        <w:jc w:val="both"/>
        <w:rPr>
          <w:rFonts w:hint="eastAsia" w:ascii="宋体" w:hAnsi="宋体" w:eastAsia="宋体" w:cs="宋体"/>
          <w:b w:val="0"/>
          <w:bCs w:val="0"/>
          <w:color w:val="000000"/>
        </w:rPr>
      </w:pPr>
      <w:r>
        <w:rPr>
          <w:rFonts w:hint="eastAsia" w:ascii="宋体" w:hAnsi="宋体" w:eastAsia="宋体" w:cs="宋体"/>
          <w:b w:val="0"/>
          <w:bCs w:val="0"/>
          <w:color w:val="000000"/>
        </w:rPr>
        <w:t>7.合同履行期限：</w:t>
      </w:r>
      <w:r>
        <w:rPr>
          <w:rFonts w:ascii="宋体" w:hAnsi="宋体" w:eastAsia="宋体" w:cs="宋体"/>
          <w:b w:val="0"/>
          <w:bCs w:val="0"/>
        </w:rPr>
        <w:t>合同生效后</w:t>
      </w:r>
      <w:r>
        <w:rPr>
          <w:rFonts w:hint="eastAsia" w:ascii="宋体" w:hAnsi="宋体" w:eastAsia="宋体" w:cs="宋体"/>
          <w:b w:val="0"/>
          <w:bCs w:val="0"/>
        </w:rPr>
        <w:t>30</w:t>
      </w:r>
      <w:r>
        <w:rPr>
          <w:rStyle w:val="39"/>
          <w:rFonts w:ascii="宋体" w:hAnsi="宋体" w:eastAsia="宋体" w:cs="宋体"/>
          <w:b w:val="0"/>
          <w:bCs w:val="0"/>
          <w:color w:val="000000"/>
        </w:rPr>
        <w:t>日历天</w:t>
      </w:r>
      <w:r>
        <w:rPr>
          <w:rFonts w:ascii="宋体" w:hAnsi="宋体" w:eastAsia="宋体" w:cs="宋体"/>
          <w:b w:val="0"/>
          <w:bCs w:val="0"/>
        </w:rPr>
        <w:t>内完成安装调试</w:t>
      </w:r>
    </w:p>
    <w:p w14:paraId="4CA57506">
      <w:pPr>
        <w:pStyle w:val="32"/>
        <w:spacing w:beforeAutospacing="0" w:afterAutospacing="0" w:line="500" w:lineRule="exact"/>
        <w:ind w:firstLine="480"/>
        <w:jc w:val="both"/>
        <w:rPr>
          <w:rFonts w:hint="eastAsia" w:ascii="宋体" w:hAnsi="宋体" w:eastAsia="宋体" w:cs="宋体"/>
          <w:b w:val="0"/>
          <w:bCs w:val="0"/>
          <w:color w:val="000000"/>
        </w:rPr>
      </w:pPr>
      <w:r>
        <w:rPr>
          <w:rFonts w:hint="eastAsia" w:ascii="宋体" w:hAnsi="宋体" w:eastAsia="宋体" w:cs="宋体"/>
          <w:b w:val="0"/>
          <w:bCs w:val="0"/>
          <w:color w:val="000000"/>
        </w:rPr>
        <w:t>8.维保期：</w:t>
      </w:r>
      <w:r>
        <w:rPr>
          <w:rFonts w:ascii="宋体" w:hAnsi="宋体" w:eastAsia="宋体" w:cs="宋体"/>
          <w:b w:val="0"/>
          <w:bCs w:val="0"/>
        </w:rPr>
        <w:t>项目</w:t>
      </w:r>
      <w:r>
        <w:rPr>
          <w:rStyle w:val="39"/>
          <w:rFonts w:ascii="宋体" w:hAnsi="宋体" w:eastAsia="宋体" w:cs="宋体"/>
          <w:b w:val="0"/>
          <w:bCs w:val="0"/>
          <w:color w:val="000000"/>
        </w:rPr>
        <w:t>验收合格之日</w:t>
      </w:r>
      <w:r>
        <w:rPr>
          <w:rFonts w:ascii="宋体" w:hAnsi="宋体" w:eastAsia="宋体" w:cs="宋体"/>
          <w:b w:val="0"/>
          <w:bCs w:val="0"/>
        </w:rPr>
        <w:t xml:space="preserve">起，免费维保 </w:t>
      </w:r>
      <w:r>
        <w:rPr>
          <w:rStyle w:val="39"/>
          <w:rFonts w:ascii="宋体" w:hAnsi="宋体" w:eastAsia="宋体" w:cs="宋体"/>
          <w:b w:val="0"/>
          <w:bCs w:val="0"/>
          <w:color w:val="000000"/>
        </w:rPr>
        <w:t>3 年（36 个月）</w:t>
      </w:r>
    </w:p>
    <w:p w14:paraId="6C6F03E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9.本项目核心产品</w:t>
      </w:r>
      <w:r>
        <w:rPr>
          <w:rFonts w:hint="eastAsia" w:ascii="宋体" w:hAnsi="宋体" w:eastAsia="宋体" w:cs="宋体"/>
          <w:color w:val="000000"/>
          <w:lang w:eastAsia="zh-CN"/>
        </w:rPr>
        <w:t>：</w:t>
      </w:r>
      <w:r>
        <w:rPr>
          <w:rFonts w:hint="eastAsia" w:ascii="宋体" w:hAnsi="宋体" w:eastAsia="宋体" w:cs="宋体"/>
          <w:color w:val="000000"/>
          <w:sz w:val="24"/>
          <w:lang w:bidi="ar"/>
        </w:rPr>
        <w:t>核心交换机</w:t>
      </w:r>
    </w:p>
    <w:p w14:paraId="3F26131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10.本项目不接受联合体参与投标</w:t>
      </w:r>
    </w:p>
    <w:p w14:paraId="0E0D8B02">
      <w:pPr>
        <w:pStyle w:val="32"/>
        <w:keepNext/>
        <w:keepLines/>
        <w:spacing w:beforeAutospacing="0" w:afterAutospacing="0" w:line="500" w:lineRule="exact"/>
        <w:ind w:firstLine="498"/>
        <w:jc w:val="both"/>
        <w:rPr>
          <w:rFonts w:hint="eastAsia" w:ascii="宋体" w:hAnsi="宋体" w:eastAsia="宋体" w:cs="宋体"/>
        </w:rPr>
      </w:pPr>
      <w:bookmarkStart w:id="12" w:name="_Toc35393791"/>
      <w:bookmarkStart w:id="13" w:name="_Toc35393622"/>
      <w:bookmarkStart w:id="14" w:name="_Toc28359003"/>
      <w:bookmarkStart w:id="15" w:name="_Toc28359080"/>
      <w:bookmarkStart w:id="16" w:name="_Toc38985264"/>
      <w:r>
        <w:rPr>
          <w:rFonts w:hint="eastAsia" w:ascii="宋体" w:hAnsi="宋体" w:eastAsia="宋体" w:cs="宋体"/>
          <w:b/>
          <w:color w:val="000000"/>
        </w:rPr>
        <w:t>二、申请人的资格要求：</w:t>
      </w:r>
      <w:bookmarkEnd w:id="12"/>
      <w:bookmarkEnd w:id="13"/>
      <w:bookmarkEnd w:id="14"/>
      <w:bookmarkEnd w:id="15"/>
      <w:bookmarkEnd w:id="16"/>
    </w:p>
    <w:p w14:paraId="206E5B1F">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29D556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1.1法人或者其他组织的营业执照等证明文件，自然人的身份证明；</w:t>
      </w:r>
    </w:p>
    <w:p w14:paraId="746164C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1.2上一年度的财务状况报告（至少提供资产负债表、利润表、现金流量表，投标人成立不满一年无需提供）；</w:t>
      </w:r>
    </w:p>
    <w:p w14:paraId="447D6C8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10815210">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F96DF1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D4ADC7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1.6法律、行政法规规定的其他条件。</w:t>
      </w:r>
    </w:p>
    <w:p w14:paraId="75DD647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0E516D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548D6F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2.落实政府采购政策需满足的资格要求：</w:t>
      </w:r>
      <w:r>
        <w:rPr>
          <w:rFonts w:hint="eastAsia" w:ascii="宋体" w:hAnsi="宋体" w:eastAsia="宋体" w:cs="宋体"/>
          <w:color w:val="000000"/>
          <w:u w:val="single"/>
          <w:lang w:val="en-US" w:eastAsia="zh-CN"/>
        </w:rPr>
        <w:t>否</w:t>
      </w:r>
      <w:r>
        <w:rPr>
          <w:rFonts w:hint="eastAsia" w:ascii="宋体" w:hAnsi="宋体" w:eastAsia="宋体" w:cs="宋体"/>
          <w:color w:val="000000"/>
        </w:rPr>
        <w:t>。</w:t>
      </w:r>
    </w:p>
    <w:p w14:paraId="3F4CB95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rPr>
        <w:t>3.本项目的特定资格要求：</w:t>
      </w:r>
      <w:r>
        <w:rPr>
          <w:rFonts w:hint="eastAsia" w:ascii="宋体" w:hAnsi="宋体" w:eastAsia="宋体" w:cs="宋体"/>
          <w:color w:val="000000"/>
          <w:u w:val="single"/>
        </w:rPr>
        <w:t>无</w:t>
      </w:r>
      <w:r>
        <w:rPr>
          <w:rFonts w:hint="eastAsia" w:ascii="宋体" w:hAnsi="宋体" w:eastAsia="宋体" w:cs="宋体"/>
          <w:color w:val="000000"/>
        </w:rPr>
        <w:t>。</w:t>
      </w:r>
    </w:p>
    <w:p w14:paraId="36DF568A">
      <w:pPr>
        <w:pStyle w:val="32"/>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color w:val="000000"/>
        </w:rPr>
        <w:t>三、获取招标文件</w:t>
      </w:r>
    </w:p>
    <w:p w14:paraId="6005F574">
      <w:pPr>
        <w:widowControl/>
        <w:spacing w:line="500" w:lineRule="exact"/>
        <w:ind w:firstLine="480"/>
        <w:jc w:val="left"/>
        <w:rPr>
          <w:rFonts w:hint="eastAsia" w:ascii="宋体" w:hAnsi="宋体" w:eastAsia="宋体" w:cs="宋体"/>
          <w:color w:val="000000"/>
          <w:sz w:val="24"/>
        </w:rPr>
      </w:pPr>
      <w:bookmarkStart w:id="17" w:name="_Toc28359082"/>
      <w:bookmarkStart w:id="18" w:name="_Toc35393793"/>
      <w:bookmarkStart w:id="19" w:name="_Toc28359005"/>
      <w:bookmarkStart w:id="20" w:name="_Toc35393624"/>
      <w:bookmarkStart w:id="21" w:name="_Toc38985266"/>
      <w:r>
        <w:rPr>
          <w:rFonts w:hint="eastAsia" w:ascii="宋体" w:hAnsi="宋体" w:eastAsia="宋体" w:cs="宋体"/>
          <w:color w:val="000000"/>
          <w:sz w:val="24"/>
        </w:rPr>
        <w:t>1.时间：</w:t>
      </w:r>
      <w:bookmarkEnd w:id="17"/>
      <w:bookmarkEnd w:id="18"/>
      <w:bookmarkEnd w:id="19"/>
      <w:bookmarkEnd w:id="20"/>
      <w:bookmarkEnd w:id="21"/>
      <w:r>
        <w:rPr>
          <w:rFonts w:hint="eastAsia" w:ascii="宋体" w:hAnsi="宋体" w:eastAsia="宋体" w:cs="宋体"/>
          <w:color w:val="000000"/>
          <w:sz w:val="24"/>
        </w:rPr>
        <w:t>自招标文件公告发布之日起5个工作日。</w:t>
      </w:r>
    </w:p>
    <w:p w14:paraId="0FC9B701">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2.地点：“苏采云”系统内免费下载（投标人必须在苏采云系统中获取采购文件，方能参与政府采购项目）；</w:t>
      </w:r>
    </w:p>
    <w:p w14:paraId="57D17229">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3.方式：本项目采用网上注册登记方式。</w:t>
      </w:r>
    </w:p>
    <w:p w14:paraId="42C04439">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4.售价：0元</w:t>
      </w:r>
    </w:p>
    <w:p w14:paraId="66EAF5EB">
      <w:pPr>
        <w:pStyle w:val="32"/>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78CBE36A">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1.时间：</w:t>
      </w:r>
      <w:r>
        <w:rPr>
          <w:rFonts w:hint="eastAsia" w:ascii="宋体" w:hAnsi="宋体" w:eastAsia="宋体" w:cs="宋体"/>
          <w:sz w:val="24"/>
        </w:rPr>
        <w:t>2026年</w:t>
      </w:r>
      <w:r>
        <w:rPr>
          <w:rFonts w:hint="eastAsia" w:ascii="宋体" w:hAnsi="宋体" w:eastAsia="宋体" w:cs="宋体"/>
          <w:sz w:val="24"/>
          <w:lang w:val="en-US" w:eastAsia="zh-CN"/>
        </w:rPr>
        <w:t>6</w:t>
      </w:r>
      <w:r>
        <w:rPr>
          <w:rFonts w:hint="eastAsia" w:ascii="宋体" w:hAnsi="宋体" w:eastAsia="宋体" w:cs="宋体"/>
          <w:sz w:val="24"/>
        </w:rPr>
        <w:t>月</w:t>
      </w:r>
      <w:r>
        <w:rPr>
          <w:rFonts w:hint="eastAsia" w:ascii="宋体" w:hAnsi="宋体" w:eastAsia="宋体" w:cs="宋体"/>
          <w:sz w:val="24"/>
          <w:lang w:val="en-US" w:eastAsia="zh-CN"/>
        </w:rPr>
        <w:t>25</w:t>
      </w:r>
      <w:r>
        <w:rPr>
          <w:rFonts w:hint="eastAsia" w:ascii="宋体" w:hAnsi="宋体" w:eastAsia="宋体" w:cs="宋体"/>
          <w:sz w:val="24"/>
        </w:rPr>
        <w:t>日9点00分00秒</w:t>
      </w:r>
      <w:r>
        <w:rPr>
          <w:rFonts w:hint="eastAsia" w:ascii="宋体" w:hAnsi="宋体" w:eastAsia="宋体" w:cs="宋体"/>
          <w:color w:val="000000"/>
          <w:sz w:val="24"/>
        </w:rPr>
        <w:t>（北京时间）</w:t>
      </w:r>
    </w:p>
    <w:p w14:paraId="3FF6EF1D">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2.地点：苏采云“不见面”开标大厅。</w:t>
      </w:r>
    </w:p>
    <w:p w14:paraId="7AC29489">
      <w:pPr>
        <w:pStyle w:val="32"/>
        <w:keepNext/>
        <w:keepLines/>
        <w:spacing w:beforeAutospacing="0" w:afterAutospacing="0" w:line="500" w:lineRule="exact"/>
        <w:ind w:firstLine="498"/>
        <w:jc w:val="both"/>
        <w:rPr>
          <w:rFonts w:hint="eastAsia" w:ascii="宋体" w:hAnsi="宋体" w:eastAsia="宋体" w:cs="宋体"/>
        </w:rPr>
      </w:pPr>
      <w:bookmarkStart w:id="22" w:name="_Toc35393625"/>
      <w:bookmarkStart w:id="23" w:name="_Toc28359084"/>
      <w:bookmarkStart w:id="24" w:name="_Toc28359007"/>
      <w:bookmarkStart w:id="25" w:name="_Toc38985267"/>
      <w:bookmarkStart w:id="26" w:name="_Toc35393794"/>
      <w:r>
        <w:rPr>
          <w:rFonts w:hint="eastAsia" w:ascii="宋体" w:hAnsi="宋体" w:eastAsia="宋体" w:cs="宋体"/>
          <w:b/>
          <w:color w:val="000000"/>
        </w:rPr>
        <w:t>五、公告期限</w:t>
      </w:r>
      <w:bookmarkEnd w:id="22"/>
      <w:bookmarkEnd w:id="23"/>
      <w:bookmarkEnd w:id="24"/>
      <w:bookmarkEnd w:id="25"/>
      <w:bookmarkEnd w:id="26"/>
    </w:p>
    <w:p w14:paraId="3F9A2129">
      <w:pPr>
        <w:pStyle w:val="32"/>
        <w:widowControl/>
        <w:shd w:val="clear" w:color="auto" w:fill="FFFFFF"/>
        <w:spacing w:beforeAutospacing="0" w:afterAutospacing="0" w:line="500" w:lineRule="exact"/>
        <w:ind w:firstLine="560"/>
        <w:jc w:val="both"/>
        <w:rPr>
          <w:rFonts w:hint="eastAsia" w:ascii="宋体" w:hAnsi="宋体" w:eastAsia="宋体" w:cs="宋体"/>
          <w:color w:val="333333"/>
          <w:shd w:val="clear" w:color="auto" w:fill="FFFFFF"/>
        </w:rPr>
      </w:pPr>
      <w:bookmarkStart w:id="27" w:name="_Toc35393795"/>
      <w:bookmarkStart w:id="28" w:name="_Toc38985268"/>
      <w:bookmarkStart w:id="29" w:name="_Toc35393626"/>
      <w:r>
        <w:rPr>
          <w:rFonts w:hint="eastAsia" w:ascii="宋体" w:hAnsi="宋体" w:eastAsia="宋体" w:cs="宋体"/>
          <w:color w:val="333333"/>
          <w:shd w:val="clear" w:color="auto" w:fill="FFFFFF"/>
        </w:rPr>
        <w:t>自本公告发布之日起5个工作日。</w:t>
      </w:r>
      <w:bookmarkEnd w:id="27"/>
      <w:bookmarkEnd w:id="28"/>
      <w:bookmarkEnd w:id="29"/>
    </w:p>
    <w:p w14:paraId="3BA3737C">
      <w:pPr>
        <w:pStyle w:val="32"/>
        <w:keepNext/>
        <w:keepLines/>
        <w:spacing w:beforeAutospacing="0" w:afterAutospacing="0" w:line="500" w:lineRule="exact"/>
        <w:ind w:firstLine="498"/>
        <w:jc w:val="both"/>
        <w:rPr>
          <w:rFonts w:hint="eastAsia" w:ascii="宋体" w:hAnsi="宋体" w:eastAsia="宋体" w:cs="宋体"/>
        </w:rPr>
      </w:pPr>
      <w:r>
        <w:rPr>
          <w:rFonts w:hint="eastAsia" w:ascii="宋体" w:hAnsi="宋体" w:eastAsia="宋体" w:cs="宋体"/>
          <w:b/>
          <w:color w:val="000000"/>
        </w:rPr>
        <w:t>六、其他补充事宜</w:t>
      </w:r>
    </w:p>
    <w:p w14:paraId="7306CCFC">
      <w:pPr>
        <w:pStyle w:val="32"/>
        <w:widowControl/>
        <w:shd w:val="clear" w:color="auto" w:fill="FFFFFF"/>
        <w:spacing w:beforeAutospacing="0" w:afterAutospacing="0" w:line="500" w:lineRule="exact"/>
        <w:ind w:firstLine="560"/>
        <w:jc w:val="both"/>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E09E3A8">
      <w:pPr>
        <w:spacing w:line="500" w:lineRule="exact"/>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领取CA和办理电子签章（</w:t>
      </w:r>
      <w:r>
        <w:rPr>
          <w:rFonts w:hint="eastAsia" w:ascii="宋体" w:hAnsi="宋体" w:eastAsia="宋体" w:cs="宋体"/>
          <w:sz w:val="24"/>
          <w:shd w:val="clear" w:color="auto" w:fill="FFFFFF"/>
        </w:rPr>
        <w:t>盐城市府西路1号盐城市公共资源交易中心四楼大厅10号，11号窗口办理</w:t>
      </w:r>
      <w:r>
        <w:rPr>
          <w:rFonts w:hint="eastAsia" w:ascii="宋体" w:hAnsi="宋体" w:eastAsia="宋体" w:cs="宋体"/>
          <w:color w:val="333333"/>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1085903">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2.潜在供应商访问电子招标响应交易平台的网络地址和方法：</w:t>
      </w:r>
    </w:p>
    <w:p w14:paraId="4B63C577">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4ACCDD2">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2.2潜在投标人访问“苏采云”系统方法：江苏省政府采购网首页-“苏采云”链接。</w:t>
      </w:r>
    </w:p>
    <w:p w14:paraId="570BD673">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2.3采购文件（后缀名为“.kedt”）、供应商操作手册及政府采购客户端工具可通过“苏采云”系统相应链接进行下载。</w:t>
      </w:r>
    </w:p>
    <w:p w14:paraId="666E244A">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2.4采购中心将数据电文形式的采购文件加载至“苏采云”系统，供潜在供应商下载或者查阅。</w:t>
      </w:r>
    </w:p>
    <w:p w14:paraId="11384DB0">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2.5请潜在投标单位提前安装相应的控件（详见《“苏采云”系统供应商操作手册》）并使用谷歌浏览器登录“苏采云”系统参与不见面开评标。</w:t>
      </w:r>
    </w:p>
    <w:p w14:paraId="1F4502E2">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如潜在投标人未按上述要求操作，将自行承担所产生的风险。</w:t>
      </w:r>
    </w:p>
    <w:p w14:paraId="1D9C80A7">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3.有关本次招标的事项若存在变动或修改，敬请及时关注滨海县政府采购中心在“中国政府采购网”“江苏政府采购网”“盐城市政府采购网”发布的更正公告。</w:t>
      </w:r>
    </w:p>
    <w:p w14:paraId="3C39646D">
      <w:pPr>
        <w:pStyle w:val="32"/>
        <w:widowControl/>
        <w:shd w:val="clear" w:color="auto" w:fill="FFFFFF"/>
        <w:spacing w:beforeAutospacing="0" w:afterAutospacing="0" w:line="500" w:lineRule="exact"/>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16DAD3C0">
      <w:pPr>
        <w:pStyle w:val="3"/>
        <w:widowControl/>
        <w:shd w:val="clear" w:color="auto" w:fill="FFFFFF"/>
        <w:spacing w:beforeAutospacing="0" w:afterAutospacing="0" w:line="500" w:lineRule="exact"/>
        <w:ind w:firstLine="480"/>
        <w:jc w:val="both"/>
        <w:rPr>
          <w:rFonts w:cs="宋体"/>
          <w:b w:val="0"/>
          <w:bCs w:val="0"/>
          <w:color w:val="333333"/>
          <w:sz w:val="24"/>
          <w:szCs w:val="24"/>
        </w:rPr>
      </w:pPr>
      <w:r>
        <w:rPr>
          <w:rFonts w:cs="宋体"/>
          <w:b w:val="0"/>
          <w:bCs w:val="0"/>
          <w:color w:val="333333"/>
          <w:sz w:val="24"/>
          <w:szCs w:val="24"/>
          <w:shd w:val="clear" w:color="auto" w:fill="FFFFFF"/>
        </w:rPr>
        <w:t>七、对本次招标提出询问，请按以下方式联系。</w:t>
      </w:r>
      <w:bookmarkEnd w:id="30"/>
    </w:p>
    <w:p w14:paraId="49FA724F">
      <w:pPr>
        <w:widowControl/>
        <w:spacing w:line="500" w:lineRule="exact"/>
        <w:ind w:firstLine="480"/>
        <w:jc w:val="left"/>
        <w:rPr>
          <w:rFonts w:hint="eastAsia" w:ascii="宋体" w:hAnsi="宋体" w:eastAsia="宋体" w:cs="宋体"/>
          <w:color w:val="000000"/>
          <w:sz w:val="24"/>
        </w:rPr>
      </w:pPr>
      <w:bookmarkStart w:id="31" w:name="_Toc28359009"/>
      <w:r>
        <w:rPr>
          <w:rFonts w:hint="eastAsia" w:ascii="宋体" w:hAnsi="宋体" w:eastAsia="宋体" w:cs="宋体"/>
          <w:color w:val="000000"/>
          <w:sz w:val="24"/>
        </w:rPr>
        <w:t>1.采购人信息</w:t>
      </w:r>
    </w:p>
    <w:p w14:paraId="7243AE77">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名    称：滨海县人民政府办公室</w:t>
      </w:r>
    </w:p>
    <w:p w14:paraId="122D1B14">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地    址：府前路1号</w:t>
      </w:r>
    </w:p>
    <w:p w14:paraId="352DDDE6">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联 系 人：徐先生</w:t>
      </w:r>
    </w:p>
    <w:p w14:paraId="30B84381">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联系电话：13770129440</w:t>
      </w:r>
    </w:p>
    <w:p w14:paraId="012D78A2">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名    称：滨海县公共资源交易中心（滨海县政府采购中心）</w:t>
      </w:r>
    </w:p>
    <w:p w14:paraId="7EE0CD45">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地    址：滨海县育才路 166 号滨海县政务服务中心三楼</w:t>
      </w:r>
    </w:p>
    <w:p w14:paraId="4DE1ED99">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联 系 人：周女士</w:t>
      </w:r>
    </w:p>
    <w:p w14:paraId="0A29F08E">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联系方式：19951333439</w:t>
      </w:r>
    </w:p>
    <w:p w14:paraId="297B9CB2">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3.项目联系方式</w:t>
      </w:r>
    </w:p>
    <w:p w14:paraId="32549F9F">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项目联系人：徐先生、周女士</w:t>
      </w:r>
    </w:p>
    <w:p w14:paraId="59087C27">
      <w:pPr>
        <w:widowControl/>
        <w:spacing w:line="500" w:lineRule="exact"/>
        <w:ind w:firstLine="480"/>
        <w:jc w:val="left"/>
        <w:rPr>
          <w:rFonts w:hint="eastAsia" w:ascii="宋体" w:hAnsi="宋体" w:eastAsia="宋体" w:cs="宋体"/>
          <w:color w:val="000000"/>
          <w:sz w:val="24"/>
        </w:rPr>
      </w:pPr>
      <w:r>
        <w:rPr>
          <w:rFonts w:hint="eastAsia" w:ascii="宋体" w:hAnsi="宋体" w:eastAsia="宋体" w:cs="宋体"/>
          <w:color w:val="000000"/>
          <w:sz w:val="24"/>
        </w:rPr>
        <w:t>电     话：13770129440、19951333439　　　　　　　　　　　</w:t>
      </w:r>
    </w:p>
    <w:p w14:paraId="456DD556">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 </w:t>
      </w:r>
    </w:p>
    <w:p w14:paraId="6DA6EB88">
      <w:pPr>
        <w:widowControl/>
        <w:spacing w:line="360" w:lineRule="auto"/>
        <w:ind w:firstLine="480"/>
        <w:jc w:val="left"/>
        <w:rPr>
          <w:rFonts w:hint="eastAsia" w:ascii="黑体" w:hAnsi="宋体" w:eastAsia="黑体" w:cs="黑体"/>
          <w:b/>
          <w:color w:val="000000"/>
          <w:sz w:val="48"/>
          <w:szCs w:val="48"/>
        </w:rPr>
      </w:pPr>
      <w:r>
        <w:rPr>
          <w:rFonts w:hint="eastAsia" w:ascii="宋体" w:hAnsi="宋体" w:eastAsia="宋体" w:cs="宋体"/>
          <w:color w:val="000000"/>
          <w:sz w:val="24"/>
        </w:rPr>
        <w:br w:type="page" w:clear="all"/>
      </w:r>
      <w:r>
        <w:rPr>
          <w:rFonts w:hint="eastAsia" w:ascii="宋体" w:hAnsi="宋体" w:eastAsia="宋体" w:cs="宋体"/>
          <w:color w:val="000000"/>
        </w:rPr>
        <w:t> </w:t>
      </w:r>
      <w:bookmarkStart w:id="32" w:name="_Toc120614211"/>
      <w:r>
        <w:rPr>
          <w:rFonts w:hint="eastAsia" w:ascii="宋体" w:hAnsi="宋体" w:eastAsia="宋体" w:cs="宋体"/>
          <w:color w:val="000000"/>
        </w:rPr>
        <w:t xml:space="preserve">          </w:t>
      </w:r>
      <w:r>
        <w:rPr>
          <w:rFonts w:hint="eastAsia" w:ascii="宋体" w:hAnsi="宋体" w:eastAsia="宋体" w:cs="宋体"/>
          <w:color w:val="000000"/>
          <w:sz w:val="48"/>
          <w:szCs w:val="48"/>
        </w:rPr>
        <w:t xml:space="preserve"> </w:t>
      </w:r>
      <w:r>
        <w:rPr>
          <w:rFonts w:hint="eastAsia" w:ascii="黑体" w:hAnsi="宋体" w:eastAsia="黑体" w:cs="黑体"/>
          <w:b/>
          <w:color w:val="000000"/>
          <w:sz w:val="48"/>
          <w:szCs w:val="48"/>
        </w:rPr>
        <w:t>第二章 </w:t>
      </w:r>
      <w:bookmarkEnd w:id="32"/>
      <w:bookmarkStart w:id="33" w:name="_Toc16938518"/>
      <w:bookmarkStart w:id="34" w:name="_Toc20823274"/>
      <w:bookmarkStart w:id="35" w:name="_Toc513029202"/>
      <w:bookmarkStart w:id="36" w:name="_Toc120614213"/>
      <w:r>
        <w:rPr>
          <w:rFonts w:hint="eastAsia" w:ascii="黑体" w:hAnsi="宋体" w:eastAsia="黑体" w:cs="黑体"/>
          <w:b/>
          <w:color w:val="000000"/>
          <w:sz w:val="48"/>
          <w:szCs w:val="48"/>
        </w:rPr>
        <w:t>投标人须知</w:t>
      </w:r>
      <w:bookmarkEnd w:id="33"/>
      <w:bookmarkEnd w:id="34"/>
      <w:bookmarkEnd w:id="35"/>
      <w:bookmarkEnd w:id="36"/>
      <w:bookmarkStart w:id="37" w:name="_Toc16938519"/>
      <w:bookmarkStart w:id="38" w:name="_Toc120614214"/>
      <w:bookmarkStart w:id="39" w:name="_Toc20823275"/>
      <w:bookmarkStart w:id="40" w:name="_Toc513029203"/>
    </w:p>
    <w:p w14:paraId="390AE049">
      <w:pPr>
        <w:pStyle w:val="32"/>
        <w:spacing w:beforeAutospacing="0" w:afterAutospacing="0" w:line="500" w:lineRule="exact"/>
        <w:ind w:right="839"/>
        <w:jc w:val="both"/>
        <w:rPr>
          <w:rFonts w:hint="eastAsia" w:ascii="宋体" w:hAnsi="宋体" w:eastAsia="宋体" w:cs="宋体"/>
          <w:b/>
          <w:color w:val="000000"/>
        </w:rPr>
      </w:pPr>
      <w:r>
        <w:rPr>
          <w:rFonts w:hint="eastAsia" w:ascii="宋体" w:hAnsi="宋体" w:eastAsia="宋体" w:cs="宋体"/>
          <w:b/>
          <w:color w:val="000000"/>
        </w:rPr>
        <w:t>一、总则</w:t>
      </w:r>
      <w:bookmarkEnd w:id="37"/>
      <w:bookmarkEnd w:id="38"/>
      <w:bookmarkEnd w:id="39"/>
      <w:bookmarkEnd w:id="40"/>
    </w:p>
    <w:p w14:paraId="1C8021E9">
      <w:pPr>
        <w:pStyle w:val="32"/>
        <w:spacing w:beforeAutospacing="0" w:afterAutospacing="0" w:line="500" w:lineRule="exact"/>
        <w:ind w:firstLine="480"/>
        <w:jc w:val="both"/>
        <w:rPr>
          <w:rFonts w:hint="eastAsia" w:ascii="宋体" w:hAnsi="宋体" w:eastAsia="宋体" w:cs="宋体"/>
          <w:color w:val="000000"/>
        </w:rPr>
      </w:pPr>
      <w:bookmarkStart w:id="41" w:name="_Toc16938520"/>
      <w:bookmarkStart w:id="42" w:name="_Toc513029204"/>
      <w:bookmarkStart w:id="43" w:name="_Toc458694821"/>
      <w:bookmarkStart w:id="44" w:name="_Toc20823276"/>
      <w:r>
        <w:rPr>
          <w:rFonts w:hint="eastAsia" w:ascii="宋体" w:hAnsi="宋体" w:eastAsia="宋体" w:cs="宋体"/>
          <w:color w:val="000000"/>
        </w:rPr>
        <w:t>1</w:t>
      </w:r>
      <w:bookmarkEnd w:id="41"/>
      <w:r>
        <w:rPr>
          <w:rFonts w:hint="eastAsia" w:ascii="宋体" w:hAnsi="宋体" w:eastAsia="宋体" w:cs="宋体"/>
          <w:color w:val="000000"/>
        </w:rPr>
        <w:t>、招标方式</w:t>
      </w:r>
      <w:bookmarkEnd w:id="42"/>
      <w:bookmarkEnd w:id="43"/>
      <w:bookmarkEnd w:id="44"/>
    </w:p>
    <w:p w14:paraId="5BB446A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1.1本次招标采取公开招标方式，本招标文件仅适用于招标公告中所述项目。</w:t>
      </w:r>
    </w:p>
    <w:p w14:paraId="4B34C4EF">
      <w:pPr>
        <w:pStyle w:val="32"/>
        <w:spacing w:beforeAutospacing="0" w:afterAutospacing="0" w:line="500" w:lineRule="exact"/>
        <w:ind w:firstLine="480"/>
        <w:jc w:val="both"/>
        <w:rPr>
          <w:rFonts w:hint="eastAsia" w:ascii="宋体" w:hAnsi="宋体" w:eastAsia="宋体" w:cs="宋体"/>
          <w:color w:val="000000"/>
        </w:rPr>
      </w:pPr>
      <w:bookmarkStart w:id="45" w:name="_Toc513029205"/>
      <w:bookmarkStart w:id="46" w:name="_Toc20823277"/>
      <w:bookmarkStart w:id="47" w:name="_Toc16938521"/>
      <w:r>
        <w:rPr>
          <w:rFonts w:hint="eastAsia" w:ascii="宋体" w:hAnsi="宋体" w:eastAsia="宋体" w:cs="宋体"/>
          <w:color w:val="000000"/>
        </w:rPr>
        <w:t>2、合格的投标人</w:t>
      </w:r>
      <w:bookmarkEnd w:id="45"/>
      <w:bookmarkEnd w:id="46"/>
      <w:bookmarkEnd w:id="47"/>
    </w:p>
    <w:p w14:paraId="7EEFE8D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6BEE657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70371938">
      <w:pPr>
        <w:pStyle w:val="32"/>
        <w:spacing w:beforeAutospacing="0" w:afterAutospacing="0" w:line="500" w:lineRule="exact"/>
        <w:ind w:firstLine="480"/>
        <w:jc w:val="both"/>
        <w:rPr>
          <w:rFonts w:hint="eastAsia" w:ascii="宋体" w:hAnsi="宋体" w:eastAsia="宋体" w:cs="宋体"/>
          <w:color w:val="000000"/>
        </w:rPr>
      </w:pPr>
      <w:bookmarkStart w:id="48" w:name="_Toc513029206"/>
      <w:bookmarkStart w:id="49" w:name="_Toc16938522"/>
      <w:bookmarkStart w:id="50" w:name="_Toc20823278"/>
      <w:bookmarkStart w:id="51" w:name="_Toc16938523"/>
      <w:bookmarkStart w:id="52" w:name="_Toc513029207"/>
      <w:bookmarkStart w:id="53" w:name="_Toc462564067"/>
      <w:bookmarkStart w:id="54" w:name="_Toc20823279"/>
      <w:r>
        <w:rPr>
          <w:rFonts w:hint="eastAsia" w:ascii="宋体" w:hAnsi="宋体" w:eastAsia="宋体" w:cs="宋体"/>
          <w:color w:val="000000"/>
        </w:rPr>
        <w:t>3、适用法律</w:t>
      </w:r>
      <w:bookmarkEnd w:id="48"/>
      <w:bookmarkEnd w:id="49"/>
      <w:bookmarkEnd w:id="50"/>
      <w:r>
        <w:rPr>
          <w:rFonts w:hint="eastAsia" w:ascii="宋体" w:hAnsi="宋体" w:eastAsia="宋体" w:cs="宋体"/>
          <w:color w:val="000000"/>
        </w:rPr>
        <w:t>和标准</w:t>
      </w:r>
    </w:p>
    <w:p w14:paraId="6AC9498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3.1本次招标及由此产生的合同受中华人民共和国有关的法律法规制约和保护。</w:t>
      </w:r>
    </w:p>
    <w:p w14:paraId="709E1A6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3.2在本项目政府采购活动过程中，如果所执行的标准有更新的，按照最新标准执行。</w:t>
      </w:r>
    </w:p>
    <w:p w14:paraId="5F8F2D2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4、投标费用</w:t>
      </w:r>
      <w:bookmarkEnd w:id="51"/>
      <w:bookmarkEnd w:id="52"/>
      <w:bookmarkEnd w:id="53"/>
      <w:bookmarkEnd w:id="54"/>
    </w:p>
    <w:p w14:paraId="65FA9F1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4.1投标人应自行承担所有与参加投标有关的费用，无论投标过程中的做法和结果如何，</w:t>
      </w:r>
      <w:r>
        <w:rPr>
          <w:rFonts w:ascii="宋体" w:hAnsi="宋体" w:eastAsia="宋体" w:cs="宋体"/>
        </w:rPr>
        <w:t>滨海县政府采购中心（以下简称采购中心）</w:t>
      </w:r>
      <w:r>
        <w:rPr>
          <w:rFonts w:hint="eastAsia" w:ascii="宋体" w:hAnsi="宋体" w:eastAsia="宋体" w:cs="宋体"/>
          <w:color w:val="000000"/>
        </w:rPr>
        <w:t>在任何情况下均无义务和责任承担这些费用。</w:t>
      </w:r>
    </w:p>
    <w:p w14:paraId="791FD21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4.2本次招标采购人及采购中心不收取标书工本费与中标服务费。</w:t>
      </w:r>
    </w:p>
    <w:p w14:paraId="7D8F29D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5、招标文件的约束力</w:t>
      </w:r>
    </w:p>
    <w:p w14:paraId="49CFBB3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0E07E93D">
      <w:pPr>
        <w:pStyle w:val="32"/>
        <w:spacing w:beforeAutospacing="0" w:afterAutospacing="0" w:line="500" w:lineRule="exact"/>
        <w:ind w:right="839"/>
        <w:jc w:val="both"/>
        <w:rPr>
          <w:rFonts w:hint="eastAsia" w:ascii="宋体" w:hAnsi="宋体" w:eastAsia="宋体" w:cs="宋体"/>
          <w:b/>
          <w:color w:val="000000"/>
        </w:rPr>
      </w:pPr>
      <w:bookmarkStart w:id="55" w:name="_Toc120614215"/>
      <w:bookmarkStart w:id="56" w:name="_Toc16938525"/>
      <w:bookmarkStart w:id="57" w:name="_Toc20823281"/>
      <w:bookmarkStart w:id="58" w:name="_Toc513029209"/>
      <w:r>
        <w:rPr>
          <w:rFonts w:hint="eastAsia" w:ascii="宋体" w:hAnsi="宋体" w:eastAsia="宋体" w:cs="宋体"/>
          <w:b/>
          <w:color w:val="000000"/>
        </w:rPr>
        <w:t>二、招标文件</w:t>
      </w:r>
      <w:bookmarkEnd w:id="55"/>
      <w:bookmarkEnd w:id="56"/>
      <w:bookmarkEnd w:id="57"/>
      <w:bookmarkEnd w:id="58"/>
    </w:p>
    <w:p w14:paraId="14009CFA">
      <w:pPr>
        <w:pStyle w:val="32"/>
        <w:spacing w:beforeAutospacing="0" w:afterAutospacing="0" w:line="500" w:lineRule="exact"/>
        <w:ind w:firstLine="480"/>
        <w:jc w:val="both"/>
        <w:rPr>
          <w:rFonts w:hint="eastAsia" w:ascii="宋体" w:hAnsi="宋体" w:eastAsia="宋体" w:cs="宋体"/>
          <w:color w:val="000000"/>
        </w:rPr>
      </w:pPr>
      <w:bookmarkStart w:id="59" w:name="_Toc513029210"/>
      <w:bookmarkStart w:id="60" w:name="_Toc16938526"/>
      <w:bookmarkStart w:id="61" w:name="_Toc20823282"/>
      <w:r>
        <w:rPr>
          <w:rFonts w:hint="eastAsia" w:ascii="宋体" w:hAnsi="宋体" w:eastAsia="宋体" w:cs="宋体"/>
          <w:color w:val="000000"/>
        </w:rPr>
        <w:t>6、招标文件构成</w:t>
      </w:r>
      <w:bookmarkEnd w:id="59"/>
      <w:bookmarkEnd w:id="60"/>
      <w:bookmarkEnd w:id="61"/>
    </w:p>
    <w:p w14:paraId="48ED074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6.1招标文件由以下部分组成：</w:t>
      </w:r>
    </w:p>
    <w:p w14:paraId="7271774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（1）招标公告</w:t>
      </w:r>
    </w:p>
    <w:p w14:paraId="234BCE5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（2）投标人须知</w:t>
      </w:r>
    </w:p>
    <w:p w14:paraId="19E8897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（3）合同文本</w:t>
      </w:r>
    </w:p>
    <w:p w14:paraId="540A173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（4）采购需求</w:t>
      </w:r>
    </w:p>
    <w:p w14:paraId="065B4F7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（5）评标方法与评标标准</w:t>
      </w:r>
    </w:p>
    <w:p w14:paraId="2C2C434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（6）投标文件格式</w:t>
      </w:r>
    </w:p>
    <w:p w14:paraId="256A314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请仔细检查招标文件是否齐全，如有缺漏请立即与采购中心联系解决。</w:t>
      </w:r>
    </w:p>
    <w:p w14:paraId="24C0A092">
      <w:pPr>
        <w:pStyle w:val="32"/>
        <w:spacing w:beforeAutospacing="0" w:afterAutospacing="0" w:line="500" w:lineRule="exact"/>
        <w:ind w:firstLine="480"/>
        <w:jc w:val="both"/>
        <w:rPr>
          <w:rFonts w:hint="eastAsia" w:ascii="宋体" w:hAnsi="宋体" w:eastAsia="宋体" w:cs="宋体"/>
          <w:color w:val="000000"/>
        </w:rPr>
      </w:pPr>
      <w:bookmarkStart w:id="62" w:name="_Hlt16619475"/>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943542">
      <w:pPr>
        <w:pStyle w:val="32"/>
        <w:spacing w:beforeAutospacing="0" w:afterAutospacing="0" w:line="500" w:lineRule="exact"/>
        <w:ind w:firstLine="480"/>
        <w:jc w:val="both"/>
        <w:rPr>
          <w:rFonts w:hint="eastAsia" w:ascii="宋体" w:hAnsi="宋体" w:eastAsia="宋体" w:cs="宋体"/>
          <w:color w:val="000000"/>
        </w:rPr>
      </w:pPr>
      <w:bookmarkStart w:id="63" w:name="_Toc513029211"/>
      <w:bookmarkStart w:id="64" w:name="_Toc462564070"/>
      <w:bookmarkStart w:id="65" w:name="_Toc16938527"/>
      <w:bookmarkStart w:id="66" w:name="_Toc20823283"/>
      <w:r>
        <w:rPr>
          <w:rFonts w:hint="eastAsia" w:ascii="宋体" w:hAnsi="宋体" w:eastAsia="宋体" w:cs="宋体"/>
          <w:color w:val="000000"/>
        </w:rPr>
        <w:t>7、招标文件的澄清</w:t>
      </w:r>
      <w:bookmarkEnd w:id="63"/>
      <w:bookmarkEnd w:id="64"/>
      <w:bookmarkEnd w:id="65"/>
      <w:bookmarkEnd w:id="66"/>
    </w:p>
    <w:p w14:paraId="3B72BCF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bCs/>
          <w:color w:val="000000"/>
        </w:rPr>
        <w:t>十日</w:t>
      </w:r>
      <w:r>
        <w:rPr>
          <w:rFonts w:hint="eastAsia" w:ascii="宋体" w:hAnsi="宋体" w:eastAsia="宋体" w:cs="宋体"/>
          <w:color w:val="000000"/>
        </w:rPr>
        <w:t>前按招标公告中的通讯地址，以书面形式通知采购中心。</w:t>
      </w:r>
    </w:p>
    <w:p w14:paraId="6A73AFF3">
      <w:pPr>
        <w:pStyle w:val="32"/>
        <w:spacing w:beforeAutospacing="0" w:afterAutospacing="0" w:line="500" w:lineRule="exact"/>
        <w:ind w:firstLine="480"/>
        <w:jc w:val="both"/>
        <w:rPr>
          <w:rFonts w:hint="eastAsia" w:ascii="宋体" w:hAnsi="宋体" w:eastAsia="宋体" w:cs="宋体"/>
          <w:color w:val="000000"/>
        </w:rPr>
      </w:pPr>
      <w:bookmarkStart w:id="67" w:name="_Toc462564071"/>
      <w:bookmarkStart w:id="68" w:name="_Toc16938528"/>
      <w:bookmarkStart w:id="69" w:name="_Toc513029212"/>
      <w:bookmarkStart w:id="70" w:name="_Toc20823284"/>
      <w:r>
        <w:rPr>
          <w:rFonts w:hint="eastAsia" w:ascii="宋体" w:hAnsi="宋体" w:eastAsia="宋体" w:cs="宋体"/>
          <w:color w:val="000000"/>
        </w:rPr>
        <w:t>8、招标文件的修改</w:t>
      </w:r>
      <w:bookmarkEnd w:id="67"/>
      <w:bookmarkEnd w:id="68"/>
      <w:bookmarkEnd w:id="69"/>
      <w:bookmarkEnd w:id="70"/>
    </w:p>
    <w:p w14:paraId="3D423BD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8.1在投标截止时间前，采购中心可以对招标文件进行修改。</w:t>
      </w:r>
    </w:p>
    <w:p w14:paraId="1D16057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8.2采购中心有权按照法定的要求推迟投标截止日期和开标日期。</w:t>
      </w:r>
    </w:p>
    <w:p w14:paraId="2B459DC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8.3招标文件的修改将在中国政府采购网、江苏政府采购网、盐城市政府采购网公布，补充文件将作为招标文件的组成部分，并对投标人具有约束力。</w:t>
      </w:r>
    </w:p>
    <w:p w14:paraId="39FCED3F">
      <w:pPr>
        <w:pStyle w:val="32"/>
        <w:spacing w:beforeAutospacing="0" w:afterAutospacing="0" w:line="500" w:lineRule="exact"/>
        <w:ind w:right="839"/>
        <w:jc w:val="both"/>
        <w:rPr>
          <w:rFonts w:hint="eastAsia" w:ascii="宋体" w:hAnsi="宋体" w:eastAsia="宋体" w:cs="宋体"/>
          <w:b/>
          <w:color w:val="000000"/>
        </w:rPr>
      </w:pPr>
      <w:bookmarkStart w:id="71" w:name="_Toc513029213"/>
      <w:bookmarkStart w:id="72" w:name="_Toc16938529"/>
      <w:bookmarkStart w:id="73" w:name="_Toc20823285"/>
      <w:bookmarkStart w:id="74" w:name="_Toc462564072"/>
      <w:bookmarkStart w:id="75" w:name="_Toc120614216"/>
      <w:r>
        <w:rPr>
          <w:rFonts w:hint="eastAsia" w:ascii="宋体" w:hAnsi="宋体" w:eastAsia="宋体" w:cs="宋体"/>
          <w:b/>
          <w:color w:val="000000"/>
        </w:rPr>
        <w:t>三、投标文件的编制</w:t>
      </w:r>
      <w:bookmarkEnd w:id="71"/>
      <w:bookmarkEnd w:id="72"/>
      <w:bookmarkEnd w:id="73"/>
      <w:bookmarkEnd w:id="74"/>
      <w:bookmarkEnd w:id="75"/>
    </w:p>
    <w:p w14:paraId="55D99E34">
      <w:pPr>
        <w:pStyle w:val="32"/>
        <w:spacing w:beforeAutospacing="0" w:afterAutospacing="0" w:line="500" w:lineRule="exact"/>
        <w:ind w:firstLine="480"/>
        <w:jc w:val="both"/>
        <w:rPr>
          <w:rFonts w:hint="eastAsia" w:ascii="宋体" w:hAnsi="宋体" w:eastAsia="宋体" w:cs="宋体"/>
          <w:color w:val="000000"/>
        </w:rPr>
      </w:pPr>
      <w:bookmarkStart w:id="76" w:name="_Toc16938530"/>
      <w:bookmarkStart w:id="77" w:name="_Toc513029214"/>
      <w:bookmarkStart w:id="78" w:name="_Toc462564073"/>
      <w:bookmarkStart w:id="79" w:name="_Toc20823286"/>
      <w:r>
        <w:rPr>
          <w:rFonts w:hint="eastAsia" w:ascii="宋体" w:hAnsi="宋体" w:eastAsia="宋体" w:cs="宋体"/>
          <w:color w:val="000000"/>
        </w:rPr>
        <w:t>9、投标文件的语言及度量衡单位</w:t>
      </w:r>
      <w:bookmarkEnd w:id="76"/>
      <w:bookmarkEnd w:id="77"/>
      <w:bookmarkEnd w:id="78"/>
      <w:bookmarkEnd w:id="79"/>
    </w:p>
    <w:p w14:paraId="5FAAB01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9.1投标人提交的投标文件以及投标人与采购中心就有关投标的所有来往通知、函件和文件均应使用简体中文。</w:t>
      </w:r>
    </w:p>
    <w:p w14:paraId="4FCCDD5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9.2除技术性能另有规定外，投标文件所使用的度量衡单位，均须采用国家法定计量单位。</w:t>
      </w:r>
    </w:p>
    <w:p w14:paraId="0F0C6F66">
      <w:pPr>
        <w:pStyle w:val="32"/>
        <w:spacing w:beforeAutospacing="0" w:afterAutospacing="0" w:line="500" w:lineRule="exact"/>
        <w:ind w:firstLine="480"/>
        <w:jc w:val="both"/>
        <w:rPr>
          <w:rFonts w:hint="eastAsia" w:ascii="宋体" w:hAnsi="宋体" w:eastAsia="宋体" w:cs="宋体"/>
          <w:color w:val="000000"/>
        </w:rPr>
      </w:pPr>
      <w:bookmarkStart w:id="80" w:name="_Toc20823287"/>
      <w:bookmarkStart w:id="81" w:name="_Toc16938531"/>
      <w:bookmarkStart w:id="82" w:name="_Toc462564074"/>
      <w:bookmarkStart w:id="83" w:name="_Toc513029215"/>
      <w:r>
        <w:rPr>
          <w:rFonts w:hint="eastAsia" w:ascii="宋体" w:hAnsi="宋体" w:eastAsia="宋体" w:cs="宋体"/>
          <w:color w:val="000000"/>
        </w:rPr>
        <w:t>10、投标文件构成</w:t>
      </w:r>
      <w:bookmarkEnd w:id="80"/>
      <w:bookmarkEnd w:id="81"/>
      <w:bookmarkEnd w:id="82"/>
      <w:bookmarkEnd w:id="83"/>
    </w:p>
    <w:p w14:paraId="34C5A7A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192869A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4C3A4EFB">
      <w:pPr>
        <w:pStyle w:val="32"/>
        <w:spacing w:beforeAutospacing="0" w:afterAutospacing="0" w:line="500" w:lineRule="exact"/>
        <w:ind w:firstLine="480"/>
        <w:jc w:val="both"/>
        <w:rPr>
          <w:rFonts w:hint="eastAsia" w:ascii="宋体" w:hAnsi="宋体" w:eastAsia="宋体" w:cs="宋体"/>
          <w:color w:val="000000"/>
        </w:rPr>
      </w:pPr>
      <w:bookmarkStart w:id="84" w:name="_Toc513029216"/>
      <w:bookmarkStart w:id="85" w:name="_Toc14577354"/>
      <w:bookmarkStart w:id="86" w:name="_Toc14577357"/>
      <w:bookmarkStart w:id="87" w:name="_Toc513029219"/>
      <w:bookmarkStart w:id="88" w:name="_Toc49090507"/>
      <w:bookmarkStart w:id="89" w:name="_Toc49090509"/>
      <w:bookmarkStart w:id="90" w:name="_Hlt26668975"/>
      <w:bookmarkStart w:id="91" w:name="_Hlt26670360"/>
      <w:bookmarkStart w:id="92" w:name="_Hlt26954838"/>
      <w:r>
        <w:rPr>
          <w:rFonts w:hint="eastAsia" w:ascii="宋体" w:hAnsi="宋体" w:eastAsia="宋体" w:cs="宋体"/>
          <w:color w:val="000000"/>
        </w:rPr>
        <w:t>11、证明投标人及投标标的符合招标文件规定的文件</w:t>
      </w:r>
      <w:bookmarkEnd w:id="84"/>
      <w:bookmarkEnd w:id="85"/>
      <w:bookmarkEnd w:id="86"/>
      <w:bookmarkEnd w:id="87"/>
      <w:bookmarkEnd w:id="88"/>
      <w:bookmarkEnd w:id="89"/>
    </w:p>
    <w:p w14:paraId="1372D0EC">
      <w:pPr>
        <w:pStyle w:val="32"/>
        <w:spacing w:beforeAutospacing="0" w:afterAutospacing="0" w:line="500" w:lineRule="exact"/>
        <w:ind w:right="839"/>
        <w:jc w:val="both"/>
        <w:rPr>
          <w:rFonts w:hint="eastAsia" w:ascii="宋体" w:hAnsi="宋体" w:eastAsia="宋体" w:cs="宋体"/>
          <w:color w:val="000000"/>
        </w:rPr>
      </w:pPr>
      <w:bookmarkStart w:id="93" w:name="_Toc14577355"/>
      <w:bookmarkStart w:id="94" w:name="_Toc49090508"/>
      <w:r>
        <w:rPr>
          <w:rFonts w:hint="eastAsia" w:ascii="宋体" w:hAnsi="宋体" w:eastAsia="宋体" w:cs="宋体"/>
          <w:color w:val="000000"/>
        </w:rPr>
        <w:t>  11.1投标人应按照法律、法规、规章和规范性文件以及招标文件要求提交证明文件，证明其及投标标的符合招标文件规定。</w:t>
      </w:r>
      <w:bookmarkEnd w:id="93"/>
      <w:bookmarkEnd w:id="94"/>
    </w:p>
    <w:p w14:paraId="7511295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4B65C26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12、投标分项报价</w:t>
      </w:r>
      <w:bookmarkStart w:id="95" w:name="_Hlt26670373"/>
      <w:r>
        <w:rPr>
          <w:rFonts w:hint="eastAsia" w:ascii="宋体" w:hAnsi="宋体" w:eastAsia="宋体" w:cs="宋体"/>
          <w:color w:val="000000"/>
        </w:rPr>
        <w:t>表</w:t>
      </w:r>
    </w:p>
    <w:p w14:paraId="61DB10A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12.1投</w:t>
      </w:r>
      <w:bookmarkStart w:id="96" w:name="_Hlt26954840"/>
      <w:r>
        <w:rPr>
          <w:rFonts w:hint="eastAsia" w:ascii="宋体" w:hAnsi="宋体" w:eastAsia="宋体" w:cs="宋体"/>
          <w:color w:val="000000"/>
        </w:rPr>
        <w:t>标人应按照招标文件规定格式填报投标分项报价表</w:t>
      </w:r>
      <w:bookmarkStart w:id="97" w:name="_Hlt26670399"/>
      <w:r>
        <w:rPr>
          <w:rFonts w:hint="eastAsia" w:ascii="宋体" w:hAnsi="宋体" w:eastAsia="宋体" w:cs="宋体"/>
          <w:color w:val="000000"/>
        </w:rPr>
        <w:t>。</w:t>
      </w:r>
    </w:p>
    <w:p w14:paraId="117EEF0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20251BB">
      <w:pPr>
        <w:spacing w:line="500" w:lineRule="exact"/>
        <w:ind w:firstLine="480"/>
        <w:jc w:val="left"/>
        <w:rPr>
          <w:rFonts w:ascii="宋体" w:hAnsi="宋体" w:cs="宋体"/>
          <w:sz w:val="24"/>
        </w:rPr>
      </w:pPr>
      <w:r>
        <w:rPr>
          <w:rFonts w:hint="eastAsia" w:ascii="宋体" w:hAnsi="宋体" w:cs="宋体"/>
          <w:sz w:val="24"/>
        </w:rPr>
        <w:t>12.3</w:t>
      </w:r>
      <w:r>
        <w:rPr>
          <w:rFonts w:hint="eastAsia" w:ascii="宋体" w:hAnsi="宋体" w:eastAsia="宋体" w:cs="宋体"/>
          <w:sz w:val="24"/>
        </w:rPr>
        <w:t>投标分项报价表包含（不限于）网络安全设备、机房电源及空调、核心交换机及三年驻场服务等全部软硬件的采购、运输、安装调试、培训、验收及三年质保维保，以及管理、劳务、利润、税金、加班费、风险费、不可预见费等为完成本项目所涉及的一切相关费用。除合同约定外，采购人不再增加任何费用</w:t>
      </w:r>
      <w:r>
        <w:rPr>
          <w:rFonts w:hint="eastAsia" w:ascii="宋体" w:hAnsi="宋体" w:cs="宋体"/>
          <w:sz w:val="24"/>
        </w:rPr>
        <w:t>。</w:t>
      </w:r>
    </w:p>
    <w:p w14:paraId="5CFF29C9">
      <w:pPr>
        <w:spacing w:line="500" w:lineRule="exact"/>
        <w:ind w:firstLine="480"/>
        <w:jc w:val="left"/>
        <w:rPr>
          <w:rFonts w:hint="eastAsia" w:ascii="宋体" w:hAnsi="宋体" w:eastAsia="宋体" w:cs="宋体"/>
          <w:sz w:val="24"/>
        </w:rPr>
      </w:pPr>
      <w:r>
        <w:rPr>
          <w:rFonts w:hint="eastAsia" w:ascii="宋体" w:hAnsi="宋体" w:cs="宋体"/>
          <w:sz w:val="24"/>
        </w:rPr>
        <w:t>12.</w:t>
      </w:r>
      <w:r>
        <w:rPr>
          <w:rFonts w:hint="eastAsia" w:ascii="宋体" w:hAnsi="宋体" w:eastAsia="宋体" w:cs="宋体"/>
          <w:sz w:val="24"/>
        </w:rPr>
        <w:t>4各投标人自行根据招标人提供的服务内容、招标文件及答疑文件等资料要求，并根据市场行情、结合自身公司实力、管理水平等因素，按要求进行报价。</w:t>
      </w:r>
    </w:p>
    <w:p w14:paraId="79CA939C">
      <w:pPr>
        <w:spacing w:line="500" w:lineRule="exact"/>
        <w:ind w:firstLine="480"/>
        <w:jc w:val="left"/>
        <w:rPr>
          <w:rFonts w:hint="eastAsia" w:ascii="宋体" w:hAnsi="宋体" w:eastAsia="宋体" w:cs="宋体"/>
          <w:sz w:val="24"/>
        </w:rPr>
      </w:pPr>
      <w:r>
        <w:rPr>
          <w:rFonts w:hint="eastAsia" w:ascii="宋体" w:hAnsi="宋体" w:eastAsia="宋体" w:cs="宋体"/>
          <w:sz w:val="24"/>
        </w:rPr>
        <w:t>12.5投标人根据招标内容的要求准确报价，一经报出，不得更改。</w:t>
      </w:r>
    </w:p>
    <w:p w14:paraId="46ABEED3">
      <w:pPr>
        <w:spacing w:line="500" w:lineRule="exact"/>
        <w:ind w:firstLine="480"/>
        <w:jc w:val="left"/>
        <w:rPr>
          <w:rFonts w:hint="eastAsia" w:ascii="宋体" w:hAnsi="宋体" w:eastAsia="宋体" w:cs="宋体"/>
          <w:sz w:val="24"/>
          <w:lang w:val="zh-CN"/>
        </w:rPr>
      </w:pPr>
      <w:r>
        <w:rPr>
          <w:rFonts w:hint="eastAsia" w:ascii="宋体" w:hAnsi="宋体" w:eastAsia="宋体" w:cs="宋体"/>
          <w:sz w:val="24"/>
        </w:rPr>
        <w:t>12.6</w:t>
      </w:r>
      <w:r>
        <w:rPr>
          <w:rFonts w:hint="eastAsia" w:ascii="宋体" w:hAnsi="宋体" w:eastAsia="宋体" w:cs="宋体"/>
          <w:sz w:val="24"/>
          <w:lang w:val="zh-CN"/>
        </w:rPr>
        <w:t>投标报价的单位为人民币。如果未能按合同、招标投标文件履约的，终止合同，履约保证金不予退还，并不支付服务期间的服务费用。采购人有权终止合同的履行，受托单位应承担相应的完全责任，包括赔偿因此而给采购人及第三人带来的相应损失。合同期满并完成与后续</w:t>
      </w:r>
      <w:r>
        <w:rPr>
          <w:rFonts w:hint="eastAsia" w:ascii="宋体" w:hAnsi="宋体" w:cs="宋体"/>
          <w:sz w:val="24"/>
        </w:rPr>
        <w:t>保安</w:t>
      </w:r>
      <w:r>
        <w:rPr>
          <w:rFonts w:hint="eastAsia" w:ascii="宋体" w:hAnsi="宋体" w:eastAsia="宋体" w:cs="宋体"/>
          <w:sz w:val="24"/>
          <w:lang w:val="zh-CN"/>
        </w:rPr>
        <w:t>服务企业的衔接后，方可退出，经采购人验收合格，退出本</w:t>
      </w:r>
      <w:r>
        <w:rPr>
          <w:rFonts w:hint="eastAsia" w:ascii="宋体" w:hAnsi="宋体" w:cs="宋体"/>
          <w:sz w:val="24"/>
        </w:rPr>
        <w:t>项目</w:t>
      </w:r>
      <w:r>
        <w:rPr>
          <w:rFonts w:hint="eastAsia" w:ascii="宋体" w:hAnsi="宋体" w:eastAsia="宋体" w:cs="宋体"/>
          <w:sz w:val="24"/>
          <w:lang w:val="zh-CN"/>
        </w:rPr>
        <w:t>管理</w:t>
      </w:r>
      <w:r>
        <w:rPr>
          <w:rFonts w:hint="eastAsia" w:ascii="宋体" w:hAnsi="宋体" w:cs="宋体"/>
          <w:sz w:val="24"/>
        </w:rPr>
        <w:t>服务</w:t>
      </w:r>
      <w:r>
        <w:rPr>
          <w:rFonts w:hint="eastAsia" w:ascii="宋体" w:hAnsi="宋体" w:eastAsia="宋体" w:cs="宋体"/>
          <w:sz w:val="24"/>
          <w:lang w:val="zh-CN"/>
        </w:rPr>
        <w:t>时必须向采购人移交全套档案等资料，同时退还履约保证金。</w:t>
      </w:r>
    </w:p>
    <w:p w14:paraId="47E62A3E">
      <w:pPr>
        <w:spacing w:line="500" w:lineRule="exact"/>
        <w:ind w:firstLine="480"/>
        <w:jc w:val="left"/>
        <w:rPr>
          <w:rFonts w:hint="eastAsia" w:ascii="宋体" w:hAnsi="宋体" w:eastAsia="宋体" w:cs="宋体"/>
          <w:sz w:val="24"/>
        </w:rPr>
      </w:pPr>
      <w:r>
        <w:rPr>
          <w:rFonts w:hint="eastAsia" w:ascii="宋体" w:hAnsi="宋体" w:eastAsia="宋体" w:cs="宋体"/>
          <w:sz w:val="24"/>
          <w:lang w:val="zh-CN"/>
        </w:rPr>
        <w:t>12.</w:t>
      </w:r>
      <w:r>
        <w:rPr>
          <w:rFonts w:hint="eastAsia" w:ascii="宋体" w:hAnsi="宋体" w:eastAsia="宋体" w:cs="宋体"/>
          <w:sz w:val="24"/>
        </w:rPr>
        <w:t>7</w:t>
      </w:r>
      <w:r>
        <w:rPr>
          <w:rFonts w:hint="eastAsia" w:ascii="宋体" w:hAnsi="宋体" w:eastAsia="宋体" w:cs="宋体"/>
          <w:sz w:val="24"/>
          <w:lang w:val="zh-CN"/>
        </w:rPr>
        <w:t>对于超出招标文件的其他临时性服务项目，由甲乙双方协商解决。</w:t>
      </w:r>
    </w:p>
    <w:p w14:paraId="4ABA58DA">
      <w:pPr>
        <w:pStyle w:val="32"/>
        <w:spacing w:beforeAutospacing="0" w:afterAutospacing="0" w:line="500" w:lineRule="exact"/>
        <w:ind w:firstLine="480"/>
        <w:jc w:val="both"/>
        <w:rPr>
          <w:rFonts w:hint="eastAsia" w:ascii="宋体" w:hAnsi="宋体" w:eastAsia="宋体" w:cs="宋体"/>
        </w:rPr>
      </w:pPr>
      <w:bookmarkStart w:id="98" w:name="_Hlt26670482"/>
      <w:bookmarkStart w:id="99" w:name="_Hlt26954846"/>
      <w:bookmarkStart w:id="100" w:name="_Hlt26954848"/>
      <w:bookmarkStart w:id="101" w:name="_Hlt26954731"/>
      <w:bookmarkStart w:id="102" w:name="_Hlt26670403"/>
      <w:bookmarkStart w:id="103" w:name="_Hlt26670486"/>
      <w:bookmarkStart w:id="104" w:name="_Hlt26670425"/>
      <w:bookmarkStart w:id="105" w:name="_Hlt26954844"/>
      <w:bookmarkStart w:id="106" w:name="_Hlt26954842"/>
      <w:bookmarkStart w:id="107" w:name="_Hlt26668983"/>
      <w:r>
        <w:rPr>
          <w:rFonts w:hint="eastAsia" w:ascii="宋体" w:hAnsi="宋体" w:eastAsia="宋体" w:cs="宋体"/>
        </w:rPr>
        <w:t>13、技术要求响应及偏离表、商务要求响应及偏离表</w:t>
      </w:r>
    </w:p>
    <w:p w14:paraId="58BADA2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rPr>
        <w:t>13.1投标人需对招标文件中的技术要求与商务要求逐项作出</w:t>
      </w:r>
      <w:r>
        <w:rPr>
          <w:rFonts w:hint="eastAsia" w:ascii="宋体" w:hAnsi="宋体" w:eastAsia="宋体" w:cs="宋体"/>
          <w:color w:val="000000"/>
        </w:rPr>
        <w:t>响应或偏离，并说明原因。</w:t>
      </w:r>
    </w:p>
    <w:p w14:paraId="6859F15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13.2投标人可在投标文件中提供认为需要的其他技术文件或说明。</w:t>
      </w:r>
    </w:p>
    <w:p w14:paraId="5A624C95">
      <w:pPr>
        <w:pStyle w:val="32"/>
        <w:spacing w:beforeAutospacing="0" w:afterAutospacing="0" w:line="500" w:lineRule="exact"/>
        <w:ind w:firstLine="480"/>
        <w:jc w:val="both"/>
        <w:rPr>
          <w:rFonts w:hint="eastAsia" w:ascii="宋体" w:hAnsi="宋体" w:eastAsia="宋体" w:cs="宋体"/>
          <w:color w:val="000000"/>
        </w:rPr>
      </w:pPr>
      <w:bookmarkStart w:id="108" w:name="_Toc49090510"/>
      <w:bookmarkStart w:id="109" w:name="_Toc14577359"/>
      <w:r>
        <w:rPr>
          <w:rFonts w:hint="eastAsia" w:ascii="宋体" w:hAnsi="宋体" w:eastAsia="宋体" w:cs="宋体"/>
          <w:color w:val="000000"/>
        </w:rPr>
        <w:t>14、投标函和开标一览表</w:t>
      </w:r>
      <w:bookmarkEnd w:id="108"/>
      <w:bookmarkEnd w:id="109"/>
    </w:p>
    <w:p w14:paraId="50BD945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14.1投标人应按照招标文件中提供的格式完整、正确填写投标函、开标一览表。</w:t>
      </w:r>
    </w:p>
    <w:p w14:paraId="4498E43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p>
    <w:p w14:paraId="6B173E44">
      <w:pPr>
        <w:pStyle w:val="32"/>
        <w:spacing w:beforeAutospacing="0" w:afterAutospacing="0" w:line="500" w:lineRule="exact"/>
        <w:ind w:firstLine="480"/>
        <w:jc w:val="both"/>
        <w:rPr>
          <w:rFonts w:hint="eastAsia" w:ascii="宋体" w:hAnsi="宋体" w:eastAsia="宋体" w:cs="宋体"/>
          <w:color w:val="000000"/>
        </w:rPr>
      </w:pPr>
      <w:bookmarkStart w:id="110" w:name="_Toc14577360"/>
      <w:bookmarkStart w:id="111" w:name="_Toc49090511"/>
      <w:bookmarkStart w:id="112" w:name="_Hlt26954734"/>
      <w:bookmarkStart w:id="113" w:name="_Hlt26954850"/>
      <w:bookmarkStart w:id="114" w:name="_Hlt26670489"/>
    </w:p>
    <w:p w14:paraId="39A8411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15、投标有效期</w:t>
      </w:r>
      <w:bookmarkEnd w:id="110"/>
      <w:bookmarkEnd w:id="111"/>
    </w:p>
    <w:p w14:paraId="6C39AA0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15.1投标有效期为采购中心规定的开标之日后九十（90）天。投标有效期比规定短的将被视为未实质性响应招标文件而予以拒绝。</w:t>
      </w:r>
    </w:p>
    <w:p w14:paraId="03867B9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16、投标有效期的延长</w:t>
      </w:r>
    </w:p>
    <w:p w14:paraId="634F0E1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285FCAAB">
      <w:pPr>
        <w:pStyle w:val="32"/>
        <w:spacing w:beforeAutospacing="0" w:afterAutospacing="0" w:line="500" w:lineRule="exact"/>
        <w:ind w:right="839"/>
        <w:jc w:val="both"/>
        <w:rPr>
          <w:rFonts w:hint="eastAsia" w:ascii="宋体" w:hAnsi="宋体" w:eastAsia="宋体" w:cs="宋体"/>
          <w:b/>
          <w:color w:val="000000"/>
        </w:rPr>
      </w:pPr>
      <w:bookmarkStart w:id="115" w:name="_Toc120614217"/>
      <w:bookmarkStart w:id="116" w:name="_Toc16938540"/>
      <w:bookmarkStart w:id="117" w:name="_Toc20823296"/>
      <w:bookmarkStart w:id="118" w:name="_Toc513029224"/>
      <w:bookmarkStart w:id="119" w:name="_Hlt26954739"/>
      <w:bookmarkStart w:id="120" w:name="_Hlt26954852"/>
      <w:r>
        <w:rPr>
          <w:rFonts w:hint="eastAsia" w:ascii="宋体" w:hAnsi="宋体" w:eastAsia="宋体" w:cs="宋体"/>
          <w:b/>
          <w:color w:val="000000"/>
        </w:rPr>
        <w:t>四、投标文件的递交</w:t>
      </w:r>
      <w:bookmarkEnd w:id="115"/>
      <w:bookmarkEnd w:id="116"/>
      <w:bookmarkEnd w:id="117"/>
      <w:bookmarkEnd w:id="118"/>
    </w:p>
    <w:p w14:paraId="1FA80CEA">
      <w:pPr>
        <w:pStyle w:val="32"/>
        <w:spacing w:beforeAutospacing="0" w:afterAutospacing="0" w:line="500" w:lineRule="exact"/>
        <w:ind w:firstLine="480"/>
        <w:jc w:val="both"/>
        <w:rPr>
          <w:rFonts w:hint="eastAsia" w:ascii="宋体" w:hAnsi="宋体" w:eastAsia="宋体" w:cs="宋体"/>
          <w:color w:val="000000"/>
        </w:rPr>
      </w:pPr>
      <w:bookmarkStart w:id="121" w:name="_Toc20823297"/>
      <w:bookmarkStart w:id="122" w:name="_Toc513029225"/>
      <w:bookmarkStart w:id="123" w:name="_Toc462564084"/>
      <w:bookmarkStart w:id="124" w:name="_Toc16938541"/>
      <w:r>
        <w:rPr>
          <w:rFonts w:hint="eastAsia" w:ascii="宋体" w:hAnsi="宋体" w:eastAsia="宋体" w:cs="宋体"/>
          <w:color w:val="000000"/>
        </w:rPr>
        <w:t>17、投标文件</w:t>
      </w:r>
      <w:bookmarkEnd w:id="121"/>
      <w:bookmarkEnd w:id="122"/>
      <w:bookmarkEnd w:id="123"/>
      <w:bookmarkEnd w:id="124"/>
      <w:r>
        <w:rPr>
          <w:rFonts w:hint="eastAsia" w:ascii="宋体" w:hAnsi="宋体" w:eastAsia="宋体" w:cs="宋体"/>
          <w:color w:val="000000"/>
        </w:rPr>
        <w:t>的递交</w:t>
      </w:r>
    </w:p>
    <w:p w14:paraId="37C73BF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17.1电子投标文件的递交</w:t>
      </w:r>
    </w:p>
    <w:p w14:paraId="563C6FF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51B37A0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18、投标截止时间</w:t>
      </w:r>
    </w:p>
    <w:p w14:paraId="13DF412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18.1投标人上传电子投标文件的时间不得迟于招标公告中规定的投标截止时间。</w:t>
      </w:r>
    </w:p>
    <w:p w14:paraId="3B01CE2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投标人应充分考虑到网络环境、网络带宽等风险因素，如因投标人自身原因造成的电子投标文件上传不成功的按照本招标文件第二章第26.1.2条规定做无效投标处理。</w:t>
      </w:r>
    </w:p>
    <w:p w14:paraId="5DB4088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18.2采购中心可以按照规定，通过修改招标文件酌情延长投标截止时间，在此情况下，投标人的所有权利和义务以及投标人受制的截止时间均应以延长后新的截止时间为准。</w:t>
      </w:r>
    </w:p>
    <w:p w14:paraId="0E3268D9">
      <w:pPr>
        <w:pStyle w:val="32"/>
        <w:spacing w:beforeAutospacing="0" w:afterAutospacing="0" w:line="500" w:lineRule="exact"/>
        <w:ind w:firstLine="480"/>
        <w:jc w:val="both"/>
        <w:rPr>
          <w:rFonts w:hint="eastAsia" w:ascii="宋体" w:hAnsi="宋体" w:eastAsia="宋体" w:cs="宋体"/>
          <w:color w:val="000000"/>
        </w:rPr>
      </w:pPr>
      <w:bookmarkStart w:id="128" w:name="_Toc513029227"/>
      <w:bookmarkStart w:id="129" w:name="_Toc16938543"/>
      <w:bookmarkStart w:id="130" w:name="_Toc20823299"/>
      <w:r>
        <w:rPr>
          <w:rFonts w:hint="eastAsia" w:ascii="宋体" w:hAnsi="宋体" w:eastAsia="宋体" w:cs="宋体"/>
          <w:color w:val="000000"/>
        </w:rPr>
        <w:t>19、投标文件</w:t>
      </w:r>
      <w:bookmarkEnd w:id="128"/>
      <w:bookmarkEnd w:id="129"/>
      <w:bookmarkEnd w:id="130"/>
      <w:r>
        <w:rPr>
          <w:rFonts w:hint="eastAsia" w:ascii="宋体" w:hAnsi="宋体" w:eastAsia="宋体" w:cs="宋体"/>
          <w:color w:val="000000"/>
        </w:rPr>
        <w:t>的拒收</w:t>
      </w:r>
    </w:p>
    <w:p w14:paraId="186D183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19.1采购中心拒绝接收在其规定的投标截止时间后上传的任何投标文件。</w:t>
      </w:r>
    </w:p>
    <w:p w14:paraId="2FBCCDE4">
      <w:pPr>
        <w:pStyle w:val="32"/>
        <w:spacing w:beforeAutospacing="0" w:afterAutospacing="0" w:line="500" w:lineRule="exact"/>
        <w:ind w:firstLine="480"/>
        <w:jc w:val="both"/>
        <w:rPr>
          <w:rFonts w:hint="eastAsia" w:ascii="宋体" w:hAnsi="宋体" w:eastAsia="宋体" w:cs="宋体"/>
          <w:color w:val="000000"/>
        </w:rPr>
      </w:pPr>
      <w:bookmarkStart w:id="131" w:name="_Toc513029228"/>
      <w:bookmarkStart w:id="132" w:name="_Toc16938544"/>
      <w:bookmarkStart w:id="133" w:name="_Toc20823300"/>
      <w:r>
        <w:rPr>
          <w:rFonts w:hint="eastAsia" w:ascii="宋体" w:hAnsi="宋体" w:eastAsia="宋体" w:cs="宋体"/>
          <w:color w:val="000000"/>
        </w:rPr>
        <w:t>20、投标文件的撤回和修改</w:t>
      </w:r>
      <w:bookmarkEnd w:id="131"/>
      <w:bookmarkEnd w:id="132"/>
      <w:bookmarkEnd w:id="133"/>
    </w:p>
    <w:p w14:paraId="481C12B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20.1投标文件的撤回</w:t>
      </w:r>
    </w:p>
    <w:p w14:paraId="54D9DCC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20.1.1电子投标文件的撤回</w:t>
      </w:r>
    </w:p>
    <w:p w14:paraId="5F41BB5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投标人可在投标截止时间前，撤回其电子投标文件，具体操作方法见《操作手册》。</w:t>
      </w:r>
    </w:p>
    <w:p w14:paraId="05EFD40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20.1.2投标人撤回电子投标文件，则认为其不再参与本项目投标活动。</w:t>
      </w:r>
    </w:p>
    <w:p w14:paraId="55F930A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20.2投标文件的修改</w:t>
      </w:r>
    </w:p>
    <w:p w14:paraId="3BF01D8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20.2.1投标人可在投标截止时间前，对其电子投标文件进行修改，具体操作方法见《操作手册》。</w:t>
      </w:r>
    </w:p>
    <w:p w14:paraId="18B87C8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20.2.2在投标截止时间之后，投标人不得对其电子投标文件作任何修改。</w:t>
      </w:r>
    </w:p>
    <w:p w14:paraId="0F7ADF1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20.3在投标截止时间至招标文件中规定的投标有效期满之间的这段时间内，投标人不得撤回其投标。</w:t>
      </w:r>
    </w:p>
    <w:p w14:paraId="5F32CA9B">
      <w:pPr>
        <w:pStyle w:val="32"/>
        <w:spacing w:beforeAutospacing="0" w:afterAutospacing="0" w:line="500" w:lineRule="exact"/>
        <w:ind w:right="839"/>
        <w:jc w:val="both"/>
        <w:rPr>
          <w:rFonts w:hint="eastAsia" w:ascii="宋体" w:hAnsi="宋体" w:eastAsia="宋体" w:cs="宋体"/>
          <w:b/>
          <w:color w:val="000000"/>
        </w:rPr>
      </w:pPr>
      <w:bookmarkStart w:id="134" w:name="_Toc20823301"/>
      <w:bookmarkStart w:id="135" w:name="_Toc513029229"/>
      <w:bookmarkStart w:id="136" w:name="_Toc16938545"/>
      <w:bookmarkStart w:id="137" w:name="_Toc120614218"/>
      <w:r>
        <w:rPr>
          <w:rFonts w:hint="eastAsia" w:ascii="宋体" w:hAnsi="宋体" w:eastAsia="宋体" w:cs="宋体"/>
          <w:b/>
          <w:color w:val="000000"/>
        </w:rPr>
        <w:t>五、开标与评标</w:t>
      </w:r>
      <w:bookmarkEnd w:id="134"/>
      <w:bookmarkEnd w:id="135"/>
      <w:bookmarkEnd w:id="136"/>
      <w:bookmarkEnd w:id="137"/>
    </w:p>
    <w:p w14:paraId="3550D04A">
      <w:pPr>
        <w:pStyle w:val="32"/>
        <w:spacing w:beforeAutospacing="0" w:afterAutospacing="0" w:line="500" w:lineRule="exact"/>
        <w:ind w:firstLine="480"/>
        <w:jc w:val="both"/>
        <w:rPr>
          <w:rFonts w:hint="eastAsia" w:ascii="宋体" w:hAnsi="宋体" w:eastAsia="宋体" w:cs="宋体"/>
          <w:color w:val="000000"/>
        </w:rPr>
      </w:pPr>
      <w:bookmarkStart w:id="138" w:name="_Toc513029230"/>
      <w:bookmarkStart w:id="139" w:name="_Toc20823302"/>
      <w:bookmarkStart w:id="140" w:name="_Toc16938546"/>
      <w:r>
        <w:rPr>
          <w:rFonts w:hint="eastAsia" w:ascii="宋体" w:hAnsi="宋体" w:eastAsia="宋体" w:cs="宋体"/>
          <w:color w:val="000000"/>
        </w:rPr>
        <w:t>21、开标</w:t>
      </w:r>
      <w:bookmarkEnd w:id="138"/>
      <w:bookmarkEnd w:id="139"/>
      <w:bookmarkEnd w:id="140"/>
    </w:p>
    <w:p w14:paraId="015213D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21.1采购中心将在招标公告中规定的时间和地点组织公开开标。投标人应当按照《操作手册》规定，参加开标活动和在苏采云系统规定的时间内对投标文件进行解密。</w:t>
      </w:r>
    </w:p>
    <w:p w14:paraId="3FEBADC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21.2开标仪式由采购中心组织。苏采云系统将自动对项目进行开标，并宣布各投标人名称和投标价格。</w:t>
      </w:r>
    </w:p>
    <w:p w14:paraId="7A5B8D9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21.3投标人在开标过程中涉及到的投标文件解密、开标结果确认等工作，应按照《操作手册》规定执行。</w:t>
      </w:r>
    </w:p>
    <w:p w14:paraId="332B195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21.4投标人如果对开标过程和开标记录有疑义，应当根据《操作手册》规定提出，如苏采云系统中《开标记录表》宣布后5分钟内未提出的，视同认可开标结果。</w:t>
      </w:r>
    </w:p>
    <w:p w14:paraId="668C6F03">
      <w:pPr>
        <w:pStyle w:val="32"/>
        <w:spacing w:beforeAutospacing="0" w:afterAutospacing="0" w:line="500" w:lineRule="exact"/>
        <w:ind w:firstLine="480"/>
        <w:jc w:val="both"/>
        <w:rPr>
          <w:rFonts w:hint="eastAsia" w:ascii="宋体" w:hAnsi="宋体" w:eastAsia="宋体" w:cs="宋体"/>
          <w:color w:val="000000"/>
        </w:rPr>
      </w:pPr>
      <w:bookmarkStart w:id="141" w:name="_Toc16938547"/>
      <w:bookmarkStart w:id="142" w:name="_Toc513029231"/>
      <w:bookmarkStart w:id="143" w:name="_Toc20823303"/>
      <w:r>
        <w:rPr>
          <w:rFonts w:hint="eastAsia" w:ascii="宋体" w:hAnsi="宋体" w:eastAsia="宋体" w:cs="宋体"/>
          <w:color w:val="000000"/>
        </w:rPr>
        <w:t>22、评标委员会</w:t>
      </w:r>
      <w:bookmarkEnd w:id="141"/>
      <w:bookmarkEnd w:id="142"/>
      <w:bookmarkEnd w:id="143"/>
    </w:p>
    <w:p w14:paraId="79BE9EB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22.1开标后，采购中心将立即组织评标委员会（以下简称评委会）进行评标。</w:t>
      </w:r>
    </w:p>
    <w:p w14:paraId="0AA7C02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22.2评委会由采购人代表和有关技术、经济等方面的专家组成，且人员构成符合政府采购有关规定。</w:t>
      </w:r>
    </w:p>
    <w:p w14:paraId="03D02F1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22.3评委会独立工作，负责评审所有投标文件并确定中标候选人。</w:t>
      </w:r>
    </w:p>
    <w:p w14:paraId="26A999F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23、评标过程的保密与公正</w:t>
      </w:r>
    </w:p>
    <w:p w14:paraId="2AF43A7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23.1凡是与审查、澄清、评价和比较投标的有关资料以及授标建议等，采购人、评委、采购中心均不得向投标人或与评标无关的其他人员透露。</w:t>
      </w:r>
    </w:p>
    <w:p w14:paraId="3FFAD71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23.2在评标过程中，投标人不得以任何行为影响评标过程，否则其投标文件将被作为无效投标文件。</w:t>
      </w:r>
    </w:p>
    <w:p w14:paraId="3D90DF7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23.3采购中心和评标委员会不向未中标的投标人解释未中标原因，也不公布评标过程中的相关细节。</w:t>
      </w:r>
    </w:p>
    <w:p w14:paraId="14C2E84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23.4采用综合评分法的项目，未中标的投标人可于中标结果公告期限届满之日起通过苏采云系统查看自己的评审得分及排序情况。</w:t>
      </w:r>
      <w:bookmarkStart w:id="144" w:name="_Toc20823304"/>
      <w:bookmarkStart w:id="145" w:name="_Toc513029232"/>
      <w:bookmarkStart w:id="146" w:name="_Toc16938548"/>
    </w:p>
    <w:p w14:paraId="5BCFAFB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24、投标文件的澄清</w:t>
      </w:r>
      <w:bookmarkEnd w:id="144"/>
      <w:bookmarkEnd w:id="145"/>
      <w:bookmarkEnd w:id="146"/>
    </w:p>
    <w:p w14:paraId="4B0E289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24.1评标期间，评委会对投标文件中含义不明确、同类问题表述不一致或者有明显文字和计算错误的内容，有权要求投标人作出必要的澄清、说明或者补正。</w:t>
      </w:r>
    </w:p>
    <w:p w14:paraId="4D1B1C9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投标人的澄清、说明或者补正不得超出投标文件的范围或者改变投标文件的实质性内容。</w:t>
      </w:r>
    </w:p>
    <w:p w14:paraId="33929C2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评标委员会并非对每个投标人都做澄清要求。</w:t>
      </w:r>
    </w:p>
    <w:p w14:paraId="1037501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EDF71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24.3接到评委会澄清、说明和补正要求的投标人如未按规定作出澄清、说明和补正，其风险由投标人自行承担。</w:t>
      </w:r>
    </w:p>
    <w:p w14:paraId="13F40F45">
      <w:pPr>
        <w:pStyle w:val="32"/>
        <w:spacing w:beforeAutospacing="0" w:afterAutospacing="0" w:line="500" w:lineRule="exact"/>
        <w:ind w:firstLine="480"/>
        <w:jc w:val="both"/>
        <w:rPr>
          <w:rFonts w:hint="eastAsia" w:ascii="宋体" w:hAnsi="宋体" w:eastAsia="宋体" w:cs="宋体"/>
          <w:color w:val="000000"/>
        </w:rPr>
      </w:pPr>
      <w:bookmarkStart w:id="147" w:name="_Toc16938549"/>
      <w:bookmarkStart w:id="148" w:name="_Toc20823305"/>
      <w:bookmarkStart w:id="149" w:name="_Toc513029233"/>
      <w:r>
        <w:rPr>
          <w:rFonts w:hint="eastAsia" w:ascii="宋体" w:hAnsi="宋体" w:eastAsia="宋体" w:cs="宋体"/>
          <w:color w:val="000000"/>
        </w:rPr>
        <w:t>25、对投标文件的初审</w:t>
      </w:r>
      <w:bookmarkEnd w:id="147"/>
      <w:bookmarkEnd w:id="148"/>
      <w:bookmarkEnd w:id="149"/>
    </w:p>
    <w:p w14:paraId="5EB09F2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25.1投标文件初审分为资格审查和符合性审查。</w:t>
      </w:r>
    </w:p>
    <w:p w14:paraId="58F8398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5CCDA7C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C5963B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接受联合体的项目，两个以上的自然人、法人或者其他组织组成一个联合体，以一个供应商的身份共同参加政府采购活动的,联合体成员存在不良信用记录的，视同联合体存在不良信用记录。</w:t>
      </w:r>
    </w:p>
    <w:p w14:paraId="06AEB84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6588312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25.1.3未通过资格审查或符合性审查的投标人，采购中心将在苏采云系统中告知未通过资格审查或符合性审查的原因，评标结束后，采购中心将不再告知未通过资格审查和符合性审查的原因。</w:t>
      </w:r>
    </w:p>
    <w:p w14:paraId="37E473D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0B57027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7E4D5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4C17596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437C95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（1）投标文件中开标一览表内容与投标文件中相应内容不一致的，以开标一览表为准。</w:t>
      </w:r>
    </w:p>
    <w:p w14:paraId="15D6564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（2）大写金额和小写金额不一致的，以大写金额为准。</w:t>
      </w:r>
    </w:p>
    <w:p w14:paraId="7DCE45F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（3）单价金额小数点或者百分比有明显错位的，以开标一览表的总价为准，并修改单价。</w:t>
      </w:r>
    </w:p>
    <w:p w14:paraId="45D76F0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（4）总价金额与按单价汇总金额不一致的，以单价金额计算结果为准。</w:t>
      </w:r>
    </w:p>
    <w:p w14:paraId="346347E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同时出现两种以上错误的，按照前款规定的顺序修正。</w:t>
      </w:r>
    </w:p>
    <w:p w14:paraId="6BF70E7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25.5评委会将按上述修正错误的方法调整投标文件中的投标报价，并通过苏采云系统告知投标人，调整后的价格应对投标人具有约束力。如果投标人不接受修正后的价格，则其投标将被拒绝。</w:t>
      </w:r>
    </w:p>
    <w:p w14:paraId="790ACFDA">
      <w:pPr>
        <w:pStyle w:val="32"/>
        <w:spacing w:beforeAutospacing="0" w:afterAutospacing="0" w:line="500" w:lineRule="exact"/>
        <w:ind w:firstLine="480"/>
        <w:jc w:val="both"/>
        <w:rPr>
          <w:rFonts w:hint="eastAsia" w:ascii="宋体" w:hAnsi="宋体" w:eastAsia="宋体" w:cs="宋体"/>
          <w:color w:val="000000"/>
        </w:rPr>
      </w:pPr>
      <w:bookmarkStart w:id="150" w:name="_Toc513029234"/>
      <w:bookmarkStart w:id="151" w:name="_Toc20823306"/>
      <w:bookmarkStart w:id="152" w:name="_Toc16938550"/>
      <w:r>
        <w:rPr>
          <w:rFonts w:hint="eastAsia" w:ascii="宋体" w:hAnsi="宋体" w:eastAsia="宋体" w:cs="宋体"/>
          <w:color w:val="000000"/>
        </w:rPr>
        <w:t>25.6投标人在开、评标全过程中应保持通信畅通，及时登录苏采云系统查阅、答复相关信息，并安排专人与采购中心及评标委员会联系。</w:t>
      </w:r>
      <w:bookmarkEnd w:id="150"/>
      <w:bookmarkEnd w:id="151"/>
      <w:bookmarkEnd w:id="152"/>
    </w:p>
    <w:p w14:paraId="5375C5D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26、无效投标条款和废标条款</w:t>
      </w:r>
    </w:p>
    <w:p w14:paraId="258311A9">
      <w:pPr>
        <w:pStyle w:val="32"/>
        <w:spacing w:beforeAutospacing="0" w:afterAutospacing="0" w:line="500" w:lineRule="exact"/>
        <w:ind w:firstLine="480"/>
        <w:jc w:val="both"/>
        <w:rPr>
          <w:rFonts w:hint="eastAsia" w:ascii="宋体" w:hAnsi="宋体" w:eastAsia="宋体" w:cs="宋体"/>
          <w:color w:val="000000"/>
        </w:rPr>
      </w:pPr>
      <w:bookmarkStart w:id="153" w:name="_Toc513029235"/>
      <w:bookmarkStart w:id="154" w:name="_Toc16938551"/>
      <w:bookmarkStart w:id="155" w:name="_Toc20823307"/>
      <w:r>
        <w:rPr>
          <w:rFonts w:hint="eastAsia" w:ascii="宋体" w:hAnsi="宋体" w:eastAsia="宋体" w:cs="宋体"/>
          <w:color w:val="000000"/>
        </w:rPr>
        <w:t>26.1无效投标条款</w:t>
      </w:r>
      <w:bookmarkEnd w:id="153"/>
      <w:bookmarkEnd w:id="154"/>
      <w:bookmarkEnd w:id="155"/>
    </w:p>
    <w:p w14:paraId="7A18B9A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26.1.1投标人在苏采云系统规定的时间内未成功解密电子投标文件的。</w:t>
      </w:r>
    </w:p>
    <w:p w14:paraId="6CBFB1D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26.1.2投标人未按照招标文件要求上传电子投标文件的。</w:t>
      </w:r>
    </w:p>
    <w:p w14:paraId="2C6EE2E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26.1.3同一投标人提交两个（含两个）以上不同的投标报价的。</w:t>
      </w:r>
    </w:p>
    <w:p w14:paraId="2F856F5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26.1.4投标人不具备招标文件中规定资格要求的。</w:t>
      </w:r>
    </w:p>
    <w:p w14:paraId="0C18A4E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26.1.5投标人的报价超过了采购预算或最高限价的。</w:t>
      </w:r>
    </w:p>
    <w:p w14:paraId="717A713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26.1.6未通过符合性审查的。</w:t>
      </w:r>
    </w:p>
    <w:p w14:paraId="48BB55B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26.1.7不符合招标文件中规定的实质性要求和条件的（本招标文件中斜体且有下划线部分为实质性要求和条件）。</w:t>
      </w:r>
    </w:p>
    <w:p w14:paraId="25C11F8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EFA36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26.1.9投标文件含有采购人不能接受的附加条件的。</w:t>
      </w:r>
    </w:p>
    <w:p w14:paraId="3B3889F1">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26.1.10投标人不能证明其报价合理性的，评标委员会应当将其作为无效投标处理。</w:t>
      </w:r>
    </w:p>
    <w:p w14:paraId="5DCC5988">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（一）评审过程中出现下列情形之一的，评标委员会应当启动异常低价投标审查程序：</w:t>
      </w:r>
    </w:p>
    <w:p w14:paraId="4F9BF09E">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1.投标（响应）报价低于全部通过符合性审查供应商投标（响应）报价平均值50%的，即投标（响应）报价&lt;全部通过符合性审查供应商投标（响应）报价平均值×50%；</w:t>
      </w:r>
    </w:p>
    <w:p w14:paraId="11B503A9">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2.投标（响应）报价低于通过符合性审查的次低报价供应商投标（响应）报价50%的，即投标（响应）报价&lt;通过符合性审查的次低报价供应商投标（响应）报价×50%；</w:t>
      </w:r>
    </w:p>
    <w:p w14:paraId="7570B3A0">
      <w:pPr>
        <w:pStyle w:val="32"/>
        <w:spacing w:beforeAutospacing="0" w:afterAutospacing="0" w:line="500" w:lineRule="exact"/>
        <w:ind w:firstLine="480"/>
        <w:jc w:val="both"/>
        <w:rPr>
          <w:rFonts w:hint="eastAsia" w:ascii="宋体" w:hAnsi="宋体" w:eastAsia="宋体" w:cs="宋体"/>
        </w:rPr>
      </w:pPr>
      <w:r>
        <w:rPr>
          <w:rFonts w:hint="eastAsia" w:ascii="宋体" w:hAnsi="宋体" w:eastAsia="宋体" w:cs="宋体"/>
        </w:rPr>
        <w:t>3.投标（响应）报价低于采购项目最高限价45%的，即投标（响应）报价&lt;采购项目最高限价×45%；</w:t>
      </w:r>
    </w:p>
    <w:p w14:paraId="56EBC51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E842DC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26.1.11投标文件未按照招标文件要求加盖CA电子公章的。</w:t>
      </w:r>
    </w:p>
    <w:p w14:paraId="5628A79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26.1.12其他法律、法规及本招标文件规定的属无效投标的情形。</w:t>
      </w:r>
    </w:p>
    <w:p w14:paraId="1E7EE55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26.2废标条款</w:t>
      </w:r>
    </w:p>
    <w:p w14:paraId="1843B83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26.2.1符合专业条件的供应商或者对招标文件作实质响应的供应商不足三家的。</w:t>
      </w:r>
    </w:p>
    <w:p w14:paraId="509FC5A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26.2.2出现影响采购公正的违法、违规行为的。</w:t>
      </w:r>
    </w:p>
    <w:p w14:paraId="4129323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26.2.3因重大变故，采购任务取消的。</w:t>
      </w:r>
    </w:p>
    <w:p w14:paraId="1C293CD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26.2.4评标委员会认定招标文件存在歧义、重大缺陷导致评审工作无法进行。</w:t>
      </w:r>
    </w:p>
    <w:p w14:paraId="2CA015F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26.2.5因苏采云系统系统故障原因造成开标不成功的。</w:t>
      </w:r>
    </w:p>
    <w:p w14:paraId="326906F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26.3投标截止时间结束后参加投标的供应商不足三家的处理：</w:t>
      </w:r>
    </w:p>
    <w:p w14:paraId="10943B5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3D8E8B66">
      <w:pPr>
        <w:pStyle w:val="32"/>
        <w:spacing w:beforeAutospacing="0" w:afterAutospacing="0" w:line="500" w:lineRule="exact"/>
        <w:ind w:right="839"/>
        <w:jc w:val="both"/>
        <w:rPr>
          <w:rFonts w:hint="eastAsia" w:ascii="宋体" w:hAnsi="宋体" w:eastAsia="宋体" w:cs="宋体"/>
          <w:b/>
          <w:color w:val="000000"/>
        </w:rPr>
      </w:pPr>
      <w:bookmarkStart w:id="156" w:name="_Toc120614219"/>
      <w:r>
        <w:rPr>
          <w:rFonts w:hint="eastAsia" w:ascii="宋体" w:hAnsi="宋体" w:eastAsia="宋体" w:cs="宋体"/>
          <w:b/>
          <w:color w:val="000000"/>
        </w:rPr>
        <w:t>六、定标</w:t>
      </w:r>
      <w:bookmarkEnd w:id="156"/>
    </w:p>
    <w:p w14:paraId="15D22E8A">
      <w:pPr>
        <w:pStyle w:val="32"/>
        <w:spacing w:beforeAutospacing="0" w:afterAutospacing="0" w:line="500" w:lineRule="exact"/>
        <w:ind w:firstLine="480"/>
        <w:jc w:val="both"/>
        <w:rPr>
          <w:rFonts w:hint="eastAsia" w:ascii="宋体" w:hAnsi="宋体" w:eastAsia="宋体" w:cs="宋体"/>
          <w:color w:val="000000"/>
        </w:rPr>
      </w:pPr>
      <w:bookmarkStart w:id="157" w:name="_Toc20823310"/>
      <w:bookmarkStart w:id="158" w:name="_Toc513029238"/>
      <w:bookmarkStart w:id="159" w:name="_Toc16938554"/>
      <w:r>
        <w:rPr>
          <w:rFonts w:hint="eastAsia" w:ascii="宋体" w:hAnsi="宋体" w:eastAsia="宋体" w:cs="宋体"/>
          <w:color w:val="000000"/>
        </w:rPr>
        <w:t>27、</w:t>
      </w:r>
      <w:bookmarkEnd w:id="157"/>
      <w:r>
        <w:rPr>
          <w:rFonts w:hint="eastAsia" w:ascii="宋体" w:hAnsi="宋体" w:eastAsia="宋体" w:cs="宋体"/>
          <w:color w:val="000000"/>
        </w:rPr>
        <w:t>确定</w:t>
      </w:r>
      <w:bookmarkEnd w:id="158"/>
      <w:bookmarkEnd w:id="159"/>
      <w:r>
        <w:rPr>
          <w:rFonts w:hint="eastAsia" w:ascii="宋体" w:hAnsi="宋体" w:eastAsia="宋体" w:cs="宋体"/>
          <w:color w:val="000000"/>
        </w:rPr>
        <w:t>中标单位</w:t>
      </w:r>
    </w:p>
    <w:p w14:paraId="309EB42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27.1中标候选人的选取原则和数量见招标文件第五章规定。</w:t>
      </w:r>
    </w:p>
    <w:p w14:paraId="4BD5CCA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27.2采购人应根据评委会推荐的中标候选人确定中标人。</w:t>
      </w:r>
    </w:p>
    <w:p w14:paraId="68AD3C8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27.3采购中心将在“中国政府采购网”“江苏政府采购网”“盐城市政府采购网”发布中标公告，公告期限为1个工作日。</w:t>
      </w:r>
    </w:p>
    <w:p w14:paraId="579B846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27.4若有充分证据证明，中标人出现下列情况之一的，一经查实，将被取消中标资格：</w:t>
      </w:r>
    </w:p>
    <w:p w14:paraId="338B732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27.4.1提供虚假材料谋取中标的。</w:t>
      </w:r>
    </w:p>
    <w:p w14:paraId="7DCAA93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27.4.2向采购人、采购中心行贿或者提供其他不正当利益的。</w:t>
      </w:r>
    </w:p>
    <w:p w14:paraId="0ED0BF2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27.4.3属于本文件规定的无效条件，但在评标过程中又未被评委会发现的。</w:t>
      </w:r>
    </w:p>
    <w:p w14:paraId="1CAEA17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27.4.4与采购人或者其他供应商恶意串通的。</w:t>
      </w:r>
    </w:p>
    <w:p w14:paraId="0B66592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27.4.5采取不正当手段诋毁、排挤其他供应商的。</w:t>
      </w:r>
    </w:p>
    <w:p w14:paraId="0C2DFD9A">
      <w:pPr>
        <w:pStyle w:val="32"/>
        <w:spacing w:beforeAutospacing="0" w:afterAutospacing="0" w:line="500" w:lineRule="exact"/>
        <w:ind w:firstLine="480"/>
        <w:jc w:val="both"/>
        <w:rPr>
          <w:rFonts w:hint="eastAsia" w:ascii="宋体" w:hAnsi="宋体" w:eastAsia="宋体" w:cs="宋体"/>
          <w:color w:val="000000"/>
        </w:rPr>
      </w:pPr>
      <w:bookmarkStart w:id="160" w:name="_Toc200451960"/>
      <w:r>
        <w:rPr>
          <w:rFonts w:hint="eastAsia" w:ascii="宋体" w:hAnsi="宋体" w:eastAsia="宋体" w:cs="宋体"/>
          <w:color w:val="000000"/>
        </w:rPr>
        <w:t>27.5有下列情形之一的，视为投标人串通投标，投标无效：</w:t>
      </w:r>
      <w:bookmarkEnd w:id="160"/>
    </w:p>
    <w:p w14:paraId="4638785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27.5.1不同投标人的投标文件由同一单位或者个人编制。</w:t>
      </w:r>
    </w:p>
    <w:p w14:paraId="31BAD0E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27.5.2不同投标人委托同一单位或者个人办理投标事宜。</w:t>
      </w:r>
    </w:p>
    <w:p w14:paraId="703757F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27.5.3不同投标人的投标文件载明的项目管理成员或者联系人员为同一人。</w:t>
      </w:r>
    </w:p>
    <w:p w14:paraId="5234A75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27.5.4不同投标人的投标文件异常一致或者投标报价呈规律性差异。</w:t>
      </w:r>
    </w:p>
    <w:p w14:paraId="3F85FD2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28、质疑处理</w:t>
      </w:r>
    </w:p>
    <w:p w14:paraId="1AEFC85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7CBDA97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3B944DB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28.2.1对可以质疑的采购文件提出质疑的，为收到采购文件之日或者采购文件公告期限届满之日；</w:t>
      </w:r>
    </w:p>
    <w:p w14:paraId="05E1297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28.2.2对采购过程提出质疑的，为各采购程序环节结束之日；</w:t>
      </w:r>
    </w:p>
    <w:p w14:paraId="49CF828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28.2.3对中标或者成交结果提出质疑的，为中标或者成交结果公告期限届满之日。</w:t>
      </w:r>
    </w:p>
    <w:p w14:paraId="14790F7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供应商应当在法定质疑期内一次性提出针对同一采购程序环节的质疑。供应商如在法定期限内对同一采购程序环节提出多次质疑的，采购中心、采购人将只对供应商第一次质疑作出答复。</w:t>
      </w:r>
    </w:p>
    <w:p w14:paraId="7FED25A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7520D00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5BD046E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采购中心及采购人只接收以纸质原件形式送达的质疑,采购人和采购中心不接受未填写快递运单的快件。质疑接收部门为滨海县政府采购中心，联系地址：滨海县县城育才路 166 号滨海县政务服务中心，联系电话：19951333439。</w:t>
      </w:r>
    </w:p>
    <w:p w14:paraId="1C02EAD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28.5以下情形的质疑不予受理</w:t>
      </w:r>
    </w:p>
    <w:p w14:paraId="45CBB59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28.5.1内容不符合《政府采购质疑和投诉办法》第十二条规定的质疑。</w:t>
      </w:r>
    </w:p>
    <w:p w14:paraId="313BB278">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28.5.2超出政府采购法定期限的质疑。</w:t>
      </w:r>
    </w:p>
    <w:p w14:paraId="0554A94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28.5.3以传真、电子邮件等方式递交的非原件形式的质疑。</w:t>
      </w:r>
    </w:p>
    <w:p w14:paraId="4F33AE8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28.5.4未参加投标活动的供应商或在投标活动中自身权益未受到损害的供应商所提出的质疑。</w:t>
      </w:r>
    </w:p>
    <w:p w14:paraId="3DC39CF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28.5.5供应商组成联合体参加投标，联合体中任何一方或多方未按要求签字、盖章、加盖公章的质疑。</w:t>
      </w:r>
    </w:p>
    <w:p w14:paraId="3D6F73B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5E5E2B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29、中标通知书</w:t>
      </w:r>
    </w:p>
    <w:p w14:paraId="0C6ED2B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EAC51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015B2CFA">
      <w:pPr>
        <w:pStyle w:val="32"/>
        <w:spacing w:beforeAutospacing="0" w:afterAutospacing="0" w:line="500" w:lineRule="exact"/>
        <w:ind w:right="839"/>
        <w:jc w:val="both"/>
        <w:rPr>
          <w:rFonts w:hint="eastAsia" w:ascii="宋体" w:hAnsi="宋体" w:eastAsia="宋体" w:cs="宋体"/>
          <w:b/>
          <w:color w:val="000000"/>
        </w:rPr>
      </w:pPr>
      <w:bookmarkStart w:id="161" w:name="_Toc513029236"/>
      <w:bookmarkStart w:id="162" w:name="_Toc16938552"/>
      <w:bookmarkStart w:id="163" w:name="_Toc20823308"/>
      <w:bookmarkStart w:id="164" w:name="_Toc120614220"/>
      <w:r>
        <w:rPr>
          <w:rFonts w:hint="eastAsia" w:ascii="宋体" w:hAnsi="宋体" w:eastAsia="宋体" w:cs="宋体"/>
          <w:b/>
          <w:color w:val="000000"/>
        </w:rPr>
        <w:t>七、授予合同</w:t>
      </w:r>
      <w:bookmarkEnd w:id="161"/>
      <w:bookmarkEnd w:id="162"/>
      <w:bookmarkEnd w:id="163"/>
      <w:bookmarkEnd w:id="164"/>
    </w:p>
    <w:p w14:paraId="4DAD18BC">
      <w:pPr>
        <w:pStyle w:val="32"/>
        <w:spacing w:beforeAutospacing="0" w:afterAutospacing="0" w:line="500" w:lineRule="exact"/>
        <w:ind w:firstLine="480"/>
        <w:jc w:val="both"/>
        <w:rPr>
          <w:rFonts w:hint="eastAsia" w:ascii="宋体" w:hAnsi="宋体" w:eastAsia="宋体" w:cs="宋体"/>
          <w:color w:val="000000"/>
        </w:rPr>
      </w:pPr>
      <w:bookmarkStart w:id="165" w:name="_Toc20823309"/>
      <w:bookmarkStart w:id="166" w:name="_Toc513029237"/>
      <w:bookmarkStart w:id="167" w:name="_Toc16938553"/>
      <w:r>
        <w:rPr>
          <w:rFonts w:hint="eastAsia" w:ascii="宋体" w:hAnsi="宋体" w:eastAsia="宋体" w:cs="宋体"/>
          <w:color w:val="000000"/>
        </w:rPr>
        <w:t>30.签订合同</w:t>
      </w:r>
      <w:bookmarkEnd w:id="165"/>
      <w:bookmarkEnd w:id="166"/>
      <w:bookmarkEnd w:id="167"/>
    </w:p>
    <w:p w14:paraId="4ECB509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30.l中标人应当在中标通知书发出之日起三十日内，按照招标文件确定的事项与采购人签订政府采购合同。</w:t>
      </w:r>
    </w:p>
    <w:p w14:paraId="791C398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30.2招标文件、中标人的投标文件及招标过程中有关澄清、承诺文件均应作为合同附件。</w:t>
      </w:r>
    </w:p>
    <w:p w14:paraId="45DE706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30.3签订合同后，中标人不得将合同标的进行转包。未经采购人同意，中标人也不得采用分包的形式履行合同，否则采购人有权终止合同。转包或分包造成采购人损失的，中标人应承担相应赔偿责任。</w:t>
      </w:r>
    </w:p>
    <w:p w14:paraId="4648EDC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31、服务（包含与服务相关的货物）的追加</w:t>
      </w:r>
    </w:p>
    <w:p w14:paraId="044C428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7F5BD4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32.政府采购政策功能落实</w:t>
      </w:r>
    </w:p>
    <w:p w14:paraId="435218C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2F014CB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F143E4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32.2进口产品</w:t>
      </w:r>
    </w:p>
    <w:p w14:paraId="4A51AF1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65838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32.3中小企业、监狱企业及残疾人福利性单位</w:t>
      </w:r>
    </w:p>
    <w:p w14:paraId="08463AD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32.3.1中小企业定义：</w:t>
      </w:r>
    </w:p>
    <w:p w14:paraId="4C971EF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510FF7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0FF0F93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5672F2B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58D54DB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6119AE2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550F51C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53726F8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A19C8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4CE92C3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32.3.6.1安置的残疾人占本单位在职职工人数的比例不低于25%（含25%），并且安置的残疾人人数不少于10人（含10人）；</w:t>
      </w:r>
    </w:p>
    <w:p w14:paraId="1A3941E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15AC9DD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1D584E5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34FD0B6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09C5A48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32ADD4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32.3.7本项目是否专门面向中小企业预留采购份额见第一章《招标公告》。</w:t>
      </w:r>
    </w:p>
    <w:p w14:paraId="416F9AD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41B7721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5245454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75F98C4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17D66C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0F1B0B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32.5绿色包装</w:t>
      </w:r>
    </w:p>
    <w:p w14:paraId="292C361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63E9AB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32.6政府采购创新产品</w:t>
      </w:r>
    </w:p>
    <w:p w14:paraId="00AF78A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74830C1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32.7绿色数据中心政策</w:t>
      </w:r>
    </w:p>
    <w:p w14:paraId="1165A71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29C83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32.8实施本国产品标准及相关政策</w:t>
      </w:r>
    </w:p>
    <w:p w14:paraId="2DEBDB6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1.本项目对采购本国产品给予政策支持，具体内容见招标文件“第五章评标方法与评标标准”。</w:t>
      </w:r>
    </w:p>
    <w:p w14:paraId="2454DF1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25F73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C418C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32.9履约保证金政策</w:t>
      </w:r>
    </w:p>
    <w:p w14:paraId="5987EF5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76136BD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88B6A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如以履约保函（保险）形式缴纳履约保证金，供应商可通过政府采购电子履约保函（保险）平台（www.jsdzbh.com）在线申请履约保函（保险）。</w:t>
      </w:r>
    </w:p>
    <w:p w14:paraId="2425E78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24F8E9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33.预付款制度</w:t>
      </w:r>
    </w:p>
    <w:p w14:paraId="1764911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本项目落实预付款制度，预付款比例为</w:t>
      </w:r>
      <w:r>
        <w:rPr>
          <w:rFonts w:hint="eastAsia" w:ascii="宋体" w:hAnsi="宋体" w:eastAsia="宋体" w:cs="宋体"/>
          <w:u w:val="single"/>
        </w:rPr>
        <w:t>30</w:t>
      </w:r>
      <w:r>
        <w:rPr>
          <w:rFonts w:hint="eastAsia" w:ascii="宋体" w:hAnsi="宋体" w:eastAsia="宋体" w:cs="宋体"/>
        </w:rPr>
        <w:t>%</w:t>
      </w:r>
      <w:r>
        <w:rPr>
          <w:rFonts w:hint="eastAsia" w:ascii="宋体" w:hAnsi="宋体" w:eastAsia="宋体" w:cs="宋体"/>
          <w:color w:val="000000"/>
        </w:rPr>
        <w:t>（原则上不低于合同金额的30%）。在签订合同时，中标、成交供应商明确书面表示无需预付款或者主动要求降低预付款比例的，采购人可就预付款比例作相应调整。</w:t>
      </w:r>
    </w:p>
    <w:p w14:paraId="62522062">
      <w:pPr>
        <w:pStyle w:val="32"/>
        <w:spacing w:beforeAutospacing="0" w:afterAutospacing="0" w:line="360" w:lineRule="auto"/>
        <w:ind w:firstLine="480"/>
        <w:jc w:val="both"/>
        <w:rPr>
          <w:rFonts w:hint="eastAsia" w:ascii="宋体" w:hAnsi="宋体" w:eastAsia="宋体" w:cs="宋体"/>
          <w:color w:val="000000"/>
        </w:rPr>
      </w:pPr>
    </w:p>
    <w:p w14:paraId="11AC081C">
      <w:pPr>
        <w:spacing w:line="360" w:lineRule="auto"/>
        <w:jc w:val="center"/>
        <w:rPr>
          <w:rFonts w:hint="eastAsia" w:ascii="黑体" w:hAnsi="宋体" w:eastAsia="黑体" w:cs="黑体"/>
          <w:color w:val="000000"/>
          <w:sz w:val="48"/>
          <w:szCs w:val="48"/>
        </w:rPr>
      </w:pPr>
    </w:p>
    <w:p w14:paraId="682D2D5D">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2B94B540">
      <w:pPr>
        <w:spacing w:line="360" w:lineRule="auto"/>
        <w:jc w:val="center"/>
        <w:rPr>
          <w:rFonts w:ascii="宋体" w:hAnsi="宋体" w:cs="宋体"/>
          <w:b/>
          <w:sz w:val="48"/>
          <w:szCs w:val="44"/>
        </w:rPr>
      </w:pPr>
      <w:r>
        <w:rPr>
          <w:rFonts w:hint="eastAsia" w:ascii="黑体" w:hAnsi="宋体" w:eastAsia="黑体" w:cs="黑体"/>
          <w:color w:val="000000"/>
          <w:sz w:val="48"/>
          <w:szCs w:val="48"/>
        </w:rPr>
        <w:t>第三章 </w:t>
      </w:r>
      <w:r>
        <w:rPr>
          <w:rFonts w:hint="eastAsia" w:ascii="宋体" w:hAnsi="宋体" w:cs="宋体"/>
          <w:b/>
          <w:sz w:val="48"/>
          <w:szCs w:val="44"/>
        </w:rPr>
        <w:t>合同条款</w:t>
      </w:r>
    </w:p>
    <w:p w14:paraId="61A63262">
      <w:pPr>
        <w:jc w:val="center"/>
        <w:rPr>
          <w:rFonts w:ascii="宋体" w:hAnsi="宋体" w:cs="宋体"/>
          <w:b/>
          <w:bCs/>
          <w:spacing w:val="-20"/>
          <w:sz w:val="48"/>
          <w:szCs w:val="48"/>
        </w:rPr>
      </w:pPr>
    </w:p>
    <w:p w14:paraId="5544CBCE">
      <w:pPr>
        <w:jc w:val="center"/>
        <w:rPr>
          <w:rFonts w:ascii="宋体" w:hAnsi="宋体" w:cs="宋体"/>
          <w:b/>
          <w:bCs/>
          <w:spacing w:val="-20"/>
          <w:sz w:val="48"/>
          <w:szCs w:val="48"/>
        </w:rPr>
      </w:pPr>
    </w:p>
    <w:p w14:paraId="6038FDA2">
      <w:pPr>
        <w:jc w:val="center"/>
        <w:rPr>
          <w:rFonts w:ascii="宋体" w:hAnsi="宋体" w:cs="宋体"/>
          <w:sz w:val="30"/>
        </w:rPr>
      </w:pPr>
    </w:p>
    <w:p w14:paraId="7023E608">
      <w:pPr>
        <w:jc w:val="center"/>
        <w:rPr>
          <w:rFonts w:ascii="宋体" w:hAnsi="宋体" w:cs="宋体"/>
          <w:sz w:val="30"/>
        </w:rPr>
      </w:pPr>
      <w:r>
        <w:rPr>
          <w:rFonts w:hint="eastAsia" w:ascii="宋体" w:hAnsi="宋体" w:cs="宋体"/>
          <w:sz w:val="30"/>
        </w:rPr>
        <w:t>政府采购货物买卖合同</w:t>
      </w:r>
    </w:p>
    <w:p w14:paraId="39A221D5">
      <w:pPr>
        <w:jc w:val="center"/>
        <w:rPr>
          <w:rFonts w:ascii="宋体" w:hAnsi="宋体" w:cs="宋体"/>
          <w:sz w:val="30"/>
        </w:rPr>
      </w:pPr>
    </w:p>
    <w:p w14:paraId="7EE671B2">
      <w:pPr>
        <w:rPr>
          <w:rFonts w:ascii="宋体" w:hAnsi="宋体" w:cs="宋体"/>
          <w:sz w:val="30"/>
        </w:rPr>
      </w:pPr>
    </w:p>
    <w:p w14:paraId="149DABE6">
      <w:pPr>
        <w:rPr>
          <w:rFonts w:ascii="宋体" w:hAnsi="宋体" w:cs="宋体"/>
          <w:sz w:val="30"/>
        </w:rPr>
      </w:pPr>
    </w:p>
    <w:p w14:paraId="7E6C9959">
      <w:pPr>
        <w:rPr>
          <w:rFonts w:ascii="宋体" w:hAnsi="宋体" w:cs="宋体"/>
          <w:sz w:val="30"/>
        </w:rPr>
      </w:pPr>
    </w:p>
    <w:p w14:paraId="3BB3AA36">
      <w:pPr>
        <w:spacing w:line="360" w:lineRule="auto"/>
        <w:ind w:left="420"/>
        <w:rPr>
          <w:rFonts w:ascii="宋体" w:hAnsi="宋体" w:cs="宋体"/>
          <w:sz w:val="30"/>
        </w:rPr>
      </w:pPr>
      <w:r>
        <w:rPr>
          <w:rFonts w:hint="eastAsia" w:ascii="宋体" w:hAnsi="宋体" w:cs="宋体"/>
          <w:sz w:val="30"/>
        </w:rPr>
        <w:t>项目名称：</w:t>
      </w:r>
    </w:p>
    <w:p w14:paraId="11A1D3A4">
      <w:pPr>
        <w:spacing w:line="360" w:lineRule="auto"/>
        <w:ind w:left="420"/>
        <w:rPr>
          <w:rFonts w:ascii="宋体" w:hAnsi="宋体" w:cs="宋体"/>
          <w:sz w:val="30"/>
        </w:rPr>
      </w:pPr>
      <w:r>
        <w:rPr>
          <w:rFonts w:hint="eastAsia" w:ascii="宋体" w:hAnsi="宋体" w:cs="宋体"/>
          <w:sz w:val="30"/>
        </w:rPr>
        <w:t>合同编号：</w:t>
      </w:r>
    </w:p>
    <w:p w14:paraId="7691FC79">
      <w:pPr>
        <w:spacing w:line="360" w:lineRule="auto"/>
        <w:ind w:left="420"/>
        <w:rPr>
          <w:rFonts w:ascii="宋体" w:hAnsi="宋体" w:cs="宋体"/>
          <w:sz w:val="30"/>
        </w:rPr>
      </w:pPr>
      <w:r>
        <w:rPr>
          <w:rFonts w:hint="eastAsia" w:ascii="宋体" w:hAnsi="宋体" w:cs="宋体"/>
          <w:sz w:val="30"/>
        </w:rPr>
        <w:t>甲    方：</w:t>
      </w:r>
    </w:p>
    <w:p w14:paraId="2F6A467E">
      <w:pPr>
        <w:spacing w:line="360" w:lineRule="auto"/>
        <w:ind w:left="420"/>
        <w:rPr>
          <w:rFonts w:ascii="宋体" w:hAnsi="宋体" w:cs="宋体"/>
          <w:sz w:val="30"/>
        </w:rPr>
      </w:pPr>
      <w:r>
        <w:rPr>
          <w:rFonts w:hint="eastAsia" w:ascii="宋体" w:hAnsi="宋体" w:cs="宋体"/>
          <w:sz w:val="30"/>
        </w:rPr>
        <w:t>乙    方：</w:t>
      </w:r>
    </w:p>
    <w:p w14:paraId="2B606E10">
      <w:pPr>
        <w:spacing w:line="360" w:lineRule="auto"/>
        <w:ind w:left="420"/>
        <w:rPr>
          <w:rFonts w:ascii="宋体" w:hAnsi="宋体" w:cs="宋体"/>
          <w:sz w:val="30"/>
        </w:rPr>
      </w:pPr>
      <w:r>
        <w:rPr>
          <w:rFonts w:hint="eastAsia" w:ascii="宋体" w:hAnsi="宋体" w:cs="宋体"/>
          <w:sz w:val="30"/>
        </w:rPr>
        <w:t>签订时间：</w:t>
      </w:r>
    </w:p>
    <w:p w14:paraId="21B7008F">
      <w:pPr>
        <w:pStyle w:val="46"/>
        <w:rPr>
          <w:rFonts w:ascii="宋体" w:hAnsi="宋体" w:cs="宋体"/>
          <w:b/>
          <w:sz w:val="48"/>
          <w:szCs w:val="44"/>
        </w:rPr>
      </w:pPr>
    </w:p>
    <w:p w14:paraId="7C9EECA3">
      <w:pPr>
        <w:pStyle w:val="47"/>
        <w:rPr>
          <w:rFonts w:ascii="宋体" w:hAnsi="宋体" w:cs="宋体"/>
          <w:b/>
          <w:sz w:val="48"/>
          <w:szCs w:val="44"/>
        </w:rPr>
      </w:pPr>
    </w:p>
    <w:p w14:paraId="451BCA0B">
      <w:pPr>
        <w:rPr>
          <w:rFonts w:ascii="宋体" w:hAnsi="宋体" w:cs="宋体"/>
          <w:b/>
          <w:sz w:val="48"/>
          <w:szCs w:val="44"/>
        </w:rPr>
      </w:pPr>
    </w:p>
    <w:p w14:paraId="3823FD83">
      <w:pPr>
        <w:pStyle w:val="46"/>
      </w:pPr>
    </w:p>
    <w:p w14:paraId="40F8A9AB">
      <w:pPr>
        <w:rPr>
          <w:rFonts w:hint="eastAsia" w:ascii="宋体" w:hAnsi="宋体" w:eastAsia="宋体" w:cs="宋体"/>
          <w:color w:val="000000"/>
        </w:rPr>
      </w:pPr>
      <w:bookmarkStart w:id="168" w:name="_Toc513029243"/>
      <w:bookmarkStart w:id="169" w:name="_Toc20823315"/>
      <w:bookmarkStart w:id="170" w:name="_Toc16938559"/>
      <w:r>
        <w:rPr>
          <w:rFonts w:hint="eastAsia" w:ascii="宋体" w:hAnsi="宋体" w:eastAsia="宋体" w:cs="宋体"/>
          <w:color w:val="000000"/>
        </w:rPr>
        <w:br w:type="page"/>
      </w:r>
    </w:p>
    <w:bookmarkEnd w:id="168"/>
    <w:bookmarkEnd w:id="169"/>
    <w:bookmarkEnd w:id="170"/>
    <w:p w14:paraId="513757E7">
      <w:pPr>
        <w:pStyle w:val="32"/>
        <w:spacing w:before="120" w:beforeAutospacing="0" w:after="120" w:afterAutospacing="0" w:line="360" w:lineRule="auto"/>
        <w:jc w:val="center"/>
        <w:rPr>
          <w:rFonts w:hint="eastAsia" w:ascii="黑体" w:hAnsi="华文中宋" w:eastAsia="黑体"/>
          <w:sz w:val="28"/>
          <w:szCs w:val="28"/>
        </w:rPr>
      </w:pPr>
      <w:r>
        <w:rPr>
          <w:rFonts w:hint="eastAsia" w:ascii="黑体" w:hAnsi="华文中宋" w:eastAsia="黑体"/>
          <w:sz w:val="28"/>
          <w:szCs w:val="28"/>
        </w:rPr>
        <w:t>政府采购合同协议书</w:t>
      </w:r>
    </w:p>
    <w:p w14:paraId="343FEEC8">
      <w:pPr>
        <w:spacing w:line="500" w:lineRule="exact"/>
        <w:rPr>
          <w:rFonts w:ascii="宋体" w:hAnsi="宋体"/>
          <w:sz w:val="24"/>
        </w:rPr>
      </w:pPr>
      <w:r>
        <w:rPr>
          <w:rFonts w:hint="eastAsia" w:ascii="宋体" w:hAnsi="宋体"/>
          <w:sz w:val="24"/>
        </w:rPr>
        <w:t>甲方（全称）：</w:t>
      </w:r>
    </w:p>
    <w:p w14:paraId="23DA8236">
      <w:pPr>
        <w:spacing w:line="500" w:lineRule="exact"/>
        <w:rPr>
          <w:rFonts w:ascii="宋体" w:hAnsi="宋体"/>
          <w:sz w:val="24"/>
        </w:rPr>
      </w:pPr>
      <w:r>
        <w:rPr>
          <w:rFonts w:hint="eastAsia" w:ascii="宋体" w:hAnsi="宋体"/>
          <w:sz w:val="24"/>
        </w:rPr>
        <w:t>乙方（全称）：</w:t>
      </w:r>
      <w:r>
        <w:rPr>
          <w:rFonts w:ascii="宋体" w:hAnsi="宋体"/>
          <w:sz w:val="24"/>
        </w:rPr>
        <w:t xml:space="preserve"> </w:t>
      </w:r>
    </w:p>
    <w:p w14:paraId="63F8A2D5">
      <w:pPr>
        <w:pStyle w:val="32"/>
        <w:spacing w:beforeAutospacing="0" w:afterAutospacing="0" w:line="500" w:lineRule="exact"/>
        <w:jc w:val="both"/>
        <w:rPr>
          <w:rFonts w:ascii="宋体" w:hAnsi="宋体"/>
        </w:rPr>
      </w:pPr>
      <w:r>
        <w:rPr>
          <w:rFonts w:hint="eastAsia" w:ascii="宋体"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AF584B0">
      <w:pPr>
        <w:numPr>
          <w:ilvl w:val="0"/>
          <w:numId w:val="1"/>
        </w:numPr>
        <w:spacing w:line="500" w:lineRule="exact"/>
        <w:ind w:firstLine="482"/>
        <w:rPr>
          <w:rFonts w:ascii="宋体" w:hAnsi="宋体"/>
          <w:b/>
          <w:sz w:val="24"/>
        </w:rPr>
      </w:pPr>
      <w:r>
        <w:rPr>
          <w:rFonts w:hint="eastAsia" w:ascii="宋体" w:hAnsi="宋体" w:eastAsia="宋体" w:cs="宋体"/>
          <w:b/>
          <w:color w:val="000000"/>
        </w:rPr>
        <w:t>一、</w:t>
      </w:r>
      <w:r>
        <w:rPr>
          <w:rFonts w:hint="eastAsia" w:ascii="宋体" w:hAnsi="宋体"/>
          <w:b/>
          <w:sz w:val="24"/>
        </w:rPr>
        <w:t>项目信息</w:t>
      </w:r>
    </w:p>
    <w:p w14:paraId="118ED24F">
      <w:pPr>
        <w:numPr>
          <w:ilvl w:val="0"/>
          <w:numId w:val="2"/>
        </w:numPr>
        <w:spacing w:line="500" w:lineRule="exact"/>
        <w:ind w:firstLine="480"/>
        <w:rPr>
          <w:rFonts w:ascii="宋体" w:hAnsi="宋体"/>
          <w:sz w:val="24"/>
          <w:u w:val="single"/>
        </w:rPr>
      </w:pPr>
      <w:r>
        <w:rPr>
          <w:rFonts w:hint="eastAsia" w:ascii="宋体" w:hAnsi="宋体"/>
          <w:sz w:val="24"/>
        </w:rPr>
        <w:t>采购项目名称：</w:t>
      </w:r>
    </w:p>
    <w:p w14:paraId="3A0A2DD0">
      <w:pPr>
        <w:numPr>
          <w:ilvl w:val="255"/>
          <w:numId w:val="0"/>
        </w:numPr>
        <w:tabs>
          <w:tab w:val="left" w:pos="999"/>
        </w:tabs>
        <w:spacing w:line="500" w:lineRule="exact"/>
        <w:rPr>
          <w:rFonts w:ascii="宋体" w:hAnsi="宋体"/>
          <w:sz w:val="24"/>
        </w:rPr>
      </w:pPr>
      <w:r>
        <w:rPr>
          <w:rFonts w:hint="eastAsia" w:ascii="宋体" w:hAnsi="宋体"/>
          <w:sz w:val="24"/>
        </w:rPr>
        <w:t xml:space="preserve">   </w:t>
      </w:r>
      <w:r>
        <w:rPr>
          <w:rFonts w:hint="eastAsia" w:ascii="宋体" w:hAnsi="宋体" w:eastAsia="宋体"/>
          <w:sz w:val="24"/>
        </w:rPr>
        <w:t xml:space="preserve"> </w:t>
      </w:r>
      <w:r>
        <w:rPr>
          <w:rFonts w:hint="eastAsia" w:ascii="宋体" w:hAnsi="宋体"/>
          <w:sz w:val="24"/>
        </w:rPr>
        <w:t>（2）采购项目编号：</w:t>
      </w:r>
    </w:p>
    <w:p w14:paraId="674EB6FB">
      <w:pPr>
        <w:spacing w:line="500" w:lineRule="exact"/>
        <w:ind w:firstLine="480"/>
        <w:rPr>
          <w:rFonts w:ascii="宋体" w:hAnsi="宋体"/>
          <w:sz w:val="24"/>
        </w:rPr>
      </w:pPr>
      <w:r>
        <w:rPr>
          <w:rFonts w:hint="eastAsia" w:ascii="宋体" w:hAnsi="宋体"/>
          <w:sz w:val="24"/>
        </w:rPr>
        <w:t>（</w:t>
      </w:r>
      <w:r>
        <w:rPr>
          <w:rFonts w:hint="eastAsia" w:ascii="宋体" w:hAnsi="宋体" w:eastAsia="宋体"/>
          <w:sz w:val="24"/>
        </w:rPr>
        <w:t>3</w:t>
      </w:r>
      <w:r>
        <w:rPr>
          <w:rFonts w:hint="eastAsia" w:ascii="宋体" w:hAnsi="宋体"/>
          <w:sz w:val="24"/>
        </w:rPr>
        <w:t>）采购计划编号：</w:t>
      </w:r>
    </w:p>
    <w:p w14:paraId="26EAD61D">
      <w:pPr>
        <w:widowControl/>
        <w:numPr>
          <w:ilvl w:val="255"/>
          <w:numId w:val="0"/>
        </w:numPr>
        <w:spacing w:line="500" w:lineRule="exact"/>
        <w:ind w:firstLine="480" w:firstLineChars="200"/>
        <w:jc w:val="left"/>
        <w:rPr>
          <w:rFonts w:ascii="宋体" w:hAnsi="宋体" w:cs="宋体"/>
          <w:sz w:val="24"/>
        </w:rPr>
      </w:pPr>
      <w:r>
        <w:rPr>
          <w:rFonts w:hint="eastAsia" w:ascii="宋体" w:hAnsi="宋体"/>
          <w:sz w:val="24"/>
        </w:rPr>
        <w:t>（</w:t>
      </w:r>
      <w:r>
        <w:rPr>
          <w:rFonts w:hint="eastAsia" w:ascii="宋体" w:hAnsi="宋体" w:eastAsia="宋体"/>
          <w:sz w:val="24"/>
        </w:rPr>
        <w:t>4</w:t>
      </w:r>
      <w:r>
        <w:rPr>
          <w:rFonts w:hint="eastAsia" w:ascii="宋体" w:hAnsi="宋体"/>
          <w:sz w:val="24"/>
        </w:rPr>
        <w:t>）项目内容：</w:t>
      </w:r>
    </w:p>
    <w:p w14:paraId="51410521">
      <w:pPr>
        <w:numPr>
          <w:ilvl w:val="255"/>
          <w:numId w:val="0"/>
        </w:numPr>
        <w:spacing w:line="500" w:lineRule="exact"/>
      </w:pPr>
      <w:r>
        <w:rPr>
          <w:rFonts w:hint="eastAsia" w:ascii="宋体" w:hAnsi="宋体" w:cs="宋体"/>
          <w:sz w:val="24"/>
        </w:rPr>
        <w:t xml:space="preserve">   </w:t>
      </w:r>
      <w:r>
        <w:rPr>
          <w:rFonts w:hint="eastAsia" w:ascii="宋体" w:hAnsi="宋体" w:eastAsia="宋体" w:cs="宋体"/>
          <w:b/>
          <w:color w:val="000000"/>
        </w:rPr>
        <w:t>二、合同金额</w:t>
      </w:r>
    </w:p>
    <w:p w14:paraId="63C0516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 xml:space="preserve">2.1本合同金额为（大写）： </w:t>
      </w:r>
      <w:r>
        <w:rPr>
          <w:rFonts w:hint="eastAsia" w:ascii="宋体" w:hAnsi="宋体" w:eastAsia="宋体" w:cs="宋体"/>
          <w:color w:val="000000"/>
          <w:u w:val="single"/>
        </w:rPr>
        <w:t xml:space="preserve">            </w:t>
      </w:r>
      <w:r>
        <w:rPr>
          <w:rFonts w:hint="eastAsia" w:ascii="宋体" w:hAnsi="宋体" w:eastAsia="宋体" w:cs="宋体"/>
          <w:color w:val="000000"/>
        </w:rPr>
        <w:t>圆（</w:t>
      </w:r>
      <w:r>
        <w:rPr>
          <w:rFonts w:hint="eastAsia" w:ascii="宋体" w:hAnsi="宋体" w:eastAsia="宋体" w:cs="宋体"/>
          <w:color w:val="000000"/>
          <w:u w:val="single"/>
        </w:rPr>
        <w:t xml:space="preserve">          </w:t>
      </w:r>
      <w:r>
        <w:rPr>
          <w:rFonts w:hint="eastAsia" w:ascii="宋体" w:hAnsi="宋体" w:eastAsia="宋体" w:cs="宋体"/>
          <w:color w:val="000000"/>
        </w:rPr>
        <w:t>元）人民币。</w:t>
      </w:r>
    </w:p>
    <w:p w14:paraId="63C0FD65">
      <w:pPr>
        <w:spacing w:line="500" w:lineRule="exact"/>
        <w:ind w:firstLine="480"/>
        <w:jc w:val="left"/>
        <w:rPr>
          <w:rFonts w:hint="eastAsia" w:ascii="宋体" w:hAnsi="宋体" w:eastAsia="宋体" w:cs="宋体"/>
          <w:sz w:val="24"/>
        </w:rPr>
      </w:pPr>
      <w:r>
        <w:rPr>
          <w:rFonts w:hint="eastAsia" w:ascii="宋体" w:hAnsi="宋体" w:eastAsia="宋体" w:cs="宋体"/>
          <w:color w:val="000000"/>
          <w:sz w:val="24"/>
        </w:rPr>
        <w:t>2.2合同总价包含但不限于：</w:t>
      </w:r>
      <w:r>
        <w:rPr>
          <w:rFonts w:ascii="Segoe UI" w:hAnsi="Segoe UI" w:eastAsia="Segoe UI" w:cs="Segoe UI"/>
          <w:color w:val="0F1115"/>
          <w:sz w:val="24"/>
          <w:shd w:val="clear" w:color="auto" w:fill="FFFFFF"/>
        </w:rPr>
        <w:t>合同总价包含但不限于全部货物（含软件、授权、附配件）的采购、包装、运输、安装调试、培训、验收，以及三年质保期内维保、驻场服务、管理、劳务、利润、税金、加班费、风险费、不可预见费等为完成本项目所发生的一切相关费用。除合同约定外，采购人不再支付任何额外费用</w:t>
      </w:r>
      <w:r>
        <w:rPr>
          <w:rFonts w:hint="eastAsia" w:ascii="宋体" w:hAnsi="宋体" w:cs="宋体"/>
          <w:sz w:val="24"/>
          <w:lang w:val="zh-CN"/>
        </w:rPr>
        <w:t>。</w:t>
      </w:r>
    </w:p>
    <w:p w14:paraId="0AE559E9">
      <w:pPr>
        <w:pStyle w:val="32"/>
        <w:spacing w:beforeAutospacing="0" w:afterAutospacing="0" w:line="500" w:lineRule="exact"/>
        <w:jc w:val="both"/>
      </w:pPr>
      <w:r>
        <w:rPr>
          <w:rFonts w:hint="eastAsia" w:ascii="宋体" w:hAnsi="宋体" w:eastAsia="宋体" w:cs="宋体"/>
          <w:b/>
          <w:color w:val="000000"/>
        </w:rPr>
        <w:t>三、技术资料</w:t>
      </w:r>
    </w:p>
    <w:p w14:paraId="7190753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3.1乙方应按招标文件规定的时间向甲方提供服务（包含与服务相关的货物）的有关技术资料。</w:t>
      </w:r>
    </w:p>
    <w:p w14:paraId="52EB1D35">
      <w:pPr>
        <w:pStyle w:val="32"/>
        <w:spacing w:beforeAutospacing="0" w:afterAutospacing="0" w:line="500" w:lineRule="exact"/>
        <w:ind w:firstLine="480"/>
        <w:jc w:val="both"/>
      </w:pPr>
      <w:r>
        <w:rPr>
          <w:rFonts w:hint="eastAsia" w:ascii="宋体" w:hAnsi="宋体" w:eastAsia="宋体" w:cs="宋体"/>
          <w:color w:val="000000"/>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E21BA3">
      <w:pPr>
        <w:pStyle w:val="32"/>
        <w:spacing w:beforeAutospacing="0" w:afterAutospacing="0" w:line="500" w:lineRule="exact"/>
        <w:ind w:left="412" w:hanging="412"/>
        <w:jc w:val="both"/>
      </w:pPr>
      <w:r>
        <w:rPr>
          <w:rFonts w:hint="eastAsia" w:ascii="宋体" w:hAnsi="宋体" w:eastAsia="宋体" w:cs="宋体"/>
          <w:b/>
          <w:color w:val="000000"/>
        </w:rPr>
        <w:t>四、知识产权</w:t>
      </w:r>
    </w:p>
    <w:p w14:paraId="444F2DD5">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167210D3">
      <w:pPr>
        <w:pStyle w:val="32"/>
        <w:spacing w:beforeAutospacing="0" w:afterAutospacing="0" w:line="500" w:lineRule="exact"/>
        <w:jc w:val="both"/>
      </w:pPr>
      <w:r>
        <w:rPr>
          <w:rFonts w:hint="eastAsia" w:ascii="宋体" w:hAnsi="宋体" w:eastAsia="宋体" w:cs="宋体"/>
          <w:b/>
          <w:color w:val="000000"/>
        </w:rPr>
        <w:t>五、产权担保</w:t>
      </w:r>
    </w:p>
    <w:p w14:paraId="2941359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5.1乙方保证所交付的服务（包含与服务相关的货物）的所有权完全属于乙方且无任何抵押、查封等产权瑕疵。</w:t>
      </w:r>
    </w:p>
    <w:p w14:paraId="697602D7">
      <w:pPr>
        <w:pStyle w:val="32"/>
        <w:spacing w:beforeAutospacing="0" w:afterAutospacing="0" w:line="500" w:lineRule="exact"/>
        <w:ind w:left="410" w:hanging="410"/>
        <w:jc w:val="both"/>
      </w:pPr>
      <w:r>
        <w:rPr>
          <w:rFonts w:hint="eastAsia" w:ascii="宋体" w:hAnsi="宋体" w:eastAsia="宋体" w:cs="宋体"/>
          <w:b/>
          <w:color w:val="000000"/>
        </w:rPr>
        <w:t>六、履约保证金</w:t>
      </w:r>
    </w:p>
    <w:p w14:paraId="14A6138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6.1乙方交纳人民币_________元作为本合同的履约保证金。</w:t>
      </w:r>
    </w:p>
    <w:p w14:paraId="5C146A6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6.2确需收取履约保证金的，履约保证金的缴纳形式：</w:t>
      </w:r>
    </w:p>
    <w:p w14:paraId="600A8A4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A16D2E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6.2.2如以履约保函（保险）形式缴纳履约保证金，供应商可通过政府采购电子履约保函（保险）平台（www.jsdzbh.com）在线申请履约保函（保险）。</w:t>
      </w:r>
    </w:p>
    <w:p w14:paraId="6EE4DB0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6.3合同履行结束后，甲方应及时退还交纳的履约保证金。</w:t>
      </w:r>
    </w:p>
    <w:p w14:paraId="78ABFA5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6.4履约保证金的退还：</w:t>
      </w:r>
    </w:p>
    <w:p w14:paraId="5388F42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6.4.1方式：退还至投标人缴纳履约保证金的账户。如为保函，在到期时自行失效。</w:t>
      </w:r>
    </w:p>
    <w:p w14:paraId="3CA1E2B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6.4.2时间：验收合格且采购人收到发票后30日内。</w:t>
      </w:r>
    </w:p>
    <w:p w14:paraId="361209E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6.4.3条件：按合同要求全部履约完成并经采购人验收合格，且采购人收到中标人出具的发票。</w:t>
      </w:r>
    </w:p>
    <w:p w14:paraId="49DE9E9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6.4.4不予退还情形：</w:t>
      </w:r>
    </w:p>
    <w:p w14:paraId="691A206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除不可抗力情况外，投标人出现下列情形之一的，其履约保证金，招标人将视情节决定不予退还或部分不予退还。</w:t>
      </w:r>
    </w:p>
    <w:p w14:paraId="7A84671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（1）中标人无正当理由拒绝签订合同的，或者在签订合同时向采购人提出附加条件或者更改合同实质性内容要求的；</w:t>
      </w:r>
    </w:p>
    <w:p w14:paraId="59586C2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（2）中标人不履行与采购人订立的合同的；</w:t>
      </w:r>
    </w:p>
    <w:p w14:paraId="128D2E5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（3）中标人所供货物或服务不符合招标文件规定要求的；</w:t>
      </w:r>
    </w:p>
    <w:p w14:paraId="5EFD035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（4）中标人采取欺骗、弄虚作假方式投标的或与其它投标人串通投标的；</w:t>
      </w:r>
    </w:p>
    <w:p w14:paraId="4B07745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（5）中标人将合同内容转包、违法分包的；</w:t>
      </w:r>
    </w:p>
    <w:p w14:paraId="0026360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（6）中标人故意捏造事实或伪造证明材料，进行虚假恶意投诉或反映的。</w:t>
      </w:r>
    </w:p>
    <w:p w14:paraId="7214341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6.4.5逾期退还的违约责任：采购人逾期无故未退还履约保证金的，按中国人民银行同期贷款基准利率上浮20%后的利率支付超期资金占用费，但因供应商自身原因导致无法及时退还的除外。</w:t>
      </w:r>
    </w:p>
    <w:p w14:paraId="57E2BE33">
      <w:pPr>
        <w:pStyle w:val="32"/>
        <w:spacing w:beforeAutospacing="0" w:afterAutospacing="0" w:line="500" w:lineRule="exact"/>
        <w:jc w:val="both"/>
      </w:pPr>
      <w:r>
        <w:rPr>
          <w:rFonts w:hint="eastAsia" w:ascii="宋体" w:hAnsi="宋体" w:eastAsia="宋体" w:cs="宋体"/>
          <w:b/>
          <w:color w:val="000000"/>
        </w:rPr>
        <w:t>七、合同转包或分包</w:t>
      </w:r>
    </w:p>
    <w:p w14:paraId="3AB6B77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7.1乙方不得将合同标的转包给他人履行。</w:t>
      </w:r>
    </w:p>
    <w:p w14:paraId="45752E41">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7.2乙方不得将合同标的分包给他人履行。</w:t>
      </w:r>
    </w:p>
    <w:p w14:paraId="28E8603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7.3乙方如有转包或未经甲方同意的分包行为，甲方有权解除合同。</w:t>
      </w:r>
    </w:p>
    <w:p w14:paraId="1B61FD2E">
      <w:pPr>
        <w:pStyle w:val="32"/>
        <w:spacing w:beforeAutospacing="0" w:afterAutospacing="0" w:line="500" w:lineRule="exact"/>
        <w:jc w:val="both"/>
      </w:pPr>
      <w:r>
        <w:rPr>
          <w:rFonts w:hint="eastAsia" w:ascii="宋体" w:hAnsi="宋体" w:eastAsia="宋体" w:cs="宋体"/>
          <w:b/>
          <w:color w:val="000000"/>
        </w:rPr>
        <w:t>八、合同款项支付</w:t>
      </w:r>
    </w:p>
    <w:p w14:paraId="03D8564F">
      <w:pPr>
        <w:spacing w:line="460" w:lineRule="exact"/>
        <w:ind w:firstLine="480" w:firstLineChars="200"/>
        <w:rPr>
          <w:rFonts w:hint="eastAsia" w:ascii="宋体" w:hAnsi="宋体" w:eastAsia="宋体" w:cs="Times New Roman"/>
          <w:sz w:val="24"/>
          <w:szCs w:val="22"/>
        </w:rPr>
      </w:pPr>
      <w:r>
        <w:rPr>
          <w:rFonts w:hint="eastAsia" w:ascii="宋体" w:hAnsi="宋体" w:eastAsia="宋体" w:cs="Times New Roman"/>
          <w:sz w:val="24"/>
          <w:szCs w:val="22"/>
        </w:rPr>
        <w:t>8.1</w:t>
      </w:r>
      <w:r>
        <w:rPr>
          <w:rFonts w:hint="eastAsia" w:ascii="宋体" w:hAnsi="宋体" w:eastAsia="宋体" w:cs="宋体"/>
          <w:color w:val="000000"/>
          <w:sz w:val="24"/>
        </w:rPr>
        <w:t>合同预付款比例为合同金额的30%，合同签订后，甲方在收到发票后10个工作日内将预付款支付到合同约定的乙方账户（乙方须提供合同总价30%的即兑即付预付款银行保函）。签订合同时，</w:t>
      </w:r>
      <w:r>
        <w:rPr>
          <w:rFonts w:hint="eastAsia" w:ascii="宋体" w:hAnsi="宋体" w:eastAsia="宋体" w:cs="宋体"/>
          <w:sz w:val="24"/>
        </w:rPr>
        <w:t>乙方书面明确表示无需预付款的，甲方可不支付预付款。</w:t>
      </w:r>
    </w:p>
    <w:p w14:paraId="329D3C5D">
      <w:pPr>
        <w:pStyle w:val="35"/>
        <w:spacing w:line="460" w:lineRule="exact"/>
        <w:ind w:firstLine="480"/>
        <w:rPr>
          <w:rFonts w:hint="eastAsia" w:ascii="宋体" w:hAnsi="宋体" w:eastAsia="宋体" w:cs="Times New Roman"/>
          <w:sz w:val="24"/>
          <w:szCs w:val="22"/>
          <w:highlight w:val="yellow"/>
        </w:rPr>
      </w:pPr>
      <w:r>
        <w:rPr>
          <w:rFonts w:hint="eastAsia" w:ascii="宋体" w:hAnsi="宋体" w:eastAsia="宋体" w:cs="Times New Roman"/>
          <w:sz w:val="24"/>
          <w:szCs w:val="22"/>
        </w:rPr>
        <w:t>8.2</w:t>
      </w:r>
      <w:r>
        <w:rPr>
          <w:rFonts w:hint="eastAsia" w:ascii="宋体" w:hAnsi="宋体" w:eastAsia="宋体" w:cs="宋体"/>
          <w:color w:val="000000"/>
          <w:sz w:val="24"/>
          <w:szCs w:val="24"/>
        </w:rPr>
        <w:t>按先服务后付费的方式，每年为一个付款周期，验收满一年支付至合同金额的30%，满两年支付至合同金额的60%，满三年支付至合同金额的100%，最后一个付款周期的应付款项在合同结束后且收到乙方有效发票的90个工作日内根据乙方履约情况结清。</w:t>
      </w:r>
    </w:p>
    <w:p w14:paraId="5514F843">
      <w:pPr>
        <w:pStyle w:val="15"/>
        <w:spacing w:line="500" w:lineRule="exact"/>
        <w:ind w:firstLine="480" w:firstLineChars="200"/>
        <w:rPr>
          <w:rFonts w:hint="eastAsia" w:ascii="宋体" w:hAnsi="宋体" w:eastAsia="宋体" w:cs="宋体"/>
        </w:rPr>
      </w:pPr>
      <w:r>
        <w:rPr>
          <w:rFonts w:hint="eastAsia" w:ascii="宋体" w:hAnsi="宋体" w:eastAsia="宋体" w:cs="Times New Roman"/>
          <w:sz w:val="24"/>
          <w:szCs w:val="22"/>
        </w:rPr>
        <w:t>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rPr>
        <w:t>保函开具行必须为采购人认可的国有商业银行，且须完全符合甲方要求</w:t>
      </w:r>
      <w:r>
        <w:rPr>
          <w:rFonts w:hint="eastAsia" w:ascii="宋体" w:hAnsi="宋体" w:eastAsia="宋体" w:cs="Times New Roman"/>
          <w:sz w:val="24"/>
          <w:szCs w:val="22"/>
        </w:rPr>
        <w:t>。如乙方未按上述要求在签订合同前15日内提供银行保函，则视为乙方无条件放弃预付款，付款方式仍按照合同第五条款第2点中的付款方式执行。</w:t>
      </w:r>
    </w:p>
    <w:p w14:paraId="0295A629">
      <w:pPr>
        <w:pStyle w:val="32"/>
        <w:spacing w:beforeAutospacing="0" w:afterAutospacing="0" w:line="500" w:lineRule="exact"/>
        <w:jc w:val="both"/>
      </w:pPr>
      <w:r>
        <w:rPr>
          <w:rFonts w:hint="eastAsia" w:ascii="宋体" w:hAnsi="宋体" w:eastAsia="宋体" w:cs="宋体"/>
          <w:b/>
          <w:color w:val="000000"/>
        </w:rPr>
        <w:t>九、税费</w:t>
      </w:r>
    </w:p>
    <w:p w14:paraId="01ADEF97">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9.1本合同执行中相关的一切税费均由乙方负担。</w:t>
      </w:r>
    </w:p>
    <w:p w14:paraId="1A5277A7">
      <w:pPr>
        <w:pStyle w:val="32"/>
        <w:spacing w:beforeAutospacing="0" w:afterAutospacing="0" w:line="500" w:lineRule="exact"/>
        <w:jc w:val="both"/>
      </w:pPr>
      <w:r>
        <w:rPr>
          <w:rFonts w:hint="eastAsia" w:ascii="宋体" w:hAnsi="宋体" w:eastAsia="宋体" w:cs="宋体"/>
          <w:b/>
          <w:color w:val="000000"/>
        </w:rPr>
        <w:t>十、项目验收</w:t>
      </w:r>
    </w:p>
    <w:p w14:paraId="523B57A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10.1甲方依法组织履约验收工作。</w:t>
      </w:r>
    </w:p>
    <w:p w14:paraId="22B431BB">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2AE7AB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10.3对于实际使用人和甲方分离的项目，甲方邀请实际使用人参与验收。</w:t>
      </w:r>
    </w:p>
    <w:p w14:paraId="3844C08C">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10.4如有必要，甲方邀请参加本项目的其他供应商或第三方专业机构及专家参与验收，相关意见将作为验收书的参考资料。</w:t>
      </w:r>
    </w:p>
    <w:p w14:paraId="0DB6FCB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A11C3BF">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39BD05A">
      <w:pPr>
        <w:pStyle w:val="32"/>
        <w:spacing w:beforeAutospacing="0" w:afterAutospacing="0" w:line="500" w:lineRule="exact"/>
        <w:jc w:val="both"/>
      </w:pPr>
      <w:r>
        <w:rPr>
          <w:rFonts w:hint="eastAsia" w:ascii="宋体" w:hAnsi="宋体" w:eastAsia="宋体" w:cs="宋体"/>
          <w:b/>
          <w:color w:val="000000"/>
        </w:rPr>
        <w:t>十一、违约责任</w:t>
      </w:r>
    </w:p>
    <w:p w14:paraId="7006933E">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11.1甲方无正当理由拒绝接受乙方提供服务的，甲方向乙方偿付拒绝接受服务合同价款总值</w:t>
      </w:r>
      <w:r>
        <w:rPr>
          <w:rFonts w:hint="eastAsia" w:ascii="宋体" w:hAnsi="宋体" w:eastAsia="宋体" w:cs="宋体"/>
          <w:u w:val="single"/>
        </w:rPr>
        <w:t>1‰</w:t>
      </w:r>
      <w:r>
        <w:rPr>
          <w:rFonts w:hint="eastAsia" w:ascii="宋体" w:hAnsi="宋体" w:eastAsia="宋体" w:cs="宋体"/>
          <w:color w:val="000000"/>
        </w:rPr>
        <w:t>的违约金。</w:t>
      </w:r>
    </w:p>
    <w:p w14:paraId="365E7EA2">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11.2甲方无故逾期验收和办理合同款项支付手续的,甲方应按逾期付款总额</w:t>
      </w:r>
      <w:r>
        <w:rPr>
          <w:rFonts w:hint="eastAsia" w:ascii="宋体" w:hAnsi="宋体" w:eastAsia="宋体" w:cs="宋体"/>
          <w:u w:val="single"/>
        </w:rPr>
        <w:t>银行同期利率</w:t>
      </w:r>
      <w:r>
        <w:rPr>
          <w:rFonts w:hint="eastAsia" w:ascii="宋体" w:hAnsi="宋体" w:eastAsia="宋体" w:cs="宋体"/>
          <w:color w:val="000000"/>
        </w:rPr>
        <w:t>每日向乙方支付违约金。</w:t>
      </w:r>
    </w:p>
    <w:p w14:paraId="5810BB2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20%</w:t>
      </w:r>
      <w:r>
        <w:rPr>
          <w:rFonts w:hint="eastAsia" w:ascii="宋体" w:hAnsi="宋体" w:eastAsia="宋体" w:cs="宋体"/>
          <w:color w:val="000000"/>
        </w:rPr>
        <w:t>的违约金，如造成甲方损失超过违约金的，超出部分由乙方继续承担赔偿责任。</w:t>
      </w:r>
    </w:p>
    <w:p w14:paraId="025CD854">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11.4乙方所提供服务的标准不符合合同规定及招标文件规定标准的，甲方有权拒绝接受服务，并可单方面解除合同。</w:t>
      </w:r>
    </w:p>
    <w:p w14:paraId="7187A31D">
      <w:pPr>
        <w:pStyle w:val="32"/>
        <w:spacing w:beforeAutospacing="0" w:afterAutospacing="0" w:line="500" w:lineRule="exact"/>
        <w:jc w:val="both"/>
      </w:pPr>
      <w:r>
        <w:rPr>
          <w:rFonts w:hint="eastAsia" w:ascii="宋体" w:hAnsi="宋体" w:eastAsia="宋体" w:cs="宋体"/>
          <w:b/>
          <w:color w:val="000000"/>
        </w:rPr>
        <w:t>十二、不可抗力事件处理</w:t>
      </w:r>
    </w:p>
    <w:p w14:paraId="0586A8C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12.1在合同有效期内，任何一方因不可抗力事件导致不能履行合同，则合同履行期可延长，其延长期与不可抗力影响期相同。</w:t>
      </w:r>
    </w:p>
    <w:p w14:paraId="7FB33316">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12.2不可抗力事件发生后，应立即通知对方，并寄送有关权威机构出具的证明。</w:t>
      </w:r>
    </w:p>
    <w:p w14:paraId="57A11459">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12.3不可抗力事件延续120天以上，双方应通过友好协商，确定是否继续履行合同。</w:t>
      </w:r>
    </w:p>
    <w:p w14:paraId="09689625">
      <w:pPr>
        <w:pStyle w:val="32"/>
        <w:spacing w:beforeAutospacing="0" w:afterAutospacing="0" w:line="500" w:lineRule="exact"/>
        <w:jc w:val="both"/>
      </w:pPr>
      <w:r>
        <w:rPr>
          <w:rFonts w:hint="eastAsia" w:ascii="宋体" w:hAnsi="宋体" w:eastAsia="宋体" w:cs="宋体"/>
          <w:b/>
          <w:color w:val="000000"/>
        </w:rPr>
        <w:t>十三、解决争议的方法</w:t>
      </w:r>
    </w:p>
    <w:p w14:paraId="0B5B570D">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13.1双方在签订、履行合同中所发生的一切争议，应通过友好协商解决。如协商不成，由甲方住所地人民法院管辖。</w:t>
      </w:r>
    </w:p>
    <w:p w14:paraId="0FD0CBB2">
      <w:pPr>
        <w:pStyle w:val="32"/>
        <w:spacing w:beforeAutospacing="0" w:afterAutospacing="0" w:line="500" w:lineRule="exact"/>
        <w:jc w:val="both"/>
      </w:pPr>
      <w:r>
        <w:rPr>
          <w:rFonts w:hint="eastAsia" w:ascii="宋体" w:hAnsi="宋体" w:eastAsia="宋体" w:cs="宋体"/>
          <w:b/>
          <w:color w:val="000000"/>
        </w:rPr>
        <w:t>十四、合同生效及其他</w:t>
      </w:r>
    </w:p>
    <w:p w14:paraId="2C334E13">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14.1合同经双方法定代表人或授权委托代表人签字并加盖单位公章后生效。</w:t>
      </w:r>
    </w:p>
    <w:p w14:paraId="183FA440">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14.2本合同未尽事宜，遵照《中华人民共和国民法典》、《中华人民共和国政府采购法》有关条文执行。</w:t>
      </w:r>
    </w:p>
    <w:p w14:paraId="7FC0591A">
      <w:pPr>
        <w:pStyle w:val="32"/>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14.3本合同正本一式肆份，具有同等法律效力，甲方、乙方各执贰份。</w:t>
      </w:r>
    </w:p>
    <w:p w14:paraId="30BBA332">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0DD49B34">
      <w:pPr>
        <w:pStyle w:val="32"/>
        <w:spacing w:beforeAutospacing="0" w:afterAutospacing="0" w:line="360" w:lineRule="auto"/>
        <w:ind w:firstLine="480"/>
        <w:jc w:val="both"/>
        <w:rPr>
          <w:rFonts w:hint="eastAsia" w:ascii="宋体" w:hAnsi="宋体" w:eastAsia="宋体" w:cs="宋体"/>
          <w:color w:val="000000"/>
        </w:rPr>
      </w:pPr>
    </w:p>
    <w:p w14:paraId="20C01493">
      <w:pPr>
        <w:pStyle w:val="32"/>
        <w:spacing w:beforeAutospacing="0" w:afterAutospacing="0" w:line="360" w:lineRule="auto"/>
        <w:ind w:firstLine="480"/>
        <w:jc w:val="both"/>
        <w:rPr>
          <w:rFonts w:hint="eastAsia" w:ascii="宋体" w:hAnsi="宋体" w:eastAsia="宋体" w:cs="宋体"/>
          <w:color w:val="000000"/>
        </w:rPr>
      </w:pPr>
    </w:p>
    <w:p w14:paraId="521559B1">
      <w:pPr>
        <w:pStyle w:val="32"/>
        <w:spacing w:beforeAutospacing="0" w:afterAutospacing="0" w:line="360" w:lineRule="auto"/>
        <w:ind w:firstLine="720" w:firstLineChars="300"/>
        <w:jc w:val="both"/>
        <w:rPr>
          <w:rFonts w:hint="eastAsia" w:ascii="宋体" w:hAnsi="宋体" w:eastAsia="宋体" w:cs="宋体"/>
          <w:color w:val="000000"/>
        </w:rPr>
      </w:pPr>
      <w:r>
        <w:rPr>
          <w:rFonts w:hint="eastAsia" w:ascii="宋体" w:hAnsi="宋体" w:eastAsia="宋体" w:cs="宋体"/>
          <w:color w:val="000000"/>
        </w:rPr>
        <w:t>甲方：               乙方：</w:t>
      </w:r>
    </w:p>
    <w:p w14:paraId="2363B360">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地址：               地址：</w:t>
      </w:r>
    </w:p>
    <w:p w14:paraId="0AD9083E">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法定代表人或授权代表：       法定代表人或授权代表：</w:t>
      </w:r>
    </w:p>
    <w:p w14:paraId="2A42DDAC">
      <w:pPr>
        <w:pStyle w:val="32"/>
        <w:spacing w:beforeAutospacing="0" w:afterAutospacing="0" w:line="360" w:lineRule="auto"/>
        <w:ind w:firstLine="787"/>
        <w:jc w:val="both"/>
        <w:rPr>
          <w:rFonts w:hint="eastAsia" w:ascii="宋体" w:hAnsi="宋体" w:eastAsia="宋体" w:cs="宋体"/>
          <w:color w:val="000000"/>
        </w:rPr>
      </w:pPr>
      <w:r>
        <w:rPr>
          <w:rFonts w:hint="eastAsia" w:ascii="宋体" w:hAnsi="宋体" w:eastAsia="宋体" w:cs="宋体"/>
          <w:color w:val="000000"/>
        </w:rPr>
        <w:t>联系电话：                   联系电话：         </w:t>
      </w:r>
    </w:p>
    <w:p w14:paraId="3AB373CD">
      <w:pPr>
        <w:pStyle w:val="32"/>
        <w:spacing w:before="120" w:beforeAutospacing="0" w:after="120" w:afterAutospacing="0" w:line="360" w:lineRule="auto"/>
        <w:jc w:val="center"/>
      </w:pPr>
      <w:r>
        <w:rPr>
          <w:rFonts w:hint="eastAsia" w:ascii="宋体" w:hAnsi="宋体" w:eastAsia="宋体" w:cs="宋体"/>
          <w:color w:val="000000"/>
        </w:rPr>
        <w:t>                                         签订日期：     年  月  日</w:t>
      </w:r>
      <w:bookmarkStart w:id="171" w:name="_Toc479757211"/>
      <w:bookmarkStart w:id="172" w:name="_Toc462564139"/>
      <w:bookmarkStart w:id="173" w:name="_Toc20823346"/>
      <w:bookmarkStart w:id="174" w:name="_Hlt16619350"/>
      <w:bookmarkStart w:id="175" w:name="_Toc16938590"/>
      <w:bookmarkStart w:id="176" w:name="_Toc120614244"/>
      <w:bookmarkStart w:id="177" w:name="_Hlt16619369"/>
      <w:r>
        <w:rPr>
          <w:rFonts w:hint="eastAsia" w:ascii="黑体" w:hAnsi="宋体" w:eastAsia="黑体" w:cs="黑体"/>
          <w:color w:val="000000"/>
        </w:rPr>
        <w:br w:type="page" w:clear="all"/>
      </w:r>
      <w:r>
        <w:rPr>
          <w:rFonts w:hint="eastAsia" w:ascii="黑体" w:hAnsi="宋体" w:eastAsia="黑体" w:cs="黑体"/>
          <w:color w:val="000000"/>
          <w:sz w:val="48"/>
          <w:szCs w:val="48"/>
        </w:rPr>
        <w:t> 第</w:t>
      </w:r>
      <w:bookmarkEnd w:id="171"/>
      <w:r>
        <w:rPr>
          <w:rFonts w:hint="eastAsia" w:ascii="黑体" w:hAnsi="宋体" w:eastAsia="黑体" w:cs="黑体"/>
          <w:color w:val="000000"/>
          <w:sz w:val="48"/>
          <w:szCs w:val="48"/>
        </w:rPr>
        <w:t>四章  采购需求</w:t>
      </w:r>
      <w:bookmarkEnd w:id="172"/>
      <w:bookmarkEnd w:id="173"/>
      <w:bookmarkEnd w:id="174"/>
      <w:bookmarkEnd w:id="175"/>
      <w:bookmarkEnd w:id="176"/>
    </w:p>
    <w:p w14:paraId="598C2EB8">
      <w:pPr>
        <w:pStyle w:val="32"/>
        <w:spacing w:beforeAutospacing="0" w:afterAutospacing="0" w:line="500" w:lineRule="exact"/>
        <w:ind w:firstLine="480"/>
        <w:jc w:val="both"/>
        <w:rPr>
          <w:rFonts w:hint="eastAsia" w:ascii="宋体" w:hAnsi="宋体" w:eastAsia="宋体" w:cs="宋体"/>
          <w:color w:val="000000"/>
        </w:rPr>
      </w:pPr>
      <w:bookmarkStart w:id="178" w:name="_Toc26554093"/>
      <w:bookmarkStart w:id="179" w:name="_Toc49090575"/>
      <w:r>
        <w:rPr>
          <w:rFonts w:hint="eastAsia" w:ascii="宋体" w:hAnsi="宋体" w:eastAsia="宋体" w:cs="宋体"/>
          <w:color w:val="000000"/>
        </w:rPr>
        <w:t>项目属性:货物类项目。</w:t>
      </w:r>
      <w:bookmarkEnd w:id="178"/>
      <w:bookmarkEnd w:id="179"/>
    </w:p>
    <w:p w14:paraId="29A6DDA6">
      <w:pPr>
        <w:spacing w:line="500" w:lineRule="exact"/>
        <w:ind w:firstLine="482"/>
        <w:rPr>
          <w:rFonts w:hint="eastAsia" w:ascii="宋体" w:hAnsi="宋体" w:eastAsia="宋体" w:cs="宋体"/>
          <w:b/>
          <w:bCs/>
          <w:sz w:val="24"/>
        </w:rPr>
      </w:pPr>
      <w:r>
        <w:rPr>
          <w:rFonts w:hint="eastAsia" w:ascii="宋体" w:hAnsi="宋体" w:eastAsia="宋体" w:cs="宋体"/>
          <w:b/>
          <w:bCs/>
          <w:sz w:val="24"/>
        </w:rPr>
        <w:t>一、项目概况：</w:t>
      </w:r>
    </w:p>
    <w:p w14:paraId="68F5A692">
      <w:pPr>
        <w:spacing w:line="500" w:lineRule="exact"/>
        <w:ind w:firstLine="480" w:firstLineChars="200"/>
        <w:rPr>
          <w:rFonts w:hint="eastAsia" w:ascii="宋体" w:hAnsi="宋体" w:eastAsia="宋体" w:cs="宋体"/>
          <w:sz w:val="24"/>
        </w:rPr>
      </w:pPr>
      <w:r>
        <w:rPr>
          <w:rFonts w:hint="eastAsia" w:ascii="宋体" w:hAnsi="宋体" w:eastAsia="宋体" w:cs="宋体"/>
          <w:sz w:val="24"/>
        </w:rPr>
        <w:t>滨海县人民政府机房作为承载单位核心业务系统与数据的关键基础设施，其运行环境的稳定性、安全性直接关系到业务的连续性与数据安全。随着设备使用年限的增长和网信安要求的不断提高，当前机房软硬件设施面临</w:t>
      </w:r>
      <w:r>
        <w:rPr>
          <w:rFonts w:hint="eastAsia" w:ascii="宋体" w:hAnsi="宋体" w:eastAsia="宋体" w:cs="宋体"/>
          <w:kern w:val="2"/>
          <w:sz w:val="24"/>
        </w:rPr>
        <w:t>空调、UPS过保，环境监控缺失、网络安全设备过保、终端缺乏防护能力</w:t>
      </w:r>
      <w:r>
        <w:rPr>
          <w:rFonts w:hint="eastAsia" w:ascii="宋体" w:hAnsi="宋体" w:eastAsia="宋体" w:cs="宋体"/>
          <w:sz w:val="24"/>
        </w:rPr>
        <w:t>等主要问题，亟需进行系统性整改升级。</w:t>
      </w:r>
    </w:p>
    <w:p w14:paraId="366CDD41">
      <w:pPr>
        <w:spacing w:line="500" w:lineRule="exact"/>
        <w:ind w:firstLine="480" w:firstLineChars="200"/>
        <w:rPr>
          <w:rFonts w:hint="eastAsia" w:ascii="宋体" w:hAnsi="宋体" w:eastAsia="宋体" w:cs="宋体"/>
          <w:sz w:val="24"/>
        </w:rPr>
      </w:pPr>
      <w:r>
        <w:rPr>
          <w:rFonts w:hint="eastAsia" w:ascii="宋体" w:hAnsi="宋体" w:eastAsia="宋体" w:cs="宋体"/>
          <w:sz w:val="24"/>
        </w:rPr>
        <w:t>拟通过采购专业设备及服务提升网络安全以及优化机房环境，具体</w:t>
      </w:r>
      <w:r>
        <w:rPr>
          <w:rFonts w:hint="eastAsia" w:ascii="宋体" w:hAnsi="宋体" w:eastAsia="宋体" w:cs="宋体"/>
          <w:color w:val="000000"/>
          <w:sz w:val="24"/>
          <w:lang w:bidi="ar"/>
        </w:rPr>
        <w:t>货物名称、数量及技术参数需求等内容详见招标文件第</w:t>
      </w:r>
      <w:r>
        <w:rPr>
          <w:rFonts w:hint="eastAsia" w:ascii="宋体" w:hAnsi="宋体" w:eastAsia="宋体" w:cs="宋体"/>
          <w:color w:val="000000"/>
          <w:sz w:val="24"/>
        </w:rPr>
        <w:t>四章。包括货物（含相关附配件、软件）的采购、包装、运输、安装、调试、培训、验收、三年质量保修期内维保、售后服务等。</w:t>
      </w:r>
    </w:p>
    <w:p w14:paraId="0DA6A76C">
      <w:pPr>
        <w:pStyle w:val="4"/>
        <w:numPr>
          <w:ilvl w:val="0"/>
          <w:numId w:val="3"/>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采购内容：</w:t>
      </w:r>
    </w:p>
    <w:p w14:paraId="2BA45229">
      <w:pPr>
        <w:pStyle w:val="4"/>
        <w:spacing w:before="0" w:after="0" w:line="500" w:lineRule="exact"/>
        <w:rPr>
          <w:sz w:val="24"/>
          <w:szCs w:val="24"/>
        </w:rPr>
      </w:pPr>
      <w:r>
        <w:rPr>
          <w:rFonts w:hint="eastAsia" w:ascii="宋体" w:hAnsi="宋体" w:eastAsia="宋体" w:cs="宋体"/>
          <w:sz w:val="24"/>
          <w:szCs w:val="24"/>
        </w:rPr>
        <w:t>（一）网络安全设备</w:t>
      </w:r>
    </w:p>
    <w:tbl>
      <w:tblPr>
        <w:tblStyle w:val="36"/>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7122"/>
      </w:tblGrid>
      <w:tr w14:paraId="651EA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right w:val="single" w:color="auto" w:sz="4" w:space="0"/>
            </w:tcBorders>
            <w:vAlign w:val="center"/>
          </w:tcPr>
          <w:p w14:paraId="04E479B5">
            <w:pPr>
              <w:widowControl/>
              <w:rPr>
                <w:rFonts w:hint="eastAsia" w:ascii="宋体" w:hAnsi="宋体" w:eastAsia="宋体" w:cs="宋体"/>
                <w:b/>
                <w:bCs/>
                <w:sz w:val="24"/>
              </w:rPr>
            </w:pPr>
            <w:r>
              <w:rPr>
                <w:rFonts w:hint="eastAsia" w:ascii="宋体" w:hAnsi="宋体" w:eastAsia="宋体" w:cs="宋体"/>
                <w:b/>
                <w:bCs/>
                <w:sz w:val="24"/>
              </w:rPr>
              <w:t>设备名称</w:t>
            </w:r>
          </w:p>
        </w:tc>
        <w:tc>
          <w:tcPr>
            <w:tcW w:w="7122" w:type="dxa"/>
            <w:tcBorders>
              <w:top w:val="single" w:color="auto" w:sz="4" w:space="0"/>
              <w:left w:val="single" w:color="auto" w:sz="4" w:space="0"/>
              <w:bottom w:val="single" w:color="auto" w:sz="4" w:space="0"/>
              <w:right w:val="single" w:color="auto" w:sz="4" w:space="0"/>
            </w:tcBorders>
            <w:vAlign w:val="center"/>
          </w:tcPr>
          <w:p w14:paraId="61346069">
            <w:pPr>
              <w:widowControl/>
              <w:jc w:val="center"/>
              <w:rPr>
                <w:rFonts w:hint="eastAsia" w:ascii="宋体" w:hAnsi="宋体" w:eastAsia="宋体" w:cs="宋体"/>
                <w:b/>
                <w:bCs/>
                <w:sz w:val="24"/>
              </w:rPr>
            </w:pPr>
            <w:r>
              <w:rPr>
                <w:rFonts w:hint="eastAsia" w:ascii="宋体" w:hAnsi="宋体" w:eastAsia="宋体" w:cs="宋体"/>
                <w:b/>
                <w:bCs/>
                <w:sz w:val="24"/>
              </w:rPr>
              <w:t>参数要求</w:t>
            </w:r>
          </w:p>
        </w:tc>
      </w:tr>
      <w:tr w14:paraId="6944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27C78DF3">
            <w:pPr>
              <w:widowControl/>
              <w:jc w:val="left"/>
              <w:rPr>
                <w:rFonts w:hint="eastAsia" w:ascii="宋体" w:hAnsi="宋体" w:eastAsia="宋体" w:cs="宋体"/>
                <w:sz w:val="24"/>
                <w:lang w:bidi="ar"/>
              </w:rPr>
            </w:pPr>
          </w:p>
          <w:p w14:paraId="0B0F065E">
            <w:pPr>
              <w:widowControl/>
              <w:jc w:val="left"/>
              <w:rPr>
                <w:rFonts w:hint="eastAsia" w:ascii="宋体" w:hAnsi="宋体" w:eastAsia="宋体" w:cs="宋体"/>
                <w:sz w:val="24"/>
                <w:lang w:bidi="ar"/>
              </w:rPr>
            </w:pPr>
          </w:p>
          <w:p w14:paraId="6A5A4B9B">
            <w:pPr>
              <w:pStyle w:val="4"/>
              <w:jc w:val="center"/>
              <w:rPr>
                <w:rFonts w:hint="eastAsia" w:ascii="宋体" w:hAnsi="宋体" w:eastAsia="宋体" w:cs="宋体"/>
                <w:bCs/>
                <w:sz w:val="24"/>
                <w:szCs w:val="24"/>
              </w:rPr>
            </w:pPr>
            <w:r>
              <w:rPr>
                <w:rFonts w:hint="eastAsia" w:ascii="宋体" w:hAnsi="宋体" w:eastAsia="宋体" w:cs="宋体"/>
                <w:bCs/>
                <w:sz w:val="24"/>
                <w:szCs w:val="24"/>
              </w:rPr>
              <w:t>防火墙</w:t>
            </w:r>
          </w:p>
          <w:p w14:paraId="7119FB9B">
            <w:pPr>
              <w:widowControl/>
              <w:jc w:val="left"/>
              <w:rPr>
                <w:rFonts w:hint="eastAsia" w:ascii="宋体" w:hAnsi="宋体" w:eastAsia="宋体" w:cs="宋体"/>
                <w:b/>
                <w:bCs/>
                <w:sz w:val="24"/>
                <w:lang w:bidi="ar"/>
              </w:rPr>
            </w:pPr>
          </w:p>
        </w:tc>
        <w:tc>
          <w:tcPr>
            <w:tcW w:w="7122" w:type="dxa"/>
            <w:tcBorders>
              <w:top w:val="single" w:color="auto" w:sz="4" w:space="0"/>
              <w:left w:val="single" w:color="auto" w:sz="4" w:space="0"/>
              <w:bottom w:val="single" w:color="auto" w:sz="4" w:space="0"/>
              <w:right w:val="single" w:color="auto" w:sz="4" w:space="0"/>
            </w:tcBorders>
            <w:vAlign w:val="top"/>
          </w:tcPr>
          <w:p w14:paraId="7FD8B3A0">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网络层吞吐量8G，并发连接≥350万，每秒新建连接数14万；标准2U机箱，单电源；板载6个千兆电口，2个扩展插槽，1个Console口，2个USB接口，有液晶屏；默认含200个IPsecVPN标配并发隧道数，默认含200个SSLVPN标配并发用户数；支持应用控制功能、URL过滤功能、病毒防护功能、入侵防御功能、威胁情报检测功能；含三年硬件维保服务和三年安全组合升级订阅服务（包含威胁情报库、应用识别库、URL分类特征库、病毒防护特征库、入侵防御特征库升级服务）。</w:t>
            </w:r>
          </w:p>
          <w:p w14:paraId="2F62F253">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eastAsia="zh-CN" w:bidi="ar"/>
              </w:rPr>
              <w:t>所投产品须</w:t>
            </w:r>
            <w:r>
              <w:rPr>
                <w:rFonts w:hint="eastAsia" w:ascii="宋体" w:hAnsi="宋体" w:eastAsia="宋体" w:cs="宋体"/>
                <w:szCs w:val="21"/>
                <w:lang w:bidi="ar"/>
              </w:rPr>
              <w:t>支持MPLS流量透传；支持针对MPLS流量的安全审查，包括漏洞防护、反病毒、间谍软件防护、内容过滤、URL过滤、基于终端状态访问控制等安全防护功能</w:t>
            </w:r>
            <w:r>
              <w:rPr>
                <w:rFonts w:hint="eastAsia" w:ascii="宋体" w:hAnsi="宋体" w:eastAsia="宋体" w:cs="宋体"/>
                <w:szCs w:val="21"/>
                <w:lang w:val="en-US" w:eastAsia="zh-CN" w:bidi="ar"/>
              </w:rPr>
              <w:t>。</w:t>
            </w:r>
          </w:p>
          <w:p w14:paraId="40F21109">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bidi="ar"/>
              </w:rPr>
              <w:t>支持DDNS功能，支持Oray向日葵、Pubyun公云、Noip、Changeip提供的DDNS服务，将动态获取的IP地址映射为固定的域名</w:t>
            </w:r>
            <w:r>
              <w:rPr>
                <w:rFonts w:hint="eastAsia" w:ascii="宋体" w:hAnsi="宋体" w:eastAsia="宋体" w:cs="宋体"/>
                <w:szCs w:val="21"/>
                <w:lang w:val="en-US" w:eastAsia="zh-CN" w:bidi="ar"/>
              </w:rPr>
              <w:t>。</w:t>
            </w:r>
          </w:p>
          <w:p w14:paraId="6B41DD23">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eastAsia="zh-CN" w:bidi="ar"/>
              </w:rPr>
              <w:t>所投产品须</w:t>
            </w:r>
            <w:r>
              <w:rPr>
                <w:rFonts w:hint="eastAsia" w:ascii="宋体" w:hAnsi="宋体" w:eastAsia="宋体" w:cs="宋体"/>
                <w:szCs w:val="21"/>
                <w:lang w:bidi="ar"/>
              </w:rPr>
              <w:t>支持基于策略的路由负载，支持根据应用和服务进行智能选路</w:t>
            </w:r>
            <w:r>
              <w:rPr>
                <w:rFonts w:hint="eastAsia" w:ascii="宋体" w:hAnsi="宋体" w:eastAsia="宋体" w:cs="宋体"/>
                <w:szCs w:val="21"/>
                <w:lang w:val="en-US" w:eastAsia="zh-CN" w:bidi="ar"/>
              </w:rPr>
              <w:t>。</w:t>
            </w:r>
          </w:p>
          <w:p w14:paraId="5E5A76EA">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bidi="ar"/>
              </w:rPr>
              <w:t>★</w:t>
            </w:r>
            <w:r>
              <w:rPr>
                <w:rFonts w:hint="eastAsia" w:ascii="宋体" w:hAnsi="宋体" w:eastAsia="宋体" w:cs="宋体"/>
                <w:szCs w:val="21"/>
                <w:lang w:val="en-US" w:eastAsia="zh-CN" w:bidi="ar"/>
              </w:rPr>
              <w:t>所投产品必须支持共享上网检测功能，支持共享接入检测和共享接入管控功能，可以通过设置管控地址和例外地址优化管控功能，同时支持阻断或告警动作。所投产品支持对网元进行健康检查，及故障bypass能力，健康检查至少包括链路探测、回环探测、接口探测能力</w:t>
            </w:r>
            <w:r>
              <w:rPr>
                <w:rFonts w:hint="eastAsia" w:ascii="宋体" w:hAnsi="宋体" w:eastAsia="宋体" w:cs="宋体"/>
                <w:szCs w:val="21"/>
                <w:lang w:bidi="ar"/>
              </w:rPr>
              <w:t>（投标时提供功能截图）</w:t>
            </w:r>
          </w:p>
          <w:p w14:paraId="408B3DFE">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bidi="ar"/>
              </w:rPr>
              <w:t>★</w:t>
            </w:r>
            <w:r>
              <w:rPr>
                <w:rFonts w:hint="eastAsia" w:ascii="宋体" w:hAnsi="宋体" w:eastAsia="宋体" w:cs="宋体"/>
                <w:szCs w:val="21"/>
                <w:lang w:val="en-US" w:eastAsia="zh-CN" w:bidi="ar"/>
              </w:rPr>
              <w:t>所投产品支持灵活的服务链编排功能，支持串接链和旁路链，支持网元组的方向和位置设置。</w:t>
            </w:r>
            <w:r>
              <w:rPr>
                <w:rFonts w:hint="eastAsia" w:ascii="宋体" w:hAnsi="宋体" w:eastAsia="宋体" w:cs="宋体"/>
                <w:szCs w:val="21"/>
                <w:lang w:eastAsia="zh-CN" w:bidi="ar"/>
              </w:rPr>
              <w:t>所投产品须</w:t>
            </w:r>
            <w:r>
              <w:rPr>
                <w:rFonts w:hint="eastAsia" w:ascii="宋体" w:hAnsi="宋体" w:eastAsia="宋体" w:cs="宋体"/>
                <w:szCs w:val="21"/>
                <w:lang w:bidi="ar"/>
              </w:rPr>
              <w:t>支持威胁引流功能，威胁引流可以通过开关设置是否开启，通过添加蜜罐地址实现引流，同时支持添加例外域名，做到精细化引流管控（投标时提供功能截图）</w:t>
            </w:r>
          </w:p>
          <w:p w14:paraId="39A509C0">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所投设备必须提供关联的威胁事件日志，系统可自动将产生威胁事件的连接经过防病毒、防漏洞、防间谍软件、URL过滤、文件过滤等安全模块检查的日志集中显示。</w:t>
            </w:r>
          </w:p>
          <w:p w14:paraId="5DD9F665">
            <w:pPr>
              <w:widowControl/>
              <w:numPr>
                <w:ilvl w:val="0"/>
                <w:numId w:val="4"/>
              </w:numPr>
              <w:jc w:val="lef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所投产品必须支持与云端联动，至少实现病毒云查杀、URL云识别、应用云识别、云沙箱、威胁情报云检测等功能。</w:t>
            </w:r>
          </w:p>
          <w:p w14:paraId="50BFFA26">
            <w:pPr>
              <w:widowControl/>
              <w:numPr>
                <w:ilvl w:val="0"/>
                <w:numId w:val="4"/>
              </w:numPr>
              <w:jc w:val="left"/>
              <w:rPr>
                <w:rFonts w:hint="eastAsia" w:ascii="宋体" w:hAnsi="宋体" w:eastAsia="宋体" w:cs="宋体"/>
                <w:szCs w:val="21"/>
                <w:lang w:bidi="ar"/>
              </w:rPr>
            </w:pPr>
            <w:r>
              <w:rPr>
                <w:rFonts w:hint="eastAsia" w:ascii="宋体" w:hAnsi="宋体" w:eastAsia="宋体" w:cs="宋体"/>
                <w:szCs w:val="21"/>
                <w:lang w:bidi="ar"/>
              </w:rPr>
              <w:t>支持接收针对突发重大安全事件的“应急响应消息”，并至少在界面显示安全事件名称、类型、当前防护状态、处置状态以及相应的操作等信息；并可根据设备安全配置的变化动态显示应急响应的处理结果</w:t>
            </w:r>
            <w:r>
              <w:rPr>
                <w:rFonts w:hint="eastAsia" w:ascii="宋体" w:hAnsi="宋体" w:eastAsia="宋体" w:cs="宋体"/>
                <w:szCs w:val="21"/>
                <w:lang w:val="en-US" w:eastAsia="zh-CN" w:bidi="ar"/>
              </w:rPr>
              <w:t>。</w:t>
            </w:r>
          </w:p>
        </w:tc>
      </w:tr>
      <w:tr w14:paraId="4FC5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7034DC64">
            <w:pPr>
              <w:pStyle w:val="4"/>
              <w:jc w:val="center"/>
              <w:rPr>
                <w:rFonts w:hint="eastAsia" w:ascii="宋体" w:hAnsi="宋体" w:eastAsia="宋体" w:cs="宋体"/>
                <w:bCs/>
                <w:sz w:val="24"/>
                <w:szCs w:val="24"/>
              </w:rPr>
            </w:pPr>
            <w:r>
              <w:rPr>
                <w:rFonts w:hint="eastAsia" w:ascii="宋体" w:hAnsi="宋体" w:eastAsia="宋体" w:cs="宋体"/>
                <w:bCs/>
                <w:sz w:val="24"/>
                <w:szCs w:val="24"/>
              </w:rPr>
              <w:t>终端防护</w:t>
            </w:r>
          </w:p>
          <w:p w14:paraId="01F1EBEF">
            <w:pPr>
              <w:pStyle w:val="4"/>
              <w:jc w:val="center"/>
              <w:rPr>
                <w:rFonts w:hint="eastAsia" w:ascii="宋体" w:hAnsi="宋体" w:eastAsia="宋体" w:cs="宋体"/>
                <w:bCs/>
                <w:sz w:val="24"/>
                <w:szCs w:val="24"/>
              </w:rPr>
            </w:pPr>
          </w:p>
        </w:tc>
        <w:tc>
          <w:tcPr>
            <w:tcW w:w="7122" w:type="dxa"/>
            <w:tcBorders>
              <w:top w:val="single" w:color="auto" w:sz="4" w:space="0"/>
              <w:left w:val="single" w:color="auto" w:sz="4" w:space="0"/>
              <w:bottom w:val="single" w:color="auto" w:sz="4" w:space="0"/>
              <w:right w:val="single" w:color="auto" w:sz="4" w:space="0"/>
            </w:tcBorders>
            <w:vAlign w:val="top"/>
          </w:tcPr>
          <w:p w14:paraId="64248889">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本次配置PC版450</w:t>
            </w:r>
            <w:r>
              <w:rPr>
                <w:rFonts w:hint="eastAsia" w:ascii="宋体" w:hAnsi="宋体" w:eastAsia="宋体" w:cs="宋体"/>
                <w:szCs w:val="21"/>
                <w:lang w:val="en-US" w:eastAsia="zh-CN"/>
              </w:rPr>
              <w:t>个点</w:t>
            </w:r>
            <w:r>
              <w:rPr>
                <w:rFonts w:hint="default" w:ascii="宋体" w:hAnsi="宋体" w:eastAsia="宋体" w:cs="宋体"/>
                <w:szCs w:val="21"/>
                <w:lang w:val="en-US" w:eastAsia="zh-CN"/>
              </w:rPr>
              <w:t>。</w:t>
            </w:r>
          </w:p>
          <w:p w14:paraId="78C81022">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安全策略一体化配置，通过单一策略即可实现不同安全功能的配置，包括：终端病毒查杀的文件扫描配置、文件实时监控的参数配置、WebShell检测和威胁处置方式、暴力破解的威胁处置方式和Windows白名单信任目录</w:t>
            </w:r>
            <w:r>
              <w:rPr>
                <w:rFonts w:hint="eastAsia" w:ascii="宋体" w:hAnsi="宋体" w:eastAsia="宋体" w:cs="宋体"/>
                <w:szCs w:val="21"/>
                <w:lang w:val="en-US" w:eastAsia="zh-CN"/>
              </w:rPr>
              <w:t>。</w:t>
            </w:r>
          </w:p>
          <w:p w14:paraId="0F6CCD07">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支持全网视角的端口和运行进程的清点，在监听端口视角，可以识别风险端口，并支持一键封堵端口和解除封堵</w:t>
            </w:r>
            <w:r>
              <w:rPr>
                <w:rFonts w:hint="eastAsia" w:ascii="宋体" w:hAnsi="宋体" w:eastAsia="宋体" w:cs="宋体"/>
                <w:szCs w:val="21"/>
                <w:lang w:val="en-US" w:eastAsia="zh-CN"/>
              </w:rPr>
              <w:t>。</w:t>
            </w:r>
          </w:p>
          <w:p w14:paraId="11D28EFE">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对终端账户信息进行梳理，了解账号权限分布概况以及风险账号分布情况，可按照隐藏账号、弱密码账号、可疑root权限账号、长期未使用账号、夜间登录、多IP登录进行账号分类查看，支持统计最近一年未修改密码的账户</w:t>
            </w:r>
            <w:r>
              <w:rPr>
                <w:rFonts w:hint="eastAsia" w:ascii="宋体" w:hAnsi="宋体" w:eastAsia="宋体" w:cs="宋体"/>
                <w:szCs w:val="21"/>
                <w:lang w:val="en-US" w:eastAsia="zh-CN"/>
              </w:rPr>
              <w:t>。</w:t>
            </w:r>
          </w:p>
          <w:p w14:paraId="58F2AB88">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宋体" w:hAnsi="宋体" w:eastAsia="宋体" w:cs="宋体"/>
                <w:szCs w:val="21"/>
                <w:lang w:val="en-US" w:eastAsia="zh-CN"/>
              </w:rPr>
              <w:t>。</w:t>
            </w:r>
          </w:p>
          <w:p w14:paraId="73F27801">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支持勒索风险管理功能，持续跟踪最新的勒索情报和技战法，实时展示出资产中的入侵风险，包括勒索风险端口、勒索应用弱密码和勒索风险漏洞，为用户做勒索风险加固提供数据支撑</w:t>
            </w:r>
            <w:r>
              <w:rPr>
                <w:rFonts w:hint="eastAsia" w:ascii="宋体" w:hAnsi="宋体" w:eastAsia="宋体" w:cs="宋体"/>
                <w:szCs w:val="21"/>
                <w:lang w:val="en-US" w:eastAsia="zh-CN"/>
              </w:rPr>
              <w:t>。</w:t>
            </w:r>
          </w:p>
          <w:p w14:paraId="67931622">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支持暴露面梳理功能，可以快速识别环境中暴露在外网的端口及应用，当检测到有来自于外网的IP地址访问时，判定该资产为外网暴露面资产，帮助用户高效梳理资产脆弱面</w:t>
            </w:r>
            <w:r>
              <w:rPr>
                <w:rFonts w:hint="eastAsia" w:ascii="宋体" w:hAnsi="宋体" w:eastAsia="宋体" w:cs="宋体"/>
                <w:szCs w:val="21"/>
                <w:lang w:val="en-US" w:eastAsia="zh-CN"/>
              </w:rPr>
              <w:t>。</w:t>
            </w:r>
          </w:p>
          <w:p w14:paraId="30A4D3B6">
            <w:pPr>
              <w:widowControl/>
              <w:numPr>
                <w:ilvl w:val="0"/>
                <w:numId w:val="5"/>
              </w:numPr>
              <w:jc w:val="left"/>
              <w:rPr>
                <w:rFonts w:hint="default" w:ascii="宋体" w:hAnsi="宋体" w:eastAsia="宋体" w:cs="宋体"/>
                <w:szCs w:val="21"/>
                <w:lang w:val="en-US" w:eastAsia="zh-CN"/>
              </w:rPr>
            </w:pPr>
            <w:r>
              <w:rPr>
                <w:rFonts w:hint="eastAsia" w:asciiTheme="majorEastAsia" w:hAnsiTheme="majorEastAsia" w:eastAsiaTheme="majorEastAsia"/>
                <w:b w:val="0"/>
                <w:bCs/>
              </w:rPr>
              <w:t>★</w:t>
            </w:r>
            <w:r>
              <w:rPr>
                <w:rFonts w:hint="default" w:ascii="宋体" w:hAnsi="宋体" w:eastAsia="宋体" w:cs="宋体"/>
                <w:szCs w:val="21"/>
                <w:lang w:val="en-US" w:eastAsia="zh-CN"/>
              </w:rPr>
              <w:t>具备勒索病毒专防，支持监控诱饵文件，诱饵文件可被实时监控，当勒索病毒对该文件进行修改或加密操作时进行拦截</w:t>
            </w:r>
            <w:r>
              <w:rPr>
                <w:rFonts w:hint="eastAsia" w:ascii="宋体" w:hAnsi="宋体" w:eastAsia="宋体" w:cs="宋体"/>
                <w:szCs w:val="21"/>
                <w:lang w:val="en-US" w:eastAsia="zh-CN"/>
              </w:rPr>
              <w:t>。</w:t>
            </w:r>
            <w:r>
              <w:rPr>
                <w:rFonts w:hint="default" w:ascii="宋体" w:hAnsi="宋体" w:eastAsia="宋体" w:cs="宋体"/>
                <w:szCs w:val="21"/>
                <w:lang w:val="en-US" w:eastAsia="zh-CN"/>
              </w:rPr>
              <w:t>支持安全策略一体化配置，通过一条策略即可实现不同安全功能的配置，包括：终端病毒查杀的文件扫描配置、文件实时监控的参数配置、WebShell检测的检测和威胁处置方式、暴力破解的威胁处置方式和信任目录</w:t>
            </w:r>
            <w:r>
              <w:rPr>
                <w:rFonts w:hint="eastAsia" w:ascii="宋体" w:hAnsi="宋体" w:eastAsia="宋体" w:cs="宋体"/>
                <w:szCs w:val="21"/>
                <w:lang w:val="en-US" w:eastAsia="zh-CN"/>
              </w:rPr>
              <w:t>。</w:t>
            </w:r>
            <w:r>
              <w:rPr>
                <w:rFonts w:hint="default" w:ascii="宋体" w:hAnsi="宋体" w:eastAsia="宋体" w:cs="宋体"/>
                <w:szCs w:val="21"/>
                <w:lang w:val="en-US" w:eastAsia="zh-CN"/>
              </w:rPr>
              <w:t>（</w:t>
            </w:r>
            <w:r>
              <w:rPr>
                <w:rFonts w:hint="eastAsia" w:ascii="宋体" w:hAnsi="宋体" w:eastAsia="宋体" w:cs="宋体"/>
                <w:szCs w:val="21"/>
                <w:lang w:val="en-US" w:eastAsia="zh-CN"/>
              </w:rPr>
              <w:t>投标时</w:t>
            </w:r>
            <w:r>
              <w:rPr>
                <w:rFonts w:hint="default" w:ascii="宋体" w:hAnsi="宋体" w:eastAsia="宋体" w:cs="宋体"/>
                <w:szCs w:val="21"/>
                <w:lang w:val="en-US" w:eastAsia="zh-CN"/>
              </w:rPr>
              <w:t>需提供具备CMA</w:t>
            </w:r>
            <w:r>
              <w:rPr>
                <w:rFonts w:hint="eastAsia" w:ascii="宋体" w:hAnsi="宋体" w:eastAsia="宋体" w:cs="宋体"/>
                <w:szCs w:val="21"/>
                <w:lang w:val="en-US" w:eastAsia="zh-CN"/>
              </w:rPr>
              <w:t>或</w:t>
            </w:r>
            <w:r>
              <w:rPr>
                <w:rFonts w:hint="default" w:ascii="宋体" w:hAnsi="宋体" w:eastAsia="宋体" w:cs="宋体"/>
                <w:szCs w:val="21"/>
                <w:lang w:val="en-US" w:eastAsia="zh-CN"/>
              </w:rPr>
              <w:t>CNAS资质的第三方检测报告</w:t>
            </w:r>
            <w:r>
              <w:rPr>
                <w:rFonts w:hint="eastAsia" w:ascii="宋体" w:hAnsi="宋体" w:eastAsia="宋体" w:cs="宋体"/>
                <w:szCs w:val="21"/>
                <w:lang w:val="en-US" w:eastAsia="zh-CN"/>
              </w:rPr>
              <w:t>扫描件</w:t>
            </w:r>
            <w:r>
              <w:rPr>
                <w:rFonts w:hint="default" w:ascii="宋体" w:hAnsi="宋体" w:eastAsia="宋体" w:cs="宋体"/>
                <w:szCs w:val="21"/>
                <w:lang w:val="en-US" w:eastAsia="zh-CN"/>
              </w:rPr>
              <w:t>，至少包括首页和正文页）</w:t>
            </w:r>
          </w:p>
          <w:p w14:paraId="3838206F">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支持agent安装目录的文件保护，可以保护agent目录和文件实时监控驱动文件，可以保护agent的服务/进程/文件不被恶意删除，以免影响正常功能，导致用户的终端受到病毒入侵</w:t>
            </w:r>
            <w:r>
              <w:rPr>
                <w:rFonts w:hint="eastAsia" w:ascii="宋体" w:hAnsi="宋体" w:eastAsia="宋体" w:cs="宋体"/>
                <w:szCs w:val="21"/>
                <w:lang w:val="en-US" w:eastAsia="zh-CN"/>
              </w:rPr>
              <w:t>。</w:t>
            </w:r>
          </w:p>
          <w:p w14:paraId="0F8C5C45">
            <w:pPr>
              <w:widowControl/>
              <w:numPr>
                <w:ilvl w:val="0"/>
                <w:numId w:val="5"/>
              </w:numPr>
              <w:jc w:val="left"/>
              <w:rPr>
                <w:rFonts w:hint="default" w:ascii="宋体" w:hAnsi="宋体" w:eastAsia="宋体" w:cs="宋体"/>
                <w:szCs w:val="21"/>
                <w:lang w:val="en-US" w:eastAsia="zh-CN"/>
              </w:rPr>
            </w:pPr>
            <w:r>
              <w:rPr>
                <w:rFonts w:hint="default" w:ascii="宋体" w:hAnsi="宋体" w:eastAsia="宋体" w:cs="宋体"/>
                <w:szCs w:val="21"/>
                <w:lang w:val="en-US" w:eastAsia="zh-CN"/>
              </w:rPr>
              <w:t>可实时监控文件的状态，在文件读、写、执行或者进入主机时主动进行扫描，支持根据用户性能偏好设置高、中、低3种防护级别</w:t>
            </w:r>
            <w:r>
              <w:rPr>
                <w:rFonts w:hint="eastAsia" w:ascii="宋体" w:hAnsi="宋体" w:eastAsia="宋体" w:cs="宋体"/>
                <w:szCs w:val="21"/>
                <w:lang w:val="en-US" w:eastAsia="zh-CN"/>
              </w:rPr>
              <w:t>。</w:t>
            </w:r>
          </w:p>
          <w:p w14:paraId="06A396B7">
            <w:pPr>
              <w:widowControl/>
              <w:numPr>
                <w:ilvl w:val="0"/>
                <w:numId w:val="5"/>
              </w:numPr>
              <w:jc w:val="left"/>
              <w:rPr>
                <w:rFonts w:hint="default" w:ascii="宋体" w:hAnsi="宋体" w:eastAsia="宋体" w:cs="宋体"/>
                <w:szCs w:val="21"/>
                <w:highlight w:val="none"/>
                <w:lang w:val="en-US" w:eastAsia="zh-CN"/>
              </w:rPr>
            </w:pPr>
            <w:r>
              <w:rPr>
                <w:rFonts w:hint="eastAsia" w:ascii="宋体" w:hAnsi="宋体" w:eastAsia="宋体" w:cs="宋体"/>
                <w:b w:val="0"/>
                <w:sz w:val="21"/>
                <w:szCs w:val="21"/>
                <w:highlight w:val="none"/>
                <w:lang w:val="en-US" w:eastAsia="zh-CN" w:bidi="ar-SA"/>
              </w:rPr>
              <w:t>★</w:t>
            </w:r>
            <w:r>
              <w:rPr>
                <w:rFonts w:hint="default" w:ascii="宋体" w:hAnsi="宋体" w:eastAsia="宋体" w:cs="宋体"/>
                <w:szCs w:val="21"/>
                <w:highlight w:val="none"/>
                <w:lang w:val="en-US" w:eastAsia="zh-CN"/>
              </w:rPr>
              <w:t>要求所投产品的生产厂商具备中国网络安全审查认证和市场监管大数据中心（CCRC）颁发的信息安全服务资质认证证书（软件安全开发</w:t>
            </w:r>
            <w:r>
              <w:rPr>
                <w:rFonts w:hint="eastAsia" w:ascii="宋体" w:hAnsi="宋体" w:eastAsia="宋体" w:cs="宋体"/>
                <w:szCs w:val="21"/>
                <w:highlight w:val="none"/>
                <w:lang w:val="en-US" w:eastAsia="zh-CN"/>
              </w:rPr>
              <w:t>二</w:t>
            </w:r>
            <w:r>
              <w:rPr>
                <w:rFonts w:hint="default" w:ascii="宋体" w:hAnsi="宋体" w:eastAsia="宋体" w:cs="宋体"/>
                <w:szCs w:val="21"/>
                <w:highlight w:val="none"/>
                <w:lang w:val="en-US" w:eastAsia="zh-CN"/>
              </w:rPr>
              <w:t>级）资格证书</w:t>
            </w:r>
            <w:r>
              <w:rPr>
                <w:rFonts w:hint="eastAsia" w:ascii="宋体" w:hAnsi="宋体" w:eastAsia="宋体" w:cs="宋体"/>
                <w:szCs w:val="21"/>
                <w:highlight w:val="none"/>
                <w:lang w:val="en-US" w:eastAsia="zh-CN"/>
              </w:rPr>
              <w:t>（投标时提供证书扫描件）</w:t>
            </w:r>
            <w:r>
              <w:rPr>
                <w:rFonts w:hint="default" w:ascii="宋体" w:hAnsi="宋体" w:eastAsia="宋体" w:cs="宋体"/>
                <w:szCs w:val="21"/>
                <w:highlight w:val="none"/>
                <w:lang w:val="en-US" w:eastAsia="zh-CN"/>
              </w:rPr>
              <w:t>。</w:t>
            </w:r>
          </w:p>
          <w:p w14:paraId="0FF86C61">
            <w:pPr>
              <w:widowControl/>
              <w:numPr>
                <w:ilvl w:val="0"/>
                <w:numId w:val="5"/>
              </w:numPr>
              <w:jc w:val="left"/>
              <w:rPr>
                <w:rFonts w:hint="eastAsia" w:ascii="宋体" w:hAnsi="宋体" w:eastAsia="宋体" w:cs="宋体"/>
                <w:szCs w:val="21"/>
              </w:rPr>
            </w:pPr>
            <w:r>
              <w:rPr>
                <w:rFonts w:hint="eastAsia" w:ascii="宋体" w:hAnsi="宋体" w:eastAsia="宋体" w:cs="宋体"/>
                <w:b w:val="0"/>
                <w:sz w:val="21"/>
                <w:szCs w:val="21"/>
                <w:highlight w:val="none"/>
                <w:lang w:val="en-US" w:eastAsia="zh-CN" w:bidi="ar-SA"/>
              </w:rPr>
              <w:t>★</w:t>
            </w:r>
            <w:r>
              <w:rPr>
                <w:rFonts w:hint="default" w:ascii="宋体" w:hAnsi="宋体" w:eastAsia="宋体" w:cs="宋体"/>
                <w:szCs w:val="21"/>
                <w:highlight w:val="none"/>
                <w:lang w:val="en-US" w:eastAsia="zh-CN"/>
              </w:rPr>
              <w:t>要求所投产品的生产厂商具备云安全能力成熟度集成CSA-CMMI</w:t>
            </w:r>
            <w:r>
              <w:rPr>
                <w:rFonts w:hint="eastAsia" w:ascii="宋体" w:hAnsi="宋体" w:eastAsia="宋体" w:cs="宋体"/>
                <w:szCs w:val="21"/>
                <w:highlight w:val="none"/>
                <w:lang w:val="en-US" w:eastAsia="zh-CN"/>
              </w:rPr>
              <w:t>3</w:t>
            </w:r>
            <w:r>
              <w:rPr>
                <w:rFonts w:hint="default" w:ascii="宋体" w:hAnsi="宋体" w:eastAsia="宋体" w:cs="宋体"/>
                <w:szCs w:val="21"/>
                <w:highlight w:val="none"/>
                <w:lang w:val="en-US" w:eastAsia="zh-CN"/>
              </w:rPr>
              <w:t>认证</w:t>
            </w:r>
            <w:r>
              <w:rPr>
                <w:rFonts w:hint="eastAsia" w:ascii="宋体" w:hAnsi="宋体" w:eastAsia="宋体" w:cs="宋体"/>
                <w:szCs w:val="21"/>
                <w:highlight w:val="none"/>
                <w:lang w:val="en-US" w:eastAsia="zh-CN"/>
              </w:rPr>
              <w:t>（投标时提供证书扫描件）。</w:t>
            </w:r>
          </w:p>
        </w:tc>
      </w:tr>
      <w:tr w14:paraId="5BAE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665C5444">
            <w:pPr>
              <w:pStyle w:val="4"/>
              <w:jc w:val="center"/>
              <w:rPr>
                <w:rFonts w:hint="eastAsia" w:ascii="宋体" w:hAnsi="宋体" w:eastAsia="宋体" w:cs="宋体"/>
                <w:bCs/>
                <w:sz w:val="24"/>
                <w:szCs w:val="24"/>
              </w:rPr>
            </w:pPr>
            <w:r>
              <w:rPr>
                <w:rFonts w:hint="eastAsia" w:ascii="宋体" w:hAnsi="宋体" w:eastAsia="宋体" w:cs="宋体"/>
                <w:bCs/>
                <w:sz w:val="24"/>
                <w:szCs w:val="24"/>
              </w:rPr>
              <w:t>日志审计</w:t>
            </w:r>
          </w:p>
        </w:tc>
        <w:tc>
          <w:tcPr>
            <w:tcW w:w="7122" w:type="dxa"/>
            <w:tcBorders>
              <w:top w:val="single" w:color="auto" w:sz="4" w:space="0"/>
              <w:left w:val="single" w:color="auto" w:sz="4" w:space="0"/>
              <w:bottom w:val="single" w:color="auto" w:sz="4" w:space="0"/>
              <w:right w:val="single" w:color="auto" w:sz="4" w:space="0"/>
            </w:tcBorders>
            <w:vAlign w:val="top"/>
          </w:tcPr>
          <w:p w14:paraId="08B41A37">
            <w:pPr>
              <w:widowControl/>
              <w:jc w:val="left"/>
              <w:rPr>
                <w:rFonts w:hint="eastAsia" w:ascii="宋体" w:hAnsi="宋体" w:cs="宋体" w:eastAsiaTheme="minorEastAsia"/>
                <w:szCs w:val="21"/>
                <w:lang w:eastAsia="zh-CN"/>
              </w:rPr>
            </w:pPr>
            <w:r>
              <w:rPr>
                <w:rFonts w:hint="eastAsia" w:ascii="宋体" w:hAnsi="宋体" w:eastAsia="宋体" w:cs="宋体"/>
                <w:szCs w:val="21"/>
              </w:rPr>
              <w:t>1.</w:t>
            </w:r>
            <w:r>
              <w:rPr>
                <w:rFonts w:hint="eastAsia" w:ascii="宋体" w:hAnsi="宋体" w:eastAsia="宋体" w:cs="宋体"/>
                <w:szCs w:val="21"/>
                <w:lang w:val="en-US" w:eastAsia="zh-CN"/>
              </w:rPr>
              <w:t>1</w:t>
            </w:r>
            <w:r>
              <w:rPr>
                <w:rFonts w:hint="eastAsia" w:ascii="宋体" w:hAnsi="宋体" w:eastAsia="宋体" w:cs="宋体"/>
                <w:szCs w:val="21"/>
              </w:rPr>
              <w:t>U标准机架式工控机，内存</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szCs w:val="21"/>
                <w:lang w:val="en-US" w:eastAsia="zh-CN"/>
              </w:rPr>
              <w:t>8</w:t>
            </w:r>
            <w:r>
              <w:rPr>
                <w:rFonts w:hint="eastAsia" w:ascii="宋体" w:hAnsi="宋体" w:eastAsia="宋体" w:cs="宋体"/>
                <w:szCs w:val="21"/>
              </w:rPr>
              <w:t>G，硬盘</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szCs w:val="21"/>
              </w:rPr>
              <w:t>2T，授权资产数</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szCs w:val="21"/>
              </w:rPr>
              <w:t>0个，</w:t>
            </w:r>
            <w:r>
              <w:rPr>
                <w:rFonts w:hint="eastAsia" w:ascii="宋体" w:hAnsi="宋体"/>
                <w:szCs w:val="21"/>
              </w:rPr>
              <w:t>硬盘容量≥2T，内存≥8G，网口≥6个千兆电工作管理口，≥1个Console口</w:t>
            </w:r>
            <w:r>
              <w:rPr>
                <w:rFonts w:hint="eastAsia" w:ascii="宋体" w:hAnsi="宋体"/>
                <w:szCs w:val="21"/>
                <w:lang w:eastAsia="zh-CN"/>
              </w:rPr>
              <w:t>，</w:t>
            </w:r>
            <w:r>
              <w:rPr>
                <w:rFonts w:hint="eastAsia" w:ascii="宋体" w:hAnsi="宋体"/>
                <w:szCs w:val="21"/>
              </w:rPr>
              <w:t>≥</w:t>
            </w:r>
            <w:r>
              <w:rPr>
                <w:rFonts w:hint="eastAsia" w:ascii="宋体" w:hAnsi="宋体"/>
                <w:szCs w:val="21"/>
                <w:lang w:val="en-US" w:eastAsia="zh-CN"/>
              </w:rPr>
              <w:t>2个</w:t>
            </w:r>
            <w:r>
              <w:rPr>
                <w:rFonts w:hint="eastAsia" w:ascii="宋体" w:hAnsi="宋体"/>
                <w:szCs w:val="21"/>
                <w:lang w:eastAsia="zh-CN"/>
              </w:rPr>
              <w:t>USB。</w:t>
            </w:r>
          </w:p>
          <w:p w14:paraId="48DECDC5">
            <w:pPr>
              <w:pStyle w:val="20"/>
              <w:rPr>
                <w:rFonts w:hint="eastAsia" w:ascii="宋体" w:hAnsi="宋体" w:eastAsia="宋体" w:cs="宋体"/>
                <w:b w:val="0"/>
                <w:sz w:val="21"/>
                <w:szCs w:val="21"/>
                <w:lang w:val="en-US" w:eastAsia="zh-CN" w:bidi="ar-SA"/>
              </w:rPr>
            </w:pPr>
            <w:r>
              <w:rPr>
                <w:rFonts w:hint="eastAsia" w:asciiTheme="majorEastAsia" w:hAnsiTheme="majorEastAsia" w:eastAsiaTheme="majorEastAsia"/>
                <w:b w:val="0"/>
                <w:bCs/>
              </w:rPr>
              <w:t>2.</w:t>
            </w:r>
            <w:r>
              <w:rPr>
                <w:rFonts w:hint="eastAsia" w:ascii="宋体" w:hAnsi="宋体" w:eastAsia="宋体" w:cs="宋体"/>
                <w:b w:val="0"/>
                <w:sz w:val="21"/>
                <w:szCs w:val="21"/>
                <w:lang w:val="en-US" w:eastAsia="zh-CN" w:bidi="ar-SA"/>
              </w:rPr>
              <w:t>提供全中文Web管理界面，无需安装任意客户端软件或插件。</w:t>
            </w:r>
          </w:p>
          <w:p w14:paraId="72E5565A">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3.采用解决方案包上传对产品进行功能扩展，无需代码开发。</w:t>
            </w:r>
          </w:p>
          <w:p w14:paraId="55676736">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4.可通过接收协议限制日志接收速率，包括Http接收、syslog接收、SNMPtrap接收、TCP接收、WMI接收、aliyun接收。</w:t>
            </w:r>
          </w:p>
          <w:p w14:paraId="20105AF9">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5.支持Syslog、SNMP Trap、HTTP、ODBC/JDBC、WMI、FTP、SFTP协议日志收集；支持阿里云SLS日志的采集。</w:t>
            </w:r>
          </w:p>
          <w:p w14:paraId="5B331EC2">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6.支持使用代理（Agent）方式提取日志并收集，安装包支持界面下载，且安装支持可视化向导。</w:t>
            </w:r>
          </w:p>
          <w:p w14:paraId="06BC5661">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7.支持对Agent进行统一管控，包括卸载、升级、启动及停止操作，支持将日志收集策略统一分发。</w:t>
            </w:r>
          </w:p>
          <w:p w14:paraId="73C221E5">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8.日志采集类型支持目前主流的网络安全设备、交换设备、路由设备、操作系统、应用系统等。</w:t>
            </w:r>
          </w:p>
          <w:p w14:paraId="42813235">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9.支持常见的虚拟机环境日志收集，包括Xen、VMWare、Hyper-V等。</w:t>
            </w:r>
          </w:p>
          <w:p w14:paraId="1CE057FE">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10.★内置5000+解析规则，支持对收集的5000+设备类型日志进行解析（标准化、归一化），解析维度多达200+，解析规则可以根据客户要求定制扩展。（提供产品功能截图）</w:t>
            </w:r>
          </w:p>
          <w:p w14:paraId="419DD16C">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11.支持解析规则性能以界面列表形式显示，可了解解析耗时、解析成功或失败次数等信息。</w:t>
            </w:r>
          </w:p>
          <w:p w14:paraId="06A4D663">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12．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w:t>
            </w:r>
          </w:p>
          <w:p w14:paraId="2EC8F227">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13．支持基于跨设备的多事件关联分析。</w:t>
            </w:r>
          </w:p>
          <w:p w14:paraId="3DB969CB">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14．具备安全评估模型，评估模型基于设备故障、认证登录、攻击威胁、可用性、系统脆弱性等纬度加权平均计算总体安全指数。安全评估模型可以显示总体评分、历史评分趋势。安全评估模型各项指标可钻取具体的评分扣分事件。（提供产品功能截图）</w:t>
            </w:r>
          </w:p>
          <w:p w14:paraId="0BD61E6F">
            <w:pPr>
              <w:pStyle w:val="20"/>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lang w:val="en-US" w:eastAsia="zh-CN" w:bidi="ar-SA"/>
              </w:rPr>
              <w:t>15．★三维关联分析；支持通过资产、安全知识库、弱点库三个维度分析事件是否存在威胁，并形成关联事件。</w:t>
            </w:r>
            <w:r>
              <w:rPr>
                <w:rFonts w:hint="eastAsia" w:ascii="宋体" w:hAnsi="宋体" w:eastAsia="宋体" w:cs="宋体"/>
                <w:b w:val="0"/>
                <w:sz w:val="21"/>
                <w:szCs w:val="21"/>
                <w:highlight w:val="none"/>
                <w:lang w:val="en-US" w:eastAsia="zh-CN" w:bidi="ar-SA"/>
              </w:rPr>
              <w:t>（</w:t>
            </w:r>
            <w:r>
              <w:rPr>
                <w:rFonts w:hint="eastAsia" w:ascii="宋体" w:hAnsi="宋体" w:eastAsia="宋体" w:cs="宋体"/>
                <w:b w:val="0"/>
                <w:bCs/>
                <w:color w:val="000000" w:themeColor="text1"/>
                <w:kern w:val="0"/>
                <w:sz w:val="21"/>
                <w:szCs w:val="21"/>
                <w:lang w:val="en-US" w:eastAsia="zh-CN"/>
                <w14:textFill>
                  <w14:solidFill>
                    <w14:schemeClr w14:val="tx1"/>
                  </w14:solidFill>
                </w14:textFill>
              </w:rPr>
              <w:t>投标时</w:t>
            </w:r>
            <w:r>
              <w:rPr>
                <w:rFonts w:hint="default" w:ascii="宋体" w:hAnsi="宋体" w:eastAsia="宋体" w:cs="宋体"/>
                <w:b w:val="0"/>
                <w:bCs/>
                <w:color w:val="000000" w:themeColor="text1"/>
                <w:kern w:val="0"/>
                <w:sz w:val="21"/>
                <w:szCs w:val="21"/>
                <w:lang w:val="en-US" w:eastAsia="zh-CN"/>
                <w14:textFill>
                  <w14:solidFill>
                    <w14:schemeClr w14:val="tx1"/>
                  </w14:solidFill>
                </w14:textFill>
              </w:rPr>
              <w:t>需提供具备CMA</w:t>
            </w:r>
            <w:r>
              <w:rPr>
                <w:rFonts w:hint="eastAsia" w:ascii="宋体" w:hAnsi="宋体" w:eastAsia="宋体" w:cs="宋体"/>
                <w:b w:val="0"/>
                <w:bCs/>
                <w:color w:val="000000" w:themeColor="text1"/>
                <w:kern w:val="0"/>
                <w:sz w:val="21"/>
                <w:szCs w:val="21"/>
                <w:lang w:val="en-US" w:eastAsia="zh-CN"/>
                <w14:textFill>
                  <w14:solidFill>
                    <w14:schemeClr w14:val="tx1"/>
                  </w14:solidFill>
                </w14:textFill>
              </w:rPr>
              <w:t>或</w:t>
            </w:r>
            <w:r>
              <w:rPr>
                <w:rFonts w:hint="default" w:ascii="宋体" w:hAnsi="宋体" w:eastAsia="宋体" w:cs="宋体"/>
                <w:b w:val="0"/>
                <w:bCs/>
                <w:color w:val="000000" w:themeColor="text1"/>
                <w:kern w:val="0"/>
                <w:sz w:val="21"/>
                <w:szCs w:val="21"/>
                <w:lang w:val="en-US" w:eastAsia="zh-CN"/>
                <w14:textFill>
                  <w14:solidFill>
                    <w14:schemeClr w14:val="tx1"/>
                  </w14:solidFill>
                </w14:textFill>
              </w:rPr>
              <w:t>CNAS资质的第三方检测报告</w:t>
            </w:r>
            <w:r>
              <w:rPr>
                <w:rFonts w:hint="eastAsia" w:ascii="宋体" w:hAnsi="宋体" w:eastAsia="宋体" w:cs="宋体"/>
                <w:b w:val="0"/>
                <w:bCs/>
                <w:color w:val="000000" w:themeColor="text1"/>
                <w:kern w:val="0"/>
                <w:sz w:val="21"/>
                <w:szCs w:val="21"/>
                <w:lang w:val="en-US" w:eastAsia="zh-CN"/>
                <w14:textFill>
                  <w14:solidFill>
                    <w14:schemeClr w14:val="tx1"/>
                  </w14:solidFill>
                </w14:textFill>
              </w:rPr>
              <w:t>扫描件</w:t>
            </w:r>
            <w:r>
              <w:rPr>
                <w:rFonts w:hint="default" w:ascii="宋体" w:hAnsi="宋体" w:eastAsia="宋体" w:cs="宋体"/>
                <w:b w:val="0"/>
                <w:bCs/>
                <w:color w:val="000000" w:themeColor="text1"/>
                <w:kern w:val="0"/>
                <w:sz w:val="21"/>
                <w:szCs w:val="21"/>
                <w:lang w:val="en-US" w:eastAsia="zh-CN"/>
                <w14:textFill>
                  <w14:solidFill>
                    <w14:schemeClr w14:val="tx1"/>
                  </w14:solidFill>
                </w14:textFill>
              </w:rPr>
              <w:t>，至少包括首页和正文页</w:t>
            </w:r>
            <w:r>
              <w:rPr>
                <w:rFonts w:hint="eastAsia" w:ascii="宋体" w:hAnsi="宋体" w:eastAsia="宋体" w:cs="宋体"/>
                <w:b w:val="0"/>
                <w:bCs/>
                <w:sz w:val="21"/>
                <w:szCs w:val="21"/>
                <w:highlight w:val="none"/>
                <w:lang w:val="en-US" w:eastAsia="zh-CN" w:bidi="ar-SA"/>
              </w:rPr>
              <w:t>）</w:t>
            </w:r>
          </w:p>
          <w:p w14:paraId="1DC4699B">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16.可设置日志存储备份策略。包括系统日志保存期（天）、硬盘使用率百分比等策略。</w:t>
            </w:r>
          </w:p>
          <w:p w14:paraId="390E03D7">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17.支持按日期、时间、设备类型、日志类型、日志来源、威胁值、源地址、目的地址、事件类型、时间范围、操作对象、技术方式、技术动作、技术效果、攻击类型、地理城市等参数进行过滤查询。</w:t>
            </w:r>
          </w:p>
          <w:p w14:paraId="214339FA">
            <w:pPr>
              <w:pStyle w:val="2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18.支持报表导出为PDF和Word格式文件。</w:t>
            </w:r>
          </w:p>
          <w:p w14:paraId="36CDCA3A">
            <w:pPr>
              <w:pStyle w:val="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val="0"/>
                <w:sz w:val="21"/>
                <w:szCs w:val="21"/>
                <w:lang w:val="en-US" w:eastAsia="zh-CN" w:bidi="ar-SA"/>
              </w:rPr>
              <w:t>19.提供一键式故障排除功能。</w:t>
            </w:r>
          </w:p>
        </w:tc>
      </w:tr>
      <w:tr w14:paraId="53D5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655401A3">
            <w:pPr>
              <w:pStyle w:val="4"/>
              <w:jc w:val="center"/>
              <w:rPr>
                <w:rFonts w:hint="eastAsia" w:ascii="宋体" w:hAnsi="宋体" w:eastAsia="宋体" w:cs="宋体"/>
                <w:bCs/>
                <w:sz w:val="24"/>
                <w:szCs w:val="24"/>
              </w:rPr>
            </w:pPr>
            <w:r>
              <w:rPr>
                <w:rFonts w:hint="eastAsia" w:ascii="宋体" w:hAnsi="宋体" w:eastAsia="宋体" w:cs="宋体"/>
                <w:bCs/>
                <w:sz w:val="24"/>
                <w:szCs w:val="24"/>
              </w:rPr>
              <w:t>高级持续性威胁预警系统</w:t>
            </w:r>
          </w:p>
        </w:tc>
        <w:tc>
          <w:tcPr>
            <w:tcW w:w="7122" w:type="dxa"/>
            <w:tcBorders>
              <w:top w:val="single" w:color="auto" w:sz="4" w:space="0"/>
              <w:left w:val="single" w:color="auto" w:sz="4" w:space="0"/>
              <w:bottom w:val="single" w:color="auto" w:sz="4" w:space="0"/>
              <w:right w:val="single" w:color="auto" w:sz="4" w:space="0"/>
            </w:tcBorders>
            <w:vAlign w:val="top"/>
          </w:tcPr>
          <w:p w14:paraId="0C50A999">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网络层吞吐量≥1Gbps，内存≥32GB DDR4 3200，数据盘≥8TB，接口≥4千兆电口+4万兆光口。</w:t>
            </w:r>
          </w:p>
          <w:p w14:paraId="2405A49B">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★支持安全态势的可视化呈现，以大屏的方式从综合安全感知、安全事件态势、脆弱性态势、外联风险监控、全球网络攻击态势、资产监控大屏、横向威胁监控大屏等提供不少于7块大屏展示界面（</w:t>
            </w:r>
            <w:r>
              <w:rPr>
                <w:rFonts w:hint="eastAsia" w:ascii="宋体" w:hAnsi="宋体" w:eastAsia="宋体" w:cs="宋体"/>
                <w:color w:val="000000" w:themeColor="text1"/>
                <w:kern w:val="0"/>
                <w:sz w:val="21"/>
                <w:szCs w:val="21"/>
                <w:lang w:val="en-US" w:eastAsia="zh-CN"/>
                <w14:textFill>
                  <w14:solidFill>
                    <w14:schemeClr w14:val="tx1"/>
                  </w14:solidFill>
                </w14:textFill>
              </w:rPr>
              <w:t>投标时</w:t>
            </w:r>
            <w:r>
              <w:rPr>
                <w:rFonts w:hint="default" w:ascii="宋体" w:hAnsi="宋体" w:eastAsia="宋体" w:cs="宋体"/>
                <w:color w:val="000000" w:themeColor="text1"/>
                <w:kern w:val="0"/>
                <w:sz w:val="21"/>
                <w:szCs w:val="21"/>
                <w:lang w:val="en-US" w:eastAsia="zh-CN"/>
                <w14:textFill>
                  <w14:solidFill>
                    <w14:schemeClr w14:val="tx1"/>
                  </w14:solidFill>
                </w14:textFill>
              </w:rPr>
              <w:t>需提供具备CMA</w:t>
            </w:r>
            <w:r>
              <w:rPr>
                <w:rFonts w:hint="eastAsia" w:ascii="宋体" w:hAnsi="宋体" w:eastAsia="宋体" w:cs="宋体"/>
                <w:color w:val="000000" w:themeColor="text1"/>
                <w:kern w:val="0"/>
                <w:sz w:val="21"/>
                <w:szCs w:val="21"/>
                <w:lang w:val="en-US" w:eastAsia="zh-CN"/>
                <w14:textFill>
                  <w14:solidFill>
                    <w14:schemeClr w14:val="tx1"/>
                  </w14:solidFill>
                </w14:textFill>
              </w:rPr>
              <w:t>或</w:t>
            </w:r>
            <w:r>
              <w:rPr>
                <w:rFonts w:hint="default" w:ascii="宋体" w:hAnsi="宋体" w:eastAsia="宋体" w:cs="宋体"/>
                <w:color w:val="000000" w:themeColor="text1"/>
                <w:kern w:val="0"/>
                <w:sz w:val="21"/>
                <w:szCs w:val="21"/>
                <w:lang w:val="en-US" w:eastAsia="zh-CN"/>
                <w14:textFill>
                  <w14:solidFill>
                    <w14:schemeClr w14:val="tx1"/>
                  </w14:solidFill>
                </w14:textFill>
              </w:rPr>
              <w:t>CNAS资质的第三方检测报告</w:t>
            </w:r>
            <w:r>
              <w:rPr>
                <w:rFonts w:hint="eastAsia" w:ascii="宋体" w:hAnsi="宋体" w:eastAsia="宋体" w:cs="宋体"/>
                <w:color w:val="000000" w:themeColor="text1"/>
                <w:kern w:val="0"/>
                <w:sz w:val="21"/>
                <w:szCs w:val="21"/>
                <w:lang w:val="en-US" w:eastAsia="zh-CN"/>
                <w14:textFill>
                  <w14:solidFill>
                    <w14:schemeClr w14:val="tx1"/>
                  </w14:solidFill>
                </w14:textFill>
              </w:rPr>
              <w:t>扫描件</w:t>
            </w:r>
            <w:r>
              <w:rPr>
                <w:rFonts w:hint="default" w:ascii="宋体" w:hAnsi="宋体" w:eastAsia="宋体" w:cs="宋体"/>
                <w:color w:val="000000" w:themeColor="text1"/>
                <w:kern w:val="0"/>
                <w:sz w:val="21"/>
                <w:szCs w:val="21"/>
                <w:lang w:val="en-US" w:eastAsia="zh-CN"/>
                <w14:textFill>
                  <w14:solidFill>
                    <w14:schemeClr w14:val="tx1"/>
                  </w14:solidFill>
                </w14:textFill>
              </w:rPr>
              <w:t>，至少包括首页和正文页）</w:t>
            </w:r>
          </w:p>
          <w:p w14:paraId="20B1E510">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支持综合安全感知，总览整体安全态势，包括综合评分、脆弱性态势、网络攻击态势、外联态势、横向威胁态势等</w:t>
            </w:r>
          </w:p>
          <w:p w14:paraId="63A71026">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支持自定义配置资产指纹识别规则，可基于流量行为细化资产类型，支持资产类型识别规则自定义和属性指纹特征自定义。</w:t>
            </w:r>
          </w:p>
          <w:p w14:paraId="55485767">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支持跨三层取MAC地址，识别资产MAC地址，并能够解决不同资产IP冲突问题，以及DHCP场景IP变更的问题。</w:t>
            </w:r>
          </w:p>
          <w:p w14:paraId="1F9586E3">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弱密码检测规则支持高度自定义，包括规则名称、生效域名、规则配置、账号白名单、密码白名单、弱密码内容导入文件，其中规则配置至少支持密码长度、字符种类、字典序、密码与账号相同、web空密码等。</w:t>
            </w:r>
          </w:p>
          <w:p w14:paraId="31FC4A46">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web登录结果自定义，可根据登录行为检测是否登录成功，支持基于响应状态码、响应内容格式、URL、关键字、服务器IP地址、所属资产组等信息判定成功或失败的通用规则设置，支持机器学习引擎持续学习用户登录行为，生成登录成功规则模型。</w:t>
            </w:r>
          </w:p>
          <w:p w14:paraId="3C6240DC">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支持勒索专项检测页面，对勒索主题的安全告警进行展示和管理，支持以勒索病毒的感染途径/方式为维度进行分类，包括勒索常用端口、勒索常用漏洞、RDP爆破、感染勒索病毒、黑客勒索攻击、勒索C&amp;C通信等维度</w:t>
            </w:r>
            <w:r>
              <w:rPr>
                <w:rFonts w:hint="eastAsia" w:ascii="宋体" w:hAnsi="宋体" w:eastAsia="宋体" w:cs="宋体"/>
                <w:color w:val="000000" w:themeColor="text1"/>
                <w:kern w:val="0"/>
                <w:sz w:val="21"/>
                <w:szCs w:val="21"/>
                <w:lang w:val="en-US" w:eastAsia="zh-CN"/>
                <w14:textFill>
                  <w14:solidFill>
                    <w14:schemeClr w14:val="tx1"/>
                  </w14:solidFill>
                </w14:textFill>
              </w:rPr>
              <w:t>。</w:t>
            </w:r>
          </w:p>
          <w:p w14:paraId="2DC14A9F">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eastAsia" w:ascii="宋体" w:hAnsi="宋体" w:eastAsia="宋体" w:cs="宋体"/>
                <w:kern w:val="0"/>
                <w:sz w:val="21"/>
                <w:szCs w:val="21"/>
                <w:lang w:eastAsia="zh-CN"/>
              </w:rPr>
              <w:t>★</w:t>
            </w:r>
            <w:r>
              <w:rPr>
                <w:rFonts w:hint="default" w:ascii="宋体" w:hAnsi="宋体" w:eastAsia="宋体" w:cs="宋体"/>
                <w:color w:val="000000" w:themeColor="text1"/>
                <w:kern w:val="0"/>
                <w:sz w:val="21"/>
                <w:szCs w:val="21"/>
                <w:lang w:val="en-US" w:eastAsia="zh-CN"/>
                <w14:textFill>
                  <w14:solidFill>
                    <w14:schemeClr w14:val="tx1"/>
                  </w14:solidFill>
                </w14:textFill>
              </w:rPr>
              <w:t>支持挖矿专项检测页面，支持基于规则的本地挖矿检测和基于主动探测技术的云端挖矿检测，支持挖矿实时检测播报本地和云端的挖矿检测分析结果，支持基于攻击阶段展示挖矿主机数量，支持以列表的形式展示挖矿事件，包括最近发生时间、威胁描述、挖矿阶段、攻击阶段、威胁等级、受害者IP、受害者资产类型、攻击者IP、攻击次数、威胁情报、处置状态等信息（</w:t>
            </w:r>
            <w:r>
              <w:rPr>
                <w:rFonts w:hint="eastAsia" w:ascii="宋体" w:hAnsi="宋体" w:eastAsia="宋体" w:cs="宋体"/>
                <w:color w:val="000000" w:themeColor="text1"/>
                <w:kern w:val="0"/>
                <w:sz w:val="21"/>
                <w:szCs w:val="21"/>
                <w:lang w:val="en-US" w:eastAsia="zh-CN"/>
                <w14:textFill>
                  <w14:solidFill>
                    <w14:schemeClr w14:val="tx1"/>
                  </w14:solidFill>
                </w14:textFill>
              </w:rPr>
              <w:t>投标时</w:t>
            </w:r>
            <w:r>
              <w:rPr>
                <w:rFonts w:hint="default" w:ascii="宋体" w:hAnsi="宋体" w:eastAsia="宋体" w:cs="宋体"/>
                <w:color w:val="000000" w:themeColor="text1"/>
                <w:kern w:val="0"/>
                <w:sz w:val="21"/>
                <w:szCs w:val="21"/>
                <w:lang w:val="en-US" w:eastAsia="zh-CN"/>
                <w14:textFill>
                  <w14:solidFill>
                    <w14:schemeClr w14:val="tx1"/>
                  </w14:solidFill>
                </w14:textFill>
              </w:rPr>
              <w:t>需提供具备CMA</w:t>
            </w:r>
            <w:r>
              <w:rPr>
                <w:rFonts w:hint="eastAsia" w:ascii="宋体" w:hAnsi="宋体" w:eastAsia="宋体" w:cs="宋体"/>
                <w:color w:val="000000" w:themeColor="text1"/>
                <w:kern w:val="0"/>
                <w:sz w:val="21"/>
                <w:szCs w:val="21"/>
                <w:lang w:val="en-US" w:eastAsia="zh-CN"/>
                <w14:textFill>
                  <w14:solidFill>
                    <w14:schemeClr w14:val="tx1"/>
                  </w14:solidFill>
                </w14:textFill>
              </w:rPr>
              <w:t>或</w:t>
            </w:r>
            <w:r>
              <w:rPr>
                <w:rFonts w:hint="default" w:ascii="宋体" w:hAnsi="宋体" w:eastAsia="宋体" w:cs="宋体"/>
                <w:color w:val="000000" w:themeColor="text1"/>
                <w:kern w:val="0"/>
                <w:sz w:val="21"/>
                <w:szCs w:val="21"/>
                <w:lang w:val="en-US" w:eastAsia="zh-CN"/>
                <w14:textFill>
                  <w14:solidFill>
                    <w14:schemeClr w14:val="tx1"/>
                  </w14:solidFill>
                </w14:textFill>
              </w:rPr>
              <w:t>CNAS资质的第三方检测报告</w:t>
            </w:r>
            <w:r>
              <w:rPr>
                <w:rFonts w:hint="eastAsia" w:ascii="宋体" w:hAnsi="宋体" w:eastAsia="宋体" w:cs="宋体"/>
                <w:color w:val="000000" w:themeColor="text1"/>
                <w:kern w:val="0"/>
                <w:sz w:val="21"/>
                <w:szCs w:val="21"/>
                <w:lang w:val="en-US" w:eastAsia="zh-CN"/>
                <w14:textFill>
                  <w14:solidFill>
                    <w14:schemeClr w14:val="tx1"/>
                  </w14:solidFill>
                </w14:textFill>
              </w:rPr>
              <w:t>扫描件</w:t>
            </w:r>
            <w:r>
              <w:rPr>
                <w:rFonts w:hint="default" w:ascii="宋体" w:hAnsi="宋体" w:eastAsia="宋体" w:cs="宋体"/>
                <w:color w:val="000000" w:themeColor="text1"/>
                <w:kern w:val="0"/>
                <w:sz w:val="21"/>
                <w:szCs w:val="21"/>
                <w:lang w:val="en-US" w:eastAsia="zh-CN"/>
                <w14:textFill>
                  <w14:solidFill>
                    <w14:schemeClr w14:val="tx1"/>
                  </w14:solidFill>
                </w14:textFill>
              </w:rPr>
              <w:t>，至少包括首页和正文页）</w:t>
            </w:r>
          </w:p>
          <w:p w14:paraId="28E0413F">
            <w:pPr>
              <w:widowControl/>
              <w:numPr>
                <w:ilvl w:val="0"/>
                <w:numId w:val="6"/>
              </w:numPr>
              <w:jc w:val="left"/>
              <w:rPr>
                <w:rFonts w:hint="default" w:ascii="宋体" w:hAnsi="宋体" w:eastAsia="宋体" w:cs="宋体"/>
                <w:color w:val="000000" w:themeColor="text1"/>
                <w:kern w:val="0"/>
                <w:sz w:val="21"/>
                <w:szCs w:val="21"/>
                <w:lang w:val="en-US" w:eastAsia="zh-CN"/>
                <w14:textFill>
                  <w14:solidFill>
                    <w14:schemeClr w14:val="tx1"/>
                  </w14:solidFill>
                </w14:textFill>
              </w:rPr>
            </w:pPr>
            <w:r>
              <w:rPr>
                <w:rFonts w:hint="default" w:ascii="宋体" w:hAnsi="宋体" w:eastAsia="宋体" w:cs="宋体"/>
                <w:color w:val="000000" w:themeColor="text1"/>
                <w:kern w:val="0"/>
                <w:sz w:val="21"/>
                <w:szCs w:val="21"/>
                <w:lang w:val="en-US" w:eastAsia="zh-CN"/>
                <w14:textFill>
                  <w14:solidFill>
                    <w14:schemeClr w14:val="tx1"/>
                  </w14:solidFill>
                </w14:textFill>
              </w:rPr>
              <w:t>文件威胁分析支持平台内置的恶意脚本分析引擎、webshellkiller智能引擎、save智能分析引擎以及云端分析引擎组合进行综合研判，协议类型有HTTP、FTP、SMB、SMTP、POP3、IMAP多种类型，支持展示查杀数据统计、受害资产攻击数TOP5，支持以列表的形式展示文件威胁信息，包括最近发生时间、威胁描述、威胁定性、威胁类型、攻击阶段、受害者IP、攻击次数等信息。</w:t>
            </w:r>
          </w:p>
          <w:p w14:paraId="38125786">
            <w:pPr>
              <w:widowControl/>
              <w:numPr>
                <w:ilvl w:val="0"/>
                <w:numId w:val="6"/>
              </w:num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kern w:val="0"/>
                <w:sz w:val="21"/>
                <w:szCs w:val="21"/>
                <w:lang w:eastAsia="zh-CN"/>
              </w:rPr>
              <w:t>★</w:t>
            </w:r>
            <w:r>
              <w:rPr>
                <w:rFonts w:hint="default" w:ascii="宋体" w:hAnsi="宋体" w:eastAsia="宋体" w:cs="宋体"/>
                <w:color w:val="000000" w:themeColor="text1"/>
                <w:kern w:val="0"/>
                <w:sz w:val="21"/>
                <w:szCs w:val="21"/>
                <w:lang w:val="en-US" w:eastAsia="zh-CN"/>
                <w14:textFill>
                  <w14:solidFill>
                    <w14:schemeClr w14:val="tx1"/>
                  </w14:solidFill>
                </w14:textFill>
              </w:rPr>
              <w:t>为实现安全事件的快速闭环处置，要求支持与同品牌</w:t>
            </w:r>
            <w:r>
              <w:rPr>
                <w:rFonts w:hint="eastAsia" w:ascii="宋体" w:hAnsi="宋体" w:eastAsia="宋体" w:cs="宋体"/>
                <w:color w:val="000000" w:themeColor="text1"/>
                <w:kern w:val="0"/>
                <w:sz w:val="21"/>
                <w:szCs w:val="21"/>
                <w:lang w:val="en-US" w:eastAsia="zh-CN"/>
                <w14:textFill>
                  <w14:solidFill>
                    <w14:schemeClr w14:val="tx1"/>
                  </w14:solidFill>
                </w14:textFill>
              </w:rPr>
              <w:t>终端防护</w:t>
            </w:r>
            <w:r>
              <w:rPr>
                <w:rFonts w:hint="default" w:ascii="宋体" w:hAnsi="宋体" w:eastAsia="宋体" w:cs="宋体"/>
                <w:color w:val="000000" w:themeColor="text1"/>
                <w:kern w:val="0"/>
                <w:sz w:val="21"/>
                <w:szCs w:val="21"/>
                <w:lang w:val="en-US" w:eastAsia="zh-CN"/>
                <w14:textFill>
                  <w14:solidFill>
                    <w14:schemeClr w14:val="tx1"/>
                  </w14:solidFill>
                </w14:textFill>
              </w:rPr>
              <w:t>等自有设备进行联动，支持管理员在平台管理界面下发快速快速扫描/全盘扫描任务，支持下发一键隔离主机指令，对终端所有连接进行阻断，防止病毒进一步扩散。支持联动终端检测与响应平台为平台提供溯源举证功能以定位安全事件根因，可定位到该主机上发起恶意域名访问的具体进程、及其进程链信息，并且安全态势感知根据返回的举证信息，联动客户端对恶意进程进行处置，实现根除。平台内置僵木蠕毒恶意程序清除（文件、注册表、进程、WMI、计划任务、用户账户的删除）、外联类快速遏制（DNS拦截/IP端口访问控制）、恶意程序横向遏制/综合遏制（基于DNS/IP端口阻断病毒发作，及进程网络通信拦截）等个性化安全策略，针对不同场景下僵木蠕毒安全事件进行快速闭环。（</w:t>
            </w:r>
            <w:r>
              <w:rPr>
                <w:rFonts w:hint="eastAsia" w:ascii="宋体" w:hAnsi="宋体" w:eastAsia="宋体" w:cs="宋体"/>
                <w:color w:val="000000" w:themeColor="text1"/>
                <w:kern w:val="0"/>
                <w:sz w:val="21"/>
                <w:szCs w:val="21"/>
                <w:lang w:val="en-US" w:eastAsia="zh-CN"/>
                <w14:textFill>
                  <w14:solidFill>
                    <w14:schemeClr w14:val="tx1"/>
                  </w14:solidFill>
                </w14:textFill>
              </w:rPr>
              <w:t>投标时</w:t>
            </w:r>
            <w:r>
              <w:rPr>
                <w:rFonts w:hint="default" w:ascii="宋体" w:hAnsi="宋体" w:eastAsia="宋体" w:cs="宋体"/>
                <w:color w:val="000000" w:themeColor="text1"/>
                <w:kern w:val="0"/>
                <w:sz w:val="21"/>
                <w:szCs w:val="21"/>
                <w:lang w:val="en-US" w:eastAsia="zh-CN"/>
                <w14:textFill>
                  <w14:solidFill>
                    <w14:schemeClr w14:val="tx1"/>
                  </w14:solidFill>
                </w14:textFill>
              </w:rPr>
              <w:t>需提供具备CMA</w:t>
            </w:r>
            <w:r>
              <w:rPr>
                <w:rFonts w:hint="eastAsia" w:ascii="宋体" w:hAnsi="宋体" w:eastAsia="宋体" w:cs="宋体"/>
                <w:color w:val="000000" w:themeColor="text1"/>
                <w:kern w:val="0"/>
                <w:sz w:val="21"/>
                <w:szCs w:val="21"/>
                <w:lang w:val="en-US" w:eastAsia="zh-CN"/>
                <w14:textFill>
                  <w14:solidFill>
                    <w14:schemeClr w14:val="tx1"/>
                  </w14:solidFill>
                </w14:textFill>
              </w:rPr>
              <w:t>或</w:t>
            </w:r>
            <w:r>
              <w:rPr>
                <w:rFonts w:hint="default" w:ascii="宋体" w:hAnsi="宋体" w:eastAsia="宋体" w:cs="宋体"/>
                <w:color w:val="000000" w:themeColor="text1"/>
                <w:kern w:val="0"/>
                <w:sz w:val="21"/>
                <w:szCs w:val="21"/>
                <w:lang w:val="en-US" w:eastAsia="zh-CN"/>
                <w14:textFill>
                  <w14:solidFill>
                    <w14:schemeClr w14:val="tx1"/>
                  </w14:solidFill>
                </w14:textFill>
              </w:rPr>
              <w:t>CNAS资质的第三方检测报告</w:t>
            </w:r>
            <w:r>
              <w:rPr>
                <w:rFonts w:hint="eastAsia" w:ascii="宋体" w:hAnsi="宋体" w:eastAsia="宋体" w:cs="宋体"/>
                <w:color w:val="000000" w:themeColor="text1"/>
                <w:kern w:val="0"/>
                <w:sz w:val="21"/>
                <w:szCs w:val="21"/>
                <w:lang w:val="en-US" w:eastAsia="zh-CN"/>
                <w14:textFill>
                  <w14:solidFill>
                    <w14:schemeClr w14:val="tx1"/>
                  </w14:solidFill>
                </w14:textFill>
              </w:rPr>
              <w:t>扫描件</w:t>
            </w:r>
            <w:r>
              <w:rPr>
                <w:rFonts w:hint="default" w:ascii="宋体" w:hAnsi="宋体" w:eastAsia="宋体" w:cs="宋体"/>
                <w:color w:val="000000" w:themeColor="text1"/>
                <w:kern w:val="0"/>
                <w:sz w:val="21"/>
                <w:szCs w:val="21"/>
                <w:lang w:val="en-US" w:eastAsia="zh-CN"/>
                <w14:textFill>
                  <w14:solidFill>
                    <w14:schemeClr w14:val="tx1"/>
                  </w14:solidFill>
                </w14:textFill>
              </w:rPr>
              <w:t>，至少包括首页和正文页）</w:t>
            </w:r>
          </w:p>
        </w:tc>
      </w:tr>
      <w:tr w14:paraId="0FE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6EC3062E">
            <w:pPr>
              <w:pStyle w:val="4"/>
              <w:jc w:val="center"/>
              <w:rPr>
                <w:rFonts w:hint="eastAsia" w:ascii="宋体" w:hAnsi="宋体" w:eastAsia="宋体" w:cs="宋体"/>
                <w:bCs/>
                <w:sz w:val="24"/>
                <w:szCs w:val="24"/>
              </w:rPr>
            </w:pPr>
            <w:r>
              <w:rPr>
                <w:rFonts w:hint="eastAsia" w:ascii="宋体" w:hAnsi="宋体" w:eastAsia="宋体" w:cs="宋体"/>
                <w:bCs/>
                <w:sz w:val="24"/>
                <w:szCs w:val="24"/>
              </w:rPr>
              <w:t>网络实时监控大屏和主机</w:t>
            </w:r>
          </w:p>
        </w:tc>
        <w:tc>
          <w:tcPr>
            <w:tcW w:w="7122" w:type="dxa"/>
            <w:tcBorders>
              <w:top w:val="single" w:color="auto" w:sz="4" w:space="0"/>
              <w:left w:val="single" w:color="auto" w:sz="4" w:space="0"/>
              <w:bottom w:val="single" w:color="auto" w:sz="4" w:space="0"/>
              <w:right w:val="single" w:color="auto" w:sz="4" w:space="0"/>
            </w:tcBorders>
            <w:vAlign w:val="top"/>
          </w:tcPr>
          <w:p w14:paraId="5D0A8445">
            <w:pPr>
              <w:widowControl/>
              <w:numPr>
                <w:ilvl w:val="0"/>
                <w:numId w:val="0"/>
              </w:numPr>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65英寸大屏</w:t>
            </w:r>
          </w:p>
          <w:p w14:paraId="4535D945">
            <w:pPr>
              <w:widowControl/>
              <w:numPr>
                <w:ilvl w:val="0"/>
                <w:numId w:val="0"/>
              </w:numPr>
              <w:ind w:left="0" w:leftChars="0" w:firstLine="0" w:firstLineChars="0"/>
              <w:jc w:val="left"/>
              <w:rPr>
                <w:rFonts w:hint="eastAsia" w:ascii="宋体" w:hAnsi="宋体" w:eastAsia="宋体" w:cs="宋体"/>
                <w:szCs w:val="21"/>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主机CPU-I5,内存16G</w:t>
            </w:r>
          </w:p>
        </w:tc>
      </w:tr>
      <w:tr w14:paraId="7AD2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bottom w:val="single" w:color="auto" w:sz="4" w:space="0"/>
              <w:right w:val="single" w:color="auto" w:sz="4" w:space="0"/>
            </w:tcBorders>
            <w:vAlign w:val="center"/>
          </w:tcPr>
          <w:p w14:paraId="18F72979">
            <w:pPr>
              <w:pStyle w:val="4"/>
              <w:jc w:val="center"/>
              <w:rPr>
                <w:rFonts w:hint="eastAsia" w:ascii="宋体" w:hAnsi="宋体" w:eastAsia="宋体" w:cs="宋体"/>
                <w:bCs/>
                <w:sz w:val="24"/>
                <w:szCs w:val="24"/>
              </w:rPr>
            </w:pPr>
            <w:r>
              <w:rPr>
                <w:rFonts w:hint="eastAsia" w:eastAsia="宋体" w:cs="宋体"/>
                <w:bCs/>
                <w:sz w:val="24"/>
                <w:szCs w:val="24"/>
              </w:rPr>
              <w:t>设备</w:t>
            </w:r>
            <w:r>
              <w:rPr>
                <w:rFonts w:hint="eastAsia" w:ascii="宋体" w:hAnsi="宋体" w:eastAsia="宋体" w:cs="宋体"/>
                <w:bCs/>
                <w:sz w:val="24"/>
                <w:szCs w:val="24"/>
              </w:rPr>
              <w:t>监管平台</w:t>
            </w:r>
          </w:p>
        </w:tc>
        <w:tc>
          <w:tcPr>
            <w:tcW w:w="7122" w:type="dxa"/>
            <w:tcBorders>
              <w:top w:val="single" w:color="auto" w:sz="4" w:space="0"/>
              <w:left w:val="single" w:color="auto" w:sz="4" w:space="0"/>
              <w:bottom w:val="single" w:color="auto" w:sz="4" w:space="0"/>
              <w:right w:val="single" w:color="auto" w:sz="4" w:space="0"/>
            </w:tcBorders>
            <w:vAlign w:val="top"/>
          </w:tcPr>
          <w:p w14:paraId="0D89DA2E">
            <w:pPr>
              <w:widowControl/>
              <w:numPr>
                <w:ilvl w:val="0"/>
                <w:numId w:val="7"/>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Iaas层监控∶</w:t>
            </w:r>
            <w:r>
              <w:rPr>
                <w:rFonts w:hint="eastAsia" w:ascii="宋体" w:hAnsi="宋体" w:eastAsia="宋体" w:cs="宋体"/>
                <w:kern w:val="0"/>
                <w:sz w:val="21"/>
                <w:szCs w:val="21"/>
                <w:lang w:val="en-US" w:eastAsia="zh-CN"/>
              </w:rPr>
              <w:br w:type="textWrapping"/>
            </w:r>
            <w:r>
              <w:rPr>
                <w:rFonts w:hint="eastAsia" w:ascii="宋体" w:hAnsi="宋体" w:eastAsia="宋体" w:cs="宋体"/>
                <w:kern w:val="0"/>
                <w:sz w:val="21"/>
                <w:szCs w:val="21"/>
                <w:lang w:val="en-US" w:eastAsia="zh-CN"/>
              </w:rPr>
              <w:t>（1）将所有应用相关虚机（含PaaS平台、应用相关独立部署的主机）纳入监控：</w:t>
            </w:r>
            <w:r>
              <w:rPr>
                <w:rFonts w:hint="eastAsia" w:ascii="宋体" w:hAnsi="宋体" w:eastAsia="宋体" w:cs="宋体"/>
                <w:kern w:val="0"/>
                <w:sz w:val="21"/>
                <w:szCs w:val="21"/>
                <w:lang w:val="en-US" w:eastAsia="zh-CN"/>
              </w:rPr>
              <w:br w:type="textWrapping"/>
            </w:r>
            <w:r>
              <w:rPr>
                <w:rFonts w:hint="eastAsia" w:ascii="宋体" w:hAnsi="宋体" w:eastAsia="宋体" w:cs="宋体"/>
                <w:kern w:val="0"/>
                <w:sz w:val="21"/>
                <w:szCs w:val="21"/>
                <w:lang w:val="en-US" w:eastAsia="zh-CN"/>
              </w:rPr>
              <w:t>（2）将应用相关虚机(含Paas平台、应用相关独立部署的主机)纳入监控，关键指标涉及 CPU 使用率、内存使用率、磁盘 I0读写、主机上的网络流量等；</w:t>
            </w:r>
            <w:r>
              <w:rPr>
                <w:rFonts w:hint="eastAsia" w:ascii="宋体" w:hAnsi="宋体" w:eastAsia="宋体" w:cs="宋体"/>
                <w:kern w:val="0"/>
                <w:sz w:val="21"/>
                <w:szCs w:val="21"/>
                <w:lang w:val="en-US" w:eastAsia="zh-CN"/>
              </w:rPr>
              <w:br w:type="textWrapping"/>
            </w:r>
            <w:r>
              <w:rPr>
                <w:rFonts w:hint="eastAsia" w:ascii="宋体" w:hAnsi="宋体" w:eastAsia="宋体" w:cs="宋体"/>
                <w:kern w:val="0"/>
                <w:sz w:val="21"/>
                <w:szCs w:val="21"/>
                <w:lang w:val="en-US" w:eastAsia="zh-CN"/>
              </w:rPr>
              <w:t>2、Paas层监控︰</w:t>
            </w:r>
            <w:r>
              <w:rPr>
                <w:rFonts w:hint="eastAsia" w:ascii="宋体" w:hAnsi="宋体" w:eastAsia="宋体" w:cs="宋体"/>
                <w:kern w:val="0"/>
                <w:sz w:val="21"/>
                <w:szCs w:val="21"/>
                <w:lang w:val="en-US" w:eastAsia="zh-CN"/>
              </w:rPr>
              <w:br w:type="textWrapping"/>
            </w:r>
            <w:r>
              <w:rPr>
                <w:rFonts w:hint="eastAsia" w:ascii="宋体" w:hAnsi="宋体" w:eastAsia="宋体" w:cs="宋体"/>
                <w:kern w:val="0"/>
                <w:sz w:val="21"/>
                <w:szCs w:val="21"/>
                <w:lang w:val="en-US" w:eastAsia="zh-CN"/>
              </w:rPr>
              <w:t>根据具体应用部署架构，选本软件待监控的组件及采购人使用的其他组件等进行监控(如:Nginx Mysql，Redis等软件使用的组件)；</w:t>
            </w:r>
          </w:p>
          <w:p w14:paraId="1CA8F218">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Saas层监控:</w:t>
            </w:r>
            <w:r>
              <w:rPr>
                <w:rFonts w:hint="eastAsia" w:ascii="宋体" w:hAnsi="宋体" w:eastAsia="宋体" w:cs="宋体"/>
                <w:kern w:val="0"/>
                <w:sz w:val="21"/>
                <w:szCs w:val="21"/>
                <w:lang w:val="en-US" w:eastAsia="zh-CN"/>
              </w:rPr>
              <w:br w:type="textWrapping"/>
            </w:r>
            <w:r>
              <w:rPr>
                <w:rFonts w:hint="eastAsia" w:ascii="宋体" w:hAnsi="宋体" w:eastAsia="宋体" w:cs="宋体"/>
                <w:kern w:val="0"/>
                <w:sz w:val="21"/>
                <w:szCs w:val="21"/>
                <w:lang w:val="en-US" w:eastAsia="zh-CN"/>
              </w:rPr>
              <w:t>a、接入层日志分析监控，通过日志分析可监控访问流量，系统响应情况；</w:t>
            </w:r>
          </w:p>
          <w:p w14:paraId="1B6D2E7F">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b、HTTP 接口探测，对关键业务接口进行探测，监控服务端可用性；</w:t>
            </w:r>
          </w:p>
          <w:p w14:paraId="7B18FEEA">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c、基于接入层日志及应用执行日志监控总体响应时长，监控性能劣化；</w:t>
            </w:r>
          </w:p>
          <w:p w14:paraId="648702E4">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d、基于接入层接口访问情况，监控各个业务的调用量、成功率、 平均响应时长；</w:t>
            </w:r>
          </w:p>
          <w:p w14:paraId="20C7B36B">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e、各层级告警统一汇聚在监控平台，网络层，IaaS，Paas 层告警以系统为维度发送；</w:t>
            </w:r>
          </w:p>
          <w:p w14:paraId="282FF44E">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f、可根据客户需求定制告警规则与告警模板；</w:t>
            </w:r>
          </w:p>
          <w:p w14:paraId="04C24D11">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g、可灵活配置告警接收人、接收组:</w:t>
            </w:r>
          </w:p>
          <w:p w14:paraId="708B6755">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h、支持短信、邮件、企业微信、钉钉、飞书、综告等多维度告警发送；</w:t>
            </w:r>
          </w:p>
          <w:p w14:paraId="04F68990">
            <w:pPr>
              <w:widowControl/>
              <w:numPr>
                <w:ilvl w:val="0"/>
                <w:numId w:val="0"/>
              </w:numPr>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i、支持调度策略配置，自定义告警触发周期；</w:t>
            </w:r>
          </w:p>
          <w:p w14:paraId="3586AD5D">
            <w:pPr>
              <w:pStyle w:val="46"/>
              <w:ind w:left="0" w:leftChars="0" w:firstLine="0" w:firstLine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lang w:val="en-US" w:eastAsia="zh-CN"/>
              </w:rPr>
              <w:t>（以上★项投标时需按照招标文件规定的演示内容制作演示视频文件，视频文件的格式为*.mp4或*.avi，投标人须将视频文件分段压缩为*.zip文件上传（单个文件不得大于50M，所有文件总共不得大于300M）。文件上传方式见《操作手册》规定，</w:t>
            </w:r>
            <w:r>
              <w:rPr>
                <w:rFonts w:hint="eastAsia" w:ascii="宋体" w:hAnsi="宋体" w:eastAsia="宋体" w:cs="宋体"/>
                <w:kern w:val="0"/>
                <w:sz w:val="21"/>
                <w:szCs w:val="21"/>
                <w:highlight w:val="none"/>
                <w:lang w:val="en-US" w:eastAsia="zh-CN"/>
              </w:rPr>
              <w:t>上传的演示视频将作为投标文件的组成部分）。</w:t>
            </w:r>
          </w:p>
          <w:p w14:paraId="41D0BD3D">
            <w:pPr>
              <w:pStyle w:val="47"/>
              <w:ind w:left="0" w:leftChars="0" w:firstLine="0" w:firstLineChars="0"/>
            </w:pPr>
            <w:r>
              <w:rPr>
                <w:rFonts w:hint="eastAsia" w:ascii="宋体" w:hAnsi="宋体" w:eastAsia="宋体" w:cs="宋体"/>
                <w:b/>
                <w:bCs/>
                <w:strike w:val="0"/>
                <w:dstrike w:val="0"/>
                <w:color w:val="FF0000"/>
                <w:kern w:val="0"/>
                <w:sz w:val="22"/>
                <w:szCs w:val="22"/>
                <w:highlight w:val="none"/>
                <w:lang w:val="en-US" w:eastAsia="zh-CN" w:bidi="ar-SA"/>
              </w:rPr>
              <w:t>注：本项目招标文件要求“设备监管平台”与“资产梳理”两项的演示视频总时长不超过10分钟。</w:t>
            </w:r>
          </w:p>
        </w:tc>
      </w:tr>
      <w:tr w14:paraId="16D9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3" w:type="dxa"/>
            <w:tcBorders>
              <w:top w:val="single" w:color="auto" w:sz="4" w:space="0"/>
              <w:left w:val="single" w:color="auto" w:sz="4" w:space="0"/>
              <w:right w:val="single" w:color="auto" w:sz="4" w:space="0"/>
            </w:tcBorders>
            <w:vAlign w:val="center"/>
          </w:tcPr>
          <w:p w14:paraId="7EDF73D6">
            <w:pPr>
              <w:pStyle w:val="4"/>
              <w:jc w:val="center"/>
              <w:rPr>
                <w:rFonts w:hint="eastAsia" w:ascii="宋体" w:hAnsi="宋体" w:eastAsia="宋体" w:cs="宋体"/>
                <w:bCs/>
                <w:sz w:val="24"/>
                <w:szCs w:val="24"/>
              </w:rPr>
            </w:pPr>
            <w:r>
              <w:rPr>
                <w:rFonts w:hint="eastAsia" w:ascii="宋体" w:hAnsi="宋体" w:eastAsia="宋体" w:cs="宋体"/>
                <w:bCs/>
                <w:sz w:val="24"/>
                <w:szCs w:val="24"/>
              </w:rPr>
              <w:t>资产梳理</w:t>
            </w:r>
          </w:p>
        </w:tc>
        <w:tc>
          <w:tcPr>
            <w:tcW w:w="7122" w:type="dxa"/>
            <w:tcBorders>
              <w:top w:val="single" w:color="auto" w:sz="4" w:space="0"/>
              <w:left w:val="single" w:color="auto" w:sz="4" w:space="0"/>
              <w:bottom w:val="single" w:color="auto" w:sz="4" w:space="0"/>
              <w:right w:val="single" w:color="auto" w:sz="4" w:space="0"/>
            </w:tcBorders>
            <w:vAlign w:val="top"/>
          </w:tcPr>
          <w:p w14:paraId="0720CA68">
            <w:pPr>
              <w:widowControl/>
              <w:numPr>
                <w:ilvl w:val="0"/>
                <w:numId w:val="8"/>
              </w:numPr>
              <w:jc w:val="left"/>
              <w:rPr>
                <w:rFonts w:hint="eastAsia"/>
                <w:lang w:val="en-US" w:eastAsia="zh-CN"/>
              </w:rPr>
            </w:pPr>
            <w:r>
              <w:rPr>
                <w:rFonts w:hint="eastAsia"/>
                <w:lang w:val="en-US" w:eastAsia="zh-CN"/>
              </w:rPr>
              <w:t>对滨海县人民政府主楼及两栋附属楼宇进行梳理网络资产，优化资源配置，梳理完后自动归档到具有以下功能的资产管理平台（含资产梳理）。</w:t>
            </w:r>
          </w:p>
          <w:p w14:paraId="0BFBA3FE">
            <w:pPr>
              <w:widowControl/>
              <w:numPr>
                <w:ilvl w:val="0"/>
                <w:numId w:val="8"/>
              </w:numPr>
              <w:jc w:val="left"/>
              <w:rPr>
                <w:rFonts w:hint="eastAsia"/>
                <w:lang w:val="en-US" w:eastAsia="zh-CN"/>
              </w:rPr>
            </w:pPr>
            <w:r>
              <w:rPr>
                <w:rFonts w:hint="eastAsia"/>
                <w:lang w:val="en-US" w:eastAsia="zh-CN"/>
              </w:rPr>
              <w:t>要求SaaS 部署，支持分布式部署，可以通过横向和纵向部署多台服务器来扩展管理范围和增加管理能力，支持纵向增加二级设备扩展二层发现能力。</w:t>
            </w:r>
          </w:p>
          <w:p w14:paraId="1B24F0BA">
            <w:pPr>
              <w:widowControl/>
              <w:numPr>
                <w:ilvl w:val="0"/>
                <w:numId w:val="8"/>
              </w:numPr>
              <w:jc w:val="left"/>
              <w:rPr>
                <w:rFonts w:hint="eastAsia"/>
                <w:lang w:val="en-US" w:eastAsia="zh-CN"/>
              </w:rPr>
            </w:pPr>
            <w:r>
              <w:rPr>
                <w:rFonts w:hint="eastAsia"/>
                <w:lang w:val="en-US" w:eastAsia="zh-CN"/>
              </w:rPr>
              <w:t>支持IPv4和IPv6双栈管理，管理员可自定义IPv4和IPv6地址层级架构，并可在IP层级架构上定义检查策略。</w:t>
            </w:r>
          </w:p>
          <w:p w14:paraId="512F8353">
            <w:pPr>
              <w:widowControl/>
              <w:numPr>
                <w:ilvl w:val="0"/>
                <w:numId w:val="8"/>
              </w:numPr>
              <w:jc w:val="left"/>
              <w:rPr>
                <w:rFonts w:hint="eastAsia"/>
                <w:lang w:val="en-US" w:eastAsia="zh-CN"/>
              </w:rPr>
            </w:pPr>
            <w:r>
              <w:rPr>
                <w:rFonts w:hint="eastAsia"/>
                <w:lang w:val="en-US" w:eastAsia="zh-CN"/>
              </w:rPr>
              <w:t>支持自定义丰富IoT设备类型。系统内置终端类型指纹库、识别规则库，并支持管理员自定义添加指纹和规则，指纹库至少包括SSDP指纹库、WSD指纹库、DHCP指纹库、SNMP指纹库、HTTP指纹库等；规则库支持自动发现基于MAC前缀、网卡厂商、主机名、操作系统、TCP端口/服务/应用/版本等多维度组合定义识别。支持查看每条指纹、规则识别的终端信息，并支持查看终端匹配到的指纹和规则。</w:t>
            </w:r>
          </w:p>
          <w:p w14:paraId="7C7F3168">
            <w:pPr>
              <w:widowControl/>
              <w:numPr>
                <w:ilvl w:val="0"/>
                <w:numId w:val="8"/>
              </w:numPr>
              <w:jc w:val="left"/>
              <w:rPr>
                <w:rFonts w:hint="eastAsia"/>
                <w:lang w:val="en-US" w:eastAsia="zh-CN"/>
              </w:rPr>
            </w:pPr>
            <w:r>
              <w:rPr>
                <w:rFonts w:hint="eastAsia"/>
                <w:lang w:val="en-US" w:eastAsia="zh-CN"/>
              </w:rPr>
              <w:t>支持通过导入EXECL台账方式，对比实时探测的资产，输出僵尸终端。</w:t>
            </w:r>
          </w:p>
          <w:p w14:paraId="144B34A8">
            <w:pPr>
              <w:widowControl/>
              <w:numPr>
                <w:ilvl w:val="0"/>
                <w:numId w:val="8"/>
              </w:numPr>
              <w:jc w:val="left"/>
              <w:rPr>
                <w:rFonts w:hint="eastAsia"/>
                <w:lang w:val="en-US" w:eastAsia="zh-CN"/>
              </w:rPr>
            </w:pPr>
            <w:r>
              <w:rPr>
                <w:rFonts w:hint="eastAsia"/>
                <w:lang w:val="en-US" w:eastAsia="zh-CN"/>
              </w:rPr>
              <w:t>支持基于IPv4/IPv6层级架构创建资产扫描任务，在创建扫描任务时支持定义对新发现资产进行IP/MAC/接入端口自动绑定，支持基于IP层级架构和接入VLAN将发现的终端自动划分部门。</w:t>
            </w:r>
          </w:p>
          <w:p w14:paraId="6226669A">
            <w:pPr>
              <w:widowControl/>
              <w:numPr>
                <w:ilvl w:val="0"/>
                <w:numId w:val="8"/>
              </w:numPr>
              <w:jc w:val="left"/>
              <w:rPr>
                <w:rFonts w:hint="eastAsia"/>
                <w:lang w:val="en-US" w:eastAsia="zh-CN"/>
              </w:rPr>
            </w:pPr>
            <w:r>
              <w:rPr>
                <w:rFonts w:hint="eastAsia"/>
                <w:lang w:val="en-US" w:eastAsia="zh-CN"/>
              </w:rPr>
              <w:t>支持提供DHCPv4和DHCPv6地址分配功能，可基于IP/MAC绑定策略下发固定IP地址给终端。</w:t>
            </w:r>
          </w:p>
          <w:p w14:paraId="181B980B">
            <w:pPr>
              <w:widowControl/>
              <w:numPr>
                <w:ilvl w:val="0"/>
                <w:numId w:val="8"/>
              </w:numPr>
              <w:jc w:val="left"/>
              <w:rPr>
                <w:rFonts w:hint="eastAsia"/>
                <w:color w:val="FF0000"/>
                <w:lang w:val="en-US" w:eastAsia="zh-CN"/>
              </w:rPr>
            </w:pPr>
            <w:r>
              <w:rPr>
                <w:rFonts w:hint="eastAsia" w:ascii="宋体" w:hAnsi="宋体" w:eastAsia="宋体" w:cs="宋体"/>
                <w:kern w:val="0"/>
                <w:sz w:val="21"/>
                <w:szCs w:val="21"/>
                <w:lang w:val="en-US" w:eastAsia="zh-CN"/>
              </w:rPr>
              <w:t>★</w:t>
            </w:r>
            <w:r>
              <w:rPr>
                <w:rFonts w:hint="eastAsia"/>
                <w:color w:val="FF0000"/>
                <w:lang w:val="en-US" w:eastAsia="zh-CN"/>
              </w:rPr>
              <w:t>支持自动发现全网IP资产和终端资产信息，发现内容至少包括：IP地址、vlan、所接交换机及端口、MAC地址、网卡厂商、操作系统及版本、开放服务端口及数量等资产信息。</w:t>
            </w:r>
          </w:p>
          <w:p w14:paraId="536AA3A2">
            <w:pPr>
              <w:widowControl/>
              <w:numPr>
                <w:ilvl w:val="0"/>
                <w:numId w:val="8"/>
              </w:numPr>
              <w:jc w:val="left"/>
              <w:rPr>
                <w:rFonts w:hint="eastAsia"/>
                <w:lang w:val="en-US" w:eastAsia="zh-CN"/>
              </w:rPr>
            </w:pPr>
            <w:r>
              <w:rPr>
                <w:rFonts w:hint="eastAsia"/>
                <w:lang w:val="en-US" w:eastAsia="zh-CN"/>
              </w:rPr>
              <w:t>支持通过多种资产扫描发现技术，至少包括：IPv4 ARP发现、IPv6 ND发现、TCP扫描、ICMPv4/ICMPv6扫描、SNMP扫描、数据镜像流量分析等，可在系统中查看每种发现技术发现的终端数量。支持与网络交换机进行联动，获取交换机的主机名称、设备厂商、型号、端口数量、端口状态、端口速率、端口vlan、流量信息等。可自动生成全网拓扑信息，支持动态还原交换机端口面板信息，可查看交换机端口下接入终端信息和终端数量。【须提供功能截图证明】</w:t>
            </w:r>
          </w:p>
          <w:p w14:paraId="4A46A124">
            <w:pPr>
              <w:widowControl/>
              <w:numPr>
                <w:ilvl w:val="0"/>
                <w:numId w:val="8"/>
              </w:numPr>
              <w:jc w:val="left"/>
              <w:rPr>
                <w:rFonts w:hint="eastAsia"/>
                <w:color w:val="FF0000"/>
                <w:lang w:val="en-US" w:eastAsia="zh-CN"/>
              </w:rPr>
            </w:pPr>
            <w:r>
              <w:rPr>
                <w:rFonts w:hint="eastAsia" w:ascii="宋体" w:hAnsi="宋体" w:eastAsia="宋体" w:cs="宋体"/>
                <w:kern w:val="0"/>
                <w:sz w:val="21"/>
                <w:szCs w:val="21"/>
                <w:lang w:val="en-US" w:eastAsia="zh-CN"/>
              </w:rPr>
              <w:t>★</w:t>
            </w:r>
            <w:r>
              <w:rPr>
                <w:rFonts w:hint="eastAsia"/>
                <w:color w:val="FF0000"/>
                <w:lang w:val="en-US" w:eastAsia="zh-CN"/>
              </w:rPr>
              <w:t>支持自动识别IP资产对应的设备类型，如办公电脑、交换机、路由器、打印机等支持管理员自定义类型识别库规则可基于网卡厂商、主机名、IP地址、TCP服务、操作系统、网页信息等多维度组合定义识别规则，可自定义终端类型图标。支持查看每条规则识别的终端信息。</w:t>
            </w:r>
          </w:p>
          <w:p w14:paraId="13BEE816">
            <w:pPr>
              <w:widowControl/>
              <w:numPr>
                <w:ilvl w:val="0"/>
                <w:numId w:val="8"/>
              </w:numPr>
              <w:jc w:val="left"/>
              <w:rPr>
                <w:rFonts w:hint="eastAsia"/>
                <w:lang w:val="en-US" w:eastAsia="zh-CN"/>
              </w:rPr>
            </w:pPr>
            <w:r>
              <w:rPr>
                <w:rFonts w:hint="eastAsia"/>
                <w:lang w:val="en-US" w:eastAsia="zh-CN"/>
              </w:rPr>
              <w:t>支持自动发现终端的TCP端口，并可识别端口对应的服务名、应用名、应用版本等信息。并支持对关键TCP服务进行监控，当关键服务出现异常时进行告警提示，监控服务至少支持通用TCP、HTTP、HTTPS、FTP、RTSP等。</w:t>
            </w:r>
          </w:p>
          <w:p w14:paraId="2D03373A">
            <w:pPr>
              <w:widowControl/>
              <w:numPr>
                <w:ilvl w:val="0"/>
                <w:numId w:val="8"/>
              </w:numPr>
              <w:jc w:val="left"/>
              <w:rPr>
                <w:rFonts w:hint="eastAsia"/>
                <w:lang w:val="en-US" w:eastAsia="zh-CN"/>
              </w:rPr>
            </w:pPr>
            <w:r>
              <w:rPr>
                <w:rFonts w:hint="eastAsia"/>
                <w:lang w:val="en-US" w:eastAsia="zh-CN"/>
              </w:rPr>
              <w:t>系统内置字典库、规则库、指纹库等，支持管理员自定义添加指纹和规则，至少包括SSDP指纹库、WSD指纹库、DHCP指纹库、SNMP指纹库、HTTP指纹库等；规则库支持基于MAC前缀、网卡厂商、主机名、操作系统、TCP端口/服务/应用/版本等多维度组合定义识别。支持查看每条指纹、规则识别的终端信息，并支持查看终端匹配到的指纹和规则；【须提供功能截图证明】</w:t>
            </w:r>
          </w:p>
          <w:p w14:paraId="48F12772">
            <w:pPr>
              <w:widowControl/>
              <w:numPr>
                <w:ilvl w:val="0"/>
                <w:numId w:val="8"/>
              </w:numPr>
              <w:jc w:val="left"/>
              <w:rPr>
                <w:rFonts w:hint="eastAsia"/>
                <w:lang w:val="en-US" w:eastAsia="zh-CN"/>
              </w:rPr>
            </w:pPr>
            <w:r>
              <w:rPr>
                <w:rFonts w:hint="eastAsia"/>
                <w:lang w:val="en-US" w:eastAsia="zh-CN"/>
              </w:rPr>
              <w:t>支持IP地址冲突检测，可显示冲突IP地址的所有MAC地址和上线时间，并自动定位告警MAC地址的接入位置。</w:t>
            </w:r>
          </w:p>
          <w:p w14:paraId="24F8661D">
            <w:pPr>
              <w:widowControl/>
              <w:numPr>
                <w:ilvl w:val="0"/>
                <w:numId w:val="8"/>
              </w:numPr>
              <w:jc w:val="left"/>
              <w:rPr>
                <w:rFonts w:hint="eastAsia"/>
                <w:lang w:val="en-US" w:eastAsia="zh-CN"/>
              </w:rPr>
            </w:pPr>
            <w:r>
              <w:rPr>
                <w:rFonts w:hint="eastAsia"/>
                <w:lang w:val="en-US" w:eastAsia="zh-CN"/>
              </w:rPr>
              <w:t>支持IPv4/IPv6/MAC地址绑定策略设置，支持MAC地址/交换机端口绑定策略设置，可发现与绑定不符的信息后进行告警。支持自动将IP/MAC/交换机端口绑定策略同步到交换机上。</w:t>
            </w:r>
          </w:p>
          <w:p w14:paraId="219F6706">
            <w:pPr>
              <w:widowControl/>
              <w:numPr>
                <w:ilvl w:val="0"/>
                <w:numId w:val="8"/>
              </w:numPr>
              <w:jc w:val="left"/>
              <w:rPr>
                <w:rFonts w:hint="eastAsia"/>
                <w:lang w:val="en-US" w:eastAsia="zh-CN"/>
              </w:rPr>
            </w:pPr>
            <w:r>
              <w:rPr>
                <w:rFonts w:hint="eastAsia"/>
                <w:lang w:val="en-US" w:eastAsia="zh-CN"/>
              </w:rPr>
              <w:t>支持自动生成网络拓扑，支持在拓扑图上显示非法终端告警，支持自动生成交换机面板图。</w:t>
            </w:r>
          </w:p>
          <w:p w14:paraId="3DC76238">
            <w:pPr>
              <w:widowControl/>
              <w:numPr>
                <w:ilvl w:val="0"/>
                <w:numId w:val="8"/>
              </w:numPr>
              <w:jc w:val="left"/>
              <w:rPr>
                <w:rFonts w:hint="eastAsia"/>
                <w:lang w:val="en-US" w:eastAsia="zh-CN"/>
              </w:rPr>
            </w:pPr>
            <w:r>
              <w:rPr>
                <w:rFonts w:hint="eastAsia"/>
                <w:lang w:val="en-US" w:eastAsia="zh-CN"/>
              </w:rPr>
              <w:t>支持新终端入网注册策略，此策略可基于子网配置是否开启。支持采用浏览器Portal页面方式进行终端注册。</w:t>
            </w:r>
          </w:p>
          <w:p w14:paraId="387086E5">
            <w:pPr>
              <w:widowControl/>
              <w:numPr>
                <w:ilvl w:val="0"/>
                <w:numId w:val="8"/>
              </w:numPr>
              <w:jc w:val="left"/>
              <w:rPr>
                <w:rFonts w:hint="eastAsia"/>
                <w:color w:val="FF0000"/>
                <w:lang w:val="en-US" w:eastAsia="zh-CN"/>
              </w:rPr>
            </w:pPr>
            <w:r>
              <w:rPr>
                <w:rFonts w:hint="eastAsia" w:ascii="宋体" w:hAnsi="宋体" w:eastAsia="宋体" w:cs="宋体"/>
                <w:kern w:val="0"/>
                <w:sz w:val="21"/>
                <w:szCs w:val="21"/>
                <w:lang w:val="en-US" w:eastAsia="zh-CN"/>
              </w:rPr>
              <w:t>★</w:t>
            </w:r>
            <w:r>
              <w:rPr>
                <w:rFonts w:hint="eastAsia"/>
                <w:color w:val="FF0000"/>
                <w:lang w:val="en-US" w:eastAsia="zh-CN"/>
              </w:rPr>
              <w:t>支持哑终端的安全性检查，包含不限于：哑终端弱密码探测：可导入弱密码文件，采用FTP、HTTP、RDP、SSH、TELNET、SNMP、SMB、POP3等协议探测目标系统弱密码的资产及时告警。利用漏洞数据库中的已知漏洞信息，对于设备的POC漏洞主动扫描，对目标系统进行深度检测。</w:t>
            </w:r>
          </w:p>
          <w:p w14:paraId="0D175E4B">
            <w:pPr>
              <w:widowControl/>
              <w:numPr>
                <w:ilvl w:val="0"/>
                <w:numId w:val="8"/>
              </w:numPr>
              <w:jc w:val="left"/>
              <w:rPr>
                <w:rFonts w:hint="eastAsia"/>
                <w:lang w:val="en-US" w:eastAsia="zh-CN"/>
              </w:rPr>
            </w:pPr>
            <w:r>
              <w:rPr>
                <w:rFonts w:hint="eastAsia"/>
                <w:lang w:val="en-US" w:eastAsia="zh-CN"/>
              </w:rPr>
              <w:t>漏洞库数量不少于25W条；支持对主流操作系统的扫描，包括但不限限于Windows 7、Windows 10、Windows Server 2008、Ubuntu、Centos、Redhat、麒麟等；支持对SSH、TELNET、SMTP、POP3、RDP等协议进行扫描；支持对主流数据库进行扫描，包括但不限于MYSQL、Oracle、DB2、SQL Server、Postgres、Redis、Mongodb、Kingbase、Gbase等；支持对WEB中间件进行扫描，包括但不限于Tomcat、Nginx、IIS、HTTPD、Weblogic等，支持对大数据组组件进行扫描；扫描速度不低于 1000IP/H。</w:t>
            </w:r>
          </w:p>
          <w:p w14:paraId="424C8ECA">
            <w:pPr>
              <w:widowControl/>
              <w:numPr>
                <w:ilvl w:val="0"/>
                <w:numId w:val="8"/>
              </w:numPr>
              <w:jc w:val="left"/>
              <w:rPr>
                <w:rFonts w:hint="eastAsia"/>
                <w:lang w:val="en-US" w:eastAsia="zh-CN"/>
              </w:rPr>
            </w:pPr>
            <w:r>
              <w:rPr>
                <w:rFonts w:hint="eastAsia"/>
                <w:lang w:val="en-US" w:eastAsia="zh-CN"/>
              </w:rPr>
              <w:t>支持多种准入控制技术（包括802.1X、MAC认证、DHCP、ARP、SNMP、数据镜像等）。</w:t>
            </w:r>
          </w:p>
          <w:p w14:paraId="52937454">
            <w:pPr>
              <w:widowControl/>
              <w:numPr>
                <w:ilvl w:val="0"/>
                <w:numId w:val="8"/>
              </w:numPr>
              <w:jc w:val="left"/>
              <w:rPr>
                <w:rFonts w:hint="eastAsia"/>
                <w:lang w:val="en-US" w:eastAsia="zh-CN"/>
              </w:rPr>
            </w:pPr>
            <w:r>
              <w:rPr>
                <w:rFonts w:hint="eastAsia"/>
                <w:lang w:val="en-US" w:eastAsia="zh-CN"/>
              </w:rPr>
              <w:t>单套系统须支持多种准入技术并行启用，不能采用修改交换机端口VLAN ID、策略路由与镜像抓包功能实现准入控制，以防造成交换机负载过高，影响正常终端的网络通信与数据交换；不安装客户端代理，实现HUB和非网管交换机环境下非法终端与合法终端的通信隔离与阻断。</w:t>
            </w:r>
          </w:p>
          <w:p w14:paraId="27DC6668">
            <w:pPr>
              <w:widowControl/>
              <w:numPr>
                <w:ilvl w:val="0"/>
                <w:numId w:val="8"/>
              </w:numPr>
              <w:jc w:val="left"/>
              <w:rPr>
                <w:rFonts w:hint="eastAsia" w:ascii="宋体" w:hAnsi="宋体" w:eastAsia="宋体" w:cs="宋体"/>
                <w:szCs w:val="21"/>
              </w:rPr>
            </w:pPr>
            <w:r>
              <w:rPr>
                <w:rFonts w:hint="eastAsia"/>
                <w:lang w:val="en-US" w:eastAsia="zh-CN"/>
              </w:rPr>
              <w:t>支持在达到边界级阻断效果情况下，对终端的Web Portal引导入网功能，即终端通过浏览器访问同HUB其它终端也能弹出引导页面。</w:t>
            </w:r>
          </w:p>
          <w:p w14:paraId="0F458719">
            <w:pPr>
              <w:pStyle w:val="45"/>
              <w:ind w:left="0" w:leftChars="0" w:firstLine="0" w:firstLine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lang w:val="en-US" w:eastAsia="zh-CN"/>
              </w:rPr>
              <w:t>（</w:t>
            </w:r>
            <w:r>
              <w:rPr>
                <w:rFonts w:hint="eastAsia" w:eastAsia="宋体" w:cs="宋体"/>
                <w:kern w:val="0"/>
                <w:sz w:val="21"/>
                <w:szCs w:val="21"/>
                <w:lang w:val="en-US" w:eastAsia="zh-CN"/>
              </w:rPr>
              <w:t>本项序号8、10、17</w:t>
            </w:r>
            <w:r>
              <w:rPr>
                <w:rFonts w:hint="eastAsia" w:ascii="宋体" w:hAnsi="宋体" w:eastAsia="宋体" w:cs="宋体"/>
                <w:kern w:val="0"/>
                <w:sz w:val="21"/>
                <w:szCs w:val="21"/>
                <w:lang w:val="en-US" w:eastAsia="zh-CN"/>
              </w:rPr>
              <w:t>★项投标时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kern w:val="0"/>
                <w:sz w:val="21"/>
                <w:szCs w:val="21"/>
                <w:highlight w:val="none"/>
                <w:lang w:val="en-US" w:eastAsia="zh-CN"/>
              </w:rPr>
              <w:t>。）</w:t>
            </w:r>
          </w:p>
          <w:p w14:paraId="6A93AD81">
            <w:pPr>
              <w:pStyle w:val="45"/>
              <w:ind w:left="0" w:leftChars="0" w:firstLine="0" w:firstLineChars="0"/>
              <w:rPr>
                <w:rFonts w:hint="eastAsia" w:ascii="宋体" w:hAnsi="宋体" w:eastAsia="宋体" w:cs="宋体"/>
                <w:kern w:val="0"/>
                <w:sz w:val="21"/>
                <w:szCs w:val="21"/>
                <w:highlight w:val="none"/>
                <w:lang w:val="en-US" w:eastAsia="zh-CN"/>
              </w:rPr>
            </w:pPr>
            <w:r>
              <w:rPr>
                <w:rFonts w:hint="eastAsia" w:asciiTheme="minorEastAsia" w:hAnsiTheme="minorEastAsia" w:eastAsiaTheme="minorEastAsia" w:cstheme="minorEastAsia"/>
                <w:b/>
                <w:bCs/>
                <w:strike w:val="0"/>
                <w:dstrike w:val="0"/>
                <w:color w:val="FF0000"/>
                <w:kern w:val="0"/>
                <w:sz w:val="21"/>
                <w:szCs w:val="21"/>
                <w:highlight w:val="none"/>
                <w:lang w:val="en-US" w:eastAsia="zh-CN" w:bidi="ar-SA"/>
              </w:rPr>
              <w:t>注：本项目招标文件要求“设备监管平台”与“资产梳理”两项的演示视频总时长不超过10分钟。</w:t>
            </w:r>
          </w:p>
        </w:tc>
      </w:tr>
    </w:tbl>
    <w:p w14:paraId="51B30688">
      <w:pPr>
        <w:pStyle w:val="4"/>
        <w:rPr>
          <w:rFonts w:hint="eastAsia" w:ascii="宋体" w:hAnsi="宋体" w:eastAsia="宋体" w:cs="宋体"/>
          <w:b/>
          <w:bCs/>
          <w:sz w:val="24"/>
          <w:szCs w:val="24"/>
        </w:rPr>
      </w:pPr>
      <w:r>
        <w:rPr>
          <w:rFonts w:hint="eastAsia" w:ascii="宋体" w:hAnsi="宋体" w:eastAsia="宋体" w:cs="宋体"/>
          <w:b/>
          <w:bCs/>
          <w:sz w:val="24"/>
          <w:szCs w:val="24"/>
        </w:rPr>
        <w:t>（二）机房电源及空调</w:t>
      </w:r>
    </w:p>
    <w:tbl>
      <w:tblPr>
        <w:tblStyle w:val="37"/>
        <w:tblW w:w="8427"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7077"/>
      </w:tblGrid>
      <w:tr w14:paraId="0685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3A43223F">
            <w:pPr>
              <w:widowControl/>
              <w:rPr>
                <w:rFonts w:hint="eastAsia" w:ascii="宋体" w:hAnsi="宋体" w:eastAsia="宋体" w:cs="宋体"/>
                <w:b/>
                <w:bCs/>
                <w:sz w:val="24"/>
              </w:rPr>
            </w:pPr>
            <w:r>
              <w:rPr>
                <w:rFonts w:hint="eastAsia" w:ascii="宋体" w:hAnsi="宋体" w:eastAsia="宋体" w:cs="宋体"/>
                <w:b/>
                <w:bCs/>
                <w:sz w:val="24"/>
              </w:rPr>
              <w:t>设备名称</w:t>
            </w:r>
          </w:p>
        </w:tc>
        <w:tc>
          <w:tcPr>
            <w:tcW w:w="7077" w:type="dxa"/>
            <w:vAlign w:val="center"/>
          </w:tcPr>
          <w:p w14:paraId="7A702824">
            <w:pPr>
              <w:widowControl/>
              <w:jc w:val="center"/>
              <w:rPr>
                <w:rFonts w:hint="eastAsia" w:ascii="宋体" w:hAnsi="宋体" w:eastAsia="宋体" w:cs="宋体"/>
                <w:b/>
                <w:bCs/>
                <w:sz w:val="24"/>
              </w:rPr>
            </w:pPr>
            <w:r>
              <w:rPr>
                <w:rFonts w:hint="eastAsia" w:ascii="宋体" w:hAnsi="宋体" w:eastAsia="宋体" w:cs="宋体"/>
                <w:b/>
                <w:bCs/>
                <w:sz w:val="24"/>
              </w:rPr>
              <w:t>参数要求</w:t>
            </w:r>
          </w:p>
        </w:tc>
      </w:tr>
      <w:tr w14:paraId="4B428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5B5775D5">
            <w:pPr>
              <w:widowControl/>
              <w:rPr>
                <w:rFonts w:hint="eastAsia" w:ascii="宋体" w:hAnsi="宋体" w:eastAsia="宋体" w:cs="宋体"/>
                <w:b/>
                <w:bCs/>
                <w:sz w:val="24"/>
              </w:rPr>
            </w:pPr>
            <w:r>
              <w:rPr>
                <w:rFonts w:hint="eastAsia" w:ascii="宋体" w:hAnsi="宋体" w:eastAsia="宋体"/>
                <w:sz w:val="24"/>
              </w:rPr>
              <w:t>UPS不间断电源</w:t>
            </w:r>
          </w:p>
        </w:tc>
        <w:tc>
          <w:tcPr>
            <w:tcW w:w="7077" w:type="dxa"/>
            <w:vAlign w:val="center"/>
          </w:tcPr>
          <w:p w14:paraId="2BBC3F8F">
            <w:pPr>
              <w:spacing w:line="360" w:lineRule="auto"/>
              <w:ind w:firstLine="420" w:firstLineChars="200"/>
              <w:rPr>
                <w:rFonts w:hint="eastAsia" w:ascii="宋体" w:hAnsi="宋体" w:eastAsia="宋体"/>
                <w:szCs w:val="21"/>
              </w:rPr>
            </w:pPr>
            <w:r>
              <w:rPr>
                <w:rFonts w:hint="eastAsia" w:ascii="宋体" w:hAnsi="宋体" w:eastAsia="宋体"/>
                <w:szCs w:val="21"/>
              </w:rPr>
              <w:t>1、额定容量：10KVA/15KVA/20KVA，在线式双变换拓朴结构。</w:t>
            </w:r>
          </w:p>
          <w:p w14:paraId="3FC5A9D9">
            <w:pPr>
              <w:spacing w:line="360" w:lineRule="auto"/>
              <w:ind w:firstLine="420" w:firstLineChars="200"/>
              <w:rPr>
                <w:rFonts w:hint="eastAsia" w:ascii="宋体" w:hAnsi="宋体" w:eastAsia="宋体"/>
                <w:szCs w:val="21"/>
              </w:rPr>
            </w:pPr>
            <w:r>
              <w:rPr>
                <w:rFonts w:hint="eastAsia" w:ascii="宋体" w:hAnsi="宋体" w:eastAsia="宋体"/>
                <w:szCs w:val="21"/>
              </w:rPr>
              <w:t>2、采用先进的DSP数字控制技术，塔式/机架式安装可转换，机架式安装高度不超过3U</w:t>
            </w:r>
          </w:p>
          <w:p w14:paraId="4338FFC6">
            <w:pPr>
              <w:spacing w:line="360" w:lineRule="auto"/>
              <w:ind w:firstLine="420" w:firstLineChars="200"/>
              <w:rPr>
                <w:rFonts w:hint="eastAsia" w:ascii="宋体" w:hAnsi="宋体" w:eastAsia="宋体"/>
                <w:szCs w:val="21"/>
              </w:rPr>
            </w:pPr>
            <w:r>
              <w:rPr>
                <w:rFonts w:hint="eastAsia" w:ascii="宋体" w:hAnsi="宋体" w:eastAsia="宋体"/>
                <w:szCs w:val="21"/>
              </w:rPr>
              <w:t>3、兼容单进单出/三进单出/三进三出多种不同输出输出制式，标配UPS输入输出端子，需要提供厂家出厂装箱单作为证明</w:t>
            </w:r>
          </w:p>
          <w:p w14:paraId="31AD296C">
            <w:pPr>
              <w:spacing w:line="360" w:lineRule="auto"/>
              <w:ind w:firstLine="420" w:firstLineChars="200"/>
              <w:rPr>
                <w:rFonts w:hint="eastAsia" w:ascii="宋体" w:hAnsi="宋体" w:eastAsia="宋体"/>
                <w:szCs w:val="21"/>
              </w:rPr>
            </w:pPr>
            <w:r>
              <w:rPr>
                <w:rFonts w:hint="eastAsia" w:ascii="宋体" w:hAnsi="宋体" w:eastAsia="宋体"/>
                <w:szCs w:val="21"/>
              </w:rPr>
              <w:t>4、UPS主机输入要求：</w:t>
            </w:r>
          </w:p>
          <w:p w14:paraId="0548E71E">
            <w:pPr>
              <w:spacing w:line="360" w:lineRule="auto"/>
              <w:ind w:firstLine="420" w:firstLineChars="200"/>
              <w:rPr>
                <w:rFonts w:hint="eastAsia" w:ascii="宋体" w:hAnsi="宋体" w:eastAsia="宋体"/>
                <w:szCs w:val="21"/>
              </w:rPr>
            </w:pPr>
            <w:r>
              <w:rPr>
                <w:rFonts w:hint="eastAsia" w:ascii="宋体" w:hAnsi="宋体" w:eastAsia="宋体"/>
                <w:szCs w:val="21"/>
              </w:rPr>
              <w:t>a)输入相电压范围（L-N）：110-300VAC</w:t>
            </w:r>
          </w:p>
          <w:p w14:paraId="1987D8DA">
            <w:pPr>
              <w:spacing w:line="360" w:lineRule="auto"/>
              <w:ind w:firstLine="420" w:firstLineChars="200"/>
              <w:rPr>
                <w:rFonts w:hint="eastAsia" w:ascii="宋体" w:hAnsi="宋体" w:eastAsia="宋体"/>
                <w:szCs w:val="21"/>
              </w:rPr>
            </w:pPr>
            <w:r>
              <w:rPr>
                <w:rFonts w:hint="eastAsia" w:ascii="宋体" w:hAnsi="宋体" w:eastAsia="宋体"/>
                <w:szCs w:val="21"/>
              </w:rPr>
              <w:t>b)输入频率范围：普通模式：50/60 ± 4Hz；发电机模式：40-70 Hz</w:t>
            </w:r>
          </w:p>
          <w:p w14:paraId="205CF0E6">
            <w:pPr>
              <w:spacing w:line="360" w:lineRule="auto"/>
              <w:ind w:firstLine="420" w:firstLineChars="200"/>
              <w:rPr>
                <w:rFonts w:hint="eastAsia" w:ascii="宋体" w:hAnsi="宋体" w:eastAsia="宋体"/>
                <w:szCs w:val="21"/>
              </w:rPr>
            </w:pPr>
            <w:r>
              <w:rPr>
                <w:rFonts w:hint="eastAsia" w:ascii="宋体" w:hAnsi="宋体" w:eastAsia="宋体"/>
                <w:szCs w:val="21"/>
              </w:rPr>
              <w:t>c)输入功率因数：≥0.99；</w:t>
            </w:r>
          </w:p>
          <w:p w14:paraId="2B6B25CD">
            <w:pPr>
              <w:spacing w:line="360" w:lineRule="auto"/>
              <w:ind w:firstLine="420" w:firstLineChars="200"/>
              <w:rPr>
                <w:rFonts w:hint="eastAsia" w:ascii="宋体" w:hAnsi="宋体" w:eastAsia="宋体"/>
                <w:szCs w:val="21"/>
              </w:rPr>
            </w:pPr>
            <w:r>
              <w:rPr>
                <w:rFonts w:hint="eastAsia" w:ascii="宋体" w:hAnsi="宋体" w:eastAsia="宋体"/>
                <w:szCs w:val="21"/>
              </w:rPr>
              <w:t xml:space="preserve">d)输入谐波失真度：THDi ≤4% </w:t>
            </w:r>
          </w:p>
          <w:p w14:paraId="5361488C">
            <w:pPr>
              <w:spacing w:line="360" w:lineRule="auto"/>
              <w:ind w:firstLine="420" w:firstLineChars="200"/>
              <w:rPr>
                <w:rFonts w:hint="eastAsia" w:ascii="宋体" w:hAnsi="宋体" w:eastAsia="宋体"/>
                <w:szCs w:val="21"/>
              </w:rPr>
            </w:pPr>
            <w:r>
              <w:rPr>
                <w:rFonts w:hint="eastAsia" w:ascii="宋体" w:hAnsi="宋体" w:eastAsia="宋体"/>
                <w:szCs w:val="21"/>
              </w:rPr>
              <w:t>6、UPS主机输出要求：</w:t>
            </w:r>
          </w:p>
          <w:p w14:paraId="3CF5404E">
            <w:pPr>
              <w:spacing w:line="360" w:lineRule="auto"/>
              <w:ind w:firstLine="420" w:firstLineChars="200"/>
              <w:rPr>
                <w:rFonts w:hint="eastAsia" w:ascii="宋体" w:hAnsi="宋体" w:eastAsia="宋体"/>
                <w:szCs w:val="21"/>
              </w:rPr>
            </w:pPr>
            <w:r>
              <w:rPr>
                <w:rFonts w:hint="eastAsia" w:ascii="宋体" w:hAnsi="宋体" w:eastAsia="宋体"/>
                <w:szCs w:val="21"/>
              </w:rPr>
              <w:t>a)输出功率因数：高达1</w:t>
            </w:r>
          </w:p>
          <w:p w14:paraId="380E519B">
            <w:pPr>
              <w:spacing w:line="360" w:lineRule="auto"/>
              <w:ind w:firstLine="420" w:firstLineChars="200"/>
              <w:rPr>
                <w:rFonts w:hint="eastAsia" w:ascii="宋体" w:hAnsi="宋体" w:eastAsia="宋体"/>
                <w:szCs w:val="21"/>
              </w:rPr>
            </w:pPr>
            <w:r>
              <w:rPr>
                <w:rFonts w:hint="eastAsia" w:ascii="宋体" w:hAnsi="宋体" w:eastAsia="宋体"/>
                <w:szCs w:val="21"/>
              </w:rPr>
              <w:t>b)效率（满载）：94%双变换模式,97% ECO模式</w:t>
            </w:r>
          </w:p>
          <w:p w14:paraId="3881840C">
            <w:pPr>
              <w:spacing w:line="360" w:lineRule="auto"/>
              <w:ind w:firstLine="420" w:firstLineChars="200"/>
              <w:rPr>
                <w:rFonts w:hint="eastAsia" w:ascii="宋体" w:hAnsi="宋体" w:eastAsia="宋体"/>
                <w:szCs w:val="21"/>
              </w:rPr>
            </w:pPr>
            <w:r>
              <w:rPr>
                <w:rFonts w:hint="eastAsia" w:ascii="宋体" w:hAnsi="宋体" w:eastAsia="宋体"/>
                <w:szCs w:val="21"/>
              </w:rPr>
              <w:t>c)输出电压精度：± 1%</w:t>
            </w:r>
          </w:p>
          <w:p w14:paraId="1DE6E3D1">
            <w:pPr>
              <w:spacing w:line="360" w:lineRule="auto"/>
              <w:ind w:firstLine="420" w:firstLineChars="200"/>
              <w:rPr>
                <w:rFonts w:hint="eastAsia" w:ascii="宋体" w:hAnsi="宋体" w:eastAsia="宋体"/>
                <w:szCs w:val="21"/>
              </w:rPr>
            </w:pPr>
            <w:r>
              <w:rPr>
                <w:rFonts w:hint="eastAsia" w:ascii="宋体" w:hAnsi="宋体" w:eastAsia="宋体"/>
                <w:szCs w:val="21"/>
              </w:rPr>
              <w:t>d)输出电压失真度：&lt;2% 线性负载，&lt;4% 非线性负载</w:t>
            </w:r>
          </w:p>
          <w:p w14:paraId="64F587E8">
            <w:pPr>
              <w:spacing w:line="360" w:lineRule="auto"/>
              <w:ind w:firstLine="420" w:firstLineChars="200"/>
              <w:rPr>
                <w:rFonts w:hint="eastAsia" w:ascii="宋体" w:hAnsi="宋体" w:eastAsia="宋体"/>
                <w:szCs w:val="21"/>
              </w:rPr>
            </w:pPr>
            <w:r>
              <w:rPr>
                <w:rFonts w:hint="eastAsia" w:ascii="宋体" w:hAnsi="宋体" w:eastAsia="宋体"/>
                <w:szCs w:val="21"/>
              </w:rPr>
              <w:t>7、市电异常状况可以直接用电池启动UPS，满足应急需求；无电池状态可直接采用市电启动UPS，可作高精度稳压电源使用。</w:t>
            </w:r>
          </w:p>
          <w:p w14:paraId="7080D986">
            <w:pPr>
              <w:spacing w:line="360" w:lineRule="auto"/>
              <w:ind w:firstLine="420" w:firstLineChars="200"/>
              <w:rPr>
                <w:rFonts w:hint="eastAsia" w:ascii="宋体" w:hAnsi="宋体" w:eastAsia="宋体"/>
                <w:szCs w:val="21"/>
              </w:rPr>
            </w:pPr>
            <w:r>
              <w:rPr>
                <w:rFonts w:hint="eastAsia" w:ascii="宋体" w:hAnsi="宋体" w:eastAsia="宋体"/>
                <w:szCs w:val="21"/>
              </w:rPr>
              <w:t>8、过载能力：102%连续运行，102%-110% 60分钟，110%-125% 10分钟，125%-150% 1分钟，&gt;150%以上转旁路。</w:t>
            </w:r>
          </w:p>
          <w:p w14:paraId="491A7D06">
            <w:pPr>
              <w:spacing w:line="360" w:lineRule="auto"/>
              <w:ind w:firstLine="420" w:firstLineChars="200"/>
              <w:rPr>
                <w:rFonts w:hint="eastAsia" w:ascii="宋体" w:hAnsi="宋体" w:eastAsia="宋体"/>
                <w:szCs w:val="21"/>
              </w:rPr>
            </w:pPr>
            <w:r>
              <w:rPr>
                <w:rFonts w:hint="eastAsia" w:ascii="宋体" w:hAnsi="宋体" w:eastAsia="宋体"/>
                <w:szCs w:val="21"/>
              </w:rPr>
              <w:t>9、标配紧急关断开关EPO接口。</w:t>
            </w:r>
          </w:p>
          <w:p w14:paraId="25F19416">
            <w:pPr>
              <w:spacing w:line="360" w:lineRule="auto"/>
              <w:ind w:firstLine="420" w:firstLineChars="200"/>
              <w:rPr>
                <w:rFonts w:hint="eastAsia" w:ascii="宋体" w:hAnsi="宋体" w:eastAsia="宋体"/>
                <w:szCs w:val="21"/>
              </w:rPr>
            </w:pPr>
            <w:r>
              <w:rPr>
                <w:rFonts w:hint="eastAsia" w:ascii="宋体" w:hAnsi="宋体" w:eastAsia="宋体"/>
                <w:szCs w:val="21"/>
              </w:rPr>
              <w:t>10、UPS须采用快速充电器，充电电流默认3A，最大13A。</w:t>
            </w:r>
          </w:p>
          <w:p w14:paraId="685BD5B3">
            <w:pPr>
              <w:spacing w:line="360" w:lineRule="auto"/>
              <w:ind w:firstLine="420" w:firstLineChars="200"/>
              <w:rPr>
                <w:rFonts w:hint="eastAsia" w:ascii="宋体" w:hAnsi="宋体" w:eastAsia="宋体"/>
                <w:szCs w:val="21"/>
              </w:rPr>
            </w:pPr>
            <w:r>
              <w:rPr>
                <w:rFonts w:hint="eastAsia" w:ascii="宋体" w:hAnsi="宋体" w:eastAsia="宋体"/>
                <w:szCs w:val="21"/>
              </w:rPr>
              <w:t>11、支持三台并机，并机模式支持共用电池组。</w:t>
            </w:r>
          </w:p>
          <w:p w14:paraId="19CE9678">
            <w:pPr>
              <w:spacing w:line="360" w:lineRule="auto"/>
              <w:ind w:firstLine="420" w:firstLineChars="200"/>
              <w:rPr>
                <w:rFonts w:hint="eastAsia" w:ascii="宋体" w:hAnsi="宋体" w:eastAsia="宋体"/>
                <w:szCs w:val="21"/>
              </w:rPr>
            </w:pPr>
            <w:r>
              <w:rPr>
                <w:rFonts w:hint="eastAsia" w:ascii="宋体" w:hAnsi="宋体" w:eastAsia="宋体"/>
                <w:szCs w:val="21"/>
              </w:rPr>
              <w:t>12、LCD屏幕显示设计，可实时显示UPS的工作参数和运行状态（电池故障、UPS故障、超载指示、旁路、电池故障、负载和电池容量等）</w:t>
            </w:r>
          </w:p>
          <w:p w14:paraId="59B29F2E">
            <w:pPr>
              <w:spacing w:line="360" w:lineRule="auto"/>
              <w:ind w:firstLine="420" w:firstLineChars="200"/>
              <w:rPr>
                <w:rFonts w:hint="eastAsia" w:ascii="宋体" w:hAnsi="宋体" w:eastAsia="宋体"/>
                <w:szCs w:val="21"/>
              </w:rPr>
            </w:pPr>
            <w:r>
              <w:rPr>
                <w:rFonts w:hint="eastAsia" w:ascii="宋体" w:hAnsi="宋体" w:eastAsia="宋体"/>
                <w:szCs w:val="21"/>
              </w:rPr>
              <w:t>13、UPS每组蓄电池数量应可调，应支持每组16(默认)/18/20节电池，主机与电池连接为安德森接头。</w:t>
            </w:r>
          </w:p>
          <w:p w14:paraId="45A5642C">
            <w:pPr>
              <w:spacing w:line="360" w:lineRule="auto"/>
              <w:ind w:firstLine="420" w:firstLineChars="200"/>
              <w:rPr>
                <w:rFonts w:hint="eastAsia" w:ascii="宋体" w:hAnsi="宋体" w:eastAsia="宋体"/>
                <w:szCs w:val="21"/>
              </w:rPr>
            </w:pPr>
            <w:r>
              <w:rPr>
                <w:rFonts w:hint="eastAsia" w:ascii="宋体" w:hAnsi="宋体" w:eastAsia="宋体"/>
                <w:szCs w:val="21"/>
              </w:rPr>
              <w:t>14、可选配机架式长延时锂电池。</w:t>
            </w:r>
          </w:p>
          <w:p w14:paraId="79226A14">
            <w:pPr>
              <w:spacing w:line="360" w:lineRule="auto"/>
              <w:ind w:firstLine="420" w:firstLineChars="200"/>
              <w:rPr>
                <w:rFonts w:hint="eastAsia" w:ascii="宋体" w:hAnsi="宋体" w:eastAsia="宋体"/>
                <w:szCs w:val="21"/>
              </w:rPr>
            </w:pPr>
            <w:r>
              <w:rPr>
                <w:rFonts w:hint="eastAsia" w:ascii="宋体" w:hAnsi="宋体" w:eastAsia="宋体"/>
                <w:szCs w:val="21"/>
              </w:rPr>
              <w:t>15、UPS PCBA电路板须喷涂三防漆，UPS主机须标配防尘滤网，适应多种严苛使用环境。</w:t>
            </w:r>
          </w:p>
          <w:p w14:paraId="54F229EF">
            <w:pPr>
              <w:spacing w:line="360" w:lineRule="auto"/>
              <w:ind w:firstLine="420" w:firstLineChars="200"/>
              <w:rPr>
                <w:rFonts w:hint="eastAsia" w:ascii="宋体" w:hAnsi="宋体" w:eastAsia="宋体"/>
                <w:szCs w:val="21"/>
              </w:rPr>
            </w:pPr>
            <w:r>
              <w:rPr>
                <w:rFonts w:hint="eastAsia" w:ascii="宋体" w:hAnsi="宋体" w:eastAsia="宋体"/>
                <w:szCs w:val="21"/>
              </w:rPr>
              <w:t>16、UPS需标配RS232和USB通讯接口，可选配干接点卡、SNMP网络管理卡、Modbus通讯卡、环境接口卡。</w:t>
            </w:r>
          </w:p>
          <w:p w14:paraId="66CF3339">
            <w:pPr>
              <w:spacing w:line="360" w:lineRule="auto"/>
              <w:ind w:firstLine="420" w:firstLineChars="200"/>
              <w:rPr>
                <w:rFonts w:hint="eastAsia" w:ascii="宋体" w:hAnsi="宋体" w:eastAsia="宋体"/>
                <w:szCs w:val="21"/>
              </w:rPr>
            </w:pPr>
            <w:r>
              <w:rPr>
                <w:rFonts w:hint="eastAsia" w:ascii="宋体" w:hAnsi="宋体" w:eastAsia="宋体"/>
                <w:szCs w:val="21"/>
              </w:rPr>
              <w:t>17、UPS需标配监控管理软件，采用C/S架构设计，提供事件管理及通知、计划停机和重启、电池管理、UPS监控等软件功能。</w:t>
            </w:r>
          </w:p>
          <w:p w14:paraId="7CAA5847">
            <w:pPr>
              <w:spacing w:line="360" w:lineRule="auto"/>
              <w:ind w:firstLine="420" w:firstLineChars="200"/>
              <w:rPr>
                <w:rFonts w:hint="eastAsia" w:ascii="宋体" w:hAnsi="宋体" w:eastAsia="宋体" w:cs="宋体"/>
                <w:b/>
                <w:bCs/>
                <w:szCs w:val="21"/>
              </w:rPr>
            </w:pPr>
            <w:r>
              <w:rPr>
                <w:rFonts w:hint="eastAsia" w:ascii="宋体" w:hAnsi="宋体" w:eastAsia="宋体"/>
                <w:szCs w:val="21"/>
              </w:rPr>
              <w:t>18、UPS应标配UPS集中管理软件，可至少集中管理1000台同系列UPS；UPS需标配安全关机软件，可以在市电断电电池耗尽之前，将服务器的重要数据进行保存并安全关机，以避免发生意外断电事故时造成的数据丢失和系统崩溃。</w:t>
            </w:r>
          </w:p>
        </w:tc>
      </w:tr>
      <w:tr w14:paraId="6C39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1BEBC7F1">
            <w:pPr>
              <w:spacing w:line="360" w:lineRule="auto"/>
              <w:rPr>
                <w:rFonts w:hint="eastAsia" w:ascii="宋体" w:hAnsi="宋体" w:eastAsia="宋体" w:cs="宋体"/>
                <w:b/>
                <w:bCs/>
                <w:sz w:val="24"/>
              </w:rPr>
            </w:pPr>
            <w:r>
              <w:rPr>
                <w:rFonts w:hint="eastAsia" w:ascii="宋体" w:hAnsi="宋体" w:eastAsia="宋体"/>
                <w:sz w:val="24"/>
              </w:rPr>
              <w:t>蓄电池</w:t>
            </w:r>
          </w:p>
        </w:tc>
        <w:tc>
          <w:tcPr>
            <w:tcW w:w="7077" w:type="dxa"/>
            <w:vAlign w:val="center"/>
          </w:tcPr>
          <w:p w14:paraId="763B34DA">
            <w:pPr>
              <w:spacing w:line="360" w:lineRule="auto"/>
              <w:ind w:firstLine="420" w:firstLineChars="200"/>
              <w:rPr>
                <w:rFonts w:hint="eastAsia" w:ascii="宋体" w:hAnsi="宋体" w:eastAsia="宋体"/>
                <w:szCs w:val="21"/>
              </w:rPr>
            </w:pPr>
            <w:r>
              <w:rPr>
                <w:rFonts w:hint="eastAsia" w:ascii="宋体" w:hAnsi="宋体" w:eastAsia="宋体"/>
                <w:szCs w:val="21"/>
              </w:rPr>
              <w:t>1、蓄电池为阀控式铅酸蓄电池，隔板需采用AGM 材料。</w:t>
            </w:r>
          </w:p>
          <w:p w14:paraId="641BE35B">
            <w:pPr>
              <w:spacing w:line="360" w:lineRule="auto"/>
              <w:ind w:firstLine="420" w:firstLineChars="200"/>
              <w:rPr>
                <w:rFonts w:hint="eastAsia" w:ascii="宋体" w:hAnsi="宋体" w:eastAsia="宋体"/>
                <w:szCs w:val="21"/>
              </w:rPr>
            </w:pPr>
            <w:r>
              <w:rPr>
                <w:rFonts w:hint="eastAsia" w:ascii="宋体" w:hAnsi="宋体" w:eastAsia="宋体"/>
                <w:szCs w:val="21"/>
              </w:rPr>
              <w:t>2、蓄电池的浮充期待寿命≥10年（使用环境温度15℃至30℃），单个电池的电压为12V，均衡充电电压：14.5～14.9V；单体放电终止电压：10.2V（10 小时放电率）。</w:t>
            </w:r>
          </w:p>
          <w:p w14:paraId="17685340">
            <w:pPr>
              <w:spacing w:line="360" w:lineRule="auto"/>
              <w:ind w:firstLine="420" w:firstLineChars="200"/>
              <w:rPr>
                <w:rFonts w:hint="eastAsia" w:ascii="宋体" w:hAnsi="宋体" w:eastAsia="宋体"/>
                <w:szCs w:val="21"/>
              </w:rPr>
            </w:pPr>
            <w:r>
              <w:rPr>
                <w:rFonts w:hint="eastAsia" w:ascii="宋体" w:hAnsi="宋体" w:eastAsia="宋体"/>
                <w:szCs w:val="21"/>
              </w:rPr>
              <w:t>3、蓄电池生产企业应已获得ISO9001：2015 国际质量管理体系认证证书和ISO14001：2015环境管理体系认证证书。</w:t>
            </w:r>
          </w:p>
          <w:p w14:paraId="53FF7165">
            <w:pPr>
              <w:spacing w:line="360" w:lineRule="auto"/>
              <w:ind w:firstLine="420" w:firstLineChars="200"/>
              <w:rPr>
                <w:rFonts w:hint="eastAsia" w:ascii="宋体" w:hAnsi="宋体" w:eastAsia="宋体"/>
                <w:szCs w:val="21"/>
              </w:rPr>
            </w:pPr>
            <w:r>
              <w:rPr>
                <w:rFonts w:hint="eastAsia" w:ascii="宋体" w:hAnsi="宋体" w:eastAsia="宋体"/>
                <w:szCs w:val="21"/>
              </w:rPr>
              <w:t>4、蓄电池符合GB/T 19638.2-2005《固定式阀控密封式铅酸蓄电池》及YD/T799-2010《通信用阀控式铅酸蓄电池》标准</w:t>
            </w:r>
          </w:p>
          <w:p w14:paraId="7D35C090">
            <w:pPr>
              <w:spacing w:line="360" w:lineRule="auto"/>
              <w:ind w:firstLine="420" w:firstLineChars="200"/>
              <w:rPr>
                <w:rFonts w:hint="eastAsia" w:ascii="宋体" w:hAnsi="宋体" w:eastAsia="宋体"/>
                <w:szCs w:val="21"/>
              </w:rPr>
            </w:pPr>
            <w:r>
              <w:rPr>
                <w:rFonts w:hint="eastAsia" w:ascii="宋体" w:hAnsi="宋体" w:eastAsia="宋体"/>
                <w:szCs w:val="21"/>
              </w:rPr>
              <w:t>5、蓄电池端电压的均衡性：由若干个单体组成的蓄电池组，其单体间的开路电压最高与最低差值不大于50mV；进入浮充状态24 小时后，各蓄电池间的浮充电压最高值与最低值之差不大于100mV。</w:t>
            </w:r>
          </w:p>
          <w:p w14:paraId="62EA03F5">
            <w:pPr>
              <w:spacing w:line="360" w:lineRule="auto"/>
              <w:ind w:firstLine="420" w:firstLineChars="200"/>
              <w:rPr>
                <w:rFonts w:hint="eastAsia" w:ascii="宋体" w:hAnsi="宋体" w:eastAsia="宋体"/>
                <w:szCs w:val="21"/>
              </w:rPr>
            </w:pPr>
            <w:r>
              <w:rPr>
                <w:rFonts w:hint="eastAsia" w:ascii="宋体" w:hAnsi="宋体" w:eastAsia="宋体"/>
                <w:szCs w:val="21"/>
              </w:rPr>
              <w:t>6、电池采用完全的密封型免维护设计，密封反应效率应不低于 96％；在正常工作中应无酸雾逸出；在充电过程中遇有明火，内部不应引爆；</w:t>
            </w:r>
          </w:p>
          <w:p w14:paraId="7244F197">
            <w:pPr>
              <w:spacing w:line="360" w:lineRule="auto"/>
              <w:ind w:firstLine="420" w:firstLineChars="200"/>
              <w:rPr>
                <w:rFonts w:hint="eastAsia" w:ascii="宋体" w:hAnsi="宋体" w:eastAsia="宋体"/>
                <w:szCs w:val="21"/>
              </w:rPr>
            </w:pPr>
            <w:r>
              <w:rPr>
                <w:rFonts w:hint="eastAsia" w:ascii="宋体" w:hAnsi="宋体" w:eastAsia="宋体"/>
                <w:szCs w:val="21"/>
              </w:rPr>
              <w:t>7、大电流放电：采用UL94-V0级阻燃外壳，大电流放电性能优良，自放电低。</w:t>
            </w:r>
          </w:p>
          <w:p w14:paraId="393BFEDC">
            <w:pPr>
              <w:spacing w:line="360" w:lineRule="auto"/>
              <w:ind w:firstLine="420" w:firstLineChars="200"/>
              <w:rPr>
                <w:rFonts w:hint="eastAsia" w:ascii="宋体" w:hAnsi="宋体" w:eastAsia="宋体"/>
                <w:szCs w:val="21"/>
              </w:rPr>
            </w:pPr>
            <w:r>
              <w:rPr>
                <w:rFonts w:hint="eastAsia" w:ascii="宋体" w:hAnsi="宋体" w:eastAsia="宋体"/>
                <w:szCs w:val="21"/>
              </w:rPr>
              <w:t>8、自放电剩余容量：1个月后不小于98%，3个月后不小于94%，6个月后不小于87%。</w:t>
            </w:r>
          </w:p>
          <w:p w14:paraId="02569E5A">
            <w:pPr>
              <w:spacing w:line="360" w:lineRule="auto"/>
              <w:ind w:firstLine="420" w:firstLineChars="200"/>
              <w:rPr>
                <w:rFonts w:hint="eastAsia" w:ascii="宋体" w:hAnsi="宋体" w:eastAsia="宋体" w:cs="宋体"/>
                <w:b/>
                <w:bCs/>
                <w:szCs w:val="21"/>
              </w:rPr>
            </w:pPr>
            <w:r>
              <w:rPr>
                <w:rFonts w:hint="eastAsia" w:ascii="宋体" w:hAnsi="宋体" w:eastAsia="宋体"/>
                <w:szCs w:val="21"/>
              </w:rPr>
              <w:t>9、阻燃性能：蓄电池槽盖及外壳应采用持久耐用并具有足够强度的ABS材料要求符合UL94-V0级阻燃级别。</w:t>
            </w:r>
          </w:p>
        </w:tc>
      </w:tr>
      <w:tr w14:paraId="009F0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0764E739">
            <w:pPr>
              <w:spacing w:line="360" w:lineRule="auto"/>
              <w:rPr>
                <w:rFonts w:hint="eastAsia" w:ascii="宋体" w:hAnsi="宋体" w:eastAsia="宋体"/>
                <w:sz w:val="24"/>
              </w:rPr>
            </w:pPr>
            <w:r>
              <w:rPr>
                <w:rFonts w:hint="eastAsia" w:ascii="宋体" w:hAnsi="宋体" w:eastAsia="宋体"/>
                <w:sz w:val="24"/>
              </w:rPr>
              <w:t>电池柜</w:t>
            </w:r>
          </w:p>
        </w:tc>
        <w:tc>
          <w:tcPr>
            <w:tcW w:w="7077" w:type="dxa"/>
            <w:vAlign w:val="center"/>
          </w:tcPr>
          <w:p w14:paraId="61B91CBD">
            <w:pPr>
              <w:spacing w:line="360" w:lineRule="auto"/>
              <w:ind w:firstLine="420" w:firstLineChars="200"/>
              <w:rPr>
                <w:rFonts w:hint="eastAsia" w:ascii="宋体" w:hAnsi="宋体" w:eastAsia="宋体"/>
                <w:szCs w:val="21"/>
              </w:rPr>
            </w:pPr>
            <w:r>
              <w:rPr>
                <w:rFonts w:hint="eastAsia" w:ascii="宋体" w:hAnsi="宋体" w:eastAsia="宋体"/>
                <w:szCs w:val="21"/>
              </w:rPr>
              <w:t>1、容纳16节100AH以下蓄电池；每组蓄电池配套独立的蓄电池开关。</w:t>
            </w:r>
          </w:p>
          <w:p w14:paraId="7BA88793">
            <w:pPr>
              <w:spacing w:line="360" w:lineRule="auto"/>
              <w:ind w:firstLine="420" w:firstLineChars="200"/>
              <w:rPr>
                <w:rFonts w:hint="eastAsia" w:ascii="宋体" w:hAnsi="宋体" w:eastAsia="宋体"/>
                <w:szCs w:val="21"/>
              </w:rPr>
            </w:pPr>
            <w:r>
              <w:rPr>
                <w:rFonts w:hint="eastAsia" w:ascii="宋体" w:hAnsi="宋体" w:eastAsia="宋体"/>
                <w:szCs w:val="21"/>
              </w:rPr>
              <w:t>2、尺寸：宽780（±20）、深470（±20）、高1230（±20）</w:t>
            </w:r>
          </w:p>
          <w:p w14:paraId="5161ECD7">
            <w:pPr>
              <w:spacing w:line="360" w:lineRule="auto"/>
              <w:ind w:firstLine="420" w:firstLineChars="200"/>
              <w:rPr>
                <w:rFonts w:hint="eastAsia" w:ascii="宋体" w:hAnsi="宋体" w:eastAsia="宋体"/>
                <w:szCs w:val="21"/>
              </w:rPr>
            </w:pPr>
            <w:r>
              <w:rPr>
                <w:rFonts w:hint="eastAsia" w:ascii="宋体" w:hAnsi="宋体" w:eastAsia="宋体"/>
                <w:szCs w:val="21"/>
              </w:rPr>
              <w:t>3、颜色：黑色；</w:t>
            </w:r>
          </w:p>
          <w:p w14:paraId="12563242">
            <w:pPr>
              <w:spacing w:line="360" w:lineRule="auto"/>
              <w:ind w:firstLine="420" w:firstLineChars="200"/>
              <w:rPr>
                <w:rFonts w:hint="eastAsia" w:ascii="宋体" w:hAnsi="宋体" w:eastAsia="宋体"/>
                <w:szCs w:val="21"/>
              </w:rPr>
            </w:pPr>
            <w:r>
              <w:rPr>
                <w:rFonts w:hint="eastAsia" w:ascii="宋体" w:hAnsi="宋体" w:eastAsia="宋体"/>
                <w:szCs w:val="21"/>
              </w:rPr>
              <w:t>4、包含蓄电池间的连接线缆，及电池组到UPS主机的连接线缆。</w:t>
            </w:r>
          </w:p>
        </w:tc>
      </w:tr>
      <w:tr w14:paraId="332D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298F40AC">
            <w:pPr>
              <w:spacing w:line="360" w:lineRule="auto"/>
              <w:rPr>
                <w:rFonts w:hint="eastAsia" w:ascii="宋体" w:hAnsi="宋体" w:eastAsia="宋体"/>
                <w:sz w:val="24"/>
              </w:rPr>
            </w:pPr>
            <w:r>
              <w:rPr>
                <w:rFonts w:hint="eastAsia" w:ascii="宋体" w:hAnsi="宋体" w:eastAsia="宋体"/>
                <w:sz w:val="24"/>
              </w:rPr>
              <w:t>精密空调</w:t>
            </w:r>
          </w:p>
        </w:tc>
        <w:tc>
          <w:tcPr>
            <w:tcW w:w="7077" w:type="dxa"/>
            <w:vAlign w:val="center"/>
          </w:tcPr>
          <w:p w14:paraId="4C98D530">
            <w:pPr>
              <w:spacing w:line="360" w:lineRule="auto"/>
              <w:ind w:firstLine="420" w:firstLineChars="200"/>
              <w:rPr>
                <w:rFonts w:hint="eastAsia" w:ascii="宋体" w:hAnsi="宋体" w:eastAsia="宋体"/>
                <w:szCs w:val="21"/>
              </w:rPr>
            </w:pPr>
            <w:r>
              <w:rPr>
                <w:rFonts w:hint="eastAsia" w:ascii="宋体" w:hAnsi="宋体" w:eastAsia="宋体"/>
                <w:szCs w:val="21"/>
              </w:rPr>
              <w:t>1、本项目要求采用单系统单压缩机，风冷型精密空调，上前送风，单台制冷量≥16.4KW，显冷量≥15.1KW,标准风量≥5100m³/h。</w:t>
            </w:r>
          </w:p>
          <w:p w14:paraId="612F430C">
            <w:pPr>
              <w:spacing w:line="360" w:lineRule="auto"/>
              <w:ind w:firstLine="420" w:firstLineChars="200"/>
              <w:rPr>
                <w:rFonts w:hint="eastAsia" w:ascii="宋体" w:hAnsi="宋体" w:eastAsia="宋体"/>
                <w:szCs w:val="21"/>
              </w:rPr>
            </w:pPr>
            <w:r>
              <w:rPr>
                <w:rFonts w:hint="eastAsia" w:ascii="宋体" w:hAnsi="宋体" w:eastAsia="宋体"/>
                <w:szCs w:val="21"/>
              </w:rPr>
              <w:t>2、加热量应不小6KW，加湿量应不小于3kg/h；</w:t>
            </w:r>
          </w:p>
          <w:p w14:paraId="0D40B007">
            <w:pPr>
              <w:spacing w:line="360" w:lineRule="auto"/>
              <w:ind w:firstLine="420" w:firstLineChars="200"/>
              <w:rPr>
                <w:rFonts w:hint="eastAsia" w:ascii="宋体" w:hAnsi="宋体" w:eastAsia="宋体"/>
                <w:szCs w:val="21"/>
                <w:lang w:eastAsia="zh-CN"/>
              </w:rPr>
            </w:pPr>
            <w:r>
              <w:rPr>
                <w:rFonts w:hint="eastAsia" w:ascii="宋体" w:hAnsi="宋体" w:eastAsia="宋体"/>
                <w:szCs w:val="21"/>
              </w:rPr>
              <w:t>3、所提供的设备制造商必须具有国际质量管理体系认证证书ISO9001、ISO14000、ISO45001，CCC认证和中国节能产品认证证书</w:t>
            </w:r>
            <w:r>
              <w:rPr>
                <w:rFonts w:hint="eastAsia" w:ascii="宋体" w:hAnsi="宋体" w:eastAsia="宋体"/>
                <w:szCs w:val="21"/>
                <w:lang w:eastAsia="zh-CN"/>
              </w:rPr>
              <w:t>。</w:t>
            </w:r>
          </w:p>
          <w:p w14:paraId="089D7E4E">
            <w:pPr>
              <w:spacing w:line="360" w:lineRule="auto"/>
              <w:ind w:firstLine="420" w:firstLineChars="200"/>
              <w:rPr>
                <w:rFonts w:hint="eastAsia" w:ascii="宋体" w:hAnsi="宋体" w:eastAsia="宋体"/>
                <w:szCs w:val="21"/>
              </w:rPr>
            </w:pPr>
            <w:r>
              <w:rPr>
                <w:rFonts w:hint="eastAsia" w:ascii="宋体" w:hAnsi="宋体" w:eastAsia="宋体"/>
                <w:szCs w:val="21"/>
              </w:rPr>
              <w:t>4、机房专用空调应能按要求自动调节室内温、湿度，具有制冷、加热、加湿、除湿等功能。机组应具有控制器对机组进行自动控制，温度、湿度波动超限应能发出声光报警信号。</w:t>
            </w:r>
          </w:p>
          <w:p w14:paraId="70B9C60F">
            <w:pPr>
              <w:numPr>
                <w:ilvl w:val="0"/>
                <w:numId w:val="9"/>
              </w:numPr>
              <w:spacing w:line="360" w:lineRule="auto"/>
              <w:ind w:firstLine="420" w:firstLineChars="200"/>
              <w:rPr>
                <w:rFonts w:hint="eastAsia" w:ascii="宋体" w:hAnsi="宋体" w:eastAsia="宋体"/>
                <w:szCs w:val="21"/>
              </w:rPr>
            </w:pPr>
            <w:r>
              <w:rPr>
                <w:rFonts w:hint="eastAsia" w:ascii="宋体" w:hAnsi="宋体" w:eastAsia="宋体"/>
                <w:szCs w:val="21"/>
              </w:rPr>
              <w:t>空调机组送风机应采用直联式驱动风机/EC风机，且具备无级调速功能。</w:t>
            </w:r>
          </w:p>
          <w:p w14:paraId="276F2386">
            <w:pPr>
              <w:spacing w:line="360" w:lineRule="auto"/>
              <w:ind w:firstLine="420" w:firstLineChars="200"/>
              <w:rPr>
                <w:rFonts w:hint="eastAsia" w:ascii="宋体" w:hAnsi="宋体" w:eastAsia="宋体"/>
                <w:szCs w:val="21"/>
              </w:rPr>
            </w:pPr>
            <w:r>
              <w:rPr>
                <w:rFonts w:hint="eastAsia" w:ascii="宋体" w:hAnsi="宋体" w:eastAsia="宋体"/>
                <w:szCs w:val="21"/>
              </w:rPr>
              <w:t>6、具有先进的与空调整机同品牌微处理控制器，必须具有分组联动功能，联动功能机组台数≥15台。当群控功能失效，必须保证单机自动接管运行。实现机组联动控制不需增加额外的硬件费用。可实现轮巡等功能，标配时钟功能记录机组各主要部件运行时间，及故障报警时间。应采用先进的模糊逻辑控制或PID调节技术 。</w:t>
            </w:r>
          </w:p>
          <w:p w14:paraId="30D65060">
            <w:pPr>
              <w:spacing w:line="360" w:lineRule="auto"/>
              <w:ind w:firstLine="420" w:firstLineChars="200"/>
              <w:rPr>
                <w:rFonts w:hint="eastAsia" w:ascii="宋体" w:hAnsi="宋体" w:eastAsia="宋体"/>
                <w:szCs w:val="21"/>
              </w:rPr>
            </w:pPr>
            <w:r>
              <w:rPr>
                <w:rFonts w:hint="eastAsia" w:ascii="宋体" w:hAnsi="宋体" w:eastAsia="宋体"/>
                <w:szCs w:val="21"/>
              </w:rPr>
              <w:t>7、具有空调整机同品牌≥7英寸中文彩色触摸屏，可显示温湿度曲线，能记录并显示过去30日以上温湿度，具有显示机组内各组件的运行状态的功能。</w:t>
            </w:r>
          </w:p>
          <w:p w14:paraId="2B6AAEF5">
            <w:pPr>
              <w:spacing w:line="360" w:lineRule="auto"/>
              <w:ind w:firstLine="420" w:firstLineChars="200"/>
              <w:rPr>
                <w:rFonts w:hint="eastAsia" w:ascii="宋体" w:hAnsi="宋体" w:eastAsia="宋体"/>
                <w:szCs w:val="21"/>
              </w:rPr>
            </w:pPr>
            <w:r>
              <w:rPr>
                <w:rFonts w:hint="eastAsia" w:ascii="宋体" w:hAnsi="宋体" w:eastAsia="宋体"/>
                <w:szCs w:val="21"/>
              </w:rPr>
              <w:t>8、应具有不少于1000条带日期和时间故障报警记录储存的功能，并实时记录空调运行的主要参数，并支持通过外部设备（比如U盘等）直接从控制器下载报警记录和主要参数的运行记录，内容包括但不限定（回风温度，回风湿度等），支持通过USB接口对主板程序升级。</w:t>
            </w:r>
          </w:p>
          <w:p w14:paraId="5F9ED322">
            <w:pPr>
              <w:spacing w:line="360" w:lineRule="auto"/>
              <w:ind w:firstLine="420" w:firstLineChars="200"/>
              <w:rPr>
                <w:rFonts w:hint="eastAsia" w:ascii="宋体" w:hAnsi="宋体" w:eastAsia="宋体"/>
                <w:szCs w:val="21"/>
              </w:rPr>
            </w:pPr>
            <w:r>
              <w:rPr>
                <w:rFonts w:hint="eastAsia" w:ascii="宋体" w:hAnsi="宋体" w:eastAsia="宋体"/>
                <w:szCs w:val="21"/>
              </w:rPr>
              <w:t>9、为适应机组运行的可靠性，机组液管应配置贮液器来平衡和稳定系统内的制冷剂循环量而达到机组的正常稳定运行。</w:t>
            </w:r>
          </w:p>
          <w:p w14:paraId="1B1B9213">
            <w:pPr>
              <w:spacing w:line="360" w:lineRule="auto"/>
              <w:ind w:firstLine="420" w:firstLineChars="200"/>
              <w:rPr>
                <w:rFonts w:hint="eastAsia" w:ascii="宋体" w:hAnsi="宋体" w:eastAsia="宋体"/>
                <w:szCs w:val="21"/>
              </w:rPr>
            </w:pPr>
            <w:r>
              <w:rPr>
                <w:rFonts w:hint="eastAsia" w:ascii="宋体" w:hAnsi="宋体" w:eastAsia="宋体"/>
                <w:szCs w:val="21"/>
              </w:rPr>
              <w:t>10、机房专用空调室外机应具有良好的刚性和防腐性能的耐腐蚀的金属外壳结构，换热器采用铜管翅片式，适应多种环境条件。</w:t>
            </w:r>
          </w:p>
          <w:p w14:paraId="64CD255C">
            <w:pPr>
              <w:spacing w:line="360" w:lineRule="auto"/>
              <w:ind w:firstLine="420" w:firstLineChars="200"/>
              <w:rPr>
                <w:rFonts w:hint="eastAsia" w:ascii="宋体" w:hAnsi="宋体" w:eastAsia="宋体"/>
                <w:szCs w:val="21"/>
              </w:rPr>
            </w:pPr>
            <w:r>
              <w:rPr>
                <w:rFonts w:hint="eastAsia" w:ascii="宋体" w:hAnsi="宋体" w:eastAsia="宋体"/>
                <w:szCs w:val="21"/>
              </w:rPr>
              <w:t>11、风冷冷凝器配置压力传感器，配合调速板实现室外风机无极调速。</w:t>
            </w:r>
          </w:p>
        </w:tc>
      </w:tr>
      <w:tr w14:paraId="0997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5C6DCEC5">
            <w:pPr>
              <w:spacing w:line="360" w:lineRule="auto"/>
              <w:rPr>
                <w:rFonts w:hint="eastAsia" w:ascii="宋体" w:hAnsi="宋体" w:eastAsia="宋体"/>
                <w:sz w:val="24"/>
              </w:rPr>
            </w:pPr>
            <w:r>
              <w:rPr>
                <w:rFonts w:hint="eastAsia" w:ascii="宋体" w:hAnsi="宋体" w:eastAsia="宋体"/>
                <w:sz w:val="24"/>
              </w:rPr>
              <w:t>铜管（气管）</w:t>
            </w:r>
          </w:p>
        </w:tc>
        <w:tc>
          <w:tcPr>
            <w:tcW w:w="7077" w:type="dxa"/>
            <w:vAlign w:val="center"/>
          </w:tcPr>
          <w:p w14:paraId="1DA7FE95">
            <w:pPr>
              <w:spacing w:line="360" w:lineRule="auto"/>
              <w:ind w:firstLine="420" w:firstLineChars="200"/>
              <w:rPr>
                <w:rFonts w:hint="eastAsia" w:ascii="宋体" w:hAnsi="宋体" w:eastAsia="宋体"/>
                <w:szCs w:val="21"/>
              </w:rPr>
            </w:pPr>
            <w:r>
              <w:rPr>
                <w:rFonts w:hint="eastAsia" w:ascii="宋体" w:hAnsi="宋体" w:eastAsia="宋体"/>
                <w:szCs w:val="21"/>
              </w:rPr>
              <w:t>TG121615（12.7*1+15.88*1，各15m，含保温棉，适用于房间级：17.5KW、20KW）</w:t>
            </w:r>
          </w:p>
        </w:tc>
      </w:tr>
    </w:tbl>
    <w:p w14:paraId="6717EEEE">
      <w:pPr>
        <w:pStyle w:val="4"/>
        <w:numPr>
          <w:ilvl w:val="0"/>
          <w:numId w:val="10"/>
        </w:numPr>
        <w:rPr>
          <w:b/>
          <w:bCs/>
          <w:sz w:val="24"/>
          <w:szCs w:val="24"/>
        </w:rPr>
      </w:pPr>
      <w:r>
        <w:rPr>
          <w:rFonts w:hint="eastAsia"/>
          <w:b/>
          <w:bCs/>
          <w:sz w:val="24"/>
          <w:szCs w:val="24"/>
        </w:rPr>
        <w:t>交换设备</w:t>
      </w:r>
    </w:p>
    <w:tbl>
      <w:tblPr>
        <w:tblStyle w:val="37"/>
        <w:tblW w:w="8427"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7077"/>
      </w:tblGrid>
      <w:tr w14:paraId="3BCE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50" w:type="dxa"/>
            <w:vAlign w:val="center"/>
          </w:tcPr>
          <w:p w14:paraId="3BD5C18F">
            <w:pPr>
              <w:widowControl/>
              <w:jc w:val="center"/>
              <w:textAlignment w:val="center"/>
              <w:rPr>
                <w:rFonts w:hint="eastAsia" w:ascii="宋体" w:hAnsi="宋体" w:eastAsia="宋体"/>
                <w:sz w:val="24"/>
              </w:rPr>
            </w:pPr>
            <w:r>
              <w:rPr>
                <w:rFonts w:hint="eastAsia" w:ascii="宋体" w:hAnsi="宋体" w:eastAsia="宋体" w:cs="宋体"/>
                <w:color w:val="000000"/>
                <w:sz w:val="24"/>
                <w:lang w:bidi="ar"/>
              </w:rPr>
              <w:t>核心交换机</w:t>
            </w:r>
          </w:p>
        </w:tc>
        <w:tc>
          <w:tcPr>
            <w:tcW w:w="7077" w:type="dxa"/>
            <w:vAlign w:val="center"/>
          </w:tcPr>
          <w:p w14:paraId="6B0A4116">
            <w:pPr>
              <w:widowControl/>
              <w:jc w:val="left"/>
              <w:textAlignment w:val="center"/>
              <w:rPr>
                <w:rFonts w:hint="eastAsia" w:ascii="宋体" w:hAnsi="宋体" w:eastAsia="宋体"/>
                <w:sz w:val="24"/>
              </w:rPr>
            </w:pPr>
            <w:r>
              <w:rPr>
                <w:rFonts w:hint="eastAsia" w:ascii="宋体" w:hAnsi="宋体" w:eastAsia="宋体" w:cs="宋体"/>
                <w:color w:val="000000"/>
                <w:szCs w:val="21"/>
                <w:lang w:bidi="ar"/>
              </w:rPr>
              <w:t>国产化交换机，关键芯片为国产芯片。</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1、交换容量≥400Tbps，包转发率≥170000Mpps，独立主控引擎槽位≥2个，交换网槽位数≥4，独立业务板槽位≥6个，电源模块槽位数≥4个；</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2、采用CLOS 无中板交换架构，线卡与交换网板完全正交(90度)，转发平面和控制平面完全分离，提供持续的带宽升级能力；</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3、采用严格前后风道设计，风扇框冗余，拔出一块风扇，系统温度保持正常；</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3、Ipv4路由FIB表≥256K，Ipv6路由FIB表≥80K；</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4、支持静态路由、RIP、RIPng、OSPF、OSPFv3、BGP、BGP4+、ISIS、ISISv6；</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5、支持VxLAN功能，支持VxLAN网络的自动化部署；</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6、支持M-LAG技术；</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7、支持一虚多技术；</w:t>
            </w:r>
            <w:r>
              <w:rPr>
                <w:rFonts w:hint="eastAsia" w:ascii="宋体" w:hAnsi="宋体" w:eastAsia="宋体" w:cs="宋体"/>
                <w:color w:val="000000"/>
                <w:szCs w:val="21"/>
                <w:lang w:bidi="ar"/>
              </w:rPr>
              <w:br w:type="textWrapping"/>
            </w:r>
            <w:r>
              <w:rPr>
                <w:rFonts w:hint="eastAsia" w:ascii="宋体" w:hAnsi="宋体" w:eastAsia="宋体" w:cs="宋体"/>
                <w:color w:val="000000"/>
                <w:szCs w:val="21"/>
                <w:lang w:bidi="ar"/>
              </w:rPr>
              <w:t>8、单台配置：主控≥2个，交换网板≥2个，电源≥2个,万兆光端口≥48个，千兆电端口≥48个。</w:t>
            </w:r>
          </w:p>
        </w:tc>
      </w:tr>
    </w:tbl>
    <w:p w14:paraId="6960481A">
      <w:pPr>
        <w:pStyle w:val="4"/>
        <w:rPr>
          <w:b/>
          <w:bCs/>
          <w:sz w:val="24"/>
          <w:szCs w:val="24"/>
        </w:rPr>
      </w:pPr>
      <w:r>
        <w:rPr>
          <w:rFonts w:hint="eastAsia"/>
          <w:b/>
          <w:bCs/>
          <w:sz w:val="24"/>
          <w:szCs w:val="24"/>
        </w:rPr>
        <w:t>（四）驻场服务</w:t>
      </w:r>
    </w:p>
    <w:tbl>
      <w:tblPr>
        <w:tblStyle w:val="37"/>
        <w:tblW w:w="8427"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7062"/>
      </w:tblGrid>
      <w:tr w14:paraId="208E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22EC7915">
            <w:pPr>
              <w:widowControl/>
              <w:rPr>
                <w:rFonts w:hint="eastAsia" w:ascii="宋体" w:hAnsi="宋体" w:eastAsia="宋体" w:cs="宋体"/>
                <w:b/>
                <w:bCs/>
                <w:sz w:val="24"/>
              </w:rPr>
            </w:pPr>
            <w:r>
              <w:rPr>
                <w:rFonts w:hint="eastAsia" w:ascii="宋体" w:hAnsi="宋体" w:eastAsia="宋体" w:cs="宋体"/>
                <w:b/>
                <w:bCs/>
                <w:sz w:val="24"/>
              </w:rPr>
              <w:t>服务内容</w:t>
            </w:r>
          </w:p>
        </w:tc>
        <w:tc>
          <w:tcPr>
            <w:tcW w:w="7062" w:type="dxa"/>
            <w:vAlign w:val="center"/>
          </w:tcPr>
          <w:p w14:paraId="21104D70">
            <w:pPr>
              <w:widowControl/>
              <w:jc w:val="center"/>
              <w:rPr>
                <w:rFonts w:hint="eastAsia" w:ascii="宋体" w:hAnsi="宋体" w:eastAsia="宋体" w:cs="宋体"/>
                <w:b/>
                <w:bCs/>
                <w:sz w:val="24"/>
              </w:rPr>
            </w:pPr>
            <w:r>
              <w:rPr>
                <w:rFonts w:hint="eastAsia" w:ascii="宋体" w:hAnsi="宋体" w:eastAsia="宋体" w:cs="宋体"/>
                <w:b/>
                <w:bCs/>
                <w:sz w:val="24"/>
              </w:rPr>
              <w:t>服务要求</w:t>
            </w:r>
          </w:p>
        </w:tc>
      </w:tr>
      <w:tr w14:paraId="494B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1ADCC8F7">
            <w:pPr>
              <w:widowControl/>
              <w:rPr>
                <w:rFonts w:hint="eastAsia" w:ascii="宋体" w:hAnsi="宋体" w:eastAsia="宋体" w:cs="宋体"/>
                <w:b/>
                <w:bCs/>
                <w:sz w:val="24"/>
              </w:rPr>
            </w:pPr>
            <w:r>
              <w:rPr>
                <w:rFonts w:hint="eastAsia" w:ascii="宋体" w:hAnsi="宋体" w:eastAsia="宋体"/>
                <w:sz w:val="24"/>
              </w:rPr>
              <w:t>日常巡检服务</w:t>
            </w:r>
          </w:p>
        </w:tc>
        <w:tc>
          <w:tcPr>
            <w:tcW w:w="7062" w:type="dxa"/>
            <w:vAlign w:val="center"/>
          </w:tcPr>
          <w:p w14:paraId="2E37B2E4">
            <w:pPr>
              <w:spacing w:line="360" w:lineRule="auto"/>
              <w:ind w:firstLine="420" w:firstLineChars="200"/>
              <w:rPr>
                <w:rFonts w:hint="eastAsia" w:ascii="宋体" w:hAnsi="宋体" w:eastAsia="宋体" w:cs="宋体"/>
                <w:b/>
                <w:bCs/>
                <w:szCs w:val="21"/>
              </w:rPr>
            </w:pPr>
            <w:r>
              <w:rPr>
                <w:rFonts w:hint="eastAsia" w:ascii="宋体" w:hAnsi="宋体" w:eastAsia="宋体"/>
                <w:szCs w:val="21"/>
              </w:rPr>
              <w:t>驻场人员需每周对网络及安全设备、服务器主机、业务系统进行例行健康检查。检查内容包括但不限于设备运行状态、资源利用率、链路连通性及系统日志分析。记录巡检结果，发现异常情况应立即上报并进行初步排查，确保系统运行状态可视、可控。</w:t>
            </w:r>
          </w:p>
        </w:tc>
      </w:tr>
      <w:tr w14:paraId="2586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7D33F235">
            <w:pPr>
              <w:spacing w:line="360" w:lineRule="auto"/>
              <w:rPr>
                <w:rFonts w:hint="eastAsia" w:ascii="宋体" w:hAnsi="宋体" w:eastAsia="宋体" w:cs="宋体"/>
                <w:b/>
                <w:bCs/>
                <w:sz w:val="24"/>
              </w:rPr>
            </w:pPr>
            <w:r>
              <w:rPr>
                <w:rFonts w:hint="eastAsia" w:ascii="宋体" w:hAnsi="宋体" w:eastAsia="宋体"/>
                <w:sz w:val="24"/>
              </w:rPr>
              <w:t>漏洞扫描服务</w:t>
            </w:r>
          </w:p>
        </w:tc>
        <w:tc>
          <w:tcPr>
            <w:tcW w:w="7062" w:type="dxa"/>
            <w:vAlign w:val="center"/>
          </w:tcPr>
          <w:p w14:paraId="38031ED3">
            <w:pPr>
              <w:spacing w:line="360" w:lineRule="auto"/>
              <w:ind w:firstLine="420" w:firstLineChars="200"/>
              <w:rPr>
                <w:rFonts w:hint="eastAsia" w:ascii="宋体" w:hAnsi="宋体" w:eastAsia="宋体" w:cs="宋体"/>
                <w:b/>
                <w:bCs/>
                <w:szCs w:val="21"/>
              </w:rPr>
            </w:pPr>
            <w:r>
              <w:rPr>
                <w:rFonts w:hint="eastAsia" w:ascii="宋体" w:hAnsi="宋体" w:eastAsia="宋体"/>
                <w:szCs w:val="21"/>
              </w:rPr>
              <w:t>定期利用专业漏洞扫描工具对信息系统、主机设备及网络资产进行全面漏洞扫描。扫描频率应满足月度或重大活动前的安全基线要求。扫描完成后，需对结果进行人工分析研判，剔除误报，形成详细的漏洞扫描报告，并指导相关责任部门制定修复方案，完成修复后的复测验证工作。</w:t>
            </w:r>
          </w:p>
        </w:tc>
      </w:tr>
      <w:tr w14:paraId="59B1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03F7AE19">
            <w:pPr>
              <w:widowControl/>
              <w:rPr>
                <w:rFonts w:hint="eastAsia" w:ascii="宋体" w:hAnsi="宋体" w:eastAsia="宋体" w:cs="宋体"/>
                <w:b/>
                <w:bCs/>
                <w:sz w:val="24"/>
              </w:rPr>
            </w:pPr>
            <w:r>
              <w:rPr>
                <w:rFonts w:hint="eastAsia" w:ascii="宋体" w:hAnsi="宋体" w:eastAsia="宋体"/>
                <w:sz w:val="24"/>
              </w:rPr>
              <w:t>弱口令检测服务</w:t>
            </w:r>
          </w:p>
        </w:tc>
        <w:tc>
          <w:tcPr>
            <w:tcW w:w="7062" w:type="dxa"/>
            <w:vAlign w:val="center"/>
          </w:tcPr>
          <w:p w14:paraId="36AF82B6">
            <w:pPr>
              <w:spacing w:line="360" w:lineRule="auto"/>
              <w:ind w:firstLine="420" w:firstLineChars="200"/>
              <w:rPr>
                <w:rFonts w:hint="eastAsia" w:ascii="宋体" w:hAnsi="宋体" w:eastAsia="宋体" w:cs="宋体"/>
                <w:b/>
                <w:bCs/>
                <w:szCs w:val="21"/>
              </w:rPr>
            </w:pPr>
            <w:r>
              <w:rPr>
                <w:rFonts w:hint="eastAsia" w:ascii="宋体" w:hAnsi="宋体" w:eastAsia="宋体"/>
                <w:szCs w:val="21"/>
              </w:rPr>
              <w:t>定期对操作系统、数据库、中间件及业务系统后台账号进行弱口令专项检测。检测范围应覆盖所有关键资产。一旦发现弱口令风险，需立即通报相关责任人，督促其修改为强密码，并进行二次复核，确保整改到位，防止因口令泄露导致的安全隐患。</w:t>
            </w:r>
          </w:p>
        </w:tc>
      </w:tr>
      <w:tr w14:paraId="2239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09B70D20">
            <w:pPr>
              <w:widowControl/>
              <w:rPr>
                <w:rFonts w:hint="eastAsia" w:ascii="宋体" w:hAnsi="宋体" w:eastAsia="宋体" w:cs="宋体"/>
                <w:b/>
                <w:bCs/>
                <w:sz w:val="24"/>
              </w:rPr>
            </w:pPr>
            <w:r>
              <w:rPr>
                <w:rFonts w:hint="eastAsia" w:ascii="宋体" w:hAnsi="宋体" w:eastAsia="宋体"/>
                <w:sz w:val="24"/>
              </w:rPr>
              <w:t>风险处置服务</w:t>
            </w:r>
          </w:p>
        </w:tc>
        <w:tc>
          <w:tcPr>
            <w:tcW w:w="7062" w:type="dxa"/>
            <w:vAlign w:val="center"/>
          </w:tcPr>
          <w:p w14:paraId="2411B2C6">
            <w:pPr>
              <w:spacing w:line="360" w:lineRule="auto"/>
              <w:ind w:firstLine="420" w:firstLineChars="200"/>
              <w:rPr>
                <w:rFonts w:hint="eastAsia" w:ascii="宋体" w:hAnsi="宋体" w:eastAsia="宋体" w:cs="宋体"/>
                <w:b/>
                <w:bCs/>
                <w:szCs w:val="21"/>
              </w:rPr>
            </w:pPr>
            <w:r>
              <w:rPr>
                <w:rFonts w:hint="eastAsia" w:ascii="宋体" w:hAnsi="宋体" w:eastAsia="宋体"/>
                <w:szCs w:val="21"/>
              </w:rPr>
              <w:t>对日常巡检、漏洞扫描、弱口令检测以及上级监管部门通报中发现的安全风险进行全流程闭环管理。驻场人员需提供专业的风险处置建议，协助相关部门完成风险修复工作，跟踪整改进度，直至风险消除。同时需建立风险处置台账，记录风险发现、处置及验证的全过程。</w:t>
            </w:r>
          </w:p>
        </w:tc>
      </w:tr>
      <w:tr w14:paraId="5586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639B663C">
            <w:pPr>
              <w:widowControl/>
              <w:rPr>
                <w:rFonts w:hint="eastAsia" w:ascii="宋体" w:hAnsi="宋体" w:eastAsia="宋体"/>
                <w:sz w:val="24"/>
              </w:rPr>
            </w:pPr>
            <w:r>
              <w:rPr>
                <w:rFonts w:hint="eastAsia" w:ascii="宋体" w:hAnsi="宋体" w:eastAsia="宋体"/>
                <w:sz w:val="24"/>
              </w:rPr>
              <w:t>安全检测服务</w:t>
            </w:r>
          </w:p>
        </w:tc>
        <w:tc>
          <w:tcPr>
            <w:tcW w:w="7062" w:type="dxa"/>
            <w:vAlign w:val="center"/>
          </w:tcPr>
          <w:p w14:paraId="6D794BDF">
            <w:pPr>
              <w:spacing w:line="360" w:lineRule="auto"/>
              <w:ind w:firstLine="420" w:firstLineChars="200"/>
              <w:rPr>
                <w:rFonts w:hint="eastAsia" w:ascii="宋体" w:hAnsi="宋体" w:eastAsia="宋体" w:cs="宋体"/>
                <w:b/>
                <w:bCs/>
                <w:szCs w:val="21"/>
              </w:rPr>
            </w:pPr>
            <w:r>
              <w:rPr>
                <w:rFonts w:hint="eastAsia" w:ascii="宋体" w:hAnsi="宋体" w:eastAsia="宋体"/>
                <w:szCs w:val="21"/>
              </w:rPr>
              <w:t>定期对服务器、终端设备进行病毒木马查杀及恶意代码检测。驻场人员需持续关注国内外最新安全漏洞及威胁情报，及时评估对本单位资产的影响。必要时，需开展专项安全排查，确保系统未受到恶意代码侵害。</w:t>
            </w:r>
          </w:p>
        </w:tc>
      </w:tr>
      <w:tr w14:paraId="6825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5" w:type="dxa"/>
            <w:vAlign w:val="center"/>
          </w:tcPr>
          <w:p w14:paraId="4CF9F97A">
            <w:pPr>
              <w:spacing w:line="360" w:lineRule="auto"/>
              <w:rPr>
                <w:rFonts w:hint="eastAsia" w:ascii="宋体" w:hAnsi="宋体" w:eastAsia="宋体"/>
                <w:sz w:val="24"/>
              </w:rPr>
            </w:pPr>
            <w:r>
              <w:rPr>
                <w:rFonts w:hint="eastAsia" w:ascii="宋体" w:hAnsi="宋体" w:eastAsia="宋体"/>
                <w:sz w:val="24"/>
              </w:rPr>
              <w:t>策略优化服务</w:t>
            </w:r>
          </w:p>
        </w:tc>
        <w:tc>
          <w:tcPr>
            <w:tcW w:w="7062" w:type="dxa"/>
            <w:vAlign w:val="center"/>
          </w:tcPr>
          <w:p w14:paraId="79CD9918">
            <w:pPr>
              <w:widowControl/>
              <w:jc w:val="center"/>
              <w:rPr>
                <w:rFonts w:hint="eastAsia" w:ascii="宋体" w:hAnsi="宋体" w:eastAsia="宋体" w:cs="宋体"/>
                <w:b/>
                <w:bCs/>
                <w:szCs w:val="21"/>
              </w:rPr>
            </w:pPr>
            <w:r>
              <w:rPr>
                <w:rFonts w:hint="eastAsia" w:ascii="宋体" w:hAnsi="宋体" w:eastAsia="宋体"/>
                <w:szCs w:val="21"/>
              </w:rPr>
              <w:t>根据业务需求变化及安全形势发展，对各类安全防护设备的访问控制策略及防护规则进行调整和优化。定期梳理现有安全策略，清理冗余、过期及过于宽松的策略配置，确保策略遵循最小化授权原则。</w:t>
            </w:r>
          </w:p>
        </w:tc>
      </w:tr>
    </w:tbl>
    <w:p w14:paraId="186515B1">
      <w:pPr>
        <w:tabs>
          <w:tab w:val="left" w:pos="477"/>
        </w:tabs>
        <w:spacing w:line="360" w:lineRule="auto"/>
        <w:ind w:firstLine="480" w:firstLineChars="200"/>
        <w:rPr>
          <w:rFonts w:hint="eastAsia" w:ascii="宋体" w:hAnsi="宋体" w:eastAsia="宋体"/>
          <w:sz w:val="24"/>
        </w:rPr>
      </w:pPr>
      <w:r>
        <w:rPr>
          <w:rFonts w:hint="eastAsia" w:ascii="宋体" w:hAnsi="宋体" w:eastAsia="宋体"/>
          <w:sz w:val="24"/>
        </w:rPr>
        <w:t>服务要求：</w:t>
      </w:r>
    </w:p>
    <w:p w14:paraId="0318C88C">
      <w:pPr>
        <w:spacing w:line="360" w:lineRule="auto"/>
        <w:ind w:firstLine="480" w:firstLineChars="200"/>
        <w:rPr>
          <w:rFonts w:hint="eastAsia" w:ascii="宋体" w:hAnsi="宋体" w:eastAsia="宋体"/>
          <w:sz w:val="24"/>
        </w:rPr>
      </w:pPr>
      <w:r>
        <w:rPr>
          <w:rFonts w:hint="eastAsia" w:ascii="宋体" w:hAnsi="宋体" w:eastAsia="宋体"/>
          <w:sz w:val="24"/>
        </w:rPr>
        <w:t>1.数量要求：供应商须指派1名专职工程师提供驻场服务，不得兼职或频繁更换。</w:t>
      </w:r>
    </w:p>
    <w:p w14:paraId="18D7CCDF">
      <w:pPr>
        <w:spacing w:line="360" w:lineRule="auto"/>
        <w:ind w:firstLine="480" w:firstLineChars="200"/>
        <w:rPr>
          <w:rFonts w:hint="eastAsia" w:ascii="宋体" w:hAnsi="宋体" w:eastAsia="宋体"/>
          <w:sz w:val="24"/>
        </w:rPr>
      </w:pPr>
      <w:r>
        <w:rPr>
          <w:rFonts w:hint="eastAsia" w:ascii="宋体" w:hAnsi="宋体" w:eastAsia="宋体"/>
          <w:sz w:val="24"/>
        </w:rPr>
        <w:t>2.专业技能：驻场人员应具备计算机或网络安全相关专业背景，熟悉主流操作系统及安全防护设备的配置与维护逻辑，具备独立开展业务及常见安全问题处置的能力。</w:t>
      </w:r>
    </w:p>
    <w:p w14:paraId="5C2D2DBA">
      <w:pPr>
        <w:spacing w:line="360" w:lineRule="auto"/>
        <w:ind w:firstLine="480" w:firstLineChars="200"/>
        <w:rPr>
          <w:rFonts w:hint="eastAsia" w:ascii="宋体" w:hAnsi="宋体" w:eastAsia="宋体"/>
          <w:sz w:val="24"/>
        </w:rPr>
      </w:pPr>
      <w:r>
        <w:rPr>
          <w:rFonts w:hint="eastAsia" w:ascii="宋体" w:hAnsi="宋体" w:eastAsia="宋体"/>
          <w:sz w:val="24"/>
        </w:rPr>
        <w:t>3.稳定性要求：驻场服务期间，未经采购单位书面同意，供应商不得随意更换人员。如确需更换，须提前三十个工作日提交申请，新派人员资质不得低于原人员，并经采购单位面试合格后方可上岗。</w:t>
      </w:r>
    </w:p>
    <w:p w14:paraId="3FC63649">
      <w:pPr>
        <w:spacing w:line="360" w:lineRule="auto"/>
        <w:ind w:firstLine="480" w:firstLineChars="200"/>
        <w:rPr>
          <w:rFonts w:hint="eastAsia" w:ascii="宋体" w:hAnsi="宋体" w:eastAsia="宋体"/>
          <w:sz w:val="24"/>
        </w:rPr>
      </w:pPr>
      <w:r>
        <w:rPr>
          <w:rFonts w:hint="eastAsia" w:ascii="宋体" w:hAnsi="宋体" w:eastAsia="宋体"/>
          <w:sz w:val="24"/>
        </w:rPr>
        <w:t>4.职业素养：驻场人员需具备良好的沟通协调能力、文档编写能力及服务意识，工作期间需遵守采购单位各项规章制度。</w:t>
      </w:r>
    </w:p>
    <w:p w14:paraId="10207E5C">
      <w:pPr>
        <w:spacing w:line="360" w:lineRule="auto"/>
        <w:ind w:firstLine="480" w:firstLineChars="200"/>
        <w:rPr>
          <w:rFonts w:hint="eastAsia" w:ascii="宋体" w:hAnsi="宋体" w:eastAsia="宋体"/>
          <w:sz w:val="24"/>
        </w:rPr>
      </w:pPr>
      <w:r>
        <w:rPr>
          <w:rFonts w:hint="eastAsia" w:ascii="宋体" w:hAnsi="宋体" w:eastAsia="宋体"/>
          <w:sz w:val="24"/>
        </w:rPr>
        <w:t>5.日常巡检记录表：每周提交，记录设备运行状态及异常情况。</w:t>
      </w:r>
    </w:p>
    <w:p w14:paraId="1A7CE627">
      <w:pPr>
        <w:spacing w:line="360" w:lineRule="auto"/>
        <w:ind w:firstLine="480" w:firstLineChars="200"/>
        <w:rPr>
          <w:rFonts w:hint="eastAsia" w:ascii="宋体" w:hAnsi="宋体" w:eastAsia="宋体"/>
          <w:sz w:val="24"/>
        </w:rPr>
      </w:pPr>
      <w:r>
        <w:rPr>
          <w:rFonts w:hint="eastAsia" w:ascii="宋体" w:hAnsi="宋体" w:eastAsia="宋体"/>
          <w:sz w:val="24"/>
        </w:rPr>
        <w:t>6.漏洞扫描报告及弱口令检测报告：按月或按项目节点提交，包含风险详情及修复建议。</w:t>
      </w:r>
    </w:p>
    <w:p w14:paraId="4B29081F">
      <w:pPr>
        <w:spacing w:line="360" w:lineRule="auto"/>
        <w:ind w:firstLine="480" w:firstLineChars="200"/>
        <w:rPr>
          <w:rFonts w:hint="eastAsia" w:ascii="宋体" w:hAnsi="宋体" w:eastAsia="宋体"/>
          <w:sz w:val="24"/>
        </w:rPr>
      </w:pPr>
      <w:r>
        <w:rPr>
          <w:rFonts w:hint="eastAsia" w:ascii="宋体" w:hAnsi="宋体" w:eastAsia="宋体"/>
          <w:sz w:val="24"/>
        </w:rPr>
        <w:t>7.安全风险处置台账：实时更新，记录风险发现至闭环的全过程。</w:t>
      </w:r>
    </w:p>
    <w:p w14:paraId="66110ED9">
      <w:pPr>
        <w:spacing w:line="360" w:lineRule="auto"/>
        <w:ind w:firstLine="480" w:firstLineChars="200"/>
        <w:rPr>
          <w:rFonts w:hint="eastAsia" w:ascii="宋体" w:hAnsi="宋体" w:eastAsia="宋体"/>
          <w:sz w:val="24"/>
        </w:rPr>
      </w:pPr>
      <w:r>
        <w:rPr>
          <w:rFonts w:hint="eastAsia" w:ascii="宋体" w:hAnsi="宋体" w:eastAsia="宋体"/>
          <w:sz w:val="24"/>
        </w:rPr>
        <w:t>8.策略优化变更记录：每次策略调整均需记录，包含变更原因、内容及时间。</w:t>
      </w:r>
    </w:p>
    <w:p w14:paraId="68F76531">
      <w:pPr>
        <w:spacing w:line="360" w:lineRule="auto"/>
        <w:ind w:firstLine="480" w:firstLineChars="200"/>
        <w:rPr>
          <w:rFonts w:hint="eastAsia" w:ascii="宋体" w:hAnsi="宋体" w:eastAsia="宋体"/>
          <w:sz w:val="24"/>
        </w:rPr>
      </w:pPr>
      <w:r>
        <w:rPr>
          <w:rFonts w:hint="eastAsia" w:ascii="宋体" w:hAnsi="宋体" w:eastAsia="宋体"/>
          <w:sz w:val="24"/>
        </w:rPr>
        <w:t>9.月度及年度网络安全运维服务报告：总结阶段性安全态势、工作内容及服务成效。</w:t>
      </w:r>
    </w:p>
    <w:p w14:paraId="35315F93">
      <w:pPr>
        <w:spacing w:line="360" w:lineRule="auto"/>
        <w:ind w:firstLine="480" w:firstLineChars="200"/>
        <w:rPr>
          <w:rFonts w:hint="eastAsia" w:ascii="宋体" w:hAnsi="宋体" w:eastAsia="宋体"/>
          <w:sz w:val="24"/>
        </w:rPr>
      </w:pPr>
      <w:r>
        <w:rPr>
          <w:rFonts w:hint="eastAsia" w:ascii="宋体" w:hAnsi="宋体" w:eastAsia="宋体"/>
          <w:sz w:val="24"/>
        </w:rPr>
        <w:t>10.保密义务：驻场人员需签署保密协议，对服务过程中接触到的采购单位网络拓扑、配置信息、业务数据及账号密码等敏感信息严格保密，不得泄露给第三方。</w:t>
      </w:r>
    </w:p>
    <w:p w14:paraId="3B0D6504">
      <w:pPr>
        <w:spacing w:line="360" w:lineRule="auto"/>
        <w:ind w:firstLine="480" w:firstLineChars="200"/>
        <w:rPr>
          <w:rFonts w:hint="eastAsia" w:ascii="宋体" w:hAnsi="宋体" w:eastAsia="宋体"/>
          <w:sz w:val="24"/>
        </w:rPr>
      </w:pPr>
      <w:r>
        <w:rPr>
          <w:rFonts w:hint="eastAsia" w:ascii="宋体" w:hAnsi="宋体" w:eastAsia="宋体"/>
          <w:sz w:val="24"/>
        </w:rPr>
        <w:t>11.行为规范：驻场人员在进行高风险操作（如策略变更、漏洞修复）前，须获得采购单位授权批准，严禁未经授权擅自操作生产环境。</w:t>
      </w:r>
    </w:p>
    <w:p w14:paraId="694BD414">
      <w:pPr>
        <w:spacing w:line="360" w:lineRule="auto"/>
        <w:ind w:firstLine="480" w:firstLineChars="200"/>
        <w:rPr>
          <w:rFonts w:hint="eastAsia" w:ascii="宋体" w:hAnsi="宋体" w:eastAsia="宋体"/>
          <w:sz w:val="24"/>
        </w:rPr>
      </w:pPr>
      <w:r>
        <w:rPr>
          <w:rFonts w:hint="eastAsia" w:ascii="宋体" w:hAnsi="宋体" w:eastAsia="宋体"/>
          <w:sz w:val="24"/>
        </w:rPr>
        <w:t>12.服务管理：供应商需建立后台专家支持机制，当驻场人员遇到疑难问题时，供应商应提供远程技术支援，确保问题得到及时解决。</w:t>
      </w:r>
    </w:p>
    <w:p w14:paraId="41B1312A">
      <w:pPr>
        <w:pBdr>
          <w:top w:val="none" w:color="000000" w:sz="0" w:space="0"/>
          <w:left w:val="none" w:color="000000" w:sz="0" w:space="0"/>
          <w:bottom w:val="none" w:color="000000" w:sz="0" w:space="0"/>
          <w:right w:val="none" w:color="000000" w:sz="0" w:space="0"/>
        </w:pBdr>
        <w:spacing w:line="519" w:lineRule="atLeast"/>
        <w:ind w:firstLine="482"/>
        <w:rPr>
          <w:rFonts w:ascii="宋体" w:hAnsi="宋体" w:cs="宋体"/>
          <w:sz w:val="24"/>
        </w:rPr>
      </w:pPr>
    </w:p>
    <w:p w14:paraId="31E7E19B">
      <w:pPr>
        <w:pStyle w:val="32"/>
        <w:spacing w:beforeAutospacing="0" w:afterAutospacing="0" w:line="360" w:lineRule="auto"/>
        <w:ind w:firstLine="787"/>
        <w:jc w:val="both"/>
        <w:rPr>
          <w:rFonts w:hint="eastAsia" w:ascii="宋体" w:hAnsi="宋体" w:eastAsia="宋体" w:cs="宋体"/>
          <w:color w:val="000000"/>
        </w:rPr>
      </w:pPr>
      <w:r>
        <w:rPr>
          <w:rFonts w:hint="eastAsia" w:ascii="宋体" w:hAnsi="宋体" w:eastAsia="宋体" w:cs="宋体"/>
          <w:color w:val="000000"/>
        </w:rPr>
        <w:t>采购标的对应的中小企业划分标准所属行业一览表</w:t>
      </w:r>
    </w:p>
    <w:tbl>
      <w:tblPr>
        <w:tblStyle w:val="36"/>
        <w:tblW w:w="8354" w:type="dxa"/>
        <w:jc w:val="center"/>
        <w:tblCellSpacing w:w="0" w:type="dxa"/>
        <w:tblLayout w:type="fixed"/>
        <w:tblCellMar>
          <w:top w:w="0" w:type="dxa"/>
          <w:left w:w="108" w:type="dxa"/>
          <w:bottom w:w="0" w:type="dxa"/>
          <w:right w:w="108" w:type="dxa"/>
        </w:tblCellMar>
      </w:tblPr>
      <w:tblGrid>
        <w:gridCol w:w="1071"/>
        <w:gridCol w:w="3291"/>
        <w:gridCol w:w="3992"/>
      </w:tblGrid>
      <w:tr w14:paraId="722FFB24">
        <w:tblPrEx>
          <w:tblCellMar>
            <w:top w:w="0" w:type="dxa"/>
            <w:left w:w="108" w:type="dxa"/>
            <w:bottom w:w="0" w:type="dxa"/>
            <w:right w:w="108" w:type="dxa"/>
          </w:tblCellMar>
        </w:tblPrEx>
        <w:trPr>
          <w:tblCellSpacing w:w="0" w:type="dxa"/>
          <w:jc w:val="center"/>
        </w:trPr>
        <w:tc>
          <w:tcPr>
            <w:tcW w:w="1071" w:type="dxa"/>
            <w:tcBorders>
              <w:top w:val="single" w:color="000000" w:sz="4" w:space="0"/>
              <w:left w:val="single" w:color="000000" w:sz="4" w:space="0"/>
              <w:bottom w:val="single" w:color="000000" w:sz="4" w:space="0"/>
              <w:right w:val="single" w:color="000000" w:sz="4" w:space="0"/>
            </w:tcBorders>
            <w:vAlign w:val="center"/>
          </w:tcPr>
          <w:p w14:paraId="1AE90EAD">
            <w:pPr>
              <w:pStyle w:val="3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7D65096C">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采购标的</w:t>
            </w:r>
          </w:p>
        </w:tc>
        <w:tc>
          <w:tcPr>
            <w:tcW w:w="3992" w:type="dxa"/>
            <w:tcBorders>
              <w:top w:val="single" w:color="000000" w:sz="4" w:space="0"/>
              <w:left w:val="single" w:color="000000" w:sz="4" w:space="0"/>
              <w:bottom w:val="single" w:color="000000" w:sz="4" w:space="0"/>
              <w:right w:val="single" w:color="000000" w:sz="4" w:space="0"/>
            </w:tcBorders>
            <w:vAlign w:val="center"/>
          </w:tcPr>
          <w:p w14:paraId="7C3B9DB6">
            <w:pPr>
              <w:pStyle w:val="3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对应中小企业划分标准所属行业</w:t>
            </w:r>
          </w:p>
        </w:tc>
      </w:tr>
      <w:tr w14:paraId="5C0931F4">
        <w:tblPrEx>
          <w:tblCellMar>
            <w:top w:w="0" w:type="dxa"/>
            <w:left w:w="108" w:type="dxa"/>
            <w:bottom w:w="0" w:type="dxa"/>
            <w:right w:w="108" w:type="dxa"/>
          </w:tblCellMar>
        </w:tblPrEx>
        <w:trPr>
          <w:trHeight w:val="1763" w:hRule="atLeast"/>
          <w:tblCellSpacing w:w="0" w:type="dxa"/>
          <w:jc w:val="center"/>
        </w:trPr>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742F">
            <w:pPr>
              <w:pStyle w:val="32"/>
              <w:spacing w:beforeAutospacing="0" w:afterAutospacing="0"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30C5">
            <w:pPr>
              <w:pStyle w:val="32"/>
              <w:spacing w:beforeAutospacing="0" w:afterAutospacing="0"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rPr>
              <w:t>滨海县行政办公中心机房及网络安全建设项目</w:t>
            </w:r>
          </w:p>
        </w:tc>
        <w:tc>
          <w:tcPr>
            <w:tcW w:w="399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BCA0A">
            <w:pPr>
              <w:pStyle w:val="32"/>
              <w:spacing w:beforeAutospacing="0" w:afterAutospacing="0" w:line="360" w:lineRule="auto"/>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软件和信息技术服</w:t>
            </w:r>
          </w:p>
        </w:tc>
      </w:tr>
    </w:tbl>
    <w:p w14:paraId="1243889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 </w:t>
      </w:r>
    </w:p>
    <w:p w14:paraId="3987AC47">
      <w:pPr>
        <w:rPr>
          <w:rFonts w:hint="eastAsia" w:ascii="黑体" w:hAnsi="宋体" w:eastAsia="黑体" w:cs="黑体"/>
          <w:color w:val="000000"/>
          <w:sz w:val="48"/>
          <w:szCs w:val="48"/>
        </w:rPr>
      </w:pPr>
      <w:bookmarkStart w:id="180" w:name="_Toc120614281"/>
      <w:r>
        <w:rPr>
          <w:rFonts w:hint="eastAsia" w:ascii="黑体" w:hAnsi="宋体" w:eastAsia="黑体" w:cs="黑体"/>
          <w:color w:val="000000"/>
          <w:sz w:val="48"/>
          <w:szCs w:val="48"/>
        </w:rPr>
        <w:br w:type="page"/>
      </w:r>
    </w:p>
    <w:p w14:paraId="1BB0A468">
      <w:pPr>
        <w:pStyle w:val="32"/>
        <w:spacing w:beforeAutospacing="0" w:afterAutospacing="0" w:line="360" w:lineRule="auto"/>
        <w:jc w:val="center"/>
        <w:rPr>
          <w:sz w:val="48"/>
          <w:szCs w:val="48"/>
        </w:rPr>
      </w:pPr>
      <w:r>
        <w:rPr>
          <w:rFonts w:hint="eastAsia" w:ascii="黑体" w:hAnsi="宋体" w:eastAsia="黑体" w:cs="黑体"/>
          <w:color w:val="000000"/>
          <w:sz w:val="48"/>
          <w:szCs w:val="48"/>
        </w:rPr>
        <w:t>第五章 </w:t>
      </w:r>
      <w:r>
        <w:rPr>
          <w:rFonts w:hint="eastAsia" w:ascii="黑体" w:hAnsi="宋体" w:eastAsia="黑体" w:cs="黑体"/>
          <w:b/>
          <w:color w:val="000000"/>
          <w:sz w:val="48"/>
          <w:szCs w:val="48"/>
        </w:rPr>
        <w:t>评标方法与评标标准</w:t>
      </w:r>
    </w:p>
    <w:p w14:paraId="3AE9C5AC">
      <w:pPr>
        <w:pStyle w:val="32"/>
        <w:spacing w:beforeAutospacing="0" w:afterAutospacing="0" w:line="360" w:lineRule="auto"/>
        <w:jc w:val="both"/>
      </w:pPr>
      <w:r>
        <w:t> </w:t>
      </w:r>
    </w:p>
    <w:p w14:paraId="218E3ABE">
      <w:pPr>
        <w:spacing w:line="360" w:lineRule="auto"/>
        <w:ind w:firstLine="482"/>
        <w:rPr>
          <w:rFonts w:hint="eastAsia" w:ascii="宋体" w:hAnsi="宋体" w:eastAsia="宋体" w:cs="宋体"/>
          <w:b/>
          <w:bCs/>
          <w:color w:val="000000"/>
          <w:sz w:val="24"/>
        </w:rPr>
      </w:pPr>
      <w:r>
        <w:rPr>
          <w:rFonts w:hint="eastAsia" w:ascii="宋体" w:hAnsi="宋体" w:eastAsia="宋体" w:cs="宋体"/>
          <w:b/>
          <w:bCs/>
          <w:color w:val="000000"/>
          <w:sz w:val="24"/>
        </w:rPr>
        <w:t>一、定标原则</w:t>
      </w:r>
    </w:p>
    <w:p w14:paraId="0293A086">
      <w:pPr>
        <w:spacing w:line="360" w:lineRule="auto"/>
        <w:ind w:firstLine="480"/>
        <w:rPr>
          <w:rFonts w:hint="eastAsia" w:ascii="宋体" w:hAnsi="宋体" w:eastAsia="宋体" w:cs="宋体"/>
          <w:color w:val="00000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综合评分</w:t>
      </w:r>
      <w:r>
        <w:rPr>
          <w:rFonts w:hint="eastAsia" w:ascii="宋体" w:hAnsi="宋体" w:eastAsia="宋体" w:cs="宋体"/>
          <w:bCs/>
          <w:color w:val="000000"/>
          <w:sz w:val="24"/>
        </w:rPr>
        <w:t>法，</w:t>
      </w:r>
      <w:r>
        <w:rPr>
          <w:rFonts w:hint="eastAsia" w:ascii="宋体" w:hAnsi="宋体" w:eastAsia="宋体" w:cs="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AF524DA">
      <w:pPr>
        <w:pStyle w:val="32"/>
        <w:spacing w:before="120" w:beforeAutospacing="0" w:after="120" w:afterAutospacing="0" w:line="360" w:lineRule="auto"/>
        <w:ind w:firstLine="441"/>
        <w:rPr>
          <w:rFonts w:hint="eastAsia" w:ascii="宋体" w:hAnsi="宋体" w:eastAsia="宋体" w:cs="宋体"/>
        </w:rPr>
      </w:pPr>
      <w:r>
        <w:rPr>
          <w:rFonts w:hint="eastAsia" w:ascii="宋体" w:hAnsi="宋体" w:eastAsia="宋体" w:cs="宋体"/>
          <w:b/>
          <w:color w:val="000000"/>
        </w:rPr>
        <w:t>政府采购政策功能落实</w:t>
      </w:r>
    </w:p>
    <w:p w14:paraId="59E95687">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1、小微型企业价格扣除</w:t>
      </w:r>
    </w:p>
    <w:p w14:paraId="0F59EBDB">
      <w:pPr>
        <w:pStyle w:val="200"/>
        <w:ind w:firstLine="360" w:firstLineChars="150"/>
        <w:rPr>
          <w:rFonts w:hint="eastAsia" w:ascii="宋体" w:hAnsi="宋体" w:eastAsia="宋体" w:cs="宋体"/>
        </w:rPr>
      </w:pPr>
      <w:r>
        <w:rPr>
          <w:rFonts w:hint="eastAsia" w:ascii="宋体" w:hAnsi="宋体" w:eastAsia="宋体" w:cs="宋体"/>
        </w:rPr>
        <w:t>（1）本项目若不专门面向中小企业采购，对符合规定的小型和微型企业报价给予20%的扣除价格，用扣除后的价格参与评审；若专门面向中小企业采购，不再对小型和微型企业报价给予价格扣除。</w:t>
      </w:r>
    </w:p>
    <w:p w14:paraId="27FBD47A">
      <w:pPr>
        <w:pStyle w:val="32"/>
        <w:spacing w:before="120" w:beforeAutospacing="0" w:after="120" w:afterAutospacing="0" w:line="0" w:lineRule="atLeast"/>
        <w:ind w:firstLine="360"/>
        <w:rPr>
          <w:rFonts w:hint="eastAsia" w:ascii="宋体" w:hAnsi="宋体" w:eastAsia="宋体" w:cs="宋体"/>
        </w:rPr>
      </w:pPr>
      <w:r>
        <w:rPr>
          <w:rFonts w:hint="eastAsia" w:ascii="宋体" w:hAnsi="宋体" w:eastAsia="宋体" w:cs="宋体"/>
          <w:color w:val="000000"/>
        </w:rPr>
        <w:t>（2）供应商需按照采购文件的要求提供相应的《</w:t>
      </w:r>
      <w:r>
        <w:rPr>
          <w:rFonts w:hint="eastAsia" w:ascii="宋体" w:hAnsi="宋体" w:eastAsia="宋体" w:cs="宋体"/>
        </w:rPr>
        <w:t>中小企业声明函</w:t>
      </w:r>
      <w:r>
        <w:rPr>
          <w:rFonts w:hint="eastAsia" w:ascii="宋体" w:hAnsi="宋体" w:eastAsia="宋体" w:cs="宋体"/>
          <w:color w:val="000000"/>
        </w:rPr>
        <w:t>》。</w:t>
      </w:r>
    </w:p>
    <w:p w14:paraId="39007902">
      <w:pPr>
        <w:pStyle w:val="32"/>
        <w:spacing w:before="120" w:beforeAutospacing="0" w:after="120" w:afterAutospacing="0" w:line="0" w:lineRule="atLeast"/>
        <w:ind w:firstLine="360"/>
        <w:rPr>
          <w:rFonts w:hint="eastAsia"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4AA2B8E0">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2、残疾人福利单位价格扣除</w:t>
      </w:r>
    </w:p>
    <w:p w14:paraId="350E8B63">
      <w:pPr>
        <w:pStyle w:val="32"/>
        <w:spacing w:before="120" w:beforeAutospacing="0" w:after="120" w:afterAutospacing="0" w:line="0" w:lineRule="atLeast"/>
        <w:ind w:left="120" w:firstLine="360"/>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20%的价格扣除。</w:t>
      </w:r>
    </w:p>
    <w:p w14:paraId="01B0B6EE">
      <w:pPr>
        <w:pStyle w:val="32"/>
        <w:spacing w:before="120" w:beforeAutospacing="0" w:after="120" w:afterAutospacing="0" w:line="0" w:lineRule="atLeast"/>
        <w:ind w:left="120" w:firstLine="360"/>
        <w:rPr>
          <w:rFonts w:hint="eastAsia"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1A81E1F0">
      <w:pPr>
        <w:pStyle w:val="32"/>
        <w:spacing w:before="120" w:beforeAutospacing="0" w:after="120" w:afterAutospacing="0" w:line="0" w:lineRule="atLeast"/>
        <w:ind w:left="120" w:firstLine="360"/>
        <w:rPr>
          <w:rFonts w:hint="eastAsia"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79AF0A37">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3、监狱和戒毒企业价格扣除</w:t>
      </w:r>
    </w:p>
    <w:p w14:paraId="5A2A84FF">
      <w:pPr>
        <w:pStyle w:val="32"/>
        <w:spacing w:before="120" w:beforeAutospacing="0" w:after="120" w:afterAutospacing="0" w:line="0" w:lineRule="atLeast"/>
        <w:ind w:left="120" w:firstLine="360"/>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20%的价格扣除。</w:t>
      </w:r>
    </w:p>
    <w:p w14:paraId="1E9E244B">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27DCD303">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2B631B79">
      <w:pPr>
        <w:pStyle w:val="32"/>
        <w:spacing w:before="120" w:beforeAutospacing="0" w:after="120" w:afterAutospacing="0" w:line="0" w:lineRule="atLeast"/>
        <w:ind w:firstLine="480"/>
        <w:rPr>
          <w:rFonts w:hint="eastAsia" w:ascii="宋体" w:hAnsi="宋体" w:eastAsia="宋体" w:cs="宋体"/>
        </w:rPr>
      </w:pPr>
      <w:r>
        <w:rPr>
          <w:rFonts w:hint="eastAsia" w:ascii="宋体" w:hAnsi="宋体" w:eastAsia="宋体" w:cs="宋体"/>
          <w:color w:val="000000"/>
        </w:rPr>
        <w:t>4、残疾人福利单位、监狱企业属于小型、微型企业的，不重复享受政策。</w:t>
      </w:r>
    </w:p>
    <w:p w14:paraId="3B264501">
      <w:pPr>
        <w:pStyle w:val="32"/>
        <w:spacing w:before="120" w:beforeAutospacing="0" w:after="120" w:afterAutospacing="0" w:line="0" w:lineRule="atLeast"/>
        <w:ind w:firstLine="480"/>
        <w:rPr>
          <w:rFonts w:hint="eastAsia" w:ascii="宋体" w:hAnsi="宋体" w:eastAsia="宋体" w:cs="宋体"/>
          <w:color w:val="000000"/>
        </w:rPr>
      </w:pPr>
      <w:r>
        <w:rPr>
          <w:rFonts w:hint="eastAsia" w:ascii="宋体" w:hAnsi="宋体" w:eastAsia="宋体" w:cs="宋体"/>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1C3573CB">
      <w:pPr>
        <w:pStyle w:val="32"/>
        <w:spacing w:before="120" w:beforeAutospacing="0" w:after="120" w:afterAutospacing="0" w:line="360" w:lineRule="auto"/>
        <w:ind w:left="120" w:firstLine="360"/>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20%的价格扣除。</w:t>
      </w:r>
    </w:p>
    <w:p w14:paraId="7974BBC8">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7、采购本国产品的支持政策</w:t>
      </w:r>
    </w:p>
    <w:p w14:paraId="073C64DD">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7.1本项目政府采购活动中既有本国产品又有非本国产品参与竞争的，依法对本国产品给予价格评审优惠，对本国产品的报价给予20%的价格扣除，用扣除后的价格参与评审。</w:t>
      </w:r>
    </w:p>
    <w:p w14:paraId="77F6C88B">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9AA646F">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7.3供应商需按照招标文件的要求提供《关于符合本国产品标准的声明函》（以下简称《声明函》），如不提供将不享受本国产品价格评审优惠。</w:t>
      </w:r>
    </w:p>
    <w:p w14:paraId="6C5EC181">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C82AF7F">
      <w:pPr>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0A072B7">
      <w:pPr>
        <w:spacing w:line="360" w:lineRule="auto"/>
        <w:ind w:firstLine="480"/>
        <w:rPr>
          <w:rFonts w:hint="eastAsia" w:ascii="宋体" w:hAnsi="宋体" w:eastAsia="宋体" w:cs="宋体"/>
          <w:sz w:val="24"/>
        </w:rPr>
      </w:pPr>
      <w:r>
        <w:rPr>
          <w:rFonts w:hint="eastAsia" w:ascii="宋体" w:hAnsi="宋体" w:eastAsia="宋体" w:cs="宋体"/>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64EEF4B2">
      <w:pPr>
        <w:pStyle w:val="32"/>
        <w:spacing w:before="120" w:beforeAutospacing="0" w:after="120" w:afterAutospacing="0" w:line="360" w:lineRule="auto"/>
        <w:ind w:firstLine="482"/>
        <w:rPr>
          <w:rFonts w:hint="eastAsia" w:ascii="宋体" w:hAnsi="宋体" w:eastAsia="宋体" w:cs="宋体"/>
          <w:b/>
          <w:color w:val="000000"/>
        </w:rPr>
      </w:pPr>
      <w:r>
        <w:rPr>
          <w:rFonts w:hint="eastAsia" w:ascii="宋体" w:hAnsi="宋体" w:eastAsia="宋体" w:cs="宋体"/>
          <w:b/>
          <w:color w:val="000000"/>
        </w:rPr>
        <w:t>二、评标方法与评标标准</w:t>
      </w:r>
    </w:p>
    <w:tbl>
      <w:tblPr>
        <w:tblStyle w:val="36"/>
        <w:tblW w:w="9545" w:type="dxa"/>
        <w:jc w:val="center"/>
        <w:tblLayout w:type="fixed"/>
        <w:tblCellMar>
          <w:top w:w="0" w:type="dxa"/>
          <w:left w:w="108" w:type="dxa"/>
          <w:bottom w:w="0" w:type="dxa"/>
          <w:right w:w="108" w:type="dxa"/>
        </w:tblCellMar>
      </w:tblPr>
      <w:tblGrid>
        <w:gridCol w:w="891"/>
        <w:gridCol w:w="1193"/>
        <w:gridCol w:w="1331"/>
        <w:gridCol w:w="6130"/>
      </w:tblGrid>
      <w:tr w14:paraId="75FBF052">
        <w:tblPrEx>
          <w:tblCellMar>
            <w:top w:w="0" w:type="dxa"/>
            <w:left w:w="108" w:type="dxa"/>
            <w:bottom w:w="0" w:type="dxa"/>
            <w:right w:w="108" w:type="dxa"/>
          </w:tblCellMar>
        </w:tblPrEx>
        <w:trPr>
          <w:trHeight w:val="456"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4EE734FD">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序号</w:t>
            </w:r>
          </w:p>
        </w:tc>
        <w:tc>
          <w:tcPr>
            <w:tcW w:w="1193" w:type="dxa"/>
            <w:tcBorders>
              <w:top w:val="single" w:color="000000" w:sz="4" w:space="0"/>
              <w:left w:val="single" w:color="000000" w:sz="4" w:space="0"/>
              <w:bottom w:val="single" w:color="000000" w:sz="4" w:space="0"/>
              <w:right w:val="single" w:color="000000" w:sz="4" w:space="0"/>
            </w:tcBorders>
            <w:vAlign w:val="center"/>
          </w:tcPr>
          <w:p w14:paraId="25AB9903">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条款</w:t>
            </w:r>
          </w:p>
        </w:tc>
        <w:tc>
          <w:tcPr>
            <w:tcW w:w="1331" w:type="dxa"/>
            <w:tcBorders>
              <w:top w:val="single" w:color="000000" w:sz="4" w:space="0"/>
              <w:left w:val="single" w:color="000000" w:sz="4" w:space="0"/>
              <w:bottom w:val="single" w:color="000000" w:sz="4" w:space="0"/>
              <w:right w:val="single" w:color="000000" w:sz="4" w:space="0"/>
            </w:tcBorders>
            <w:vAlign w:val="center"/>
          </w:tcPr>
          <w:p w14:paraId="2C058E2D">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评审因素</w:t>
            </w:r>
          </w:p>
        </w:tc>
        <w:tc>
          <w:tcPr>
            <w:tcW w:w="6130" w:type="dxa"/>
            <w:tcBorders>
              <w:top w:val="single" w:color="000000" w:sz="4" w:space="0"/>
              <w:left w:val="single" w:color="000000" w:sz="4" w:space="0"/>
              <w:bottom w:val="single" w:color="000000" w:sz="4" w:space="0"/>
              <w:right w:val="single" w:color="000000" w:sz="4" w:space="0"/>
            </w:tcBorders>
            <w:vAlign w:val="center"/>
          </w:tcPr>
          <w:p w14:paraId="371AFE4E">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评审标准</w:t>
            </w:r>
          </w:p>
        </w:tc>
      </w:tr>
      <w:tr w14:paraId="02229187">
        <w:tblPrEx>
          <w:tblCellMar>
            <w:top w:w="0" w:type="dxa"/>
            <w:left w:w="108" w:type="dxa"/>
            <w:bottom w:w="0" w:type="dxa"/>
            <w:right w:w="108" w:type="dxa"/>
          </w:tblCellMar>
        </w:tblPrEx>
        <w:trPr>
          <w:trHeight w:val="396"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3A138D23">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bidi="ar"/>
              </w:rPr>
              <w:t>1</w:t>
            </w:r>
          </w:p>
        </w:tc>
        <w:tc>
          <w:tcPr>
            <w:tcW w:w="1193" w:type="dxa"/>
            <w:tcBorders>
              <w:top w:val="single" w:color="000000" w:sz="4" w:space="0"/>
              <w:left w:val="single" w:color="000000" w:sz="4" w:space="0"/>
              <w:bottom w:val="single" w:color="000000" w:sz="4" w:space="0"/>
              <w:right w:val="single" w:color="000000" w:sz="4" w:space="0"/>
            </w:tcBorders>
            <w:vAlign w:val="center"/>
          </w:tcPr>
          <w:p w14:paraId="4BC2FF03">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投标报价</w:t>
            </w:r>
          </w:p>
          <w:p w14:paraId="525EDEE2">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4D2AF109">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bidi="ar"/>
              </w:rPr>
              <w:t>总报价（</w:t>
            </w:r>
            <w:r>
              <w:rPr>
                <w:rFonts w:hint="eastAsia" w:ascii="宋体" w:hAnsi="宋体" w:cs="宋体"/>
                <w:color w:val="000000"/>
                <w:sz w:val="22"/>
                <w:szCs w:val="22"/>
                <w:lang w:bidi="ar"/>
              </w:rPr>
              <w:t>30</w:t>
            </w:r>
            <w:r>
              <w:rPr>
                <w:rFonts w:hint="eastAsia" w:ascii="宋体" w:hAnsi="宋体" w:eastAsia="宋体" w:cs="宋体"/>
                <w:color w:val="000000"/>
                <w:sz w:val="22"/>
                <w:szCs w:val="22"/>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6A6387E2">
            <w:pPr>
              <w:keepNext w:val="0"/>
              <w:keepLines w:val="0"/>
              <w:pageBreakBefore w:val="0"/>
              <w:kinsoku/>
              <w:wordWrap/>
              <w:overflowPunct/>
              <w:topLinePunct w:val="0"/>
              <w:bidi w:val="0"/>
              <w:snapToGrid/>
              <w:spacing w:line="320" w:lineRule="exac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1.有效投标报价：是指通过“投标文件初审”的投标人的经商务性评审（修正、小微企业扣除等）后的评标总价；</w:t>
            </w:r>
          </w:p>
          <w:p w14:paraId="63A1AFE6">
            <w:pPr>
              <w:keepNext w:val="0"/>
              <w:keepLines w:val="0"/>
              <w:pageBreakBefore w:val="0"/>
              <w:kinsoku/>
              <w:wordWrap/>
              <w:overflowPunct/>
              <w:topLinePunct w:val="0"/>
              <w:bidi w:val="0"/>
              <w:snapToGrid/>
              <w:spacing w:line="320" w:lineRule="exac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2.评标基准价=有效投标报价中的最低投标报价；</w:t>
            </w:r>
          </w:p>
          <w:p w14:paraId="6EF2D22D">
            <w:pPr>
              <w:keepNext w:val="0"/>
              <w:keepLines w:val="0"/>
              <w:pageBreakBefore w:val="0"/>
              <w:kinsoku/>
              <w:wordWrap/>
              <w:overflowPunct/>
              <w:topLinePunct w:val="0"/>
              <w:bidi w:val="0"/>
              <w:snapToGrid/>
              <w:spacing w:line="320" w:lineRule="exac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3.当投标人的评标总价等于评标基准价的得</w:t>
            </w:r>
            <w:r>
              <w:rPr>
                <w:rFonts w:hint="eastAsia" w:ascii="宋体" w:hAnsi="宋体" w:cs="宋体"/>
                <w:sz w:val="22"/>
                <w:szCs w:val="22"/>
                <w:lang w:bidi="ar"/>
              </w:rPr>
              <w:t>30</w:t>
            </w:r>
            <w:r>
              <w:rPr>
                <w:rFonts w:hint="eastAsia" w:ascii="宋体" w:hAnsi="宋体" w:eastAsia="宋体" w:cs="宋体"/>
                <w:sz w:val="22"/>
                <w:szCs w:val="22"/>
                <w:lang w:bidi="ar"/>
              </w:rPr>
              <w:t>分；</w:t>
            </w:r>
          </w:p>
          <w:p w14:paraId="19C8A073">
            <w:pPr>
              <w:keepNext w:val="0"/>
              <w:keepLines w:val="0"/>
              <w:pageBreakBefore w:val="0"/>
              <w:kinsoku/>
              <w:wordWrap/>
              <w:overflowPunct/>
              <w:topLinePunct w:val="0"/>
              <w:bidi w:val="0"/>
              <w:snapToGrid/>
              <w:spacing w:line="320" w:lineRule="exact"/>
              <w:textAlignment w:val="auto"/>
              <w:rPr>
                <w:rFonts w:hint="eastAsia" w:ascii="宋体" w:hAnsi="宋体" w:eastAsia="宋体" w:cs="宋体"/>
                <w:color w:val="000000"/>
                <w:sz w:val="22"/>
                <w:szCs w:val="22"/>
                <w:lang w:bidi="ar"/>
              </w:rPr>
            </w:pPr>
            <w:r>
              <w:rPr>
                <w:rFonts w:hint="eastAsia" w:ascii="宋体" w:hAnsi="宋体" w:eastAsia="宋体" w:cs="宋体"/>
                <w:sz w:val="22"/>
                <w:szCs w:val="22"/>
                <w:lang w:bidi="ar"/>
              </w:rPr>
              <w:t>4.其他投标人的价格分按照下列公式计算：评标总价得分=（评标基准价/评标总价）*</w:t>
            </w:r>
            <w:r>
              <w:rPr>
                <w:rFonts w:hint="eastAsia" w:ascii="宋体" w:hAnsi="宋体" w:cs="宋体"/>
                <w:sz w:val="22"/>
                <w:szCs w:val="22"/>
                <w:lang w:bidi="ar"/>
              </w:rPr>
              <w:t>30</w:t>
            </w:r>
            <w:r>
              <w:rPr>
                <w:rFonts w:hint="eastAsia" w:ascii="宋体" w:hAnsi="宋体" w:eastAsia="宋体" w:cs="宋体"/>
                <w:sz w:val="22"/>
                <w:szCs w:val="22"/>
                <w:lang w:bidi="ar"/>
              </w:rPr>
              <w:t>分（计算结果保留2位小数，第三位四舍五入）。</w:t>
            </w:r>
          </w:p>
        </w:tc>
      </w:tr>
      <w:tr w14:paraId="7E7FDE25">
        <w:tblPrEx>
          <w:tblCellMar>
            <w:top w:w="0" w:type="dxa"/>
            <w:left w:w="108" w:type="dxa"/>
            <w:bottom w:w="0" w:type="dxa"/>
            <w:right w:w="108" w:type="dxa"/>
          </w:tblCellMar>
        </w:tblPrEx>
        <w:trPr>
          <w:trHeight w:val="90" w:hRule="atLeast"/>
          <w:jc w:val="center"/>
        </w:trPr>
        <w:tc>
          <w:tcPr>
            <w:tcW w:w="891" w:type="dxa"/>
            <w:tcBorders>
              <w:top w:val="single" w:color="000000" w:sz="4" w:space="0"/>
              <w:left w:val="single" w:color="000000" w:sz="4" w:space="0"/>
              <w:bottom w:val="single" w:color="000000" w:sz="4" w:space="0"/>
              <w:right w:val="single" w:color="000000" w:sz="4" w:space="0"/>
            </w:tcBorders>
            <w:vAlign w:val="center"/>
          </w:tcPr>
          <w:p w14:paraId="57A9FB4E">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bidi="ar"/>
              </w:rPr>
              <w:t>2</w:t>
            </w:r>
          </w:p>
        </w:tc>
        <w:tc>
          <w:tcPr>
            <w:tcW w:w="1193" w:type="dxa"/>
            <w:tcBorders>
              <w:top w:val="single" w:color="000000" w:sz="4" w:space="0"/>
              <w:left w:val="single" w:color="000000" w:sz="4" w:space="0"/>
              <w:right w:val="single" w:color="000000" w:sz="4" w:space="0"/>
            </w:tcBorders>
            <w:vAlign w:val="center"/>
          </w:tcPr>
          <w:p w14:paraId="3C98AE69">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技术部分</w:t>
            </w:r>
          </w:p>
          <w:p w14:paraId="66FA9A2F">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196EF1B8">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strike w:val="0"/>
                <w:dstrike w:val="0"/>
                <w:color w:val="000000"/>
                <w:sz w:val="22"/>
                <w:szCs w:val="22"/>
                <w:highlight w:val="none"/>
                <w:lang w:bidi="ar"/>
              </w:rPr>
            </w:pPr>
            <w:r>
              <w:rPr>
                <w:rFonts w:hint="eastAsia" w:ascii="宋体" w:hAnsi="宋体" w:eastAsia="宋体" w:cs="宋体"/>
                <w:strike w:val="0"/>
                <w:dstrike w:val="0"/>
                <w:color w:val="000000"/>
                <w:sz w:val="22"/>
                <w:szCs w:val="22"/>
                <w:highlight w:val="none"/>
                <w:lang w:bidi="ar"/>
              </w:rPr>
              <w:t>技术参数响应（</w:t>
            </w:r>
            <w:r>
              <w:rPr>
                <w:rFonts w:hint="eastAsia" w:ascii="宋体" w:hAnsi="宋体" w:cs="宋体"/>
                <w:strike w:val="0"/>
                <w:dstrike w:val="0"/>
                <w:color w:val="000000"/>
                <w:sz w:val="22"/>
                <w:szCs w:val="22"/>
                <w:highlight w:val="none"/>
                <w:lang w:bidi="ar"/>
              </w:rPr>
              <w:t>30</w:t>
            </w:r>
            <w:r>
              <w:rPr>
                <w:rFonts w:hint="eastAsia" w:ascii="宋体" w:hAnsi="宋体" w:eastAsia="宋体" w:cs="宋体"/>
                <w:strike w:val="0"/>
                <w:dstrike w:val="0"/>
                <w:color w:val="000000"/>
                <w:sz w:val="22"/>
                <w:szCs w:val="22"/>
                <w:highlight w:val="none"/>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65D21C72">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trike w:val="0"/>
                <w:dstrike w:val="0"/>
                <w:color w:val="000000"/>
                <w:sz w:val="22"/>
                <w:szCs w:val="22"/>
                <w:highlight w:val="none"/>
              </w:rPr>
            </w:pPr>
            <w:r>
              <w:rPr>
                <w:rFonts w:hint="eastAsia" w:ascii="宋体" w:hAnsi="宋体" w:eastAsia="宋体" w:cs="宋体"/>
                <w:strike w:val="0"/>
                <w:dstrike w:val="0"/>
                <w:color w:val="000000"/>
                <w:sz w:val="22"/>
                <w:szCs w:val="22"/>
                <w:highlight w:val="none"/>
              </w:rPr>
              <w:t>1.技术参数中标“★”项要求提供检测报告等相关证明材料或现场演示的，投标人必须按照招标文件技术参数中的具体要求提供对应证明材料、现场演示，评标委员会必须依据投标人提供的证明材料或演示效果进行评审（提供的证明材料或软件功能须满足招标文件的参数要求），未提供对应材料或提供的材料、软件功能演示不符合招标文件中要求的视为负偏离，标“★”项，每一项不满足（负偏离）扣2分；</w:t>
            </w:r>
          </w:p>
          <w:p w14:paraId="3B16535C">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trike w:val="0"/>
                <w:dstrike w:val="0"/>
                <w:color w:val="000000"/>
                <w:sz w:val="22"/>
                <w:szCs w:val="22"/>
                <w:highlight w:val="none"/>
              </w:rPr>
            </w:pPr>
            <w:r>
              <w:rPr>
                <w:rFonts w:hint="eastAsia" w:ascii="宋体" w:hAnsi="宋体" w:eastAsia="宋体" w:cs="宋体"/>
                <w:strike w:val="0"/>
                <w:dstrike w:val="0"/>
                <w:color w:val="000000"/>
                <w:sz w:val="22"/>
                <w:szCs w:val="22"/>
                <w:highlight w:val="none"/>
              </w:rPr>
              <w:t>2.技术参数中非“★”项以投标文件中的“技术参数响应及偏离表”标注的偏离情况为准，每一项不满足（负偏离）扣1分，扣完为止。</w:t>
            </w:r>
          </w:p>
          <w:p w14:paraId="1726E944">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trike w:val="0"/>
                <w:dstrike w:val="0"/>
                <w:color w:val="000000"/>
                <w:sz w:val="22"/>
                <w:szCs w:val="22"/>
                <w:highlight w:val="none"/>
              </w:rPr>
            </w:pPr>
            <w:r>
              <w:rPr>
                <w:rFonts w:hint="eastAsia" w:ascii="宋体" w:hAnsi="宋体" w:eastAsia="宋体" w:cs="宋体"/>
                <w:strike w:val="0"/>
                <w:dstrike w:val="0"/>
                <w:color w:val="000000"/>
                <w:sz w:val="22"/>
                <w:szCs w:val="22"/>
                <w:highlight w:val="none"/>
              </w:rPr>
              <w:t>注：《技术参数响应偏离表》中的内容须是投标人投标产品的真实反映，投标人在投标时不得虚假响应和虚假承诺，否则将取消其投标资格；已中标的，将取消其中标资格。</w:t>
            </w:r>
          </w:p>
          <w:p w14:paraId="27E5D9C3">
            <w:pPr>
              <w:pStyle w:val="45"/>
              <w:keepNext w:val="0"/>
              <w:keepLines w:val="0"/>
              <w:pageBreakBefore w:val="0"/>
              <w:kinsoku/>
              <w:wordWrap/>
              <w:overflowPunct/>
              <w:topLinePunct w:val="0"/>
              <w:bidi w:val="0"/>
              <w:snapToGrid/>
              <w:spacing w:line="320" w:lineRule="exact"/>
              <w:ind w:left="0" w:leftChars="0" w:firstLine="0" w:firstLineChars="0"/>
              <w:textAlignment w:val="auto"/>
              <w:rPr>
                <w:rFonts w:hint="eastAsia" w:eastAsia="宋体"/>
                <w:lang w:val="en-US" w:eastAsia="zh-CN"/>
              </w:rPr>
            </w:pPr>
            <w:r>
              <w:rPr>
                <w:rFonts w:hint="eastAsia" w:ascii="宋体" w:hAnsi="宋体" w:eastAsia="宋体" w:cs="宋体"/>
                <w:b/>
                <w:bCs/>
                <w:strike w:val="0"/>
                <w:dstrike w:val="0"/>
                <w:color w:val="FF0000"/>
                <w:kern w:val="0"/>
                <w:sz w:val="22"/>
                <w:szCs w:val="22"/>
                <w:highlight w:val="none"/>
                <w:lang w:val="en-US" w:eastAsia="zh-CN" w:bidi="ar-SA"/>
              </w:rPr>
              <w:t>注：本项目招标文件要求“设备监管平台”与“资产梳理”两项的演示视频总时长不超过10分钟。</w:t>
            </w:r>
          </w:p>
        </w:tc>
      </w:tr>
      <w:tr w14:paraId="493DAD42">
        <w:tblPrEx>
          <w:tblCellMar>
            <w:top w:w="0" w:type="dxa"/>
            <w:left w:w="108" w:type="dxa"/>
            <w:bottom w:w="0" w:type="dxa"/>
            <w:right w:w="108" w:type="dxa"/>
          </w:tblCellMar>
        </w:tblPrEx>
        <w:trPr>
          <w:trHeight w:val="1680" w:hRule="atLeast"/>
          <w:jc w:val="center"/>
        </w:trPr>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2D19A030">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1193" w:type="dxa"/>
            <w:vMerge w:val="restart"/>
            <w:tcBorders>
              <w:top w:val="single" w:color="000000" w:sz="4" w:space="0"/>
              <w:left w:val="single" w:color="000000" w:sz="4" w:space="0"/>
              <w:bottom w:val="single" w:color="000000" w:sz="4" w:space="0"/>
              <w:right w:val="single" w:color="000000" w:sz="4" w:space="0"/>
            </w:tcBorders>
            <w:vAlign w:val="center"/>
          </w:tcPr>
          <w:p w14:paraId="7E62EBFF">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商务部分</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8EBB">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企业实力（</w:t>
            </w:r>
            <w:r>
              <w:rPr>
                <w:rFonts w:hint="eastAsia" w:ascii="宋体" w:hAnsi="宋体" w:cs="宋体"/>
                <w:color w:val="auto"/>
                <w:sz w:val="22"/>
                <w:szCs w:val="22"/>
                <w:highlight w:val="none"/>
                <w:lang w:bidi="ar"/>
              </w:rPr>
              <w:t>11</w:t>
            </w:r>
            <w:r>
              <w:rPr>
                <w:rFonts w:hint="eastAsia" w:ascii="宋体" w:hAnsi="宋体" w:eastAsia="宋体" w:cs="宋体"/>
                <w:color w:val="auto"/>
                <w:sz w:val="22"/>
                <w:szCs w:val="22"/>
                <w:highlight w:val="none"/>
                <w:lang w:bidi="ar"/>
              </w:rPr>
              <w:t>分）</w:t>
            </w:r>
          </w:p>
        </w:tc>
        <w:tc>
          <w:tcPr>
            <w:tcW w:w="6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95DA">
            <w:pPr>
              <w:pStyle w:val="197"/>
              <w:keepNext w:val="0"/>
              <w:keepLines w:val="0"/>
              <w:pageBreakBefore w:val="0"/>
              <w:kinsoku/>
              <w:wordWrap/>
              <w:overflowPunct/>
              <w:topLinePunct w:val="0"/>
              <w:bidi w:val="0"/>
              <w:snapToGrid/>
              <w:spacing w:line="320" w:lineRule="exact"/>
              <w:textAlignment w:val="auto"/>
              <w:rPr>
                <w:rFonts w:hint="eastAsia" w:hAnsi="宋体" w:eastAsia="宋体"/>
                <w:color w:val="auto"/>
                <w:sz w:val="22"/>
                <w:szCs w:val="22"/>
                <w:highlight w:val="none"/>
              </w:rPr>
            </w:pPr>
            <w:r>
              <w:rPr>
                <w:rFonts w:hAnsi="宋体" w:eastAsia="宋体"/>
                <w:color w:val="auto"/>
                <w:sz w:val="22"/>
                <w:szCs w:val="22"/>
                <w:highlight w:val="none"/>
              </w:rPr>
              <w:t>1</w:t>
            </w:r>
            <w:r>
              <w:rPr>
                <w:rFonts w:hint="eastAsia" w:hAnsi="宋体" w:eastAsia="宋体"/>
                <w:color w:val="auto"/>
                <w:sz w:val="22"/>
                <w:szCs w:val="22"/>
                <w:highlight w:val="none"/>
              </w:rPr>
              <w:t>、投标人具有有效期内的第三方机构认证的隐私信息安全管理体系认证证书（ISO27701）、信息技术服务管理体系认证证书（ISO20000）、信息安全管理体系认证证书（ISO27001）。每提供一项得1分，本项最高得</w:t>
            </w:r>
            <w:r>
              <w:rPr>
                <w:rFonts w:hint="eastAsia" w:hAnsi="宋体" w:eastAsia="宋体"/>
                <w:color w:val="auto"/>
                <w:sz w:val="22"/>
                <w:szCs w:val="22"/>
                <w:highlight w:val="none"/>
                <w:lang w:val="en-US" w:eastAsia="zh-CN"/>
              </w:rPr>
              <w:t>3</w:t>
            </w:r>
            <w:r>
              <w:rPr>
                <w:rFonts w:hint="eastAsia" w:hAnsi="宋体" w:eastAsia="宋体"/>
                <w:color w:val="auto"/>
                <w:sz w:val="22"/>
                <w:szCs w:val="22"/>
                <w:highlight w:val="none"/>
              </w:rPr>
              <w:t>分 。</w:t>
            </w:r>
          </w:p>
          <w:p w14:paraId="55931639">
            <w:pPr>
              <w:pStyle w:val="197"/>
              <w:keepNext w:val="0"/>
              <w:keepLines w:val="0"/>
              <w:pageBreakBefore w:val="0"/>
              <w:kinsoku/>
              <w:wordWrap/>
              <w:overflowPunct/>
              <w:topLinePunct w:val="0"/>
              <w:bidi w:val="0"/>
              <w:snapToGrid/>
              <w:spacing w:line="320" w:lineRule="exact"/>
              <w:textAlignment w:val="auto"/>
              <w:rPr>
                <w:rFonts w:hint="eastAsia" w:hAnsi="宋体" w:eastAsia="宋体"/>
                <w:color w:val="auto"/>
                <w:sz w:val="22"/>
                <w:szCs w:val="22"/>
                <w:highlight w:val="none"/>
              </w:rPr>
            </w:pPr>
            <w:r>
              <w:rPr>
                <w:rFonts w:hint="eastAsia" w:hAnsi="宋体" w:eastAsia="宋体"/>
                <w:color w:val="auto"/>
                <w:sz w:val="22"/>
                <w:szCs w:val="22"/>
                <w:highlight w:val="none"/>
              </w:rPr>
              <w:t>2、投标人具有</w:t>
            </w:r>
            <w:r>
              <w:rPr>
                <w:rFonts w:hint="eastAsia" w:hAnsi="宋体" w:eastAsia="宋体"/>
                <w:color w:val="auto"/>
                <w:sz w:val="22"/>
                <w:szCs w:val="22"/>
                <w:highlight w:val="none"/>
                <w:lang w:eastAsia="zh-CN"/>
              </w:rPr>
              <w:t>信息系统安全集成服务资质</w:t>
            </w:r>
            <w:r>
              <w:rPr>
                <w:rFonts w:hint="eastAsia" w:hAnsi="宋体" w:eastAsia="宋体"/>
                <w:color w:val="auto"/>
                <w:sz w:val="22"/>
                <w:szCs w:val="22"/>
                <w:highlight w:val="none"/>
                <w:lang w:val="en-US" w:eastAsia="zh-CN"/>
              </w:rPr>
              <w:t>一级的得3分，二级的得2分，三级的得1分，其余不得分</w:t>
            </w:r>
            <w:r>
              <w:rPr>
                <w:rFonts w:hint="eastAsia" w:hAnsi="宋体" w:eastAsia="宋体"/>
                <w:color w:val="auto"/>
                <w:sz w:val="22"/>
                <w:szCs w:val="22"/>
                <w:highlight w:val="none"/>
              </w:rPr>
              <w:t>。</w:t>
            </w:r>
          </w:p>
          <w:p w14:paraId="148F4AAC">
            <w:pPr>
              <w:pStyle w:val="197"/>
              <w:keepNext w:val="0"/>
              <w:keepLines w:val="0"/>
              <w:pageBreakBefore w:val="0"/>
              <w:kinsoku/>
              <w:wordWrap/>
              <w:overflowPunct/>
              <w:topLinePunct w:val="0"/>
              <w:bidi w:val="0"/>
              <w:snapToGrid/>
              <w:spacing w:line="320" w:lineRule="exact"/>
              <w:textAlignment w:val="auto"/>
              <w:rPr>
                <w:rFonts w:hint="eastAsia" w:hAnsi="宋体" w:eastAsia="宋体"/>
                <w:color w:val="auto"/>
                <w:sz w:val="22"/>
                <w:szCs w:val="22"/>
                <w:highlight w:val="none"/>
              </w:rPr>
            </w:pPr>
            <w:r>
              <w:rPr>
                <w:rFonts w:hint="eastAsia" w:hAnsi="宋体" w:eastAsia="宋体"/>
                <w:color w:val="auto"/>
                <w:sz w:val="22"/>
                <w:szCs w:val="22"/>
                <w:highlight w:val="none"/>
              </w:rPr>
              <w:t>3、投标人具有信息系统建设和服务能力等级证书，达到CS4及以上的得</w:t>
            </w:r>
            <w:r>
              <w:rPr>
                <w:rFonts w:hint="eastAsia" w:hAnsi="宋体" w:eastAsia="宋体"/>
                <w:color w:val="auto"/>
                <w:sz w:val="22"/>
                <w:szCs w:val="22"/>
                <w:highlight w:val="none"/>
                <w:lang w:val="en-US" w:eastAsia="zh-CN"/>
              </w:rPr>
              <w:t>2</w:t>
            </w:r>
            <w:r>
              <w:rPr>
                <w:rFonts w:hint="eastAsia" w:hAnsi="宋体" w:eastAsia="宋体"/>
                <w:color w:val="auto"/>
                <w:sz w:val="22"/>
                <w:szCs w:val="22"/>
                <w:highlight w:val="none"/>
              </w:rPr>
              <w:t>分，CS3</w:t>
            </w:r>
            <w:r>
              <w:rPr>
                <w:rFonts w:hint="eastAsia" w:hAnsi="宋体" w:eastAsia="宋体"/>
                <w:color w:val="auto"/>
                <w:sz w:val="22"/>
                <w:szCs w:val="22"/>
                <w:highlight w:val="none"/>
                <w:lang w:val="en-US" w:eastAsia="zh-CN"/>
              </w:rPr>
              <w:t>及以下的得1</w:t>
            </w:r>
            <w:r>
              <w:rPr>
                <w:rFonts w:hint="eastAsia" w:hAnsi="宋体" w:eastAsia="宋体"/>
                <w:color w:val="auto"/>
                <w:sz w:val="22"/>
                <w:szCs w:val="22"/>
                <w:highlight w:val="none"/>
              </w:rPr>
              <w:t>分，未提供不得分。本项最高得</w:t>
            </w:r>
            <w:r>
              <w:rPr>
                <w:rFonts w:hint="eastAsia" w:hAnsi="宋体" w:eastAsia="宋体"/>
                <w:color w:val="auto"/>
                <w:sz w:val="22"/>
                <w:szCs w:val="22"/>
                <w:highlight w:val="none"/>
                <w:lang w:val="en-US" w:eastAsia="zh-CN"/>
              </w:rPr>
              <w:t>2</w:t>
            </w:r>
            <w:r>
              <w:rPr>
                <w:rFonts w:hint="eastAsia" w:hAnsi="宋体" w:eastAsia="宋体"/>
                <w:color w:val="auto"/>
                <w:sz w:val="22"/>
                <w:szCs w:val="22"/>
                <w:highlight w:val="none"/>
              </w:rPr>
              <w:t>分。</w:t>
            </w:r>
          </w:p>
          <w:p w14:paraId="02A70CF7">
            <w:pPr>
              <w:pStyle w:val="197"/>
              <w:keepNext w:val="0"/>
              <w:keepLines w:val="0"/>
              <w:pageBreakBefore w:val="0"/>
              <w:kinsoku/>
              <w:wordWrap/>
              <w:overflowPunct/>
              <w:topLinePunct w:val="0"/>
              <w:bidi w:val="0"/>
              <w:snapToGrid/>
              <w:spacing w:line="320" w:lineRule="exact"/>
              <w:textAlignment w:val="auto"/>
              <w:rPr>
                <w:rFonts w:hint="eastAsia" w:hAnsi="宋体" w:eastAsia="宋体"/>
                <w:color w:val="auto"/>
                <w:sz w:val="22"/>
                <w:szCs w:val="22"/>
                <w:highlight w:val="none"/>
              </w:rPr>
            </w:pPr>
            <w:r>
              <w:rPr>
                <w:rFonts w:hint="eastAsia" w:hAnsi="宋体" w:eastAsia="宋体"/>
                <w:color w:val="auto"/>
                <w:sz w:val="22"/>
                <w:szCs w:val="22"/>
                <w:highlight w:val="none"/>
              </w:rPr>
              <w:t>4、投标人具有信息系统服务交付能力等级证书，达到一级的得2分，达到二级的得1分,未提供不得分。本项最高得2分。</w:t>
            </w:r>
          </w:p>
          <w:p w14:paraId="4E9ECBDD">
            <w:pPr>
              <w:pStyle w:val="197"/>
              <w:keepNext w:val="0"/>
              <w:keepLines w:val="0"/>
              <w:pageBreakBefore w:val="0"/>
              <w:kinsoku/>
              <w:wordWrap/>
              <w:overflowPunct/>
              <w:topLinePunct w:val="0"/>
              <w:bidi w:val="0"/>
              <w:snapToGrid/>
              <w:spacing w:line="320" w:lineRule="exact"/>
              <w:textAlignment w:val="auto"/>
              <w:rPr>
                <w:rFonts w:hint="eastAsia" w:hAnsi="宋体" w:eastAsia="宋体"/>
                <w:color w:val="auto"/>
                <w:sz w:val="22"/>
                <w:szCs w:val="22"/>
                <w:highlight w:val="none"/>
              </w:rPr>
            </w:pPr>
            <w:r>
              <w:rPr>
                <w:rFonts w:hint="eastAsia" w:hAnsi="宋体" w:eastAsia="宋体"/>
                <w:color w:val="auto"/>
                <w:sz w:val="22"/>
                <w:szCs w:val="22"/>
                <w:highlight w:val="none"/>
              </w:rPr>
              <w:t>5、</w:t>
            </w:r>
            <w:r>
              <w:rPr>
                <w:rFonts w:hAnsi="宋体" w:eastAsia="宋体"/>
                <w:color w:val="auto"/>
                <w:sz w:val="22"/>
                <w:szCs w:val="22"/>
                <w:highlight w:val="none"/>
              </w:rPr>
              <w:t>投标人具有</w:t>
            </w:r>
            <w:r>
              <w:rPr>
                <w:rFonts w:hint="eastAsia" w:hAnsi="宋体" w:eastAsia="宋体"/>
                <w:color w:val="auto"/>
                <w:sz w:val="22"/>
                <w:szCs w:val="22"/>
                <w:highlight w:val="none"/>
              </w:rPr>
              <w:t>CCRC信息安全服务资质认证证书（网络安全审计）三级及以上的得1分，</w:t>
            </w:r>
            <w:r>
              <w:rPr>
                <w:rFonts w:hAnsi="宋体" w:eastAsia="宋体"/>
                <w:color w:val="auto"/>
                <w:sz w:val="22"/>
                <w:szCs w:val="22"/>
                <w:highlight w:val="none"/>
              </w:rPr>
              <w:t>未提供不得分</w:t>
            </w:r>
            <w:r>
              <w:rPr>
                <w:rFonts w:hint="eastAsia" w:hAnsi="宋体" w:eastAsia="宋体"/>
                <w:color w:val="auto"/>
                <w:sz w:val="22"/>
                <w:szCs w:val="22"/>
                <w:highlight w:val="none"/>
              </w:rPr>
              <w:t>。本项最高得1分</w:t>
            </w:r>
            <w:r>
              <w:rPr>
                <w:rFonts w:hAnsi="宋体" w:eastAsia="宋体"/>
                <w:color w:val="auto"/>
                <w:sz w:val="22"/>
                <w:szCs w:val="22"/>
                <w:highlight w:val="none"/>
              </w:rPr>
              <w:t>。</w:t>
            </w:r>
          </w:p>
          <w:p w14:paraId="3DDB926D">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auto"/>
                <w:sz w:val="22"/>
                <w:szCs w:val="22"/>
                <w:highlight w:val="none"/>
                <w:lang w:bidi="ar"/>
              </w:rPr>
            </w:pPr>
            <w:r>
              <w:rPr>
                <w:rFonts w:ascii="宋体" w:hAnsi="宋体" w:eastAsia="宋体" w:cs="宋体"/>
                <w:b/>
                <w:bCs/>
                <w:color w:val="auto"/>
                <w:sz w:val="22"/>
                <w:szCs w:val="22"/>
                <w:highlight w:val="none"/>
              </w:rPr>
              <w:t>注：投标时须提供</w:t>
            </w:r>
            <w:r>
              <w:rPr>
                <w:rFonts w:hint="eastAsia" w:ascii="宋体" w:hAnsi="宋体" w:eastAsia="宋体" w:cs="宋体"/>
                <w:b/>
                <w:bCs/>
                <w:color w:val="auto"/>
                <w:sz w:val="22"/>
                <w:szCs w:val="22"/>
                <w:highlight w:val="none"/>
              </w:rPr>
              <w:t>以上</w:t>
            </w:r>
            <w:r>
              <w:rPr>
                <w:rFonts w:ascii="宋体" w:hAnsi="宋体" w:eastAsia="宋体" w:cs="宋体"/>
                <w:b/>
                <w:bCs/>
                <w:color w:val="auto"/>
                <w:sz w:val="22"/>
                <w:szCs w:val="22"/>
                <w:highlight w:val="none"/>
              </w:rPr>
              <w:t>证书扫描件，</w:t>
            </w:r>
            <w:r>
              <w:rPr>
                <w:rFonts w:hint="eastAsia" w:ascii="宋体" w:hAnsi="宋体" w:eastAsia="宋体" w:cs="宋体"/>
                <w:b/>
                <w:bCs/>
                <w:color w:val="auto"/>
                <w:sz w:val="22"/>
                <w:szCs w:val="22"/>
                <w:highlight w:val="none"/>
              </w:rPr>
              <w:t>且证书必须在有效期范围内，</w:t>
            </w:r>
            <w:r>
              <w:rPr>
                <w:rFonts w:ascii="宋体" w:hAnsi="宋体" w:eastAsia="宋体" w:cs="宋体"/>
                <w:b/>
                <w:bCs/>
                <w:color w:val="auto"/>
                <w:sz w:val="22"/>
                <w:szCs w:val="22"/>
                <w:highlight w:val="none"/>
              </w:rPr>
              <w:t>未提供不得分。</w:t>
            </w:r>
          </w:p>
        </w:tc>
      </w:tr>
      <w:tr w14:paraId="130C758B">
        <w:tblPrEx>
          <w:tblCellMar>
            <w:top w:w="0" w:type="dxa"/>
            <w:left w:w="108" w:type="dxa"/>
            <w:bottom w:w="0" w:type="dxa"/>
            <w:right w:w="108" w:type="dxa"/>
          </w:tblCellMar>
        </w:tblPrEx>
        <w:trPr>
          <w:trHeight w:val="846"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6DE3E9F0">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03CB6157">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0A8D3F4A">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bidi="ar"/>
              </w:rPr>
              <w:t>团队实力（</w:t>
            </w:r>
            <w:r>
              <w:rPr>
                <w:rFonts w:hint="eastAsia" w:ascii="宋体" w:hAnsi="宋体" w:cs="宋体"/>
                <w:color w:val="000000"/>
                <w:sz w:val="22"/>
                <w:szCs w:val="22"/>
                <w:lang w:bidi="ar"/>
              </w:rPr>
              <w:t>9</w:t>
            </w:r>
            <w:r>
              <w:rPr>
                <w:rFonts w:hint="eastAsia" w:ascii="宋体" w:hAnsi="宋体" w:eastAsia="宋体" w:cs="宋体"/>
                <w:color w:val="000000"/>
                <w:sz w:val="22"/>
                <w:szCs w:val="22"/>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400D894A">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1、投标人拟派本项目的项目负责人具有高级系统规划与管理师证书、信息技术应用创新服务经理（ITSS）证书、数字经济（电子信息类）高级工程师职称证书，每具备一项得1</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 xml:space="preserve">分，本项最高得3分。 </w:t>
            </w:r>
          </w:p>
          <w:p w14:paraId="39E32072">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2、投标人拟派本项目的项目技术负责人同时具有系统集成项目管理工程师、信息安全工程师、信息系统项目管理师证书，每具备一项得1</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分，最高得3分。</w:t>
            </w:r>
          </w:p>
          <w:p w14:paraId="0E739606">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投标人拟派本项目的项目组成员（不含项目负责人和技术负责人）中具有信息安全保障人员认证证书（CISAW）、高级系统架构设计师证书、网络工程师、高级智能化系统工程师证书，每具备1类得1分，最高得3分。</w:t>
            </w:r>
          </w:p>
          <w:p w14:paraId="778114B6">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bidi="ar"/>
              </w:rPr>
              <w:t>注：投标时须提供加盖公章的证书扫描件和本单位为其缴纳的近3个月（不含投标当月）任意一个月的社保证明扫描件，否则不得分。</w:t>
            </w:r>
          </w:p>
        </w:tc>
      </w:tr>
      <w:tr w14:paraId="42B95233">
        <w:tblPrEx>
          <w:tblCellMar>
            <w:top w:w="0" w:type="dxa"/>
            <w:left w:w="108" w:type="dxa"/>
            <w:bottom w:w="0" w:type="dxa"/>
            <w:right w:w="108" w:type="dxa"/>
          </w:tblCellMar>
        </w:tblPrEx>
        <w:trPr>
          <w:trHeight w:val="590"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2D58E13">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23D64873">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73387895">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业绩（</w:t>
            </w:r>
            <w:r>
              <w:rPr>
                <w:rFonts w:hint="eastAsia" w:ascii="宋体" w:hAnsi="宋体" w:cs="宋体"/>
                <w:color w:val="000000"/>
                <w:sz w:val="22"/>
                <w:szCs w:val="22"/>
                <w:lang w:bidi="ar"/>
              </w:rPr>
              <w:t>2</w:t>
            </w:r>
            <w:r>
              <w:rPr>
                <w:rFonts w:hint="eastAsia" w:ascii="宋体" w:hAnsi="宋体" w:eastAsia="宋体" w:cs="宋体"/>
                <w:color w:val="000000"/>
                <w:sz w:val="22"/>
                <w:szCs w:val="22"/>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48E4EE62">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000000"/>
                <w:sz w:val="22"/>
                <w:szCs w:val="22"/>
                <w:lang w:bidi="ar"/>
              </w:rPr>
            </w:pPr>
            <w:r>
              <w:rPr>
                <w:rFonts w:hint="eastAsia" w:ascii="宋体" w:hAnsi="宋体" w:eastAsia="宋体" w:cs="宋体"/>
                <w:sz w:val="22"/>
                <w:szCs w:val="22"/>
                <w:lang w:bidi="ar"/>
              </w:rPr>
              <w:t>投标人承建包含网络安全的智能化项目业绩的，每提供一项得</w:t>
            </w:r>
            <w:r>
              <w:rPr>
                <w:rFonts w:hint="eastAsia" w:ascii="宋体" w:hAnsi="宋体" w:cs="宋体"/>
                <w:sz w:val="22"/>
                <w:szCs w:val="22"/>
                <w:lang w:bidi="ar"/>
              </w:rPr>
              <w:t>1</w:t>
            </w:r>
            <w:r>
              <w:rPr>
                <w:rFonts w:hint="eastAsia" w:ascii="宋体" w:hAnsi="宋体" w:eastAsia="宋体" w:cs="宋体"/>
                <w:sz w:val="22"/>
                <w:szCs w:val="22"/>
                <w:lang w:bidi="ar"/>
              </w:rPr>
              <w:t>分，最高得</w:t>
            </w:r>
            <w:r>
              <w:rPr>
                <w:rFonts w:hint="eastAsia" w:ascii="宋体" w:hAnsi="宋体" w:cs="宋体"/>
                <w:sz w:val="22"/>
                <w:szCs w:val="22"/>
                <w:lang w:bidi="ar"/>
              </w:rPr>
              <w:t>2</w:t>
            </w:r>
            <w:r>
              <w:rPr>
                <w:rFonts w:hint="eastAsia" w:ascii="宋体" w:hAnsi="宋体" w:eastAsia="宋体" w:cs="宋体"/>
                <w:sz w:val="22"/>
                <w:szCs w:val="22"/>
                <w:lang w:bidi="ar"/>
              </w:rPr>
              <w:t>分。（投标时需须同时提供验收报告扫描件、合同扫描件，缺一项不得分。若合同和验收报告中均未体现网络安全的智能化项目业绩，还需提供业绩发包方出具包含网络安全的证明加盖业绩发包方公章扫描件，否则不得分）。</w:t>
            </w:r>
          </w:p>
        </w:tc>
      </w:tr>
      <w:tr w14:paraId="697CE638">
        <w:tblPrEx>
          <w:tblCellMar>
            <w:top w:w="0" w:type="dxa"/>
            <w:left w:w="108" w:type="dxa"/>
            <w:bottom w:w="0" w:type="dxa"/>
            <w:right w:w="108" w:type="dxa"/>
          </w:tblCellMar>
        </w:tblPrEx>
        <w:trPr>
          <w:trHeight w:val="495" w:hRule="atLeast"/>
          <w:jc w:val="center"/>
        </w:trPr>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59612AA2">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1193" w:type="dxa"/>
            <w:vMerge w:val="restart"/>
            <w:tcBorders>
              <w:top w:val="single" w:color="000000" w:sz="4" w:space="0"/>
              <w:left w:val="single" w:color="000000" w:sz="4" w:space="0"/>
              <w:bottom w:val="single" w:color="000000" w:sz="4" w:space="0"/>
              <w:right w:val="single" w:color="000000" w:sz="4" w:space="0"/>
            </w:tcBorders>
            <w:vAlign w:val="center"/>
          </w:tcPr>
          <w:p w14:paraId="7B5B9F94">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sz w:val="22"/>
                <w:szCs w:val="22"/>
                <w:lang w:bidi="ar"/>
              </w:rPr>
            </w:pPr>
            <w:r>
              <w:rPr>
                <w:rFonts w:hint="eastAsia" w:ascii="宋体" w:hAnsi="宋体" w:eastAsia="宋体" w:cs="宋体"/>
                <w:sz w:val="22"/>
                <w:szCs w:val="22"/>
                <w:lang w:bidi="ar"/>
              </w:rPr>
              <w:t>方案部分</w:t>
            </w:r>
          </w:p>
          <w:p w14:paraId="27DDAC73">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sz w:val="22"/>
                <w:szCs w:val="22"/>
                <w:lang w:bidi="ar"/>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5D7E6F09">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sz w:val="22"/>
                <w:szCs w:val="22"/>
                <w:lang w:bidi="ar"/>
              </w:rPr>
            </w:pPr>
            <w:r>
              <w:rPr>
                <w:rFonts w:hint="eastAsia" w:ascii="宋体" w:hAnsi="宋体" w:eastAsia="宋体" w:cs="宋体"/>
                <w:sz w:val="22"/>
                <w:szCs w:val="22"/>
                <w:lang w:bidi="ar"/>
              </w:rPr>
              <w:t>采购方案（3分）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1802B5F8">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根据投标人提供的项目安装、调试实施方案进行评审。</w:t>
            </w:r>
          </w:p>
          <w:p w14:paraId="580FD82A">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方案整体架构完整，包含前期筹备、现场勘查、设备进场、安装施工、系统调试、验收交付全流程，内容详实、逻辑清晰、针对性极强，完全贴合且优于项目需求，得3分</w:t>
            </w:r>
            <w:r>
              <w:rPr>
                <w:rFonts w:hint="eastAsia" w:ascii="宋体" w:hAnsi="宋体" w:eastAsia="宋体" w:cs="宋体"/>
                <w:sz w:val="22"/>
                <w:szCs w:val="22"/>
              </w:rPr>
              <w:t>；</w:t>
            </w:r>
          </w:p>
          <w:p w14:paraId="2749AB75">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方案流程完整，核心环节内容详实，整体科学合理，无明显疏漏，全面满足项目全部需求，得2.5分</w:t>
            </w:r>
            <w:r>
              <w:rPr>
                <w:rFonts w:hint="eastAsia" w:ascii="宋体" w:hAnsi="宋体" w:eastAsia="宋体" w:cs="宋体"/>
                <w:sz w:val="22"/>
                <w:szCs w:val="22"/>
              </w:rPr>
              <w:t>；</w:t>
            </w:r>
          </w:p>
          <w:p w14:paraId="1724221E">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方案主要流程齐全，核心内容基本完善，整体合规可行，可满足项目常规需求，无重大缺陷，得2分</w:t>
            </w:r>
            <w:r>
              <w:rPr>
                <w:rFonts w:hint="eastAsia" w:ascii="宋体" w:hAnsi="宋体" w:eastAsia="宋体" w:cs="宋体"/>
                <w:sz w:val="22"/>
                <w:szCs w:val="22"/>
              </w:rPr>
              <w:t>；</w:t>
            </w:r>
          </w:p>
          <w:p w14:paraId="242E6590">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4.</w:t>
            </w:r>
            <w:r>
              <w:rPr>
                <w:rFonts w:hint="eastAsia" w:ascii="宋体" w:hAnsi="宋体" w:eastAsia="宋体" w:cs="宋体"/>
                <w:sz w:val="22"/>
                <w:szCs w:val="22"/>
                <w:lang w:val="en-US" w:eastAsia="zh-CN"/>
              </w:rPr>
              <w:t>方案流程存在少量缺失，内容较为简略，针对性一般，基本符合项目基础需求，存在轻微优化空间，得1.5分；</w:t>
            </w:r>
          </w:p>
          <w:p w14:paraId="5EB66E10">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5.方案架构混乱、内容简陋，核心施工、调试环节缺失，合理性、可行性不足，仅能勉强适配项目最低需求，得1分；</w:t>
            </w:r>
          </w:p>
          <w:p w14:paraId="3C0DE6E4">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6.未提供采购实施方案或方案内容无效、与本项目无关，得0分</w:t>
            </w:r>
            <w:r>
              <w:rPr>
                <w:rFonts w:hint="eastAsia" w:ascii="宋体" w:hAnsi="宋体" w:eastAsia="宋体" w:cs="宋体"/>
                <w:sz w:val="22"/>
                <w:szCs w:val="22"/>
              </w:rPr>
              <w:t>。</w:t>
            </w:r>
          </w:p>
        </w:tc>
      </w:tr>
      <w:tr w14:paraId="3CE4DE06">
        <w:tblPrEx>
          <w:tblCellMar>
            <w:top w:w="0" w:type="dxa"/>
            <w:left w:w="108" w:type="dxa"/>
            <w:bottom w:w="0" w:type="dxa"/>
            <w:right w:w="108" w:type="dxa"/>
          </w:tblCellMar>
        </w:tblPrEx>
        <w:trPr>
          <w:trHeight w:val="453"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DDB8A16">
            <w:pPr>
              <w:keepNext w:val="0"/>
              <w:keepLines w:val="0"/>
              <w:pageBreakBefore w:val="0"/>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2D1640AE">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399D784A">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lang w:bidi="ar"/>
              </w:rPr>
            </w:pPr>
            <w:r>
              <w:rPr>
                <w:rFonts w:hint="eastAsia" w:ascii="宋体" w:hAnsi="宋体" w:eastAsia="宋体" w:cs="宋体"/>
                <w:sz w:val="22"/>
                <w:szCs w:val="22"/>
                <w:lang w:bidi="ar"/>
              </w:rPr>
              <w:t>质量控制及应急方案（</w:t>
            </w:r>
            <w:r>
              <w:rPr>
                <w:rFonts w:hint="eastAsia" w:ascii="宋体" w:hAnsi="宋体" w:cs="宋体"/>
                <w:sz w:val="22"/>
                <w:szCs w:val="22"/>
                <w:lang w:bidi="ar"/>
              </w:rPr>
              <w:t>3</w:t>
            </w:r>
            <w:r>
              <w:rPr>
                <w:rFonts w:hint="eastAsia" w:ascii="宋体" w:hAnsi="宋体" w:eastAsia="宋体" w:cs="宋体"/>
                <w:sz w:val="22"/>
                <w:szCs w:val="22"/>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7C36AED9">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根据投标人提供的质量控制体系、重难点分析、应急处置机制核心内容逐项评审内容逐条阐述）：</w:t>
            </w:r>
            <w:r>
              <w:rPr>
                <w:rFonts w:hint="eastAsia" w:ascii="宋体" w:hAnsi="宋体" w:eastAsia="宋体" w:cs="宋体"/>
                <w:sz w:val="22"/>
                <w:szCs w:val="22"/>
              </w:rPr>
              <w:br w:type="textWrapping" w:clear="all"/>
            </w:r>
            <w:r>
              <w:rPr>
                <w:rFonts w:hint="eastAsia" w:ascii="宋体" w:hAnsi="宋体" w:eastAsia="宋体" w:cs="宋体"/>
                <w:sz w:val="22"/>
                <w:szCs w:val="22"/>
              </w:rPr>
              <w:t>1. 质量控制目标清晰、体系完善，精准剖析项目施工、运行重难点及核心风险，针对性管控措施全面；应急处置流程完整、预案细化、权责明确、落地性极强，整体方案优于项目需求，得3分；</w:t>
            </w:r>
          </w:p>
          <w:p w14:paraId="125C944C">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2. 质量管控体系健全，重难点分析到位，核心管控措施齐全；应急方案完整，处置流程清晰、措施合理，全面满足项目需求，得2.5分；</w:t>
            </w:r>
          </w:p>
          <w:p w14:paraId="50C872C0">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3. 质量控制内容完整，可覆盖项目核心环节，重难点有对应分析及管控措施；应急处置机制合规、措施可行，符合项目基本要求，得2分；</w:t>
            </w:r>
          </w:p>
          <w:p w14:paraId="73FF8C05">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4. 质量管控内容基本齐全，重难点分析较为浅显，管控措施通用性强、针对性一般；应急方案流程基本完整，可应对常规问题，得1.5分；</w:t>
            </w:r>
          </w:p>
          <w:p w14:paraId="53053942">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5. 质量控制体系不完善，重难点分析缺失或敷衍，管控措施有效性不足；应急方案简略、处置措施模糊，难以适配项目风险处置需求，得1分；</w:t>
            </w:r>
          </w:p>
          <w:p w14:paraId="5E31BAD3">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color w:val="000000"/>
                <w:sz w:val="22"/>
                <w:szCs w:val="22"/>
                <w:lang w:bidi="ar"/>
              </w:rPr>
            </w:pPr>
            <w:r>
              <w:rPr>
                <w:rFonts w:hint="eastAsia" w:ascii="宋体" w:hAnsi="宋体" w:eastAsia="宋体" w:cs="宋体"/>
                <w:sz w:val="22"/>
                <w:szCs w:val="22"/>
              </w:rPr>
              <w:t>6. 未提供质量控制及应急方案或方案内容空洞、无实际参考价值，得0分。</w:t>
            </w:r>
          </w:p>
        </w:tc>
      </w:tr>
      <w:tr w14:paraId="2FDD5E55">
        <w:tblPrEx>
          <w:tblCellMar>
            <w:top w:w="0" w:type="dxa"/>
            <w:left w:w="108" w:type="dxa"/>
            <w:bottom w:w="0" w:type="dxa"/>
            <w:right w:w="108" w:type="dxa"/>
          </w:tblCellMar>
        </w:tblPrEx>
        <w:trPr>
          <w:trHeight w:val="655"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116066A4">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5A0BEF3E">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7E224A41">
            <w:pPr>
              <w:keepNext w:val="0"/>
              <w:keepLines w:val="0"/>
              <w:pageBreakBefore w:val="0"/>
              <w:widowControl/>
              <w:kinsoku/>
              <w:wordWrap/>
              <w:overflowPunct/>
              <w:topLinePunct w:val="0"/>
              <w:bidi w:val="0"/>
              <w:snapToGrid/>
              <w:spacing w:line="320" w:lineRule="exact"/>
              <w:textAlignment w:val="auto"/>
              <w:rPr>
                <w:rFonts w:hint="eastAsia" w:ascii="宋体" w:hAnsi="宋体" w:eastAsia="宋体" w:cs="宋体"/>
                <w:color w:val="000000"/>
                <w:sz w:val="22"/>
                <w:szCs w:val="22"/>
                <w:lang w:bidi="ar"/>
              </w:rPr>
            </w:pPr>
            <w:r>
              <w:rPr>
                <w:rFonts w:hint="eastAsia" w:ascii="宋体" w:hAnsi="宋体" w:eastAsia="宋体" w:cs="宋体"/>
                <w:sz w:val="22"/>
                <w:szCs w:val="22"/>
                <w:lang w:bidi="ar"/>
              </w:rPr>
              <w:t>驻场服务方案（6分）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1BBFFA26">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1.服务内容全覆盖，流程细化、标准明确、权责清晰，巡检、监测、漏洞处置、策略优化等措施针对性极强，人员管理及保密机制完善，方案落地性极强，优于项目需求，得6分；</w:t>
            </w:r>
          </w:p>
          <w:p w14:paraId="7075DFE1">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2.服务内容齐全，各环节流程规范、措施详实，安全管控、风险处置体系完善，全面满足项目驻场服务高标准需求，得5分；</w:t>
            </w:r>
          </w:p>
          <w:p w14:paraId="3F03AAA3">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3.服务内容完整，各板块方案科学合理，可稳定保障项目日常运行及安全防控，符合项目全部服务需求，得4.5分；</w:t>
            </w:r>
          </w:p>
          <w:p w14:paraId="15A94F98">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4. 服务内容基本齐全，流程、措施较为常规，针对性一般，可满足项目基础驻场服务需求，存在少量优化空间，得4分；</w:t>
            </w:r>
          </w:p>
          <w:p w14:paraId="3D88D2AC">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rPr>
              <w:t>5.服务内容存在部分缺失，流程简略、措施笼统，人员管理及保密机制不完善，仅能满足项目最低服务要求，得3分；</w:t>
            </w:r>
          </w:p>
          <w:p w14:paraId="0B1B4E02">
            <w:pPr>
              <w:keepNext w:val="0"/>
              <w:keepLines w:val="0"/>
              <w:pageBreakBefore w:val="0"/>
              <w:widowControl/>
              <w:kinsoku/>
              <w:wordWrap/>
              <w:overflowPunct/>
              <w:topLinePunct w:val="0"/>
              <w:bidi w:val="0"/>
              <w:snapToGrid/>
              <w:spacing w:line="320" w:lineRule="exact"/>
              <w:jc w:val="left"/>
              <w:textAlignment w:val="auto"/>
            </w:pPr>
            <w:r>
              <w:rPr>
                <w:rFonts w:hint="eastAsia" w:ascii="宋体" w:hAnsi="宋体" w:eastAsia="宋体" w:cs="宋体"/>
                <w:sz w:val="22"/>
                <w:szCs w:val="22"/>
              </w:rPr>
              <w:t>6.未提供驻场服务方案或方案核心内容大面积缺失、无效，得0分。</w:t>
            </w:r>
          </w:p>
        </w:tc>
      </w:tr>
      <w:tr w14:paraId="099F2ED9">
        <w:tblPrEx>
          <w:tblCellMar>
            <w:top w:w="0" w:type="dxa"/>
            <w:left w:w="108" w:type="dxa"/>
            <w:bottom w:w="0" w:type="dxa"/>
            <w:right w:w="108" w:type="dxa"/>
          </w:tblCellMar>
        </w:tblPrEx>
        <w:trPr>
          <w:trHeight w:val="655" w:hRule="atLeast"/>
          <w:jc w:val="center"/>
        </w:trPr>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210210D8">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193" w:type="dxa"/>
            <w:vMerge w:val="continue"/>
            <w:tcBorders>
              <w:top w:val="single" w:color="000000" w:sz="4" w:space="0"/>
              <w:left w:val="single" w:color="000000" w:sz="4" w:space="0"/>
              <w:bottom w:val="single" w:color="000000" w:sz="4" w:space="0"/>
              <w:right w:val="single" w:color="000000" w:sz="4" w:space="0"/>
            </w:tcBorders>
            <w:vAlign w:val="center"/>
          </w:tcPr>
          <w:p w14:paraId="50886C7A">
            <w:pPr>
              <w:keepNext w:val="0"/>
              <w:keepLines w:val="0"/>
              <w:pageBreakBefore w:val="0"/>
              <w:widowControl/>
              <w:kinsoku/>
              <w:wordWrap/>
              <w:overflowPunct/>
              <w:topLinePunct w:val="0"/>
              <w:bidi w:val="0"/>
              <w:snapToGrid/>
              <w:spacing w:line="320" w:lineRule="exact"/>
              <w:jc w:val="center"/>
              <w:textAlignment w:val="auto"/>
              <w:rPr>
                <w:rFonts w:hint="eastAsia" w:ascii="宋体" w:hAnsi="宋体" w:eastAsia="宋体" w:cs="宋体"/>
                <w:color w:val="000000"/>
                <w:sz w:val="22"/>
                <w:szCs w:val="22"/>
              </w:rPr>
            </w:pPr>
          </w:p>
        </w:tc>
        <w:tc>
          <w:tcPr>
            <w:tcW w:w="1331" w:type="dxa"/>
            <w:tcBorders>
              <w:top w:val="single" w:color="000000" w:sz="4" w:space="0"/>
              <w:left w:val="single" w:color="000000" w:sz="4" w:space="0"/>
              <w:bottom w:val="single" w:color="000000" w:sz="4" w:space="0"/>
              <w:right w:val="single" w:color="000000" w:sz="4" w:space="0"/>
            </w:tcBorders>
            <w:vAlign w:val="center"/>
          </w:tcPr>
          <w:p w14:paraId="1E8EA0B2">
            <w:pPr>
              <w:keepNext w:val="0"/>
              <w:keepLines w:val="0"/>
              <w:pageBreakBefore w:val="0"/>
              <w:widowControl/>
              <w:kinsoku/>
              <w:wordWrap/>
              <w:overflowPunct/>
              <w:topLinePunct w:val="0"/>
              <w:bidi w:val="0"/>
              <w:snapToGrid/>
              <w:spacing w:line="320" w:lineRule="exact"/>
              <w:textAlignment w:val="auto"/>
              <w:rPr>
                <w:rFonts w:ascii="宋体" w:hAnsi="宋体" w:cs="宋体"/>
                <w:color w:val="000000"/>
                <w:sz w:val="22"/>
                <w:szCs w:val="22"/>
                <w:lang w:bidi="ar"/>
              </w:rPr>
            </w:pPr>
            <w:r>
              <w:rPr>
                <w:rFonts w:hint="eastAsia" w:ascii="宋体" w:hAnsi="宋体" w:eastAsia="宋体" w:cs="宋体"/>
                <w:sz w:val="22"/>
                <w:szCs w:val="22"/>
                <w:lang w:bidi="ar"/>
              </w:rPr>
              <w:t>售后服务方案（</w:t>
            </w:r>
            <w:r>
              <w:rPr>
                <w:rFonts w:hint="eastAsia" w:ascii="宋体" w:hAnsi="宋体" w:cs="宋体"/>
                <w:sz w:val="22"/>
                <w:szCs w:val="22"/>
                <w:lang w:bidi="ar"/>
              </w:rPr>
              <w:t>6</w:t>
            </w:r>
            <w:r>
              <w:rPr>
                <w:rFonts w:hint="eastAsia" w:ascii="宋体" w:hAnsi="宋体" w:eastAsia="宋体" w:cs="宋体"/>
                <w:sz w:val="22"/>
                <w:szCs w:val="22"/>
                <w:lang w:bidi="ar"/>
              </w:rPr>
              <w:t>分）</w:t>
            </w:r>
          </w:p>
        </w:tc>
        <w:tc>
          <w:tcPr>
            <w:tcW w:w="6130" w:type="dxa"/>
            <w:tcBorders>
              <w:top w:val="single" w:color="000000" w:sz="4" w:space="0"/>
              <w:left w:val="single" w:color="000000" w:sz="4" w:space="0"/>
              <w:bottom w:val="single" w:color="000000" w:sz="4" w:space="0"/>
              <w:right w:val="single" w:color="000000" w:sz="4" w:space="0"/>
            </w:tcBorders>
            <w:vAlign w:val="center"/>
          </w:tcPr>
          <w:p w14:paraId="3640500B">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1.售后服务体系完善，服务方式适配项目特性，专职人员配置充足、专业匹配度高，故障响应及处置时效极优，本地化服务落地到位，应急保障机制健全，整体方案优于项目需求，得6分；</w:t>
            </w:r>
          </w:p>
          <w:p w14:paraId="11A0DE9F">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2.售后服务架构完整，人员、响应、故障处置、本地化服务等核心维度齐全，服务标准规范，全面满足项目售后需求，得5分；</w:t>
            </w:r>
          </w:p>
          <w:p w14:paraId="7394BC5A">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3.售后服务各项内容齐全，服务流程清晰、处置规范，时效达标，可稳定保障项目售后运维需求，符合项目要求，得4.5分；</w:t>
            </w:r>
          </w:p>
          <w:p w14:paraId="1A559E3B">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4.售后服务内容基本完整，各项服务措施常规通用，针对性一般，可满足项目基础售后需求，得4分；</w:t>
            </w:r>
          </w:p>
          <w:p w14:paraId="3FD260CB">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lang w:bidi="ar"/>
              </w:rPr>
            </w:pPr>
            <w:r>
              <w:rPr>
                <w:rFonts w:hint="eastAsia" w:ascii="宋体" w:hAnsi="宋体" w:eastAsia="宋体" w:cs="宋体"/>
                <w:sz w:val="22"/>
                <w:szCs w:val="22"/>
                <w:lang w:bidi="ar"/>
              </w:rPr>
              <w:t>5.售后服务内容简略，人员配置不足、响应机制不完善，本地化服务保障薄弱，仅能勉强满足项目最低售后要求，得3分；</w:t>
            </w:r>
          </w:p>
          <w:p w14:paraId="34BDF28A">
            <w:pPr>
              <w:keepNext w:val="0"/>
              <w:keepLines w:val="0"/>
              <w:pageBreakBefore w:val="0"/>
              <w:widowControl/>
              <w:kinsoku/>
              <w:wordWrap/>
              <w:overflowPunct/>
              <w:topLinePunct w:val="0"/>
              <w:bidi w:val="0"/>
              <w:snapToGrid/>
              <w:spacing w:line="320" w:lineRule="exact"/>
              <w:jc w:val="left"/>
              <w:textAlignment w:val="auto"/>
              <w:rPr>
                <w:rFonts w:hint="eastAsia" w:ascii="宋体" w:hAnsi="宋体" w:eastAsia="宋体" w:cs="宋体"/>
                <w:sz w:val="22"/>
                <w:szCs w:val="22"/>
              </w:rPr>
            </w:pPr>
            <w:r>
              <w:rPr>
                <w:rFonts w:hint="eastAsia" w:ascii="宋体" w:hAnsi="宋体" w:eastAsia="宋体" w:cs="宋体"/>
                <w:sz w:val="22"/>
                <w:szCs w:val="22"/>
                <w:lang w:bidi="ar"/>
              </w:rPr>
              <w:t>6.未提供售后服务方案或方案内容空洞、无实际服务保障能力，得0分。</w:t>
            </w:r>
          </w:p>
        </w:tc>
      </w:tr>
    </w:tbl>
    <w:p w14:paraId="616F27A7">
      <w:pPr>
        <w:pStyle w:val="32"/>
        <w:spacing w:beforeAutospacing="0" w:afterAutospacing="0" w:line="360" w:lineRule="auto"/>
        <w:jc w:val="both"/>
      </w:pPr>
      <w:r>
        <w:t> </w:t>
      </w:r>
    </w:p>
    <w:p w14:paraId="0175A9D0">
      <w:pPr>
        <w:pStyle w:val="32"/>
        <w:spacing w:beforeAutospacing="0" w:afterAutospacing="0" w:line="360" w:lineRule="auto"/>
        <w:jc w:val="both"/>
      </w:pPr>
      <w:r>
        <w:t> </w:t>
      </w:r>
    </w:p>
    <w:p w14:paraId="5B8DD194">
      <w:pPr>
        <w:pStyle w:val="32"/>
        <w:spacing w:beforeAutospacing="0" w:afterAutospacing="0" w:line="360" w:lineRule="auto"/>
        <w:jc w:val="both"/>
      </w:pPr>
      <w:r>
        <w:t> </w:t>
      </w:r>
    </w:p>
    <w:p w14:paraId="5C6283A2">
      <w:pPr>
        <w:pStyle w:val="32"/>
        <w:spacing w:beforeAutospacing="0" w:afterAutospacing="0" w:line="360" w:lineRule="auto"/>
        <w:jc w:val="both"/>
      </w:pPr>
      <w:r>
        <w:t> </w:t>
      </w:r>
    </w:p>
    <w:p w14:paraId="11816E84">
      <w:pPr>
        <w:pStyle w:val="32"/>
        <w:spacing w:beforeAutospacing="0" w:afterAutospacing="0" w:line="360" w:lineRule="auto"/>
        <w:jc w:val="both"/>
      </w:pPr>
      <w:r>
        <w:t> </w:t>
      </w:r>
    </w:p>
    <w:p w14:paraId="76EEBE12">
      <w:pPr>
        <w:pStyle w:val="32"/>
        <w:spacing w:beforeAutospacing="0" w:afterAutospacing="0" w:line="360" w:lineRule="auto"/>
        <w:jc w:val="both"/>
      </w:pPr>
      <w:r>
        <w:t> </w:t>
      </w:r>
    </w:p>
    <w:p w14:paraId="3D41BB0A">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183AB4D3">
      <w:pPr>
        <w:pStyle w:val="32"/>
        <w:keepNext/>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第六章 投标文件格式</w:t>
      </w:r>
    </w:p>
    <w:p w14:paraId="057762E0">
      <w:pPr>
        <w:pStyle w:val="32"/>
        <w:spacing w:beforeAutospacing="0" w:afterAutospacing="0" w:line="360" w:lineRule="auto"/>
        <w:jc w:val="center"/>
        <w:rPr>
          <w:rFonts w:hint="eastAsia" w:ascii="宋体" w:hAnsi="宋体" w:eastAsia="宋体" w:cs="宋体"/>
          <w:b/>
          <w:color w:val="000000"/>
          <w:sz w:val="72"/>
          <w:szCs w:val="72"/>
        </w:rPr>
      </w:pPr>
      <w:bookmarkStart w:id="181" w:name="_Hlt26671244"/>
      <w:bookmarkEnd w:id="181"/>
      <w:bookmarkStart w:id="182" w:name="_Toc26554094"/>
      <w:bookmarkEnd w:id="182"/>
      <w:bookmarkStart w:id="183" w:name="_Hlt26955039"/>
      <w:bookmarkEnd w:id="183"/>
      <w:bookmarkStart w:id="184" w:name="_Toc49090576"/>
      <w:bookmarkStart w:id="185" w:name="_Toc120614282"/>
    </w:p>
    <w:p w14:paraId="2E06D7A3">
      <w:pPr>
        <w:pStyle w:val="32"/>
        <w:spacing w:beforeAutospacing="0" w:afterAutospacing="0" w:line="360" w:lineRule="auto"/>
        <w:jc w:val="center"/>
        <w:rPr>
          <w:rFonts w:hint="eastAsia" w:ascii="宋体" w:hAnsi="宋体" w:eastAsia="宋体" w:cs="宋体"/>
          <w:b/>
          <w:color w:val="000000"/>
          <w:sz w:val="72"/>
          <w:szCs w:val="72"/>
        </w:rPr>
      </w:pPr>
    </w:p>
    <w:p w14:paraId="43C6D891">
      <w:pPr>
        <w:pStyle w:val="32"/>
        <w:spacing w:beforeAutospacing="0" w:afterAutospacing="0" w:line="360" w:lineRule="auto"/>
        <w:jc w:val="center"/>
        <w:rPr>
          <w:rFonts w:hint="eastAsia" w:ascii="宋体" w:hAnsi="宋体" w:eastAsia="宋体" w:cs="宋体"/>
          <w:b/>
          <w:color w:val="000000"/>
          <w:sz w:val="72"/>
          <w:szCs w:val="72"/>
        </w:rPr>
      </w:pPr>
    </w:p>
    <w:p w14:paraId="1C753CC3">
      <w:pPr>
        <w:pStyle w:val="32"/>
        <w:spacing w:beforeAutospacing="0" w:afterAutospacing="0" w:line="360" w:lineRule="auto"/>
        <w:jc w:val="center"/>
      </w:pPr>
      <w:r>
        <w:rPr>
          <w:rFonts w:hint="eastAsia" w:ascii="宋体" w:hAnsi="宋体" w:eastAsia="宋体" w:cs="宋体"/>
          <w:b/>
          <w:color w:val="000000"/>
          <w:sz w:val="72"/>
          <w:szCs w:val="72"/>
        </w:rPr>
        <w:t>投 标 文 件</w:t>
      </w:r>
    </w:p>
    <w:p w14:paraId="484FEC1D">
      <w:pPr>
        <w:pStyle w:val="32"/>
        <w:spacing w:beforeAutospacing="0" w:afterAutospacing="0" w:line="360" w:lineRule="auto"/>
        <w:jc w:val="center"/>
      </w:pPr>
      <w:r>
        <w:t> </w:t>
      </w:r>
    </w:p>
    <w:p w14:paraId="12CE440E">
      <w:pPr>
        <w:pStyle w:val="32"/>
        <w:spacing w:beforeAutospacing="0" w:afterAutospacing="0" w:line="360" w:lineRule="auto"/>
        <w:jc w:val="center"/>
      </w:pPr>
      <w:r>
        <w:t> </w:t>
      </w:r>
    </w:p>
    <w:p w14:paraId="0B3AF6C7">
      <w:pPr>
        <w:pStyle w:val="32"/>
        <w:spacing w:beforeAutospacing="0" w:afterAutospacing="0" w:line="360" w:lineRule="auto"/>
        <w:jc w:val="center"/>
      </w:pPr>
      <w:r>
        <w:t> </w:t>
      </w:r>
    </w:p>
    <w:p w14:paraId="72A27E5B">
      <w:pPr>
        <w:pStyle w:val="32"/>
        <w:spacing w:beforeAutospacing="0" w:afterAutospacing="0" w:line="360" w:lineRule="auto"/>
        <w:jc w:val="center"/>
      </w:pPr>
      <w:r>
        <w:t> </w:t>
      </w:r>
    </w:p>
    <w:p w14:paraId="4AE54155">
      <w:pPr>
        <w:pStyle w:val="32"/>
        <w:spacing w:beforeAutospacing="0" w:afterAutospacing="0" w:line="360" w:lineRule="auto"/>
        <w:jc w:val="center"/>
      </w:pPr>
      <w:r>
        <w:t> </w:t>
      </w:r>
    </w:p>
    <w:p w14:paraId="77264526">
      <w:pPr>
        <w:pStyle w:val="32"/>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35D5BB6B">
      <w:pPr>
        <w:pStyle w:val="32"/>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276892CE">
      <w:pPr>
        <w:pStyle w:val="32"/>
        <w:spacing w:beforeAutospacing="0" w:afterAutospacing="0" w:line="360" w:lineRule="auto"/>
        <w:jc w:val="both"/>
        <w:rPr>
          <w:rFonts w:eastAsia="宋体"/>
        </w:rPr>
      </w:pPr>
      <w:r>
        <w:rPr>
          <w:rFonts w:hint="eastAsia" w:ascii="宋体" w:hAnsi="宋体" w:eastAsia="宋体" w:cs="宋体"/>
          <w:b/>
          <w:color w:val="000000"/>
          <w:sz w:val="36"/>
          <w:szCs w:val="36"/>
        </w:rPr>
        <w:t>   投标人名称：</w:t>
      </w:r>
      <w:r>
        <w:rPr>
          <w:rFonts w:hint="eastAsia" w:ascii="宋体" w:hAnsi="宋体" w:eastAsia="宋体" w:cs="宋体"/>
          <w:b/>
          <w:color w:val="000000"/>
          <w:sz w:val="36"/>
          <w:szCs w:val="36"/>
          <w:u w:val="single"/>
        </w:rPr>
        <w:t>（加盖CA电子公章）</w:t>
      </w:r>
    </w:p>
    <w:p w14:paraId="09A78F81">
      <w:pPr>
        <w:pStyle w:val="32"/>
        <w:spacing w:beforeAutospacing="0" w:afterAutospacing="0" w:line="360" w:lineRule="auto"/>
        <w:jc w:val="both"/>
      </w:pPr>
      <w:r>
        <w:rPr>
          <w:rFonts w:hint="eastAsia" w:ascii="宋体" w:hAnsi="宋体" w:eastAsia="宋体" w:cs="宋体"/>
          <w:b/>
          <w:color w:val="000000"/>
          <w:sz w:val="36"/>
          <w:szCs w:val="36"/>
        </w:rPr>
        <w:t>   日   期：</w:t>
      </w:r>
      <w:r>
        <w:rPr>
          <w:rFonts w:hint="eastAsia" w:ascii="宋体" w:hAnsi="宋体" w:eastAsia="宋体" w:cs="宋体"/>
          <w:b/>
          <w:color w:val="000000"/>
          <w:sz w:val="36"/>
          <w:szCs w:val="36"/>
          <w:u w:val="single"/>
        </w:rPr>
        <w:t>      </w:t>
      </w:r>
    </w:p>
    <w:p w14:paraId="7E2AED10">
      <w:pPr>
        <w:pStyle w:val="32"/>
        <w:spacing w:beforeAutospacing="0" w:afterAutospacing="0" w:line="360" w:lineRule="auto"/>
        <w:jc w:val="center"/>
      </w:pPr>
      <w:r>
        <w:t> </w:t>
      </w:r>
    </w:p>
    <w:p w14:paraId="7C766F6A">
      <w:pPr>
        <w:pStyle w:val="32"/>
        <w:spacing w:beforeAutospacing="0" w:afterAutospacing="0" w:line="360" w:lineRule="auto"/>
        <w:jc w:val="both"/>
      </w:pPr>
      <w:r>
        <w:t> </w:t>
      </w:r>
    </w:p>
    <w:p w14:paraId="0988B78D">
      <w:pPr>
        <w:pStyle w:val="32"/>
        <w:spacing w:beforeAutospacing="0" w:afterAutospacing="0" w:line="360" w:lineRule="auto"/>
        <w:jc w:val="center"/>
        <w:rPr>
          <w:rFonts w:hint="eastAsia" w:ascii="宋体" w:hAnsi="宋体" w:eastAsia="宋体" w:cs="宋体"/>
          <w:b/>
          <w:color w:val="000000"/>
          <w:sz w:val="36"/>
          <w:szCs w:val="36"/>
          <w:u w:val="single"/>
        </w:rPr>
      </w:pPr>
    </w:p>
    <w:p w14:paraId="23327CAF">
      <w:pPr>
        <w:spacing w:line="360" w:lineRule="auto"/>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p>
    <w:p w14:paraId="6E32A8B1">
      <w:pPr>
        <w:pStyle w:val="32"/>
        <w:spacing w:beforeAutospacing="0" w:afterAutospacing="0" w:line="360" w:lineRule="auto"/>
        <w:jc w:val="center"/>
      </w:pPr>
      <w:r>
        <w:rPr>
          <w:rFonts w:hint="eastAsia" w:ascii="宋体" w:hAnsi="宋体" w:eastAsia="宋体" w:cs="宋体"/>
          <w:b/>
          <w:color w:val="000000"/>
          <w:sz w:val="32"/>
          <w:szCs w:val="32"/>
        </w:rPr>
        <w:t>投标文件目录</w:t>
      </w:r>
    </w:p>
    <w:p w14:paraId="6F28F536">
      <w:pPr>
        <w:pStyle w:val="32"/>
        <w:spacing w:beforeAutospacing="0" w:afterAutospacing="0" w:line="360" w:lineRule="auto"/>
        <w:jc w:val="center"/>
      </w:pPr>
      <w:r>
        <w:t> </w:t>
      </w:r>
    </w:p>
    <w:p w14:paraId="1FC41A22">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7A3114CB">
      <w:pPr>
        <w:tabs>
          <w:tab w:val="left" w:pos="1331"/>
        </w:tabs>
        <w:spacing w:line="360" w:lineRule="auto"/>
        <w:ind w:firstLine="480"/>
        <w:jc w:val="left"/>
        <w:rPr>
          <w:rFonts w:hint="eastAsia" w:ascii="宋体" w:hAnsi="宋体" w:eastAsia="宋体" w:cs="宋体"/>
          <w:iCs/>
          <w:color w:val="000000"/>
          <w:sz w:val="24"/>
        </w:rPr>
      </w:pPr>
      <w:r>
        <w:rPr>
          <w:rFonts w:hint="eastAsia" w:ascii="宋体" w:hAnsi="宋体" w:eastAsia="宋体" w:cs="宋体"/>
          <w:iCs/>
          <w:color w:val="000000"/>
          <w:sz w:val="24"/>
        </w:rPr>
        <w:t>二、上一年度的财务状况报告（至少提供资产负债表、利润表、现金流量表，</w:t>
      </w:r>
    </w:p>
    <w:p w14:paraId="7D28B538">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投标人成立不满一年无需提供）</w:t>
      </w:r>
    </w:p>
    <w:p w14:paraId="0BBEE6DC">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105CA49E">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73AF50F">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五、参加政府采购活动前3年内在经营活动中没有重大违法记录的书面声明</w:t>
      </w:r>
    </w:p>
    <w:p w14:paraId="3038E82D">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24725F03">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七、法人授权书</w:t>
      </w:r>
    </w:p>
    <w:p w14:paraId="5DAE9FC1">
      <w:pPr>
        <w:pStyle w:val="32"/>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八、投标函</w:t>
      </w:r>
    </w:p>
    <w:p w14:paraId="591B2750">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九、</w:t>
      </w:r>
      <w:r>
        <w:rPr>
          <w:rFonts w:hint="eastAsia" w:ascii="宋体" w:hAnsi="宋体" w:eastAsia="宋体" w:cs="宋体"/>
          <w:iCs/>
        </w:rPr>
        <w:t>中小企业声明函</w:t>
      </w:r>
    </w:p>
    <w:p w14:paraId="0FC92EF2">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十、残疾人福利性单位声明函</w:t>
      </w:r>
    </w:p>
    <w:p w14:paraId="59BB589F">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十一、投标分项报价表</w:t>
      </w:r>
    </w:p>
    <w:p w14:paraId="30421204">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十二、技术要求响应及偏离表</w:t>
      </w:r>
    </w:p>
    <w:p w14:paraId="2C0B0E32">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十三、商务要求响应及偏离表</w:t>
      </w:r>
    </w:p>
    <w:p w14:paraId="6CCE7019">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十四、开标一览表</w:t>
      </w:r>
    </w:p>
    <w:p w14:paraId="0D377FB1">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十五、采购方案、质量控制及应急方案、驻场服务方案、售后服务方案等</w:t>
      </w:r>
    </w:p>
    <w:p w14:paraId="522BF5BB">
      <w:pPr>
        <w:pStyle w:val="32"/>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十六、盐城市政府采购事前信用承诺书</w:t>
      </w:r>
    </w:p>
    <w:p w14:paraId="050D5693">
      <w:pPr>
        <w:pStyle w:val="32"/>
        <w:spacing w:beforeAutospacing="0" w:afterAutospacing="0" w:line="360" w:lineRule="auto"/>
        <w:ind w:firstLine="480"/>
        <w:jc w:val="both"/>
        <w:rPr>
          <w:rFonts w:hint="eastAsia" w:ascii="宋体" w:hAnsi="宋体" w:eastAsia="宋体" w:cs="宋体"/>
          <w:iCs/>
          <w:color w:val="000000"/>
        </w:rPr>
      </w:pPr>
    </w:p>
    <w:p w14:paraId="474430C7">
      <w:pPr>
        <w:pStyle w:val="32"/>
        <w:spacing w:beforeAutospacing="0" w:afterAutospacing="0" w:line="360" w:lineRule="auto"/>
        <w:ind w:firstLine="480"/>
        <w:jc w:val="both"/>
        <w:rPr>
          <w:rFonts w:hint="eastAsia" w:ascii="宋体" w:hAnsi="宋体" w:eastAsia="宋体" w:cs="宋体"/>
          <w:color w:val="000000"/>
        </w:rPr>
      </w:pPr>
    </w:p>
    <w:p w14:paraId="5F188DCF">
      <w:pPr>
        <w:pStyle w:val="32"/>
        <w:spacing w:beforeAutospacing="0" w:afterAutospacing="0" w:line="360" w:lineRule="auto"/>
        <w:ind w:firstLine="480"/>
        <w:jc w:val="both"/>
      </w:pPr>
      <w:r>
        <w:t> </w:t>
      </w:r>
    </w:p>
    <w:p w14:paraId="00DC859A">
      <w:pPr>
        <w:pStyle w:val="32"/>
        <w:spacing w:beforeAutospacing="0" w:afterAutospacing="0" w:line="360" w:lineRule="auto"/>
        <w:ind w:firstLine="480"/>
        <w:jc w:val="both"/>
      </w:pPr>
      <w:r>
        <w:t> </w:t>
      </w:r>
    </w:p>
    <w:p w14:paraId="2565555A">
      <w:pPr>
        <w:pStyle w:val="32"/>
        <w:spacing w:beforeAutospacing="0" w:afterAutospacing="0" w:line="360" w:lineRule="auto"/>
        <w:ind w:firstLine="480"/>
        <w:jc w:val="both"/>
      </w:pPr>
      <w:r>
        <w:t> </w:t>
      </w:r>
    </w:p>
    <w:p w14:paraId="64AEB42F">
      <w:pPr>
        <w:pStyle w:val="32"/>
        <w:spacing w:beforeAutospacing="0" w:afterAutospacing="0" w:line="360" w:lineRule="auto"/>
        <w:ind w:firstLine="480"/>
        <w:jc w:val="both"/>
      </w:pPr>
      <w:r>
        <w:t> </w:t>
      </w:r>
    </w:p>
    <w:p w14:paraId="3F0B2526">
      <w:pPr>
        <w:pStyle w:val="32"/>
        <w:spacing w:beforeAutospacing="0" w:afterAutospacing="0" w:line="360" w:lineRule="auto"/>
        <w:ind w:firstLine="480"/>
        <w:jc w:val="both"/>
      </w:pPr>
    </w:p>
    <w:p w14:paraId="689F1DBC">
      <w:pPr>
        <w:pStyle w:val="32"/>
        <w:spacing w:beforeAutospacing="0" w:afterAutospacing="0" w:line="360" w:lineRule="auto"/>
        <w:jc w:val="both"/>
      </w:pPr>
      <w:r>
        <w:t> </w:t>
      </w:r>
    </w:p>
    <w:p w14:paraId="7506AD43">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r>
    </w:p>
    <w:p w14:paraId="515885D7">
      <w:pPr>
        <w:pStyle w:val="32"/>
        <w:spacing w:beforeAutospacing="0" w:afterAutospacing="0" w:line="360" w:lineRule="auto"/>
        <w:jc w:val="both"/>
      </w:pPr>
      <w:r>
        <w:rPr>
          <w:rFonts w:hint="eastAsia" w:ascii="黑体" w:hAnsi="宋体" w:eastAsia="黑体" w:cs="黑体"/>
          <w:i/>
          <w:color w:val="000000"/>
          <w:sz w:val="32"/>
          <w:szCs w:val="32"/>
          <w:u w:val="single"/>
        </w:rPr>
        <w:t>一、法人或者其他组织的营业执照等证明文件，自然人的身份证明</w:t>
      </w:r>
    </w:p>
    <w:p w14:paraId="3135892D">
      <w:pPr>
        <w:pStyle w:val="32"/>
        <w:spacing w:beforeAutospacing="0" w:afterAutospacing="0" w:line="360" w:lineRule="auto"/>
        <w:ind w:firstLine="480"/>
        <w:jc w:val="both"/>
      </w:pPr>
      <w:r>
        <w:t> </w:t>
      </w:r>
    </w:p>
    <w:p w14:paraId="0F8DC9E1">
      <w:pPr>
        <w:pStyle w:val="32"/>
        <w:spacing w:beforeAutospacing="0" w:afterAutospacing="0" w:line="360" w:lineRule="auto"/>
        <w:jc w:val="both"/>
        <w:rPr>
          <w:rFonts w:eastAsia="黑体"/>
        </w:rPr>
      </w:pPr>
      <w:r>
        <w:rPr>
          <w:rFonts w:hint="eastAsia" w:ascii="黑体" w:hAnsi="宋体" w:eastAsia="黑体" w:cs="黑体"/>
          <w:i/>
          <w:color w:val="000000"/>
          <w:sz w:val="32"/>
          <w:szCs w:val="32"/>
          <w:u w:val="single"/>
        </w:rPr>
        <w:t>二、上一年度的财务状况报告</w:t>
      </w:r>
    </w:p>
    <w:p w14:paraId="411E6887">
      <w:pPr>
        <w:tabs>
          <w:tab w:val="left" w:pos="1331"/>
        </w:tabs>
        <w:spacing w:line="360" w:lineRule="auto"/>
        <w:jc w:val="left"/>
        <w:rPr>
          <w:rFonts w:hint="eastAsia" w:ascii="宋体" w:hAnsi="宋体" w:eastAsia="宋体" w:cs="宋体"/>
          <w:iCs/>
          <w:color w:val="000000"/>
          <w:sz w:val="24"/>
        </w:rPr>
      </w:pPr>
      <w:r>
        <w:rPr>
          <w:rFonts w:hint="eastAsia" w:ascii="宋体" w:hAnsi="宋体" w:eastAsia="宋体" w:cs="宋体"/>
          <w:iCs/>
          <w:color w:val="000000"/>
          <w:sz w:val="24"/>
        </w:rPr>
        <w:t>（至少提供资产负债表、利润表、现金流量表，投标人成立不满一年无需提供）</w:t>
      </w:r>
    </w:p>
    <w:p w14:paraId="57B94340">
      <w:pPr>
        <w:pStyle w:val="32"/>
        <w:spacing w:beforeAutospacing="0" w:afterAutospacing="0" w:line="360" w:lineRule="auto"/>
        <w:ind w:firstLine="480"/>
        <w:jc w:val="both"/>
      </w:pPr>
    </w:p>
    <w:p w14:paraId="392E4A9E">
      <w:pPr>
        <w:pStyle w:val="32"/>
        <w:spacing w:beforeAutospacing="0" w:afterAutospacing="0" w:line="360" w:lineRule="auto"/>
        <w:jc w:val="both"/>
      </w:pPr>
      <w:r>
        <w:t> </w:t>
      </w:r>
    </w:p>
    <w:p w14:paraId="11A68D88">
      <w:pPr>
        <w:pStyle w:val="32"/>
        <w:spacing w:beforeAutospacing="0" w:afterAutospacing="0" w:line="360" w:lineRule="auto"/>
        <w:jc w:val="both"/>
      </w:pPr>
      <w:r>
        <w:t> </w:t>
      </w:r>
    </w:p>
    <w:p w14:paraId="6406B5A6">
      <w:pPr>
        <w:pStyle w:val="32"/>
        <w:spacing w:beforeAutospacing="0" w:afterAutospacing="0" w:line="360" w:lineRule="auto"/>
        <w:jc w:val="both"/>
      </w:pPr>
      <w:r>
        <w:rPr>
          <w:rFonts w:hint="eastAsia" w:ascii="黑体" w:hAnsi="宋体" w:eastAsia="黑体" w:cs="黑体"/>
          <w:i/>
          <w:color w:val="000000"/>
          <w:sz w:val="32"/>
          <w:szCs w:val="32"/>
          <w:u w:val="single"/>
        </w:rPr>
        <w:t>三、具备履行合同所必需的设备和专业技术能力的书面声明</w:t>
      </w:r>
    </w:p>
    <w:p w14:paraId="3ED7827D">
      <w:pPr>
        <w:pStyle w:val="32"/>
        <w:spacing w:beforeAutospacing="0" w:afterAutospacing="0" w:line="360" w:lineRule="auto"/>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DF18432">
      <w:pPr>
        <w:pStyle w:val="32"/>
        <w:spacing w:beforeAutospacing="0" w:afterAutospacing="0" w:line="360" w:lineRule="auto"/>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w:t>
      </w:r>
      <w:r>
        <w:rPr>
          <w:rFonts w:hint="eastAsia" w:ascii="宋体" w:hAnsi="宋体" w:eastAsia="宋体" w:cs="宋体"/>
          <w:color w:val="000000"/>
        </w:rPr>
        <w:t>。</w:t>
      </w:r>
    </w:p>
    <w:p w14:paraId="2BE9D10A">
      <w:pPr>
        <w:pStyle w:val="3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w:t>
      </w:r>
      <w:r>
        <w:rPr>
          <w:rFonts w:hint="eastAsia" w:ascii="宋体" w:hAnsi="宋体" w:eastAsia="宋体" w:cs="宋体"/>
          <w:color w:val="000000"/>
        </w:rPr>
        <w:t>。</w:t>
      </w:r>
    </w:p>
    <w:p w14:paraId="6162D261">
      <w:pPr>
        <w:pStyle w:val="32"/>
        <w:spacing w:beforeAutospacing="0" w:afterAutospacing="0" w:line="360" w:lineRule="auto"/>
        <w:jc w:val="both"/>
      </w:pPr>
      <w:r>
        <w:rPr>
          <w:rFonts w:hint="eastAsia" w:ascii="黑体" w:hAnsi="宋体" w:eastAsia="黑体" w:cs="黑体"/>
          <w:i/>
          <w:color w:val="000000"/>
          <w:sz w:val="32"/>
          <w:szCs w:val="32"/>
          <w:u w:val="single"/>
        </w:rPr>
        <w:t>四、依法缴纳税收和社会保障资金的相关材料</w:t>
      </w:r>
    </w:p>
    <w:p w14:paraId="2DB5DBB1">
      <w:pPr>
        <w:pStyle w:val="32"/>
        <w:spacing w:beforeAutospacing="0" w:afterAutospacing="0" w:line="360" w:lineRule="auto"/>
        <w:ind w:firstLine="480"/>
        <w:jc w:val="both"/>
      </w:pPr>
      <w:bookmarkStart w:id="186"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6"/>
    </w:p>
    <w:p w14:paraId="7402473C">
      <w:pPr>
        <w:pStyle w:val="32"/>
        <w:spacing w:beforeAutospacing="0" w:afterAutospacing="0" w:line="360" w:lineRule="auto"/>
        <w:jc w:val="both"/>
      </w:pPr>
      <w:r>
        <w:rPr>
          <w:rFonts w:hint="eastAsia" w:ascii="黑体" w:hAnsi="宋体" w:eastAsia="黑体" w:cs="黑体"/>
          <w:i/>
          <w:color w:val="000000"/>
          <w:sz w:val="32"/>
          <w:szCs w:val="32"/>
          <w:u w:val="single"/>
        </w:rPr>
        <w:t>五、参加政府采购活动前3年内在经营活动中没有重大违法记录的书面声明</w:t>
      </w:r>
    </w:p>
    <w:p w14:paraId="6E96BFA1">
      <w:pPr>
        <w:pStyle w:val="32"/>
        <w:spacing w:beforeAutospacing="0" w:afterAutospacing="0" w:line="360" w:lineRule="auto"/>
        <w:jc w:val="both"/>
      </w:pPr>
      <w:r>
        <w:rPr>
          <w:rFonts w:hint="eastAsia" w:ascii="宋体" w:hAnsi="宋体" w:eastAsia="宋体" w:cs="宋体"/>
          <w:b/>
          <w:color w:val="000000"/>
          <w:sz w:val="44"/>
          <w:szCs w:val="44"/>
        </w:rPr>
        <w:t>       声 明</w:t>
      </w:r>
    </w:p>
    <w:p w14:paraId="65617308">
      <w:pPr>
        <w:pStyle w:val="32"/>
        <w:spacing w:beforeAutospacing="0" w:afterAutospacing="0" w:line="360" w:lineRule="auto"/>
        <w:jc w:val="both"/>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我单位郑重声明：参加本次政府采购活动前3年内，我单位在经营活动中没有因违法经营受到刑事处罚或者责令停产停业、吊销许可证或者执照、较大数额罚款等行政处罚。</w:t>
      </w:r>
    </w:p>
    <w:p w14:paraId="200E8431">
      <w:pPr>
        <w:pStyle w:val="32"/>
        <w:spacing w:beforeAutospacing="0" w:afterAutospacing="0" w:line="360" w:lineRule="auto"/>
        <w:jc w:val="both"/>
      </w:pPr>
      <w:r>
        <w:t> </w:t>
      </w:r>
    </w:p>
    <w:p w14:paraId="1EEB37D9">
      <w:pPr>
        <w:pStyle w:val="32"/>
        <w:spacing w:beforeAutospacing="0" w:afterAutospacing="0" w:line="360" w:lineRule="auto"/>
        <w:jc w:val="both"/>
      </w:pPr>
      <w:r>
        <w:rPr>
          <w:rFonts w:hint="eastAsia" w:ascii="黑体" w:hAnsi="宋体" w:eastAsia="黑体" w:cs="黑体"/>
          <w:i/>
          <w:color w:val="000000"/>
          <w:sz w:val="32"/>
          <w:szCs w:val="32"/>
          <w:u w:val="single"/>
        </w:rPr>
        <w:t>六、特定资格要求的证明文件</w:t>
      </w:r>
    </w:p>
    <w:p w14:paraId="3B409ED9">
      <w:pPr>
        <w:pStyle w:val="32"/>
        <w:spacing w:beforeAutospacing="0" w:afterAutospacing="0" w:line="360" w:lineRule="auto"/>
        <w:jc w:val="both"/>
      </w:pPr>
      <w:r>
        <w:rPr>
          <w:rFonts w:hint="eastAsia" w:ascii="宋体" w:hAnsi="宋体" w:eastAsia="宋体" w:cs="宋体"/>
          <w:color w:val="000000"/>
        </w:rPr>
        <w:t>   如果本项目申请人的特定资格要求中要求提供的，必须提供。</w:t>
      </w:r>
    </w:p>
    <w:p w14:paraId="59D0AB0A">
      <w:pPr>
        <w:pStyle w:val="32"/>
        <w:spacing w:beforeAutospacing="0" w:afterAutospacing="0" w:line="360" w:lineRule="auto"/>
        <w:jc w:val="both"/>
      </w:pPr>
      <w:r>
        <w:t> </w:t>
      </w:r>
    </w:p>
    <w:p w14:paraId="24DDC400">
      <w:pPr>
        <w:pStyle w:val="32"/>
        <w:spacing w:beforeAutospacing="0" w:afterAutospacing="0" w:line="360" w:lineRule="auto"/>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七、法人授权书</w:t>
      </w:r>
    </w:p>
    <w:p w14:paraId="0E96A26A">
      <w:pPr>
        <w:pStyle w:val="32"/>
        <w:spacing w:beforeAutospacing="0" w:afterAutospacing="0" w:line="360" w:lineRule="auto"/>
        <w:jc w:val="both"/>
        <w:rPr>
          <w:rFonts w:hint="eastAsia" w:ascii="黑体" w:hAnsi="宋体" w:eastAsia="黑体" w:cs="黑体"/>
          <w:i/>
          <w:color w:val="000000"/>
          <w:sz w:val="32"/>
          <w:szCs w:val="32"/>
          <w:u w:val="single"/>
        </w:rPr>
      </w:pPr>
    </w:p>
    <w:p w14:paraId="6E2636F9">
      <w:pPr>
        <w:pStyle w:val="32"/>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0A7C44D">
      <w:pPr>
        <w:pStyle w:val="32"/>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03FD67F7">
      <w:pPr>
        <w:pStyle w:val="32"/>
        <w:tabs>
          <w:tab w:val="left" w:pos="360"/>
        </w:tabs>
        <w:spacing w:beforeAutospacing="0" w:afterAutospacing="0" w:line="360" w:lineRule="auto"/>
      </w:pPr>
      <w:r>
        <w:rPr>
          <w:rFonts w:ascii="Times New Roman" w:hAnsi="Times New Roman"/>
          <w:color w:val="000000"/>
        </w:rPr>
        <w:t>        被授权人身份证号码：</w:t>
      </w:r>
      <w:r>
        <w:rPr>
          <w:rFonts w:ascii="Times New Roman" w:hAnsi="Times New Roman"/>
          <w:color w:val="000000"/>
          <w:u w:val="single"/>
        </w:rPr>
        <w:t>                             </w:t>
      </w:r>
    </w:p>
    <w:p w14:paraId="05E4EA76">
      <w:pPr>
        <w:pStyle w:val="32"/>
        <w:tabs>
          <w:tab w:val="left" w:pos="360"/>
        </w:tabs>
        <w:spacing w:beforeAutospacing="0" w:afterAutospacing="0" w:line="360" w:lineRule="auto"/>
        <w:rPr>
          <w:rFonts w:ascii="Times New Roman" w:hAnsi="Times New Roman"/>
          <w:color w:val="000000"/>
        </w:rPr>
      </w:pPr>
      <w:r>
        <w:rPr>
          <w:rFonts w:ascii="Times New Roman" w:hAnsi="Times New Roman"/>
          <w:color w:val="000000"/>
        </w:rPr>
        <w:t>        被授权人联系电话：</w:t>
      </w:r>
      <w:r>
        <w:rPr>
          <w:rFonts w:ascii="Times New Roman" w:hAnsi="Times New Roman"/>
          <w:color w:val="000000"/>
          <w:u w:val="single"/>
        </w:rPr>
        <w:t>（手机）</w:t>
      </w:r>
      <w:r>
        <w:rPr>
          <w:rFonts w:ascii="Times New Roman" w:hAnsi="Times New Roman"/>
          <w:color w:val="000000"/>
        </w:rPr>
        <w:t>                         </w:t>
      </w:r>
    </w:p>
    <w:p w14:paraId="7E5625F1">
      <w:pPr>
        <w:pStyle w:val="32"/>
        <w:tabs>
          <w:tab w:val="left" w:pos="360"/>
        </w:tabs>
        <w:spacing w:beforeAutospacing="0" w:afterAutospacing="0" w:line="360" w:lineRule="auto"/>
        <w:ind w:firstLine="480"/>
        <w:rPr>
          <w:rFonts w:ascii="Times New Roman" w:hAnsi="Times New Roman"/>
          <w:color w:val="000000"/>
        </w:rPr>
      </w:pPr>
      <w:r>
        <w:rPr>
          <w:rFonts w:ascii="Times New Roman" w:hAnsi="Times New Roman"/>
          <w:color w:val="000000"/>
        </w:rPr>
        <w:t>授权单位名称：</w:t>
      </w:r>
      <w:r>
        <w:rPr>
          <w:rFonts w:ascii="Times New Roman" w:hAnsi="Times New Roman"/>
          <w:color w:val="000000"/>
          <w:u w:val="single"/>
        </w:rPr>
        <w:t>（加盖CA电子公章）</w:t>
      </w:r>
    </w:p>
    <w:p w14:paraId="1FE0FEC2">
      <w:pPr>
        <w:pStyle w:val="32"/>
        <w:tabs>
          <w:tab w:val="left" w:pos="360"/>
        </w:tabs>
        <w:spacing w:beforeAutospacing="0" w:afterAutospacing="0" w:line="360" w:lineRule="auto"/>
        <w:rPr>
          <w:rFonts w:ascii="Times New Roman" w:hAnsi="Times New Roman"/>
          <w:color w:val="000000"/>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单位地址：</w:t>
      </w:r>
      <w:r>
        <w:rPr>
          <w:rFonts w:ascii="Times New Roman" w:hAnsi="Times New Roman"/>
          <w:color w:val="000000"/>
          <w:u w:val="single"/>
        </w:rPr>
        <w:t>                                        </w:t>
      </w:r>
    </w:p>
    <w:p w14:paraId="6803E4AC">
      <w:pPr>
        <w:pStyle w:val="32"/>
        <w:tabs>
          <w:tab w:val="left" w:pos="360"/>
        </w:tabs>
        <w:spacing w:beforeAutospacing="0" w:afterAutospacing="0" w:line="360" w:lineRule="auto"/>
        <w:rPr>
          <w:rFonts w:ascii="Times New Roman" w:hAnsi="Times New Roman"/>
          <w:color w:val="000000"/>
          <w:u w:val="single"/>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日期：</w:t>
      </w:r>
      <w:bookmarkStart w:id="187" w:name="_格式3__银行出具的资信证明"/>
      <w:bookmarkStart w:id="188" w:name="_Hlt26955070"/>
      <w:bookmarkStart w:id="189" w:name="_Hlt26671380"/>
      <w:r>
        <w:rPr>
          <w:rFonts w:ascii="Times New Roman" w:hAnsi="Times New Roman"/>
          <w:color w:val="000000"/>
        </w:rPr>
        <w:t> </w:t>
      </w:r>
      <w:r>
        <w:rPr>
          <w:rFonts w:ascii="Times New Roman" w:hAnsi="Times New Roman"/>
          <w:color w:val="000000"/>
          <w:u w:val="single"/>
        </w:rPr>
        <w:t>                                       </w:t>
      </w:r>
    </w:p>
    <w:p w14:paraId="1DB3DDAD">
      <w:pPr>
        <w:pStyle w:val="32"/>
        <w:spacing w:beforeAutospacing="0" w:afterAutospacing="0" w:line="360" w:lineRule="auto"/>
        <w:ind w:firstLine="420"/>
        <w:jc w:val="both"/>
      </w:pPr>
      <w:r>
        <w:t> </w:t>
      </w:r>
    </w:p>
    <w:p w14:paraId="73E3BD35">
      <w:pPr>
        <w:pStyle w:val="32"/>
        <w:spacing w:beforeAutospacing="0" w:afterAutospacing="0" w:line="360" w:lineRule="auto"/>
        <w:jc w:val="both"/>
      </w:pPr>
      <w:r>
        <w:t> </w:t>
      </w:r>
    </w:p>
    <w:p w14:paraId="4EA90996">
      <w:pPr>
        <w:pStyle w:val="32"/>
        <w:spacing w:beforeAutospacing="0" w:afterAutospacing="0" w:line="360" w:lineRule="auto"/>
        <w:jc w:val="both"/>
      </w:pPr>
      <w:r>
        <w:t> </w:t>
      </w:r>
    </w:p>
    <w:p w14:paraId="54EC4B84">
      <w:pPr>
        <w:pStyle w:val="32"/>
        <w:spacing w:beforeAutospacing="0" w:afterAutospacing="0" w:line="360" w:lineRule="auto"/>
        <w:jc w:val="both"/>
      </w:pPr>
      <w:r>
        <w:rPr>
          <w:rFonts w:hint="eastAsia" w:ascii="宋体" w:hAnsi="宋体" w:eastAsia="宋体" w:cs="宋体"/>
          <w:color w:val="000000"/>
        </w:rPr>
        <w:t>   </w:t>
      </w:r>
    </w:p>
    <w:p w14:paraId="2D09A654">
      <w:pPr>
        <w:pStyle w:val="32"/>
        <w:keepNext/>
        <w:keepLines/>
        <w:spacing w:before="260" w:beforeAutospacing="0" w:after="260" w:afterAutospacing="0" w:line="360" w:lineRule="auto"/>
        <w:ind w:firstLine="3390"/>
        <w:jc w:val="both"/>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540D2CD2">
      <w:pPr>
        <w:pStyle w:val="32"/>
        <w:spacing w:beforeAutospacing="0" w:afterAutospacing="0" w:line="360" w:lineRule="auto"/>
        <w:rPr>
          <w:rFonts w:eastAsia="宋体"/>
          <w:u w:val="single"/>
        </w:rPr>
      </w:pPr>
      <w:r>
        <w:rPr>
          <w:rFonts w:hint="eastAsia" w:ascii="宋体" w:hAnsi="宋体" w:eastAsia="宋体" w:cs="宋体"/>
          <w:color w:val="000000"/>
        </w:rPr>
        <w:t>致：</w:t>
      </w:r>
      <w:r>
        <w:rPr>
          <w:rFonts w:hint="eastAsia" w:ascii="宋体" w:hAnsi="宋体" w:eastAsia="宋体" w:cs="宋体"/>
          <w:color w:val="000000"/>
          <w:u w:val="single"/>
        </w:rPr>
        <w:t xml:space="preserve">          </w:t>
      </w:r>
    </w:p>
    <w:p w14:paraId="3F03387A">
      <w:pPr>
        <w:pStyle w:val="32"/>
        <w:spacing w:beforeAutospacing="0" w:afterAutospacing="0" w:line="360" w:lineRule="auto"/>
        <w:ind w:firstLine="480"/>
      </w:pPr>
      <w:r>
        <w:rPr>
          <w:rFonts w:hint="eastAsia" w:ascii="宋体" w:hAnsi="宋体" w:eastAsia="宋体" w:cs="宋体"/>
          <w:color w:val="000000"/>
        </w:rPr>
        <w:t>根据贵方的</w:t>
      </w:r>
      <w:r>
        <w:rPr>
          <w:rFonts w:hint="eastAsia" w:ascii="宋体" w:hAnsi="宋体" w:eastAsia="宋体" w:cs="宋体"/>
          <w:color w:val="000000"/>
          <w:u w:val="single"/>
        </w:rPr>
        <w:t>JSZC-320922-JZCG-G2026-0006</w:t>
      </w:r>
      <w:r>
        <w:rPr>
          <w:rFonts w:hint="eastAsia" w:ascii="宋体" w:hAnsi="宋体" w:eastAsia="宋体" w:cs="宋体"/>
          <w:color w:val="000000"/>
        </w:rPr>
        <w:t>号招标文件，正式授权下述签字人______(姓名)代表我方______________（投标人的名称），全权处理本次项目投标的有关事宜。</w:t>
      </w:r>
    </w:p>
    <w:p w14:paraId="44FF5EDD">
      <w:pPr>
        <w:pStyle w:val="32"/>
        <w:spacing w:beforeAutospacing="0" w:afterAutospacing="0" w:line="360" w:lineRule="auto"/>
        <w:ind w:firstLine="480"/>
      </w:pPr>
      <w:r>
        <w:rPr>
          <w:rFonts w:hint="eastAsia" w:ascii="宋体" w:hAnsi="宋体" w:eastAsia="宋体" w:cs="宋体"/>
          <w:color w:val="000000"/>
        </w:rPr>
        <w:t>据此函，__________签字人兹宣布同意如下：</w:t>
      </w:r>
    </w:p>
    <w:p w14:paraId="2564830F">
      <w:pPr>
        <w:pStyle w:val="32"/>
        <w:spacing w:beforeAutospacing="0" w:afterAutospacing="0" w:line="360" w:lineRule="auto"/>
        <w:ind w:firstLine="480"/>
      </w:pPr>
      <w:r>
        <w:rPr>
          <w:rFonts w:hint="eastAsia" w:ascii="宋体" w:hAnsi="宋体" w:eastAsia="宋体" w:cs="宋体"/>
          <w:color w:val="000000"/>
        </w:rPr>
        <w:t>1.按招标文件规定的各项要求，向买方提供所需服务（包含与服务相关的货物）。</w:t>
      </w:r>
    </w:p>
    <w:p w14:paraId="138547A9">
      <w:pPr>
        <w:pStyle w:val="32"/>
        <w:spacing w:beforeAutospacing="0" w:afterAutospacing="0" w:line="360" w:lineRule="auto"/>
        <w:ind w:firstLine="480"/>
      </w:pPr>
      <w:r>
        <w:rPr>
          <w:rFonts w:hint="eastAsia" w:ascii="宋体" w:hAnsi="宋体" w:eastAsia="宋体" w:cs="宋体"/>
          <w:color w:val="000000"/>
        </w:rPr>
        <w:t>2.我们完全理解贵方不一定将合同授予最低报价的投标人。</w:t>
      </w:r>
    </w:p>
    <w:p w14:paraId="15AEEE77">
      <w:pPr>
        <w:pStyle w:val="32"/>
        <w:spacing w:beforeAutospacing="0" w:afterAutospacing="0" w:line="360" w:lineRule="auto"/>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A38DC6C">
      <w:pPr>
        <w:pStyle w:val="32"/>
        <w:spacing w:beforeAutospacing="0" w:afterAutospacing="0" w:line="360" w:lineRule="auto"/>
        <w:ind w:firstLine="480"/>
      </w:pPr>
      <w:r>
        <w:rPr>
          <w:rFonts w:hint="eastAsia" w:ascii="宋体" w:hAnsi="宋体" w:eastAsia="宋体" w:cs="宋体"/>
          <w:color w:val="000000"/>
        </w:rPr>
        <w:t>4.我们同意从规定的开标日期起遵循本投标文件，并在规定的投标有效期期满之前均具有约束力。</w:t>
      </w:r>
    </w:p>
    <w:p w14:paraId="0C22DAA9">
      <w:pPr>
        <w:pStyle w:val="32"/>
        <w:spacing w:beforeAutospacing="0" w:afterAutospacing="0" w:line="360" w:lineRule="auto"/>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284F057">
      <w:pPr>
        <w:pStyle w:val="32"/>
        <w:spacing w:beforeAutospacing="0" w:afterAutospacing="0" w:line="360" w:lineRule="auto"/>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51C41081">
      <w:pPr>
        <w:pStyle w:val="32"/>
        <w:spacing w:beforeAutospacing="0" w:afterAutospacing="0" w:line="360" w:lineRule="auto"/>
        <w:ind w:firstLine="480"/>
      </w:pPr>
      <w:r>
        <w:rPr>
          <w:rFonts w:hint="eastAsia" w:ascii="宋体" w:hAnsi="宋体" w:eastAsia="宋体" w:cs="宋体"/>
          <w:color w:val="000000"/>
        </w:rPr>
        <w:t>7.与本投标有关的正式通讯地址为：</w:t>
      </w:r>
    </w:p>
    <w:p w14:paraId="4ED25383">
      <w:pPr>
        <w:pStyle w:val="32"/>
        <w:spacing w:beforeAutospacing="0" w:afterAutospacing="0" w:line="360" w:lineRule="auto"/>
        <w:ind w:left="420" w:firstLine="480"/>
      </w:pPr>
      <w:r>
        <w:rPr>
          <w:rFonts w:hint="eastAsia" w:ascii="宋体" w:hAnsi="宋体" w:eastAsia="宋体" w:cs="宋体"/>
          <w:color w:val="000000"/>
        </w:rPr>
        <w:t>地         址：</w:t>
      </w:r>
    </w:p>
    <w:p w14:paraId="486622A7">
      <w:pPr>
        <w:pStyle w:val="32"/>
        <w:spacing w:beforeAutospacing="0" w:afterAutospacing="0" w:line="360" w:lineRule="auto"/>
        <w:ind w:left="420" w:firstLine="480"/>
      </w:pPr>
      <w:r>
        <w:rPr>
          <w:rFonts w:hint="eastAsia" w:ascii="宋体" w:hAnsi="宋体" w:eastAsia="宋体" w:cs="宋体"/>
          <w:color w:val="000000"/>
        </w:rPr>
        <w:t>邮         编：</w:t>
      </w:r>
    </w:p>
    <w:p w14:paraId="1E3CA393">
      <w:pPr>
        <w:pStyle w:val="32"/>
        <w:spacing w:beforeAutospacing="0" w:afterAutospacing="0" w:line="360" w:lineRule="auto"/>
        <w:ind w:left="420" w:firstLine="480"/>
      </w:pPr>
      <w:r>
        <w:rPr>
          <w:rFonts w:hint="eastAsia" w:ascii="宋体" w:hAnsi="宋体" w:eastAsia="宋体" w:cs="宋体"/>
          <w:color w:val="000000"/>
        </w:rPr>
        <w:t>电         话：</w:t>
      </w:r>
    </w:p>
    <w:p w14:paraId="08B2E0C6">
      <w:pPr>
        <w:pStyle w:val="32"/>
        <w:spacing w:beforeAutospacing="0" w:afterAutospacing="0" w:line="360" w:lineRule="auto"/>
        <w:ind w:left="420" w:firstLine="480"/>
      </w:pPr>
      <w:r>
        <w:rPr>
          <w:rFonts w:hint="eastAsia" w:ascii="宋体" w:hAnsi="宋体" w:eastAsia="宋体" w:cs="宋体"/>
          <w:color w:val="000000"/>
        </w:rPr>
        <w:t>传         真：</w:t>
      </w:r>
    </w:p>
    <w:p w14:paraId="72D797A3">
      <w:pPr>
        <w:pStyle w:val="32"/>
        <w:spacing w:beforeAutospacing="0" w:afterAutospacing="0" w:line="360" w:lineRule="auto"/>
        <w:ind w:left="420" w:firstLine="480"/>
      </w:pPr>
      <w:r>
        <w:rPr>
          <w:rFonts w:hint="eastAsia" w:ascii="宋体" w:hAnsi="宋体" w:eastAsia="宋体" w:cs="宋体"/>
          <w:color w:val="000000"/>
        </w:rPr>
        <w:t>投标人开户行：</w:t>
      </w:r>
    </w:p>
    <w:p w14:paraId="39C08EA2">
      <w:pPr>
        <w:pStyle w:val="32"/>
        <w:spacing w:beforeAutospacing="0" w:afterAutospacing="0" w:line="360" w:lineRule="auto"/>
        <w:ind w:left="420" w:firstLine="480"/>
        <w:rPr>
          <w:rFonts w:eastAsia="宋体"/>
        </w:rPr>
      </w:pPr>
      <w:r>
        <w:rPr>
          <w:rFonts w:hint="eastAsia" w:ascii="宋体" w:hAnsi="宋体" w:eastAsia="宋体" w:cs="宋体"/>
          <w:color w:val="000000"/>
        </w:rPr>
        <w:t>账         号：</w:t>
      </w:r>
    </w:p>
    <w:p w14:paraId="4D440263">
      <w:pPr>
        <w:pStyle w:val="32"/>
        <w:spacing w:beforeAutospacing="0" w:afterAutospacing="0" w:line="360" w:lineRule="auto"/>
        <w:ind w:left="420" w:firstLine="480"/>
      </w:pPr>
      <w:r>
        <w:rPr>
          <w:rFonts w:hint="eastAsia" w:ascii="宋体" w:hAnsi="宋体" w:eastAsia="宋体" w:cs="宋体"/>
          <w:color w:val="000000"/>
        </w:rPr>
        <w:t>日          期：________年____月____日</w:t>
      </w:r>
    </w:p>
    <w:p w14:paraId="0FA65E59">
      <w:pPr>
        <w:pStyle w:val="32"/>
        <w:spacing w:beforeAutospacing="0" w:afterAutospacing="0" w:line="360" w:lineRule="auto"/>
        <w:ind w:firstLine="240"/>
        <w:jc w:val="center"/>
      </w:pPr>
      <w:r>
        <w:t> </w:t>
      </w:r>
    </w:p>
    <w:p w14:paraId="1686F6C2">
      <w:pPr>
        <w:pStyle w:val="32"/>
        <w:spacing w:beforeAutospacing="0" w:afterAutospacing="0" w:line="360" w:lineRule="auto"/>
        <w:ind w:firstLine="240"/>
        <w:jc w:val="center"/>
      </w:pPr>
      <w:r>
        <w:t> </w:t>
      </w:r>
    </w:p>
    <w:p w14:paraId="714B22F7">
      <w:pPr>
        <w:pStyle w:val="32"/>
        <w:spacing w:beforeAutospacing="0" w:afterAutospacing="0" w:line="360" w:lineRule="auto"/>
        <w:ind w:firstLine="240"/>
        <w:jc w:val="center"/>
      </w:pPr>
      <w:r>
        <w:t> </w:t>
      </w:r>
    </w:p>
    <w:p w14:paraId="60CF293B">
      <w:pPr>
        <w:pStyle w:val="32"/>
        <w:spacing w:beforeAutospacing="0" w:afterAutospacing="0" w:line="360" w:lineRule="auto"/>
        <w:jc w:val="center"/>
      </w:pPr>
      <w:r>
        <w:rPr>
          <w:rFonts w:hint="eastAsia" w:ascii="黑体" w:hAnsi="宋体" w:eastAsia="黑体" w:cs="黑体"/>
          <w:b/>
          <w:sz w:val="32"/>
          <w:szCs w:val="32"/>
        </w:rPr>
        <w:t>九、中小企业声明函（货物）</w:t>
      </w:r>
    </w:p>
    <w:p w14:paraId="5663077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sz w:val="24"/>
        </w:rPr>
      </w:pPr>
      <w:r>
        <w:rPr>
          <w:rFonts w:hint="eastAsia"/>
          <w:sz w:val="24"/>
        </w:rPr>
        <w:t>本公司（联合体）郑重声明，根据《政府采购促进中小企业发展管理办法》(财库〔2020〕46号)的规定，本公司（联合体）参加</w:t>
      </w:r>
      <w:r>
        <w:rPr>
          <w:rFonts w:hint="eastAsia"/>
          <w:sz w:val="24"/>
          <w:u w:val="single"/>
          <w:lang w:val="en-US" w:eastAsia="zh-CN"/>
        </w:rPr>
        <w:t xml:space="preserve">            </w:t>
      </w:r>
      <w:r>
        <w:rPr>
          <w:rFonts w:hint="eastAsia"/>
          <w:sz w:val="24"/>
        </w:rPr>
        <w:t>采购编号为</w:t>
      </w:r>
    </w:p>
    <w:p w14:paraId="1DCF832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sz w:val="24"/>
        </w:rPr>
      </w:pPr>
      <w:r>
        <w:rPr>
          <w:rFonts w:hint="eastAsia"/>
          <w:sz w:val="24"/>
          <w:u w:val="single"/>
        </w:rPr>
        <w:t xml:space="preserve">             </w:t>
      </w:r>
      <w:r>
        <w:rPr>
          <w:rFonts w:hint="eastAsia"/>
          <w:sz w:val="24"/>
          <w:u w:val="single"/>
          <w:lang w:val="en-US" w:eastAsia="zh-CN"/>
        </w:rPr>
        <w:t xml:space="preserve">  </w:t>
      </w:r>
      <w:r>
        <w:rPr>
          <w:rFonts w:hint="eastAsia"/>
          <w:sz w:val="24"/>
          <w:lang w:eastAsia="zh-CN"/>
        </w:rPr>
        <w:t>，</w:t>
      </w:r>
      <w:r>
        <w:rPr>
          <w:rFonts w:hint="eastAsia"/>
          <w:sz w:val="24"/>
          <w:u w:val="single"/>
        </w:rPr>
        <w:t xml:space="preserve">（项目名称）       </w:t>
      </w:r>
      <w:r>
        <w:rPr>
          <w:rFonts w:hint="eastAsia"/>
          <w:sz w:val="24"/>
        </w:rPr>
        <w:t>的采购活动，提供的货物全部由符合政策要求的</w:t>
      </w:r>
      <w:r>
        <w:rPr>
          <w:rFonts w:hint="eastAsia" w:ascii="宋体" w:hAnsi="宋体" w:eastAsia="宋体" w:cs="宋体"/>
          <w:color w:val="000000"/>
          <w:sz w:val="24"/>
          <w:szCs w:val="24"/>
        </w:rPr>
        <w:t>中小微企业制造。相关企业（含联合体中的中小微企业、签订采购包意向协议的中小微企业）的具体情况如下</w:t>
      </w:r>
      <w:r>
        <w:rPr>
          <w:rFonts w:hint="eastAsia"/>
          <w:sz w:val="24"/>
        </w:rPr>
        <w:t>：</w:t>
      </w:r>
    </w:p>
    <w:p w14:paraId="5F0902FA">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firstLine="36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11F7B171">
      <w:pPr>
        <w:pStyle w:val="3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36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r>
        <w:rPr>
          <w:rFonts w:hint="eastAsia"/>
          <w:u w:val="single"/>
        </w:rPr>
        <w:t>；</w:t>
      </w:r>
    </w:p>
    <w:p w14:paraId="4362F739">
      <w:pPr>
        <w:pStyle w:val="3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360"/>
        <w:jc w:val="both"/>
        <w:textAlignment w:val="auto"/>
      </w:pPr>
      <w:r>
        <w:rPr>
          <w:rFonts w:hint="eastAsia"/>
        </w:rPr>
        <w:t>……</w:t>
      </w:r>
    </w:p>
    <w:p w14:paraId="62779450">
      <w:pPr>
        <w:pStyle w:val="3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360"/>
        <w:jc w:val="both"/>
        <w:textAlignment w:val="auto"/>
      </w:pPr>
      <w:r>
        <w:rPr>
          <w:rFonts w:hint="eastAsia"/>
        </w:rPr>
        <w:t>以上企业，不属于大企业的分支机构，不存在控股股东为大企业的情形，也不存在与大企业的负责人为同一人的情形。</w:t>
      </w:r>
    </w:p>
    <w:p w14:paraId="08149C4D">
      <w:pPr>
        <w:pStyle w:val="3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360"/>
        <w:jc w:val="both"/>
        <w:textAlignment w:val="auto"/>
      </w:pPr>
      <w:r>
        <w:rPr>
          <w:rFonts w:hint="eastAsia"/>
        </w:rPr>
        <w:t>本企业对上述声明内容的真实性负责。如有虚假，将依法承担相应责任。</w:t>
      </w:r>
    </w:p>
    <w:p w14:paraId="378AD075">
      <w:pPr>
        <w:pStyle w:val="32"/>
        <w:spacing w:beforeAutospacing="0" w:afterAutospacing="0" w:line="360" w:lineRule="auto"/>
        <w:ind w:right="720"/>
        <w:jc w:val="both"/>
      </w:pPr>
      <w:r>
        <w:t> </w:t>
      </w:r>
    </w:p>
    <w:p w14:paraId="20F05DC3">
      <w:pPr>
        <w:pStyle w:val="32"/>
        <w:spacing w:beforeAutospacing="0" w:afterAutospacing="0" w:line="360" w:lineRule="auto"/>
        <w:ind w:right="180" w:firstLine="360"/>
        <w:jc w:val="right"/>
      </w:pPr>
      <w:r>
        <w:rPr>
          <w:rFonts w:hint="eastAsia" w:ascii="宋体" w:hAnsi="宋体" w:eastAsia="宋体" w:cs="宋体"/>
        </w:rPr>
        <w:t>企业名称（加盖CA电子公章）：</w:t>
      </w:r>
    </w:p>
    <w:p w14:paraId="40349F7D">
      <w:pPr>
        <w:pStyle w:val="32"/>
        <w:spacing w:beforeAutospacing="0" w:afterAutospacing="0" w:line="360" w:lineRule="auto"/>
        <w:ind w:right="480" w:firstLine="5400"/>
        <w:jc w:val="both"/>
      </w:pPr>
      <w:r>
        <w:rPr>
          <w:rFonts w:hint="eastAsia" w:ascii="宋体" w:hAnsi="宋体" w:eastAsia="宋体" w:cs="宋体"/>
        </w:rPr>
        <w:t>日 期：</w:t>
      </w:r>
    </w:p>
    <w:p w14:paraId="3F13B130">
      <w:pPr>
        <w:pStyle w:val="32"/>
        <w:spacing w:beforeAutospacing="0" w:afterAutospacing="0" w:line="360" w:lineRule="auto"/>
        <w:ind w:firstLine="240"/>
        <w:jc w:val="both"/>
      </w:pPr>
      <w:r>
        <w:t> </w:t>
      </w:r>
    </w:p>
    <w:p w14:paraId="37AEA6F8">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pPr>
      <w:r>
        <w:rPr>
          <w:rFonts w:hint="eastAsia" w:ascii="宋体" w:hAnsi="宋体" w:eastAsia="宋体" w:cs="宋体"/>
          <w:color w:val="000000"/>
          <w:sz w:val="24"/>
          <w:szCs w:val="24"/>
        </w:rPr>
        <w:t>备注：</w:t>
      </w:r>
    </w:p>
    <w:p w14:paraId="08ADC24F">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6DD607F5">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03D3E269">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540" w:hanging="120"/>
        <w:jc w:val="both"/>
        <w:textAlignment w:val="auto"/>
      </w:pPr>
      <w:r>
        <w:rPr>
          <w:rFonts w:hint="eastAsia" w:ascii="宋体" w:hAnsi="宋体" w:eastAsia="宋体" w:cs="宋体"/>
          <w:color w:val="000000"/>
          <w:sz w:val="24"/>
          <w:szCs w:val="24"/>
        </w:rPr>
        <w:t>3.供应商应对照《工业和信息化部、国家统计局、国家发展和改革委员会、</w:t>
      </w:r>
    </w:p>
    <w:p w14:paraId="7E99058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pPr>
      <w:r>
        <w:rPr>
          <w:rFonts w:hint="eastAsia" w:ascii="宋体" w:hAnsi="宋体" w:eastAsia="宋体" w:cs="宋体"/>
          <w:color w:val="000000"/>
          <w:sz w:val="24"/>
          <w:szCs w:val="24"/>
        </w:rPr>
        <w:t>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rPr>
        <w:t>。</w:t>
      </w:r>
    </w:p>
    <w:p w14:paraId="098221D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十、</w:t>
      </w:r>
      <w:r>
        <w:rPr>
          <w:rFonts w:hint="eastAsia" w:ascii="宋体" w:hAnsi="宋体" w:eastAsia="宋体" w:cs="宋体"/>
          <w:b/>
          <w:bCs/>
          <w:color w:val="000000"/>
          <w:sz w:val="24"/>
          <w:szCs w:val="24"/>
        </w:rPr>
        <w:t>残疾人福利性单位声明函（货物类项目）</w:t>
      </w:r>
    </w:p>
    <w:p w14:paraId="2805535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5466C00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项目（项目名称）采购活动提供本单位制造的货物，或者提供其他残疾人福利性单位制造的货物（不包括使用非残疾人福利性单位注册商标的货物）。</w:t>
      </w:r>
    </w:p>
    <w:p w14:paraId="1F73F285">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56597A9B">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74A8ECF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5B186D8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1.专门面向中小微型企业采购的项目，供应商为残疾人福利性单位并提供本单位制造的货物，或者提供其他残疾人福利性单位制造的货物，必须提供此声明函，否则将不能通过资格审查。</w:t>
      </w:r>
    </w:p>
    <w:p w14:paraId="4B69257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 非专门面向中小微型企业采购的项目，供应商如不提供此声明函，价格将不做相应扣除。</w:t>
      </w:r>
    </w:p>
    <w:p w14:paraId="4894E878">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0E3E790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20355E6B">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供应商全称（加盖CA电子公章）：</w:t>
      </w:r>
    </w:p>
    <w:p w14:paraId="72E11D65">
      <w:pPr>
        <w:pStyle w:val="32"/>
        <w:tabs>
          <w:tab w:val="left" w:pos="4864"/>
        </w:tabs>
        <w:spacing w:beforeAutospacing="0" w:afterAutospacing="0" w:line="360" w:lineRule="auto"/>
        <w:ind w:right="1560" w:firstLine="480"/>
        <w:jc w:val="center"/>
      </w:pPr>
      <w:r>
        <w:rPr>
          <w:rFonts w:hint="eastAsia" w:ascii="宋体" w:hAnsi="宋体" w:eastAsia="宋体" w:cs="宋体"/>
          <w:color w:val="000000"/>
          <w:sz w:val="24"/>
          <w:szCs w:val="24"/>
        </w:rPr>
        <w:t>            日  期：___年____月____日</w:t>
      </w:r>
      <w:r>
        <w:rPr>
          <w:rFonts w:hint="eastAsia" w:ascii="宋体" w:hAnsi="宋体" w:eastAsia="宋体" w:cs="宋体"/>
          <w:color w:val="000000"/>
          <w:sz w:val="24"/>
          <w:szCs w:val="24"/>
          <w:shd w:val="clear" w:fill="FFFFFF"/>
        </w:rPr>
        <w:t> </w:t>
      </w:r>
    </w:p>
    <w:p w14:paraId="3C5223D2">
      <w:pPr>
        <w:pStyle w:val="32"/>
        <w:spacing w:beforeAutospacing="0" w:afterAutospacing="0" w:line="360" w:lineRule="auto"/>
        <w:jc w:val="center"/>
      </w:pPr>
      <w:r>
        <w:t> </w:t>
      </w:r>
    </w:p>
    <w:p w14:paraId="07447763">
      <w:pPr>
        <w:pStyle w:val="32"/>
        <w:spacing w:beforeAutospacing="0" w:afterAutospacing="0" w:line="360" w:lineRule="auto"/>
        <w:jc w:val="center"/>
      </w:pPr>
      <w:r>
        <w:t> </w:t>
      </w:r>
    </w:p>
    <w:p w14:paraId="367A7721">
      <w:pPr>
        <w:pStyle w:val="32"/>
        <w:spacing w:beforeAutospacing="0" w:afterAutospacing="0" w:line="360" w:lineRule="auto"/>
        <w:jc w:val="center"/>
      </w:pPr>
      <w:r>
        <w:t> </w:t>
      </w:r>
    </w:p>
    <w:p w14:paraId="0CF2AD99">
      <w:pPr>
        <w:pStyle w:val="32"/>
        <w:spacing w:beforeAutospacing="0" w:afterAutospacing="0" w:line="360" w:lineRule="auto"/>
        <w:jc w:val="center"/>
      </w:pPr>
      <w:r>
        <w:t> </w:t>
      </w:r>
    </w:p>
    <w:p w14:paraId="21AA167A">
      <w:pPr>
        <w:pStyle w:val="32"/>
        <w:spacing w:beforeAutospacing="0" w:afterAutospacing="0" w:line="360" w:lineRule="auto"/>
        <w:jc w:val="center"/>
      </w:pPr>
      <w:r>
        <w:t> </w:t>
      </w:r>
    </w:p>
    <w:p w14:paraId="076BD00A">
      <w:pPr>
        <w:pStyle w:val="32"/>
        <w:spacing w:beforeAutospacing="0" w:afterAutospacing="0" w:line="360" w:lineRule="auto"/>
        <w:jc w:val="center"/>
      </w:pPr>
      <w:r>
        <w:t> </w:t>
      </w:r>
    </w:p>
    <w:p w14:paraId="20A77743">
      <w:pPr>
        <w:pStyle w:val="32"/>
        <w:spacing w:beforeAutospacing="0" w:afterAutospacing="0" w:line="360" w:lineRule="auto"/>
        <w:jc w:val="center"/>
      </w:pPr>
      <w:r>
        <w:t> </w:t>
      </w:r>
    </w:p>
    <w:p w14:paraId="50277928">
      <w:pPr>
        <w:pStyle w:val="32"/>
        <w:spacing w:beforeAutospacing="0" w:afterAutospacing="0" w:line="360" w:lineRule="auto"/>
        <w:jc w:val="center"/>
      </w:pPr>
      <w:r>
        <w:t> </w:t>
      </w:r>
    </w:p>
    <w:p w14:paraId="1F0CCA2C">
      <w:pPr>
        <w:pStyle w:val="32"/>
        <w:spacing w:beforeAutospacing="0" w:afterAutospacing="0" w:line="360" w:lineRule="auto"/>
        <w:jc w:val="center"/>
      </w:pPr>
    </w:p>
    <w:p w14:paraId="52847F4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ind w:left="0" w:right="0"/>
        <w:jc w:val="center"/>
      </w:pPr>
      <w:r>
        <w:rPr>
          <w:rFonts w:hint="eastAsia" w:ascii="黑体" w:hAnsi="宋体" w:eastAsia="黑体" w:cs="黑体"/>
          <w:b/>
          <w:color w:val="000000"/>
          <w:sz w:val="32"/>
          <w:szCs w:val="32"/>
        </w:rPr>
        <w:t>十一、</w:t>
      </w:r>
      <w:r>
        <w:rPr>
          <w:rFonts w:ascii="黑体" w:hAnsi="宋体" w:eastAsia="黑体" w:cs="黑体"/>
          <w:b/>
          <w:bCs/>
          <w:color w:val="000000"/>
          <w:sz w:val="32"/>
          <w:szCs w:val="32"/>
        </w:rPr>
        <w:t>投标产品配置及分项报价表</w:t>
      </w:r>
    </w:p>
    <w:tbl>
      <w:tblPr>
        <w:tblStyle w:val="36"/>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42"/>
        <w:gridCol w:w="1149"/>
        <w:gridCol w:w="694"/>
        <w:gridCol w:w="1111"/>
        <w:gridCol w:w="814"/>
        <w:gridCol w:w="1339"/>
      </w:tblGrid>
      <w:tr w14:paraId="58D30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blCellSpacing w:w="0" w:type="dxa"/>
        </w:trPr>
        <w:tc>
          <w:tcPr>
            <w:tcW w:w="234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E64DB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1</w:t>
            </w:r>
          </w:p>
        </w:tc>
        <w:tc>
          <w:tcPr>
            <w:tcW w:w="1149" w:type="dxa"/>
            <w:tcBorders>
              <w:top w:val="single" w:color="000000" w:sz="8" w:space="0"/>
              <w:left w:val="nil"/>
              <w:bottom w:val="single" w:color="000000" w:sz="8" w:space="0"/>
              <w:right w:val="single" w:color="000000" w:sz="8" w:space="0"/>
            </w:tcBorders>
            <w:shd w:val="clear" w:color="auto" w:fill="auto"/>
            <w:vAlign w:val="center"/>
          </w:tcPr>
          <w:p w14:paraId="3EF60DE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2</w:t>
            </w:r>
          </w:p>
        </w:tc>
        <w:tc>
          <w:tcPr>
            <w:tcW w:w="694" w:type="dxa"/>
            <w:tcBorders>
              <w:top w:val="single" w:color="000000" w:sz="8" w:space="0"/>
              <w:left w:val="nil"/>
              <w:bottom w:val="single" w:color="000000" w:sz="8" w:space="0"/>
              <w:right w:val="single" w:color="000000" w:sz="8" w:space="0"/>
            </w:tcBorders>
            <w:shd w:val="clear" w:color="auto" w:fill="auto"/>
            <w:vAlign w:val="center"/>
          </w:tcPr>
          <w:p w14:paraId="2FF93D1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3</w:t>
            </w:r>
          </w:p>
        </w:tc>
        <w:tc>
          <w:tcPr>
            <w:tcW w:w="1111" w:type="dxa"/>
            <w:tcBorders>
              <w:top w:val="single" w:color="000000" w:sz="8" w:space="0"/>
              <w:left w:val="nil"/>
              <w:bottom w:val="single" w:color="000000" w:sz="8" w:space="0"/>
              <w:right w:val="single" w:color="000000" w:sz="8" w:space="0"/>
            </w:tcBorders>
            <w:shd w:val="clear" w:color="auto" w:fill="auto"/>
            <w:vAlign w:val="center"/>
          </w:tcPr>
          <w:p w14:paraId="0ECF096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4</w:t>
            </w:r>
          </w:p>
        </w:tc>
        <w:tc>
          <w:tcPr>
            <w:tcW w:w="814" w:type="dxa"/>
            <w:tcBorders>
              <w:top w:val="single" w:color="000000" w:sz="8" w:space="0"/>
              <w:left w:val="nil"/>
              <w:bottom w:val="single" w:color="000000" w:sz="8" w:space="0"/>
              <w:right w:val="single" w:color="000000" w:sz="8" w:space="0"/>
            </w:tcBorders>
            <w:shd w:val="clear" w:color="auto" w:fill="auto"/>
            <w:vAlign w:val="center"/>
          </w:tcPr>
          <w:p w14:paraId="6507D4B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5</w:t>
            </w:r>
          </w:p>
        </w:tc>
        <w:tc>
          <w:tcPr>
            <w:tcW w:w="1339" w:type="dxa"/>
            <w:tcBorders>
              <w:top w:val="single" w:color="000000" w:sz="8" w:space="0"/>
              <w:left w:val="nil"/>
              <w:bottom w:val="single" w:color="000000" w:sz="8" w:space="0"/>
              <w:right w:val="single" w:color="000000" w:sz="8" w:space="0"/>
            </w:tcBorders>
            <w:shd w:val="clear" w:color="auto" w:fill="auto"/>
            <w:vAlign w:val="center"/>
          </w:tcPr>
          <w:p w14:paraId="7EAD818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6</w:t>
            </w:r>
          </w:p>
        </w:tc>
      </w:tr>
      <w:tr w14:paraId="51D02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31E5AD2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产品名称、品牌及规格、型号</w:t>
            </w:r>
          </w:p>
        </w:tc>
        <w:tc>
          <w:tcPr>
            <w:tcW w:w="1149" w:type="dxa"/>
            <w:tcBorders>
              <w:top w:val="nil"/>
              <w:left w:val="nil"/>
              <w:bottom w:val="single" w:color="000000" w:sz="8" w:space="0"/>
              <w:right w:val="single" w:color="000000" w:sz="8" w:space="0"/>
            </w:tcBorders>
            <w:shd w:val="clear" w:color="auto" w:fill="auto"/>
            <w:vAlign w:val="center"/>
          </w:tcPr>
          <w:p w14:paraId="52F908E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数量</w:t>
            </w:r>
          </w:p>
        </w:tc>
        <w:tc>
          <w:tcPr>
            <w:tcW w:w="694" w:type="dxa"/>
            <w:tcBorders>
              <w:top w:val="nil"/>
              <w:left w:val="nil"/>
              <w:bottom w:val="single" w:color="000000" w:sz="8" w:space="0"/>
              <w:right w:val="single" w:color="000000" w:sz="8" w:space="0"/>
            </w:tcBorders>
            <w:shd w:val="clear" w:color="auto" w:fill="auto"/>
            <w:vAlign w:val="center"/>
          </w:tcPr>
          <w:p w14:paraId="3B140D7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产地</w:t>
            </w:r>
          </w:p>
        </w:tc>
        <w:tc>
          <w:tcPr>
            <w:tcW w:w="1111" w:type="dxa"/>
            <w:tcBorders>
              <w:top w:val="nil"/>
              <w:left w:val="nil"/>
              <w:bottom w:val="single" w:color="000000" w:sz="8" w:space="0"/>
              <w:right w:val="single" w:color="000000" w:sz="8" w:space="0"/>
            </w:tcBorders>
            <w:shd w:val="clear" w:color="auto" w:fill="auto"/>
            <w:vAlign w:val="center"/>
          </w:tcPr>
          <w:p w14:paraId="465B5D1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交付期</w:t>
            </w:r>
          </w:p>
        </w:tc>
        <w:tc>
          <w:tcPr>
            <w:tcW w:w="814" w:type="dxa"/>
            <w:tcBorders>
              <w:top w:val="nil"/>
              <w:left w:val="nil"/>
              <w:bottom w:val="single" w:color="000000" w:sz="8" w:space="0"/>
              <w:right w:val="single" w:color="000000" w:sz="8" w:space="0"/>
            </w:tcBorders>
            <w:shd w:val="clear" w:color="auto" w:fill="auto"/>
            <w:vAlign w:val="center"/>
          </w:tcPr>
          <w:p w14:paraId="529A00B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单价</w:t>
            </w:r>
          </w:p>
        </w:tc>
        <w:tc>
          <w:tcPr>
            <w:tcW w:w="1339" w:type="dxa"/>
            <w:tcBorders>
              <w:top w:val="nil"/>
              <w:left w:val="nil"/>
              <w:bottom w:val="single" w:color="000000" w:sz="8" w:space="0"/>
              <w:right w:val="single" w:color="000000" w:sz="8" w:space="0"/>
            </w:tcBorders>
            <w:shd w:val="clear" w:color="auto" w:fill="auto"/>
            <w:vAlign w:val="center"/>
          </w:tcPr>
          <w:p w14:paraId="346FDFE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总价</w:t>
            </w:r>
          </w:p>
        </w:tc>
      </w:tr>
      <w:tr w14:paraId="1E072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2F3B274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49" w:type="dxa"/>
            <w:tcBorders>
              <w:top w:val="nil"/>
              <w:left w:val="nil"/>
              <w:bottom w:val="single" w:color="000000" w:sz="8" w:space="0"/>
              <w:right w:val="single" w:color="000000" w:sz="8" w:space="0"/>
            </w:tcBorders>
            <w:shd w:val="clear" w:color="auto" w:fill="auto"/>
            <w:vAlign w:val="center"/>
          </w:tcPr>
          <w:p w14:paraId="3839D94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694" w:type="dxa"/>
            <w:tcBorders>
              <w:top w:val="nil"/>
              <w:left w:val="nil"/>
              <w:bottom w:val="single" w:color="000000" w:sz="8" w:space="0"/>
              <w:right w:val="single" w:color="000000" w:sz="8" w:space="0"/>
            </w:tcBorders>
            <w:shd w:val="clear" w:color="auto" w:fill="auto"/>
            <w:vAlign w:val="center"/>
          </w:tcPr>
          <w:p w14:paraId="1F290E0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11" w:type="dxa"/>
            <w:tcBorders>
              <w:top w:val="nil"/>
              <w:left w:val="nil"/>
              <w:bottom w:val="single" w:color="000000" w:sz="8" w:space="0"/>
              <w:right w:val="single" w:color="000000" w:sz="8" w:space="0"/>
            </w:tcBorders>
            <w:shd w:val="clear" w:color="auto" w:fill="auto"/>
            <w:vAlign w:val="center"/>
          </w:tcPr>
          <w:p w14:paraId="3064128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814" w:type="dxa"/>
            <w:tcBorders>
              <w:top w:val="nil"/>
              <w:left w:val="nil"/>
              <w:bottom w:val="single" w:color="000000" w:sz="8" w:space="0"/>
              <w:right w:val="single" w:color="000000" w:sz="8" w:space="0"/>
            </w:tcBorders>
            <w:shd w:val="clear" w:color="auto" w:fill="auto"/>
            <w:vAlign w:val="center"/>
          </w:tcPr>
          <w:p w14:paraId="165B56F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339" w:type="dxa"/>
            <w:tcBorders>
              <w:top w:val="nil"/>
              <w:left w:val="nil"/>
              <w:bottom w:val="single" w:color="000000" w:sz="8" w:space="0"/>
              <w:right w:val="single" w:color="000000" w:sz="8" w:space="0"/>
            </w:tcBorders>
            <w:shd w:val="clear" w:color="auto" w:fill="auto"/>
            <w:vAlign w:val="center"/>
          </w:tcPr>
          <w:p w14:paraId="5F60B2B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r w14:paraId="4CA1D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2C89E73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49" w:type="dxa"/>
            <w:tcBorders>
              <w:top w:val="nil"/>
              <w:left w:val="nil"/>
              <w:bottom w:val="single" w:color="000000" w:sz="8" w:space="0"/>
              <w:right w:val="single" w:color="000000" w:sz="8" w:space="0"/>
            </w:tcBorders>
            <w:shd w:val="clear" w:color="auto" w:fill="auto"/>
            <w:vAlign w:val="center"/>
          </w:tcPr>
          <w:p w14:paraId="0017F55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694" w:type="dxa"/>
            <w:tcBorders>
              <w:top w:val="nil"/>
              <w:left w:val="nil"/>
              <w:bottom w:val="single" w:color="000000" w:sz="8" w:space="0"/>
              <w:right w:val="single" w:color="000000" w:sz="8" w:space="0"/>
            </w:tcBorders>
            <w:shd w:val="clear" w:color="auto" w:fill="auto"/>
            <w:vAlign w:val="center"/>
          </w:tcPr>
          <w:p w14:paraId="0287988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11" w:type="dxa"/>
            <w:tcBorders>
              <w:top w:val="nil"/>
              <w:left w:val="nil"/>
              <w:bottom w:val="single" w:color="000000" w:sz="8" w:space="0"/>
              <w:right w:val="single" w:color="000000" w:sz="8" w:space="0"/>
            </w:tcBorders>
            <w:shd w:val="clear" w:color="auto" w:fill="auto"/>
            <w:vAlign w:val="center"/>
          </w:tcPr>
          <w:p w14:paraId="55D3454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814" w:type="dxa"/>
            <w:tcBorders>
              <w:top w:val="nil"/>
              <w:left w:val="nil"/>
              <w:bottom w:val="single" w:color="000000" w:sz="8" w:space="0"/>
              <w:right w:val="single" w:color="000000" w:sz="8" w:space="0"/>
            </w:tcBorders>
            <w:shd w:val="clear" w:color="auto" w:fill="auto"/>
            <w:vAlign w:val="center"/>
          </w:tcPr>
          <w:p w14:paraId="505775D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339" w:type="dxa"/>
            <w:tcBorders>
              <w:top w:val="nil"/>
              <w:left w:val="nil"/>
              <w:bottom w:val="single" w:color="000000" w:sz="8" w:space="0"/>
              <w:right w:val="single" w:color="000000" w:sz="8" w:space="0"/>
            </w:tcBorders>
            <w:shd w:val="clear" w:color="auto" w:fill="auto"/>
            <w:vAlign w:val="center"/>
          </w:tcPr>
          <w:p w14:paraId="2F7D0A9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r w14:paraId="3E36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4D12776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49" w:type="dxa"/>
            <w:tcBorders>
              <w:top w:val="nil"/>
              <w:left w:val="nil"/>
              <w:bottom w:val="single" w:color="000000" w:sz="8" w:space="0"/>
              <w:right w:val="single" w:color="000000" w:sz="8" w:space="0"/>
            </w:tcBorders>
            <w:shd w:val="clear" w:color="auto" w:fill="auto"/>
            <w:vAlign w:val="center"/>
          </w:tcPr>
          <w:p w14:paraId="20F16E6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694" w:type="dxa"/>
            <w:tcBorders>
              <w:top w:val="nil"/>
              <w:left w:val="nil"/>
              <w:bottom w:val="single" w:color="000000" w:sz="8" w:space="0"/>
              <w:right w:val="single" w:color="000000" w:sz="8" w:space="0"/>
            </w:tcBorders>
            <w:shd w:val="clear" w:color="auto" w:fill="auto"/>
            <w:vAlign w:val="center"/>
          </w:tcPr>
          <w:p w14:paraId="076F3F7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11" w:type="dxa"/>
            <w:tcBorders>
              <w:top w:val="nil"/>
              <w:left w:val="nil"/>
              <w:bottom w:val="single" w:color="000000" w:sz="8" w:space="0"/>
              <w:right w:val="single" w:color="000000" w:sz="8" w:space="0"/>
            </w:tcBorders>
            <w:shd w:val="clear" w:color="auto" w:fill="auto"/>
            <w:vAlign w:val="center"/>
          </w:tcPr>
          <w:p w14:paraId="2225181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814" w:type="dxa"/>
            <w:tcBorders>
              <w:top w:val="nil"/>
              <w:left w:val="nil"/>
              <w:bottom w:val="single" w:color="000000" w:sz="8" w:space="0"/>
              <w:right w:val="single" w:color="000000" w:sz="8" w:space="0"/>
            </w:tcBorders>
            <w:shd w:val="clear" w:color="auto" w:fill="auto"/>
            <w:vAlign w:val="center"/>
          </w:tcPr>
          <w:p w14:paraId="722BC23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339" w:type="dxa"/>
            <w:tcBorders>
              <w:top w:val="nil"/>
              <w:left w:val="nil"/>
              <w:bottom w:val="single" w:color="000000" w:sz="8" w:space="0"/>
              <w:right w:val="single" w:color="000000" w:sz="8" w:space="0"/>
            </w:tcBorders>
            <w:shd w:val="clear" w:color="auto" w:fill="auto"/>
            <w:vAlign w:val="center"/>
          </w:tcPr>
          <w:p w14:paraId="6A8AA54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r w14:paraId="35A71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07A11E9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集成服务费（税前价格</w:t>
            </w:r>
            <w:r>
              <w:rPr>
                <w:rFonts w:hint="default" w:ascii="Times New Roman" w:hAnsi="Times New Roman" w:cs="Times New Roman"/>
                <w:color w:val="000000"/>
                <w:sz w:val="24"/>
                <w:szCs w:val="24"/>
              </w:rPr>
              <w:t>=</w:t>
            </w:r>
            <w:r>
              <w:rPr>
                <w:rFonts w:ascii="宋体" w:hAnsi="宋体" w:eastAsia="宋体" w:cs="宋体"/>
                <w:color w:val="000000"/>
                <w:sz w:val="24"/>
                <w:szCs w:val="24"/>
              </w:rPr>
              <w:t>标的物税前总价</w:t>
            </w:r>
            <w:r>
              <w:rPr>
                <w:rFonts w:hint="default" w:ascii="Times New Roman" w:hAnsi="Times New Roman" w:cs="Times New Roman"/>
                <w:color w:val="000000"/>
                <w:sz w:val="24"/>
                <w:szCs w:val="24"/>
              </w:rPr>
              <w:t>*1%</w:t>
            </w:r>
            <w:r>
              <w:rPr>
                <w:rFonts w:ascii="宋体" w:hAnsi="宋体" w:eastAsia="宋体" w:cs="宋体"/>
                <w:color w:val="000000"/>
                <w:sz w:val="24"/>
                <w:szCs w:val="24"/>
              </w:rPr>
              <w:t>，税率</w:t>
            </w:r>
            <w:r>
              <w:rPr>
                <w:rFonts w:hint="default" w:ascii="Times New Roman" w:hAnsi="Times New Roman" w:cs="Times New Roman"/>
                <w:color w:val="000000"/>
                <w:sz w:val="24"/>
                <w:szCs w:val="24"/>
              </w:rPr>
              <w:t>6%</w:t>
            </w:r>
            <w:r>
              <w:rPr>
                <w:rFonts w:ascii="宋体" w:hAnsi="宋体" w:eastAsia="宋体" w:cs="宋体"/>
                <w:color w:val="000000"/>
                <w:sz w:val="24"/>
                <w:szCs w:val="24"/>
              </w:rPr>
              <w:t>）</w:t>
            </w:r>
          </w:p>
        </w:tc>
        <w:tc>
          <w:tcPr>
            <w:tcW w:w="1149" w:type="dxa"/>
            <w:tcBorders>
              <w:top w:val="nil"/>
              <w:left w:val="nil"/>
              <w:bottom w:val="single" w:color="000000" w:sz="8" w:space="0"/>
              <w:right w:val="single" w:color="000000" w:sz="8" w:space="0"/>
            </w:tcBorders>
            <w:shd w:val="clear" w:color="auto" w:fill="auto"/>
            <w:vAlign w:val="center"/>
          </w:tcPr>
          <w:p w14:paraId="1C021DD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1</w:t>
            </w:r>
          </w:p>
        </w:tc>
        <w:tc>
          <w:tcPr>
            <w:tcW w:w="694" w:type="dxa"/>
            <w:tcBorders>
              <w:top w:val="nil"/>
              <w:left w:val="nil"/>
              <w:bottom w:val="single" w:color="000000" w:sz="8" w:space="0"/>
              <w:right w:val="single" w:color="000000" w:sz="8" w:space="0"/>
            </w:tcBorders>
            <w:shd w:val="clear" w:color="auto" w:fill="auto"/>
            <w:vAlign w:val="center"/>
          </w:tcPr>
          <w:p w14:paraId="06A8BA9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11" w:type="dxa"/>
            <w:tcBorders>
              <w:top w:val="nil"/>
              <w:left w:val="nil"/>
              <w:bottom w:val="single" w:color="000000" w:sz="8" w:space="0"/>
              <w:right w:val="single" w:color="000000" w:sz="8" w:space="0"/>
            </w:tcBorders>
            <w:shd w:val="clear" w:color="auto" w:fill="auto"/>
            <w:vAlign w:val="center"/>
          </w:tcPr>
          <w:p w14:paraId="21D147F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814" w:type="dxa"/>
            <w:tcBorders>
              <w:top w:val="nil"/>
              <w:left w:val="nil"/>
              <w:bottom w:val="single" w:color="000000" w:sz="8" w:space="0"/>
              <w:right w:val="single" w:color="000000" w:sz="8" w:space="0"/>
            </w:tcBorders>
            <w:shd w:val="clear" w:color="auto" w:fill="auto"/>
            <w:vAlign w:val="center"/>
          </w:tcPr>
          <w:p w14:paraId="4D7AF29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339" w:type="dxa"/>
            <w:tcBorders>
              <w:top w:val="nil"/>
              <w:left w:val="nil"/>
              <w:bottom w:val="single" w:color="000000" w:sz="8" w:space="0"/>
              <w:right w:val="single" w:color="000000" w:sz="8" w:space="0"/>
            </w:tcBorders>
            <w:shd w:val="clear" w:color="auto" w:fill="auto"/>
            <w:vAlign w:val="center"/>
          </w:tcPr>
          <w:p w14:paraId="346E7F2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r w14:paraId="607C0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blCellSpacing w:w="0" w:type="dxa"/>
        </w:trPr>
        <w:tc>
          <w:tcPr>
            <w:tcW w:w="2342" w:type="dxa"/>
            <w:tcBorders>
              <w:top w:val="nil"/>
              <w:left w:val="single" w:color="000000" w:sz="8" w:space="0"/>
              <w:bottom w:val="single" w:color="000000" w:sz="8" w:space="0"/>
              <w:right w:val="single" w:color="000000" w:sz="8" w:space="0"/>
            </w:tcBorders>
            <w:shd w:val="clear" w:color="auto" w:fill="auto"/>
            <w:vAlign w:val="center"/>
          </w:tcPr>
          <w:p w14:paraId="4BA901A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49" w:type="dxa"/>
            <w:tcBorders>
              <w:top w:val="nil"/>
              <w:left w:val="nil"/>
              <w:bottom w:val="single" w:color="000000" w:sz="8" w:space="0"/>
              <w:right w:val="single" w:color="000000" w:sz="8" w:space="0"/>
            </w:tcBorders>
            <w:shd w:val="clear" w:color="auto" w:fill="auto"/>
            <w:vAlign w:val="center"/>
          </w:tcPr>
          <w:p w14:paraId="4E41C80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 </w:t>
            </w:r>
          </w:p>
        </w:tc>
        <w:tc>
          <w:tcPr>
            <w:tcW w:w="694" w:type="dxa"/>
            <w:tcBorders>
              <w:top w:val="nil"/>
              <w:left w:val="nil"/>
              <w:bottom w:val="single" w:color="000000" w:sz="8" w:space="0"/>
              <w:right w:val="single" w:color="000000" w:sz="8" w:space="0"/>
            </w:tcBorders>
            <w:shd w:val="clear" w:color="auto" w:fill="auto"/>
            <w:vAlign w:val="center"/>
          </w:tcPr>
          <w:p w14:paraId="459AAF8B">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111" w:type="dxa"/>
            <w:tcBorders>
              <w:top w:val="nil"/>
              <w:left w:val="nil"/>
              <w:bottom w:val="single" w:color="000000" w:sz="8" w:space="0"/>
              <w:right w:val="single" w:color="000000" w:sz="8" w:space="0"/>
            </w:tcBorders>
            <w:shd w:val="clear" w:color="auto" w:fill="auto"/>
            <w:vAlign w:val="center"/>
          </w:tcPr>
          <w:p w14:paraId="4A71E07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814" w:type="dxa"/>
            <w:tcBorders>
              <w:top w:val="nil"/>
              <w:left w:val="nil"/>
              <w:bottom w:val="single" w:color="000000" w:sz="8" w:space="0"/>
              <w:right w:val="single" w:color="000000" w:sz="8" w:space="0"/>
            </w:tcBorders>
            <w:shd w:val="clear" w:color="auto" w:fill="auto"/>
            <w:vAlign w:val="center"/>
          </w:tcPr>
          <w:p w14:paraId="3484DEE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c>
          <w:tcPr>
            <w:tcW w:w="1339" w:type="dxa"/>
            <w:tcBorders>
              <w:top w:val="nil"/>
              <w:left w:val="nil"/>
              <w:bottom w:val="single" w:color="000000" w:sz="8" w:space="0"/>
              <w:right w:val="single" w:color="000000" w:sz="8" w:space="0"/>
            </w:tcBorders>
            <w:shd w:val="clear" w:color="auto" w:fill="auto"/>
            <w:vAlign w:val="center"/>
          </w:tcPr>
          <w:p w14:paraId="2A1E12E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r w14:paraId="06C64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blCellSpacing w:w="0" w:type="dxa"/>
        </w:trPr>
        <w:tc>
          <w:tcPr>
            <w:tcW w:w="6110" w:type="dxa"/>
            <w:gridSpan w:val="5"/>
            <w:tcBorders>
              <w:top w:val="nil"/>
              <w:left w:val="single" w:color="000000" w:sz="8" w:space="0"/>
              <w:bottom w:val="single" w:color="000000" w:sz="8" w:space="0"/>
              <w:right w:val="single" w:color="000000" w:sz="8" w:space="0"/>
            </w:tcBorders>
            <w:shd w:val="clear" w:color="auto" w:fill="auto"/>
            <w:vAlign w:val="center"/>
          </w:tcPr>
          <w:p w14:paraId="711652F9">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4"/>
                <w:szCs w:val="24"/>
              </w:rPr>
              <w:t>投标总报价</w:t>
            </w:r>
          </w:p>
        </w:tc>
        <w:tc>
          <w:tcPr>
            <w:tcW w:w="1339" w:type="dxa"/>
            <w:tcBorders>
              <w:top w:val="nil"/>
              <w:left w:val="nil"/>
              <w:bottom w:val="single" w:color="000000" w:sz="8" w:space="0"/>
              <w:right w:val="single" w:color="000000" w:sz="8" w:space="0"/>
            </w:tcBorders>
            <w:shd w:val="clear" w:color="auto" w:fill="auto"/>
            <w:vAlign w:val="center"/>
          </w:tcPr>
          <w:p w14:paraId="53C07B7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tc>
      </w:tr>
    </w:tbl>
    <w:p w14:paraId="18C98D80">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p w14:paraId="34290A3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4"/>
          <w:szCs w:val="24"/>
        </w:rPr>
        <w:t> </w:t>
      </w:r>
    </w:p>
    <w:p w14:paraId="5F25D67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856C75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A49958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4F93D95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1720CF4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23FC0383">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jc w:val="center"/>
      </w:pPr>
      <w:r>
        <w:t> </w:t>
      </w:r>
    </w:p>
    <w:p w14:paraId="56AB84C3">
      <w:pPr>
        <w:pStyle w:val="32"/>
        <w:spacing w:beforeAutospacing="0" w:afterAutospacing="0" w:line="360" w:lineRule="auto"/>
        <w:jc w:val="center"/>
        <w:rPr>
          <w:rFonts w:hint="eastAsia" w:ascii="宋体" w:hAnsi="宋体" w:eastAsia="宋体" w:cs="宋体"/>
          <w:color w:val="000000"/>
          <w:sz w:val="24"/>
          <w:szCs w:val="24"/>
          <w:lang w:val="en-US" w:eastAsia="zh-CN" w:bidi="ar-SA"/>
        </w:rPr>
      </w:pPr>
    </w:p>
    <w:p w14:paraId="0D8F7727">
      <w:pPr>
        <w:pStyle w:val="32"/>
        <w:spacing w:beforeAutospacing="0" w:afterAutospacing="0" w:line="360" w:lineRule="auto"/>
        <w:jc w:val="center"/>
      </w:pPr>
      <w:r>
        <w:t> </w:t>
      </w:r>
    </w:p>
    <w:p w14:paraId="45B1A8AF">
      <w:pPr>
        <w:pStyle w:val="32"/>
        <w:spacing w:beforeAutospacing="0" w:afterAutospacing="0" w:line="360" w:lineRule="auto"/>
        <w:jc w:val="center"/>
      </w:pPr>
      <w:r>
        <w:t> </w:t>
      </w:r>
    </w:p>
    <w:p w14:paraId="471266BA">
      <w:pPr>
        <w:pStyle w:val="32"/>
        <w:spacing w:beforeAutospacing="0" w:afterAutospacing="0" w:line="360" w:lineRule="auto"/>
        <w:jc w:val="center"/>
      </w:pPr>
    </w:p>
    <w:p w14:paraId="4EACB45E">
      <w:pPr>
        <w:pStyle w:val="32"/>
        <w:spacing w:beforeAutospacing="0" w:afterAutospacing="0" w:line="360" w:lineRule="auto"/>
        <w:jc w:val="center"/>
      </w:pPr>
    </w:p>
    <w:p w14:paraId="2461F098">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58BC2BC7">
      <w:pPr>
        <w:pStyle w:val="32"/>
        <w:spacing w:beforeAutospacing="0" w:afterAutospacing="0" w:line="360" w:lineRule="auto"/>
        <w:jc w:val="center"/>
      </w:pPr>
      <w:r>
        <w:rPr>
          <w:rFonts w:hint="eastAsia" w:ascii="黑体" w:hAnsi="宋体" w:eastAsia="黑体" w:cs="黑体"/>
          <w:b/>
          <w:color w:val="000000"/>
          <w:sz w:val="32"/>
          <w:szCs w:val="32"/>
        </w:rPr>
        <w:t>十二、技术要求响应及偏离表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F21B8F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C5F9235">
            <w:pPr>
              <w:pStyle w:val="32"/>
              <w:spacing w:beforeAutospacing="0" w:afterAutospacing="0" w:line="360" w:lineRule="auto"/>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854E6B3">
            <w:pPr>
              <w:pStyle w:val="32"/>
              <w:spacing w:beforeAutospacing="0" w:afterAutospacing="0" w:line="360" w:lineRule="auto"/>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BFE2BE3">
            <w:pPr>
              <w:pStyle w:val="32"/>
              <w:spacing w:beforeAutospacing="0" w:afterAutospacing="0" w:line="360" w:lineRule="auto"/>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7942CEB">
            <w:pPr>
              <w:pStyle w:val="32"/>
              <w:spacing w:beforeAutospacing="0" w:afterAutospacing="0" w:line="360" w:lineRule="auto"/>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1F9DC99">
            <w:pPr>
              <w:pStyle w:val="32"/>
              <w:spacing w:beforeAutospacing="0" w:afterAutospacing="0" w:line="360" w:lineRule="auto"/>
              <w:jc w:val="center"/>
            </w:pPr>
            <w:r>
              <w:rPr>
                <w:rFonts w:hint="eastAsia" w:ascii="宋体" w:hAnsi="宋体" w:eastAsia="宋体" w:cs="宋体"/>
                <w:color w:val="000000"/>
              </w:rPr>
              <w:t>证明</w:t>
            </w:r>
          </w:p>
          <w:p w14:paraId="22C02D45">
            <w:pPr>
              <w:pStyle w:val="32"/>
              <w:spacing w:beforeAutospacing="0" w:afterAutospacing="0" w:line="360" w:lineRule="auto"/>
              <w:jc w:val="center"/>
            </w:pPr>
            <w:r>
              <w:rPr>
                <w:rFonts w:hint="eastAsia" w:ascii="宋体" w:hAnsi="宋体" w:eastAsia="宋体" w:cs="宋体"/>
                <w:color w:val="000000"/>
              </w:rPr>
              <w:t>材料</w:t>
            </w:r>
          </w:p>
        </w:tc>
      </w:tr>
      <w:tr w14:paraId="6E536A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5A5B62">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9F1C95D">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BC98B9">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DC79B59">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AB6CA4E">
            <w:pPr>
              <w:pStyle w:val="32"/>
              <w:spacing w:beforeAutospacing="0" w:afterAutospacing="0" w:line="360" w:lineRule="auto"/>
              <w:jc w:val="center"/>
            </w:pPr>
            <w:r>
              <w:t> </w:t>
            </w:r>
          </w:p>
        </w:tc>
      </w:tr>
      <w:tr w14:paraId="3036A9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6DAF4FC">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EED489D">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A59555E">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1180B3">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F9F19A">
            <w:pPr>
              <w:pStyle w:val="32"/>
              <w:spacing w:beforeAutospacing="0" w:afterAutospacing="0" w:line="360" w:lineRule="auto"/>
              <w:jc w:val="center"/>
            </w:pPr>
            <w:r>
              <w:t> </w:t>
            </w:r>
          </w:p>
        </w:tc>
      </w:tr>
      <w:tr w14:paraId="3DFFCB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74DBE1D">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8D5B27B">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C482C1">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03DC520">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F105914">
            <w:pPr>
              <w:pStyle w:val="32"/>
              <w:spacing w:beforeAutospacing="0" w:afterAutospacing="0" w:line="360" w:lineRule="auto"/>
              <w:jc w:val="center"/>
            </w:pPr>
            <w:r>
              <w:t> </w:t>
            </w:r>
          </w:p>
        </w:tc>
      </w:tr>
      <w:tr w14:paraId="4421C5D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D35894A">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AD9A319">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347DDFA">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06AE89">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AC1C38">
            <w:pPr>
              <w:pStyle w:val="32"/>
              <w:spacing w:beforeAutospacing="0" w:afterAutospacing="0" w:line="360" w:lineRule="auto"/>
              <w:jc w:val="center"/>
            </w:pPr>
            <w:r>
              <w:t> </w:t>
            </w:r>
          </w:p>
        </w:tc>
      </w:tr>
      <w:tr w14:paraId="7A1947D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856EC4">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0B038C8">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362A94">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9B90D39">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3E23BA0">
            <w:pPr>
              <w:pStyle w:val="32"/>
              <w:spacing w:beforeAutospacing="0" w:afterAutospacing="0" w:line="360" w:lineRule="auto"/>
              <w:jc w:val="center"/>
            </w:pPr>
            <w:r>
              <w:t> </w:t>
            </w:r>
          </w:p>
        </w:tc>
      </w:tr>
      <w:tr w14:paraId="0791FAB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3D46975">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1921A0D">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97B0896">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166E31">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4D22E7">
            <w:pPr>
              <w:pStyle w:val="32"/>
              <w:spacing w:beforeAutospacing="0" w:afterAutospacing="0" w:line="360" w:lineRule="auto"/>
              <w:jc w:val="center"/>
            </w:pPr>
            <w:r>
              <w:t> </w:t>
            </w:r>
          </w:p>
        </w:tc>
      </w:tr>
      <w:tr w14:paraId="083F8C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F5AC1BE">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16A30">
            <w:pPr>
              <w:pStyle w:val="32"/>
              <w:spacing w:beforeAutospacing="0" w:afterAutospacing="0" w:line="360" w:lineRule="auto"/>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BC111A3">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BC8F6D">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0CAFC0">
            <w:pPr>
              <w:pStyle w:val="32"/>
              <w:spacing w:beforeAutospacing="0" w:afterAutospacing="0" w:line="360" w:lineRule="auto"/>
              <w:jc w:val="center"/>
            </w:pPr>
            <w:r>
              <w:t> </w:t>
            </w:r>
          </w:p>
        </w:tc>
      </w:tr>
      <w:tr w14:paraId="06A145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774E5D">
            <w:pPr>
              <w:pStyle w:val="32"/>
              <w:spacing w:beforeAutospacing="0" w:afterAutospacing="0" w:line="360" w:lineRule="auto"/>
              <w:jc w:val="cente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3FFF649">
            <w:pPr>
              <w:pStyle w:val="32"/>
              <w:spacing w:beforeAutospacing="0" w:afterAutospacing="0" w:line="360" w:lineRule="auto"/>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51BEE175">
            <w:pPr>
              <w:pStyle w:val="32"/>
              <w:spacing w:beforeAutospacing="0" w:afterAutospacing="0" w:line="360" w:lineRule="auto"/>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4F1E5CF">
            <w:pPr>
              <w:pStyle w:val="32"/>
              <w:spacing w:beforeAutospacing="0" w:afterAutospacing="0" w:line="360" w:lineRule="auto"/>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ACE192A">
            <w:pPr>
              <w:pStyle w:val="32"/>
              <w:spacing w:beforeAutospacing="0" w:afterAutospacing="0" w:line="360" w:lineRule="auto"/>
              <w:jc w:val="center"/>
            </w:pPr>
            <w:r>
              <w:t> </w:t>
            </w:r>
          </w:p>
        </w:tc>
      </w:tr>
    </w:tbl>
    <w:p w14:paraId="459697F3">
      <w:pPr>
        <w:pStyle w:val="32"/>
        <w:spacing w:beforeAutospacing="0" w:afterAutospacing="0" w:line="360" w:lineRule="auto"/>
        <w:jc w:val="both"/>
      </w:pPr>
      <w:r>
        <w:rPr>
          <w:rFonts w:hint="eastAsia" w:ascii="宋体" w:hAnsi="宋体" w:eastAsia="宋体" w:cs="宋体"/>
          <w:color w:val="000000"/>
        </w:rPr>
        <w:t>注：行数不够，可自行添加。</w:t>
      </w:r>
    </w:p>
    <w:p w14:paraId="19F79D31">
      <w:pPr>
        <w:pStyle w:val="32"/>
        <w:spacing w:beforeAutospacing="0" w:afterAutospacing="0" w:line="360" w:lineRule="auto"/>
        <w:jc w:val="center"/>
      </w:pPr>
      <w:r>
        <w:t> </w:t>
      </w:r>
    </w:p>
    <w:p w14:paraId="4ACCF87B">
      <w:pPr>
        <w:pStyle w:val="32"/>
        <w:spacing w:beforeAutospacing="0" w:afterAutospacing="0" w:line="360" w:lineRule="auto"/>
        <w:jc w:val="center"/>
      </w:pPr>
      <w:r>
        <w:t> </w:t>
      </w:r>
    </w:p>
    <w:p w14:paraId="29427955">
      <w:pPr>
        <w:pStyle w:val="32"/>
        <w:spacing w:beforeAutospacing="0" w:afterAutospacing="0" w:line="360" w:lineRule="auto"/>
        <w:jc w:val="center"/>
      </w:pPr>
      <w:r>
        <w:t> </w:t>
      </w:r>
    </w:p>
    <w:p w14:paraId="3A750031">
      <w:pPr>
        <w:pStyle w:val="32"/>
        <w:spacing w:beforeAutospacing="0" w:afterAutospacing="0" w:line="360" w:lineRule="auto"/>
        <w:jc w:val="center"/>
      </w:pPr>
      <w:r>
        <w:t> </w:t>
      </w:r>
    </w:p>
    <w:p w14:paraId="7D0D4696">
      <w:pPr>
        <w:pStyle w:val="32"/>
        <w:spacing w:beforeAutospacing="0" w:afterAutospacing="0" w:line="360" w:lineRule="auto"/>
        <w:jc w:val="both"/>
      </w:pPr>
      <w:r>
        <w:t> </w:t>
      </w:r>
    </w:p>
    <w:p w14:paraId="119B8EB7">
      <w:pPr>
        <w:pStyle w:val="32"/>
        <w:spacing w:beforeAutospacing="0" w:afterAutospacing="0" w:line="360" w:lineRule="auto"/>
        <w:jc w:val="both"/>
      </w:pPr>
      <w:r>
        <w:t> </w:t>
      </w:r>
    </w:p>
    <w:p w14:paraId="34EC951D">
      <w:pPr>
        <w:pStyle w:val="32"/>
        <w:spacing w:beforeAutospacing="0" w:afterAutospacing="0" w:line="360" w:lineRule="auto"/>
        <w:jc w:val="both"/>
      </w:pPr>
      <w:r>
        <w:t> </w:t>
      </w:r>
    </w:p>
    <w:p w14:paraId="2D548592">
      <w:pPr>
        <w:pStyle w:val="32"/>
        <w:spacing w:beforeAutospacing="0" w:afterAutospacing="0" w:line="360" w:lineRule="auto"/>
        <w:jc w:val="both"/>
      </w:pPr>
      <w:r>
        <w:t> </w:t>
      </w:r>
    </w:p>
    <w:p w14:paraId="612611D8">
      <w:pPr>
        <w:pStyle w:val="32"/>
        <w:spacing w:beforeAutospacing="0" w:afterAutospacing="0" w:line="360" w:lineRule="auto"/>
        <w:jc w:val="both"/>
      </w:pPr>
    </w:p>
    <w:p w14:paraId="16085F45">
      <w:pPr>
        <w:pStyle w:val="32"/>
        <w:spacing w:beforeAutospacing="0" w:afterAutospacing="0" w:line="360" w:lineRule="auto"/>
        <w:jc w:val="both"/>
      </w:pPr>
    </w:p>
    <w:p w14:paraId="3B48F72F">
      <w:pPr>
        <w:pStyle w:val="32"/>
        <w:spacing w:beforeAutospacing="0" w:afterAutospacing="0" w:line="360" w:lineRule="auto"/>
        <w:jc w:val="both"/>
      </w:pPr>
    </w:p>
    <w:p w14:paraId="11928516">
      <w:pPr>
        <w:pStyle w:val="32"/>
        <w:spacing w:beforeAutospacing="0" w:afterAutospacing="0" w:line="360" w:lineRule="auto"/>
        <w:jc w:val="both"/>
      </w:pPr>
    </w:p>
    <w:p w14:paraId="30731747">
      <w:pPr>
        <w:pStyle w:val="32"/>
        <w:spacing w:beforeAutospacing="0" w:afterAutospacing="0" w:line="360" w:lineRule="auto"/>
        <w:jc w:val="both"/>
      </w:pPr>
    </w:p>
    <w:p w14:paraId="794E5657">
      <w:pPr>
        <w:pStyle w:val="32"/>
        <w:spacing w:beforeAutospacing="0" w:afterAutospacing="0" w:line="360" w:lineRule="auto"/>
        <w:jc w:val="both"/>
      </w:pPr>
    </w:p>
    <w:p w14:paraId="09B34C49">
      <w:pPr>
        <w:pStyle w:val="32"/>
        <w:spacing w:beforeAutospacing="0" w:afterAutospacing="0" w:line="360" w:lineRule="auto"/>
        <w:jc w:val="center"/>
        <w:rPr>
          <w:rFonts w:hint="eastAsia" w:ascii="黑体" w:hAnsi="宋体" w:eastAsia="黑体" w:cs="黑体"/>
          <w:b/>
          <w:color w:val="000000"/>
          <w:sz w:val="32"/>
          <w:szCs w:val="32"/>
        </w:rPr>
      </w:pPr>
      <w:bookmarkStart w:id="190" w:name="_Hlt26955054"/>
    </w:p>
    <w:p w14:paraId="56AECC79">
      <w:pPr>
        <w:pStyle w:val="32"/>
        <w:spacing w:beforeAutospacing="0" w:afterAutospacing="0" w:line="360" w:lineRule="auto"/>
        <w:jc w:val="center"/>
      </w:pPr>
      <w:r>
        <w:rPr>
          <w:rFonts w:hint="eastAsia" w:ascii="黑体" w:hAnsi="宋体" w:eastAsia="黑体" w:cs="黑体"/>
          <w:b/>
          <w:color w:val="000000"/>
          <w:sz w:val="32"/>
          <w:szCs w:val="32"/>
        </w:rPr>
        <w:t>十三、商务要求响应及偏离表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5F3FECDB">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3455ED">
            <w:pPr>
              <w:pStyle w:val="32"/>
              <w:spacing w:beforeAutospacing="0" w:afterAutospacing="0" w:line="360" w:lineRule="auto"/>
              <w:jc w:val="center"/>
            </w:pPr>
            <w:bookmarkStart w:id="191" w:name="_Hlt26955056"/>
            <w:bookmarkStart w:id="192" w:name="_Hlt24879081"/>
            <w:bookmarkStart w:id="193" w:name="_Hlt26955064"/>
            <w:bookmarkStart w:id="194" w:name="_Hlt26671343"/>
            <w:bookmarkStart w:id="195" w:name="_Hlt26671372"/>
            <w:bookmarkStart w:id="196" w:name="_Hlt26782999"/>
            <w:bookmarkStart w:id="197" w:name="_Hlt26580838"/>
            <w:bookmarkStart w:id="198" w:name="_Hlt26609391"/>
            <w:r>
              <w:rPr>
                <w:rFonts w:hint="eastAsia" w:ascii="宋体" w:hAnsi="宋体" w:eastAsia="宋体" w:cs="宋体"/>
                <w:color w:val="000000"/>
              </w:rPr>
              <w:t>序号</w:t>
            </w:r>
            <w:bookmarkEnd w:id="191"/>
            <w:bookmarkEnd w:id="192"/>
            <w:bookmarkEnd w:id="193"/>
            <w:bookmarkEnd w:id="194"/>
            <w:bookmarkEnd w:id="195"/>
            <w:bookmarkEnd w:id="196"/>
            <w:bookmarkEnd w:id="197"/>
            <w:bookmarkEnd w:id="198"/>
          </w:p>
        </w:tc>
        <w:tc>
          <w:tcPr>
            <w:tcW w:w="2469" w:type="dxa"/>
            <w:tcBorders>
              <w:top w:val="single" w:color="000000" w:sz="4" w:space="0"/>
              <w:left w:val="single" w:color="000000" w:sz="4" w:space="0"/>
              <w:bottom w:val="single" w:color="000000" w:sz="4" w:space="0"/>
              <w:right w:val="single" w:color="000000" w:sz="4" w:space="0"/>
            </w:tcBorders>
            <w:vAlign w:val="center"/>
          </w:tcPr>
          <w:p w14:paraId="28DD311C">
            <w:pPr>
              <w:pStyle w:val="32"/>
              <w:spacing w:beforeAutospacing="0" w:afterAutospacing="0" w:line="360" w:lineRule="auto"/>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1EC83463">
            <w:pPr>
              <w:pStyle w:val="32"/>
              <w:spacing w:beforeAutospacing="0" w:afterAutospacing="0" w:line="360" w:lineRule="auto"/>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182A69A1">
            <w:pPr>
              <w:pStyle w:val="32"/>
              <w:spacing w:beforeAutospacing="0" w:afterAutospacing="0" w:line="360" w:lineRule="auto"/>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55F4E777">
            <w:pPr>
              <w:pStyle w:val="32"/>
              <w:spacing w:beforeAutospacing="0" w:afterAutospacing="0" w:line="360" w:lineRule="auto"/>
              <w:jc w:val="center"/>
            </w:pPr>
            <w:r>
              <w:rPr>
                <w:rFonts w:hint="eastAsia" w:ascii="宋体" w:hAnsi="宋体" w:eastAsia="宋体" w:cs="宋体"/>
                <w:color w:val="000000"/>
              </w:rPr>
              <w:t>证明</w:t>
            </w:r>
          </w:p>
          <w:p w14:paraId="76455576">
            <w:pPr>
              <w:pStyle w:val="32"/>
              <w:spacing w:beforeAutospacing="0" w:afterAutospacing="0" w:line="360" w:lineRule="auto"/>
              <w:jc w:val="center"/>
            </w:pPr>
            <w:r>
              <w:rPr>
                <w:rFonts w:hint="eastAsia" w:ascii="宋体" w:hAnsi="宋体" w:eastAsia="宋体" w:cs="宋体"/>
                <w:color w:val="000000"/>
              </w:rPr>
              <w:t>材料</w:t>
            </w:r>
          </w:p>
        </w:tc>
      </w:tr>
      <w:tr w14:paraId="51B0BFC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096D3EC">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w:t>
            </w:r>
            <w:r>
              <w:rPr>
                <w:rFonts w:hint="eastAsia" w:asciiTheme="minorEastAsia" w:hAnsiTheme="minorEastAsia" w:eastAsiaTheme="minorEastAsia" w:cstheme="minorEastAsia"/>
                <w:lang w:val="en-US" w:eastAsia="zh-CN"/>
              </w:rPr>
              <w:t>1</w:t>
            </w:r>
          </w:p>
        </w:tc>
        <w:tc>
          <w:tcPr>
            <w:tcW w:w="2469" w:type="dxa"/>
            <w:tcBorders>
              <w:top w:val="single" w:color="000000" w:sz="4" w:space="0"/>
              <w:left w:val="single" w:color="000000" w:sz="4" w:space="0"/>
              <w:bottom w:val="single" w:color="000000" w:sz="4" w:space="0"/>
              <w:right w:val="single" w:color="000000" w:sz="4" w:space="0"/>
            </w:tcBorders>
            <w:vAlign w:val="center"/>
          </w:tcPr>
          <w:p w14:paraId="18B9A10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维保期</w:t>
            </w:r>
          </w:p>
        </w:tc>
        <w:tc>
          <w:tcPr>
            <w:tcW w:w="2645" w:type="dxa"/>
            <w:tcBorders>
              <w:top w:val="single" w:color="000000" w:sz="4" w:space="0"/>
              <w:left w:val="single" w:color="000000" w:sz="4" w:space="0"/>
              <w:bottom w:val="single" w:color="000000" w:sz="4" w:space="0"/>
              <w:right w:val="single" w:color="000000" w:sz="4" w:space="0"/>
            </w:tcBorders>
            <w:vAlign w:val="center"/>
          </w:tcPr>
          <w:p w14:paraId="767D4D0F">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267D543">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5D84014">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r>
      <w:tr w14:paraId="6A0A2F0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69FA4D">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w:t>
            </w:r>
            <w:r>
              <w:rPr>
                <w:rFonts w:hint="eastAsia" w:asciiTheme="minorEastAsia" w:hAnsiTheme="minorEastAsia" w:eastAsiaTheme="minorEastAsia" w:cstheme="minorEastAsia"/>
                <w:lang w:val="en-US" w:eastAsia="zh-CN"/>
              </w:rPr>
              <w:t>2</w:t>
            </w:r>
          </w:p>
        </w:tc>
        <w:tc>
          <w:tcPr>
            <w:tcW w:w="2469" w:type="dxa"/>
            <w:tcBorders>
              <w:top w:val="single" w:color="000000" w:sz="4" w:space="0"/>
              <w:left w:val="single" w:color="000000" w:sz="4" w:space="0"/>
              <w:bottom w:val="single" w:color="000000" w:sz="4" w:space="0"/>
              <w:right w:val="single" w:color="000000" w:sz="4" w:space="0"/>
            </w:tcBorders>
            <w:vAlign w:val="center"/>
          </w:tcPr>
          <w:p w14:paraId="33804DA8">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w:t>
            </w:r>
            <w:r>
              <w:rPr>
                <w:rFonts w:hint="eastAsia" w:asciiTheme="minorEastAsia" w:hAnsiTheme="minorEastAsia" w:eastAsiaTheme="minorEastAsia" w:cstheme="minorEastAsia"/>
                <w:color w:val="000000"/>
                <w:sz w:val="28"/>
                <w:szCs w:val="28"/>
              </w:rPr>
              <w:t>交付时间</w:t>
            </w:r>
          </w:p>
        </w:tc>
        <w:tc>
          <w:tcPr>
            <w:tcW w:w="2645" w:type="dxa"/>
            <w:tcBorders>
              <w:top w:val="single" w:color="000000" w:sz="4" w:space="0"/>
              <w:left w:val="single" w:color="000000" w:sz="4" w:space="0"/>
              <w:bottom w:val="single" w:color="000000" w:sz="4" w:space="0"/>
              <w:right w:val="single" w:color="000000" w:sz="4" w:space="0"/>
            </w:tcBorders>
            <w:vAlign w:val="center"/>
          </w:tcPr>
          <w:p w14:paraId="002F80CB">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85F1FCF">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75D913">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r>
      <w:tr w14:paraId="4B982A1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F0522AD">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w:t>
            </w:r>
            <w:r>
              <w:rPr>
                <w:rFonts w:hint="eastAsia" w:asciiTheme="minorEastAsia" w:hAnsiTheme="minorEastAsia" w:eastAsiaTheme="minorEastAsia" w:cstheme="minorEastAsia"/>
                <w:lang w:val="en-US" w:eastAsia="zh-CN"/>
              </w:rPr>
              <w:t>3</w:t>
            </w:r>
          </w:p>
        </w:tc>
        <w:tc>
          <w:tcPr>
            <w:tcW w:w="2469" w:type="dxa"/>
            <w:tcBorders>
              <w:top w:val="single" w:color="000000" w:sz="4" w:space="0"/>
              <w:left w:val="single" w:color="000000" w:sz="4" w:space="0"/>
              <w:bottom w:val="single" w:color="000000" w:sz="4" w:space="0"/>
              <w:right w:val="single" w:color="000000" w:sz="4" w:space="0"/>
            </w:tcBorders>
            <w:vAlign w:val="center"/>
          </w:tcPr>
          <w:p w14:paraId="58D205B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w:t>
            </w:r>
            <w:r>
              <w:rPr>
                <w:rFonts w:hint="eastAsia" w:asciiTheme="minorEastAsia" w:hAnsiTheme="minorEastAsia" w:eastAsiaTheme="minorEastAsia" w:cstheme="minorEastAsia"/>
                <w:color w:val="000000"/>
                <w:sz w:val="28"/>
                <w:szCs w:val="28"/>
              </w:rPr>
              <w:t>交付地点</w:t>
            </w:r>
          </w:p>
        </w:tc>
        <w:tc>
          <w:tcPr>
            <w:tcW w:w="2645" w:type="dxa"/>
            <w:tcBorders>
              <w:top w:val="single" w:color="000000" w:sz="4" w:space="0"/>
              <w:left w:val="single" w:color="000000" w:sz="4" w:space="0"/>
              <w:bottom w:val="single" w:color="000000" w:sz="4" w:space="0"/>
              <w:right w:val="single" w:color="000000" w:sz="4" w:space="0"/>
            </w:tcBorders>
            <w:vAlign w:val="center"/>
          </w:tcPr>
          <w:p w14:paraId="30FF9E23">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7927185">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AA965A8">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r>
      <w:tr w14:paraId="516C7AA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8CABBA9">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w:t>
            </w:r>
            <w:r>
              <w:rPr>
                <w:rFonts w:hint="eastAsia" w:asciiTheme="minorEastAsia" w:hAnsiTheme="minorEastAsia" w:eastAsiaTheme="minorEastAsia" w:cstheme="minorEastAsia"/>
                <w:lang w:val="en-US" w:eastAsia="zh-CN"/>
              </w:rPr>
              <w:t>4</w:t>
            </w:r>
          </w:p>
        </w:tc>
        <w:tc>
          <w:tcPr>
            <w:tcW w:w="2469" w:type="dxa"/>
            <w:tcBorders>
              <w:top w:val="single" w:color="000000" w:sz="4" w:space="0"/>
              <w:left w:val="single" w:color="000000" w:sz="4" w:space="0"/>
              <w:bottom w:val="single" w:color="000000" w:sz="4" w:space="0"/>
              <w:right w:val="single" w:color="000000" w:sz="4" w:space="0"/>
            </w:tcBorders>
            <w:vAlign w:val="center"/>
          </w:tcPr>
          <w:p w14:paraId="114C88BE">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付款方式</w:t>
            </w:r>
          </w:p>
        </w:tc>
        <w:tc>
          <w:tcPr>
            <w:tcW w:w="2645" w:type="dxa"/>
            <w:tcBorders>
              <w:top w:val="single" w:color="000000" w:sz="4" w:space="0"/>
              <w:left w:val="single" w:color="000000" w:sz="4" w:space="0"/>
              <w:bottom w:val="single" w:color="000000" w:sz="4" w:space="0"/>
              <w:right w:val="single" w:color="000000" w:sz="4" w:space="0"/>
            </w:tcBorders>
            <w:vAlign w:val="center"/>
          </w:tcPr>
          <w:p w14:paraId="573B2C56">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C79592A">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C137F3F">
            <w:pPr>
              <w:pStyle w:val="32"/>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w:t>
            </w:r>
          </w:p>
        </w:tc>
      </w:tr>
      <w:tr w14:paraId="4B20894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8A77532">
            <w:pPr>
              <w:pStyle w:val="32"/>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6D3E80A">
            <w:pPr>
              <w:pStyle w:val="32"/>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E79ACAD">
            <w:pPr>
              <w:pStyle w:val="32"/>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7E93566">
            <w:pPr>
              <w:pStyle w:val="32"/>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D004C8A">
            <w:pPr>
              <w:pStyle w:val="32"/>
              <w:spacing w:beforeAutospacing="0" w:afterAutospacing="0" w:line="360" w:lineRule="auto"/>
              <w:jc w:val="center"/>
            </w:pPr>
            <w:r>
              <w:t> </w:t>
            </w:r>
          </w:p>
        </w:tc>
      </w:tr>
      <w:tr w14:paraId="08FB50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280E624">
            <w:pPr>
              <w:pStyle w:val="32"/>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8C06C79">
            <w:pPr>
              <w:pStyle w:val="32"/>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00B572C">
            <w:pPr>
              <w:pStyle w:val="32"/>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367BB47">
            <w:pPr>
              <w:pStyle w:val="32"/>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B73266A">
            <w:pPr>
              <w:pStyle w:val="32"/>
              <w:spacing w:beforeAutospacing="0" w:afterAutospacing="0" w:line="360" w:lineRule="auto"/>
              <w:jc w:val="center"/>
            </w:pPr>
            <w:r>
              <w:t> </w:t>
            </w:r>
          </w:p>
        </w:tc>
      </w:tr>
      <w:tr w14:paraId="2DFF54B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209933F">
            <w:pPr>
              <w:pStyle w:val="32"/>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BF7BFC1">
            <w:pPr>
              <w:pStyle w:val="32"/>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0705E94">
            <w:pPr>
              <w:pStyle w:val="32"/>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85AFFF1">
            <w:pPr>
              <w:pStyle w:val="32"/>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893CD87">
            <w:pPr>
              <w:pStyle w:val="32"/>
              <w:spacing w:beforeAutospacing="0" w:afterAutospacing="0" w:line="360" w:lineRule="auto"/>
              <w:jc w:val="center"/>
            </w:pPr>
            <w:r>
              <w:t> </w:t>
            </w:r>
          </w:p>
        </w:tc>
      </w:tr>
      <w:tr w14:paraId="785B475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A1F31DF">
            <w:pPr>
              <w:pStyle w:val="32"/>
              <w:spacing w:beforeAutospacing="0" w:afterAutospacing="0" w:line="360" w:lineRule="auto"/>
              <w:jc w:val="cente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BB366B4">
            <w:pPr>
              <w:pStyle w:val="32"/>
              <w:spacing w:beforeAutospacing="0" w:afterAutospacing="0" w:line="360" w:lineRule="auto"/>
              <w:jc w:val="cente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CDEF4C3">
            <w:pPr>
              <w:pStyle w:val="32"/>
              <w:spacing w:beforeAutospacing="0" w:afterAutospacing="0" w:line="360" w:lineRule="auto"/>
              <w:jc w:val="cente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4BAA0E6">
            <w:pPr>
              <w:pStyle w:val="32"/>
              <w:spacing w:beforeAutospacing="0" w:afterAutospacing="0" w:line="360" w:lineRule="auto"/>
              <w:jc w:val="cente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3E21E39">
            <w:pPr>
              <w:pStyle w:val="32"/>
              <w:spacing w:beforeAutospacing="0" w:afterAutospacing="0" w:line="360" w:lineRule="auto"/>
              <w:jc w:val="center"/>
            </w:pPr>
            <w:r>
              <w:t> </w:t>
            </w:r>
          </w:p>
        </w:tc>
      </w:tr>
    </w:tbl>
    <w:p w14:paraId="40ECA91C">
      <w:pPr>
        <w:pStyle w:val="32"/>
        <w:spacing w:beforeAutospacing="0" w:afterAutospacing="0" w:line="360" w:lineRule="auto"/>
        <w:jc w:val="both"/>
      </w:pPr>
      <w:r>
        <w:rPr>
          <w:rFonts w:hint="eastAsia" w:ascii="宋体" w:hAnsi="宋体" w:eastAsia="宋体" w:cs="宋体"/>
          <w:color w:val="000000"/>
        </w:rPr>
        <w:t>注：行数不够，可自行添加。</w:t>
      </w:r>
    </w:p>
    <w:p w14:paraId="7FD172AD">
      <w:pPr>
        <w:pStyle w:val="32"/>
        <w:spacing w:beforeAutospacing="0" w:afterAutospacing="0" w:line="360" w:lineRule="auto"/>
        <w:jc w:val="both"/>
      </w:pPr>
      <w:r>
        <w:t> </w:t>
      </w:r>
    </w:p>
    <w:p w14:paraId="30A48EC6">
      <w:pPr>
        <w:pStyle w:val="32"/>
        <w:spacing w:beforeAutospacing="0" w:afterAutospacing="0" w:line="360" w:lineRule="auto"/>
        <w:jc w:val="both"/>
      </w:pPr>
      <w:r>
        <w:t> </w:t>
      </w:r>
    </w:p>
    <w:p w14:paraId="7D6DBE9A">
      <w:pPr>
        <w:pStyle w:val="32"/>
        <w:spacing w:beforeAutospacing="0" w:afterAutospacing="0" w:line="360" w:lineRule="auto"/>
        <w:jc w:val="center"/>
      </w:pPr>
      <w:bookmarkStart w:id="199" w:name="_格式2__法定代表人授权书"/>
      <w:bookmarkStart w:id="200" w:name="_Hlt26671374"/>
      <w:bookmarkStart w:id="201" w:name="_Toc462564146"/>
      <w:bookmarkStart w:id="202" w:name="_Hlt26609389"/>
      <w:bookmarkStart w:id="203" w:name="_Hlt26955066"/>
      <w:r>
        <w:t> </w:t>
      </w:r>
    </w:p>
    <w:p w14:paraId="39147CE1">
      <w:pPr>
        <w:pStyle w:val="32"/>
        <w:spacing w:beforeAutospacing="0" w:afterAutospacing="0" w:line="360" w:lineRule="auto"/>
        <w:jc w:val="both"/>
      </w:pPr>
      <w:r>
        <w:t> </w:t>
      </w:r>
    </w:p>
    <w:p w14:paraId="55AEBDF3">
      <w:pPr>
        <w:pStyle w:val="32"/>
        <w:spacing w:beforeAutospacing="0" w:afterAutospacing="0" w:line="360" w:lineRule="auto"/>
        <w:jc w:val="both"/>
      </w:pPr>
      <w:r>
        <w:t> </w:t>
      </w:r>
    </w:p>
    <w:p w14:paraId="3095275C">
      <w:pPr>
        <w:pStyle w:val="32"/>
        <w:spacing w:beforeAutospacing="0" w:afterAutospacing="0" w:line="360" w:lineRule="auto"/>
        <w:jc w:val="both"/>
      </w:pPr>
    </w:p>
    <w:p w14:paraId="5EC11611">
      <w:pPr>
        <w:pStyle w:val="32"/>
        <w:spacing w:beforeAutospacing="0" w:afterAutospacing="0" w:line="360" w:lineRule="auto"/>
        <w:jc w:val="both"/>
      </w:pPr>
    </w:p>
    <w:p w14:paraId="271D3979">
      <w:pPr>
        <w:pStyle w:val="32"/>
        <w:spacing w:beforeAutospacing="0" w:afterAutospacing="0" w:line="360" w:lineRule="auto"/>
        <w:jc w:val="both"/>
      </w:pPr>
    </w:p>
    <w:p w14:paraId="6F16F904">
      <w:pPr>
        <w:pStyle w:val="32"/>
        <w:spacing w:beforeAutospacing="0" w:afterAutospacing="0" w:line="360" w:lineRule="auto"/>
        <w:jc w:val="both"/>
      </w:pPr>
    </w:p>
    <w:p w14:paraId="177DB8E8">
      <w:pPr>
        <w:pStyle w:val="32"/>
        <w:spacing w:beforeAutospacing="0" w:afterAutospacing="0" w:line="360" w:lineRule="auto"/>
        <w:jc w:val="both"/>
      </w:pPr>
    </w:p>
    <w:p w14:paraId="3BD893AB">
      <w:pPr>
        <w:pStyle w:val="32"/>
        <w:spacing w:beforeAutospacing="0" w:afterAutospacing="0" w:line="360" w:lineRule="auto"/>
        <w:jc w:val="both"/>
      </w:pPr>
    </w:p>
    <w:p w14:paraId="27966DEE">
      <w:pPr>
        <w:pStyle w:val="32"/>
        <w:spacing w:beforeAutospacing="0" w:afterAutospacing="0" w:line="360" w:lineRule="auto"/>
        <w:jc w:val="both"/>
      </w:pPr>
    </w:p>
    <w:p w14:paraId="11E12186">
      <w:pPr>
        <w:pStyle w:val="32"/>
        <w:spacing w:beforeAutospacing="0" w:afterAutospacing="0" w:line="360" w:lineRule="auto"/>
        <w:jc w:val="both"/>
      </w:pPr>
    </w:p>
    <w:p w14:paraId="6032DA5D">
      <w:pPr>
        <w:pStyle w:val="32"/>
        <w:spacing w:beforeAutospacing="0" w:afterAutospacing="0" w:line="360" w:lineRule="auto"/>
        <w:jc w:val="both"/>
      </w:pPr>
    </w:p>
    <w:p w14:paraId="76C560FC">
      <w:pPr>
        <w:pStyle w:val="32"/>
        <w:spacing w:beforeAutospacing="0" w:afterAutospacing="0" w:line="360" w:lineRule="auto"/>
        <w:jc w:val="both"/>
      </w:pPr>
    </w:p>
    <w:p w14:paraId="309397F8">
      <w:pPr>
        <w:pStyle w:val="32"/>
        <w:spacing w:beforeAutospacing="0" w:afterAutospacing="0" w:line="360" w:lineRule="auto"/>
        <w:ind w:firstLine="2891"/>
        <w:jc w:val="both"/>
        <w:rPr>
          <w:rFonts w:hint="eastAsia" w:ascii="黑体" w:hAnsi="宋体" w:eastAsia="黑体" w:cs="黑体"/>
          <w:b/>
          <w:i/>
          <w:sz w:val="32"/>
          <w:szCs w:val="32"/>
          <w:u w:val="single"/>
        </w:rPr>
      </w:pPr>
      <w:r>
        <w:rPr>
          <w:rFonts w:hint="eastAsia" w:ascii="黑体" w:hAnsi="宋体" w:eastAsia="黑体" w:cs="黑体"/>
          <w:b/>
          <w:i/>
          <w:sz w:val="32"/>
          <w:szCs w:val="32"/>
          <w:u w:val="single"/>
        </w:rPr>
        <w:t>十四、开标一览表</w:t>
      </w:r>
    </w:p>
    <w:p w14:paraId="62A3DD56">
      <w:pPr>
        <w:pStyle w:val="32"/>
        <w:spacing w:beforeAutospacing="0" w:afterAutospacing="0" w:line="360" w:lineRule="auto"/>
        <w:ind w:firstLine="2891"/>
        <w:jc w:val="both"/>
        <w:rPr>
          <w:rFonts w:hint="eastAsia" w:ascii="黑体" w:hAnsi="宋体" w:eastAsia="黑体" w:cs="黑体"/>
          <w:b/>
          <w:i/>
          <w:sz w:val="32"/>
          <w:szCs w:val="32"/>
          <w:u w:val="single"/>
        </w:rPr>
      </w:pPr>
    </w:p>
    <w:p w14:paraId="7FB13D6B">
      <w:pPr>
        <w:pStyle w:val="32"/>
        <w:spacing w:beforeAutospacing="0" w:afterAutospacing="0" w:line="360" w:lineRule="auto"/>
        <w:ind w:firstLine="480"/>
        <w:jc w:val="both"/>
      </w:pPr>
      <w:r>
        <w:rPr>
          <w:rFonts w:hint="eastAsia" w:ascii="宋体" w:hAnsi="宋体" w:eastAsia="宋体" w:cs="宋体"/>
        </w:rPr>
        <w:t>投标人全称（加盖CA电子签章）：</w:t>
      </w:r>
    </w:p>
    <w:p w14:paraId="5F47497F">
      <w:pPr>
        <w:pStyle w:val="32"/>
        <w:spacing w:beforeAutospacing="0" w:afterAutospacing="0" w:line="360" w:lineRule="auto"/>
        <w:ind w:firstLine="480"/>
        <w:jc w:val="both"/>
      </w:pPr>
      <w:r>
        <w:rPr>
          <w:rFonts w:hint="eastAsia" w:ascii="宋体" w:hAnsi="宋体" w:eastAsia="宋体" w:cs="宋体"/>
        </w:rPr>
        <w:t>项目名称：</w:t>
      </w:r>
    </w:p>
    <w:p w14:paraId="3FB194D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项目编号：</w:t>
      </w:r>
    </w:p>
    <w:tbl>
      <w:tblPr>
        <w:tblStyle w:val="36"/>
        <w:tblW w:w="8206" w:type="dxa"/>
        <w:tblCellSpacing w:w="0" w:type="dxa"/>
        <w:tblInd w:w="118" w:type="dxa"/>
        <w:tblLayout w:type="fixed"/>
        <w:tblCellMar>
          <w:top w:w="0" w:type="dxa"/>
          <w:left w:w="108" w:type="dxa"/>
          <w:bottom w:w="0" w:type="dxa"/>
          <w:right w:w="108" w:type="dxa"/>
        </w:tblCellMar>
      </w:tblPr>
      <w:tblGrid>
        <w:gridCol w:w="8206"/>
      </w:tblGrid>
      <w:tr w14:paraId="057243B9">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43C30BD">
            <w:pPr>
              <w:pStyle w:val="32"/>
              <w:spacing w:beforeAutospacing="0" w:afterAutospacing="0" w:line="360" w:lineRule="auto"/>
              <w:jc w:val="center"/>
            </w:pPr>
            <w:r>
              <w:rPr>
                <w:rFonts w:hint="eastAsia" w:ascii="宋体" w:hAnsi="宋体" w:eastAsia="宋体" w:cs="宋体"/>
              </w:rPr>
              <w:t>投标总报价</w:t>
            </w:r>
          </w:p>
        </w:tc>
      </w:tr>
      <w:tr w14:paraId="68CA600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FAE6F75">
            <w:pPr>
              <w:pStyle w:val="32"/>
              <w:spacing w:beforeAutospacing="0" w:afterAutospacing="0" w:line="360" w:lineRule="auto"/>
              <w:rPr>
                <w:rFonts w:hint="eastAsia" w:ascii="宋体" w:hAnsi="宋体" w:eastAsia="宋体" w:cs="宋体"/>
              </w:rPr>
            </w:pPr>
            <w:r>
              <w:rPr>
                <w:rFonts w:hint="eastAsia" w:ascii="宋体" w:hAnsi="宋体" w:eastAsia="宋体" w:cs="宋体"/>
              </w:rPr>
              <w:t>大写：</w:t>
            </w:r>
          </w:p>
        </w:tc>
      </w:tr>
      <w:tr w14:paraId="08E3982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318FA45">
            <w:pPr>
              <w:pStyle w:val="32"/>
              <w:spacing w:beforeAutospacing="0" w:afterAutospacing="0" w:line="360" w:lineRule="auto"/>
            </w:pPr>
            <w:r>
              <w:rPr>
                <w:rFonts w:hint="eastAsia" w:ascii="宋体" w:hAnsi="宋体" w:eastAsia="宋体" w:cs="宋体"/>
              </w:rPr>
              <w:t>小写：                       （人民币：元）</w:t>
            </w:r>
          </w:p>
        </w:tc>
      </w:tr>
      <w:tr w14:paraId="0B6FFA44">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8C6FD5F">
            <w:pPr>
              <w:pStyle w:val="32"/>
              <w:spacing w:beforeAutospacing="0" w:afterAutospacing="0" w:line="360" w:lineRule="auto"/>
              <w:rPr>
                <w:rFonts w:hint="eastAsia" w:ascii="宋体" w:hAnsi="宋体" w:eastAsia="宋体" w:cs="宋体"/>
              </w:rPr>
            </w:pPr>
            <w:r>
              <w:rPr>
                <w:rFonts w:hint="eastAsia" w:ascii="宋体" w:hAnsi="宋体" w:eastAsia="宋体" w:cs="宋体"/>
                <w:color w:val="000000"/>
              </w:rPr>
              <w:t>核心产品品牌：</w:t>
            </w:r>
          </w:p>
        </w:tc>
      </w:tr>
    </w:tbl>
    <w:p w14:paraId="62BAA234">
      <w:pPr>
        <w:pStyle w:val="32"/>
        <w:spacing w:beforeAutospacing="0" w:afterAutospacing="0" w:line="360" w:lineRule="auto"/>
        <w:jc w:val="both"/>
      </w:pPr>
      <w:r>
        <w:t> </w:t>
      </w:r>
    </w:p>
    <w:p w14:paraId="420214A0">
      <w:pPr>
        <w:pStyle w:val="32"/>
        <w:spacing w:beforeAutospacing="0" w:afterAutospacing="0" w:line="360" w:lineRule="auto"/>
        <w:ind w:firstLine="480"/>
        <w:jc w:val="both"/>
      </w:pPr>
      <w:r>
        <w:rPr>
          <w:rFonts w:hint="eastAsia" w:ascii="宋体" w:hAnsi="宋体" w:eastAsia="宋体" w:cs="宋体"/>
        </w:rPr>
        <w:t>                                             日期： </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1E89D705">
      <w:pPr>
        <w:pStyle w:val="32"/>
        <w:spacing w:beforeAutospacing="0" w:afterAutospacing="0" w:line="360" w:lineRule="auto"/>
        <w:ind w:firstLine="480"/>
        <w:jc w:val="both"/>
      </w:pPr>
      <w:r>
        <w:t> </w:t>
      </w:r>
    </w:p>
    <w:p w14:paraId="3821218A">
      <w:pPr>
        <w:pStyle w:val="32"/>
        <w:spacing w:beforeAutospacing="0" w:afterAutospacing="0" w:line="360" w:lineRule="auto"/>
        <w:jc w:val="both"/>
      </w:pPr>
      <w:r>
        <w:t> </w:t>
      </w:r>
    </w:p>
    <w:p w14:paraId="00CA83FC">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57CC6DF9">
      <w:pPr>
        <w:pStyle w:val="32"/>
        <w:spacing w:beforeAutospacing="0" w:afterAutospacing="0" w:line="360" w:lineRule="auto"/>
        <w:ind w:firstLine="480"/>
        <w:jc w:val="both"/>
        <w:rPr>
          <w:rFonts w:hint="eastAsia" w:ascii="宋体" w:hAnsi="宋体" w:eastAsia="宋体" w:cs="宋体"/>
          <w:color w:val="000000"/>
        </w:rPr>
      </w:pPr>
    </w:p>
    <w:p w14:paraId="58866FAE">
      <w:pPr>
        <w:widowControl/>
        <w:spacing w:before="50" w:after="50" w:line="360" w:lineRule="auto"/>
        <w:jc w:val="center"/>
      </w:pPr>
      <w:r>
        <w:tab/>
      </w:r>
    </w:p>
    <w:p w14:paraId="450EE1F1">
      <w:pPr>
        <w:widowControl/>
        <w:spacing w:before="50" w:after="50" w:line="360" w:lineRule="auto"/>
        <w:jc w:val="center"/>
      </w:pPr>
    </w:p>
    <w:p w14:paraId="730238F6">
      <w:pPr>
        <w:widowControl/>
        <w:spacing w:before="50" w:after="50" w:line="360" w:lineRule="auto"/>
        <w:jc w:val="center"/>
      </w:pPr>
    </w:p>
    <w:p w14:paraId="07CDBE90">
      <w:pPr>
        <w:widowControl/>
        <w:spacing w:before="50" w:after="50" w:line="360" w:lineRule="auto"/>
        <w:jc w:val="center"/>
      </w:pPr>
    </w:p>
    <w:p w14:paraId="6F1AEEEB">
      <w:pPr>
        <w:pStyle w:val="197"/>
        <w:spacing w:line="360" w:lineRule="auto"/>
      </w:pPr>
    </w:p>
    <w:p w14:paraId="12EA49F1">
      <w:pPr>
        <w:pStyle w:val="197"/>
        <w:spacing w:line="360" w:lineRule="auto"/>
      </w:pPr>
    </w:p>
    <w:p w14:paraId="46E228A6">
      <w:pPr>
        <w:pStyle w:val="197"/>
        <w:spacing w:line="360" w:lineRule="auto"/>
      </w:pPr>
    </w:p>
    <w:p w14:paraId="0E743651">
      <w:pPr>
        <w:pStyle w:val="197"/>
        <w:spacing w:line="360" w:lineRule="auto"/>
      </w:pPr>
    </w:p>
    <w:p w14:paraId="70197470">
      <w:pPr>
        <w:widowControl/>
        <w:spacing w:before="50" w:after="50" w:line="360" w:lineRule="auto"/>
        <w:jc w:val="center"/>
      </w:pPr>
    </w:p>
    <w:p w14:paraId="5B9C0578">
      <w:pPr>
        <w:widowControl/>
        <w:spacing w:before="50" w:after="50" w:line="360" w:lineRule="auto"/>
        <w:jc w:val="center"/>
      </w:pPr>
    </w:p>
    <w:p w14:paraId="5E3EC729">
      <w:pPr>
        <w:widowControl/>
        <w:spacing w:before="50" w:after="50" w:line="360" w:lineRule="auto"/>
        <w:jc w:val="center"/>
      </w:pPr>
    </w:p>
    <w:p w14:paraId="7E0E122E">
      <w:pPr>
        <w:widowControl/>
        <w:spacing w:before="50" w:after="50" w:line="360" w:lineRule="auto"/>
        <w:jc w:val="center"/>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rPr>
        <w:t>十五、采购方案、质量控制及应急方案、驻场服务方案、售后服务方案等</w:t>
      </w:r>
    </w:p>
    <w:p w14:paraId="4B34242C">
      <w:pPr>
        <w:pStyle w:val="32"/>
        <w:tabs>
          <w:tab w:val="left" w:pos="2160"/>
        </w:tabs>
        <w:spacing w:beforeAutospacing="0" w:afterAutospacing="0" w:line="360" w:lineRule="auto"/>
        <w:jc w:val="both"/>
      </w:pPr>
    </w:p>
    <w:p w14:paraId="5954E941">
      <w:pPr>
        <w:widowControl/>
        <w:spacing w:line="360" w:lineRule="auto"/>
        <w:ind w:firstLine="1600"/>
        <w:rPr>
          <w:rFonts w:hint="eastAsia" w:ascii="宋体" w:hAnsi="宋体" w:eastAsia="宋体" w:cs="宋体"/>
          <w:color w:val="000000"/>
          <w:sz w:val="32"/>
          <w:szCs w:val="32"/>
        </w:rPr>
      </w:pPr>
    </w:p>
    <w:p w14:paraId="3B781427">
      <w:pPr>
        <w:widowControl/>
        <w:spacing w:line="360" w:lineRule="auto"/>
        <w:ind w:firstLine="1600"/>
        <w:rPr>
          <w:rFonts w:hint="eastAsia" w:ascii="宋体" w:hAnsi="宋体" w:eastAsia="宋体" w:cs="宋体"/>
          <w:color w:val="000000"/>
          <w:sz w:val="32"/>
          <w:szCs w:val="32"/>
        </w:rPr>
      </w:pPr>
    </w:p>
    <w:p w14:paraId="7B13F0D5">
      <w:pPr>
        <w:widowControl/>
        <w:spacing w:line="360" w:lineRule="auto"/>
        <w:ind w:firstLine="1600"/>
        <w:rPr>
          <w:rFonts w:hint="eastAsia" w:ascii="宋体" w:hAnsi="宋体" w:eastAsia="宋体" w:cs="宋体"/>
          <w:color w:val="000000"/>
          <w:sz w:val="32"/>
          <w:szCs w:val="32"/>
        </w:rPr>
      </w:pPr>
    </w:p>
    <w:p w14:paraId="65BEDE9B">
      <w:pPr>
        <w:widowControl/>
        <w:spacing w:line="360" w:lineRule="auto"/>
        <w:ind w:firstLine="1600"/>
        <w:rPr>
          <w:rFonts w:hint="eastAsia" w:ascii="宋体" w:hAnsi="宋体" w:eastAsia="宋体" w:cs="宋体"/>
          <w:color w:val="000000"/>
          <w:sz w:val="32"/>
          <w:szCs w:val="32"/>
        </w:rPr>
      </w:pPr>
    </w:p>
    <w:p w14:paraId="4F8361F9">
      <w:pPr>
        <w:widowControl/>
        <w:spacing w:line="360" w:lineRule="auto"/>
        <w:ind w:firstLine="1600"/>
        <w:rPr>
          <w:rFonts w:hint="eastAsia" w:ascii="宋体" w:hAnsi="宋体" w:eastAsia="宋体" w:cs="宋体"/>
          <w:color w:val="000000"/>
          <w:sz w:val="32"/>
          <w:szCs w:val="32"/>
        </w:rPr>
      </w:pPr>
    </w:p>
    <w:p w14:paraId="7B7399D5">
      <w:pPr>
        <w:widowControl/>
        <w:spacing w:line="360" w:lineRule="auto"/>
        <w:ind w:firstLine="1600"/>
        <w:rPr>
          <w:rFonts w:hint="eastAsia" w:ascii="宋体" w:hAnsi="宋体" w:eastAsia="宋体" w:cs="宋体"/>
          <w:color w:val="000000"/>
          <w:sz w:val="32"/>
          <w:szCs w:val="32"/>
        </w:rPr>
      </w:pPr>
    </w:p>
    <w:p w14:paraId="4E96B26E">
      <w:pPr>
        <w:widowControl/>
        <w:spacing w:line="360" w:lineRule="auto"/>
        <w:ind w:firstLine="1600"/>
        <w:rPr>
          <w:rFonts w:hint="eastAsia" w:ascii="宋体" w:hAnsi="宋体" w:eastAsia="宋体" w:cs="宋体"/>
          <w:color w:val="000000"/>
          <w:sz w:val="32"/>
          <w:szCs w:val="32"/>
        </w:rPr>
      </w:pPr>
    </w:p>
    <w:p w14:paraId="53A779C2">
      <w:pPr>
        <w:widowControl/>
        <w:spacing w:line="360" w:lineRule="auto"/>
        <w:ind w:firstLine="1600"/>
        <w:rPr>
          <w:rFonts w:hint="eastAsia" w:ascii="宋体" w:hAnsi="宋体" w:eastAsia="宋体" w:cs="宋体"/>
          <w:color w:val="000000"/>
          <w:sz w:val="32"/>
          <w:szCs w:val="32"/>
        </w:rPr>
      </w:pPr>
    </w:p>
    <w:p w14:paraId="798747B9">
      <w:pPr>
        <w:widowControl/>
        <w:spacing w:line="360" w:lineRule="auto"/>
        <w:ind w:firstLine="1600"/>
        <w:rPr>
          <w:rFonts w:hint="eastAsia" w:ascii="宋体" w:hAnsi="宋体" w:eastAsia="宋体" w:cs="宋体"/>
          <w:color w:val="000000"/>
          <w:sz w:val="32"/>
          <w:szCs w:val="32"/>
        </w:rPr>
      </w:pPr>
    </w:p>
    <w:p w14:paraId="557E3ED7">
      <w:pPr>
        <w:widowControl/>
        <w:spacing w:line="360" w:lineRule="auto"/>
        <w:ind w:firstLine="1600"/>
        <w:rPr>
          <w:rFonts w:hint="eastAsia" w:ascii="宋体" w:hAnsi="宋体" w:eastAsia="宋体" w:cs="宋体"/>
          <w:color w:val="000000"/>
          <w:sz w:val="32"/>
          <w:szCs w:val="32"/>
        </w:rPr>
      </w:pPr>
    </w:p>
    <w:p w14:paraId="24F46582">
      <w:pPr>
        <w:widowControl/>
        <w:spacing w:line="360" w:lineRule="auto"/>
        <w:ind w:firstLine="1600"/>
        <w:rPr>
          <w:rFonts w:hint="eastAsia" w:ascii="宋体" w:hAnsi="宋体" w:eastAsia="宋体" w:cs="宋体"/>
          <w:color w:val="000000"/>
          <w:sz w:val="32"/>
          <w:szCs w:val="32"/>
        </w:rPr>
      </w:pPr>
    </w:p>
    <w:p w14:paraId="5E836B95">
      <w:pPr>
        <w:widowControl/>
        <w:spacing w:line="360" w:lineRule="auto"/>
        <w:ind w:firstLine="1600"/>
        <w:rPr>
          <w:rFonts w:hint="eastAsia" w:ascii="宋体" w:hAnsi="宋体" w:eastAsia="宋体" w:cs="宋体"/>
          <w:color w:val="000000"/>
          <w:sz w:val="32"/>
          <w:szCs w:val="32"/>
        </w:rPr>
      </w:pPr>
    </w:p>
    <w:p w14:paraId="3DF61990">
      <w:pPr>
        <w:widowControl/>
        <w:spacing w:line="360" w:lineRule="auto"/>
        <w:ind w:firstLine="1600"/>
        <w:rPr>
          <w:rFonts w:hint="eastAsia" w:ascii="宋体" w:hAnsi="宋体" w:eastAsia="宋体" w:cs="宋体"/>
          <w:color w:val="000000"/>
          <w:sz w:val="32"/>
          <w:szCs w:val="32"/>
        </w:rPr>
      </w:pPr>
    </w:p>
    <w:p w14:paraId="0B5566FB">
      <w:pPr>
        <w:widowControl/>
        <w:spacing w:line="360" w:lineRule="auto"/>
        <w:ind w:firstLine="1600"/>
        <w:rPr>
          <w:rFonts w:hint="eastAsia" w:ascii="宋体" w:hAnsi="宋体" w:eastAsia="宋体" w:cs="宋体"/>
          <w:color w:val="000000"/>
          <w:sz w:val="32"/>
          <w:szCs w:val="32"/>
        </w:rPr>
      </w:pPr>
    </w:p>
    <w:p w14:paraId="0A76CC59">
      <w:pPr>
        <w:widowControl/>
        <w:spacing w:line="360" w:lineRule="auto"/>
        <w:ind w:firstLine="1600"/>
        <w:rPr>
          <w:rFonts w:hint="eastAsia" w:ascii="宋体" w:hAnsi="宋体" w:eastAsia="宋体" w:cs="宋体"/>
          <w:color w:val="000000"/>
          <w:sz w:val="32"/>
          <w:szCs w:val="32"/>
        </w:rPr>
      </w:pPr>
    </w:p>
    <w:p w14:paraId="55E1B9BE">
      <w:pPr>
        <w:widowControl/>
        <w:spacing w:line="360" w:lineRule="auto"/>
        <w:ind w:firstLine="1600"/>
        <w:rPr>
          <w:rFonts w:hint="eastAsia" w:ascii="宋体" w:hAnsi="宋体" w:eastAsia="宋体" w:cs="宋体"/>
          <w:color w:val="000000"/>
          <w:sz w:val="32"/>
          <w:szCs w:val="32"/>
        </w:rPr>
      </w:pPr>
    </w:p>
    <w:p w14:paraId="473D4B5A">
      <w:pPr>
        <w:widowControl/>
        <w:spacing w:line="360" w:lineRule="auto"/>
        <w:ind w:firstLine="1600"/>
        <w:rPr>
          <w:rFonts w:hint="eastAsia" w:ascii="宋体" w:hAnsi="宋体" w:eastAsia="宋体" w:cs="宋体"/>
          <w:color w:val="000000"/>
          <w:sz w:val="32"/>
          <w:szCs w:val="32"/>
        </w:rPr>
      </w:pPr>
    </w:p>
    <w:p w14:paraId="41595E80">
      <w:pPr>
        <w:widowControl/>
        <w:spacing w:line="360" w:lineRule="auto"/>
        <w:ind w:firstLine="1600"/>
        <w:rPr>
          <w:rFonts w:hint="eastAsia" w:ascii="宋体" w:hAnsi="宋体" w:eastAsia="宋体" w:cs="宋体"/>
          <w:color w:val="000000"/>
          <w:sz w:val="32"/>
          <w:szCs w:val="32"/>
        </w:rPr>
      </w:pPr>
    </w:p>
    <w:p w14:paraId="6DCC4049">
      <w:pPr>
        <w:widowControl/>
        <w:spacing w:line="360" w:lineRule="auto"/>
        <w:ind w:firstLine="1600"/>
        <w:rPr>
          <w:rFonts w:hint="eastAsia" w:ascii="宋体" w:hAnsi="宋体" w:eastAsia="宋体" w:cs="宋体"/>
          <w:color w:val="000000"/>
          <w:sz w:val="32"/>
          <w:szCs w:val="32"/>
        </w:rPr>
      </w:pPr>
    </w:p>
    <w:p w14:paraId="3E1C9D7C">
      <w:pPr>
        <w:widowControl/>
        <w:spacing w:line="360" w:lineRule="auto"/>
        <w:ind w:firstLine="1600"/>
        <w:rPr>
          <w:rFonts w:hint="eastAsia" w:ascii="宋体" w:hAnsi="宋体" w:eastAsia="宋体" w:cs="宋体"/>
          <w:b/>
          <w:bCs/>
          <w:sz w:val="24"/>
        </w:rPr>
      </w:pPr>
      <w:r>
        <w:rPr>
          <w:rFonts w:hint="eastAsia" w:ascii="宋体" w:hAnsi="宋体" w:eastAsia="宋体" w:cs="宋体"/>
          <w:b/>
          <w:bCs/>
          <w:color w:val="000000"/>
          <w:sz w:val="32"/>
          <w:szCs w:val="32"/>
        </w:rPr>
        <w:t>十六、盐城市政府采购事前信用承诺书</w:t>
      </w:r>
    </w:p>
    <w:p w14:paraId="1C59E262">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6D2F734">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9B790EC">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727EF1">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（三）严格依照国家和省、市关于政府采购的法律、法规、规章、规范性文件，参加政府采购投标活动；积极履行社会责任，促进廉政建设；</w:t>
      </w:r>
    </w:p>
    <w:p w14:paraId="10A2EAB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35A0050F">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3B75E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4F73CB3">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73853C5">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33C8020D">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法定代表人签名：</w:t>
      </w:r>
    </w:p>
    <w:p w14:paraId="0A93E94E">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67F26757">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年  月  日</w:t>
      </w:r>
    </w:p>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p w14:paraId="3762A4C7">
      <w:pPr>
        <w:pStyle w:val="32"/>
        <w:spacing w:beforeAutospacing="0" w:afterAutospacing="0" w:line="360" w:lineRule="auto"/>
        <w:jc w:val="center"/>
      </w:pPr>
    </w:p>
    <w:p w14:paraId="641182B6">
      <w:pPr>
        <w:spacing w:line="360" w:lineRule="auto"/>
      </w:pPr>
    </w:p>
    <w:p w14:paraId="7C5E26DC">
      <w:pPr>
        <w:pStyle w:val="32"/>
        <w:spacing w:beforeAutospacing="0" w:afterAutospacing="0" w:line="360" w:lineRule="auto"/>
        <w:jc w:val="center"/>
        <w:rPr>
          <w:rFonts w:hint="eastAsia" w:ascii="宋体" w:hAnsi="宋体" w:eastAsia="宋体" w:cs="宋体"/>
          <w:b/>
          <w:color w:val="000000"/>
          <w:sz w:val="32"/>
          <w:szCs w:val="32"/>
        </w:rPr>
      </w:pPr>
    </w:p>
    <w:p w14:paraId="735AB3F0">
      <w:pPr>
        <w:pStyle w:val="32"/>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52BF0BD7">
      <w:pPr>
        <w:pStyle w:val="32"/>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303A5996">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p>
    <w:p w14:paraId="47DF1846">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1B555B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33B6370C">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F684DEA">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p>
    <w:p w14:paraId="02EA924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71351CC">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543337E">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E7E8D4E">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p>
    <w:p w14:paraId="0D0952D9">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6463FB0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w:t>
      </w:r>
    </w:p>
    <w:p w14:paraId="08E2C2F1">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w:t>
      </w:r>
    </w:p>
    <w:p w14:paraId="6284D71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9DBB58E">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w:t>
      </w:r>
    </w:p>
    <w:p w14:paraId="6DD895CD">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29DF23A5">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6CF787DD">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w:t>
      </w:r>
    </w:p>
    <w:p w14:paraId="35CD3928">
      <w:pPr>
        <w:pStyle w:val="32"/>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w:t>
      </w:r>
    </w:p>
    <w:p w14:paraId="5B0E4A4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w:t>
      </w:r>
    </w:p>
    <w:p w14:paraId="07D3ADD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0D963EA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59FCBA98">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4CDB78B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w:t>
      </w:r>
    </w:p>
    <w:p w14:paraId="1E4FD44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签字(签章)：  公章：  日期：   </w:t>
      </w:r>
    </w:p>
    <w:p w14:paraId="685190CD">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2677BA7A">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3AF1B2A4">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68BE33">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A313CD8">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57F26CB8">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686A9B09">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C56DF47">
      <w:pPr>
        <w:pStyle w:val="32"/>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2CBB53B3">
      <w:pPr>
        <w:spacing w:line="360" w:lineRule="auto"/>
      </w:pPr>
    </w:p>
    <w:sectPr>
      <w:footerReference r:id="rId3" w:type="default"/>
      <w:pgSz w:w="11906" w:h="16838"/>
      <w:pgMar w:top="1440" w:right="1701" w:bottom="1440" w:left="1701"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37EE">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20CB7">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E20CB7">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6FC25"/>
    <w:multiLevelType w:val="singleLevel"/>
    <w:tmpl w:val="8516FC25"/>
    <w:lvl w:ilvl="0" w:tentative="0">
      <w:start w:val="5"/>
      <w:numFmt w:val="decimal"/>
      <w:suff w:val="nothing"/>
      <w:lvlText w:val="%1、"/>
      <w:lvlJc w:val="left"/>
    </w:lvl>
  </w:abstractNum>
  <w:abstractNum w:abstractNumId="1">
    <w:nsid w:val="94F372BA"/>
    <w:multiLevelType w:val="singleLevel"/>
    <w:tmpl w:val="94F372BA"/>
    <w:lvl w:ilvl="0" w:tentative="0">
      <w:start w:val="1"/>
      <w:numFmt w:val="chineseCounting"/>
      <w:suff w:val="nothing"/>
      <w:lvlText w:val="%1、"/>
      <w:lvlJc w:val="left"/>
      <w:rPr>
        <w:rFonts w:hint="eastAsia"/>
      </w:rPr>
    </w:lvl>
  </w:abstractNum>
  <w:abstractNum w:abstractNumId="2">
    <w:nsid w:val="9CA7A51B"/>
    <w:multiLevelType w:val="singleLevel"/>
    <w:tmpl w:val="9CA7A51B"/>
    <w:lvl w:ilvl="0" w:tentative="0">
      <w:start w:val="1"/>
      <w:numFmt w:val="decimal"/>
      <w:suff w:val="nothing"/>
      <w:lvlText w:val="%1、"/>
      <w:lvlJc w:val="left"/>
    </w:lvl>
  </w:abstractNum>
  <w:abstractNum w:abstractNumId="3">
    <w:nsid w:val="A1C412E2"/>
    <w:multiLevelType w:val="singleLevel"/>
    <w:tmpl w:val="A1C412E2"/>
    <w:lvl w:ilvl="0" w:tentative="0">
      <w:start w:val="1"/>
      <w:numFmt w:val="decimal"/>
      <w:suff w:val="nothing"/>
      <w:lvlText w:val="%1、"/>
      <w:lvlJc w:val="left"/>
    </w:lvl>
  </w:abstractNum>
  <w:abstractNum w:abstractNumId="4">
    <w:nsid w:val="B6EC83BF"/>
    <w:multiLevelType w:val="singleLevel"/>
    <w:tmpl w:val="B6EC83BF"/>
    <w:lvl w:ilvl="0" w:tentative="0">
      <w:start w:val="1"/>
      <w:numFmt w:val="decimal"/>
      <w:suff w:val="nothing"/>
      <w:lvlText w:val="%1、"/>
      <w:lvlJc w:val="left"/>
    </w:lvl>
  </w:abstractNum>
  <w:abstractNum w:abstractNumId="5">
    <w:nsid w:val="BB556675"/>
    <w:multiLevelType w:val="singleLevel"/>
    <w:tmpl w:val="BB556675"/>
    <w:lvl w:ilvl="0" w:tentative="0">
      <w:start w:val="1"/>
      <w:numFmt w:val="decimal"/>
      <w:suff w:val="nothing"/>
      <w:lvlText w:val="%1、"/>
      <w:lvlJc w:val="left"/>
    </w:lvl>
  </w:abstractNum>
  <w:abstractNum w:abstractNumId="6">
    <w:nsid w:val="C4B5DEB8"/>
    <w:multiLevelType w:val="singleLevel"/>
    <w:tmpl w:val="C4B5DEB8"/>
    <w:lvl w:ilvl="0" w:tentative="0">
      <w:start w:val="3"/>
      <w:numFmt w:val="chineseCounting"/>
      <w:suff w:val="nothing"/>
      <w:lvlText w:val="（%1）"/>
      <w:lvlJc w:val="left"/>
      <w:rPr>
        <w:rFonts w:hint="eastAsia"/>
      </w:rPr>
    </w:lvl>
  </w:abstractNum>
  <w:abstractNum w:abstractNumId="7">
    <w:nsid w:val="C8DC98AE"/>
    <w:multiLevelType w:val="singleLevel"/>
    <w:tmpl w:val="C8DC98AE"/>
    <w:lvl w:ilvl="0" w:tentative="0">
      <w:start w:val="1"/>
      <w:numFmt w:val="decimal"/>
      <w:suff w:val="nothing"/>
      <w:lvlText w:val="%1、"/>
      <w:lvlJc w:val="left"/>
    </w:lvl>
  </w:abstractNum>
  <w:abstractNum w:abstractNumId="8">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1"/>
  </w:num>
  <w:num w:numId="4">
    <w:abstractNumId w:val="4"/>
  </w:num>
  <w:num w:numId="5">
    <w:abstractNumId w:val="3"/>
  </w:num>
  <w:num w:numId="6">
    <w:abstractNumId w:val="2"/>
  </w:num>
  <w:num w:numId="7">
    <w:abstractNumId w:val="7"/>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C35"/>
    <w:rsid w:val="00007606"/>
    <w:rsid w:val="000E767C"/>
    <w:rsid w:val="001669D4"/>
    <w:rsid w:val="00291674"/>
    <w:rsid w:val="00556288"/>
    <w:rsid w:val="006B2806"/>
    <w:rsid w:val="00760F3B"/>
    <w:rsid w:val="007C2458"/>
    <w:rsid w:val="00BE79C3"/>
    <w:rsid w:val="00CC2C35"/>
    <w:rsid w:val="00F33E34"/>
    <w:rsid w:val="01830099"/>
    <w:rsid w:val="018A58CB"/>
    <w:rsid w:val="01CA7EC6"/>
    <w:rsid w:val="024535A0"/>
    <w:rsid w:val="026B55AD"/>
    <w:rsid w:val="02D432A2"/>
    <w:rsid w:val="03630182"/>
    <w:rsid w:val="046A40DD"/>
    <w:rsid w:val="0482488F"/>
    <w:rsid w:val="058953BC"/>
    <w:rsid w:val="058C7E64"/>
    <w:rsid w:val="05EF3F4F"/>
    <w:rsid w:val="067B3DEF"/>
    <w:rsid w:val="06B50CF4"/>
    <w:rsid w:val="070B6B66"/>
    <w:rsid w:val="076369A2"/>
    <w:rsid w:val="09594845"/>
    <w:rsid w:val="09857133"/>
    <w:rsid w:val="098B3F8E"/>
    <w:rsid w:val="0A4D1DDA"/>
    <w:rsid w:val="0AB1211B"/>
    <w:rsid w:val="0BF975DB"/>
    <w:rsid w:val="0C25691C"/>
    <w:rsid w:val="0C815BBA"/>
    <w:rsid w:val="0CD914B5"/>
    <w:rsid w:val="0CE75980"/>
    <w:rsid w:val="0D4D0A3C"/>
    <w:rsid w:val="0D53406E"/>
    <w:rsid w:val="0D5D7035"/>
    <w:rsid w:val="0DDE735B"/>
    <w:rsid w:val="0DF540CC"/>
    <w:rsid w:val="0E5E1C72"/>
    <w:rsid w:val="0FA7589A"/>
    <w:rsid w:val="1068327B"/>
    <w:rsid w:val="12445622"/>
    <w:rsid w:val="133B6A25"/>
    <w:rsid w:val="13510EA9"/>
    <w:rsid w:val="13517FF7"/>
    <w:rsid w:val="13B32A60"/>
    <w:rsid w:val="153E27FD"/>
    <w:rsid w:val="162A609B"/>
    <w:rsid w:val="16730A62"/>
    <w:rsid w:val="168340A5"/>
    <w:rsid w:val="17F83137"/>
    <w:rsid w:val="189764CC"/>
    <w:rsid w:val="18BF1EA7"/>
    <w:rsid w:val="19575C3B"/>
    <w:rsid w:val="1991678D"/>
    <w:rsid w:val="1A9C63B8"/>
    <w:rsid w:val="1B9678A0"/>
    <w:rsid w:val="1BC31CAE"/>
    <w:rsid w:val="1BCD7B4C"/>
    <w:rsid w:val="1C47468D"/>
    <w:rsid w:val="1C68731A"/>
    <w:rsid w:val="1DCD471E"/>
    <w:rsid w:val="1E652BA8"/>
    <w:rsid w:val="1E960FB4"/>
    <w:rsid w:val="1F010B23"/>
    <w:rsid w:val="1F707A57"/>
    <w:rsid w:val="22277688"/>
    <w:rsid w:val="236C49D9"/>
    <w:rsid w:val="238C6E29"/>
    <w:rsid w:val="246A2671"/>
    <w:rsid w:val="25186BC6"/>
    <w:rsid w:val="2564005E"/>
    <w:rsid w:val="26123616"/>
    <w:rsid w:val="26457F7D"/>
    <w:rsid w:val="26B22BD1"/>
    <w:rsid w:val="26C754DB"/>
    <w:rsid w:val="275639D6"/>
    <w:rsid w:val="28732366"/>
    <w:rsid w:val="290870F3"/>
    <w:rsid w:val="2ACF5F79"/>
    <w:rsid w:val="2BC95655"/>
    <w:rsid w:val="2C22032B"/>
    <w:rsid w:val="2CB25F04"/>
    <w:rsid w:val="2D0143E4"/>
    <w:rsid w:val="2D1E4F96"/>
    <w:rsid w:val="2D887E05"/>
    <w:rsid w:val="2E1533CC"/>
    <w:rsid w:val="2EB4563F"/>
    <w:rsid w:val="2F601EDA"/>
    <w:rsid w:val="2F9439DC"/>
    <w:rsid w:val="31634510"/>
    <w:rsid w:val="31644F41"/>
    <w:rsid w:val="334119DE"/>
    <w:rsid w:val="346B7482"/>
    <w:rsid w:val="352C17A9"/>
    <w:rsid w:val="36103C3B"/>
    <w:rsid w:val="36657792"/>
    <w:rsid w:val="36A77D38"/>
    <w:rsid w:val="36EA2248"/>
    <w:rsid w:val="382316B2"/>
    <w:rsid w:val="3A500759"/>
    <w:rsid w:val="3B5879B5"/>
    <w:rsid w:val="3D0E5AAA"/>
    <w:rsid w:val="3D3B56F0"/>
    <w:rsid w:val="3E2A2240"/>
    <w:rsid w:val="3E9B6018"/>
    <w:rsid w:val="3F9966FE"/>
    <w:rsid w:val="4129534F"/>
    <w:rsid w:val="415823E6"/>
    <w:rsid w:val="41823F86"/>
    <w:rsid w:val="41BE41FA"/>
    <w:rsid w:val="42925DB2"/>
    <w:rsid w:val="43302ED5"/>
    <w:rsid w:val="437F3B4A"/>
    <w:rsid w:val="44D53D34"/>
    <w:rsid w:val="45D479D7"/>
    <w:rsid w:val="47150D60"/>
    <w:rsid w:val="47573126"/>
    <w:rsid w:val="48DF1625"/>
    <w:rsid w:val="4A471159"/>
    <w:rsid w:val="4A62155C"/>
    <w:rsid w:val="4CAC7A71"/>
    <w:rsid w:val="4D07739D"/>
    <w:rsid w:val="4EBD41B7"/>
    <w:rsid w:val="508362F4"/>
    <w:rsid w:val="512D51CE"/>
    <w:rsid w:val="51E25CE3"/>
    <w:rsid w:val="523F4EE3"/>
    <w:rsid w:val="53CB2C0B"/>
    <w:rsid w:val="55121765"/>
    <w:rsid w:val="563A0284"/>
    <w:rsid w:val="56D4209E"/>
    <w:rsid w:val="572E6363"/>
    <w:rsid w:val="574B5977"/>
    <w:rsid w:val="57ED5E45"/>
    <w:rsid w:val="58550FBC"/>
    <w:rsid w:val="58BC728D"/>
    <w:rsid w:val="58D470E9"/>
    <w:rsid w:val="5A366BCB"/>
    <w:rsid w:val="5AA02B75"/>
    <w:rsid w:val="5ABA77FD"/>
    <w:rsid w:val="5B7842AB"/>
    <w:rsid w:val="5CA802EC"/>
    <w:rsid w:val="604B5CCC"/>
    <w:rsid w:val="609B59DA"/>
    <w:rsid w:val="61255CCB"/>
    <w:rsid w:val="61475B62"/>
    <w:rsid w:val="61F23D20"/>
    <w:rsid w:val="627E0EBB"/>
    <w:rsid w:val="62D13935"/>
    <w:rsid w:val="64656A2B"/>
    <w:rsid w:val="658B4B67"/>
    <w:rsid w:val="679D3286"/>
    <w:rsid w:val="67C65A33"/>
    <w:rsid w:val="68DE4FFE"/>
    <w:rsid w:val="69224EEB"/>
    <w:rsid w:val="6C0C59DE"/>
    <w:rsid w:val="6C525011"/>
    <w:rsid w:val="6D236796"/>
    <w:rsid w:val="6D5B4E6F"/>
    <w:rsid w:val="6F0E7CBF"/>
    <w:rsid w:val="6F307C36"/>
    <w:rsid w:val="6FD40F09"/>
    <w:rsid w:val="6FEF5D43"/>
    <w:rsid w:val="70B813CD"/>
    <w:rsid w:val="70E92897"/>
    <w:rsid w:val="70FC58B5"/>
    <w:rsid w:val="710663A6"/>
    <w:rsid w:val="720930EC"/>
    <w:rsid w:val="735A629E"/>
    <w:rsid w:val="73B307DA"/>
    <w:rsid w:val="743D4A05"/>
    <w:rsid w:val="74DF1EE2"/>
    <w:rsid w:val="75E1612D"/>
    <w:rsid w:val="76053BCA"/>
    <w:rsid w:val="763C29ED"/>
    <w:rsid w:val="771A18F7"/>
    <w:rsid w:val="77766529"/>
    <w:rsid w:val="78014865"/>
    <w:rsid w:val="7819395D"/>
    <w:rsid w:val="78366DE4"/>
    <w:rsid w:val="784B788E"/>
    <w:rsid w:val="78696102"/>
    <w:rsid w:val="78745037"/>
    <w:rsid w:val="7A5A200A"/>
    <w:rsid w:val="7A8C3844"/>
    <w:rsid w:val="7C2F5C5D"/>
    <w:rsid w:val="7C986576"/>
    <w:rsid w:val="7CEF2EDE"/>
    <w:rsid w:val="7D197F5B"/>
    <w:rsid w:val="7D586CD5"/>
    <w:rsid w:val="7DD01630"/>
    <w:rsid w:val="7E0D3F64"/>
    <w:rsid w:val="7E5D031B"/>
    <w:rsid w:val="7E6873EC"/>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201"/>
    <w:qFormat/>
    <w:uiPriority w:val="0"/>
    <w:pPr>
      <w:jc w:val="left"/>
    </w:pPr>
  </w:style>
  <w:style w:type="paragraph" w:styleId="14">
    <w:name w:val="Body Text"/>
    <w:basedOn w:val="1"/>
    <w:semiHidden/>
    <w:qFormat/>
    <w:uiPriority w:val="0"/>
    <w:rPr>
      <w:rFonts w:ascii="仿宋" w:hAnsi="仿宋" w:eastAsia="仿宋" w:cs="仿宋"/>
      <w:sz w:val="31"/>
      <w:szCs w:val="31"/>
      <w:lang w:eastAsia="en-US"/>
    </w:rPr>
  </w:style>
  <w:style w:type="paragraph" w:styleId="15">
    <w:name w:val="Body Text Indent"/>
    <w:basedOn w:val="1"/>
    <w:next w:val="16"/>
    <w:qFormat/>
    <w:uiPriority w:val="99"/>
    <w:pPr>
      <w:ind w:firstLine="645"/>
    </w:pPr>
    <w:rPr>
      <w:rFonts w:ascii="楷体_GB2312" w:eastAsia="楷体_GB2312"/>
      <w:sz w:val="32"/>
      <w:szCs w:val="32"/>
    </w:rPr>
  </w:style>
  <w:style w:type="paragraph" w:styleId="16">
    <w:name w:val="envelope return"/>
    <w:basedOn w:val="1"/>
    <w:unhideWhenUsed/>
    <w:qFormat/>
    <w:uiPriority w:val="99"/>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Body Text Indent 2"/>
    <w:basedOn w:val="1"/>
    <w:qFormat/>
    <w:uiPriority w:val="0"/>
    <w:rPr>
      <w:rFonts w:ascii="Arial" w:hAnsi="Arial" w:eastAsia="仿宋_GB2312"/>
      <w:b/>
    </w:rPr>
  </w:style>
  <w:style w:type="paragraph" w:styleId="21">
    <w:name w:val="endnote text"/>
    <w:basedOn w:val="1"/>
    <w:link w:val="195"/>
    <w:semiHidden/>
    <w:unhideWhenUsed/>
    <w:qFormat/>
    <w:uiPriority w:val="99"/>
    <w:rPr>
      <w:sz w:val="20"/>
    </w:rPr>
  </w:style>
  <w:style w:type="paragraph" w:styleId="22">
    <w:name w:val="footer"/>
    <w:basedOn w:val="1"/>
    <w:link w:val="199"/>
    <w:qFormat/>
    <w:uiPriority w:val="0"/>
    <w:pPr>
      <w:tabs>
        <w:tab w:val="center" w:pos="4153"/>
        <w:tab w:val="right" w:pos="8306"/>
      </w:tabs>
      <w:jc w:val="left"/>
    </w:pPr>
    <w:rPr>
      <w:sz w:val="18"/>
      <w:szCs w:val="18"/>
    </w:rPr>
  </w:style>
  <w:style w:type="paragraph" w:styleId="23">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1"/>
    <w:qFormat/>
    <w:uiPriority w:val="11"/>
    <w:pPr>
      <w:spacing w:before="200" w:after="200"/>
    </w:pPr>
    <w:rPr>
      <w:sz w:val="24"/>
    </w:rPr>
  </w:style>
  <w:style w:type="paragraph" w:styleId="27">
    <w:name w:val="footnote text"/>
    <w:basedOn w:val="1"/>
    <w:link w:val="19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60"/>
    <w:qFormat/>
    <w:uiPriority w:val="10"/>
    <w:pPr>
      <w:spacing w:before="300" w:after="200"/>
      <w:contextualSpacing/>
    </w:pPr>
    <w:rPr>
      <w:sz w:val="48"/>
      <w:szCs w:val="48"/>
    </w:rPr>
  </w:style>
  <w:style w:type="paragraph" w:styleId="34">
    <w:name w:val="annotation subject"/>
    <w:basedOn w:val="13"/>
    <w:next w:val="13"/>
    <w:link w:val="202"/>
    <w:qFormat/>
    <w:uiPriority w:val="0"/>
    <w:rPr>
      <w:b/>
      <w:bCs/>
    </w:rPr>
  </w:style>
  <w:style w:type="paragraph" w:styleId="35">
    <w:name w:val="Body Text First Indent 2"/>
    <w:basedOn w:val="15"/>
    <w:next w:val="1"/>
    <w:qFormat/>
    <w:uiPriority w:val="0"/>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annotation reference"/>
    <w:basedOn w:val="38"/>
    <w:qFormat/>
    <w:uiPriority w:val="0"/>
    <w:rPr>
      <w:sz w:val="21"/>
      <w:szCs w:val="21"/>
    </w:rPr>
  </w:style>
  <w:style w:type="character" w:styleId="44">
    <w:name w:val="footnote reference"/>
    <w:basedOn w:val="38"/>
    <w:unhideWhenUsed/>
    <w:qFormat/>
    <w:uiPriority w:val="99"/>
    <w:rPr>
      <w:vertAlign w:val="superscript"/>
    </w:rPr>
  </w:style>
  <w:style w:type="paragraph" w:customStyle="1" w:styleId="45">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6">
    <w:name w:val="正文文本缩进11"/>
    <w:basedOn w:val="1"/>
    <w:next w:val="47"/>
    <w:unhideWhenUsed/>
    <w:qFormat/>
    <w:uiPriority w:val="0"/>
    <w:pPr>
      <w:spacing w:after="120"/>
      <w:ind w:left="420"/>
    </w:pPr>
  </w:style>
  <w:style w:type="paragraph" w:customStyle="1" w:styleId="47">
    <w:name w:val="正文首行缩进 21"/>
    <w:basedOn w:val="48"/>
    <w:next w:val="1"/>
    <w:qFormat/>
    <w:uiPriority w:val="0"/>
    <w:pPr>
      <w:ind w:firstLine="420"/>
    </w:pPr>
  </w:style>
  <w:style w:type="paragraph" w:customStyle="1" w:styleId="48">
    <w:name w:val="正文文本缩进1"/>
    <w:basedOn w:val="1"/>
    <w:qFormat/>
    <w:uiPriority w:val="0"/>
    <w:pPr>
      <w:spacing w:after="120"/>
      <w:ind w:left="420"/>
    </w:pPr>
  </w:style>
  <w:style w:type="character" w:customStyle="1" w:styleId="49">
    <w:name w:val="标题 1 字符"/>
    <w:basedOn w:val="38"/>
    <w:link w:val="2"/>
    <w:qFormat/>
    <w:uiPriority w:val="9"/>
    <w:rPr>
      <w:rFonts w:ascii="Arial" w:hAnsi="Arial" w:eastAsia="Arial" w:cs="Arial"/>
      <w:sz w:val="40"/>
      <w:szCs w:val="40"/>
    </w:rPr>
  </w:style>
  <w:style w:type="character" w:customStyle="1" w:styleId="50">
    <w:name w:val="Heading 2 Char"/>
    <w:basedOn w:val="38"/>
    <w:qFormat/>
    <w:uiPriority w:val="9"/>
    <w:rPr>
      <w:rFonts w:ascii="Arial" w:hAnsi="Arial" w:eastAsia="Arial" w:cs="Arial"/>
      <w:sz w:val="34"/>
    </w:rPr>
  </w:style>
  <w:style w:type="character" w:customStyle="1" w:styleId="51">
    <w:name w:val="标题 3 字符"/>
    <w:basedOn w:val="38"/>
    <w:link w:val="4"/>
    <w:qFormat/>
    <w:uiPriority w:val="9"/>
    <w:rPr>
      <w:rFonts w:ascii="Arial" w:hAnsi="Arial" w:eastAsia="Arial" w:cs="Arial"/>
      <w:sz w:val="30"/>
      <w:szCs w:val="30"/>
    </w:rPr>
  </w:style>
  <w:style w:type="character" w:customStyle="1" w:styleId="52">
    <w:name w:val="标题 4 字符"/>
    <w:basedOn w:val="38"/>
    <w:link w:val="5"/>
    <w:qFormat/>
    <w:uiPriority w:val="9"/>
    <w:rPr>
      <w:rFonts w:ascii="Arial" w:hAnsi="Arial" w:eastAsia="Arial" w:cs="Arial"/>
      <w:b/>
      <w:bCs/>
      <w:sz w:val="26"/>
      <w:szCs w:val="26"/>
    </w:rPr>
  </w:style>
  <w:style w:type="character" w:customStyle="1" w:styleId="53">
    <w:name w:val="标题 5 字符"/>
    <w:basedOn w:val="38"/>
    <w:link w:val="6"/>
    <w:qFormat/>
    <w:uiPriority w:val="9"/>
    <w:rPr>
      <w:rFonts w:ascii="Arial" w:hAnsi="Arial" w:eastAsia="Arial" w:cs="Arial"/>
      <w:b/>
      <w:bCs/>
      <w:sz w:val="24"/>
      <w:szCs w:val="24"/>
    </w:rPr>
  </w:style>
  <w:style w:type="character" w:customStyle="1" w:styleId="54">
    <w:name w:val="标题 6 字符"/>
    <w:basedOn w:val="38"/>
    <w:link w:val="7"/>
    <w:qFormat/>
    <w:uiPriority w:val="9"/>
    <w:rPr>
      <w:rFonts w:ascii="Arial" w:hAnsi="Arial" w:eastAsia="Arial" w:cs="Arial"/>
      <w:b/>
      <w:bCs/>
      <w:sz w:val="22"/>
      <w:szCs w:val="22"/>
    </w:rPr>
  </w:style>
  <w:style w:type="character" w:customStyle="1" w:styleId="55">
    <w:name w:val="标题 7 字符"/>
    <w:basedOn w:val="38"/>
    <w:link w:val="8"/>
    <w:qFormat/>
    <w:uiPriority w:val="9"/>
    <w:rPr>
      <w:rFonts w:ascii="Arial" w:hAnsi="Arial" w:eastAsia="Arial" w:cs="Arial"/>
      <w:b/>
      <w:bCs/>
      <w:i/>
      <w:iCs/>
      <w:sz w:val="22"/>
      <w:szCs w:val="22"/>
    </w:rPr>
  </w:style>
  <w:style w:type="character" w:customStyle="1" w:styleId="56">
    <w:name w:val="标题 8 字符"/>
    <w:basedOn w:val="38"/>
    <w:link w:val="9"/>
    <w:qFormat/>
    <w:uiPriority w:val="9"/>
    <w:rPr>
      <w:rFonts w:ascii="Arial" w:hAnsi="Arial" w:eastAsia="Arial" w:cs="Arial"/>
      <w:i/>
      <w:iCs/>
      <w:sz w:val="22"/>
      <w:szCs w:val="22"/>
    </w:rPr>
  </w:style>
  <w:style w:type="character" w:customStyle="1" w:styleId="57">
    <w:name w:val="标题 9 字符"/>
    <w:basedOn w:val="38"/>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字符"/>
    <w:basedOn w:val="38"/>
    <w:link w:val="33"/>
    <w:qFormat/>
    <w:uiPriority w:val="10"/>
    <w:rPr>
      <w:sz w:val="48"/>
      <w:szCs w:val="48"/>
    </w:rPr>
  </w:style>
  <w:style w:type="character" w:customStyle="1" w:styleId="61">
    <w:name w:val="副标题 字符"/>
    <w:basedOn w:val="38"/>
    <w:link w:val="26"/>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Header Char"/>
    <w:basedOn w:val="38"/>
    <w:qFormat/>
    <w:uiPriority w:val="99"/>
  </w:style>
  <w:style w:type="character" w:customStyle="1" w:styleId="67">
    <w:name w:val="Footer Char"/>
    <w:basedOn w:val="38"/>
    <w:qFormat/>
    <w:uiPriority w:val="99"/>
  </w:style>
  <w:style w:type="character" w:customStyle="1" w:styleId="68">
    <w:name w:val="Caption Char"/>
    <w:qFormat/>
    <w:uiPriority w:val="99"/>
  </w:style>
  <w:style w:type="table" w:customStyle="1" w:styleId="69">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0">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4">
    <w:name w:val="Grid Table 6 Colorful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1">
    <w:name w:val="Grid Table 7 Colorful - Accent 4"/>
    <w:basedOn w:val="3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6"/>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6"/>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6"/>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6"/>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6"/>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6"/>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6"/>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6"/>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脚注文本 字符"/>
    <w:link w:val="27"/>
    <w:qFormat/>
    <w:uiPriority w:val="99"/>
    <w:rPr>
      <w:sz w:val="18"/>
    </w:rPr>
  </w:style>
  <w:style w:type="character" w:customStyle="1" w:styleId="195">
    <w:name w:val="尾注文本 字符"/>
    <w:link w:val="21"/>
    <w:qFormat/>
    <w:uiPriority w:val="99"/>
    <w:rPr>
      <w:sz w:val="20"/>
    </w:rPr>
  </w:style>
  <w:style w:type="paragraph" w:customStyle="1" w:styleId="196">
    <w:name w:val="TOC 标题1"/>
    <w:unhideWhenUsed/>
    <w:qFormat/>
    <w:uiPriority w:val="39"/>
    <w:rPr>
      <w:rFonts w:ascii="Times New Roman" w:hAnsi="Times New Roman" w:eastAsia="宋体" w:cs="Times New Roman"/>
      <w:lang w:val="en-US" w:eastAsia="zh-CN" w:bidi="ar-SA"/>
    </w:rPr>
  </w:style>
  <w:style w:type="paragraph" w:customStyle="1" w:styleId="197">
    <w:name w:val="Default"/>
    <w:basedOn w:val="1"/>
    <w:semiHidden/>
    <w:qFormat/>
    <w:uiPriority w:val="0"/>
    <w:pPr>
      <w:jc w:val="left"/>
    </w:pPr>
    <w:rPr>
      <w:rFonts w:ascii="宋体" w:hAnsi="Calibri" w:cs="宋体"/>
      <w:color w:val="000000"/>
      <w:sz w:val="24"/>
    </w:rPr>
  </w:style>
  <w:style w:type="character" w:customStyle="1" w:styleId="198">
    <w:name w:val="页眉 字符"/>
    <w:basedOn w:val="38"/>
    <w:link w:val="23"/>
    <w:qFormat/>
    <w:uiPriority w:val="0"/>
    <w:rPr>
      <w:rFonts w:asciiTheme="minorHAnsi" w:hAnsiTheme="minorHAnsi" w:eastAsiaTheme="minorEastAsia" w:cstheme="minorBidi"/>
      <w:sz w:val="18"/>
      <w:szCs w:val="18"/>
    </w:rPr>
  </w:style>
  <w:style w:type="character" w:customStyle="1" w:styleId="199">
    <w:name w:val="页脚 字符"/>
    <w:basedOn w:val="38"/>
    <w:link w:val="22"/>
    <w:qFormat/>
    <w:uiPriority w:val="0"/>
    <w:rPr>
      <w:rFonts w:asciiTheme="minorHAnsi" w:hAnsiTheme="minorHAnsi" w:eastAsiaTheme="minorEastAsia" w:cstheme="minorBidi"/>
      <w:sz w:val="18"/>
      <w:szCs w:val="18"/>
    </w:rPr>
  </w:style>
  <w:style w:type="paragraph" w:customStyle="1" w:styleId="200">
    <w:name w:val="普通正文"/>
    <w:basedOn w:val="1"/>
    <w:qFormat/>
    <w:uiPriority w:val="0"/>
    <w:pPr>
      <w:spacing w:before="120" w:after="120" w:line="360" w:lineRule="auto"/>
      <w:ind w:firstLine="480"/>
      <w:jc w:val="left"/>
    </w:pPr>
    <w:rPr>
      <w:rFonts w:ascii="Arial" w:hAnsi="Arial" w:eastAsia="等线" w:cs="Arial"/>
      <w:sz w:val="24"/>
    </w:rPr>
  </w:style>
  <w:style w:type="character" w:customStyle="1" w:styleId="201">
    <w:name w:val="批注文字 字符"/>
    <w:basedOn w:val="38"/>
    <w:link w:val="13"/>
    <w:qFormat/>
    <w:uiPriority w:val="0"/>
    <w:rPr>
      <w:rFonts w:asciiTheme="minorHAnsi" w:hAnsiTheme="minorHAnsi" w:eastAsiaTheme="minorEastAsia" w:cstheme="minorBidi"/>
      <w:sz w:val="21"/>
      <w:szCs w:val="24"/>
    </w:rPr>
  </w:style>
  <w:style w:type="character" w:customStyle="1" w:styleId="202">
    <w:name w:val="批注主题 字符"/>
    <w:basedOn w:val="201"/>
    <w:link w:val="34"/>
    <w:qFormat/>
    <w:uiPriority w:val="0"/>
    <w:rPr>
      <w:rFonts w:asciiTheme="minorHAnsi" w:hAnsiTheme="minorHAnsi" w:eastAsiaTheme="minorEastAsia" w:cstheme="minorBidi"/>
      <w:b/>
      <w:bCs/>
      <w:sz w:val="21"/>
      <w:szCs w:val="24"/>
    </w:rPr>
  </w:style>
  <w:style w:type="character" w:customStyle="1" w:styleId="203">
    <w:name w:val="font41"/>
    <w:basedOn w:val="38"/>
    <w:qFormat/>
    <w:uiPriority w:val="0"/>
    <w:rPr>
      <w:rFonts w:hint="eastAsia" w:ascii="宋体" w:hAnsi="宋体" w:eastAsia="宋体" w:cs="宋体"/>
      <w:color w:val="FF0000"/>
      <w:sz w:val="24"/>
      <w:szCs w:val="24"/>
      <w:u w:val="none"/>
    </w:rPr>
  </w:style>
  <w:style w:type="paragraph" w:customStyle="1" w:styleId="20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D1FC07-C223-47B6-B3CD-7BCC0EC5DB73}">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62</Pages>
  <Words>33668</Words>
  <Characters>36443</Characters>
  <Lines>1072</Lines>
  <Paragraphs>910</Paragraphs>
  <TotalTime>3</TotalTime>
  <ScaleCrop>false</ScaleCrop>
  <LinksUpToDate>false</LinksUpToDate>
  <CharactersWithSpaces>37370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2026-03-10T07:03:00Z</dcterms:created>
  <dc:creator>正式环境陈艳测试账号</dc:creator>
  <cp:lastModifiedBy>随心 随性</cp:lastModifiedBy>
  <dcterms:modified xsi:type="dcterms:W3CDTF">2026-06-03T01:03:47Z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BD0BB259D0E04D6CA29863E5302C05AB_13</vt:lpwstr>
  </property>
  <property fmtid="{D5CDD505-2E9C-101B-9397-08002B2CF9AE}" pid="4" name="KSOTemplateDocerSaveRecord">
    <vt:lpwstr>eyJoZGlkIjoiYzAxYzk1YmFlODA0YmNjN2I1MDFkZDdmMjhlYmNmNzciLCJ1c2VySWQiOiI5MjQ4NDE4MjkifQ==</vt:lpwstr>
  </property>
</Properties>
</file>