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spacing w:before="120" w:beforeAutospacing="0" w:after="120" w:afterAutospacing="0" w:line="360" w:lineRule="auto"/>
        <w:rPr>
          <w:color w:val="auto"/>
          <w:highlight w:val="none"/>
        </w:rPr>
      </w:pPr>
      <w:r>
        <w:rPr>
          <w:color w:val="auto"/>
          <w:highlight w:val="none"/>
        </w:rPr>
        <w:t xml:space="preserve"> </w:t>
      </w:r>
      <w:r/>
    </w:p>
    <w:p>
      <w:pPr>
        <w:pStyle w:val="649"/>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单一来源采购文件</w:t>
      </w:r>
      <w:r/>
    </w:p>
    <w:p>
      <w:pPr>
        <w:pStyle w:val="6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9"/>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649"/>
        <w:jc w:val="center"/>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hint="eastAsia" w:ascii="Arial" w:hAnsi="Arial" w:cs="Arial"/>
          <w:b/>
          <w:color w:val="auto"/>
          <w:sz w:val="32"/>
          <w:szCs w:val="32"/>
          <w:highlight w:val="none"/>
        </w:rPr>
        <w:t xml:space="preserve">项目编号：JSZC-320903-JZCG-D2026-0003</w:t>
      </w:r>
      <w:r/>
    </w:p>
    <w:p>
      <w:pPr>
        <w:pStyle w:val="649"/>
        <w:jc w:val="center"/>
        <w:spacing w:before="120" w:beforeAutospacing="0" w:after="120" w:afterAutospacing="0" w:line="360" w:lineRule="auto"/>
        <w:rPr>
          <w:rFonts w:hint="eastAsia" w:ascii="Arial" w:hAnsi="Arial" w:cs="Arial" w:eastAsiaTheme="minorEastAsia"/>
          <w:b/>
          <w:color w:val="auto"/>
          <w:sz w:val="32"/>
          <w:szCs w:val="32"/>
          <w:highlight w:val="none"/>
          <w:lang w:val="en-US" w:eastAsia="zh-CN"/>
        </w:rPr>
      </w:pPr>
      <w:r>
        <w:rPr>
          <w:rFonts w:ascii="Arial" w:hAnsi="Arial" w:cs="Arial"/>
          <w:b/>
          <w:color w:val="auto"/>
          <w:sz w:val="32"/>
          <w:szCs w:val="32"/>
          <w:highlight w:val="none"/>
        </w:rPr>
        <w:t xml:space="preserve">项</w:t>
      </w:r>
      <w:r>
        <w:rPr>
          <w:rFonts w:hint="eastAsia" w:ascii="Arial" w:hAnsi="Arial" w:cs="Arial"/>
          <w:b/>
          <w:color w:val="auto"/>
          <w:sz w:val="32"/>
          <w:szCs w:val="32"/>
          <w:highlight w:val="none"/>
        </w:rPr>
        <w:t xml:space="preserve">目名称：盐城市盐都区人民法院“盐城市市域社会治理平台”升级应用功能</w:t>
      </w:r>
      <w:r>
        <w:rPr>
          <w:rFonts w:hint="eastAsia" w:ascii="Arial" w:hAnsi="Arial" w:cs="Arial"/>
          <w:b/>
          <w:color w:val="auto"/>
          <w:sz w:val="32"/>
          <w:szCs w:val="32"/>
          <w:highlight w:val="none"/>
          <w:lang w:val="en-US" w:eastAsia="zh-CN"/>
        </w:rPr>
        <w:t xml:space="preserve">项目</w:t>
      </w:r>
      <w:r/>
    </w:p>
    <w:p>
      <w:pPr>
        <w:pStyle w:val="649"/>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r>
      <w:r/>
    </w:p>
    <w:p>
      <w:pPr>
        <w:pStyle w:val="64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 </w:t>
      </w:r>
      <w:r/>
    </w:p>
    <w:p>
      <w:pPr>
        <w:pStyle w:val="64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 </w:t>
      </w:r>
      <w:r/>
    </w:p>
    <w:p>
      <w:pPr>
        <w:pStyle w:val="64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 </w:t>
      </w:r>
      <w:r/>
    </w:p>
    <w:p>
      <w:pPr>
        <w:pStyle w:val="64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  </w:t>
      </w:r>
      <w:r/>
    </w:p>
    <w:p>
      <w:pPr>
        <w:pStyle w:val="64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 </w:t>
      </w:r>
      <w:r/>
    </w:p>
    <w:p>
      <w:pPr>
        <w:pStyle w:val="649"/>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r>
      <w:r/>
    </w:p>
    <w:p>
      <w:pPr>
        <w:pStyle w:val="649"/>
        <w:jc w:val="center"/>
        <w:spacing w:before="120" w:beforeAutospacing="0" w:after="120" w:afterAutospacing="0" w:line="360" w:lineRule="auto"/>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lang w:eastAsia="zh-CN"/>
        </w:rPr>
        <w:t xml:space="preserve">盐城市盐都区人民法院</w:t>
      </w:r>
      <w:r/>
    </w:p>
    <w:p>
      <w:pPr>
        <w:pStyle w:val="649"/>
        <w:jc w:val="center"/>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t xml:space="preserve">202</w:t>
      </w:r>
      <w:r>
        <w:rPr>
          <w:rFonts w:hint="eastAsia" w:ascii="Arial" w:hAnsi="Arial" w:cs="Arial"/>
          <w:b/>
          <w:color w:val="auto"/>
          <w:sz w:val="32"/>
          <w:szCs w:val="32"/>
          <w:highlight w:val="none"/>
          <w:lang w:val="en-US" w:eastAsia="zh-CN"/>
        </w:rPr>
        <w:t xml:space="preserve">6</w:t>
      </w:r>
      <w:r>
        <w:rPr>
          <w:rFonts w:hint="eastAsia" w:ascii="Arial" w:hAnsi="Arial" w:cs="Arial"/>
          <w:b/>
          <w:color w:val="auto"/>
          <w:sz w:val="32"/>
          <w:szCs w:val="32"/>
          <w:highlight w:val="none"/>
        </w:rPr>
        <w:t xml:space="preserve">年</w:t>
      </w:r>
      <w:r>
        <w:rPr>
          <w:rFonts w:hint="eastAsia" w:ascii="Arial" w:hAnsi="Arial" w:cs="Arial"/>
          <w:b/>
          <w:color w:val="auto"/>
          <w:sz w:val="32"/>
          <w:szCs w:val="32"/>
          <w:highlight w:val="none"/>
        </w:rPr>
        <w:t xml:space="preserve">5</w:t>
      </w:r>
      <w:r>
        <w:rPr>
          <w:rFonts w:hint="eastAsia" w:ascii="Arial" w:hAnsi="Arial" w:cs="Arial"/>
          <w:b/>
          <w:color w:val="auto"/>
          <w:sz w:val="32"/>
          <w:szCs w:val="32"/>
          <w:highlight w:val="none"/>
        </w:rPr>
        <w:t xml:space="preserve">月</w:t>
      </w:r>
      <w:r/>
    </w:p>
    <w:p>
      <w:pPr>
        <w:pStyle w:val="649"/>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649"/>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479757206"/>
      <w:r/>
      <w:bookmarkStart w:id="1" w:name="_Toc513029200"/>
      <w:r/>
      <w:bookmarkStart w:id="2" w:name="_Toc20823272"/>
      <w:r/>
      <w:bookmarkStart w:id="3" w:name="_Toc120614210"/>
      <w:r/>
      <w:bookmarkStart w:id="4" w:name="_Toc16938516"/>
      <w:r/>
      <w:bookmarkStart w:id="5" w:name="_Toc523127445"/>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649"/>
        <w:jc w:val="both"/>
        <w:spacing w:beforeAutospacing="0" w:afterAutospacing="0" w:line="480" w:lineRule="auto"/>
        <w:rPr>
          <w:color w:val="auto"/>
          <w:highlight w:val="none"/>
        </w:rPr>
      </w:pPr>
      <w:r>
        <w:rPr>
          <w:color w:val="auto"/>
          <w:highlight w:val="none"/>
        </w:rPr>
        <w:t xml:space="preserve"> </w:t>
      </w:r>
      <w:r/>
    </w:p>
    <w:p>
      <w:pPr>
        <w:pStyle w:val="649"/>
        <w:ind w:left="2160" w:hanging="1440"/>
        <w:jc w:val="both"/>
        <w:spacing w:beforeAutospacing="0" w:afterAutospacing="0" w:line="480" w:lineRule="auto"/>
        <w:tabs>
          <w:tab w:val="left" w:pos="1441" w:leader="none"/>
        </w:tabs>
        <w:rPr>
          <w:rFonts w:hint="eastAsia" w:eastAsia="黑体"/>
          <w:color w:val="auto"/>
          <w:highlight w:val="none"/>
          <w:lang w:val="en-US" w:eastAsia="zh-CN"/>
        </w:rPr>
      </w:pPr>
      <w:r>
        <w:rPr>
          <w:rFonts w:hint="eastAsia" w:ascii="黑体" w:hAnsi="宋体" w:eastAsia="黑体" w:cs="黑体"/>
          <w:color w:val="auto"/>
          <w:sz w:val="36"/>
          <w:szCs w:val="36"/>
          <w:highlight w:val="none"/>
        </w:rPr>
        <w:t xml:space="preserve">单一来源采购邀请…………………………</w:t>
      </w:r>
      <w:r>
        <w:rPr>
          <w:rFonts w:hint="eastAsia" w:ascii="黑体" w:hAnsi="宋体" w:eastAsia="黑体" w:cs="黑体"/>
          <w:color w:val="auto"/>
          <w:sz w:val="36"/>
          <w:szCs w:val="36"/>
          <w:highlight w:val="none"/>
          <w:lang w:val="en-US" w:eastAsia="zh-CN"/>
        </w:rPr>
        <w:t xml:space="preserve">1</w:t>
      </w:r>
      <w:r/>
    </w:p>
    <w:p>
      <w:pPr>
        <w:pStyle w:val="649"/>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供应商须知…………………………………</w:t>
      </w:r>
      <w:r>
        <w:rPr>
          <w:rFonts w:hint="eastAsia" w:ascii="黑体" w:hAnsi="宋体" w:eastAsia="黑体" w:cs="黑体"/>
          <w:color w:val="auto"/>
          <w:sz w:val="36"/>
          <w:szCs w:val="36"/>
          <w:highlight w:val="none"/>
          <w:lang w:val="en-US" w:eastAsia="zh-CN"/>
        </w:rPr>
        <w:t xml:space="preserve">5</w:t>
      </w:r>
      <w:r>
        <w:rPr>
          <w:rFonts w:hint="eastAsia" w:ascii="黑体" w:hAnsi="宋体" w:eastAsia="黑体" w:cs="黑体"/>
          <w:color w:val="auto"/>
          <w:sz w:val="36"/>
          <w:szCs w:val="36"/>
          <w:highlight w:val="none"/>
        </w:rPr>
        <w:t xml:space="preserve">  </w:t>
      </w:r>
      <w:r/>
    </w:p>
    <w:p>
      <w:pPr>
        <w:pStyle w:val="64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合同文本……………………………………</w:t>
      </w:r>
      <w:r>
        <w:rPr>
          <w:rFonts w:hint="eastAsia" w:ascii="黑体" w:hAnsi="宋体" w:eastAsia="黑体" w:cs="黑体"/>
          <w:color w:val="auto"/>
          <w:sz w:val="36"/>
          <w:szCs w:val="36"/>
          <w:highlight w:val="none"/>
          <w:lang w:val="en-US" w:eastAsia="zh-CN"/>
        </w:rPr>
        <w:t xml:space="preserve">21</w:t>
      </w:r>
      <w:r/>
    </w:p>
    <w:p>
      <w:pPr>
        <w:pStyle w:val="64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29</w:t>
      </w:r>
      <w:r/>
    </w:p>
    <w:p>
      <w:pPr>
        <w:pStyle w:val="649"/>
        <w:ind w:left="2160" w:hanging="1440"/>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rPr>
        <w:t xml:space="preserve">响应文件格式………………………………</w:t>
      </w:r>
      <w:r>
        <w:rPr>
          <w:rFonts w:hint="eastAsia" w:ascii="黑体" w:hAnsi="宋体" w:eastAsia="黑体" w:cs="黑体"/>
          <w:color w:val="auto"/>
          <w:sz w:val="36"/>
          <w:szCs w:val="36"/>
          <w:highlight w:val="none"/>
          <w:lang w:val="en-US" w:eastAsia="zh-CN"/>
        </w:rPr>
        <w:t xml:space="preserve">33</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both"/>
        <w:spacing w:beforeAutospacing="0" w:afterAutospacing="0"/>
        <w:rPr>
          <w:color w:val="auto"/>
          <w:highlight w:val="none"/>
        </w:rPr>
      </w:pPr>
      <w:r>
        <w:rPr>
          <w:color w:val="auto"/>
          <w:highlight w:val="none"/>
        </w:rPr>
        <w:t xml:space="preserve"> </w:t>
      </w:r>
      <w:r/>
    </w:p>
    <w:p>
      <w:pPr>
        <w:pStyle w:val="649"/>
        <w:jc w:val="center"/>
        <w:keepNext/>
        <w:spacing w:beforeAutospacing="0" w:afterAutospacing="0"/>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pStyle w:val="649"/>
        <w:jc w:val="center"/>
        <w:keepNext/>
        <w:spacing w:beforeAutospacing="0" w:afterAutospacing="0"/>
        <w:rPr>
          <w:color w:val="auto"/>
          <w:highlight w:val="none"/>
        </w:rPr>
      </w:pPr>
      <w:r>
        <w:rPr>
          <w:color w:val="auto"/>
          <w:highlight w:val="none"/>
        </w:rPr>
        <w:t xml:space="preserve"> </w:t>
      </w:r>
      <w:r/>
    </w:p>
    <w:p>
      <w:pPr>
        <w:pStyle w:val="649"/>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第一章  单一来源采购邀请</w:t>
      </w:r>
      <w:r/>
    </w:p>
    <w:p>
      <w:pPr>
        <w:pStyle w:val="649"/>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49"/>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盐城市盐都区人民法院</w:t>
      </w:r>
      <w:r>
        <w:rPr>
          <w:rFonts w:hint="eastAsia" w:ascii="宋体" w:hAnsi="宋体" w:eastAsia="宋体" w:cs="宋体"/>
          <w:color w:val="auto"/>
          <w:sz w:val="24"/>
          <w:szCs w:val="24"/>
          <w:highlight w:val="none"/>
        </w:rPr>
        <w:t xml:space="preserve">的委托，</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盐城市盐都区公共资源交易中心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盐城市盐都区人民法院“盐城市市域社会治理平台”升级应用功能项目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项目编号：JSZC-320903-JZCG-D2026-0003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shd w:val="clear" w:color="auto" w:fill="auto"/>
        </w:rPr>
        <w:t xml:space="preserve">项目进行单一来源采购，欢迎符合相关条件的合格供应商参加采购活动。</w:t>
      </w:r>
      <w:r/>
    </w:p>
    <w:p>
      <w:pPr>
        <w:pStyle w:val="649"/>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6" w:name="_Hlk24379207"/>
      <w:r/>
      <w:bookmarkStart w:id="7" w:name="_Toc28359079"/>
      <w:r/>
      <w:bookmarkStart w:id="8" w:name="_Toc38985263"/>
      <w:r/>
      <w:bookmarkStart w:id="9" w:name="_Toc35393790"/>
      <w:r/>
      <w:bookmarkStart w:id="10" w:name="_Toc35393621"/>
      <w:r/>
      <w:bookmarkStart w:id="11" w:name="_Toc28359002"/>
      <w:r>
        <w:rPr>
          <w:rFonts w:hint="eastAsia" w:ascii="宋体" w:hAnsi="宋体" w:eastAsia="宋体" w:cs="宋体"/>
          <w:b/>
          <w:color w:val="auto"/>
          <w:sz w:val="24"/>
          <w:szCs w:val="24"/>
          <w:highlight w:val="none"/>
          <w:shd w:val="clear" w:color="auto" w:fill="auto"/>
        </w:rPr>
        <w:t xml:space="preserve">一、项目基本情况</w:t>
      </w:r>
      <w:bookmarkEnd w:id="6"/>
      <w:r/>
      <w:bookmarkEnd w:id="7"/>
      <w:r/>
      <w:bookmarkEnd w:id="8"/>
      <w:r/>
      <w:bookmarkEnd w:id="9"/>
      <w:r/>
      <w:bookmarkEnd w:id="10"/>
      <w:r/>
      <w:bookmarkEnd w:id="11"/>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bookmarkStart w:id="12" w:name="_Toc35393622"/>
      <w:r/>
      <w:bookmarkStart w:id="13" w:name="_Toc35393791"/>
      <w:r/>
      <w:bookmarkStart w:id="14" w:name="_Toc28359080"/>
      <w:r/>
      <w:bookmarkStart w:id="15" w:name="_Toc28359003"/>
      <w:r/>
      <w:bookmarkStart w:id="16" w:name="_Toc38985264"/>
      <w:r>
        <w:rPr>
          <w:rFonts w:hint="eastAsia" w:ascii="宋体" w:hAnsi="宋体" w:eastAsia="宋体" w:cs="宋体"/>
          <w:color w:val="auto"/>
          <w:sz w:val="24"/>
          <w:szCs w:val="24"/>
          <w:highlight w:val="none"/>
          <w:shd w:val="clear" w:color="auto" w:fill="auto"/>
        </w:rPr>
        <w:t xml:space="preserve">1.项目编号：JSZC-320903-JZCG-D2026-0003</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color w:val="auto"/>
          <w:sz w:val="24"/>
          <w:szCs w:val="24"/>
          <w:highlight w:val="none"/>
          <w:shd w:val="clear" w:color="auto" w:fill="auto"/>
          <w:lang w:eastAsia="zh-CN"/>
        </w:rPr>
        <w:t xml:space="preserve">盐城市盐都区人民法院“盐城市市域社会治理平台”升级应用功能项目</w:t>
      </w:r>
      <w:r/>
    </w:p>
    <w:p>
      <w:pPr>
        <w:pStyle w:val="649"/>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4.预算金额：14万元</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14万元</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color w:val="auto"/>
          <w:sz w:val="24"/>
          <w:szCs w:val="24"/>
          <w:highlight w:val="none"/>
          <w:shd w:val="clear" w:color="auto" w:fill="auto"/>
        </w:rPr>
        <w:t xml:space="preserve">盐城市盐都区人民法院“盐城市市域社会治理平台”升级应用功能</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rPr>
          <w:rFonts w:hint="eastAsia" w:ascii="宋体" w:hAnsi="宋体" w:eastAsia="宋体" w:cs="宋体"/>
          <w:color w:val="auto"/>
          <w:sz w:val="24"/>
          <w:szCs w:val="24"/>
          <w:highlight w:val="none"/>
          <w:shd w:val="clear" w:color="auto" w:fill="auto"/>
          <w:lang w:eastAsia="zh-CN"/>
        </w:rPr>
        <w:t xml:space="preserve">。</w:t>
      </w:r>
      <w:r/>
    </w:p>
    <w:p>
      <w:pPr>
        <w:pStyle w:val="649"/>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交付期</w:t>
      </w:r>
      <w:r>
        <w:rPr>
          <w:rFonts w:hint="eastAsia" w:ascii="宋体" w:hAnsi="宋体" w:eastAsia="宋体" w:cs="宋体"/>
          <w:i w:val="0"/>
          <w:iCs w:val="0"/>
          <w:caps w:val="0"/>
          <w:color w:val="auto"/>
          <w:spacing w:val="0"/>
          <w:sz w:val="24"/>
          <w:szCs w:val="24"/>
          <w:highlight w:val="none"/>
          <w:shd w:val="clear" w:color="auto" w:fill="auto"/>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60</w:t>
      </w:r>
      <w:r>
        <w:rPr>
          <w:rFonts w:hint="eastAsia" w:ascii="宋体" w:hAnsi="宋体" w:eastAsia="宋体" w:cs="宋体"/>
          <w:i w:val="0"/>
          <w:iCs w:val="0"/>
          <w:caps w:val="0"/>
          <w:color w:val="auto"/>
          <w:spacing w:val="0"/>
          <w:sz w:val="24"/>
          <w:szCs w:val="24"/>
          <w:highlight w:val="none"/>
          <w:shd w:val="clear" w:color="auto" w:fill="auto"/>
        </w:rPr>
        <w:t xml:space="preserve">天</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8.本项目不接受联合体参与单一来源采购活动。</w:t>
      </w:r>
      <w:r/>
    </w:p>
    <w:p>
      <w:pPr>
        <w:pStyle w:val="649"/>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w:t>
      </w:r>
      <w:bookmarkEnd w:id="12"/>
      <w:r/>
      <w:bookmarkEnd w:id="13"/>
      <w:r/>
      <w:bookmarkEnd w:id="14"/>
      <w:r/>
      <w:bookmarkEnd w:id="15"/>
      <w:r/>
      <w:bookmarkEnd w:id="16"/>
      <w:r>
        <w:rPr>
          <w:rFonts w:hint="eastAsia" w:ascii="宋体" w:hAnsi="宋体" w:eastAsia="宋体" w:cs="宋体"/>
          <w:b/>
          <w:color w:val="auto"/>
          <w:sz w:val="24"/>
          <w:szCs w:val="24"/>
          <w:highlight w:val="none"/>
          <w:shd w:val="clear" w:color="auto" w:fill="auto"/>
        </w:rPr>
        <w:t xml:space="preserve">合格单一来源供应商资格要求</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落实政府采购政策需满足的资格要求：本项目专门面向中小企业采购。采购标的的所属行业为</w:t>
      </w:r>
      <w:r>
        <w:rPr>
          <w:rFonts w:hint="eastAsia" w:ascii="宋体" w:hAnsi="宋体" w:eastAsia="宋体" w:cs="宋体"/>
          <w:color w:val="auto"/>
          <w:sz w:val="24"/>
          <w:szCs w:val="24"/>
          <w:highlight w:val="none"/>
          <w:shd w:val="clear" w:color="auto" w:fill="auto"/>
          <w:lang w:eastAsia="zh-CN"/>
        </w:rPr>
        <w:t xml:space="preserve">软件和信息技术服务业</w:t>
      </w:r>
      <w:r>
        <w:rPr>
          <w:rFonts w:hint="eastAsia" w:ascii="宋体" w:hAnsi="宋体" w:eastAsia="宋体" w:cs="宋体"/>
          <w:color w:val="auto"/>
          <w:sz w:val="24"/>
          <w:szCs w:val="24"/>
          <w:highlight w:val="none"/>
          <w:shd w:val="clear" w:color="auto" w:fill="auto"/>
        </w:rPr>
        <w:t xml:space="preserve">，投标人需按照采购文件的要求提供相应的《中小企业声明函》。企业标准请参照《关于印发中小企业划型标准规定的通知》（工信部联企业[2011]300号）文件规定自行填写。</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default"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649"/>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649"/>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649"/>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17" w:name="_Toc35393624"/>
      <w:r/>
      <w:bookmarkStart w:id="18" w:name="_Toc38985266"/>
      <w:r/>
      <w:bookmarkStart w:id="19" w:name="_Toc28359082"/>
      <w:r/>
      <w:bookmarkStart w:id="20" w:name="_Toc28359005"/>
      <w:r/>
      <w:bookmarkStart w:id="21" w:name="_Toc35393793"/>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、提交</w:t>
      </w:r>
      <w:bookmarkEnd w:id="17"/>
      <w:r/>
      <w:bookmarkEnd w:id="18"/>
      <w:r>
        <w:rPr>
          <w:rFonts w:hint="eastAsia" w:ascii="宋体" w:hAnsi="宋体" w:eastAsia="宋体" w:cs="宋体"/>
          <w:b/>
          <w:color w:val="auto"/>
          <w:sz w:val="24"/>
          <w:szCs w:val="24"/>
          <w:highlight w:val="none"/>
          <w:shd w:val="clear" w:color="auto" w:fill="auto"/>
        </w:rPr>
        <w:t xml:space="preserve">响应文件截止时间</w:t>
      </w:r>
      <w:bookmarkEnd w:id="19"/>
      <w:r/>
      <w:bookmarkEnd w:id="20"/>
      <w:r/>
      <w:bookmarkEnd w:id="21"/>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22" w:name="_Toc28359008"/>
      <w:r/>
      <w:bookmarkStart w:id="23" w:name="_Toc28359085"/>
      <w:r/>
      <w:bookmarkStart w:id="24" w:name="_Toc35393796"/>
      <w:r/>
      <w:bookmarkStart w:id="25" w:name="_Toc38985269"/>
      <w:r/>
      <w:bookmarkStart w:id="26" w:name="_Toc35393627"/>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none"/>
          <w:shd w:val="clear" w:color="auto" w:fill="auto"/>
          <w:lang w:val="en-US" w:eastAsia="zh-CN"/>
        </w:rPr>
        <w:t xml:space="preserve">2026</w:t>
      </w:r>
      <w:r>
        <w:rPr>
          <w:rFonts w:hint="eastAsia" w:ascii="宋体" w:hAnsi="宋体" w:eastAsia="宋体" w:cs="宋体"/>
          <w:color w:val="auto"/>
          <w:sz w:val="24"/>
          <w:szCs w:val="24"/>
          <w:highlight w:val="none"/>
          <w:u w:val="none"/>
          <w:shd w:val="clear" w:color="auto" w:fill="auto"/>
        </w:rPr>
        <w:t xml:space="preserve">年</w:t>
      </w:r>
      <w:r>
        <w:rPr>
          <w:rFonts w:hint="eastAsia" w:ascii="宋体" w:hAnsi="宋体" w:eastAsia="宋体" w:cs="宋体"/>
          <w:color w:val="auto"/>
          <w:sz w:val="24"/>
          <w:szCs w:val="24"/>
          <w:highlight w:val="none"/>
          <w:u w:val="none"/>
          <w:shd w:val="clear" w:color="auto" w:fill="auto"/>
          <w:lang w:val="en-US" w:eastAsia="zh-CN"/>
        </w:rPr>
        <w:t xml:space="preserve">6</w:t>
      </w:r>
      <w:r>
        <w:rPr>
          <w:rFonts w:hint="eastAsia" w:ascii="宋体" w:hAnsi="宋体" w:eastAsia="宋体" w:cs="宋体"/>
          <w:color w:val="auto"/>
          <w:sz w:val="24"/>
          <w:szCs w:val="24"/>
          <w:highlight w:val="none"/>
          <w:u w:val="none"/>
          <w:shd w:val="clear" w:color="auto" w:fill="auto"/>
        </w:rPr>
        <w:t xml:space="preserve">月</w:t>
      </w:r>
      <w:r>
        <w:rPr>
          <w:rFonts w:hint="eastAsia" w:ascii="宋体" w:hAnsi="宋体" w:eastAsia="宋体" w:cs="宋体"/>
          <w:color w:val="auto"/>
          <w:sz w:val="24"/>
          <w:szCs w:val="24"/>
          <w:highlight w:val="none"/>
          <w:u w:val="none"/>
          <w:shd w:val="clear" w:color="auto" w:fill="auto"/>
        </w:rPr>
        <w:t xml:space="preserve">2日</w:t>
      </w:r>
      <w:r>
        <w:rPr>
          <w:rFonts w:hint="eastAsia" w:ascii="宋体" w:hAnsi="宋体" w:eastAsia="宋体" w:cs="宋体"/>
          <w:color w:val="auto"/>
          <w:sz w:val="24"/>
          <w:szCs w:val="24"/>
          <w:highlight w:val="none"/>
          <w:u w:val="none"/>
          <w:shd w:val="clear" w:color="auto" w:fill="auto"/>
          <w:lang w:val="en-US" w:eastAsia="zh-CN"/>
        </w:rPr>
        <w:t xml:space="preserve">09</w:t>
      </w:r>
      <w:bookmarkStart w:id="177" w:name="_GoBack"/>
      <w:r/>
      <w:bookmarkEnd w:id="177"/>
      <w:r>
        <w:rPr>
          <w:rFonts w:hint="eastAsia" w:ascii="宋体" w:hAnsi="宋体" w:eastAsia="宋体" w:cs="宋体"/>
          <w:color w:val="auto"/>
          <w:sz w:val="24"/>
          <w:szCs w:val="24"/>
          <w:highlight w:val="none"/>
          <w:u w:val="none"/>
          <w:shd w:val="clear" w:color="auto" w:fill="auto"/>
        </w:rPr>
        <w:t xml:space="preserve">点</w:t>
      </w:r>
      <w:r>
        <w:rPr>
          <w:rFonts w:hint="eastAsia" w:ascii="宋体" w:hAnsi="宋体" w:eastAsia="宋体" w:cs="宋体"/>
          <w:color w:val="auto"/>
          <w:sz w:val="24"/>
          <w:szCs w:val="24"/>
          <w:highlight w:val="none"/>
          <w:u w:val="none"/>
          <w:shd w:val="clear" w:color="auto" w:fill="auto"/>
          <w:lang w:val="en-US" w:eastAsia="zh-CN"/>
        </w:rPr>
        <w:t xml:space="preserve">00</w:t>
      </w:r>
      <w:r>
        <w:rPr>
          <w:rFonts w:hint="eastAsia" w:ascii="宋体" w:hAnsi="宋体" w:eastAsia="宋体" w:cs="宋体"/>
          <w:color w:val="auto"/>
          <w:sz w:val="24"/>
          <w:szCs w:val="24"/>
          <w:highlight w:val="none"/>
          <w:u w:val="none"/>
          <w:shd w:val="clear" w:color="auto" w:fill="auto"/>
        </w:rPr>
        <w:t xml:space="preserve">分（北京时间）。</w:t>
      </w:r>
      <w:r/>
    </w:p>
    <w:p>
      <w:pPr>
        <w:pStyle w:val="649"/>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649"/>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五</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其他</w:t>
      </w:r>
      <w:bookmarkEnd w:id="22"/>
      <w:bookmarkEnd w:id="23"/>
      <w:bookmarkEnd w:id="24"/>
      <w:bookmarkEnd w:id="25"/>
      <w:bookmarkEnd w:id="26"/>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bookmarkStart w:id="27" w:name="_Toc28359086"/>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领取CA和办理电子签章（请至盐城市盐都区府西路1号盐城市政务服务中心4楼盐城市公共资源交易中心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2.潜在供应商访问电子招标响应交易平台的网络地址和方法：</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2.2 潜在投标人访问“苏采云”系统方法：江苏省政府采购网首页-“苏采云”链接。</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2.4 采购代理机构将数据电文形式的采购文件加载至“苏采云”系统，供潜在供应商下载或者查阅。</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如潜在投标人未按上述要求操作，将自行承担所产生的风险。</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000000"/>
          <w:sz w:val="24"/>
          <w:szCs w:val="24"/>
        </w:rPr>
        <w:t xml:space="preserve">有关本次招标的事项若存在变动或修改，敬请</w:t>
      </w:r>
      <w:r>
        <w:rPr>
          <w:rFonts w:hint="eastAsia" w:ascii="宋体" w:hAnsi="宋体" w:eastAsia="宋体" w:cs="宋体"/>
          <w:color w:val="000000"/>
          <w:sz w:val="24"/>
          <w:szCs w:val="24"/>
          <w:highlight w:val="none"/>
        </w:rPr>
        <w:t xml:space="preserve">及时关注</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盐城市盐都区公共资源交易中心</w:t>
      </w:r>
      <w:r>
        <w:rPr>
          <w:rFonts w:hint="eastAsia" w:ascii="宋体" w:hAnsi="宋体" w:eastAsia="宋体" w:cs="宋体"/>
          <w:color w:val="000000"/>
          <w:sz w:val="24"/>
          <w:szCs w:val="24"/>
          <w:highlight w:val="none"/>
        </w:rPr>
        <w:t xml:space="preserve">在“中国政府采购网”、“江苏政府</w:t>
      </w:r>
      <w:r>
        <w:rPr>
          <w:rFonts w:hint="eastAsia" w:ascii="宋体" w:hAnsi="宋体" w:eastAsia="宋体" w:cs="宋体"/>
          <w:color w:val="000000"/>
          <w:sz w:val="24"/>
          <w:szCs w:val="24"/>
        </w:rPr>
        <w:t xml:space="preserve">采购网”、“盐城市政府采购网”</w:t>
      </w:r>
      <w:r>
        <w:rPr>
          <w:rFonts w:hint="eastAsia" w:ascii="宋体" w:hAnsi="宋体" w:cs="宋体"/>
          <w:color w:val="000000"/>
          <w:sz w:val="24"/>
          <w:szCs w:val="24"/>
          <w:lang w:eastAsia="zh-CN"/>
        </w:rPr>
        <w:t xml:space="preserve">、“</w:t>
      </w:r>
      <w:r>
        <w:rPr>
          <w:rFonts w:hint="eastAsia" w:ascii="宋体" w:hAnsi="宋体" w:eastAsia="宋体" w:cs="宋体"/>
          <w:color w:val="auto"/>
          <w:sz w:val="24"/>
          <w:szCs w:val="24"/>
          <w:highlight w:val="none"/>
          <w:u w:val="none"/>
          <w:lang w:eastAsia="zh-CN"/>
        </w:rPr>
        <w:t xml:space="preserve">盐城市盐都区人民政府网</w:t>
      </w:r>
      <w:r>
        <w:rPr>
          <w:rFonts w:hint="eastAsia" w:ascii="宋体" w:hAnsi="宋体" w:cs="宋体"/>
          <w:color w:val="auto"/>
          <w:sz w:val="24"/>
          <w:szCs w:val="24"/>
          <w:highlight w:val="none"/>
          <w:u w:val="none"/>
          <w:lang w:eastAsia="zh-CN"/>
        </w:rPr>
        <w:t xml:space="preserve">”</w:t>
      </w:r>
      <w:r>
        <w:rPr>
          <w:rFonts w:hint="eastAsia" w:ascii="宋体" w:hAnsi="宋体" w:eastAsia="宋体" w:cs="宋体"/>
          <w:color w:val="000000"/>
          <w:sz w:val="24"/>
          <w:szCs w:val="24"/>
        </w:rPr>
        <w:t xml:space="preserve">发布的更正公告</w:t>
      </w:r>
      <w:r>
        <w:rPr>
          <w:rFonts w:hint="eastAsia" w:ascii="宋体" w:hAnsi="宋体" w:eastAsia="宋体" w:cs="宋体"/>
          <w:color w:val="000000"/>
          <w:sz w:val="24"/>
          <w:szCs w:val="24"/>
          <w:lang w:eastAsia="zh-CN"/>
        </w:rPr>
        <w:t xml:space="preserve">。</w:t>
      </w:r>
      <w:r/>
    </w:p>
    <w:p>
      <w:pPr>
        <w:pStyle w:val="649"/>
        <w:ind w:firstLine="480"/>
        <w:jc w:val="both"/>
        <w:pageBreakBefore w:val="0"/>
        <w:spacing w:beforeAutospacing="0" w:afterAutospacing="0" w:line="500" w:lineRule="exact"/>
        <w:tabs>
          <w:tab w:val="left" w:pos="90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rPr>
        <w:t xml:space="preserve">4.本次招标不收取投标保证金，不收取质量保证金。</w:t>
      </w:r>
      <w:r/>
    </w:p>
    <w:p>
      <w:pPr>
        <w:pStyle w:val="638"/>
        <w:ind w:left="0" w:right="0" w:firstLine="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 </w:t>
      </w:r>
      <w:r>
        <w:rPr>
          <w:rFonts w:hint="eastAsia" w:cs="宋体"/>
          <w:b/>
          <w:bCs w:val="0"/>
          <w:color w:val="auto"/>
          <w:sz w:val="24"/>
          <w:szCs w:val="24"/>
          <w:highlight w:val="none"/>
          <w:shd w:val="clear" w:color="auto" w:fill="auto"/>
          <w:lang w:val="en-US" w:eastAsia="zh-CN" w:bidi="ar-SA"/>
        </w:rPr>
        <w:t xml:space="preserve">六</w:t>
      </w:r>
      <w:r>
        <w:rPr>
          <w:rFonts w:hint="eastAsia" w:ascii="宋体" w:hAnsi="宋体" w:eastAsia="宋体" w:cs="宋体"/>
          <w:b/>
          <w:bCs w:val="0"/>
          <w:color w:val="auto"/>
          <w:sz w:val="24"/>
          <w:szCs w:val="24"/>
          <w:highlight w:val="none"/>
          <w:shd w:val="clear" w:color="auto" w:fill="auto"/>
          <w:lang w:val="en-US" w:eastAsia="zh-CN" w:bidi="ar-SA"/>
        </w:rPr>
        <w:t xml:space="preserve">、凡对本次采购提出询问，请按以下方式联系。</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称：盐城市盐都区人民法院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地址：盐城市盐都区新都西路5号</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联系人：梅先生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联系方式：13815575555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称：盐城市盐都区公共资源交易中心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址：盐城市盐都区世纪大道1188号服务大厦8楼</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联系人：吉先生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联系方式：18912509153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3.项目联系方式</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项目联系人：吉先生 </w:t>
      </w:r>
      <w:r/>
    </w:p>
    <w:p>
      <w:pPr>
        <w:pStyle w:val="649"/>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联系方式：18912509153 　　　　　　　　　　</w:t>
      </w:r>
      <w:r/>
    </w:p>
    <w:p>
      <w:pPr>
        <w:rPr>
          <w:rFonts w:hint="eastAsia" w:ascii="仿宋" w:hAnsi="仿宋" w:eastAsia="仿宋" w:cs="仿宋"/>
          <w:b/>
          <w:color w:val="auto"/>
          <w:sz w:val="28"/>
          <w:szCs w:val="28"/>
          <w:highlight w:val="none"/>
          <w:shd w:val="clear" w:color="auto" w:fill="auto"/>
        </w:rPr>
      </w:pPr>
      <w:r>
        <w:rPr>
          <w:rFonts w:hint="eastAsia" w:ascii="仿宋" w:hAnsi="仿宋" w:eastAsia="仿宋" w:cs="仿宋"/>
          <w:b/>
          <w:color w:val="auto"/>
          <w:sz w:val="28"/>
          <w:szCs w:val="28"/>
          <w:highlight w:val="none"/>
          <w:shd w:val="clear" w:color="auto" w:fill="auto"/>
        </w:rPr>
        <w:br w:type="page" w:clear="all"/>
      </w:r>
      <w:r/>
    </w:p>
    <w:p>
      <w:pPr>
        <w:pStyle w:val="649"/>
        <w:jc w:val="center"/>
        <w:keepLines/>
        <w:keepNext/>
        <w:spacing w:before="260" w:beforeAutospacing="0" w:after="260" w:afterAutospacing="0" w:line="415" w:lineRule="auto"/>
        <w:rPr>
          <w:color w:val="auto"/>
          <w:highlight w:val="none"/>
          <w:shd w:val="clear" w:color="auto" w:fill="auto"/>
        </w:rPr>
      </w:pPr>
      <w:r/>
      <w:bookmarkStart w:id="28" w:name="_Toc120614211"/>
      <w:r>
        <w:rPr>
          <w:rFonts w:hint="eastAsia" w:ascii="黑体" w:hAnsi="宋体" w:eastAsia="黑体" w:cs="黑体"/>
          <w:b/>
          <w:color w:val="auto"/>
          <w:sz w:val="44"/>
          <w:szCs w:val="44"/>
          <w:highlight w:val="none"/>
          <w:shd w:val="clear" w:color="auto" w:fill="auto"/>
        </w:rPr>
        <w:t xml:space="preserve">第二章  </w:t>
      </w:r>
      <w:bookmarkEnd w:id="28"/>
      <w:r>
        <w:rPr>
          <w:rFonts w:hint="eastAsia" w:ascii="黑体" w:hAnsi="宋体" w:eastAsia="黑体" w:cs="黑体"/>
          <w:b/>
          <w:color w:val="auto"/>
          <w:sz w:val="44"/>
          <w:szCs w:val="44"/>
          <w:highlight w:val="none"/>
          <w:shd w:val="clear" w:color="auto" w:fill="auto"/>
        </w:rPr>
        <w:t xml:space="preserve">供应商须知</w:t>
      </w:r>
      <w:r/>
    </w:p>
    <w:p>
      <w:pPr>
        <w:pStyle w:val="649"/>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29" w:name="_Toc16938519"/>
      <w:r/>
      <w:bookmarkStart w:id="30" w:name="_Toc120614214"/>
      <w:r/>
      <w:bookmarkStart w:id="31" w:name="_Toc513029203"/>
      <w:r/>
      <w:bookmarkStart w:id="32" w:name="_Toc20823275"/>
      <w:r>
        <w:rPr>
          <w:rFonts w:hint="eastAsia" w:ascii="宋体" w:hAnsi="宋体" w:eastAsia="宋体" w:cs="宋体"/>
          <w:b/>
          <w:color w:val="auto"/>
          <w:sz w:val="24"/>
          <w:szCs w:val="24"/>
          <w:highlight w:val="none"/>
          <w:shd w:val="clear" w:color="auto" w:fill="auto"/>
        </w:rPr>
        <w:t xml:space="preserve">一、总则</w:t>
      </w:r>
      <w:bookmarkEnd w:id="29"/>
      <w:r/>
      <w:bookmarkEnd w:id="30"/>
      <w:r/>
      <w:bookmarkEnd w:id="31"/>
      <w:r/>
      <w:bookmarkEnd w:id="32"/>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33" w:name="_Toc20823276"/>
      <w:r/>
      <w:bookmarkStart w:id="34" w:name="_Toc458694821"/>
      <w:r/>
      <w:bookmarkStart w:id="35" w:name="_Toc16938520"/>
      <w:r/>
      <w:bookmarkStart w:id="36" w:name="_Toc513029204"/>
      <w:r/>
      <w:bookmarkStart w:id="37" w:name="_Hlt16619475"/>
      <w:r>
        <w:rPr>
          <w:rFonts w:hint="eastAsia" w:ascii="宋体" w:hAnsi="宋体" w:eastAsia="宋体" w:cs="宋体"/>
          <w:color w:val="auto"/>
          <w:sz w:val="24"/>
          <w:szCs w:val="24"/>
          <w:highlight w:val="none"/>
          <w:shd w:val="clear" w:color="auto" w:fill="auto"/>
        </w:rPr>
        <w:t xml:space="preserve">1</w:t>
      </w:r>
      <w:bookmarkEnd w:id="33"/>
      <w:r>
        <w:rPr>
          <w:rFonts w:hint="eastAsia" w:ascii="宋体" w:hAnsi="宋体" w:eastAsia="宋体" w:cs="宋体"/>
          <w:color w:val="auto"/>
          <w:sz w:val="24"/>
          <w:szCs w:val="24"/>
          <w:highlight w:val="none"/>
          <w:shd w:val="clear" w:color="auto" w:fill="auto"/>
        </w:rPr>
        <w:t xml:space="preserve">、采购方式</w:t>
      </w:r>
      <w:bookmarkEnd w:id="34"/>
      <w:r/>
      <w:bookmarkEnd w:id="35"/>
      <w:r/>
      <w:bookmarkEnd w:id="36"/>
      <w:r/>
      <w:r/>
    </w:p>
    <w:p>
      <w:pPr>
        <w:pStyle w:val="64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本次政府采购活动采取单一来源采购方式。</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38" w:name="_Toc16938521"/>
      <w:r/>
      <w:bookmarkStart w:id="39" w:name="_Toc513029205"/>
      <w:r/>
      <w:bookmarkStart w:id="40" w:name="_Toc20823277"/>
      <w:r>
        <w:rPr>
          <w:rFonts w:hint="eastAsia" w:ascii="宋体" w:hAnsi="宋体" w:eastAsia="宋体" w:cs="宋体"/>
          <w:color w:val="auto"/>
          <w:sz w:val="24"/>
          <w:szCs w:val="24"/>
          <w:highlight w:val="none"/>
          <w:shd w:val="clear" w:color="auto" w:fill="auto"/>
        </w:rPr>
        <w:t xml:space="preserve">2、合格的</w:t>
      </w:r>
      <w:bookmarkEnd w:id="38"/>
      <w:r/>
      <w:bookmarkEnd w:id="39"/>
      <w:r/>
      <w:bookmarkEnd w:id="40"/>
      <w:r>
        <w:rPr>
          <w:rFonts w:hint="eastAsia" w:ascii="宋体" w:hAnsi="宋体" w:eastAsia="宋体" w:cs="宋体"/>
          <w:color w:val="auto"/>
          <w:sz w:val="24"/>
          <w:szCs w:val="24"/>
          <w:highlight w:val="none"/>
          <w:shd w:val="clear" w:color="auto" w:fill="auto"/>
        </w:rPr>
        <w:t xml:space="preserve">供应商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41" w:name="_Toc513029206"/>
      <w:r/>
      <w:bookmarkStart w:id="42" w:name="_Toc20823278"/>
      <w:r/>
      <w:bookmarkStart w:id="43" w:name="_Toc16938522"/>
      <w:r>
        <w:rPr>
          <w:rFonts w:hint="eastAsia" w:ascii="宋体" w:hAnsi="宋体" w:eastAsia="宋体" w:cs="宋体"/>
          <w:color w:val="auto"/>
          <w:sz w:val="24"/>
          <w:szCs w:val="24"/>
          <w:highlight w:val="none"/>
          <w:shd w:val="clear" w:color="auto" w:fill="auto"/>
        </w:rPr>
        <w:t xml:space="preserve">2.1 满足采购文件中合格单一来源供应商资格要求的规定。</w:t>
      </w:r>
      <w:bookmarkEnd w:id="41"/>
      <w:r/>
      <w:bookmarkEnd w:id="42"/>
      <w:r/>
      <w:bookmarkEnd w:id="43"/>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满足本采购文件实质性条款的规定。</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3、适用法律</w:t>
      </w:r>
      <w:r/>
    </w:p>
    <w:p>
      <w:pPr>
        <w:pStyle w:val="64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 本次采购及由此产生的合同受中华人民共和国有关的法律法规制约和保护。</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44" w:name="_Toc20823279"/>
      <w:r/>
      <w:bookmarkStart w:id="45" w:name="_Toc16938523"/>
      <w:r/>
      <w:bookmarkStart w:id="46" w:name="_Toc513029207"/>
      <w:r/>
      <w:bookmarkStart w:id="47" w:name="_Toc462564067"/>
      <w:r>
        <w:rPr>
          <w:rFonts w:hint="eastAsia" w:ascii="宋体" w:hAnsi="宋体" w:eastAsia="宋体" w:cs="宋体"/>
          <w:color w:val="auto"/>
          <w:sz w:val="24"/>
          <w:szCs w:val="24"/>
          <w:highlight w:val="none"/>
          <w:shd w:val="clear" w:color="auto" w:fill="auto"/>
        </w:rPr>
        <w:t xml:space="preserve">4、相关费用</w:t>
      </w:r>
      <w:bookmarkEnd w:id="44"/>
      <w:r/>
      <w:bookmarkEnd w:id="45"/>
      <w:r/>
      <w:bookmarkEnd w:id="46"/>
      <w:r/>
      <w:bookmarkEnd w:id="47"/>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4.1供应商应自行承担所有与参加投标有关的费用，无论投标过程中的做法和结果如何，盐城市盐都区公共资源交易中心（以下简称交易中心）在任何情况下均无义务和责任承担这些费用。</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4.2本次招标交易中心和采购人不收取标书工本费与中标服务费。</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val="0"/>
          <w:bCs/>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r/>
    </w:p>
    <w:p>
      <w:pPr>
        <w:pStyle w:val="649"/>
        <w:ind w:firstLine="482"/>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48" w:name="_Toc513029209"/>
      <w:r/>
      <w:bookmarkStart w:id="49" w:name="_Toc20823281"/>
      <w:r/>
      <w:bookmarkStart w:id="50" w:name="_Toc16938525"/>
      <w:r/>
      <w:bookmarkStart w:id="51" w:name="_Toc120614215"/>
      <w:r>
        <w:rPr>
          <w:rFonts w:hint="eastAsia" w:ascii="宋体" w:hAnsi="宋体" w:eastAsia="宋体" w:cs="宋体"/>
          <w:b/>
          <w:color w:val="auto"/>
          <w:sz w:val="24"/>
          <w:szCs w:val="24"/>
          <w:highlight w:val="none"/>
          <w:shd w:val="clear" w:color="auto" w:fill="auto"/>
        </w:rPr>
        <w:t xml:space="preserve">二、</w:t>
      </w:r>
      <w:bookmarkEnd w:id="48"/>
      <w:r/>
      <w:bookmarkEnd w:id="49"/>
      <w:r/>
      <w:bookmarkEnd w:id="50"/>
      <w:r/>
      <w:bookmarkEnd w:id="51"/>
      <w:r>
        <w:rPr>
          <w:rFonts w:hint="eastAsia" w:ascii="宋体" w:hAnsi="宋体" w:eastAsia="宋体" w:cs="宋体"/>
          <w:b/>
          <w:color w:val="auto"/>
          <w:sz w:val="24"/>
          <w:szCs w:val="24"/>
          <w:highlight w:val="none"/>
          <w:shd w:val="clear" w:color="auto" w:fill="auto"/>
        </w:rPr>
        <w:t xml:space="preserve">采购文件</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52" w:name="_Toc20823282"/>
      <w:r/>
      <w:bookmarkStart w:id="53" w:name="_Toc513029210"/>
      <w:r/>
      <w:bookmarkStart w:id="54" w:name="_Toc16938526"/>
      <w:r>
        <w:rPr>
          <w:rFonts w:hint="eastAsia" w:ascii="宋体" w:hAnsi="宋体" w:eastAsia="宋体" w:cs="宋体"/>
          <w:color w:val="auto"/>
          <w:sz w:val="24"/>
          <w:szCs w:val="24"/>
          <w:highlight w:val="none"/>
          <w:shd w:val="clear" w:color="auto" w:fill="auto"/>
        </w:rPr>
        <w:t xml:space="preserve">6、采购文件构成</w:t>
      </w:r>
      <w:bookmarkEnd w:id="52"/>
      <w:r/>
      <w:bookmarkEnd w:id="53"/>
      <w:r/>
      <w:bookmarkEnd w:id="54"/>
      <w:r/>
      <w:r/>
    </w:p>
    <w:p>
      <w:pPr>
        <w:pStyle w:val="64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6.1采购文件由以下部分组成：</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（6）响应文件格式</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联系解决。</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55" w:name="_Toc16938527"/>
      <w:r/>
      <w:bookmarkStart w:id="56" w:name="_Toc20823283"/>
      <w:r/>
      <w:bookmarkStart w:id="57" w:name="_Toc513029211"/>
      <w:r/>
      <w:bookmarkStart w:id="58" w:name="_Toc462564070"/>
      <w:r>
        <w:rPr>
          <w:rFonts w:hint="eastAsia" w:ascii="宋体" w:hAnsi="宋体" w:eastAsia="宋体" w:cs="宋体"/>
          <w:color w:val="auto"/>
          <w:sz w:val="24"/>
          <w:szCs w:val="24"/>
          <w:highlight w:val="none"/>
          <w:shd w:val="clear" w:color="auto" w:fill="auto"/>
        </w:rPr>
        <w:t xml:space="preserve">7、采购文件的澄清</w:t>
      </w:r>
      <w:bookmarkEnd w:id="55"/>
      <w:r/>
      <w:bookmarkEnd w:id="56"/>
      <w:r/>
      <w:bookmarkEnd w:id="57"/>
      <w:r/>
      <w:bookmarkEnd w:id="58"/>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59" w:name="_Toc513029212"/>
      <w:r/>
      <w:bookmarkStart w:id="60" w:name="_Toc16938528"/>
      <w:r/>
      <w:bookmarkStart w:id="61" w:name="_Toc462564071"/>
      <w:r/>
      <w:bookmarkStart w:id="62" w:name="_Toc20823284"/>
      <w:r>
        <w:rPr>
          <w:rFonts w:hint="eastAsia" w:ascii="宋体" w:hAnsi="宋体" w:eastAsia="宋体" w:cs="宋体"/>
          <w:color w:val="auto"/>
          <w:sz w:val="24"/>
          <w:szCs w:val="24"/>
          <w:highlight w:val="none"/>
          <w:shd w:val="clear" w:color="auto" w:fill="auto"/>
        </w:rPr>
        <w:t xml:space="preserve">7.1 供应商如果要求对采购文件进行澄清的，应在响应文件接收截止时间（以下简称“截止时间”）三天前，在苏采云系统中通知</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将在苏采云系统中对澄清要求予以答复。</w:t>
      </w:r>
      <w:bookmarkEnd w:id="59"/>
      <w:r/>
      <w:bookmarkEnd w:id="60"/>
      <w:r/>
      <w:bookmarkEnd w:id="61"/>
      <w:r/>
      <w:bookmarkEnd w:id="62"/>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63" w:name="_Toc120614216"/>
      <w:r/>
      <w:bookmarkStart w:id="64" w:name="_Toc16938529"/>
      <w:r/>
      <w:bookmarkStart w:id="65" w:name="_Toc513029213"/>
      <w:r/>
      <w:bookmarkStart w:id="66" w:name="_Toc20823285"/>
      <w:r/>
      <w:bookmarkStart w:id="67" w:name="_Toc462564072"/>
      <w:r>
        <w:rPr>
          <w:rFonts w:hint="eastAsia" w:ascii="宋体" w:hAnsi="宋体" w:eastAsia="宋体" w:cs="宋体"/>
          <w:color w:val="auto"/>
          <w:sz w:val="24"/>
          <w:szCs w:val="24"/>
          <w:highlight w:val="none"/>
          <w:shd w:val="clear" w:color="auto" w:fill="auto"/>
        </w:rPr>
        <w:t xml:space="preserve">8、采购文件的修改</w:t>
      </w:r>
      <w:bookmarkEnd w:id="63"/>
      <w:r/>
      <w:bookmarkEnd w:id="64"/>
      <w:r/>
      <w:bookmarkEnd w:id="65"/>
      <w:r/>
      <w:bookmarkEnd w:id="66"/>
      <w:r/>
      <w:bookmarkEnd w:id="67"/>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 在截止时间前，</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可以以补充文件的方式对采购文件进行修改。</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8.2</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有权按照政府采购的有关要求推迟截止时间。</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649"/>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三、响应文件的编制</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68" w:name="_Toc20823286"/>
      <w:r/>
      <w:bookmarkStart w:id="69" w:name="_Toc16938530"/>
      <w:r/>
      <w:bookmarkStart w:id="70" w:name="_Toc513029214"/>
      <w:r/>
      <w:bookmarkStart w:id="71"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68"/>
      <w:r/>
      <w:bookmarkEnd w:id="69"/>
      <w:r/>
      <w:bookmarkEnd w:id="70"/>
      <w:r/>
      <w:bookmarkEnd w:id="71"/>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72" w:name="_Toc20823287"/>
      <w:r/>
      <w:bookmarkStart w:id="73" w:name="_Toc16938531"/>
      <w:r/>
      <w:bookmarkStart w:id="74" w:name="_Toc462564074"/>
      <w:r/>
      <w:bookmarkStart w:id="75" w:name="_Toc513029215"/>
      <w:r>
        <w:rPr>
          <w:rFonts w:hint="eastAsia" w:ascii="宋体" w:hAnsi="宋体" w:eastAsia="宋体" w:cs="宋体"/>
          <w:color w:val="auto"/>
          <w:sz w:val="24"/>
          <w:szCs w:val="24"/>
          <w:highlight w:val="none"/>
          <w:shd w:val="clear" w:color="auto" w:fill="auto"/>
        </w:rPr>
        <w:t xml:space="preserve">10、响应文件构成</w:t>
      </w:r>
      <w:bookmarkEnd w:id="72"/>
      <w:r/>
      <w:bookmarkEnd w:id="73"/>
      <w:r/>
      <w:bookmarkEnd w:id="74"/>
      <w:r/>
      <w:bookmarkEnd w:id="75"/>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76" w:name="_Toc14577357"/>
      <w:r/>
      <w:bookmarkStart w:id="77" w:name="_Toc513029219"/>
      <w:r/>
      <w:bookmarkStart w:id="78" w:name="_Toc49090508"/>
      <w:r/>
      <w:bookmarkStart w:id="79" w:name="_Toc14577355"/>
      <w:r/>
      <w:bookmarkStart w:id="80" w:name="_Toc513029216"/>
      <w:r/>
      <w:bookmarkStart w:id="81" w:name="_Toc49090509"/>
      <w:r/>
      <w:bookmarkStart w:id="82" w:name="_Toc14577354"/>
      <w:r/>
      <w:bookmarkStart w:id="83" w:name="_Toc49090507"/>
      <w:r/>
      <w:bookmarkStart w:id="84" w:name="_Hlt26670360"/>
      <w:r/>
      <w:bookmarkStart w:id="85" w:name="_Hlt26954838"/>
      <w:r/>
      <w:bookmarkStart w:id="86" w:name="_Hlt26668975"/>
      <w:r>
        <w:rPr>
          <w:rFonts w:hint="eastAsia" w:ascii="宋体" w:hAnsi="宋体" w:eastAsia="宋体" w:cs="宋体"/>
          <w:color w:val="auto"/>
          <w:sz w:val="24"/>
          <w:szCs w:val="24"/>
          <w:highlight w:val="none"/>
          <w:shd w:val="clear" w:color="auto" w:fill="auto"/>
        </w:rPr>
        <w:t xml:space="preserve">10.1 供应商编写的响应文件应包括资格证明文件、符合性证明文件、分项报价表、技术要求响应及偏离表、商务要求响应及偏离表、其他证明文件、单一来源响应函等部分。</w:t>
      </w:r>
      <w:bookmarkEnd w:id="76"/>
      <w:r/>
      <w:bookmarkEnd w:id="77"/>
      <w:r/>
      <w:bookmarkEnd w:id="78"/>
      <w:r/>
      <w:bookmarkEnd w:id="79"/>
      <w:r/>
      <w:bookmarkEnd w:id="80"/>
      <w:r/>
      <w:bookmarkEnd w:id="81"/>
      <w:r/>
      <w:bookmarkEnd w:id="82"/>
      <w:r/>
      <w:bookmarkEnd w:id="83"/>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 供应商应按照法律、法规、规章和规范性文件以及采购文件要求提交证明文件，证明其及响应标的符合采购文件规定。</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12、分项报价表</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87" w:name="_Hlt26670482"/>
      <w:r/>
      <w:bookmarkStart w:id="88" w:name="_Hlt26670486"/>
      <w:r/>
      <w:bookmarkStart w:id="89" w:name="_Hlt26954848"/>
      <w:r/>
      <w:bookmarkStart w:id="90" w:name="_Hlt26954731"/>
      <w:r/>
      <w:bookmarkStart w:id="91" w:name="_Hlt26954846"/>
      <w:r>
        <w:rPr>
          <w:rFonts w:hint="eastAsia" w:ascii="宋体" w:hAnsi="宋体" w:eastAsia="宋体" w:cs="宋体"/>
          <w:color w:val="auto"/>
          <w:sz w:val="24"/>
          <w:szCs w:val="24"/>
          <w:highlight w:val="none"/>
          <w:shd w:val="clear" w:color="auto" w:fill="auto"/>
        </w:rPr>
        <w:t xml:space="preserve">12.1 供应商应按照采购文件规定格式填报分项报价表。</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92" w:name="_Toc49090510"/>
      <w:r/>
      <w:bookmarkStart w:id="93" w:name="_Toc14577359"/>
      <w:r>
        <w:rPr>
          <w:rFonts w:hint="eastAsia" w:ascii="宋体" w:hAnsi="宋体" w:eastAsia="宋体" w:cs="宋体"/>
          <w:color w:val="auto"/>
          <w:sz w:val="24"/>
          <w:szCs w:val="24"/>
          <w:highlight w:val="none"/>
          <w:shd w:val="clear" w:color="auto" w:fill="auto"/>
        </w:rPr>
        <w:t xml:space="preserve">14、服务承诺、培训计划、人员安排及其他</w:t>
      </w:r>
      <w:bookmarkEnd w:id="92"/>
      <w:r/>
      <w:bookmarkEnd w:id="93"/>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供应商需根据采购文件要求提供有关售后服务的管理制度，售后服务机构的分布情况，售后服务人员的数量、素质、技术水平及售后服务的反应能力等。</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 供应商需根据采购文件要求提供培训计划。</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供应商需根据采购文件要求提供所投标的的主要组成部分、功能设计、实现思路及关键技术等。</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94" w:name="_Toc49090511"/>
      <w:r/>
      <w:bookmarkStart w:id="95" w:name="_Toc14577360"/>
      <w:r>
        <w:rPr>
          <w:rFonts w:hint="eastAsia" w:ascii="宋体" w:hAnsi="宋体" w:eastAsia="宋体" w:cs="宋体"/>
          <w:color w:val="auto"/>
          <w:sz w:val="24"/>
          <w:szCs w:val="24"/>
          <w:highlight w:val="none"/>
          <w:shd w:val="clear" w:color="auto" w:fill="auto"/>
        </w:rPr>
        <w:t xml:space="preserve">15、单一来源响应函</w:t>
      </w:r>
      <w:bookmarkEnd w:id="94"/>
      <w:r/>
      <w:bookmarkEnd w:id="95"/>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 供应商应按照采购文件中提供的格式完整、正确填写单一来源响应函。</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16、单一来源采购有效期</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16.1单一来源采购有效期（以下简称“有效期”）为</w:t>
      </w:r>
      <w:r>
        <w:rPr>
          <w:rFonts w:hint="eastAsia" w:ascii="宋体" w:hAnsi="宋体" w:eastAsia="宋体" w:cs="宋体"/>
          <w:color w:val="auto"/>
          <w:sz w:val="24"/>
          <w:szCs w:val="24"/>
          <w:highlight w:val="none"/>
          <w:shd w:val="clear" w:color="auto" w:fill="auto"/>
          <w:lang w:val="en-US" w:eastAsia="zh-CN"/>
        </w:rPr>
        <w:t xml:space="preserve">采购文件</w:t>
      </w:r>
      <w:r>
        <w:rPr>
          <w:rFonts w:hint="eastAsia" w:ascii="宋体" w:hAnsi="宋体" w:eastAsia="宋体" w:cs="宋体"/>
          <w:color w:val="auto"/>
          <w:sz w:val="24"/>
          <w:szCs w:val="24"/>
          <w:highlight w:val="none"/>
          <w:shd w:val="clear" w:color="auto" w:fill="auto"/>
        </w:rPr>
        <w:t xml:space="preserve">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17、有效期的延长</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于原有效期满之前，可向供应商提出延长有效期的要求。这种要求与答复均应采用书面形式。供应商可以拒绝采购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的这一要求而放弃单一来源采购活动，同意延长有效期的供应商既不能要求也不允许修改其响应文件。受有效期约束的所有权利与义务均延长至新的有效期。</w:t>
      </w:r>
      <w:r/>
    </w:p>
    <w:p>
      <w:pPr>
        <w:pStyle w:val="649"/>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96" w:name="_Toc20823296"/>
      <w:r/>
      <w:bookmarkStart w:id="97" w:name="_Toc513029224"/>
      <w:r/>
      <w:bookmarkStart w:id="98" w:name="_Toc120614217"/>
      <w:r/>
      <w:bookmarkStart w:id="99" w:name="_Toc16938540"/>
      <w:r/>
      <w:bookmarkStart w:id="100" w:name="_Hlt26954852"/>
      <w:r/>
      <w:bookmarkStart w:id="101" w:name="_Hlt26954739"/>
      <w:r>
        <w:rPr>
          <w:rFonts w:hint="eastAsia" w:ascii="宋体" w:hAnsi="宋体" w:eastAsia="宋体" w:cs="宋体"/>
          <w:b/>
          <w:color w:val="auto"/>
          <w:sz w:val="24"/>
          <w:szCs w:val="24"/>
          <w:highlight w:val="none"/>
          <w:shd w:val="clear" w:color="auto" w:fill="auto"/>
        </w:rPr>
        <w:t xml:space="preserve">四、响应文件的递交</w:t>
      </w:r>
      <w:bookmarkEnd w:id="96"/>
      <w:r/>
      <w:bookmarkEnd w:id="97"/>
      <w:r/>
      <w:bookmarkEnd w:id="98"/>
      <w:r/>
      <w:bookmarkEnd w:id="99"/>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02" w:name="_Toc20823297"/>
      <w:r/>
      <w:bookmarkStart w:id="103" w:name="_Toc462564084"/>
      <w:r/>
      <w:bookmarkStart w:id="104" w:name="_Toc513029225"/>
      <w:r/>
      <w:bookmarkStart w:id="105" w:name="_Toc16938541"/>
      <w:r>
        <w:rPr>
          <w:rFonts w:hint="eastAsia" w:ascii="宋体" w:hAnsi="宋体" w:eastAsia="宋体" w:cs="宋体"/>
          <w:color w:val="auto"/>
          <w:sz w:val="24"/>
          <w:szCs w:val="24"/>
          <w:highlight w:val="none"/>
          <w:shd w:val="clear" w:color="auto" w:fill="auto"/>
        </w:rPr>
        <w:t xml:space="preserve">18、电子</w:t>
      </w:r>
      <w:bookmarkEnd w:id="102"/>
      <w:r/>
      <w:bookmarkEnd w:id="103"/>
      <w:r/>
      <w:bookmarkEnd w:id="104"/>
      <w:r/>
      <w:bookmarkEnd w:id="105"/>
      <w:r>
        <w:rPr>
          <w:rFonts w:hint="eastAsia" w:ascii="宋体" w:hAnsi="宋体" w:eastAsia="宋体" w:cs="宋体"/>
          <w:color w:val="auto"/>
          <w:sz w:val="24"/>
          <w:szCs w:val="24"/>
          <w:highlight w:val="none"/>
          <w:shd w:val="clear" w:color="auto" w:fill="auto"/>
        </w:rPr>
        <w:t xml:space="preserve">响应文件的递交</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06" w:name="_Toc16938542"/>
      <w:r/>
      <w:bookmarkEnd w:id="106"/>
      <w:r/>
      <w:bookmarkStart w:id="107" w:name="_Toc20823298"/>
      <w:r/>
      <w:bookmarkEnd w:id="107"/>
      <w:r/>
      <w:bookmarkStart w:id="108" w:name="_Toc513029226"/>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19、提交响应文件截止时间</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i/>
          <w:iCs w:val="0"/>
          <w:color w:val="auto"/>
          <w:sz w:val="24"/>
          <w:szCs w:val="24"/>
          <w:highlight w:val="none"/>
          <w:shd w:val="clear" w:color="auto" w:fill="auto"/>
        </w:rPr>
      </w:pPr>
      <w:r>
        <w:rPr>
          <w:rFonts w:hint="eastAsia" w:ascii="宋体" w:hAnsi="宋体" w:eastAsia="宋体" w:cs="宋体"/>
          <w:i/>
          <w:iCs w:val="0"/>
          <w:color w:val="auto"/>
          <w:sz w:val="24"/>
          <w:szCs w:val="24"/>
          <w:highlight w:val="none"/>
          <w:u w:val="single"/>
          <w:shd w:val="clear" w:color="auto" w:fill="auto"/>
        </w:rPr>
        <w:t xml:space="preserve">19.1供应商上传电子响应文件的时间不得迟于单一来源采购邀请中规定的截止时间。</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09" w:name="_Toc20823299"/>
      <w:r/>
      <w:bookmarkStart w:id="110" w:name="_Toc16938543"/>
      <w:r/>
      <w:bookmarkStart w:id="111" w:name="_Toc513029227"/>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09"/>
      <w:r/>
      <w:bookmarkEnd w:id="110"/>
      <w:r/>
      <w:bookmarkEnd w:id="111"/>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可以按照规定，通过修改采购文件酌情延长截止时间，在此情况下，供应商的所有权利和义务以及供应商受制的截止时间以延长后新的截止时间为准。</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20、响应文件的拒收</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拒绝接收在其规定的截止时间后上传的任何电子响应文件。</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12" w:name="_Toc513029228"/>
      <w:r/>
      <w:bookmarkStart w:id="113" w:name="_Toc16938544"/>
      <w:r/>
      <w:bookmarkStart w:id="114" w:name="_Toc20823300"/>
      <w:r>
        <w:rPr>
          <w:rFonts w:hint="eastAsia" w:ascii="宋体" w:hAnsi="宋体" w:eastAsia="宋体" w:cs="宋体"/>
          <w:color w:val="auto"/>
          <w:sz w:val="24"/>
          <w:szCs w:val="24"/>
          <w:highlight w:val="none"/>
          <w:shd w:val="clear" w:color="auto" w:fill="auto"/>
        </w:rPr>
        <w:t xml:space="preserve">21、响应文件的撤回和修改</w:t>
      </w:r>
      <w:bookmarkEnd w:id="112"/>
      <w:r/>
      <w:bookmarkEnd w:id="113"/>
      <w:r/>
      <w:bookmarkEnd w:id="114"/>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21.1响应文件的撤回</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21.1.1 电子响应文件的撤回</w:t>
      </w:r>
      <w:r/>
    </w:p>
    <w:p>
      <w:pPr>
        <w:pStyle w:val="649"/>
        <w:ind w:left="0" w:firstLine="601"/>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21.2响应文件的修改</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在截止时间之后，供应商不得对其电子响应文件作任何修改。</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在截止时间至有效期满之间的这段时间内，供应商不得撤回其响应文件。</w:t>
      </w:r>
      <w:r/>
    </w:p>
    <w:p>
      <w:pPr>
        <w:pStyle w:val="649"/>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15" w:name="_Toc20823301"/>
      <w:r/>
      <w:bookmarkStart w:id="116" w:name="_Toc16938545"/>
      <w:r/>
      <w:bookmarkStart w:id="117" w:name="_Toc120614218"/>
      <w:r/>
      <w:bookmarkStart w:id="118" w:name="_Toc513029229"/>
      <w:r>
        <w:rPr>
          <w:rFonts w:hint="eastAsia" w:ascii="宋体" w:hAnsi="宋体" w:eastAsia="宋体" w:cs="宋体"/>
          <w:b/>
          <w:color w:val="auto"/>
          <w:sz w:val="24"/>
          <w:szCs w:val="24"/>
          <w:highlight w:val="none"/>
          <w:shd w:val="clear" w:color="auto" w:fill="auto"/>
        </w:rPr>
        <w:t xml:space="preserve">五、响应文件的解密与评审</w:t>
      </w:r>
      <w:bookmarkEnd w:id="115"/>
      <w:r/>
      <w:bookmarkEnd w:id="116"/>
      <w:r/>
      <w:bookmarkEnd w:id="117"/>
      <w:r/>
      <w:bookmarkEnd w:id="118"/>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19" w:name="_Toc20823302"/>
      <w:r/>
      <w:bookmarkStart w:id="120" w:name="_Toc513029230"/>
      <w:r/>
      <w:bookmarkStart w:id="121" w:name="_Toc16938546"/>
      <w:r>
        <w:rPr>
          <w:rFonts w:hint="eastAsia" w:ascii="宋体" w:hAnsi="宋体" w:eastAsia="宋体" w:cs="宋体"/>
          <w:color w:val="auto"/>
          <w:sz w:val="24"/>
          <w:szCs w:val="24"/>
          <w:highlight w:val="none"/>
          <w:shd w:val="clear" w:color="auto" w:fill="auto"/>
        </w:rPr>
        <w:t xml:space="preserve">22、</w:t>
      </w:r>
      <w:bookmarkEnd w:id="119"/>
      <w:r/>
      <w:bookmarkEnd w:id="120"/>
      <w:r/>
      <w:bookmarkEnd w:id="121"/>
      <w:r>
        <w:rPr>
          <w:rFonts w:hint="eastAsia" w:ascii="宋体" w:hAnsi="宋体" w:eastAsia="宋体" w:cs="宋体"/>
          <w:color w:val="auto"/>
          <w:sz w:val="24"/>
          <w:szCs w:val="24"/>
          <w:highlight w:val="none"/>
          <w:shd w:val="clear" w:color="auto" w:fill="auto"/>
        </w:rPr>
        <w:t xml:space="preserve">响应文件解密</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22" w:name="_Toc16938547"/>
      <w:r/>
      <w:bookmarkStart w:id="123" w:name="_Toc20823303"/>
      <w:r/>
      <w:bookmarkStart w:id="124" w:name="_Toc513029231"/>
      <w:r>
        <w:rPr>
          <w:rFonts w:hint="eastAsia" w:ascii="宋体" w:hAnsi="宋体" w:eastAsia="宋体" w:cs="宋体"/>
          <w:color w:val="auto"/>
          <w:sz w:val="24"/>
          <w:szCs w:val="24"/>
          <w:highlight w:val="none"/>
          <w:shd w:val="clear" w:color="auto" w:fill="auto"/>
        </w:rPr>
        <w:t xml:space="preserve">23、单一来源协商小组</w:t>
      </w:r>
      <w:bookmarkEnd w:id="122"/>
      <w:r/>
      <w:bookmarkEnd w:id="123"/>
      <w:r/>
      <w:bookmarkEnd w:id="124"/>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23.1单一来源协商小组（以下简称“协商小组”）由政府采购评审专家、采购人代表组成，且人员构成符合政府采购有关规定。</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25" w:name="_Toc16938548"/>
      <w:r/>
      <w:bookmarkStart w:id="126" w:name="_Toc20823304"/>
      <w:r/>
      <w:bookmarkStart w:id="127" w:name="_Toc513029232"/>
      <w:r>
        <w:rPr>
          <w:rFonts w:hint="eastAsia" w:ascii="宋体" w:hAnsi="宋体" w:eastAsia="宋体" w:cs="宋体"/>
          <w:color w:val="auto"/>
          <w:sz w:val="24"/>
          <w:szCs w:val="24"/>
          <w:highlight w:val="none"/>
          <w:shd w:val="clear" w:color="auto" w:fill="auto"/>
        </w:rPr>
        <w:t xml:space="preserve">24.1协商小组、采购人和</w:t>
      </w:r>
      <w:r>
        <w:rPr>
          <w:rFonts w:hint="eastAsia" w:ascii="宋体" w:hAnsi="宋体" w:eastAsia="宋体" w:cs="宋体"/>
          <w:color w:val="auto"/>
          <w:sz w:val="24"/>
          <w:szCs w:val="24"/>
          <w:highlight w:val="none"/>
          <w:shd w:val="clear" w:color="auto" w:fill="auto"/>
          <w:lang w:val="en-US" w:eastAsia="zh-CN"/>
        </w:rPr>
        <w:t xml:space="preserve">交易中心</w:t>
      </w:r>
      <w:r>
        <w:rPr>
          <w:rFonts w:hint="eastAsia" w:ascii="宋体" w:hAnsi="宋体" w:eastAsia="宋体" w:cs="宋体"/>
          <w:color w:val="auto"/>
          <w:sz w:val="24"/>
          <w:szCs w:val="24"/>
          <w:highlight w:val="none"/>
          <w:shd w:val="clear" w:color="auto" w:fill="auto"/>
        </w:rPr>
        <w:t xml:space="preserve">工作人员、相关监督人员等与评审工作有关的人员，对评审、单一来源协商情况以及在评审、单一来源协商过程（以下简称“协商过程”）中获悉的国家秘密、商业秘密负有保密责任。</w:t>
      </w:r>
      <w:bookmarkEnd w:id="125"/>
      <w:r/>
      <w:bookmarkEnd w:id="126"/>
      <w:r/>
      <w:bookmarkEnd w:id="127"/>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25、评审及协商过程中的澄清</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649"/>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649"/>
        <w:ind w:left="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25.3 接到协商小组澄清、说明和更正要求的供应商如未按规定做出澄清、说明和 更正，其风险由供应商自行承担。</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28" w:name="_Toc16938549"/>
      <w:r/>
      <w:bookmarkStart w:id="129" w:name="_Toc513029233"/>
      <w:r/>
      <w:bookmarkStart w:id="130" w:name="_Toc20823305"/>
      <w:r>
        <w:rPr>
          <w:rFonts w:hint="eastAsia" w:ascii="宋体" w:hAnsi="宋体" w:eastAsia="宋体" w:cs="宋体"/>
          <w:color w:val="auto"/>
          <w:sz w:val="24"/>
          <w:szCs w:val="24"/>
          <w:highlight w:val="none"/>
          <w:shd w:val="clear" w:color="auto" w:fill="auto"/>
        </w:rPr>
        <w:t xml:space="preserve">26、对响应文件的审</w:t>
      </w:r>
      <w:bookmarkEnd w:id="128"/>
      <w:r/>
      <w:bookmarkEnd w:id="129"/>
      <w:r/>
      <w:bookmarkEnd w:id="130"/>
      <w:r>
        <w:rPr>
          <w:rFonts w:hint="eastAsia" w:ascii="宋体" w:hAnsi="宋体" w:eastAsia="宋体" w:cs="宋体"/>
          <w:color w:val="auto"/>
          <w:sz w:val="24"/>
          <w:szCs w:val="24"/>
          <w:highlight w:val="none"/>
          <w:shd w:val="clear" w:color="auto" w:fill="auto"/>
        </w:rPr>
        <w:t xml:space="preserve">查</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资格审查：由协商小组依据法律法规和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文件的规定，对响应文件中的资格证明文件进行审查，以确定供应商是否具备参加单一来源协商的资格。</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协商小组在进行资格审查的同时，将在“信用中国”网站（www.creditchina.gov.cn）查询供应商的信用记录，以确定供应商是否具备协商资格,查询结果留存并归档。</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符合性审查：依据采购文件的规定，由协商小组从响应文件的有效性、完整性和对采购文件的响应程度进行审查，以确定是否对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未通过资格审查或符合性审查的供应商，协商小组将在苏采云系统中告知未通过资格审查或符合性审查的原因，评审结束后，协商小组将不再告知未通过资格审查或符合性审查的原因。</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26.2在正式进行协商之前，协商小组将首先审查每份响应文件是否实质性响应了采购文件的要求。实质性响应的响应文件应该是与采购文件要求的条款、条件和规格相符，没有重大偏离或保留。</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w:t>
      </w:r>
      <w:r>
        <w:rPr>
          <w:rFonts w:hint="eastAsia" w:ascii="宋体" w:hAnsi="宋体" w:eastAsia="宋体" w:cs="宋体"/>
          <w:color w:val="auto"/>
          <w:sz w:val="24"/>
          <w:szCs w:val="24"/>
          <w:highlight w:val="none"/>
          <w:shd w:val="clear" w:color="auto" w:fill="auto"/>
          <w:lang w:val="en-US" w:eastAsia="zh-CN"/>
        </w:rPr>
        <w:t xml:space="preserve">交易中心</w:t>
      </w:r>
      <w:r>
        <w:rPr>
          <w:rFonts w:hint="eastAsia" w:ascii="宋体" w:hAnsi="宋体" w:eastAsia="宋体" w:cs="宋体"/>
          <w:color w:val="auto"/>
          <w:sz w:val="24"/>
          <w:szCs w:val="24"/>
          <w:highlight w:val="none"/>
          <w:shd w:val="clear" w:color="auto" w:fill="auto"/>
        </w:rPr>
        <w:t xml:space="preserve">的权利或供应商的义务。重大偏离由协商小组按照少数服从多数的原则认定。协商小组决定响应文件的响应性只根据响应文件本身的内容，而不寻求外部的证据。</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rPr>
        <w:t xml:space="preserve">26.3.</w:t>
      </w:r>
      <w:r>
        <w:rPr>
          <w:rFonts w:hint="eastAsia" w:ascii="宋体" w:hAnsi="宋体" w:eastAsia="宋体" w:cs="宋体"/>
          <w:color w:val="auto"/>
          <w:sz w:val="24"/>
          <w:szCs w:val="24"/>
          <w:highlight w:val="none"/>
          <w:shd w:val="clear" w:color="auto" w:fill="auto"/>
          <w:lang w:val="en-US" w:eastAsia="zh-CN"/>
        </w:rPr>
        <w:t xml:space="preserve">9</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不能证明其报价合理性的，</w:t>
      </w:r>
      <w:r>
        <w:rPr>
          <w:rFonts w:hint="eastAsia" w:ascii="宋体" w:hAnsi="宋体" w:eastAsia="宋体" w:cs="宋体"/>
          <w:color w:val="auto"/>
          <w:sz w:val="24"/>
          <w:szCs w:val="24"/>
          <w:highlight w:val="none"/>
          <w:lang w:val="en-US" w:eastAsia="zh-CN"/>
        </w:rPr>
        <w:t xml:space="preserve">协商小组</w:t>
      </w:r>
      <w:r>
        <w:rPr>
          <w:rFonts w:hint="eastAsia" w:ascii="宋体" w:hAnsi="宋体" w:eastAsia="宋体" w:cs="宋体"/>
          <w:color w:val="auto"/>
          <w:sz w:val="24"/>
          <w:szCs w:val="24"/>
          <w:highlight w:val="none"/>
        </w:rPr>
        <w:t xml:space="preserve">应当将其作为无效</w:t>
      </w:r>
      <w:r>
        <w:rPr>
          <w:rFonts w:hint="eastAsia" w:ascii="宋体" w:hAnsi="宋体" w:eastAsia="宋体" w:cs="宋体"/>
          <w:color w:val="000000"/>
          <w:sz w:val="24"/>
          <w:szCs w:val="24"/>
          <w:highlight w:val="none"/>
          <w:lang w:val="en-US" w:eastAsia="zh-CN" w:bidi="ar-SA"/>
        </w:rPr>
        <w:t xml:space="preserve">响应</w:t>
      </w:r>
      <w:r>
        <w:rPr>
          <w:rFonts w:hint="eastAsia" w:ascii="宋体" w:hAnsi="宋体" w:eastAsia="宋体" w:cs="宋体"/>
          <w:color w:val="auto"/>
          <w:sz w:val="24"/>
          <w:szCs w:val="24"/>
          <w:highlight w:val="none"/>
        </w:rPr>
        <w:t xml:space="preserve">处理。</w:t>
      </w:r>
      <w:r/>
    </w:p>
    <w:p>
      <w:pPr>
        <w:pStyle w:val="649"/>
        <w:ind w:firstLine="480"/>
        <w:jc w:val="both"/>
        <w:pageBreakBefore w:val="0"/>
        <w:spacing w:beforeAutospacing="0" w:afterAutospacing="0" w:line="50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评审过程中出现下列情形之一的，协商小组应当启动异常低价响应审查程序：</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1.投标（响应）报价低于采购项目最高限价45%的，即投标（响应）报价&lt;采购项目最高限价×45%；</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2评审委员会基于专业判断，认为供应商报价过低，有可能影响产品质量或者不能诚信履约的其他情形。</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49"/>
        <w:ind w:left="0" w:right="0" w:firstLine="480"/>
        <w:jc w:val="both"/>
        <w:pageBreakBefore w:val="0"/>
        <w:spacing w:before="0" w:beforeAutospacing="0" w:after="0" w:afterAutospacing="0" w:line="500" w:lineRule="exact"/>
        <w:widowControl w:val="off"/>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26.5如果响应文件实质上没有响应采购文件的要求，协商小组将予以拒绝。</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31" w:name="_Toc16938550"/>
      <w:r/>
      <w:bookmarkStart w:id="132" w:name="_Toc513029234"/>
      <w:r/>
      <w:bookmarkStart w:id="133" w:name="_Toc20823306"/>
      <w:r>
        <w:rPr>
          <w:rFonts w:hint="eastAsia" w:ascii="宋体" w:hAnsi="宋体" w:eastAsia="宋体" w:cs="宋体"/>
          <w:color w:val="auto"/>
          <w:sz w:val="24"/>
          <w:szCs w:val="24"/>
          <w:highlight w:val="none"/>
          <w:shd w:val="clear" w:color="auto" w:fill="auto"/>
        </w:rPr>
        <w:t xml:space="preserve">26.6供应商在项目评审及协商全过程中应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，并安排专人与采购中心及协商小组联系。</w:t>
      </w:r>
      <w:bookmarkEnd w:id="131"/>
      <w:r/>
      <w:bookmarkEnd w:id="132"/>
      <w:r/>
      <w:bookmarkEnd w:id="133"/>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27、单一来源协商及成交原则</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27.1单一来源协商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对于通过资格审查和符合性审查的供应商，协商小组将通过苏采云系统与其就采购标的的价格、服务等内容进行单一来源协商。</w:t>
      </w:r>
      <w:r/>
    </w:p>
    <w:p>
      <w:pPr>
        <w:pStyle w:val="649"/>
        <w:ind w:left="0" w:firstLine="478"/>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27.1.2供应商应当在苏采云系统中以书面形式对协商过程中做出的承诺与澄清进行确认，并在协商小组规定的时间内完成最后报价。</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27.2成交原则</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协商小组根据政府采购相关法律、规章的规定，在供应商的响应情况能保证采购项目质量且最后报价合理的基础上确定其为成交供应商。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27.3单一来源协商终止情形处理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将终止采购活动，发布项目终止公告并说明原因，重新开展采购活动：</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27.3.1 因情况变化，不再符合规定的单一来源采购方式适用情形的；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27.3.2 出现影响采购公正的违法、违规行为的；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27.3.3供应商最后报价超过采购预算的；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27.3.4供应商的技术方案、服务承诺、商务条款等不能满足采购人或协商小组的要求；</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27.3.5 法律、法规、规章规定的其他应当终止的情形。</w:t>
      </w:r>
      <w:r/>
    </w:p>
    <w:p>
      <w:pPr>
        <w:pStyle w:val="649"/>
        <w:ind w:left="0" w:firstLine="482"/>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六、成交</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28、确定成交供应商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28.1协商小组根据协商情况编写单一来源评审报告，推荐成交候选供应商。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采购人根据协商小组推荐的成交候选供应商确定成交供应商。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28.3.1提供虚假材料谋取成交的。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w:t>
      </w:r>
      <w:r>
        <w:rPr>
          <w:rFonts w:hint="eastAsia" w:ascii="宋体" w:hAnsi="宋体" w:eastAsia="宋体" w:cs="宋体"/>
          <w:color w:val="auto"/>
          <w:sz w:val="24"/>
          <w:szCs w:val="24"/>
          <w:highlight w:val="none"/>
          <w:shd w:val="clear" w:color="auto" w:fill="auto"/>
          <w:lang w:val="en-US" w:eastAsia="zh-CN"/>
        </w:rPr>
        <w:t xml:space="preserve">代理机构</w:t>
      </w:r>
      <w:r>
        <w:rPr>
          <w:rFonts w:hint="eastAsia" w:ascii="宋体" w:hAnsi="宋体" w:eastAsia="宋体" w:cs="宋体"/>
          <w:color w:val="auto"/>
          <w:sz w:val="24"/>
          <w:szCs w:val="24"/>
          <w:highlight w:val="none"/>
          <w:shd w:val="clear" w:color="auto" w:fill="auto"/>
        </w:rPr>
        <w:t xml:space="preserve">工作人员恶意串通的。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w:t>
      </w:r>
      <w:r>
        <w:rPr>
          <w:rFonts w:hint="eastAsia" w:ascii="宋体" w:hAnsi="宋体" w:eastAsia="宋体" w:cs="宋体"/>
          <w:color w:val="auto"/>
          <w:sz w:val="24"/>
          <w:szCs w:val="24"/>
          <w:highlight w:val="none"/>
          <w:shd w:val="clear" w:color="auto" w:fill="auto"/>
          <w:lang w:val="en-US" w:eastAsia="zh-CN"/>
        </w:rPr>
        <w:t xml:space="preserve">交易中心</w:t>
      </w:r>
      <w:r>
        <w:rPr>
          <w:rFonts w:hint="eastAsia" w:ascii="宋体" w:hAnsi="宋体" w:eastAsia="宋体" w:cs="宋体"/>
          <w:color w:val="auto"/>
          <w:sz w:val="24"/>
          <w:szCs w:val="24"/>
          <w:highlight w:val="none"/>
          <w:shd w:val="clear" w:color="auto" w:fill="auto"/>
        </w:rPr>
        <w:t xml:space="preserve">工作人员行贿或者提供其他不正当利益的。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28.3.5不满足本采购文件规定的实质性要求，但在评审过程中又未被协商小组发现的。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28.3.7将政府采购合同转包的。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有权重新组织采购。</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34" w:name="_Toc200451960"/>
      <w:r>
        <w:rPr>
          <w:rFonts w:hint="eastAsia" w:ascii="宋体" w:hAnsi="宋体" w:eastAsia="宋体" w:cs="宋体"/>
          <w:color w:val="auto"/>
          <w:sz w:val="24"/>
          <w:szCs w:val="24"/>
          <w:highlight w:val="none"/>
          <w:shd w:val="clear" w:color="auto" w:fill="auto"/>
        </w:rPr>
        <w:t xml:space="preserve">29、质疑处理</w:t>
      </w:r>
      <w:bookmarkEnd w:id="134"/>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rPr>
        <w:t xml:space="preserve">提出质疑。</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 供应商应当在法定质疑期内一次性提出针对同一采购程序环节的质疑。供应商如在法定期限内对同一采购程序环节提出多次质疑的，采购人将只对供应商第一次质疑作出答复。</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协商，则《质疑函范本》中要求签字、盖章、加盖公章之处，联合体各方均须按要求签字、盖章、加盖公章。</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w:t>
      </w:r>
      <w:r>
        <w:rPr>
          <w:rFonts w:hint="eastAsia" w:ascii="宋体" w:hAnsi="宋体" w:eastAsia="宋体" w:cs="宋体"/>
          <w:color w:val="auto"/>
          <w:sz w:val="24"/>
          <w:szCs w:val="24"/>
          <w:highlight w:val="none"/>
          <w:shd w:val="clear" w:color="auto" w:fill="auto"/>
          <w:lang w:val="en-US" w:eastAsia="zh-CN"/>
        </w:rPr>
        <w:t xml:space="preserve">采购人</w:t>
      </w:r>
      <w:r>
        <w:rPr>
          <w:rFonts w:hint="eastAsia" w:ascii="宋体" w:hAnsi="宋体" w:eastAsia="宋体" w:cs="宋体"/>
          <w:color w:val="auto"/>
          <w:sz w:val="24"/>
          <w:szCs w:val="24"/>
          <w:highlight w:val="none"/>
          <w:shd w:val="clear" w:color="auto" w:fill="auto"/>
          <w:lang w:val="en-US" w:eastAsia="zh-CN" w:bidi="ar-SA"/>
        </w:rPr>
        <w:t xml:space="preserve">只接收以纸质原件形式送达的质疑,采购人不接受未填写快递运单的快件。</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 以下情形的质疑不予受理</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29.5.5供应商组成联合体参加协商，联合体中任何一方或多方未按要求签字、盖章、加盖公章的质疑。</w:t>
      </w:r>
      <w:r/>
    </w:p>
    <w:p>
      <w:pPr>
        <w:pStyle w:val="649"/>
        <w:ind w:left="0" w:firstLine="468"/>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29.6供应商提出书面质疑必须有理、有据，不得捏造事实、提供虚假材料进行恶意质疑。否则，一经查实，采购</w:t>
      </w:r>
      <w:r>
        <w:rPr>
          <w:rFonts w:hint="eastAsia" w:ascii="宋体" w:hAnsi="宋体" w:eastAsia="宋体" w:cs="宋体"/>
          <w:color w:val="auto"/>
          <w:sz w:val="24"/>
          <w:szCs w:val="24"/>
          <w:highlight w:val="none"/>
          <w:shd w:val="clear" w:color="auto" w:fill="auto"/>
          <w:lang w:val="en-US" w:eastAsia="zh-CN"/>
        </w:rPr>
        <w:t xml:space="preserve">人</w:t>
      </w:r>
      <w:r>
        <w:rPr>
          <w:rFonts w:hint="eastAsia" w:ascii="宋体" w:hAnsi="宋体" w:eastAsia="宋体" w:cs="宋体"/>
          <w:color w:val="auto"/>
          <w:sz w:val="24"/>
          <w:szCs w:val="24"/>
          <w:highlight w:val="none"/>
          <w:shd w:val="clear" w:color="auto" w:fill="auto"/>
        </w:rPr>
        <w:t xml:space="preserve">有权依据政府采购的有关规定，报请政府采购监管部门对该供应商进行相应的行政处罚和记录该供应商的失信信息。</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30、成交通知书</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w:t>
      </w:r>
      <w:r>
        <w:rPr>
          <w:rFonts w:hint="eastAsia" w:ascii="宋体" w:hAnsi="宋体" w:eastAsia="宋体" w:cs="宋体"/>
          <w:color w:val="auto"/>
          <w:sz w:val="24"/>
          <w:szCs w:val="24"/>
          <w:highlight w:val="none"/>
          <w:shd w:val="clear" w:color="auto" w:fill="auto"/>
          <w:lang w:val="en-US" w:eastAsia="zh-CN"/>
        </w:rPr>
        <w:t xml:space="preserve">交易中心</w:t>
      </w:r>
      <w:r>
        <w:rPr>
          <w:rFonts w:hint="eastAsia" w:ascii="宋体" w:hAnsi="宋体" w:eastAsia="宋体" w:cs="宋体"/>
          <w:color w:val="auto"/>
          <w:sz w:val="24"/>
          <w:szCs w:val="24"/>
          <w:highlight w:val="none"/>
          <w:shd w:val="clear" w:color="auto" w:fill="auto"/>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649"/>
        <w:ind w:left="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35" w:name="_Toc120614220"/>
      <w:r/>
      <w:bookmarkStart w:id="136" w:name="_Toc513029236"/>
      <w:r/>
      <w:bookmarkStart w:id="137" w:name="_Toc16938552"/>
      <w:r/>
      <w:bookmarkStart w:id="138" w:name="_Toc20823308"/>
      <w:r>
        <w:rPr>
          <w:rFonts w:hint="eastAsia" w:ascii="宋体" w:hAnsi="宋体" w:eastAsia="宋体" w:cs="宋体"/>
          <w:b/>
          <w:color w:val="auto"/>
          <w:sz w:val="24"/>
          <w:szCs w:val="24"/>
          <w:highlight w:val="none"/>
          <w:shd w:val="clear" w:color="auto" w:fill="auto"/>
        </w:rPr>
        <w:t xml:space="preserve">七、授予合同</w:t>
      </w:r>
      <w:bookmarkEnd w:id="135"/>
      <w:r/>
      <w:bookmarkEnd w:id="136"/>
      <w:r/>
      <w:bookmarkEnd w:id="137"/>
      <w:r/>
      <w:bookmarkEnd w:id="138"/>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39" w:name="_Toc16938553"/>
      <w:r/>
      <w:bookmarkStart w:id="140" w:name="_Toc20823309"/>
      <w:r/>
      <w:bookmarkStart w:id="141" w:name="_Toc513029237"/>
      <w:r>
        <w:rPr>
          <w:rFonts w:hint="eastAsia" w:ascii="宋体" w:hAnsi="宋体" w:eastAsia="宋体" w:cs="宋体"/>
          <w:color w:val="auto"/>
          <w:sz w:val="24"/>
          <w:szCs w:val="24"/>
          <w:highlight w:val="none"/>
          <w:shd w:val="clear" w:color="auto" w:fill="auto"/>
        </w:rPr>
        <w:t xml:space="preserve">31. 签订合同</w:t>
      </w:r>
      <w:bookmarkEnd w:id="139"/>
      <w:r/>
      <w:bookmarkEnd w:id="140"/>
      <w:r/>
      <w:bookmarkEnd w:id="141"/>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31.2采购文件、成交供应商的响应文件及协商过程中有关澄清、承诺文件均应作为合同附件。</w:t>
      </w:r>
      <w:r/>
    </w:p>
    <w:p>
      <w:pPr>
        <w:pStyle w:val="649"/>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649"/>
        <w:ind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32、标的物的追加</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49"/>
        <w:numPr>
          <w:ilvl w:val="0"/>
          <w:numId w:val="0"/>
        </w:numPr>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649"/>
        <w:ind w:left="0" w:firstLine="480"/>
        <w:jc w:val="both"/>
        <w:keepLines/>
        <w:keepNext/>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pStyle w:val="649"/>
        <w:ind w:left="0"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.3.9小微企业价格评审优惠的政策：见第五章《评标方法和评标标准》。</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line="50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line="500" w:lineRule="exact"/>
        <w:widowControl w:val="off"/>
        <w:rPr>
          <w:rFonts w:hint="eastAsia" w:ascii="宋体" w:hAnsi="宋体" w:eastAsia="宋体" w:cs="宋体"/>
          <w:color w:val="ff0000"/>
          <w:sz w:val="24"/>
          <w:szCs w:val="24"/>
          <w:highlight w:val="none"/>
          <w:shd w:val="clear" w:color="auto" w:fill="auto"/>
          <w:lang w:val="en-US" w:eastAsia="zh-CN" w:bidi="ar-SA"/>
        </w:rPr>
      </w:pPr>
      <w:r>
        <w:rPr>
          <w:rFonts w:hint="eastAsia" w:ascii="宋体" w:hAnsi="宋体" w:eastAsia="宋体" w:cs="宋体"/>
          <w:color w:val="ff0000"/>
          <w:sz w:val="24"/>
          <w:szCs w:val="24"/>
          <w:highlight w:val="none"/>
          <w:shd w:val="clear" w:color="auto" w:fill="auto"/>
          <w:lang w:val="en-US" w:eastAsia="zh-CN" w:bidi="ar-SA"/>
        </w:rPr>
        <w:t xml:space="preserve">33.8实施本国产品标准及相关政策</w:t>
      </w:r>
      <w:r/>
    </w:p>
    <w:p>
      <w:pPr>
        <w:ind w:left="0" w:firstLine="480"/>
        <w:pageBreakBefore w:val="0"/>
        <w:spacing w:line="500" w:lineRule="exact"/>
        <w:widowControl w:val="off"/>
        <w:rPr>
          <w:rFonts w:hint="eastAsia" w:ascii="宋体" w:hAnsi="宋体" w:eastAsia="宋体" w:cs="宋体"/>
          <w:color w:val="ff0000"/>
          <w:sz w:val="24"/>
          <w:szCs w:val="24"/>
          <w:highlight w:val="none"/>
          <w:shd w:val="clear" w:color="auto" w:fill="auto"/>
          <w:lang w:val="en-US" w:eastAsia="zh-CN" w:bidi="ar-SA"/>
        </w:rPr>
      </w:pPr>
      <w:r>
        <w:rPr>
          <w:rFonts w:hint="eastAsia" w:ascii="宋体" w:hAnsi="宋体" w:eastAsia="宋体" w:cs="宋体"/>
          <w:color w:val="ff0000"/>
          <w:sz w:val="24"/>
          <w:szCs w:val="24"/>
          <w:highlight w:val="none"/>
          <w:shd w:val="clear" w:color="auto" w:fill="auto"/>
          <w:lang w:val="en-US" w:eastAsia="zh-CN" w:bidi="ar-SA"/>
        </w:rPr>
        <w:t xml:space="preserve">1.本项目对采购本国产品给予政策支持</w:t>
      </w:r>
      <w:r/>
    </w:p>
    <w:p>
      <w:pPr>
        <w:ind w:left="0" w:firstLine="480"/>
        <w:pageBreakBefore w:val="0"/>
        <w:spacing w:line="500" w:lineRule="exact"/>
        <w:widowControl w:val="off"/>
        <w:rPr>
          <w:rFonts w:hint="eastAsia" w:ascii="宋体" w:hAnsi="宋体" w:eastAsia="宋体" w:cs="宋体"/>
          <w:color w:val="ff0000"/>
          <w:sz w:val="24"/>
          <w:szCs w:val="24"/>
          <w:highlight w:val="none"/>
          <w:shd w:val="clear" w:color="auto" w:fill="auto"/>
          <w:lang w:val="en-US" w:eastAsia="zh-CN" w:bidi="ar-SA"/>
        </w:rPr>
      </w:pPr>
      <w:r>
        <w:rPr>
          <w:rFonts w:hint="eastAsia" w:ascii="宋体" w:hAnsi="宋体" w:eastAsia="宋体" w:cs="宋体"/>
          <w:color w:val="ff0000"/>
          <w:sz w:val="24"/>
          <w:szCs w:val="24"/>
          <w:highlight w:val="none"/>
          <w:shd w:val="clear" w:color="auto" w:fill="auto"/>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line="500" w:lineRule="exact"/>
        <w:widowControl w:val="off"/>
        <w:rPr>
          <w:rFonts w:hint="eastAsia" w:ascii="宋体" w:hAnsi="宋体" w:eastAsia="宋体" w:cs="宋体"/>
          <w:color w:val="ff0000"/>
          <w:sz w:val="24"/>
          <w:szCs w:val="24"/>
          <w:highlight w:val="none"/>
          <w:shd w:val="clear" w:color="auto" w:fill="auto"/>
          <w:lang w:val="en-US" w:eastAsia="zh-CN" w:bidi="ar-SA"/>
        </w:rPr>
      </w:pPr>
      <w:r>
        <w:rPr>
          <w:rFonts w:hint="eastAsia" w:ascii="宋体" w:hAnsi="宋体" w:eastAsia="宋体" w:cs="宋体"/>
          <w:color w:val="ff0000"/>
          <w:sz w:val="24"/>
          <w:szCs w:val="24"/>
          <w:highlight w:val="none"/>
          <w:shd w:val="clear" w:color="auto" w:fill="auto"/>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80"/>
        <w:pageBreakBefore w:val="0"/>
        <w:spacing w:line="500" w:lineRule="exact"/>
        <w:widowControl w:val="off"/>
        <w:rPr>
          <w:rFonts w:hint="eastAsia" w:ascii="宋体" w:hAnsi="宋体" w:eastAsia="宋体" w:cs="宋体"/>
          <w:color w:val="ff0000"/>
          <w:sz w:val="24"/>
          <w:szCs w:val="24"/>
          <w:highlight w:val="none"/>
          <w:shd w:val="clear" w:color="auto" w:fill="auto"/>
          <w:lang w:val="en-US" w:eastAsia="zh-CN" w:bidi="ar-SA"/>
        </w:rPr>
      </w:pPr>
      <w:r>
        <w:rPr>
          <w:rFonts w:hint="eastAsia" w:ascii="宋体" w:hAnsi="宋体" w:eastAsia="宋体" w:cs="宋体"/>
          <w:color w:val="ff0000"/>
          <w:sz w:val="24"/>
          <w:szCs w:val="24"/>
          <w:highlight w:val="none"/>
          <w:shd w:val="clear" w:color="auto" w:fill="auto"/>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确需收取履约保证金的，履约保证金的缴纳形式：</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2"/>
        <w:pageBreakBefore w:val="0"/>
        <w:spacing w:line="50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pStyle w:val="653"/>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649"/>
        <w:ind w:firstLine="2640"/>
        <w:jc w:val="both"/>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649"/>
        <w:ind w:firstLine="480"/>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42" w:name="_Toc513029243"/>
      <w:r/>
      <w:bookmarkStart w:id="143" w:name="_Toc20823315"/>
      <w:r/>
      <w:bookmarkStart w:id="144" w:name="_Toc16938559"/>
      <w:r/>
      <w:r/>
    </w:p>
    <w:p>
      <w:pPr>
        <w:pStyle w:val="649"/>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以下为成交后签定本项目合同的通用条款，成交供应商不得提出实质性的修改。</w:t>
      </w:r>
      <w:bookmarkEnd w:id="142"/>
      <w:r/>
      <w:bookmarkEnd w:id="143"/>
      <w:r/>
      <w:bookmarkEnd w:id="144"/>
      <w:r/>
      <w:r/>
    </w:p>
    <w:p>
      <w:pPr>
        <w:pStyle w:val="649"/>
        <w:ind w:left="0" w:firstLine="64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备注：请项目经办人提醒采购人按照《政府采购需求管理办法》第二十三条的规定完善合同文本。</w:t>
      </w:r>
      <w:r/>
    </w:p>
    <w:p>
      <w:pPr>
        <w:pStyle w:val="649"/>
        <w:ind w:lef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pStyle w:val="649"/>
        <w:ind w:lef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盐城市政府采购合同（合同编号）</w:t>
      </w:r>
      <w:r/>
    </w:p>
    <w:p>
      <w:pPr>
        <w:spacing w:after="0" w:line="500" w:lineRule="exact"/>
        <w:rPr>
          <w:rFonts w:ascii="宋体" w:hAnsi="宋体" w:eastAsia="宋体" w:cs="宋体"/>
          <w:sz w:val="24"/>
        </w:rPr>
      </w:pPr>
      <w:r>
        <w:rPr>
          <w:rFonts w:hint="eastAsia" w:ascii="宋体" w:hAnsi="宋体" w:eastAsia="宋体" w:cs="宋体"/>
          <w:sz w:val="24"/>
        </w:rPr>
        <w:t xml:space="preserve">项目名称：盐城市盐都区人民法院“盐城市市域社会治理平台”升级应用功能项目</w:t>
      </w:r>
      <w:r/>
    </w:p>
    <w:p>
      <w:pPr>
        <w:spacing w:after="0" w:line="500" w:lineRule="exact"/>
        <w:rPr>
          <w:rFonts w:ascii="宋体" w:hAnsi="宋体" w:eastAsia="宋体" w:cs="宋体"/>
          <w:sz w:val="24"/>
        </w:rPr>
      </w:pPr>
      <w:r>
        <w:rPr>
          <w:rFonts w:hint="eastAsia" w:ascii="宋体" w:hAnsi="宋体" w:eastAsia="宋体" w:cs="宋体"/>
          <w:sz w:val="24"/>
        </w:rPr>
        <w:t xml:space="preserve">项目编号：JSZC-320903-JZCG-D2026-0003  </w:t>
      </w:r>
      <w:r/>
    </w:p>
    <w:p>
      <w:pPr>
        <w:pStyle w:val="646"/>
        <w:spacing w:line="500" w:lineRule="exact"/>
        <w:widowControl/>
        <w:rPr>
          <w:rFonts w:hint="default" w:hAnsi="宋体" w:cs="宋体"/>
          <w:sz w:val="24"/>
          <w:szCs w:val="24"/>
        </w:rPr>
      </w:pPr>
      <w:r>
        <w:rPr>
          <w:rFonts w:hAnsi="宋体" w:cs="宋体"/>
          <w:sz w:val="24"/>
          <w:szCs w:val="24"/>
        </w:rPr>
        <w:t xml:space="preserve">甲方：</w:t>
      </w:r>
      <w:r>
        <w:rPr>
          <w:rFonts w:hint="eastAsia" w:hAnsi="宋体" w:cs="宋体"/>
          <w:sz w:val="24"/>
          <w:szCs w:val="24"/>
          <w:u w:val="single"/>
        </w:rPr>
        <w:t xml:space="preserve">盐城市盐都区人民法院</w:t>
      </w:r>
      <w:r/>
    </w:p>
    <w:p>
      <w:pPr>
        <w:pStyle w:val="646"/>
        <w:spacing w:line="500" w:lineRule="exact"/>
        <w:widowControl/>
        <w:rPr>
          <w:rFonts w:hint="default" w:hAnsi="宋体" w:cs="宋体"/>
          <w:sz w:val="24"/>
          <w:szCs w:val="24"/>
        </w:rPr>
      </w:pPr>
      <w:r>
        <w:rPr>
          <w:rFonts w:hAnsi="宋体" w:cs="宋体"/>
          <w:sz w:val="24"/>
          <w:szCs w:val="24"/>
        </w:rPr>
        <w:t xml:space="preserve">乙方：_________</w:t>
      </w:r>
      <w:r/>
    </w:p>
    <w:p>
      <w:pPr>
        <w:ind w:firstLine="480"/>
        <w:spacing w:after="0" w:line="500" w:lineRule="exact"/>
        <w:rPr>
          <w:rFonts w:ascii="宋体" w:hAnsi="宋体" w:eastAsia="宋体" w:cs="宋体"/>
          <w:b/>
          <w:sz w:val="24"/>
        </w:rPr>
      </w:pPr>
      <w:r>
        <w:rPr>
          <w:rFonts w:hint="eastAsia" w:ascii="宋体" w:hAnsi="宋体" w:eastAsia="宋体" w:cs="宋体"/>
          <w:sz w:val="24"/>
        </w:rPr>
        <w:t xml:space="preserve">甲、乙双方根据</w:t>
      </w:r>
      <w:r>
        <w:rPr>
          <w:rFonts w:hint="eastAsia" w:ascii="宋体" w:hAnsi="宋体" w:eastAsia="宋体" w:cs="宋体"/>
          <w:sz w:val="24"/>
          <w:lang w:val="en-US" w:eastAsia="zh-CN"/>
        </w:rPr>
        <w:t xml:space="preserve">盐城市盐都区人民法院“盐城市市域社会治理平台”升级应用功能项目</w:t>
      </w:r>
      <w:r>
        <w:rPr>
          <w:rFonts w:hint="eastAsia" w:ascii="宋体" w:hAnsi="宋体" w:eastAsia="宋体" w:cs="宋体"/>
          <w:sz w:val="24"/>
        </w:rPr>
        <w:t xml:space="preserve">单一来源采购的结果，签署本合同。</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一、采购标的</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1、采购内容：盐城市盐都区人民法院“盐城市市域社会治理平台”升级应用功能。</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2、合同清单：</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sz w:val="24"/>
        </w:rPr>
        <w:t xml:space="preserve">。  </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二、合同金额</w:t>
      </w:r>
      <w:r/>
    </w:p>
    <w:p>
      <w:pPr>
        <w:ind w:firstLine="480"/>
        <w:jc w:val="left"/>
        <w:spacing w:after="0" w:line="500" w:lineRule="exact"/>
        <w:rPr>
          <w:rFonts w:ascii="宋体" w:hAnsi="宋体" w:eastAsia="宋体" w:cs="宋体"/>
          <w:sz w:val="24"/>
        </w:rPr>
      </w:pPr>
      <w:r>
        <w:rPr>
          <w:rFonts w:hint="eastAsia" w:ascii="宋体" w:hAnsi="宋体" w:eastAsia="宋体" w:cs="宋体"/>
          <w:sz w:val="24"/>
        </w:rPr>
        <w:t xml:space="preserve">1、本合同金额为人民币（大写）：</w:t>
      </w:r>
      <w:r>
        <w:rPr>
          <w:rFonts w:hint="eastAsia" w:ascii="宋体" w:hAnsi="宋体" w:eastAsia="宋体" w:cs="宋体"/>
          <w:sz w:val="24"/>
          <w:u w:val="single"/>
        </w:rPr>
        <w:t xml:space="preserve">             圆整</w:t>
      </w:r>
      <w:r>
        <w:rPr>
          <w:rFonts w:hint="eastAsia" w:ascii="宋体" w:hAnsi="宋体" w:eastAsia="宋体" w:cs="宋体"/>
          <w:sz w:val="24"/>
        </w:rPr>
        <w:t xml:space="preserve">，（</w:t>
      </w:r>
      <w:r>
        <w:rPr>
          <w:rFonts w:hint="eastAsia" w:ascii="宋体" w:hAnsi="宋体" w:eastAsia="宋体" w:cs="宋体"/>
          <w:sz w:val="24"/>
          <w:u w:val="single"/>
        </w:rPr>
        <w:t xml:space="preserve">¥          元</w:t>
      </w:r>
      <w:r>
        <w:rPr>
          <w:rFonts w:hint="eastAsia" w:ascii="宋体" w:hAnsi="宋体" w:eastAsia="宋体" w:cs="宋体"/>
          <w:sz w:val="24"/>
        </w:rPr>
        <w:t xml:space="preserve">）。</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2、本合同价款包含所有乙方提供合同约定产品和服务的报酬及乙方提供合同中产品和服务所支出的必要费用，甲方在上述合同价款之外不再向乙方支付其他任何费用。</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三、技术资料</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1、乙方应按招标文件规定的时间向甲方提供有关技术资料。</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四、知识产权、产权担保</w:t>
      </w:r>
      <w:r/>
    </w:p>
    <w:p>
      <w:pPr>
        <w:ind w:firstLine="480"/>
        <w:spacing w:after="0" w:line="500" w:lineRule="exact"/>
        <w:rPr>
          <w:rFonts w:ascii="宋体" w:hAnsi="宋体" w:eastAsia="宋体" w:cs="宋体"/>
          <w:b/>
          <w:sz w:val="24"/>
        </w:rPr>
      </w:pPr>
      <w:r>
        <w:rPr>
          <w:rFonts w:hint="eastAsia" w:ascii="宋体" w:hAnsi="宋体" w:eastAsia="宋体" w:cs="宋体"/>
          <w:sz w:val="24"/>
        </w:rPr>
        <w:t xml:space="preserve">乙方应保证甲方在使用、接受本合同货物和服务或其任何一部分时不受第三方提出侵犯其专利权、版权、商标权和工业设计权等知识产权的起诉。若出现侵权及赔偿责任等纠纷，均由乙方自行承担，与甲方无涉，由此给甲方造成损失的，甲方有权要求乙方承担包括间接损失在内的全部赔偿责任。</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五、履约保证金</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1、乙方交纳人民币_________元作为本合同的履约保证金（按合同金额的5%）。鼓励甲方对AA评级及以上政府采购供应商（需提供信用管理部门备案的第三方信用报告），免收履约保证金。</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2、确需收取履约保证金的，履约保证金的缴纳形式：</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2.2 如以履约保函（保险）形式缴纳履约保证金，供应商可通过政府采购电子履约保函（保险）平台（www.jsdzbh.com）在线申请履约保函（保险）。</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3、合同履行结束后，甲方应及时退还交纳的履约保证金。</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4、履约保证金的退还：</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4.1方式：无息退还至乙方缴纳履约保证金的账户。如为保函，在到期时自行失效。</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4.2时间：验收合格且甲方收到发票后30日内。</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4.3条件：按合同要求全部履约完成并经甲方验收合格，且甲方收到中标人出具的发票。</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4.4不予退还情形：</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除不可抗力情况外，乙方出现下列情形之一的，其履约保证金，甲方将视情节决定不予退还或部分不予退还。</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①乙方无正当理由拒绝签订合同的，或者在签订合同时向甲方提出附加条件或者更改合同实质性内容要求的；</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②乙方不履行与甲方订立的合同的；</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③乙方所供货物或服务不符合招标文件规定要求的；</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④乙方采取欺骗、弄虚作假方式投标的或与其他供应商串通投标的；</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⑤乙方将合同内容转包、违法分包的；</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⑥乙方故意捏造事实或伪造证明材料，进行虚假恶意投诉或反映的。</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4.5逾期退还的违约责任：甲方逾期无故未退还履约保证金的，按中国人民银行同期贷款基准利率上浮20%后的利率支付超期资金占用费，但因乙方自身原因导致无法及时退还的除外。</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六、转包或分包</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1、本合同范围的服务，应由乙方直接提供，不得转让他人提供；</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2、除非得到甲方的书面同意，乙方不得部分分包给他人供应。</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3、如有转让和未经甲方同意的分包行为，甲方有权给予终止合同。</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4、乙方应当按照合同规定的内容、时间及要求向甲方提供服务。</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5、乙方在服务期中出现纰漏或错误负责修改或补充，因乙方原因导致事故风险损失的，乙方除负责采取补救措施之外，并赔偿甲方的损失。</w:t>
      </w:r>
      <w:r/>
    </w:p>
    <w:p>
      <w:pPr>
        <w:ind w:firstLine="479"/>
        <w:jc w:val="left"/>
        <w:spacing w:after="0" w:line="500" w:lineRule="exact"/>
        <w:widowControl/>
        <w:rPr>
          <w:rFonts w:ascii="宋体" w:hAnsi="宋体" w:eastAsia="宋体" w:cs="宋体"/>
          <w:b/>
          <w:sz w:val="24"/>
        </w:rPr>
      </w:pPr>
      <w:r>
        <w:rPr>
          <w:rFonts w:hint="eastAsia" w:ascii="宋体" w:hAnsi="宋体" w:eastAsia="宋体" w:cs="宋体"/>
          <w:b/>
          <w:sz w:val="24"/>
        </w:rPr>
        <w:t xml:space="preserve">七、服务期限</w:t>
      </w:r>
      <w:r/>
    </w:p>
    <w:p>
      <w:pPr>
        <w:ind w:firstLine="480"/>
        <w:spacing w:after="0" w:line="500" w:lineRule="exact"/>
        <w:rPr>
          <w:rFonts w:ascii="宋体" w:hAnsi="宋体" w:eastAsia="宋体" w:cs="宋体"/>
          <w:sz w:val="24"/>
        </w:rPr>
      </w:pPr>
      <w:r>
        <w:rPr>
          <w:rFonts w:hint="eastAsia" w:ascii="宋体" w:hAnsi="宋体" w:eastAsia="宋体" w:cs="宋体"/>
          <w:bCs/>
          <w:sz w:val="24"/>
          <w:lang w:val="en-US" w:eastAsia="zh-CN"/>
        </w:rPr>
        <w:t xml:space="preserve">交付期</w:t>
      </w:r>
      <w:r>
        <w:rPr>
          <w:rFonts w:hint="eastAsia" w:ascii="宋体" w:hAnsi="宋体" w:eastAsia="宋体" w:cs="宋体"/>
          <w:bCs/>
          <w:sz w:val="24"/>
        </w:rPr>
        <w:t xml:space="preserve">：</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八、合同款支付</w:t>
      </w:r>
      <w:r/>
    </w:p>
    <w:p>
      <w:pPr>
        <w:ind w:firstLine="477"/>
        <w:spacing w:after="0" w:line="500" w:lineRule="exact"/>
        <w:rPr>
          <w:rFonts w:hint="eastAsia" w:ascii="宋体" w:hAnsi="宋体" w:eastAsia="宋体" w:cs="宋体"/>
          <w:sz w:val="24"/>
        </w:rPr>
      </w:pPr>
      <w:r>
        <w:rPr>
          <w:rFonts w:hint="eastAsia" w:ascii="宋体" w:hAnsi="宋体" w:eastAsia="宋体" w:cs="宋体"/>
          <w:sz w:val="24"/>
        </w:rPr>
        <w:t xml:space="preserve">签订合同后，收到乙方发票10个工作日内，甲方支付合同总金额的30%（在签订合同时，乙方明确书面表示无需预付款或者主动要求降低预付款比例的，甲方可就预付款比例作相应调整）；项目整体交付并经验收合格后1个月内结清。</w:t>
      </w:r>
      <w:r/>
    </w:p>
    <w:p>
      <w:pPr>
        <w:ind w:firstLine="477"/>
        <w:spacing w:after="0" w:line="500" w:lineRule="exact"/>
        <w:rPr>
          <w:rFonts w:ascii="宋体" w:hAnsi="宋体" w:eastAsia="宋体" w:cs="宋体"/>
          <w:b/>
          <w:bCs/>
          <w:sz w:val="24"/>
        </w:rPr>
      </w:pPr>
      <w:r>
        <w:rPr>
          <w:rFonts w:hint="eastAsia" w:ascii="宋体" w:hAnsi="宋体" w:eastAsia="宋体" w:cs="宋体"/>
          <w:sz w:val="24"/>
        </w:rPr>
        <w:t xml:space="preserve">注：以上付款均不计任何利息和相关费用，付款一律通过银行结转。每次付款前提是乙方已提供合法发票，收到乙方发票10个工作日内甲方完成支付。</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九、税费</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本合同执行中相关的一切税费均由乙方负担。</w:t>
      </w:r>
      <w:r/>
    </w:p>
    <w:p>
      <w:pPr>
        <w:pStyle w:val="646"/>
        <w:ind w:firstLine="482"/>
        <w:spacing w:line="500" w:lineRule="exact"/>
        <w:widowControl/>
        <w:rPr>
          <w:rFonts w:hint="default" w:hAnsi="宋体" w:cs="宋体"/>
          <w:sz w:val="24"/>
          <w:szCs w:val="24"/>
        </w:rPr>
      </w:pPr>
      <w:r>
        <w:rPr>
          <w:rFonts w:hAnsi="宋体" w:cs="宋体"/>
          <w:b/>
          <w:sz w:val="24"/>
          <w:szCs w:val="24"/>
        </w:rPr>
        <w:t xml:space="preserve">十、保密安全要求</w:t>
      </w:r>
      <w:r/>
    </w:p>
    <w:p>
      <w:pPr>
        <w:pStyle w:val="646"/>
        <w:ind w:firstLine="480"/>
        <w:spacing w:line="500" w:lineRule="exact"/>
        <w:widowControl/>
        <w:rPr>
          <w:rFonts w:hint="default" w:hAnsi="宋体" w:cs="宋体"/>
          <w:sz w:val="24"/>
          <w:szCs w:val="24"/>
        </w:rPr>
      </w:pPr>
      <w:r>
        <w:rPr>
          <w:rFonts w:hAnsi="宋体" w:cs="宋体"/>
          <w:sz w:val="24"/>
          <w:szCs w:val="24"/>
        </w:rPr>
        <w:t xml:space="preserve">1、保密安全要求</w:t>
      </w:r>
      <w:r/>
    </w:p>
    <w:p>
      <w:pPr>
        <w:pStyle w:val="646"/>
        <w:ind w:firstLine="480"/>
        <w:spacing w:line="500" w:lineRule="exact"/>
        <w:widowControl/>
        <w:rPr>
          <w:rFonts w:hint="default" w:hAnsi="宋体" w:cs="宋体"/>
          <w:sz w:val="24"/>
          <w:szCs w:val="24"/>
        </w:rPr>
      </w:pPr>
      <w:r>
        <w:rPr>
          <w:rFonts w:hAnsi="宋体" w:cs="宋体"/>
          <w:sz w:val="24"/>
          <w:szCs w:val="24"/>
        </w:rPr>
        <w:t xml:space="preserve">乙方在信息化建设过程中，应配合甲方，落实如下安全保密要求。</w:t>
      </w:r>
      <w:r/>
    </w:p>
    <w:p>
      <w:pPr>
        <w:pStyle w:val="646"/>
        <w:ind w:firstLine="480"/>
        <w:spacing w:line="500" w:lineRule="exact"/>
        <w:widowControl/>
        <w:rPr>
          <w:rFonts w:hint="default" w:hAnsi="宋体" w:cs="宋体"/>
          <w:sz w:val="24"/>
          <w:szCs w:val="24"/>
        </w:rPr>
      </w:pPr>
      <w:r>
        <w:rPr>
          <w:rFonts w:hAnsi="宋体" w:cs="宋体"/>
          <w:sz w:val="24"/>
          <w:szCs w:val="24"/>
        </w:rPr>
        <w:t xml:space="preserve">（1）明确合作事项的安全保密责任人；</w:t>
      </w:r>
      <w:r/>
    </w:p>
    <w:p>
      <w:pPr>
        <w:pStyle w:val="646"/>
        <w:ind w:firstLine="480"/>
        <w:spacing w:line="500" w:lineRule="exact"/>
        <w:widowControl/>
        <w:rPr>
          <w:rFonts w:hint="default" w:hAnsi="宋体" w:cs="宋体"/>
          <w:sz w:val="24"/>
          <w:szCs w:val="24"/>
        </w:rPr>
      </w:pPr>
      <w:r>
        <w:rPr>
          <w:rFonts w:hAnsi="宋体" w:cs="宋体"/>
          <w:sz w:val="24"/>
          <w:szCs w:val="24"/>
        </w:rPr>
        <w:t xml:space="preserve">（2）对参与人员提出与合作事项有关的安全保密要求；</w:t>
      </w:r>
      <w:r/>
    </w:p>
    <w:p>
      <w:pPr>
        <w:pStyle w:val="646"/>
        <w:ind w:firstLine="480"/>
        <w:spacing w:line="500" w:lineRule="exact"/>
        <w:widowControl/>
        <w:rPr>
          <w:rFonts w:hint="default" w:hAnsi="宋体" w:cs="宋体"/>
          <w:sz w:val="24"/>
          <w:szCs w:val="24"/>
        </w:rPr>
      </w:pPr>
      <w:r>
        <w:rPr>
          <w:rFonts w:hAnsi="宋体" w:cs="宋体"/>
          <w:sz w:val="24"/>
          <w:szCs w:val="24"/>
        </w:rPr>
        <w:t xml:space="preserve">（3）及时清除离职、离岗或者不再参与</w:t>
      </w:r>
      <w:r>
        <w:rPr>
          <w:rFonts w:hint="eastAsia" w:hAnsi="宋体" w:cs="宋体"/>
          <w:sz w:val="24"/>
          <w:szCs w:val="24"/>
          <w:lang w:val="en-US" w:eastAsia="zh-CN"/>
        </w:rPr>
        <w:t xml:space="preserve">盐都法院</w:t>
      </w:r>
      <w:r>
        <w:rPr>
          <w:rFonts w:hAnsi="宋体" w:cs="宋体"/>
          <w:sz w:val="24"/>
          <w:szCs w:val="24"/>
        </w:rPr>
        <w:t xml:space="preserve">信息化建设的员工持有的甲方文档资料、数据等内容；</w:t>
      </w:r>
      <w:r/>
    </w:p>
    <w:p>
      <w:pPr>
        <w:pStyle w:val="646"/>
        <w:ind w:firstLine="480"/>
        <w:spacing w:line="500" w:lineRule="exact"/>
        <w:widowControl/>
        <w:rPr>
          <w:rFonts w:hint="default" w:hAnsi="宋体" w:cs="宋体"/>
          <w:sz w:val="24"/>
          <w:szCs w:val="24"/>
        </w:rPr>
      </w:pPr>
      <w:r>
        <w:rPr>
          <w:rFonts w:hAnsi="宋体" w:cs="宋体"/>
          <w:sz w:val="24"/>
          <w:szCs w:val="24"/>
        </w:rPr>
        <w:t xml:space="preserve">（4）对本单位参与</w:t>
      </w:r>
      <w:r>
        <w:rPr>
          <w:rFonts w:hint="eastAsia" w:hAnsi="宋体" w:cs="宋体"/>
          <w:sz w:val="24"/>
          <w:szCs w:val="24"/>
          <w:lang w:val="en-US" w:eastAsia="zh-CN"/>
        </w:rPr>
        <w:t xml:space="preserve">盐都法院</w:t>
      </w:r>
      <w:r>
        <w:rPr>
          <w:rFonts w:hAnsi="宋体" w:cs="宋体"/>
          <w:sz w:val="24"/>
          <w:szCs w:val="24"/>
        </w:rPr>
        <w:t xml:space="preserve">信息化建设安全保密责任落实情况进行年度评估，并向甲方提交评估报告；</w:t>
      </w:r>
      <w:r/>
    </w:p>
    <w:p>
      <w:pPr>
        <w:pStyle w:val="646"/>
        <w:ind w:firstLine="480"/>
        <w:spacing w:line="500" w:lineRule="exact"/>
        <w:widowControl/>
        <w:rPr>
          <w:rFonts w:hint="default" w:hAnsi="宋体" w:cs="宋体"/>
          <w:sz w:val="24"/>
          <w:szCs w:val="24"/>
        </w:rPr>
      </w:pPr>
      <w:r>
        <w:rPr>
          <w:rFonts w:hAnsi="宋体" w:cs="宋体"/>
          <w:sz w:val="24"/>
          <w:szCs w:val="24"/>
        </w:rPr>
        <w:t xml:space="preserve">（5）在得知提供的产品、服务存在安全漏洞或者危害信息系统安全的潜在风险时，须第一时间报告甲方，并及时启动应急预案，提出解决方案；</w:t>
      </w:r>
      <w:r/>
    </w:p>
    <w:p>
      <w:pPr>
        <w:pStyle w:val="646"/>
        <w:ind w:firstLine="480"/>
        <w:spacing w:line="500" w:lineRule="exact"/>
        <w:widowControl/>
        <w:rPr>
          <w:rFonts w:hint="default" w:hAnsi="宋体" w:cs="宋体"/>
          <w:sz w:val="24"/>
          <w:szCs w:val="24"/>
        </w:rPr>
      </w:pPr>
      <w:r>
        <w:rPr>
          <w:rFonts w:hAnsi="宋体" w:cs="宋体"/>
          <w:sz w:val="24"/>
          <w:szCs w:val="24"/>
        </w:rPr>
        <w:t xml:space="preserve">（6）乙方及其工作人员严禁未经批准翻阅、复印、拍摄甲方内部文件，或者将甲方内部文件带离指定办公场所或者区域；</w:t>
      </w:r>
      <w:r/>
    </w:p>
    <w:p>
      <w:pPr>
        <w:pStyle w:val="646"/>
        <w:ind w:firstLine="480"/>
        <w:spacing w:line="500" w:lineRule="exact"/>
        <w:widowControl/>
        <w:rPr>
          <w:rFonts w:hint="default" w:hAnsi="宋体" w:cs="宋体"/>
          <w:sz w:val="24"/>
          <w:szCs w:val="24"/>
        </w:rPr>
      </w:pPr>
      <w:r>
        <w:rPr>
          <w:rFonts w:hAnsi="宋体" w:cs="宋体"/>
          <w:sz w:val="24"/>
          <w:szCs w:val="24"/>
        </w:rPr>
        <w:t xml:space="preserve">（7）其他应当遵守的安全保密要求。</w:t>
      </w:r>
      <w:r/>
    </w:p>
    <w:p>
      <w:pPr>
        <w:pStyle w:val="646"/>
        <w:ind w:firstLine="480"/>
        <w:spacing w:line="500" w:lineRule="exact"/>
        <w:widowControl/>
        <w:rPr>
          <w:rFonts w:hint="default" w:hAnsi="宋体" w:cs="宋体"/>
          <w:sz w:val="24"/>
          <w:szCs w:val="24"/>
        </w:rPr>
      </w:pPr>
      <w:r>
        <w:rPr>
          <w:rFonts w:hAnsi="宋体" w:cs="宋体"/>
          <w:sz w:val="24"/>
          <w:szCs w:val="24"/>
        </w:rPr>
        <w:t xml:space="preserve">2、数据安全要求</w:t>
      </w:r>
      <w:r/>
    </w:p>
    <w:p>
      <w:pPr>
        <w:pStyle w:val="646"/>
        <w:ind w:firstLine="480"/>
        <w:spacing w:line="500" w:lineRule="exact"/>
        <w:widowControl/>
        <w:rPr>
          <w:rFonts w:hint="default" w:hAnsi="宋体" w:cs="宋体"/>
          <w:sz w:val="24"/>
          <w:szCs w:val="24"/>
        </w:rPr>
      </w:pPr>
      <w:r>
        <w:rPr>
          <w:rFonts w:hAnsi="宋体" w:cs="宋体"/>
          <w:sz w:val="24"/>
          <w:szCs w:val="24"/>
        </w:rPr>
        <w:t xml:space="preserve">乙方及其工作人员在信息化建设过程中不得从事下列危害甲方数据安全的行为。</w:t>
      </w:r>
      <w:r/>
    </w:p>
    <w:p>
      <w:pPr>
        <w:pStyle w:val="646"/>
        <w:ind w:firstLine="480"/>
        <w:spacing w:line="500" w:lineRule="exact"/>
        <w:widowControl/>
        <w:rPr>
          <w:rFonts w:hint="default" w:hAnsi="宋体" w:cs="宋体"/>
          <w:sz w:val="24"/>
          <w:szCs w:val="24"/>
        </w:rPr>
      </w:pPr>
      <w:r>
        <w:rPr>
          <w:rFonts w:hAnsi="宋体" w:cs="宋体"/>
          <w:sz w:val="24"/>
          <w:szCs w:val="24"/>
        </w:rPr>
        <w:t xml:space="preserve">（1）违规下载、留存、使用</w:t>
      </w:r>
      <w:r>
        <w:rPr>
          <w:rFonts w:hint="eastAsia" w:hAnsi="宋体" w:cs="宋体"/>
          <w:sz w:val="24"/>
          <w:szCs w:val="24"/>
          <w:lang w:val="en-US" w:eastAsia="zh-CN"/>
        </w:rPr>
        <w:t xml:space="preserve">盐都法院</w:t>
      </w:r>
      <w:r>
        <w:rPr>
          <w:rFonts w:hAnsi="宋体" w:cs="宋体"/>
          <w:sz w:val="24"/>
          <w:szCs w:val="24"/>
        </w:rPr>
        <w:t xml:space="preserve">内部数据；</w:t>
      </w:r>
      <w:r/>
    </w:p>
    <w:p>
      <w:pPr>
        <w:pStyle w:val="646"/>
        <w:ind w:firstLine="480"/>
        <w:spacing w:line="500" w:lineRule="exact"/>
        <w:widowControl/>
        <w:rPr>
          <w:rFonts w:hint="default" w:hAnsi="宋体" w:cs="宋体"/>
          <w:sz w:val="24"/>
          <w:szCs w:val="24"/>
        </w:rPr>
      </w:pPr>
      <w:r>
        <w:rPr>
          <w:rFonts w:hAnsi="宋体" w:cs="宋体"/>
          <w:sz w:val="24"/>
          <w:szCs w:val="24"/>
        </w:rPr>
        <w:t xml:space="preserve">（2）算改、毁损、泄露、出售</w:t>
      </w:r>
      <w:r>
        <w:rPr>
          <w:rFonts w:hint="eastAsia" w:hAnsi="宋体" w:cs="宋体"/>
          <w:sz w:val="24"/>
          <w:szCs w:val="24"/>
          <w:lang w:val="en-US" w:eastAsia="zh-CN"/>
        </w:rPr>
        <w:t xml:space="preserve">盐都法院</w:t>
      </w:r>
      <w:r>
        <w:rPr>
          <w:rFonts w:hAnsi="宋体" w:cs="宋体"/>
          <w:sz w:val="24"/>
          <w:szCs w:val="24"/>
        </w:rPr>
        <w:t xml:space="preserve">内部数据；</w:t>
      </w:r>
      <w:r/>
    </w:p>
    <w:p>
      <w:pPr>
        <w:pStyle w:val="646"/>
        <w:ind w:firstLine="480"/>
        <w:spacing w:line="500" w:lineRule="exact"/>
        <w:widowControl/>
        <w:rPr>
          <w:rFonts w:hint="default" w:hAnsi="宋体" w:cs="宋体"/>
          <w:sz w:val="24"/>
          <w:szCs w:val="24"/>
        </w:rPr>
      </w:pPr>
      <w:r>
        <w:rPr>
          <w:rFonts w:hAnsi="宋体" w:cs="宋体"/>
          <w:sz w:val="24"/>
          <w:szCs w:val="24"/>
        </w:rPr>
        <w:t xml:space="preserve">（3）向境外机构和人员提供</w:t>
      </w:r>
      <w:r>
        <w:rPr>
          <w:rFonts w:hint="eastAsia" w:hAnsi="宋体" w:cs="宋体"/>
          <w:sz w:val="24"/>
          <w:szCs w:val="24"/>
          <w:lang w:val="en-US" w:eastAsia="zh-CN"/>
        </w:rPr>
        <w:t xml:space="preserve">盐都法院</w:t>
      </w:r>
      <w:r>
        <w:rPr>
          <w:rFonts w:hAnsi="宋体" w:cs="宋体"/>
          <w:sz w:val="24"/>
          <w:szCs w:val="24"/>
        </w:rPr>
        <w:t xml:space="preserve">重要数据；</w:t>
      </w:r>
      <w:r/>
    </w:p>
    <w:p>
      <w:pPr>
        <w:pStyle w:val="646"/>
        <w:ind w:firstLine="480"/>
        <w:spacing w:line="500" w:lineRule="exact"/>
        <w:widowControl/>
        <w:rPr>
          <w:rFonts w:hint="default" w:hAnsi="宋体" w:cs="宋体"/>
          <w:sz w:val="24"/>
          <w:szCs w:val="24"/>
        </w:rPr>
      </w:pPr>
      <w:r>
        <w:rPr>
          <w:rFonts w:hAnsi="宋体" w:cs="宋体"/>
          <w:sz w:val="24"/>
          <w:szCs w:val="24"/>
        </w:rPr>
        <w:t xml:space="preserve">（4）在互联网上存储、处理、传输</w:t>
      </w:r>
      <w:r>
        <w:rPr>
          <w:rFonts w:hint="eastAsia" w:hAnsi="宋体" w:cs="宋体"/>
          <w:sz w:val="24"/>
          <w:szCs w:val="24"/>
          <w:lang w:val="en-US" w:eastAsia="zh-CN"/>
        </w:rPr>
        <w:t xml:space="preserve">盐都法院</w:t>
      </w:r>
      <w:r>
        <w:rPr>
          <w:rFonts w:hAnsi="宋体" w:cs="宋体"/>
          <w:sz w:val="24"/>
          <w:szCs w:val="24"/>
        </w:rPr>
        <w:t xml:space="preserve">内部数据和应用系统源代码；</w:t>
      </w:r>
      <w:r/>
    </w:p>
    <w:p>
      <w:pPr>
        <w:pStyle w:val="646"/>
        <w:ind w:firstLine="480"/>
        <w:spacing w:line="500" w:lineRule="exact"/>
        <w:widowControl/>
        <w:rPr>
          <w:rFonts w:hint="default" w:hAnsi="宋体" w:cs="宋体"/>
          <w:sz w:val="24"/>
          <w:szCs w:val="24"/>
        </w:rPr>
      </w:pPr>
      <w:r>
        <w:rPr>
          <w:rFonts w:hAnsi="宋体" w:cs="宋体"/>
          <w:sz w:val="24"/>
          <w:szCs w:val="24"/>
        </w:rPr>
        <w:t xml:space="preserve">（5）使用未经过脱敏的</w:t>
      </w:r>
      <w:r>
        <w:rPr>
          <w:rFonts w:hint="eastAsia" w:hAnsi="宋体" w:cs="宋体"/>
          <w:sz w:val="24"/>
          <w:szCs w:val="24"/>
          <w:lang w:val="en-US" w:eastAsia="zh-CN"/>
        </w:rPr>
        <w:t xml:space="preserve">盐都法院</w:t>
      </w:r>
      <w:r>
        <w:rPr>
          <w:rFonts w:hAnsi="宋体" w:cs="宋体"/>
          <w:sz w:val="24"/>
          <w:szCs w:val="24"/>
        </w:rPr>
        <w:t xml:space="preserve">敏感数据在互联网上进行开发；</w:t>
      </w:r>
      <w:r/>
    </w:p>
    <w:p>
      <w:pPr>
        <w:pStyle w:val="646"/>
        <w:ind w:firstLine="480"/>
        <w:spacing w:line="500" w:lineRule="exact"/>
        <w:widowControl/>
        <w:rPr>
          <w:rFonts w:hint="default" w:hAnsi="宋体" w:cs="宋体"/>
          <w:sz w:val="24"/>
          <w:szCs w:val="24"/>
        </w:rPr>
      </w:pPr>
      <w:r>
        <w:rPr>
          <w:rFonts w:hAnsi="宋体" w:cs="宋体"/>
          <w:sz w:val="24"/>
          <w:szCs w:val="24"/>
        </w:rPr>
        <w:t xml:space="preserve">（6）将</w:t>
      </w:r>
      <w:r>
        <w:rPr>
          <w:rFonts w:hint="eastAsia" w:hAnsi="宋体" w:cs="宋体"/>
          <w:sz w:val="24"/>
          <w:szCs w:val="24"/>
          <w:lang w:val="en-US" w:eastAsia="zh-CN"/>
        </w:rPr>
        <w:t xml:space="preserve">盐都法院</w:t>
      </w:r>
      <w:r>
        <w:rPr>
          <w:rFonts w:hAnsi="宋体" w:cs="宋体"/>
          <w:sz w:val="24"/>
          <w:szCs w:val="24"/>
        </w:rPr>
        <w:t xml:space="preserve">数据用于商业用途；</w:t>
      </w:r>
      <w:r/>
    </w:p>
    <w:p>
      <w:pPr>
        <w:pStyle w:val="646"/>
        <w:ind w:firstLine="480"/>
        <w:spacing w:line="500" w:lineRule="exact"/>
        <w:widowControl/>
        <w:rPr>
          <w:rFonts w:hint="default" w:hAnsi="宋体" w:cs="宋体"/>
          <w:sz w:val="24"/>
          <w:szCs w:val="24"/>
        </w:rPr>
      </w:pPr>
      <w:r>
        <w:rPr>
          <w:rFonts w:hAnsi="宋体" w:cs="宋体"/>
          <w:sz w:val="24"/>
          <w:szCs w:val="24"/>
        </w:rPr>
        <w:t xml:space="preserve">（7）其他危害数据安全的行为。</w:t>
      </w:r>
      <w:r/>
    </w:p>
    <w:p>
      <w:pPr>
        <w:pStyle w:val="646"/>
        <w:ind w:firstLine="480"/>
        <w:spacing w:line="500" w:lineRule="exact"/>
        <w:widowControl/>
        <w:rPr>
          <w:rFonts w:hint="default" w:hAnsi="宋体" w:cs="宋体"/>
          <w:sz w:val="24"/>
          <w:szCs w:val="24"/>
        </w:rPr>
      </w:pPr>
      <w:r>
        <w:rPr>
          <w:rFonts w:hAnsi="宋体" w:cs="宋体"/>
          <w:sz w:val="24"/>
          <w:szCs w:val="24"/>
        </w:rPr>
        <w:t xml:space="preserve">3、网络应用安全要求</w:t>
      </w:r>
      <w:r/>
    </w:p>
    <w:p>
      <w:pPr>
        <w:pStyle w:val="646"/>
        <w:ind w:firstLine="480"/>
        <w:spacing w:line="500" w:lineRule="exact"/>
        <w:widowControl/>
        <w:rPr>
          <w:rFonts w:hint="default" w:hAnsi="宋体" w:cs="宋体"/>
          <w:sz w:val="24"/>
          <w:szCs w:val="24"/>
        </w:rPr>
      </w:pPr>
      <w:r>
        <w:rPr>
          <w:rFonts w:hAnsi="宋体" w:cs="宋体"/>
          <w:sz w:val="24"/>
          <w:szCs w:val="24"/>
        </w:rPr>
        <w:t xml:space="preserve">乙方及其工作人员不得从事下列危害甲方网络和应用安全的行为。</w:t>
      </w:r>
      <w:r/>
    </w:p>
    <w:p>
      <w:pPr>
        <w:pStyle w:val="646"/>
        <w:ind w:firstLine="480"/>
        <w:spacing w:line="500" w:lineRule="exact"/>
        <w:widowControl/>
        <w:rPr>
          <w:rFonts w:hint="default" w:hAnsi="宋体" w:cs="宋体"/>
          <w:sz w:val="24"/>
          <w:szCs w:val="24"/>
        </w:rPr>
      </w:pPr>
      <w:r>
        <w:rPr>
          <w:rFonts w:hAnsi="宋体" w:cs="宋体"/>
          <w:sz w:val="24"/>
          <w:szCs w:val="24"/>
        </w:rPr>
        <w:t xml:space="preserve">（1）违规将</w:t>
      </w:r>
      <w:r>
        <w:rPr>
          <w:rFonts w:hint="eastAsia" w:hAnsi="宋体" w:cs="宋体"/>
          <w:sz w:val="24"/>
          <w:szCs w:val="24"/>
          <w:lang w:val="en-US" w:eastAsia="zh-CN"/>
        </w:rPr>
        <w:t xml:space="preserve">盐都法院</w:t>
      </w:r>
      <w:r>
        <w:rPr>
          <w:rFonts w:hAnsi="宋体" w:cs="宋体"/>
          <w:sz w:val="24"/>
          <w:szCs w:val="24"/>
        </w:rPr>
        <w:t xml:space="preserve">网络与任何外部网络连接；</w:t>
      </w:r>
      <w:r/>
    </w:p>
    <w:p>
      <w:pPr>
        <w:pStyle w:val="646"/>
        <w:ind w:firstLine="480"/>
        <w:spacing w:line="500" w:lineRule="exact"/>
        <w:widowControl/>
        <w:rPr>
          <w:rFonts w:hint="default" w:hAnsi="宋体" w:cs="宋体"/>
          <w:sz w:val="24"/>
          <w:szCs w:val="24"/>
        </w:rPr>
      </w:pPr>
      <w:r>
        <w:rPr>
          <w:rFonts w:hAnsi="宋体" w:cs="宋体"/>
          <w:sz w:val="24"/>
          <w:szCs w:val="24"/>
        </w:rPr>
        <w:t xml:space="preserve">（2）擅自扫描、探测、入侵</w:t>
      </w:r>
      <w:r>
        <w:rPr>
          <w:rFonts w:hint="eastAsia" w:hAnsi="宋体" w:cs="宋体"/>
          <w:sz w:val="24"/>
          <w:szCs w:val="24"/>
          <w:lang w:val="en-US" w:eastAsia="zh-CN"/>
        </w:rPr>
        <w:t xml:space="preserve">盐都法院</w:t>
      </w:r>
      <w:r>
        <w:rPr>
          <w:rFonts w:hAnsi="宋体" w:cs="宋体"/>
          <w:sz w:val="24"/>
          <w:szCs w:val="24"/>
        </w:rPr>
        <w:t xml:space="preserve">网络及应用系统；</w:t>
      </w:r>
      <w:r/>
    </w:p>
    <w:p>
      <w:pPr>
        <w:pStyle w:val="646"/>
        <w:ind w:firstLine="480"/>
        <w:spacing w:line="500" w:lineRule="exact"/>
        <w:widowControl/>
        <w:rPr>
          <w:rFonts w:hint="default" w:hAnsi="宋体" w:cs="宋体"/>
          <w:sz w:val="24"/>
          <w:szCs w:val="24"/>
        </w:rPr>
      </w:pPr>
      <w:r>
        <w:rPr>
          <w:rFonts w:hAnsi="宋体" w:cs="宋体"/>
          <w:sz w:val="24"/>
          <w:szCs w:val="24"/>
        </w:rPr>
        <w:t xml:space="preserve">（3）设置应用系统后门、木马、病毒等恶意程序；</w:t>
      </w:r>
      <w:r/>
    </w:p>
    <w:p>
      <w:pPr>
        <w:pStyle w:val="646"/>
        <w:ind w:firstLine="480"/>
        <w:spacing w:line="500" w:lineRule="exact"/>
        <w:widowControl/>
        <w:rPr>
          <w:rFonts w:hint="default" w:hAnsi="宋体" w:cs="宋体"/>
          <w:sz w:val="24"/>
          <w:szCs w:val="24"/>
        </w:rPr>
      </w:pPr>
      <w:r>
        <w:rPr>
          <w:rFonts w:hAnsi="宋体" w:cs="宋体"/>
          <w:sz w:val="24"/>
          <w:szCs w:val="24"/>
        </w:rPr>
        <w:t xml:space="preserve">（4）擅自将参与单位及参与人员的终端、移动存储介质、无线设备等与</w:t>
      </w:r>
      <w:r>
        <w:rPr>
          <w:rFonts w:hint="eastAsia" w:hAnsi="宋体" w:cs="宋体"/>
          <w:sz w:val="24"/>
          <w:szCs w:val="24"/>
          <w:lang w:val="en-US" w:eastAsia="zh-CN"/>
        </w:rPr>
        <w:t xml:space="preserve">盐都法院</w:t>
      </w:r>
      <w:r>
        <w:rPr>
          <w:rFonts w:hAnsi="宋体" w:cs="宋体"/>
          <w:sz w:val="24"/>
          <w:szCs w:val="24"/>
        </w:rPr>
        <w:t xml:space="preserve">网络连接；</w:t>
      </w:r>
      <w:r/>
    </w:p>
    <w:p>
      <w:pPr>
        <w:pStyle w:val="646"/>
        <w:ind w:firstLine="480"/>
        <w:spacing w:line="500" w:lineRule="exact"/>
        <w:widowControl/>
        <w:rPr>
          <w:rFonts w:hint="default" w:hAnsi="宋体" w:cs="宋体"/>
          <w:sz w:val="24"/>
          <w:szCs w:val="24"/>
        </w:rPr>
      </w:pPr>
      <w:r>
        <w:rPr>
          <w:rFonts w:hAnsi="宋体" w:cs="宋体"/>
          <w:sz w:val="24"/>
          <w:szCs w:val="24"/>
        </w:rPr>
        <w:t xml:space="preserve">（5）擅自建立跨网、跨域数据传输或者运维通道；</w:t>
      </w:r>
      <w:r/>
    </w:p>
    <w:p>
      <w:pPr>
        <w:pStyle w:val="646"/>
        <w:ind w:firstLine="480"/>
        <w:spacing w:line="500" w:lineRule="exact"/>
        <w:widowControl/>
        <w:rPr>
          <w:rFonts w:hint="default" w:hAnsi="宋体" w:cs="宋体"/>
          <w:sz w:val="24"/>
          <w:szCs w:val="24"/>
        </w:rPr>
      </w:pPr>
      <w:r>
        <w:rPr>
          <w:rFonts w:hAnsi="宋体" w:cs="宋体"/>
          <w:sz w:val="24"/>
          <w:szCs w:val="24"/>
        </w:rPr>
        <w:t xml:space="preserve">（6）拆除、破坏</w:t>
      </w:r>
      <w:r>
        <w:rPr>
          <w:rFonts w:hint="eastAsia" w:hAnsi="宋体" w:cs="宋体"/>
          <w:sz w:val="24"/>
          <w:szCs w:val="24"/>
          <w:lang w:val="en-US" w:eastAsia="zh-CN"/>
        </w:rPr>
        <w:t xml:space="preserve">盐都法院</w:t>
      </w:r>
      <w:r>
        <w:rPr>
          <w:rFonts w:hAnsi="宋体" w:cs="宋体"/>
          <w:sz w:val="24"/>
          <w:szCs w:val="24"/>
        </w:rPr>
        <w:t xml:space="preserve">监管设施或者卸载监管程序；</w:t>
      </w:r>
      <w:r/>
    </w:p>
    <w:p>
      <w:pPr>
        <w:pStyle w:val="646"/>
        <w:ind w:firstLine="480"/>
        <w:spacing w:line="500" w:lineRule="exact"/>
        <w:widowControl/>
        <w:rPr>
          <w:rFonts w:hint="default" w:hAnsi="宋体" w:cs="宋体"/>
          <w:sz w:val="24"/>
          <w:szCs w:val="24"/>
        </w:rPr>
      </w:pPr>
      <w:r>
        <w:rPr>
          <w:rFonts w:hAnsi="宋体" w:cs="宋体"/>
          <w:sz w:val="24"/>
          <w:szCs w:val="24"/>
        </w:rPr>
        <w:t xml:space="preserve">（7）擅自对</w:t>
      </w:r>
      <w:r>
        <w:rPr>
          <w:rFonts w:hint="eastAsia" w:hAnsi="宋体" w:cs="宋体"/>
          <w:sz w:val="24"/>
          <w:szCs w:val="24"/>
          <w:lang w:val="en-US" w:eastAsia="zh-CN"/>
        </w:rPr>
        <w:t xml:space="preserve">盐都法院</w:t>
      </w:r>
      <w:r>
        <w:rPr>
          <w:rFonts w:hAnsi="宋体" w:cs="宋体"/>
          <w:sz w:val="24"/>
          <w:szCs w:val="24"/>
        </w:rPr>
        <w:t xml:space="preserve">应用源文件、应用源代码进行反编译、加密、解密；</w:t>
      </w:r>
      <w:r/>
    </w:p>
    <w:p>
      <w:pPr>
        <w:pStyle w:val="646"/>
        <w:ind w:firstLine="480"/>
        <w:spacing w:line="500" w:lineRule="exact"/>
        <w:widowControl/>
        <w:rPr>
          <w:rFonts w:hint="default" w:hAnsi="宋体" w:cs="宋体"/>
          <w:sz w:val="24"/>
          <w:szCs w:val="24"/>
        </w:rPr>
      </w:pPr>
      <w:r>
        <w:rPr>
          <w:rFonts w:hAnsi="宋体" w:cs="宋体"/>
          <w:sz w:val="24"/>
          <w:szCs w:val="24"/>
        </w:rPr>
        <w:t xml:space="preserve">（8）擅自公开与合作事项相关的技术实现方法或者业务模型等重要信息；</w:t>
      </w:r>
      <w:r/>
    </w:p>
    <w:p>
      <w:pPr>
        <w:pStyle w:val="646"/>
        <w:ind w:firstLine="480"/>
        <w:spacing w:line="500" w:lineRule="exact"/>
        <w:widowControl/>
        <w:rPr>
          <w:rFonts w:hint="default" w:hAnsi="宋体" w:cs="宋体"/>
          <w:b/>
          <w:sz w:val="24"/>
          <w:szCs w:val="24"/>
        </w:rPr>
      </w:pPr>
      <w:r>
        <w:rPr>
          <w:rFonts w:hAnsi="宋体" w:cs="宋体"/>
          <w:sz w:val="24"/>
          <w:szCs w:val="24"/>
        </w:rPr>
        <w:t xml:space="preserve">（9）其他危害</w:t>
      </w:r>
      <w:r>
        <w:rPr>
          <w:rFonts w:hint="eastAsia" w:hAnsi="宋体" w:cs="宋体"/>
          <w:sz w:val="24"/>
          <w:szCs w:val="24"/>
          <w:lang w:val="en-US" w:eastAsia="zh-CN"/>
        </w:rPr>
        <w:t xml:space="preserve">盐都法院</w:t>
      </w:r>
      <w:r>
        <w:rPr>
          <w:rFonts w:hAnsi="宋体" w:cs="宋体"/>
          <w:sz w:val="24"/>
          <w:szCs w:val="24"/>
        </w:rPr>
        <w:t xml:space="preserve">网络和应用安全的行为。</w:t>
      </w:r>
      <w:r/>
    </w:p>
    <w:p>
      <w:pPr>
        <w:ind w:firstLine="482"/>
        <w:spacing w:after="0" w:line="500" w:lineRule="exact"/>
        <w:rPr>
          <w:rFonts w:ascii="宋体" w:hAnsi="宋体" w:eastAsia="宋体" w:cs="宋体"/>
          <w:sz w:val="24"/>
        </w:rPr>
      </w:pPr>
      <w:r>
        <w:rPr>
          <w:rFonts w:hint="eastAsia" w:ascii="宋体" w:hAnsi="宋体" w:eastAsia="宋体" w:cs="宋体"/>
          <w:b/>
          <w:sz w:val="24"/>
        </w:rPr>
        <w:t xml:space="preserve">十一、质量保证及售后服务</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1、乙方应按招标文件规定和响应文件承诺的性能、技术要求、质量标准向甲方提供产品或服务。</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2、乙方提供的产品或服务在运维服务期内因其本身出现质量问题，根据实际情况，经双方协商，可按以下办法处理：</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（1）更换：由乙方承担所发生的全部费用。</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（2）合同终止处理：合同终止，并退还甲方支付的合同款，同时应承担由此产生的所有费用，甲方不承担发生任何费用。</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3、如在使用过程中发生质量问题，乙方在接到甲方通知后在12小时内排除故障。</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4、在维保期内，乙方应对产品或服务出现的质量及安全问题负责处理解决并承担一切费用。</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十二、验收</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1、甲方对乙方提交的产品或服务依据招标文件上的项目需求要求、乙方响应文件及国家有关质量标准进行验收。</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2、乙方交货前应对产品或服务作出全面检查和对验收文件进行整理，并列出清单，作为甲方验收和使用的技术条件依据，检验的结果应随服务一起提交甲方。</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3、甲方对乙方提供的产品或服务在使用前，乙方需负责培训甲方的使用操作人员，并协助甲方一起试用，直到符合技术要求，甲方才做最终验收。</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4、对技术复杂的产品或服务，甲方可请国家认可的专业检测机构参与初步验收及最终验收（验收费用由乙方承担），并由其出具质量检测报告。</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5、验收时乙方必须在现场，验收完毕后作出验收结果报告；验收费用由乙方承担。</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十三、合同内容的交付</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1、乙方应保证合同标的安全运达甲方指定地点。</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2、使用说明书、质量检验证明书一并提交甲方。</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3、乙方在合同标的交付甲方48小时前通知甲方准备接收。</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4、合同标的在交付甲方前发生的风险均由乙方负责。</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5、合同标的在规定的交付期限内由乙方送达甲方指定的地点视为交付，乙方同时需通知甲方已送达。</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十四、违约责任</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1、甲方无正当理由拒收的，甲方向乙方偿付拒收合同价总值的百分之五违约金。</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2、乙方逾期交付合同标的的，乙方应按逾期交货总额每日百分之一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3、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4、若乙方违反本合同第十项“保密安全要求”中的任一条款内容，情节轻微或者尚未造成严重后果的，由其采取补救措施或支付违约金；造成严重后果或者拒不整改、整改后仍不符合安全管理要求的，甲方有权提前解除合同；违反法律法规的，依法追究乙方法律责任，甲方可提请将乙方及工作人员列入政府采购严重违法失信行为记录名单、市场监督管理严重失信名单；构成犯罪的，依法追究乙方刑事责任。</w:t>
      </w:r>
      <w:r/>
    </w:p>
    <w:p>
      <w:pPr>
        <w:ind w:firstLine="480"/>
        <w:spacing w:after="0" w:line="500" w:lineRule="exact"/>
        <w:rPr>
          <w:rFonts w:ascii="宋体" w:hAnsi="宋体" w:eastAsia="宋体" w:cs="宋体"/>
          <w:sz w:val="24"/>
        </w:rPr>
      </w:pPr>
      <w:r>
        <w:rPr>
          <w:rFonts w:hint="eastAsia" w:ascii="宋体" w:hAnsi="宋体" w:eastAsia="宋体" w:cs="宋体"/>
          <w:sz w:val="24"/>
        </w:rPr>
        <w:t xml:space="preserve">5、 若乙方工作人员违反本合同第十一项“保密安全要求”中的任一条款内容，由甲乙双方给予批评教育、责令整改；情节较重的，由乙方更换人员，并对其作出处理；违反法律法规的，依法追究其法律责任；构成犯罪的，依法追究其刑事责任；鉴于部分违约行为造成的后果较长时间才能显现，或者损失数额难以一次性确认的，甲方可保留进一步追偿的权利。</w:t>
      </w:r>
      <w:r/>
    </w:p>
    <w:p>
      <w:pPr>
        <w:ind w:firstLine="482"/>
        <w:spacing w:after="0" w:line="500" w:lineRule="exact"/>
        <w:rPr>
          <w:rFonts w:ascii="宋体" w:hAnsi="宋体" w:eastAsia="宋体" w:cs="宋体"/>
          <w:b/>
          <w:sz w:val="24"/>
        </w:rPr>
      </w:pPr>
      <w:r>
        <w:rPr>
          <w:rFonts w:hint="eastAsia" w:ascii="宋体" w:hAnsi="宋体" w:eastAsia="宋体" w:cs="宋体"/>
          <w:b/>
          <w:sz w:val="24"/>
        </w:rPr>
        <w:t xml:space="preserve">十五、不可抗力事件处理</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1、在合同有效期内，任何一方因不可抗力事件导致不能履行合同，则合同履行期延长，其延长期与不可抗力影响期相同。</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2、不可抗力事件发生后，应立即通知对方，并寄送有关权威机构出具的证明。</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3、不可抗力事件延续120天以上，双方应通过友好协商，确定是否继续履行合同。</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十六、诉讼</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双方在执行合同中所发生的一切争议，应通过协商解决。如协商不成，可向合同签订地法院起诉，合同签订地在此约定为盐城市。</w:t>
      </w:r>
      <w:r/>
    </w:p>
    <w:p>
      <w:pPr>
        <w:ind w:firstLine="479"/>
        <w:spacing w:after="0" w:line="500" w:lineRule="exact"/>
        <w:rPr>
          <w:rFonts w:ascii="宋体" w:hAnsi="宋体" w:eastAsia="宋体" w:cs="宋体"/>
          <w:b/>
          <w:sz w:val="24"/>
        </w:rPr>
      </w:pPr>
      <w:r>
        <w:rPr>
          <w:rFonts w:hint="eastAsia" w:ascii="宋体" w:hAnsi="宋体" w:eastAsia="宋体" w:cs="宋体"/>
          <w:b/>
          <w:sz w:val="24"/>
        </w:rPr>
        <w:t xml:space="preserve">十七、合同生效及其它</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1、合同经双方法定代表人或授权委托代表人签字并加盖单位公章后生效。</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2、本合同未尽事宜，遵照《中华人民共和国民法典》、《中华人民共和国政府采购法》有关条文执行。</w:t>
      </w:r>
      <w:r/>
    </w:p>
    <w:p>
      <w:pPr>
        <w:ind w:firstLine="477"/>
        <w:spacing w:after="0" w:line="500" w:lineRule="exact"/>
        <w:rPr>
          <w:rFonts w:ascii="宋体" w:hAnsi="宋体" w:eastAsia="宋体" w:cs="宋体"/>
          <w:sz w:val="24"/>
        </w:rPr>
      </w:pPr>
      <w:r>
        <w:rPr>
          <w:rFonts w:hint="eastAsia" w:ascii="宋体" w:hAnsi="宋体" w:eastAsia="宋体" w:cs="宋体"/>
          <w:sz w:val="24"/>
        </w:rPr>
        <w:t xml:space="preserve">3、本合同一式6份，具有同等法律效力，甲乙双方各执3份。</w:t>
      </w:r>
      <w:r/>
    </w:p>
    <w:p>
      <w:pPr>
        <w:ind w:firstLine="720"/>
        <w:spacing w:after="0" w:line="500" w:lineRule="exact"/>
        <w:rPr>
          <w:rFonts w:ascii="宋体" w:hAnsi="宋体" w:eastAsia="宋体" w:cs="宋体"/>
          <w:sz w:val="24"/>
        </w:rPr>
      </w:pPr>
      <w:r>
        <w:rPr>
          <w:rFonts w:hint="eastAsia" w:ascii="宋体" w:hAnsi="宋体" w:eastAsia="宋体" w:cs="宋体"/>
          <w:sz w:val="24"/>
        </w:rPr>
        <w:t xml:space="preserve">甲方：                                  乙方： </w:t>
      </w:r>
      <w:r/>
    </w:p>
    <w:p>
      <w:pPr>
        <w:ind w:firstLine="240"/>
        <w:spacing w:after="0" w:line="500" w:lineRule="exact"/>
        <w:rPr>
          <w:rFonts w:ascii="宋体" w:hAnsi="宋体" w:eastAsia="宋体" w:cs="宋体"/>
          <w:sz w:val="24"/>
        </w:rPr>
      </w:pPr>
      <w:r>
        <w:rPr>
          <w:rFonts w:hint="eastAsia" w:ascii="宋体" w:hAnsi="宋体" w:eastAsia="宋体" w:cs="宋体"/>
          <w:sz w:val="24"/>
        </w:rPr>
        <w:t xml:space="preserve">    地址：                                  地址： </w:t>
      </w:r>
      <w:r/>
    </w:p>
    <w:p>
      <w:pPr>
        <w:spacing w:after="0" w:line="500" w:lineRule="exact"/>
        <w:rPr>
          <w:rFonts w:ascii="宋体" w:hAnsi="宋体" w:eastAsia="宋体" w:cs="宋体"/>
          <w:sz w:val="24"/>
        </w:rPr>
      </w:pPr>
      <w:r>
        <w:rPr>
          <w:rFonts w:hint="eastAsia" w:ascii="宋体" w:hAnsi="宋体" w:eastAsia="宋体" w:cs="宋体"/>
          <w:sz w:val="24"/>
        </w:rPr>
        <w:t xml:space="preserve">      法定代表人或授权代表：                  法定代表人或授权代表：</w:t>
      </w:r>
      <w:r/>
    </w:p>
    <w:p>
      <w:pPr>
        <w:ind w:firstLine="480"/>
        <w:spacing w:after="0" w:line="500" w:lineRule="exact"/>
        <w:rPr>
          <w:rFonts w:hint="eastAsia" w:ascii="宋体" w:hAnsi="宋体" w:eastAsia="宋体" w:cs="宋体"/>
          <w:sz w:val="24"/>
        </w:rPr>
      </w:pPr>
      <w:r>
        <w:rPr>
          <w:rFonts w:hint="eastAsia" w:ascii="宋体" w:hAnsi="宋体" w:eastAsia="宋体" w:cs="宋体"/>
          <w:sz w:val="24"/>
        </w:rPr>
        <w:t xml:space="preserve">  联系电话：                            </w:t>
      </w:r>
      <w:r>
        <w:rPr>
          <w:rFonts w:hint="eastAsia" w:ascii="宋体" w:hAnsi="宋体" w:eastAsia="宋体" w:cs="宋体"/>
          <w:sz w:val="24"/>
          <w:lang w:val="en-US" w:eastAsia="zh-CN"/>
        </w:rPr>
        <w:t xml:space="preserve">  </w:t>
      </w:r>
      <w:r>
        <w:rPr>
          <w:rFonts w:hint="eastAsia" w:ascii="宋体" w:hAnsi="宋体" w:eastAsia="宋体" w:cs="宋体"/>
          <w:sz w:val="24"/>
        </w:rPr>
        <w:t xml:space="preserve">联系电话：</w:t>
      </w:r>
      <w:r/>
    </w:p>
    <w:p>
      <w:pPr>
        <w:ind w:firstLine="720"/>
        <w:spacing w:after="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rPr>
        <w:t xml:space="preserve">签订日期：      年  月  日</w:t>
      </w:r>
      <w:r>
        <w:rPr>
          <w:rFonts w:hint="eastAsia" w:ascii="宋体" w:hAnsi="宋体" w:eastAsia="宋体" w:cs="宋体"/>
          <w:sz w:val="24"/>
          <w:lang w:val="en-US" w:eastAsia="zh-CN"/>
        </w:rPr>
        <w:t xml:space="preserve">             </w:t>
      </w:r>
      <w:r>
        <w:rPr>
          <w:rFonts w:hint="eastAsia" w:ascii="宋体" w:hAnsi="宋体" w:eastAsia="宋体" w:cs="宋体"/>
          <w:sz w:val="24"/>
        </w:rPr>
        <w:t xml:space="preserve">签订日期：      年  月  日</w:t>
      </w:r>
      <w:r/>
    </w:p>
    <w:p>
      <w:pPr>
        <w:ind w:firstLine="720"/>
        <w:spacing w:after="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49"/>
        <w:jc w:val="center"/>
        <w:spacing w:before="120" w:beforeAutospacing="0" w:after="120" w:afterAutospacing="0" w:line="0" w:lineRule="atLeast"/>
        <w:rPr>
          <w:color w:val="auto"/>
          <w:highlight w:val="none"/>
          <w:shd w:val="clear" w:color="auto" w:fill="auto"/>
        </w:rPr>
      </w:pPr>
      <w:r/>
      <w:bookmarkStart w:id="145" w:name="_Toc479757211"/>
      <w:r/>
      <w:bookmarkStart w:id="146" w:name="_Toc16938590"/>
      <w:r/>
      <w:bookmarkStart w:id="147" w:name="_Toc20823346"/>
      <w:r/>
      <w:bookmarkStart w:id="148" w:name="_Toc462564139"/>
      <w:r/>
      <w:bookmarkStart w:id="149" w:name="_Toc120614244"/>
      <w:r/>
      <w:bookmarkStart w:id="150" w:name="_Hlt16619350"/>
      <w:r/>
      <w:bookmarkStart w:id="151" w:name="_Hlt16619369"/>
      <w:r>
        <w:rPr>
          <w:rFonts w:hint="eastAsia" w:ascii="宋体" w:hAnsi="宋体" w:eastAsia="宋体" w:cs="宋体"/>
          <w:color w:val="auto"/>
          <w:sz w:val="24"/>
          <w:szCs w:val="24"/>
          <w:highlight w:val="none"/>
          <w:shd w:val="clear" w:color="auto" w:fill="auto"/>
        </w:rPr>
        <w:br w:type="page" w:clear="all"/>
      </w:r>
      <w:r>
        <w:rPr>
          <w:rFonts w:hint="eastAsia" w:ascii="黑体" w:hAnsi="宋体" w:eastAsia="黑体" w:cs="黑体"/>
          <w:color w:val="auto"/>
          <w:sz w:val="44"/>
          <w:szCs w:val="44"/>
          <w:highlight w:val="none"/>
          <w:shd w:val="clear" w:color="auto" w:fill="auto"/>
        </w:rPr>
        <w:t xml:space="preserve"> 第</w:t>
      </w:r>
      <w:bookmarkEnd w:id="145"/>
      <w:r>
        <w:rPr>
          <w:rFonts w:hint="eastAsia" w:ascii="黑体" w:hAnsi="宋体" w:eastAsia="黑体" w:cs="黑体"/>
          <w:color w:val="auto"/>
          <w:sz w:val="44"/>
          <w:szCs w:val="44"/>
          <w:highlight w:val="none"/>
          <w:shd w:val="clear" w:color="auto" w:fill="auto"/>
        </w:rPr>
        <w:t xml:space="preserve">四章 采购需求</w:t>
      </w:r>
      <w:bookmarkEnd w:id="146"/>
      <w:r/>
      <w:bookmarkEnd w:id="147"/>
      <w:r/>
      <w:bookmarkEnd w:id="148"/>
      <w:r/>
      <w:bookmarkEnd w:id="149"/>
      <w:r/>
      <w:bookmarkStart w:id="152" w:name="_Toc26554093"/>
      <w:r/>
      <w:bookmarkEnd w:id="152"/>
      <w:r/>
      <w:bookmarkStart w:id="153" w:name="_Toc49090575"/>
      <w:r/>
      <w:bookmarkEnd w:id="153"/>
      <w:r/>
      <w:r/>
    </w:p>
    <w:p>
      <w:pPr>
        <w:pStyle w:val="649"/>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line="0" w:lineRule="atLeast"/>
        <w:rPr>
          <w:rFonts w:hint="eastAsia" w:ascii="宋体" w:hAnsi="宋体" w:eastAsia="宋体" w:cs="宋体"/>
          <w:b/>
          <w:bCs/>
          <w:color w:val="auto"/>
          <w:sz w:val="24"/>
          <w:szCs w:val="21"/>
          <w:lang w:val="zh-CN"/>
        </w:rPr>
      </w:pPr>
      <w:r>
        <w:rPr>
          <w:rFonts w:hint="eastAsia" w:ascii="宋体" w:hAnsi="宋体" w:eastAsia="宋体" w:cs="宋体"/>
          <w:b/>
          <w:bCs/>
          <w:color w:val="auto"/>
          <w:sz w:val="24"/>
          <w:szCs w:val="21"/>
          <w:lang w:val="zh-CN"/>
        </w:rPr>
        <w:t xml:space="preserve">项目属性:服务类项目。</w:t>
      </w:r>
      <w:r/>
    </w:p>
    <w:p>
      <w:pPr>
        <w:keepLines w:val="0"/>
        <w:keepNext w:val="0"/>
        <w:pageBreakBefore w:val="0"/>
        <w:spacing w:line="500" w:lineRule="exact"/>
        <w:rPr>
          <w:rFonts w:ascii="宋体" w:hAnsi="宋体" w:eastAsia="宋体" w:cs="Calibri"/>
          <w:b/>
          <w:color w:val="auto"/>
          <w:sz w:val="24"/>
          <w:highlight w:val="none"/>
        </w:rPr>
      </w:pPr>
      <w:r>
        <w:rPr>
          <w:rFonts w:hint="eastAsia" w:ascii="宋体" w:hAnsi="宋体" w:eastAsia="宋体" w:cs="Calibri"/>
          <w:b/>
          <w:color w:val="auto"/>
          <w:sz w:val="24"/>
          <w:highlight w:val="none"/>
        </w:rPr>
        <w:t xml:space="preserve">采购标的对应的中小企业划分标准所属行业一览表</w:t>
      </w:r>
      <w:r/>
    </w:p>
    <w:tbl>
      <w:tblPr>
        <w:tblStyle w:val="640"/>
        <w:tblW w:w="937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4511"/>
        <w:gridCol w:w="3889"/>
      </w:tblGrid>
      <w:tr>
        <w:trPr>
          <w:jc w:val="center"/>
          <w:tblCellSpacing w:w="0" w:type="dxa"/>
        </w:trPr>
        <w:tc>
          <w:tcPr>
            <w:tcW w:w="971" w:type="dxa"/>
            <w:vAlign w:val="center"/>
            <w:textDirection w:val="lrTb"/>
            <w:noWrap/>
          </w:tcPr>
          <w:p>
            <w:pPr>
              <w:pStyle w:val="655"/>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序号</w:t>
            </w:r>
            <w:r/>
          </w:p>
        </w:tc>
        <w:tc>
          <w:tcPr>
            <w:tcW w:w="4511" w:type="dxa"/>
            <w:vAlign w:val="center"/>
            <w:textDirection w:val="lrTb"/>
            <w:noWrap/>
          </w:tcPr>
          <w:p>
            <w:pPr>
              <w:pStyle w:val="655"/>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采购标的</w:t>
            </w:r>
            <w:r/>
          </w:p>
        </w:tc>
        <w:tc>
          <w:tcPr>
            <w:tcW w:w="3889" w:type="dxa"/>
            <w:vAlign w:val="center"/>
            <w:textDirection w:val="lrTb"/>
            <w:noWrap/>
          </w:tcPr>
          <w:p>
            <w:pPr>
              <w:pStyle w:val="655"/>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对应中小企业划分标准所属行业</w:t>
            </w:r>
            <w:r/>
          </w:p>
        </w:tc>
      </w:tr>
      <w:tr>
        <w:trPr>
          <w:jc w:val="center"/>
          <w:tblCellSpacing w:w="0" w:type="dxa"/>
          <w:trHeight w:val="291"/>
        </w:trPr>
        <w:tc>
          <w:tcPr>
            <w:tcW w:w="971" w:type="dxa"/>
            <w:vAlign w:val="center"/>
            <w:textDirection w:val="lrTb"/>
            <w:noWrap/>
          </w:tcPr>
          <w:p>
            <w:pPr>
              <w:pStyle w:val="655"/>
              <w:jc w:val="center"/>
              <w:keepLines w:val="0"/>
              <w:keepNext w:val="0"/>
              <w:pageBreakBefore w:val="0"/>
              <w:spacing w:beforeAutospacing="0" w:afterAutospacing="0" w:line="500" w:lineRule="exact"/>
              <w:rPr>
                <w:color w:val="auto"/>
                <w:highlight w:val="none"/>
              </w:rPr>
            </w:pPr>
            <w:r>
              <w:rPr>
                <w:rFonts w:hint="eastAsia" w:eastAsia="宋体"/>
                <w:color w:val="auto"/>
                <w:highlight w:val="none"/>
              </w:rPr>
              <w:t xml:space="preserve">1</w:t>
            </w:r>
            <w:r/>
          </w:p>
        </w:tc>
        <w:tc>
          <w:tcPr>
            <w:tcW w:w="4511" w:type="dxa"/>
            <w:vAlign w:val="center"/>
            <w:textDirection w:val="lrTb"/>
            <w:noWrap/>
          </w:tcPr>
          <w:p>
            <w:pPr>
              <w:pStyle w:val="655"/>
              <w:jc w:val="center"/>
              <w:keepLines w:val="0"/>
              <w:keepNext w:val="0"/>
              <w:pageBreakBefore w:val="0"/>
              <w:spacing w:beforeAutospacing="0" w:afterAutospacing="0" w:line="500" w:lineRule="exact"/>
              <w:rPr>
                <w:rFonts w:eastAsia="宋体"/>
                <w:color w:val="auto"/>
                <w:highlight w:val="none"/>
              </w:rPr>
            </w:pPr>
            <w:r>
              <w:rPr>
                <w:color w:val="auto"/>
                <w:highlight w:val="none"/>
              </w:rPr>
              <w:t xml:space="preserve"> </w:t>
            </w:r>
            <w:r>
              <w:rPr>
                <w:rFonts w:hint="eastAsia" w:eastAsia="宋体" w:cs="宋体"/>
                <w:color w:val="auto"/>
                <w:highlight w:val="none"/>
                <w:shd w:val="clear" w:color="auto" w:fill="auto"/>
                <w:lang w:eastAsia="zh-CN"/>
              </w:rPr>
              <w:t xml:space="preserve">盐城市盐都区人民法院“盐城市市域社会治理平台”升级应用功能项目</w:t>
            </w:r>
            <w:r/>
          </w:p>
        </w:tc>
        <w:tc>
          <w:tcPr>
            <w:tcW w:w="3889" w:type="dxa"/>
            <w:vAlign w:val="center"/>
            <w:textDirection w:val="lrTb"/>
            <w:noWrap/>
          </w:tcPr>
          <w:p>
            <w:pPr>
              <w:pStyle w:val="655"/>
              <w:jc w:val="center"/>
              <w:keepLines w:val="0"/>
              <w:keepNext w:val="0"/>
              <w:pageBreakBefore w:val="0"/>
              <w:spacing w:beforeAutospacing="0" w:afterAutospacing="0" w:line="500" w:lineRule="exact"/>
              <w:rPr>
                <w:rFonts w:hint="eastAsia" w:eastAsiaTheme="minorEastAsia"/>
                <w:color w:val="auto"/>
                <w:highlight w:val="none"/>
                <w:lang w:eastAsia="zh-CN"/>
              </w:rPr>
            </w:pPr>
            <w:r>
              <w:rPr>
                <w:rFonts w:hint="eastAsia" w:eastAsia="宋体" w:cs="宋体"/>
                <w:color w:val="auto"/>
                <w:sz w:val="24"/>
                <w:szCs w:val="24"/>
                <w:highlight w:val="none"/>
                <w:shd w:val="clear" w:color="auto" w:fill="auto"/>
                <w:lang w:eastAsia="zh-CN"/>
              </w:rPr>
              <w:t xml:space="preserve">软件和信息技术服务业</w:t>
            </w:r>
            <w:r/>
          </w:p>
        </w:tc>
      </w:tr>
    </w:tbl>
    <w:p>
      <w:pPr>
        <w:pStyle w:val="649"/>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val="en-US" w:eastAsia="zh-CN"/>
        </w:rPr>
      </w:pPr>
      <w:r/>
      <w:bookmarkStart w:id="154" w:name="_Toc618"/>
      <w:r/>
      <w:r/>
    </w:p>
    <w:p>
      <w:pPr>
        <w:pStyle w:val="649"/>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rPr>
      </w:pPr>
      <w:r>
        <w:rPr>
          <w:rFonts w:hint="default" w:ascii="宋体" w:hAnsi="宋体" w:eastAsia="宋体" w:cs="宋体"/>
          <w:b/>
          <w:bCs/>
          <w:color w:val="auto"/>
          <w:highlight w:val="none"/>
          <w:shd w:val="clear" w:color="auto" w:fill="auto"/>
          <w:lang w:val="en-US" w:eastAsia="zh-CN"/>
        </w:rPr>
        <w:t xml:space="preserve">一、</w:t>
      </w:r>
      <w:r>
        <w:rPr>
          <w:rFonts w:hint="default" w:ascii="宋体" w:hAnsi="宋体" w:eastAsia="宋体" w:cs="宋体"/>
          <w:b/>
          <w:bCs/>
          <w:color w:val="auto"/>
          <w:highlight w:val="none"/>
          <w:shd w:val="clear" w:color="auto" w:fill="auto"/>
        </w:rPr>
        <w:t xml:space="preserve">项目概况</w:t>
      </w:r>
      <w:bookmarkEnd w:id="154"/>
      <w:r/>
      <w:r/>
    </w:p>
    <w:p>
      <w:pPr>
        <w:pStyle w:val="649"/>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eastAsia="zh-CN"/>
        </w:rPr>
      </w:pPr>
      <w:r/>
      <w:bookmarkStart w:id="155" w:name="_Toc517777390"/>
      <w:r/>
      <w:bookmarkStart w:id="156" w:name="_Toc1166"/>
      <w:r>
        <w:rPr>
          <w:rFonts w:hint="default" w:ascii="宋体" w:hAnsi="宋体" w:eastAsia="宋体" w:cs="宋体"/>
          <w:color w:val="auto"/>
          <w:highlight w:val="none"/>
          <w:shd w:val="clear" w:color="auto" w:fill="auto"/>
        </w:rPr>
        <w:t xml:space="preserve">1</w:t>
      </w:r>
      <w:r>
        <w:rPr>
          <w:rFonts w:hint="default"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rPr>
        <w:t xml:space="preserve">项目名称：</w:t>
      </w:r>
      <w:bookmarkEnd w:id="155"/>
      <w:r>
        <w:rPr>
          <w:rFonts w:hint="eastAsia" w:ascii="宋体" w:hAnsi="宋体" w:eastAsia="宋体" w:cs="宋体"/>
          <w:color w:val="auto"/>
          <w:highlight w:val="none"/>
          <w:shd w:val="clear" w:color="auto" w:fill="auto"/>
          <w:lang w:eastAsia="zh-CN"/>
        </w:rPr>
        <w:t xml:space="preserve">盐城市盐都区人民法院“盐城市市域社会治理平台”升级应用功能项目</w:t>
      </w:r>
      <w:r/>
    </w:p>
    <w:p>
      <w:pPr>
        <w:pStyle w:val="649"/>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2.</w:t>
      </w:r>
      <w:r>
        <w:rPr>
          <w:rFonts w:hint="default" w:ascii="宋体" w:hAnsi="宋体" w:eastAsia="宋体" w:cs="宋体"/>
          <w:color w:val="auto"/>
          <w:highlight w:val="none"/>
          <w:shd w:val="clear" w:color="auto" w:fill="auto"/>
        </w:rPr>
        <w:t xml:space="preserve">采购内容：</w:t>
      </w:r>
      <w:r>
        <w:rPr>
          <w:rFonts w:hint="eastAsia" w:ascii="宋体" w:hAnsi="宋体" w:eastAsia="宋体" w:cs="宋体"/>
          <w:color w:val="auto"/>
          <w:sz w:val="24"/>
          <w:szCs w:val="24"/>
          <w:highlight w:val="none"/>
          <w:shd w:val="clear" w:color="auto" w:fill="auto"/>
        </w:rPr>
        <w:t xml:space="preserve">盐城市盐都区人民法院“盐城市市域社会治理平台”升级应用功能</w:t>
      </w:r>
      <w:r>
        <w:rPr>
          <w:rFonts w:hint="default" w:ascii="宋体" w:hAnsi="宋体" w:eastAsia="宋体" w:cs="宋体"/>
          <w:color w:val="auto"/>
          <w:highlight w:val="none"/>
          <w:shd w:val="clear" w:color="auto" w:fill="auto"/>
          <w:lang w:eastAsia="zh-CN"/>
        </w:rPr>
        <w:t xml:space="preserve">。</w:t>
      </w:r>
      <w:r/>
    </w:p>
    <w:p>
      <w:pPr>
        <w:pStyle w:val="649"/>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3.</w:t>
      </w:r>
      <w:r>
        <w:rPr>
          <w:rFonts w:hint="default" w:ascii="宋体" w:hAnsi="宋体" w:eastAsia="宋体" w:cs="宋体"/>
          <w:color w:val="auto"/>
          <w:highlight w:val="none"/>
          <w:shd w:val="clear" w:color="auto" w:fill="auto"/>
        </w:rPr>
        <w:t xml:space="preserve">合同履行期限（交付期）：60天</w:t>
      </w:r>
      <w:r/>
    </w:p>
    <w:p>
      <w:pPr>
        <w:pStyle w:val="649"/>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4.预算金额：14万元</w:t>
      </w:r>
      <w:r/>
    </w:p>
    <w:p>
      <w:pPr>
        <w:pStyle w:val="649"/>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5.最高限价：14万元</w:t>
      </w:r>
      <w:bookmarkEnd w:id="156"/>
      <w:r/>
    </w:p>
    <w:p>
      <w:pPr>
        <w:pStyle w:val="649"/>
        <w:jc w:val="both"/>
        <w:keepLines w:val="0"/>
        <w:keepNext w:val="0"/>
        <w:pageBreakBefore w:val="0"/>
        <w:spacing w:beforeAutospacing="0" w:afterAutospacing="0" w:line="500" w:lineRule="exact"/>
        <w:widowControl w:val="off"/>
        <w:rPr>
          <w:rFonts w:hint="default" w:ascii="宋体" w:hAnsi="宋体" w:eastAsia="宋体" w:cs="宋体"/>
          <w:b/>
          <w:bCs/>
          <w:color w:val="auto"/>
          <w:highlight w:val="none"/>
          <w:shd w:val="clear" w:color="auto" w:fill="auto"/>
          <w:lang w:val="en-US" w:eastAsia="zh-CN"/>
        </w:rPr>
      </w:pPr>
      <w:r/>
      <w:bookmarkStart w:id="157" w:name="_Toc9565"/>
      <w:r>
        <w:rPr>
          <w:rFonts w:hint="default" w:ascii="宋体" w:hAnsi="宋体" w:eastAsia="宋体" w:cs="宋体"/>
          <w:b/>
          <w:bCs/>
          <w:color w:val="auto"/>
          <w:highlight w:val="none"/>
          <w:shd w:val="clear" w:color="auto" w:fill="auto"/>
          <w:lang w:val="en-US" w:eastAsia="zh-CN"/>
        </w:rPr>
        <w:t xml:space="preserve">二、</w:t>
      </w:r>
      <w:bookmarkEnd w:id="157"/>
      <w:r>
        <w:rPr>
          <w:rFonts w:hint="eastAsia" w:ascii="宋体" w:hAnsi="宋体" w:eastAsia="宋体" w:cs="宋体"/>
          <w:b/>
          <w:bCs/>
          <w:color w:val="auto"/>
          <w:highlight w:val="none"/>
          <w:shd w:val="clear" w:color="auto" w:fill="auto"/>
          <w:lang w:val="en-US" w:eastAsia="zh-CN"/>
        </w:rPr>
        <w:t xml:space="preserve">项目背景</w:t>
      </w:r>
      <w:r/>
    </w:p>
    <w:p>
      <w:pPr>
        <w:pStyle w:val="649"/>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为进一步提升盐城市盐都区人民法院社会治理现代化、法治化、智能化、专业化水平，2021年盐都法院在盐城市市域社会治理平台(以下简称“市域平台”)开展集约送达和查人找物工作。现结合我院工作实际，拟对“市域平台”中涉及法院相关业务功能进行升级</w:t>
      </w:r>
      <w:r>
        <w:rPr>
          <w:rFonts w:hint="eastAsia" w:ascii="宋体" w:hAnsi="宋体" w:eastAsia="宋体" w:cs="宋体"/>
          <w:color w:val="auto"/>
          <w:highlight w:val="none"/>
          <w:shd w:val="clear" w:color="auto" w:fill="auto"/>
          <w:lang w:val="en-US" w:eastAsia="zh-CN"/>
        </w:rPr>
        <w:t xml:space="preserve">。</w:t>
      </w:r>
      <w:r/>
    </w:p>
    <w:p>
      <w:pPr>
        <w:pStyle w:val="649"/>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eastAsia" w:ascii="宋体" w:hAnsi="宋体" w:eastAsia="宋体" w:cs="宋体"/>
          <w:b/>
          <w:bCs/>
          <w:color w:val="auto"/>
          <w:highlight w:val="none"/>
          <w:shd w:val="clear" w:color="auto" w:fill="auto"/>
          <w:lang w:val="en-US" w:eastAsia="zh-CN"/>
        </w:rPr>
        <w:t xml:space="preserve">三、项目要求</w:t>
      </w:r>
      <w:r/>
    </w:p>
    <w:p>
      <w:pPr>
        <w:pStyle w:val="649"/>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本次“市域平台”功能升级，是在原有集约送达和查人找物功能基础上进行升级。升级基于“市域平台”和规范化试点建设成果，涉及到以下三大技术和规 范要求。</w:t>
      </w:r>
      <w:r/>
    </w:p>
    <w:p>
      <w:pPr>
        <w:pStyle w:val="649"/>
        <w:numPr>
          <w:ilvl w:val="0"/>
          <w:numId w:val="0"/>
        </w:numPr>
        <w:ind w:firstLine="480"/>
        <w:jc w:val="both"/>
        <w:keepLines w:val="0"/>
        <w:keepNext w:val="0"/>
        <w:pageBreakBefore w:val="0"/>
        <w:spacing w:beforeAutospacing="0" w:afterAutospacing="0" w:line="500" w:lineRule="exact"/>
        <w:widowControl w:val="off"/>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rPr>
          <w:rFonts w:hint="default" w:ascii="宋体" w:hAnsi="宋体" w:eastAsia="宋体" w:cs="宋体"/>
          <w:color w:val="auto"/>
          <w:highlight w:val="none"/>
          <w:shd w:val="clear" w:color="auto" w:fill="auto"/>
          <w:lang w:val="en-US" w:eastAsia="zh-CN"/>
        </w:rPr>
        <w:t xml:space="preserve">利用“市域平台”的组织通道能力</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本次升级功能包含的业务场景中，需要对盐都下辖街道、社区和网格员进行任务下派工作，同时接受街道、社区和网格员发起的任务请求。目前盐城市委政法委在用的“盐城市市域治理平台”为全市统建的市、县、镇、村、网格五级架构体系，因此需要利用现有政法委的技术通道进行项目建设</w:t>
      </w:r>
      <w:r>
        <w:rPr>
          <w:rFonts w:hint="eastAsia" w:ascii="宋体" w:hAnsi="宋体" w:eastAsia="宋体" w:cs="宋体"/>
          <w:color w:val="auto"/>
          <w:highlight w:val="none"/>
          <w:shd w:val="clear" w:color="auto" w:fill="auto"/>
          <w:lang w:val="en-US" w:eastAsia="zh-CN"/>
        </w:rPr>
        <w:t xml:space="preserve">。</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利用现有的技术底座能力</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本次升级功能包含的业务场景中，包含区域视频通话、地图服务等功能，可以充分利用当前盐城市委政法委在用的“盐城市市域治理平台”的基础能力进行改造升级，无需重新建设，最大化利用技术成果</w:t>
      </w:r>
      <w:r>
        <w:rPr>
          <w:rFonts w:hint="eastAsia" w:ascii="宋体" w:hAnsi="宋体" w:eastAsia="宋体" w:cs="宋体"/>
          <w:color w:val="auto"/>
          <w:highlight w:val="none"/>
          <w:shd w:val="clear" w:color="auto" w:fill="auto"/>
          <w:lang w:eastAsia="zh-CN"/>
        </w:rPr>
        <w:t xml:space="preserve">。</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lang w:eastAsia="zh-CN"/>
        </w:rPr>
        <w:t xml:space="preserve">数据标准的要求</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eastAsia="zh-CN"/>
        </w:rPr>
        <w:t xml:space="preserve">按照省政府《江苏省城乡网格化服务管理办法》《江苏省社会治安综合治理基础数据规范》的要求，网格和网格化相关的工作均需要按照管理办法和数据规 范的要求进行推广。</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4、</w:t>
      </w:r>
      <w:r>
        <w:rPr>
          <w:rFonts w:hint="eastAsia"/>
          <w:color w:val="auto"/>
          <w:highlight w:val="none"/>
          <w:shd w:val="clear" w:color="auto" w:fill="auto"/>
        </w:rPr>
        <w:t xml:space="preserve">系统功能需有兼容性</w:t>
      </w:r>
      <w:r>
        <w:rPr>
          <w:rFonts w:hint="eastAsia"/>
          <w:color w:val="auto"/>
          <w:highlight w:val="none"/>
          <w:shd w:val="clear" w:color="auto" w:fill="auto"/>
          <w:lang w:eastAsia="zh-CN"/>
        </w:rPr>
        <w:t xml:space="preserve">：</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color w:val="auto"/>
          <w:highlight w:val="none"/>
          <w:shd w:val="clear" w:color="auto" w:fill="auto"/>
          <w:lang w:eastAsia="zh-CN"/>
        </w:rPr>
      </w:pPr>
      <w:r>
        <w:rPr>
          <w:rFonts w:hint="eastAsia"/>
          <w:color w:val="auto"/>
          <w:highlight w:val="none"/>
          <w:shd w:val="clear" w:color="auto" w:fill="auto"/>
        </w:rPr>
        <w:t xml:space="preserve">“市域平台”提供了功能导航页，系统云图，法律法规查询，普法宣传资料，视频通话，助企绿色通道，约见法官，预约法官，一键求助等功能。本次项目需 要充分复用已有数据和业务基础，提供定制开发服务才能实现与“市域平台”建设成果完全兼容，并且防范多平台数据对接存在的不及时、遗漏、丢失风险</w:t>
      </w:r>
      <w:r>
        <w:rPr>
          <w:rFonts w:hint="eastAsia"/>
          <w:color w:val="auto"/>
          <w:highlight w:val="none"/>
          <w:shd w:val="clear" w:color="auto" w:fill="auto"/>
          <w:lang w:eastAsia="zh-CN"/>
        </w:rPr>
        <w:t xml:space="preserve">。</w:t>
      </w:r>
      <w:r/>
    </w:p>
    <w:p>
      <w:pPr>
        <w:pStyle w:val="649"/>
        <w:numPr>
          <w:ilvl w:val="0"/>
          <w:numId w:val="0"/>
        </w:numPr>
        <w:ind w:firstLine="480"/>
        <w:jc w:val="both"/>
        <w:keepLines w:val="0"/>
        <w:keepNext w:val="0"/>
        <w:pageBreakBefore w:val="0"/>
        <w:spacing w:beforeAutospacing="0" w:afterAutospacing="0" w:line="500" w:lineRule="exact"/>
        <w:widowControl w:val="off"/>
        <w:rPr>
          <w:rFonts w:hint="eastAsia"/>
          <w:color w:val="auto"/>
          <w:highlight w:val="none"/>
          <w:shd w:val="clear" w:color="auto" w:fill="auto"/>
          <w:lang w:eastAsia="zh-CN"/>
        </w:rPr>
      </w:pPr>
      <w:r>
        <w:rPr>
          <w:rFonts w:hint="eastAsia"/>
          <w:color w:val="auto"/>
          <w:highlight w:val="none"/>
          <w:shd w:val="clear" w:color="auto" w:fill="auto"/>
          <w:lang w:eastAsia="zh-CN"/>
        </w:rPr>
        <w:t xml:space="preserve">本项目涉及到的视频通话以及网格化人员的数据都是基于在“市域平台”的技术基础上做应用开发。其中包括视频通话城市驾驶舱接口调用，组织架构清单获取及呈现，会议人员管理，会议室预定，手机端视频会议功能集</w:t>
      </w:r>
      <w:r>
        <w:rPr>
          <w:rFonts w:hint="eastAsia" w:ascii="宋体" w:hAnsi="宋体" w:eastAsia="宋体" w:cs="宋体"/>
          <w:color w:val="auto"/>
          <w:highlight w:val="none"/>
          <w:shd w:val="clear" w:color="auto" w:fill="auto"/>
          <w:lang w:eastAsia="zh-CN"/>
        </w:rPr>
        <w:t xml:space="preserve">成，</w:t>
      </w:r>
      <w:r>
        <w:rPr>
          <w:rFonts w:hint="eastAsia" w:ascii="宋体" w:hAnsi="宋体" w:eastAsia="宋体" w:cs="宋体"/>
          <w:color w:val="auto"/>
          <w:highlight w:val="none"/>
          <w:shd w:val="clear" w:color="auto" w:fill="auto"/>
          <w:lang w:val="en-US" w:eastAsia="zh-CN"/>
        </w:rPr>
        <w:t xml:space="preserve">PC</w:t>
      </w:r>
      <w:r>
        <w:rPr>
          <w:rFonts w:hint="eastAsia" w:ascii="宋体" w:hAnsi="宋体" w:eastAsia="宋体" w:cs="宋体"/>
          <w:color w:val="auto"/>
          <w:highlight w:val="none"/>
          <w:shd w:val="clear" w:color="auto" w:fill="auto"/>
          <w:lang w:eastAsia="zh-CN"/>
        </w:rPr>
        <w:t xml:space="preserve">端</w:t>
      </w:r>
      <w:r>
        <w:rPr>
          <w:rFonts w:hint="eastAsia"/>
          <w:color w:val="auto"/>
          <w:highlight w:val="none"/>
          <w:shd w:val="clear" w:color="auto" w:fill="auto"/>
          <w:lang w:eastAsia="zh-CN"/>
        </w:rPr>
        <w:t xml:space="preserve">手机端功能联调，并且从“市域平台”的网格化模块上获取网格员信息，并且做相应的业务推送。</w:t>
      </w:r>
      <w:r/>
    </w:p>
    <w:p>
      <w:pPr>
        <w:pStyle w:val="649"/>
        <w:numPr>
          <w:ilvl w:val="0"/>
          <w:numId w:val="0"/>
        </w:numPr>
        <w:jc w:val="both"/>
        <w:keepLines w:val="0"/>
        <w:keepNext w:val="0"/>
        <w:pageBreakBefore w:val="0"/>
        <w:spacing w:beforeAutospacing="0" w:afterAutospacing="0" w:line="500" w:lineRule="exact"/>
        <w:widowControl w:val="off"/>
        <w:rPr>
          <w:color w:val="auto"/>
          <w:highlight w:val="none"/>
          <w:shd w:val="clear" w:color="auto" w:fill="auto"/>
          <w:vertAlign w:val="baseline"/>
        </w:rPr>
      </w:pPr>
      <w:r>
        <w:rPr>
          <w:rFonts w:hint="eastAsia"/>
          <w:b/>
          <w:bCs/>
          <w:color w:val="auto"/>
          <w:highlight w:val="none"/>
          <w:shd w:val="clear" w:color="auto" w:fill="auto"/>
          <w:lang w:val="en-US" w:eastAsia="zh-CN"/>
        </w:rPr>
        <w:t xml:space="preserve">四、招标清单</w:t>
      </w:r>
      <w:r/>
    </w:p>
    <w:tbl>
      <w:tblPr>
        <w:tblStyle w:val="650"/>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2112"/>
        <w:gridCol w:w="3214"/>
        <w:gridCol w:w="1406"/>
        <w:gridCol w:w="1381"/>
      </w:tblGrid>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序号</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功能项目</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子功能</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单位</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数量</w:t>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功能导航页</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系统导航页功能开发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系统导航页嵌入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2</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系统云图</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系统云图页面设计</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云图功前端页面开发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云图后端接口开发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云图前后端联调</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1238"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3</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法律法规查询</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法律法规资料管理（新增、删除、修改、查看、上传）</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法律法规前端查看</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法律法规查询管理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1258"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4</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普法宣传资料</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普法宣传资料管理（新增、删除、修改、查看、上传）</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普法宣传前端查看</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普法宣传查询管理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1071"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5</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视频通话</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视频通话城市驾驶舱功能接口调用</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视频通话页面开发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组织机构清单获取及呈现</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会议人员管理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会议室管理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手机端视频会议功能集成</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PC端、手机端功能联调</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用户权限管理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6</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助企绿色通道</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市级平台事件流拆分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专项任务设置模块调整</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办理反馈模块调整</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结果审阅模块调整</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7</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约见法官</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8</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预约信访</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9</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一键求助</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10</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系统管理</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用户管理配置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权限管理配置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菜单管理配置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组织管理配置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r>
    </w:tbl>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color w:val="auto"/>
          <w:highlight w:val="none"/>
          <w:shd w:val="clear" w:color="auto" w:fill="auto"/>
        </w:rPr>
      </w:r>
      <w:r/>
    </w:p>
    <w:p>
      <w:pPr>
        <w:pStyle w:val="649"/>
        <w:jc w:val="center"/>
        <w:spacing w:beforeAutospacing="0" w:afterAutospacing="0"/>
        <w:rPr>
          <w:color w:val="auto"/>
          <w:highlight w:val="none"/>
          <w:shd w:val="clear" w:color="auto" w:fill="auto"/>
        </w:rPr>
      </w:pPr>
      <w:r/>
      <w:bookmarkStart w:id="158" w:name="_Toc120614281"/>
      <w:r>
        <w:rPr>
          <w:rFonts w:hint="eastAsia" w:ascii="黑体" w:hAnsi="宋体" w:eastAsia="黑体" w:cs="黑体"/>
          <w:color w:val="auto"/>
          <w:sz w:val="44"/>
          <w:szCs w:val="44"/>
          <w:highlight w:val="none"/>
          <w:shd w:val="clear" w:color="auto" w:fill="auto"/>
        </w:rPr>
        <w:t xml:space="preserve">第五章  响应文件格式</w:t>
      </w:r>
      <w:r/>
    </w:p>
    <w:p>
      <w:pPr>
        <w:pStyle w:val="649"/>
        <w:jc w:val="center"/>
        <w:spacing w:beforeAutospacing="0" w:afterAutospacing="0"/>
        <w:rPr>
          <w:rFonts w:hint="eastAsia" w:ascii="宋体" w:hAnsi="宋体" w:eastAsia="宋体" w:cs="宋体"/>
          <w:b/>
          <w:color w:val="auto"/>
          <w:sz w:val="72"/>
          <w:szCs w:val="72"/>
          <w:highlight w:val="none"/>
          <w:shd w:val="clear" w:color="auto" w:fill="auto"/>
        </w:rPr>
      </w:pPr>
      <w:r/>
      <w:bookmarkStart w:id="159" w:name="_Toc49090576"/>
      <w:r/>
      <w:bookmarkEnd w:id="159"/>
      <w:r/>
      <w:bookmarkStart w:id="160" w:name="_Toc120614282"/>
      <w:r/>
      <w:bookmarkEnd w:id="160"/>
      <w:r/>
      <w:bookmarkStart w:id="161" w:name="_Toc26554094"/>
      <w:r/>
      <w:bookmarkStart w:id="162" w:name="_Hlt26671244"/>
      <w:r/>
      <w:bookmarkStart w:id="163" w:name="_Hlt26955039"/>
      <w:r/>
      <w:r/>
    </w:p>
    <w:p>
      <w:pPr>
        <w:pStyle w:val="649"/>
        <w:jc w:val="center"/>
        <w:spacing w:beforeAutospacing="0" w:afterAutospacing="0"/>
        <w:rPr>
          <w:rFonts w:hint="eastAsia" w:ascii="宋体" w:hAnsi="宋体" w:eastAsia="宋体" w:cs="宋体"/>
          <w:b/>
          <w:color w:val="auto"/>
          <w:sz w:val="72"/>
          <w:szCs w:val="72"/>
          <w:highlight w:val="none"/>
          <w:shd w:val="clear" w:color="auto" w:fill="auto"/>
        </w:rPr>
      </w:pPr>
      <w:r>
        <w:rPr>
          <w:rFonts w:hint="eastAsia" w:ascii="宋体" w:hAnsi="宋体" w:eastAsia="宋体" w:cs="宋体"/>
          <w:b/>
          <w:color w:val="auto"/>
          <w:sz w:val="72"/>
          <w:szCs w:val="72"/>
          <w:highlight w:val="none"/>
          <w:shd w:val="clear" w:color="auto" w:fill="auto"/>
        </w:rPr>
      </w:r>
      <w:r/>
    </w:p>
    <w:p>
      <w:pPr>
        <w:pStyle w:val="649"/>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rPr>
        <w:t xml:space="preserve">响  应  文  件</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649"/>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649"/>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p>
    <w:p>
      <w:pPr>
        <w:pStyle w:val="649"/>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649"/>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rFonts w:ascii="宋体" w:hAnsi="宋体" w:eastAsia="宋体" w:cs="宋体"/>
          <w:b/>
          <w:color w:val="auto"/>
          <w:sz w:val="36"/>
          <w:szCs w:val="36"/>
          <w:highlight w:val="none"/>
          <w:u w:val="single"/>
          <w:shd w:val="clear" w:color="auto" w:fill="auto"/>
        </w:rPr>
      </w:pPr>
      <w:r>
        <w:rPr>
          <w:rFonts w:ascii="宋体" w:hAnsi="宋体" w:eastAsia="宋体" w:cs="宋体"/>
          <w:b/>
          <w:color w:val="auto"/>
          <w:sz w:val="36"/>
          <w:szCs w:val="36"/>
          <w:highlight w:val="none"/>
          <w:u w:val="single"/>
          <w:shd w:val="clear" w:color="auto" w:fill="auto"/>
        </w:rPr>
      </w:r>
      <w:r/>
    </w:p>
    <w:p>
      <w:pPr>
        <w:pStyle w:val="649"/>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649"/>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一、法人或者其他组织的营业执照等证明文件，自然人的身份证明</w:t>
      </w:r>
      <w:r/>
    </w:p>
    <w:p>
      <w:pPr>
        <w:pStyle w:val="649"/>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二、上一年度的财务状况报告（至少提供资产负债表、利润表、现金流量表，供应商成立不满一年无需提供）</w:t>
      </w:r>
      <w:r/>
    </w:p>
    <w:p>
      <w:pPr>
        <w:pStyle w:val="649"/>
        <w:numPr>
          <w:ilvl w:val="0"/>
          <w:numId w:val="1"/>
        </w:numPr>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具备履行合同所必需的设备和专业技术能力的书面声明</w:t>
      </w:r>
      <w:r/>
    </w:p>
    <w:p>
      <w:pPr>
        <w:pStyle w:val="649"/>
        <w:numPr>
          <w:ilvl w:val="0"/>
          <w:numId w:val="0"/>
        </w:numPr>
        <w:ind w:firstLine="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依法缴纳税收和社会保障资金的相关材料（提供提交协商响应文件截止时间前一年内至少一个月依法缴纳税收及缴纳社会保障资金的证明材料。协商供应商依法享受缓缴、免缴税收、社会保障资金的提供证明材料。）</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五、参加政府采购活动前 3 年内在经营活动中没有重大违法记录的书面声明</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六、特定资格要求的证明文件（如果本项目设置特定资格要求，则需要提供）</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七、法人授权书</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八、单一来源响应函</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九、中小企业声明函</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lang w:val="en-US" w:eastAsia="zh-CN"/>
        </w:rPr>
      </w:pPr>
      <w:r>
        <w:rPr>
          <w:rFonts w:hint="eastAsia" w:ascii="宋体" w:hAnsi="宋体" w:eastAsia="宋体" w:cs="宋体"/>
          <w:i w:val="0"/>
          <w:iCs/>
          <w:color w:val="auto"/>
          <w:sz w:val="24"/>
          <w:szCs w:val="24"/>
          <w:highlight w:val="none"/>
          <w:u w:val="none"/>
          <w:shd w:val="clear" w:color="auto" w:fill="auto"/>
          <w:lang w:val="en-US" w:eastAsia="zh-CN"/>
        </w:rPr>
        <w:t xml:space="preserve">十、关于符合本国产品标准的声明函</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十一、分项报价表</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十二、技术要求响应及偏离表</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三</w:t>
      </w:r>
      <w:r>
        <w:rPr>
          <w:rFonts w:hint="eastAsia" w:ascii="宋体" w:hAnsi="宋体" w:eastAsia="宋体" w:cs="宋体"/>
          <w:i w:val="0"/>
          <w:iCs/>
          <w:color w:val="auto"/>
          <w:sz w:val="24"/>
          <w:szCs w:val="24"/>
          <w:highlight w:val="none"/>
          <w:u w:val="none"/>
          <w:shd w:val="clear" w:color="auto" w:fill="auto"/>
        </w:rPr>
        <w:t xml:space="preserve">、商务要求响应及偏离表</w:t>
      </w:r>
      <w:r/>
    </w:p>
    <w:p>
      <w:pPr>
        <w:pStyle w:val="649"/>
        <w:ind w:left="480"/>
        <w:jc w:val="both"/>
        <w:spacing w:beforeAutospacing="0" w:afterAutospacing="0"/>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四</w:t>
      </w:r>
      <w:r>
        <w:rPr>
          <w:rFonts w:hint="eastAsia" w:ascii="宋体" w:hAnsi="宋体" w:eastAsia="宋体" w:cs="宋体"/>
          <w:i w:val="0"/>
          <w:iCs/>
          <w:color w:val="auto"/>
          <w:sz w:val="24"/>
          <w:szCs w:val="24"/>
          <w:highlight w:val="none"/>
          <w:u w:val="none"/>
          <w:shd w:val="clear" w:color="auto" w:fill="auto"/>
        </w:rPr>
        <w:t xml:space="preserve">、开标一览表</w:t>
      </w:r>
      <w:r/>
    </w:p>
    <w:p>
      <w:pPr>
        <w:ind w:firstLine="480"/>
        <w:spacing w:before="50" w:after="50"/>
        <w:widowControl/>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五</w:t>
      </w:r>
      <w:r>
        <w:rPr>
          <w:rFonts w:hint="eastAsia" w:ascii="宋体" w:hAnsi="宋体" w:eastAsia="宋体" w:cs="宋体"/>
          <w:i w:val="0"/>
          <w:iCs/>
          <w:color w:val="auto"/>
          <w:sz w:val="24"/>
          <w:szCs w:val="24"/>
          <w:highlight w:val="none"/>
          <w:u w:val="none"/>
          <w:shd w:val="clear" w:color="auto" w:fill="auto"/>
        </w:rPr>
        <w:t xml:space="preserve">、技术方案、服务承诺、培训承诺等</w:t>
      </w:r>
      <w:r/>
    </w:p>
    <w:p>
      <w:pPr>
        <w:pStyle w:val="649"/>
        <w:ind w:firstLine="480"/>
        <w:jc w:val="both"/>
        <w:spacing w:beforeAutospacing="0" w:afterAutospacing="0" w:line="360" w:lineRule="auto"/>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t xml:space="preserve">十</w:t>
      </w:r>
      <w:r>
        <w:rPr>
          <w:rFonts w:hint="eastAsia" w:ascii="宋体" w:hAnsi="宋体" w:eastAsia="宋体" w:cs="宋体"/>
          <w:i w:val="0"/>
          <w:iCs/>
          <w:color w:val="auto"/>
          <w:sz w:val="24"/>
          <w:szCs w:val="24"/>
          <w:highlight w:val="none"/>
          <w:u w:val="none"/>
          <w:shd w:val="clear" w:color="auto" w:fill="auto"/>
          <w:lang w:val="en-US" w:eastAsia="zh-CN"/>
        </w:rPr>
        <w:t xml:space="preserve">六</w:t>
      </w:r>
      <w:r>
        <w:rPr>
          <w:rFonts w:hint="eastAsia" w:ascii="宋体" w:hAnsi="宋体" w:eastAsia="宋体" w:cs="宋体"/>
          <w:i w:val="0"/>
          <w:iCs/>
          <w:color w:val="auto"/>
          <w:sz w:val="24"/>
          <w:szCs w:val="24"/>
          <w:highlight w:val="none"/>
          <w:u w:val="none"/>
          <w:shd w:val="clear" w:color="auto" w:fill="auto"/>
        </w:rPr>
        <w:t xml:space="preserve">、盐城市政府采购事前信用承诺书</w:t>
      </w:r>
      <w:r/>
    </w:p>
    <w:p>
      <w:pPr>
        <w:pStyle w:val="649"/>
        <w:ind w:firstLine="480"/>
        <w:jc w:val="both"/>
        <w:spacing w:beforeAutospacing="0" w:afterAutospacing="0" w:line="0" w:lineRule="atLeast"/>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rPr>
      </w:r>
      <w:r/>
    </w:p>
    <w:p>
      <w:pPr>
        <w:pStyle w:val="649"/>
        <w:ind w:firstLine="480"/>
        <w:jc w:val="both"/>
        <w:spacing w:beforeAutospacing="0" w:afterAutospacing="0" w:line="360" w:lineRule="auto"/>
        <w:rPr>
          <w:rFonts w:ascii="宋体" w:hAnsi="宋体" w:eastAsia="宋体" w:cs="宋体"/>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649"/>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rFonts w:hint="eastAsia" w:eastAsia="黑体"/>
          <w:color w:val="auto"/>
          <w:highlight w:val="none"/>
          <w:shd w:val="clear" w:color="auto" w:fill="auto"/>
          <w:lang w:eastAsia="zh-CN"/>
        </w:rPr>
      </w:pPr>
      <w:r>
        <w:rPr>
          <w:rFonts w:hint="eastAsia" w:ascii="黑体" w:hAnsi="宋体" w:eastAsia="黑体" w:cs="黑体"/>
          <w:i/>
          <w:color w:val="auto"/>
          <w:sz w:val="32"/>
          <w:szCs w:val="32"/>
          <w:highlight w:val="none"/>
          <w:u w:val="single"/>
          <w:shd w:val="clear" w:color="auto" w:fill="auto"/>
        </w:rPr>
        <w:t xml:space="preserve">二、上一年度的财务状况报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pStyle w:val="649"/>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（至少提供资产负债表、利润表、现金流量表，供应商成立不满一年无需提供）</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649"/>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649"/>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9"/>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649"/>
        <w:jc w:val="both"/>
        <w:spacing w:beforeAutospacing="0" w:afterAutospacing="0" w:line="0" w:lineRule="atLeast"/>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649"/>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649"/>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649"/>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649"/>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649"/>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649"/>
        <w:jc w:val="center"/>
        <w:spacing w:beforeAutospacing="0" w:afterAutospacing="0"/>
        <w:rPr>
          <w:rFonts w:ascii="黑体" w:hAnsi="宋体" w:eastAsia="黑体" w:cs="黑体"/>
          <w:i/>
          <w:color w:val="auto"/>
          <w:sz w:val="32"/>
          <w:szCs w:val="32"/>
          <w:highlight w:val="none"/>
          <w:u w:val="single"/>
          <w:shd w:val="clear" w:color="auto" w:fill="auto"/>
        </w:rPr>
      </w:pPr>
      <w:r/>
      <w:bookmarkStart w:id="164" w:name="_Toc120614284"/>
      <w:r/>
      <w:r/>
    </w:p>
    <w:p>
      <w:pPr>
        <w:pStyle w:val="649"/>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49"/>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49"/>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649"/>
        <w:jc w:val="center"/>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649"/>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649"/>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w:t>
      </w:r>
      <w:r>
        <w:rPr>
          <w:rFonts w:hint="eastAsia" w:ascii="Times New Roman" w:hAnsi="Times New Roman"/>
          <w:color w:val="auto"/>
          <w:highlight w:val="none"/>
          <w:shd w:val="clear" w:color="auto" w:fill="auto"/>
          <w:lang w:val="en-US" w:eastAsia="zh-CN"/>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649"/>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649"/>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649"/>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649"/>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649"/>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649"/>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65" w:name="_Hlt26955070"/>
      <w:r/>
      <w:bookmarkStart w:id="166" w:name="_格式3__银行出具的资信证明"/>
      <w:r/>
      <w:bookmarkStart w:id="167" w:name="_Hlt26671380"/>
      <w:r>
        <w:rPr>
          <w:rFonts w:ascii="Times New Roman" w:hAnsi="Times New Roman"/>
          <w:color w:val="auto"/>
          <w:highlight w:val="none"/>
          <w:u w:val="single"/>
          <w:shd w:val="clear" w:color="auto" w:fill="auto"/>
        </w:rPr>
        <w:t xml:space="preserve">                                         </w:t>
      </w:r>
      <w:r/>
    </w:p>
    <w:p>
      <w:pPr>
        <w:pStyle w:val="649"/>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49"/>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649"/>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keepLines/>
        <w:keepNext/>
        <w:spacing w:before="260" w:beforeAutospacing="0" w:after="260" w:afterAutospacing="0" w:line="415" w:lineRule="auto"/>
        <w:rPr>
          <w:color w:val="auto"/>
          <w:highlight w:val="none"/>
          <w:shd w:val="clear" w:color="auto" w:fill="auto"/>
        </w:rPr>
      </w:pPr>
      <w:r>
        <w:rPr>
          <w:rFonts w:hint="eastAsia" w:ascii="宋体" w:hAnsi="宋体" w:eastAsia="宋体" w:cs="宋体"/>
          <w:b/>
          <w:color w:val="auto"/>
          <w:highlight w:val="none"/>
          <w:shd w:val="clear" w:color="auto" w:fill="auto"/>
        </w:rPr>
        <w:br w:type="page" w:clear="all"/>
      </w:r>
      <w:r>
        <w:rPr>
          <w:rFonts w:hint="eastAsia" w:ascii="黑体" w:hAnsi="宋体" w:eastAsia="黑体" w:cs="黑体"/>
          <w:b/>
          <w:i/>
          <w:color w:val="auto"/>
          <w:sz w:val="32"/>
          <w:szCs w:val="32"/>
          <w:highlight w:val="none"/>
          <w:u w:val="single"/>
          <w:shd w:val="clear" w:color="auto" w:fill="auto"/>
        </w:rPr>
        <w:t xml:space="preserve">八、单一来源响应函</w:t>
      </w:r>
      <w:r/>
    </w:p>
    <w:p>
      <w:pPr>
        <w:pStyle w:val="649"/>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盐城市盐都区人民法院</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3.我们同意从规定的单一来源协商时间起遵循本响应文件，并在规定的单一来源协商有效期期满之前均具有约束力。</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649"/>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649"/>
        <w:ind w:left="425"/>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账          号： </w:t>
      </w:r>
      <w:r/>
    </w:p>
    <w:p>
      <w:pPr>
        <w:pStyle w:val="649"/>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649"/>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shd w:val="clear" w:color="auto" w:fill="auto"/>
        </w:rPr>
        <w:t xml:space="preserve">九、</w:t>
      </w:r>
      <w:r>
        <w:rPr>
          <w:rFonts w:hint="eastAsia" w:ascii="黑体" w:hAnsi="宋体" w:eastAsia="黑体" w:cs="黑体"/>
          <w:b/>
          <w:color w:val="auto"/>
          <w:sz w:val="32"/>
          <w:szCs w:val="32"/>
          <w:highlight w:val="none"/>
          <w:lang w:val="en-US" w:eastAsia="zh-CN"/>
        </w:rPr>
        <w:t xml:space="preserve">中小企业声明函</w:t>
      </w:r>
      <w:r>
        <w:rPr>
          <w:rFonts w:hint="eastAsia" w:ascii="黑体" w:hAnsi="宋体" w:eastAsia="黑体" w:cs="黑体"/>
          <w:b/>
          <w:color w:val="auto"/>
          <w:sz w:val="32"/>
          <w:szCs w:val="32"/>
          <w:highlight w:val="none"/>
        </w:rPr>
        <w:t xml:space="preserve">（服务）（分包号：**）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9"/>
        <w:ind w:right="720"/>
        <w:jc w:val="both"/>
        <w:spacing w:beforeAutospacing="0" w:afterAutospacing="0" w:line="0" w:lineRule="atLeast"/>
        <w:rPr>
          <w:color w:val="auto"/>
          <w:highlight w:val="none"/>
        </w:rPr>
      </w:pPr>
      <w:r>
        <w:rPr>
          <w:color w:val="auto"/>
          <w:highlight w:val="none"/>
        </w:rPr>
        <w:t xml:space="preserve"> </w:t>
      </w:r>
      <w:r/>
    </w:p>
    <w:p>
      <w:pPr>
        <w:pStyle w:val="649"/>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49"/>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49"/>
        <w:ind w:firstLine="240"/>
        <w:jc w:val="both"/>
        <w:spacing w:beforeAutospacing="0" w:afterAutospacing="0" w:line="0" w:lineRule="atLeast"/>
        <w:rPr>
          <w:color w:val="auto"/>
          <w:highlight w:val="none"/>
        </w:rPr>
      </w:pPr>
      <w:r>
        <w:rPr>
          <w:color w:val="auto"/>
          <w:highlight w:val="none"/>
        </w:rPr>
        <w:t xml:space="preserve"> </w:t>
      </w:r>
      <w:r/>
    </w:p>
    <w:p>
      <w:pPr>
        <w:pStyle w:val="649"/>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9"/>
        <w:ind w:firstLine="480"/>
        <w:jc w:val="both"/>
        <w:spacing w:beforeAutospacing="0" w:afterAutospacing="0" w:line="0" w:lineRule="atLeast"/>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49"/>
        <w:ind w:left="0" w:right="0"/>
        <w:jc w:val="center"/>
        <w:keepLines w:val="0"/>
        <w:keepNext w:val="0"/>
        <w:spacing w:before="0" w:beforeAutospacing="0" w:after="0" w:afterAutospacing="0"/>
        <w:widowControl w:val="off"/>
        <w:rPr>
          <w:rFonts w:hint="eastAsia" w:ascii="黑体" w:hAnsi="黑体" w:eastAsia="黑体" w:cs="黑体"/>
          <w:i/>
          <w:sz w:val="32"/>
          <w:szCs w:val="32"/>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黑体"/>
          <w:i/>
          <w:sz w:val="32"/>
          <w:szCs w:val="32"/>
          <w:u w:val="single"/>
          <w:lang w:val="en-US" w:eastAsia="zh-CN" w:bidi="ar-SA"/>
        </w:rPr>
        <w:t xml:space="preserve">十、关于符合本国产品标准的声明函</w:t>
      </w:r>
      <w:r/>
    </w:p>
    <w:p>
      <w:pPr>
        <w:pStyle w:val="649"/>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649"/>
        <w:ind w:left="0" w:firstLine="420"/>
        <w:jc w:val="both"/>
        <w:keepLines w:val="0"/>
        <w:keepNext w:val="0"/>
        <w:pageBreakBefore w:val="0"/>
        <w:spacing w:before="0" w:beforeAutospacing="0" w:after="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9"/>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649"/>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649"/>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649"/>
        <w:ind w:left="0" w:firstLine="420"/>
        <w:jc w:val="both"/>
        <w:keepLines w:val="0"/>
        <w:keepNext w:val="0"/>
        <w:pageBreakBefore w:val="0"/>
        <w:spacing w:before="30" w:beforeAutospacing="0" w:after="30" w:afterAutospacing="0" w:line="52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649"/>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649"/>
        <w:ind w:left="0" w:right="480" w:firstLine="5208"/>
        <w:jc w:val="both"/>
        <w:keepLines w:val="0"/>
        <w:keepNext w:val="0"/>
        <w:pageBreakBefore w:val="0"/>
        <w:spacing w:before="30" w:beforeAutospacing="0" w:after="30" w:afterAutospacing="0" w:line="56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649"/>
        <w:jc w:val="center"/>
        <w:keepLines w:val="0"/>
        <w:keepNext w:val="0"/>
        <w:pageBreakBefore w:val="0"/>
        <w:spacing w:before="30" w:beforeAutospacing="0" w:after="30" w:afterAutospacing="0" w:line="56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日期：　   年　  月　</w:t>
      </w:r>
      <w:r>
        <w:rPr>
          <w:rFonts w:hint="eastAsia" w:cs="宋体"/>
          <w:color w:val="auto"/>
          <w:sz w:val="24"/>
          <w:szCs w:val="24"/>
          <w:shd w:val="clear" w:color="auto" w:fill="ffffff"/>
          <w:lang w:val="en-US" w:eastAsia="zh-CN"/>
        </w:rPr>
        <w:t xml:space="preserve">日</w:t>
      </w:r>
      <w:r>
        <w:rPr>
          <w:rFonts w:ascii="宋体" w:hAnsi="宋体" w:eastAsia="宋体" w:cs="宋体"/>
          <w:color w:val="auto"/>
          <w:sz w:val="24"/>
          <w:szCs w:val="24"/>
          <w:shd w:val="clear" w:color="auto" w:fill="ffffff"/>
        </w:rPr>
        <w:t xml:space="preserve">  </w:t>
      </w:r>
      <w:r>
        <w:rPr>
          <w:rFonts w:ascii="宋体" w:hAnsi="宋体" w:eastAsia="宋体" w:cs="宋体"/>
          <w:color w:val="ff0000"/>
          <w:sz w:val="24"/>
          <w:szCs w:val="24"/>
          <w:shd w:val="clear" w:color="auto" w:fill="ffffff"/>
        </w:rPr>
        <w:t xml:space="preserve">         </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1.产品如有型号，请在“产品名称”栏一并填写。</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2.生产厂名与厂址应与生产厂营业执照载明的相关信息保持一致。</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3.该产品的中国境内生产的组件成本占比相关要求实施前，“规定比例”栏可不填，下同。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4.该产品的关键组件要求实施前，“关键组件”栏可不填，下同。</w:t>
      </w:r>
      <w:r/>
    </w:p>
    <w:p>
      <w:pPr>
        <w:ind w:firstLine="480"/>
        <w:jc w:val="left"/>
        <w:spacing w:line="520" w:lineRule="exact"/>
        <w:rPr>
          <w:rFonts w:hint="eastAsia" w:ascii="宋体" w:hAnsi="宋体" w:eastAsia="宋体" w:cs="宋体"/>
          <w:sz w:val="24"/>
        </w:rPr>
      </w:pPr>
      <w:r>
        <w:rPr>
          <w:rFonts w:hint="eastAsia" w:ascii="宋体" w:hAnsi="宋体" w:eastAsia="宋体" w:cs="宋体"/>
          <w:sz w:val="24"/>
        </w:rPr>
        <w:t xml:space="preserve">5.该产品的关键工序要求实施前，“关键工序”栏可不填，下同。</w:t>
      </w:r>
      <w:r/>
    </w:p>
    <w:p>
      <w:pPr>
        <w:pStyle w:val="649"/>
        <w:ind w:firstLine="480"/>
        <w:jc w:val="both"/>
        <w:spacing w:beforeAutospacing="0" w:afterAutospacing="0" w:line="0" w:lineRule="atLeast"/>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4"/>
        </w:rPr>
        <w:t xml:space="preserve">6.用</w:t>
      </w:r>
      <w:r>
        <w:rPr>
          <w:rFonts w:hint="eastAsia" w:ascii="宋体" w:hAnsi="宋体" w:eastAsia="宋体" w:cs="宋体"/>
          <w:sz w:val="24"/>
          <w:lang w:val="en-US" w:eastAsia="zh-CN"/>
        </w:rPr>
        <w:t xml:space="preserve">横</w:t>
      </w:r>
      <w:r>
        <w:rPr>
          <w:rFonts w:hint="eastAsia" w:ascii="宋体" w:hAnsi="宋体" w:eastAsia="宋体" w:cs="宋体"/>
          <w:sz w:val="24"/>
        </w:rPr>
        <w:t xml:space="preserve">线划除的地方无需填写</w:t>
      </w:r>
      <w:r/>
    </w:p>
    <w:p>
      <w:pPr>
        <w:jc w:val="center"/>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十</w:t>
      </w:r>
      <w:r>
        <w:rPr>
          <w:rFonts w:hint="eastAsia" w:ascii="宋体" w:hAnsi="宋体" w:eastAsia="宋体" w:cs="宋体"/>
          <w:b/>
          <w:color w:val="auto"/>
          <w:sz w:val="32"/>
          <w:szCs w:val="32"/>
          <w:highlight w:val="none"/>
          <w:shd w:val="clear" w:color="auto" w:fill="auto"/>
          <w:lang w:val="en-US" w:eastAsia="zh-CN"/>
        </w:rPr>
        <w:t xml:space="preserve">一</w:t>
      </w:r>
      <w:r>
        <w:rPr>
          <w:rFonts w:hint="eastAsia" w:ascii="宋体" w:hAnsi="宋体" w:eastAsia="宋体" w:cs="宋体"/>
          <w:b/>
          <w:color w:val="auto"/>
          <w:sz w:val="32"/>
          <w:szCs w:val="32"/>
          <w:highlight w:val="none"/>
          <w:shd w:val="clear" w:color="auto" w:fill="auto"/>
        </w:rPr>
        <w:t xml:space="preserve">、分项报价表</w:t>
      </w:r>
      <w:r/>
    </w:p>
    <w:tbl>
      <w:tblPr>
        <w:tblStyle w:val="650"/>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323"/>
        <w:gridCol w:w="2013"/>
        <w:gridCol w:w="881"/>
        <w:gridCol w:w="865"/>
        <w:gridCol w:w="1481"/>
        <w:gridCol w:w="1444"/>
        <w:gridCol w:w="1031"/>
      </w:tblGrid>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序号</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功能项目</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子功能</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单位</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数量</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单价（元）</w:t>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合价（元）</w:t>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备注</w:t>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功能导航页</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系统导航页功能开发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系统导航页嵌入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2</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系统云图</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系统云图页面设计</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云图功前端页面开发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云图后端接口开发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云图前后端联调</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1238"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3</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法律法规查询</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法律法规资料管理（新增、删除、修改、查看、上传）</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法律法规前端查看</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法律法规查询管理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1258"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4</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普法宣传资料</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普法宣传资料管理（新增、删除、修改、查看、上传）</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普法宣传前端查看</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普法宣传查询管理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1071"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5</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视频通话</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视频通话城市驾驶舱功能接口调用</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视频通话页面开发</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组织机构清单获取及呈现</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会议人员管理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会议室管理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手机端视频会议功能集成</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PC端、手机端功能联调</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用户权限管理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6</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助企绿色通道</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市级平台事件流拆分</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专项任务设置模块调整</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办理反馈模块调整</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结果审阅模块调整</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7</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约见法官</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8</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预约信访</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9</w:t>
            </w:r>
            <w:r/>
          </w:p>
        </w:tc>
        <w:tc>
          <w:tcPr>
            <w:tcW w:w="132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一键求助</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功能嵌入</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10</w:t>
            </w:r>
            <w:r/>
          </w:p>
        </w:tc>
        <w:tc>
          <w:tcPr>
            <w:tcW w:w="1323" w:type="dxa"/>
            <w:vAlign w:val="center"/>
            <w:vMerge w:val="restart"/>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系统管理</w:t>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用户管理配置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权限管理配置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菜单管理配置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tcW w:w="600"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r>
            <w:r/>
          </w:p>
        </w:tc>
        <w:tc>
          <w:tcPr>
            <w:tcW w:w="1323" w:type="dxa"/>
            <w:vAlign w:val="center"/>
            <w:vMerge w:val="continue"/>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2013"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t xml:space="preserve">组织管理配置</w:t>
            </w:r>
            <w:r/>
          </w:p>
        </w:tc>
        <w:tc>
          <w:tcPr>
            <w:tcW w:w="8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 xml:space="preserve">项</w:t>
            </w:r>
            <w:r/>
          </w:p>
        </w:tc>
        <w:tc>
          <w:tcPr>
            <w:tcW w:w="865"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1</w:t>
            </w:r>
            <w:r/>
          </w:p>
        </w:tc>
        <w:tc>
          <w:tcPr>
            <w:tcW w:w="148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444"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c>
          <w:tcPr>
            <w:tcW w:w="1031"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rPr>
            </w:r>
            <w:r/>
          </w:p>
        </w:tc>
      </w:tr>
      <w:tr>
        <w:trPr>
          <w:jc w:val="center"/>
          <w:trHeight w:val="850" w:hRule="exact"/>
        </w:trPr>
        <w:tc>
          <w:tcPr>
            <w:gridSpan w:val="8"/>
            <w:tcW w:w="9638" w:type="dxa"/>
            <w:vAlign w:val="center"/>
            <w:textDirection w:val="lrTb"/>
            <w:noWrap w:val="false"/>
          </w:tcPr>
          <w:p>
            <w:pPr>
              <w:pStyle w:val="649"/>
              <w:jc w:val="center"/>
              <w:spacing w:beforeAutospacing="0" w:afterAutospacing="0"/>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 xml:space="preserve">总价：  元</w:t>
            </w:r>
            <w:r/>
          </w:p>
        </w:tc>
      </w:tr>
    </w:tbl>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r>
      <w:r/>
    </w:p>
    <w:p>
      <w:pPr>
        <w:pStyle w:val="649"/>
        <w:jc w:val="center"/>
        <w:spacing w:beforeAutospacing="0" w:afterAutospacing="0"/>
        <w:rPr>
          <w:rFonts w:hint="eastAsia" w:ascii="黑体" w:hAnsi="宋体" w:eastAsia="黑体" w:cs="黑体"/>
          <w:b/>
          <w:color w:val="auto"/>
          <w:sz w:val="32"/>
          <w:szCs w:val="32"/>
          <w:highlight w:val="none"/>
          <w:shd w:val="clear" w:color="auto" w:fil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auto"/>
          <w:sz w:val="32"/>
          <w:szCs w:val="32"/>
          <w:highlight w:val="none"/>
          <w:shd w:val="clear" w:color="auto" w:fill="auto"/>
        </w:rPr>
      </w:r>
      <w:r/>
    </w:p>
    <w:p>
      <w:pPr>
        <w:pStyle w:val="649"/>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二</w:t>
      </w:r>
      <w:r>
        <w:rPr>
          <w:rFonts w:hint="eastAsia" w:ascii="黑体" w:hAnsi="宋体" w:eastAsia="黑体" w:cs="黑体"/>
          <w:b/>
          <w:color w:val="auto"/>
          <w:sz w:val="32"/>
          <w:szCs w:val="32"/>
          <w:highlight w:val="none"/>
          <w:shd w:val="clear" w:color="auto" w:fill="auto"/>
        </w:rPr>
        <w:t xml:space="preserve">、技术要求响应及偏离表（分包号：**）</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95"/>
        <w:gridCol w:w="2769"/>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69"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49"/>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rPr>
          <w:color w:val="auto"/>
          <w:highlight w:val="none"/>
          <w:shd w:val="clear" w:color="auto" w:fill="auto"/>
        </w:rPr>
      </w:pPr>
      <w:r>
        <w:rPr>
          <w:color w:val="auto"/>
          <w:highlight w:val="none"/>
          <w:shd w:val="clear" w:color="auto" w:fill="auto"/>
        </w:rPr>
        <w:t xml:space="preserve"> </w:t>
      </w:r>
      <w:bookmarkStart w:id="168" w:name="_Hlt26955054"/>
      <w:r/>
      <w:r/>
    </w:p>
    <w:p>
      <w:pPr>
        <w:pStyle w:val="649"/>
        <w:jc w:val="center"/>
        <w:spacing w:beforeAutospacing="0" w:afterAutospacing="0"/>
        <w:rPr>
          <w:color w:val="auto"/>
          <w:highlight w:val="none"/>
          <w:shd w:val="clear" w:color="auto" w:fill="auto"/>
        </w:rPr>
      </w:pPr>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三</w:t>
      </w:r>
      <w:r>
        <w:rPr>
          <w:rFonts w:hint="eastAsia" w:ascii="黑体" w:hAnsi="宋体" w:eastAsia="黑体" w:cs="黑体"/>
          <w:b/>
          <w:color w:val="auto"/>
          <w:sz w:val="32"/>
          <w:szCs w:val="32"/>
          <w:highlight w:val="none"/>
          <w:shd w:val="clear" w:color="auto" w:fill="auto"/>
        </w:rPr>
        <w:t xml:space="preserve">、商务要求响应及偏离表（分包号：**）</w:t>
      </w:r>
      <w:r/>
    </w:p>
    <w:tbl>
      <w:tblPr>
        <w:tblStyle w:val="6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63"/>
        <w:gridCol w:w="2801"/>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bookmarkStart w:id="169" w:name="_Hlt26671343"/>
            <w:r/>
            <w:bookmarkStart w:id="170" w:name="_Hlt26580838"/>
            <w:r/>
            <w:bookmarkStart w:id="171" w:name="_Hlt24879081"/>
            <w:r/>
            <w:bookmarkStart w:id="172" w:name="_Hlt26955056"/>
            <w:r/>
            <w:bookmarkStart w:id="173" w:name="_Hlt26609391"/>
            <w:r/>
            <w:bookmarkStart w:id="174" w:name="_Hlt26955064"/>
            <w:r/>
            <w:bookmarkStart w:id="175" w:name="_Hlt26671372"/>
            <w:r/>
            <w:bookmarkStart w:id="176" w:name="_Hlt26782999"/>
            <w:r>
              <w:rPr>
                <w:rFonts w:hint="eastAsia" w:ascii="宋体" w:hAnsi="宋体" w:eastAsia="宋体" w:cs="宋体"/>
                <w:color w:val="auto"/>
                <w:highlight w:val="none"/>
                <w:shd w:val="clear" w:color="auto" w:fill="auto"/>
              </w:rPr>
              <w:t xml:space="preserve">序号</w:t>
            </w:r>
            <w:bookmarkEnd w:id="169"/>
            <w:bookmarkEnd w:id="170"/>
            <w:bookmarkEnd w:id="171"/>
            <w:bookmarkEnd w:id="172"/>
            <w:bookmarkEnd w:id="173"/>
            <w:bookmarkEnd w:id="174"/>
            <w:bookmarkEnd w:id="175"/>
            <w:bookmarkEnd w:id="176"/>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采购文件要求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801" w:type="dxa"/>
            <w:vAlign w:val="center"/>
            <w:textDirection w:val="lrTb"/>
            <w:noWrap w:val="false"/>
          </w:tcPr>
          <w:p>
            <w:pPr>
              <w:pStyle w:val="649"/>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9"/>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649"/>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r/>
    </w:p>
    <w:p>
      <w:pPr>
        <w:pStyle w:val="649"/>
        <w:jc w:val="both"/>
        <w:spacing w:beforeAutospacing="0" w:afterAutospacing="0" w:line="480" w:lineRule="auto"/>
        <w:rPr>
          <w:color w:val="auto"/>
          <w:highlight w:val="none"/>
          <w:shd w:val="clear" w:color="auto" w:fill="auto"/>
        </w:rPr>
      </w:pPr>
      <w:r>
        <w:rPr>
          <w:color w:val="auto"/>
          <w:highlight w:val="none"/>
          <w:shd w:val="clear" w:color="auto" w:fill="auto"/>
        </w:rPr>
      </w:r>
      <w:bookmarkEnd w:id="27"/>
      <w:bookmarkEnd w:id="37"/>
      <w:bookmarkEnd w:id="84"/>
      <w:bookmarkEnd w:id="85"/>
      <w:bookmarkEnd w:id="86"/>
      <w:bookmarkEnd w:id="87"/>
      <w:bookmarkEnd w:id="88"/>
      <w:bookmarkEnd w:id="89"/>
      <w:bookmarkEnd w:id="90"/>
      <w:bookmarkEnd w:id="91"/>
      <w:bookmarkEnd w:id="100"/>
      <w:bookmarkEnd w:id="101"/>
      <w:bookmarkEnd w:id="108"/>
      <w:bookmarkEnd w:id="150"/>
      <w:bookmarkEnd w:id="151"/>
      <w:bookmarkEnd w:id="158"/>
      <w:bookmarkEnd w:id="161"/>
      <w:bookmarkEnd w:id="162"/>
      <w:bookmarkEnd w:id="163"/>
      <w:bookmarkEnd w:id="164"/>
      <w:bookmarkEnd w:id="165"/>
      <w:bookmarkEnd w:id="166"/>
      <w:bookmarkEnd w:id="167"/>
      <w:bookmarkEnd w:id="168"/>
      <w:r/>
    </w:p>
    <w:p>
      <w:pPr>
        <w:pStyle w:val="649"/>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四</w:t>
      </w:r>
      <w:r>
        <w:rPr>
          <w:rFonts w:hint="eastAsia" w:ascii="黑体" w:hAnsi="宋体" w:eastAsia="黑体" w:cs="黑体"/>
          <w:b/>
          <w:i/>
          <w:color w:val="auto"/>
          <w:sz w:val="32"/>
          <w:szCs w:val="32"/>
          <w:highlight w:val="none"/>
          <w:u w:val="single"/>
        </w:rPr>
        <w:t xml:space="preserve">、开标一览表</w:t>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投标人全称（CA公章）：   </w:t>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盐城市盐都区人民法院“盐城市市域社会治理平台”升级应用功能项目</w:t>
      </w:r>
      <w:r>
        <w:rPr>
          <w:rFonts w:hint="eastAsia" w:ascii="宋体" w:hAnsi="宋体" w:eastAsia="宋体" w:cs="宋体"/>
          <w:color w:val="auto"/>
          <w:highlight w:val="none"/>
        </w:rPr>
        <w:t xml:space="preserve">   </w:t>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p>
      <w:pPr>
        <w:pStyle w:val="649"/>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9"/>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6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pStyle w:val="649"/>
              <w:jc w:val="both"/>
              <w:spacing w:beforeAutospacing="0" w:afterAutospacing="0"/>
              <w:rPr>
                <w:color w:val="auto"/>
                <w:highlight w:val="none"/>
                <w:vertAlign w:val="baseline"/>
              </w:rPr>
            </w:pPr>
            <w:r>
              <w:rPr>
                <w:rFonts w:ascii="宋体" w:hAnsi="宋体" w:eastAsia="宋体" w:cs="宋体"/>
                <w:sz w:val="24"/>
                <w:szCs w:val="24"/>
              </w:rPr>
              <w:t xml:space="preserve">投标货物名称</w:t>
            </w:r>
            <w:r/>
          </w:p>
        </w:tc>
        <w:tc>
          <w:tcPr>
            <w:tcW w:w="4261" w:type="dxa"/>
            <w:textDirection w:val="lrTb"/>
            <w:noWrap w:val="false"/>
          </w:tcPr>
          <w:p>
            <w:pPr>
              <w:pStyle w:val="649"/>
              <w:jc w:val="both"/>
              <w:spacing w:beforeAutospacing="0" w:afterAutospacing="0"/>
              <w:rPr>
                <w:color w:val="auto"/>
                <w:highlight w:val="none"/>
                <w:vertAlign w:val="baseline"/>
              </w:rPr>
            </w:pPr>
            <w:r>
              <w:rPr>
                <w:rFonts w:ascii="宋体" w:hAnsi="宋体" w:eastAsia="宋体" w:cs="宋体"/>
                <w:sz w:val="24"/>
                <w:szCs w:val="24"/>
              </w:rPr>
              <w:t xml:space="preserve">总价（小写）</w:t>
            </w:r>
            <w:r/>
          </w:p>
        </w:tc>
      </w:tr>
      <w:tr>
        <w:trPr/>
        <w:tc>
          <w:tcPr>
            <w:tcW w:w="4261" w:type="dxa"/>
            <w:textDirection w:val="lrTb"/>
            <w:noWrap w:val="false"/>
          </w:tcPr>
          <w:p>
            <w:pPr>
              <w:pStyle w:val="649"/>
              <w:jc w:val="both"/>
              <w:spacing w:beforeAutospacing="0" w:afterAutospacing="0"/>
              <w:rPr>
                <w:rFonts w:hint="eastAsia" w:eastAsiaTheme="minorEastAsia"/>
                <w:color w:val="auto"/>
                <w:highlight w:val="none"/>
                <w:vertAlign w:val="baseline"/>
                <w:lang w:eastAsia="zh-CN"/>
              </w:rPr>
            </w:pPr>
            <w:r>
              <w:rPr>
                <w:rFonts w:hint="eastAsia" w:ascii="宋体" w:hAnsi="宋体" w:eastAsia="宋体" w:cs="宋体"/>
                <w:color w:val="auto"/>
                <w:highlight w:val="none"/>
                <w:lang w:eastAsia="zh-CN"/>
              </w:rPr>
              <w:t xml:space="preserve">盐城市盐都区人民法院“盐城市市域社会治理平台”升级应用功能项目</w:t>
            </w:r>
            <w:r/>
          </w:p>
        </w:tc>
        <w:tc>
          <w:tcPr>
            <w:tcW w:w="4261" w:type="dxa"/>
            <w:textDirection w:val="lrTb"/>
            <w:noWrap w:val="false"/>
          </w:tcPr>
          <w:p>
            <w:pPr>
              <w:pStyle w:val="649"/>
              <w:ind w:firstLine="2400"/>
              <w:jc w:val="both"/>
              <w:spacing w:beforeAutospacing="0" w:afterAutospacing="0"/>
              <w:rPr>
                <w:color w:val="auto"/>
                <w:highlight w:val="none"/>
                <w:vertAlign w:val="baseline"/>
              </w:rPr>
            </w:pPr>
            <w:r>
              <w:rPr>
                <w:rFonts w:ascii="宋体" w:hAnsi="宋体" w:eastAsia="宋体" w:cs="宋体"/>
                <w:sz w:val="24"/>
                <w:szCs w:val="24"/>
              </w:rPr>
              <w:t xml:space="preserve">元</w:t>
            </w:r>
            <w:r/>
          </w:p>
        </w:tc>
      </w:tr>
    </w:tbl>
    <w:p>
      <w:pPr>
        <w:pStyle w:val="649"/>
        <w:jc w:val="both"/>
        <w:spacing w:beforeAutospacing="0" w:afterAutospacing="0"/>
        <w:rPr>
          <w:color w:val="auto"/>
          <w:highlight w:val="none"/>
        </w:rPr>
      </w:pPr>
      <w:r>
        <w:rPr>
          <w:color w:val="auto"/>
          <w:highlight w:val="none"/>
        </w:rPr>
        <w:t xml:space="preserve"> </w:t>
      </w:r>
      <w:r/>
    </w:p>
    <w:p>
      <w:pPr>
        <w:pStyle w:val="649"/>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9"/>
        <w:ind w:firstLine="480"/>
        <w:jc w:val="both"/>
        <w:spacing w:beforeAutospacing="0" w:afterAutospacing="0"/>
        <w:rPr>
          <w:color w:val="auto"/>
          <w:highlight w:val="none"/>
        </w:rPr>
      </w:pPr>
      <w:r>
        <w:rPr>
          <w:color w:val="auto"/>
          <w:highlight w:val="none"/>
        </w:rPr>
        <w:t xml:space="preserve"> </w:t>
      </w:r>
      <w:r/>
    </w:p>
    <w:p>
      <w:pPr>
        <w:pStyle w:val="649"/>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center"/>
        <w:spacing w:before="50" w:after="50"/>
        <w:widowControl/>
        <w:rPr>
          <w:color w:val="auto"/>
          <w:highlight w:val="none"/>
        </w:rPr>
      </w:pPr>
      <w:r>
        <w:rPr>
          <w:color w:val="auto"/>
          <w:highlight w:val="none"/>
        </w:rPr>
        <w:tab/>
      </w:r>
      <w:r/>
    </w:p>
    <w:p>
      <w:pPr>
        <w:pStyle w:val="649"/>
        <w:jc w:val="center"/>
        <w:spacing w:beforeAutospacing="0" w:afterAutospacing="0"/>
        <w:rPr>
          <w:color w:val="auto"/>
          <w:highlight w:val="none"/>
          <w:shd w:val="clear" w:color="auto" w:fill="auto"/>
        </w:rPr>
      </w:pPr>
      <w:r>
        <w:rPr>
          <w:color w:val="auto"/>
          <w:highlight w:val="none"/>
          <w:shd w:val="clear" w:color="auto" w:fill="auto"/>
        </w:rPr>
      </w:r>
      <w:r/>
    </w:p>
    <w:p>
      <w:pPr>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br w:type="page" w:clear="all"/>
      </w:r>
      <w:r/>
    </w:p>
    <w:p>
      <w:pPr>
        <w:jc w:val="center"/>
        <w:spacing w:before="50" w:after="50"/>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十</w:t>
      </w:r>
      <w:r>
        <w:rPr>
          <w:rFonts w:hint="eastAsia" w:ascii="宋体" w:hAnsi="宋体" w:eastAsia="宋体" w:cs="宋体"/>
          <w:color w:val="auto"/>
          <w:sz w:val="32"/>
          <w:szCs w:val="32"/>
          <w:highlight w:val="none"/>
          <w:shd w:val="clear" w:color="auto" w:fill="auto"/>
          <w:lang w:val="en-US" w:eastAsia="zh-CN"/>
        </w:rPr>
        <w:t xml:space="preserve">五</w:t>
      </w:r>
      <w:r>
        <w:rPr>
          <w:rFonts w:hint="eastAsia" w:ascii="宋体" w:hAnsi="宋体" w:eastAsia="宋体" w:cs="宋体"/>
          <w:color w:val="auto"/>
          <w:sz w:val="32"/>
          <w:szCs w:val="32"/>
          <w:highlight w:val="none"/>
          <w:shd w:val="clear" w:color="auto" w:fill="auto"/>
        </w:rPr>
        <w:t xml:space="preserve">、技术方案、服务承诺、培训承诺等</w:t>
      </w:r>
      <w:r/>
    </w:p>
    <w:p>
      <w:pPr>
        <w:pStyle w:val="649"/>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十</w:t>
      </w:r>
      <w:r>
        <w:rPr>
          <w:rFonts w:hint="eastAsia" w:ascii="宋体" w:hAnsi="宋体" w:eastAsia="宋体" w:cs="宋体"/>
          <w:b/>
          <w:bCs/>
          <w:color w:val="auto"/>
          <w:sz w:val="32"/>
          <w:szCs w:val="32"/>
          <w:highlight w:val="none"/>
          <w:shd w:val="clear" w:color="auto" w:fill="auto"/>
          <w:lang w:val="en-US" w:eastAsia="zh-CN"/>
        </w:rPr>
        <w:t xml:space="preserve">六</w:t>
      </w:r>
      <w:r>
        <w:rPr>
          <w:rFonts w:hint="eastAsia" w:ascii="宋体" w:hAnsi="宋体" w:eastAsia="宋体" w:cs="宋体"/>
          <w:b/>
          <w:bCs/>
          <w:color w:val="auto"/>
          <w:sz w:val="32"/>
          <w:szCs w:val="32"/>
          <w:highlight w:val="none"/>
          <w:shd w:val="clear" w:color="auto" w:fill="auto"/>
        </w:rPr>
        <w:t xml:space="preserve">、</w:t>
      </w:r>
      <w:r>
        <w:rPr>
          <w:rFonts w:hint="eastAsia" w:ascii="宋体" w:hAnsi="宋体" w:eastAsia="宋体" w:cs="宋体"/>
          <w:b/>
          <w:bCs/>
          <w:color w:val="auto"/>
          <w:sz w:val="32"/>
          <w:szCs w:val="32"/>
          <w:highlight w:val="none"/>
          <w:shd w:val="clear" w:color="auto" w:fill="auto"/>
          <w:lang w:val="en-US" w:eastAsia="zh-CN"/>
        </w:rPr>
        <w:t xml:space="preserve">盐城市</w:t>
      </w:r>
      <w:r>
        <w:rPr>
          <w:rFonts w:hint="eastAsia" w:ascii="宋体" w:hAnsi="宋体" w:eastAsia="宋体" w:cs="宋体"/>
          <w:b/>
          <w:bCs/>
          <w:color w:val="auto"/>
          <w:sz w:val="32"/>
          <w:szCs w:val="32"/>
          <w:highlight w:val="none"/>
          <w:shd w:val="clear" w:color="auto" w:fill="auto"/>
        </w:rPr>
        <w:t xml:space="preserve">政府采购事前信用承诺书</w:t>
      </w:r>
      <w:r/>
    </w:p>
    <w:p>
      <w:pPr>
        <w:ind w:firstLine="640"/>
        <w:jc w:val="left"/>
        <w:spacing w:line="499" w:lineRule="atLeast"/>
        <w:widowControl/>
        <w:rPr>
          <w:rFonts w:ascii="宋体" w:hAnsi="宋体" w:eastAsia="宋体" w:cs="宋体"/>
          <w:b/>
          <w:bCs/>
          <w:color w:val="auto"/>
          <w:sz w:val="24"/>
          <w:highlight w:val="none"/>
          <w:shd w:val="clear" w:color="auto" w:fill="auto"/>
        </w:rPr>
      </w:pPr>
      <w:r>
        <w:rPr>
          <w:rFonts w:hint="eastAsia" w:ascii="宋体" w:hAnsi="宋体" w:eastAsia="宋体" w:cs="宋体"/>
          <w:b/>
          <w:bCs/>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 月 日</w:t>
      </w:r>
      <w:r/>
    </w:p>
    <w:p>
      <w:pPr>
        <w:pStyle w:val="649"/>
        <w:jc w:val="center"/>
        <w:spacing w:beforeAutospacing="0" w:afterAutospacing="0"/>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49"/>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649"/>
        <w:jc w:val="both"/>
        <w:spacing w:before="290"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一、质疑供应商基本信息</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二、质疑项目基本情况</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三、质疑事项具体内容</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649"/>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四、与质疑事项相关的质疑请求</w:t>
      </w:r>
      <w:r/>
    </w:p>
    <w:p>
      <w:pPr>
        <w:pStyle w:val="649"/>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649"/>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649"/>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649"/>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649"/>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9"/>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649"/>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649"/>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5.质疑函的质疑请求应与质疑事项相关。</w:t>
      </w:r>
      <w:r/>
    </w:p>
    <w:p>
      <w:pPr>
        <w:pStyle w:val="649"/>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649"/>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649"/>
        <w:jc w:val="center"/>
        <w:spacing w:beforeAutospacing="0" w:afterAutospacing="0"/>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楷体_GB2312">
    <w:panose1 w:val="02010609060101010101"/>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7"/>
    <w:next w:val="63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9"/>
    <w:link w:val="12"/>
    <w:uiPriority w:val="9"/>
    <w:rPr>
      <w:rFonts w:ascii="Arial" w:hAnsi="Arial" w:eastAsia="Arial" w:cs="Arial"/>
      <w:sz w:val="40"/>
      <w:szCs w:val="40"/>
    </w:rPr>
  </w:style>
  <w:style w:type="character" w:styleId="15">
    <w:name w:val="Heading 2 Char"/>
    <w:basedOn w:val="639"/>
    <w:link w:val="638"/>
    <w:uiPriority w:val="9"/>
    <w:rPr>
      <w:rFonts w:ascii="Arial" w:hAnsi="Arial" w:eastAsia="Arial" w:cs="Arial"/>
      <w:sz w:val="34"/>
    </w:rPr>
  </w:style>
  <w:style w:type="paragraph" w:styleId="16">
    <w:name w:val="Heading 3"/>
    <w:basedOn w:val="637"/>
    <w:next w:val="63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9"/>
    <w:link w:val="16"/>
    <w:uiPriority w:val="9"/>
    <w:rPr>
      <w:rFonts w:ascii="Arial" w:hAnsi="Arial" w:eastAsia="Arial" w:cs="Arial"/>
      <w:sz w:val="30"/>
      <w:szCs w:val="30"/>
    </w:rPr>
  </w:style>
  <w:style w:type="paragraph" w:styleId="18">
    <w:name w:val="Heading 4"/>
    <w:basedOn w:val="637"/>
    <w:next w:val="6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9"/>
    <w:link w:val="18"/>
    <w:uiPriority w:val="9"/>
    <w:rPr>
      <w:rFonts w:ascii="Arial" w:hAnsi="Arial" w:eastAsia="Arial" w:cs="Arial"/>
      <w:b/>
      <w:bCs/>
      <w:sz w:val="26"/>
      <w:szCs w:val="26"/>
    </w:rPr>
  </w:style>
  <w:style w:type="paragraph" w:styleId="20">
    <w:name w:val="Heading 5"/>
    <w:basedOn w:val="637"/>
    <w:next w:val="63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9"/>
    <w:link w:val="20"/>
    <w:uiPriority w:val="9"/>
    <w:rPr>
      <w:rFonts w:ascii="Arial" w:hAnsi="Arial" w:eastAsia="Arial" w:cs="Arial"/>
      <w:b/>
      <w:bCs/>
      <w:sz w:val="24"/>
      <w:szCs w:val="24"/>
    </w:rPr>
  </w:style>
  <w:style w:type="paragraph" w:styleId="22">
    <w:name w:val="Heading 6"/>
    <w:basedOn w:val="637"/>
    <w:next w:val="6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9"/>
    <w:link w:val="22"/>
    <w:uiPriority w:val="9"/>
    <w:rPr>
      <w:rFonts w:ascii="Arial" w:hAnsi="Arial" w:eastAsia="Arial" w:cs="Arial"/>
      <w:b/>
      <w:bCs/>
      <w:sz w:val="22"/>
      <w:szCs w:val="22"/>
    </w:rPr>
  </w:style>
  <w:style w:type="paragraph" w:styleId="24">
    <w:name w:val="Heading 7"/>
    <w:basedOn w:val="637"/>
    <w:next w:val="6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9"/>
    <w:link w:val="24"/>
    <w:uiPriority w:val="9"/>
    <w:rPr>
      <w:rFonts w:ascii="Arial" w:hAnsi="Arial" w:eastAsia="Arial" w:cs="Arial"/>
      <w:b/>
      <w:bCs/>
      <w:i/>
      <w:iCs/>
      <w:sz w:val="22"/>
      <w:szCs w:val="22"/>
    </w:rPr>
  </w:style>
  <w:style w:type="paragraph" w:styleId="26">
    <w:name w:val="Heading 8"/>
    <w:basedOn w:val="637"/>
    <w:next w:val="6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9"/>
    <w:link w:val="26"/>
    <w:uiPriority w:val="9"/>
    <w:rPr>
      <w:rFonts w:ascii="Arial" w:hAnsi="Arial" w:eastAsia="Arial" w:cs="Arial"/>
      <w:i/>
      <w:iCs/>
      <w:sz w:val="22"/>
      <w:szCs w:val="22"/>
    </w:rPr>
  </w:style>
  <w:style w:type="paragraph" w:styleId="28">
    <w:name w:val="Heading 9"/>
    <w:basedOn w:val="637"/>
    <w:next w:val="6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9"/>
    <w:link w:val="28"/>
    <w:uiPriority w:val="9"/>
    <w:rPr>
      <w:rFonts w:ascii="Arial" w:hAnsi="Arial" w:eastAsia="Arial" w:cs="Arial"/>
      <w:i/>
      <w:iCs/>
      <w:sz w:val="21"/>
      <w:szCs w:val="21"/>
    </w:rPr>
  </w:style>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34"/>
    <w:uiPriority w:val="10"/>
    <w:qFormat/>
    <w:pPr>
      <w:contextualSpacing/>
      <w:spacing w:before="300" w:after="200"/>
    </w:pPr>
    <w:rPr>
      <w:sz w:val="48"/>
      <w:szCs w:val="48"/>
    </w:rPr>
  </w:style>
  <w:style w:type="character" w:styleId="34">
    <w:name w:val="Title Char"/>
    <w:basedOn w:val="639"/>
    <w:link w:val="33"/>
    <w:uiPriority w:val="10"/>
    <w:rPr>
      <w:sz w:val="48"/>
      <w:szCs w:val="48"/>
    </w:rPr>
  </w:style>
  <w:style w:type="paragraph" w:styleId="35">
    <w:name w:val="Subtitle"/>
    <w:basedOn w:val="637"/>
    <w:next w:val="637"/>
    <w:link w:val="36"/>
    <w:uiPriority w:val="11"/>
    <w:qFormat/>
    <w:pPr>
      <w:spacing w:before="200" w:after="200"/>
    </w:pPr>
    <w:rPr>
      <w:sz w:val="24"/>
      <w:szCs w:val="24"/>
    </w:rPr>
  </w:style>
  <w:style w:type="character" w:styleId="36">
    <w:name w:val="Subtitle Char"/>
    <w:basedOn w:val="639"/>
    <w:link w:val="35"/>
    <w:uiPriority w:val="11"/>
    <w:rPr>
      <w:sz w:val="24"/>
      <w:szCs w:val="24"/>
    </w:rPr>
  </w:style>
  <w:style w:type="paragraph" w:styleId="37">
    <w:name w:val="Quote"/>
    <w:basedOn w:val="637"/>
    <w:next w:val="637"/>
    <w:link w:val="38"/>
    <w:uiPriority w:val="29"/>
    <w:qFormat/>
    <w:pPr>
      <w:ind w:left="720" w:right="720"/>
    </w:pPr>
    <w:rPr>
      <w:i/>
    </w:rPr>
  </w:style>
  <w:style w:type="character" w:styleId="38">
    <w:name w:val="Quote Char"/>
    <w:link w:val="37"/>
    <w:uiPriority w:val="29"/>
    <w:rPr>
      <w:i/>
    </w:rPr>
  </w:style>
  <w:style w:type="paragraph" w:styleId="39">
    <w:name w:val="Intense Quote"/>
    <w:basedOn w:val="637"/>
    <w:next w:val="6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9"/>
    <w:link w:val="648"/>
    <w:uiPriority w:val="99"/>
  </w:style>
  <w:style w:type="character" w:styleId="44">
    <w:name w:val="Footer Char"/>
    <w:basedOn w:val="639"/>
    <w:link w:val="647"/>
    <w:uiPriority w:val="99"/>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character" w:styleId="46">
    <w:name w:val="Caption Char"/>
    <w:basedOn w:val="45"/>
    <w:link w:val="647"/>
    <w:uiPriority w:val="99"/>
  </w:style>
  <w:style w:type="table" w:styleId="48">
    <w:name w:val="Table Grid Light"/>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9"/>
    <w:uiPriority w:val="99"/>
    <w:unhideWhenUsed/>
    <w:rPr>
      <w:vertAlign w:val="superscript"/>
    </w:rPr>
  </w:style>
  <w:style w:type="paragraph" w:styleId="177">
    <w:name w:val="endnote text"/>
    <w:basedOn w:val="6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9"/>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8">
    <w:name w:val="Heading 2"/>
    <w:basedOn w:val="637"/>
    <w:next w:val="63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9" w:default="1">
    <w:name w:val="Default Paragraph Font"/>
    <w:uiPriority w:val="1"/>
    <w:semiHidden/>
    <w:unhideWhenUsed/>
    <w:qFormat/>
  </w:style>
  <w:style w:type="table" w:styleId="640" w:default="1">
    <w:name w:val="Normal Table"/>
    <w:uiPriority w:val="99"/>
    <w:semiHidden/>
    <w:unhideWhenUsed/>
    <w:qFormat/>
    <w:tblPr>
      <w:tblCellMar>
        <w:left w:w="108" w:type="dxa"/>
        <w:top w:w="0" w:type="dxa"/>
        <w:right w:w="108" w:type="dxa"/>
        <w:bottom w:w="0" w:type="dxa"/>
      </w:tblCellMar>
    </w:tblPr>
  </w:style>
  <w:style w:type="paragraph" w:styleId="641">
    <w:name w:val="annotation text"/>
    <w:basedOn w:val="637"/>
    <w:uiPriority w:val="0"/>
    <w:qFormat/>
    <w:pPr>
      <w:jc w:val="left"/>
    </w:pPr>
  </w:style>
  <w:style w:type="paragraph" w:styleId="642">
    <w:name w:val="Body Text"/>
    <w:basedOn w:val="637"/>
    <w:next w:val="643"/>
    <w:uiPriority w:val="0"/>
    <w:qFormat/>
    <w:pPr>
      <w:spacing w:after="120"/>
    </w:pPr>
  </w:style>
  <w:style w:type="paragraph" w:styleId="643">
    <w:name w:val="Body Text First Indent"/>
    <w:basedOn w:val="642"/>
    <w:next w:val="644"/>
    <w:uiPriority w:val="0"/>
    <w:qFormat/>
    <w:pPr>
      <w:ind w:firstLine="200"/>
      <w:spacing w:line="360" w:lineRule="auto"/>
    </w:pPr>
    <w:rPr>
      <w:rFonts w:ascii="仿宋_GB2312" w:eastAsia="仿宋_GB2312"/>
      <w:sz w:val="30"/>
      <w:szCs w:val="30"/>
    </w:rPr>
  </w:style>
  <w:style w:type="paragraph" w:styleId="644">
    <w:name w:val="toc 6"/>
    <w:basedOn w:val="637"/>
    <w:next w:val="637"/>
    <w:uiPriority w:val="0"/>
    <w:semiHidden/>
    <w:qFormat/>
    <w:pPr>
      <w:ind w:left="2100"/>
    </w:pPr>
  </w:style>
  <w:style w:type="paragraph" w:styleId="645">
    <w:name w:val="Body Text Indent"/>
    <w:basedOn w:val="637"/>
    <w:next w:val="637"/>
    <w:uiPriority w:val="0"/>
    <w:qFormat/>
    <w:pPr>
      <w:ind w:firstLine="645"/>
    </w:pPr>
    <w:rPr>
      <w:rFonts w:ascii="楷体_GB2312" w:eastAsia="楷体_GB2312"/>
      <w:sz w:val="32"/>
      <w:szCs w:val="32"/>
    </w:rPr>
  </w:style>
  <w:style w:type="paragraph" w:styleId="646">
    <w:name w:val="Plain Text"/>
    <w:basedOn w:val="637"/>
    <w:uiPriority w:val="0"/>
    <w:qFormat/>
    <w:pPr>
      <w:spacing w:after="0"/>
    </w:pPr>
    <w:rPr>
      <w:rFonts w:hint="eastAsia" w:ascii="宋体" w:hAnsi="Courier New" w:eastAsia="宋体" w:cs="Times New Roman"/>
      <w:szCs w:val="21"/>
    </w:rPr>
  </w:style>
  <w:style w:type="paragraph" w:styleId="647">
    <w:name w:val="Footer"/>
    <w:basedOn w:val="637"/>
    <w:link w:val="652"/>
    <w:uiPriority w:val="0"/>
    <w:qFormat/>
    <w:pPr>
      <w:jc w:val="left"/>
      <w:tabs>
        <w:tab w:val="center" w:pos="4153" w:leader="none"/>
        <w:tab w:val="right" w:pos="8306" w:leader="none"/>
      </w:tabs>
    </w:pPr>
    <w:rPr>
      <w:sz w:val="18"/>
      <w:szCs w:val="18"/>
    </w:rPr>
  </w:style>
  <w:style w:type="paragraph" w:styleId="648">
    <w:name w:val="Header"/>
    <w:basedOn w:val="637"/>
    <w:link w:val="651"/>
    <w:uiPriority w:val="0"/>
    <w:qFormat/>
    <w:pPr>
      <w:jc w:val="center"/>
      <w:tabs>
        <w:tab w:val="center" w:pos="4153" w:leader="none"/>
        <w:tab w:val="right" w:pos="8306" w:leader="none"/>
      </w:tabs>
      <w:pBdr>
        <w:bottom w:val="single" w:color="auto" w:sz="6" w:space="1"/>
      </w:pBdr>
    </w:pPr>
    <w:rPr>
      <w:sz w:val="18"/>
      <w:szCs w:val="18"/>
    </w:rPr>
  </w:style>
  <w:style w:type="paragraph" w:styleId="649">
    <w:name w:val="Normal (Web)"/>
    <w:basedOn w:val="637"/>
    <w:uiPriority w:val="0"/>
    <w:qFormat/>
    <w:pPr>
      <w:jc w:val="left"/>
      <w:spacing w:beforeAutospacing="1" w:afterAutospacing="1"/>
    </w:pPr>
    <w:rPr>
      <w:rFonts w:cs="Times New Roman"/>
      <w:sz w:val="24"/>
    </w:rPr>
  </w:style>
  <w:style w:type="table" w:styleId="650">
    <w:name w:val="Table Grid"/>
    <w:basedOn w:val="6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1" w:customStyle="1">
    <w:name w:val="页眉 Char"/>
    <w:basedOn w:val="639"/>
    <w:link w:val="648"/>
    <w:uiPriority w:val="0"/>
    <w:qFormat/>
    <w:rPr>
      <w:rFonts w:asciiTheme="minorHAnsi" w:hAnsiTheme="minorHAnsi" w:eastAsiaTheme="minorEastAsia" w:cstheme="minorBidi"/>
      <w:sz w:val="18"/>
      <w:szCs w:val="18"/>
    </w:rPr>
  </w:style>
  <w:style w:type="character" w:styleId="652" w:customStyle="1">
    <w:name w:val="页脚 Char"/>
    <w:basedOn w:val="639"/>
    <w:link w:val="647"/>
    <w:uiPriority w:val="0"/>
    <w:qFormat/>
    <w:rPr>
      <w:rFonts w:asciiTheme="minorHAnsi" w:hAnsiTheme="minorHAnsi" w:eastAsiaTheme="minorEastAsia" w:cstheme="minorBidi"/>
      <w:sz w:val="18"/>
      <w:szCs w:val="18"/>
    </w:rPr>
  </w:style>
  <w:style w:type="paragraph" w:styleId="653" w:customStyle="1">
    <w:name w:val="正文首行缩进 21"/>
    <w:basedOn w:val="645"/>
    <w:uiPriority w:val="0"/>
    <w:qFormat/>
    <w:pPr>
      <w:ind w:firstLine="420"/>
    </w:pPr>
  </w:style>
  <w:style w:type="paragraph" w:styleId="654" w:customStyle="1">
    <w:name w:val="正文文本缩进1"/>
    <w:basedOn w:val="637"/>
    <w:uiPriority w:val="0"/>
    <w:qFormat/>
    <w:pPr>
      <w:ind w:left="420"/>
      <w:spacing w:after="120"/>
    </w:pPr>
  </w:style>
  <w:style w:type="paragraph" w:styleId="655" w:customStyle="1">
    <w:name w:val="普通(网站)1"/>
    <w:basedOn w:val="637"/>
    <w:uiPriority w:val="0"/>
    <w:unhideWhenUsed/>
    <w:qFormat/>
    <w:pPr>
      <w:jc w:val="left"/>
      <w:spacing w:before="100" w:beforeAutospacing="1" w:after="100" w:afterAutospacing="1"/>
      <w:widowControl/>
    </w:pPr>
    <w:rPr>
      <w:rFonts w:ascii="宋体" w:hAnsi="宋体" w:cs="宋体"/>
      <w:sz w:val="24"/>
    </w:rPr>
  </w:style>
  <w:style w:type="paragraph" w:styleId="656" w:customStyle="1">
    <w:name w:val="段"/>
    <w:next w:val="65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657" w:customStyle="1">
    <w:name w:val="正文 A"/>
    <w:next w:val="656"/>
    <w:uiPriority w:val="0"/>
    <w:qFormat/>
    <w:pPr>
      <w:jc w:val="both"/>
      <w:widowControl w:val="off"/>
    </w:pPr>
    <w:rPr>
      <w:rFonts w:ascii="Times New Roman" w:hAnsi="Times New Roman" w:eastAsia="Calibri" w:cs="Calibri"/>
      <w:color w:val="000000"/>
      <w:sz w:val="21"/>
      <w:szCs w:val="21"/>
      <w:lang w:val="en-US" w:eastAsia="zh-CN" w:bidi="ar-SA"/>
    </w:rPr>
  </w:style>
  <w:style w:type="numbering" w:styleId="10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陈铭</cp:lastModifiedBy>
  <cp:revision>70</cp:revision>
  <dcterms:created xsi:type="dcterms:W3CDTF">2014-10-29T12:08:00Z</dcterms:created>
  <dcterms:modified xsi:type="dcterms:W3CDTF">2026-05-25T07:36:52Z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7C08DE64E46D4505B21608E1B9DF6513_13</vt:lpwstr>
  </property>
  <property fmtid="{D5CDD505-2E9C-101B-9397-08002B2CF9AE}" pid="4" name="KSOTemplateDocerSaveRecord">
    <vt:lpwstr>eyJoZGlkIjoiMTUzYmVjNmQ4YjhjYTVlNTVkNTIxN2EyZTRhZjI3NDYiLCJ1c2VySWQiOiIyNjY5ODk2MiJ9</vt:lpwstr>
  </property>
</Properties>
</file>