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5"/>
        <w:spacing w:before="120" w:beforeAutospacing="0" w:after="120" w:afterAutospacing="0" w:line="360" w:lineRule="auto"/>
        <w:rPr>
          <w:rFonts w:ascii="宋体" w:hAnsi="宋体" w:eastAsia="宋体" w:cs="Arial"/>
          <w:b/>
          <w:color w:val="auto"/>
          <w:sz w:val="84"/>
          <w:szCs w:val="84"/>
          <w:highlight w:val="none"/>
        </w:rPr>
      </w:pPr>
      <w:r>
        <w:rPr>
          <w:rFonts w:hint="eastAsia" w:ascii="宋体" w:hAnsi="宋体" w:eastAsia="宋体" w:cs="Arial"/>
          <w:b/>
          <w:color w:val="auto"/>
          <w:sz w:val="84"/>
          <w:szCs w:val="84"/>
          <w:highlight w:val="none"/>
        </w:rPr>
        <w:t xml:space="preserve"> </w:t>
      </w:r>
      <w:r/>
    </w:p>
    <w:p>
      <w:pPr>
        <w:pStyle w:val="785"/>
        <w:jc w:val="center"/>
        <w:spacing w:before="120" w:beforeAutospacing="0" w:after="120" w:afterAutospacing="0" w:line="360" w:lineRule="auto"/>
        <w:rPr>
          <w:rFonts w:ascii="宋体" w:hAnsi="宋体" w:eastAsia="宋体" w:cs="Arial"/>
          <w:b/>
          <w:color w:val="auto"/>
          <w:sz w:val="84"/>
          <w:szCs w:val="84"/>
          <w:highlight w:val="none"/>
        </w:rPr>
      </w:pPr>
      <w:r>
        <w:rPr>
          <w:rFonts w:ascii="宋体" w:hAnsi="宋体" w:eastAsia="宋体" w:cs="Arial"/>
          <w:b/>
          <w:color w:val="auto"/>
          <w:sz w:val="84"/>
          <w:szCs w:val="84"/>
          <w:highlight w:val="none"/>
        </w:rPr>
      </w:r>
      <w:r/>
    </w:p>
    <w:p>
      <w:pPr>
        <w:pStyle w:val="785"/>
        <w:jc w:val="center"/>
        <w:spacing w:before="120" w:beforeAutospacing="0" w:after="120" w:afterAutospacing="0" w:line="360" w:lineRule="auto"/>
        <w:rPr>
          <w:rFonts w:ascii="宋体" w:hAnsi="宋体" w:eastAsia="宋体"/>
          <w:color w:val="auto"/>
          <w:highlight w:val="none"/>
        </w:rPr>
      </w:pPr>
      <w:r>
        <w:rPr>
          <w:rFonts w:ascii="宋体" w:hAnsi="宋体" w:eastAsia="宋体" w:cs="Arial"/>
          <w:b/>
          <w:color w:val="auto"/>
          <w:sz w:val="84"/>
          <w:szCs w:val="84"/>
          <w:highlight w:val="none"/>
        </w:rPr>
        <w:t xml:space="preserve">招 标 文 件</w:t>
      </w:r>
      <w:r/>
    </w:p>
    <w:p>
      <w:pPr>
        <w:pStyle w:val="785"/>
        <w:ind w:firstLine="640"/>
        <w:spacing w:before="120" w:beforeAutospacing="0" w:after="120" w:afterAutospacing="0" w:line="360" w:lineRule="auto"/>
        <w:rPr>
          <w:rFonts w:ascii="宋体" w:hAnsi="宋体" w:eastAsia="宋体" w:cs="Arial"/>
          <w:b/>
          <w:color w:val="auto"/>
          <w:sz w:val="32"/>
          <w:szCs w:val="32"/>
          <w:highlight w:val="none"/>
        </w:rPr>
      </w:pPr>
      <w:r>
        <w:rPr>
          <w:rFonts w:ascii="宋体" w:hAnsi="宋体" w:eastAsia="宋体" w:cs="Arial"/>
          <w:b/>
          <w:color w:val="auto"/>
          <w:sz w:val="32"/>
          <w:szCs w:val="32"/>
          <w:highlight w:val="none"/>
        </w:rPr>
      </w:r>
      <w:r/>
    </w:p>
    <w:p>
      <w:pPr>
        <w:pStyle w:val="785"/>
        <w:ind w:firstLine="0"/>
        <w:spacing w:beforeAutospacing="0" w:afterAutospacing="0" w:line="480" w:lineRule="auto"/>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r>
      <w:r/>
    </w:p>
    <w:p>
      <w:pPr>
        <w:pStyle w:val="785"/>
        <w:ind w:firstLine="1285"/>
        <w:spacing w:beforeAutospacing="0" w:afterAutospacing="0" w:line="480" w:lineRule="auto"/>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t xml:space="preserve">项目编号：JSZC-320991-ZCGL-G2026-0003</w:t>
      </w:r>
      <w:r/>
    </w:p>
    <w:p>
      <w:pPr>
        <w:pStyle w:val="785"/>
        <w:ind w:firstLine="1285"/>
        <w:jc w:val="both"/>
        <w:spacing w:beforeAutospacing="0" w:afterAutospacing="0" w:line="480" w:lineRule="auto"/>
        <w:rPr>
          <w:rFonts w:hint="eastAsia" w:ascii="宋体" w:hAnsi="宋体" w:eastAsia="宋体"/>
          <w:b/>
          <w:color w:val="auto"/>
          <w:sz w:val="32"/>
          <w:szCs w:val="32"/>
          <w:highlight w:val="none"/>
          <w:lang w:eastAsia="zh-CN"/>
        </w:rPr>
      </w:pPr>
      <w:r>
        <w:rPr>
          <w:rFonts w:hint="eastAsia" w:ascii="宋体" w:hAnsi="宋体" w:eastAsia="宋体"/>
          <w:b/>
          <w:color w:val="auto"/>
          <w:sz w:val="32"/>
          <w:szCs w:val="32"/>
          <w:highlight w:val="none"/>
        </w:rPr>
        <w:t xml:space="preserve">项目名称：</w:t>
      </w:r>
      <w:r>
        <w:rPr>
          <w:rFonts w:hint="eastAsia" w:ascii="宋体" w:hAnsi="宋体" w:eastAsia="宋体"/>
          <w:b/>
          <w:color w:val="auto"/>
          <w:sz w:val="32"/>
          <w:szCs w:val="32"/>
          <w:highlight w:val="none"/>
          <w:lang w:eastAsia="zh-CN"/>
        </w:rPr>
        <w:t xml:space="preserve">通榆河漂浮物市场化打捞服务项目</w:t>
      </w:r>
      <w:r/>
    </w:p>
    <w:p>
      <w:pPr>
        <w:pStyle w:val="785"/>
        <w:spacing w:beforeAutospacing="0" w:afterAutospacing="0" w:line="480" w:lineRule="auto"/>
        <w:rPr>
          <w:rFonts w:ascii="宋体" w:hAnsi="宋体" w:eastAsia="宋体"/>
          <w:color w:val="auto"/>
          <w:sz w:val="32"/>
          <w:szCs w:val="32"/>
          <w:highlight w:val="none"/>
        </w:rPr>
      </w:pPr>
      <w:r>
        <w:rPr>
          <w:rFonts w:ascii="宋体" w:hAnsi="宋体" w:eastAsia="宋体"/>
          <w:color w:val="auto"/>
          <w:sz w:val="32"/>
          <w:szCs w:val="32"/>
          <w:highlight w:val="none"/>
        </w:rPr>
        <w:t xml:space="preserve"> </w:t>
      </w:r>
      <w:r/>
    </w:p>
    <w:p>
      <w:pPr>
        <w:pStyle w:val="785"/>
        <w:spacing w:beforeAutospacing="0" w:afterAutospacing="0" w:line="480" w:lineRule="auto"/>
        <w:rPr>
          <w:rFonts w:ascii="宋体" w:hAnsi="宋体" w:eastAsia="宋体"/>
          <w:color w:val="auto"/>
          <w:sz w:val="32"/>
          <w:szCs w:val="32"/>
          <w:highlight w:val="none"/>
        </w:rPr>
      </w:pPr>
      <w:r>
        <w:rPr>
          <w:rFonts w:ascii="宋体" w:hAnsi="宋体" w:eastAsia="宋体"/>
          <w:color w:val="auto"/>
          <w:sz w:val="32"/>
          <w:szCs w:val="32"/>
          <w:highlight w:val="none"/>
        </w:rPr>
        <w:t xml:space="preserve"> </w:t>
      </w:r>
      <w:r/>
    </w:p>
    <w:p>
      <w:pPr>
        <w:pStyle w:val="785"/>
        <w:ind w:firstLine="643"/>
        <w:jc w:val="center"/>
        <w:spacing w:before="120" w:beforeAutospacing="0" w:after="120" w:afterAutospacing="0"/>
        <w:rPr>
          <w:rFonts w:ascii="宋体" w:hAnsi="宋体" w:eastAsia="宋体" w:cs="Arial"/>
          <w:b/>
          <w:color w:val="auto"/>
          <w:sz w:val="32"/>
          <w:szCs w:val="32"/>
          <w:highlight w:val="none"/>
        </w:rPr>
      </w:pPr>
      <w:r>
        <w:rPr>
          <w:rFonts w:ascii="宋体" w:hAnsi="宋体" w:eastAsia="宋体" w:cs="Arial"/>
          <w:b/>
          <w:color w:val="auto"/>
          <w:sz w:val="32"/>
          <w:szCs w:val="32"/>
          <w:highlight w:val="none"/>
        </w:rPr>
      </w:r>
      <w:r/>
    </w:p>
    <w:p>
      <w:pPr>
        <w:pStyle w:val="785"/>
        <w:ind w:firstLine="643"/>
        <w:jc w:val="center"/>
        <w:spacing w:before="120" w:beforeAutospacing="0" w:after="120" w:afterAutospacing="0"/>
        <w:rPr>
          <w:rFonts w:hint="eastAsia" w:ascii="宋体" w:hAnsi="宋体" w:eastAsia="宋体" w:cs="Arial"/>
          <w:b/>
          <w:color w:val="auto"/>
          <w:sz w:val="32"/>
          <w:szCs w:val="32"/>
          <w:highlight w:val="none"/>
        </w:rPr>
      </w:pPr>
      <w:r>
        <w:rPr>
          <w:rFonts w:hint="eastAsia" w:ascii="宋体" w:hAnsi="宋体" w:eastAsia="宋体" w:cs="Arial"/>
          <w:b/>
          <w:color w:val="auto"/>
          <w:sz w:val="32"/>
          <w:szCs w:val="32"/>
          <w:highlight w:val="none"/>
        </w:rPr>
      </w:r>
      <w:r/>
    </w:p>
    <w:p>
      <w:pPr>
        <w:pStyle w:val="785"/>
        <w:ind w:firstLine="643"/>
        <w:jc w:val="center"/>
        <w:spacing w:before="120" w:beforeAutospacing="0" w:after="120" w:afterAutospacing="0"/>
        <w:rPr>
          <w:rFonts w:hint="eastAsia" w:ascii="宋体" w:hAnsi="宋体" w:eastAsia="宋体" w:cs="Arial"/>
          <w:b/>
          <w:color w:val="auto"/>
          <w:sz w:val="32"/>
          <w:szCs w:val="32"/>
          <w:highlight w:val="none"/>
        </w:rPr>
      </w:pPr>
      <w:r>
        <w:rPr>
          <w:rFonts w:hint="eastAsia" w:ascii="宋体" w:hAnsi="宋体" w:eastAsia="宋体" w:cs="Arial"/>
          <w:b/>
          <w:color w:val="auto"/>
          <w:sz w:val="32"/>
          <w:szCs w:val="32"/>
          <w:highlight w:val="none"/>
        </w:rPr>
      </w:r>
      <w:r/>
    </w:p>
    <w:p>
      <w:pPr>
        <w:pStyle w:val="785"/>
        <w:ind w:firstLine="643"/>
        <w:jc w:val="center"/>
        <w:spacing w:before="120" w:beforeAutospacing="0" w:after="120" w:afterAutospacing="0"/>
        <w:rPr>
          <w:rFonts w:ascii="宋体" w:hAnsi="宋体" w:eastAsia="宋体" w:cs="Arial"/>
          <w:b/>
          <w:color w:val="auto"/>
          <w:sz w:val="32"/>
          <w:szCs w:val="32"/>
          <w:highlight w:val="none"/>
        </w:rPr>
      </w:pPr>
      <w:r>
        <w:rPr>
          <w:rFonts w:hint="eastAsia" w:ascii="宋体" w:hAnsi="宋体" w:eastAsia="宋体" w:cs="Arial"/>
          <w:b/>
          <w:color w:val="auto"/>
          <w:sz w:val="32"/>
          <w:szCs w:val="32"/>
          <w:highlight w:val="none"/>
        </w:rPr>
        <w:t xml:space="preserve">盐城经济技术开发区住房保障和建设局</w:t>
      </w:r>
      <w:r/>
    </w:p>
    <w:p>
      <w:pPr>
        <w:pStyle w:val="785"/>
        <w:ind w:firstLine="643"/>
        <w:jc w:val="center"/>
        <w:spacing w:before="120" w:beforeAutospacing="0" w:after="120" w:afterAutospacing="0"/>
        <w:rPr>
          <w:rFonts w:ascii="宋体" w:hAnsi="宋体" w:eastAsia="宋体" w:cs="Arial"/>
          <w:b/>
          <w:color w:val="auto"/>
          <w:sz w:val="32"/>
          <w:szCs w:val="32"/>
          <w:highlight w:val="none"/>
        </w:rPr>
      </w:pPr>
      <w:r>
        <w:rPr>
          <w:rFonts w:hint="eastAsia" w:ascii="宋体" w:hAnsi="宋体" w:eastAsia="宋体" w:cs="Arial"/>
          <w:b/>
          <w:color w:val="auto"/>
          <w:sz w:val="32"/>
          <w:szCs w:val="32"/>
          <w:highlight w:val="none"/>
        </w:rPr>
        <w:t xml:space="preserve">202</w:t>
      </w:r>
      <w:r>
        <w:rPr>
          <w:rFonts w:hint="eastAsia" w:ascii="宋体" w:hAnsi="宋体" w:eastAsia="宋体" w:cs="Arial"/>
          <w:b/>
          <w:color w:val="auto"/>
          <w:sz w:val="32"/>
          <w:szCs w:val="32"/>
          <w:highlight w:val="none"/>
          <w:lang w:val="en-US" w:eastAsia="zh-CN"/>
        </w:rPr>
        <w:t xml:space="preserve">6</w:t>
      </w:r>
      <w:r>
        <w:rPr>
          <w:rFonts w:ascii="宋体" w:hAnsi="宋体" w:eastAsia="宋体" w:cs="Arial"/>
          <w:b/>
          <w:color w:val="auto"/>
          <w:sz w:val="32"/>
          <w:szCs w:val="32"/>
          <w:highlight w:val="none"/>
        </w:rPr>
        <w:t xml:space="preserve">年</w:t>
      </w:r>
      <w:r>
        <w:rPr>
          <w:rFonts w:hint="eastAsia" w:ascii="宋体" w:hAnsi="宋体" w:eastAsia="宋体" w:cs="Arial"/>
          <w:b/>
          <w:color w:val="auto"/>
          <w:sz w:val="32"/>
          <w:szCs w:val="32"/>
          <w:highlight w:val="none"/>
          <w:lang w:val="en-US" w:eastAsia="zh-CN"/>
        </w:rPr>
        <w:t xml:space="preserve">6</w:t>
      </w:r>
      <w:r>
        <w:rPr>
          <w:rFonts w:hint="eastAsia" w:ascii="宋体" w:hAnsi="宋体" w:eastAsia="宋体" w:cs="Arial"/>
          <w:b/>
          <w:color w:val="auto"/>
          <w:sz w:val="32"/>
          <w:szCs w:val="32"/>
          <w:highlight w:val="none"/>
        </w:rPr>
        <w:t xml:space="preserve">月</w:t>
      </w:r>
      <w:r/>
    </w:p>
    <w:p>
      <w:pPr>
        <w:pStyle w:val="785"/>
        <w:spacing w:before="120" w:beforeAutospacing="0" w:after="120" w:afterAutospacing="0" w:line="480" w:lineRule="auto"/>
        <w:rPr>
          <w:rFonts w:ascii="宋体" w:hAnsi="宋体" w:eastAsia="宋体"/>
          <w:color w:val="auto"/>
          <w:highlight w:val="none"/>
        </w:rPr>
      </w:pPr>
      <w:r>
        <w:rPr>
          <w:rFonts w:ascii="宋体" w:hAnsi="宋体" w:eastAsia="宋体" w:cs="Arial"/>
          <w:color w:val="auto"/>
          <w:highlight w:val="none"/>
        </w:rPr>
        <w:t xml:space="preserve">                        </w:t>
      </w:r>
      <w:r/>
    </w:p>
    <w:p>
      <w:pPr>
        <w:pStyle w:val="785"/>
        <w:jc w:val="center"/>
        <w:spacing w:before="120" w:beforeAutospacing="0" w:after="120" w:afterAutospacing="0" w:line="360" w:lineRule="auto"/>
        <w:rPr>
          <w:rFonts w:ascii="宋体" w:hAnsi="宋体" w:eastAsia="宋体"/>
          <w:color w:val="auto"/>
          <w:highlight w:val="none"/>
        </w:rPr>
      </w:pPr>
      <w:r>
        <w:rPr>
          <w:rFonts w:ascii="宋体" w:hAnsi="宋体" w:eastAsia="宋体"/>
          <w:color w:val="auto"/>
          <w:highlight w:val="none"/>
        </w:rPr>
        <w:t xml:space="preserve"> </w:t>
      </w:r>
      <w:bookmarkStart w:id="0" w:name="_Toc120614210"/>
      <w:r/>
      <w:bookmarkStart w:id="1" w:name="_Toc513029200"/>
      <w:r/>
      <w:bookmarkStart w:id="2" w:name="_Toc523127445"/>
      <w:r/>
      <w:bookmarkStart w:id="3" w:name="_Toc479757206"/>
      <w:r/>
      <w:bookmarkStart w:id="4" w:name="_Toc16938516"/>
      <w:r/>
      <w:bookmarkStart w:id="5" w:name="_Toc20823272"/>
      <w:r/>
      <w:r/>
    </w:p>
    <w:p>
      <w:pPr>
        <w:pStyle w:val="787"/>
        <w:jc w:val="center"/>
        <w:rPr>
          <w:rFonts w:ascii="宋体" w:hAnsi="宋体"/>
          <w:color w:val="auto"/>
          <w:highlight w:val="none"/>
        </w:rPr>
      </w:pPr>
      <w:r>
        <w:rPr>
          <w:rFonts w:ascii="宋体" w:hAnsi="宋体" w:cs="黑体"/>
          <w:b/>
          <w:color w:val="auto"/>
          <w:sz w:val="44"/>
          <w:szCs w:val="44"/>
          <w:highlight w:val="none"/>
        </w:rPr>
        <w:t xml:space="preserve">总  目  录</w:t>
      </w:r>
      <w:bookmarkEnd w:id="0"/>
      <w:r/>
      <w:bookmarkEnd w:id="1"/>
      <w:r/>
      <w:bookmarkEnd w:id="2"/>
      <w:r/>
      <w:bookmarkEnd w:id="3"/>
      <w:r/>
      <w:bookmarkEnd w:id="4"/>
      <w:r/>
      <w:bookmarkEnd w:id="5"/>
      <w:r/>
      <w:r/>
    </w:p>
    <w:p>
      <w:pPr>
        <w:pStyle w:val="785"/>
        <w:ind w:firstLine="723"/>
        <w:jc w:val="both"/>
        <w:spacing w:beforeAutospacing="0" w:afterAutospacing="0" w:line="720" w:lineRule="exact"/>
        <w:tabs>
          <w:tab w:val="left" w:pos="1441" w:leader="none"/>
        </w:tabs>
        <w:rPr>
          <w:rFonts w:ascii="宋体" w:hAnsi="宋体" w:eastAsia="宋体"/>
          <w:color w:val="auto"/>
          <w:sz w:val="32"/>
          <w:szCs w:val="32"/>
          <w:highlight w:val="none"/>
        </w:rPr>
      </w:pPr>
      <w:r>
        <w:rPr>
          <w:rFonts w:hint="eastAsia" w:ascii="宋体" w:hAnsi="宋体" w:eastAsia="宋体" w:cs="黑体"/>
          <w:color w:val="auto"/>
          <w:sz w:val="32"/>
          <w:szCs w:val="32"/>
          <w:highlight w:val="none"/>
        </w:rPr>
        <w:t xml:space="preserve">第一章 招标公告……………………………………3</w:t>
      </w:r>
      <w:r/>
    </w:p>
    <w:p>
      <w:pPr>
        <w:pStyle w:val="785"/>
        <w:ind w:firstLine="723"/>
        <w:jc w:val="both"/>
        <w:spacing w:beforeAutospacing="0" w:afterAutospacing="0" w:line="720" w:lineRule="exact"/>
        <w:tabs>
          <w:tab w:val="left" w:pos="1441" w:leader="none"/>
        </w:tabs>
        <w:rPr>
          <w:rFonts w:ascii="宋体" w:hAnsi="宋体" w:eastAsia="宋体"/>
          <w:color w:val="auto"/>
          <w:sz w:val="32"/>
          <w:szCs w:val="32"/>
          <w:highlight w:val="none"/>
        </w:rPr>
      </w:pPr>
      <w:r>
        <w:rPr>
          <w:rFonts w:hint="eastAsia" w:ascii="宋体" w:hAnsi="宋体" w:eastAsia="宋体" w:cs="黑体"/>
          <w:color w:val="auto"/>
          <w:sz w:val="32"/>
          <w:szCs w:val="32"/>
          <w:highlight w:val="none"/>
        </w:rPr>
        <w:t xml:space="preserve">第二章 投标人须知…………………………………6</w:t>
      </w:r>
      <w:r/>
    </w:p>
    <w:p>
      <w:pPr>
        <w:pStyle w:val="785"/>
        <w:ind w:firstLine="723"/>
        <w:jc w:val="both"/>
        <w:spacing w:beforeAutospacing="0" w:afterAutospacing="0" w:line="720" w:lineRule="exact"/>
        <w:tabs>
          <w:tab w:val="left" w:pos="1441" w:leader="none"/>
        </w:tabs>
        <w:rPr>
          <w:rFonts w:ascii="宋体" w:hAnsi="宋体" w:eastAsia="宋体"/>
          <w:color w:val="auto"/>
          <w:sz w:val="32"/>
          <w:szCs w:val="32"/>
          <w:highlight w:val="none"/>
        </w:rPr>
      </w:pPr>
      <w:r>
        <w:rPr>
          <w:rFonts w:hint="eastAsia" w:ascii="宋体" w:hAnsi="宋体" w:eastAsia="宋体" w:cs="黑体"/>
          <w:color w:val="auto"/>
          <w:sz w:val="32"/>
          <w:szCs w:val="32"/>
          <w:highlight w:val="none"/>
        </w:rPr>
        <w:t xml:space="preserve">第三章 合同条款……………………………………20</w:t>
      </w:r>
      <w:r/>
    </w:p>
    <w:p>
      <w:pPr>
        <w:pStyle w:val="785"/>
        <w:ind w:firstLine="723"/>
        <w:jc w:val="both"/>
        <w:spacing w:beforeAutospacing="0" w:afterAutospacing="0" w:line="720" w:lineRule="exact"/>
        <w:tabs>
          <w:tab w:val="left" w:pos="1441" w:leader="none"/>
        </w:tabs>
        <w:rPr>
          <w:rFonts w:hint="eastAsia" w:ascii="宋体" w:hAnsi="宋体" w:eastAsia="宋体"/>
          <w:color w:val="auto"/>
          <w:sz w:val="32"/>
          <w:szCs w:val="32"/>
          <w:highlight w:val="none"/>
          <w:lang w:eastAsia="zh-CN"/>
        </w:rPr>
      </w:pPr>
      <w:r>
        <w:rPr>
          <w:rFonts w:hint="eastAsia" w:ascii="宋体" w:hAnsi="宋体" w:eastAsia="宋体" w:cs="黑体"/>
          <w:color w:val="auto"/>
          <w:sz w:val="32"/>
          <w:szCs w:val="32"/>
          <w:highlight w:val="none"/>
        </w:rPr>
        <w:t xml:space="preserve">第四章 采购需求……………………………………2</w:t>
      </w:r>
      <w:r>
        <w:rPr>
          <w:rFonts w:hint="eastAsia" w:ascii="宋体" w:hAnsi="宋体" w:eastAsia="宋体" w:cs="黑体"/>
          <w:color w:val="auto"/>
          <w:sz w:val="32"/>
          <w:szCs w:val="32"/>
          <w:highlight w:val="none"/>
          <w:lang w:val="en-US" w:eastAsia="zh-CN"/>
        </w:rPr>
        <w:t xml:space="preserve">6</w:t>
      </w:r>
      <w:r/>
    </w:p>
    <w:p>
      <w:pPr>
        <w:pStyle w:val="785"/>
        <w:ind w:firstLine="723"/>
        <w:jc w:val="both"/>
        <w:spacing w:beforeAutospacing="0" w:afterAutospacing="0" w:line="720" w:lineRule="exact"/>
        <w:tabs>
          <w:tab w:val="left" w:pos="1441" w:leader="none"/>
        </w:tabs>
        <w:rPr>
          <w:rFonts w:hint="default" w:ascii="宋体" w:hAnsi="宋体" w:eastAsia="宋体"/>
          <w:color w:val="auto"/>
          <w:sz w:val="32"/>
          <w:szCs w:val="32"/>
          <w:highlight w:val="none"/>
          <w:lang w:val="en-US" w:eastAsia="zh-CN"/>
        </w:rPr>
      </w:pPr>
      <w:r>
        <w:rPr>
          <w:rFonts w:hint="eastAsia" w:ascii="宋体" w:hAnsi="宋体" w:eastAsia="宋体" w:cs="黑体"/>
          <w:color w:val="auto"/>
          <w:sz w:val="32"/>
          <w:szCs w:val="32"/>
          <w:highlight w:val="none"/>
        </w:rPr>
        <w:t xml:space="preserve">第五章 评标方法与评标标准………………………</w:t>
      </w:r>
      <w:r>
        <w:rPr>
          <w:rFonts w:hint="eastAsia" w:ascii="宋体" w:hAnsi="宋体" w:eastAsia="宋体" w:cs="黑体"/>
          <w:color w:val="auto"/>
          <w:sz w:val="32"/>
          <w:szCs w:val="32"/>
          <w:highlight w:val="none"/>
          <w:lang w:val="en-US" w:eastAsia="zh-CN"/>
        </w:rPr>
        <w:t xml:space="preserve">28</w:t>
      </w:r>
      <w:r/>
    </w:p>
    <w:p>
      <w:pPr>
        <w:pStyle w:val="785"/>
        <w:ind w:firstLine="723"/>
        <w:jc w:val="both"/>
        <w:spacing w:beforeAutospacing="0" w:afterAutospacing="0" w:line="720" w:lineRule="exact"/>
        <w:tabs>
          <w:tab w:val="left" w:pos="1441" w:leader="none"/>
        </w:tabs>
        <w:rPr>
          <w:rFonts w:hint="eastAsia" w:ascii="宋体" w:hAnsi="宋体" w:eastAsia="宋体"/>
          <w:color w:val="auto"/>
          <w:sz w:val="32"/>
          <w:szCs w:val="32"/>
          <w:highlight w:val="none"/>
          <w:lang w:eastAsia="zh-CN"/>
        </w:rPr>
      </w:pPr>
      <w:r>
        <w:rPr>
          <w:rFonts w:hint="eastAsia" w:ascii="宋体" w:hAnsi="宋体" w:eastAsia="宋体" w:cs="黑体"/>
          <w:color w:val="auto"/>
          <w:sz w:val="32"/>
          <w:szCs w:val="32"/>
          <w:highlight w:val="none"/>
        </w:rPr>
        <w:t xml:space="preserve">第六章 投标文件格式………………………………3</w:t>
      </w:r>
      <w:r>
        <w:rPr>
          <w:rFonts w:hint="eastAsia" w:ascii="宋体" w:hAnsi="宋体" w:eastAsia="宋体" w:cs="黑体"/>
          <w:color w:val="auto"/>
          <w:sz w:val="32"/>
          <w:szCs w:val="32"/>
          <w:highlight w:val="none"/>
          <w:lang w:val="en-US" w:eastAsia="zh-CN"/>
        </w:rPr>
        <w:t xml:space="preserve">2</w:t>
      </w:r>
      <w:r/>
    </w:p>
    <w:p>
      <w:pPr>
        <w:pStyle w:val="785"/>
        <w:jc w:val="both"/>
        <w:spacing w:beforeAutospacing="0" w:afterAutospacing="0" w:line="720" w:lineRule="exact"/>
        <w:rPr>
          <w:rFonts w:ascii="宋体" w:hAnsi="宋体" w:eastAsia="宋体"/>
          <w:color w:val="auto"/>
          <w:sz w:val="32"/>
          <w:szCs w:val="32"/>
          <w:highlight w:val="none"/>
        </w:rPr>
      </w:pPr>
      <w:r>
        <w:rPr>
          <w:rFonts w:ascii="宋体" w:hAnsi="宋体" w:eastAsia="宋体"/>
          <w:color w:val="auto"/>
          <w:sz w:val="32"/>
          <w:szCs w:val="32"/>
          <w:highlight w:val="none"/>
        </w:rPr>
        <w:t xml:space="preserve"> </w:t>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rPr>
          <w:rFonts w:ascii="宋体" w:hAnsi="宋体" w:eastAsia="宋体"/>
          <w:color w:val="auto"/>
          <w:highlight w:val="none"/>
        </w:rP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rPr>
          <w:rFonts w:ascii="宋体" w:hAnsi="宋体" w:eastAsia="宋体"/>
          <w:color w:val="auto"/>
          <w:highlight w:val="none"/>
        </w:rP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rPr>
          <w:rFonts w:ascii="宋体" w:hAnsi="宋体" w:eastAsia="宋体"/>
          <w:color w:val="auto"/>
          <w:highlight w:val="none"/>
        </w:rP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rPr>
          <w:rFonts w:ascii="宋体" w:hAnsi="宋体" w:eastAsia="宋体"/>
          <w:color w:val="auto"/>
          <w:highlight w:val="none"/>
        </w:rP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rPr>
          <w:rFonts w:ascii="宋体" w:hAnsi="宋体" w:eastAsia="宋体"/>
          <w:color w:val="auto"/>
          <w:highlight w:val="none"/>
        </w:rP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rPr>
          <w:rFonts w:ascii="宋体" w:hAnsi="宋体" w:eastAsia="宋体"/>
          <w:color w:val="auto"/>
          <w:highlight w:val="none"/>
        </w:rP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rPr>
          <w:rFonts w:ascii="宋体" w:hAnsi="宋体" w:eastAsia="宋体"/>
          <w:color w:val="auto"/>
          <w:highlight w:val="none"/>
        </w:rP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rPr>
          <w:rFonts w:ascii="宋体" w:hAnsi="宋体" w:eastAsia="宋体"/>
          <w:color w:val="auto"/>
          <w:highlight w:val="none"/>
        </w:rP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rPr>
          <w:rFonts w:ascii="宋体" w:hAnsi="宋体" w:eastAsia="宋体"/>
          <w:color w:val="auto"/>
          <w:highlight w:val="none"/>
        </w:rP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ind w:firstLine="883"/>
        <w:jc w:val="center"/>
        <w:spacing w:beforeAutospacing="0" w:afterAutospacing="0"/>
        <w:rPr>
          <w:rFonts w:ascii="宋体" w:hAnsi="宋体" w:eastAsia="宋体"/>
          <w:b/>
          <w:color w:val="auto"/>
          <w:highlight w:val="none"/>
        </w:rPr>
      </w:pPr>
      <w:r>
        <w:rPr>
          <w:rFonts w:hint="eastAsia" w:ascii="宋体" w:hAnsi="宋体" w:eastAsia="宋体" w:cs="黑体"/>
          <w:b/>
          <w:color w:val="auto"/>
          <w:sz w:val="44"/>
          <w:szCs w:val="44"/>
          <w:highlight w:val="none"/>
        </w:rPr>
        <w:t xml:space="preserve">第一章 </w:t>
      </w:r>
      <w:bookmarkStart w:id="6" w:name="_Hlk213334991"/>
      <w:r>
        <w:rPr>
          <w:rFonts w:hint="eastAsia" w:ascii="宋体" w:hAnsi="宋体" w:eastAsia="宋体" w:cs="黑体"/>
          <w:b/>
          <w:color w:val="auto"/>
          <w:sz w:val="44"/>
          <w:szCs w:val="44"/>
          <w:highlight w:val="none"/>
        </w:rPr>
        <w:t xml:space="preserve">招标公告</w:t>
      </w:r>
      <w:r/>
    </w:p>
    <w:p>
      <w:pPr>
        <w:pStyle w:val="785"/>
        <w:jc w:val="both"/>
        <w:spacing w:beforeAutospacing="0" w:afterAutospacing="0" w:line="320" w:lineRule="exact"/>
        <w:rPr>
          <w:rFonts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2"/>
        <w:jc w:val="both"/>
        <w:spacing w:line="440" w:lineRule="exact"/>
        <w:widowControl w:val="off"/>
        <w:rPr>
          <w:rFonts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bookmarkStart w:id="7" w:name="_Hlk24379207"/>
      <w:r/>
      <w:bookmarkStart w:id="8" w:name="_Toc28359079"/>
      <w:r/>
      <w:bookmarkStart w:id="9" w:name="_Toc35393621"/>
      <w:r/>
      <w:bookmarkStart w:id="10" w:name="_Toc28359002"/>
      <w:r/>
      <w:bookmarkStart w:id="11" w:name="_Toc35393790"/>
      <w:r/>
      <w:bookmarkStart w:id="12" w:name="_Toc38985263"/>
      <w:r>
        <w:rPr>
          <w:rFonts w:hint="eastAsia" w:ascii="宋体" w:hAnsi="宋体" w:eastAsia="宋体" w:cs="宋体"/>
          <w:color w:val="auto"/>
          <w:sz w:val="24"/>
          <w:szCs w:val="24"/>
          <w:highlight w:val="none"/>
          <w:u w:val="single"/>
          <w:lang w:eastAsia="zh-CN"/>
        </w:rPr>
        <w:t xml:space="preserve">通榆河漂浮物市场化打捞服务项目</w:t>
      </w:r>
      <w:r>
        <w:rPr>
          <w:rFonts w:hint="eastAsia" w:ascii="宋体" w:hAnsi="宋体" w:eastAsia="宋体" w:cs="宋体"/>
          <w:color w:val="auto"/>
          <w:sz w:val="24"/>
          <w:szCs w:val="24"/>
          <w:highlight w:val="none"/>
          <w:u w:val="single"/>
        </w:rPr>
        <w:t xml:space="preserve"> JSZC-320991-ZCGL-G2026-0003</w:t>
      </w:r>
      <w:r>
        <w:rPr>
          <w:rFonts w:hint="eastAsia" w:ascii="宋体" w:hAnsi="宋体" w:eastAsia="宋体" w:cs="宋体"/>
          <w:color w:val="auto"/>
          <w:sz w:val="24"/>
          <w:szCs w:val="24"/>
          <w:highlight w:val="none"/>
        </w:rPr>
        <w:t xml:space="preserve">的潜在投标人可在</w:t>
      </w:r>
      <w:r>
        <w:rPr>
          <w:rFonts w:hint="eastAsia" w:ascii="宋体" w:hAnsi="宋体" w:eastAsia="宋体" w:cs="宋体"/>
          <w:color w:val="auto"/>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shd w:val="clear" w:color="auto" w:fill="ffffff"/>
        </w:rPr>
        <w:t xml:space="preserve">2026</w:t>
      </w:r>
      <w:r>
        <w:rPr>
          <w:rFonts w:hint="eastAsia" w:ascii="宋体" w:hAnsi="宋体" w:eastAsia="宋体" w:cs="宋体"/>
          <w:color w:val="auto"/>
          <w:sz w:val="24"/>
          <w:szCs w:val="24"/>
          <w:highlight w:val="none"/>
          <w:shd w:val="clear" w:color="auto" w:fill="ffffff"/>
          <w:lang w:val="en-US" w:eastAsia="zh-CN"/>
        </w:rPr>
        <w:t xml:space="preserve">年6月25日</w:t>
      </w:r>
      <w:r>
        <w:rPr>
          <w:rFonts w:hint="eastAsia" w:ascii="宋体" w:hAnsi="宋体" w:eastAsia="宋体" w:cs="宋体"/>
          <w:color w:val="auto"/>
          <w:sz w:val="24"/>
          <w:szCs w:val="24"/>
          <w:highlight w:val="none"/>
          <w:shd w:val="clear" w:color="auto" w:fill="ffffff"/>
        </w:rPr>
        <w:t xml:space="preserve">9:00</w:t>
      </w:r>
      <w:r>
        <w:rPr>
          <w:rFonts w:hint="eastAsia" w:ascii="宋体" w:hAnsi="宋体" w:eastAsia="宋体" w:cs="宋体"/>
          <w:color w:val="auto"/>
          <w:sz w:val="24"/>
          <w:szCs w:val="24"/>
          <w:highlight w:val="none"/>
        </w:rPr>
        <w:t xml:space="preserve">（北京时间）前递交投标文件。</w:t>
      </w:r>
      <w:r/>
    </w:p>
    <w:p>
      <w:pPr>
        <w:pStyle w:val="785"/>
        <w:ind w:firstLine="422"/>
        <w:jc w:val="both"/>
        <w:keepLines w:val="0"/>
        <w:keepNext w:val="0"/>
        <w:pageBreakBefore w:val="0"/>
        <w:spacing w:beforeAutospacing="0" w:afterAutospacing="0" w:line="420" w:lineRule="exact"/>
        <w:widowControl/>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ind w:firstLine="420"/>
        <w:keepLines w:val="0"/>
        <w:keepNext w:val="0"/>
        <w:pageBreakBefore w:val="0"/>
        <w:spacing w:line="420" w:lineRule="exact"/>
        <w:shd w:val="clear" w:color="auto" w:fill="ffffff"/>
        <w:widowControl/>
        <w:tabs>
          <w:tab w:val="right" w:pos="8312" w:leader="none"/>
        </w:tabs>
        <w:rPr>
          <w:rFonts w:hint="eastAsia" w:ascii="宋体" w:hAnsi="宋体" w:eastAsia="宋体" w:cs="仿宋"/>
          <w:color w:val="auto"/>
          <w:sz w:val="24"/>
          <w:szCs w:val="24"/>
          <w:highlight w:val="none"/>
          <w:shd w:val="clear" w:color="auto" w:fill="ffffff"/>
        </w:rPr>
      </w:pPr>
      <w:r>
        <w:rPr>
          <w:rFonts w:hint="eastAsia" w:ascii="宋体" w:hAnsi="宋体" w:eastAsia="宋体" w:cs="仿宋"/>
          <w:color w:val="auto"/>
          <w:sz w:val="24"/>
          <w:szCs w:val="24"/>
          <w:highlight w:val="none"/>
          <w:shd w:val="clear" w:color="auto" w:fill="ffffff"/>
        </w:rPr>
        <w:t xml:space="preserve">1.项目编</w:t>
      </w:r>
      <w:bookmarkStart w:id="13" w:name="OLE_LINK1"/>
      <w:r>
        <w:rPr>
          <w:rFonts w:hint="eastAsia" w:ascii="宋体" w:hAnsi="宋体" w:eastAsia="宋体" w:cs="仿宋"/>
          <w:color w:val="auto"/>
          <w:sz w:val="24"/>
          <w:szCs w:val="24"/>
          <w:highlight w:val="none"/>
          <w:shd w:val="clear" w:color="auto" w:fill="ffffff"/>
        </w:rPr>
        <w:t xml:space="preserve">号：</w:t>
      </w:r>
      <w:bookmarkEnd w:id="13"/>
      <w:r>
        <w:rPr>
          <w:rFonts w:hint="eastAsia" w:ascii="宋体" w:hAnsi="宋体" w:eastAsia="宋体" w:cs="仿宋"/>
          <w:color w:val="auto"/>
          <w:sz w:val="24"/>
          <w:szCs w:val="24"/>
          <w:highlight w:val="none"/>
          <w:shd w:val="clear" w:color="auto" w:fill="ffffff"/>
        </w:rPr>
        <w:t xml:space="preserve">JSZC-320991-ZCGL-G2026-0003</w:t>
      </w:r>
      <w:r/>
    </w:p>
    <w:p>
      <w:pPr>
        <w:ind w:firstLine="420"/>
        <w:keepLines w:val="0"/>
        <w:keepNext w:val="0"/>
        <w:pageBreakBefore w:val="0"/>
        <w:spacing w:line="420" w:lineRule="exact"/>
        <w:shd w:val="clear" w:color="auto" w:fill="ffffff"/>
        <w:widowControl/>
        <w:tabs>
          <w:tab w:val="right" w:pos="8312" w:leader="none"/>
        </w:tabs>
        <w:rPr>
          <w:rFonts w:hint="eastAsia" w:ascii="宋体" w:hAnsi="宋体" w:eastAsia="宋体" w:cs="仿宋"/>
          <w:color w:val="auto"/>
          <w:sz w:val="24"/>
          <w:szCs w:val="24"/>
          <w:highlight w:val="none"/>
          <w:shd w:val="clear" w:color="auto" w:fill="ffffff"/>
          <w:lang w:eastAsia="zh-CN"/>
        </w:rPr>
      </w:pPr>
      <w:r>
        <w:rPr>
          <w:rFonts w:hint="eastAsia" w:ascii="宋体" w:hAnsi="宋体" w:eastAsia="宋体" w:cs="仿宋"/>
          <w:color w:val="auto"/>
          <w:sz w:val="24"/>
          <w:szCs w:val="24"/>
          <w:highlight w:val="none"/>
          <w:shd w:val="clear" w:color="auto" w:fill="ffffff"/>
        </w:rPr>
        <w:t xml:space="preserve">2.项目名称：</w:t>
      </w:r>
      <w:r>
        <w:rPr>
          <w:rFonts w:hint="eastAsia" w:ascii="宋体" w:hAnsi="宋体" w:eastAsia="宋体" w:cs="仿宋"/>
          <w:color w:val="auto"/>
          <w:sz w:val="24"/>
          <w:szCs w:val="24"/>
          <w:highlight w:val="none"/>
          <w:shd w:val="clear" w:color="auto" w:fill="ffffff"/>
          <w:lang w:eastAsia="zh-CN"/>
        </w:rPr>
        <w:t xml:space="preserve">通榆河漂浮物市场化打捞服务项目</w:t>
      </w:r>
      <w:r/>
    </w:p>
    <w:p>
      <w:pPr>
        <w:ind w:firstLine="420"/>
        <w:keepLines w:val="0"/>
        <w:keepNext w:val="0"/>
        <w:pageBreakBefore w:val="0"/>
        <w:spacing w:line="420" w:lineRule="exact"/>
        <w:shd w:val="clear" w:color="auto" w:fill="ffffff"/>
        <w:widowControl/>
        <w:tabs>
          <w:tab w:val="right" w:pos="8312" w:leader="none"/>
        </w:tabs>
        <w:rPr>
          <w:rFonts w:ascii="宋体" w:hAnsi="宋体" w:eastAsia="宋体" w:cs="仿宋"/>
          <w:color w:val="auto"/>
          <w:sz w:val="24"/>
          <w:szCs w:val="24"/>
          <w:highlight w:val="none"/>
          <w:shd w:val="clear" w:color="auto" w:fill="ffffff"/>
        </w:rPr>
      </w:pPr>
      <w:r>
        <w:rPr>
          <w:rFonts w:hint="eastAsia" w:ascii="宋体" w:hAnsi="宋体" w:eastAsia="宋体" w:cs="仿宋"/>
          <w:color w:val="auto"/>
          <w:sz w:val="24"/>
          <w:szCs w:val="24"/>
          <w:highlight w:val="none"/>
          <w:shd w:val="clear" w:color="auto" w:fill="ffffff"/>
        </w:rPr>
        <w:t xml:space="preserve">3.采购方式：公开招标</w:t>
      </w:r>
      <w:r/>
    </w:p>
    <w:p>
      <w:pPr>
        <w:ind w:firstLine="420"/>
        <w:keepLines w:val="0"/>
        <w:keepNext w:val="0"/>
        <w:pageBreakBefore w:val="0"/>
        <w:spacing w:line="420" w:lineRule="exact"/>
        <w:shd w:val="clear" w:color="auto" w:fill="ffffff"/>
        <w:widowControl/>
        <w:tabs>
          <w:tab w:val="right" w:pos="8312" w:leader="none"/>
        </w:tabs>
        <w:rPr>
          <w:rFonts w:hint="eastAsia" w:ascii="宋体" w:hAnsi="宋体" w:eastAsia="宋体" w:cs="仿宋"/>
          <w:color w:val="auto"/>
          <w:sz w:val="24"/>
          <w:szCs w:val="24"/>
          <w:highlight w:val="none"/>
          <w:shd w:val="clear" w:color="auto" w:fill="ffffff"/>
          <w:lang w:val="en-US" w:eastAsia="zh-CN"/>
        </w:rPr>
      </w:pPr>
      <w:r>
        <w:rPr>
          <w:rFonts w:hint="eastAsia" w:ascii="宋体" w:hAnsi="宋体" w:eastAsia="宋体" w:cs="仿宋"/>
          <w:color w:val="auto"/>
          <w:sz w:val="24"/>
          <w:szCs w:val="24"/>
          <w:highlight w:val="none"/>
          <w:shd w:val="clear" w:color="auto" w:fill="ffffff"/>
        </w:rPr>
        <w:t xml:space="preserve">4.预算金额：</w:t>
      </w:r>
      <w:r>
        <w:rPr>
          <w:rFonts w:hint="eastAsia" w:ascii="宋体" w:hAnsi="宋体" w:eastAsia="宋体" w:cs="仿宋"/>
          <w:color w:val="auto"/>
          <w:sz w:val="24"/>
          <w:szCs w:val="24"/>
          <w:highlight w:val="none"/>
          <w:shd w:val="clear" w:color="auto" w:fill="ffffff"/>
          <w:lang w:val="en-US" w:eastAsia="zh-CN"/>
        </w:rPr>
        <w:t xml:space="preserve">人民币150万元/年</w:t>
      </w:r>
      <w:r/>
    </w:p>
    <w:p>
      <w:pPr>
        <w:ind w:firstLine="420"/>
        <w:keepLines w:val="0"/>
        <w:keepNext w:val="0"/>
        <w:pageBreakBefore w:val="0"/>
        <w:spacing w:line="420" w:lineRule="exact"/>
        <w:shd w:val="clear" w:color="auto" w:fill="ffffff"/>
        <w:widowControl/>
        <w:tabs>
          <w:tab w:val="right" w:pos="8312" w:leader="none"/>
        </w:tabs>
        <w:rPr>
          <w:rFonts w:ascii="宋体" w:hAnsi="宋体" w:eastAsia="宋体" w:cs="仿宋"/>
          <w:color w:val="auto"/>
          <w:sz w:val="24"/>
          <w:szCs w:val="24"/>
          <w:highlight w:val="none"/>
          <w:shd w:val="clear" w:color="auto" w:fill="ffffff"/>
        </w:rPr>
      </w:pPr>
      <w:r>
        <w:rPr>
          <w:rFonts w:hint="eastAsia" w:ascii="宋体" w:hAnsi="宋体" w:eastAsia="宋体" w:cs="仿宋"/>
          <w:color w:val="auto"/>
          <w:sz w:val="24"/>
          <w:szCs w:val="24"/>
          <w:highlight w:val="none"/>
          <w:shd w:val="clear" w:color="auto" w:fill="ffffff"/>
        </w:rPr>
        <w:t xml:space="preserve">5.最高限价：</w:t>
      </w:r>
      <w:r>
        <w:rPr>
          <w:rFonts w:hint="eastAsia" w:ascii="宋体" w:hAnsi="宋体" w:eastAsia="宋体" w:cs="仿宋"/>
          <w:color w:val="auto"/>
          <w:sz w:val="24"/>
          <w:szCs w:val="24"/>
          <w:highlight w:val="none"/>
          <w:shd w:val="clear" w:color="auto" w:fill="ffffff"/>
          <w:lang w:val="en-US" w:eastAsia="zh-CN"/>
        </w:rPr>
        <w:t xml:space="preserve">人民币150万元/年</w:t>
      </w:r>
      <w:r>
        <w:rPr>
          <w:rFonts w:hint="eastAsia" w:ascii="宋体" w:hAnsi="宋体" w:eastAsia="宋体" w:cs="仿宋"/>
          <w:color w:val="auto"/>
          <w:sz w:val="24"/>
          <w:szCs w:val="24"/>
          <w:highlight w:val="none"/>
          <w:shd w:val="clear" w:color="auto" w:fill="ffffff"/>
        </w:rPr>
        <w:t xml:space="preserve">，</w:t>
      </w:r>
      <w:r>
        <w:rPr>
          <w:rFonts w:hint="eastAsia"/>
          <w:color w:val="auto"/>
          <w:sz w:val="24"/>
          <w:szCs w:val="24"/>
          <w:highlight w:val="none"/>
          <w:shd w:val="clear" w:color="auto" w:fill="ffffff"/>
        </w:rPr>
        <w:t xml:space="preserve">投标报价高于</w:t>
      </w:r>
      <w:r>
        <w:rPr>
          <w:rFonts w:hint="eastAsia" w:ascii="宋体" w:hAnsi="宋体" w:eastAsia="宋体" w:cs="宋体"/>
          <w:color w:val="auto"/>
          <w:sz w:val="24"/>
          <w:szCs w:val="24"/>
          <w:highlight w:val="none"/>
          <w:shd w:val="clear" w:color="auto" w:fill="ffffff"/>
        </w:rPr>
        <w:t xml:space="preserve">最高限价为无效报价</w:t>
      </w:r>
      <w:r/>
    </w:p>
    <w:p>
      <w:pPr>
        <w:ind w:firstLine="420"/>
        <w:keepLines w:val="0"/>
        <w:keepNext w:val="0"/>
        <w:pageBreakBefore w:val="0"/>
        <w:spacing w:line="420" w:lineRule="exact"/>
        <w:shd w:val="clear" w:color="auto" w:fill="ffffff"/>
        <w:widowControl/>
        <w:tabs>
          <w:tab w:val="right" w:pos="8312" w:leader="none"/>
        </w:tabs>
        <w:rPr>
          <w:rFonts w:ascii="宋体" w:hAnsi="宋体" w:eastAsia="宋体" w:cs="仿宋"/>
          <w:color w:val="auto"/>
          <w:sz w:val="24"/>
          <w:szCs w:val="24"/>
          <w:highlight w:val="none"/>
          <w:shd w:val="clear" w:color="auto" w:fill="ffffff"/>
        </w:rPr>
      </w:pPr>
      <w:r>
        <w:rPr>
          <w:rFonts w:hint="eastAsia" w:ascii="宋体" w:hAnsi="宋体" w:eastAsia="宋体" w:cs="仿宋"/>
          <w:color w:val="auto"/>
          <w:sz w:val="24"/>
          <w:szCs w:val="24"/>
          <w:highlight w:val="none"/>
          <w:shd w:val="clear" w:color="auto" w:fill="ffffff"/>
        </w:rPr>
        <w:t xml:space="preserve">6.采购需求：</w:t>
      </w:r>
      <w:bookmarkStart w:id="14" w:name="OLE_LINK4"/>
      <w:r>
        <w:rPr>
          <w:rFonts w:hint="eastAsia"/>
          <w:color w:val="auto"/>
          <w:sz w:val="24"/>
          <w:szCs w:val="24"/>
          <w:highlight w:val="none"/>
          <w:shd w:val="clear" w:color="auto" w:fill="ffffff"/>
          <w:lang w:val="en-US" w:eastAsia="zh-CN"/>
        </w:rPr>
        <w:t xml:space="preserve">通榆河（伍佑大桥至世纪大道）段河面、护坡常年保洁，长度大约9.5公里，详见招标文件项目需求。</w:t>
      </w:r>
      <w:r/>
    </w:p>
    <w:p>
      <w:pPr>
        <w:ind w:firstLine="420"/>
        <w:keepLines w:val="0"/>
        <w:keepNext w:val="0"/>
        <w:pageBreakBefore w:val="0"/>
        <w:spacing w:line="420" w:lineRule="exact"/>
        <w:shd w:val="clear" w:color="auto" w:fill="ffffff"/>
        <w:widowControl/>
        <w:tabs>
          <w:tab w:val="right" w:pos="8312" w:leader="none"/>
        </w:tabs>
        <w:rPr>
          <w:rFonts w:hint="eastAsia" w:ascii="宋体" w:hAnsi="宋体" w:eastAsia="宋体" w:cs="仿宋"/>
          <w:color w:val="auto"/>
          <w:sz w:val="24"/>
          <w:szCs w:val="24"/>
          <w:highlight w:val="none"/>
          <w:shd w:val="clear" w:color="auto" w:fill="ffffff"/>
        </w:rPr>
      </w:pPr>
      <w:r>
        <w:rPr>
          <w:rFonts w:hint="eastAsia" w:ascii="宋体" w:hAnsi="宋体" w:eastAsia="宋体" w:cs="仿宋"/>
          <w:color w:val="auto"/>
          <w:sz w:val="24"/>
          <w:szCs w:val="24"/>
          <w:highlight w:val="none"/>
          <w:shd w:val="clear" w:color="auto" w:fill="ffffff"/>
        </w:rPr>
        <w:t xml:space="preserve">7.合同履行期限：</w:t>
      </w:r>
      <w:r>
        <w:rPr>
          <w:rFonts w:hint="eastAsia" w:ascii="宋体" w:hAnsi="宋体" w:eastAsia="宋体" w:cs="仿宋"/>
          <w:color w:val="auto"/>
          <w:sz w:val="24"/>
          <w:szCs w:val="24"/>
          <w:highlight w:val="none"/>
          <w:shd w:val="clear" w:color="auto" w:fill="ffffff"/>
          <w:lang w:val="en-US" w:eastAsia="zh-CN"/>
        </w:rPr>
        <w:t xml:space="preserve">2年，合同一年一签。第一年度中月度考核有一次得分75及以下或者两次得分80分及以下，不可续签。</w:t>
      </w:r>
      <w:r>
        <w:rPr>
          <w:rFonts w:hint="eastAsia" w:ascii="宋体" w:hAnsi="宋体" w:eastAsia="宋体" w:cs="仿宋"/>
          <w:color w:val="auto"/>
          <w:sz w:val="24"/>
          <w:szCs w:val="24"/>
          <w:highlight w:val="none"/>
          <w:shd w:val="clear" w:color="auto" w:fill="ffffff"/>
        </w:rPr>
        <w:t xml:space="preserve"> </w:t>
      </w:r>
      <w:r/>
    </w:p>
    <w:p>
      <w:pPr>
        <w:ind w:firstLine="420"/>
        <w:keepLines w:val="0"/>
        <w:keepNext w:val="0"/>
        <w:pageBreakBefore w:val="0"/>
        <w:spacing w:line="420" w:lineRule="exact"/>
        <w:shd w:val="clear" w:color="auto" w:fill="ffffff"/>
        <w:widowControl/>
        <w:tabs>
          <w:tab w:val="right" w:pos="8312" w:leader="none"/>
        </w:tabs>
        <w:rPr>
          <w:rFonts w:hint="eastAsia" w:ascii="宋体" w:hAnsi="宋体" w:eastAsia="宋体" w:cs="仿宋"/>
          <w:color w:val="auto"/>
          <w:sz w:val="24"/>
          <w:szCs w:val="24"/>
          <w:highlight w:val="none"/>
          <w:shd w:val="clear" w:color="auto" w:fill="ffffff"/>
        </w:rPr>
      </w:pPr>
      <w:r>
        <w:rPr>
          <w:rFonts w:hint="eastAsia" w:ascii="宋体" w:hAnsi="宋体" w:eastAsia="宋体" w:cs="仿宋"/>
          <w:color w:val="auto"/>
          <w:sz w:val="24"/>
          <w:szCs w:val="24"/>
          <w:highlight w:val="none"/>
          <w:shd w:val="clear" w:color="auto" w:fill="ffffff"/>
          <w:lang w:val="en-US" w:eastAsia="zh-CN"/>
        </w:rPr>
        <w:t xml:space="preserve">8.质量标准：符合招标文件中技术需求、国家现行的相关规范标准及有关部门最新颁布的相应的最新标准；项目确保按规范和标准验收，且达国家合格标准。</w:t>
      </w:r>
      <w:r/>
    </w:p>
    <w:p>
      <w:pPr>
        <w:ind w:firstLine="420"/>
        <w:keepLines w:val="0"/>
        <w:keepNext w:val="0"/>
        <w:pageBreakBefore w:val="0"/>
        <w:spacing w:line="420" w:lineRule="exact"/>
        <w:shd w:val="clear" w:color="auto" w:fill="ffffff"/>
        <w:widowControl/>
        <w:tabs>
          <w:tab w:val="right" w:pos="8312" w:leader="none"/>
        </w:tabs>
        <w:rPr>
          <w:rFonts w:ascii="宋体" w:hAnsi="宋体" w:eastAsia="宋体" w:cs="仿宋"/>
          <w:color w:val="auto"/>
          <w:sz w:val="24"/>
          <w:szCs w:val="24"/>
          <w:highlight w:val="none"/>
          <w:shd w:val="clear" w:color="auto" w:fill="ffffff"/>
        </w:rPr>
      </w:pPr>
      <w:r>
        <w:rPr>
          <w:rFonts w:hint="eastAsia" w:ascii="宋体" w:hAnsi="宋体" w:eastAsia="宋体" w:cs="仿宋"/>
          <w:color w:val="auto"/>
          <w:sz w:val="24"/>
          <w:szCs w:val="24"/>
          <w:highlight w:val="none"/>
          <w:shd w:val="clear" w:color="auto" w:fill="ffffff"/>
          <w:lang w:val="en-US" w:eastAsia="zh-CN"/>
        </w:rPr>
        <w:t xml:space="preserve">9</w:t>
      </w:r>
      <w:r>
        <w:rPr>
          <w:rFonts w:hint="eastAsia" w:ascii="宋体" w:hAnsi="宋体" w:eastAsia="宋体" w:cs="仿宋"/>
          <w:color w:val="auto"/>
          <w:sz w:val="24"/>
          <w:szCs w:val="24"/>
          <w:highlight w:val="none"/>
          <w:shd w:val="clear" w:color="auto" w:fill="ffffff"/>
        </w:rPr>
        <w:t xml:space="preserve">.本项目（是/否）接受联合体投标：否</w:t>
      </w:r>
      <w:bookmarkEnd w:id="14"/>
      <w:r/>
    </w:p>
    <w:p>
      <w:pPr>
        <w:pStyle w:val="785"/>
        <w:ind w:firstLine="422"/>
        <w:jc w:val="both"/>
        <w:keepLines w:val="0"/>
        <w:keepNext w:val="0"/>
        <w:pageBreakBefore w:val="0"/>
        <w:spacing w:beforeAutospacing="0" w:afterAutospacing="0" w:line="420" w:lineRule="exact"/>
        <w:widowControl/>
        <w:rPr>
          <w:rFonts w:ascii="宋体" w:hAnsi="宋体" w:eastAsia="宋体" w:cs="宋体"/>
          <w:color w:val="auto"/>
          <w:sz w:val="24"/>
          <w:szCs w:val="24"/>
          <w:highlight w:val="none"/>
        </w:rPr>
      </w:pPr>
      <w:r/>
      <w:bookmarkStart w:id="15" w:name="_Toc28359003"/>
      <w:r/>
      <w:bookmarkStart w:id="16" w:name="_Toc38985264"/>
      <w:r/>
      <w:bookmarkStart w:id="17" w:name="_Toc35393791"/>
      <w:r/>
      <w:bookmarkStart w:id="18" w:name="_Toc35393622"/>
      <w:r/>
      <w:bookmarkStart w:id="19" w:name="_Toc28359080"/>
      <w:r>
        <w:rPr>
          <w:rFonts w:hint="eastAsia" w:ascii="宋体" w:hAnsi="宋体" w:eastAsia="宋体" w:cs="宋体"/>
          <w:b/>
          <w:color w:val="auto"/>
          <w:sz w:val="24"/>
          <w:szCs w:val="24"/>
          <w:highlight w:val="none"/>
        </w:rPr>
        <w:t xml:space="preserve">二、申请人的资格要求：</w:t>
      </w:r>
      <w:bookmarkEnd w:id="15"/>
      <w:r/>
      <w:bookmarkEnd w:id="16"/>
      <w:r/>
      <w:bookmarkEnd w:id="17"/>
      <w:r/>
      <w:bookmarkEnd w:id="18"/>
      <w:r/>
      <w:bookmarkEnd w:id="19"/>
      <w:r/>
      <w:r/>
    </w:p>
    <w:p>
      <w:pPr>
        <w:pStyle w:val="985"/>
        <w:ind w:firstLine="420"/>
        <w:jc w:val="both"/>
        <w:keepLines w:val="0"/>
        <w:keepNext w:val="0"/>
        <w:pageBreakBefore w:val="0"/>
        <w:spacing w:before="0" w:beforeAutospacing="0" w:after="0" w:afterAutospacing="0" w:line="420" w:lineRule="exact"/>
        <w:widowControl/>
        <w:rPr>
          <w:rFonts w:cs="仿宋"/>
          <w:color w:val="auto"/>
          <w:sz w:val="24"/>
          <w:szCs w:val="24"/>
          <w:highlight w:val="none"/>
          <w:shd w:val="clear" w:color="auto" w:fill="ffffff"/>
        </w:rPr>
      </w:pPr>
      <w:r>
        <w:rPr>
          <w:rFonts w:hint="eastAsia" w:cs="仿宋"/>
          <w:color w:val="auto"/>
          <w:sz w:val="24"/>
          <w:szCs w:val="24"/>
          <w:highlight w:val="none"/>
          <w:shd w:val="clear" w:color="auto" w:fill="ffffff"/>
        </w:rPr>
        <w:t xml:space="preserve">(一)满足《中华人民共和国政府采购法》第二十二条规定，并提供下列材料：</w:t>
      </w:r>
      <w:r/>
    </w:p>
    <w:p>
      <w:pPr>
        <w:pStyle w:val="985"/>
        <w:ind w:firstLine="420"/>
        <w:jc w:val="both"/>
        <w:keepLines w:val="0"/>
        <w:keepNext w:val="0"/>
        <w:pageBreakBefore w:val="0"/>
        <w:spacing w:before="0" w:beforeAutospacing="0" w:after="0" w:afterAutospacing="0" w:line="420" w:lineRule="exact"/>
        <w:widowControl/>
        <w:rPr>
          <w:rFonts w:cs="仿宋"/>
          <w:color w:val="auto"/>
          <w:sz w:val="24"/>
          <w:szCs w:val="24"/>
          <w:highlight w:val="none"/>
          <w:shd w:val="clear" w:color="auto" w:fill="ffffff"/>
        </w:rPr>
      </w:pPr>
      <w:r>
        <w:rPr>
          <w:rFonts w:hint="eastAsia" w:cs="仿宋"/>
          <w:color w:val="auto"/>
          <w:sz w:val="24"/>
          <w:szCs w:val="24"/>
          <w:highlight w:val="none"/>
          <w:shd w:val="clear" w:color="auto" w:fill="ffffff"/>
        </w:rPr>
        <w:t xml:space="preserve">1.法人或者其他组织的营业执照等证明文件，自然人的身份证明；</w:t>
      </w:r>
      <w:r/>
    </w:p>
    <w:p>
      <w:pPr>
        <w:pStyle w:val="985"/>
        <w:ind w:firstLine="420"/>
        <w:jc w:val="both"/>
        <w:keepLines w:val="0"/>
        <w:keepNext w:val="0"/>
        <w:pageBreakBefore w:val="0"/>
        <w:spacing w:before="0" w:beforeAutospacing="0" w:after="0" w:afterAutospacing="0" w:line="420" w:lineRule="exact"/>
        <w:widowControl/>
        <w:rPr>
          <w:rFonts w:cs="仿宋"/>
          <w:color w:val="auto"/>
          <w:sz w:val="24"/>
          <w:szCs w:val="24"/>
          <w:highlight w:val="none"/>
          <w:shd w:val="clear" w:color="auto" w:fill="ffffff"/>
        </w:rPr>
      </w:pPr>
      <w:r>
        <w:rPr>
          <w:rFonts w:hint="eastAsia" w:cs="仿宋"/>
          <w:color w:val="auto"/>
          <w:sz w:val="24"/>
          <w:szCs w:val="24"/>
          <w:highlight w:val="none"/>
          <w:shd w:val="clear" w:color="auto" w:fill="ffffff"/>
        </w:rPr>
        <w:t xml:space="preserve">2.上一年度的财务状况</w:t>
      </w:r>
      <w:r>
        <w:rPr>
          <w:rFonts w:hint="eastAsia" w:cs="仿宋"/>
          <w:color w:val="auto"/>
          <w:sz w:val="24"/>
          <w:szCs w:val="24"/>
          <w:highlight w:val="none"/>
          <w:shd w:val="clear" w:color="auto" w:fill="ffffff"/>
          <w:lang w:val="en-US" w:eastAsia="zh-CN"/>
        </w:rPr>
        <w:t xml:space="preserve">报告</w:t>
      </w:r>
      <w:r>
        <w:rPr>
          <w:rFonts w:hint="eastAsia" w:cs="仿宋"/>
          <w:color w:val="auto"/>
          <w:sz w:val="24"/>
          <w:szCs w:val="24"/>
          <w:highlight w:val="none"/>
          <w:shd w:val="clear" w:color="auto" w:fill="ffffff"/>
        </w:rPr>
        <w:t xml:space="preserve">(成立不满一年无需提供)；</w:t>
      </w:r>
      <w:r/>
    </w:p>
    <w:p>
      <w:pPr>
        <w:pStyle w:val="985"/>
        <w:ind w:firstLine="420"/>
        <w:jc w:val="both"/>
        <w:keepLines w:val="0"/>
        <w:keepNext w:val="0"/>
        <w:pageBreakBefore w:val="0"/>
        <w:spacing w:before="0" w:beforeAutospacing="0" w:after="0" w:afterAutospacing="0" w:line="420" w:lineRule="exact"/>
        <w:widowControl/>
        <w:rPr>
          <w:rFonts w:cs="仿宋"/>
          <w:color w:val="auto"/>
          <w:sz w:val="24"/>
          <w:szCs w:val="24"/>
          <w:highlight w:val="none"/>
          <w:shd w:val="clear" w:color="auto" w:fill="ffffff"/>
        </w:rPr>
      </w:pPr>
      <w:r>
        <w:rPr>
          <w:rFonts w:hint="eastAsia" w:cs="仿宋"/>
          <w:color w:val="auto"/>
          <w:sz w:val="24"/>
          <w:szCs w:val="24"/>
          <w:highlight w:val="none"/>
          <w:shd w:val="clear" w:color="auto" w:fill="ffffff"/>
        </w:rPr>
        <w:t xml:space="preserve">3.具备履行合同所必需的设备和专业技术能力的书面声明；</w:t>
      </w:r>
      <w:r/>
    </w:p>
    <w:p>
      <w:pPr>
        <w:pStyle w:val="985"/>
        <w:ind w:firstLine="420"/>
        <w:jc w:val="both"/>
        <w:keepLines w:val="0"/>
        <w:keepNext w:val="0"/>
        <w:pageBreakBefore w:val="0"/>
        <w:spacing w:before="0" w:beforeAutospacing="0" w:after="0" w:afterAutospacing="0" w:line="420" w:lineRule="exact"/>
        <w:widowControl/>
        <w:rPr>
          <w:rFonts w:cs="仿宋"/>
          <w:color w:val="auto"/>
          <w:sz w:val="24"/>
          <w:szCs w:val="24"/>
          <w:highlight w:val="none"/>
          <w:shd w:val="clear" w:color="auto" w:fill="ffffff"/>
        </w:rPr>
      </w:pPr>
      <w:r>
        <w:rPr>
          <w:rFonts w:hint="eastAsia" w:cs="仿宋"/>
          <w:color w:val="auto"/>
          <w:sz w:val="24"/>
          <w:szCs w:val="24"/>
          <w:highlight w:val="none"/>
          <w:shd w:val="clear" w:color="auto" w:fill="ffffff"/>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85"/>
        <w:ind w:firstLine="420"/>
        <w:jc w:val="both"/>
        <w:keepLines w:val="0"/>
        <w:keepNext w:val="0"/>
        <w:pageBreakBefore w:val="0"/>
        <w:spacing w:before="0" w:beforeAutospacing="0" w:after="0" w:afterAutospacing="0" w:line="420" w:lineRule="exact"/>
        <w:widowControl/>
        <w:rPr>
          <w:rFonts w:cs="仿宋"/>
          <w:color w:val="auto"/>
          <w:sz w:val="24"/>
          <w:szCs w:val="24"/>
          <w:highlight w:val="none"/>
          <w:shd w:val="clear" w:color="auto" w:fill="ffffff"/>
        </w:rPr>
      </w:pPr>
      <w:r>
        <w:rPr>
          <w:rFonts w:hint="eastAsia" w:cs="仿宋"/>
          <w:color w:val="auto"/>
          <w:sz w:val="24"/>
          <w:szCs w:val="24"/>
          <w:highlight w:val="none"/>
          <w:shd w:val="clear" w:color="auto" w:fill="ffffff"/>
        </w:rPr>
        <w:t xml:space="preserve">5.参加政府采购活动前3年内在经营活动中没有重大违法记录的书面声明。</w:t>
      </w:r>
      <w:r/>
    </w:p>
    <w:p>
      <w:pPr>
        <w:pStyle w:val="985"/>
        <w:ind w:firstLine="420"/>
        <w:jc w:val="both"/>
        <w:keepLines w:val="0"/>
        <w:keepNext w:val="0"/>
        <w:pageBreakBefore w:val="0"/>
        <w:spacing w:before="0" w:beforeAutospacing="0" w:after="0" w:afterAutospacing="0" w:line="420" w:lineRule="exact"/>
        <w:widowControl/>
        <w:rPr>
          <w:rFonts w:cs="仿宋"/>
          <w:color w:val="auto"/>
          <w:sz w:val="24"/>
          <w:szCs w:val="24"/>
          <w:highlight w:val="none"/>
          <w:shd w:val="clear" w:color="auto" w:fill="ffffff"/>
        </w:rPr>
      </w:pPr>
      <w:r>
        <w:rPr>
          <w:rFonts w:hint="eastAsia" w:cs="仿宋"/>
          <w:color w:val="auto"/>
          <w:sz w:val="24"/>
          <w:szCs w:val="24"/>
          <w:highlight w:val="none"/>
          <w:shd w:val="clear" w:color="auto" w:fill="ffffff"/>
        </w:rPr>
        <w:t xml:space="preserve">6.法律、行政法规规定的其他条件；</w:t>
      </w:r>
      <w:r/>
    </w:p>
    <w:p>
      <w:pPr>
        <w:pStyle w:val="985"/>
        <w:ind w:firstLine="420"/>
        <w:jc w:val="both"/>
        <w:keepLines w:val="0"/>
        <w:keepNext w:val="0"/>
        <w:pageBreakBefore w:val="0"/>
        <w:spacing w:before="0" w:beforeAutospacing="0" w:after="0" w:afterAutospacing="0" w:line="420" w:lineRule="exact"/>
        <w:widowControl/>
        <w:rPr>
          <w:rFonts w:cs="仿宋"/>
          <w:color w:val="auto"/>
          <w:sz w:val="24"/>
          <w:szCs w:val="24"/>
          <w:highlight w:val="none"/>
          <w:shd w:val="clear" w:color="auto" w:fill="ffffff"/>
        </w:rPr>
      </w:pPr>
      <w:r>
        <w:rPr>
          <w:rFonts w:hint="eastAsia" w:cs="仿宋"/>
          <w:color w:val="auto"/>
          <w:sz w:val="24"/>
          <w:szCs w:val="24"/>
          <w:highlight w:val="none"/>
          <w:shd w:val="clear" w:color="auto" w:fill="ffffff"/>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85"/>
        <w:ind w:firstLine="420"/>
        <w:jc w:val="both"/>
        <w:keepLines w:val="0"/>
        <w:keepNext w:val="0"/>
        <w:pageBreakBefore w:val="0"/>
        <w:spacing w:before="0" w:beforeAutospacing="0" w:after="0" w:afterAutospacing="0" w:line="420" w:lineRule="exact"/>
        <w:widowControl/>
        <w:rPr>
          <w:rFonts w:cs="仿宋"/>
          <w:color w:val="auto"/>
          <w:sz w:val="24"/>
          <w:szCs w:val="24"/>
          <w:highlight w:val="none"/>
          <w:shd w:val="clear" w:color="auto" w:fill="ffffff"/>
        </w:rPr>
      </w:pPr>
      <w:r>
        <w:rPr>
          <w:rFonts w:hint="eastAsia" w:cs="仿宋"/>
          <w:color w:val="auto"/>
          <w:sz w:val="24"/>
          <w:szCs w:val="24"/>
          <w:highlight w:val="none"/>
          <w:shd w:val="clear" w:color="auto" w:fill="ffffff"/>
        </w:rPr>
        <w:t xml:space="preserve">8.单位负责人为同一人或者存在直接控股、管理关系的不同供应商，不得参加同一合同项下的政府采购活动。</w:t>
      </w:r>
      <w:r/>
    </w:p>
    <w:p>
      <w:pPr>
        <w:ind w:firstLine="420"/>
        <w:keepLines w:val="0"/>
        <w:keepNext w:val="0"/>
        <w:pageBreakBefore w:val="0"/>
        <w:spacing w:line="420" w:lineRule="exact"/>
        <w:widowControl/>
        <w:tabs>
          <w:tab w:val="left" w:pos="900" w:leader="none"/>
        </w:tabs>
        <w:rPr>
          <w:rFonts w:ascii="宋体" w:hAnsi="宋体" w:eastAsia="宋体" w:cs="仿宋"/>
          <w:color w:val="auto"/>
          <w:sz w:val="24"/>
          <w:szCs w:val="24"/>
          <w:highlight w:val="none"/>
          <w:shd w:val="clear" w:color="auto" w:fill="ffffff"/>
        </w:rPr>
      </w:pPr>
      <w:r>
        <w:rPr>
          <w:rFonts w:hint="eastAsia" w:ascii="宋体" w:hAnsi="宋体" w:eastAsia="宋体" w:cs="仿宋"/>
          <w:color w:val="auto"/>
          <w:sz w:val="24"/>
          <w:szCs w:val="24"/>
          <w:highlight w:val="none"/>
          <w:shd w:val="clear" w:color="auto" w:fill="ffffff"/>
        </w:rPr>
        <w:t xml:space="preserve">(二)落实政府采购政策需满足的资格要求：本项目专门面向中小</w:t>
      </w:r>
      <w:r>
        <w:rPr>
          <w:rFonts w:hint="eastAsia" w:ascii="宋体" w:hAnsi="宋体" w:eastAsia="宋体" w:cs="仿宋"/>
          <w:color w:val="auto"/>
          <w:sz w:val="24"/>
          <w:szCs w:val="24"/>
          <w:highlight w:val="none"/>
          <w:shd w:val="clear" w:color="auto" w:fill="ffffff"/>
          <w:lang w:val="en-US" w:eastAsia="zh-CN"/>
        </w:rPr>
        <w:t xml:space="preserve">微</w:t>
      </w:r>
      <w:r>
        <w:rPr>
          <w:rFonts w:hint="eastAsia" w:ascii="宋体" w:hAnsi="宋体" w:eastAsia="宋体" w:cs="仿宋"/>
          <w:color w:val="auto"/>
          <w:sz w:val="24"/>
          <w:szCs w:val="24"/>
          <w:highlight w:val="none"/>
          <w:shd w:val="clear" w:color="auto" w:fill="ffffff"/>
        </w:rPr>
        <w:t xml:space="preserve">企业采购（监狱企业、残疾人福利性单位视同小微企业）</w:t>
      </w:r>
      <w:r>
        <w:rPr>
          <w:rFonts w:hint="eastAsia" w:ascii="宋体" w:hAnsi="宋体" w:eastAsia="宋体" w:cs="仿宋"/>
          <w:color w:val="auto"/>
          <w:sz w:val="24"/>
          <w:szCs w:val="24"/>
          <w:highlight w:val="none"/>
          <w:shd w:val="clear" w:color="auto" w:fill="ffffff"/>
          <w:lang w:eastAsia="zh-CN"/>
        </w:rPr>
        <w:t xml:space="preserve">，</w:t>
      </w:r>
      <w:r>
        <w:rPr>
          <w:rFonts w:hint="eastAsia" w:ascii="宋体" w:hAnsi="宋体" w:eastAsia="宋体" w:cs="仿宋"/>
          <w:color w:val="auto"/>
          <w:sz w:val="24"/>
          <w:szCs w:val="24"/>
          <w:highlight w:val="none"/>
          <w:shd w:val="clear" w:color="auto" w:fill="ffffff"/>
        </w:rPr>
        <w:t xml:space="preserve">不接受大型企业参与本项目投标；采购标的的所属行业为其他未列明行业，投标人需按照采购文件的要求提供相应的《中小企业声明函》。企业标准请参照《关于印发中小企业划型标准规定的通知》（工信部联企业[2011]300号）文件规定自行填写。</w:t>
      </w:r>
      <w:r/>
    </w:p>
    <w:p>
      <w:pPr>
        <w:ind w:firstLine="420"/>
        <w:keepLines w:val="0"/>
        <w:keepNext w:val="0"/>
        <w:pageBreakBefore w:val="0"/>
        <w:spacing w:line="420" w:lineRule="exact"/>
        <w:widowControl/>
        <w:tabs>
          <w:tab w:val="left" w:pos="900" w:leader="none"/>
        </w:tabs>
        <w:rPr>
          <w:rFonts w:ascii="宋体" w:hAnsi="宋体" w:eastAsia="宋体" w:cs="仿宋"/>
          <w:color w:val="auto"/>
          <w:sz w:val="24"/>
          <w:szCs w:val="24"/>
          <w:highlight w:val="none"/>
          <w:shd w:val="clear" w:color="auto" w:fill="ffffff"/>
        </w:rPr>
      </w:pPr>
      <w:r>
        <w:rPr>
          <w:rFonts w:hint="eastAsia" w:ascii="宋体" w:hAnsi="宋体" w:eastAsia="宋体" w:cs="仿宋"/>
          <w:color w:val="auto"/>
          <w:sz w:val="24"/>
          <w:szCs w:val="24"/>
          <w:highlight w:val="none"/>
          <w:shd w:val="clear" w:color="auto" w:fill="ffffff"/>
        </w:rPr>
        <w:t xml:space="preserve">(三)本项目的特定资格要求：无。</w:t>
      </w:r>
      <w:r/>
    </w:p>
    <w:p>
      <w:pPr>
        <w:pStyle w:val="985"/>
        <w:ind w:firstLine="420"/>
        <w:jc w:val="both"/>
        <w:keepLines w:val="0"/>
        <w:keepNext w:val="0"/>
        <w:pageBreakBefore w:val="0"/>
        <w:spacing w:before="0" w:beforeAutospacing="0" w:after="0" w:afterAutospacing="0" w:line="420" w:lineRule="exact"/>
        <w:widowControl/>
        <w:rPr>
          <w:rFonts w:cs="仿宋"/>
          <w:b/>
          <w:bCs/>
          <w:color w:val="auto"/>
          <w:sz w:val="24"/>
          <w:szCs w:val="24"/>
          <w:highlight w:val="none"/>
          <w:shd w:val="clear" w:color="auto" w:fill="ffffff"/>
        </w:rPr>
      </w:pPr>
      <w:r>
        <w:rPr>
          <w:rFonts w:hint="eastAsia" w:cs="仿宋"/>
          <w:b/>
          <w:bCs/>
          <w:color w:val="auto"/>
          <w:sz w:val="24"/>
          <w:szCs w:val="24"/>
          <w:highlight w:val="none"/>
          <w:shd w:val="clear" w:color="auto" w:fill="ffffff"/>
        </w:rPr>
        <w:t xml:space="preserve">三、获取招标文件</w:t>
      </w:r>
      <w:r/>
    </w:p>
    <w:p>
      <w:pPr>
        <w:ind w:firstLine="420"/>
        <w:keepLines w:val="0"/>
        <w:keepNext w:val="0"/>
        <w:pageBreakBefore w:val="0"/>
        <w:spacing w:line="420" w:lineRule="exact"/>
        <w:widowControl/>
        <w:rPr>
          <w:rFonts w:ascii="宋体" w:hAnsi="宋体" w:eastAsia="宋体" w:cs="宋体"/>
          <w:color w:val="auto"/>
          <w:sz w:val="24"/>
          <w:szCs w:val="24"/>
          <w:highlight w:val="none"/>
        </w:rPr>
      </w:pPr>
      <w:r/>
      <w:bookmarkStart w:id="20" w:name="_Toc38985266"/>
      <w:r/>
      <w:bookmarkStart w:id="21" w:name="_Toc35393793"/>
      <w:r/>
      <w:bookmarkStart w:id="22" w:name="_Toc28359082"/>
      <w:r/>
      <w:bookmarkStart w:id="23" w:name="_Toc35393624"/>
      <w:r/>
      <w:bookmarkStart w:id="24" w:name="_Toc28359005"/>
      <w:r>
        <w:rPr>
          <w:rFonts w:hint="eastAsia" w:ascii="宋体" w:hAnsi="宋体" w:eastAsia="宋体" w:cs="宋体"/>
          <w:color w:val="auto"/>
          <w:sz w:val="24"/>
          <w:szCs w:val="24"/>
          <w:highlight w:val="none"/>
        </w:rPr>
        <w:t xml:space="preserve">时间：</w:t>
      </w:r>
      <w:bookmarkEnd w:id="20"/>
      <w:r/>
      <w:bookmarkEnd w:id="21"/>
      <w:r/>
      <w:bookmarkEnd w:id="22"/>
      <w:r/>
      <w:bookmarkEnd w:id="23"/>
      <w:r/>
      <w:bookmarkEnd w:id="24"/>
      <w:r>
        <w:rPr>
          <w:rFonts w:hint="eastAsia" w:ascii="宋体" w:hAnsi="宋体" w:eastAsia="宋体" w:cs="宋体"/>
          <w:color w:val="auto"/>
          <w:sz w:val="24"/>
          <w:szCs w:val="24"/>
          <w:highlight w:val="none"/>
        </w:rPr>
        <w:t xml:space="preserve">自招标文件公告发布之日起5个工作日</w:t>
      </w:r>
      <w:r/>
    </w:p>
    <w:p>
      <w:pPr>
        <w:ind w:firstLine="420"/>
        <w:keepLines w:val="0"/>
        <w:keepNext w:val="0"/>
        <w:pageBreakBefore w:val="0"/>
        <w:spacing w:line="42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地点：“苏采云”系统内免费下载（投标人必须在苏采云系统中获取采购文件，方能参与政府采购项目）</w:t>
      </w:r>
      <w:r/>
    </w:p>
    <w:p>
      <w:pPr>
        <w:ind w:firstLine="420"/>
        <w:keepLines w:val="0"/>
        <w:keepNext w:val="0"/>
        <w:pageBreakBefore w:val="0"/>
        <w:spacing w:line="42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方式：本项目采用网上注册登记方式</w:t>
      </w:r>
      <w:r/>
    </w:p>
    <w:p>
      <w:pPr>
        <w:ind w:firstLine="420"/>
        <w:keepLines w:val="0"/>
        <w:keepNext w:val="0"/>
        <w:pageBreakBefore w:val="0"/>
        <w:spacing w:line="42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pStyle w:val="785"/>
        <w:ind w:firstLine="422"/>
        <w:jc w:val="both"/>
        <w:keepLines w:val="0"/>
        <w:keepNext w:val="0"/>
        <w:pageBreakBefore w:val="0"/>
        <w:spacing w:beforeAutospacing="0" w:afterAutospacing="0" w:line="420" w:lineRule="exact"/>
        <w:widowControl/>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20"/>
        <w:keepLines w:val="0"/>
        <w:keepNext w:val="0"/>
        <w:pageBreakBefore w:val="0"/>
        <w:spacing w:line="42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w:t>
      </w:r>
      <w:r>
        <w:rPr>
          <w:rFonts w:hint="eastAsia" w:ascii="宋体" w:hAnsi="宋体" w:eastAsia="宋体" w:cs="宋体"/>
          <w:color w:val="auto"/>
          <w:sz w:val="24"/>
          <w:szCs w:val="24"/>
          <w:highlight w:val="none"/>
          <w:lang w:val="en-US" w:eastAsia="zh-CN"/>
        </w:rPr>
        <w:t xml:space="preserve">6年6月25日</w:t>
      </w:r>
      <w:r>
        <w:rPr>
          <w:rFonts w:hint="eastAsia" w:ascii="宋体" w:hAnsi="宋体" w:eastAsia="宋体" w:cs="宋体"/>
          <w:color w:val="auto"/>
          <w:sz w:val="24"/>
          <w:szCs w:val="24"/>
          <w:highlight w:val="none"/>
        </w:rPr>
        <w:t xml:space="preserve">9：00（北京时间）</w:t>
      </w:r>
      <w:r/>
    </w:p>
    <w:p>
      <w:pPr>
        <w:ind w:firstLine="420"/>
        <w:keepLines w:val="0"/>
        <w:keepNext w:val="0"/>
        <w:pageBreakBefore w:val="0"/>
        <w:spacing w:line="42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r>
        <w:rPr>
          <w:rFonts w:hint="eastAsia" w:ascii="宋体" w:hAnsi="宋体" w:eastAsia="宋体" w:cs="仿宋"/>
          <w:color w:val="auto"/>
          <w:sz w:val="24"/>
          <w:szCs w:val="24"/>
          <w:highlight w:val="none"/>
          <w:shd w:val="clear" w:color="auto" w:fill="ffffff"/>
        </w:rPr>
        <w:t xml:space="preserve">苏采云“不见面”开标大厅</w:t>
      </w:r>
      <w:r/>
    </w:p>
    <w:p>
      <w:pPr>
        <w:pStyle w:val="785"/>
        <w:ind w:firstLine="422"/>
        <w:jc w:val="both"/>
        <w:keepLines w:val="0"/>
        <w:keepNext w:val="0"/>
        <w:pageBreakBefore w:val="0"/>
        <w:spacing w:beforeAutospacing="0" w:afterAutospacing="0" w:line="420" w:lineRule="exact"/>
        <w:widowControl/>
        <w:rPr>
          <w:rFonts w:ascii="宋体" w:hAnsi="宋体" w:eastAsia="宋体" w:cs="宋体"/>
          <w:color w:val="auto"/>
          <w:sz w:val="24"/>
          <w:szCs w:val="24"/>
          <w:highlight w:val="none"/>
        </w:rPr>
      </w:pPr>
      <w:r/>
      <w:bookmarkStart w:id="25" w:name="_Toc28359084"/>
      <w:r/>
      <w:bookmarkStart w:id="26" w:name="_Toc35393794"/>
      <w:r/>
      <w:bookmarkStart w:id="27" w:name="_Toc28359007"/>
      <w:r/>
      <w:bookmarkStart w:id="28" w:name="_Toc35393625"/>
      <w:r/>
      <w:bookmarkStart w:id="29" w:name="_Toc38985267"/>
      <w:r>
        <w:rPr>
          <w:rFonts w:hint="eastAsia" w:ascii="宋体" w:hAnsi="宋体" w:eastAsia="宋体" w:cs="宋体"/>
          <w:b/>
          <w:color w:val="auto"/>
          <w:sz w:val="24"/>
          <w:szCs w:val="24"/>
          <w:highlight w:val="none"/>
        </w:rPr>
        <w:t xml:space="preserve">五、公告期限</w:t>
      </w:r>
      <w:bookmarkEnd w:id="25"/>
      <w:r/>
      <w:bookmarkEnd w:id="26"/>
      <w:r/>
      <w:bookmarkEnd w:id="27"/>
      <w:r/>
      <w:bookmarkEnd w:id="28"/>
      <w:r/>
      <w:bookmarkEnd w:id="29"/>
      <w:r/>
      <w:r/>
    </w:p>
    <w:p>
      <w:pPr>
        <w:pStyle w:val="785"/>
        <w:ind w:firstLine="420"/>
        <w:jc w:val="both"/>
        <w:keepLines w:val="0"/>
        <w:keepNext w:val="0"/>
        <w:pageBreakBefore w:val="0"/>
        <w:spacing w:beforeAutospacing="0" w:afterAutospacing="0" w:line="420" w:lineRule="exact"/>
        <w:shd w:val="clear" w:color="auto" w:fill="ffffff"/>
        <w:widowControl/>
        <w:rPr>
          <w:rFonts w:ascii="宋体" w:hAnsi="宋体" w:eastAsia="宋体" w:cs="宋体"/>
          <w:color w:val="auto"/>
          <w:sz w:val="24"/>
          <w:szCs w:val="24"/>
          <w:highlight w:val="none"/>
          <w:shd w:val="clear" w:color="auto" w:fill="ffffff"/>
        </w:rPr>
      </w:pPr>
      <w:r/>
      <w:bookmarkStart w:id="30" w:name="_Toc35393626"/>
      <w:r/>
      <w:bookmarkStart w:id="31" w:name="_Toc35393795"/>
      <w:r/>
      <w:bookmarkStart w:id="32" w:name="_Toc38985268"/>
      <w:r>
        <w:rPr>
          <w:rFonts w:hint="eastAsia" w:ascii="宋体" w:hAnsi="宋体" w:eastAsia="宋体" w:cs="宋体"/>
          <w:color w:val="auto"/>
          <w:sz w:val="24"/>
          <w:szCs w:val="24"/>
          <w:highlight w:val="none"/>
          <w:shd w:val="clear" w:color="auto" w:fill="ffffff"/>
        </w:rPr>
        <w:t xml:space="preserve">自本公告发布之日起5个工作日</w:t>
      </w:r>
      <w:bookmarkEnd w:id="30"/>
      <w:r/>
      <w:bookmarkEnd w:id="31"/>
      <w:r/>
      <w:bookmarkEnd w:id="32"/>
      <w:r/>
      <w:r/>
    </w:p>
    <w:p>
      <w:pPr>
        <w:pStyle w:val="785"/>
        <w:ind w:firstLine="422"/>
        <w:jc w:val="both"/>
        <w:keepLines w:val="0"/>
        <w:keepNext w:val="0"/>
        <w:pageBreakBefore w:val="0"/>
        <w:spacing w:beforeAutospacing="0" w:afterAutospacing="0" w:line="420" w:lineRule="exact"/>
        <w:widowControl/>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20"/>
        <w:keepLines w:val="0"/>
        <w:keepNext w:val="0"/>
        <w:pageBreakBefore w:val="0"/>
        <w:spacing w:line="420" w:lineRule="exact"/>
        <w:shd w:val="clear" w:color="auto" w:fill="ffffff"/>
        <w:widowControl/>
        <w:tabs>
          <w:tab w:val="right" w:pos="8312" w:leader="none"/>
        </w:tabs>
        <w:rPr>
          <w:rFonts w:ascii="宋体" w:hAnsi="宋体" w:eastAsia="宋体" w:cs="仿宋"/>
          <w:color w:val="auto"/>
          <w:sz w:val="24"/>
          <w:szCs w:val="24"/>
          <w:highlight w:val="none"/>
          <w:shd w:val="clear" w:color="auto" w:fill="ffffff"/>
        </w:rPr>
      </w:pPr>
      <w:r/>
      <w:bookmarkStart w:id="33" w:name="_Toc28359018"/>
      <w:r>
        <w:rPr>
          <w:rFonts w:hint="eastAsia" w:ascii="宋体" w:hAnsi="宋体" w:eastAsia="宋体" w:cs="仿宋"/>
          <w:color w:val="auto"/>
          <w:sz w:val="24"/>
          <w:szCs w:val="24"/>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20"/>
        <w:keepLines w:val="0"/>
        <w:keepNext w:val="0"/>
        <w:pageBreakBefore w:val="0"/>
        <w:spacing w:line="420" w:lineRule="exact"/>
        <w:shd w:val="clear" w:color="auto" w:fill="ffffff"/>
        <w:widowControl/>
        <w:tabs>
          <w:tab w:val="right" w:pos="8312" w:leader="none"/>
        </w:tabs>
        <w:rPr>
          <w:rFonts w:ascii="宋体" w:hAnsi="宋体" w:eastAsia="宋体" w:cs="仿宋"/>
          <w:color w:val="auto"/>
          <w:sz w:val="24"/>
          <w:szCs w:val="24"/>
          <w:highlight w:val="none"/>
          <w:shd w:val="clear" w:color="auto" w:fill="ffffff"/>
        </w:rPr>
      </w:pPr>
      <w:r>
        <w:rPr>
          <w:rFonts w:hint="eastAsia" w:ascii="宋体" w:hAnsi="宋体" w:eastAsia="宋体" w:cs="仿宋"/>
          <w:color w:val="auto"/>
          <w:sz w:val="24"/>
          <w:szCs w:val="24"/>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20"/>
        <w:keepLines w:val="0"/>
        <w:keepNext w:val="0"/>
        <w:pageBreakBefore w:val="0"/>
        <w:spacing w:line="420" w:lineRule="exact"/>
        <w:shd w:val="clear" w:color="auto" w:fill="ffffff"/>
        <w:widowControl/>
        <w:tabs>
          <w:tab w:val="right" w:pos="8312" w:leader="none"/>
        </w:tabs>
        <w:rPr>
          <w:rFonts w:ascii="宋体" w:hAnsi="宋体" w:eastAsia="宋体" w:cs="仿宋"/>
          <w:color w:val="auto"/>
          <w:sz w:val="24"/>
          <w:szCs w:val="24"/>
          <w:highlight w:val="none"/>
          <w:shd w:val="clear" w:color="auto" w:fill="ffffff"/>
        </w:rPr>
      </w:pPr>
      <w:r>
        <w:rPr>
          <w:rFonts w:ascii="宋体" w:hAnsi="宋体" w:eastAsia="宋体" w:cs="仿宋"/>
          <w:color w:val="auto"/>
          <w:sz w:val="24"/>
          <w:szCs w:val="24"/>
          <w:highlight w:val="none"/>
          <w:shd w:val="clear" w:color="auto" w:fill="ffffff"/>
        </w:rPr>
        <w:t xml:space="preserve">2</w:t>
      </w:r>
      <w:r>
        <w:rPr>
          <w:rFonts w:hint="eastAsia" w:ascii="宋体" w:hAnsi="宋体" w:eastAsia="宋体" w:cs="仿宋"/>
          <w:color w:val="auto"/>
          <w:sz w:val="24"/>
          <w:szCs w:val="24"/>
          <w:highlight w:val="none"/>
          <w:shd w:val="clear" w:color="auto" w:fill="ffffff"/>
        </w:rPr>
        <w:t xml:space="preserve">.潜在供应商访问电子招标响应交易平台的网络地址和方法：</w:t>
      </w:r>
      <w:r/>
    </w:p>
    <w:p>
      <w:pPr>
        <w:ind w:firstLine="420"/>
        <w:keepLines w:val="0"/>
        <w:keepNext w:val="0"/>
        <w:pageBreakBefore w:val="0"/>
        <w:spacing w:line="420" w:lineRule="exact"/>
        <w:shd w:val="clear" w:color="auto" w:fill="ffffff"/>
        <w:widowControl/>
        <w:tabs>
          <w:tab w:val="right" w:pos="8312" w:leader="none"/>
        </w:tabs>
        <w:rPr>
          <w:rFonts w:ascii="宋体" w:hAnsi="宋体" w:eastAsia="宋体" w:cs="仿宋"/>
          <w:color w:val="auto"/>
          <w:sz w:val="24"/>
          <w:szCs w:val="24"/>
          <w:highlight w:val="none"/>
          <w:shd w:val="clear" w:color="auto" w:fill="ffffff"/>
        </w:rPr>
      </w:pPr>
      <w:r>
        <w:rPr>
          <w:rFonts w:ascii="宋体" w:hAnsi="宋体" w:eastAsia="宋体" w:cs="仿宋"/>
          <w:color w:val="auto"/>
          <w:sz w:val="24"/>
          <w:szCs w:val="24"/>
          <w:highlight w:val="none"/>
          <w:shd w:val="clear" w:color="auto" w:fill="ffffff"/>
        </w:rPr>
        <w:t xml:space="preserve">2</w:t>
      </w:r>
      <w:r>
        <w:rPr>
          <w:rFonts w:hint="eastAsia" w:ascii="宋体" w:hAnsi="宋体" w:eastAsia="宋体" w:cs="仿宋"/>
          <w:color w:val="auto"/>
          <w:sz w:val="24"/>
          <w:szCs w:val="24"/>
          <w:highlight w:val="none"/>
          <w:shd w:val="clear" w:color="auto" w:fill="ffffff"/>
        </w:rPr>
        <w:t xml:space="preserve">.1 “苏采云”系统用户注册--获取“CA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ind w:firstLine="420"/>
        <w:keepLines w:val="0"/>
        <w:keepNext w:val="0"/>
        <w:pageBreakBefore w:val="0"/>
        <w:spacing w:line="420" w:lineRule="exact"/>
        <w:shd w:val="clear" w:color="auto" w:fill="ffffff"/>
        <w:widowControl/>
        <w:tabs>
          <w:tab w:val="right" w:pos="8312" w:leader="none"/>
        </w:tabs>
        <w:rPr>
          <w:rFonts w:ascii="宋体" w:hAnsi="宋体" w:eastAsia="宋体" w:cs="仿宋"/>
          <w:color w:val="auto"/>
          <w:sz w:val="24"/>
          <w:szCs w:val="24"/>
          <w:highlight w:val="none"/>
          <w:shd w:val="clear" w:color="auto" w:fill="ffffff"/>
        </w:rPr>
      </w:pPr>
      <w:r>
        <w:rPr>
          <w:rFonts w:ascii="宋体" w:hAnsi="宋体" w:eastAsia="宋体" w:cs="仿宋"/>
          <w:color w:val="auto"/>
          <w:sz w:val="24"/>
          <w:szCs w:val="24"/>
          <w:highlight w:val="none"/>
          <w:shd w:val="clear" w:color="auto" w:fill="ffffff"/>
        </w:rPr>
        <w:t xml:space="preserve">2</w:t>
      </w:r>
      <w:r>
        <w:rPr>
          <w:rFonts w:hint="eastAsia" w:ascii="宋体" w:hAnsi="宋体" w:eastAsia="宋体" w:cs="仿宋"/>
          <w:color w:val="auto"/>
          <w:sz w:val="24"/>
          <w:szCs w:val="24"/>
          <w:highlight w:val="none"/>
          <w:shd w:val="clear" w:color="auto" w:fill="ffffff"/>
        </w:rPr>
        <w:t xml:space="preserve">.2 潜在投标人访问“苏采云”系统方法：江苏省政府采购网首页-“苏采云”链接。</w:t>
      </w:r>
      <w:r/>
    </w:p>
    <w:p>
      <w:pPr>
        <w:ind w:firstLine="420"/>
        <w:keepLines w:val="0"/>
        <w:keepNext w:val="0"/>
        <w:pageBreakBefore w:val="0"/>
        <w:spacing w:line="420" w:lineRule="exact"/>
        <w:shd w:val="clear" w:color="auto" w:fill="ffffff"/>
        <w:widowControl/>
        <w:tabs>
          <w:tab w:val="right" w:pos="8312" w:leader="none"/>
        </w:tabs>
        <w:rPr>
          <w:rFonts w:ascii="宋体" w:hAnsi="宋体" w:eastAsia="宋体" w:cs="仿宋"/>
          <w:color w:val="auto"/>
          <w:sz w:val="24"/>
          <w:szCs w:val="24"/>
          <w:highlight w:val="none"/>
          <w:shd w:val="clear" w:color="auto" w:fill="ffffff"/>
        </w:rPr>
      </w:pPr>
      <w:r>
        <w:rPr>
          <w:rFonts w:ascii="宋体" w:hAnsi="宋体" w:eastAsia="宋体" w:cs="仿宋"/>
          <w:color w:val="auto"/>
          <w:sz w:val="24"/>
          <w:szCs w:val="24"/>
          <w:highlight w:val="none"/>
          <w:shd w:val="clear" w:color="auto" w:fill="ffffff"/>
        </w:rPr>
        <w:t xml:space="preserve">2</w:t>
      </w:r>
      <w:r>
        <w:rPr>
          <w:rFonts w:hint="eastAsia" w:ascii="宋体" w:hAnsi="宋体" w:eastAsia="宋体" w:cs="仿宋"/>
          <w:color w:val="auto"/>
          <w:sz w:val="24"/>
          <w:szCs w:val="24"/>
          <w:highlight w:val="none"/>
          <w:shd w:val="clear" w:color="auto" w:fill="ffffff"/>
        </w:rPr>
        <w:t xml:space="preserve">.3 采购文件（后缀名为“.kedt”）、供应商操作手册及政府采购客户端工具可通过“苏采云”系统相应链接进行下载。</w:t>
      </w:r>
      <w:r/>
    </w:p>
    <w:p>
      <w:pPr>
        <w:ind w:firstLine="420"/>
        <w:keepLines w:val="0"/>
        <w:keepNext w:val="0"/>
        <w:pageBreakBefore w:val="0"/>
        <w:spacing w:line="420" w:lineRule="exact"/>
        <w:shd w:val="clear" w:color="auto" w:fill="ffffff"/>
        <w:widowControl/>
        <w:tabs>
          <w:tab w:val="right" w:pos="8312" w:leader="none"/>
        </w:tabs>
        <w:rPr>
          <w:rFonts w:ascii="宋体" w:hAnsi="宋体" w:eastAsia="宋体" w:cs="仿宋"/>
          <w:color w:val="auto"/>
          <w:sz w:val="24"/>
          <w:szCs w:val="24"/>
          <w:highlight w:val="none"/>
          <w:shd w:val="clear" w:color="auto" w:fill="ffffff"/>
        </w:rPr>
      </w:pPr>
      <w:r>
        <w:rPr>
          <w:rFonts w:ascii="宋体" w:hAnsi="宋体" w:eastAsia="宋体" w:cs="仿宋"/>
          <w:color w:val="auto"/>
          <w:sz w:val="24"/>
          <w:szCs w:val="24"/>
          <w:highlight w:val="none"/>
          <w:shd w:val="clear" w:color="auto" w:fill="ffffff"/>
        </w:rPr>
        <w:t xml:space="preserve">2</w:t>
      </w:r>
      <w:r>
        <w:rPr>
          <w:rFonts w:hint="eastAsia" w:ascii="宋体" w:hAnsi="宋体" w:eastAsia="宋体" w:cs="仿宋"/>
          <w:color w:val="auto"/>
          <w:sz w:val="24"/>
          <w:szCs w:val="24"/>
          <w:highlight w:val="none"/>
          <w:shd w:val="clear" w:color="auto" w:fill="ffffff"/>
        </w:rPr>
        <w:t xml:space="preserve">.4 采购代理机构将数据电文形式的采购文件加载至“苏采云”系统，供潜在供应商下载或者查阅。</w:t>
      </w:r>
      <w:r/>
    </w:p>
    <w:p>
      <w:pPr>
        <w:ind w:firstLine="420"/>
        <w:keepLines w:val="0"/>
        <w:keepNext w:val="0"/>
        <w:pageBreakBefore w:val="0"/>
        <w:spacing w:line="420" w:lineRule="exact"/>
        <w:shd w:val="clear" w:color="auto" w:fill="ffffff"/>
        <w:widowControl/>
        <w:tabs>
          <w:tab w:val="right" w:pos="8312" w:leader="none"/>
        </w:tabs>
        <w:rPr>
          <w:rFonts w:ascii="宋体" w:hAnsi="宋体" w:eastAsia="宋体" w:cs="仿宋"/>
          <w:color w:val="auto"/>
          <w:sz w:val="24"/>
          <w:szCs w:val="24"/>
          <w:highlight w:val="none"/>
          <w:shd w:val="clear" w:color="auto" w:fill="ffffff"/>
        </w:rPr>
      </w:pPr>
      <w:r>
        <w:rPr>
          <w:rFonts w:ascii="宋体" w:hAnsi="宋体" w:eastAsia="宋体" w:cs="仿宋"/>
          <w:color w:val="auto"/>
          <w:sz w:val="24"/>
          <w:szCs w:val="24"/>
          <w:highlight w:val="none"/>
          <w:shd w:val="clear" w:color="auto" w:fill="ffffff"/>
        </w:rPr>
        <w:t xml:space="preserve">2</w:t>
      </w:r>
      <w:r>
        <w:rPr>
          <w:rFonts w:hint="eastAsia" w:ascii="宋体" w:hAnsi="宋体" w:eastAsia="宋体" w:cs="仿宋"/>
          <w:color w:val="auto"/>
          <w:sz w:val="24"/>
          <w:szCs w:val="24"/>
          <w:highlight w:val="none"/>
          <w:shd w:val="clear" w:color="auto" w:fill="ffffff"/>
        </w:rPr>
        <w:t xml:space="preserve">.5 请潜在投标单位提前安装相应的控件（详见《“苏采云”系统供应商操作手册》）并使用谷歌浏览器登录“苏采云”系统参与不见面开评标。</w:t>
      </w:r>
      <w:r/>
    </w:p>
    <w:p>
      <w:pPr>
        <w:ind w:firstLine="420"/>
        <w:keepLines w:val="0"/>
        <w:keepNext w:val="0"/>
        <w:pageBreakBefore w:val="0"/>
        <w:spacing w:line="420" w:lineRule="exact"/>
        <w:shd w:val="clear" w:color="auto" w:fill="ffffff"/>
        <w:widowControl/>
        <w:tabs>
          <w:tab w:val="right" w:pos="8312" w:leader="none"/>
        </w:tabs>
        <w:rPr>
          <w:rFonts w:ascii="宋体" w:hAnsi="宋体" w:eastAsia="宋体" w:cs="仿宋"/>
          <w:color w:val="auto"/>
          <w:sz w:val="24"/>
          <w:szCs w:val="24"/>
          <w:highlight w:val="none"/>
          <w:shd w:val="clear" w:color="auto" w:fill="ffffff"/>
        </w:rPr>
      </w:pPr>
      <w:r>
        <w:rPr>
          <w:rFonts w:hint="eastAsia" w:ascii="宋体" w:hAnsi="宋体" w:eastAsia="宋体" w:cs="仿宋"/>
          <w:color w:val="auto"/>
          <w:sz w:val="24"/>
          <w:szCs w:val="24"/>
          <w:highlight w:val="none"/>
          <w:shd w:val="clear" w:color="auto" w:fill="ffffff"/>
        </w:rPr>
        <w:t xml:space="preserve">如潜在投标人未按上述要求操作，将自行承担所产生的风险。</w:t>
      </w:r>
      <w:r/>
    </w:p>
    <w:p>
      <w:pPr>
        <w:ind w:firstLine="420"/>
        <w:keepLines w:val="0"/>
        <w:keepNext w:val="0"/>
        <w:pageBreakBefore w:val="0"/>
        <w:spacing w:line="420" w:lineRule="exact"/>
        <w:shd w:val="clear" w:color="auto" w:fill="ffffff"/>
        <w:widowControl/>
        <w:tabs>
          <w:tab w:val="right" w:pos="8312" w:leader="none"/>
        </w:tabs>
        <w:rPr>
          <w:rFonts w:ascii="宋体" w:hAnsi="宋体" w:eastAsia="宋体" w:cs="仿宋"/>
          <w:color w:val="auto"/>
          <w:sz w:val="24"/>
          <w:szCs w:val="24"/>
          <w:highlight w:val="none"/>
          <w:shd w:val="clear" w:color="auto" w:fill="ffffff"/>
        </w:rPr>
      </w:pPr>
      <w:r>
        <w:rPr>
          <w:rFonts w:ascii="宋体" w:hAnsi="宋体" w:eastAsia="宋体" w:cs="仿宋"/>
          <w:color w:val="auto"/>
          <w:sz w:val="24"/>
          <w:szCs w:val="24"/>
          <w:highlight w:val="none"/>
          <w:shd w:val="clear" w:color="auto" w:fill="ffffff"/>
        </w:rPr>
        <w:t xml:space="preserve">3</w:t>
      </w:r>
      <w:r>
        <w:rPr>
          <w:rFonts w:hint="eastAsia" w:ascii="宋体" w:hAnsi="宋体" w:eastAsia="宋体" w:cs="仿宋"/>
          <w:color w:val="auto"/>
          <w:sz w:val="24"/>
          <w:szCs w:val="24"/>
          <w:highlight w:val="none"/>
          <w:shd w:val="clear" w:color="auto" w:fill="ffffff"/>
        </w:rPr>
        <w:t xml:space="preserve">.有关本次招标的事项若存在变动或修改，敬请及时关注“中国政府采购网”、“江苏政府采购网”、“盐城市政府采购网”发布的更正公告。</w:t>
      </w:r>
      <w:r/>
    </w:p>
    <w:p>
      <w:pPr>
        <w:ind w:firstLine="420"/>
        <w:keepLines w:val="0"/>
        <w:keepNext w:val="0"/>
        <w:pageBreakBefore w:val="0"/>
        <w:spacing w:line="420" w:lineRule="exact"/>
        <w:shd w:val="clear" w:color="auto" w:fill="ffffff"/>
        <w:widowControl/>
        <w:tabs>
          <w:tab w:val="right" w:pos="8312" w:leader="none"/>
        </w:tabs>
        <w:rPr>
          <w:rFonts w:ascii="宋体" w:hAnsi="宋体" w:eastAsia="宋体" w:cs="仿宋"/>
          <w:b/>
          <w:color w:val="auto"/>
          <w:sz w:val="24"/>
          <w:szCs w:val="24"/>
          <w:highlight w:val="none"/>
          <w:shd w:val="clear" w:color="auto" w:fill="ffffff"/>
        </w:rPr>
      </w:pPr>
      <w:r>
        <w:rPr>
          <w:rFonts w:hint="eastAsia" w:ascii="宋体" w:hAnsi="宋体" w:eastAsia="宋体" w:cs="仿宋"/>
          <w:color w:val="auto"/>
          <w:sz w:val="24"/>
          <w:szCs w:val="24"/>
          <w:highlight w:val="none"/>
          <w:shd w:val="clear" w:color="auto" w:fill="ffffff"/>
        </w:rPr>
        <w:t xml:space="preserve">4.本次招标不收取投标保证金，不收取质量保证金。</w:t>
      </w:r>
      <w:r/>
    </w:p>
    <w:p>
      <w:pPr>
        <w:pStyle w:val="752"/>
        <w:ind w:firstLine="422"/>
        <w:keepLines w:val="0"/>
        <w:keepNext w:val="0"/>
        <w:pageBreakBefore w:val="0"/>
        <w:spacing w:line="420" w:lineRule="exact"/>
        <w:widowControl/>
        <w:rPr>
          <w:color w:val="auto"/>
          <w:sz w:val="24"/>
          <w:szCs w:val="24"/>
          <w:highlight w:val="none"/>
        </w:rPr>
      </w:pPr>
      <w:r>
        <w:rPr>
          <w:color w:val="auto"/>
          <w:sz w:val="24"/>
          <w:szCs w:val="24"/>
          <w:highlight w:val="none"/>
        </w:rPr>
        <w:t xml:space="preserve">七、对本次招标提出询问，请按以下方式联系。</w:t>
      </w:r>
      <w:bookmarkEnd w:id="33"/>
      <w:r/>
      <w:r/>
    </w:p>
    <w:p>
      <w:pPr>
        <w:pStyle w:val="785"/>
        <w:ind w:firstLine="420"/>
        <w:jc w:val="both"/>
        <w:keepLines w:val="0"/>
        <w:keepNext w:val="0"/>
        <w:pageBreakBefore w:val="0"/>
        <w:spacing w:beforeAutospacing="0" w:afterAutospacing="0" w:line="420" w:lineRule="exact"/>
        <w:shd w:val="clear" w:color="auto" w:fill="ffffff"/>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1、采购人信息</w:t>
      </w:r>
      <w:r/>
    </w:p>
    <w:p>
      <w:pPr>
        <w:pStyle w:val="785"/>
        <w:ind w:firstLine="420"/>
        <w:jc w:val="both"/>
        <w:keepLines w:val="0"/>
        <w:keepNext w:val="0"/>
        <w:pageBreakBefore w:val="0"/>
        <w:spacing w:beforeAutospacing="0" w:afterAutospacing="0" w:line="420" w:lineRule="exact"/>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    称：盐城经济技术开发区住房保障和建设局</w:t>
      </w:r>
      <w:r/>
    </w:p>
    <w:p>
      <w:pPr>
        <w:pStyle w:val="785"/>
        <w:ind w:firstLine="420"/>
        <w:jc w:val="both"/>
        <w:keepLines w:val="0"/>
        <w:keepNext w:val="0"/>
        <w:pageBreakBefore w:val="0"/>
        <w:spacing w:beforeAutospacing="0" w:afterAutospacing="0" w:line="420" w:lineRule="exact"/>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址：盐城经济技术开发区松江路18号</w:t>
      </w:r>
      <w:r/>
    </w:p>
    <w:p>
      <w:pPr>
        <w:pStyle w:val="785"/>
        <w:ind w:firstLine="420"/>
        <w:jc w:val="both"/>
        <w:keepLines w:val="0"/>
        <w:keepNext w:val="0"/>
        <w:pageBreakBefore w:val="0"/>
        <w:spacing w:beforeAutospacing="0" w:afterAutospacing="0" w:line="420" w:lineRule="exact"/>
        <w:shd w:val="clear" w:color="auto" w:fill="ffffff"/>
        <w:widowControl/>
        <w:rPr>
          <w:rFonts w:hint="eastAsia" w:ascii="宋体" w:hAnsi="宋体" w:eastAsia="宋体" w:cs="宋体"/>
          <w:color w:val="auto"/>
          <w:sz w:val="24"/>
          <w:szCs w:val="24"/>
          <w:highlight w:val="none"/>
          <w:lang w:eastAsia="zh-CN"/>
        </w:rPr>
      </w:pPr>
      <w:r/>
      <w:bookmarkStart w:id="34" w:name="OLE_LINK93"/>
      <w:r>
        <w:rPr>
          <w:rFonts w:hint="eastAsia" w:ascii="宋体" w:hAnsi="宋体" w:eastAsia="宋体" w:cs="宋体"/>
          <w:color w:val="auto"/>
          <w:sz w:val="24"/>
          <w:szCs w:val="24"/>
          <w:highlight w:val="none"/>
          <w:lang w:eastAsia="zh-CN"/>
        </w:rPr>
        <w:t xml:space="preserve">联 系 人：董先生 </w:t>
      </w:r>
      <w:r/>
    </w:p>
    <w:p>
      <w:pPr>
        <w:pStyle w:val="785"/>
        <w:ind w:firstLine="420"/>
        <w:jc w:val="both"/>
        <w:keepLines w:val="0"/>
        <w:keepNext w:val="0"/>
        <w:pageBreakBefore w:val="0"/>
        <w:spacing w:beforeAutospacing="0" w:afterAutospacing="0" w:line="420" w:lineRule="exact"/>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联系方式：13515149312　</w:t>
      </w:r>
      <w:bookmarkEnd w:id="34"/>
      <w:r/>
    </w:p>
    <w:p>
      <w:pPr>
        <w:pStyle w:val="785"/>
        <w:ind w:firstLine="420"/>
        <w:jc w:val="both"/>
        <w:keepLines w:val="0"/>
        <w:keepNext w:val="0"/>
        <w:pageBreakBefore w:val="0"/>
        <w:spacing w:beforeAutospacing="0" w:afterAutospacing="0" w:line="420" w:lineRule="exact"/>
        <w:shd w:val="clear" w:color="auto" w:fill="ffffff"/>
        <w:widowControl/>
        <w:rPr>
          <w:rFonts w:ascii="宋体" w:hAnsi="宋体" w:eastAsia="宋体" w:cs="宋体"/>
          <w:color w:val="auto"/>
          <w:sz w:val="24"/>
          <w:szCs w:val="24"/>
          <w:highlight w:val="none"/>
          <w:shd w:val="clear" w:color="auto" w:fill="ffffff"/>
        </w:rPr>
      </w:pPr>
      <w:r/>
      <w:bookmarkStart w:id="35" w:name="_Toc28359086"/>
      <w:r>
        <w:rPr>
          <w:rFonts w:hint="eastAsia" w:ascii="宋体" w:hAnsi="宋体" w:eastAsia="宋体" w:cs="宋体"/>
          <w:color w:val="auto"/>
          <w:sz w:val="24"/>
          <w:szCs w:val="24"/>
          <w:highlight w:val="none"/>
          <w:shd w:val="clear" w:color="auto" w:fill="ffffff"/>
        </w:rPr>
        <w:t xml:space="preserve">2、采购代理机构信息</w:t>
      </w:r>
      <w:bookmarkEnd w:id="35"/>
      <w:r/>
      <w:r/>
    </w:p>
    <w:p>
      <w:pPr>
        <w:pStyle w:val="785"/>
        <w:ind w:firstLine="420"/>
        <w:jc w:val="both"/>
        <w:keepLines w:val="0"/>
        <w:keepNext w:val="0"/>
        <w:pageBreakBefore w:val="0"/>
        <w:spacing w:beforeAutospacing="0" w:afterAutospacing="0" w:line="420" w:lineRule="exact"/>
        <w:shd w:val="clear" w:color="auto" w:fill="ffffff"/>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 xml:space="preserve">名    称：</w:t>
      </w:r>
      <w:r>
        <w:rPr>
          <w:rFonts w:hint="eastAsia" w:ascii="宋体" w:hAnsi="宋体" w:eastAsia="宋体" w:cs="宋体"/>
          <w:color w:val="auto"/>
          <w:sz w:val="24"/>
          <w:szCs w:val="24"/>
          <w:highlight w:val="none"/>
          <w:shd w:val="clear" w:color="auto" w:fill="ffffff"/>
          <w:lang w:eastAsia="zh-CN"/>
        </w:rPr>
        <w:t xml:space="preserve">江苏执策建设管理有限公司</w:t>
      </w:r>
      <w:r/>
    </w:p>
    <w:p>
      <w:pPr>
        <w:pStyle w:val="785"/>
        <w:ind w:firstLine="420"/>
        <w:jc w:val="both"/>
        <w:keepLines w:val="0"/>
        <w:keepNext w:val="0"/>
        <w:pageBreakBefore w:val="0"/>
        <w:spacing w:beforeAutospacing="0" w:afterAutospacing="0" w:line="420" w:lineRule="exact"/>
        <w:shd w:val="clear" w:color="auto" w:fill="ffffff"/>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地    址：盐城市盐都区恒荣世家北苑24幢2单元三楼　　</w:t>
      </w:r>
      <w:r/>
    </w:p>
    <w:p>
      <w:pPr>
        <w:pStyle w:val="785"/>
        <w:ind w:firstLine="420"/>
        <w:jc w:val="both"/>
        <w:keepLines w:val="0"/>
        <w:keepNext w:val="0"/>
        <w:pageBreakBefore w:val="0"/>
        <w:spacing w:beforeAutospacing="0" w:afterAutospacing="0" w:line="420" w:lineRule="exact"/>
        <w:shd w:val="clear" w:color="auto" w:fill="ffffff"/>
        <w:widowControl/>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rPr>
        <w:t xml:space="preserve">联 系 人：</w:t>
      </w:r>
      <w:r>
        <w:rPr>
          <w:rFonts w:hint="eastAsia" w:ascii="宋体" w:hAnsi="宋体" w:eastAsia="宋体" w:cs="宋体"/>
          <w:color w:val="auto"/>
          <w:sz w:val="24"/>
          <w:szCs w:val="24"/>
          <w:highlight w:val="none"/>
          <w:shd w:val="clear" w:color="auto" w:fill="ffffff"/>
          <w:lang w:val="en-US" w:eastAsia="zh-CN"/>
        </w:rPr>
        <w:t xml:space="preserve">韦工</w:t>
      </w:r>
      <w:r/>
    </w:p>
    <w:p>
      <w:pPr>
        <w:pStyle w:val="785"/>
        <w:ind w:firstLine="420"/>
        <w:jc w:val="both"/>
        <w:keepLines w:val="0"/>
        <w:keepNext w:val="0"/>
        <w:pageBreakBefore w:val="0"/>
        <w:spacing w:beforeAutospacing="0" w:afterAutospacing="0" w:line="420" w:lineRule="exact"/>
        <w:shd w:val="clear" w:color="auto" w:fill="ffffff"/>
        <w:widowControl/>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rPr>
        <w:t xml:space="preserve">联系方式：</w:t>
      </w:r>
      <w:r>
        <w:rPr>
          <w:rFonts w:hint="eastAsia" w:ascii="宋体" w:hAnsi="宋体" w:eastAsia="宋体" w:cs="宋体"/>
          <w:color w:val="auto"/>
          <w:sz w:val="24"/>
          <w:szCs w:val="24"/>
          <w:highlight w:val="none"/>
          <w:shd w:val="clear" w:color="auto" w:fill="ffffff"/>
          <w:lang w:val="en-US" w:eastAsia="zh-CN"/>
        </w:rPr>
        <w:t xml:space="preserve">18105105536</w:t>
      </w:r>
      <w:r/>
    </w:p>
    <w:p>
      <w:pPr>
        <w:pStyle w:val="785"/>
        <w:ind w:firstLine="420"/>
        <w:jc w:val="both"/>
        <w:keepLines w:val="0"/>
        <w:keepNext w:val="0"/>
        <w:pageBreakBefore w:val="0"/>
        <w:spacing w:beforeAutospacing="0" w:afterAutospacing="0" w:line="420" w:lineRule="exact"/>
        <w:shd w:val="clear" w:color="auto" w:fill="ffffff"/>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3、项目联系方式</w:t>
      </w:r>
      <w:r/>
    </w:p>
    <w:p>
      <w:pPr>
        <w:pStyle w:val="785"/>
        <w:ind w:firstLine="420"/>
        <w:jc w:val="both"/>
        <w:keepLines w:val="0"/>
        <w:keepNext w:val="0"/>
        <w:pageBreakBefore w:val="0"/>
        <w:spacing w:beforeAutospacing="0" w:afterAutospacing="0" w:line="420" w:lineRule="exact"/>
        <w:shd w:val="clear" w:color="auto" w:fill="ffffff"/>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项目联系人：</w:t>
      </w:r>
      <w:r>
        <w:rPr>
          <w:rFonts w:hint="eastAsia" w:ascii="宋体" w:hAnsi="宋体" w:eastAsia="宋体" w:cs="宋体"/>
          <w:color w:val="auto"/>
          <w:sz w:val="24"/>
          <w:szCs w:val="24"/>
          <w:highlight w:val="none"/>
          <w:lang w:eastAsia="zh-CN"/>
        </w:rPr>
        <w:t xml:space="preserve">董先生</w:t>
      </w:r>
      <w:r>
        <w:rPr>
          <w:rFonts w:hint="eastAsia" w:ascii="宋体" w:hAnsi="宋体" w:eastAsia="宋体" w:cs="宋体"/>
          <w:color w:val="auto"/>
          <w:sz w:val="24"/>
          <w:szCs w:val="24"/>
          <w:highlight w:val="none"/>
          <w:shd w:val="clear" w:color="auto" w:fill="ffffff"/>
        </w:rPr>
        <w:t xml:space="preserve"> </w:t>
      </w:r>
      <w:r/>
    </w:p>
    <w:p>
      <w:pPr>
        <w:pStyle w:val="785"/>
        <w:ind w:firstLine="420"/>
        <w:jc w:val="both"/>
        <w:keepLines w:val="0"/>
        <w:keepNext w:val="0"/>
        <w:pageBreakBefore w:val="0"/>
        <w:spacing w:beforeAutospacing="0" w:afterAutospacing="0" w:line="420" w:lineRule="exact"/>
        <w:shd w:val="clear" w:color="auto" w:fill="ffffff"/>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电　    话：</w:t>
      </w:r>
      <w:bookmarkEnd w:id="6"/>
      <w:r>
        <w:rPr>
          <w:rFonts w:hint="eastAsia" w:ascii="宋体" w:hAnsi="宋体" w:eastAsia="宋体" w:cs="宋体"/>
          <w:color w:val="auto"/>
          <w:sz w:val="24"/>
          <w:szCs w:val="24"/>
          <w:highlight w:val="none"/>
          <w:lang w:eastAsia="zh-CN"/>
        </w:rPr>
        <w:t xml:space="preserve">13515149312　</w:t>
      </w:r>
      <w:r/>
    </w:p>
    <w:p>
      <w:pPr>
        <w:rPr>
          <w:rFonts w:ascii="宋体" w:hAnsi="宋体" w:eastAsia="宋体" w:cs="黑体"/>
          <w:b/>
          <w:color w:val="auto"/>
          <w:sz w:val="44"/>
          <w:szCs w:val="44"/>
          <w:highlight w:val="none"/>
        </w:rPr>
      </w:pPr>
      <w:r/>
      <w:bookmarkStart w:id="36" w:name="_Toc120614211"/>
      <w:r/>
      <w:bookmarkStart w:id="37" w:name="_Toc28359009"/>
      <w:r>
        <w:rPr>
          <w:rFonts w:ascii="宋体" w:hAnsi="宋体" w:eastAsia="宋体" w:cs="黑体"/>
          <w:b/>
          <w:color w:val="auto"/>
          <w:sz w:val="44"/>
          <w:szCs w:val="44"/>
          <w:highlight w:val="none"/>
        </w:rPr>
        <w:br w:type="page" w:clear="all"/>
      </w:r>
      <w:r/>
    </w:p>
    <w:p>
      <w:pPr>
        <w:pStyle w:val="785"/>
        <w:ind w:right="840"/>
        <w:jc w:val="center"/>
        <w:spacing w:beforeAutospacing="0" w:afterAutospacing="0"/>
        <w:rPr>
          <w:color w:val="auto"/>
          <w:highlight w:val="none"/>
        </w:rPr>
      </w:pPr>
      <w:r>
        <w:rPr>
          <w:rFonts w:hint="eastAsia" w:ascii="宋体" w:hAnsi="宋体" w:eastAsia="宋体" w:cs="黑体"/>
          <w:b/>
          <w:color w:val="auto"/>
          <w:sz w:val="44"/>
          <w:szCs w:val="44"/>
          <w:highlight w:val="none"/>
        </w:rPr>
        <w:t xml:space="preserve">第二章  </w:t>
      </w:r>
      <w:bookmarkEnd w:id="36"/>
      <w:r/>
      <w:bookmarkStart w:id="38" w:name="_Toc20823274"/>
      <w:r/>
      <w:bookmarkStart w:id="39" w:name="_Toc513029202"/>
      <w:r/>
      <w:bookmarkStart w:id="40" w:name="_Toc120614213"/>
      <w:r/>
      <w:bookmarkStart w:id="41" w:name="_Toc16938518"/>
      <w:r>
        <w:rPr>
          <w:rFonts w:hint="eastAsia" w:ascii="宋体" w:hAnsi="宋体" w:eastAsia="宋体" w:cs="黑体"/>
          <w:b/>
          <w:color w:val="auto"/>
          <w:sz w:val="44"/>
          <w:szCs w:val="44"/>
          <w:highlight w:val="none"/>
        </w:rPr>
        <w:t xml:space="preserve">投标人须知</w:t>
      </w:r>
      <w:bookmarkEnd w:id="38"/>
      <w:r/>
      <w:bookmarkEnd w:id="39"/>
      <w:r/>
      <w:bookmarkEnd w:id="40"/>
      <w:r/>
      <w:bookmarkEnd w:id="41"/>
      <w:r/>
      <w:r/>
    </w:p>
    <w:p>
      <w:pPr>
        <w:ind w:firstLine="482"/>
        <w:jc w:val="both"/>
        <w:spacing w:line="440" w:lineRule="exact"/>
        <w:widowControl w:val="off"/>
        <w:rPr>
          <w:rFonts w:ascii="宋体" w:hAnsi="宋体" w:eastAsia="宋体" w:cs="宋体"/>
          <w:b/>
          <w:bCs/>
          <w:color w:val="auto"/>
          <w:sz w:val="24"/>
          <w:highlight w:val="none"/>
        </w:rPr>
      </w:pPr>
      <w:r/>
      <w:bookmarkStart w:id="42" w:name="_Toc16938519"/>
      <w:r/>
      <w:bookmarkStart w:id="43" w:name="_Toc513029203"/>
      <w:r/>
      <w:bookmarkStart w:id="44" w:name="_Toc120614214"/>
      <w:r/>
      <w:bookmarkStart w:id="45" w:name="_Toc20823275"/>
      <w:r/>
      <w:bookmarkStart w:id="46" w:name="_Hlt26668983"/>
      <w:r/>
      <w:bookmarkStart w:id="47" w:name="_Hlt26668975"/>
      <w:r/>
      <w:bookmarkStart w:id="48" w:name="_Hlt16619475"/>
      <w:r/>
      <w:bookmarkStart w:id="49" w:name="_Hlt26670373"/>
      <w:r/>
      <w:bookmarkStart w:id="50" w:name="_Hlt26670360"/>
      <w:r/>
      <w:bookmarkStart w:id="51" w:name="_Hlt26670403"/>
      <w:r/>
      <w:bookmarkStart w:id="52" w:name="_Hlt26954734"/>
      <w:r/>
      <w:bookmarkStart w:id="53" w:name="_Hlt26954739"/>
      <w:r/>
      <w:bookmarkStart w:id="54" w:name="_Hlt26954850"/>
      <w:r/>
      <w:bookmarkStart w:id="55" w:name="_Hlt26954848"/>
      <w:r/>
      <w:bookmarkStart w:id="56" w:name="_Hlt26954840"/>
      <w:r/>
      <w:bookmarkStart w:id="57" w:name="_Hlt26670489"/>
      <w:r/>
      <w:bookmarkStart w:id="58" w:name="_Hlt26954844"/>
      <w:r/>
      <w:bookmarkStart w:id="59" w:name="_Hlt26954731"/>
      <w:r/>
      <w:bookmarkStart w:id="60" w:name="_Hlt26670425"/>
      <w:r/>
      <w:bookmarkStart w:id="61" w:name="_Hlt26954838"/>
      <w:r/>
      <w:bookmarkStart w:id="62" w:name="_Hlt26670486"/>
      <w:r/>
      <w:bookmarkStart w:id="63" w:name="_Hlt26954852"/>
      <w:r/>
      <w:bookmarkStart w:id="64" w:name="_Hlt26670399"/>
      <w:r/>
      <w:bookmarkStart w:id="65" w:name="_Hlt26954842"/>
      <w:r/>
      <w:bookmarkStart w:id="66" w:name="_Toc513029226"/>
      <w:r/>
      <w:bookmarkStart w:id="67" w:name="_Hlt26670482"/>
      <w:r/>
      <w:bookmarkStart w:id="68" w:name="_Hlt26954846"/>
      <w:r>
        <w:rPr>
          <w:rFonts w:hint="eastAsia" w:ascii="宋体" w:hAnsi="宋体" w:eastAsia="宋体" w:cs="宋体"/>
          <w:b/>
          <w:bCs/>
          <w:color w:val="auto"/>
          <w:sz w:val="24"/>
          <w:highlight w:val="none"/>
        </w:rPr>
        <w:t xml:space="preserve">一、总则</w:t>
      </w:r>
      <w:bookmarkEnd w:id="42"/>
      <w:r/>
      <w:bookmarkEnd w:id="43"/>
      <w:r/>
      <w:bookmarkEnd w:id="44"/>
      <w:r/>
      <w:bookmarkEnd w:id="45"/>
      <w:r/>
      <w:r/>
    </w:p>
    <w:p>
      <w:pPr>
        <w:ind w:firstLine="482"/>
        <w:jc w:val="both"/>
        <w:spacing w:line="440" w:lineRule="exact"/>
        <w:widowControl w:val="off"/>
        <w:rPr>
          <w:rFonts w:ascii="宋体" w:hAnsi="宋体" w:eastAsia="宋体" w:cs="宋体"/>
          <w:color w:val="auto"/>
          <w:sz w:val="24"/>
          <w:highlight w:val="none"/>
        </w:rPr>
      </w:pPr>
      <w:r/>
      <w:bookmarkStart w:id="69" w:name="_Toc16938520"/>
      <w:r/>
      <w:bookmarkStart w:id="70" w:name="_Toc20823276"/>
      <w:r/>
      <w:bookmarkStart w:id="71" w:name="_Toc458694821"/>
      <w:r/>
      <w:bookmarkStart w:id="72" w:name="_Toc513029204"/>
      <w:r>
        <w:rPr>
          <w:rFonts w:hint="eastAsia" w:ascii="宋体" w:hAnsi="宋体" w:eastAsia="宋体" w:cs="宋体"/>
          <w:color w:val="auto"/>
          <w:sz w:val="24"/>
          <w:highlight w:val="none"/>
        </w:rPr>
        <w:t xml:space="preserve">1</w:t>
      </w:r>
      <w:bookmarkEnd w:id="69"/>
      <w:r>
        <w:rPr>
          <w:rFonts w:hint="eastAsia" w:ascii="宋体" w:hAnsi="宋体" w:eastAsia="宋体" w:cs="宋体"/>
          <w:color w:val="auto"/>
          <w:sz w:val="24"/>
          <w:highlight w:val="none"/>
        </w:rPr>
        <w:t xml:space="preserve">、招标方式</w:t>
      </w:r>
      <w:bookmarkEnd w:id="70"/>
      <w:r/>
      <w:bookmarkEnd w:id="71"/>
      <w:r/>
      <w:bookmarkEnd w:id="72"/>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ind w:firstLine="482"/>
        <w:jc w:val="both"/>
        <w:spacing w:line="440" w:lineRule="exact"/>
        <w:widowControl w:val="off"/>
        <w:rPr>
          <w:rFonts w:ascii="宋体" w:hAnsi="宋体" w:eastAsia="宋体" w:cs="宋体"/>
          <w:color w:val="auto"/>
          <w:sz w:val="24"/>
          <w:highlight w:val="none"/>
        </w:rPr>
      </w:pPr>
      <w:r/>
      <w:bookmarkStart w:id="73" w:name="_Toc20823277"/>
      <w:r/>
      <w:bookmarkStart w:id="74" w:name="_Toc513029205"/>
      <w:r/>
      <w:bookmarkStart w:id="75" w:name="_Toc16938521"/>
      <w:r>
        <w:rPr>
          <w:rFonts w:hint="eastAsia" w:ascii="宋体" w:hAnsi="宋体" w:eastAsia="宋体" w:cs="宋体"/>
          <w:color w:val="auto"/>
          <w:sz w:val="24"/>
          <w:highlight w:val="none"/>
        </w:rPr>
        <w:t xml:space="preserve">2、合格的投标人</w:t>
      </w:r>
      <w:bookmarkEnd w:id="73"/>
      <w:r/>
      <w:bookmarkEnd w:id="74"/>
      <w:r/>
      <w:bookmarkEnd w:id="75"/>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2.1满足招标公告中供应商的资格要求的规定。</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2.2满足本文件实质性要求和条件的规定。</w:t>
      </w:r>
      <w:r/>
    </w:p>
    <w:p>
      <w:pPr>
        <w:ind w:firstLine="482"/>
        <w:jc w:val="both"/>
        <w:spacing w:line="440" w:lineRule="exact"/>
        <w:widowControl w:val="off"/>
        <w:rPr>
          <w:rFonts w:ascii="宋体" w:hAnsi="宋体" w:eastAsia="宋体" w:cs="宋体"/>
          <w:color w:val="auto"/>
          <w:sz w:val="24"/>
          <w:highlight w:val="none"/>
        </w:rPr>
      </w:pPr>
      <w:r/>
      <w:bookmarkStart w:id="76" w:name="_Toc513029206"/>
      <w:r/>
      <w:bookmarkStart w:id="77" w:name="_Toc20823278"/>
      <w:r/>
      <w:bookmarkStart w:id="78" w:name="_Toc16938522"/>
      <w:r>
        <w:rPr>
          <w:rFonts w:hint="eastAsia" w:ascii="宋体" w:hAnsi="宋体" w:eastAsia="宋体" w:cs="宋体"/>
          <w:color w:val="auto"/>
          <w:sz w:val="24"/>
          <w:highlight w:val="none"/>
        </w:rPr>
        <w:t xml:space="preserve">3、适用法律</w:t>
      </w:r>
      <w:bookmarkEnd w:id="76"/>
      <w:r/>
      <w:bookmarkEnd w:id="77"/>
      <w:r/>
      <w:bookmarkEnd w:id="78"/>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3.1本次招标及由此产生的合同受中华人民共和国有关的法律法规制约和保护。</w:t>
      </w:r>
      <w:r/>
    </w:p>
    <w:p>
      <w:pPr>
        <w:ind w:firstLine="482"/>
        <w:jc w:val="both"/>
        <w:spacing w:line="440" w:lineRule="exact"/>
        <w:widowControl w:val="off"/>
        <w:rPr>
          <w:rFonts w:ascii="宋体" w:hAnsi="宋体" w:eastAsia="宋体" w:cs="宋体"/>
          <w:color w:val="auto"/>
          <w:sz w:val="24"/>
          <w:highlight w:val="none"/>
        </w:rPr>
      </w:pPr>
      <w:r/>
      <w:bookmarkStart w:id="79" w:name="_Toc16938523"/>
      <w:r/>
      <w:bookmarkStart w:id="80" w:name="_Toc513029207"/>
      <w:r/>
      <w:bookmarkStart w:id="81" w:name="_Toc462564067"/>
      <w:r/>
      <w:bookmarkStart w:id="82" w:name="_Toc20823279"/>
      <w:r>
        <w:rPr>
          <w:rFonts w:hint="eastAsia" w:ascii="宋体" w:hAnsi="宋体" w:eastAsia="宋体" w:cs="宋体"/>
          <w:color w:val="auto"/>
          <w:sz w:val="24"/>
          <w:highlight w:val="none"/>
        </w:rPr>
        <w:t xml:space="preserve">4、投标费用</w:t>
      </w:r>
      <w:bookmarkEnd w:id="79"/>
      <w:r/>
      <w:bookmarkEnd w:id="80"/>
      <w:r/>
      <w:bookmarkEnd w:id="81"/>
      <w:r/>
      <w:bookmarkEnd w:id="82"/>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4.1投标人应自行承担所有与参加投标有关的费用，无论投标过程中的做法和结果如何，采购人在任何情况下均无义务和责任承担这些费用。</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4.2招标代理服务费：</w:t>
      </w:r>
      <w:r>
        <w:rPr>
          <w:rFonts w:hint="eastAsia" w:ascii="宋体" w:hAnsi="宋体" w:eastAsia="宋体" w:cs="宋体"/>
          <w:b/>
          <w:bCs/>
          <w:color w:val="auto"/>
          <w:sz w:val="24"/>
          <w:highlight w:val="none"/>
        </w:rPr>
        <w:t xml:space="preserve">招标代理服务费参照(计价格[2002]1980号)准计取;50万以下项目按照相关标准收取;50万-100万项目按收费标准 8折计算，100万-500万的项目按收费标准6折计算。如服务费低于人民币 </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eastAsia="zh-CN"/>
        </w:rPr>
        <w:t xml:space="preserve">000</w:t>
      </w:r>
      <w:r>
        <w:rPr>
          <w:rFonts w:hint="eastAsia" w:ascii="宋体" w:hAnsi="宋体" w:eastAsia="宋体" w:cs="宋体"/>
          <w:b/>
          <w:bCs/>
          <w:color w:val="auto"/>
          <w:sz w:val="24"/>
          <w:highlight w:val="none"/>
        </w:rPr>
        <w:t xml:space="preserve">元的，按人民币 </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eastAsia="zh-CN"/>
        </w:rPr>
        <w:t xml:space="preserve">000</w:t>
      </w:r>
      <w:r>
        <w:rPr>
          <w:rFonts w:hint="eastAsia" w:ascii="宋体" w:hAnsi="宋体" w:eastAsia="宋体" w:cs="宋体"/>
          <w:b/>
          <w:bCs/>
          <w:color w:val="auto"/>
          <w:sz w:val="24"/>
          <w:highlight w:val="none"/>
        </w:rPr>
        <w:t xml:space="preserve">元计收。投标人投标时综合考虑进报价中，此项费用不得单列，凡漏项或少计均视为优惠招标人，不另行增加费用。中标后由中标单位在领取中标通知书前直接向招标代理公司一次性付清。</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5、招标文件的约束力</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5.1投标人一旦参加本项目采购活动，即被认为接受了本招标文件的规定和约束。</w:t>
      </w:r>
      <w:r/>
    </w:p>
    <w:p>
      <w:pPr>
        <w:ind w:firstLine="482"/>
        <w:jc w:val="both"/>
        <w:spacing w:line="440" w:lineRule="exact"/>
        <w:widowControl w:val="off"/>
        <w:rPr>
          <w:rFonts w:ascii="宋体" w:hAnsi="宋体" w:eastAsia="宋体" w:cs="宋体"/>
          <w:b/>
          <w:bCs/>
          <w:color w:val="auto"/>
          <w:sz w:val="24"/>
          <w:highlight w:val="none"/>
        </w:rPr>
      </w:pPr>
      <w:r/>
      <w:bookmarkStart w:id="83" w:name="_Toc16938525"/>
      <w:r/>
      <w:bookmarkStart w:id="84" w:name="_Toc120614215"/>
      <w:r/>
      <w:bookmarkStart w:id="85" w:name="_Toc513029209"/>
      <w:r/>
      <w:bookmarkStart w:id="86" w:name="_Toc20823281"/>
      <w:r>
        <w:rPr>
          <w:rFonts w:hint="eastAsia" w:ascii="宋体" w:hAnsi="宋体" w:eastAsia="宋体" w:cs="宋体"/>
          <w:b/>
          <w:bCs/>
          <w:color w:val="auto"/>
          <w:sz w:val="24"/>
          <w:highlight w:val="none"/>
        </w:rPr>
        <w:t xml:space="preserve">二、招标文件</w:t>
      </w:r>
      <w:bookmarkEnd w:id="83"/>
      <w:r/>
      <w:bookmarkEnd w:id="84"/>
      <w:r/>
      <w:bookmarkEnd w:id="85"/>
      <w:r/>
      <w:bookmarkEnd w:id="86"/>
      <w:r/>
      <w:r/>
    </w:p>
    <w:p>
      <w:pPr>
        <w:ind w:firstLine="482"/>
        <w:jc w:val="both"/>
        <w:spacing w:line="440" w:lineRule="exact"/>
        <w:widowControl w:val="off"/>
        <w:rPr>
          <w:rFonts w:ascii="宋体" w:hAnsi="宋体" w:eastAsia="宋体" w:cs="宋体"/>
          <w:color w:val="auto"/>
          <w:sz w:val="24"/>
          <w:highlight w:val="none"/>
        </w:rPr>
      </w:pPr>
      <w:r/>
      <w:bookmarkStart w:id="87" w:name="_Toc20823282"/>
      <w:r/>
      <w:bookmarkStart w:id="88" w:name="_Toc16938526"/>
      <w:r/>
      <w:bookmarkStart w:id="89" w:name="_Toc513029210"/>
      <w:r>
        <w:rPr>
          <w:rFonts w:hint="eastAsia" w:ascii="宋体" w:hAnsi="宋体" w:eastAsia="宋体" w:cs="宋体"/>
          <w:color w:val="auto"/>
          <w:sz w:val="24"/>
          <w:highlight w:val="none"/>
        </w:rPr>
        <w:t xml:space="preserve">6、招标文件构成</w:t>
      </w:r>
      <w:bookmarkEnd w:id="87"/>
      <w:r/>
      <w:bookmarkEnd w:id="88"/>
      <w:r/>
      <w:bookmarkEnd w:id="89"/>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6.1 招标文件由以下部分组成：</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（1）招标公告</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（2）投标人须知</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（3）合同文本</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（5）评标方法与评标标准</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both"/>
        <w:spacing w:line="440" w:lineRule="exact"/>
        <w:widowControl w:val="off"/>
        <w:rPr>
          <w:rFonts w:ascii="宋体" w:hAnsi="宋体" w:eastAsia="宋体" w:cs="宋体"/>
          <w:color w:val="auto"/>
          <w:sz w:val="24"/>
          <w:highlight w:val="none"/>
        </w:rPr>
      </w:pPr>
      <w:r/>
      <w:bookmarkStart w:id="90" w:name="_Toc513029211"/>
      <w:r/>
      <w:bookmarkStart w:id="91" w:name="_Toc20823283"/>
      <w:r/>
      <w:bookmarkStart w:id="92" w:name="_Toc462564070"/>
      <w:r/>
      <w:bookmarkStart w:id="93" w:name="_Toc16938527"/>
      <w:r>
        <w:rPr>
          <w:rFonts w:hint="eastAsia" w:ascii="宋体" w:hAnsi="宋体" w:eastAsia="宋体" w:cs="宋体"/>
          <w:color w:val="auto"/>
          <w:sz w:val="24"/>
          <w:highlight w:val="none"/>
        </w:rPr>
        <w:t xml:space="preserve">7、招标文件的澄清</w:t>
      </w:r>
      <w:bookmarkEnd w:id="90"/>
      <w:r/>
      <w:bookmarkEnd w:id="91"/>
      <w:r/>
      <w:bookmarkEnd w:id="92"/>
      <w:r/>
      <w:bookmarkEnd w:id="93"/>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7.1任何要求对招标文件进行澄清的投标人，应在投标截止期十日前按招标公告中的通讯地址，以书面形式通知采购人。</w:t>
      </w:r>
      <w:r/>
    </w:p>
    <w:p>
      <w:pPr>
        <w:ind w:firstLine="482"/>
        <w:jc w:val="both"/>
        <w:spacing w:line="440" w:lineRule="exact"/>
        <w:widowControl w:val="off"/>
        <w:rPr>
          <w:rFonts w:ascii="宋体" w:hAnsi="宋体" w:eastAsia="宋体" w:cs="宋体"/>
          <w:color w:val="auto"/>
          <w:sz w:val="24"/>
          <w:highlight w:val="none"/>
        </w:rPr>
      </w:pPr>
      <w:r/>
      <w:bookmarkStart w:id="94" w:name="_Toc513029212"/>
      <w:r/>
      <w:bookmarkStart w:id="95" w:name="_Toc16938528"/>
      <w:r/>
      <w:bookmarkStart w:id="96" w:name="_Toc20823284"/>
      <w:r/>
      <w:bookmarkStart w:id="97" w:name="_Toc462564071"/>
      <w:r>
        <w:rPr>
          <w:rFonts w:hint="eastAsia" w:ascii="宋体" w:hAnsi="宋体" w:eastAsia="宋体" w:cs="宋体"/>
          <w:color w:val="auto"/>
          <w:sz w:val="24"/>
          <w:highlight w:val="none"/>
        </w:rPr>
        <w:t xml:space="preserve">8、招标文件的修改</w:t>
      </w:r>
      <w:bookmarkEnd w:id="94"/>
      <w:r/>
      <w:bookmarkEnd w:id="95"/>
      <w:r/>
      <w:bookmarkEnd w:id="96"/>
      <w:r/>
      <w:bookmarkEnd w:id="97"/>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8.1在投标截止时间前，采购人可以对招标文件进行修改。</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8.2采购人有权按照法定的要求推迟投标截止日期和开标日期。</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8.3招标文件的修改将在中国政府采购网、江苏政府采购网、盐城市政府采购网公布，补充文件将作为招标文件的组成部分，并对投标人具有约束力。</w:t>
      </w:r>
      <w:r/>
    </w:p>
    <w:p>
      <w:pPr>
        <w:ind w:firstLine="482"/>
        <w:jc w:val="both"/>
        <w:spacing w:line="440" w:lineRule="exact"/>
        <w:widowControl w:val="off"/>
        <w:rPr>
          <w:rFonts w:ascii="宋体" w:hAnsi="宋体" w:eastAsia="宋体" w:cs="宋体"/>
          <w:b/>
          <w:bCs/>
          <w:color w:val="auto"/>
          <w:sz w:val="24"/>
          <w:highlight w:val="none"/>
        </w:rPr>
      </w:pPr>
      <w:r/>
      <w:bookmarkStart w:id="98" w:name="_Toc16938529"/>
      <w:r/>
      <w:bookmarkStart w:id="99" w:name="_Toc462564072"/>
      <w:r/>
      <w:bookmarkStart w:id="100" w:name="_Toc20823285"/>
      <w:r/>
      <w:bookmarkStart w:id="101" w:name="_Toc120614216"/>
      <w:r/>
      <w:bookmarkStart w:id="102" w:name="_Toc513029213"/>
      <w:r>
        <w:rPr>
          <w:rFonts w:hint="eastAsia" w:ascii="宋体" w:hAnsi="宋体" w:eastAsia="宋体" w:cs="宋体"/>
          <w:b/>
          <w:bCs/>
          <w:color w:val="auto"/>
          <w:sz w:val="24"/>
          <w:highlight w:val="none"/>
        </w:rPr>
        <w:t xml:space="preserve">三、投标文件的编制</w:t>
      </w:r>
      <w:bookmarkEnd w:id="98"/>
      <w:r/>
      <w:bookmarkEnd w:id="99"/>
      <w:r/>
      <w:bookmarkEnd w:id="100"/>
      <w:r/>
      <w:bookmarkEnd w:id="101"/>
      <w:r/>
      <w:bookmarkEnd w:id="102"/>
      <w:r/>
      <w:r/>
    </w:p>
    <w:p>
      <w:pPr>
        <w:ind w:firstLine="482"/>
        <w:jc w:val="both"/>
        <w:spacing w:line="440" w:lineRule="exact"/>
        <w:widowControl w:val="off"/>
        <w:rPr>
          <w:rFonts w:ascii="宋体" w:hAnsi="宋体" w:eastAsia="宋体" w:cs="宋体"/>
          <w:color w:val="auto"/>
          <w:sz w:val="24"/>
          <w:highlight w:val="none"/>
        </w:rPr>
      </w:pPr>
      <w:r/>
      <w:bookmarkStart w:id="103" w:name="_Toc462564073"/>
      <w:r/>
      <w:bookmarkStart w:id="104" w:name="_Toc16938530"/>
      <w:r/>
      <w:bookmarkStart w:id="105" w:name="_Toc513029214"/>
      <w:r/>
      <w:bookmarkStart w:id="106" w:name="_Toc20823286"/>
      <w:r>
        <w:rPr>
          <w:rFonts w:hint="eastAsia" w:ascii="宋体" w:hAnsi="宋体" w:eastAsia="宋体" w:cs="宋体"/>
          <w:color w:val="auto"/>
          <w:sz w:val="24"/>
          <w:highlight w:val="none"/>
        </w:rPr>
        <w:t xml:space="preserve">9、投标文件的语言及度量衡单位</w:t>
      </w:r>
      <w:bookmarkEnd w:id="103"/>
      <w:r/>
      <w:bookmarkEnd w:id="104"/>
      <w:r/>
      <w:bookmarkEnd w:id="105"/>
      <w:r/>
      <w:bookmarkEnd w:id="106"/>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9.1投标人提交的投标文件以及投标人与采购人就有关投标的所有来往通知、函件和文件均应使用简体中文。</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9.2除技术性能另有规定外，投标文件所使用的度量衡单位，均须采用国家法定计量单位。</w:t>
      </w:r>
      <w:r/>
    </w:p>
    <w:p>
      <w:pPr>
        <w:ind w:firstLine="482"/>
        <w:jc w:val="both"/>
        <w:spacing w:line="440" w:lineRule="exact"/>
        <w:widowControl w:val="off"/>
        <w:rPr>
          <w:rFonts w:ascii="宋体" w:hAnsi="宋体" w:eastAsia="宋体" w:cs="宋体"/>
          <w:color w:val="auto"/>
          <w:sz w:val="24"/>
          <w:highlight w:val="none"/>
        </w:rPr>
      </w:pPr>
      <w:r/>
      <w:bookmarkStart w:id="107" w:name="_Toc20823287"/>
      <w:r/>
      <w:bookmarkStart w:id="108" w:name="_Toc16938531"/>
      <w:r/>
      <w:bookmarkStart w:id="109" w:name="_Toc462564074"/>
      <w:r/>
      <w:bookmarkStart w:id="110" w:name="_Toc513029215"/>
      <w:r>
        <w:rPr>
          <w:rFonts w:hint="eastAsia" w:ascii="宋体" w:hAnsi="宋体" w:eastAsia="宋体" w:cs="宋体"/>
          <w:color w:val="auto"/>
          <w:sz w:val="24"/>
          <w:highlight w:val="none"/>
        </w:rPr>
        <w:t xml:space="preserve">10、投标文件构成</w:t>
      </w:r>
      <w:bookmarkEnd w:id="107"/>
      <w:r/>
      <w:bookmarkEnd w:id="108"/>
      <w:r/>
      <w:bookmarkEnd w:id="109"/>
      <w:r/>
      <w:bookmarkEnd w:id="110"/>
      <w:r/>
      <w:r/>
    </w:p>
    <w:p>
      <w:pPr>
        <w:ind w:firstLine="482"/>
        <w:jc w:val="both"/>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4"/>
          <w:highlight w:val="none"/>
        </w:rPr>
        <w:t xml:space="preserve">10.1投标人编写的投标文件应包括资格证明文件、法人授权书、投标函、中小企业声明函、残疾人福利性单位声明函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如有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、技术要求响应及偏离表、商务要求响应及偏离表、开标一览表、实施方案、盐城经济技术开发区政府采购事前信用承诺书等部分（格式详见招标文件“第六章投标文件格式”）。</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2"/>
        <w:jc w:val="both"/>
        <w:spacing w:line="440" w:lineRule="exact"/>
        <w:widowControl w:val="off"/>
        <w:rPr>
          <w:rFonts w:ascii="宋体" w:hAnsi="宋体" w:eastAsia="宋体" w:cs="宋体"/>
          <w:color w:val="auto"/>
          <w:sz w:val="24"/>
          <w:highlight w:val="none"/>
        </w:rPr>
      </w:pPr>
      <w:r/>
      <w:bookmarkStart w:id="111" w:name="_Toc14577357"/>
      <w:r/>
      <w:bookmarkStart w:id="112" w:name="_Toc513029216"/>
      <w:r/>
      <w:bookmarkStart w:id="113" w:name="_Toc14577354"/>
      <w:r/>
      <w:bookmarkStart w:id="114" w:name="_Toc513029219"/>
      <w:r/>
      <w:bookmarkStart w:id="115" w:name="_Toc49090509"/>
      <w:r/>
      <w:bookmarkStart w:id="116" w:name="_Toc49090507"/>
      <w:r>
        <w:rPr>
          <w:rFonts w:hint="eastAsia" w:ascii="宋体" w:hAnsi="宋体" w:eastAsia="宋体" w:cs="宋体"/>
          <w:color w:val="auto"/>
          <w:sz w:val="24"/>
          <w:highlight w:val="none"/>
        </w:rPr>
        <w:t xml:space="preserve">11、证明投标人及投标标的符合招标文件规定的文件</w:t>
      </w:r>
      <w:bookmarkEnd w:id="111"/>
      <w:r/>
      <w:bookmarkEnd w:id="112"/>
      <w:r/>
      <w:bookmarkEnd w:id="113"/>
      <w:r/>
      <w:bookmarkEnd w:id="114"/>
      <w:r/>
      <w:bookmarkEnd w:id="115"/>
      <w:r/>
      <w:bookmarkEnd w:id="116"/>
      <w:r/>
      <w:r/>
    </w:p>
    <w:p>
      <w:pPr>
        <w:ind w:firstLine="482"/>
        <w:jc w:val="both"/>
        <w:spacing w:line="440" w:lineRule="exact"/>
        <w:widowControl w:val="off"/>
        <w:rPr>
          <w:rFonts w:ascii="宋体" w:hAnsi="宋体" w:eastAsia="宋体" w:cs="宋体"/>
          <w:color w:val="auto"/>
          <w:sz w:val="24"/>
          <w:highlight w:val="none"/>
        </w:rPr>
      </w:pPr>
      <w:r/>
      <w:bookmarkStart w:id="117" w:name="_Toc49090508"/>
      <w:r/>
      <w:bookmarkStart w:id="118" w:name="_Toc14577355"/>
      <w:r>
        <w:rPr>
          <w:rFonts w:hint="eastAsia" w:ascii="宋体" w:hAnsi="宋体" w:eastAsia="宋体" w:cs="宋体"/>
          <w:color w:val="auto"/>
          <w:sz w:val="24"/>
          <w:highlight w:val="none"/>
        </w:rPr>
        <w:t xml:space="preserve">11.1投标人应按照法律、法规、规章和规范性文件以及招标文件要求提交证明文件，证明其及投标标的符合招标文件规定。</w:t>
      </w:r>
      <w:bookmarkEnd w:id="117"/>
      <w:r/>
      <w:bookmarkEnd w:id="118"/>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11.2招标文件对证明文件无明确形式要求的，证明文件可以以文字资料、图纸和数据等形式提交。</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12、投标分项报价表</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12.1投标人应按照招标文件规定格式填报投标分项报价表。</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12.2投标货币。投标文件中的单价和总价无特殊规定的采用人民币报价，以元为单位标注。招标文件中另有规定的按规定执行。</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13、技术要求响应及偏离表、商务要求响应及偏离表</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13.1投标人需对招标文件中的技术要求与商务要求逐项作出响应或偏离，并说明原因。</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13.2投标人可在投标文件中提供认为需要的其他技术文件或说明。</w:t>
      </w:r>
      <w:r/>
    </w:p>
    <w:p>
      <w:pPr>
        <w:ind w:firstLine="482"/>
        <w:jc w:val="both"/>
        <w:spacing w:line="440" w:lineRule="exact"/>
        <w:widowControl w:val="off"/>
        <w:rPr>
          <w:rFonts w:ascii="宋体" w:hAnsi="宋体" w:eastAsia="宋体" w:cs="宋体"/>
          <w:color w:val="auto"/>
          <w:sz w:val="24"/>
          <w:highlight w:val="none"/>
        </w:rPr>
      </w:pPr>
      <w:r/>
      <w:bookmarkStart w:id="119" w:name="_Toc14577359"/>
      <w:r/>
      <w:bookmarkStart w:id="120" w:name="_Toc49090510"/>
      <w:r>
        <w:rPr>
          <w:rFonts w:hint="eastAsia" w:ascii="宋体" w:hAnsi="宋体" w:eastAsia="宋体" w:cs="宋体"/>
          <w:color w:val="auto"/>
          <w:sz w:val="24"/>
          <w:highlight w:val="none"/>
        </w:rPr>
        <w:t xml:space="preserve">14、投标函和开标一览表</w:t>
      </w:r>
      <w:bookmarkEnd w:id="119"/>
      <w:r/>
      <w:bookmarkEnd w:id="120"/>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14.1投标人应按照招标文件中提供的格式完整、正确填写投标函、开标一览表。</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2"/>
        <w:jc w:val="both"/>
        <w:spacing w:line="440" w:lineRule="exact"/>
        <w:widowControl w:val="off"/>
        <w:rPr>
          <w:rFonts w:ascii="宋体" w:hAnsi="宋体" w:eastAsia="宋体" w:cs="宋体"/>
          <w:color w:val="auto"/>
          <w:sz w:val="24"/>
          <w:highlight w:val="none"/>
        </w:rPr>
      </w:pPr>
      <w:r/>
      <w:bookmarkStart w:id="121" w:name="_Toc49090511"/>
      <w:r/>
      <w:bookmarkStart w:id="122" w:name="_Toc14577360"/>
      <w:r>
        <w:rPr>
          <w:rFonts w:hint="eastAsia" w:ascii="宋体" w:hAnsi="宋体" w:eastAsia="宋体" w:cs="宋体"/>
          <w:color w:val="auto"/>
          <w:sz w:val="24"/>
          <w:highlight w:val="none"/>
        </w:rPr>
        <w:t xml:space="preserve">15、投标有效期</w:t>
      </w:r>
      <w:bookmarkEnd w:id="121"/>
      <w:r/>
      <w:bookmarkEnd w:id="122"/>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15.1投标有效期为采购人规定的开标之日后</w:t>
      </w:r>
      <w:r>
        <w:rPr>
          <w:rFonts w:hint="eastAsia" w:ascii="宋体" w:hAnsi="宋体" w:eastAsia="宋体" w:cs="宋体"/>
          <w:b/>
          <w:color w:val="auto"/>
          <w:sz w:val="24"/>
          <w:highlight w:val="none"/>
          <w:u w:val="single"/>
        </w:rPr>
        <w:t xml:space="preserve">九十（90）</w:t>
      </w:r>
      <w:r>
        <w:rPr>
          <w:rFonts w:hint="eastAsia" w:ascii="宋体" w:hAnsi="宋体" w:eastAsia="宋体" w:cs="宋体"/>
          <w:color w:val="auto"/>
          <w:sz w:val="24"/>
          <w:highlight w:val="none"/>
        </w:rPr>
        <w:t xml:space="preserve">天。投标有效期比规定短的将被视为未实质性响应招标文件而予以拒绝。</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16、投标有效期的延长</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82"/>
        <w:jc w:val="both"/>
        <w:spacing w:line="440" w:lineRule="exact"/>
        <w:widowControl w:val="off"/>
        <w:rPr>
          <w:rFonts w:ascii="宋体" w:hAnsi="宋体" w:eastAsia="宋体" w:cs="宋体"/>
          <w:b/>
          <w:bCs/>
          <w:color w:val="auto"/>
          <w:sz w:val="24"/>
          <w:highlight w:val="none"/>
        </w:rPr>
      </w:pPr>
      <w:r/>
      <w:bookmarkStart w:id="123" w:name="_Toc20823296"/>
      <w:r/>
      <w:bookmarkStart w:id="124" w:name="_Toc16938540"/>
      <w:r/>
      <w:bookmarkStart w:id="125" w:name="_Toc513029224"/>
      <w:r/>
      <w:bookmarkStart w:id="126" w:name="_Toc120614217"/>
      <w:r>
        <w:rPr>
          <w:rFonts w:hint="eastAsia" w:ascii="宋体" w:hAnsi="宋体" w:eastAsia="宋体" w:cs="宋体"/>
          <w:b/>
          <w:bCs/>
          <w:color w:val="auto"/>
          <w:sz w:val="24"/>
          <w:highlight w:val="none"/>
        </w:rPr>
        <w:t xml:space="preserve">四、投标文件的递交</w:t>
      </w:r>
      <w:bookmarkEnd w:id="123"/>
      <w:r/>
      <w:bookmarkEnd w:id="124"/>
      <w:r/>
      <w:bookmarkEnd w:id="125"/>
      <w:r/>
      <w:bookmarkEnd w:id="126"/>
      <w:r/>
      <w:r/>
    </w:p>
    <w:p>
      <w:pPr>
        <w:ind w:firstLine="482"/>
        <w:jc w:val="both"/>
        <w:spacing w:line="440" w:lineRule="exact"/>
        <w:widowControl w:val="off"/>
        <w:rPr>
          <w:rFonts w:ascii="宋体" w:hAnsi="宋体" w:eastAsia="宋体" w:cs="宋体"/>
          <w:color w:val="auto"/>
          <w:sz w:val="24"/>
          <w:highlight w:val="none"/>
        </w:rPr>
      </w:pPr>
      <w:r/>
      <w:bookmarkStart w:id="127" w:name="_Toc20823297"/>
      <w:r/>
      <w:bookmarkStart w:id="128" w:name="_Toc462564084"/>
      <w:r/>
      <w:bookmarkStart w:id="129" w:name="_Toc513029225"/>
      <w:r/>
      <w:bookmarkStart w:id="130" w:name="_Toc16938541"/>
      <w:r>
        <w:rPr>
          <w:rFonts w:hint="eastAsia" w:ascii="宋体" w:hAnsi="宋体" w:eastAsia="宋体" w:cs="宋体"/>
          <w:color w:val="auto"/>
          <w:sz w:val="24"/>
          <w:highlight w:val="none"/>
        </w:rPr>
        <w:t xml:space="preserve">17、投标文件</w:t>
      </w:r>
      <w:bookmarkEnd w:id="127"/>
      <w:r/>
      <w:bookmarkEnd w:id="128"/>
      <w:r/>
      <w:bookmarkEnd w:id="129"/>
      <w:r/>
      <w:bookmarkEnd w:id="130"/>
      <w:r>
        <w:rPr>
          <w:rFonts w:hint="eastAsia" w:ascii="宋体" w:hAnsi="宋体" w:eastAsia="宋体" w:cs="宋体"/>
          <w:color w:val="auto"/>
          <w:sz w:val="24"/>
          <w:highlight w:val="none"/>
        </w:rPr>
        <w:t xml:space="preserve">的递交</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17.1 电子投标文件的递交</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投标人应当按照《操作手册》规定，在投标截止时间前制作并上传电子投标文件。</w:t>
      </w:r>
      <w:bookmarkStart w:id="131" w:name="_Toc16938542"/>
      <w:r/>
      <w:bookmarkEnd w:id="131"/>
      <w:r/>
      <w:bookmarkStart w:id="132" w:name="_Toc20823298"/>
      <w:r/>
      <w:bookmarkEnd w:id="132"/>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18、投标截止时间</w:t>
      </w:r>
      <w:r/>
    </w:p>
    <w:p>
      <w:pPr>
        <w:ind w:firstLine="482"/>
        <w:jc w:val="both"/>
        <w:spacing w:line="440" w:lineRule="exact"/>
        <w:widowControl w:val="off"/>
        <w:rPr>
          <w:rFonts w:ascii="宋体" w:hAnsi="宋体" w:eastAsia="宋体" w:cs="宋体"/>
          <w:i/>
          <w:color w:val="auto"/>
          <w:sz w:val="24"/>
          <w:highlight w:val="none"/>
          <w:u w:val="single"/>
        </w:rPr>
      </w:pPr>
      <w:r>
        <w:rPr>
          <w:rFonts w:hint="eastAsia" w:ascii="宋体" w:hAnsi="宋体" w:eastAsia="宋体" w:cs="宋体"/>
          <w:i/>
          <w:color w:val="auto"/>
          <w:sz w:val="24"/>
          <w:highlight w:val="none"/>
          <w:u w:val="single"/>
        </w:rPr>
        <w:t xml:space="preserve">18.1投标人上传电子投标文件的时间不得迟于招标公告中规定的投标截止时间。</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18.2采购人可以按照规定，通过修改招标文件酌情延长投标截止时间，在此情况下，投标人的所有权利和义务以及投标人受制的截止时间均应以延长后新的截止时间为准。</w:t>
      </w:r>
      <w:r/>
    </w:p>
    <w:p>
      <w:pPr>
        <w:ind w:firstLine="482"/>
        <w:jc w:val="both"/>
        <w:spacing w:line="440" w:lineRule="exact"/>
        <w:widowControl w:val="off"/>
        <w:rPr>
          <w:rFonts w:ascii="宋体" w:hAnsi="宋体" w:eastAsia="宋体" w:cs="宋体"/>
          <w:color w:val="auto"/>
          <w:sz w:val="24"/>
          <w:highlight w:val="none"/>
        </w:rPr>
      </w:pPr>
      <w:r/>
      <w:bookmarkStart w:id="133" w:name="_Toc513029227"/>
      <w:r/>
      <w:bookmarkStart w:id="134" w:name="_Toc16938543"/>
      <w:r/>
      <w:bookmarkStart w:id="135" w:name="_Toc20823299"/>
      <w:r>
        <w:rPr>
          <w:rFonts w:hint="eastAsia" w:ascii="宋体" w:hAnsi="宋体" w:eastAsia="宋体" w:cs="宋体"/>
          <w:color w:val="auto"/>
          <w:sz w:val="24"/>
          <w:highlight w:val="none"/>
        </w:rPr>
        <w:t xml:space="preserve">19、投标文件</w:t>
      </w:r>
      <w:bookmarkEnd w:id="133"/>
      <w:r/>
      <w:bookmarkEnd w:id="134"/>
      <w:r/>
      <w:bookmarkEnd w:id="135"/>
      <w:r>
        <w:rPr>
          <w:rFonts w:hint="eastAsia" w:ascii="宋体" w:hAnsi="宋体" w:eastAsia="宋体" w:cs="宋体"/>
          <w:color w:val="auto"/>
          <w:sz w:val="24"/>
          <w:highlight w:val="none"/>
        </w:rPr>
        <w:t xml:space="preserve">的拒收</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19.1采购人拒绝接收在其规定的投标截止时间后上传的任何投标文件。</w:t>
      </w:r>
      <w:r/>
    </w:p>
    <w:p>
      <w:pPr>
        <w:ind w:firstLine="482"/>
        <w:jc w:val="both"/>
        <w:spacing w:line="440" w:lineRule="exact"/>
        <w:widowControl w:val="off"/>
        <w:rPr>
          <w:rFonts w:ascii="宋体" w:hAnsi="宋体" w:eastAsia="宋体" w:cs="宋体"/>
          <w:color w:val="auto"/>
          <w:sz w:val="24"/>
          <w:highlight w:val="none"/>
        </w:rPr>
      </w:pPr>
      <w:r/>
      <w:bookmarkStart w:id="136" w:name="_Toc16938544"/>
      <w:r/>
      <w:bookmarkStart w:id="137" w:name="_Toc20823300"/>
      <w:r/>
      <w:bookmarkStart w:id="138" w:name="_Toc513029228"/>
      <w:r>
        <w:rPr>
          <w:rFonts w:hint="eastAsia" w:ascii="宋体" w:hAnsi="宋体" w:eastAsia="宋体" w:cs="宋体"/>
          <w:color w:val="auto"/>
          <w:sz w:val="24"/>
          <w:highlight w:val="none"/>
        </w:rPr>
        <w:t xml:space="preserve">20、投标文件的撤回和修改</w:t>
      </w:r>
      <w:bookmarkEnd w:id="136"/>
      <w:r/>
      <w:bookmarkEnd w:id="137"/>
      <w:r/>
      <w:bookmarkEnd w:id="138"/>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20.1.1电子投标文件的撤回</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20.1.2投标人撤回电子投标文件，则认为其不再参与本项目投标活动。</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20.2 投标文件的修改</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20.2.2在投标截止时间之后，投标人不得对其电子投标文件作任何修改。</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20.3在投标截止时间至招标文件中规定的投标有效期满之间的这段时间内，投标人不得撤回其投标。</w:t>
      </w:r>
      <w:r/>
    </w:p>
    <w:p>
      <w:pPr>
        <w:ind w:firstLine="482"/>
        <w:jc w:val="both"/>
        <w:spacing w:line="440" w:lineRule="exact"/>
        <w:widowControl w:val="off"/>
        <w:rPr>
          <w:rFonts w:ascii="宋体" w:hAnsi="宋体" w:eastAsia="宋体" w:cs="宋体"/>
          <w:color w:val="auto"/>
          <w:sz w:val="24"/>
          <w:highlight w:val="none"/>
        </w:rPr>
      </w:pPr>
      <w:r/>
      <w:bookmarkStart w:id="139" w:name="_Toc20823301"/>
      <w:r/>
      <w:bookmarkStart w:id="140" w:name="_Toc513029229"/>
      <w:r/>
      <w:bookmarkStart w:id="141" w:name="_Toc16938545"/>
      <w:r/>
      <w:bookmarkStart w:id="142" w:name="_Toc120614218"/>
      <w:r>
        <w:rPr>
          <w:rFonts w:hint="eastAsia" w:ascii="宋体" w:hAnsi="宋体" w:eastAsia="宋体" w:cs="宋体"/>
          <w:color w:val="auto"/>
          <w:sz w:val="24"/>
          <w:highlight w:val="none"/>
        </w:rPr>
        <w:t xml:space="preserve">五、开标与评标</w:t>
      </w:r>
      <w:bookmarkEnd w:id="139"/>
      <w:r/>
      <w:bookmarkEnd w:id="140"/>
      <w:r/>
      <w:bookmarkEnd w:id="141"/>
      <w:r/>
      <w:bookmarkEnd w:id="142"/>
      <w:r/>
      <w:r/>
    </w:p>
    <w:p>
      <w:pPr>
        <w:ind w:firstLine="482"/>
        <w:jc w:val="both"/>
        <w:spacing w:line="440" w:lineRule="exact"/>
        <w:widowControl w:val="off"/>
        <w:rPr>
          <w:rFonts w:ascii="宋体" w:hAnsi="宋体" w:eastAsia="宋体" w:cs="宋体"/>
          <w:color w:val="auto"/>
          <w:sz w:val="24"/>
          <w:highlight w:val="none"/>
        </w:rPr>
      </w:pPr>
      <w:r/>
      <w:bookmarkStart w:id="143" w:name="_Toc513029230"/>
      <w:r/>
      <w:bookmarkStart w:id="144" w:name="_Toc16938546"/>
      <w:r/>
      <w:bookmarkStart w:id="145" w:name="_Toc20823302"/>
      <w:r>
        <w:rPr>
          <w:rFonts w:hint="eastAsia" w:ascii="宋体" w:hAnsi="宋体" w:eastAsia="宋体" w:cs="宋体"/>
          <w:color w:val="auto"/>
          <w:sz w:val="24"/>
          <w:highlight w:val="none"/>
        </w:rPr>
        <w:t xml:space="preserve">21、开标</w:t>
      </w:r>
      <w:bookmarkEnd w:id="143"/>
      <w:r/>
      <w:bookmarkEnd w:id="144"/>
      <w:r/>
      <w:bookmarkEnd w:id="145"/>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21.1</w:t>
      </w:r>
      <w:bookmarkStart w:id="146" w:name="_Hlk213230597"/>
      <w:r>
        <w:rPr>
          <w:rFonts w:hint="eastAsia" w:ascii="宋体" w:hAnsi="宋体" w:eastAsia="宋体" w:cs="宋体"/>
          <w:color w:val="auto"/>
          <w:sz w:val="24"/>
          <w:highlight w:val="none"/>
        </w:rPr>
        <w:t xml:space="preserve">采购人或采购招标代理</w:t>
      </w:r>
      <w:bookmarkEnd w:id="146"/>
      <w:r>
        <w:rPr>
          <w:rFonts w:hint="eastAsia" w:ascii="宋体" w:hAnsi="宋体" w:eastAsia="宋体" w:cs="宋体"/>
          <w:color w:val="auto"/>
          <w:sz w:val="24"/>
          <w:highlight w:val="none"/>
        </w:rPr>
        <w:t xml:space="preserve">将在招标公告中规定的时间和地点组织公开开标。投标人应当按照《操作手册》规定，参加开标活动和在苏采云系统规定的时间内对投标文件进行解密。</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21.2开标仪式由采购人或采购招标代理组织。苏采云系统将自动对项目进行开标，并宣布各投标人名称和投标价格。</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21.3投标人在开标过程中涉及到的投标文件解密、开标结果确认等工作，应按照《操作手册》规定执行。</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ind w:firstLine="482"/>
        <w:jc w:val="both"/>
        <w:spacing w:line="440" w:lineRule="exact"/>
        <w:widowControl w:val="off"/>
        <w:rPr>
          <w:rFonts w:ascii="宋体" w:hAnsi="宋体" w:eastAsia="宋体" w:cs="宋体"/>
          <w:color w:val="auto"/>
          <w:sz w:val="24"/>
          <w:highlight w:val="none"/>
        </w:rPr>
      </w:pPr>
      <w:r/>
      <w:bookmarkStart w:id="147" w:name="_Toc513029231"/>
      <w:r/>
      <w:bookmarkStart w:id="148" w:name="_Toc16938547"/>
      <w:r/>
      <w:bookmarkStart w:id="149" w:name="_Toc20823303"/>
      <w:r>
        <w:rPr>
          <w:rFonts w:hint="eastAsia" w:ascii="宋体" w:hAnsi="宋体" w:eastAsia="宋体" w:cs="宋体"/>
          <w:color w:val="auto"/>
          <w:sz w:val="24"/>
          <w:highlight w:val="none"/>
        </w:rPr>
        <w:t xml:space="preserve">22、评标委员会</w:t>
      </w:r>
      <w:bookmarkEnd w:id="147"/>
      <w:r/>
      <w:bookmarkEnd w:id="148"/>
      <w:r/>
      <w:bookmarkEnd w:id="149"/>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22.1开标后，采购人将立即组织评标委员会（以下简称评委会）进行评标。</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22.2评委会由采购人代表和有关技术、经济等方面的专家组成，且人员构成符合政府采购有关规定。</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22.3评委会独立工作，负责评审所有投标文件并确定中标候选人。</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23、评标过程的保密与公正</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23.1凡是与审查、澄清、评价和比较投标的有关资料以及授标建议等，采购人、评委、采购招标代理均不得向投标人或与评标无关的其他人员透露。</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23.2在评标过程中，投标人不得以任何行为影响评标过程，否则其投标文件将被作为无效投标文件。</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23.3</w:t>
      </w:r>
      <w:bookmarkStart w:id="150" w:name="_Hlk213230667"/>
      <w:r>
        <w:rPr>
          <w:rFonts w:hint="eastAsia" w:ascii="宋体" w:hAnsi="宋体" w:eastAsia="宋体" w:cs="宋体"/>
          <w:color w:val="auto"/>
          <w:sz w:val="24"/>
          <w:highlight w:val="none"/>
        </w:rPr>
        <w:t xml:space="preserve">采购人、采购招标代理</w:t>
      </w:r>
      <w:bookmarkEnd w:id="150"/>
      <w:r>
        <w:rPr>
          <w:rFonts w:hint="eastAsia" w:ascii="宋体" w:hAnsi="宋体" w:eastAsia="宋体" w:cs="宋体"/>
          <w:color w:val="auto"/>
          <w:sz w:val="24"/>
          <w:highlight w:val="none"/>
        </w:rPr>
        <w:t xml:space="preserve">和评标委员会不向未中标的投标人解释未中标原因，也不公布评标过程中的相关细节。</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23.4采用综合评分法的项目，未中标的投标人可于中标结果公告期限届满之日起通过苏采云系统查看自己的评审得分及排序情况。</w:t>
      </w:r>
      <w:r/>
    </w:p>
    <w:p>
      <w:pPr>
        <w:ind w:firstLine="482"/>
        <w:jc w:val="both"/>
        <w:spacing w:line="440" w:lineRule="exact"/>
        <w:widowControl w:val="off"/>
        <w:rPr>
          <w:rFonts w:ascii="宋体" w:hAnsi="宋体" w:eastAsia="宋体" w:cs="宋体"/>
          <w:color w:val="auto"/>
          <w:sz w:val="24"/>
          <w:highlight w:val="none"/>
        </w:rPr>
      </w:pPr>
      <w:r/>
      <w:bookmarkStart w:id="151" w:name="_Toc16938548"/>
      <w:r/>
      <w:bookmarkStart w:id="152" w:name="_Toc513029232"/>
      <w:r/>
      <w:bookmarkStart w:id="153" w:name="_Toc20823304"/>
      <w:r>
        <w:rPr>
          <w:rFonts w:hint="eastAsia" w:ascii="宋体" w:hAnsi="宋体" w:eastAsia="宋体" w:cs="宋体"/>
          <w:color w:val="auto"/>
          <w:sz w:val="24"/>
          <w:highlight w:val="none"/>
        </w:rPr>
        <w:t xml:space="preserve">24、投标文件的澄清</w:t>
      </w:r>
      <w:bookmarkEnd w:id="151"/>
      <w:r/>
      <w:bookmarkEnd w:id="152"/>
      <w:r/>
      <w:bookmarkEnd w:id="153"/>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投标人的澄清、说明或者补正不得超出投标文件的范围或者改变投标文件的实质性内容。</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评标委员会并非对每个投标人都做澄清要求。</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24.3接到评委会澄清、说明和补正要求的投标人如未按规定作出澄清、说明和补正，其风险由投标人自行承担。</w:t>
      </w:r>
      <w:r/>
    </w:p>
    <w:p>
      <w:pPr>
        <w:ind w:firstLine="482"/>
        <w:jc w:val="both"/>
        <w:spacing w:line="440" w:lineRule="exact"/>
        <w:widowControl w:val="off"/>
        <w:rPr>
          <w:rFonts w:ascii="宋体" w:hAnsi="宋体" w:eastAsia="宋体" w:cs="宋体"/>
          <w:color w:val="auto"/>
          <w:sz w:val="24"/>
          <w:highlight w:val="none"/>
        </w:rPr>
      </w:pPr>
      <w:r/>
      <w:bookmarkStart w:id="154" w:name="_Toc16938549"/>
      <w:r/>
      <w:bookmarkStart w:id="155" w:name="_Toc20823305"/>
      <w:r/>
      <w:bookmarkStart w:id="156" w:name="_Toc513029233"/>
      <w:r>
        <w:rPr>
          <w:rFonts w:hint="eastAsia" w:ascii="宋体" w:hAnsi="宋体" w:eastAsia="宋体" w:cs="宋体"/>
          <w:color w:val="auto"/>
          <w:sz w:val="24"/>
          <w:highlight w:val="none"/>
        </w:rPr>
        <w:t xml:space="preserve">25、对投标文件的初审</w:t>
      </w:r>
      <w:bookmarkEnd w:id="154"/>
      <w:r/>
      <w:bookmarkEnd w:id="155"/>
      <w:r/>
      <w:bookmarkEnd w:id="156"/>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25.1投标文件初审分为资格审查和符合性审查。</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25.1.3未通过资格审查或符合性审查的投标人，采购人将在苏采云系统中告知未通过资格审查或符合性审查的原因，评标结束后，采购人将不再告知未通过资格审查和符合性审查的原因。</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25.4评委会将对确定为实质性响应的投标进行进一步审核，确定其是否有计算上或累加上的算术错误，修正错误的原则如下：</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同时出现两种以上错误的，按照前款规定的顺序修正。</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2"/>
        <w:jc w:val="both"/>
        <w:spacing w:line="440" w:lineRule="exact"/>
        <w:widowControl w:val="off"/>
        <w:rPr>
          <w:rFonts w:ascii="宋体" w:hAnsi="宋体" w:eastAsia="宋体" w:cs="宋体"/>
          <w:color w:val="auto"/>
          <w:sz w:val="24"/>
          <w:highlight w:val="none"/>
        </w:rPr>
      </w:pPr>
      <w:r/>
      <w:bookmarkStart w:id="157" w:name="_Toc20823306"/>
      <w:r/>
      <w:bookmarkStart w:id="158" w:name="_Toc16938550"/>
      <w:r/>
      <w:bookmarkStart w:id="159" w:name="_Toc513029234"/>
      <w:r>
        <w:rPr>
          <w:rFonts w:hint="eastAsia" w:ascii="宋体" w:hAnsi="宋体" w:eastAsia="宋体" w:cs="宋体"/>
          <w:color w:val="auto"/>
          <w:sz w:val="24"/>
          <w:highlight w:val="none"/>
        </w:rPr>
        <w:t xml:space="preserve">25.6投标人在开、评标全过程中应保持通信畅通，及时登录苏采云系统查阅、答复相关信息，并安排专人与采购人及评标委员会联系。</w:t>
      </w:r>
      <w:bookmarkEnd w:id="157"/>
      <w:r/>
      <w:bookmarkEnd w:id="158"/>
      <w:r/>
      <w:bookmarkEnd w:id="159"/>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26、无效投标条款和废标条款</w:t>
      </w:r>
      <w:r/>
    </w:p>
    <w:p>
      <w:pPr>
        <w:ind w:firstLine="482"/>
        <w:jc w:val="both"/>
        <w:spacing w:line="440" w:lineRule="exact"/>
        <w:widowControl w:val="off"/>
        <w:rPr>
          <w:rFonts w:ascii="宋体" w:hAnsi="宋体" w:eastAsia="宋体" w:cs="宋体"/>
          <w:color w:val="auto"/>
          <w:sz w:val="24"/>
          <w:highlight w:val="none"/>
        </w:rPr>
      </w:pPr>
      <w:r/>
      <w:bookmarkStart w:id="160" w:name="_Toc16938551"/>
      <w:r/>
      <w:bookmarkStart w:id="161" w:name="_Toc20823307"/>
      <w:r/>
      <w:bookmarkStart w:id="162" w:name="_Toc513029235"/>
      <w:r>
        <w:rPr>
          <w:rFonts w:hint="eastAsia" w:ascii="宋体" w:hAnsi="宋体" w:eastAsia="宋体" w:cs="宋体"/>
          <w:color w:val="auto"/>
          <w:sz w:val="24"/>
          <w:highlight w:val="none"/>
        </w:rPr>
        <w:t xml:space="preserve">26.1无效投标条款</w:t>
      </w:r>
      <w:bookmarkEnd w:id="160"/>
      <w:r/>
      <w:bookmarkEnd w:id="161"/>
      <w:r/>
      <w:bookmarkEnd w:id="162"/>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26.1.1投标人在苏采云系统规定的时间内未成功解密电子投标文件的。</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26.1.2投标人未按照招标文件要求上传电子投标文件的。</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26.1.3同一投标人提交两个（含两个）以上不同的投标报价的。</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26.1.4投标人不具备招标文件中规定资格要求的。</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26.1.5投标人的报价超过了采购预算或最高限价的。</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26.1.6未通过符合性审查的。</w:t>
      </w:r>
      <w:r/>
    </w:p>
    <w:p>
      <w:pPr>
        <w:ind w:firstLine="482"/>
        <w:jc w:val="both"/>
        <w:spacing w:line="440" w:lineRule="exact"/>
        <w:widowControl w:val="off"/>
        <w:rPr>
          <w:rFonts w:ascii="宋体" w:hAnsi="宋体" w:eastAsia="宋体" w:cs="宋体"/>
          <w:i/>
          <w:color w:val="auto"/>
          <w:sz w:val="24"/>
          <w:highlight w:val="none"/>
          <w:u w:val="single"/>
        </w:rPr>
      </w:pPr>
      <w:r>
        <w:rPr>
          <w:rFonts w:hint="eastAsia" w:ascii="宋体" w:hAnsi="宋体" w:eastAsia="宋体" w:cs="宋体"/>
          <w:color w:val="auto"/>
          <w:sz w:val="24"/>
          <w:highlight w:val="none"/>
        </w:rPr>
        <w:t xml:space="preserve">26.1.7不符合招标文件中规定的实质性要求和条件的</w:t>
      </w:r>
      <w:r>
        <w:rPr>
          <w:rFonts w:hint="eastAsia" w:ascii="宋体" w:hAnsi="宋体" w:eastAsia="宋体" w:cs="宋体"/>
          <w:i/>
          <w:color w:val="auto"/>
          <w:sz w:val="24"/>
          <w:highlight w:val="none"/>
          <w:u w:val="single"/>
        </w:rPr>
        <w:t xml:space="preserve">（本招标文件中斜体且有下划线部分为实质性要求和条件）。</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26.1.9投标文件含有采购人不能接受的附加条件的。</w:t>
      </w:r>
      <w:r/>
    </w:p>
    <w:p>
      <w:pPr>
        <w:ind w:firstLine="482"/>
        <w:jc w:val="both"/>
        <w:spacing w:line="440" w:lineRule="exact"/>
        <w:widowControl w:val="off"/>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26.1.10投标人不能证明其报价合理性的，评标委员会应当将其作为无效投标处理。</w:t>
      </w:r>
      <w:r/>
    </w:p>
    <w:p>
      <w:pPr>
        <w:ind w:firstLine="482"/>
        <w:jc w:val="both"/>
        <w:spacing w:line="44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（一）评审过程中出现下列情形之一的，评标委员会应当启动异常低价投标审查程序：</w:t>
      </w:r>
      <w:r/>
    </w:p>
    <w:p>
      <w:pPr>
        <w:ind w:firstLine="482"/>
        <w:jc w:val="both"/>
        <w:spacing w:line="44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jc w:val="both"/>
        <w:spacing w:line="44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jc w:val="both"/>
        <w:spacing w:line="44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3.投标（响应）报价低于采购项目最高限价45%的，即投标（响应）报价&lt;采购项目最高限价×45%；</w:t>
      </w:r>
      <w:r/>
    </w:p>
    <w:p>
      <w:pPr>
        <w:ind w:firstLine="482"/>
        <w:jc w:val="both"/>
        <w:spacing w:line="44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4.评审委员会基于专业判断，认为供应商报价过低，有可能影响产品质量或者不能诚信履约的其他情形。</w:t>
      </w:r>
      <w:r/>
    </w:p>
    <w:p>
      <w:pPr>
        <w:ind w:firstLine="482"/>
        <w:jc w:val="both"/>
        <w:spacing w:line="44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相关法律法规对供应商报价有规定的，从其规定。</w:t>
      </w:r>
      <w:r/>
    </w:p>
    <w:p>
      <w:pPr>
        <w:ind w:firstLine="482"/>
        <w:jc w:val="both"/>
        <w:spacing w:line="44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spacing w:line="44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both"/>
        <w:spacing w:line="44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both"/>
        <w:spacing w:line="44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26.1.11投标文件未按照招标文件要求加盖CA电子公章的。</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26.1.12其他法律、法规及本招标文件规定的属无效投标的情形。</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26.2废标条款</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26.2.1符合专业条件的供应商或者对招标文件作实质响应的供应商不足三家的。</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26.2.2出现影响采购公正的违法、违规行为的。</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26.2.3因重大变故，采购任务取消的。</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26.2.4评标委员会认定招标文件存在歧义、重大缺陷导致评审工作无法进行。</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26.2.5因苏采云系统系统故障原因造成开标不成功的。</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26.3 投标截止时间结束后参加投标的供应商不足三家的处理：</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82"/>
        <w:jc w:val="both"/>
        <w:spacing w:line="440" w:lineRule="exact"/>
        <w:widowControl w:val="off"/>
        <w:rPr>
          <w:rFonts w:ascii="宋体" w:hAnsi="宋体" w:eastAsia="宋体" w:cs="宋体"/>
          <w:color w:val="auto"/>
          <w:sz w:val="24"/>
          <w:highlight w:val="none"/>
        </w:rPr>
      </w:pPr>
      <w:r/>
      <w:bookmarkStart w:id="163" w:name="_Toc120614219"/>
      <w:r>
        <w:rPr>
          <w:rFonts w:hint="eastAsia" w:ascii="宋体" w:hAnsi="宋体" w:eastAsia="宋体" w:cs="宋体"/>
          <w:color w:val="auto"/>
          <w:sz w:val="24"/>
          <w:highlight w:val="none"/>
        </w:rPr>
        <w:t xml:space="preserve">六、定标</w:t>
      </w:r>
      <w:bookmarkEnd w:id="163"/>
      <w:r/>
      <w:r/>
    </w:p>
    <w:p>
      <w:pPr>
        <w:ind w:firstLine="482"/>
        <w:jc w:val="both"/>
        <w:spacing w:line="440" w:lineRule="exact"/>
        <w:widowControl w:val="off"/>
        <w:rPr>
          <w:rFonts w:ascii="宋体" w:hAnsi="宋体" w:eastAsia="宋体" w:cs="宋体"/>
          <w:color w:val="auto"/>
          <w:sz w:val="24"/>
          <w:highlight w:val="none"/>
        </w:rPr>
      </w:pPr>
      <w:r/>
      <w:bookmarkStart w:id="164" w:name="_Toc20823310"/>
      <w:r/>
      <w:bookmarkStart w:id="165" w:name="_Toc16938554"/>
      <w:r/>
      <w:bookmarkStart w:id="166" w:name="_Toc513029238"/>
      <w:r>
        <w:rPr>
          <w:rFonts w:hint="eastAsia" w:ascii="宋体" w:hAnsi="宋体" w:eastAsia="宋体" w:cs="宋体"/>
          <w:color w:val="auto"/>
          <w:sz w:val="24"/>
          <w:highlight w:val="none"/>
        </w:rPr>
        <w:t xml:space="preserve">27、</w:t>
      </w:r>
      <w:bookmarkEnd w:id="164"/>
      <w:r>
        <w:rPr>
          <w:rFonts w:hint="eastAsia" w:ascii="宋体" w:hAnsi="宋体" w:eastAsia="宋体" w:cs="宋体"/>
          <w:color w:val="auto"/>
          <w:sz w:val="24"/>
          <w:highlight w:val="none"/>
        </w:rPr>
        <w:t xml:space="preserve">确定</w:t>
      </w:r>
      <w:bookmarkEnd w:id="165"/>
      <w:r/>
      <w:bookmarkEnd w:id="166"/>
      <w:r>
        <w:rPr>
          <w:rFonts w:hint="eastAsia" w:ascii="宋体" w:hAnsi="宋体" w:eastAsia="宋体" w:cs="宋体"/>
          <w:color w:val="auto"/>
          <w:sz w:val="24"/>
          <w:highlight w:val="none"/>
        </w:rPr>
        <w:t xml:space="preserve">中标单位</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27.1中标候选人的选取原则和数量见招标文件第五章规定。 </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27.2采购人应根据评委会推荐的中标候选人确定中标人。</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27.3采购人将在“中国政府采购网”、“江苏政府采购网”、“盐城市政府采购网”发布中标公告，公告期限为1个工作日。</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27.4若有充分证据证明，中标人出现下列情况之一的，一经查实，将被取消中标资格：</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27.4.1提供虚假材料谋取中标的。</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27.4.2向采购人、采购招标代理行贿或者提供其他不正当利益的。</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27.4.3属于本文件规定的无效条件，但在评标过程中又未被评委会发现的。</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27.4.4与采购人或者其他供应商恶意串通的。</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27.4.5采取不正当手段诋毁、排挤其他供应商的。</w:t>
      </w:r>
      <w:r/>
    </w:p>
    <w:p>
      <w:pPr>
        <w:ind w:firstLine="482"/>
        <w:jc w:val="both"/>
        <w:spacing w:line="440" w:lineRule="exact"/>
        <w:widowControl w:val="off"/>
        <w:rPr>
          <w:rFonts w:ascii="宋体" w:hAnsi="宋体" w:eastAsia="宋体" w:cs="宋体"/>
          <w:color w:val="auto"/>
          <w:sz w:val="24"/>
          <w:highlight w:val="none"/>
        </w:rPr>
      </w:pPr>
      <w:r/>
      <w:bookmarkStart w:id="167" w:name="_Toc200451960"/>
      <w:r>
        <w:rPr>
          <w:rFonts w:hint="eastAsia" w:ascii="宋体" w:hAnsi="宋体" w:eastAsia="宋体" w:cs="宋体"/>
          <w:color w:val="auto"/>
          <w:sz w:val="24"/>
          <w:highlight w:val="none"/>
        </w:rPr>
        <w:t xml:space="preserve">27.5 有下列情形之一的，视为投标人串通投标，投标无效：</w:t>
      </w:r>
      <w:bookmarkEnd w:id="167"/>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27.5.1不同投标人的投标文件由同一单位或者个人编制。</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27.5.2不同投标人委托同一单位或者个人办理投标事宜。</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27.5.3不同投标人的投标文件载明的项目管理成员或者联系人员为同一人。</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27.5.4不同投标人的投标文件异常一致或者投标报价呈规律性差异。</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28、质疑处理</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28.1提出质疑的供应商应当是参与所质疑项目采购活动的供应商。潜在供应商依法获取其可质疑的采购文件的，可以对采购文件提出质疑。</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28.2供应商认为采购文件、采购过程和采购结果使自己的权益受到损害的，可以在知道或应知其权益受到损害之日起七个工作日内，以书面形式根据下述28.4条款的规定向采购人或采购招标代理提出质疑。上述应知其权益受到损害之日，是指：</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28.2.1对可以质疑的采购文件提出质疑的，为收到采购文件之日或者采购文件公告期限届满之日；</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28.2.2对采购过程提出质疑的，为各采购程序环节结束之日；</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28.2.3对中标或者成交结果提出质疑的，为中标或者成交结果公告期限届满之日。</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供应商应当在法定质疑期内一次性提出针对同一采购程序环节的质疑。供应商如在法定期限内对同一采购程序环节提出多次质疑的，采购人、采购招标代理将只对供应商第一次质疑作出答复。</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采购人及采购招标代理只接收以纸质原件形式送达的质疑,采购人及采购招标代理不接受未填写快递运单的快件。</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28.5 以下情形的质疑不予受理</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28.5.1内容不符合《政府采购质疑和投诉办法》第十二条规定的质疑。</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28.5.2超出政府采购法定期限的质疑。</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28.5.3以传真、电子邮件等方式递交的非原件形式的质疑。</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28.5.4未参加投标活动的供应商或在投标活动中自身权益未受到损害的供应商所提出的质疑。</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28.5.5供应商组成联合体参加投标，联合体中任何一方或多方未按要求签字、盖章、加盖公章的质疑。</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29、中标通知书</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both"/>
        <w:spacing w:line="440" w:lineRule="exact"/>
        <w:widowControl w:val="off"/>
        <w:rPr>
          <w:rFonts w:ascii="宋体" w:hAnsi="宋体" w:eastAsia="宋体" w:cs="宋体"/>
          <w:color w:val="auto"/>
          <w:sz w:val="24"/>
          <w:highlight w:val="none"/>
        </w:rPr>
      </w:pPr>
      <w:r/>
      <w:bookmarkStart w:id="168" w:name="_Toc120614220"/>
      <w:r/>
      <w:bookmarkStart w:id="169" w:name="_Toc20823308"/>
      <w:r/>
      <w:bookmarkStart w:id="170" w:name="_Toc513029236"/>
      <w:r/>
      <w:bookmarkStart w:id="171" w:name="_Toc16938552"/>
      <w:r>
        <w:rPr>
          <w:rFonts w:hint="eastAsia" w:ascii="宋体" w:hAnsi="宋体" w:eastAsia="宋体" w:cs="宋体"/>
          <w:color w:val="auto"/>
          <w:sz w:val="24"/>
          <w:highlight w:val="none"/>
        </w:rPr>
        <w:t xml:space="preserve">七、授予合同</w:t>
      </w:r>
      <w:bookmarkEnd w:id="168"/>
      <w:r/>
      <w:bookmarkEnd w:id="169"/>
      <w:r/>
      <w:bookmarkEnd w:id="170"/>
      <w:r/>
      <w:bookmarkEnd w:id="171"/>
      <w:r/>
      <w:r/>
    </w:p>
    <w:p>
      <w:pPr>
        <w:ind w:firstLine="482"/>
        <w:jc w:val="both"/>
        <w:spacing w:line="440" w:lineRule="exact"/>
        <w:widowControl w:val="off"/>
        <w:rPr>
          <w:rFonts w:ascii="宋体" w:hAnsi="宋体" w:eastAsia="宋体" w:cs="宋体"/>
          <w:color w:val="auto"/>
          <w:sz w:val="24"/>
          <w:highlight w:val="none"/>
        </w:rPr>
      </w:pPr>
      <w:r/>
      <w:bookmarkStart w:id="172" w:name="_Toc16938553"/>
      <w:r/>
      <w:bookmarkStart w:id="173" w:name="_Toc513029237"/>
      <w:r/>
      <w:bookmarkStart w:id="174" w:name="_Toc20823309"/>
      <w:r>
        <w:rPr>
          <w:rFonts w:hint="eastAsia" w:ascii="宋体" w:hAnsi="宋体" w:eastAsia="宋体" w:cs="宋体"/>
          <w:color w:val="auto"/>
          <w:sz w:val="24"/>
          <w:highlight w:val="none"/>
        </w:rPr>
        <w:t xml:space="preserve">30.签订合同</w:t>
      </w:r>
      <w:bookmarkEnd w:id="172"/>
      <w:r/>
      <w:bookmarkEnd w:id="173"/>
      <w:r/>
      <w:bookmarkEnd w:id="174"/>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30.l中标人应当在中标通知书发出之日起三十日内，按照招标文件确定的事项与采购人签订政府采购合同。</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30.2招标文件、中标人的投标文件及招标过程中有关澄清、承诺文件均应作为合同附件。</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30.3签订合同后，</w:t>
      </w:r>
      <w:r>
        <w:rPr>
          <w:rFonts w:hint="eastAsia" w:ascii="宋体" w:hAnsi="宋体" w:eastAsia="宋体" w:cs="宋体"/>
          <w:i/>
          <w:color w:val="auto"/>
          <w:sz w:val="24"/>
          <w:highlight w:val="none"/>
          <w:u w:val="single"/>
        </w:rPr>
        <w:t xml:space="preserve">中标人不得将合同标的进行转包</w:t>
      </w:r>
      <w:r>
        <w:rPr>
          <w:rFonts w:hint="eastAsia" w:ascii="宋体" w:hAnsi="宋体" w:eastAsia="宋体" w:cs="宋体"/>
          <w:color w:val="auto"/>
          <w:sz w:val="24"/>
          <w:highlight w:val="none"/>
        </w:rPr>
        <w:t xml:space="preserve">。未经采购人同意，中标人也不得采用分包的形式履行合同，否则采购人有权终止合同。转包或分包造成采购人损失的，中标人应承担相应赔偿责任。</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31、服务（包含与服务相关的货物）的追加</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32.政府采购政策功能落实</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32.1政府采购线上合同信用融资政策</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32.2进口产品</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32.3中小企业、监狱企业及残疾人福利性单位</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32.3.1中小企业定义：</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中小企业是</w:t>
      </w:r>
      <w:r>
        <w:rPr>
          <w:rFonts w:hint="eastAsia" w:ascii="宋体" w:hAnsi="宋体" w:eastAsia="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32.3.2供应商提供的货物、工程或者服务符合下列情形的，享受中小企业扶持政策：</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32.3.2.1在货物采购项目中，货物由中小企业制造，即货物由中小企业生产且使用该中小企业商号或者注册商标；</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32.3.2.2在工程采购项目中，工程由中小企业承建，即工程施工单位为中小企业；</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32.3.2.3在服务采购项目中，服务由中小企业承接，即提供服务的人员为中小企业依照《中华人民共和国劳动合同法》订立劳动合同的从业人员。</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32.3.3在货物采购项目中，供应商提供的货物既有中小企业制造货物，也有大型企业制造货物的，不享受中小企业扶持政策。</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32.3.4以联合体形式参加政府采购活动，联合体各方均为中小企业的，联合体视同中小企业。其中，联合体各方均为小微企业的，联合体视同小微企业。</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32.3.6残疾人福利单位定义：享受政府采购支持政策的残疾人福利性单位应当同时满足以下条件：</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32.3.6.1安置的残疾人占本单位在职职工人数的比例不低于25%（含25%），并且安置的残疾人人数不少于10 人（含10 人）；</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32.3.6.2依法与安置的每位残疾人签订了一年以上（含一年）的劳动合同或服务协议；</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32.3.6.3为安置的每位残疾人按月足额缴纳了基本养老保险、基本医疗保险、失业保险、工伤保险和生育保险等社会保险费；</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32.3.6.4通过银行等金融机构向安置的每位残疾人，按月支付了不低于单位所在区县适用的经省级人民政府批准的月最低工资标准的工资；</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32.3.7本项目是否专门面向中小企业预留采购份额见第一章《招标公告》。</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32.3.8采购标的对应的中小企业划分标准所属行业见第四章《采购需求》。</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32.3.9小微企业价格评审优惠的政策：见第五章《评标方法和评标标准》。</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32.4政府采购节能产品、环境标志产品</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color w:val="auto"/>
          <w:sz w:val="24"/>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sz w:val="24"/>
          <w:highlight w:val="none"/>
        </w:rPr>
        <w:t xml:space="preserve">其他条件相同情况下，应当优先采购节能产品、环境标志产品。</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32.5绿色包装</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32.6政府采购创新产品</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采购人优先采购各级政府部门公开发布的有效期内的创新产品、创新服务、首台套、首购首用等《目录》的创新产品。</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32.7绿色数据中心政策 </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32.8履约保证金政策</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确需收取履约保证金的，履约保证金的缴纳形式：</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 如以履约保函（保险）形式缴纳履约保证金，供应商可通过政府采购电子履约保函（保险）平台（www.jsdzbh.com）在线申请履约保函（保险）。</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履约保证金金额不得超过合同金额的10%，采购人对第三方信用服务机构依据标准规范评定为</w:t>
      </w:r>
      <w:bookmarkStart w:id="175" w:name="OLE_LINK88"/>
      <w:r>
        <w:rPr>
          <w:rFonts w:hint="eastAsia" w:ascii="宋体" w:hAnsi="宋体" w:eastAsia="宋体" w:cs="宋体"/>
          <w:color w:val="auto"/>
          <w:sz w:val="24"/>
          <w:highlight w:val="none"/>
        </w:rPr>
        <w:t xml:space="preserve"> AA 级及以上的政府采购供应商（需在签订采购合同前提供信用管理 部门备案的第三方信用报告，且信用报告通过“信用盐城网”可查实）</w:t>
      </w:r>
      <w:bookmarkEnd w:id="175"/>
      <w:r>
        <w:rPr>
          <w:rFonts w:hint="eastAsia" w:ascii="宋体" w:hAnsi="宋体" w:eastAsia="宋体" w:cs="宋体"/>
          <w:color w:val="auto"/>
          <w:sz w:val="24"/>
          <w:highlight w:val="none"/>
        </w:rPr>
        <w:t xml:space="preserve">，免收履约保证金或降低履约保证金缴纳比例。</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33. 预付款制度</w:t>
      </w:r>
      <w:r/>
    </w:p>
    <w:p>
      <w:pPr>
        <w:ind w:firstLine="482"/>
        <w:jc w:val="both"/>
        <w:spacing w:line="44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pStyle w:val="785"/>
        <w:ind w:firstLine="480"/>
        <w:jc w:val="both"/>
        <w:spacing w:beforeAutospacing="0" w:afterAutospacing="0" w:line="400" w:lineRule="exact"/>
        <w:rPr>
          <w:rFonts w:ascii="宋体" w:hAnsi="宋体" w:eastAsia="宋体" w:cs="黑体"/>
          <w:color w:val="auto"/>
          <w:sz w:val="44"/>
          <w:szCs w:val="44"/>
          <w:highlight w:val="none"/>
        </w:rPr>
      </w:pPr>
      <w:r>
        <w:rPr>
          <w:rFonts w:hint="eastAsia" w:ascii="宋体" w:hAnsi="宋体" w:eastAsia="宋体" w:cs="黑体"/>
          <w:color w:val="auto"/>
          <w:sz w:val="44"/>
          <w:szCs w:val="44"/>
          <w:highlight w:val="none"/>
        </w:rPr>
        <w:br w:type="page" w:clear="all"/>
      </w:r>
      <w:r/>
    </w:p>
    <w:p>
      <w:pPr>
        <w:jc w:val="center"/>
        <w:spacing w:line="360" w:lineRule="auto"/>
        <w:rPr>
          <w:rFonts w:ascii="宋体" w:hAnsi="宋体" w:eastAsia="宋体" w:cs="宋体"/>
          <w:b/>
          <w:color w:val="auto"/>
          <w:sz w:val="48"/>
          <w:szCs w:val="44"/>
          <w:highlight w:val="none"/>
        </w:rPr>
      </w:pPr>
      <w:r>
        <w:rPr>
          <w:rFonts w:ascii="Calibri" w:hAnsi="Calibri" w:eastAsia="宋体" w:cs="Times New Roman"/>
          <w:color w:val="auto"/>
          <w:sz w:val="36"/>
          <w:szCs w:val="44"/>
          <w:highlight w:val="none"/>
        </w:rPr>
        <w:t xml:space="preserve"> </w:t>
      </w:r>
      <w:r>
        <w:rPr>
          <w:rFonts w:hint="eastAsia" w:ascii="宋体" w:hAnsi="宋体" w:eastAsia="宋体" w:cs="宋体"/>
          <w:b/>
          <w:color w:val="auto"/>
          <w:sz w:val="48"/>
          <w:szCs w:val="44"/>
          <w:highlight w:val="none"/>
        </w:rPr>
        <w:t xml:space="preserve">第三章  合同条款</w:t>
      </w:r>
      <w:r/>
    </w:p>
    <w:p>
      <w:pPr>
        <w:jc w:val="center"/>
        <w:spacing w:before="145" w:after="145"/>
        <w:rPr>
          <w:rFonts w:hint="eastAsia" w:ascii="宋体" w:hAnsi="宋体" w:eastAsia="宋体" w:cs="宋体"/>
          <w:b/>
          <w:bCs/>
          <w:color w:val="auto"/>
          <w:sz w:val="30"/>
          <w:szCs w:val="20"/>
          <w:highlight w:val="none"/>
        </w:rPr>
        <w:outlineLvl w:val="0"/>
      </w:pPr>
      <w:r/>
      <w:bookmarkStart w:id="176" w:name="_Toc479757211"/>
      <w:r/>
      <w:bookmarkStart w:id="177" w:name="_Toc462564139"/>
      <w:r/>
      <w:bookmarkStart w:id="178" w:name="_Toc20823346"/>
      <w:r/>
      <w:bookmarkStart w:id="179" w:name="_Toc16938590"/>
      <w:r/>
      <w:bookmarkStart w:id="180" w:name="_Hlt16619350"/>
      <w:r/>
      <w:bookmarkStart w:id="181" w:name="_Toc120614244"/>
      <w:r/>
      <w:bookmarkStart w:id="182" w:name="_Hlt16619369"/>
      <w:r>
        <w:rPr>
          <w:rFonts w:hint="eastAsia" w:ascii="宋体" w:hAnsi="宋体" w:eastAsia="宋体" w:cs="宋体"/>
          <w:b/>
          <w:color w:val="auto"/>
          <w:sz w:val="30"/>
          <w:highlight w:val="none"/>
        </w:rPr>
        <w:t xml:space="preserve">政府采购合同</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w:t>
      </w:r>
      <w:r>
        <w:rPr>
          <w:rFonts w:hint="eastAsia" w:asciiTheme="minorEastAsia" w:hAnsiTheme="minorEastAsia" w:eastAsiaTheme="minorEastAsia" w:cstheme="minorEastAsia"/>
          <w:color w:val="auto"/>
          <w:sz w:val="24"/>
          <w:szCs w:val="24"/>
          <w:highlight w:val="none"/>
          <w:u w:val="single"/>
          <w:lang w:eastAsia="zh-CN"/>
        </w:rPr>
        <w:t xml:space="preserve">通榆河漂浮物市场化打捞服务项目</w:t>
      </w:r>
      <w:r>
        <w:rPr>
          <w:rFonts w:hint="eastAsia" w:asciiTheme="minorEastAsia" w:hAnsiTheme="minorEastAsia" w:eastAsiaTheme="minorEastAsia" w:cstheme="minorEastAsia"/>
          <w:color w:val="auto"/>
          <w:sz w:val="24"/>
          <w:szCs w:val="24"/>
          <w:highlight w:val="none"/>
        </w:rPr>
        <w:t xml:space="preserve">                                       </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甲方</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以下简称</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盐城经济技术开发区住房保障和建设</w:t>
      </w:r>
      <w:r>
        <w:rPr>
          <w:rFonts w:hint="eastAsia" w:asciiTheme="minorEastAsia" w:hAnsiTheme="minorEastAsia" w:eastAsiaTheme="minorEastAsia" w:cstheme="minorEastAsia"/>
          <w:color w:val="auto"/>
          <w:sz w:val="24"/>
          <w:szCs w:val="24"/>
          <w:highlight w:val="none"/>
          <w:u w:val="single"/>
          <w:lang w:eastAsia="zh-CN"/>
        </w:rPr>
        <w:t xml:space="preserve">局</w:t>
      </w:r>
      <w:r>
        <w:rPr>
          <w:rFonts w:hint="eastAsia" w:asciiTheme="minorEastAsia" w:hAnsiTheme="minorEastAsia" w:eastAsiaTheme="minorEastAsia" w:cstheme="minorEastAsia"/>
          <w:color w:val="auto"/>
          <w:sz w:val="24"/>
          <w:szCs w:val="24"/>
          <w:highlight w:val="none"/>
        </w:rPr>
        <w:t xml:space="preserve">  </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lang w:eastAsia="zh-CN"/>
        </w:rPr>
        <w:t xml:space="preserve">乙方</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以下简称</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p>
    <w:p>
      <w:pPr>
        <w:ind w:firstLine="480"/>
        <w:keepLines w:val="0"/>
        <w:keepNext w:val="0"/>
        <w:pageBreakBefore w:val="0"/>
        <w:spacing w:line="4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甲、乙双方</w:t>
      </w:r>
      <w:r>
        <w:rPr>
          <w:rFonts w:hint="eastAsia" w:asciiTheme="minorEastAsia" w:hAnsiTheme="minorEastAsia" w:eastAsiaTheme="minorEastAsia" w:cstheme="minorEastAsia"/>
          <w:color w:val="auto"/>
          <w:sz w:val="24"/>
          <w:szCs w:val="24"/>
          <w:highlight w:val="none"/>
          <w:lang w:val="en-US" w:eastAsia="zh-CN"/>
        </w:rPr>
        <w:t xml:space="preserve">依照《中华人民共和国民法典》及其他有关法律、行政法规，遵循平等、自愿、公平和诚实信用的原则， 依据</w:t>
      </w:r>
      <w:r>
        <w:rPr>
          <w:rFonts w:hint="eastAsia" w:asciiTheme="minorEastAsia" w:hAnsiTheme="minorEastAsia" w:eastAsiaTheme="minorEastAsia" w:cstheme="minorEastAsia"/>
          <w:color w:val="auto"/>
          <w:sz w:val="24"/>
          <w:szCs w:val="24"/>
          <w:highlight w:val="none"/>
          <w:u w:val="single"/>
          <w:lang w:val="en-US" w:eastAsia="zh-CN"/>
        </w:rPr>
        <w:t xml:space="preserve">通榆河漂浮物市场化打捞服务项目</w:t>
      </w:r>
      <w:r>
        <w:rPr>
          <w:rFonts w:hint="eastAsia" w:asciiTheme="minorEastAsia" w:hAnsiTheme="minorEastAsia" w:eastAsiaTheme="minorEastAsia" w:cstheme="minorEastAsia"/>
          <w:color w:val="auto"/>
          <w:sz w:val="24"/>
          <w:szCs w:val="24"/>
          <w:highlight w:val="none"/>
          <w:lang w:val="en-US" w:eastAsia="zh-CN"/>
        </w:rPr>
        <w:t xml:space="preserve">招标</w:t>
      </w:r>
      <w:r>
        <w:rPr>
          <w:rFonts w:hint="eastAsia" w:asciiTheme="minorEastAsia" w:hAnsiTheme="minorEastAsia" w:eastAsiaTheme="minorEastAsia" w:cstheme="minorEastAsia"/>
          <w:color w:val="auto"/>
          <w:sz w:val="24"/>
          <w:szCs w:val="24"/>
          <w:highlight w:val="none"/>
        </w:rPr>
        <w:t xml:space="preserve">的结果</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签署本合同。                                      </w:t>
      </w:r>
      <w:r/>
    </w:p>
    <w:p>
      <w:pPr>
        <w:ind w:firstLine="482"/>
        <w:keepLines w:val="0"/>
        <w:keepNext w:val="0"/>
        <w:pageBreakBefore w:val="0"/>
        <w:spacing w:line="4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1、项目概况</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1.1服务内容：</w:t>
      </w:r>
      <w:r>
        <w:rPr>
          <w:rFonts w:hint="eastAsia" w:asciiTheme="minorEastAsia" w:hAnsiTheme="minorEastAsia" w:eastAsiaTheme="minorEastAsia" w:cstheme="minorEastAsia"/>
          <w:color w:val="auto"/>
          <w:sz w:val="24"/>
          <w:szCs w:val="24"/>
          <w:highlight w:val="none"/>
          <w:u w:val="single"/>
          <w:lang w:val="en-US" w:eastAsia="zh-CN"/>
        </w:rPr>
        <w:t xml:space="preserve">本项目负责通榆河开发区段（伍佑大桥至世纪大道，长度约9.5公里）河面、两侧护坡及漂浮物临时拦截处置点的漂浮物打捞及处置工作，采取近岸拦截打捞和流动打捞相结合的方式，每天巡回常态化保洁，全方位无死角开展河道保洁，包含但不限于河道垃圾、水草、杂物、漂浮物的收集、规范处理与清理等相关工作。</w:t>
      </w:r>
      <w:r/>
    </w:p>
    <w:p>
      <w:pPr>
        <w:ind w:firstLine="482"/>
        <w:keepLines w:val="0"/>
        <w:keepNext w:val="0"/>
        <w:pageBreakBefore w:val="0"/>
        <w:spacing w:line="4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2、合同价</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 本合同金额为（大写）：_____________元整</w:t>
      </w:r>
      <w:r>
        <w:rPr>
          <w:rFonts w:hint="eastAsia" w:asciiTheme="minorEastAsia" w:hAnsiTheme="minorEastAsia" w:eastAsiaTheme="minorEastAsia" w:cstheme="minorEastAsia"/>
          <w:color w:val="auto"/>
          <w:sz w:val="24"/>
          <w:szCs w:val="24"/>
          <w:highlight w:val="none"/>
          <w:lang w:val="en-US" w:eastAsia="zh-CN"/>
        </w:rPr>
        <w:t xml:space="preserve">/年</w:t>
      </w:r>
      <w:r>
        <w:rPr>
          <w:rFonts w:hint="eastAsia" w:asciiTheme="minorEastAsia" w:hAnsiTheme="minorEastAsia" w:eastAsiaTheme="minorEastAsia" w:cstheme="minorEastAsia"/>
          <w:color w:val="auto"/>
          <w:sz w:val="24"/>
          <w:szCs w:val="24"/>
          <w:highlight w:val="none"/>
        </w:rPr>
        <w:t xml:space="preserve">（￥______元</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eastAsia="zh-CN"/>
        </w:rPr>
        <w:t xml:space="preserve">年</w:t>
      </w:r>
      <w:r>
        <w:rPr>
          <w:rFonts w:hint="eastAsia" w:asciiTheme="minorEastAsia" w:hAnsiTheme="minorEastAsia" w:eastAsiaTheme="minorEastAsia" w:cstheme="minorEastAsia"/>
          <w:color w:val="auto"/>
          <w:sz w:val="24"/>
          <w:szCs w:val="24"/>
          <w:highlight w:val="none"/>
        </w:rPr>
        <w:t xml:space="preserve">）人民币。</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keepLines w:val="0"/>
        <w:keepNext w:val="0"/>
        <w:pageBreakBefore w:val="0"/>
        <w:spacing w:line="4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3、服务期</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 服务期</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2年，合同一年一签。第一年度中月度考核有一次得分75及以下或者两次得分80分及以下，不可续签。</w:t>
      </w:r>
      <w:r>
        <w:rPr>
          <w:rFonts w:hint="eastAsia" w:asciiTheme="minorEastAsia" w:hAnsiTheme="minorEastAsia" w:eastAsiaTheme="minorEastAsia" w:cstheme="minorEastAsia"/>
          <w:color w:val="auto"/>
          <w:sz w:val="24"/>
          <w:szCs w:val="24"/>
          <w:highlight w:val="none"/>
          <w:u w:val="single"/>
        </w:rPr>
        <w:t xml:space="preserve"> </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本次合同期限为：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b w:val="0"/>
          <w:bCs w:val="0"/>
          <w:color w:val="auto"/>
          <w:sz w:val="24"/>
          <w:szCs w:val="24"/>
          <w:highlight w:val="none"/>
          <w:u w:val="single"/>
        </w:rPr>
        <w:t xml:space="preserve">  </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日起至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b w:val="0"/>
          <w:bCs w:val="0"/>
          <w:color w:val="auto"/>
          <w:sz w:val="24"/>
          <w:szCs w:val="24"/>
          <w:highlight w:val="none"/>
          <w:u w:val="single"/>
        </w:rPr>
        <w:t xml:space="preserve">  </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日止。</w:t>
      </w:r>
      <w:r/>
    </w:p>
    <w:p>
      <w:pPr>
        <w:ind w:firstLine="482"/>
        <w:keepLines w:val="0"/>
        <w:keepNext w:val="0"/>
        <w:pageBreakBefore w:val="0"/>
        <w:spacing w:line="4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4、履约保证金</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乙方向甲方交纳人民币大写：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元（小写¥</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元），作为本合同的履约保证金（中标价的10%），服务期满后无息退还。</w:t>
      </w:r>
      <w:r/>
    </w:p>
    <w:p>
      <w:pPr>
        <w:pStyle w:val="1005"/>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交纳形式：</w:t>
      </w:r>
      <w:r>
        <w:rPr>
          <w:rFonts w:hint="eastAsia" w:asciiTheme="minorEastAsia" w:hAnsiTheme="minorEastAsia" w:eastAsiaTheme="minorEastAsia" w:cstheme="minorEastAsia"/>
          <w:color w:val="auto"/>
          <w:sz w:val="24"/>
          <w:szCs w:val="24"/>
          <w:highlight w:val="none"/>
          <w:u w:val="single"/>
        </w:rPr>
        <w:t xml:space="preserve">以</w:t>
      </w:r>
      <w:r>
        <w:rPr>
          <w:rFonts w:hint="eastAsia" w:asciiTheme="minorEastAsia" w:hAnsiTheme="minorEastAsia" w:eastAsiaTheme="minorEastAsia" w:cstheme="minorEastAsia"/>
          <w:color w:val="auto"/>
          <w:sz w:val="24"/>
          <w:szCs w:val="24"/>
          <w:highlight w:val="none"/>
          <w:u w:val="single"/>
          <w:lang w:eastAsia="zh-CN"/>
        </w:rPr>
        <w:t xml:space="preserve">转账、</w:t>
      </w:r>
      <w:r>
        <w:rPr>
          <w:rFonts w:hint="eastAsia" w:asciiTheme="minorEastAsia" w:hAnsiTheme="minorEastAsia" w:eastAsiaTheme="minorEastAsia" w:cstheme="minorEastAsia"/>
          <w:color w:val="auto"/>
          <w:sz w:val="24"/>
          <w:szCs w:val="24"/>
          <w:highlight w:val="none"/>
          <w:u w:val="single"/>
        </w:rPr>
        <w:t xml:space="preserve">支票、汇票、本票或者金融机构、担保机构出具的保函等非现金形式提交</w:t>
      </w:r>
      <w:r>
        <w:rPr>
          <w:rFonts w:hint="eastAsia" w:asciiTheme="minorEastAsia" w:hAnsiTheme="minorEastAsia" w:eastAsiaTheme="minorEastAsia" w:cstheme="minorEastAsia"/>
          <w:color w:val="auto"/>
          <w:sz w:val="24"/>
          <w:szCs w:val="24"/>
          <w:highlight w:val="none"/>
          <w:u w:val="singl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中标人在收到中标通知书后，合同签订之前，向采购人足额交纳履约保证金；</w:t>
      </w:r>
      <w:r>
        <w:rPr>
          <w:rFonts w:hint="eastAsia" w:asciiTheme="minorEastAsia" w:hAnsiTheme="minorEastAsia" w:eastAsiaTheme="minorEastAsia" w:cstheme="minorEastAsia"/>
          <w:color w:val="auto"/>
          <w:sz w:val="24"/>
          <w:szCs w:val="24"/>
          <w:highlight w:val="none"/>
        </w:rPr>
        <w:t xml:space="preserve">采购人对第三方信用服务机构依据标准规范评定为AA级及以上的政府采购供应商（需在签订采购合同前提供信用管理部门备案的第三方信用报告，且信用报告通过“信用盐城网”可查实），履约保证</w:t>
      </w:r>
      <w:r>
        <w:rPr>
          <w:rFonts w:hint="eastAsia" w:asciiTheme="minorEastAsia" w:hAnsiTheme="minorEastAsia" w:eastAsiaTheme="minorEastAsia" w:cstheme="minorEastAsia"/>
          <w:color w:val="auto"/>
          <w:sz w:val="24"/>
          <w:szCs w:val="24"/>
          <w:highlight w:val="none"/>
          <w:lang w:val="en-US" w:eastAsia="zh-CN"/>
        </w:rPr>
        <w:t xml:space="preserve">金降至中标价的5%；否则采购人有权取消其中标资格。</w:t>
      </w:r>
      <w:r>
        <w:rPr>
          <w:rFonts w:hint="eastAsia" w:asciiTheme="minorEastAsia" w:hAnsiTheme="minorEastAsia" w:eastAsiaTheme="minorEastAsia" w:cstheme="minorEastAsia"/>
          <w:color w:val="auto"/>
          <w:sz w:val="24"/>
          <w:szCs w:val="24"/>
          <w:highlight w:val="none"/>
        </w:rPr>
        <w:t xml:space="preserve">履约保证金于</w:t>
      </w:r>
      <w:r>
        <w:rPr>
          <w:rFonts w:hint="eastAsia" w:asciiTheme="minorEastAsia" w:hAnsiTheme="minorEastAsia" w:eastAsiaTheme="minorEastAsia" w:cstheme="minorEastAsia"/>
          <w:color w:val="auto"/>
          <w:sz w:val="24"/>
          <w:szCs w:val="24"/>
          <w:highlight w:val="none"/>
          <w:lang w:eastAsia="zh-CN"/>
        </w:rPr>
        <w:t xml:space="preserve">服务期满后</w:t>
      </w:r>
      <w:r>
        <w:rPr>
          <w:rFonts w:hint="eastAsia" w:asciiTheme="minorEastAsia" w:hAnsiTheme="minorEastAsia" w:eastAsiaTheme="minorEastAsia" w:cstheme="minorEastAsia"/>
          <w:color w:val="auto"/>
          <w:sz w:val="24"/>
          <w:szCs w:val="24"/>
          <w:highlight w:val="none"/>
        </w:rPr>
        <w:t xml:space="preserve">，无质量服务问题，无息退还。</w:t>
      </w:r>
      <w:r/>
    </w:p>
    <w:p>
      <w:pPr>
        <w:ind w:firstLine="482"/>
        <w:keepLines w:val="0"/>
        <w:keepNext w:val="0"/>
        <w:pageBreakBefore w:val="0"/>
        <w:spacing w:line="4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5、质量条款</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5.1通过组织清除，河道内无集聚性的水花生、水葫芦、篙草等有害水生植物，河中无秸秆、垃圾、动物尸体；</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及时清理浮萍、水葫芦、水花生等水生植物，全域内无流入性浮萍、水葫芦、水花生等水面漂浮物；在交接处断面监控点成果分析（如有），漂浮物从通榆河开发区段（伍佑大桥至世纪大道）上游地区流向下游地区的数量每小时不超过5平方米；</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5.3通榆河开发区段（伍佑大桥至世纪大道）约9.5公里打捞水面漂浮物（含漂浮物临时拦截处置点的漂浮物）须日产日清，及时打捞上船，使用运输船只拖运至项目区外处置妥善处理，不得堆放在通榆河河道管理范围内，对打捞的动物尸体须无害化处理（处理标准达到市农委要求，地点需自行协调）</w:t>
      </w:r>
      <w:r>
        <w:rPr>
          <w:rFonts w:hint="eastAsia" w:asciiTheme="minorEastAsia" w:hAnsiTheme="minorEastAsia" w:eastAsiaTheme="minorEastAsia" w:cstheme="minorEastAsia"/>
          <w:color w:val="auto"/>
          <w:sz w:val="24"/>
          <w:szCs w:val="24"/>
          <w:highlight w:val="none"/>
          <w:lang w:val="en-US" w:eastAsia="zh-CN"/>
        </w:rPr>
        <w:t xml:space="preserve">；</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5.4</w:t>
      </w:r>
      <w:r>
        <w:rPr>
          <w:rFonts w:hint="eastAsia" w:asciiTheme="minorEastAsia" w:hAnsiTheme="minorEastAsia" w:eastAsiaTheme="minorEastAsia" w:cstheme="minorEastAsia"/>
          <w:color w:val="auto"/>
          <w:sz w:val="24"/>
          <w:szCs w:val="24"/>
          <w:highlight w:val="none"/>
        </w:rPr>
        <w:t xml:space="preserve">合同保洁期：正常开展打捞处置工作，并保障合同要求区域河道水面达到考核要求</w:t>
      </w:r>
      <w:r>
        <w:rPr>
          <w:rFonts w:hint="eastAsia" w:asciiTheme="minorEastAsia" w:hAnsiTheme="minorEastAsia" w:eastAsiaTheme="minorEastAsia" w:cstheme="minorEastAsia"/>
          <w:color w:val="auto"/>
          <w:sz w:val="24"/>
          <w:szCs w:val="24"/>
          <w:highlight w:val="none"/>
          <w:lang w:val="en-US" w:eastAsia="zh-CN"/>
        </w:rPr>
        <w:t xml:space="preserve">；</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5.5</w:t>
      </w:r>
      <w:r>
        <w:rPr>
          <w:rFonts w:hint="eastAsia" w:asciiTheme="minorEastAsia" w:hAnsiTheme="minorEastAsia" w:eastAsiaTheme="minorEastAsia" w:cstheme="minorEastAsia"/>
          <w:color w:val="auto"/>
          <w:sz w:val="24"/>
          <w:szCs w:val="24"/>
          <w:highlight w:val="none"/>
        </w:rPr>
        <w:t xml:space="preserve">保障漂浮物临时拦截处置设施在合同期内所有设施设备的完好</w:t>
      </w:r>
      <w:r>
        <w:rPr>
          <w:rFonts w:hint="eastAsia" w:asciiTheme="minorEastAsia" w:hAnsiTheme="minorEastAsia" w:eastAsiaTheme="minorEastAsia" w:cstheme="minorEastAsia"/>
          <w:color w:val="auto"/>
          <w:sz w:val="24"/>
          <w:szCs w:val="24"/>
          <w:highlight w:val="none"/>
          <w:lang w:val="en-US" w:eastAsia="zh-CN"/>
        </w:rPr>
        <w:t xml:space="preserve">；</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5.6乙方</w:t>
      </w:r>
      <w:r>
        <w:rPr>
          <w:rFonts w:hint="eastAsia" w:asciiTheme="minorEastAsia" w:hAnsiTheme="minorEastAsia" w:eastAsiaTheme="minorEastAsia" w:cstheme="minorEastAsia"/>
          <w:color w:val="auto"/>
          <w:sz w:val="24"/>
          <w:szCs w:val="24"/>
          <w:highlight w:val="none"/>
        </w:rPr>
        <w:t xml:space="preserve">配备辅助小型船只</w:t>
      </w:r>
      <w:r>
        <w:rPr>
          <w:rFonts w:hint="eastAsia" w:asciiTheme="minorEastAsia" w:hAnsiTheme="minorEastAsia" w:eastAsiaTheme="minorEastAsia" w:cstheme="minorEastAsia"/>
          <w:color w:val="auto"/>
          <w:sz w:val="24"/>
          <w:szCs w:val="24"/>
          <w:highlight w:val="none"/>
          <w:lang w:val="en-US" w:eastAsia="zh-CN"/>
        </w:rPr>
        <w:t xml:space="preserve">进行打捞</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小型船只</w:t>
      </w:r>
      <w:r>
        <w:rPr>
          <w:rFonts w:hint="eastAsia" w:asciiTheme="minorEastAsia" w:hAnsiTheme="minorEastAsia" w:eastAsiaTheme="minorEastAsia" w:cstheme="minorEastAsia"/>
          <w:color w:val="auto"/>
          <w:sz w:val="24"/>
          <w:szCs w:val="24"/>
          <w:highlight w:val="none"/>
          <w:lang w:val="en-US" w:eastAsia="zh-CN"/>
        </w:rPr>
        <w:t xml:space="preserve">及人员须满足航道等部门的相关要求。</w:t>
      </w:r>
      <w:r/>
    </w:p>
    <w:p>
      <w:pPr>
        <w:ind w:firstLine="482"/>
        <w:keepLines w:val="0"/>
        <w:keepNext w:val="0"/>
        <w:pageBreakBefore w:val="0"/>
        <w:spacing w:line="4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6、转包或分包</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6.1本合同范围内产品或服务，应由乙方直接供应，不得转让他人供应；</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 除非得到甲方的书面同意，乙方不得部分分包给他人供应。</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6.3如有转让和未经甲方同意的分包行为，甲方有权给予终止合同。 </w:t>
      </w:r>
      <w:r/>
    </w:p>
    <w:p>
      <w:pPr>
        <w:ind w:firstLine="482"/>
        <w:keepLines w:val="0"/>
        <w:keepNext w:val="0"/>
        <w:pageBreakBefore w:val="0"/>
        <w:spacing w:line="4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7、学习培训期：</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乙方在确定中标后到</w:t>
      </w:r>
      <w:r>
        <w:rPr>
          <w:rFonts w:hint="eastAsia" w:asciiTheme="minorEastAsia" w:hAnsiTheme="minorEastAsia" w:cstheme="minorEastAsia"/>
          <w:color w:val="auto"/>
          <w:sz w:val="24"/>
          <w:szCs w:val="24"/>
          <w:highlight w:val="none"/>
          <w:u w:val="single"/>
          <w:lang w:val="en-US" w:eastAsia="zh-CN"/>
        </w:rPr>
        <w:t xml:space="preserve">2026年7月25日</w:t>
      </w:r>
      <w:r>
        <w:rPr>
          <w:rFonts w:hint="eastAsia" w:asciiTheme="minorEastAsia" w:hAnsiTheme="minorEastAsia" w:eastAsiaTheme="minorEastAsia" w:cstheme="minorEastAsia"/>
          <w:color w:val="auto"/>
          <w:sz w:val="24"/>
          <w:szCs w:val="24"/>
          <w:highlight w:val="none"/>
        </w:rPr>
        <w:t xml:space="preserve">为学习培训期。培训期内乙方安排</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名管理人员进场学习漂浮物打捞处置方法，</w:t>
      </w:r>
      <w:r>
        <w:rPr>
          <w:rFonts w:hint="eastAsia" w:asciiTheme="minorEastAsia" w:hAnsiTheme="minorEastAsia" w:cstheme="minorEastAsia"/>
          <w:color w:val="auto"/>
          <w:sz w:val="24"/>
          <w:szCs w:val="24"/>
          <w:highlight w:val="none"/>
          <w:u w:val="single"/>
          <w:lang w:val="en-US" w:eastAsia="zh-CN"/>
        </w:rPr>
        <w:t xml:space="preserve">2026年7月15日</w:t>
      </w:r>
      <w:r>
        <w:rPr>
          <w:rFonts w:hint="eastAsia" w:asciiTheme="minorEastAsia" w:hAnsiTheme="minorEastAsia" w:eastAsiaTheme="minorEastAsia" w:cstheme="minorEastAsia"/>
          <w:color w:val="auto"/>
          <w:sz w:val="24"/>
          <w:szCs w:val="24"/>
          <w:highlight w:val="none"/>
        </w:rPr>
        <w:t xml:space="preserve">前有2条及以上的全自动打捞船、1条及以上运输船到位，并配合开展保洁工作；</w:t>
      </w:r>
      <w:r>
        <w:rPr>
          <w:rFonts w:hint="eastAsia" w:asciiTheme="minorEastAsia" w:hAnsiTheme="minorEastAsia" w:cstheme="minorEastAsia"/>
          <w:color w:val="auto"/>
          <w:sz w:val="24"/>
          <w:szCs w:val="24"/>
          <w:highlight w:val="none"/>
          <w:u w:val="single"/>
          <w:lang w:val="en-US" w:eastAsia="zh-CN"/>
        </w:rPr>
        <w:t xml:space="preserve">2026年7月20日</w:t>
      </w:r>
      <w:r>
        <w:rPr>
          <w:rFonts w:hint="eastAsia" w:asciiTheme="minorEastAsia" w:hAnsiTheme="minorEastAsia" w:eastAsiaTheme="minorEastAsia" w:cstheme="minorEastAsia"/>
          <w:color w:val="auto"/>
          <w:sz w:val="24"/>
          <w:szCs w:val="24"/>
          <w:highlight w:val="none"/>
        </w:rPr>
        <w:t xml:space="preserve">前，所有船只、人员全部到位。学习培训期内甲方不向乙方支付任何费用。</w:t>
      </w:r>
      <w:r/>
    </w:p>
    <w:p>
      <w:pPr>
        <w:ind w:firstLine="482"/>
        <w:keepLines w:val="0"/>
        <w:keepNext w:val="0"/>
        <w:pageBreakBefore w:val="0"/>
        <w:spacing w:line="4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8、安全责任</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单位对操作人员和管理人员等发生在作业过程中的一切安全（包括拦截点处安全、水面安全、管理用房安全、交通安全、运行安全、人员安全等）负全部法律责任，并承担由此而产生的一切经济损失，一切责任与招标人无关。投标单位须给本项目全体职工办理意外伤害险。投标单位需定期对单位职工进行安全培训教育。投标单位需为职工统一配备工作制服并配有反光背心、救生衣等安全设施。投标单位所有投入使用的船舶上需统一配备安全救生工具。</w:t>
      </w:r>
      <w:r/>
    </w:p>
    <w:p>
      <w:pPr>
        <w:ind w:firstLine="482"/>
        <w:keepLines w:val="0"/>
        <w:keepNext w:val="0"/>
        <w:pageBreakBefore w:val="0"/>
        <w:spacing w:line="4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9</w:t>
      </w:r>
      <w:r>
        <w:rPr>
          <w:rFonts w:hint="eastAsia" w:asciiTheme="minorEastAsia" w:hAnsiTheme="minorEastAsia" w:eastAsiaTheme="minorEastAsia" w:cstheme="minorEastAsia"/>
          <w:b/>
          <w:bCs/>
          <w:color w:val="auto"/>
          <w:sz w:val="24"/>
          <w:szCs w:val="24"/>
          <w:highlight w:val="none"/>
        </w:rPr>
        <w:t xml:space="preserve">、合同款支付</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.1付款方式：</w:t>
      </w:r>
      <w:r/>
    </w:p>
    <w:p>
      <w:pPr>
        <w:numPr>
          <w:ilvl w:val="0"/>
          <w:numId w:val="0"/>
        </w:numPr>
        <w:ind w:firstLine="480"/>
        <w:keepLines w:val="0"/>
        <w:keepNext w:val="0"/>
        <w:pageBreakBefore w:val="0"/>
        <w:spacing w:line="420" w:lineRule="exact"/>
        <w:widowControl w:val="off"/>
        <w:rPr>
          <w:rFonts w:hint="eastAsia" w:asciiTheme="minorEastAsia" w:hAnsi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cstheme="minorEastAsia"/>
          <w:color w:val="auto"/>
          <w:sz w:val="24"/>
          <w:szCs w:val="24"/>
          <w:highlight w:val="none"/>
          <w:u w:val="single"/>
          <w:lang w:val="en-US" w:eastAsia="zh-CN"/>
        </w:rPr>
        <w:t xml:space="preserve">合同签订后支付合同价的30%作为预付款。履约期间，甲方按月对乙方进行考核，考核结果与支付挂钩。每月出具支付结算单，每半年结算一次，第一次付款时扣除预付款。</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cstheme="minorEastAsia"/>
          <w:color w:val="auto"/>
          <w:sz w:val="24"/>
          <w:szCs w:val="24"/>
          <w:highlight w:val="none"/>
          <w:u w:val="single"/>
          <w:lang w:val="en-US" w:eastAsia="zh-CN"/>
        </w:rPr>
        <w:t xml:space="preserve">2、</w:t>
      </w:r>
      <w:r>
        <w:rPr>
          <w:rFonts w:hint="eastAsia" w:asciiTheme="minorEastAsia" w:hAnsiTheme="minorEastAsia" w:eastAsiaTheme="minorEastAsia" w:cstheme="minorEastAsia"/>
          <w:color w:val="auto"/>
          <w:sz w:val="24"/>
          <w:szCs w:val="24"/>
          <w:highlight w:val="none"/>
          <w:u w:val="single"/>
          <w:lang w:val="en-US" w:eastAsia="zh-CN"/>
        </w:rPr>
        <w:t xml:space="preserve">服务期</w:t>
      </w:r>
      <w:r>
        <w:rPr>
          <w:rFonts w:hint="eastAsia" w:asciiTheme="minorEastAsia" w:hAnsiTheme="minorEastAsia" w:eastAsiaTheme="minorEastAsia" w:cstheme="minorEastAsia"/>
          <w:color w:val="auto"/>
          <w:sz w:val="24"/>
          <w:szCs w:val="24"/>
          <w:highlight w:val="none"/>
          <w:u w:val="single"/>
        </w:rPr>
        <w:t xml:space="preserve">满后自行设置</w:t>
      </w:r>
      <w:r>
        <w:rPr>
          <w:rFonts w:hint="eastAsia" w:asciiTheme="minorEastAsia" w:hAnsiTheme="minorEastAsia" w:eastAsiaTheme="minorEastAsia" w:cstheme="minorEastAsia"/>
          <w:color w:val="auto"/>
          <w:sz w:val="24"/>
          <w:szCs w:val="24"/>
          <w:highlight w:val="none"/>
          <w:u w:val="single"/>
          <w:lang w:val="en-US" w:eastAsia="zh-CN"/>
        </w:rPr>
        <w:t xml:space="preserve">的</w:t>
      </w:r>
      <w:r>
        <w:rPr>
          <w:rFonts w:hint="eastAsia" w:asciiTheme="minorEastAsia" w:hAnsiTheme="minorEastAsia" w:eastAsiaTheme="minorEastAsia" w:cstheme="minorEastAsia"/>
          <w:color w:val="auto"/>
          <w:sz w:val="24"/>
          <w:szCs w:val="24"/>
          <w:highlight w:val="none"/>
          <w:u w:val="single"/>
        </w:rPr>
        <w:t xml:space="preserve">漂浮物临时拦截处置点</w:t>
      </w:r>
      <w:r>
        <w:rPr>
          <w:rFonts w:hint="eastAsia" w:asciiTheme="minorEastAsia" w:hAnsiTheme="minorEastAsia" w:eastAsiaTheme="minorEastAsia" w:cstheme="minorEastAsia"/>
          <w:color w:val="auto"/>
          <w:sz w:val="24"/>
          <w:szCs w:val="24"/>
          <w:highlight w:val="none"/>
          <w:u w:val="single"/>
          <w:lang w:val="en-US" w:eastAsia="zh-CN"/>
        </w:rPr>
        <w:t xml:space="preserve">等设施及船只需</w:t>
      </w:r>
      <w:r>
        <w:rPr>
          <w:rFonts w:hint="eastAsia" w:asciiTheme="minorEastAsia" w:hAnsiTheme="minorEastAsia" w:eastAsiaTheme="minorEastAsia" w:cstheme="minorEastAsia"/>
          <w:color w:val="auto"/>
          <w:sz w:val="24"/>
          <w:szCs w:val="24"/>
          <w:highlight w:val="none"/>
          <w:u w:val="single"/>
        </w:rPr>
        <w:t xml:space="preserve">清理离场</w:t>
      </w:r>
      <w:r>
        <w:rPr>
          <w:rFonts w:hint="eastAsia" w:asciiTheme="minorEastAsia" w:hAnsiTheme="minorEastAsia" w:eastAsiaTheme="minorEastAsia" w:cstheme="minorEastAsia"/>
          <w:color w:val="auto"/>
          <w:sz w:val="24"/>
          <w:szCs w:val="24"/>
          <w:highlight w:val="none"/>
          <w:u w:val="single"/>
          <w:lang w:eastAsia="zh-CN"/>
        </w:rPr>
        <w:t xml:space="preserve">后方可结清</w:t>
      </w:r>
      <w:r>
        <w:rPr>
          <w:rFonts w:hint="eastAsia" w:asciiTheme="minorEastAsia" w:hAnsiTheme="minorEastAsia" w:eastAsiaTheme="minorEastAsia" w:cstheme="minorEastAsia"/>
          <w:color w:val="auto"/>
          <w:sz w:val="24"/>
          <w:szCs w:val="24"/>
          <w:highlight w:val="none"/>
          <w:u w:val="single"/>
          <w:lang w:val="en-US" w:eastAsia="zh-CN"/>
        </w:rPr>
        <w:t xml:space="preserve">余款。</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.2费用标准：</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1、通榆河开发区段（伍佑大桥至世纪大道）漂浮物市场化打捞服务项目每月结算保洁经费标准=中标金额÷12×月考核结算比例；</w:t>
      </w:r>
      <w:r/>
    </w:p>
    <w:p>
      <w:pPr>
        <w:ind w:firstLine="480"/>
        <w:keepLines w:val="0"/>
        <w:keepNext w:val="0"/>
        <w:pageBreakBefore w:val="0"/>
        <w:spacing w:line="420" w:lineRule="exact"/>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u w:val="single"/>
        </w:rPr>
        <w:t xml:space="preserve">2、水面清洁程度以每月百分考核记录为依据，次月初出具支付结算单，每</w:t>
      </w:r>
      <w:r>
        <w:rPr>
          <w:rFonts w:hint="eastAsia" w:asciiTheme="minorEastAsia" w:hAnsiTheme="minorEastAsia" w:eastAsiaTheme="minorEastAsia" w:cstheme="minorEastAsia"/>
          <w:color w:val="auto"/>
          <w:sz w:val="24"/>
          <w:szCs w:val="24"/>
          <w:highlight w:val="none"/>
          <w:u w:val="single"/>
          <w:lang w:val="en-US" w:eastAsia="zh-CN"/>
        </w:rPr>
        <w:t xml:space="preserve">半年</w:t>
      </w:r>
      <w:r>
        <w:rPr>
          <w:rFonts w:hint="eastAsia" w:asciiTheme="minorEastAsia" w:hAnsiTheme="minorEastAsia" w:eastAsiaTheme="minorEastAsia" w:cstheme="minorEastAsia"/>
          <w:color w:val="auto"/>
          <w:sz w:val="24"/>
          <w:szCs w:val="24"/>
          <w:highlight w:val="none"/>
          <w:u w:val="single"/>
        </w:rPr>
        <w:t xml:space="preserve">结算一次。月均在95分以上（含95分）按合同价结算；80-95分，以95分为基准，每少</w:t>
      </w:r>
      <w:r>
        <w:rPr>
          <w:rFonts w:hint="eastAsia" w:asciiTheme="minorEastAsia" w:hAnsiTheme="minorEastAsia" w:eastAsiaTheme="minorEastAsia" w:cstheme="minorEastAsia"/>
          <w:color w:val="auto"/>
          <w:sz w:val="24"/>
          <w:szCs w:val="24"/>
          <w:highlight w:val="none"/>
          <w:u w:val="single"/>
          <w:lang w:val="en-US" w:eastAsia="zh-CN"/>
        </w:rPr>
        <w:t xml:space="preserve">1</w:t>
      </w:r>
      <w:r>
        <w:rPr>
          <w:rFonts w:hint="eastAsia" w:asciiTheme="minorEastAsia" w:hAnsiTheme="minorEastAsia" w:eastAsiaTheme="minorEastAsia" w:cstheme="minorEastAsia"/>
          <w:color w:val="auto"/>
          <w:sz w:val="24"/>
          <w:szCs w:val="24"/>
          <w:highlight w:val="none"/>
          <w:u w:val="single"/>
        </w:rPr>
        <w:t xml:space="preserve">分按月均价格的1%扣除；79分以下，以95分为基准，每少一分按月均价格的2%扣除</w:t>
      </w:r>
      <w:r>
        <w:rPr>
          <w:rFonts w:hint="eastAsia" w:asciiTheme="minorEastAsia" w:hAnsiTheme="minorEastAsia" w:eastAsiaTheme="minorEastAsia" w:cstheme="minorEastAsia"/>
          <w:color w:val="auto"/>
          <w:sz w:val="24"/>
          <w:szCs w:val="24"/>
          <w:highlight w:val="none"/>
          <w:u w:val="single"/>
          <w:lang w:val="en-US" w:eastAsia="zh-CN"/>
        </w:rPr>
        <w:t xml:space="preserve">；</w:t>
      </w:r>
      <w:r/>
    </w:p>
    <w:p>
      <w:pPr>
        <w:ind w:firstLine="482"/>
        <w:keepLines w:val="0"/>
        <w:keepNext w:val="0"/>
        <w:pageBreakBefore w:val="0"/>
        <w:spacing w:line="4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10</w:t>
      </w:r>
      <w:r>
        <w:rPr>
          <w:rFonts w:hint="eastAsia" w:asciiTheme="minorEastAsia" w:hAnsiTheme="minorEastAsia" w:eastAsiaTheme="minorEastAsia" w:cstheme="minorEastAsia"/>
          <w:b/>
          <w:bCs/>
          <w:color w:val="auto"/>
          <w:sz w:val="24"/>
          <w:szCs w:val="24"/>
          <w:highlight w:val="none"/>
        </w:rPr>
        <w:t xml:space="preserve">、税费</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本合同执行中相关的一切税费均由乙方负担。</w:t>
      </w:r>
      <w:r/>
    </w:p>
    <w:p>
      <w:pPr>
        <w:ind w:firstLine="482"/>
        <w:keepLines w:val="0"/>
        <w:keepNext w:val="0"/>
        <w:pageBreakBefore w:val="0"/>
        <w:spacing w:line="4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11</w:t>
      </w:r>
      <w:r>
        <w:rPr>
          <w:rFonts w:hint="eastAsia" w:asciiTheme="minorEastAsia" w:hAnsiTheme="minorEastAsia" w:eastAsiaTheme="minorEastAsia" w:cstheme="minorEastAsia"/>
          <w:b/>
          <w:bCs/>
          <w:color w:val="auto"/>
          <w:sz w:val="24"/>
          <w:szCs w:val="24"/>
          <w:highlight w:val="none"/>
        </w:rPr>
        <w:t xml:space="preserve">、甲方的权利、义务</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.1甲方的权利：</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.1.1甲方有权对乙方服务质量进行检查，发现问题可要求乙方整改到位。如乙方拒不整改或整改不到位，甲方可对乙方处以单次20000元以内罚金（从服务费内扣除）并解除合同；</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1.2如乙方因自身原因扣发或迟发雇工工资一个月以上的或工期结束未结清工资的，一经发现，甲方可对乙方处以20000元罚金（从服务费内扣除）；服务期满后，甲方将对雇工工资发放情况进行核查，如有雇工工资未结清的，服务费用暂停结算，待雇工工资全部结清再行支付；</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甲方的义务：甲方应按本协议的约定按时如数支付服务费。</w:t>
      </w:r>
      <w:r/>
    </w:p>
    <w:p>
      <w:pPr>
        <w:ind w:firstLine="482"/>
        <w:keepLines w:val="0"/>
        <w:keepNext w:val="0"/>
        <w:pageBreakBefore w:val="0"/>
        <w:spacing w:line="4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w:t>
      </w: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、乙方的权利、义务</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.1乙方的权利：</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.1.1乙方有权利用甲方提供的设施完成招标服务内容；</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.1.2甲方逾期支付服务费用超过三个月，乙方有权终止合同，并要求甲方赔偿相关损失。</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.2乙方的义务</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.2.1乙方须高效完成服务工作内容。</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.2.2乙方须对漂浮物临时拦截处置设施的设备进行维修、保养，确保合同期内能正常使用。</w:t>
      </w:r>
      <w:r/>
    </w:p>
    <w:p>
      <w:pPr>
        <w:pStyle w:val="1005"/>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3合同期内所有的矛盾须自行处理。</w:t>
      </w:r>
      <w:r/>
    </w:p>
    <w:p>
      <w:pPr>
        <w:ind w:firstLine="482"/>
        <w:keepLines w:val="0"/>
        <w:keepNext w:val="0"/>
        <w:pageBreakBefore w:val="0"/>
        <w:spacing w:line="4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w:t>
      </w: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、甲方的违约责任</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甲方无正当理由，违反本合同的有关规定，使乙方未能完成规定管理目标的，乙方有权要求甲方在一定期限内解决，逾期未解决，造成乙方经济损失的，由甲方向乙方偿付合同总价5%的违约金。</w:t>
      </w:r>
      <w:r/>
    </w:p>
    <w:p>
      <w:pPr>
        <w:ind w:firstLine="482"/>
        <w:keepLines w:val="0"/>
        <w:keepNext w:val="0"/>
        <w:pageBreakBefore w:val="0"/>
        <w:spacing w:line="4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w:t>
      </w:r>
      <w:r>
        <w:rPr>
          <w:rFonts w:hint="eastAsia" w:asciiTheme="minorEastAsia" w:hAnsiTheme="minorEastAsia" w:eastAsia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rPr>
        <w:t xml:space="preserve">、乙方的违约责任</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.1签订合同前，乙方须向甲方交纳额度为合同价10%的履约保证金，于合同期满，1个月内无息退还。</w:t>
      </w:r>
      <w:r/>
    </w:p>
    <w:p>
      <w:pPr>
        <w:numPr>
          <w:ilvl w:val="0"/>
          <w:numId w:val="2"/>
        </w:num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u w:val="single"/>
          <w:lang w:val="en-US" w:eastAsia="zh-CN"/>
        </w:rPr>
        <w:t xml:space="preserve">2026年7月20日</w:t>
      </w:r>
      <w:r>
        <w:rPr>
          <w:rFonts w:hint="eastAsia" w:asciiTheme="minorEastAsia" w:hAnsiTheme="minorEastAsia" w:eastAsiaTheme="minorEastAsia" w:cstheme="minorEastAsia"/>
          <w:color w:val="auto"/>
          <w:sz w:val="24"/>
          <w:szCs w:val="24"/>
          <w:highlight w:val="none"/>
        </w:rPr>
        <w:t xml:space="preserve">前如因乙方船只等设备或人员不能按合同约定到位，甲方有权解除本合同。由此而导致甲方解除合同，则没收中标人履约保证金，如造成甲方损失超过履约保证金的，超出部分由乙方承担赔偿责任。</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.3乙方放弃或拒绝履行合同，履约保证金不予退还，在三年内不得参加采购人组织的政府采购活动。</w:t>
      </w:r>
      <w:r/>
    </w:p>
    <w:p>
      <w:pPr>
        <w:ind w:firstLine="482"/>
        <w:keepLines w:val="0"/>
        <w:keepNext w:val="0"/>
        <w:pageBreakBefore w:val="0"/>
        <w:spacing w:line="4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w:t>
      </w:r>
      <w:r>
        <w:rPr>
          <w:rFonts w:hint="eastAsia" w:asciiTheme="minorEastAsia" w:hAnsiTheme="minorEastAsia" w:eastAsia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、不可抗力事件处理</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.1 在合同有效期内，任何一方因不可抗力事件导致不能履行合同，则合同履行期延长，其延长期与不可抗力影响期相同。</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.2 不可抗力事件发生后，应立即通知对方，并寄送有关权威机构出具的证明。</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.3 不可抗力事件延续120天以上，双方应通过友好协商，确定是否继续履行合同。</w:t>
      </w:r>
      <w:r/>
    </w:p>
    <w:p>
      <w:pPr>
        <w:ind w:firstLine="482"/>
        <w:keepLines w:val="0"/>
        <w:keepNext w:val="0"/>
        <w:pageBreakBefore w:val="0"/>
        <w:spacing w:line="4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w:t>
      </w: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、诉讼</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双方在执行合同中所发生的一切争议，应通过协商解决。如协商不成，可向合同签订地法院起诉，合同签订地在此约定为盐城市。</w:t>
      </w:r>
      <w:r/>
    </w:p>
    <w:p>
      <w:pPr>
        <w:ind w:firstLine="482"/>
        <w:keepLines w:val="0"/>
        <w:keepNext w:val="0"/>
        <w:pageBreakBefore w:val="0"/>
        <w:spacing w:line="4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w:t>
      </w:r>
      <w:r>
        <w:rPr>
          <w:rFonts w:hint="eastAsia" w:asciiTheme="minorEastAsia" w:hAnsiTheme="minorEastAsia" w:eastAsia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rPr>
        <w:t xml:space="preserve">、合同生效及其它</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.1 合同经双方法定代表人或授权委托代表人签字并加盖单位公章后生效。</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.2本合同未尽事宜，遵照《民法典》有关条文执行。</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.3 本合同正本一式四份，具有同等法律效力，甲方、乙方各执两份。</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盖章</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                                乙方</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盖章</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                                  </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法定代表人或授权代表：                   法定代表人或授权代表：</w:t>
      </w:r>
      <w:r/>
    </w:p>
    <w:p>
      <w:pPr>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ind w:firstLine="480"/>
        <w:jc w:val="right"/>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jc w:val="right"/>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Theme="minorEastAsia" w:hAnsiTheme="minorEastAsia" w:eastAsiaTheme="minorEastAsia" w:cstheme="minorEastAsia"/>
          <w:color w:val="auto"/>
          <w:sz w:val="24"/>
          <w:szCs w:val="24"/>
          <w:highlight w:val="none"/>
        </w:rPr>
        <w:t xml:space="preserve">签订日期：      年  月  日</w:t>
      </w:r>
      <w:r/>
    </w:p>
    <w:p>
      <w:pPr>
        <w:ind w:firstLine="0"/>
        <w:jc w:val="left"/>
        <w:keepLines w:val="0"/>
        <w:keepNext w:val="0"/>
        <w:pageBreakBefore w:val="0"/>
        <w:spacing w:line="480" w:lineRule="exact"/>
        <w:widowControl w:val="off"/>
        <w:rPr>
          <w:rFonts w:hint="eastAsia" w:ascii="宋体" w:hAnsi="宋体" w:eastAsia="宋体" w:cs="宋体"/>
          <w:b/>
          <w:bCs/>
          <w:color w:val="auto"/>
          <w:highlight w:val="none"/>
          <w:lang w:val="en-US" w:eastAsia="zh-CN"/>
        </w:rPr>
        <w:sectPr>
          <w:footerReference w:type="default" r:id="rId9"/>
          <w:footerReference w:type="first" r:id="rId10"/>
          <w:footnotePr/>
          <w:endnotePr/>
          <w:type w:val="nextPage"/>
          <w:pgSz w:w="11906" w:h="16838" w:orient="portrait"/>
          <w:pgMar w:top="1440" w:right="1440" w:bottom="1440" w:left="1440" w:header="851" w:footer="907" w:gutter="0"/>
          <w:pgNumType w:start="1"/>
          <w:cols w:num="1" w:sep="0" w:space="720" w:equalWidth="1"/>
          <w:docGrid w:linePitch="360"/>
          <w:titlePg/>
        </w:sectPr>
      </w:pPr>
      <w:r>
        <w:rPr>
          <w:rFonts w:hint="eastAsia" w:ascii="宋体" w:hAnsi="宋体" w:eastAsia="宋体" w:cs="宋体"/>
          <w:b/>
          <w:bCs/>
          <w:color w:val="auto"/>
          <w:highlight w:val="none"/>
          <w:lang w:val="en-US" w:eastAsia="zh-CN"/>
        </w:rPr>
      </w:r>
      <w:r/>
    </w:p>
    <w:p>
      <w:pPr>
        <w:ind w:firstLine="0"/>
        <w:jc w:val="left"/>
        <w:keepLines w:val="0"/>
        <w:keepNext w:val="0"/>
        <w:pageBreakBefore w:val="0"/>
        <w:spacing w:line="480" w:lineRule="exact"/>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合同附件：</w:t>
      </w:r>
      <w:r>
        <w:rPr>
          <w:rFonts w:hint="eastAsia" w:asciiTheme="minorEastAsia" w:hAnsiTheme="minorEastAsia" w:eastAsiaTheme="minorEastAsia" w:cstheme="minorEastAsia"/>
          <w:b/>
          <w:bCs/>
          <w:color w:val="auto"/>
          <w:sz w:val="21"/>
          <w:szCs w:val="21"/>
          <w:highlight w:val="none"/>
        </w:rPr>
        <w:t xml:space="preserve">考核评分表</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center"/>
        <w:keepLines w:val="0"/>
        <w:keepNext w:val="0"/>
        <w:pageBreakBefore w:val="0"/>
        <w:spacing w:line="434" w:lineRule="exact"/>
        <w:widowControl w:val="off"/>
        <w:rPr>
          <w:rFonts w:hint="eastAsia" w:asciiTheme="minorEastAsia" w:hAnsiTheme="minorEastAsia" w:eastAsiaTheme="minorEastAsia" w:cstheme="minorEastAsia"/>
          <w:b/>
          <w:bCs/>
          <w:color w:val="auto"/>
          <w:spacing w:val="-11"/>
          <w:sz w:val="24"/>
          <w:szCs w:val="24"/>
          <w:highlight w:val="none"/>
          <w:lang w:val="en-US" w:eastAsia="zh-CN"/>
        </w:rPr>
      </w:pPr>
      <w:r>
        <w:rPr>
          <w:rFonts w:hint="eastAsia" w:asciiTheme="minorEastAsia" w:hAnsiTheme="minorEastAsia" w:eastAsiaTheme="minorEastAsia" w:cstheme="minorEastAsia"/>
          <w:b/>
          <w:bCs/>
          <w:color w:val="auto"/>
          <w:spacing w:val="-11"/>
          <w:sz w:val="24"/>
          <w:szCs w:val="24"/>
          <w:highlight w:val="none"/>
          <w:lang w:val="en-US" w:eastAsia="zh-CN"/>
        </w:rPr>
        <w:t xml:space="preserve">通榆河开发区段（伍佑大桥至世纪大道）</w:t>
      </w:r>
      <w:r/>
    </w:p>
    <w:p>
      <w:pPr>
        <w:jc w:val="center"/>
        <w:keepLines w:val="0"/>
        <w:keepNext w:val="0"/>
        <w:pageBreakBefore w:val="0"/>
        <w:spacing w:line="434" w:lineRule="exact"/>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pacing w:val="-11"/>
          <w:sz w:val="24"/>
          <w:szCs w:val="24"/>
          <w:highlight w:val="none"/>
          <w:lang w:val="en-US" w:eastAsia="zh-CN"/>
        </w:rPr>
        <w:t xml:space="preserve">漂浮物市场化打捞管理考核评分表</w:t>
      </w:r>
      <w:r/>
    </w:p>
    <w:p>
      <w:pPr>
        <w:jc w:val="center"/>
        <w:keepLines w:val="0"/>
        <w:keepNext w:val="0"/>
        <w:pageBreakBefore w:val="0"/>
        <w:spacing w:line="434" w:lineRule="exact"/>
        <w:widowControl w:val="off"/>
        <w:rPr>
          <w:rFonts w:hint="eastAsia" w:asciiTheme="minorEastAsia" w:hAnsiTheme="minorEastAsia" w:eastAsiaTheme="minorEastAsia" w:cstheme="minorEastAsia"/>
          <w:color w:val="auto"/>
          <w:spacing w:val="-11"/>
          <w:sz w:val="21"/>
          <w:szCs w:val="21"/>
          <w:highlight w:val="none"/>
          <w:lang w:val="en-US" w:eastAsia="zh-CN"/>
        </w:rPr>
      </w:pPr>
      <w:r>
        <w:rPr>
          <w:rFonts w:hint="eastAsia" w:asciiTheme="minorEastAsia" w:hAnsiTheme="minorEastAsia" w:eastAsiaTheme="minorEastAsia" w:cstheme="minorEastAsia"/>
          <w:color w:val="auto"/>
          <w:spacing w:val="-11"/>
          <w:sz w:val="21"/>
          <w:szCs w:val="21"/>
          <w:highlight w:val="none"/>
          <w:lang w:val="en-US" w:eastAsia="zh-CN"/>
        </w:rPr>
      </w:r>
      <w:r/>
    </w:p>
    <w:tbl>
      <w:tblPr>
        <w:tblStyle w:val="761"/>
        <w:tblW w:w="5195" w:type="pct"/>
        <w:tblInd w:w="-3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32"/>
        <w:gridCol w:w="3982"/>
        <w:gridCol w:w="609"/>
        <w:gridCol w:w="2348"/>
        <w:gridCol w:w="569"/>
      </w:tblGrid>
      <w:tr>
        <w:trPr>
          <w:trHeight w:val="375"/>
          <w:tblHeader/>
        </w:trPr>
        <w:tc>
          <w:tcPr>
            <w:tcW w:w="655"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考核     项目</w:t>
            </w:r>
            <w:r/>
          </w:p>
        </w:tc>
        <w:tc>
          <w:tcPr>
            <w:tcW w:w="2303"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考核内容及标准</w:t>
            </w:r>
            <w:r/>
          </w:p>
        </w:tc>
        <w:tc>
          <w:tcPr>
            <w:tcW w:w="352"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标准分</w:t>
            </w:r>
            <w:r/>
          </w:p>
        </w:tc>
        <w:tc>
          <w:tcPr>
            <w:tcW w:w="1358"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评分原则</w:t>
            </w:r>
            <w:r/>
          </w:p>
        </w:tc>
        <w:tc>
          <w:tcPr>
            <w:tcW w:w="329"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实际</w:t>
            </w:r>
            <w:r/>
          </w:p>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得分</w:t>
            </w:r>
            <w:r/>
          </w:p>
        </w:tc>
      </w:tr>
      <w:tr>
        <w:trPr>
          <w:trHeight w:val="1367"/>
        </w:trPr>
        <w:tc>
          <w:tcPr>
            <w:tcW w:w="655"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1、资金落实</w:t>
            </w:r>
            <w:r/>
          </w:p>
        </w:tc>
        <w:tc>
          <w:tcPr>
            <w:tcW w:w="2303"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中标单位及时兑现工资等费用落实到位。</w:t>
            </w:r>
            <w:r/>
          </w:p>
        </w:tc>
        <w:tc>
          <w:tcPr>
            <w:tcW w:w="352"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1358"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中标单位工人工资等经费未按月落实的扣5分。</w:t>
            </w:r>
            <w:r/>
          </w:p>
        </w:tc>
        <w:tc>
          <w:tcPr>
            <w:tcW w:w="329"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1334"/>
        </w:trPr>
        <w:tc>
          <w:tcPr>
            <w:tcW w:w="655" w:type="pct"/>
            <w:vAlign w:val="center"/>
            <w:vMerge w:val="restart"/>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2、一般要求</w:t>
            </w:r>
            <w:r/>
          </w:p>
        </w:tc>
        <w:tc>
          <w:tcPr>
            <w:tcW w:w="2303"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按照招标文件及合同要求配置</w:t>
            </w:r>
            <w:r>
              <w:rPr>
                <w:rFonts w:hint="eastAsia" w:asciiTheme="minorEastAsia" w:hAnsiTheme="minorEastAsia" w:eastAsiaTheme="minorEastAsia" w:cstheme="minorEastAsia"/>
                <w:color w:val="auto"/>
                <w:sz w:val="21"/>
                <w:szCs w:val="21"/>
                <w:highlight w:val="none"/>
                <w:lang w:val="en-US" w:eastAsia="zh-CN"/>
              </w:rPr>
              <w:t xml:space="preserve">足额配备船只和人员。</w:t>
            </w:r>
            <w:r/>
          </w:p>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52" w:type="pct"/>
            <w:vAlign w:val="center"/>
            <w:vMerge w:val="restart"/>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15</w:t>
            </w:r>
            <w:r/>
          </w:p>
        </w:tc>
        <w:tc>
          <w:tcPr>
            <w:tcW w:w="1358"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缺1船次每天扣0.5分，缺1人次每天扣0.2分。</w:t>
            </w:r>
            <w:r/>
          </w:p>
        </w:tc>
        <w:tc>
          <w:tcPr>
            <w:tcW w:w="329"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1387"/>
        </w:trPr>
        <w:tc>
          <w:tcPr>
            <w:tcW w:w="655" w:type="pct"/>
            <w:vAlign w:val="center"/>
            <w:vMerge w:val="continue"/>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303"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甲方管理人员发现问题后，通知乙方现场负责人，乙方现场负责人须在通知后1小时内完成整改。</w:t>
            </w:r>
            <w:r/>
          </w:p>
        </w:tc>
        <w:tc>
          <w:tcPr>
            <w:tcW w:w="352" w:type="pct"/>
            <w:vAlign w:val="center"/>
            <w:vMerge w:val="continue"/>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358"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乙方未规定时间完成整改每次扣0.5分，完成质量不高每次扣0.1-0.3分。</w:t>
            </w:r>
            <w:r/>
          </w:p>
        </w:tc>
        <w:tc>
          <w:tcPr>
            <w:tcW w:w="329"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2559"/>
        </w:trPr>
        <w:tc>
          <w:tcPr>
            <w:tcW w:w="655"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、漂浮物处理</w:t>
            </w:r>
            <w:r/>
          </w:p>
        </w:tc>
        <w:tc>
          <w:tcPr>
            <w:tcW w:w="2303"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水面漂浮物（含漂浮物临时拦截处置点的漂浮物）须日产日清，及时打捞上船，使用运输船只拖运至项目区外处置妥善处理，不得堆放在通榆河河道管理范围内，对打捞的动物尸体须无害化处理（处理标准达到市农委要求，地点需自行协调）。</w:t>
            </w:r>
            <w:r/>
          </w:p>
        </w:tc>
        <w:tc>
          <w:tcPr>
            <w:tcW w:w="352"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tcW w:w="1358"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漂浮物处理未按规定要求，有一次（处）扣1分，扣完为止。</w:t>
            </w:r>
            <w:r/>
          </w:p>
        </w:tc>
        <w:tc>
          <w:tcPr>
            <w:tcW w:w="329"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1425"/>
        </w:trPr>
        <w:tc>
          <w:tcPr>
            <w:shd w:val="clear" w:color="auto" w:fill="auto"/>
            <w:tcW w:w="655"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、水面标准</w:t>
            </w:r>
            <w:r/>
          </w:p>
        </w:tc>
        <w:tc>
          <w:tcPr>
            <w:shd w:val="clear" w:color="auto" w:fill="auto"/>
            <w:tcW w:w="2303"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（1）及时清理浮萍、水葫芦、水花生等水生植物，全域内无流入性浮萍、水葫芦、水花生等水面漂浮物；</w:t>
            </w:r>
            <w:r/>
          </w:p>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（2）在交接处断面监控点成果分析，漂浮物从上游地区流向下游地区的数量每小时不超过5平方米；</w:t>
            </w:r>
            <w:r/>
          </w:p>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（3）通过组织清除，河道内无集聚性固定生长的水花生、水葫芦、篙草等水生植物，无秸秆、垃圾、动物尸体等其它漂浮物。</w:t>
            </w:r>
            <w:r/>
          </w:p>
        </w:tc>
        <w:tc>
          <w:tcPr>
            <w:shd w:val="clear" w:color="auto" w:fill="auto"/>
            <w:tcW w:w="352"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15</w:t>
            </w:r>
            <w:r/>
          </w:p>
        </w:tc>
        <w:tc>
          <w:tcPr>
            <w:shd w:val="clear" w:color="auto" w:fill="auto"/>
            <w:tcW w:w="1358"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1、水面漂浮物超出控制指标的每处扣1分，扣完为止；</w:t>
            </w:r>
            <w:r/>
          </w:p>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2、交接处断面监控点成果分析超过控制标准的次数，有一次扣</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分，扣完为止。</w:t>
            </w:r>
            <w:r/>
          </w:p>
        </w:tc>
        <w:tc>
          <w:tcPr>
            <w:shd w:val="clear" w:color="auto" w:fill="auto"/>
            <w:tcW w:w="329"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r>
      <w:tr>
        <w:trPr>
          <w:trHeight w:val="1523"/>
        </w:trPr>
        <w:tc>
          <w:tcPr>
            <w:tcW w:w="655"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、文明作业</w:t>
            </w:r>
            <w:r/>
          </w:p>
        </w:tc>
        <w:tc>
          <w:tcPr>
            <w:tcW w:w="2303"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河道保洁养护队伍按规范着装，穿戴防护用具，作业期间保持良好形象。</w:t>
            </w:r>
            <w:r/>
          </w:p>
        </w:tc>
        <w:tc>
          <w:tcPr>
            <w:tcW w:w="352"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1358"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未按要求统一着装的扣1分，未穿戴防护用具每人扣</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分，扣完为止。</w:t>
            </w:r>
            <w:r/>
          </w:p>
        </w:tc>
        <w:tc>
          <w:tcPr>
            <w:tcW w:w="329"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750"/>
        </w:trPr>
        <w:tc>
          <w:tcPr>
            <w:tcW w:w="655" w:type="pct"/>
            <w:vAlign w:val="center"/>
            <w:vMerge w:val="restart"/>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6、安全</w:t>
            </w:r>
            <w:r>
              <w:rPr>
                <w:rFonts w:hint="eastAsia" w:asciiTheme="minorEastAsia" w:hAnsiTheme="minorEastAsia" w:eastAsiaTheme="minorEastAsia" w:cstheme="minorEastAsia"/>
                <w:color w:val="auto"/>
                <w:sz w:val="21"/>
                <w:szCs w:val="21"/>
                <w:highlight w:val="none"/>
                <w:lang w:val="en-US" w:eastAsia="zh-CN"/>
              </w:rPr>
              <w:t xml:space="preserve">管理</w:t>
            </w:r>
            <w:r/>
          </w:p>
        </w:tc>
        <w:tc>
          <w:tcPr>
            <w:tcW w:w="2303"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作业船只运行正常，配备安全救生器材，打捞人员穿救生衣，特殊工种必须持证上岗。</w:t>
            </w:r>
            <w:r/>
          </w:p>
        </w:tc>
        <w:tc>
          <w:tcPr>
            <w:tcW w:w="352" w:type="pct"/>
            <w:vAlign w:val="center"/>
            <w:vMerge w:val="restart"/>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20</w:t>
            </w:r>
            <w:r/>
          </w:p>
        </w:tc>
        <w:tc>
          <w:tcPr>
            <w:tcW w:w="1358"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打捞船只带病作业扣2分；打捞船未配备安全救生器材的扣2分；特殊作业没有上岗证的扣2分；发生安全事故的一次扣5分，扣完为止。</w:t>
            </w:r>
            <w:r/>
          </w:p>
        </w:tc>
        <w:tc>
          <w:tcPr>
            <w:tcW w:w="329"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750"/>
        </w:trPr>
        <w:tc>
          <w:tcPr>
            <w:tcW w:w="655" w:type="pct"/>
            <w:vAlign w:val="center"/>
            <w:vMerge w:val="continue"/>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2303"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船只非工作期间在甲方管理段面停留、停靠</w:t>
            </w:r>
            <w:r/>
          </w:p>
        </w:tc>
        <w:tc>
          <w:tcPr>
            <w:shd w:val="clear" w:color="auto" w:fill="auto"/>
            <w:tcW w:w="352" w:type="pct"/>
            <w:vAlign w:val="center"/>
            <w:vMerge w:val="continue"/>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58"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每发现1船次扣1分；</w:t>
            </w:r>
            <w:r/>
          </w:p>
        </w:tc>
        <w:tc>
          <w:tcPr>
            <w:tcW w:w="329"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80"/>
        </w:trPr>
        <w:tc>
          <w:tcPr>
            <w:tcW w:w="655"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、应急处理</w:t>
            </w:r>
            <w:r/>
          </w:p>
        </w:tc>
        <w:tc>
          <w:tcPr>
            <w:tcW w:w="2303"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在高发保洁期及遇重大活动时，如需要调整保洁时间（或增加应急队伍时），要服从统一安排和调度，积极按要求开展保洁，确保完成任务。</w:t>
            </w:r>
            <w:r/>
          </w:p>
        </w:tc>
        <w:tc>
          <w:tcPr>
            <w:tcW w:w="352"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tcW w:w="1358"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不服从统一安排的一次扣5分。</w:t>
            </w:r>
            <w:r/>
          </w:p>
        </w:tc>
        <w:tc>
          <w:tcPr>
            <w:tcW w:w="329"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510"/>
        </w:trPr>
        <w:tc>
          <w:tcPr>
            <w:tcW w:w="655" w:type="pct"/>
            <w:vAlign w:val="center"/>
            <w:vMerge w:val="restart"/>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投诉、曝光、交办</w:t>
            </w:r>
            <w:r/>
          </w:p>
        </w:tc>
        <w:tc>
          <w:tcPr>
            <w:tcW w:w="2303"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漂浮物打捞保洁未达到招标文件及合同要求，被上级通报、新闻媒体及群众曝光及举报的。</w:t>
            </w:r>
            <w:r/>
          </w:p>
        </w:tc>
        <w:tc>
          <w:tcPr>
            <w:tcW w:w="352" w:type="pct"/>
            <w:vAlign w:val="center"/>
            <w:vMerge w:val="restart"/>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w:t>
            </w:r>
            <w:r/>
          </w:p>
        </w:tc>
        <w:tc>
          <w:tcPr>
            <w:tcW w:w="1358"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被通报，一次扣5分；经群众举报</w:t>
            </w:r>
            <w:r>
              <w:rPr>
                <w:rFonts w:hint="eastAsia" w:asciiTheme="minorEastAsia" w:hAnsiTheme="minorEastAsia" w:eastAsiaTheme="minorEastAsia" w:cstheme="minorEastAsia"/>
                <w:color w:val="auto"/>
                <w:sz w:val="21"/>
                <w:szCs w:val="21"/>
                <w:highlight w:val="none"/>
                <w:lang w:val="en-US" w:eastAsia="zh-CN"/>
              </w:rPr>
              <w:t xml:space="preserve">经</w:t>
            </w:r>
            <w:r>
              <w:rPr>
                <w:rFonts w:hint="eastAsia" w:asciiTheme="minorEastAsia" w:hAnsiTheme="minorEastAsia" w:eastAsiaTheme="minorEastAsia" w:cstheme="minorEastAsia"/>
                <w:color w:val="auto"/>
                <w:sz w:val="21"/>
                <w:szCs w:val="21"/>
                <w:highlight w:val="none"/>
              </w:rPr>
              <w:t xml:space="preserve">查</w:t>
            </w:r>
            <w:r>
              <w:rPr>
                <w:rFonts w:hint="eastAsia" w:asciiTheme="minorEastAsia" w:hAnsiTheme="minorEastAsia" w:eastAsiaTheme="minorEastAsia" w:cstheme="minorEastAsia"/>
                <w:color w:val="auto"/>
                <w:sz w:val="21"/>
                <w:szCs w:val="21"/>
                <w:highlight w:val="none"/>
                <w:lang w:val="en-US" w:eastAsia="zh-CN"/>
              </w:rPr>
              <w:t xml:space="preserve">实</w:t>
            </w:r>
            <w:r>
              <w:rPr>
                <w:rFonts w:hint="eastAsia" w:asciiTheme="minorEastAsia" w:hAnsiTheme="minorEastAsia" w:eastAsiaTheme="minorEastAsia" w:cstheme="minorEastAsia"/>
                <w:color w:val="auto"/>
                <w:sz w:val="21"/>
                <w:szCs w:val="21"/>
                <w:highlight w:val="none"/>
              </w:rPr>
              <w:t xml:space="preserve">的，一次扣5分；新闻媒体举报影响较大的扣</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分，扣完为止。</w:t>
            </w:r>
            <w:r/>
          </w:p>
        </w:tc>
        <w:tc>
          <w:tcPr>
            <w:tcW w:w="329"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510"/>
        </w:trPr>
        <w:tc>
          <w:tcPr>
            <w:tcW w:w="655" w:type="pct"/>
            <w:vAlign w:val="center"/>
            <w:vMerge w:val="continue"/>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W w:w="2303"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领导交办</w:t>
            </w:r>
            <w:r/>
          </w:p>
        </w:tc>
        <w:tc>
          <w:tcPr>
            <w:tcW w:w="352" w:type="pct"/>
            <w:vAlign w:val="center"/>
            <w:vMerge w:val="continue"/>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358"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eastAsia="zh-CN"/>
              </w:rPr>
              <w:t xml:space="preserve">市级及以上领导、区主要领导发现并交办1次扣5分，其他区领导发现并交办1次扣3分，相关部门发现并交办1次扣1分。</w:t>
            </w:r>
            <w:r/>
          </w:p>
        </w:tc>
        <w:tc>
          <w:tcPr>
            <w:tcW w:w="329"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510"/>
        </w:trPr>
        <w:tc>
          <w:tcPr>
            <w:tcW w:w="655"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    计</w:t>
            </w:r>
            <w:r/>
          </w:p>
        </w:tc>
        <w:tc>
          <w:tcPr>
            <w:tcW w:w="2303"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分数</w:t>
            </w:r>
            <w:r/>
          </w:p>
        </w:tc>
        <w:tc>
          <w:tcPr>
            <w:tcW w:w="352"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100</w:t>
            </w:r>
            <w:r/>
          </w:p>
        </w:tc>
        <w:tc>
          <w:tcPr>
            <w:tcW w:w="1358" w:type="pct"/>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29"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ind w:firstLine="0"/>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备注：</w:t>
      </w:r>
      <w:r>
        <w:rPr>
          <w:rFonts w:hint="eastAsia" w:asciiTheme="minorEastAsia" w:hAnsiTheme="minorEastAsia" w:eastAsiaTheme="minorEastAsia" w:cstheme="minorEastAsia"/>
          <w:color w:val="auto"/>
          <w:sz w:val="21"/>
          <w:szCs w:val="21"/>
          <w:highlight w:val="none"/>
        </w:rPr>
        <w:t xml:space="preserve">履约期间，甲方按月对乙方进行考核，考核结果与合同费用支付挂钩</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考核按自然月百分制，本自然月得分等于100分减去将本自然月考核累计扣分。每月百分考核记录为依据，次月初出具支付结算单，每半年结算一次。月均在95分以上（含95分）按合同价结算；80-95分，以95分为基准，每少1分按月均价格的1%扣除；79分以下，以95分为基准，每少一分按月均价格的2%扣除。</w:t>
      </w:r>
      <w:r/>
    </w:p>
    <w:p>
      <w:pPr>
        <w:pStyle w:val="762"/>
        <w:ind w:left="0" w:firstLine="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p>
      <w:pPr>
        <w:keepLines w:val="0"/>
        <w:keepNext w:val="0"/>
        <w:pageBreakBefore w:val="0"/>
        <w:spacing w:line="434"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检查人：</w:t>
      </w:r>
      <w:r>
        <w:rPr>
          <w:rFonts w:hint="eastAsia" w:asciiTheme="minorEastAsia" w:hAnsiTheme="minorEastAsia" w:eastAsiaTheme="minorEastAsia" w:cstheme="minorEastAsia"/>
          <w:color w:val="auto"/>
          <w:sz w:val="21"/>
          <w:szCs w:val="21"/>
          <w:highlight w:val="none"/>
          <w:lang w:val="en-US" w:eastAsia="zh-CN"/>
        </w:rPr>
        <w:t xml:space="preserve">                                考核日期：     年    月    日</w:t>
      </w:r>
      <w:r/>
    </w:p>
    <w:p>
      <w:pPr>
        <w:rPr>
          <w:rFonts w:hint="eastAsia" w:ascii="宋体" w:hAnsi="宋体" w:cs="宋体"/>
          <w:b/>
          <w:bCs/>
          <w:color w:val="auto"/>
          <w:szCs w:val="21"/>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
          <w:bCs/>
          <w:color w:val="auto"/>
          <w:szCs w:val="21"/>
          <w:highlight w:val="none"/>
          <w:lang w:val="en-US" w:eastAsia="zh-CN"/>
        </w:rPr>
      </w:r>
      <w:r/>
    </w:p>
    <w:p>
      <w:pPr>
        <w:jc w:val="center"/>
        <w:rPr>
          <w:rFonts w:ascii="宋体" w:hAnsi="宋体" w:eastAsia="宋体" w:cs="黑体"/>
          <w:color w:val="auto"/>
          <w:sz w:val="44"/>
          <w:szCs w:val="44"/>
          <w:highlight w:val="none"/>
        </w:rPr>
      </w:pPr>
      <w:r>
        <w:rPr>
          <w:rFonts w:hint="eastAsia" w:ascii="宋体" w:hAnsi="宋体" w:eastAsia="宋体" w:cs="黑体"/>
          <w:color w:val="auto"/>
          <w:sz w:val="44"/>
          <w:szCs w:val="44"/>
          <w:highlight w:val="none"/>
        </w:rPr>
        <w:t xml:space="preserve">第</w:t>
      </w:r>
      <w:bookmarkEnd w:id="176"/>
      <w:r>
        <w:rPr>
          <w:rFonts w:hint="eastAsia" w:ascii="宋体" w:hAnsi="宋体" w:eastAsia="宋体" w:cs="黑体"/>
          <w:color w:val="auto"/>
          <w:sz w:val="44"/>
          <w:szCs w:val="44"/>
          <w:highlight w:val="none"/>
        </w:rPr>
        <w:t xml:space="preserve">四章 采购需求</w:t>
      </w:r>
      <w:bookmarkEnd w:id="177"/>
      <w:r/>
      <w:bookmarkEnd w:id="178"/>
      <w:r/>
      <w:bookmarkEnd w:id="179"/>
      <w:r/>
      <w:bookmarkEnd w:id="180"/>
      <w:r/>
      <w:bookmarkEnd w:id="181"/>
      <w:r/>
      <w:r/>
    </w:p>
    <w:p>
      <w:pPr>
        <w:jc w:val="both"/>
        <w:spacing w:line="500" w:lineRule="exact"/>
        <w:widowControl w:val="off"/>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项目属性:服务类项目</w:t>
      </w:r>
      <w:r/>
    </w:p>
    <w:p>
      <w:pPr>
        <w:keepLines w:val="0"/>
        <w:keepNext w:val="0"/>
        <w:pageBreakBefore w:val="0"/>
        <w:spacing w:line="434" w:lineRule="exact"/>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一、项目基本信息</w:t>
      </w:r>
      <w:r/>
    </w:p>
    <w:p>
      <w:pPr>
        <w:ind w:firstLine="420"/>
        <w:keepLines w:val="0"/>
        <w:keepNext w:val="0"/>
        <w:pageBreakBefore w:val="0"/>
        <w:spacing w:line="434"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1"/>
          <w:szCs w:val="21"/>
          <w:highlight w:val="none"/>
          <w:lang w:val="en-US" w:eastAsia="zh-CN"/>
        </w:rPr>
        <w:t xml:space="preserve">1.</w:t>
      </w:r>
      <w:r>
        <w:rPr>
          <w:rFonts w:hint="eastAsia" w:asciiTheme="minorEastAsia" w:hAnsiTheme="minorEastAsia" w:eastAsiaTheme="minorEastAsia" w:cstheme="minorEastAsia"/>
          <w:b w:val="0"/>
          <w:bCs w:val="0"/>
          <w:color w:val="auto"/>
          <w:sz w:val="21"/>
          <w:szCs w:val="21"/>
          <w:highlight w:val="none"/>
          <w:lang w:val="en-US" w:eastAsia="zh-CN"/>
        </w:rPr>
        <w:t xml:space="preserve">项目名称：通榆河漂浮物市场化打捞服务项目</w:t>
      </w:r>
      <w:r/>
    </w:p>
    <w:p>
      <w:pPr>
        <w:ind w:firstLine="420"/>
        <w:keepLines w:val="0"/>
        <w:keepNext w:val="0"/>
        <w:pageBreakBefore w:val="0"/>
        <w:spacing w:line="434"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1"/>
          <w:szCs w:val="21"/>
          <w:highlight w:val="none"/>
          <w:lang w:val="en-US" w:eastAsia="zh-CN"/>
        </w:rPr>
        <w:t xml:space="preserve">2.</w:t>
      </w:r>
      <w:r>
        <w:rPr>
          <w:rFonts w:hint="eastAsia" w:asciiTheme="minorEastAsia" w:hAnsiTheme="minorEastAsia" w:eastAsiaTheme="minorEastAsia" w:cstheme="minorEastAsia"/>
          <w:b w:val="0"/>
          <w:bCs w:val="0"/>
          <w:color w:val="auto"/>
          <w:sz w:val="21"/>
          <w:szCs w:val="21"/>
          <w:highlight w:val="none"/>
          <w:lang w:val="en-US" w:eastAsia="zh-CN"/>
        </w:rPr>
        <w:t xml:space="preserve">预算金额：人民币150万元/年</w:t>
      </w:r>
      <w:r/>
    </w:p>
    <w:p>
      <w:pPr>
        <w:ind w:firstLine="420"/>
        <w:keepLines w:val="0"/>
        <w:keepNext w:val="0"/>
        <w:pageBreakBefore w:val="0"/>
        <w:spacing w:line="434"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1"/>
          <w:szCs w:val="21"/>
          <w:highlight w:val="none"/>
          <w:lang w:val="en-US" w:eastAsia="zh-CN"/>
        </w:rPr>
        <w:t xml:space="preserve">3.</w:t>
      </w:r>
      <w:r>
        <w:rPr>
          <w:rFonts w:hint="eastAsia" w:asciiTheme="minorEastAsia" w:hAnsiTheme="minorEastAsia" w:eastAsiaTheme="minorEastAsia" w:cstheme="minorEastAsia"/>
          <w:b w:val="0"/>
          <w:bCs w:val="0"/>
          <w:color w:val="auto"/>
          <w:sz w:val="21"/>
          <w:szCs w:val="21"/>
          <w:highlight w:val="none"/>
          <w:lang w:val="en-US" w:eastAsia="zh-CN"/>
        </w:rPr>
        <w:t xml:space="preserve">最高限价：人民币150万元/年，投标报价超过最高限价的为无效报价，按照无效响应处理</w:t>
      </w:r>
      <w:r/>
    </w:p>
    <w:p>
      <w:pPr>
        <w:ind w:firstLine="420"/>
        <w:keepLines w:val="0"/>
        <w:keepNext w:val="0"/>
        <w:pageBreakBefore w:val="0"/>
        <w:spacing w:line="434"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1"/>
          <w:szCs w:val="21"/>
          <w:highlight w:val="none"/>
          <w:lang w:val="en-US" w:eastAsia="zh-CN"/>
        </w:rPr>
        <w:t xml:space="preserve">4.</w:t>
      </w:r>
      <w:r>
        <w:rPr>
          <w:rFonts w:hint="eastAsia" w:asciiTheme="minorEastAsia" w:hAnsiTheme="minorEastAsia" w:eastAsiaTheme="minorEastAsia" w:cstheme="minorEastAsia"/>
          <w:b w:val="0"/>
          <w:bCs w:val="0"/>
          <w:color w:val="auto"/>
          <w:sz w:val="21"/>
          <w:szCs w:val="21"/>
          <w:highlight w:val="none"/>
          <w:lang w:val="en-US" w:eastAsia="zh-CN"/>
        </w:rPr>
        <w:t xml:space="preserve">采购方式：公开招标</w:t>
      </w:r>
      <w:r/>
    </w:p>
    <w:p>
      <w:pPr>
        <w:ind w:firstLine="420"/>
        <w:keepLines w:val="0"/>
        <w:keepNext w:val="0"/>
        <w:pageBreakBefore w:val="0"/>
        <w:spacing w:line="440"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1"/>
          <w:szCs w:val="21"/>
          <w:highlight w:val="none"/>
          <w:lang w:val="en-US" w:eastAsia="zh-CN"/>
        </w:rPr>
        <w:t xml:space="preserve">5.</w:t>
      </w:r>
      <w:r>
        <w:rPr>
          <w:rFonts w:hint="eastAsia" w:asciiTheme="minorEastAsia" w:hAnsiTheme="minorEastAsia" w:eastAsiaTheme="minorEastAsia" w:cstheme="minorEastAsia"/>
          <w:b w:val="0"/>
          <w:bCs w:val="0"/>
          <w:color w:val="auto"/>
          <w:sz w:val="21"/>
          <w:szCs w:val="21"/>
          <w:highlight w:val="none"/>
          <w:lang w:val="en-US" w:eastAsia="zh-CN"/>
        </w:rPr>
        <w:t xml:space="preserve">采购需求：通榆河（伍佑大桥至世纪大道）段河面、护坡常年保洁，长度大约9.5公里，详见招标文件项目需求。</w:t>
      </w:r>
      <w:r/>
    </w:p>
    <w:p>
      <w:pPr>
        <w:ind w:firstLine="420"/>
        <w:keepLines w:val="0"/>
        <w:keepNext w:val="0"/>
        <w:pageBreakBefore w:val="0"/>
        <w:spacing w:line="434"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1"/>
          <w:szCs w:val="21"/>
          <w:highlight w:val="none"/>
          <w:lang w:val="en-US" w:eastAsia="zh-CN"/>
        </w:rPr>
        <w:t xml:space="preserve">6.</w:t>
      </w:r>
      <w:r>
        <w:rPr>
          <w:rFonts w:hint="eastAsia" w:asciiTheme="minorEastAsia" w:hAnsiTheme="minorEastAsia" w:eastAsiaTheme="minorEastAsia" w:cstheme="minorEastAsia"/>
          <w:b w:val="0"/>
          <w:bCs w:val="0"/>
          <w:color w:val="auto"/>
          <w:sz w:val="21"/>
          <w:szCs w:val="21"/>
          <w:highlight w:val="none"/>
          <w:lang w:val="en-US" w:eastAsia="zh-CN"/>
        </w:rPr>
        <w:t xml:space="preserve">服务期：2年，合同一年一签。第一年度中月度考核有一次得分75及以下或者两次得分80分及以下，不可续签。</w:t>
      </w:r>
      <w:r/>
    </w:p>
    <w:p>
      <w:pPr>
        <w:ind w:firstLine="420"/>
        <w:keepLines w:val="0"/>
        <w:keepNext w:val="0"/>
        <w:pageBreakBefore w:val="0"/>
        <w:spacing w:line="434"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1"/>
          <w:szCs w:val="21"/>
          <w:highlight w:val="none"/>
          <w:lang w:val="en-US" w:eastAsia="zh-CN"/>
        </w:rPr>
        <w:t xml:space="preserve">7.</w:t>
      </w:r>
      <w:r>
        <w:rPr>
          <w:rFonts w:hint="eastAsia" w:asciiTheme="minorEastAsia" w:hAnsiTheme="minorEastAsia" w:eastAsiaTheme="minorEastAsia" w:cstheme="minorEastAsia"/>
          <w:b w:val="0"/>
          <w:bCs w:val="0"/>
          <w:color w:val="auto"/>
          <w:sz w:val="21"/>
          <w:szCs w:val="21"/>
          <w:highlight w:val="none"/>
          <w:lang w:val="en-US" w:eastAsia="zh-CN"/>
        </w:rPr>
        <w:t xml:space="preserve">质量标准：符合招标文件中技术需求、国家现行的相关规范标准及有关部门最新颁布的相应的最新标准；项目确保按规范和标准验收，且达国家合格标准。</w:t>
      </w:r>
      <w:r/>
    </w:p>
    <w:p>
      <w:pPr>
        <w:keepLines w:val="0"/>
        <w:keepNext w:val="0"/>
        <w:pageBreakBefore w:val="0"/>
        <w:spacing w:line="434" w:lineRule="exact"/>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二、服务要求</w:t>
      </w:r>
      <w:r/>
    </w:p>
    <w:p>
      <w:pPr>
        <w:ind w:firstLine="420"/>
        <w:keepLines w:val="0"/>
        <w:keepNext w:val="0"/>
        <w:pageBreakBefore w:val="0"/>
        <w:spacing w:line="434"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本项目负责通榆河开发区段（伍佑大桥至世纪大道，长度约9.5公里）河面、两侧护坡及漂浮物临时拦截处置点的漂浮物打捞及处置工作，采取近岸拦截打捞和流动打捞相结合的方式，每天巡回常态化保洁，全方位无死角开展河道保洁，包含但不限于河道垃圾、水草、杂物、漂浮物的收集、规范处理与清理等相关工作。</w:t>
      </w:r>
      <w:r/>
    </w:p>
    <w:p>
      <w:pPr>
        <w:keepLines w:val="0"/>
        <w:keepNext w:val="0"/>
        <w:pageBreakBefore w:val="0"/>
        <w:spacing w:line="434" w:lineRule="exact"/>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（一）日常保洁与应急要求</w:t>
      </w:r>
      <w:r/>
    </w:p>
    <w:p>
      <w:pPr>
        <w:ind w:firstLine="420"/>
        <w:keepLines w:val="0"/>
        <w:keepNext w:val="0"/>
        <w:pageBreakBefore w:val="0"/>
        <w:spacing w:line="434"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 保洁范围内的水面漂浮物（含漂浮物临时拦截处置点的漂浮物）须日产日清，及时打捞上船，使用运输船只拖运至项目区外妥善处置，不得堆放在通榆河河道管理范围内；打捞的动物尸体须按市农业部门要求进行无害化处理，处置地点由乙方自行协调。</w:t>
      </w:r>
      <w:r/>
    </w:p>
    <w:p>
      <w:pPr>
        <w:ind w:firstLine="420"/>
        <w:keepLines w:val="0"/>
        <w:keepNext w:val="0"/>
        <w:pageBreakBefore w:val="0"/>
        <w:spacing w:line="434"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 通过组织清除，确保河道内无集聚性的水花生、水葫芦、篙草等有害水生植物，河中无秸秆、垃圾、动物尸体，全域内无流入性浮萍、水葫芦、水花生等水面漂浮物。</w:t>
      </w:r>
      <w:r/>
    </w:p>
    <w:p>
      <w:pPr>
        <w:ind w:firstLine="420"/>
        <w:keepLines w:val="0"/>
        <w:keepNext w:val="0"/>
        <w:pageBreakBefore w:val="0"/>
        <w:spacing w:line="434"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3、每天上午8:00时前必须保证河道达到考核要求。</w:t>
      </w:r>
      <w:r/>
    </w:p>
    <w:p>
      <w:pPr>
        <w:ind w:firstLine="420"/>
        <w:keepLines w:val="0"/>
        <w:keepNext w:val="0"/>
        <w:pageBreakBefore w:val="0"/>
        <w:spacing w:line="434"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 积极配合市委、市政府、开发区管委会及其他重大活动，随时组织突击性保洁。</w:t>
      </w:r>
      <w:r/>
    </w:p>
    <w:p>
      <w:pPr>
        <w:keepLines w:val="0"/>
        <w:keepNext w:val="0"/>
        <w:pageBreakBefore w:val="0"/>
        <w:spacing w:line="434" w:lineRule="exact"/>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（二）漂浮物临时拦截处置点要求</w:t>
      </w:r>
      <w:r/>
    </w:p>
    <w:p>
      <w:pPr>
        <w:ind w:firstLine="420"/>
        <w:keepLines w:val="0"/>
        <w:keepNext w:val="0"/>
        <w:pageBreakBefore w:val="0"/>
        <w:spacing w:line="434"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 乙方自行设置不少于三处漂浮物临时拦截处置点（一处要求左右岸各一个，拦截范围不低于河口向外15米），处置点位置由甲方指定；合同期满后，乙方需将漂浮物临时拦截处置点清理离场。</w:t>
      </w:r>
      <w:r/>
    </w:p>
    <w:p>
      <w:pPr>
        <w:ind w:firstLine="420"/>
        <w:keepLines w:val="0"/>
        <w:keepNext w:val="0"/>
        <w:pageBreakBefore w:val="0"/>
        <w:spacing w:line="434"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 如因上级要求或现场实际需要，经甲方现场确认须增设漂浮物临时拦截处置点，乙方需无条件服从；同时须对拦截处置设施设备进行维修、保养，确保合同期内正常使用。</w:t>
      </w:r>
      <w:r/>
    </w:p>
    <w:p>
      <w:pPr>
        <w:keepLines w:val="0"/>
        <w:keepNext w:val="0"/>
        <w:pageBreakBefore w:val="0"/>
        <w:spacing w:line="434" w:lineRule="exact"/>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（三）设备与人员配置要求</w:t>
      </w:r>
      <w:r/>
    </w:p>
    <w:p>
      <w:pPr>
        <w:ind w:firstLine="420"/>
        <w:jc w:val="both"/>
        <w:keepLines w:val="0"/>
        <w:keepNext w:val="0"/>
        <w:pageBreakBefore w:val="0"/>
        <w:spacing w:line="434"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1.投标人须配备全自动打捞船（内设自动收集、爽水等装置）、运输船及辅助小型作业船只</w:t>
      </w:r>
      <w:r>
        <w:rPr>
          <w:rFonts w:hint="eastAsia" w:asciiTheme="minorEastAsia" w:hAnsiTheme="minorEastAsia" w:cstheme="minorEastAsia"/>
          <w:b w:val="0"/>
          <w:bCs w:val="0"/>
          <w:color w:val="auto"/>
          <w:sz w:val="21"/>
          <w:szCs w:val="21"/>
          <w:highlight w:val="none"/>
          <w:lang w:val="en-US" w:eastAsia="zh-CN"/>
        </w:rPr>
        <w:t xml:space="preserve">，所提供的船必须</w:t>
      </w:r>
      <w:r>
        <w:rPr>
          <w:rFonts w:hint="eastAsia" w:asciiTheme="minorEastAsia" w:hAnsiTheme="minorEastAsia" w:eastAsiaTheme="minorEastAsia" w:cstheme="minorEastAsia"/>
          <w:b w:val="0"/>
          <w:bCs w:val="0"/>
          <w:color w:val="auto"/>
          <w:sz w:val="21"/>
          <w:szCs w:val="21"/>
          <w:highlight w:val="none"/>
          <w:lang w:val="en-US" w:eastAsia="zh-CN"/>
        </w:rPr>
        <w:t xml:space="preserve">满足打涝需求。</w:t>
      </w:r>
      <w:r/>
    </w:p>
    <w:p>
      <w:pPr>
        <w:ind w:firstLine="420"/>
        <w:jc w:val="both"/>
        <w:keepLines w:val="0"/>
        <w:keepNext w:val="0"/>
        <w:pageBreakBefore w:val="0"/>
        <w:spacing w:line="434"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 投标人在打涝期间须配备对应的专职船舶驾驶人员，要求60周岁以下（男女不限），身体健康，会水性，上班时间内必须穿救生衣。打捞船操作人员的配备必须达到1机1人，打捞船操作人员须具有市级及以上地方海事局颁发的《内河船舶船员适任证书》。</w:t>
      </w:r>
      <w:r/>
    </w:p>
    <w:p>
      <w:pPr>
        <w:ind w:firstLine="422"/>
        <w:keepLines w:val="0"/>
        <w:keepNext w:val="0"/>
        <w:pageBreakBefore w:val="0"/>
        <w:spacing w:line="434" w:lineRule="exact"/>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（四）安全与人员要求</w:t>
      </w:r>
      <w:r/>
    </w:p>
    <w:p>
      <w:pPr>
        <w:ind w:firstLine="420"/>
        <w:keepLines w:val="0"/>
        <w:keepNext w:val="0"/>
        <w:pageBreakBefore w:val="0"/>
        <w:spacing w:line="434"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 所有保洁员工作时间内必须统一工作制服，并按规范配备反光背心、救生衣等安全设施；保洁船上须配备安全救生工具。</w:t>
      </w:r>
      <w:r/>
    </w:p>
    <w:p>
      <w:pPr>
        <w:ind w:firstLine="420"/>
        <w:keepLines w:val="0"/>
        <w:keepNext w:val="0"/>
        <w:pageBreakBefore w:val="0"/>
        <w:spacing w:line="434"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 所有船只非工作期间不得在甲方管理段面停留、停靠，仅在通榆河漂浮物打捞工作时间，船只和船员方可进入管理段面（1、通榆河漂浮物打捞伍佑大桥至世纪大道段面；2、头总河至世纪大道通榆河中心线以东段面）。</w:t>
      </w:r>
      <w:r/>
    </w:p>
    <w:p>
      <w:pPr>
        <w:ind w:firstLine="420"/>
        <w:keepLines w:val="0"/>
        <w:keepNext w:val="0"/>
        <w:pageBreakBefore w:val="0"/>
        <w:spacing w:line="434"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 中标人必须严格遵守有关操作规定（行业服务规范等）与安全规定等相关规定，加强对工作人员的安全教育，并为工作人员交纳人身意外伤害保险（或雇主责任险）。服务期（服务期包括施工期、质保期）内，产生的任何安全事故（含对第三方产生的损害）均由中标人负责及承担，与招标人无关；</w:t>
      </w:r>
      <w:r/>
    </w:p>
    <w:p>
      <w:pPr>
        <w:keepLines w:val="0"/>
        <w:keepNext w:val="0"/>
        <w:pageBreakBefore w:val="0"/>
        <w:spacing w:line="434" w:lineRule="exact"/>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（五）船只与人员要求</w:t>
      </w:r>
      <w:r/>
    </w:p>
    <w:p>
      <w:pPr>
        <w:ind w:firstLine="420"/>
        <w:keepLines w:val="0"/>
        <w:keepNext w:val="0"/>
        <w:pageBreakBefore w:val="0"/>
        <w:spacing w:line="434"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 水面漂浮物高发期，乙方须投入全部船只和人员；非高发期，乙方可适当减少船只和人员投入，但须向甲方提交书面申请并经甲方同意。</w:t>
      </w:r>
      <w:r/>
    </w:p>
    <w:p>
      <w:pPr>
        <w:ind w:firstLine="420"/>
        <w:keepLines w:val="0"/>
        <w:keepNext w:val="0"/>
        <w:pageBreakBefore w:val="0"/>
        <w:spacing w:line="434"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 乙方需对照招标文件要求足额配备船只和人员，船舶驾驶人员须持证上岗，所有工作人员在工作时间内须规范着装、救生衣等安全设施。保洁船上配备安全救生工具。</w:t>
      </w:r>
      <w:r/>
    </w:p>
    <w:p>
      <w:pPr>
        <w:ind w:firstLine="420"/>
        <w:keepLines w:val="0"/>
        <w:keepNext w:val="0"/>
        <w:pageBreakBefore w:val="0"/>
        <w:spacing w:line="434"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 全自动打捞船需配备有保洁摄像记录仪、GPS硬件装置。</w:t>
      </w:r>
      <w:r/>
    </w:p>
    <w:p>
      <w:pPr>
        <w:spacing w:line="500" w:lineRule="exact"/>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cstheme="minorEastAsia"/>
          <w:b/>
          <w:bCs/>
          <w:color w:val="auto"/>
          <w:sz w:val="21"/>
          <w:szCs w:val="21"/>
          <w:highlight w:val="none"/>
          <w:lang w:val="en-US" w:eastAsia="zh-CN"/>
        </w:rPr>
        <w:t xml:space="preserve">三</w:t>
      </w:r>
      <w:r>
        <w:rPr>
          <w:rFonts w:hint="eastAsia" w:asciiTheme="minorEastAsia" w:hAnsiTheme="minorEastAsia" w:eastAsiaTheme="minorEastAsia" w:cstheme="minorEastAsia"/>
          <w:b/>
          <w:bCs/>
          <w:color w:val="auto"/>
          <w:sz w:val="21"/>
          <w:szCs w:val="21"/>
          <w:highlight w:val="none"/>
        </w:rPr>
        <w:t xml:space="preserve">、采购标的对应的中小企业划分标准所属行业一览表</w:t>
      </w:r>
      <w:r/>
    </w:p>
    <w:tbl>
      <w:tblPr>
        <w:tblStyle w:val="7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3656"/>
        <w:gridCol w:w="3579"/>
      </w:tblGrid>
      <w:tr>
        <w:trPr>
          <w:cantSplit/>
          <w:jc w:val="center"/>
          <w:trHeight w:val="441"/>
        </w:trPr>
        <w:tc>
          <w:tcPr>
            <w:tcW w:w="727" w:type="dxa"/>
            <w:vAlign w:val="center"/>
            <w:textDirection w:val="lrTb"/>
            <w:noWrap w:val="false"/>
          </w:tcPr>
          <w:p>
            <w:pPr>
              <w:jc w:val="center"/>
              <w:spacing w:line="0" w:lineRule="atLeast"/>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序号</w:t>
            </w:r>
            <w:r/>
          </w:p>
        </w:tc>
        <w:tc>
          <w:tcPr>
            <w:tcW w:w="3656" w:type="dxa"/>
            <w:vAlign w:val="center"/>
            <w:textDirection w:val="lrTb"/>
            <w:noWrap w:val="false"/>
          </w:tcPr>
          <w:p>
            <w:pPr>
              <w:jc w:val="center"/>
              <w:spacing w:line="0" w:lineRule="atLeast"/>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采购标的</w:t>
            </w:r>
            <w:r/>
          </w:p>
        </w:tc>
        <w:tc>
          <w:tcPr>
            <w:tcW w:w="3579" w:type="dxa"/>
            <w:vAlign w:val="center"/>
            <w:textDirection w:val="lrTb"/>
            <w:noWrap w:val="false"/>
          </w:tcPr>
          <w:p>
            <w:pPr>
              <w:jc w:val="center"/>
              <w:spacing w:line="0" w:lineRule="atLeast"/>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对应中小企业划分标准所属行业</w:t>
            </w:r>
            <w:r/>
          </w:p>
        </w:tc>
      </w:tr>
      <w:tr>
        <w:trPr>
          <w:cantSplit/>
          <w:jc w:val="center"/>
          <w:trHeight w:val="907"/>
        </w:trPr>
        <w:tc>
          <w:tcPr>
            <w:tcW w:w="727" w:type="dxa"/>
            <w:vAlign w:val="center"/>
            <w:textDirection w:val="lrTb"/>
            <w:noWrap w:val="false"/>
          </w:tcPr>
          <w:p>
            <w:pPr>
              <w:jc w:val="center"/>
              <w:spacing w:line="0" w:lineRule="atLeast"/>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w:t>
            </w:r>
            <w:r/>
          </w:p>
        </w:tc>
        <w:tc>
          <w:tcPr>
            <w:tcW w:w="3656" w:type="dxa"/>
            <w:vAlign w:val="center"/>
            <w:textDirection w:val="lrTb"/>
            <w:noWrap w:val="false"/>
          </w:tcPr>
          <w:p>
            <w:pPr>
              <w:jc w:val="center"/>
              <w:spacing w:line="0" w:lineRule="atLeast"/>
              <w:widowControl w:val="off"/>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 xml:space="preserve">通榆河漂浮物市场化打捞服务项目</w:t>
            </w:r>
            <w:r/>
          </w:p>
        </w:tc>
        <w:tc>
          <w:tcPr>
            <w:tcW w:w="3579" w:type="dxa"/>
            <w:vAlign w:val="center"/>
            <w:textDirection w:val="lrTb"/>
            <w:noWrap w:val="false"/>
          </w:tcPr>
          <w:p>
            <w:pPr>
              <w:jc w:val="center"/>
              <w:spacing w:line="0" w:lineRule="atLeast"/>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其他未列明行业</w:t>
            </w:r>
            <w:r/>
          </w:p>
        </w:tc>
      </w:tr>
    </w:tbl>
    <w:p>
      <w:pPr>
        <w:pStyle w:val="787"/>
        <w:rPr>
          <w:color w:val="auto"/>
          <w:highlight w:val="none"/>
        </w:rPr>
      </w:pPr>
      <w:r>
        <w:rPr>
          <w:color w:val="auto"/>
          <w:highlight w:val="none"/>
        </w:rPr>
      </w:r>
      <w:r/>
    </w:p>
    <w:p>
      <w:pPr>
        <w:jc w:val="center"/>
        <w:rPr>
          <w:rFonts w:ascii="宋体" w:hAnsi="宋体" w:eastAsia="宋体" w:cs="黑体"/>
          <w:b/>
          <w:color w:val="auto"/>
          <w:sz w:val="44"/>
          <w:szCs w:val="44"/>
          <w:highlight w:val="none"/>
        </w:rPr>
      </w:pPr>
      <w:r/>
      <w:bookmarkStart w:id="183" w:name="_Toc120614281"/>
      <w:r/>
      <w:bookmarkStart w:id="184" w:name="_Hlk198761552"/>
      <w:r>
        <w:rPr>
          <w:rFonts w:ascii="宋体" w:hAnsi="宋体" w:eastAsia="宋体" w:cs="黑体"/>
          <w:b/>
          <w:color w:val="auto"/>
          <w:sz w:val="44"/>
          <w:szCs w:val="44"/>
          <w:highlight w:val="none"/>
        </w:rPr>
        <w:br w:type="page" w:clear="all"/>
      </w:r>
      <w:r>
        <w:rPr>
          <w:rFonts w:hint="eastAsia" w:ascii="宋体" w:hAnsi="宋体" w:eastAsia="宋体" w:cs="黑体"/>
          <w:b/>
          <w:color w:val="auto"/>
          <w:sz w:val="44"/>
          <w:szCs w:val="44"/>
          <w:highlight w:val="none"/>
        </w:rPr>
        <w:t xml:space="preserve">第五章 评标方法与评标标准</w:t>
      </w:r>
      <w:r/>
    </w:p>
    <w:p>
      <w:pPr>
        <w:spacing w:line="440" w:lineRule="exact"/>
        <w:rPr>
          <w:rFonts w:ascii="宋体" w:hAnsi="宋体" w:eastAsia="宋体" w:cs="宋体"/>
          <w:b/>
          <w:bCs/>
          <w:color w:val="auto"/>
          <w:sz w:val="24"/>
          <w:highlight w:val="none"/>
        </w:rPr>
      </w:pPr>
      <w:r>
        <w:rPr>
          <w:rFonts w:ascii="宋体" w:hAnsi="宋体" w:eastAsia="宋体"/>
          <w:color w:val="auto"/>
          <w:highlight w:val="none"/>
        </w:rPr>
        <w:t xml:space="preserve"> </w:t>
      </w:r>
      <w:bookmarkStart w:id="185" w:name="OLE_LINK111"/>
      <w:r/>
      <w:bookmarkStart w:id="186" w:name="OLE_LINK110"/>
      <w:r/>
      <w:bookmarkStart w:id="187" w:name="_Hlk198760431"/>
      <w:r>
        <w:rPr>
          <w:rFonts w:hint="eastAsia" w:ascii="宋体" w:hAnsi="宋体" w:eastAsia="宋体" w:cs="宋体"/>
          <w:b/>
          <w:bCs/>
          <w:color w:val="auto"/>
          <w:sz w:val="24"/>
          <w:highlight w:val="none"/>
        </w:rPr>
        <w:t xml:space="preserve">一、定标原则</w:t>
      </w:r>
      <w:r/>
    </w:p>
    <w:p>
      <w:pPr>
        <w:ind w:firstLine="480"/>
        <w:jc w:val="both"/>
        <w:spacing w:line="440" w:lineRule="exact"/>
        <w:widowControl w:val="off"/>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本项目采用</w:t>
      </w:r>
      <w:r>
        <w:rPr>
          <w:rFonts w:hint="eastAsia" w:ascii="宋体" w:hAnsi="宋体" w:eastAsia="宋体" w:cs="宋体"/>
          <w:bCs/>
          <w:color w:val="auto"/>
          <w:sz w:val="24"/>
          <w:highlight w:val="none"/>
          <w:u w:val="single"/>
        </w:rPr>
        <w:t xml:space="preserve"> 综合评分 </w:t>
      </w:r>
      <w:r>
        <w:rPr>
          <w:rFonts w:hint="eastAsia" w:ascii="宋体" w:hAnsi="宋体" w:eastAsia="宋体" w:cs="宋体"/>
          <w:bCs/>
          <w:color w:val="auto"/>
          <w:sz w:val="24"/>
          <w:highlight w:val="none"/>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785"/>
        <w:ind w:firstLine="441"/>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1、小微型企业价格扣除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本项目</w:t>
      </w:r>
      <w:r>
        <w:rPr>
          <w:rFonts w:hint="eastAsia" w:ascii="宋体" w:hAnsi="宋体" w:eastAsia="宋体" w:cs="宋体"/>
          <w:bCs/>
          <w:color w:val="auto"/>
          <w:sz w:val="24"/>
          <w:szCs w:val="24"/>
          <w:highlight w:val="none"/>
        </w:rPr>
        <w:t xml:space="preserve">专门面向中小企业采购，不再对小型和微型企业</w:t>
      </w:r>
      <w:r>
        <w:rPr>
          <w:rFonts w:hint="eastAsia" w:ascii="宋体" w:hAnsi="宋体" w:eastAsia="宋体" w:cs="宋体"/>
          <w:bCs/>
          <w:color w:val="auto"/>
          <w:sz w:val="24"/>
          <w:szCs w:val="24"/>
          <w:highlight w:val="none"/>
          <w:lang w:val="en-US" w:eastAsia="zh-CN"/>
        </w:rPr>
        <w:t xml:space="preserve">报价</w:t>
      </w:r>
      <w:r>
        <w:rPr>
          <w:rFonts w:hint="eastAsia" w:ascii="宋体" w:hAnsi="宋体" w:eastAsia="宋体" w:cs="宋体"/>
          <w:bCs/>
          <w:color w:val="auto"/>
          <w:sz w:val="24"/>
          <w:szCs w:val="24"/>
          <w:highlight w:val="none"/>
        </w:rPr>
        <w:t xml:space="preserve">给予价格扣除。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（2）供应商需按照采购文件的要求提供相应的《企业声明函》。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（3）企业标准请参照《关于印发中小企业划型标准规定的通知》（工信部联企业[2011]300号）文件规定自行填写。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（4）本项目属于《关于印发中小企业划型标准规定的通知》（工信部联企业[2011]300号）文件规定的其他未列明行业。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2、残疾人福利单位价格扣除</w:t>
      </w:r>
      <w:r>
        <w:rPr>
          <w:rFonts w:hint="eastAsia" w:ascii="宋体" w:hAnsi="宋体" w:eastAsia="宋体" w:cs="宋体"/>
          <w:bCs/>
          <w:color w:val="auto"/>
          <w:sz w:val="24"/>
          <w:szCs w:val="24"/>
          <w:highlight w:val="none"/>
        </w:rPr>
        <w:tab/>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（1）本项目对残疾人福利性单位视同小型、微型企业。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（2）残疾人福利单位需按照采购文件的要求提供《残疾人福利性单位声明函》。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（3）残疾人福利单位标准请参照《关于促进残疾人就业政府采购政策的通知》（财库〔2017〕141号）。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3、监狱和戒毒企业价格扣除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（1）本项目对监狱和戒毒企业（简称监狱企业）视同小型、微型企业。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（3）监狱企业标准请参照《关于政府采购支持监狱企业发展有关问题的通知》（财库[2014]68号）。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、严格执行政府采购关于支持</w:t>
      </w:r>
      <w:r>
        <w:rPr>
          <w:rFonts w:hint="eastAsia" w:ascii="宋体" w:hAnsi="宋体" w:eastAsia="宋体" w:cs="宋体"/>
          <w:bCs/>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spacing w:before="120" w:after="120" w:line="440" w:lineRule="exact"/>
        <w:widowControl w:val="off"/>
        <w:rPr>
          <w:rFonts w:ascii="宋体" w:hAnsi="宋体" w:eastAsia="宋体" w:cs="宋体"/>
          <w:color w:val="auto"/>
          <w:sz w:val="24"/>
          <w:highlight w:val="none"/>
        </w:rPr>
      </w:pPr>
      <w:r>
        <w:rPr>
          <w:rFonts w:hint="eastAsia" w:ascii="宋体" w:hAnsi="宋体" w:eastAsia="宋体" w:cs="宋体"/>
          <w:b/>
          <w:color w:val="auto"/>
          <w:sz w:val="24"/>
          <w:highlight w:val="none"/>
        </w:rPr>
        <w:t xml:space="preserve">评标方法与评标标准</w:t>
      </w:r>
      <w:bookmarkEnd w:id="185"/>
      <w:r/>
      <w:bookmarkEnd w:id="186"/>
      <w:r/>
      <w:bookmarkEnd w:id="187"/>
      <w:r/>
      <w:r/>
    </w:p>
    <w:tbl>
      <w:tblPr>
        <w:tblStyle w:val="761"/>
        <w:tblpPr w:horzAnchor="page" w:tblpXSpec="center" w:vertAnchor="text" w:tblpY="459" w:leftFromText="180" w:topFromText="0" w:rightFromText="180" w:bottomFromText="0"/>
        <w:tblW w:w="926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10"/>
        <w:gridCol w:w="2"/>
        <w:gridCol w:w="831"/>
        <w:gridCol w:w="7121"/>
      </w:tblGrid>
      <w:tr>
        <w:trPr>
          <w:jc w:val="center"/>
          <w:trHeight w:val="569"/>
        </w:trPr>
        <w:tc>
          <w:tcPr>
            <w:tcW w:w="1310" w:type="dxa"/>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评审因素</w:t>
            </w:r>
            <w:r/>
          </w:p>
        </w:tc>
        <w:tc>
          <w:tcPr>
            <w:gridSpan w:val="2"/>
            <w:tcW w:w="833" w:type="dxa"/>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分值</w:t>
            </w:r>
            <w:r/>
          </w:p>
        </w:tc>
        <w:tc>
          <w:tcPr>
            <w:tcW w:w="7121" w:type="dxa"/>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评分细则</w:t>
            </w:r>
            <w:r/>
          </w:p>
        </w:tc>
      </w:tr>
      <w:tr>
        <w:trPr>
          <w:jc w:val="center"/>
          <w:trHeight w:val="514"/>
        </w:trPr>
        <w:tc>
          <w:tcPr>
            <w:gridSpan w:val="4"/>
            <w:tcW w:w="9264" w:type="dxa"/>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价格分 </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lang w:eastAsia="zh-CN"/>
              </w:rPr>
              <w:t xml:space="preserve">分）</w:t>
            </w:r>
            <w:r/>
          </w:p>
        </w:tc>
      </w:tr>
      <w:tr>
        <w:trPr>
          <w:jc w:val="center"/>
          <w:trHeight w:val="643"/>
        </w:trPr>
        <w:tc>
          <w:tcPr>
            <w:tcW w:w="1310" w:type="dxa"/>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投标报价</w:t>
            </w:r>
            <w:r/>
          </w:p>
        </w:tc>
        <w:tc>
          <w:tcPr>
            <w:gridSpan w:val="2"/>
            <w:tcW w:w="833" w:type="dxa"/>
            <w:vAlign w:val="center"/>
            <w:textDirection w:val="lrTb"/>
            <w:noWrap w:val="false"/>
          </w:tcPr>
          <w:p>
            <w:pPr>
              <w:ind w:firstLine="0"/>
              <w:jc w:val="center"/>
              <w:keepLines w:val="0"/>
              <w:keepNext w:val="0"/>
              <w:pageBreakBefore w:val="0"/>
              <w:spacing w:line="320" w:lineRule="exact"/>
              <w:widowControl w:val="off"/>
              <w:rPr>
                <w:rFonts w:hint="default" w:asciiTheme="minorEastAsia" w:hAnsiTheme="minorEastAsia" w:eastAsiaTheme="minorEastAsia" w:cstheme="minorEastAsia"/>
                <w:color w:val="auto"/>
                <w:sz w:val="21"/>
                <w:szCs w:val="21"/>
                <w:highlight w:val="none"/>
                <w:lang w:val="en-US"/>
              </w:rPr>
            </w:pPr>
            <w:r>
              <w:rPr>
                <w:rFonts w:hint="eastAsia" w:asciiTheme="minorEastAsia" w:hAnsiTheme="minorEastAsia" w:cstheme="minorEastAsia"/>
                <w:color w:val="auto"/>
                <w:sz w:val="21"/>
                <w:szCs w:val="21"/>
                <w:highlight w:val="none"/>
                <w:lang w:val="en-US" w:eastAsia="zh-CN"/>
              </w:rPr>
              <w:t xml:space="preserve">20</w:t>
            </w:r>
            <w:r/>
          </w:p>
        </w:tc>
        <w:tc>
          <w:tcPr>
            <w:tcW w:w="7121" w:type="dxa"/>
            <w:vAlign w:val="top"/>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满足</w:t>
            </w:r>
            <w:r>
              <w:rPr>
                <w:rFonts w:hint="eastAsia" w:asciiTheme="minorEastAsia" w:hAnsiTheme="minorEastAsia" w:eastAsiaTheme="minorEastAsia" w:cstheme="minorEastAsia"/>
                <w:color w:val="auto"/>
                <w:sz w:val="21"/>
                <w:szCs w:val="21"/>
                <w:highlight w:val="none"/>
                <w:lang w:val="en-US" w:eastAsia="zh-CN"/>
              </w:rPr>
              <w:t xml:space="preserve">招标</w:t>
            </w:r>
            <w:r>
              <w:rPr>
                <w:rFonts w:hint="eastAsia" w:asciiTheme="minorEastAsia" w:hAnsiTheme="minorEastAsia" w:eastAsiaTheme="minorEastAsia" w:cstheme="minorEastAsia"/>
                <w:color w:val="auto"/>
                <w:sz w:val="21"/>
                <w:szCs w:val="21"/>
                <w:highlight w:val="none"/>
              </w:rPr>
              <w:t xml:space="preserve">文件实质性要求且最终报价最低的投标报价为评标基准价，其价格分为满分</w:t>
            </w:r>
            <w:r>
              <w:rPr>
                <w:rFonts w:hint="eastAsia" w:asciiTheme="minorEastAsia" w:hAnsi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分。其他投标人的价格分统一按照下列公式计算:</w:t>
            </w:r>
            <w:r/>
          </w:p>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投标报价得分=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评标基准价／投标报价</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（计算结果保留2位小数，第三位四舍五入）</w:t>
            </w:r>
            <w:r>
              <w:rPr>
                <w:rFonts w:hint="eastAsia" w:asciiTheme="minorEastAsia" w:hAnsiTheme="minorEastAsia" w:eastAsiaTheme="minorEastAsia" w:cstheme="minorEastAsia"/>
                <w:color w:val="auto"/>
                <w:sz w:val="21"/>
                <w:szCs w:val="21"/>
                <w:highlight w:val="none"/>
                <w:lang w:eastAsia="zh-CN"/>
              </w:rPr>
              <w:t xml:space="preserve">。</w:t>
            </w:r>
            <w:bookmarkStart w:id="254" w:name="_GoBack"/>
            <w:r/>
            <w:bookmarkEnd w:id="254"/>
            <w:r/>
            <w:r/>
          </w:p>
        </w:tc>
      </w:tr>
      <w:tr>
        <w:trPr>
          <w:jc w:val="center"/>
          <w:trHeight w:val="332"/>
        </w:trPr>
        <w:tc>
          <w:tcPr>
            <w:gridSpan w:val="4"/>
            <w:tcW w:w="9264" w:type="dxa"/>
            <w:vAlign w:val="top"/>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商务分 </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lang w:val="en-US" w:eastAsia="zh-CN"/>
              </w:rPr>
              <w:t xml:space="preserve">28</w:t>
            </w:r>
            <w:r>
              <w:rPr>
                <w:rFonts w:hint="eastAsia" w:asciiTheme="minorEastAsia" w:hAnsiTheme="minorEastAsia" w:eastAsiaTheme="minorEastAsia" w:cstheme="minorEastAsia"/>
                <w:color w:val="auto"/>
                <w:sz w:val="21"/>
                <w:szCs w:val="21"/>
                <w:highlight w:val="none"/>
                <w:lang w:val="en-US" w:eastAsia="zh-CN"/>
              </w:rPr>
              <w:t xml:space="preserve">分</w:t>
            </w:r>
            <w:r>
              <w:rPr>
                <w:rFonts w:hint="eastAsia" w:asciiTheme="minorEastAsia" w:hAnsiTheme="minorEastAsia" w:eastAsiaTheme="minorEastAsia" w:cstheme="minorEastAsia"/>
                <w:color w:val="auto"/>
                <w:sz w:val="21"/>
                <w:szCs w:val="21"/>
                <w:highlight w:val="none"/>
                <w:lang w:eastAsia="zh-CN"/>
              </w:rPr>
              <w:t xml:space="preserve">）</w:t>
            </w:r>
            <w:r/>
          </w:p>
        </w:tc>
      </w:tr>
      <w:tr>
        <w:trPr>
          <w:jc w:val="center"/>
          <w:trHeight w:val="1351"/>
        </w:trPr>
        <w:tc>
          <w:tcPr>
            <w:tcW w:w="1310" w:type="dxa"/>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业务能力</w:t>
            </w:r>
            <w:r/>
          </w:p>
        </w:tc>
        <w:tc>
          <w:tcPr>
            <w:gridSpan w:val="2"/>
            <w:tcW w:w="833" w:type="dxa"/>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9</w:t>
            </w:r>
            <w:r/>
          </w:p>
        </w:tc>
        <w:tc>
          <w:tcPr>
            <w:tcW w:w="7121" w:type="dxa"/>
            <w:vAlign w:val="top"/>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投标人2021年1月1日以来（以合同签订日期为准）从事过流域性</w:t>
            </w:r>
            <w:r>
              <w:rPr>
                <w:rFonts w:hint="eastAsia" w:asciiTheme="minorEastAsia" w:hAnsiTheme="minorEastAsia" w:cstheme="minorEastAsia"/>
                <w:color w:val="000000"/>
                <w:sz w:val="21"/>
                <w:szCs w:val="21"/>
                <w:highlight w:val="none"/>
                <w:lang w:val="en-US" w:eastAsia="zh-CN"/>
              </w:rPr>
              <w:t xml:space="preserve">河道保洁项目的</w:t>
            </w:r>
            <w:r>
              <w:rPr>
                <w:rFonts w:hint="eastAsia" w:asciiTheme="minorEastAsia" w:hAnsiTheme="minorEastAsia" w:eastAsiaTheme="minorEastAsia" w:cstheme="minorEastAsia"/>
                <w:color w:val="000000"/>
                <w:sz w:val="21"/>
                <w:szCs w:val="21"/>
                <w:highlight w:val="none"/>
                <w:lang w:val="en-US" w:eastAsia="zh-CN"/>
              </w:rPr>
              <w:t xml:space="preserve">，每有1个得3分，本项最高分9分。</w:t>
            </w:r>
            <w:r/>
          </w:p>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备注：须提供中标通知书、合同原件扫描件，同一采购人的业绩只能算一个业绩，须提供河道</w:t>
            </w:r>
            <w:r>
              <w:rPr>
                <w:rFonts w:hint="eastAsia" w:asciiTheme="minorEastAsia" w:hAnsiTheme="minorEastAsia" w:cstheme="minorEastAsia"/>
                <w:color w:val="000000"/>
                <w:sz w:val="21"/>
                <w:szCs w:val="21"/>
                <w:highlight w:val="none"/>
                <w:lang w:val="en-US" w:eastAsia="zh-CN"/>
              </w:rPr>
              <w:t xml:space="preserve">是否为流域性河道的</w:t>
            </w:r>
            <w:r>
              <w:rPr>
                <w:rFonts w:hint="eastAsia" w:asciiTheme="minorEastAsia" w:hAnsiTheme="minorEastAsia" w:eastAsiaTheme="minorEastAsia" w:cstheme="minorEastAsia"/>
                <w:color w:val="000000"/>
                <w:sz w:val="21"/>
                <w:szCs w:val="21"/>
                <w:highlight w:val="none"/>
                <w:lang w:val="en-US" w:eastAsia="zh-CN"/>
              </w:rPr>
              <w:t xml:space="preserve">证明材料，如未提供河道</w:t>
            </w:r>
            <w:r>
              <w:rPr>
                <w:rFonts w:hint="eastAsia" w:asciiTheme="minorEastAsia" w:hAnsiTheme="minorEastAsia" w:cstheme="minorEastAsia"/>
                <w:color w:val="000000"/>
                <w:sz w:val="21"/>
                <w:szCs w:val="21"/>
                <w:highlight w:val="none"/>
                <w:lang w:val="en-US" w:eastAsia="zh-CN"/>
              </w:rPr>
              <w:t xml:space="preserve">是否为流域性河道的</w:t>
            </w:r>
            <w:r>
              <w:rPr>
                <w:rFonts w:hint="eastAsia" w:asciiTheme="minorEastAsia" w:hAnsiTheme="minorEastAsia" w:eastAsiaTheme="minorEastAsia" w:cstheme="minorEastAsia"/>
                <w:color w:val="000000"/>
                <w:sz w:val="21"/>
                <w:szCs w:val="21"/>
                <w:highlight w:val="none"/>
                <w:lang w:val="en-US" w:eastAsia="zh-CN"/>
              </w:rPr>
              <w:t xml:space="preserve">证明则不得分。如江苏省内的河道需提供《江苏省骨干河道名录（2018年修订）》。</w:t>
            </w:r>
            <w:r/>
          </w:p>
        </w:tc>
      </w:tr>
      <w:tr>
        <w:trPr>
          <w:jc w:val="center"/>
          <w:trHeight w:val="724"/>
        </w:trPr>
        <w:tc>
          <w:tcPr>
            <w:tcW w:w="1310" w:type="dxa"/>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项目管理人员</w:t>
            </w:r>
            <w:r/>
          </w:p>
        </w:tc>
        <w:tc>
          <w:tcPr>
            <w:gridSpan w:val="2"/>
            <w:tcW w:w="833" w:type="dxa"/>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2</w:t>
            </w:r>
            <w:r/>
          </w:p>
        </w:tc>
        <w:tc>
          <w:tcPr>
            <w:tcW w:w="7121" w:type="dxa"/>
            <w:vAlign w:val="top"/>
            <w:textDirection w:val="lrTb"/>
            <w:noWrap w:val="false"/>
          </w:tcPr>
          <w:p>
            <w:pPr>
              <w:numPr>
                <w:ilvl w:val="0"/>
                <w:numId w:val="0"/>
              </w:numPr>
              <w:ind w:left="0" w:firstLine="0"/>
              <w:jc w:val="left"/>
              <w:keepLines w:val="0"/>
              <w:keepNext w:val="0"/>
              <w:pageBreakBefore w:val="0"/>
              <w:spacing w:line="320" w:lineRule="exac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项目负责人及安全管理人员2021年1月1日以来从事过流域性</w:t>
            </w:r>
            <w:r>
              <w:rPr>
                <w:rFonts w:hint="eastAsia" w:asciiTheme="minorEastAsia" w:hAnsiTheme="minorEastAsia" w:cstheme="minorEastAsia"/>
                <w:color w:val="000000"/>
                <w:sz w:val="21"/>
                <w:szCs w:val="21"/>
                <w:highlight w:val="none"/>
                <w:lang w:val="en-US" w:eastAsia="zh-CN"/>
              </w:rPr>
              <w:t xml:space="preserve">河道保洁项目的</w:t>
            </w:r>
            <w:r>
              <w:rPr>
                <w:rFonts w:hint="eastAsia" w:asciiTheme="minorEastAsia" w:hAnsiTheme="minorEastAsia" w:eastAsiaTheme="minorEastAsia" w:cstheme="minorEastAsia"/>
                <w:color w:val="000000"/>
                <w:sz w:val="21"/>
                <w:szCs w:val="21"/>
                <w:highlight w:val="none"/>
                <w:lang w:val="en-US" w:eastAsia="zh-CN"/>
              </w:rPr>
              <w:t xml:space="preserve">相关工作经历，且提供建设单位出具的业绩证明材料的，项目负责人及安全管理人员各得 1分；本项最高得 2分。</w:t>
            </w:r>
            <w:r/>
          </w:p>
          <w:p>
            <w:pPr>
              <w:numPr>
                <w:ilvl w:val="0"/>
                <w:numId w:val="0"/>
              </w:numPr>
              <w:ind w:left="0" w:firstLine="0"/>
              <w:jc w:val="left"/>
              <w:keepLines w:val="0"/>
              <w:keepNext w:val="0"/>
              <w:pageBreakBefore w:val="0"/>
              <w:spacing w:line="320" w:lineRule="exac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备注：1、安全管理人员须具有行政部门颁发相应的证书；</w:t>
            </w:r>
            <w:r/>
          </w:p>
          <w:p>
            <w:pPr>
              <w:numPr>
                <w:ilvl w:val="0"/>
                <w:numId w:val="0"/>
              </w:numPr>
              <w:ind w:left="0" w:firstLine="0"/>
              <w:jc w:val="left"/>
              <w:keepLines w:val="0"/>
              <w:keepNext w:val="0"/>
              <w:pageBreakBefore w:val="0"/>
              <w:spacing w:line="320" w:lineRule="exact"/>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2、业绩须同步提供劳动合同、任职证明，缺一不予计分；</w:t>
            </w:r>
            <w:r/>
          </w:p>
          <w:p>
            <w:pPr>
              <w:numPr>
                <w:ilvl w:val="0"/>
                <w:numId w:val="0"/>
              </w:numPr>
              <w:ind w:left="0"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bidi="ar-SA"/>
              </w:rPr>
              <w:t xml:space="preserve">3、</w:t>
            </w:r>
            <w:r>
              <w:rPr>
                <w:rFonts w:hint="eastAsia" w:asciiTheme="minorEastAsia" w:hAnsiTheme="minorEastAsia" w:eastAsiaTheme="minorEastAsia" w:cstheme="minorEastAsia"/>
                <w:color w:val="000000"/>
                <w:sz w:val="21"/>
                <w:szCs w:val="21"/>
                <w:highlight w:val="none"/>
                <w:lang w:val="en-US" w:eastAsia="zh-CN"/>
              </w:rPr>
              <w:t xml:space="preserve">业绩须提供河道</w:t>
            </w:r>
            <w:r>
              <w:rPr>
                <w:rFonts w:hint="eastAsia" w:asciiTheme="minorEastAsia" w:hAnsiTheme="minorEastAsia" w:cstheme="minorEastAsia"/>
                <w:color w:val="000000"/>
                <w:sz w:val="21"/>
                <w:szCs w:val="21"/>
                <w:highlight w:val="none"/>
                <w:lang w:val="en-US" w:eastAsia="zh-CN"/>
              </w:rPr>
              <w:t xml:space="preserve">是否为流域性河道的</w:t>
            </w:r>
            <w:r>
              <w:rPr>
                <w:rFonts w:hint="eastAsia" w:asciiTheme="minorEastAsia" w:hAnsiTheme="minorEastAsia" w:eastAsiaTheme="minorEastAsia" w:cstheme="minorEastAsia"/>
                <w:color w:val="000000"/>
                <w:sz w:val="21"/>
                <w:szCs w:val="21"/>
                <w:highlight w:val="none"/>
                <w:lang w:val="en-US" w:eastAsia="zh-CN"/>
              </w:rPr>
              <w:t xml:space="preserve">证明材料，如未提供河道</w:t>
            </w:r>
            <w:r>
              <w:rPr>
                <w:rFonts w:hint="eastAsia" w:asciiTheme="minorEastAsia" w:hAnsiTheme="minorEastAsia" w:cstheme="minorEastAsia"/>
                <w:color w:val="000000"/>
                <w:sz w:val="21"/>
                <w:szCs w:val="21"/>
                <w:highlight w:val="none"/>
                <w:lang w:val="en-US" w:eastAsia="zh-CN"/>
              </w:rPr>
              <w:t xml:space="preserve">为流域性河道的</w:t>
            </w:r>
            <w:r>
              <w:rPr>
                <w:rFonts w:hint="eastAsia" w:asciiTheme="minorEastAsia" w:hAnsiTheme="minorEastAsia" w:eastAsiaTheme="minorEastAsia" w:cstheme="minorEastAsia"/>
                <w:color w:val="000000"/>
                <w:sz w:val="21"/>
                <w:szCs w:val="21"/>
                <w:highlight w:val="none"/>
                <w:lang w:val="en-US" w:eastAsia="zh-CN"/>
              </w:rPr>
              <w:t xml:space="preserve">证明则不得分。如江苏省内的河道需提供《江苏省骨干河道名录（2018年修订）》。</w:t>
            </w:r>
            <w:r/>
          </w:p>
        </w:tc>
      </w:tr>
      <w:tr>
        <w:trPr>
          <w:jc w:val="center"/>
          <w:trHeight w:val="90"/>
        </w:trPr>
        <w:tc>
          <w:tcPr>
            <w:tcW w:w="1310" w:type="dxa"/>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配置保障</w:t>
            </w:r>
            <w:r/>
          </w:p>
        </w:tc>
        <w:tc>
          <w:tcPr>
            <w:gridSpan w:val="2"/>
            <w:tcW w:w="833" w:type="dxa"/>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cstheme="minorEastAsia"/>
                <w:color w:val="auto"/>
                <w:sz w:val="21"/>
                <w:szCs w:val="21"/>
                <w:highlight w:val="none"/>
                <w:lang w:val="en-US" w:eastAsia="zh-CN"/>
              </w:rPr>
              <w:t xml:space="preserve">7</w:t>
            </w:r>
            <w:r/>
          </w:p>
        </w:tc>
        <w:tc>
          <w:tcPr>
            <w:tcW w:w="7121" w:type="dxa"/>
            <w:vAlign w:val="top"/>
            <w:textDirection w:val="lrTb"/>
            <w:noWrap w:val="false"/>
          </w:tcPr>
          <w:p>
            <w:pPr>
              <w:numPr>
                <w:ilvl w:val="0"/>
                <w:numId w:val="0"/>
              </w:numPr>
              <w:ind w:left="0" w:firstLine="0"/>
              <w:jc w:val="left"/>
              <w:keepLines w:val="0"/>
              <w:keepNext w:val="0"/>
              <w:pageBreakBefore w:val="0"/>
              <w:spacing w:line="320" w:lineRule="exact"/>
              <w:widowControl w:val="off"/>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 xml:space="preserve">1、全自动打捞保洁船：配备载货量不小于 10 立方米（或发动机功率不低于 50 千瓦）的全自动打捞保洁船，每艘得 3 分，本项最多按 2 艘计分，本项最高得6分。</w:t>
            </w:r>
            <w:r/>
          </w:p>
          <w:p>
            <w:pPr>
              <w:numPr>
                <w:ilvl w:val="0"/>
                <w:numId w:val="0"/>
              </w:numPr>
              <w:ind w:left="0" w:firstLine="0"/>
              <w:jc w:val="left"/>
              <w:keepLines w:val="0"/>
              <w:keepNext w:val="0"/>
              <w:pageBreakBefore w:val="0"/>
              <w:spacing w:line="320" w:lineRule="exact"/>
              <w:widowControl w:val="off"/>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 xml:space="preserve">2、运输船：配备运输船1艘，吨位50吨及以上得2分，吨位不足50吨得1分，本项仅限计1艘分值，本项最高的2分。</w:t>
            </w:r>
            <w:r/>
          </w:p>
          <w:p>
            <w:pPr>
              <w:numPr>
                <w:ilvl w:val="0"/>
                <w:numId w:val="0"/>
              </w:numPr>
              <w:ind w:left="0" w:firstLine="0"/>
              <w:jc w:val="left"/>
              <w:keepLines w:val="0"/>
              <w:keepNext w:val="0"/>
              <w:pageBreakBefore w:val="0"/>
              <w:spacing w:line="320" w:lineRule="exact"/>
              <w:widowControl w:val="off"/>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 xml:space="preserve">3、辅助小型作业船只：足额配备4艘辅助小型作业船只得4分，数量缺少任意1艘本项不得分。</w:t>
            </w:r>
            <w:r/>
          </w:p>
          <w:p>
            <w:pPr>
              <w:numPr>
                <w:ilvl w:val="0"/>
                <w:numId w:val="0"/>
              </w:numPr>
              <w:ind w:left="0" w:firstLine="0"/>
              <w:jc w:val="left"/>
              <w:keepLines w:val="0"/>
              <w:keepNext w:val="0"/>
              <w:pageBreakBefore w:val="0"/>
              <w:spacing w:line="320" w:lineRule="exact"/>
              <w:widowControl w:val="off"/>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 xml:space="preserve">4、操作人员配置：投入本项目本单位操作人员不少于7人，每艘船均须配备 1 名持有市级及以上地方海事局核发《内河船舶船员适任证书》的操作人员，足额配置7 人得 5 分，人数缺少任意 1 人本项不得分。</w:t>
            </w:r>
            <w:r/>
          </w:p>
          <w:p>
            <w:pPr>
              <w:numPr>
                <w:ilvl w:val="0"/>
                <w:numId w:val="0"/>
              </w:numPr>
              <w:ind w:left="0" w:firstLine="0"/>
              <w:jc w:val="left"/>
              <w:keepLines w:val="0"/>
              <w:keepNext w:val="0"/>
              <w:pageBreakBefore w:val="0"/>
              <w:spacing w:line="320" w:lineRule="exact"/>
              <w:widowControl w:val="off"/>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 xml:space="preserve">备注：1、提供发票扫描件</w:t>
            </w:r>
            <w:r>
              <w:rPr>
                <w:rFonts w:hint="eastAsia" w:asciiTheme="minorEastAsia" w:hAnsiTheme="minorEastAsia" w:eastAsiaTheme="minorEastAsia" w:cstheme="minorEastAsia"/>
                <w:color w:val="000000"/>
                <w:sz w:val="21"/>
                <w:szCs w:val="21"/>
                <w:highlight w:val="none"/>
                <w:lang w:val="en-US" w:eastAsia="zh-CN"/>
              </w:rPr>
              <w:t xml:space="preserve">(运输船无需提供发票扫描件)</w:t>
            </w:r>
            <w:r>
              <w:rPr>
                <w:rFonts w:hint="default" w:asciiTheme="minorEastAsia" w:hAnsiTheme="minorEastAsia" w:eastAsiaTheme="minorEastAsia" w:cstheme="minorEastAsia"/>
                <w:color w:val="000000"/>
                <w:sz w:val="21"/>
                <w:szCs w:val="21"/>
                <w:highlight w:val="none"/>
                <w:lang w:val="en-US" w:eastAsia="zh-CN"/>
              </w:rPr>
              <w:t xml:space="preserve">，还需提供船只发动机编号清晰照片、市级及以上地方海事部门颁发相关的船舶检验证书或出厂合格证明材料，未提供相关材料或提供不全的不得分;</w:t>
            </w:r>
            <w:r/>
          </w:p>
          <w:p>
            <w:pPr>
              <w:numPr>
                <w:ilvl w:val="0"/>
                <w:numId w:val="0"/>
              </w:numPr>
              <w:ind w:left="0" w:firstLine="0"/>
              <w:jc w:val="left"/>
              <w:keepLines w:val="0"/>
              <w:keepNext w:val="0"/>
              <w:pageBreakBefore w:val="0"/>
              <w:spacing w:line="320" w:lineRule="exact"/>
              <w:widowControl w:val="off"/>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 xml:space="preserve">2、操作人员须提供自 2026年3月起至投标截止当月，至少1个月在本单位缴纳、加盖单位公章的社保证明扫描件，不符要求不得分。</w:t>
            </w:r>
            <w:r/>
          </w:p>
          <w:p>
            <w:pPr>
              <w:numPr>
                <w:ilvl w:val="0"/>
                <w:numId w:val="0"/>
              </w:numPr>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r>
      <w:tr>
        <w:trPr>
          <w:jc w:val="center"/>
          <w:trHeight w:val="551"/>
        </w:trPr>
        <w:tc>
          <w:tcPr>
            <w:gridSpan w:val="4"/>
            <w:tcW w:w="9264" w:type="dxa"/>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技术分（</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en-US" w:eastAsia="zh-CN"/>
              </w:rPr>
              <w:t xml:space="preserve">分</w:t>
            </w:r>
            <w:r>
              <w:rPr>
                <w:rFonts w:hint="eastAsia" w:asciiTheme="minorEastAsia" w:hAnsiTheme="minorEastAsia" w:eastAsiaTheme="minorEastAsia" w:cstheme="minorEastAsia"/>
                <w:color w:val="auto"/>
                <w:sz w:val="21"/>
                <w:szCs w:val="21"/>
                <w:highlight w:val="none"/>
              </w:rPr>
              <w:t xml:space="preserve">）</w:t>
            </w:r>
            <w:r/>
          </w:p>
        </w:tc>
      </w:tr>
      <w:tr>
        <w:trPr>
          <w:jc w:val="center"/>
          <w:trHeight w:val="551"/>
        </w:trPr>
        <w:tc>
          <w:tcPr>
            <w:gridSpan w:val="2"/>
            <w:tcW w:w="1312" w:type="dxa"/>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管理</w:t>
            </w:r>
            <w:r>
              <w:rPr>
                <w:rFonts w:hint="eastAsia" w:asciiTheme="minorEastAsia" w:hAnsiTheme="minorEastAsia" w:eastAsiaTheme="minorEastAsia" w:cstheme="minorEastAsia"/>
                <w:color w:val="auto"/>
                <w:sz w:val="21"/>
                <w:szCs w:val="21"/>
                <w:highlight w:val="none"/>
                <w:lang w:eastAsia="zh-CN"/>
              </w:rPr>
              <w:t xml:space="preserve">模式</w:t>
            </w:r>
            <w:r>
              <w:rPr>
                <w:rFonts w:hint="eastAsia" w:asciiTheme="minorEastAsia" w:hAnsiTheme="minorEastAsia" w:eastAsiaTheme="minorEastAsia" w:cstheme="minorEastAsia"/>
                <w:color w:val="auto"/>
                <w:sz w:val="21"/>
                <w:szCs w:val="21"/>
                <w:highlight w:val="none"/>
              </w:rPr>
              <w:t xml:space="preserve">及目标</w:t>
            </w:r>
            <w:r/>
          </w:p>
        </w:tc>
        <w:tc>
          <w:tcPr>
            <w:tcW w:w="831" w:type="dxa"/>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p>
        </w:tc>
        <w:tc>
          <w:tcPr>
            <w:tcW w:w="7121" w:type="dxa"/>
            <w:vAlign w:val="center"/>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投标人应在标书中明确表述出对招标项目的河道垃圾清捞收集及清运服务的管理</w:t>
            </w:r>
            <w:r>
              <w:rPr>
                <w:rFonts w:hint="eastAsia" w:asciiTheme="minorEastAsia" w:hAnsiTheme="minorEastAsia" w:eastAsiaTheme="minorEastAsia" w:cstheme="minorEastAsia"/>
                <w:color w:val="auto"/>
                <w:sz w:val="21"/>
                <w:szCs w:val="21"/>
                <w:highlight w:val="none"/>
                <w:lang w:eastAsia="zh-CN"/>
              </w:rPr>
              <w:t xml:space="preserve">模式</w:t>
            </w:r>
            <w:r>
              <w:rPr>
                <w:rFonts w:hint="eastAsia" w:asciiTheme="minorEastAsia" w:hAnsiTheme="minorEastAsia" w:eastAsiaTheme="minorEastAsia" w:cstheme="minorEastAsia"/>
                <w:color w:val="auto"/>
                <w:sz w:val="21"/>
                <w:szCs w:val="21"/>
                <w:highlight w:val="none"/>
              </w:rPr>
              <w:t xml:space="preserve">及目标</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包括河道垃圾清捞、分类、清运、保洁、质量、安全等</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管理</w:t>
            </w:r>
            <w:r>
              <w:rPr>
                <w:rFonts w:hint="eastAsia" w:asciiTheme="minorEastAsia" w:hAnsiTheme="minorEastAsia" w:eastAsiaTheme="minorEastAsia" w:cstheme="minorEastAsia"/>
                <w:color w:val="auto"/>
                <w:sz w:val="21"/>
                <w:szCs w:val="21"/>
                <w:highlight w:val="none"/>
                <w:lang w:eastAsia="zh-CN"/>
              </w:rPr>
              <w:t xml:space="preserve">模式</w:t>
            </w:r>
            <w:r>
              <w:rPr>
                <w:rFonts w:hint="eastAsia" w:asciiTheme="minorEastAsia" w:hAnsiTheme="minorEastAsia" w:eastAsiaTheme="minorEastAsia" w:cstheme="minorEastAsia"/>
                <w:color w:val="auto"/>
                <w:sz w:val="21"/>
                <w:szCs w:val="21"/>
                <w:highlight w:val="none"/>
              </w:rPr>
              <w:t xml:space="preserve">应从适应招标项目实际情况，</w:t>
            </w:r>
            <w:r>
              <w:rPr>
                <w:rFonts w:hint="eastAsia" w:asciiTheme="minorEastAsia" w:hAnsiTheme="minorEastAsia" w:eastAsiaTheme="minorEastAsia" w:cstheme="minorEastAsia"/>
                <w:color w:val="auto"/>
                <w:sz w:val="21"/>
                <w:szCs w:val="21"/>
                <w:highlight w:val="none"/>
                <w:lang w:val="en-US" w:eastAsia="zh-CN"/>
              </w:rPr>
              <w:t xml:space="preserve">内容完整，优于项目需求的得6分；</w:t>
            </w:r>
            <w:r>
              <w:rPr>
                <w:rFonts w:hint="eastAsia" w:asciiTheme="minorEastAsia" w:hAnsiTheme="minorEastAsia" w:eastAsiaTheme="minorEastAsia" w:cstheme="minorEastAsia"/>
                <w:color w:val="auto"/>
                <w:sz w:val="21"/>
                <w:szCs w:val="21"/>
                <w:highlight w:val="none"/>
              </w:rPr>
              <w:t xml:space="preserve">满足采购人服务管理需求，目标明确可操作性强的</w:t>
            </w:r>
            <w:r>
              <w:rPr>
                <w:rFonts w:hint="eastAsia" w:asciiTheme="minorEastAsia" w:hAnsiTheme="minorEastAsia" w:eastAsiaTheme="minorEastAsia" w:cstheme="minorEastAsia"/>
                <w:color w:val="auto"/>
                <w:sz w:val="21"/>
                <w:szCs w:val="21"/>
                <w:highlight w:val="none"/>
                <w:lang w:eastAsia="zh-CN"/>
              </w:rPr>
              <w:t xml:space="preserve">得</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分；针对性一般、目标内容基本明确的</w:t>
            </w:r>
            <w:r>
              <w:rPr>
                <w:rFonts w:hint="eastAsia" w:asciiTheme="minorEastAsia" w:hAnsiTheme="minorEastAsia" w:eastAsiaTheme="minorEastAsia" w:cstheme="minorEastAsia"/>
                <w:color w:val="auto"/>
                <w:sz w:val="21"/>
                <w:szCs w:val="21"/>
                <w:highlight w:val="none"/>
                <w:lang w:eastAsia="zh-CN"/>
              </w:rPr>
              <w:t xml:space="preserve">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分；针对性欠佳，目标内容表述不清的</w:t>
            </w:r>
            <w:r>
              <w:rPr>
                <w:rFonts w:hint="eastAsia" w:asciiTheme="minorEastAsia" w:hAnsiTheme="minorEastAsia" w:eastAsiaTheme="minorEastAsia" w:cstheme="minorEastAsia"/>
                <w:color w:val="auto"/>
                <w:sz w:val="21"/>
                <w:szCs w:val="21"/>
                <w:highlight w:val="none"/>
                <w:lang w:eastAsia="zh-CN"/>
              </w:rPr>
              <w:t xml:space="preserve">得</w:t>
            </w:r>
            <w:r>
              <w:rPr>
                <w:rFonts w:hint="eastAsia" w:asciiTheme="minorEastAsia" w:hAnsiTheme="minorEastAsia" w:eastAsiaTheme="minorEastAsia" w:cstheme="minorEastAsia"/>
                <w:color w:val="auto"/>
                <w:sz w:val="21"/>
                <w:szCs w:val="21"/>
                <w:highlight w:val="none"/>
                <w:lang w:val="en-US" w:eastAsia="zh-CN"/>
              </w:rPr>
              <w:t xml:space="preserve">3分。未提供本项内容的本项不得分。</w:t>
            </w:r>
            <w:r/>
          </w:p>
        </w:tc>
      </w:tr>
      <w:tr>
        <w:trPr>
          <w:jc w:val="center"/>
          <w:trHeight w:val="551"/>
        </w:trPr>
        <w:tc>
          <w:tcPr>
            <w:gridSpan w:val="2"/>
            <w:shd w:val="clear" w:color="auto" w:fill="auto"/>
            <w:tcW w:w="1312" w:type="dxa"/>
            <w:vAlign w:val="top"/>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项目的管理机构、各部门分工</w:t>
            </w:r>
            <w:r/>
          </w:p>
        </w:tc>
        <w:tc>
          <w:tcPr>
            <w:shd w:val="clear" w:color="auto" w:fill="auto"/>
            <w:tcW w:w="831" w:type="dxa"/>
            <w:vAlign w:val="top"/>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w:t>
            </w:r>
            <w:r/>
          </w:p>
        </w:tc>
        <w:tc>
          <w:tcPr>
            <w:shd w:val="clear" w:color="auto" w:fill="auto"/>
            <w:tcW w:w="7121" w:type="dxa"/>
            <w:vAlign w:val="top"/>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项目管理机构</w:t>
            </w:r>
            <w:r>
              <w:rPr>
                <w:rFonts w:hint="eastAsia" w:asciiTheme="minorEastAsia" w:hAnsiTheme="minorEastAsia" w:eastAsiaTheme="minorEastAsia" w:cstheme="minorEastAsia"/>
                <w:color w:val="auto"/>
                <w:sz w:val="21"/>
                <w:szCs w:val="21"/>
                <w:highlight w:val="none"/>
                <w:lang w:eastAsia="zh-CN"/>
              </w:rPr>
              <w:t xml:space="preserve">及</w:t>
            </w:r>
            <w:r>
              <w:rPr>
                <w:rFonts w:hint="eastAsia" w:asciiTheme="minorEastAsia" w:hAnsiTheme="minorEastAsia" w:eastAsiaTheme="minorEastAsia" w:cstheme="minorEastAsia"/>
                <w:color w:val="auto"/>
                <w:sz w:val="21"/>
                <w:szCs w:val="21"/>
                <w:highlight w:val="none"/>
              </w:rPr>
              <w:t xml:space="preserve">各部门分工明确完整、全面、与现场实际情况结合切实可行</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内容完整，优于项目需求的得6分；</w:t>
            </w:r>
            <w:r>
              <w:rPr>
                <w:rFonts w:hint="eastAsia" w:asciiTheme="minorEastAsia" w:hAnsiTheme="minorEastAsia" w:eastAsiaTheme="minorEastAsia" w:cstheme="minorEastAsia"/>
                <w:color w:val="auto"/>
                <w:sz w:val="21"/>
                <w:szCs w:val="21"/>
                <w:highlight w:val="none"/>
              </w:rPr>
              <w:t xml:space="preserve">满足采购人服务管理需求，目标明确可操作性强的</w:t>
            </w:r>
            <w:r>
              <w:rPr>
                <w:rFonts w:hint="eastAsia" w:asciiTheme="minorEastAsia" w:hAnsiTheme="minorEastAsia" w:eastAsiaTheme="minorEastAsia" w:cstheme="minorEastAsia"/>
                <w:color w:val="auto"/>
                <w:sz w:val="21"/>
                <w:szCs w:val="21"/>
                <w:highlight w:val="none"/>
                <w:lang w:eastAsia="zh-CN"/>
              </w:rPr>
              <w:t xml:space="preserve">得</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分；针对性一般、目标内容基本明确的</w:t>
            </w:r>
            <w:r>
              <w:rPr>
                <w:rFonts w:hint="eastAsia" w:asciiTheme="minorEastAsia" w:hAnsiTheme="minorEastAsia" w:eastAsiaTheme="minorEastAsia" w:cstheme="minorEastAsia"/>
                <w:color w:val="auto"/>
                <w:sz w:val="21"/>
                <w:szCs w:val="21"/>
                <w:highlight w:val="none"/>
                <w:lang w:eastAsia="zh-CN"/>
              </w:rPr>
              <w:t xml:space="preserve">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分；针对性欠佳，目标内容表述不清的</w:t>
            </w:r>
            <w:r>
              <w:rPr>
                <w:rFonts w:hint="eastAsia" w:asciiTheme="minorEastAsia" w:hAnsiTheme="minorEastAsia" w:eastAsiaTheme="minorEastAsia" w:cstheme="minorEastAsia"/>
                <w:color w:val="auto"/>
                <w:sz w:val="21"/>
                <w:szCs w:val="21"/>
                <w:highlight w:val="none"/>
                <w:lang w:eastAsia="zh-CN"/>
              </w:rPr>
              <w:t xml:space="preserve">得</w:t>
            </w:r>
            <w:r>
              <w:rPr>
                <w:rFonts w:hint="eastAsia" w:asciiTheme="minorEastAsia" w:hAnsiTheme="minorEastAsia" w:eastAsiaTheme="minorEastAsia" w:cstheme="minorEastAsia"/>
                <w:color w:val="auto"/>
                <w:sz w:val="21"/>
                <w:szCs w:val="21"/>
                <w:highlight w:val="none"/>
                <w:lang w:val="en-US" w:eastAsia="zh-CN"/>
              </w:rPr>
              <w:t xml:space="preserve">3分。未提供本项内容的本项不得分。</w:t>
            </w:r>
            <w:r/>
          </w:p>
        </w:tc>
      </w:tr>
      <w:tr>
        <w:trPr>
          <w:jc w:val="center"/>
          <w:trHeight w:val="551"/>
        </w:trPr>
        <w:tc>
          <w:tcPr>
            <w:gridSpan w:val="2"/>
            <w:shd w:val="clear" w:color="auto" w:fill="auto"/>
            <w:tcW w:w="1312" w:type="dxa"/>
            <w:vAlign w:val="top"/>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人员配备</w:t>
            </w:r>
            <w:r/>
          </w:p>
        </w:tc>
        <w:tc>
          <w:tcPr>
            <w:shd w:val="clear" w:color="auto" w:fill="auto"/>
            <w:tcW w:w="831" w:type="dxa"/>
            <w:vAlign w:val="top"/>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6</w:t>
            </w:r>
            <w:r/>
          </w:p>
        </w:tc>
        <w:tc>
          <w:tcPr>
            <w:shd w:val="clear" w:color="auto" w:fill="auto"/>
            <w:tcW w:w="7121" w:type="dxa"/>
            <w:vAlign w:val="top"/>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根据投标人项目管理架构、岗位设置、职责分工、管理技术人员的经验、专业水平，对人员配置方案的完整性、合理性、可行性进行综合评价。分工明确，配置方案完整，科学合理，针对性内容完整，优于项目需求的得6分；满足采购人服务管理需求，目标明确可操作性强的得5分；针对性一般、目标内容基本明确的得4分；针对性欠佳，目标内容表述不清的得3分。未提供本项内容的本项不得分。</w:t>
            </w:r>
            <w:r/>
          </w:p>
          <w:p>
            <w:pPr>
              <w:ind w:firstLine="0"/>
              <w:jc w:val="left"/>
              <w:keepLines w:val="0"/>
              <w:keepNext w:val="0"/>
              <w:pageBreakBefore w:val="0"/>
              <w:spacing w:line="320" w:lineRule="exact"/>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注：项目组成人员在本项目服务期内不得在其他项目中兼职，一旦发现，招标人有权取消其中标资格并追究其相应责任。</w:t>
            </w:r>
            <w:r/>
          </w:p>
        </w:tc>
      </w:tr>
      <w:tr>
        <w:trPr>
          <w:jc w:val="center"/>
          <w:trHeight w:val="551"/>
        </w:trPr>
        <w:tc>
          <w:tcPr>
            <w:gridSpan w:val="2"/>
            <w:shd w:val="clear" w:color="auto" w:fill="auto"/>
            <w:tcW w:w="1312" w:type="dxa"/>
            <w:vAlign w:val="top"/>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r>
            <w:r/>
          </w:p>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r>
            <w:r/>
          </w:p>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 xml:space="preserve">各项操作程序、管护保洁标准</w:t>
            </w:r>
            <w:r/>
          </w:p>
        </w:tc>
        <w:tc>
          <w:tcPr>
            <w:shd w:val="clear" w:color="auto" w:fill="auto"/>
            <w:tcW w:w="831" w:type="dxa"/>
            <w:vAlign w:val="top"/>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w:t>
            </w:r>
            <w:r/>
          </w:p>
        </w:tc>
        <w:tc>
          <w:tcPr>
            <w:shd w:val="clear" w:color="auto" w:fill="auto"/>
            <w:tcW w:w="7121" w:type="dxa"/>
            <w:vAlign w:val="top"/>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针对本项目，根据招标需求及河道情况制定相应的工作流程预案，提出相应的管护保洁标准方案，保证工作的顺利开展；工作流程预案、管护保洁标准方案内容完整、具体、合理、与现场实际情况结合切实可行，优于项目需求的得6分；</w:t>
            </w:r>
            <w:r>
              <w:rPr>
                <w:rFonts w:hint="eastAsia" w:asciiTheme="minorEastAsia" w:hAnsiTheme="minorEastAsia" w:eastAsiaTheme="minorEastAsia" w:cstheme="minorEastAsia"/>
                <w:color w:val="auto"/>
                <w:sz w:val="21"/>
                <w:szCs w:val="21"/>
                <w:highlight w:val="none"/>
                <w:lang w:eastAsia="zh-CN"/>
              </w:rPr>
              <w:t xml:space="preserve">满足采购人服务管理需求，目标明确可操作性强的得</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lang w:eastAsia="zh-CN"/>
              </w:rPr>
              <w:t xml:space="preserve">分；针对性一般、目标内容基本明确的得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eastAsia="zh-CN"/>
              </w:rPr>
              <w:t xml:space="preserve">分；针对性欠佳，目标内容表述不清的得</w:t>
            </w:r>
            <w:r>
              <w:rPr>
                <w:rFonts w:hint="eastAsia" w:asciiTheme="minorEastAsia" w:hAnsiTheme="minorEastAsia" w:eastAsiaTheme="minorEastAsia" w:cstheme="minorEastAsia"/>
                <w:color w:val="auto"/>
                <w:sz w:val="21"/>
                <w:szCs w:val="21"/>
                <w:highlight w:val="none"/>
                <w:lang w:val="en-US" w:eastAsia="zh-CN"/>
              </w:rPr>
              <w:t xml:space="preserve">3分。未提供本项内容的本项不得分。</w:t>
            </w:r>
            <w:r/>
          </w:p>
        </w:tc>
      </w:tr>
      <w:tr>
        <w:trPr>
          <w:jc w:val="center"/>
          <w:trHeight w:val="551"/>
        </w:trPr>
        <w:tc>
          <w:tcPr>
            <w:gridSpan w:val="2"/>
            <w:shd w:val="clear" w:color="auto" w:fill="auto"/>
            <w:tcW w:w="1312" w:type="dxa"/>
            <w:vAlign w:val="top"/>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r>
            <w:r/>
          </w:p>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r>
            <w:r/>
          </w:p>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 xml:space="preserve">日常打捞保障体系及措施</w:t>
            </w:r>
            <w:r/>
          </w:p>
        </w:tc>
        <w:tc>
          <w:tcPr>
            <w:shd w:val="clear" w:color="auto" w:fill="auto"/>
            <w:tcW w:w="831" w:type="dxa"/>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w:t>
            </w:r>
            <w:r/>
          </w:p>
        </w:tc>
        <w:tc>
          <w:tcPr>
            <w:shd w:val="clear" w:color="auto" w:fill="auto"/>
            <w:tcW w:w="7121" w:type="dxa"/>
            <w:vAlign w:val="top"/>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项目配备人员需接受安全培训且配备齐全的防护措施，船只各项防护措施需配备齐全；项目配备人员安全培训方案全面、防护措施齐全、船只各项防护措施齐全，优于项目需求的得6分；</w:t>
            </w:r>
            <w:r>
              <w:rPr>
                <w:rFonts w:hint="eastAsia" w:asciiTheme="minorEastAsia" w:hAnsiTheme="minorEastAsia" w:eastAsiaTheme="minorEastAsia" w:cstheme="minorEastAsia"/>
                <w:color w:val="auto"/>
                <w:sz w:val="21"/>
                <w:szCs w:val="21"/>
                <w:highlight w:val="none"/>
                <w:lang w:eastAsia="zh-CN"/>
              </w:rPr>
              <w:t xml:space="preserve">满足采购人服务管理需求，目标明确可操作性强的得</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lang w:eastAsia="zh-CN"/>
              </w:rPr>
              <w:t xml:space="preserve">分；针对性一般、目标内容基本明确的得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eastAsia="zh-CN"/>
              </w:rPr>
              <w:t xml:space="preserve">分</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eastAsia="zh-CN"/>
              </w:rPr>
              <w:t xml:space="preserve">针对性欠佳，目标内容表述不清的得</w:t>
            </w:r>
            <w:r>
              <w:rPr>
                <w:rFonts w:hint="eastAsia" w:asciiTheme="minorEastAsia" w:hAnsiTheme="minorEastAsia" w:eastAsiaTheme="minorEastAsia" w:cstheme="minorEastAsia"/>
                <w:color w:val="auto"/>
                <w:sz w:val="21"/>
                <w:szCs w:val="21"/>
                <w:highlight w:val="none"/>
                <w:lang w:val="en-US" w:eastAsia="zh-CN"/>
              </w:rPr>
              <w:t xml:space="preserve">3分。未提供本项内容的本项不得分。</w:t>
            </w:r>
            <w:r/>
          </w:p>
        </w:tc>
      </w:tr>
      <w:tr>
        <w:trPr>
          <w:jc w:val="center"/>
          <w:trHeight w:val="551"/>
        </w:trPr>
        <w:tc>
          <w:tcPr>
            <w:gridSpan w:val="2"/>
            <w:shd w:val="clear" w:color="auto" w:fill="auto"/>
            <w:tcW w:w="1312" w:type="dxa"/>
            <w:vAlign w:val="top"/>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r>
            <w:r/>
          </w:p>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r>
            <w:r/>
          </w:p>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 xml:space="preserve">质量保证体系及措施</w:t>
            </w:r>
            <w:r/>
          </w:p>
        </w:tc>
        <w:tc>
          <w:tcPr>
            <w:shd w:val="clear" w:color="auto" w:fill="auto"/>
            <w:tcW w:w="831" w:type="dxa"/>
            <w:vAlign w:val="top"/>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w:t>
            </w:r>
            <w:r/>
          </w:p>
        </w:tc>
        <w:tc>
          <w:tcPr>
            <w:shd w:val="clear" w:color="auto" w:fill="auto"/>
            <w:tcW w:w="7121" w:type="dxa"/>
            <w:vAlign w:val="top"/>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根据本项目的特点，充分采用组织、经济、合同、技术、实时监控（打捞保洁船需配备监控设备）、协调管理、等措施预案；措施预案内容完整、具体、合理、与现场实际情况结合切实可行。优于项目需求的得6分；</w:t>
            </w:r>
            <w:r>
              <w:rPr>
                <w:rFonts w:hint="eastAsia" w:asciiTheme="minorEastAsia" w:hAnsiTheme="minorEastAsia" w:eastAsiaTheme="minorEastAsia" w:cstheme="minorEastAsia"/>
                <w:color w:val="auto"/>
                <w:sz w:val="21"/>
                <w:szCs w:val="21"/>
                <w:highlight w:val="none"/>
                <w:lang w:eastAsia="zh-CN"/>
              </w:rPr>
              <w:t xml:space="preserve">满足采购人服务管理需求，目标明确可操作性强的得</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lang w:eastAsia="zh-CN"/>
              </w:rPr>
              <w:t xml:space="preserve">分；针对性一般、目标内容基本明确的得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eastAsia="zh-CN"/>
              </w:rPr>
              <w:t xml:space="preserve">分；针对性欠佳，目标内容表述不清的得</w:t>
            </w:r>
            <w:r>
              <w:rPr>
                <w:rFonts w:hint="eastAsia" w:asciiTheme="minorEastAsia" w:hAnsiTheme="minorEastAsia" w:eastAsiaTheme="minorEastAsia" w:cstheme="minorEastAsia"/>
                <w:color w:val="auto"/>
                <w:sz w:val="21"/>
                <w:szCs w:val="21"/>
                <w:highlight w:val="none"/>
                <w:lang w:val="en-US" w:eastAsia="zh-CN"/>
              </w:rPr>
              <w:t xml:space="preserve">3分。未提供本项内容的本项不得分。</w:t>
            </w:r>
            <w:r/>
          </w:p>
        </w:tc>
      </w:tr>
      <w:tr>
        <w:trPr>
          <w:jc w:val="center"/>
          <w:trHeight w:val="551"/>
        </w:trPr>
        <w:tc>
          <w:tcPr>
            <w:gridSpan w:val="2"/>
            <w:shd w:val="clear" w:color="auto" w:fill="auto"/>
            <w:tcW w:w="1312" w:type="dxa"/>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应急方案</w:t>
            </w:r>
            <w:r/>
          </w:p>
        </w:tc>
        <w:tc>
          <w:tcPr>
            <w:shd w:val="clear" w:color="auto" w:fill="auto"/>
            <w:tcW w:w="831" w:type="dxa"/>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7</w:t>
            </w:r>
            <w:r/>
          </w:p>
        </w:tc>
        <w:tc>
          <w:tcPr>
            <w:shd w:val="clear" w:color="auto" w:fill="auto"/>
            <w:tcW w:w="7121" w:type="dxa"/>
            <w:vAlign w:val="top"/>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针对突发性事件（如自然灾害、突发疫情、临时任务等） ，应急人员配备、应急设备、应急响应时间、处理预案等情况的应对能力，切实可行并能按期完成保洁任务，优于项目需求的得</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lang w:val="en-US" w:eastAsia="zh-CN"/>
              </w:rPr>
              <w:t xml:space="preserve">分；</w:t>
            </w:r>
            <w:r>
              <w:rPr>
                <w:rFonts w:hint="eastAsia" w:asciiTheme="minorEastAsia" w:hAnsiTheme="minorEastAsia" w:eastAsiaTheme="minorEastAsia" w:cstheme="minorEastAsia"/>
                <w:color w:val="auto"/>
                <w:sz w:val="21"/>
                <w:szCs w:val="21"/>
                <w:highlight w:val="none"/>
                <w:lang w:eastAsia="zh-CN"/>
              </w:rPr>
              <w:t xml:space="preserve">满足采购人服务管理需求，目标明确可操作性强的得</w:t>
            </w:r>
            <w:r>
              <w:rPr>
                <w:rFonts w:hint="eastAsia" w:asciiTheme="minorEastAsia" w:hAnsi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lang w:eastAsia="zh-CN"/>
              </w:rPr>
              <w:t xml:space="preserve">分；针对性一般、目标内容基本明确的得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eastAsia="zh-CN"/>
              </w:rPr>
              <w:t xml:space="preserve">分；针对性欠佳，目标内容表述不清的得</w:t>
            </w:r>
            <w:r>
              <w:rPr>
                <w:rFonts w:hint="eastAsia" w:asciiTheme="minorEastAsia" w:hAnsiTheme="minorEastAsia" w:eastAsiaTheme="minorEastAsia" w:cstheme="minorEastAsia"/>
                <w:color w:val="auto"/>
                <w:sz w:val="21"/>
                <w:szCs w:val="21"/>
                <w:highlight w:val="none"/>
                <w:lang w:val="en-US" w:eastAsia="zh-CN"/>
              </w:rPr>
              <w:t xml:space="preserve">2分。未提供本项内容的本项不得分。</w:t>
            </w:r>
            <w:r/>
          </w:p>
        </w:tc>
      </w:tr>
      <w:tr>
        <w:trPr>
          <w:jc w:val="center"/>
          <w:trHeight w:val="551"/>
        </w:trPr>
        <w:tc>
          <w:tcPr>
            <w:gridSpan w:val="2"/>
            <w:shd w:val="clear" w:color="auto" w:fill="auto"/>
            <w:tcW w:w="1312" w:type="dxa"/>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 xml:space="preserve">承诺书</w:t>
            </w:r>
            <w:r/>
          </w:p>
        </w:tc>
        <w:tc>
          <w:tcPr>
            <w:shd w:val="clear" w:color="auto" w:fill="auto"/>
            <w:tcW w:w="831" w:type="dxa"/>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9</w:t>
            </w:r>
            <w:r/>
          </w:p>
        </w:tc>
        <w:tc>
          <w:tcPr>
            <w:shd w:val="clear" w:color="auto" w:fill="auto"/>
            <w:tcW w:w="7121" w:type="dxa"/>
            <w:vAlign w:val="top"/>
            <w:textDirection w:val="lrTb"/>
            <w:noWrap w:val="false"/>
          </w:tcPr>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明确承诺安全责任完全由乙方承担。作出明确书面承诺的得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分，未有承诺的不得分；单独提供承诺，承诺格式自拟。</w:t>
            </w:r>
            <w:r/>
          </w:p>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2、承诺此次投标文件中所提供的所有船只及人员都须服务于此项目，如不能服务于本项目，自愿将本公司列入“信用盐城”网站（www.creditchina.gov.cn）政府采购严重失信行为记录名单。</w:t>
            </w:r>
            <w:r>
              <w:rPr>
                <w:rFonts w:hint="eastAsia" w:asciiTheme="minorEastAsia" w:hAnsiTheme="minorEastAsia" w:eastAsiaTheme="minorEastAsia" w:cstheme="minorEastAsia"/>
                <w:color w:val="auto"/>
                <w:sz w:val="21"/>
                <w:szCs w:val="21"/>
                <w:highlight w:val="none"/>
              </w:rPr>
              <w:t xml:space="preserve">作出明确书面承诺的得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分，未有承诺的不得分；单独提供承诺，承诺格式自拟。</w:t>
            </w:r>
            <w:r/>
          </w:p>
          <w:p>
            <w:pPr>
              <w:ind w:firstLine="0"/>
              <w:jc w:val="left"/>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3、投标文件中如提供虚假材料，自愿自动放弃中标资格，同时将本公司列入“信用盐城”网站（www.creditchina.gov.cn）政府采购严重失信行为记录名单。</w:t>
            </w:r>
            <w:r>
              <w:rPr>
                <w:rFonts w:hint="eastAsia" w:asciiTheme="minorEastAsia" w:hAnsiTheme="minorEastAsia" w:eastAsiaTheme="minorEastAsia" w:cstheme="minorEastAsia"/>
                <w:color w:val="auto"/>
                <w:sz w:val="21"/>
                <w:szCs w:val="21"/>
                <w:highlight w:val="none"/>
              </w:rPr>
              <w:t xml:space="preserve">作出明确书面承诺的得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分，未有承诺的不得分；单独提供承诺，承诺格式自拟。</w:t>
            </w:r>
            <w:r/>
          </w:p>
        </w:tc>
      </w:tr>
    </w:tbl>
    <w:p>
      <w:pPr>
        <w:rPr>
          <w:rFonts w:ascii="宋体" w:hAnsi="宋体" w:eastAsia="宋体" w:cs="黑体"/>
          <w:b/>
          <w:bCs/>
          <w:color w:val="auto"/>
          <w:sz w:val="44"/>
          <w:szCs w:val="44"/>
          <w:highlight w:val="none"/>
        </w:rPr>
      </w:pPr>
      <w:r>
        <w:rPr>
          <w:rFonts w:hint="eastAsia" w:ascii="宋体" w:hAnsi="宋体" w:eastAsia="宋体" w:cs="黑体"/>
          <w:b/>
          <w:color w:val="auto"/>
          <w:sz w:val="44"/>
          <w:szCs w:val="44"/>
          <w:highlight w:val="none"/>
        </w:rPr>
        <w:br w:type="page" w:clear="all"/>
      </w:r>
      <w:r/>
    </w:p>
    <w:p>
      <w:pPr>
        <w:pStyle w:val="785"/>
        <w:jc w:val="center"/>
        <w:spacing w:beforeAutospacing="0" w:afterAutospacing="0"/>
        <w:rPr>
          <w:rFonts w:hint="eastAsia" w:ascii="宋体" w:hAnsi="宋体" w:eastAsia="宋体" w:cs="黑体"/>
          <w:b/>
          <w:bCs/>
          <w:color w:val="auto"/>
          <w:sz w:val="44"/>
          <w:szCs w:val="44"/>
          <w:highlight w:val="none"/>
        </w:rPr>
      </w:pPr>
      <w:r>
        <w:rPr>
          <w:rFonts w:hint="eastAsia" w:ascii="宋体" w:hAnsi="宋体" w:eastAsia="宋体" w:cs="黑体"/>
          <w:b/>
          <w:color w:val="auto"/>
          <w:sz w:val="44"/>
          <w:szCs w:val="44"/>
          <w:highlight w:val="none"/>
        </w:rPr>
        <w:t xml:space="preserve">第六章  投标文件格式</w:t>
      </w:r>
      <w:r/>
    </w:p>
    <w:p>
      <w:pPr>
        <w:pStyle w:val="785"/>
        <w:ind w:firstLine="1440"/>
        <w:jc w:val="center"/>
        <w:spacing w:beforeAutospacing="0" w:afterAutospacing="0"/>
        <w:rPr>
          <w:rFonts w:ascii="宋体" w:hAnsi="宋体" w:eastAsia="宋体" w:cs="宋体"/>
          <w:b/>
          <w:color w:val="auto"/>
          <w:sz w:val="72"/>
          <w:szCs w:val="72"/>
          <w:highlight w:val="none"/>
        </w:rPr>
      </w:pPr>
      <w:r/>
      <w:bookmarkStart w:id="188" w:name="_Hlt26671244"/>
      <w:r/>
      <w:bookmarkEnd w:id="188"/>
      <w:r/>
      <w:bookmarkStart w:id="189" w:name="_Toc26554094"/>
      <w:r/>
      <w:bookmarkEnd w:id="189"/>
      <w:r/>
      <w:bookmarkStart w:id="190" w:name="_Hlt26955039"/>
      <w:r/>
      <w:bookmarkEnd w:id="190"/>
      <w:r/>
      <w:bookmarkStart w:id="191" w:name="_Toc120614282"/>
      <w:r/>
      <w:bookmarkStart w:id="192" w:name="_Toc49090576"/>
      <w:r/>
      <w:r/>
    </w:p>
    <w:p>
      <w:pPr>
        <w:pStyle w:val="785"/>
        <w:ind w:firstLine="1440"/>
        <w:jc w:val="center"/>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pStyle w:val="785"/>
        <w:ind w:firstLine="1440"/>
        <w:jc w:val="center"/>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pStyle w:val="785"/>
        <w:ind w:firstLine="1440"/>
        <w:jc w:val="center"/>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pStyle w:val="785"/>
        <w:jc w:val="center"/>
        <w:spacing w:beforeAutospacing="0" w:afterAutospacing="0"/>
        <w:rPr>
          <w:rFonts w:ascii="宋体" w:hAnsi="宋体" w:eastAsia="宋体"/>
          <w:color w:val="auto"/>
          <w:highlight w:val="none"/>
        </w:rPr>
      </w:pPr>
      <w:r>
        <w:rPr>
          <w:rFonts w:hint="eastAsia" w:ascii="宋体" w:hAnsi="宋体" w:eastAsia="宋体" w:cs="宋体"/>
          <w:b/>
          <w:color w:val="auto"/>
          <w:sz w:val="72"/>
          <w:szCs w:val="72"/>
          <w:highlight w:val="none"/>
        </w:rPr>
        <w:t xml:space="preserve">投  标  文  件</w:t>
      </w:r>
      <w:r/>
    </w:p>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ind w:firstLine="720"/>
        <w:jc w:val="both"/>
        <w:spacing w:beforeAutospacing="0" w:afterAutospacing="0"/>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785"/>
        <w:ind w:firstLine="720"/>
        <w:jc w:val="both"/>
        <w:spacing w:beforeAutospacing="0" w:afterAutospacing="0"/>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785"/>
        <w:ind w:firstLine="720"/>
        <w:jc w:val="both"/>
        <w:spacing w:beforeAutospacing="0" w:afterAutospacing="0"/>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785"/>
        <w:ind w:firstLine="720"/>
        <w:jc w:val="both"/>
        <w:spacing w:beforeAutospacing="0" w:afterAutospacing="0"/>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785"/>
        <w:ind w:firstLine="723"/>
        <w:spacing w:beforeAutospacing="0" w:afterAutospacing="0"/>
        <w:rPr>
          <w:rFonts w:ascii="宋体" w:hAnsi="宋体" w:eastAsia="宋体"/>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785"/>
        <w:ind w:firstLine="723"/>
        <w:jc w:val="both"/>
        <w:spacing w:beforeAutospacing="0" w:afterAutospacing="0"/>
        <w:rPr>
          <w:rFonts w:ascii="宋体" w:hAnsi="宋体" w:eastAsia="宋体"/>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785"/>
        <w:ind w:firstLine="723"/>
        <w:jc w:val="both"/>
        <w:spacing w:beforeAutospacing="0" w:afterAutospacing="0"/>
        <w:rPr>
          <w:rFonts w:ascii="宋体" w:hAnsi="宋体" w:eastAsia="宋体"/>
          <w:color w:val="auto"/>
          <w:highlight w:val="none"/>
        </w:rPr>
      </w:pPr>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       </w:t>
      </w:r>
      <w:r/>
    </w:p>
    <w:p>
      <w:pPr>
        <w:pStyle w:val="785"/>
        <w:ind w:firstLine="723"/>
        <w:jc w:val="both"/>
        <w:spacing w:beforeAutospacing="0" w:afterAutospacing="0"/>
        <w:rPr>
          <w:rFonts w:ascii="宋体" w:hAnsi="宋体" w:eastAsia="宋体"/>
          <w:color w:val="auto"/>
          <w:highlight w:val="none"/>
        </w:rPr>
      </w:pPr>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r/>
    </w:p>
    <w:p>
      <w:pPr>
        <w:pStyle w:val="785"/>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785"/>
        <w:ind w:firstLine="72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85"/>
        <w:ind w:firstLine="64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85"/>
        <w:ind w:firstLine="643"/>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85"/>
        <w:ind w:firstLine="643"/>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ind w:firstLine="643"/>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785"/>
        <w:ind w:firstLine="643"/>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785"/>
        <w:ind w:firstLine="643"/>
        <w:jc w:val="center"/>
        <w:spacing w:beforeAutospacing="0" w:afterAutospacing="0" w:line="0" w:lineRule="atLeast"/>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投标文件目录</w:t>
      </w:r>
      <w:r/>
    </w:p>
    <w:p>
      <w:pPr>
        <w:pStyle w:val="785"/>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785"/>
        <w:ind w:firstLine="480"/>
        <w:jc w:val="both"/>
        <w:spacing w:beforeAutospacing="0" w:afterAutospacing="0" w:line="44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一、法人或者其他组织的营业执照等证明文件，自然人的身份证明</w:t>
      </w:r>
      <w:r/>
    </w:p>
    <w:p>
      <w:pPr>
        <w:pStyle w:val="785"/>
        <w:ind w:firstLine="480"/>
        <w:jc w:val="both"/>
        <w:spacing w:beforeAutospacing="0" w:afterAutospacing="0" w:line="44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二、上一年度的财务状况</w:t>
      </w:r>
      <w:r>
        <w:rPr>
          <w:rFonts w:hint="eastAsia" w:ascii="宋体" w:hAnsi="宋体" w:eastAsia="宋体" w:cs="宋体"/>
          <w:iCs/>
          <w:color w:val="auto"/>
          <w:highlight w:val="none"/>
          <w:lang w:val="en-US" w:eastAsia="zh-CN"/>
        </w:rPr>
        <w:t xml:space="preserve">报告</w:t>
      </w:r>
      <w:r>
        <w:rPr>
          <w:rFonts w:hint="eastAsia" w:ascii="宋体" w:hAnsi="宋体" w:eastAsia="宋体" w:cs="宋体"/>
          <w:iCs/>
          <w:color w:val="auto"/>
          <w:highlight w:val="none"/>
        </w:rPr>
        <w:t xml:space="preserve">（至少提供资产负债表、利润表、现金流量表，投标人成立不满一年无需提供）</w:t>
      </w:r>
      <w:r/>
    </w:p>
    <w:p>
      <w:pPr>
        <w:pStyle w:val="785"/>
        <w:ind w:firstLine="480"/>
        <w:jc w:val="both"/>
        <w:spacing w:beforeAutospacing="0" w:afterAutospacing="0" w:line="44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三、具备履行合同所必需的设备和专业技术能力的书面声明</w:t>
      </w:r>
      <w:r/>
    </w:p>
    <w:p>
      <w:pPr>
        <w:pStyle w:val="785"/>
        <w:ind w:firstLine="480"/>
        <w:jc w:val="both"/>
        <w:spacing w:beforeAutospacing="0" w:afterAutospacing="0" w:line="44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四、依法缴纳税收和社会保障资金的相关材料（</w:t>
      </w:r>
      <w:bookmarkStart w:id="193" w:name="OLE_LINK55"/>
      <w:r/>
      <w:bookmarkStart w:id="194" w:name="OLE_LINK54"/>
      <w:r>
        <w:rPr>
          <w:rFonts w:hint="eastAsia" w:ascii="宋体" w:hAnsi="宋体" w:eastAsia="宋体" w:cs="宋体"/>
          <w:iCs/>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93"/>
      <w:r/>
      <w:bookmarkEnd w:id="194"/>
      <w:r>
        <w:rPr>
          <w:rFonts w:hint="eastAsia" w:ascii="宋体" w:hAnsi="宋体" w:eastAsia="宋体" w:cs="宋体"/>
          <w:iCs/>
          <w:color w:val="auto"/>
          <w:highlight w:val="none"/>
        </w:rPr>
        <w:t xml:space="preserve">）</w:t>
      </w:r>
      <w:r/>
    </w:p>
    <w:p>
      <w:pPr>
        <w:pStyle w:val="785"/>
        <w:ind w:firstLine="480"/>
        <w:jc w:val="both"/>
        <w:spacing w:beforeAutospacing="0" w:afterAutospacing="0" w:line="44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五、参加政府采购活动前 3 年内在经营活动中没有重大违法记录的书面声明</w:t>
      </w:r>
      <w:r/>
    </w:p>
    <w:p>
      <w:pPr>
        <w:pStyle w:val="785"/>
        <w:ind w:firstLine="480"/>
        <w:jc w:val="both"/>
        <w:spacing w:beforeAutospacing="0" w:afterAutospacing="0" w:line="44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六、特定资格要求的证明文件（如果本项目设置特定资格要求，则需要提供）</w:t>
      </w:r>
      <w:r/>
    </w:p>
    <w:p>
      <w:pPr>
        <w:pStyle w:val="785"/>
        <w:ind w:firstLine="480"/>
        <w:jc w:val="both"/>
        <w:spacing w:beforeAutospacing="0" w:afterAutospacing="0" w:line="44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七、法人授权书</w:t>
      </w:r>
      <w:r/>
    </w:p>
    <w:p>
      <w:pPr>
        <w:pStyle w:val="785"/>
        <w:ind w:firstLine="480"/>
        <w:jc w:val="both"/>
        <w:spacing w:beforeAutospacing="0" w:afterAutospacing="0" w:line="44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八、投标函</w:t>
      </w:r>
      <w:r/>
    </w:p>
    <w:p>
      <w:pPr>
        <w:pStyle w:val="785"/>
        <w:ind w:firstLine="480"/>
        <w:jc w:val="both"/>
        <w:spacing w:beforeAutospacing="0" w:afterAutospacing="0" w:line="44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九、中小企业声明函</w:t>
      </w:r>
      <w:r/>
    </w:p>
    <w:p>
      <w:pPr>
        <w:pStyle w:val="785"/>
        <w:ind w:firstLine="480"/>
        <w:jc w:val="both"/>
        <w:spacing w:beforeAutospacing="0" w:afterAutospacing="0" w:line="44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十、残疾人福利性单位声明函</w:t>
      </w:r>
      <w:r/>
    </w:p>
    <w:p>
      <w:pPr>
        <w:pStyle w:val="785"/>
        <w:ind w:firstLine="480"/>
        <w:jc w:val="both"/>
        <w:spacing w:beforeAutospacing="0" w:afterAutospacing="0" w:line="44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val="en-US" w:eastAsia="zh-CN"/>
        </w:rPr>
        <w:t xml:space="preserve">一</w:t>
      </w:r>
      <w:r>
        <w:rPr>
          <w:rFonts w:hint="eastAsia" w:ascii="宋体" w:hAnsi="宋体" w:eastAsia="宋体" w:cs="宋体"/>
          <w:iCs/>
          <w:color w:val="auto"/>
          <w:highlight w:val="none"/>
        </w:rPr>
        <w:t xml:space="preserve">、</w:t>
      </w:r>
      <w:r>
        <w:rPr>
          <w:rFonts w:ascii="宋体" w:hAnsi="宋体" w:eastAsia="宋体" w:cs="宋体"/>
          <w:iCs/>
          <w:color w:val="auto"/>
          <w:highlight w:val="none"/>
        </w:rPr>
        <w:t xml:space="preserve">技术要求响应及偏离表</w:t>
      </w:r>
      <w:r/>
    </w:p>
    <w:p>
      <w:pPr>
        <w:pStyle w:val="785"/>
        <w:ind w:firstLine="480"/>
        <w:jc w:val="both"/>
        <w:spacing w:beforeAutospacing="0" w:afterAutospacing="0" w:line="44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val="en-US" w:eastAsia="zh-CN"/>
        </w:rPr>
        <w:t xml:space="preserve">二</w:t>
      </w:r>
      <w:r>
        <w:rPr>
          <w:rFonts w:hint="eastAsia" w:ascii="宋体" w:hAnsi="宋体" w:eastAsia="宋体" w:cs="宋体"/>
          <w:iCs/>
          <w:color w:val="auto"/>
          <w:highlight w:val="none"/>
        </w:rPr>
        <w:t xml:space="preserve">、商务要求响应及偏离表</w:t>
      </w:r>
      <w:r/>
    </w:p>
    <w:p>
      <w:pPr>
        <w:pStyle w:val="785"/>
        <w:ind w:firstLine="480"/>
        <w:jc w:val="both"/>
        <w:spacing w:beforeAutospacing="0" w:afterAutospacing="0" w:line="440" w:lineRule="exact"/>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十</w:t>
      </w:r>
      <w:r>
        <w:rPr>
          <w:rFonts w:hint="eastAsia" w:ascii="宋体" w:hAnsi="宋体" w:eastAsia="宋体" w:cs="宋体"/>
          <w:i w:val="0"/>
          <w:iCs/>
          <w:color w:val="auto"/>
          <w:highlight w:val="none"/>
          <w:lang w:val="en-US" w:eastAsia="zh-CN"/>
        </w:rPr>
        <w:t xml:space="preserve">三</w:t>
      </w:r>
      <w:r>
        <w:rPr>
          <w:rFonts w:hint="eastAsia" w:ascii="宋体" w:hAnsi="宋体" w:eastAsia="宋体" w:cs="宋体"/>
          <w:i w:val="0"/>
          <w:iCs/>
          <w:color w:val="auto"/>
          <w:highlight w:val="none"/>
        </w:rPr>
        <w:t xml:space="preserve">、开标一览表</w:t>
      </w:r>
      <w:r/>
    </w:p>
    <w:p>
      <w:pPr>
        <w:pStyle w:val="785"/>
        <w:ind w:firstLine="480"/>
        <w:jc w:val="both"/>
        <w:spacing w:beforeAutospacing="0" w:afterAutospacing="0" w:line="44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val="en-US" w:eastAsia="zh-CN"/>
        </w:rPr>
        <w:t xml:space="preserve">四</w:t>
      </w:r>
      <w:r>
        <w:rPr>
          <w:rFonts w:hint="eastAsia" w:ascii="宋体" w:hAnsi="宋体" w:eastAsia="宋体" w:cs="宋体"/>
          <w:iCs/>
          <w:color w:val="auto"/>
          <w:highlight w:val="none"/>
        </w:rPr>
        <w:t xml:space="preserve">、实施方案等</w:t>
      </w:r>
      <w:r/>
    </w:p>
    <w:p>
      <w:pPr>
        <w:pStyle w:val="785"/>
        <w:ind w:firstLine="480"/>
        <w:jc w:val="both"/>
        <w:spacing w:beforeAutospacing="0" w:afterAutospacing="0" w:line="440" w:lineRule="exact"/>
        <w:rPr>
          <w:rFonts w:ascii="宋体" w:hAnsi="宋体" w:eastAsia="宋体" w:cs="宋体"/>
          <w:i/>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val="en-US" w:eastAsia="zh-CN"/>
        </w:rPr>
        <w:t xml:space="preserve">五</w:t>
      </w:r>
      <w:r>
        <w:rPr>
          <w:rFonts w:hint="eastAsia" w:ascii="宋体" w:hAnsi="宋体" w:eastAsia="宋体" w:cs="宋体"/>
          <w:iCs/>
          <w:color w:val="auto"/>
          <w:highlight w:val="none"/>
        </w:rPr>
        <w:t xml:space="preserve">、</w:t>
      </w:r>
      <w:r>
        <w:rPr>
          <w:rFonts w:hint="eastAsia" w:ascii="宋体" w:hAnsi="宋体" w:eastAsia="宋体" w:cs="仿宋"/>
          <w:color w:val="auto"/>
          <w:szCs w:val="21"/>
          <w:highlight w:val="none"/>
          <w:shd w:val="clear" w:color="auto" w:fill="ffffff"/>
        </w:rPr>
        <w:t xml:space="preserve">盐城经济技术开发区</w:t>
      </w:r>
      <w:r>
        <w:rPr>
          <w:rFonts w:hint="eastAsia" w:ascii="宋体" w:hAnsi="宋体" w:eastAsia="宋体" w:cs="宋体"/>
          <w:iCs/>
          <w:color w:val="auto"/>
          <w:highlight w:val="none"/>
        </w:rPr>
        <w:t xml:space="preserve">政府采购事前信用承诺书</w:t>
      </w:r>
      <w:r/>
    </w:p>
    <w:p>
      <w:pPr>
        <w:pStyle w:val="785"/>
        <w:ind w:firstLine="48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85"/>
        <w:ind w:firstLine="482"/>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ind w:firstLine="482"/>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ind w:firstLine="482"/>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ind w:firstLine="482"/>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ind w:firstLine="482"/>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ind w:firstLine="482"/>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ind w:firstLine="482"/>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ind w:firstLine="482"/>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ind w:firstLine="482"/>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ind w:firstLine="482"/>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line="0" w:lineRule="atLeast"/>
        <w:rPr>
          <w:rFonts w:ascii="Calibri" w:hAnsi="Calibri" w:eastAsia="黑体" w:cs="Calibri"/>
          <w:color w:val="auto"/>
          <w:highlight w:val="none"/>
        </w:rPr>
      </w:pPr>
      <w:r>
        <w:rPr>
          <w:rFonts w:ascii="Calibri" w:hAnsi="Calibri" w:eastAsia="黑体" w:cs="Calibri"/>
          <w:color w:val="auto"/>
          <w:highlight w:val="none"/>
        </w:rPr>
        <w:t xml:space="preserve"> </w:t>
      </w:r>
      <w:r/>
    </w:p>
    <w:p>
      <w:pPr>
        <w:pStyle w:val="785"/>
        <w:jc w:val="both"/>
        <w:spacing w:beforeAutospacing="0" w:afterAutospacing="0" w:line="0" w:lineRule="atLeast"/>
        <w:rPr>
          <w:rFonts w:ascii="黑体" w:hAnsi="黑体" w:eastAsia="黑体"/>
          <w:color w:val="auto"/>
          <w:highlight w:val="none"/>
        </w:rPr>
      </w:pPr>
      <w:r>
        <w:rPr>
          <w:rFonts w:hint="eastAsia" w:ascii="黑体" w:hAnsi="黑体" w:eastAsia="黑体" w:cs="黑体"/>
          <w:i/>
          <w:color w:val="auto"/>
          <w:sz w:val="32"/>
          <w:szCs w:val="32"/>
          <w:highlight w:val="none"/>
          <w:u w:val="single"/>
        </w:rPr>
        <w:t xml:space="preserve">一、</w:t>
      </w:r>
      <w:bookmarkStart w:id="195" w:name="OLE_LINK48"/>
      <w:r/>
      <w:bookmarkStart w:id="196" w:name="OLE_LINK22"/>
      <w:r/>
      <w:bookmarkStart w:id="197" w:name="OLE_LINK11"/>
      <w:r/>
      <w:bookmarkStart w:id="198" w:name="OLE_LINK9"/>
      <w:r/>
      <w:bookmarkStart w:id="199" w:name="OLE_LINK10"/>
      <w:r/>
      <w:bookmarkStart w:id="200" w:name="OLE_LINK36"/>
      <w:r/>
      <w:bookmarkStart w:id="201" w:name="OLE_LINK8"/>
      <w:r/>
      <w:bookmarkStart w:id="202" w:name="OLE_LINK49"/>
      <w:r/>
      <w:bookmarkStart w:id="203" w:name="OLE_LINK56"/>
      <w:r>
        <w:rPr>
          <w:rFonts w:hint="eastAsia" w:ascii="黑体" w:hAnsi="黑体" w:eastAsia="黑体" w:cs="黑体"/>
          <w:i/>
          <w:color w:val="auto"/>
          <w:sz w:val="32"/>
          <w:szCs w:val="32"/>
          <w:highlight w:val="none"/>
          <w:u w:val="single"/>
        </w:rPr>
        <w:t xml:space="preserve">法人或者其他组织的营业执照等证明文件，自然人的身份证明</w:t>
      </w:r>
      <w:bookmarkEnd w:id="195"/>
      <w:r/>
      <w:bookmarkEnd w:id="196"/>
      <w:r/>
      <w:bookmarkEnd w:id="197"/>
      <w:r/>
      <w:bookmarkEnd w:id="198"/>
      <w:r/>
      <w:bookmarkEnd w:id="199"/>
      <w:r/>
      <w:bookmarkEnd w:id="200"/>
      <w:r/>
      <w:bookmarkEnd w:id="201"/>
      <w:r/>
      <w:bookmarkEnd w:id="202"/>
      <w:r/>
      <w:bookmarkEnd w:id="203"/>
      <w:r/>
      <w:r/>
    </w:p>
    <w:p>
      <w:pPr>
        <w:pStyle w:val="785"/>
        <w:ind w:firstLine="482"/>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rPr>
          <w:rFonts w:ascii="黑体" w:hAnsi="黑体" w:eastAsia="黑体"/>
          <w:color w:val="auto"/>
          <w:highlight w:val="none"/>
        </w:rPr>
      </w:pPr>
      <w:r>
        <w:rPr>
          <w:rFonts w:hint="eastAsia" w:ascii="黑体" w:hAnsi="黑体" w:eastAsia="黑体" w:cs="黑体"/>
          <w:i/>
          <w:color w:val="auto"/>
          <w:sz w:val="32"/>
          <w:szCs w:val="32"/>
          <w:highlight w:val="none"/>
          <w:u w:val="single"/>
        </w:rPr>
        <w:t xml:space="preserve">二、</w:t>
      </w:r>
      <w:bookmarkStart w:id="204" w:name="OLE_LINK37"/>
      <w:r/>
      <w:bookmarkStart w:id="205" w:name="OLE_LINK50"/>
      <w:r/>
      <w:bookmarkStart w:id="206" w:name="OLE_LINK38"/>
      <w:r/>
      <w:bookmarkStart w:id="207" w:name="OLE_LINK23"/>
      <w:r/>
      <w:bookmarkStart w:id="208" w:name="OLE_LINK57"/>
      <w:r/>
      <w:bookmarkStart w:id="209" w:name="OLE_LINK58"/>
      <w:r>
        <w:rPr>
          <w:rFonts w:hint="eastAsia" w:ascii="黑体" w:hAnsi="黑体" w:eastAsia="黑体" w:cs="黑体"/>
          <w:i/>
          <w:color w:val="auto"/>
          <w:sz w:val="32"/>
          <w:szCs w:val="32"/>
          <w:highlight w:val="none"/>
          <w:u w:val="single"/>
        </w:rPr>
        <w:t xml:space="preserve">上一年度的财务状况报</w:t>
      </w:r>
      <w:bookmarkEnd w:id="204"/>
      <w:r/>
      <w:bookmarkEnd w:id="205"/>
      <w:r/>
      <w:bookmarkEnd w:id="206"/>
      <w:r/>
      <w:bookmarkEnd w:id="207"/>
      <w:r>
        <w:rPr>
          <w:rFonts w:hint="eastAsia" w:ascii="黑体" w:hAnsi="黑体" w:eastAsia="黑体" w:cs="黑体"/>
          <w:i/>
          <w:color w:val="auto"/>
          <w:sz w:val="32"/>
          <w:szCs w:val="32"/>
          <w:highlight w:val="none"/>
          <w:u w:val="single"/>
        </w:rPr>
        <w:t xml:space="preserve">告</w:t>
      </w:r>
      <w:r/>
    </w:p>
    <w:p>
      <w:pPr>
        <w:ind w:firstLine="480"/>
        <w:tabs>
          <w:tab w:val="left" w:pos="1331" w:leader="none"/>
        </w:tabs>
        <w:rPr>
          <w:rFonts w:ascii="宋体" w:hAnsi="宋体" w:eastAsia="宋体" w:cs="宋体"/>
          <w:iCs/>
          <w:color w:val="auto"/>
          <w:sz w:val="24"/>
          <w:highlight w:val="none"/>
        </w:rPr>
      </w:pPr>
      <w:r>
        <w:rPr>
          <w:rFonts w:hint="eastAsia" w:ascii="宋体" w:hAnsi="宋体" w:eastAsia="宋体" w:cs="宋体"/>
          <w:iCs/>
          <w:color w:val="auto"/>
          <w:sz w:val="24"/>
          <w:highlight w:val="none"/>
        </w:rPr>
        <w:t xml:space="preserve">至少提供资产负债表、利润表、现金流量表，投标人成立不满一年无需提供</w:t>
      </w:r>
      <w:bookmarkEnd w:id="208"/>
      <w:r/>
      <w:bookmarkEnd w:id="209"/>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rPr>
          <w:rFonts w:ascii="黑体" w:hAnsi="黑体" w:eastAsia="黑体"/>
          <w:color w:val="auto"/>
          <w:highlight w:val="none"/>
        </w:rPr>
      </w:pPr>
      <w:r>
        <w:rPr>
          <w:rFonts w:hint="eastAsia" w:ascii="黑体" w:hAnsi="黑体" w:eastAsia="黑体" w:cs="黑体"/>
          <w:i/>
          <w:color w:val="auto"/>
          <w:sz w:val="32"/>
          <w:szCs w:val="32"/>
          <w:highlight w:val="none"/>
          <w:u w:val="single"/>
        </w:rPr>
        <w:t xml:space="preserve">三、</w:t>
      </w:r>
      <w:bookmarkStart w:id="210" w:name="OLE_LINK60"/>
      <w:r/>
      <w:bookmarkStart w:id="211" w:name="OLE_LINK52"/>
      <w:r/>
      <w:bookmarkStart w:id="212" w:name="OLE_LINK15"/>
      <w:r/>
      <w:bookmarkStart w:id="213" w:name="OLE_LINK40"/>
      <w:r/>
      <w:bookmarkStart w:id="214" w:name="OLE_LINK14"/>
      <w:r/>
      <w:bookmarkStart w:id="215" w:name="OLE_LINK13"/>
      <w:r/>
      <w:bookmarkStart w:id="216" w:name="OLE_LINK25"/>
      <w:r>
        <w:rPr>
          <w:rFonts w:hint="eastAsia" w:ascii="黑体" w:hAnsi="黑体" w:eastAsia="黑体" w:cs="黑体"/>
          <w:i/>
          <w:color w:val="auto"/>
          <w:sz w:val="32"/>
          <w:szCs w:val="32"/>
          <w:highlight w:val="none"/>
          <w:u w:val="single"/>
        </w:rPr>
        <w:t xml:space="preserve">具备履行合同所必需的设备和专业技术能力的书面声明</w:t>
      </w:r>
      <w:r/>
    </w:p>
    <w:p>
      <w:pPr>
        <w:pStyle w:val="785"/>
        <w:ind w:firstLine="482"/>
        <w:jc w:val="both"/>
        <w:spacing w:beforeAutospacing="0" w:afterAutospacing="0" w:line="0" w:lineRule="atLeast"/>
        <w:rPr>
          <w:rFonts w:ascii="宋体" w:hAnsi="宋体" w:eastAsia="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85"/>
        <w:ind w:firstLine="482"/>
        <w:jc w:val="both"/>
        <w:spacing w:beforeAutospacing="0" w:afterAutospacing="0" w:line="0" w:lineRule="atLeast"/>
        <w:rPr>
          <w:rFonts w:ascii="宋体" w:hAnsi="宋体" w:eastAsia="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85"/>
        <w:ind w:firstLine="4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bookmarkEnd w:id="210"/>
      <w:r/>
      <w:bookmarkEnd w:id="211"/>
      <w:r/>
      <w:bookmarkEnd w:id="212"/>
      <w:r/>
      <w:bookmarkEnd w:id="213"/>
      <w:r/>
      <w:bookmarkEnd w:id="214"/>
      <w:r/>
      <w:bookmarkEnd w:id="215"/>
      <w:r/>
      <w:bookmarkEnd w:id="216"/>
      <w:r/>
      <w:r/>
    </w:p>
    <w:p>
      <w:pPr>
        <w:pStyle w:val="785"/>
        <w:ind w:right="1140" w:firstLine="482"/>
        <w:jc w:val="right"/>
        <w:spacing w:beforeAutospacing="0" w:afterAutospacing="0" w:line="0" w:lineRule="atLeast"/>
        <w:rPr>
          <w:rFonts w:ascii="宋体" w:hAnsi="宋体" w:eastAsia="宋体"/>
          <w:color w:val="auto"/>
          <w:highlight w:val="none"/>
        </w:rPr>
      </w:pPr>
      <w:r/>
      <w:bookmarkStart w:id="217" w:name="OLE_LINK70"/>
      <w:r>
        <w:rPr>
          <w:rFonts w:hint="eastAsia" w:ascii="宋体" w:hAnsi="宋体" w:eastAsia="宋体" w:cs="宋体"/>
          <w:color w:val="auto"/>
          <w:highlight w:val="none"/>
        </w:rPr>
        <w:t xml:space="preserve">企业名称（加盖CA电子公章）：</w:t>
      </w:r>
      <w:r/>
    </w:p>
    <w:p>
      <w:pPr>
        <w:pStyle w:val="785"/>
        <w:ind w:right="480" w:firstLine="6120"/>
        <w:jc w:val="both"/>
        <w:spacing w:beforeAutospacing="0" w:afterAutospacing="0" w:line="0" w:lineRule="atLeast"/>
        <w:rPr>
          <w:rFonts w:ascii="宋体" w:hAnsi="宋体" w:eastAsia="宋体"/>
          <w:color w:val="auto"/>
          <w:highlight w:val="none"/>
        </w:rPr>
      </w:pPr>
      <w:r>
        <w:rPr>
          <w:rFonts w:hint="eastAsia" w:ascii="宋体" w:hAnsi="宋体" w:eastAsia="宋体" w:cs="宋体"/>
          <w:color w:val="auto"/>
          <w:highlight w:val="none"/>
        </w:rPr>
        <w:t xml:space="preserve">日  期：</w:t>
      </w:r>
      <w:bookmarkEnd w:id="217"/>
      <w:r/>
      <w:r/>
    </w:p>
    <w:p>
      <w:pPr>
        <w:pStyle w:val="785"/>
        <w:ind w:firstLine="482"/>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rPr>
          <w:rFonts w:ascii="黑体" w:hAnsi="黑体" w:eastAsia="黑体"/>
          <w:color w:val="auto"/>
          <w:highlight w:val="none"/>
        </w:rPr>
      </w:pPr>
      <w:r>
        <w:rPr>
          <w:rFonts w:hint="eastAsia" w:ascii="黑体" w:hAnsi="黑体" w:eastAsia="黑体" w:cs="黑体"/>
          <w:i/>
          <w:color w:val="auto"/>
          <w:sz w:val="32"/>
          <w:szCs w:val="32"/>
          <w:highlight w:val="none"/>
          <w:u w:val="single"/>
        </w:rPr>
        <w:t xml:space="preserve">四、</w:t>
      </w:r>
      <w:bookmarkStart w:id="218" w:name="OLE_LINK39"/>
      <w:r/>
      <w:bookmarkStart w:id="219" w:name="OLE_LINK59"/>
      <w:r/>
      <w:bookmarkStart w:id="220" w:name="OLE_LINK24"/>
      <w:r/>
      <w:bookmarkStart w:id="221" w:name="OLE_LINK51"/>
      <w:r/>
      <w:bookmarkStart w:id="222" w:name="OLE_LINK12"/>
      <w:r>
        <w:rPr>
          <w:rFonts w:hint="eastAsia" w:ascii="黑体" w:hAnsi="黑体" w:eastAsia="黑体" w:cs="黑体"/>
          <w:i/>
          <w:color w:val="auto"/>
          <w:sz w:val="32"/>
          <w:szCs w:val="32"/>
          <w:highlight w:val="none"/>
          <w:u w:val="single"/>
        </w:rPr>
        <w:t xml:space="preserve">依法缴纳税收和社会保障资金的相关材料</w:t>
      </w:r>
      <w:r/>
    </w:p>
    <w:p>
      <w:pPr>
        <w:pStyle w:val="785"/>
        <w:ind w:firstLine="482"/>
        <w:jc w:val="both"/>
        <w:spacing w:beforeAutospacing="0" w:afterAutospacing="0"/>
        <w:rPr>
          <w:rFonts w:ascii="宋体" w:hAnsi="宋体" w:eastAsia="宋体"/>
          <w:color w:val="auto"/>
          <w:highlight w:val="none"/>
        </w:rPr>
      </w:pPr>
      <w:r/>
      <w:bookmarkStart w:id="223"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218"/>
      <w:r/>
      <w:bookmarkEnd w:id="219"/>
      <w:r/>
      <w:bookmarkEnd w:id="220"/>
      <w:r/>
      <w:bookmarkEnd w:id="221"/>
      <w:r/>
      <w:bookmarkEnd w:id="222"/>
      <w:r/>
      <w:bookmarkEnd w:id="223"/>
      <w:r/>
      <w:r/>
    </w:p>
    <w:p>
      <w:pPr>
        <w:pStyle w:val="785"/>
        <w:ind w:firstLine="643"/>
        <w:jc w:val="both"/>
        <w:spacing w:beforeAutospacing="0" w:afterAutospacing="0"/>
        <w:rPr>
          <w:rFonts w:ascii="宋体" w:hAnsi="宋体" w:eastAsia="宋体" w:cs="黑体"/>
          <w:i/>
          <w:color w:val="auto"/>
          <w:sz w:val="32"/>
          <w:szCs w:val="32"/>
          <w:highlight w:val="none"/>
          <w:u w:val="single"/>
        </w:rPr>
      </w:pPr>
      <w:r>
        <w:rPr>
          <w:rFonts w:ascii="宋体" w:hAnsi="宋体" w:eastAsia="宋体" w:cs="黑体"/>
          <w:i/>
          <w:color w:val="auto"/>
          <w:sz w:val="32"/>
          <w:szCs w:val="32"/>
          <w:highlight w:val="none"/>
          <w:u w:val="single"/>
        </w:rPr>
      </w:r>
      <w:r/>
    </w:p>
    <w:p>
      <w:pPr>
        <w:pStyle w:val="785"/>
        <w:jc w:val="both"/>
        <w:spacing w:beforeAutospacing="0" w:afterAutospacing="0"/>
        <w:rPr>
          <w:rFonts w:ascii="黑体" w:hAnsi="黑体" w:eastAsia="黑体"/>
          <w:color w:val="auto"/>
          <w:highlight w:val="none"/>
        </w:rPr>
      </w:pPr>
      <w:r>
        <w:rPr>
          <w:rFonts w:hint="eastAsia" w:ascii="黑体" w:hAnsi="黑体" w:eastAsia="黑体" w:cs="黑体"/>
          <w:i/>
          <w:color w:val="auto"/>
          <w:sz w:val="32"/>
          <w:szCs w:val="32"/>
          <w:highlight w:val="none"/>
          <w:u w:val="single"/>
        </w:rPr>
        <w:t xml:space="preserve">五、</w:t>
      </w:r>
      <w:bookmarkStart w:id="224" w:name="OLE_LINK26"/>
      <w:r/>
      <w:bookmarkStart w:id="225" w:name="OLE_LINK53"/>
      <w:r/>
      <w:bookmarkStart w:id="226" w:name="OLE_LINK41"/>
      <w:r/>
      <w:bookmarkStart w:id="227" w:name="OLE_LINK16"/>
      <w:r/>
      <w:bookmarkStart w:id="228" w:name="OLE_LINK17"/>
      <w:r/>
      <w:bookmarkStart w:id="229" w:name="OLE_LINK61"/>
      <w:r>
        <w:rPr>
          <w:rFonts w:hint="eastAsia" w:ascii="黑体" w:hAnsi="黑体" w:eastAsia="黑体" w:cs="黑体"/>
          <w:i/>
          <w:color w:val="auto"/>
          <w:sz w:val="32"/>
          <w:szCs w:val="32"/>
          <w:highlight w:val="none"/>
          <w:u w:val="single"/>
        </w:rPr>
        <w:t xml:space="preserve">参加政府采购活动前 3 年内在经营活动中没有重大违法记录的书面声明</w:t>
      </w:r>
      <w:r/>
    </w:p>
    <w:p>
      <w:pPr>
        <w:pStyle w:val="785"/>
        <w:ind w:firstLine="883"/>
        <w:jc w:val="both"/>
        <w:spacing w:beforeAutospacing="0" w:afterAutospacing="0" w:line="0" w:lineRule="atLeast"/>
        <w:rPr>
          <w:rFonts w:ascii="宋体" w:hAnsi="宋体" w:eastAsia="宋体"/>
          <w:color w:val="auto"/>
          <w:highlight w:val="none"/>
        </w:rPr>
      </w:pPr>
      <w:r>
        <w:rPr>
          <w:rFonts w:hint="eastAsia" w:ascii="宋体" w:hAnsi="宋体" w:eastAsia="宋体" w:cs="宋体"/>
          <w:b/>
          <w:color w:val="auto"/>
          <w:sz w:val="44"/>
          <w:szCs w:val="44"/>
          <w:highlight w:val="none"/>
        </w:rPr>
        <w:t xml:space="preserve">       声  明</w:t>
      </w:r>
      <w:r/>
    </w:p>
    <w:p>
      <w:pPr>
        <w:pStyle w:val="785"/>
        <w:ind w:firstLine="482"/>
        <w:jc w:val="both"/>
        <w:spacing w:beforeAutospacing="0" w:afterAutospacing="0" w:line="0" w:lineRule="atLeast"/>
        <w:rPr>
          <w:rFonts w:ascii="宋体" w:hAnsi="宋体" w:eastAsia="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224"/>
      <w:r/>
      <w:bookmarkEnd w:id="225"/>
      <w:r/>
      <w:bookmarkEnd w:id="226"/>
      <w:r/>
      <w:bookmarkEnd w:id="227"/>
      <w:r/>
      <w:bookmarkEnd w:id="228"/>
      <w:r/>
      <w:bookmarkEnd w:id="229"/>
      <w:r/>
      <w:r/>
    </w:p>
    <w:p>
      <w:pPr>
        <w:pStyle w:val="785"/>
        <w:ind w:right="1140" w:firstLine="482"/>
        <w:jc w:val="right"/>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rPr>
          <w:rFonts w:hint="eastAsia" w:ascii="宋体" w:hAnsi="宋体" w:eastAsia="宋体" w:cs="宋体"/>
          <w:color w:val="auto"/>
          <w:highlight w:val="none"/>
        </w:rPr>
        <w:t xml:space="preserve">企业名称（加盖CA电子公章）：</w:t>
      </w:r>
      <w:r/>
    </w:p>
    <w:p>
      <w:pPr>
        <w:pStyle w:val="785"/>
        <w:ind w:right="480" w:firstLine="6120"/>
        <w:jc w:val="both"/>
        <w:spacing w:beforeAutospacing="0" w:afterAutospacing="0" w:line="0" w:lineRule="atLeast"/>
        <w:rPr>
          <w:rFonts w:ascii="宋体" w:hAnsi="宋体" w:eastAsia="宋体"/>
          <w:color w:val="auto"/>
          <w:highlight w:val="none"/>
        </w:rPr>
      </w:pPr>
      <w:r>
        <w:rPr>
          <w:rFonts w:hint="eastAsia" w:ascii="宋体" w:hAnsi="宋体" w:eastAsia="宋体" w:cs="宋体"/>
          <w:color w:val="auto"/>
          <w:highlight w:val="none"/>
        </w:rPr>
        <w:t xml:space="preserve">日  期：</w:t>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rPr>
          <w:rFonts w:ascii="黑体" w:hAnsi="黑体" w:eastAsia="黑体"/>
          <w:color w:val="auto"/>
          <w:highlight w:val="none"/>
        </w:rPr>
      </w:pPr>
      <w:r>
        <w:rPr>
          <w:rFonts w:hint="eastAsia" w:ascii="黑体" w:hAnsi="黑体" w:eastAsia="黑体" w:cs="黑体"/>
          <w:i/>
          <w:color w:val="auto"/>
          <w:sz w:val="32"/>
          <w:szCs w:val="32"/>
          <w:highlight w:val="none"/>
          <w:u w:val="single"/>
        </w:rPr>
        <w:t xml:space="preserve">六、特定资格要求的证明文件</w:t>
      </w:r>
      <w:r/>
    </w:p>
    <w:p>
      <w:pPr>
        <w:pStyle w:val="785"/>
        <w:ind w:firstLine="480"/>
        <w:jc w:val="both"/>
        <w:spacing w:beforeAutospacing="0" w:afterAutospacing="0" w:line="0" w:lineRule="atLeast"/>
        <w:rPr>
          <w:rFonts w:ascii="宋体" w:hAnsi="宋体" w:eastAsia="宋体"/>
          <w:color w:val="auto"/>
          <w:highlight w:val="none"/>
        </w:rPr>
      </w:pPr>
      <w:r>
        <w:rPr>
          <w:rFonts w:hint="eastAsia" w:ascii="宋体" w:hAnsi="宋体" w:eastAsia="宋体" w:cs="宋体"/>
          <w:color w:val="auto"/>
          <w:highlight w:val="none"/>
        </w:rPr>
        <w:t xml:space="preserve">本项目无特定资格要求。</w:t>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ind w:firstLine="643"/>
        <w:jc w:val="center"/>
        <w:spacing w:beforeAutospacing="0" w:afterAutospacing="0"/>
        <w:rPr>
          <w:rFonts w:ascii="宋体" w:hAnsi="宋体" w:eastAsia="宋体" w:cs="黑体"/>
          <w:bCs/>
          <w:i/>
          <w:color w:val="auto"/>
          <w:sz w:val="32"/>
          <w:szCs w:val="32"/>
          <w:highlight w:val="none"/>
          <w:u w:val="single"/>
        </w:rPr>
      </w:pPr>
      <w:r>
        <w:rPr>
          <w:rFonts w:hint="eastAsia" w:ascii="宋体" w:hAnsi="宋体" w:eastAsia="宋体" w:cs="黑体"/>
          <w:i/>
          <w:color w:val="auto"/>
          <w:sz w:val="32"/>
          <w:szCs w:val="32"/>
          <w:highlight w:val="none"/>
          <w:u w:val="single"/>
        </w:rPr>
        <w:t xml:space="preserve">七、</w:t>
      </w:r>
      <w:bookmarkStart w:id="230" w:name="OLE_LINK63"/>
      <w:r/>
      <w:bookmarkStart w:id="231" w:name="OLE_LINK42"/>
      <w:r/>
      <w:bookmarkStart w:id="232" w:name="OLE_LINK19"/>
      <w:r/>
      <w:bookmarkStart w:id="233" w:name="OLE_LINK28"/>
      <w:r>
        <w:rPr>
          <w:rFonts w:hint="eastAsia" w:ascii="宋体" w:hAnsi="宋体" w:eastAsia="宋体" w:cs="黑体"/>
          <w:i/>
          <w:color w:val="auto"/>
          <w:sz w:val="32"/>
          <w:szCs w:val="32"/>
          <w:highlight w:val="none"/>
          <w:u w:val="single"/>
        </w:rPr>
        <w:t xml:space="preserve">法人授权书</w:t>
      </w:r>
      <w:r/>
    </w:p>
    <w:p>
      <w:pPr>
        <w:pStyle w:val="785"/>
        <w:ind w:firstLine="482"/>
        <w:jc w:val="both"/>
        <w:spacing w:beforeAutospacing="0" w:afterAutospacing="0" w:line="480" w:lineRule="exact"/>
        <w:tabs>
          <w:tab w:val="left" w:pos="360" w:leader="none"/>
        </w:tabs>
        <w:rPr>
          <w:rFonts w:ascii="宋体" w:hAnsi="宋体" w:eastAsia="宋体"/>
          <w:color w:val="auto"/>
          <w:highlight w:val="none"/>
        </w:rPr>
      </w:pPr>
      <w:r>
        <w:rPr>
          <w:rFonts w:ascii="宋体" w:hAnsi="宋体" w:eastAsia="宋体"/>
          <w:color w:val="auto"/>
          <w:highlight w:val="none"/>
        </w:rPr>
        <w:t xml:space="preserve">本授权书声明：____________（投标人名称）授权________________（被授权人的姓名）为我方就JSZC-</w:t>
      </w:r>
      <w:r>
        <w:rPr>
          <w:rFonts w:ascii="宋体" w:hAnsi="宋体" w:eastAsia="宋体"/>
          <w:color w:val="auto"/>
          <w:highlight w:val="none"/>
          <w:u w:val="single"/>
        </w:rPr>
        <w:t xml:space="preserve">        </w:t>
      </w:r>
      <w:r>
        <w:rPr>
          <w:rFonts w:ascii="宋体" w:hAnsi="宋体" w:eastAsia="宋体"/>
          <w:color w:val="auto"/>
          <w:highlight w:val="none"/>
        </w:rPr>
        <w:t xml:space="preserve">号项目采购活动的合法代理人，以本单位名义全权处理一切与该项目采购有关的事务。</w:t>
      </w:r>
      <w:r/>
    </w:p>
    <w:p>
      <w:pPr>
        <w:pStyle w:val="785"/>
        <w:ind w:firstLine="482"/>
        <w:jc w:val="both"/>
        <w:spacing w:beforeAutospacing="0" w:afterAutospacing="0" w:line="480" w:lineRule="exact"/>
        <w:tabs>
          <w:tab w:val="left" w:pos="360" w:leader="none"/>
        </w:tabs>
        <w:rPr>
          <w:rFonts w:ascii="宋体" w:hAnsi="宋体" w:eastAsia="宋体"/>
          <w:color w:val="auto"/>
          <w:highlight w:val="none"/>
        </w:rPr>
      </w:pPr>
      <w:r>
        <w:rPr>
          <w:rFonts w:ascii="宋体" w:hAnsi="宋体" w:eastAsia="宋体"/>
          <w:color w:val="auto"/>
          <w:highlight w:val="none"/>
        </w:rPr>
        <w:t xml:space="preserve">本授权书于______年____月____日起生效，特此声明。</w:t>
      </w:r>
      <w:r/>
    </w:p>
    <w:p>
      <w:pPr>
        <w:pStyle w:val="785"/>
        <w:jc w:val="both"/>
        <w:spacing w:beforeAutospacing="0" w:afterAutospacing="0" w:line="480" w:lineRule="exact"/>
        <w:tabs>
          <w:tab w:val="left" w:pos="360" w:leader="none"/>
        </w:tabs>
        <w:rPr>
          <w:rFonts w:ascii="宋体" w:hAnsi="宋体" w:eastAsia="宋体"/>
          <w:color w:val="auto"/>
          <w:highlight w:val="none"/>
        </w:rPr>
      </w:pPr>
      <w:r>
        <w:rPr>
          <w:rFonts w:ascii="宋体" w:hAnsi="宋体" w:eastAsia="宋体"/>
          <w:color w:val="auto"/>
          <w:highlight w:val="none"/>
        </w:rPr>
        <w:t xml:space="preserve">  被授权人身份证号码：</w:t>
      </w:r>
      <w:r>
        <w:rPr>
          <w:rFonts w:ascii="宋体" w:hAnsi="宋体" w:eastAsia="宋体"/>
          <w:color w:val="auto"/>
          <w:highlight w:val="none"/>
          <w:u w:val="single"/>
        </w:rPr>
        <w:t xml:space="preserve">                  </w:t>
      </w:r>
      <w:r/>
    </w:p>
    <w:p>
      <w:pPr>
        <w:pStyle w:val="785"/>
        <w:ind w:firstLine="480"/>
        <w:jc w:val="both"/>
        <w:spacing w:beforeAutospacing="0" w:afterAutospacing="0" w:line="480" w:lineRule="exact"/>
        <w:tabs>
          <w:tab w:val="left" w:pos="360" w:leader="none"/>
        </w:tabs>
        <w:rPr>
          <w:rFonts w:ascii="宋体" w:hAnsi="宋体" w:eastAsia="宋体"/>
          <w:color w:val="auto"/>
          <w:highlight w:val="none"/>
        </w:rPr>
      </w:pPr>
      <w:r>
        <w:rPr>
          <w:rFonts w:ascii="宋体" w:hAnsi="宋体" w:eastAsia="宋体"/>
          <w:color w:val="auto"/>
          <w:highlight w:val="none"/>
        </w:rPr>
        <w:t xml:space="preserve">被授权人联系电话：（手机）</w:t>
      </w:r>
      <w:r>
        <w:rPr>
          <w:rFonts w:ascii="宋体" w:hAnsi="宋体" w:eastAsia="宋体"/>
          <w:color w:val="auto"/>
          <w:highlight w:val="none"/>
          <w:u w:val="single"/>
        </w:rPr>
        <w:t xml:space="preserve">               </w:t>
      </w:r>
      <w:r/>
    </w:p>
    <w:p>
      <w:pPr>
        <w:pStyle w:val="785"/>
        <w:ind w:firstLine="480"/>
        <w:jc w:val="both"/>
        <w:spacing w:beforeAutospacing="0" w:afterAutospacing="0" w:line="480" w:lineRule="exact"/>
        <w:tabs>
          <w:tab w:val="left" w:pos="360" w:leader="none"/>
        </w:tabs>
        <w:rPr>
          <w:rFonts w:ascii="宋体" w:hAnsi="宋体" w:eastAsia="宋体"/>
          <w:color w:val="auto"/>
          <w:highlight w:val="none"/>
        </w:rPr>
      </w:pPr>
      <w:r>
        <w:rPr>
          <w:rFonts w:ascii="宋体" w:hAnsi="宋体" w:eastAsia="宋体"/>
          <w:color w:val="auto"/>
          <w:highlight w:val="none"/>
        </w:rPr>
        <w:t xml:space="preserve">授权单位名称：</w:t>
      </w:r>
      <w:r>
        <w:rPr>
          <w:rFonts w:ascii="宋体" w:hAnsi="宋体" w:eastAsia="宋体"/>
          <w:color w:val="auto"/>
          <w:highlight w:val="none"/>
          <w:u w:val="single"/>
        </w:rPr>
        <w:t xml:space="preserve">（加盖CA电子公章）</w:t>
      </w:r>
      <w:r/>
    </w:p>
    <w:p>
      <w:pPr>
        <w:pStyle w:val="785"/>
        <w:ind w:firstLine="480"/>
        <w:jc w:val="both"/>
        <w:spacing w:beforeAutospacing="0" w:afterAutospacing="0" w:line="480" w:lineRule="exact"/>
        <w:tabs>
          <w:tab w:val="left" w:pos="360" w:leader="none"/>
        </w:tabs>
        <w:rPr>
          <w:rFonts w:ascii="宋体" w:hAnsi="宋体" w:eastAsia="宋体"/>
          <w:color w:val="auto"/>
          <w:highlight w:val="none"/>
        </w:rPr>
      </w:pPr>
      <w:r>
        <w:rPr>
          <w:rFonts w:ascii="宋体" w:hAnsi="宋体" w:eastAsia="宋体"/>
          <w:color w:val="auto"/>
          <w:highlight w:val="none"/>
        </w:rPr>
        <w:t xml:space="preserve">单位地址：</w:t>
      </w:r>
      <w:r>
        <w:rPr>
          <w:rFonts w:ascii="宋体" w:hAnsi="宋体" w:eastAsia="宋体"/>
          <w:color w:val="auto"/>
          <w:highlight w:val="none"/>
          <w:u w:val="single"/>
        </w:rPr>
        <w:t xml:space="preserve">                       </w:t>
      </w:r>
      <w:r/>
    </w:p>
    <w:p>
      <w:pPr>
        <w:pStyle w:val="785"/>
        <w:ind w:firstLine="482"/>
        <w:jc w:val="both"/>
        <w:spacing w:beforeAutospacing="0" w:afterAutospacing="0" w:line="480" w:lineRule="exact"/>
        <w:tabs>
          <w:tab w:val="left" w:pos="360" w:leader="none"/>
        </w:tabs>
        <w:rPr>
          <w:rFonts w:ascii="宋体" w:hAnsi="宋体" w:eastAsia="宋体"/>
          <w:color w:val="auto"/>
          <w:highlight w:val="none"/>
        </w:rPr>
      </w:pPr>
      <w:r>
        <w:rPr>
          <w:rFonts w:ascii="宋体" w:hAnsi="宋体" w:eastAsia="宋体"/>
          <w:color w:val="auto"/>
          <w:highlight w:val="none"/>
        </w:rPr>
        <w:t xml:space="preserve">日期：</w:t>
      </w:r>
      <w:bookmarkStart w:id="234" w:name="_Hlt26955070"/>
      <w:r/>
      <w:bookmarkStart w:id="235" w:name="_Hlt26671380"/>
      <w:r/>
      <w:bookmarkStart w:id="236" w:name="_格式3__银行出具的资信证明"/>
      <w:r>
        <w:rPr>
          <w:rFonts w:ascii="宋体" w:hAnsi="宋体" w:eastAsia="宋体"/>
          <w:color w:val="auto"/>
          <w:highlight w:val="none"/>
          <w:u w:val="single"/>
        </w:rPr>
        <w:t xml:space="preserve">              </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bookmarkEnd w:id="230"/>
      <w:r/>
      <w:r/>
    </w:p>
    <w:p>
      <w:pPr>
        <w:pStyle w:val="785"/>
        <w:ind w:firstLine="482"/>
        <w:jc w:val="both"/>
        <w:spacing w:beforeAutospacing="0" w:afterAutospacing="0" w:line="480" w:lineRule="exact"/>
        <w:rPr>
          <w:rFonts w:ascii="宋体" w:hAnsi="宋体" w:eastAsia="宋体"/>
          <w:color w:val="auto"/>
          <w:highlight w:val="none"/>
        </w:rPr>
      </w:pPr>
      <w:r>
        <w:rPr>
          <w:rFonts w:ascii="宋体" w:hAnsi="宋体" w:eastAsia="宋体"/>
          <w:color w:val="auto"/>
          <w:highlight w:val="none"/>
        </w:rPr>
        <w:t xml:space="preserve"> </w:t>
      </w:r>
      <w:bookmarkEnd w:id="231"/>
      <w:r/>
      <w:bookmarkEnd w:id="232"/>
      <w:r/>
      <w:bookmarkEnd w:id="233"/>
      <w:r/>
      <w:r/>
    </w:p>
    <w:p>
      <w:pPr>
        <w:pStyle w:val="785"/>
        <w:jc w:val="both"/>
        <w:spacing w:beforeAutospacing="0" w:afterAutospacing="0" w:line="480" w:lineRule="exact"/>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785"/>
        <w:jc w:val="center"/>
        <w:spacing w:beforeAutospacing="0" w:afterAutospacing="0" w:line="0" w:lineRule="atLeast"/>
        <w:rPr>
          <w:rFonts w:ascii="宋体" w:hAnsi="宋体" w:eastAsia="宋体" w:cs="黑体"/>
          <w:b/>
          <w:color w:val="auto"/>
          <w:sz w:val="32"/>
          <w:szCs w:val="32"/>
          <w:highlight w:val="none"/>
        </w:rPr>
      </w:pPr>
      <w:r>
        <w:rPr>
          <w:rFonts w:ascii="宋体" w:hAnsi="宋体" w:eastAsia="宋体" w:cs="黑体"/>
          <w:b/>
          <w:color w:val="auto"/>
          <w:sz w:val="32"/>
          <w:szCs w:val="32"/>
          <w:highlight w:val="none"/>
        </w:rPr>
      </w:r>
      <w:r/>
    </w:p>
    <w:p>
      <w:pPr>
        <w:pStyle w:val="785"/>
        <w:jc w:val="center"/>
        <w:spacing w:beforeAutospacing="0" w:afterAutospacing="0" w:line="0" w:lineRule="atLeast"/>
        <w:rPr>
          <w:rFonts w:ascii="宋体" w:hAnsi="宋体" w:eastAsia="宋体" w:cs="黑体"/>
          <w:b/>
          <w:bCs/>
          <w:color w:val="auto"/>
          <w:sz w:val="32"/>
          <w:szCs w:val="32"/>
          <w:highlight w:val="none"/>
        </w:rPr>
      </w:pPr>
      <w:r>
        <w:rPr>
          <w:rFonts w:hint="eastAsia" w:ascii="宋体" w:hAnsi="宋体" w:eastAsia="宋体" w:cs="黑体"/>
          <w:b/>
          <w:color w:val="auto"/>
          <w:sz w:val="32"/>
          <w:szCs w:val="32"/>
          <w:highlight w:val="none"/>
        </w:rPr>
        <w:t xml:space="preserve">八、</w:t>
      </w:r>
      <w:bookmarkStart w:id="237" w:name="OLE_LINK44"/>
      <w:r/>
      <w:bookmarkStart w:id="238" w:name="OLE_LINK64"/>
      <w:r/>
      <w:bookmarkStart w:id="239" w:name="OLE_LINK30"/>
      <w:r/>
      <w:bookmarkStart w:id="240" w:name="OLE_LINK20"/>
      <w:r/>
      <w:bookmarkStart w:id="241" w:name="OLE_LINK29"/>
      <w:r>
        <w:rPr>
          <w:rFonts w:hint="eastAsia" w:ascii="宋体" w:hAnsi="宋体" w:eastAsia="宋体" w:cs="黑体"/>
          <w:b/>
          <w:color w:val="auto"/>
          <w:sz w:val="32"/>
          <w:szCs w:val="32"/>
          <w:highlight w:val="none"/>
        </w:rPr>
        <w:t xml:space="preserve">投标函</w:t>
      </w:r>
      <w:r/>
    </w:p>
    <w:p>
      <w:pPr>
        <w:pStyle w:val="785"/>
        <w:spacing w:beforeAutospacing="0" w:afterAutospacing="0" w:line="440" w:lineRule="exact"/>
        <w:rPr>
          <w:rFonts w:ascii="宋体" w:hAnsi="宋体" w:eastAsia="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盐城经济技术开发区住房保障和建设局</w:t>
      </w:r>
      <w:r/>
    </w:p>
    <w:p>
      <w:pPr>
        <w:pStyle w:val="785"/>
        <w:ind w:firstLine="482"/>
        <w:spacing w:beforeAutospacing="0" w:afterAutospacing="0" w:line="440" w:lineRule="exact"/>
        <w:rPr>
          <w:rFonts w:ascii="宋体" w:hAnsi="宋体" w:eastAsia="宋体"/>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785"/>
        <w:ind w:firstLine="482"/>
        <w:spacing w:beforeAutospacing="0" w:afterAutospacing="0" w:line="440" w:lineRule="exact"/>
        <w:rPr>
          <w:rFonts w:ascii="宋体" w:hAnsi="宋体" w:eastAsia="宋体"/>
          <w:color w:val="auto"/>
          <w:highlight w:val="none"/>
        </w:rPr>
      </w:pPr>
      <w:r>
        <w:rPr>
          <w:rFonts w:hint="eastAsia" w:ascii="宋体" w:hAnsi="宋体" w:eastAsia="宋体" w:cs="宋体"/>
          <w:color w:val="auto"/>
          <w:highlight w:val="none"/>
        </w:rPr>
        <w:t xml:space="preserve">据此函，__________签字人兹宣布同意如下：</w:t>
      </w:r>
      <w:r/>
    </w:p>
    <w:p>
      <w:pPr>
        <w:pStyle w:val="785"/>
        <w:ind w:firstLine="482"/>
        <w:spacing w:beforeAutospacing="0" w:afterAutospacing="0" w:line="440" w:lineRule="exact"/>
        <w:rPr>
          <w:rFonts w:ascii="宋体" w:hAnsi="宋体" w:eastAsia="宋体"/>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785"/>
        <w:ind w:firstLine="482"/>
        <w:spacing w:beforeAutospacing="0" w:afterAutospacing="0" w:line="440" w:lineRule="exact"/>
        <w:rPr>
          <w:rFonts w:ascii="宋体" w:hAnsi="宋体" w:eastAsia="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85"/>
        <w:ind w:firstLine="482"/>
        <w:spacing w:beforeAutospacing="0" w:afterAutospacing="0" w:line="440" w:lineRule="exact"/>
        <w:rPr>
          <w:rFonts w:ascii="宋体" w:hAnsi="宋体" w:eastAsia="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85"/>
        <w:ind w:firstLine="482"/>
        <w:spacing w:beforeAutospacing="0" w:afterAutospacing="0" w:line="440" w:lineRule="exact"/>
        <w:rPr>
          <w:rFonts w:ascii="宋体" w:hAnsi="宋体" w:eastAsia="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85"/>
        <w:ind w:firstLine="482"/>
        <w:spacing w:beforeAutospacing="0" w:afterAutospacing="0" w:line="440" w:lineRule="exact"/>
        <w:rPr>
          <w:rFonts w:ascii="宋体" w:hAnsi="宋体" w:eastAsia="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85"/>
        <w:ind w:firstLine="482"/>
        <w:spacing w:beforeAutospacing="0" w:afterAutospacing="0" w:line="440" w:lineRule="exact"/>
        <w:rPr>
          <w:rFonts w:ascii="宋体" w:hAnsi="宋体" w:eastAsia="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85"/>
        <w:ind w:firstLine="482"/>
        <w:spacing w:beforeAutospacing="0" w:afterAutospacing="0" w:line="440" w:lineRule="exact"/>
        <w:rPr>
          <w:rFonts w:ascii="宋体" w:hAnsi="宋体" w:eastAsia="宋体"/>
          <w:color w:val="auto"/>
          <w:highlight w:val="none"/>
        </w:rPr>
      </w:pPr>
      <w:r>
        <w:rPr>
          <w:rFonts w:hint="eastAsia" w:ascii="宋体" w:hAnsi="宋体" w:eastAsia="宋体" w:cs="宋体"/>
          <w:color w:val="auto"/>
          <w:highlight w:val="none"/>
        </w:rPr>
        <w:t xml:space="preserve">7.与本投标有关的正式通讯地址为：</w:t>
      </w:r>
      <w:r/>
    </w:p>
    <w:p>
      <w:pPr>
        <w:pStyle w:val="785"/>
        <w:ind w:left="420" w:firstLine="482"/>
        <w:spacing w:beforeAutospacing="0" w:afterAutospacing="0" w:line="0" w:lineRule="atLeast"/>
        <w:rPr>
          <w:rFonts w:ascii="宋体" w:hAnsi="宋体" w:eastAsia="宋体"/>
          <w:color w:val="auto"/>
          <w:highlight w:val="none"/>
        </w:rPr>
      </w:pPr>
      <w:r>
        <w:rPr>
          <w:rFonts w:hint="eastAsia" w:ascii="宋体" w:hAnsi="宋体" w:eastAsia="宋体" w:cs="宋体"/>
          <w:color w:val="auto"/>
          <w:highlight w:val="none"/>
        </w:rPr>
        <w:t xml:space="preserve">地      址：</w:t>
      </w:r>
      <w:r/>
    </w:p>
    <w:p>
      <w:pPr>
        <w:pStyle w:val="785"/>
        <w:ind w:left="420" w:firstLine="482"/>
        <w:spacing w:beforeAutospacing="0" w:afterAutospacing="0" w:line="0" w:lineRule="atLeast"/>
        <w:rPr>
          <w:rFonts w:ascii="宋体" w:hAnsi="宋体" w:eastAsia="宋体"/>
          <w:color w:val="auto"/>
          <w:highlight w:val="none"/>
        </w:rPr>
      </w:pPr>
      <w:r>
        <w:rPr>
          <w:rFonts w:hint="eastAsia" w:ascii="宋体" w:hAnsi="宋体" w:eastAsia="宋体" w:cs="宋体"/>
          <w:color w:val="auto"/>
          <w:highlight w:val="none"/>
        </w:rPr>
        <w:t xml:space="preserve">邮      编：</w:t>
      </w:r>
      <w:r/>
    </w:p>
    <w:p>
      <w:pPr>
        <w:pStyle w:val="785"/>
        <w:ind w:left="420" w:firstLine="482"/>
        <w:spacing w:beforeAutospacing="0" w:afterAutospacing="0" w:line="0" w:lineRule="atLeast"/>
        <w:rPr>
          <w:rFonts w:ascii="宋体" w:hAnsi="宋体" w:eastAsia="宋体"/>
          <w:color w:val="auto"/>
          <w:highlight w:val="none"/>
        </w:rPr>
      </w:pPr>
      <w:r>
        <w:rPr>
          <w:rFonts w:hint="eastAsia" w:ascii="宋体" w:hAnsi="宋体" w:eastAsia="宋体" w:cs="宋体"/>
          <w:color w:val="auto"/>
          <w:highlight w:val="none"/>
        </w:rPr>
        <w:t xml:space="preserve">电      话：</w:t>
      </w:r>
      <w:r/>
    </w:p>
    <w:p>
      <w:pPr>
        <w:pStyle w:val="785"/>
        <w:ind w:left="420" w:firstLine="482"/>
        <w:spacing w:beforeAutospacing="0" w:afterAutospacing="0" w:line="0" w:lineRule="atLeast"/>
        <w:rPr>
          <w:rFonts w:ascii="宋体" w:hAnsi="宋体" w:eastAsia="宋体"/>
          <w:color w:val="auto"/>
          <w:highlight w:val="none"/>
        </w:rPr>
      </w:pPr>
      <w:r>
        <w:rPr>
          <w:rFonts w:hint="eastAsia" w:ascii="宋体" w:hAnsi="宋体" w:eastAsia="宋体" w:cs="宋体"/>
          <w:color w:val="auto"/>
          <w:highlight w:val="none"/>
        </w:rPr>
        <w:t xml:space="preserve">传      真：</w:t>
      </w:r>
      <w:r/>
    </w:p>
    <w:p>
      <w:pPr>
        <w:pStyle w:val="785"/>
        <w:ind w:left="420" w:firstLine="482"/>
        <w:spacing w:beforeAutospacing="0" w:afterAutospacing="0" w:line="0" w:lineRule="atLeast"/>
        <w:rPr>
          <w:rFonts w:ascii="宋体" w:hAnsi="宋体" w:eastAsia="宋体"/>
          <w:color w:val="auto"/>
          <w:highlight w:val="none"/>
        </w:rPr>
      </w:pPr>
      <w:r>
        <w:rPr>
          <w:rFonts w:hint="eastAsia" w:ascii="宋体" w:hAnsi="宋体" w:eastAsia="宋体" w:cs="宋体"/>
          <w:color w:val="auto"/>
          <w:highlight w:val="none"/>
        </w:rPr>
        <w:t xml:space="preserve">投标人开户行：</w:t>
      </w:r>
      <w:r/>
    </w:p>
    <w:p>
      <w:pPr>
        <w:pStyle w:val="785"/>
        <w:ind w:left="420" w:firstLine="482"/>
        <w:spacing w:beforeAutospacing="0" w:afterAutospacing="0" w:line="0" w:lineRule="atLeast"/>
        <w:rPr>
          <w:rFonts w:ascii="宋体" w:hAnsi="宋体" w:eastAsia="宋体"/>
          <w:color w:val="auto"/>
          <w:highlight w:val="none"/>
        </w:rPr>
      </w:pPr>
      <w:r>
        <w:rPr>
          <w:rFonts w:hint="eastAsia" w:ascii="宋体" w:hAnsi="宋体" w:eastAsia="宋体" w:cs="宋体"/>
          <w:color w:val="auto"/>
          <w:highlight w:val="none"/>
        </w:rPr>
        <w:t xml:space="preserve">账      号：</w:t>
      </w:r>
      <w:r/>
    </w:p>
    <w:p>
      <w:pPr>
        <w:pStyle w:val="785"/>
        <w:ind w:left="420" w:firstLine="482"/>
        <w:spacing w:beforeAutospacing="0" w:afterAutospacing="0" w:line="0" w:lineRule="atLeast"/>
        <w:rPr>
          <w:rFonts w:ascii="宋体" w:hAnsi="宋体" w:eastAsia="宋体"/>
          <w:color w:val="auto"/>
          <w:highlight w:val="none"/>
        </w:rPr>
      </w:pPr>
      <w:r>
        <w:rPr>
          <w:rFonts w:hint="eastAsia" w:ascii="宋体" w:hAnsi="宋体" w:eastAsia="宋体" w:cs="宋体"/>
          <w:color w:val="auto"/>
          <w:highlight w:val="none"/>
        </w:rPr>
        <w:t xml:space="preserve">日      期：________年____月____日</w:t>
      </w:r>
      <w:bookmarkEnd w:id="237"/>
      <w:r/>
      <w:bookmarkEnd w:id="238"/>
      <w:r/>
      <w:r/>
    </w:p>
    <w:p>
      <w:pPr>
        <w:pStyle w:val="785"/>
        <w:ind w:firstLine="482"/>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bookmarkEnd w:id="239"/>
      <w:r/>
      <w:bookmarkEnd w:id="240"/>
      <w:r/>
      <w:bookmarkEnd w:id="241"/>
      <w:r/>
      <w:r/>
    </w:p>
    <w:p>
      <w:pPr>
        <w:rPr>
          <w:rFonts w:ascii="黑体" w:hAnsi="宋体" w:eastAsia="黑体" w:cs="黑体"/>
          <w:b/>
          <w:color w:val="auto"/>
          <w:sz w:val="32"/>
          <w:szCs w:val="32"/>
          <w:highlight w:val="none"/>
        </w:rPr>
      </w:pPr>
      <w:r>
        <w:rPr>
          <w:rFonts w:ascii="黑体" w:hAnsi="宋体" w:eastAsia="黑体" w:cs="黑体"/>
          <w:b/>
          <w:color w:val="auto"/>
          <w:sz w:val="32"/>
          <w:szCs w:val="32"/>
          <w:highlight w:val="none"/>
        </w:rPr>
        <w:br w:type="page" w:clear="all"/>
      </w:r>
      <w:r/>
    </w:p>
    <w:p>
      <w:pPr>
        <w:jc w:val="center"/>
        <w:spacing w:line="0" w:lineRule="atLeast"/>
        <w:widowControl w:val="off"/>
        <w:rPr>
          <w:rFonts w:ascii="Calibri" w:hAnsi="Calibri" w:eastAsia="宋体" w:cs="Times New Roman"/>
          <w:color w:val="auto"/>
          <w:sz w:val="24"/>
          <w:highlight w:val="none"/>
        </w:rPr>
      </w:pPr>
      <w:r>
        <w:rPr>
          <w:rFonts w:hint="eastAsia" w:ascii="黑体" w:hAnsi="宋体" w:eastAsia="黑体" w:cs="黑体"/>
          <w:bCs/>
          <w:color w:val="auto"/>
          <w:sz w:val="32"/>
          <w:szCs w:val="32"/>
          <w:highlight w:val="none"/>
        </w:rPr>
        <w:t xml:space="preserve">九、</w:t>
      </w:r>
      <w:bookmarkStart w:id="242" w:name="OLE_LINK32"/>
      <w:r/>
      <w:bookmarkStart w:id="243" w:name="OLE_LINK27"/>
      <w:r>
        <w:rPr>
          <w:rFonts w:hint="eastAsia" w:ascii="黑体" w:hAnsi="宋体" w:eastAsia="黑体" w:cs="黑体"/>
          <w:b/>
          <w:color w:val="auto"/>
          <w:sz w:val="32"/>
          <w:szCs w:val="32"/>
          <w:highlight w:val="none"/>
        </w:rPr>
        <w:t xml:space="preserve">中小企业声明函（服务）</w:t>
      </w:r>
      <w:r/>
    </w:p>
    <w:p>
      <w:pPr>
        <w:ind w:firstLine="480"/>
        <w:jc w:val="both"/>
        <w:spacing w:line="500" w:lineRule="exact"/>
        <w:widowControl w:val="off"/>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本公司（联合体）郑重声明，根据《政府采购促进中小企业发展管理办法》（财库﹝2020﹞46 号）的规定，本公司（联合体）参加</w:t>
      </w:r>
      <w:r>
        <w:rPr>
          <w:rFonts w:hint="eastAsia" w:ascii="Calibri" w:hAnsi="Calibri" w:eastAsia="宋体" w:cs="Times New Roman"/>
          <w:i/>
          <w:iCs/>
          <w:color w:val="auto"/>
          <w:sz w:val="24"/>
          <w:highlight w:val="none"/>
          <w:u w:val="single"/>
        </w:rPr>
        <w:t xml:space="preserve">（单位名称）</w:t>
      </w:r>
      <w:r>
        <w:rPr>
          <w:rFonts w:hint="eastAsia" w:ascii="Calibri" w:hAnsi="Calibri" w:eastAsia="宋体" w:cs="Times New Roman"/>
          <w:color w:val="auto"/>
          <w:sz w:val="24"/>
          <w:szCs w:val="20"/>
          <w:highlight w:val="none"/>
        </w:rPr>
        <w:t xml:space="preserve">，</w:t>
      </w:r>
      <w:r>
        <w:rPr>
          <w:rFonts w:hint="eastAsia" w:ascii="Calibri" w:hAnsi="Calibri" w:eastAsia="宋体" w:cs="Times New Roman"/>
          <w:color w:val="auto"/>
          <w:sz w:val="24"/>
          <w:highlight w:val="none"/>
        </w:rPr>
        <w:t xml:space="preserve">采购编号为</w:t>
      </w:r>
      <w:r>
        <w:rPr>
          <w:rFonts w:hint="eastAsia" w:ascii="Calibri" w:hAnsi="Calibri" w:eastAsia="宋体" w:cs="Times New Roman"/>
          <w:color w:val="auto"/>
          <w:sz w:val="24"/>
          <w:highlight w:val="none"/>
          <w:u w:val="single"/>
        </w:rPr>
        <w:t xml:space="preserve">     </w:t>
      </w:r>
      <w:r>
        <w:rPr>
          <w:rFonts w:hint="eastAsia" w:ascii="Calibri" w:hAnsi="Calibri" w:eastAsia="宋体" w:cs="Times New Roman"/>
          <w:color w:val="auto"/>
          <w:sz w:val="24"/>
          <w:highlight w:val="none"/>
        </w:rPr>
        <w:t xml:space="preserve">的</w:t>
      </w:r>
      <w:r>
        <w:rPr>
          <w:rFonts w:hint="eastAsia" w:ascii="Calibri" w:hAnsi="Calibri" w:eastAsia="宋体" w:cs="Times New Roman"/>
          <w:i/>
          <w:iCs/>
          <w:color w:val="auto"/>
          <w:sz w:val="24"/>
          <w:highlight w:val="none"/>
          <w:u w:val="single"/>
        </w:rPr>
        <w:t xml:space="preserve">（项目名称）</w:t>
      </w:r>
      <w:r>
        <w:rPr>
          <w:rFonts w:hint="eastAsia" w:ascii="Calibri" w:hAnsi="Calibri" w:eastAsia="宋体" w:cs="Times New Roman"/>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jc w:val="both"/>
        <w:spacing w:line="500" w:lineRule="exact"/>
        <w:widowControl w:val="off"/>
        <w:rPr>
          <w:rFonts w:ascii="Calibri" w:hAnsi="Calibri" w:eastAsia="宋体" w:cs="Times New Roman"/>
          <w:color w:val="auto"/>
          <w:sz w:val="24"/>
          <w:highlight w:val="none"/>
        </w:rPr>
      </w:pPr>
      <w:r>
        <w:rPr>
          <w:rFonts w:hint="eastAsia" w:ascii="Calibri" w:hAnsi="Calibri" w:eastAsia="宋体" w:cs="Times New Roman"/>
          <w:i/>
          <w:iCs/>
          <w:color w:val="auto"/>
          <w:sz w:val="24"/>
          <w:highlight w:val="none"/>
          <w:u w:val="single"/>
        </w:rPr>
        <w:t xml:space="preserve">（标的名称）</w:t>
      </w:r>
      <w:r>
        <w:rPr>
          <w:rFonts w:hint="eastAsia" w:ascii="Calibri" w:hAnsi="Calibri" w:eastAsia="宋体" w:cs="Times New Roman"/>
          <w:color w:val="auto"/>
          <w:sz w:val="24"/>
          <w:highlight w:val="none"/>
        </w:rPr>
        <w:t xml:space="preserve"> ，属于</w:t>
      </w:r>
      <w:r>
        <w:rPr>
          <w:rFonts w:hint="eastAsia" w:ascii="Calibri" w:hAnsi="Calibri" w:eastAsia="宋体" w:cs="Times New Roman"/>
          <w:i/>
          <w:iCs/>
          <w:color w:val="auto"/>
          <w:sz w:val="24"/>
          <w:highlight w:val="none"/>
          <w:u w:val="single"/>
        </w:rPr>
        <w:t xml:space="preserve">（采购文件中明确的所属行业）</w:t>
      </w:r>
      <w:r>
        <w:rPr>
          <w:rFonts w:hint="eastAsia" w:ascii="Calibri" w:hAnsi="Calibri" w:eastAsia="宋体" w:cs="Times New Roman"/>
          <w:color w:val="auto"/>
          <w:sz w:val="24"/>
          <w:highlight w:val="none"/>
        </w:rPr>
        <w:t xml:space="preserve">；承建（承接）企业为</w:t>
      </w:r>
      <w:r>
        <w:rPr>
          <w:rFonts w:hint="eastAsia" w:ascii="Calibri" w:hAnsi="Calibri" w:eastAsia="宋体" w:cs="Times New Roman"/>
          <w:i/>
          <w:iCs/>
          <w:color w:val="auto"/>
          <w:sz w:val="24"/>
          <w:highlight w:val="none"/>
          <w:u w:val="single"/>
        </w:rPr>
        <w:t xml:space="preserve">（企业名称）</w:t>
      </w:r>
      <w:r>
        <w:rPr>
          <w:rFonts w:hint="eastAsia" w:ascii="Calibri" w:hAnsi="Calibri" w:eastAsia="宋体" w:cs="Times New Roman"/>
          <w:color w:val="auto"/>
          <w:sz w:val="24"/>
          <w:highlight w:val="none"/>
        </w:rPr>
        <w:t xml:space="preserve">，从业人员</w:t>
      </w:r>
      <w:r>
        <w:rPr>
          <w:rFonts w:hint="eastAsia" w:ascii="Calibri" w:hAnsi="Calibri" w:eastAsia="宋体" w:cs="Times New Roman"/>
          <w:color w:val="auto"/>
          <w:sz w:val="24"/>
          <w:highlight w:val="none"/>
          <w:u w:val="single"/>
        </w:rPr>
        <w:t xml:space="preserve">    </w:t>
      </w:r>
      <w:r>
        <w:rPr>
          <w:rFonts w:hint="eastAsia" w:ascii="Calibri" w:hAnsi="Calibri" w:eastAsia="宋体" w:cs="Times New Roman"/>
          <w:color w:val="auto"/>
          <w:sz w:val="24"/>
          <w:highlight w:val="none"/>
        </w:rPr>
        <w:t xml:space="preserve">人，营业收入为</w:t>
      </w:r>
      <w:r>
        <w:rPr>
          <w:rFonts w:hint="eastAsia" w:ascii="Calibri" w:hAnsi="Calibri" w:eastAsia="宋体" w:cs="Times New Roman"/>
          <w:color w:val="auto"/>
          <w:sz w:val="24"/>
          <w:highlight w:val="none"/>
          <w:u w:val="single"/>
        </w:rPr>
        <w:t xml:space="preserve">    </w:t>
      </w:r>
      <w:r>
        <w:rPr>
          <w:rFonts w:hint="eastAsia" w:ascii="Calibri" w:hAnsi="Calibri" w:eastAsia="宋体" w:cs="Times New Roman"/>
          <w:color w:val="auto"/>
          <w:sz w:val="24"/>
          <w:highlight w:val="none"/>
        </w:rPr>
        <w:t xml:space="preserve">万元，资产总额为</w:t>
      </w:r>
      <w:r>
        <w:rPr>
          <w:rFonts w:hint="eastAsia" w:ascii="Calibri" w:hAnsi="Calibri" w:eastAsia="宋体" w:cs="Times New Roman"/>
          <w:color w:val="auto"/>
          <w:sz w:val="24"/>
          <w:highlight w:val="none"/>
          <w:u w:val="single"/>
        </w:rPr>
        <w:t xml:space="preserve">    </w:t>
      </w:r>
      <w:r>
        <w:rPr>
          <w:rFonts w:hint="eastAsia" w:ascii="Calibri" w:hAnsi="Calibri" w:eastAsia="宋体" w:cs="Times New Roman"/>
          <w:color w:val="auto"/>
          <w:sz w:val="24"/>
          <w:highlight w:val="none"/>
        </w:rPr>
        <w:t xml:space="preserve">万元，属于（</w:t>
      </w:r>
      <w:r>
        <w:rPr>
          <w:rFonts w:hint="eastAsia" w:ascii="Calibri" w:hAnsi="Calibri" w:eastAsia="宋体" w:cs="Times New Roman"/>
          <w:i/>
          <w:iCs/>
          <w:color w:val="auto"/>
          <w:sz w:val="24"/>
          <w:highlight w:val="none"/>
          <w:u w:val="single"/>
        </w:rPr>
        <w:t xml:space="preserve">中型企业、小型企业、微型企业</w:t>
      </w:r>
      <w:r>
        <w:rPr>
          <w:rFonts w:hint="eastAsia" w:ascii="Calibri" w:hAnsi="Calibri" w:eastAsia="宋体" w:cs="Times New Roman"/>
          <w:color w:val="auto"/>
          <w:sz w:val="24"/>
          <w:highlight w:val="none"/>
        </w:rPr>
        <w:t xml:space="preserve">）；</w:t>
      </w:r>
      <w:r/>
    </w:p>
    <w:p>
      <w:pPr>
        <w:numPr>
          <w:ilvl w:val="0"/>
          <w:numId w:val="3"/>
        </w:numPr>
        <w:ind w:firstLine="480"/>
        <w:jc w:val="both"/>
        <w:spacing w:line="500" w:lineRule="exact"/>
        <w:widowControl w:val="off"/>
        <w:rPr>
          <w:rFonts w:ascii="Calibri" w:hAnsi="Calibri" w:eastAsia="宋体" w:cs="Times New Roman"/>
          <w:color w:val="auto"/>
          <w:sz w:val="24"/>
          <w:highlight w:val="none"/>
        </w:rPr>
      </w:pPr>
      <w:r>
        <w:rPr>
          <w:rFonts w:hint="eastAsia" w:ascii="Calibri" w:hAnsi="Calibri" w:eastAsia="宋体" w:cs="Times New Roman"/>
          <w:i/>
          <w:iCs/>
          <w:color w:val="auto"/>
          <w:sz w:val="24"/>
          <w:highlight w:val="none"/>
          <w:u w:val="single"/>
        </w:rPr>
        <w:t xml:space="preserve">（标的名称）</w:t>
      </w:r>
      <w:r>
        <w:rPr>
          <w:rFonts w:hint="eastAsia" w:ascii="Calibri" w:hAnsi="Calibri" w:eastAsia="宋体" w:cs="Times New Roman"/>
          <w:color w:val="auto"/>
          <w:sz w:val="24"/>
          <w:highlight w:val="none"/>
        </w:rPr>
        <w:t xml:space="preserve"> ，属于</w:t>
      </w:r>
      <w:r>
        <w:rPr>
          <w:rFonts w:hint="eastAsia" w:ascii="Calibri" w:hAnsi="Calibri" w:eastAsia="宋体" w:cs="Times New Roman"/>
          <w:i/>
          <w:iCs/>
          <w:color w:val="auto"/>
          <w:sz w:val="24"/>
          <w:highlight w:val="none"/>
          <w:u w:val="single"/>
        </w:rPr>
        <w:t xml:space="preserve">（采购文件中明确的所属行业）</w:t>
      </w:r>
      <w:r>
        <w:rPr>
          <w:rFonts w:hint="eastAsia" w:ascii="Calibri" w:hAnsi="Calibri" w:eastAsia="宋体" w:cs="Times New Roman"/>
          <w:color w:val="auto"/>
          <w:sz w:val="24"/>
          <w:highlight w:val="none"/>
        </w:rPr>
        <w:t xml:space="preserve">；承建（承接）企业为</w:t>
      </w:r>
      <w:r>
        <w:rPr>
          <w:rFonts w:hint="eastAsia" w:ascii="Calibri" w:hAnsi="Calibri" w:eastAsia="宋体" w:cs="Times New Roman"/>
          <w:i/>
          <w:iCs/>
          <w:color w:val="auto"/>
          <w:sz w:val="24"/>
          <w:highlight w:val="none"/>
          <w:u w:val="single"/>
        </w:rPr>
        <w:t xml:space="preserve">（企业名称）</w:t>
      </w:r>
      <w:r>
        <w:rPr>
          <w:rFonts w:hint="eastAsia" w:ascii="Calibri" w:hAnsi="Calibri" w:eastAsia="宋体" w:cs="Times New Roman"/>
          <w:color w:val="auto"/>
          <w:sz w:val="24"/>
          <w:highlight w:val="none"/>
        </w:rPr>
        <w:t xml:space="preserve">，从业人员</w:t>
      </w:r>
      <w:r>
        <w:rPr>
          <w:rFonts w:hint="eastAsia" w:ascii="Calibri" w:hAnsi="Calibri" w:eastAsia="宋体" w:cs="Times New Roman"/>
          <w:color w:val="auto"/>
          <w:sz w:val="24"/>
          <w:highlight w:val="none"/>
          <w:u w:val="single"/>
        </w:rPr>
        <w:t xml:space="preserve">    </w:t>
      </w:r>
      <w:r>
        <w:rPr>
          <w:rFonts w:hint="eastAsia" w:ascii="Calibri" w:hAnsi="Calibri" w:eastAsia="宋体" w:cs="Times New Roman"/>
          <w:color w:val="auto"/>
          <w:sz w:val="24"/>
          <w:highlight w:val="none"/>
        </w:rPr>
        <w:t xml:space="preserve">人，营业收入为</w:t>
      </w:r>
      <w:r>
        <w:rPr>
          <w:rFonts w:hint="eastAsia" w:ascii="Calibri" w:hAnsi="Calibri" w:eastAsia="宋体" w:cs="Times New Roman"/>
          <w:color w:val="auto"/>
          <w:sz w:val="24"/>
          <w:highlight w:val="none"/>
          <w:u w:val="single"/>
        </w:rPr>
        <w:t xml:space="preserve">    </w:t>
      </w:r>
      <w:r>
        <w:rPr>
          <w:rFonts w:hint="eastAsia" w:ascii="Calibri" w:hAnsi="Calibri" w:eastAsia="宋体" w:cs="Times New Roman"/>
          <w:color w:val="auto"/>
          <w:sz w:val="24"/>
          <w:highlight w:val="none"/>
        </w:rPr>
        <w:t xml:space="preserve">万元，资产总额为</w:t>
      </w:r>
      <w:r>
        <w:rPr>
          <w:rFonts w:hint="eastAsia" w:ascii="Calibri" w:hAnsi="Calibri" w:eastAsia="宋体" w:cs="Times New Roman"/>
          <w:color w:val="auto"/>
          <w:sz w:val="24"/>
          <w:highlight w:val="none"/>
          <w:u w:val="single"/>
        </w:rPr>
        <w:t xml:space="preserve">    </w:t>
      </w:r>
      <w:r>
        <w:rPr>
          <w:rFonts w:hint="eastAsia" w:ascii="Calibri" w:hAnsi="Calibri" w:eastAsia="宋体" w:cs="Times New Roman"/>
          <w:color w:val="auto"/>
          <w:sz w:val="24"/>
          <w:highlight w:val="none"/>
        </w:rPr>
        <w:t xml:space="preserve">万元，属于</w:t>
      </w:r>
      <w:r>
        <w:rPr>
          <w:rFonts w:hint="eastAsia" w:ascii="Calibri" w:hAnsi="Calibri" w:eastAsia="宋体" w:cs="Times New Roman"/>
          <w:i/>
          <w:iCs/>
          <w:color w:val="auto"/>
          <w:sz w:val="24"/>
          <w:highlight w:val="none"/>
          <w:u w:val="single"/>
        </w:rPr>
        <w:t xml:space="preserve">（中型企业、小型企业、微型企业）</w:t>
      </w:r>
      <w:r>
        <w:rPr>
          <w:rFonts w:hint="eastAsia" w:ascii="Calibri" w:hAnsi="Calibri" w:eastAsia="宋体" w:cs="Times New Roman"/>
          <w:color w:val="auto"/>
          <w:sz w:val="24"/>
          <w:highlight w:val="none"/>
        </w:rPr>
        <w:t xml:space="preserve">；</w:t>
      </w:r>
      <w:r/>
    </w:p>
    <w:p>
      <w:pPr>
        <w:ind w:firstLine="480"/>
        <w:jc w:val="both"/>
        <w:spacing w:line="500" w:lineRule="exact"/>
        <w:widowControl w:val="off"/>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w:t>
      </w:r>
      <w:r/>
    </w:p>
    <w:p>
      <w:pPr>
        <w:ind w:firstLine="480"/>
        <w:jc w:val="both"/>
        <w:spacing w:line="500" w:lineRule="exact"/>
        <w:widowControl w:val="off"/>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以上企业，不属于大企业的分支机构，不存在控股股东为大企业的情形，也不存在与大企业的负责人为同一人的情形。</w:t>
      </w:r>
      <w:r/>
    </w:p>
    <w:p>
      <w:pPr>
        <w:ind w:firstLine="480"/>
        <w:jc w:val="both"/>
        <w:spacing w:line="500" w:lineRule="exact"/>
        <w:widowControl w:val="off"/>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本企业对上述声明内容的真实性负责。如有虚假，将依法承担相应责任。</w:t>
      </w:r>
      <w:r/>
    </w:p>
    <w:p>
      <w:pPr>
        <w:ind w:right="720"/>
        <w:jc w:val="both"/>
        <w:spacing w:line="0" w:lineRule="atLeast"/>
        <w:widowControl w:val="off"/>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 </w:t>
      </w:r>
      <w:r/>
    </w:p>
    <w:p>
      <w:pPr>
        <w:ind w:right="180" w:firstLine="360"/>
        <w:jc w:val="right"/>
        <w:spacing w:line="0" w:lineRule="atLeast"/>
        <w:widowControl w:val="off"/>
        <w:rPr>
          <w:rFonts w:ascii="Calibri" w:hAnsi="Calibri" w:eastAsia="宋体" w:cs="Times New Roman"/>
          <w:color w:val="auto"/>
          <w:sz w:val="24"/>
          <w:highlight w:val="none"/>
        </w:rPr>
      </w:pPr>
      <w:r>
        <w:rPr>
          <w:rFonts w:hint="eastAsia" w:ascii="宋体" w:hAnsi="宋体" w:eastAsia="宋体" w:cs="宋体"/>
          <w:color w:val="auto"/>
          <w:sz w:val="24"/>
          <w:highlight w:val="none"/>
        </w:rPr>
        <w:t xml:space="preserve">企业名称（加盖CA电子公章）：</w:t>
      </w:r>
      <w:r/>
    </w:p>
    <w:p>
      <w:pPr>
        <w:pStyle w:val="785"/>
        <w:jc w:val="center"/>
        <w:spacing w:beforeAutospacing="0" w:afterAutospacing="0" w:line="0" w:lineRule="atLeast"/>
        <w:rPr>
          <w:rFonts w:ascii="Calibri" w:hAnsi="Calibri" w:eastAsia="宋体"/>
          <w:color w:val="auto"/>
          <w:highlight w:val="none"/>
        </w:rPr>
      </w:pPr>
      <w:r>
        <w:rPr>
          <w:rFonts w:hint="eastAsia" w:ascii="宋体" w:hAnsi="宋体" w:eastAsia="宋体" w:cs="宋体"/>
          <w:color w:val="auto"/>
          <w:highlight w:val="none"/>
        </w:rPr>
        <w:t xml:space="preserve">                 日  期：</w:t>
      </w:r>
      <w:r/>
    </w:p>
    <w:p>
      <w:pPr>
        <w:ind w:firstLine="240"/>
        <w:jc w:val="both"/>
        <w:spacing w:line="500" w:lineRule="exact"/>
        <w:widowControl w:val="off"/>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 </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备注1：从业人员、营业收入、资产总额填报上一年度数据，无上一年度数据的新成立企业可不填报。</w:t>
      </w:r>
      <w:r/>
    </w:p>
    <w:p>
      <w:pPr>
        <w:ind w:firstLine="480"/>
        <w:jc w:val="both"/>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备注2：供应商如不提供此声明函，价格将不做相应扣除。</w:t>
      </w:r>
      <w:r/>
    </w:p>
    <w:p>
      <w:pPr>
        <w:pStyle w:val="785"/>
        <w:ind w:firstLine="643"/>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85"/>
        <w:ind w:firstLine="48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85"/>
        <w:ind w:firstLine="48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85"/>
        <w:ind w:firstLine="48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85"/>
        <w:ind w:firstLine="48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85"/>
        <w:ind w:firstLine="48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85"/>
        <w:ind w:firstLine="482"/>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85"/>
        <w:ind w:firstLine="643"/>
        <w:jc w:val="center"/>
        <w:spacing w:beforeAutospacing="0" w:afterAutospacing="0" w:line="0" w:lineRule="atLeast"/>
        <w:rPr>
          <w:rFonts w:ascii="黑体" w:hAnsi="黑体" w:eastAsia="黑体" w:cs="黑体"/>
          <w:b/>
          <w:color w:val="auto"/>
          <w:sz w:val="32"/>
          <w:szCs w:val="32"/>
          <w:highlight w:val="none"/>
        </w:rPr>
      </w:pPr>
      <w:r>
        <w:rPr>
          <w:rFonts w:ascii="黑体" w:hAnsi="黑体" w:eastAsia="黑体" w:cs="黑体"/>
          <w:b/>
          <w:color w:val="auto"/>
          <w:sz w:val="32"/>
          <w:szCs w:val="32"/>
          <w:highlight w:val="none"/>
        </w:rPr>
      </w:r>
      <w:r/>
    </w:p>
    <w:p>
      <w:pPr>
        <w:rPr>
          <w:rFonts w:ascii="黑体" w:hAnsi="黑体" w:eastAsia="黑体" w:cs="黑体"/>
          <w:b/>
          <w:color w:val="auto"/>
          <w:sz w:val="32"/>
          <w:szCs w:val="32"/>
          <w:highlight w:val="none"/>
        </w:rPr>
      </w:pPr>
      <w:r>
        <w:rPr>
          <w:rFonts w:ascii="黑体" w:hAnsi="黑体" w:eastAsia="黑体" w:cs="黑体"/>
          <w:b/>
          <w:color w:val="auto"/>
          <w:sz w:val="32"/>
          <w:szCs w:val="32"/>
          <w:highlight w:val="none"/>
        </w:rPr>
        <w:br w:type="page" w:clear="all"/>
      </w:r>
      <w:r/>
    </w:p>
    <w:p>
      <w:pPr>
        <w:pStyle w:val="785"/>
        <w:ind w:firstLine="643"/>
        <w:jc w:val="center"/>
        <w:spacing w:beforeAutospacing="0" w:afterAutospacing="0" w:line="0" w:lineRule="atLeast"/>
        <w:rPr>
          <w:rFonts w:ascii="黑体" w:hAnsi="黑体" w:eastAsia="黑体"/>
          <w:color w:val="auto"/>
          <w:highlight w:val="none"/>
        </w:rPr>
      </w:pPr>
      <w:r>
        <w:rPr>
          <w:rFonts w:hint="eastAsia" w:ascii="黑体" w:hAnsi="黑体" w:eastAsia="黑体" w:cs="黑体"/>
          <w:b/>
          <w:color w:val="auto"/>
          <w:sz w:val="32"/>
          <w:szCs w:val="32"/>
          <w:highlight w:val="none"/>
        </w:rPr>
        <w:t xml:space="preserve">十、残疾人福利性单位声明函</w:t>
      </w:r>
      <w:r/>
    </w:p>
    <w:p>
      <w:pPr>
        <w:pStyle w:val="785"/>
        <w:ind w:firstLine="482"/>
        <w:jc w:val="both"/>
        <w:spacing w:beforeAutospacing="0" w:afterAutospacing="0" w:line="440" w:lineRule="exact"/>
        <w:rPr>
          <w:rFonts w:ascii="宋体" w:hAnsi="宋体" w:eastAsia="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项目采购活动由本单位提供服务。</w:t>
      </w:r>
      <w:r/>
    </w:p>
    <w:p>
      <w:pPr>
        <w:pStyle w:val="785"/>
        <w:ind w:firstLine="482"/>
        <w:jc w:val="both"/>
        <w:spacing w:beforeAutospacing="0" w:afterAutospacing="0" w:line="440" w:lineRule="exact"/>
        <w:rPr>
          <w:rFonts w:ascii="宋体" w:hAnsi="宋体" w:eastAsia="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85"/>
        <w:ind w:firstLine="482"/>
        <w:jc w:val="both"/>
        <w:spacing w:beforeAutospacing="0" w:afterAutospacing="0" w:line="440" w:lineRule="exact"/>
        <w:rPr>
          <w:rFonts w:ascii="宋体" w:hAnsi="宋体" w:eastAsia="宋体"/>
          <w:color w:val="auto"/>
          <w:highlight w:val="none"/>
        </w:rPr>
      </w:pPr>
      <w:r>
        <w:rPr>
          <w:rFonts w:ascii="宋体" w:hAnsi="宋体" w:eastAsia="宋体"/>
          <w:color w:val="auto"/>
          <w:highlight w:val="none"/>
        </w:rPr>
        <w:t xml:space="preserve"> </w:t>
      </w:r>
      <w:r/>
    </w:p>
    <w:p>
      <w:pPr>
        <w:pStyle w:val="785"/>
        <w:ind w:firstLine="482"/>
        <w:jc w:val="both"/>
        <w:spacing w:beforeAutospacing="0" w:afterAutospacing="0" w:line="440" w:lineRule="exact"/>
        <w:rPr>
          <w:rFonts w:ascii="宋体" w:hAnsi="宋体" w:eastAsia="宋体"/>
          <w:color w:val="auto"/>
          <w:highlight w:val="none"/>
        </w:rPr>
      </w:pPr>
      <w:r>
        <w:rPr>
          <w:rFonts w:hint="eastAsia" w:ascii="宋体" w:hAnsi="宋体" w:eastAsia="宋体" w:cs="宋体"/>
          <w:color w:val="auto"/>
          <w:highlight w:val="none"/>
        </w:rPr>
        <w:t xml:space="preserve">备注：1、供应商如不提供此声明函，价格将不做相应扣除（如项目全面面向中小企业，则资格审查不通过）。</w:t>
      </w:r>
      <w:r/>
    </w:p>
    <w:p>
      <w:pPr>
        <w:pStyle w:val="785"/>
        <w:ind w:firstLine="482"/>
        <w:jc w:val="both"/>
        <w:spacing w:beforeAutospacing="0" w:afterAutospacing="0" w:line="440" w:lineRule="exact"/>
        <w:rPr>
          <w:rFonts w:ascii="宋体" w:hAnsi="宋体" w:eastAsia="宋体"/>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785"/>
        <w:ind w:firstLine="482"/>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785"/>
        <w:ind w:right="1560" w:firstLine="602"/>
        <w:jc w:val="center"/>
        <w:spacing w:beforeAutospacing="0" w:afterAutospacing="0" w:line="0" w:lineRule="atLeast"/>
        <w:tabs>
          <w:tab w:val="left" w:pos="4864" w:leader="none"/>
        </w:tabs>
        <w:rPr>
          <w:rFonts w:ascii="宋体" w:hAnsi="宋体" w:eastAsia="宋体"/>
          <w:color w:val="auto"/>
          <w:highlight w:val="none"/>
        </w:rPr>
      </w:pPr>
      <w:r>
        <w:rPr>
          <w:rFonts w:ascii="宋体" w:hAnsi="宋体" w:eastAsia="宋体"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785"/>
        <w:ind w:right="1560" w:firstLine="482"/>
        <w:jc w:val="center"/>
        <w:spacing w:beforeAutospacing="0" w:afterAutospacing="0" w:line="0" w:lineRule="atLeast"/>
        <w:tabs>
          <w:tab w:val="left" w:pos="4864" w:leader="none"/>
        </w:tabs>
        <w:rPr>
          <w:rFonts w:ascii="宋体" w:hAnsi="宋体" w:eastAsia="宋体"/>
          <w:color w:val="auto"/>
          <w:highlight w:val="none"/>
        </w:rPr>
      </w:pPr>
      <w:r>
        <w:rPr>
          <w:rFonts w:hint="eastAsia" w:ascii="宋体" w:hAnsi="宋体" w:eastAsia="宋体" w:cs="宋体"/>
          <w:color w:val="auto"/>
          <w:highlight w:val="none"/>
        </w:rPr>
        <w:t xml:space="preserve">           日  期：</w:t>
      </w:r>
      <w:r/>
    </w:p>
    <w:p>
      <w:pPr>
        <w:pStyle w:val="785"/>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bookmarkEnd w:id="242"/>
      <w:r/>
      <w:r/>
    </w:p>
    <w:p>
      <w:pPr>
        <w:pStyle w:val="785"/>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785"/>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bookmarkEnd w:id="243"/>
      <w:r/>
      <w:r/>
    </w:p>
    <w:p>
      <w:pPr>
        <w:pStyle w:val="785"/>
        <w:ind w:firstLine="480"/>
        <w:spacing w:beforeAutospacing="0" w:afterAutospacing="0" w:line="0" w:lineRule="atLeast"/>
        <w:rPr>
          <w:rFonts w:ascii="宋体" w:hAnsi="宋体" w:eastAsia="宋体"/>
          <w:color w:val="auto"/>
          <w:highlight w:val="none"/>
        </w:rPr>
      </w:pPr>
      <w:r/>
      <w:bookmarkStart w:id="244" w:name="OLE_LINK71"/>
      <w:r>
        <w:rPr>
          <w:rFonts w:hint="eastAsia" w:ascii="宋体" w:hAnsi="宋体" w:eastAsia="宋体"/>
          <w:color w:val="auto"/>
          <w:highlight w:val="none"/>
        </w:rPr>
        <w:t xml:space="preserve">注：如不是残疾人福利性单位，无需提供此声明函。</w:t>
      </w:r>
      <w:bookmarkEnd w:id="244"/>
      <w:r/>
      <w:r/>
    </w:p>
    <w:p>
      <w:pPr>
        <w:pStyle w:val="785"/>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785"/>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785"/>
        <w:jc w:val="center"/>
        <w:spacing w:beforeAutospacing="0" w:afterAutospacing="0" w:line="0" w:lineRule="atLeast"/>
        <w:rPr>
          <w:rFonts w:ascii="黑体" w:hAnsi="黑体" w:eastAsia="黑体" w:cs="黑体"/>
          <w:b/>
          <w:color w:val="auto"/>
          <w:sz w:val="32"/>
          <w:szCs w:val="32"/>
          <w:highlight w:val="none"/>
        </w:rPr>
      </w:pPr>
      <w:r>
        <w:rPr>
          <w:rFonts w:ascii="宋体" w:hAnsi="宋体" w:eastAsia="宋体"/>
          <w:color w:val="auto"/>
          <w:highlight w:val="none"/>
        </w:rPr>
        <w:t xml:space="preserve"> </w:t>
      </w:r>
      <w:r/>
    </w:p>
    <w:p>
      <w:pPr>
        <w:rPr>
          <w:rFonts w:ascii="黑体" w:hAnsi="黑体" w:eastAsia="黑体" w:cs="黑体"/>
          <w:b/>
          <w:color w:val="auto"/>
          <w:sz w:val="32"/>
          <w:szCs w:val="32"/>
          <w:highlight w:val="none"/>
        </w:rPr>
      </w:pPr>
      <w:r>
        <w:rPr>
          <w:rFonts w:ascii="黑体" w:hAnsi="黑体" w:eastAsia="黑体" w:cs="黑体"/>
          <w:b/>
          <w:color w:val="auto"/>
          <w:sz w:val="32"/>
          <w:szCs w:val="32"/>
          <w:highlight w:val="none"/>
        </w:rPr>
        <w:br w:type="page" w:clear="all"/>
      </w:r>
      <w:r/>
    </w:p>
    <w:p>
      <w:pPr>
        <w:pStyle w:val="785"/>
        <w:numPr>
          <w:ilvl w:val="0"/>
          <w:numId w:val="4"/>
        </w:numPr>
        <w:jc w:val="center"/>
        <w:spacing w:beforeAutospacing="0" w:afterAutospacing="0"/>
        <w:rPr>
          <w:rFonts w:ascii="黑体" w:hAnsi="黑体" w:eastAsia="黑体"/>
          <w:bCs/>
          <w:iCs/>
          <w:color w:val="auto"/>
          <w:sz w:val="32"/>
          <w:szCs w:val="32"/>
          <w:highlight w:val="none"/>
        </w:rPr>
      </w:pPr>
      <w:r/>
      <w:bookmarkStart w:id="245" w:name="OLE_LINK76"/>
      <w:r>
        <w:rPr>
          <w:rFonts w:ascii="黑体" w:hAnsi="黑体" w:eastAsia="黑体"/>
          <w:bCs/>
          <w:iCs/>
          <w:color w:val="auto"/>
          <w:sz w:val="32"/>
          <w:szCs w:val="32"/>
          <w:highlight w:val="none"/>
        </w:rPr>
        <w:t xml:space="preserve">技术要求响应及偏离表</w:t>
      </w:r>
      <w:bookmarkEnd w:id="245"/>
      <w:r/>
      <w:r/>
    </w:p>
    <w:p>
      <w:pPr>
        <w:pStyle w:val="785"/>
        <w:numPr>
          <w:ilvl w:val="0"/>
          <w:numId w:val="0"/>
        </w:numPr>
        <w:jc w:val="center"/>
        <w:spacing w:beforeAutospacing="0" w:afterAutospacing="0"/>
        <w:rPr>
          <w:rFonts w:hint="default" w:ascii="黑体" w:hAnsi="黑体" w:eastAsia="黑体"/>
          <w:bCs/>
          <w:iCs/>
          <w:color w:val="auto"/>
          <w:sz w:val="32"/>
          <w:szCs w:val="32"/>
          <w:highlight w:val="none"/>
          <w:lang w:val="en-US" w:eastAsia="zh-CN"/>
        </w:rPr>
      </w:pPr>
      <w:r>
        <w:rPr>
          <w:rFonts w:hint="eastAsia" w:ascii="黑体" w:hAnsi="黑体" w:eastAsia="黑体"/>
          <w:bCs/>
          <w:iCs/>
          <w:color w:val="auto"/>
          <w:sz w:val="32"/>
          <w:szCs w:val="32"/>
          <w:highlight w:val="none"/>
          <w:lang w:val="en-US" w:eastAsia="zh-CN"/>
        </w:rPr>
        <w:t xml:space="preserve">（如无偏离，可不提供）</w:t>
      </w:r>
      <w:r/>
    </w:p>
    <w:tbl>
      <w:tblPr>
        <w:tblStyle w:val="761"/>
        <w:tblW w:w="8640" w:type="dxa"/>
        <w:tblCellSpacing w:w="0"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2230"/>
        <w:gridCol w:w="2068"/>
        <w:gridCol w:w="2249"/>
        <w:gridCol w:w="1268"/>
      </w:tblGrid>
      <w:tr>
        <w:trPr>
          <w:tblCellSpacing w:w="0" w:type="dxa"/>
          <w:trHeight w:val="706"/>
        </w:trPr>
        <w:tc>
          <w:tcPr>
            <w:tcW w:w="825" w:type="dxa"/>
            <w:vAlign w:val="center"/>
            <w:textDirection w:val="lrTb"/>
            <w:noWrap w:val="false"/>
          </w:tcPr>
          <w:p>
            <w:pPr>
              <w:pStyle w:val="985"/>
              <w:jc w:val="center"/>
              <w:spacing w:line="500" w:lineRule="exact"/>
              <w:rPr>
                <w:rFonts w:ascii="Times New Roman" w:hAnsi="Times New Roman" w:cs="Times New Roman"/>
                <w:color w:val="auto"/>
                <w:highlight w:val="none"/>
              </w:rPr>
            </w:pPr>
            <w:r>
              <w:rPr>
                <w:rFonts w:ascii="Times New Roman" w:hAnsi="Times New Roman" w:cs="Times New Roman"/>
                <w:color w:val="auto"/>
                <w:highlight w:val="none"/>
              </w:rPr>
              <w:t xml:space="preserve">序号</w:t>
            </w:r>
            <w:r/>
          </w:p>
        </w:tc>
        <w:tc>
          <w:tcPr>
            <w:tcW w:w="2230" w:type="dxa"/>
            <w:vAlign w:val="center"/>
            <w:textDirection w:val="lrTb"/>
            <w:noWrap w:val="false"/>
          </w:tcPr>
          <w:p>
            <w:pPr>
              <w:pStyle w:val="985"/>
              <w:jc w:val="center"/>
              <w:spacing w:line="500" w:lineRule="exact"/>
              <w:rPr>
                <w:rFonts w:ascii="Times New Roman" w:hAnsi="Times New Roman" w:cs="Times New Roman"/>
                <w:color w:val="auto"/>
                <w:highlight w:val="none"/>
              </w:rPr>
            </w:pPr>
            <w:r>
              <w:rPr>
                <w:rFonts w:ascii="Times New Roman" w:hAnsi="Times New Roman" w:cs="Times New Roman"/>
                <w:color w:val="auto"/>
                <w:highlight w:val="none"/>
              </w:rPr>
              <w:t xml:space="preserve">招标文件要求</w:t>
            </w:r>
            <w:r/>
          </w:p>
        </w:tc>
        <w:tc>
          <w:tcPr>
            <w:tcW w:w="2068" w:type="dxa"/>
            <w:vAlign w:val="center"/>
            <w:textDirection w:val="lrTb"/>
            <w:noWrap w:val="false"/>
          </w:tcPr>
          <w:p>
            <w:pPr>
              <w:pStyle w:val="985"/>
              <w:jc w:val="center"/>
              <w:spacing w:line="500" w:lineRule="exact"/>
              <w:rPr>
                <w:rFonts w:ascii="Times New Roman" w:hAnsi="Times New Roman" w:cs="Times New Roman"/>
                <w:color w:val="auto"/>
                <w:highlight w:val="none"/>
              </w:rPr>
            </w:pPr>
            <w:r>
              <w:rPr>
                <w:rFonts w:ascii="Times New Roman" w:hAnsi="Times New Roman" w:cs="Times New Roman"/>
                <w:color w:val="auto"/>
                <w:highlight w:val="none"/>
              </w:rPr>
              <w:t xml:space="preserve">投标响应情况</w:t>
            </w:r>
            <w:r/>
          </w:p>
        </w:tc>
        <w:tc>
          <w:tcPr>
            <w:tcW w:w="2249" w:type="dxa"/>
            <w:vAlign w:val="center"/>
            <w:textDirection w:val="lrTb"/>
            <w:noWrap w:val="false"/>
          </w:tcPr>
          <w:p>
            <w:pPr>
              <w:pStyle w:val="985"/>
              <w:jc w:val="center"/>
              <w:spacing w:line="500" w:lineRule="exact"/>
              <w:rPr>
                <w:rFonts w:ascii="Times New Roman" w:hAnsi="Times New Roman" w:cs="Times New Roman"/>
                <w:color w:val="auto"/>
                <w:highlight w:val="none"/>
              </w:rPr>
            </w:pPr>
            <w:r>
              <w:rPr>
                <w:rFonts w:ascii="Times New Roman" w:hAnsi="Times New Roman" w:cs="Times New Roman"/>
                <w:color w:val="auto"/>
                <w:highlight w:val="none"/>
              </w:rPr>
              <w:t xml:space="preserve">超出、符合或偏离</w:t>
            </w:r>
            <w:r/>
          </w:p>
        </w:tc>
        <w:tc>
          <w:tcPr>
            <w:tcW w:w="1268" w:type="dxa"/>
            <w:vAlign w:val="center"/>
            <w:textDirection w:val="lrTb"/>
            <w:noWrap w:val="false"/>
          </w:tcPr>
          <w:p>
            <w:pPr>
              <w:pStyle w:val="985"/>
              <w:jc w:val="center"/>
              <w:spacing w:line="500" w:lineRule="exact"/>
              <w:rPr>
                <w:rFonts w:ascii="Times New Roman" w:hAnsi="Times New Roman" w:cs="Times New Roman"/>
                <w:color w:val="auto"/>
                <w:highlight w:val="none"/>
              </w:rPr>
            </w:pPr>
            <w:r>
              <w:rPr>
                <w:rFonts w:ascii="Times New Roman" w:hAnsi="Times New Roman" w:cs="Times New Roman"/>
                <w:color w:val="auto"/>
                <w:highlight w:val="none"/>
              </w:rPr>
              <w:t xml:space="preserve">证明材料</w:t>
            </w:r>
            <w:r/>
          </w:p>
        </w:tc>
      </w:tr>
      <w:tr>
        <w:trPr>
          <w:tblCellSpacing w:w="0" w:type="dxa"/>
          <w:trHeight w:val="814"/>
        </w:trPr>
        <w:tc>
          <w:tcPr>
            <w:tcW w:w="825"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230"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068"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249"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1268"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r>
      <w:tr>
        <w:trPr>
          <w:tblCellSpacing w:w="0" w:type="dxa"/>
          <w:trHeight w:val="814"/>
        </w:trPr>
        <w:tc>
          <w:tcPr>
            <w:tcW w:w="825"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230"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068"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249"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1268"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r>
      <w:tr>
        <w:trPr>
          <w:tblCellSpacing w:w="0" w:type="dxa"/>
          <w:trHeight w:val="814"/>
        </w:trPr>
        <w:tc>
          <w:tcPr>
            <w:tcW w:w="825" w:type="dxa"/>
            <w:vAlign w:val="center"/>
            <w:textDirection w:val="lrTb"/>
            <w:noWrap w:val="false"/>
          </w:tcPr>
          <w:p>
            <w:pPr>
              <w:pStyle w:val="985"/>
              <w:ind w:firstLine="480"/>
              <w:jc w:val="center"/>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230" w:type="dxa"/>
            <w:vAlign w:val="center"/>
            <w:textDirection w:val="lrTb"/>
            <w:noWrap w:val="false"/>
          </w:tcPr>
          <w:p>
            <w:pPr>
              <w:pStyle w:val="985"/>
              <w:ind w:firstLine="480"/>
              <w:jc w:val="center"/>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068" w:type="dxa"/>
            <w:vAlign w:val="center"/>
            <w:textDirection w:val="lrTb"/>
            <w:noWrap w:val="false"/>
          </w:tcPr>
          <w:p>
            <w:pPr>
              <w:pStyle w:val="985"/>
              <w:ind w:firstLine="480"/>
              <w:jc w:val="center"/>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249" w:type="dxa"/>
            <w:vAlign w:val="center"/>
            <w:textDirection w:val="lrTb"/>
            <w:noWrap w:val="false"/>
          </w:tcPr>
          <w:p>
            <w:pPr>
              <w:pStyle w:val="985"/>
              <w:ind w:firstLine="480"/>
              <w:jc w:val="center"/>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1268" w:type="dxa"/>
            <w:vAlign w:val="center"/>
            <w:textDirection w:val="lrTb"/>
            <w:noWrap w:val="false"/>
          </w:tcPr>
          <w:p>
            <w:pPr>
              <w:pStyle w:val="985"/>
              <w:ind w:firstLine="480"/>
              <w:jc w:val="center"/>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r>
      <w:tr>
        <w:trPr>
          <w:tblCellSpacing w:w="0" w:type="dxa"/>
          <w:trHeight w:val="814"/>
        </w:trPr>
        <w:tc>
          <w:tcPr>
            <w:tcW w:w="825"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230"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068"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249"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1268"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r>
      <w:tr>
        <w:trPr>
          <w:tblCellSpacing w:w="0" w:type="dxa"/>
          <w:trHeight w:val="814"/>
        </w:trPr>
        <w:tc>
          <w:tcPr>
            <w:tcW w:w="825"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230"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068"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249"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1268"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r>
      <w:tr>
        <w:trPr>
          <w:tblCellSpacing w:w="0" w:type="dxa"/>
          <w:trHeight w:val="814"/>
        </w:trPr>
        <w:tc>
          <w:tcPr>
            <w:tcW w:w="825"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230"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068"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249"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1268"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r>
      <w:tr>
        <w:trPr>
          <w:tblCellSpacing w:w="0" w:type="dxa"/>
          <w:trHeight w:val="814"/>
        </w:trPr>
        <w:tc>
          <w:tcPr>
            <w:tcW w:w="825"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230"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068"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249"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1268"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r>
      <w:tr>
        <w:trPr>
          <w:tblCellSpacing w:w="0" w:type="dxa"/>
          <w:trHeight w:val="814"/>
        </w:trPr>
        <w:tc>
          <w:tcPr>
            <w:tcW w:w="825"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230"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t xml:space="preserve">……</w:t>
            </w:r>
            <w:r/>
          </w:p>
        </w:tc>
        <w:tc>
          <w:tcPr>
            <w:tcW w:w="2068"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2249"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W w:w="1268" w:type="dxa"/>
            <w:vAlign w:val="center"/>
            <w:textDirection w:val="lrTb"/>
            <w:noWrap w:val="false"/>
          </w:tcPr>
          <w:p>
            <w:pPr>
              <w:pStyle w:val="985"/>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r>
    </w:tbl>
    <w:p>
      <w:pPr>
        <w:pStyle w:val="985"/>
        <w:ind w:firstLine="480"/>
        <w:rPr>
          <w:rFonts w:cs="Times New Roman" w:asciiTheme="minorEastAsia" w:hAnsiTheme="minorEastAsia" w:eastAsiaTheme="minorEastAsia"/>
          <w:color w:val="auto"/>
          <w:highlight w:val="none"/>
        </w:rPr>
      </w:pPr>
      <w:r>
        <w:rPr>
          <w:rFonts w:hint="eastAsia" w:ascii="Times New Roman" w:hAnsi="Times New Roman" w:cs="Times New Roman"/>
          <w:color w:val="auto"/>
          <w:highlight w:val="none"/>
        </w:rPr>
        <w:t xml:space="preserve">注：</w:t>
      </w:r>
      <w:r>
        <w:rPr>
          <w:rFonts w:cs="Times New Roman" w:asciiTheme="minorEastAsia" w:hAnsiTheme="minorEastAsia" w:eastAsiaTheme="minorEastAsia"/>
          <w:color w:val="auto"/>
          <w:highlight w:val="none"/>
        </w:rPr>
        <w:t xml:space="preserve"> </w:t>
      </w:r>
      <w:r>
        <w:rPr>
          <w:rFonts w:hint="eastAsia" w:cs="Times New Roman" w:asciiTheme="minorEastAsia" w:hAnsiTheme="minorEastAsia"/>
          <w:color w:val="auto"/>
          <w:highlight w:val="none"/>
        </w:rPr>
        <w:t xml:space="preserve">行数不够，可自行添加</w:t>
      </w:r>
      <w:r>
        <w:rPr>
          <w:rFonts w:hint="eastAsia" w:cs="Times New Roman" w:asciiTheme="minorEastAsia" w:hAnsiTheme="minorEastAsia" w:eastAsiaTheme="minorEastAsia"/>
          <w:color w:val="auto"/>
          <w:highlight w:val="none"/>
        </w:rPr>
        <w:t xml:space="preserve">。</w:t>
      </w:r>
      <w:r/>
    </w:p>
    <w:p>
      <w:pPr>
        <w:ind w:firstLine="440"/>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ind w:firstLine="440"/>
        <w:rPr>
          <w:color w:val="auto"/>
          <w:highlight w:val="none"/>
        </w:rPr>
      </w:pPr>
      <w:r>
        <w:rPr>
          <w:color w:val="auto"/>
          <w:highlight w:val="none"/>
        </w:rPr>
      </w:r>
      <w:r/>
    </w:p>
    <w:p>
      <w:pPr>
        <w:pStyle w:val="833"/>
        <w:rPr>
          <w:color w:val="auto"/>
          <w:highlight w:val="none"/>
        </w:rPr>
      </w:pPr>
      <w:r>
        <w:rPr>
          <w:color w:val="auto"/>
          <w:highlight w:val="none"/>
        </w:rPr>
      </w:r>
      <w:r/>
    </w:p>
    <w:p>
      <w:pPr>
        <w:ind w:firstLine="643"/>
        <w:rPr>
          <w:rFonts w:ascii="宋体" w:hAnsi="宋体" w:eastAsia="宋体" w:cs="黑体"/>
          <w:b/>
          <w:color w:val="auto"/>
          <w:sz w:val="32"/>
          <w:szCs w:val="32"/>
          <w:highlight w:val="none"/>
        </w:rPr>
      </w:pPr>
      <w:r>
        <w:rPr>
          <w:rFonts w:ascii="宋体" w:hAnsi="宋体" w:eastAsia="宋体" w:cs="黑体"/>
          <w:b/>
          <w:color w:val="auto"/>
          <w:sz w:val="32"/>
          <w:szCs w:val="32"/>
          <w:highlight w:val="none"/>
        </w:rPr>
      </w:r>
      <w:r/>
    </w:p>
    <w:p>
      <w:pPr>
        <w:pStyle w:val="785"/>
        <w:ind w:firstLine="643"/>
        <w:jc w:val="center"/>
        <w:spacing w:beforeAutospacing="0" w:afterAutospacing="0"/>
        <w:rPr>
          <w:rFonts w:ascii="宋体" w:hAnsi="宋体" w:eastAsia="宋体"/>
          <w:color w:val="auto"/>
          <w:highlight w:val="none"/>
        </w:rPr>
      </w:pPr>
      <w:r>
        <w:rPr>
          <w:rFonts w:ascii="宋体" w:hAnsi="宋体" w:eastAsia="宋体"/>
          <w:color w:val="auto"/>
          <w:highlight w:val="none"/>
        </w:rPr>
      </w:r>
      <w:r/>
    </w:p>
    <w:p>
      <w:pPr>
        <w:pStyle w:val="785"/>
        <w:ind w:firstLine="643"/>
        <w:jc w:val="center"/>
        <w:spacing w:beforeAutospacing="0" w:afterAutospacing="0"/>
        <w:rPr>
          <w:rFonts w:ascii="黑体" w:hAnsi="黑体" w:eastAsia="黑体" w:cs="黑体"/>
          <w:b/>
          <w:color w:val="auto"/>
          <w:sz w:val="32"/>
          <w:szCs w:val="32"/>
          <w:highlight w:val="none"/>
        </w:rPr>
      </w:pPr>
      <w:r>
        <w:rPr>
          <w:rFonts w:ascii="黑体" w:hAnsi="黑体" w:eastAsia="黑体" w:cs="黑体"/>
          <w:b/>
          <w:color w:val="auto"/>
          <w:sz w:val="32"/>
          <w:szCs w:val="32"/>
          <w:highlight w:val="none"/>
        </w:rPr>
      </w:r>
      <w:r/>
    </w:p>
    <w:p>
      <w:pPr>
        <w:pStyle w:val="785"/>
        <w:ind w:firstLine="643"/>
        <w:jc w:val="center"/>
        <w:spacing w:beforeAutospacing="0" w:afterAutospacing="0"/>
        <w:rPr>
          <w:rFonts w:ascii="黑体" w:hAnsi="黑体" w:eastAsia="黑体" w:cs="黑体"/>
          <w:b/>
          <w:color w:val="auto"/>
          <w:sz w:val="32"/>
          <w:szCs w:val="32"/>
          <w:highlight w:val="none"/>
        </w:rPr>
      </w:pPr>
      <w:r>
        <w:rPr>
          <w:rFonts w:ascii="黑体" w:hAnsi="黑体" w:eastAsia="黑体" w:cs="黑体"/>
          <w:b/>
          <w:color w:val="auto"/>
          <w:sz w:val="32"/>
          <w:szCs w:val="32"/>
          <w:highlight w:val="none"/>
        </w:rPr>
      </w:r>
      <w:r/>
    </w:p>
    <w:p>
      <w:pPr>
        <w:pStyle w:val="785"/>
        <w:ind w:firstLine="643"/>
        <w:jc w:val="center"/>
        <w:spacing w:beforeAutospacing="0" w:afterAutospacing="0"/>
        <w:rPr>
          <w:rFonts w:ascii="黑体" w:hAnsi="黑体" w:eastAsia="黑体" w:cs="黑体"/>
          <w:b/>
          <w:color w:val="auto"/>
          <w:sz w:val="32"/>
          <w:szCs w:val="32"/>
          <w:highlight w:val="none"/>
        </w:rPr>
      </w:pPr>
      <w:r>
        <w:rPr>
          <w:rFonts w:ascii="黑体" w:hAnsi="黑体" w:eastAsia="黑体" w:cs="黑体"/>
          <w:b/>
          <w:color w:val="auto"/>
          <w:sz w:val="32"/>
          <w:szCs w:val="32"/>
          <w:highlight w:val="none"/>
        </w:rPr>
      </w:r>
      <w:r/>
    </w:p>
    <w:p>
      <w:pPr>
        <w:jc w:val="center"/>
        <w:rPr>
          <w:rFonts w:ascii="黑体" w:hAnsi="黑体" w:eastAsia="黑体" w:cs="黑体"/>
          <w:b/>
          <w:color w:val="auto"/>
          <w:sz w:val="32"/>
          <w:szCs w:val="32"/>
          <w:highlight w:val="none"/>
        </w:rPr>
      </w:pPr>
      <w:r>
        <w:rPr>
          <w:rFonts w:ascii="黑体" w:hAnsi="黑体" w:eastAsia="黑体" w:cs="黑体"/>
          <w:b/>
          <w:color w:val="auto"/>
          <w:sz w:val="32"/>
          <w:szCs w:val="32"/>
          <w:highlight w:val="none"/>
        </w:rPr>
        <w:br w:type="page" w:clear="all"/>
      </w:r>
      <w:r/>
      <w:r>
        <w:rPr>
          <w:rFonts w:hint="eastAsia" w:ascii="黑体" w:hAnsi="黑体" w:eastAsia="黑体" w:cs="黑体"/>
          <w:b/>
          <w:color w:val="auto"/>
          <w:sz w:val="32"/>
          <w:szCs w:val="32"/>
          <w:highlight w:val="none"/>
        </w:rPr>
        <w:t xml:space="preserve">十</w:t>
      </w:r>
      <w:r>
        <w:rPr>
          <w:rFonts w:hint="eastAsia" w:ascii="黑体" w:hAnsi="黑体" w:eastAsia="黑体" w:cs="黑体"/>
          <w:b/>
          <w:color w:val="auto"/>
          <w:sz w:val="32"/>
          <w:szCs w:val="32"/>
          <w:highlight w:val="none"/>
          <w:lang w:val="en-US" w:eastAsia="zh-CN"/>
        </w:rPr>
        <w:t xml:space="preserve">二</w:t>
      </w:r>
      <w:r>
        <w:rPr>
          <w:rFonts w:hint="eastAsia" w:ascii="黑体" w:hAnsi="黑体" w:eastAsia="黑体" w:cs="黑体"/>
          <w:b/>
          <w:color w:val="auto"/>
          <w:sz w:val="32"/>
          <w:szCs w:val="32"/>
          <w:highlight w:val="none"/>
        </w:rPr>
        <w:t xml:space="preserve">、</w:t>
      </w:r>
      <w:bookmarkStart w:id="246" w:name="OLE_LINK66"/>
      <w:r/>
      <w:bookmarkStart w:id="247" w:name="OLE_LINK47"/>
      <w:r/>
      <w:bookmarkStart w:id="248" w:name="OLE_LINK46"/>
      <w:r>
        <w:rPr>
          <w:rFonts w:hint="eastAsia" w:ascii="黑体" w:hAnsi="黑体" w:eastAsia="黑体" w:cs="黑体"/>
          <w:bCs/>
          <w:color w:val="auto"/>
          <w:sz w:val="32"/>
          <w:szCs w:val="32"/>
          <w:highlight w:val="none"/>
        </w:rPr>
        <w:t xml:space="preserve">商务要求响应及偏离表</w:t>
      </w:r>
      <w:r/>
      <w:r>
        <w:rPr>
          <w:rFonts w:ascii="黑体" w:hAnsi="黑体" w:eastAsia="黑体" w:cs="黑体"/>
          <w:b/>
          <w:color w:val="auto"/>
          <w:sz w:val="32"/>
          <w:szCs w:val="32"/>
          <w:highlight w:val="none"/>
        </w:rPr>
      </w:r>
    </w:p>
    <w:tbl>
      <w:tblPr>
        <w:tblStyle w:val="76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证明</w:t>
            </w:r>
            <w:r/>
          </w:p>
          <w:p>
            <w:pPr>
              <w:pStyle w:val="785"/>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bl>
    <w:p>
      <w:pPr>
        <w:pStyle w:val="785"/>
        <w:jc w:val="both"/>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注： 行数不够，可自行添加。</w:t>
      </w:r>
      <w:bookmarkEnd w:id="246"/>
      <w:r/>
      <w:r/>
    </w:p>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bookmarkEnd w:id="247"/>
      <w:r/>
      <w:bookmarkEnd w:id="248"/>
      <w:r/>
      <w:r/>
    </w:p>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p>
    <w:p>
      <w:pPr>
        <w:pStyle w:val="785"/>
        <w:jc w:val="both"/>
        <w:spacing w:beforeAutospacing="0" w:afterAutospacing="0"/>
        <w:rPr>
          <w:rFonts w:ascii="宋体" w:hAnsi="宋体" w:eastAsia="宋体"/>
          <w:color w:val="auto"/>
          <w:highlight w:val="none"/>
        </w:rPr>
      </w:pPr>
      <w:r>
        <w:rPr>
          <w:rFonts w:ascii="宋体" w:hAnsi="宋体" w:eastAsia="宋体"/>
          <w:color w:val="auto"/>
          <w:highlight w:val="none"/>
        </w:rPr>
      </w:r>
      <w:r/>
    </w:p>
    <w:p>
      <w:pPr>
        <w:pStyle w:val="785"/>
        <w:ind w:firstLine="643"/>
        <w:jc w:val="center"/>
        <w:spacing w:beforeAutospacing="0" w:afterAutospacing="0"/>
        <w:rPr>
          <w:rFonts w:ascii="宋体" w:hAnsi="宋体" w:eastAsia="宋体" w:cs="黑体"/>
          <w:b/>
          <w:bCs/>
          <w:i/>
          <w:color w:val="auto"/>
          <w:sz w:val="32"/>
          <w:szCs w:val="32"/>
          <w:highlight w:val="none"/>
          <w:u w:val="single"/>
        </w:rPr>
      </w:pPr>
      <w:r>
        <w:rPr>
          <w:rFonts w:ascii="宋体" w:hAnsi="宋体" w:eastAsia="宋体" w:cs="黑体"/>
          <w:b/>
          <w:bCs/>
          <w:i/>
          <w:color w:val="auto"/>
          <w:sz w:val="32"/>
          <w:szCs w:val="32"/>
          <w:highlight w:val="none"/>
          <w:u w:val="single"/>
        </w:rPr>
      </w:r>
      <w:r/>
    </w:p>
    <w:p>
      <w:pPr>
        <w:ind w:firstLine="643"/>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t xml:space="preserve">十</w:t>
      </w:r>
      <w:r>
        <w:rPr>
          <w:rFonts w:hint="eastAsia" w:ascii="黑体" w:hAnsi="黑体" w:eastAsia="黑体" w:cs="黑体"/>
          <w:b/>
          <w:i/>
          <w:color w:val="auto"/>
          <w:sz w:val="32"/>
          <w:highlight w:val="none"/>
          <w:u w:val="single"/>
          <w:lang w:val="en-US" w:eastAsia="zh-CN"/>
        </w:rPr>
        <w:t xml:space="preserve">三</w:t>
      </w:r>
      <w:r>
        <w:rPr>
          <w:rFonts w:ascii="黑体" w:hAnsi="黑体" w:eastAsia="黑体" w:cs="黑体"/>
          <w:b/>
          <w:i/>
          <w:color w:val="auto"/>
          <w:sz w:val="32"/>
          <w:highlight w:val="none"/>
          <w:u w:val="single"/>
        </w:rPr>
        <w:t xml:space="preserve">、开标一览表</w:t>
      </w:r>
      <w:r/>
    </w:p>
    <w:p>
      <w:pPr>
        <w:ind w:firstLine="480"/>
        <w:jc w:val="both"/>
        <w:widowControl w:val="off"/>
        <w:rPr>
          <w:rFonts w:ascii="宋体" w:hAnsi="宋体" w:eastAsia="宋体" w:cs="宋体"/>
          <w:color w:val="auto"/>
          <w:sz w:val="24"/>
          <w:highlight w:val="none"/>
        </w:rPr>
      </w:pPr>
      <w:r/>
      <w:bookmarkStart w:id="249" w:name="_Hlk213225851"/>
      <w:r>
        <w:rPr>
          <w:rFonts w:hint="eastAsia" w:ascii="宋体" w:hAnsi="宋体" w:eastAsia="宋体" w:cs="宋体"/>
          <w:color w:val="auto"/>
          <w:sz w:val="24"/>
          <w:highlight w:val="none"/>
        </w:rPr>
        <w:t xml:space="preserve">项目编号：</w:t>
      </w:r>
      <w:r/>
    </w:p>
    <w:p>
      <w:pPr>
        <w:ind w:firstLine="480"/>
        <w:jc w:val="both"/>
        <w:widowControl w:val="off"/>
        <w:rPr>
          <w:rFonts w:hint="eastAsia" w:ascii="宋体" w:hAnsi="宋体" w:eastAsia="宋体" w:cs="宋体"/>
          <w:color w:val="auto"/>
          <w:sz w:val="24"/>
          <w:highlight w:val="none"/>
        </w:rPr>
      </w:pPr>
      <w:r>
        <w:rPr>
          <w:rFonts w:ascii="Calibri" w:hAnsi="Calibri" w:eastAsia="宋体" w:cs="Calibri"/>
          <w:color w:val="auto"/>
          <w:sz w:val="24"/>
          <w:highlight w:val="none"/>
        </w:rPr>
        <w:t xml:space="preserve">货币单位：人民币</w:t>
      </w:r>
      <w:r/>
    </w:p>
    <w:tbl>
      <w:tblPr>
        <w:tblStyle w:val="761"/>
        <w:tblW w:w="0" w:type="auto"/>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4"/>
        <w:gridCol w:w="2804"/>
        <w:gridCol w:w="2805"/>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jc w:val="center"/>
              <w:widowControl w:val="off"/>
              <w:rPr>
                <w:rFonts w:ascii="宋体" w:hAnsi="宋体" w:eastAsia="宋体" w:cs="宋体"/>
                <w:color w:val="auto"/>
                <w:sz w:val="24"/>
                <w:highlight w:val="none"/>
              </w:rPr>
            </w:pPr>
            <w:r>
              <w:rPr>
                <w:rFonts w:ascii="Calibri" w:hAnsi="Calibri" w:eastAsia="宋体" w:cs="Calibri"/>
                <w:color w:val="auto"/>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jc w:val="center"/>
              <w:widowControl w:val="off"/>
              <w:rPr>
                <w:rFonts w:ascii="宋体" w:hAnsi="宋体" w:eastAsia="宋体" w:cs="宋体"/>
                <w:color w:val="auto"/>
                <w:sz w:val="24"/>
                <w:highlight w:val="none"/>
              </w:rPr>
            </w:pPr>
            <w:r>
              <w:rPr>
                <w:rFonts w:ascii="Calibri" w:hAnsi="Calibri" w:eastAsia="宋体" w:cs="Calibri"/>
                <w:color w:val="auto"/>
                <w:sz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widowControl w:val="off"/>
              <w:rPr>
                <w:rFonts w:ascii="宋体" w:hAnsi="宋体" w:eastAsia="宋体" w:cs="宋体"/>
                <w:color w:val="auto"/>
                <w:sz w:val="24"/>
                <w:highlight w:val="none"/>
              </w:rPr>
            </w:pPr>
            <w:r>
              <w:rPr>
                <w:rFonts w:ascii="Calibri" w:hAnsi="Calibri" w:eastAsia="宋体" w:cs="Calibri"/>
                <w:color w:val="auto"/>
                <w:sz w:val="24"/>
                <w:highlight w:val="none"/>
              </w:rPr>
              <w:t xml:space="preserve">总价（小写）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rPr>
                <w:rFonts w:ascii="宋体" w:hAnsi="宋体" w:eastAsia="宋体" w:cs="宋体"/>
                <w:color w:val="auto"/>
                <w:sz w:val="24"/>
                <w:highlight w:val="none"/>
              </w:rPr>
            </w:pPr>
            <w:r>
              <w:rPr>
                <w:rFonts w:ascii="Calibri" w:hAnsi="Calibri" w:eastAsia="宋体" w:cs="Calibri"/>
                <w:color w:val="auto"/>
                <w:sz w:val="24"/>
                <w:highlight w:val="none"/>
              </w:rPr>
              <w:t xml:space="preserve">详见投标文件</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rPr>
                <w:rFonts w:ascii="宋体" w:hAnsi="宋体" w:eastAsia="宋体" w:cs="宋体"/>
                <w:color w:val="auto"/>
                <w:sz w:val="24"/>
                <w:highlight w:val="none"/>
              </w:rPr>
            </w:pPr>
            <w:r>
              <w:rPr>
                <w:rFonts w:ascii="Calibri" w:hAnsi="Calibri" w:eastAsia="宋体" w:cs="Calibri"/>
                <w:color w:val="auto"/>
                <w:sz w:val="24"/>
                <w:highlight w:val="none"/>
              </w:rPr>
              <w:t xml:space="preserve">                   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rPr>
                <w:rFonts w:ascii="宋体" w:hAnsi="宋体" w:eastAsia="宋体" w:cs="宋体"/>
                <w:color w:val="auto"/>
                <w:sz w:val="24"/>
                <w:highlight w:val="none"/>
              </w:rPr>
            </w:pPr>
            <w:r>
              <w:rPr>
                <w:rFonts w:ascii="Calibri" w:hAnsi="Calibri" w:eastAsia="宋体" w:cs="Calibri"/>
                <w:color w:val="auto"/>
                <w:sz w:val="24"/>
                <w:highlight w:val="none"/>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5609" w:type="dxa"/>
            <w:vAlign w:val="center"/>
            <w:textDirection w:val="lrTb"/>
            <w:noWrap w:val="false"/>
          </w:tcPr>
          <w:p>
            <w:pPr>
              <w:rPr>
                <w:rFonts w:ascii="宋体" w:hAnsi="宋体" w:eastAsia="宋体" w:cs="宋体"/>
                <w:color w:val="auto"/>
                <w:sz w:val="24"/>
                <w:highlight w:val="none"/>
              </w:rPr>
            </w:pPr>
            <w:r>
              <w:rPr>
                <w:rFonts w:ascii="Calibri" w:hAnsi="Calibri" w:eastAsia="宋体" w:cs="Calibri"/>
                <w:color w:val="auto"/>
                <w:sz w:val="24"/>
                <w:highlight w:val="none"/>
              </w:rPr>
              <w:t xml:space="preserve">金额大写</w:t>
            </w:r>
            <w:r/>
          </w:p>
        </w:tc>
      </w:tr>
    </w:tbl>
    <w:p>
      <w:pPr>
        <w:jc w:val="both"/>
        <w:widowControl w:val="off"/>
        <w:rPr>
          <w:rFonts w:ascii="Calibri" w:hAnsi="Calibri" w:eastAsia="宋体" w:cs="Calibri"/>
          <w:color w:val="auto"/>
          <w:sz w:val="24"/>
          <w:highlight w:val="none"/>
        </w:rPr>
      </w:pPr>
      <w:r>
        <w:rPr>
          <w:rFonts w:ascii="Calibri" w:hAnsi="Calibri" w:eastAsia="宋体" w:cs="Calibri"/>
          <w:color w:val="auto"/>
          <w:sz w:val="24"/>
          <w:highlight w:val="none"/>
        </w:rPr>
      </w:r>
      <w:r/>
    </w:p>
    <w:p>
      <w:pPr>
        <w:jc w:val="both"/>
        <w:widowControl w:val="off"/>
        <w:rPr>
          <w:rFonts w:ascii="宋体" w:hAnsi="宋体" w:eastAsia="宋体" w:cs="宋体"/>
          <w:color w:val="auto"/>
          <w:sz w:val="24"/>
          <w:highlight w:val="none"/>
        </w:rPr>
      </w:pPr>
      <w:r>
        <w:rPr>
          <w:rFonts w:ascii="Calibri" w:hAnsi="Calibri" w:eastAsia="宋体" w:cs="Calibri"/>
          <w:color w:val="auto"/>
          <w:sz w:val="24"/>
          <w:highlight w:val="none"/>
        </w:rPr>
        <w:t xml:space="preserve"> </w:t>
      </w:r>
      <w:r>
        <w:rPr>
          <w:rFonts w:hint="eastAsia" w:ascii="Calibri" w:hAnsi="Calibri" w:eastAsia="宋体" w:cs="Calibri"/>
          <w:color w:val="auto"/>
          <w:sz w:val="24"/>
          <w:highlight w:val="none"/>
        </w:rPr>
        <w:t xml:space="preserve">    </w:t>
      </w:r>
      <w:r>
        <w:rPr>
          <w:rFonts w:ascii="Calibri" w:hAnsi="Calibri" w:eastAsia="宋体" w:cs="Calibri"/>
          <w:color w:val="auto"/>
          <w:sz w:val="24"/>
          <w:highlight w:val="none"/>
        </w:rPr>
        <w:t xml:space="preserve">投标人公章：              （电子签章）</w:t>
      </w:r>
      <w:r/>
    </w:p>
    <w:p>
      <w:pPr>
        <w:ind w:firstLine="480"/>
        <w:jc w:val="both"/>
        <w:widowControl w:val="off"/>
        <w:rPr>
          <w:rFonts w:ascii="Calibri" w:hAnsi="Calibri" w:eastAsia="宋体" w:cs="Times New Roman"/>
          <w:color w:val="auto"/>
          <w:sz w:val="24"/>
          <w:highlight w:val="none"/>
        </w:rPr>
      </w:pPr>
      <w:r>
        <w:rPr>
          <w:rFonts w:hint="eastAsia" w:ascii="宋体" w:hAnsi="宋体" w:eastAsia="宋体" w:cs="宋体"/>
          <w:color w:val="auto"/>
          <w:sz w:val="24"/>
          <w:highlight w:val="none"/>
        </w:rPr>
        <w:t xml:space="preserve">日期：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bookmarkEnd w:id="249"/>
      <w:r/>
      <w:r/>
    </w:p>
    <w:p>
      <w:pPr>
        <w:jc w:val="both"/>
        <w:widowControl w:val="off"/>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 </w:t>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firstLine="482"/>
        <w:jc w:val="center"/>
        <w:spacing w:before="50" w:after="50"/>
        <w:rPr>
          <w:rFonts w:ascii="宋体" w:hAnsi="宋体" w:eastAsia="宋体"/>
          <w:color w:val="auto"/>
          <w:highlight w:val="none"/>
        </w:rPr>
      </w:pPr>
      <w:r>
        <w:rPr>
          <w:rFonts w:ascii="宋体" w:hAnsi="宋体" w:eastAsia="宋体"/>
          <w:color w:val="auto"/>
          <w:highlight w:val="none"/>
        </w:rPr>
      </w:r>
      <w:r/>
    </w:p>
    <w:p>
      <w:pPr>
        <w:ind w:firstLine="482"/>
        <w:jc w:val="center"/>
        <w:spacing w:before="50" w:after="50"/>
        <w:rPr>
          <w:rFonts w:ascii="宋体" w:hAnsi="宋体" w:eastAsia="宋体"/>
          <w:color w:val="auto"/>
          <w:highlight w:val="none"/>
        </w:rPr>
      </w:pPr>
      <w:r>
        <w:rPr>
          <w:rFonts w:ascii="宋体" w:hAnsi="宋体" w:eastAsia="宋体"/>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br w:type="page" w:clear="all"/>
      </w:r>
      <w:r/>
    </w:p>
    <w:p>
      <w:pPr>
        <w:jc w:val="center"/>
        <w:spacing w:before="50" w:after="50"/>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四</w:t>
      </w:r>
      <w:r>
        <w:rPr>
          <w:rFonts w:hint="eastAsia" w:ascii="宋体" w:hAnsi="宋体" w:eastAsia="宋体" w:cs="宋体"/>
          <w:b/>
          <w:bCs/>
          <w:color w:val="auto"/>
          <w:sz w:val="32"/>
          <w:szCs w:val="32"/>
          <w:highlight w:val="none"/>
        </w:rPr>
        <w:t xml:space="preserve">、实施方案</w:t>
      </w:r>
      <w:r/>
    </w:p>
    <w:p>
      <w:pPr>
        <w:pStyle w:val="785"/>
        <w:jc w:val="both"/>
        <w:spacing w:beforeAutospacing="0" w:afterAutospacing="0"/>
        <w:tabs>
          <w:tab w:val="left" w:pos="2160" w:leader="none"/>
        </w:tabs>
        <w:rPr>
          <w:rFonts w:ascii="宋体" w:hAnsi="宋体" w:eastAsia="宋体"/>
          <w:color w:val="auto"/>
          <w:highlight w:val="none"/>
        </w:rPr>
      </w:pPr>
      <w:r>
        <w:rPr>
          <w:rFonts w:ascii="宋体" w:hAnsi="宋体" w:eastAsia="宋体"/>
          <w:color w:val="auto"/>
          <w:highlight w:val="none"/>
        </w:rPr>
      </w:r>
      <w:r/>
    </w:p>
    <w:p>
      <w:pPr>
        <w:ind w:firstLine="643"/>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643"/>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643"/>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643"/>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643"/>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643"/>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643"/>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643"/>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643"/>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643"/>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643"/>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643"/>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643"/>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643"/>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643"/>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643"/>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643"/>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643"/>
        <w:spacing w:line="499" w:lineRule="atLeast"/>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rPr>
          <w:rFonts w:ascii="宋体" w:hAnsi="宋体" w:eastAsia="宋体" w:cs="宋体"/>
          <w:b/>
          <w:bCs/>
          <w:color w:val="auto"/>
          <w:sz w:val="32"/>
          <w:szCs w:val="32"/>
          <w:highlight w:val="none"/>
        </w:rPr>
      </w:pPr>
      <w:r/>
      <w:bookmarkStart w:id="250" w:name="OLE_LINK31"/>
      <w:r/>
      <w:bookmarkStart w:id="251" w:name="OLE_LINK45"/>
      <w:r/>
      <w:bookmarkStart w:id="252" w:name="OLE_LINK21"/>
      <w:r/>
      <w:bookmarkStart w:id="253" w:name="OLE_LINK65"/>
      <w:r>
        <w:rPr>
          <w:rFonts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、盐城经济技术开发区政府采购事前信用承诺书</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为营造我区公开、公平、公正、诚实守信的政府采购交易环境，树立诚信守法的投标人形象，本人代表本单位作出以下承诺：</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（四）严格遵守即时信息公示规定，及时维护和更新维护和更新盐城市政府采购网中与本单位相关的信息；</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spacing w:line="499"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320"/>
        <w:spacing w:line="499"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spacing w:line="499"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rPr>
          <w:rFonts w:ascii="宋体" w:hAnsi="宋体" w:eastAsia="宋体" w:cs="宋体"/>
          <w:b/>
          <w:color w:val="auto"/>
          <w:sz w:val="32"/>
          <w:szCs w:val="32"/>
          <w:highlight w:val="none"/>
        </w:rPr>
      </w:pPr>
      <w:r>
        <w:rPr>
          <w:rFonts w:hint="eastAsia" w:ascii="宋体" w:hAnsi="宋体" w:eastAsia="宋体" w:cs="宋体"/>
          <w:color w:val="auto"/>
          <w:sz w:val="24"/>
          <w:highlight w:val="none"/>
        </w:rPr>
        <w:t xml:space="preserve">                     日期：      年  月  日</w:t>
      </w:r>
      <w:bookmarkEnd w:id="37"/>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182"/>
      <w:r/>
      <w:bookmarkEnd w:id="183"/>
      <w:r/>
      <w:bookmarkEnd w:id="191"/>
      <w:r/>
      <w:bookmarkEnd w:id="192"/>
      <w:r/>
      <w:bookmarkEnd w:id="234"/>
      <w:r/>
      <w:bookmarkEnd w:id="235"/>
      <w:r/>
      <w:bookmarkEnd w:id="236"/>
      <w:r/>
      <w:bookmarkEnd w:id="250"/>
      <w:r/>
      <w:bookmarkEnd w:id="251"/>
      <w:r/>
      <w:bookmarkEnd w:id="252"/>
      <w:r/>
      <w:bookmarkEnd w:id="253"/>
      <w:r/>
      <w:r/>
    </w:p>
    <w:p>
      <w:pPr>
        <w:pStyle w:val="785"/>
        <w:ind w:firstLine="643"/>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785"/>
        <w:ind w:firstLine="643"/>
        <w:jc w:val="center"/>
        <w:spacing w:beforeAutospacing="0" w:afterAutospacing="0"/>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85"/>
        <w:ind w:firstLine="420"/>
        <w:jc w:val="both"/>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一、质疑供应商基本信息</w:t>
      </w:r>
      <w:r/>
    </w:p>
    <w:p>
      <w:pPr>
        <w:pStyle w:val="785"/>
        <w:ind w:firstLine="420"/>
        <w:jc w:val="both"/>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785"/>
        <w:ind w:firstLine="420"/>
        <w:jc w:val="both"/>
        <w:spacing w:beforeAutospacing="0" w:afterAutospacing="0" w:line="36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785"/>
        <w:ind w:firstLine="420"/>
        <w:jc w:val="both"/>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785"/>
        <w:ind w:firstLine="420"/>
        <w:jc w:val="both"/>
        <w:spacing w:beforeAutospacing="0" w:afterAutospacing="0" w:line="36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785"/>
        <w:ind w:firstLine="420"/>
        <w:jc w:val="both"/>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pStyle w:val="785"/>
        <w:ind w:firstLine="420"/>
        <w:jc w:val="both"/>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785"/>
        <w:ind w:firstLine="420"/>
        <w:jc w:val="both"/>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785"/>
        <w:ind w:firstLine="420"/>
        <w:jc w:val="both"/>
        <w:spacing w:beforeAutospacing="0" w:afterAutospacing="0" w:line="36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785"/>
        <w:ind w:firstLine="420"/>
        <w:jc w:val="both"/>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pStyle w:val="785"/>
        <w:ind w:firstLine="420"/>
        <w:jc w:val="both"/>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二、质疑项目基本情况</w:t>
      </w:r>
      <w:r/>
    </w:p>
    <w:p>
      <w:pPr>
        <w:pStyle w:val="785"/>
        <w:ind w:firstLine="420"/>
        <w:jc w:val="both"/>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pStyle w:val="785"/>
        <w:ind w:firstLine="420"/>
        <w:jc w:val="both"/>
        <w:spacing w:beforeAutospacing="0" w:afterAutospacing="0" w:line="36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p>
    <w:p>
      <w:pPr>
        <w:pStyle w:val="785"/>
        <w:ind w:firstLine="420"/>
        <w:jc w:val="both"/>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785"/>
        <w:ind w:firstLine="420"/>
        <w:jc w:val="both"/>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pStyle w:val="785"/>
        <w:ind w:firstLine="420"/>
        <w:jc w:val="both"/>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pStyle w:val="785"/>
        <w:ind w:firstLine="420"/>
        <w:jc w:val="both"/>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三、质疑事项具体内容</w:t>
      </w:r>
      <w:r/>
    </w:p>
    <w:p>
      <w:pPr>
        <w:pStyle w:val="785"/>
        <w:ind w:firstLine="420"/>
        <w:jc w:val="both"/>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pStyle w:val="785"/>
        <w:ind w:firstLine="420"/>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pStyle w:val="785"/>
        <w:ind w:firstLine="420"/>
        <w:jc w:val="both"/>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pStyle w:val="785"/>
        <w:ind w:firstLine="420"/>
        <w:jc w:val="both"/>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质疑事项2</w:t>
      </w:r>
      <w:r/>
    </w:p>
    <w:p>
      <w:pPr>
        <w:pStyle w:val="785"/>
        <w:ind w:firstLine="420"/>
        <w:jc w:val="both"/>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785"/>
        <w:ind w:firstLine="420"/>
        <w:jc w:val="both"/>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四、与质疑事项相关的质疑请求</w:t>
      </w:r>
      <w:r/>
    </w:p>
    <w:p>
      <w:pPr>
        <w:pStyle w:val="785"/>
        <w:ind w:firstLine="420"/>
        <w:jc w:val="both"/>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pStyle w:val="785"/>
        <w:ind w:firstLine="420"/>
        <w:jc w:val="both"/>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日期：    </w:t>
      </w:r>
      <w:r/>
    </w:p>
    <w:p>
      <w:pPr>
        <w:pStyle w:val="785"/>
        <w:ind w:firstLine="482"/>
        <w:jc w:val="both"/>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pStyle w:val="785"/>
        <w:ind w:firstLine="482"/>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pStyle w:val="785"/>
        <w:ind w:firstLine="482"/>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85"/>
        <w:ind w:firstLine="482"/>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pStyle w:val="785"/>
        <w:ind w:firstLine="482"/>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pStyle w:val="785"/>
        <w:ind w:firstLine="482"/>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pStyle w:val="785"/>
        <w:ind w:firstLine="482"/>
        <w:spacing w:beforeAutospacing="0" w:afterAutospacing="0"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6.质疑供应商为自然人的，质疑函应由本人签字；质疑供应商为法人或者其他组织的，质疑函应由法定代表人、主要负责人，或者其授权代表签字或者盖章，并加盖公章。</w:t>
      </w:r>
      <w:bookmarkEnd w:id="184"/>
      <w:r/>
      <w:r/>
    </w:p>
    <w:sectPr>
      <w:footerReference w:type="default" r:id="rId11"/>
      <w:footerReference w:type="first" r:id="rId12"/>
      <w:footnotePr/>
      <w:endnotePr/>
      <w:type w:val="nextPage"/>
      <w:pgSz w:w="11906" w:h="16838" w:orient="portrait"/>
      <w:pgMar w:top="1440" w:right="1797" w:bottom="1440"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仿宋">
    <w:panose1 w:val="02010609060101010101"/>
  </w:font>
  <w:font w:name="等线">
    <w:panose1 w:val="02010600030101010101"/>
  </w:font>
  <w:font w:name="Wingdings">
    <w:panose1 w:val="05000000000000000000"/>
  </w:font>
  <w:font w:name="华文楷体">
    <w:panose1 w:val="02010600040101010101"/>
  </w:font>
  <w:font w:name="楷体_GB2312">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Symbol">
    <w:panose1 w:val="05050102010706020507"/>
  </w:font>
  <w:font w:name="楷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7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next w:val="762"/>
    <w:uiPriority w:val="0"/>
    <w:qFormat/>
    <w:rPr>
      <w:rFonts w:hint="default" w:asciiTheme="minorHAnsi" w:hAnsiTheme="minorHAnsi" w:eastAsiaTheme="minorEastAsia" w:cstheme="minorBidi"/>
      <w:sz w:val="21"/>
      <w:szCs w:val="24"/>
    </w:rPr>
  </w:style>
  <w:style w:type="paragraph" w:styleId="751">
    <w:name w:val="Heading 1"/>
    <w:basedOn w:val="750"/>
    <w:next w:val="750"/>
    <w:link w:val="851"/>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link w:val="852"/>
    <w:uiPriority w:val="0"/>
    <w:unhideWhenUsed/>
    <w:qFormat/>
    <w:pPr>
      <w:ind w:firstLine="482"/>
      <w:spacing w:line="440" w:lineRule="exact"/>
      <w:shd w:val="clear" w:color="auto" w:fill="ffffff"/>
      <w:outlineLvl w:val="1"/>
    </w:pPr>
    <w:rPr>
      <w:rFonts w:ascii="宋体" w:hAnsi="宋体" w:eastAsia="宋体" w:cs="宋体"/>
      <w:b/>
      <w:color w:val="333333"/>
      <w:sz w:val="24"/>
      <w:shd w:val="clear" w:color="auto" w:fill="ffffff"/>
    </w:rPr>
  </w:style>
  <w:style w:type="paragraph" w:styleId="753">
    <w:name w:val="Heading 3"/>
    <w:basedOn w:val="750"/>
    <w:next w:val="750"/>
    <w:link w:val="979"/>
    <w:uiPriority w:val="99"/>
    <w:unhideWhenUsed/>
    <w:qFormat/>
    <w:pPr>
      <w:ind w:left="200"/>
      <w:keepLines/>
      <w:keepNext/>
      <w:spacing w:before="260" w:after="260"/>
      <w:outlineLvl w:val="2"/>
    </w:pPr>
    <w:rPr>
      <w:rFonts w:ascii="Times New Roman" w:hAnsi="Times New Roman" w:eastAsia="楷体"/>
      <w:b/>
      <w:bCs/>
      <w:sz w:val="26"/>
      <w:szCs w:val="32"/>
    </w:rPr>
  </w:style>
  <w:style w:type="paragraph" w:styleId="754">
    <w:name w:val="Heading 4"/>
    <w:basedOn w:val="750"/>
    <w:next w:val="750"/>
    <w:link w:val="854"/>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855"/>
    <w:uiPriority w:val="9"/>
    <w:unhideWhenUsed/>
    <w:qFormat/>
    <w:pPr>
      <w:keepLines/>
      <w:keepNext/>
      <w:spacing w:before="320" w:after="200"/>
      <w:outlineLvl w:val="4"/>
    </w:pPr>
    <w:rPr>
      <w:rFonts w:ascii="Arial" w:hAnsi="Arial" w:eastAsia="Arial" w:cs="Arial"/>
      <w:b/>
      <w:bCs/>
      <w:sz w:val="24"/>
    </w:rPr>
  </w:style>
  <w:style w:type="paragraph" w:styleId="756">
    <w:name w:val="Heading 6"/>
    <w:basedOn w:val="750"/>
    <w:next w:val="750"/>
    <w:link w:val="856"/>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858"/>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859"/>
    <w:uiPriority w:val="9"/>
    <w:unhideWhenUsed/>
    <w:qFormat/>
    <w:pPr>
      <w:keepLines/>
      <w:keepNext/>
      <w:spacing w:before="320" w:after="200"/>
      <w:outlineLvl w:val="8"/>
    </w:pPr>
    <w:rPr>
      <w:rFonts w:ascii="Arial" w:hAnsi="Arial" w:eastAsia="Arial" w:cs="Arial"/>
      <w:i/>
      <w:iCs/>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Body Text First Indent 2"/>
    <w:basedOn w:val="763"/>
    <w:next w:val="750"/>
    <w:link w:val="996"/>
    <w:uiPriority w:val="0"/>
    <w:qFormat/>
    <w:pPr>
      <w:ind w:left="420" w:firstLine="420"/>
      <w:spacing w:before="50" w:after="120"/>
    </w:pPr>
    <w:rPr>
      <w:rFonts w:ascii="Calibri" w:eastAsia="宋体"/>
    </w:rPr>
  </w:style>
  <w:style w:type="paragraph" w:styleId="763">
    <w:name w:val="Body Text Indent"/>
    <w:basedOn w:val="750"/>
    <w:next w:val="764"/>
    <w:link w:val="995"/>
    <w:uiPriority w:val="0"/>
    <w:qFormat/>
    <w:pPr>
      <w:ind w:firstLine="600"/>
      <w:spacing w:line="360" w:lineRule="auto"/>
    </w:pPr>
    <w:rPr>
      <w:rFonts w:ascii="仿宋_GB2312" w:eastAsia="仿宋_GB2312"/>
      <w:sz w:val="30"/>
    </w:rPr>
  </w:style>
  <w:style w:type="paragraph" w:styleId="764">
    <w:name w:val="envelope return"/>
    <w:basedOn w:val="750"/>
    <w:uiPriority w:val="0"/>
    <w:qFormat/>
    <w:rPr>
      <w:rFonts w:ascii="Arial" w:hAnsi="Arial"/>
    </w:rPr>
  </w:style>
  <w:style w:type="paragraph" w:styleId="765">
    <w:name w:val="toc 7"/>
    <w:basedOn w:val="750"/>
    <w:next w:val="750"/>
    <w:uiPriority w:val="39"/>
    <w:unhideWhenUsed/>
    <w:qFormat/>
    <w:pPr>
      <w:ind w:left="1701"/>
      <w:spacing w:after="57"/>
    </w:pPr>
  </w:style>
  <w:style w:type="paragraph" w:styleId="766">
    <w:name w:val="Normal Indent"/>
    <w:basedOn w:val="750"/>
    <w:next w:val="750"/>
    <w:uiPriority w:val="0"/>
    <w:qFormat/>
    <w:pPr>
      <w:ind w:firstLine="420"/>
    </w:pPr>
    <w:rPr>
      <w:rFonts w:ascii="Times New Roman" w:hAnsi="Times New Roman" w:eastAsia="宋体" w:cs="Times New Roman"/>
      <w:sz w:val="20"/>
      <w:szCs w:val="21"/>
    </w:rPr>
  </w:style>
  <w:style w:type="paragraph" w:styleId="767">
    <w:name w:val="Caption"/>
    <w:basedOn w:val="750"/>
    <w:next w:val="75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68">
    <w:name w:val="annotation text"/>
    <w:basedOn w:val="750"/>
    <w:link w:val="994"/>
    <w:uiPriority w:val="0"/>
    <w:qFormat/>
  </w:style>
  <w:style w:type="paragraph" w:styleId="769">
    <w:name w:val="Body Text"/>
    <w:basedOn w:val="750"/>
    <w:next w:val="750"/>
    <w:link w:val="987"/>
    <w:uiPriority w:val="0"/>
    <w:qFormat/>
    <w:pPr>
      <w:spacing w:after="120"/>
    </w:pPr>
  </w:style>
  <w:style w:type="paragraph" w:styleId="770">
    <w:name w:val="toc 5"/>
    <w:basedOn w:val="750"/>
    <w:next w:val="750"/>
    <w:uiPriority w:val="39"/>
    <w:unhideWhenUsed/>
    <w:qFormat/>
    <w:pPr>
      <w:ind w:left="1134"/>
      <w:spacing w:after="57"/>
    </w:pPr>
  </w:style>
  <w:style w:type="paragraph" w:styleId="771">
    <w:name w:val="toc 3"/>
    <w:basedOn w:val="750"/>
    <w:next w:val="750"/>
    <w:uiPriority w:val="39"/>
    <w:unhideWhenUsed/>
    <w:qFormat/>
    <w:pPr>
      <w:ind w:left="567"/>
      <w:spacing w:after="57"/>
    </w:pPr>
  </w:style>
  <w:style w:type="paragraph" w:styleId="772">
    <w:name w:val="Plain Text"/>
    <w:basedOn w:val="750"/>
    <w:link w:val="986"/>
    <w:uiPriority w:val="0"/>
    <w:qFormat/>
    <w:rPr>
      <w:rFonts w:ascii="宋体" w:hAnsi="Courier New" w:eastAsia="宋体" w:cs="Times New Roman"/>
      <w:szCs w:val="20"/>
    </w:rPr>
  </w:style>
  <w:style w:type="paragraph" w:styleId="773">
    <w:name w:val="toc 8"/>
    <w:basedOn w:val="750"/>
    <w:next w:val="750"/>
    <w:uiPriority w:val="39"/>
    <w:unhideWhenUsed/>
    <w:qFormat/>
    <w:pPr>
      <w:ind w:left="1984"/>
      <w:spacing w:after="57"/>
    </w:pPr>
  </w:style>
  <w:style w:type="paragraph" w:styleId="774">
    <w:name w:val="endnote text"/>
    <w:basedOn w:val="750"/>
    <w:link w:val="977"/>
    <w:uiPriority w:val="99"/>
    <w:semiHidden/>
    <w:unhideWhenUsed/>
    <w:qFormat/>
    <w:rPr>
      <w:sz w:val="20"/>
    </w:rPr>
  </w:style>
  <w:style w:type="paragraph" w:styleId="775">
    <w:name w:val="Footer"/>
    <w:basedOn w:val="750"/>
    <w:link w:val="984"/>
    <w:uiPriority w:val="99"/>
    <w:qFormat/>
    <w:pPr>
      <w:tabs>
        <w:tab w:val="center" w:pos="4153" w:leader="none"/>
        <w:tab w:val="right" w:pos="8306" w:leader="none"/>
      </w:tabs>
    </w:pPr>
    <w:rPr>
      <w:sz w:val="18"/>
      <w:szCs w:val="18"/>
    </w:rPr>
  </w:style>
  <w:style w:type="paragraph" w:styleId="776">
    <w:name w:val="Header"/>
    <w:basedOn w:val="750"/>
    <w:link w:val="983"/>
    <w:uiPriority w:val="99"/>
    <w:qFormat/>
    <w:pPr>
      <w:jc w:val="center"/>
      <w:tabs>
        <w:tab w:val="center" w:pos="4153" w:leader="none"/>
        <w:tab w:val="right" w:pos="8306" w:leader="none"/>
      </w:tabs>
    </w:pPr>
    <w:rPr>
      <w:sz w:val="18"/>
      <w:szCs w:val="18"/>
    </w:rPr>
  </w:style>
  <w:style w:type="paragraph" w:styleId="777">
    <w:name w:val="toc 1"/>
    <w:basedOn w:val="750"/>
    <w:next w:val="750"/>
    <w:uiPriority w:val="39"/>
    <w:unhideWhenUsed/>
    <w:qFormat/>
    <w:pPr>
      <w:spacing w:after="57"/>
    </w:pPr>
  </w:style>
  <w:style w:type="paragraph" w:styleId="778">
    <w:name w:val="toc 4"/>
    <w:basedOn w:val="750"/>
    <w:next w:val="750"/>
    <w:uiPriority w:val="39"/>
    <w:unhideWhenUsed/>
    <w:qFormat/>
    <w:pPr>
      <w:ind w:left="850"/>
      <w:spacing w:after="57"/>
    </w:pPr>
  </w:style>
  <w:style w:type="paragraph" w:styleId="779">
    <w:name w:val="Subtitle"/>
    <w:basedOn w:val="750"/>
    <w:next w:val="750"/>
    <w:link w:val="862"/>
    <w:uiPriority w:val="99"/>
    <w:qFormat/>
    <w:pPr>
      <w:spacing w:before="200" w:after="200"/>
    </w:pPr>
    <w:rPr>
      <w:sz w:val="24"/>
    </w:rPr>
  </w:style>
  <w:style w:type="paragraph" w:styleId="780">
    <w:name w:val="footnote text"/>
    <w:basedOn w:val="750"/>
    <w:link w:val="976"/>
    <w:uiPriority w:val="99"/>
    <w:semiHidden/>
    <w:unhideWhenUsed/>
    <w:qFormat/>
    <w:pPr>
      <w:spacing w:after="40"/>
    </w:pPr>
    <w:rPr>
      <w:sz w:val="18"/>
    </w:rPr>
  </w:style>
  <w:style w:type="paragraph" w:styleId="781">
    <w:name w:val="toc 6"/>
    <w:basedOn w:val="750"/>
    <w:next w:val="750"/>
    <w:uiPriority w:val="39"/>
    <w:unhideWhenUsed/>
    <w:qFormat/>
    <w:pPr>
      <w:ind w:left="1417"/>
      <w:spacing w:after="57"/>
    </w:pPr>
  </w:style>
  <w:style w:type="paragraph" w:styleId="782">
    <w:name w:val="table of figures"/>
    <w:basedOn w:val="750"/>
    <w:next w:val="750"/>
    <w:uiPriority w:val="99"/>
    <w:unhideWhenUsed/>
    <w:qFormat/>
  </w:style>
  <w:style w:type="paragraph" w:styleId="783">
    <w:name w:val="toc 2"/>
    <w:basedOn w:val="750"/>
    <w:next w:val="750"/>
    <w:uiPriority w:val="39"/>
    <w:unhideWhenUsed/>
    <w:qFormat/>
    <w:pPr>
      <w:ind w:left="283"/>
      <w:spacing w:after="57"/>
    </w:pPr>
  </w:style>
  <w:style w:type="paragraph" w:styleId="784">
    <w:name w:val="toc 9"/>
    <w:basedOn w:val="750"/>
    <w:next w:val="750"/>
    <w:uiPriority w:val="39"/>
    <w:unhideWhenUsed/>
    <w:qFormat/>
    <w:pPr>
      <w:ind w:left="2268"/>
      <w:spacing w:after="57"/>
    </w:pPr>
  </w:style>
  <w:style w:type="paragraph" w:styleId="785">
    <w:name w:val="Normal (Web)"/>
    <w:basedOn w:val="750"/>
    <w:link w:val="1003"/>
    <w:uiPriority w:val="99"/>
    <w:qFormat/>
    <w:pPr>
      <w:spacing w:beforeAutospacing="1" w:afterAutospacing="1"/>
    </w:pPr>
    <w:rPr>
      <w:rFonts w:cs="Times New Roman"/>
      <w:sz w:val="24"/>
    </w:rPr>
  </w:style>
  <w:style w:type="paragraph" w:styleId="786">
    <w:name w:val="Title"/>
    <w:basedOn w:val="750"/>
    <w:next w:val="750"/>
    <w:link w:val="861"/>
    <w:uiPriority w:val="10"/>
    <w:qFormat/>
    <w:pPr>
      <w:contextualSpacing/>
      <w:spacing w:before="300" w:after="200"/>
    </w:pPr>
    <w:rPr>
      <w:sz w:val="48"/>
      <w:szCs w:val="48"/>
    </w:rPr>
  </w:style>
  <w:style w:type="paragraph" w:styleId="787">
    <w:name w:val="Body Text First Indent"/>
    <w:basedOn w:val="769"/>
    <w:link w:val="988"/>
    <w:uiPriority w:val="99"/>
    <w:unhideWhenUsed/>
    <w:qFormat/>
    <w:pPr>
      <w:ind w:firstLine="420"/>
    </w:pPr>
    <w:rPr>
      <w:rFonts w:ascii="Times New Roman" w:hAnsi="Times New Roman" w:eastAsia="宋体" w:cs="Times New Roman"/>
    </w:rPr>
  </w:style>
  <w:style w:type="table" w:styleId="788">
    <w:name w:val="Table Grid"/>
    <w:basedOn w:val="7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9">
    <w:name w:val="endnote reference"/>
    <w:basedOn w:val="760"/>
    <w:uiPriority w:val="99"/>
    <w:semiHidden/>
    <w:unhideWhenUsed/>
    <w:qFormat/>
    <w:rPr>
      <w:vertAlign w:val="superscript"/>
    </w:rPr>
  </w:style>
  <w:style w:type="character" w:styleId="790">
    <w:name w:val="Hyperlink"/>
    <w:uiPriority w:val="99"/>
    <w:unhideWhenUsed/>
    <w:qFormat/>
    <w:rPr>
      <w:color w:val="0026e5" w:themeColor="hyperlink"/>
      <w:u w:val="single"/>
      <w14:textFill>
        <w14:solidFill>
          <w14:schemeClr w14:val="hlink"/>
        </w14:solidFill>
      </w14:textFill>
    </w:rPr>
  </w:style>
  <w:style w:type="character" w:styleId="791">
    <w:name w:val="footnote reference"/>
    <w:basedOn w:val="760"/>
    <w:uiPriority w:val="99"/>
    <w:unhideWhenUsed/>
    <w:qFormat/>
    <w:rPr>
      <w:vertAlign w:val="superscript"/>
    </w:rPr>
  </w:style>
  <w:style w:type="table" w:styleId="792" w:customStyle="1">
    <w:name w:val="Plain Table 1"/>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3"/>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5 Dark"/>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6 Colorful"/>
    <w:basedOn w:val="7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7 Colorful"/>
    <w:basedOn w:val="7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1 Light"/>
    <w:basedOn w:val="7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2"/>
    <w:basedOn w:val="7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3"/>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5 Dark"/>
    <w:basedOn w:val="7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7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7 Colorful"/>
    <w:basedOn w:val="7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1" w:customStyle="1">
    <w:name w:val="TOC Heading"/>
    <w:uiPriority w:val="39"/>
    <w:unhideWhenUsed/>
    <w:qFormat/>
    <w:rPr>
      <w:rFonts w:hint="default" w:asciiTheme="minorHAnsi" w:hAnsiTheme="minorHAnsi" w:eastAsiaTheme="minorEastAsia" w:cstheme="minorBidi"/>
    </w:rPr>
  </w:style>
  <w:style w:type="table" w:styleId="812" w:customStyle="1">
    <w:name w:val="无格式表格 1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网格表 2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网格表 3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网格表 6 彩色1"/>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网格表 7 彩色1"/>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清单表 1 浅色1"/>
    <w:basedOn w:val="76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清单表 21"/>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清单表 5 深色1"/>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清单表 6 彩色1"/>
    <w:basedOn w:val="76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清单表 7 彩色1"/>
    <w:basedOn w:val="76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1" w:customStyle="1">
    <w:name w:val="TOC 标题1"/>
    <w:uiPriority w:val="39"/>
    <w:unhideWhenUsed/>
    <w:qFormat/>
    <w:rPr>
      <w:rFonts w:hint="default" w:asciiTheme="minorHAnsi" w:hAnsiTheme="minorHAnsi" w:eastAsiaTheme="minorEastAsia" w:cstheme="minorBidi"/>
    </w:rPr>
  </w:style>
  <w:style w:type="paragraph" w:styleId="832" w:customStyle="1">
    <w:name w:val="TOC 标题113"/>
    <w:uiPriority w:val="39"/>
    <w:unhideWhenUsed/>
    <w:qFormat/>
    <w:rPr>
      <w:rFonts w:hint="default" w:asciiTheme="minorHAnsi" w:hAnsiTheme="minorHAnsi" w:eastAsiaTheme="minorEastAsia" w:cstheme="minorBidi"/>
    </w:rPr>
  </w:style>
  <w:style w:type="paragraph" w:styleId="833" w:customStyle="1">
    <w:name w:val="正文首行缩进 21"/>
    <w:basedOn w:val="834"/>
    <w:uiPriority w:val="0"/>
    <w:qFormat/>
    <w:pPr>
      <w:ind w:firstLine="420"/>
    </w:pPr>
  </w:style>
  <w:style w:type="paragraph" w:styleId="834" w:customStyle="1">
    <w:name w:val="正文文本缩进11"/>
    <w:basedOn w:val="750"/>
    <w:uiPriority w:val="0"/>
    <w:qFormat/>
    <w:pPr>
      <w:ind w:firstLine="645"/>
    </w:pPr>
    <w:rPr>
      <w:rFonts w:ascii="楷体_GB2312" w:eastAsia="楷体_GB2312" w:cs="Times New Roman"/>
      <w:sz w:val="32"/>
    </w:rPr>
  </w:style>
  <w:style w:type="paragraph" w:styleId="835" w:customStyle="1">
    <w:name w:val="TOC 标题112"/>
    <w:uiPriority w:val="39"/>
    <w:unhideWhenUsed/>
    <w:qFormat/>
    <w:rPr>
      <w:rFonts w:hint="default" w:asciiTheme="minorHAnsi" w:hAnsiTheme="minorHAnsi" w:eastAsiaTheme="minorEastAsia" w:cstheme="minorBidi"/>
    </w:rPr>
  </w:style>
  <w:style w:type="character" w:styleId="836" w:customStyle="1">
    <w:name w:val="Heading 1 Char"/>
    <w:basedOn w:val="760"/>
    <w:uiPriority w:val="9"/>
    <w:qFormat/>
    <w:rPr>
      <w:rFonts w:ascii="Arial" w:hAnsi="Arial" w:eastAsia="Arial" w:cs="Arial"/>
      <w:sz w:val="40"/>
      <w:szCs w:val="40"/>
    </w:rPr>
  </w:style>
  <w:style w:type="character" w:styleId="837" w:customStyle="1">
    <w:name w:val="Heading 2 Char"/>
    <w:basedOn w:val="760"/>
    <w:uiPriority w:val="9"/>
    <w:qFormat/>
    <w:rPr>
      <w:rFonts w:ascii="Arial" w:hAnsi="Arial" w:eastAsia="Arial" w:cs="Arial"/>
      <w:sz w:val="34"/>
    </w:rPr>
  </w:style>
  <w:style w:type="character" w:styleId="838" w:customStyle="1">
    <w:name w:val="Heading 4 Char"/>
    <w:basedOn w:val="760"/>
    <w:uiPriority w:val="9"/>
    <w:qFormat/>
    <w:rPr>
      <w:rFonts w:ascii="Arial" w:hAnsi="Arial" w:eastAsia="Arial" w:cs="Arial"/>
      <w:b/>
      <w:bCs/>
      <w:sz w:val="26"/>
      <w:szCs w:val="26"/>
    </w:rPr>
  </w:style>
  <w:style w:type="character" w:styleId="839" w:customStyle="1">
    <w:name w:val="Heading 5 Char"/>
    <w:basedOn w:val="760"/>
    <w:uiPriority w:val="9"/>
    <w:qFormat/>
    <w:rPr>
      <w:rFonts w:ascii="Arial" w:hAnsi="Arial" w:eastAsia="Arial" w:cs="Arial"/>
      <w:b/>
      <w:bCs/>
      <w:sz w:val="24"/>
      <w:szCs w:val="24"/>
    </w:rPr>
  </w:style>
  <w:style w:type="character" w:styleId="840" w:customStyle="1">
    <w:name w:val="Heading 6 Char"/>
    <w:basedOn w:val="760"/>
    <w:uiPriority w:val="9"/>
    <w:qFormat/>
    <w:rPr>
      <w:rFonts w:ascii="Arial" w:hAnsi="Arial" w:eastAsia="Arial" w:cs="Arial"/>
      <w:b/>
      <w:bCs/>
      <w:sz w:val="22"/>
      <w:szCs w:val="22"/>
    </w:rPr>
  </w:style>
  <w:style w:type="character" w:styleId="841" w:customStyle="1">
    <w:name w:val="Heading 7 Char"/>
    <w:basedOn w:val="760"/>
    <w:uiPriority w:val="9"/>
    <w:qFormat/>
    <w:rPr>
      <w:rFonts w:ascii="Arial" w:hAnsi="Arial" w:eastAsia="Arial" w:cs="Arial"/>
      <w:b/>
      <w:bCs/>
      <w:i/>
      <w:iCs/>
      <w:sz w:val="22"/>
      <w:szCs w:val="22"/>
    </w:rPr>
  </w:style>
  <w:style w:type="character" w:styleId="842" w:customStyle="1">
    <w:name w:val="Heading 8 Char"/>
    <w:basedOn w:val="760"/>
    <w:uiPriority w:val="9"/>
    <w:qFormat/>
    <w:rPr>
      <w:rFonts w:ascii="Arial" w:hAnsi="Arial" w:eastAsia="Arial" w:cs="Arial"/>
      <w:i/>
      <w:iCs/>
      <w:sz w:val="22"/>
      <w:szCs w:val="22"/>
    </w:rPr>
  </w:style>
  <w:style w:type="character" w:styleId="843" w:customStyle="1">
    <w:name w:val="Heading 9 Char"/>
    <w:basedOn w:val="760"/>
    <w:uiPriority w:val="9"/>
    <w:qFormat/>
    <w:rPr>
      <w:rFonts w:ascii="Arial" w:hAnsi="Arial" w:eastAsia="Arial" w:cs="Arial"/>
      <w:i/>
      <w:iCs/>
      <w:sz w:val="21"/>
      <w:szCs w:val="21"/>
    </w:rPr>
  </w:style>
  <w:style w:type="character" w:styleId="844" w:customStyle="1">
    <w:name w:val="Title Char"/>
    <w:basedOn w:val="760"/>
    <w:uiPriority w:val="10"/>
    <w:qFormat/>
    <w:rPr>
      <w:sz w:val="48"/>
      <w:szCs w:val="48"/>
    </w:rPr>
  </w:style>
  <w:style w:type="character" w:styleId="845" w:customStyle="1">
    <w:name w:val="Subtitle Char"/>
    <w:basedOn w:val="760"/>
    <w:uiPriority w:val="11"/>
    <w:qFormat/>
    <w:rPr>
      <w:sz w:val="24"/>
      <w:szCs w:val="24"/>
    </w:rPr>
  </w:style>
  <w:style w:type="character" w:styleId="846" w:customStyle="1">
    <w:name w:val="Quote Char"/>
    <w:uiPriority w:val="29"/>
    <w:qFormat/>
    <w:rPr>
      <w:i/>
    </w:rPr>
  </w:style>
  <w:style w:type="character" w:styleId="847" w:customStyle="1">
    <w:name w:val="Intense Quote Char"/>
    <w:uiPriority w:val="30"/>
    <w:qFormat/>
    <w:rPr>
      <w:i/>
    </w:rPr>
  </w:style>
  <w:style w:type="character" w:styleId="848" w:customStyle="1">
    <w:name w:val="Footnote Text Char"/>
    <w:uiPriority w:val="99"/>
    <w:qFormat/>
    <w:rPr>
      <w:sz w:val="18"/>
    </w:rPr>
  </w:style>
  <w:style w:type="character" w:styleId="849" w:customStyle="1">
    <w:name w:val="Endnote Text Char"/>
    <w:uiPriority w:val="99"/>
    <w:qFormat/>
    <w:rPr>
      <w:sz w:val="20"/>
    </w:rPr>
  </w:style>
  <w:style w:type="paragraph" w:styleId="850" w:customStyle="1">
    <w:name w:val="TOC 标题111"/>
    <w:uiPriority w:val="39"/>
    <w:unhideWhenUsed/>
    <w:qFormat/>
    <w:rPr>
      <w:rFonts w:hint="default" w:asciiTheme="minorHAnsi" w:hAnsiTheme="minorHAnsi" w:eastAsiaTheme="minorEastAsia" w:cstheme="minorBidi"/>
    </w:rPr>
  </w:style>
  <w:style w:type="character" w:styleId="851" w:customStyle="1">
    <w:name w:val="标题 1 字符"/>
    <w:basedOn w:val="760"/>
    <w:link w:val="751"/>
    <w:uiPriority w:val="9"/>
    <w:qFormat/>
    <w:rPr>
      <w:rFonts w:ascii="Arial" w:hAnsi="Arial" w:eastAsia="Arial" w:cs="Arial"/>
      <w:sz w:val="40"/>
      <w:szCs w:val="40"/>
    </w:rPr>
  </w:style>
  <w:style w:type="character" w:styleId="852" w:customStyle="1">
    <w:name w:val="标题 2 字符"/>
    <w:basedOn w:val="760"/>
    <w:link w:val="752"/>
    <w:uiPriority w:val="9"/>
    <w:qFormat/>
    <w:rPr>
      <w:rFonts w:ascii="Arial" w:hAnsi="Arial" w:eastAsia="Arial" w:cs="Arial"/>
      <w:sz w:val="34"/>
    </w:rPr>
  </w:style>
  <w:style w:type="character" w:styleId="853" w:customStyle="1">
    <w:name w:val="Heading 3 Char"/>
    <w:basedOn w:val="760"/>
    <w:uiPriority w:val="9"/>
    <w:qFormat/>
    <w:rPr>
      <w:rFonts w:ascii="Arial" w:hAnsi="Arial" w:eastAsia="Arial" w:cs="Arial"/>
      <w:sz w:val="30"/>
      <w:szCs w:val="30"/>
    </w:rPr>
  </w:style>
  <w:style w:type="character" w:styleId="854" w:customStyle="1">
    <w:name w:val="标题 4 字符"/>
    <w:basedOn w:val="760"/>
    <w:link w:val="754"/>
    <w:uiPriority w:val="9"/>
    <w:qFormat/>
    <w:rPr>
      <w:rFonts w:ascii="Arial" w:hAnsi="Arial" w:eastAsia="Arial" w:cs="Arial"/>
      <w:b/>
      <w:bCs/>
      <w:sz w:val="26"/>
      <w:szCs w:val="26"/>
    </w:rPr>
  </w:style>
  <w:style w:type="character" w:styleId="855" w:customStyle="1">
    <w:name w:val="标题 5 字符"/>
    <w:basedOn w:val="760"/>
    <w:link w:val="755"/>
    <w:uiPriority w:val="9"/>
    <w:qFormat/>
    <w:rPr>
      <w:rFonts w:ascii="Arial" w:hAnsi="Arial" w:eastAsia="Arial" w:cs="Arial"/>
      <w:b/>
      <w:bCs/>
      <w:sz w:val="24"/>
      <w:szCs w:val="24"/>
    </w:rPr>
  </w:style>
  <w:style w:type="character" w:styleId="856" w:customStyle="1">
    <w:name w:val="标题 6 字符"/>
    <w:basedOn w:val="760"/>
    <w:link w:val="756"/>
    <w:uiPriority w:val="9"/>
    <w:qFormat/>
    <w:rPr>
      <w:rFonts w:ascii="Arial" w:hAnsi="Arial" w:eastAsia="Arial" w:cs="Arial"/>
      <w:b/>
      <w:bCs/>
      <w:sz w:val="22"/>
      <w:szCs w:val="22"/>
    </w:rPr>
  </w:style>
  <w:style w:type="character" w:styleId="857" w:customStyle="1">
    <w:name w:val="标题 7 字符"/>
    <w:basedOn w:val="760"/>
    <w:link w:val="757"/>
    <w:uiPriority w:val="9"/>
    <w:qFormat/>
    <w:rPr>
      <w:rFonts w:ascii="Arial" w:hAnsi="Arial" w:eastAsia="Arial" w:cs="Arial"/>
      <w:b/>
      <w:bCs/>
      <w:i/>
      <w:iCs/>
      <w:sz w:val="22"/>
      <w:szCs w:val="22"/>
    </w:rPr>
  </w:style>
  <w:style w:type="character" w:styleId="858" w:customStyle="1">
    <w:name w:val="标题 8 字符"/>
    <w:basedOn w:val="760"/>
    <w:link w:val="758"/>
    <w:uiPriority w:val="9"/>
    <w:qFormat/>
    <w:rPr>
      <w:rFonts w:ascii="Arial" w:hAnsi="Arial" w:eastAsia="Arial" w:cs="Arial"/>
      <w:i/>
      <w:iCs/>
      <w:sz w:val="22"/>
      <w:szCs w:val="22"/>
    </w:rPr>
  </w:style>
  <w:style w:type="character" w:styleId="859" w:customStyle="1">
    <w:name w:val="标题 9 字符"/>
    <w:basedOn w:val="760"/>
    <w:link w:val="759"/>
    <w:uiPriority w:val="9"/>
    <w:qFormat/>
    <w:rPr>
      <w:rFonts w:ascii="Arial" w:hAnsi="Arial" w:eastAsia="Arial" w:cs="Arial"/>
      <w:i/>
      <w:iCs/>
      <w:sz w:val="21"/>
      <w:szCs w:val="21"/>
    </w:rPr>
  </w:style>
  <w:style w:type="paragraph" w:styleId="860">
    <w:name w:val="No Spacing"/>
    <w:uiPriority w:val="1"/>
    <w:qFormat/>
    <w:rPr>
      <w:rFonts w:hint="default" w:asciiTheme="minorHAnsi" w:hAnsiTheme="minorHAnsi" w:eastAsiaTheme="minorEastAsia" w:cstheme="minorBidi"/>
    </w:rPr>
  </w:style>
  <w:style w:type="character" w:styleId="861" w:customStyle="1">
    <w:name w:val="标题 字符"/>
    <w:basedOn w:val="760"/>
    <w:link w:val="786"/>
    <w:uiPriority w:val="10"/>
    <w:qFormat/>
    <w:rPr>
      <w:sz w:val="48"/>
      <w:szCs w:val="48"/>
    </w:rPr>
  </w:style>
  <w:style w:type="character" w:styleId="862" w:customStyle="1">
    <w:name w:val="副标题 字符"/>
    <w:basedOn w:val="760"/>
    <w:link w:val="779"/>
    <w:uiPriority w:val="11"/>
    <w:qFormat/>
    <w:rPr>
      <w:sz w:val="24"/>
      <w:szCs w:val="24"/>
    </w:rPr>
  </w:style>
  <w:style w:type="paragraph" w:styleId="863">
    <w:name w:val="Quote"/>
    <w:basedOn w:val="750"/>
    <w:next w:val="750"/>
    <w:link w:val="864"/>
    <w:uiPriority w:val="29"/>
    <w:qFormat/>
    <w:pPr>
      <w:ind w:left="720" w:right="720"/>
    </w:pPr>
    <w:rPr>
      <w:i/>
    </w:rPr>
  </w:style>
  <w:style w:type="character" w:styleId="864" w:customStyle="1">
    <w:name w:val="引用 字符"/>
    <w:link w:val="863"/>
    <w:uiPriority w:val="29"/>
    <w:qFormat/>
    <w:rPr>
      <w:i/>
    </w:rPr>
  </w:style>
  <w:style w:type="paragraph" w:styleId="865">
    <w:name w:val="Intense Quote"/>
    <w:basedOn w:val="750"/>
    <w:next w:val="750"/>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字符"/>
    <w:link w:val="865"/>
    <w:uiPriority w:val="30"/>
    <w:qFormat/>
    <w:rPr>
      <w:i/>
    </w:rPr>
  </w:style>
  <w:style w:type="character" w:styleId="867" w:customStyle="1">
    <w:name w:val="Header Char"/>
    <w:basedOn w:val="760"/>
    <w:uiPriority w:val="99"/>
    <w:qFormat/>
  </w:style>
  <w:style w:type="character" w:styleId="868" w:customStyle="1">
    <w:name w:val="Footer Char"/>
    <w:basedOn w:val="760"/>
    <w:uiPriority w:val="99"/>
    <w:qFormat/>
  </w:style>
  <w:style w:type="character" w:styleId="869" w:customStyle="1">
    <w:name w:val="Caption Char"/>
    <w:uiPriority w:val="99"/>
    <w:qFormat/>
  </w:style>
  <w:style w:type="table" w:styleId="870" w:customStyle="1">
    <w:name w:val="Table Grid Light"/>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1" w:customStyle="1">
    <w:name w:val="Grid Table 1 Light - Accent 1"/>
    <w:basedOn w:val="76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basedOn w:val="76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basedOn w:val="76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basedOn w:val="76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basedOn w:val="76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basedOn w:val="76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7" w:customStyle="1">
    <w:name w:val="Grid Table 2 - Accent 1"/>
    <w:basedOn w:val="76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basedOn w:val="76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basedOn w:val="76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basedOn w:val="76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basedOn w:val="76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82" w:customStyle="1">
    <w:name w:val="Grid Table 2 - Accent 6"/>
    <w:basedOn w:val="76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83" w:customStyle="1">
    <w:name w:val="Grid Table 3 - Accent 1"/>
    <w:basedOn w:val="76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basedOn w:val="76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basedOn w:val="76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basedOn w:val="76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basedOn w:val="76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basedOn w:val="76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4 - Accent 1"/>
    <w:basedOn w:val="76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90" w:customStyle="1">
    <w:name w:val="Grid Table 4 - Accent 2"/>
    <w:basedOn w:val="761"/>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91" w:customStyle="1">
    <w:name w:val="Grid Table 4 - Accent 3"/>
    <w:basedOn w:val="76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92" w:customStyle="1">
    <w:name w:val="Grid Table 4 - Accent 4"/>
    <w:basedOn w:val="761"/>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3" w:customStyle="1">
    <w:name w:val="Grid Table 4 - Accent 5"/>
    <w:basedOn w:val="761"/>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4" w:customStyle="1">
    <w:name w:val="Grid Table 4 - Accent 6"/>
    <w:basedOn w:val="76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5" w:customStyle="1">
    <w:name w:val="Grid Table 5 Dark- Accent 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96" w:customStyle="1">
    <w:name w:val="Grid Table 5 Dark - Accent 2"/>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97" w:customStyle="1">
    <w:name w:val="Grid Table 5 Dark - Accent 3"/>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98" w:customStyle="1">
    <w:name w:val="Grid Table 5 Dark- Accent 4"/>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99" w:customStyle="1">
    <w:name w:val="Grid Table 5 Dark - Accent 5"/>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00" w:customStyle="1">
    <w:name w:val="Grid Table 5 Dark - Accent 6"/>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01" w:customStyle="1">
    <w:name w:val="Grid Table 6 Colorful - Accent 1"/>
    <w:basedOn w:val="76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2" w:customStyle="1">
    <w:name w:val="Grid Table 6 Colorful - Accent 2"/>
    <w:basedOn w:val="76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03" w:customStyle="1">
    <w:name w:val="Grid Table 6 Colorful - Accent 3"/>
    <w:basedOn w:val="76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04" w:customStyle="1">
    <w:name w:val="Grid Table 6 Colorful - Accent 4"/>
    <w:basedOn w:val="76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05" w:customStyle="1">
    <w:name w:val="Grid Table 6 Colorful - Accent 5"/>
    <w:basedOn w:val="76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6" w:customStyle="1">
    <w:name w:val="Grid Table 6 Colorful - Accent 6"/>
    <w:basedOn w:val="76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7" w:customStyle="1">
    <w:name w:val="Grid Table 7 Colorful - Accent 1"/>
    <w:basedOn w:val="76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08" w:customStyle="1">
    <w:name w:val="Grid Table 7 Colorful - Accent 2"/>
    <w:basedOn w:val="761"/>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9" w:customStyle="1">
    <w:name w:val="Grid Table 7 Colorful - Accent 3"/>
    <w:basedOn w:val="76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0" w:customStyle="1">
    <w:name w:val="Grid Table 7 Colorful - Accent 4"/>
    <w:basedOn w:val="76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1" w:customStyle="1">
    <w:name w:val="Grid Table 7 Colorful - Accent 5"/>
    <w:basedOn w:val="761"/>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2" w:customStyle="1">
    <w:name w:val="Grid Table 7 Colorful - Accent 6"/>
    <w:basedOn w:val="761"/>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13" w:customStyle="1">
    <w:name w:val="List Table 1 Light - Accent 1"/>
    <w:basedOn w:val="761"/>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14" w:customStyle="1">
    <w:name w:val="List Table 1 Light - Accent 2"/>
    <w:basedOn w:val="761"/>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15" w:customStyle="1">
    <w:name w:val="List Table 1 Light - Accent 3"/>
    <w:basedOn w:val="761"/>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16" w:customStyle="1">
    <w:name w:val="List Table 1 Light - Accent 4"/>
    <w:basedOn w:val="761"/>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17" w:customStyle="1">
    <w:name w:val="List Table 1 Light - Accent 5"/>
    <w:basedOn w:val="761"/>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18" w:customStyle="1">
    <w:name w:val="List Table 1 Light - Accent 6"/>
    <w:basedOn w:val="761"/>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19" w:customStyle="1">
    <w:name w:val="List Table 2 - Accent 1"/>
    <w:basedOn w:val="76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0" w:customStyle="1">
    <w:name w:val="List Table 2 - Accent 2"/>
    <w:basedOn w:val="76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21" w:customStyle="1">
    <w:name w:val="List Table 2 - Accent 3"/>
    <w:basedOn w:val="76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22" w:customStyle="1">
    <w:name w:val="List Table 2 - Accent 4"/>
    <w:basedOn w:val="76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23" w:customStyle="1">
    <w:name w:val="List Table 2 - Accent 5"/>
    <w:basedOn w:val="76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24" w:customStyle="1">
    <w:name w:val="List Table 2 - Accent 6"/>
    <w:basedOn w:val="76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25" w:customStyle="1">
    <w:name w:val="List Table 3 - Accent 1"/>
    <w:basedOn w:val="76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6" w:customStyle="1">
    <w:name w:val="List Table 3 - Accent 2"/>
    <w:basedOn w:val="76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27" w:customStyle="1">
    <w:name w:val="List Table 3 - Accent 3"/>
    <w:basedOn w:val="76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28" w:customStyle="1">
    <w:name w:val="List Table 3 - Accent 4"/>
    <w:basedOn w:val="76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29" w:customStyle="1">
    <w:name w:val="List Table 3 - Accent 5"/>
    <w:basedOn w:val="76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30" w:customStyle="1">
    <w:name w:val="List Table 3 - Accent 6"/>
    <w:basedOn w:val="76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31" w:customStyle="1">
    <w:name w:val="List Table 4 - Accent 1"/>
    <w:basedOn w:val="76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2" w:customStyle="1">
    <w:name w:val="List Table 4 - Accent 2"/>
    <w:basedOn w:val="76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33" w:customStyle="1">
    <w:name w:val="List Table 4 - Accent 3"/>
    <w:basedOn w:val="76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34" w:customStyle="1">
    <w:name w:val="List Table 4 - Accent 4"/>
    <w:basedOn w:val="76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35" w:customStyle="1">
    <w:name w:val="List Table 4 - Accent 5"/>
    <w:basedOn w:val="76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36" w:customStyle="1">
    <w:name w:val="List Table 4 - Accent 6"/>
    <w:basedOn w:val="76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37" w:customStyle="1">
    <w:name w:val="List Table 5 Dark - Accent 1"/>
    <w:basedOn w:val="76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2"/>
    <w:basedOn w:val="76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3"/>
    <w:basedOn w:val="76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4"/>
    <w:basedOn w:val="76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5"/>
    <w:basedOn w:val="76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6"/>
    <w:basedOn w:val="76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6 Colorful - Accent 1"/>
    <w:basedOn w:val="761"/>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44" w:customStyle="1">
    <w:name w:val="List Table 6 Colorful - Accent 2"/>
    <w:basedOn w:val="761"/>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45" w:customStyle="1">
    <w:name w:val="List Table 6 Colorful - Accent 3"/>
    <w:basedOn w:val="761"/>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46" w:customStyle="1">
    <w:name w:val="List Table 6 Colorful - Accent 4"/>
    <w:basedOn w:val="761"/>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47" w:customStyle="1">
    <w:name w:val="List Table 6 Colorful - Accent 5"/>
    <w:basedOn w:val="761"/>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48" w:customStyle="1">
    <w:name w:val="List Table 6 Colorful - Accent 6"/>
    <w:basedOn w:val="761"/>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49" w:customStyle="1">
    <w:name w:val="List Table 7 Colorful - Accent 1"/>
    <w:basedOn w:val="761"/>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basedOn w:val="761"/>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basedOn w:val="761"/>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basedOn w:val="761"/>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basedOn w:val="761"/>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basedOn w:val="761"/>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55" w:customStyle="1">
    <w:name w:val="Lined - Accent"/>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7" w:customStyle="1">
    <w:name w:val="Lined - Accent 2"/>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8" w:customStyle="1">
    <w:name w:val="Lined - Accent 3"/>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9" w:customStyle="1">
    <w:name w:val="Lined - Accent 4"/>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0" w:customStyle="1">
    <w:name w:val="Lined - Accent 5"/>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1" w:customStyle="1">
    <w:name w:val="Lined - Accent 6"/>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2" w:customStyle="1">
    <w:name w:val="Bordered &amp; Lined - Accent"/>
    <w:basedOn w:val="76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basedOn w:val="76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4" w:customStyle="1">
    <w:name w:val="Bordered &amp; Lined - Accent 2"/>
    <w:basedOn w:val="76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5" w:customStyle="1">
    <w:name w:val="Bordered &amp; Lined - Accent 3"/>
    <w:basedOn w:val="76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6" w:customStyle="1">
    <w:name w:val="Bordered &amp; Lined - Accent 4"/>
    <w:basedOn w:val="76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7" w:customStyle="1">
    <w:name w:val="Bordered &amp; Lined - Accent 5"/>
    <w:basedOn w:val="76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8" w:customStyle="1">
    <w:name w:val="Bordered &amp; Lined - Accent 6"/>
    <w:basedOn w:val="76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9" w:customStyle="1">
    <w:name w:val="Bordered"/>
    <w:basedOn w:val="76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basedOn w:val="76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71" w:customStyle="1">
    <w:name w:val="Bordered - Accent 2"/>
    <w:basedOn w:val="76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72" w:customStyle="1">
    <w:name w:val="Bordered - Accent 3"/>
    <w:basedOn w:val="76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73" w:customStyle="1">
    <w:name w:val="Bordered - Accent 4"/>
    <w:basedOn w:val="76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74" w:customStyle="1">
    <w:name w:val="Bordered - Accent 5"/>
    <w:basedOn w:val="76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75" w:customStyle="1">
    <w:name w:val="Bordered - Accent 6"/>
    <w:basedOn w:val="76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76" w:customStyle="1">
    <w:name w:val="脚注文本 字符"/>
    <w:link w:val="780"/>
    <w:uiPriority w:val="99"/>
    <w:qFormat/>
    <w:rPr>
      <w:sz w:val="18"/>
    </w:rPr>
  </w:style>
  <w:style w:type="character" w:styleId="977" w:customStyle="1">
    <w:name w:val="尾注文本 字符"/>
    <w:link w:val="774"/>
    <w:uiPriority w:val="99"/>
    <w:qFormat/>
    <w:rPr>
      <w:sz w:val="20"/>
    </w:rPr>
  </w:style>
  <w:style w:type="paragraph" w:styleId="978" w:customStyle="1">
    <w:name w:val="TOC 标题11"/>
    <w:uiPriority w:val="39"/>
    <w:unhideWhenUsed/>
    <w:qFormat/>
    <w:rPr>
      <w:rFonts w:hint="default" w:asciiTheme="minorHAnsi" w:hAnsiTheme="minorHAnsi" w:eastAsiaTheme="minorEastAsia" w:cstheme="minorBidi"/>
    </w:rPr>
  </w:style>
  <w:style w:type="character" w:styleId="979" w:customStyle="1">
    <w:name w:val="标题 3 字符"/>
    <w:link w:val="753"/>
    <w:uiPriority w:val="0"/>
    <w:qFormat/>
    <w:rPr>
      <w:rFonts w:ascii="Times New Roman" w:hAnsi="Times New Roman" w:eastAsia="楷体"/>
      <w:b/>
      <w:bCs/>
      <w:sz w:val="26"/>
      <w:szCs w:val="32"/>
      <w:lang w:val="en-US" w:eastAsia="zh-CN" w:bidi="ar-SA"/>
    </w:rPr>
  </w:style>
  <w:style w:type="character" w:styleId="980" w:customStyle="1">
    <w:name w:val="font91"/>
    <w:basedOn w:val="760"/>
    <w:uiPriority w:val="0"/>
    <w:qFormat/>
    <w:rPr>
      <w:rFonts w:hint="eastAsia" w:ascii="宋体" w:hAnsi="宋体" w:eastAsia="宋体" w:cs="宋体"/>
      <w:color w:val="000000"/>
      <w:sz w:val="20"/>
      <w:szCs w:val="20"/>
      <w:u w:val="none"/>
    </w:rPr>
  </w:style>
  <w:style w:type="character" w:styleId="981" w:customStyle="1">
    <w:name w:val="font101"/>
    <w:basedOn w:val="760"/>
    <w:uiPriority w:val="0"/>
    <w:qFormat/>
    <w:rPr>
      <w:rFonts w:hint="eastAsia" w:ascii="宋体" w:hAnsi="宋体" w:eastAsia="宋体" w:cs="宋体"/>
      <w:color w:val="ff0000"/>
      <w:sz w:val="20"/>
      <w:szCs w:val="20"/>
      <w:u w:val="none"/>
    </w:rPr>
  </w:style>
  <w:style w:type="paragraph" w:styleId="982" w:customStyle="1">
    <w:name w:val="Default"/>
    <w:basedOn w:val="750"/>
    <w:uiPriority w:val="0"/>
    <w:semiHidden/>
    <w:qFormat/>
    <w:rPr>
      <w:rFonts w:ascii="宋体" w:hAnsi="Calibri" w:cs="宋体"/>
      <w:color w:val="000000"/>
      <w:sz w:val="24"/>
    </w:rPr>
  </w:style>
  <w:style w:type="character" w:styleId="983" w:customStyle="1">
    <w:name w:val="页眉 字符"/>
    <w:basedOn w:val="760"/>
    <w:link w:val="776"/>
    <w:uiPriority w:val="99"/>
    <w:qFormat/>
    <w:rPr>
      <w:sz w:val="18"/>
      <w:szCs w:val="18"/>
    </w:rPr>
  </w:style>
  <w:style w:type="character" w:styleId="984" w:customStyle="1">
    <w:name w:val="页脚 字符"/>
    <w:basedOn w:val="760"/>
    <w:link w:val="775"/>
    <w:uiPriority w:val="99"/>
    <w:qFormat/>
    <w:rPr>
      <w:sz w:val="18"/>
      <w:szCs w:val="18"/>
    </w:rPr>
  </w:style>
  <w:style w:type="paragraph" w:styleId="985" w:customStyle="1">
    <w:name w:val="普通(网站)1"/>
    <w:basedOn w:val="750"/>
    <w:uiPriority w:val="0"/>
    <w:qFormat/>
    <w:pPr>
      <w:spacing w:before="100" w:beforeAutospacing="1" w:after="100" w:afterAutospacing="1"/>
    </w:pPr>
    <w:rPr>
      <w:rFonts w:ascii="宋体" w:hAnsi="宋体" w:eastAsia="宋体" w:cs="宋体"/>
      <w:sz w:val="24"/>
    </w:rPr>
  </w:style>
  <w:style w:type="character" w:styleId="986" w:customStyle="1">
    <w:name w:val="纯文本 字符"/>
    <w:basedOn w:val="760"/>
    <w:link w:val="772"/>
    <w:uiPriority w:val="0"/>
    <w:qFormat/>
    <w:rPr>
      <w:rFonts w:ascii="宋体" w:hAnsi="Courier New" w:eastAsia="宋体" w:cs="Times New Roman"/>
      <w:sz w:val="21"/>
    </w:rPr>
  </w:style>
  <w:style w:type="character" w:styleId="987" w:customStyle="1">
    <w:name w:val="正文文本 字符"/>
    <w:basedOn w:val="760"/>
    <w:link w:val="769"/>
    <w:uiPriority w:val="0"/>
    <w:qFormat/>
    <w:rPr>
      <w:sz w:val="21"/>
      <w:szCs w:val="24"/>
    </w:rPr>
  </w:style>
  <w:style w:type="character" w:styleId="988" w:customStyle="1">
    <w:name w:val="正文文本首行缩进 字符"/>
    <w:basedOn w:val="987"/>
    <w:link w:val="787"/>
    <w:uiPriority w:val="99"/>
    <w:qFormat/>
    <w:rPr>
      <w:rFonts w:ascii="Times New Roman" w:hAnsi="Times New Roman" w:eastAsia="宋体" w:cs="Times New Roman"/>
      <w:sz w:val="21"/>
      <w:szCs w:val="24"/>
    </w:rPr>
  </w:style>
  <w:style w:type="paragraph" w:styleId="989" w:customStyle="1">
    <w:name w:val="Table Paragraph"/>
    <w:basedOn w:val="750"/>
    <w:uiPriority w:val="1"/>
    <w:unhideWhenUsed/>
    <w:qFormat/>
    <w:rPr>
      <w:rFonts w:ascii="Times New Roman" w:hAnsi="Times New Roman" w:eastAsia="宋体" w:cs="Times New Roman"/>
      <w:sz w:val="24"/>
    </w:rPr>
  </w:style>
  <w:style w:type="paragraph" w:styleId="990" w:customStyle="1">
    <w:name w:val="A正文"/>
    <w:uiPriority w:val="0"/>
    <w:qFormat/>
    <w:pPr>
      <w:ind w:firstLine="200"/>
      <w:jc w:val="both"/>
      <w:widowControl w:val="off"/>
    </w:pPr>
    <w:rPr>
      <w:rFonts w:hint="default" w:ascii="Times New Roman" w:hAnsi="Times New Roman" w:eastAsia="宋体" w:cs="Times New Roman"/>
      <w:sz w:val="28"/>
      <w:szCs w:val="28"/>
    </w:rPr>
  </w:style>
  <w:style w:type="table" w:styleId="991" w:customStyle="1">
    <w:name w:val="Table Normal"/>
    <w:uiPriority w:val="2"/>
    <w:semiHidden/>
    <w:unhideWhenUsed/>
    <w:qFormat/>
    <w:rPr>
      <w:rFonts w:ascii="Times New Roman" w:hAnsi="Times New Roman" w:eastAsia="宋体" w:cs="Times New Roman"/>
    </w:rPr>
    <w:tblPr>
      <w:tblCellMar>
        <w:left w:w="0" w:type="dxa"/>
        <w:top w:w="0" w:type="dxa"/>
        <w:right w:w="0" w:type="dxa"/>
        <w:bottom w:w="0" w:type="dxa"/>
      </w:tblCellMar>
    </w:tblPr>
  </w:style>
  <w:style w:type="paragraph" w:styleId="992">
    <w:name w:val="List Paragraph"/>
    <w:basedOn w:val="750"/>
    <w:uiPriority w:val="1"/>
    <w:unhideWhenUsed/>
    <w:qFormat/>
    <w:pPr>
      <w:ind w:firstLine="420"/>
    </w:pPr>
  </w:style>
  <w:style w:type="paragraph" w:styleId="993" w:customStyle="1">
    <w:name w:val="列出段落3"/>
    <w:basedOn w:val="750"/>
    <w:uiPriority w:val="0"/>
    <w:qFormat/>
    <w:pPr>
      <w:ind w:firstLine="420"/>
    </w:pPr>
    <w:rPr>
      <w:rFonts w:ascii="Calibri" w:hAnsi="Calibri" w:eastAsia="宋体" w:cs="Times New Roman"/>
      <w:szCs w:val="21"/>
    </w:rPr>
  </w:style>
  <w:style w:type="character" w:styleId="994" w:customStyle="1">
    <w:name w:val="批注文字 字符"/>
    <w:basedOn w:val="760"/>
    <w:link w:val="768"/>
    <w:uiPriority w:val="0"/>
    <w:qFormat/>
    <w:rPr>
      <w:sz w:val="21"/>
      <w:szCs w:val="24"/>
    </w:rPr>
  </w:style>
  <w:style w:type="character" w:styleId="995" w:customStyle="1">
    <w:name w:val="正文文本缩进 字符"/>
    <w:basedOn w:val="760"/>
    <w:link w:val="763"/>
    <w:uiPriority w:val="0"/>
    <w:qFormat/>
    <w:rPr>
      <w:rFonts w:ascii="仿宋_GB2312" w:eastAsia="仿宋_GB2312"/>
      <w:sz w:val="30"/>
      <w:szCs w:val="24"/>
    </w:rPr>
  </w:style>
  <w:style w:type="character" w:styleId="996" w:customStyle="1">
    <w:name w:val="正文文本首行缩进 2 字符"/>
    <w:basedOn w:val="995"/>
    <w:link w:val="762"/>
    <w:uiPriority w:val="0"/>
    <w:qFormat/>
    <w:rPr>
      <w:rFonts w:ascii="Calibri" w:eastAsia="宋体"/>
      <w:sz w:val="30"/>
      <w:szCs w:val="24"/>
    </w:rPr>
  </w:style>
  <w:style w:type="paragraph" w:styleId="997"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998" w:customStyle="1">
    <w:name w:val="页脚1"/>
    <w:basedOn w:val="750"/>
    <w:uiPriority w:val="99"/>
    <w:unhideWhenUsed/>
    <w:qFormat/>
    <w:pPr>
      <w:tabs>
        <w:tab w:val="center" w:pos="4153" w:leader="none"/>
        <w:tab w:val="right" w:pos="8306" w:leader="none"/>
      </w:tabs>
    </w:pPr>
    <w:rPr>
      <w:sz w:val="18"/>
      <w:szCs w:val="18"/>
    </w:rPr>
  </w:style>
  <w:style w:type="paragraph" w:styleId="999" w:customStyle="1">
    <w:name w:val="普通正文"/>
    <w:basedOn w:val="750"/>
    <w:uiPriority w:val="0"/>
    <w:qFormat/>
    <w:pPr>
      <w:ind w:firstLine="480"/>
      <w:spacing w:before="120" w:after="120" w:line="360" w:lineRule="auto"/>
    </w:pPr>
    <w:rPr>
      <w:rFonts w:ascii="Arial" w:hAnsi="Arial" w:eastAsia="等线" w:cs="Arial"/>
      <w:sz w:val="24"/>
    </w:rPr>
  </w:style>
  <w:style w:type="paragraph" w:styleId="1000" w:customStyle="1">
    <w:name w:val="正文文本缩进1"/>
    <w:basedOn w:val="750"/>
    <w:uiPriority w:val="0"/>
    <w:qFormat/>
    <w:pPr>
      <w:ind w:left="420"/>
      <w:spacing w:after="120"/>
    </w:pPr>
  </w:style>
  <w:style w:type="paragraph" w:styleId="1001" w:customStyle="1">
    <w:name w:val="列出段落1"/>
    <w:basedOn w:val="750"/>
    <w:uiPriority w:val="34"/>
    <w:qFormat/>
    <w:pPr>
      <w:ind w:firstLine="420"/>
    </w:pPr>
    <w:rPr>
      <w:rFonts w:cs="Times New Roman"/>
      <w:lang w:eastAsia="en-US"/>
    </w:rPr>
  </w:style>
  <w:style w:type="paragraph" w:styleId="1002" w:customStyle="1">
    <w:name w:val="项目编号1"/>
    <w:basedOn w:val="750"/>
    <w:next w:val="750"/>
    <w:uiPriority w:val="0"/>
    <w:qFormat/>
    <w:pPr>
      <w:numPr>
        <w:ilvl w:val="0"/>
        <w:numId w:val="1"/>
      </w:numPr>
      <w:spacing w:line="360" w:lineRule="auto"/>
    </w:pPr>
    <w:rPr>
      <w:rFonts w:ascii="宋体" w:hAnsi="Times New Roman" w:eastAsia="宋体" w:cs="Times New Roman"/>
      <w:sz w:val="24"/>
    </w:rPr>
  </w:style>
  <w:style w:type="character" w:styleId="1003" w:customStyle="1">
    <w:name w:val="普通(网站) 字符"/>
    <w:link w:val="785"/>
    <w:uiPriority w:val="0"/>
    <w:qFormat/>
    <w:rPr>
      <w:rFonts w:cs="Times New Roman"/>
      <w:sz w:val="24"/>
      <w:szCs w:val="24"/>
    </w:rPr>
  </w:style>
  <w:style w:type="character" w:styleId="1004" w:customStyle="1">
    <w:name w:val="副标题 字符1"/>
    <w:uiPriority w:val="99"/>
    <w:qFormat/>
    <w:rPr>
      <w:rFonts w:ascii="Cambria" w:hAnsi="Cambria" w:cs="宋体"/>
      <w:b/>
      <w:bCs/>
      <w:sz w:val="32"/>
      <w:szCs w:val="32"/>
    </w:rPr>
  </w:style>
  <w:style w:type="paragraph" w:styleId="1005" w:customStyle="1">
    <w:name w:val="正文文本1"/>
    <w:basedOn w:val="750"/>
    <w:next w:val="750"/>
    <w:uiPriority w:val="99"/>
    <w:qFormat/>
    <w:rPr>
      <w:sz w:val="20"/>
    </w:rPr>
  </w:style>
  <w:style w:type="numbering" w:styleId="80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D98365-4C24-490F-9A3D-289701F6865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时光</dc:creator>
  <cp:lastModifiedBy>吴竹慧</cp:lastModifiedBy>
  <cp:revision>30</cp:revision>
  <dcterms:created xsi:type="dcterms:W3CDTF">2025-11-17T02:54:00Z</dcterms:created>
  <dcterms:modified xsi:type="dcterms:W3CDTF">2026-06-02T10:07:48Z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1DC33FE33A1A4402831A9F40FABF564A_13</vt:lpwstr>
  </property>
  <property fmtid="{D5CDD505-2E9C-101B-9397-08002B2CF9AE}" pid="4" name="KSOTemplateDocerSaveRecord">
    <vt:lpwstr>eyJoZGlkIjoiZjdjYTFmODE0YWM0YTIyNDRmMzA5NjQ0ZmVlZjRkODIiLCJ1c2VySWQiOiI0Mjc0NjMxOTIifQ==</vt:lpwstr>
  </property>
</Properties>
</file>