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889"/>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889"/>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89"/>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89"/>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14:textFill>
            <w14:solidFill>
              <w14:schemeClr w14:val="tx1"/>
            </w14:solidFill>
          </w14:textFill>
        </w:rPr>
        <w:t xml:space="preserve">射阳县综合检验检测中心2026年食用农产品快速检测的试剂和耗材采购项目</w:t>
      </w:r>
      <w:r/>
    </w:p>
    <w:p>
      <w:pPr>
        <w:pStyle w:val="889"/>
        <w:jc w:val="both"/>
        <w:spacing w:before="120" w:beforeAutospacing="0" w:after="120" w:afterAutospacing="0" w:line="360" w:lineRule="auto"/>
        <w:rPr>
          <w:rFonts w:hint="default" w:eastAsiaTheme="minorEastAsia"/>
          <w:color w:val="000000" w:themeColor="text1"/>
          <w:highlight w:val="none"/>
          <w:lang w:val="en-US"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JSZC-320924-JCJT-G2026-0002</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14:textFill>
            <w14:solidFill>
              <w14:schemeClr w14:val="tx1"/>
            </w14:solidFill>
          </w14:textFill>
        </w:rPr>
        <w:t xml:space="preserve">射阳县综合检验检测中心</w:t>
      </w:r>
      <w:r/>
    </w:p>
    <w:p>
      <w:pPr>
        <w:pStyle w:val="889"/>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采购代理机构：</w:t>
      </w:r>
      <w:r>
        <w:rPr>
          <w:rFonts w:hint="eastAsia" w:ascii="Arial" w:hAnsi="Arial" w:cs="Arial"/>
          <w:b/>
          <w:color w:val="000000" w:themeColor="text1"/>
          <w:sz w:val="32"/>
          <w:szCs w:val="32"/>
          <w:highlight w:val="none"/>
          <w14:textFill>
            <w14:solidFill>
              <w14:schemeClr w14:val="tx1"/>
            </w14:solidFill>
          </w14:textFill>
        </w:rPr>
        <w:t xml:space="preserve">江苏甲晨建设集团有限公司</w:t>
      </w:r>
      <w:r/>
    </w:p>
    <w:p>
      <w:pPr>
        <w:pStyle w:val="889"/>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3</w:t>
      </w:r>
      <w:r>
        <w:rPr>
          <w:rFonts w:ascii="Arial" w:hAnsi="Arial" w:cs="Arial"/>
          <w:b/>
          <w:color w:val="000000" w:themeColor="text1"/>
          <w:sz w:val="32"/>
          <w:szCs w:val="32"/>
          <w:highlight w:val="none"/>
          <w14:textFill>
            <w14:solidFill>
              <w14:schemeClr w14:val="tx1"/>
            </w14:solidFill>
          </w14:textFill>
        </w:rPr>
        <w:t xml:space="preserve">月</w:t>
      </w:r>
      <w:r/>
    </w:p>
    <w:p>
      <w:pPr>
        <w:pStyle w:val="889"/>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480" w:lineRule="auto"/>
        <w:rPr>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xml:space="preserve"> </w:t>
      </w:r>
      <w:bookmarkStart w:id="0" w:name="_Toc20823272"/>
      <w:r/>
      <w:bookmarkStart w:id="1" w:name="_Toc120614210"/>
      <w:r/>
      <w:bookmarkStart w:id="2" w:name="_Toc513029200"/>
      <w:r/>
      <w:bookmarkStart w:id="3" w:name="_Toc16938516"/>
      <w:r/>
      <w:bookmarkStart w:id="4" w:name="_Toc479757206"/>
      <w:r/>
      <w:bookmarkStart w:id="5" w:name="_Toc523127445"/>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889"/>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889"/>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r/>
    </w:p>
    <w:p>
      <w:pPr>
        <w:pStyle w:val="889"/>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w:t>
      </w: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条款</w:t>
      </w:r>
      <w:r>
        <w:rPr>
          <w:rFonts w:hint="eastAsia" w:ascii="黑体" w:hAnsi="宋体" w:eastAsia="黑体" w:cs="黑体"/>
          <w:color w:val="000000" w:themeColor="text1"/>
          <w:sz w:val="36"/>
          <w:szCs w:val="36"/>
          <w:highlight w:val="none"/>
          <w14:textFill>
            <w14:solidFill>
              <w14:schemeClr w14:val="tx1"/>
            </w14:solidFill>
          </w14:textFill>
        </w:rPr>
        <w:t xml:space="preserve">……………………………………</w:t>
      </w:r>
      <w:r/>
    </w:p>
    <w:p>
      <w:pPr>
        <w:pStyle w:val="889"/>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p>
    <w:p>
      <w:pPr>
        <w:pStyle w:val="889"/>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p>
    <w:p>
      <w:pPr>
        <w:pStyle w:val="889"/>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keepNext/>
        <w:spacing w:beforeAutospacing="0" w:afterAutospacing="0"/>
        <w:rPr>
          <w:rFonts w:hint="default" w:eastAsia="黑体"/>
          <w:color w:val="000000" w:themeColor="text1"/>
          <w:highlight w:val="none"/>
          <w:lang w:val="en-US" w:eastAsia="zh-CN"/>
          <w14:textFill>
            <w14:solidFill>
              <w14:schemeClr w14:val="tx1"/>
            </w14:solidFill>
          </w14:textFill>
        </w:rPr>
      </w:pPr>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招标公告</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射阳县综合检验检测中心2026年食用农产品快速检测的试剂和耗材采购项目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 w:name="_Hlk24379207"/>
      <w:r/>
      <w:bookmarkStart w:id="8" w:name="_Toc28359079"/>
      <w:r/>
      <w:bookmarkStart w:id="9" w:name="_Toc35393790"/>
      <w:r/>
      <w:bookmarkStart w:id="10" w:name="_Toc38985263"/>
      <w:r/>
      <w:bookmarkStart w:id="11" w:name="_Toc28359002"/>
      <w:r/>
      <w:bookmarkStart w:id="12" w:name="_Toc35393621"/>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889"/>
        <w:ind w:firstLine="480"/>
        <w:jc w:val="both"/>
        <w:spacing w:beforeAutospacing="0" w:afterAutospacing="0"/>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1.项目编号：JSZC-320924-JCJT-G2026-0002</w:t>
      </w:r>
      <w:r/>
    </w:p>
    <w:p>
      <w:pPr>
        <w:pStyle w:val="889"/>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目名称：射阳县综合检验检测中心2026年食用农产品快速检测的试剂和耗材采购项目</w:t>
      </w:r>
      <w:r/>
    </w:p>
    <w:p>
      <w:pPr>
        <w:pStyle w:val="889"/>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公开招标</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.预算金额：100万元</w:t>
      </w:r>
      <w:r/>
    </w:p>
    <w:p>
      <w:pPr>
        <w:pStyle w:val="889"/>
        <w:ind w:firstLine="480"/>
        <w:jc w:val="both"/>
        <w:spacing w:beforeAutospacing="0" w:afterAutospacing="0"/>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最高限价（如有）：100万元</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.采购需求（简介）：为进一步满足全县农贸市场食用农产品快速检测工作需要，中心拟采购一批快速检测试剂和耗材；（详</w:t>
      </w:r>
      <w:r>
        <w:rPr>
          <w:rFonts w:hint="eastAsia" w:ascii="宋体" w:hAnsi="宋体" w:eastAsia="宋体" w:cs="宋体"/>
          <w:color w:val="000000" w:themeColor="text1"/>
          <w:sz w:val="24"/>
          <w:szCs w:val="24"/>
          <w:highlight w:val="none"/>
          <w14:textFill>
            <w14:solidFill>
              <w14:schemeClr w14:val="tx1"/>
            </w14:solidFill>
          </w14:textFill>
        </w:rPr>
        <w:t xml:space="preserve">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文件第四章）</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.合同履行期限：自本合同签订之日起12个月，按需供货，每次接到甲方供货通知后7日内完成供货。</w:t>
      </w:r>
      <w:r/>
    </w:p>
    <w:p>
      <w:pPr>
        <w:pStyle w:val="889"/>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ffff00"/>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 xml:space="preserve">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14:textFill>
            <w14:solidFill>
              <w14:schemeClr w14:val="tx1"/>
            </w14:solidFill>
          </w14:textFill>
        </w:rPr>
        <w:t xml:space="preserve">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招标：否</w:t>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3" w:name="_Toc35393622"/>
      <w:r/>
      <w:bookmarkStart w:id="14" w:name="_Toc35393791"/>
      <w:r/>
      <w:bookmarkStart w:id="15" w:name="_Toc38985264"/>
      <w:r/>
      <w:bookmarkStart w:id="16" w:name="_Toc28359003"/>
      <w:r/>
      <w:bookmarkStart w:id="17" w:name="_Toc28359080"/>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2024年度或2025年度的财务状况报表（成立不满一年无需提供）；</w:t>
      </w:r>
      <w:r/>
    </w:p>
    <w:p>
      <w:pPr>
        <w:pStyle w:val="889"/>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pStyle w:val="889"/>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9"/>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商，不得参加同一合同项下的政府采购活动。</w:t>
      </w:r>
      <w:r/>
    </w:p>
    <w:p>
      <w:pPr>
        <w:pStyle w:val="889"/>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落实政府采购政策需满足的资格要求：本项目为货物类采购项目，所属行业为：工业。本项目为</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非预留份额的采购项目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无。</w:t>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三、获取招标文件</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793"/>
      <w:r/>
      <w:bookmarkStart w:id="20" w:name="_Toc28359005"/>
      <w:r/>
      <w:bookmarkStart w:id="21" w:name="_Toc35393624"/>
      <w:r/>
      <w:bookmarkStart w:id="22" w:name="_Toc3898526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自招标文件公告发布之日起5个工作日 。</w:t>
      </w:r>
      <w:r/>
    </w:p>
    <w:p>
      <w:pPr>
        <w:ind w:firstLine="480"/>
        <w:jc w:val="left"/>
        <w:keepLines w:val="0"/>
        <w:keepNext w:val="0"/>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2.地点：“苏采云”系统内免费下载（投标人必须在苏采云系统中获取采购文件，方能参与政府采购项目）；</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 </w:t>
      </w:r>
      <w:r/>
    </w:p>
    <w:p>
      <w:pPr>
        <w:ind w:firstLine="480"/>
        <w:jc w:val="left"/>
        <w:spacing w:line="56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四、提交投标文件截止时间、开标时间和地点</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23</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bookmarkStart w:id="198" w:name="_GoBack"/>
      <w:r/>
      <w:bookmarkEnd w:id="19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889"/>
        <w:ind w:firstLine="480"/>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2.地点：苏采云“不见面”开标大厅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3" w:name="_Toc35393625"/>
      <w:r/>
      <w:bookmarkStart w:id="24" w:name="_Toc35393794"/>
      <w:r/>
      <w:bookmarkStart w:id="25" w:name="_Toc28359007"/>
      <w:r/>
      <w:bookmarkStart w:id="26" w:name="_Toc38985267"/>
      <w:r/>
      <w:bookmarkStart w:id="27" w:name="_Toc28359084"/>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3"/>
      <w:r/>
      <w:bookmarkEnd w:id="24"/>
      <w:r/>
      <w:bookmarkEnd w:id="25"/>
      <w:r/>
      <w:bookmarkEnd w:id="26"/>
      <w:r/>
      <w:bookmarkEnd w:id="27"/>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28"/>
      <w:r/>
      <w:bookmarkEnd w:id="29"/>
      <w:r/>
      <w:bookmarkEnd w:id="30"/>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领取CA和办理电子签章（请至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盐城市府西路1号盐城市公共资源交易中心四楼大厅10号，11号窗口</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2.潜在供应商访问电子招标响应交易平台的网络地址和方法： </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 潜在投标人访问“苏采云”系统方法：江苏省政府采购网首页-“苏采云”链接。 </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8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如潜在投标人未按上述要求操作，将自行承担所产生的风险。</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3.有关本次招标的事项若存在变动或修改，敬请及时关注在“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江苏政府采购网”“盐城市政府采购网”发布的更正公告。</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4.本次招标不收取投标保证金，不收取质量保证金。</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5、电子投标文件一份(通过系统提交)；纸质投标文件正本一份，副本二份（评审结束后由中标候选供应商邮寄至（代理公司），未中标单位不需要提供）。</w:t>
      </w:r>
      <w:r/>
    </w:p>
    <w:p>
      <w:pPr>
        <w:pStyle w:val="889"/>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6、本项目执行江苏省财政厅《关于推动解决政府采购异常低价问题相关工作的通知》（苏财购〔2025〕62号）。</w:t>
      </w:r>
      <w:r/>
    </w:p>
    <w:p>
      <w:pPr>
        <w:pStyle w:val="879"/>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提出询问，请按以下方式联系。</w:t>
      </w:r>
      <w:bookmarkEnd w:id="31"/>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1.采购人信息</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称：射阳县综合检验检测中心</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地址：射阳县幸福大道26号联创中心B座  </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联系人：孙成宏              </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联系方式：18795479878            </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2.采购代理机构信息</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称：江苏甲晨建设集团有限公司</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 址： 射阳县建工大厦十二楼</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联系人：彭明艳                      </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w:t>
      </w:r>
      <w:bookmarkStart w:id="32" w:name="_Toc28359087"/>
      <w:r/>
      <w:bookmarkStart w:id="33" w:name="_Toc2835901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15151052742        </w:t>
      </w:r>
      <w:bookmarkEnd w:id="32"/>
      <w:r/>
      <w:bookmarkEnd w:id="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bookmarkEnd w:id="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项目联系方式</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项目联系人：彭明艳</w:t>
      </w:r>
      <w:r/>
    </w:p>
    <w:p>
      <w:pPr>
        <w:pStyle w:val="88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电话：15151052742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5" w:name="_Toc120614211"/>
      <w:r/>
      <w:r/>
    </w:p>
    <w:p>
      <w:pPr>
        <w:pStyle w:val="889"/>
        <w:ind w:firstLine="2429"/>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5"/>
      <w:r/>
      <w:bookmarkStart w:id="36" w:name="_Toc16938518"/>
      <w:r/>
      <w:bookmarkStart w:id="37" w:name="_Toc513029202"/>
      <w:r/>
      <w:bookmarkStart w:id="38" w:name="_Toc20823274"/>
      <w:r/>
      <w:bookmarkStart w:id="39" w:name="_Toc120614213"/>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36"/>
      <w:r/>
      <w:bookmarkEnd w:id="37"/>
      <w:r/>
      <w:bookmarkEnd w:id="38"/>
      <w:r/>
      <w:bookmarkEnd w:id="39"/>
      <w:r/>
      <w:r/>
    </w:p>
    <w:p>
      <w:pPr>
        <w:pStyle w:val="889"/>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40" w:name="_Toc513029203"/>
      <w:r/>
      <w:bookmarkStart w:id="41" w:name="_Toc20823275"/>
      <w:r/>
      <w:bookmarkStart w:id="42" w:name="_Toc120614214"/>
      <w:r/>
      <w:bookmarkStart w:id="43" w:name="_Toc16938519"/>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0"/>
      <w:r/>
      <w:bookmarkEnd w:id="41"/>
      <w:r/>
      <w:bookmarkEnd w:id="42"/>
      <w:r/>
      <w:bookmarkEnd w:id="43"/>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5"/>
      <w:r/>
      <w:bookmarkEnd w:id="46"/>
      <w:r/>
      <w:bookmarkEnd w:id="47"/>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9" w:name="_Toc20823277"/>
      <w:r/>
      <w:bookmarkStart w:id="50" w:name="_Toc513029205"/>
      <w:r/>
      <w:bookmarkStart w:id="51" w:name="_Toc16938521"/>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49"/>
      <w:r/>
      <w:bookmarkEnd w:id="50"/>
      <w:r/>
      <w:bookmarkEnd w:id="51"/>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满足本文件实质性要求和条件的规定。</w:t>
      </w:r>
      <w:r/>
    </w:p>
    <w:p>
      <w:pPr>
        <w:ind w:firstLine="420"/>
        <w:spacing w:line="400" w:lineRule="exact"/>
        <w:rPr>
          <w:rFonts w:hint="eastAsia" w:ascii="方正魏碑_GBK" w:hAnsi="方正魏碑_GBK" w:eastAsia="方正魏碑_GBK" w:cs="方正魏碑_GBK"/>
          <w:color w:val="000000" w:themeColor="text1"/>
          <w:sz w:val="24"/>
          <w:szCs w:val="21"/>
          <w14:textFill>
            <w14:solidFill>
              <w14:schemeClr w14:val="tx1"/>
            </w14:solidFill>
          </w14:textFill>
        </w:rPr>
      </w:pPr>
      <w:r/>
      <w:bookmarkStart w:id="52" w:name="_Toc16938522"/>
      <w:r/>
      <w:bookmarkStart w:id="53" w:name="_Toc513029206"/>
      <w:r/>
      <w:bookmarkStart w:id="54" w:name="_Toc20823278"/>
      <w:r>
        <w:rPr>
          <w:rFonts w:hint="eastAsia" w:ascii="方正魏碑_GBK" w:hAnsi="方正魏碑_GBK" w:eastAsia="方正魏碑_GBK" w:cs="方正魏碑_GBK"/>
          <w:color w:val="000000" w:themeColor="text1"/>
          <w:sz w:val="24"/>
          <w:szCs w:val="21"/>
          <w14:textFill>
            <w14:solidFill>
              <w14:schemeClr w14:val="tx1"/>
            </w14:solidFill>
          </w14:textFill>
        </w:rPr>
        <w:t xml:space="preserve">3、适用法律</w:t>
      </w:r>
      <w:bookmarkEnd w:id="52"/>
      <w:r/>
      <w:bookmarkEnd w:id="53"/>
      <w:r/>
      <w:bookmarkEnd w:id="54"/>
      <w:r>
        <w:rPr>
          <w:rFonts w:hint="eastAsia" w:ascii="方正魏碑_GBK" w:hAnsi="方正魏碑_GBK" w:eastAsia="方正魏碑_GBK" w:cs="方正魏碑_GBK"/>
          <w:color w:val="000000" w:themeColor="text1"/>
          <w:sz w:val="24"/>
          <w:szCs w:val="21"/>
          <w14:textFill>
            <w14:solidFill>
              <w14:schemeClr w14:val="tx1"/>
            </w14:solidFill>
          </w14:textFill>
        </w:rPr>
        <w:t xml:space="preserve">和标准</w:t>
      </w:r>
      <w:r/>
    </w:p>
    <w:p>
      <w:pPr>
        <w:pStyle w:val="889"/>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14:textFill>
            <w14:solidFill>
              <w14:schemeClr w14:val="tx1"/>
            </w14:solidFill>
          </w14:textFill>
        </w:rPr>
        <w:t xml:space="preserve">3.2 在本项目政府采购活动过程中，如果所执行的标准有更新的，按照最新标准执行。</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55" w:name="_Toc16938523"/>
      <w:r/>
      <w:bookmarkStart w:id="56" w:name="_Toc513029207"/>
      <w:r/>
      <w:bookmarkStart w:id="57" w:name="_Toc20823279"/>
      <w:r/>
      <w:bookmarkStart w:id="58" w:name="_Toc46256406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55"/>
      <w:r/>
      <w:bookmarkEnd w:id="56"/>
      <w:r/>
      <w:bookmarkEnd w:id="57"/>
      <w:r/>
      <w:bookmarkEnd w:id="58"/>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投标人应自行承担所有与参加投标有关的费用，无论投标过程中的做法和结果如何，江苏甲晨建设集团有限公司（以下简称采购代理机构）在任何情况下均无义务和责任承担这些费用。</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4.2本次招标采购代理机构和采购人不收取标书工本费。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4.3采购代理服务费：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（1）本项目招标代理服务费由中标人向采购代理机构支付。中标人须在领取中标通知书时向采购代理机构一次性付清。该费用折算在报价中，不在投标文件中单独列出。</w:t>
      </w:r>
      <w:r/>
    </w:p>
    <w:p>
      <w:pPr>
        <w:pStyle w:val="889"/>
        <w:ind w:firstLine="480"/>
        <w:jc w:val="both"/>
        <w:spacing w:beforeAutospacing="0" w:afterAutospacing="0" w:line="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收费标准：中标人须在领取中标通知书时向采购代理机构一次性支付采购代理服务费，采购代理服务费用按苏政采协[2024]20号文收费标准计费，由中标人承担。该费用折算在报价中，不在投标文件中单独列出。收费标准：中标金额50万（含50万）元以下：按1.6%收取；中标金额50-400万（含400万）元：货物、服务、工程按中标金额的1.5%收取。</w:t>
      </w:r>
      <w:r/>
    </w:p>
    <w:p>
      <w:pPr>
        <w:pStyle w:val="889"/>
        <w:ind w:firstLine="602"/>
        <w:jc w:val="both"/>
        <w:keepLines/>
        <w:keepNex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pStyle w:val="889"/>
        <w:ind w:firstLine="321"/>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59" w:name="_Toc120614215"/>
      <w:r/>
      <w:bookmarkStart w:id="60" w:name="_Toc20823281"/>
      <w:r/>
      <w:bookmarkStart w:id="61" w:name="_Toc16938525"/>
      <w:r/>
      <w:bookmarkStart w:id="62" w:name="_Toc513029209"/>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59"/>
      <w:r/>
      <w:bookmarkEnd w:id="60"/>
      <w:r/>
      <w:bookmarkEnd w:id="61"/>
      <w:r/>
      <w:bookmarkEnd w:id="62"/>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3" w:name="_Toc16938526"/>
      <w:r/>
      <w:bookmarkStart w:id="64" w:name="_Toc513029210"/>
      <w:r/>
      <w:bookmarkStart w:id="65" w:name="_Toc20823282"/>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63"/>
      <w:r/>
      <w:bookmarkEnd w:id="64"/>
      <w:r/>
      <w:bookmarkEnd w:id="65"/>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889"/>
        <w:ind w:firstLine="36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889"/>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889"/>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889"/>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889"/>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889"/>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6" w:name="_Toc20823283"/>
      <w:r/>
      <w:bookmarkStart w:id="67" w:name="_Toc513029211"/>
      <w:r/>
      <w:bookmarkStart w:id="68" w:name="_Toc16938527"/>
      <w:r/>
      <w:bookmarkStart w:id="69" w:name="_Toc462564070"/>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w:t>
      </w:r>
      <w:bookmarkEnd w:id="66"/>
      <w:r/>
      <w:bookmarkEnd w:id="67"/>
      <w:r/>
      <w:bookmarkEnd w:id="68"/>
      <w:r/>
      <w:bookmarkEnd w:id="69"/>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w:t>
      </w:r>
      <w:r/>
    </w:p>
    <w:p>
      <w:pPr>
        <w:pStyle w:val="889"/>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0" w:name="_Toc462564071"/>
      <w:r/>
      <w:bookmarkStart w:id="71" w:name="_Toc513029212"/>
      <w:r/>
      <w:bookmarkStart w:id="72" w:name="_Toc20823284"/>
      <w:r/>
      <w:bookmarkStart w:id="73" w:name="_Toc16938528"/>
      <w:r>
        <w:rPr>
          <w:rFonts w:hint="eastAsia" w:ascii="宋体" w:hAnsi="宋体" w:eastAsia="宋体" w:cs="宋体"/>
          <w:color w:val="000000" w:themeColor="text1"/>
          <w:sz w:val="24"/>
          <w:szCs w:val="24"/>
          <w:highlight w:val="none"/>
          <w14:textFill>
            <w14:solidFill>
              <w14:schemeClr w14:val="tx1"/>
            </w14:solidFill>
          </w14:textFill>
        </w:rPr>
        <w:t xml:space="preserve">8、招标文件的修改</w:t>
      </w:r>
      <w:bookmarkEnd w:id="70"/>
      <w:r/>
      <w:bookmarkEnd w:id="71"/>
      <w:r/>
      <w:bookmarkEnd w:id="72"/>
      <w:r/>
      <w:bookmarkEnd w:id="73"/>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在投标截止时间前，采购代理机构可以对招标文件进行修改。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采购代理机构有权按照法定的要求推迟投标截止日期和开标日期。</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公布，补充文件将作为招标文件的组成部分，并对投标人具有约束力。</w:t>
      </w:r>
      <w:r/>
    </w:p>
    <w:p>
      <w:pPr>
        <w:pStyle w:val="889"/>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4" w:name="_Toc513029213"/>
      <w:r/>
      <w:bookmarkStart w:id="75" w:name="_Toc462564072"/>
      <w:r/>
      <w:bookmarkStart w:id="76" w:name="_Toc20823285"/>
      <w:r/>
      <w:bookmarkStart w:id="77" w:name="_Toc16938529"/>
      <w:r/>
      <w:bookmarkStart w:id="78" w:name="_Toc120614216"/>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4"/>
      <w:r/>
      <w:bookmarkEnd w:id="75"/>
      <w:r/>
      <w:bookmarkEnd w:id="76"/>
      <w:r/>
      <w:bookmarkEnd w:id="77"/>
      <w:r/>
      <w:bookmarkEnd w:id="78"/>
      <w:r/>
      <w:r/>
    </w:p>
    <w:p>
      <w:pPr>
        <w:pStyle w:val="889"/>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9" w:name="_Toc513029214"/>
      <w:r/>
      <w:bookmarkStart w:id="80" w:name="_Toc462564073"/>
      <w:r/>
      <w:bookmarkStart w:id="81" w:name="_Toc20823286"/>
      <w:r/>
      <w:bookmarkStart w:id="82" w:name="_Toc16938530"/>
      <w:r>
        <w:rPr>
          <w:rFonts w:hint="eastAsia" w:ascii="宋体" w:hAnsi="宋体" w:eastAsia="宋体" w:cs="宋体"/>
          <w:color w:val="000000" w:themeColor="text1"/>
          <w:sz w:val="24"/>
          <w:szCs w:val="24"/>
          <w:highlight w:val="none"/>
          <w14:textFill>
            <w14:solidFill>
              <w14:schemeClr w14:val="tx1"/>
            </w14:solidFill>
          </w14:textFill>
        </w:rPr>
        <w:t xml:space="preserve">9、投标文件的语言及度量衡单位</w:t>
      </w:r>
      <w:bookmarkEnd w:id="79"/>
      <w:r/>
      <w:bookmarkEnd w:id="80"/>
      <w:r/>
      <w:bookmarkEnd w:id="81"/>
      <w:r/>
      <w:bookmarkEnd w:id="82"/>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投标人提交的投标文件以及投标人与采购代理机构就有关投标的所有来往通知、函件和文件均应使用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3" w:name="_Toc513029215"/>
      <w:r/>
      <w:bookmarkStart w:id="84" w:name="_Toc20823287"/>
      <w:r/>
      <w:bookmarkStart w:id="85" w:name="_Toc462564074"/>
      <w:r/>
      <w:bookmarkStart w:id="86" w:name="_Toc16938531"/>
      <w:r>
        <w:rPr>
          <w:rFonts w:hint="eastAsia" w:ascii="宋体" w:hAnsi="宋体" w:eastAsia="宋体" w:cs="宋体"/>
          <w:color w:val="000000" w:themeColor="text1"/>
          <w:sz w:val="24"/>
          <w:szCs w:val="24"/>
          <w:highlight w:val="none"/>
          <w14:textFill>
            <w14:solidFill>
              <w14:schemeClr w14:val="tx1"/>
            </w14:solidFill>
          </w14:textFill>
        </w:rPr>
        <w:t xml:space="preserve">10、投标文件构成</w:t>
      </w:r>
      <w:bookmarkEnd w:id="83"/>
      <w:r/>
      <w:bookmarkEnd w:id="84"/>
      <w:r/>
      <w:bookmarkEnd w:id="85"/>
      <w:r/>
      <w:bookmarkEnd w:id="86"/>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发布的招标文件为准。</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7" w:name="_Toc49090509"/>
      <w:r/>
      <w:bookmarkStart w:id="88" w:name="_Toc513029216"/>
      <w:r/>
      <w:bookmarkStart w:id="89" w:name="_Toc14577354"/>
      <w:r/>
      <w:bookmarkStart w:id="90" w:name="_Toc49090508"/>
      <w:r/>
      <w:bookmarkStart w:id="91" w:name="_Toc14577357"/>
      <w:r/>
      <w:bookmarkStart w:id="92" w:name="_Toc14577355"/>
      <w:r/>
      <w:bookmarkStart w:id="93" w:name="_Toc513029219"/>
      <w:r/>
      <w:bookmarkStart w:id="94" w:name="_Toc49090507"/>
      <w:r/>
      <w:bookmarkStart w:id="95" w:name="_Hlt26954838"/>
      <w:r/>
      <w:bookmarkStart w:id="96" w:name="_Hlt26670360"/>
      <w:r/>
      <w:bookmarkStart w:id="97" w:name="_Hlt26668975"/>
      <w:r>
        <w:rPr>
          <w:rFonts w:hint="eastAsia" w:ascii="宋体" w:hAnsi="宋体" w:eastAsia="宋体" w:cs="宋体"/>
          <w:color w:val="000000" w:themeColor="text1"/>
          <w:sz w:val="24"/>
          <w:szCs w:val="24"/>
          <w:highlight w:val="none"/>
          <w14:textFill>
            <w14:solidFill>
              <w14:schemeClr w14:val="tx1"/>
            </w14:solidFill>
          </w14:textFill>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12、投标分项报价表</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投标人应按照招标文件规定格式填报投标分项报价表。</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98" w:name="_Hlt26670482"/>
      <w:r/>
      <w:bookmarkStart w:id="99" w:name="_Hlt26954731"/>
      <w:r/>
      <w:bookmarkStart w:id="100" w:name="_Hlt26954846"/>
      <w:r/>
      <w:bookmarkStart w:id="101" w:name="_Hlt26954848"/>
      <w:r/>
      <w:bookmarkStart w:id="102" w:name="_Hlt26670486"/>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投标人需对招标文件中的技术要求与商务要求逐项作出响应或偏离，并说明原因。</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投标人可在投标文件中提供认为需要的其他技术文件或说明。</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投标人需根据招标文件要求提供培训计划。</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投标人需根据招标文件要求提供所投标的的主要组成部分、功能设计、实现思路及关键技术等。</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3" w:name="_Toc14577359"/>
      <w:r/>
      <w:bookmarkStart w:id="104" w:name="_Toc49090510"/>
      <w:r>
        <w:rPr>
          <w:rFonts w:hint="eastAsia" w:ascii="宋体" w:hAnsi="宋体" w:eastAsia="宋体" w:cs="宋体"/>
          <w:color w:val="000000" w:themeColor="text1"/>
          <w:sz w:val="24"/>
          <w:szCs w:val="24"/>
          <w:highlight w:val="none"/>
          <w14:textFill>
            <w14:solidFill>
              <w14:schemeClr w14:val="tx1"/>
            </w14:solidFill>
          </w14:textFill>
        </w:rPr>
        <w:t xml:space="preserve">15、投标函和开标一览表</w:t>
      </w:r>
      <w:bookmarkEnd w:id="103"/>
      <w:r/>
      <w:bookmarkEnd w:id="104"/>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投标人应按照招标文件中提供的格式完整、正确填写投标函、开标一览表。</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60"/>
      <w:r/>
      <w:bookmarkStart w:id="106" w:name="_Toc49090511"/>
      <w:r>
        <w:rPr>
          <w:rFonts w:hint="eastAsia" w:ascii="宋体" w:hAnsi="宋体" w:eastAsia="宋体" w:cs="宋体"/>
          <w:color w:val="000000" w:themeColor="text1"/>
          <w:sz w:val="24"/>
          <w:szCs w:val="24"/>
          <w:highlight w:val="none"/>
          <w14:textFill>
            <w14:solidFill>
              <w14:schemeClr w14:val="tx1"/>
            </w14:solidFill>
          </w14:textFill>
        </w:rPr>
        <w:t xml:space="preserve">16、投标有效期</w:t>
      </w:r>
      <w:bookmarkEnd w:id="105"/>
      <w:r/>
      <w:bookmarkEnd w:id="106"/>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16.1投标有效期为采购代理机构规定的开标之日后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17、投标有效期的延长</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9"/>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07" w:name="_Toc20823296"/>
      <w:r/>
      <w:bookmarkStart w:id="108" w:name="_Toc120614217"/>
      <w:r/>
      <w:bookmarkStart w:id="109" w:name="_Toc16938540"/>
      <w:r/>
      <w:bookmarkStart w:id="110" w:name="_Toc513029224"/>
      <w:r/>
      <w:bookmarkStart w:id="111" w:name="_Hlt26954852"/>
      <w:r/>
      <w:bookmarkStart w:id="112" w:name="_Hlt26954739"/>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07"/>
      <w:r/>
      <w:bookmarkEnd w:id="108"/>
      <w:r/>
      <w:bookmarkEnd w:id="109"/>
      <w:r/>
      <w:bookmarkEnd w:id="110"/>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13" w:name="_Toc462564084"/>
      <w:r/>
      <w:bookmarkStart w:id="114" w:name="_Toc20823297"/>
      <w:r/>
      <w:bookmarkStart w:id="115" w:name="_Toc16938541"/>
      <w:r/>
      <w:bookmarkStart w:id="116" w:name="_Toc513029225"/>
      <w:r>
        <w:rPr>
          <w:rFonts w:hint="eastAsia" w:ascii="宋体" w:hAnsi="宋体" w:eastAsia="宋体" w:cs="宋体"/>
          <w:color w:val="000000" w:themeColor="text1"/>
          <w:sz w:val="24"/>
          <w:szCs w:val="24"/>
          <w:highlight w:val="none"/>
          <w14:textFill>
            <w14:solidFill>
              <w14:schemeClr w14:val="tx1"/>
            </w14:solidFill>
          </w14:textFill>
        </w:rPr>
        <w:t xml:space="preserve">18、电子投标文件</w:t>
      </w:r>
      <w:bookmarkEnd w:id="113"/>
      <w:r/>
      <w:bookmarkEnd w:id="114"/>
      <w:r/>
      <w:bookmarkEnd w:id="115"/>
      <w:r/>
      <w:bookmarkEnd w:id="116"/>
      <w:r>
        <w:rPr>
          <w:rFonts w:hint="eastAsia" w:ascii="宋体" w:hAnsi="宋体" w:eastAsia="宋体" w:cs="宋体"/>
          <w:color w:val="000000" w:themeColor="text1"/>
          <w:sz w:val="24"/>
          <w:szCs w:val="24"/>
          <w:highlight w:val="none"/>
          <w14:textFill>
            <w14:solidFill>
              <w14:schemeClr w14:val="tx1"/>
            </w14:solidFill>
          </w14:textFill>
        </w:rPr>
        <w:t xml:space="preserve">的递交</w:t>
      </w:r>
      <w:r/>
    </w:p>
    <w:p>
      <w:pPr>
        <w:pStyle w:val="889"/>
        <w:ind w:left="525"/>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18.1投标人应当按照《操作手册》规定，在投标截止时间前制作并上传电子投标</w:t>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文件。</w:t>
      </w:r>
      <w:bookmarkStart w:id="117" w:name="_Toc16938542"/>
      <w:r/>
      <w:bookmarkEnd w:id="117"/>
      <w:r/>
      <w:bookmarkStart w:id="118" w:name="_Toc20823298"/>
      <w:r/>
      <w:bookmarkEnd w:id="118"/>
      <w:r/>
      <w:bookmarkStart w:id="119" w:name="_Toc513029226"/>
      <w:r/>
      <w:r/>
    </w:p>
    <w:p>
      <w:pPr>
        <w:pStyle w:val="889"/>
        <w:ind w:firstLine="420"/>
        <w:jc w:val="both"/>
        <w:keepLines/>
        <w:keepNext/>
        <w:spacing w:before="280" w:beforeAutospacing="0" w:after="290" w:afterAutospacing="0" w:line="37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19、投标截止日期</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 投标人上传电子投标文件的时间不得迟于招标公告中规定的投标截止时间。</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3"/>
      <w:r/>
      <w:bookmarkStart w:id="121" w:name="_Toc20823299"/>
      <w:r/>
      <w:bookmarkStart w:id="122"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20、投标文件</w:t>
      </w:r>
      <w:bookmarkEnd w:id="120"/>
      <w:r/>
      <w:bookmarkEnd w:id="121"/>
      <w:r/>
      <w:bookmarkEnd w:id="122"/>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采购代理机构拒绝接收在其规定的投标截止时间后上传的任何投标文件。</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3" w:name="_Toc513029228"/>
      <w:r/>
      <w:bookmarkStart w:id="124" w:name="_Toc16938544"/>
      <w:r/>
      <w:bookmarkStart w:id="125" w:name="_Toc20823300"/>
      <w:r>
        <w:rPr>
          <w:rFonts w:hint="eastAsia" w:ascii="宋体" w:hAnsi="宋体" w:eastAsia="宋体" w:cs="宋体"/>
          <w:color w:val="000000" w:themeColor="text1"/>
          <w:sz w:val="24"/>
          <w:szCs w:val="24"/>
          <w:highlight w:val="none"/>
          <w14:textFill>
            <w14:solidFill>
              <w14:schemeClr w14:val="tx1"/>
            </w14:solidFill>
          </w14:textFill>
        </w:rPr>
        <w:t xml:space="preserve">21、投标文件的撤回和修改</w:t>
      </w:r>
      <w:bookmarkEnd w:id="123"/>
      <w:r/>
      <w:bookmarkEnd w:id="124"/>
      <w:r/>
      <w:bookmarkEnd w:id="125"/>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电子投标文件的撤回</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投标人撤回电子投标文件，则认为其不再参与本项目投标活动。</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 在投标截止时间之后，投标人不得对其电子投标文件作任何修改。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889"/>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26" w:name="_Toc120614218"/>
      <w:r/>
      <w:bookmarkStart w:id="127" w:name="_Toc513029229"/>
      <w:r/>
      <w:bookmarkStart w:id="128" w:name="_Toc20823301"/>
      <w:r/>
      <w:bookmarkStart w:id="129" w:name="_Toc16938545"/>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26"/>
      <w:r/>
      <w:bookmarkEnd w:id="127"/>
      <w:r/>
      <w:bookmarkEnd w:id="128"/>
      <w:r/>
      <w:bookmarkEnd w:id="129"/>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2"/>
      <w:r/>
      <w:bookmarkStart w:id="131" w:name="_Toc16938546"/>
      <w:r/>
      <w:bookmarkStart w:id="132" w:name="_Toc513029230"/>
      <w:r>
        <w:rPr>
          <w:rFonts w:hint="eastAsia" w:ascii="宋体" w:hAnsi="宋体" w:eastAsia="宋体" w:cs="宋体"/>
          <w:color w:val="000000" w:themeColor="text1"/>
          <w:sz w:val="24"/>
          <w:szCs w:val="24"/>
          <w:highlight w:val="none"/>
          <w14:textFill>
            <w14:solidFill>
              <w14:schemeClr w14:val="tx1"/>
            </w14:solidFill>
          </w14:textFill>
        </w:rPr>
        <w:t xml:space="preserve">22、开标</w:t>
      </w:r>
      <w:bookmarkEnd w:id="130"/>
      <w:r/>
      <w:bookmarkEnd w:id="131"/>
      <w:r/>
      <w:bookmarkEnd w:id="132"/>
      <w:r/>
      <w:r/>
    </w:p>
    <w:p>
      <w:pPr>
        <w:pStyle w:val="889"/>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22.2开标仪式由采购代理机构组织。苏采云系统将自动对项目进行开标，并宣布各投标人名称和投标价格。</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3" w:name="_Toc513029231"/>
      <w:r/>
      <w:bookmarkStart w:id="134" w:name="_Toc16938547"/>
      <w:r/>
      <w:bookmarkStart w:id="135" w:name="_Toc20823303"/>
      <w:r>
        <w:rPr>
          <w:rFonts w:hint="eastAsia" w:ascii="宋体" w:hAnsi="宋体" w:eastAsia="宋体" w:cs="宋体"/>
          <w:color w:val="000000" w:themeColor="text1"/>
          <w:sz w:val="24"/>
          <w:szCs w:val="24"/>
          <w:highlight w:val="none"/>
          <w14:textFill>
            <w14:solidFill>
              <w14:schemeClr w14:val="tx1"/>
            </w14:solidFill>
          </w14:textFill>
        </w:rPr>
        <w:t xml:space="preserve">23、评标委员会</w:t>
      </w:r>
      <w:bookmarkEnd w:id="133"/>
      <w:r/>
      <w:bookmarkEnd w:id="134"/>
      <w:r/>
      <w:bookmarkEnd w:id="135"/>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23.1</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开标后，采购代理机构将立即组织评标委员会（以下简称评委会）进行评标。</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评委会由采购人代表和有关技术、经济等方面的专家组成，且人员构成符合政府采购有关规定。</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23.3评委会独立工作，负责评审所有投标文件并确定中标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24．评标过程的保密与公正</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采购代理机构和评标委员会不向未中标的投标人解释未中标原因，也不公布评标过程中的相关细节。</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（提醒：经办人在苏采云系统查询到中标结果公告后，再点击推送。招标文件定稿后该提醒删除）</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6" w:name="_Toc513029232"/>
      <w:r/>
      <w:bookmarkStart w:id="137" w:name="_Toc20823304"/>
      <w:r/>
      <w:bookmarkStart w:id="138" w:name="_Toc16938548"/>
      <w:r>
        <w:rPr>
          <w:rFonts w:hint="eastAsia" w:ascii="宋体" w:hAnsi="宋体" w:eastAsia="宋体" w:cs="宋体"/>
          <w:color w:val="000000" w:themeColor="text1"/>
          <w:sz w:val="24"/>
          <w:szCs w:val="24"/>
          <w:highlight w:val="none"/>
          <w14:textFill>
            <w14:solidFill>
              <w14:schemeClr w14:val="tx1"/>
            </w14:solidFill>
          </w14:textFill>
        </w:rPr>
        <w:t xml:space="preserve">25．投标文件的澄清</w:t>
      </w:r>
      <w:bookmarkEnd w:id="136"/>
      <w:r/>
      <w:bookmarkEnd w:id="137"/>
      <w:r/>
      <w:bookmarkEnd w:id="138"/>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39" w:name="_Toc16938549"/>
      <w:r/>
      <w:bookmarkStart w:id="140" w:name="_Toc20823305"/>
      <w:r/>
      <w:bookmarkStart w:id="141" w:name="_Toc513029233"/>
      <w:r>
        <w:rPr>
          <w:rFonts w:hint="eastAsia" w:ascii="宋体" w:hAnsi="宋体" w:eastAsia="宋体" w:cs="宋体"/>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出澄清、说明和补正，其风险由投标人自行承担。</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26、对投标文件的初审</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26.1投标文件初审分为资格审查和符合性审查。</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合要求的偏离或保留而使其投标成为实质性响应的投标。</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2" w:name="_Toc20823306"/>
      <w:r/>
      <w:bookmarkStart w:id="143" w:name="_Toc513029234"/>
      <w:r/>
      <w:bookmarkStart w:id="144" w:name="_Toc16938550"/>
      <w:r>
        <w:rPr>
          <w:rFonts w:hint="eastAsia" w:ascii="宋体" w:hAnsi="宋体" w:eastAsia="宋体" w:cs="宋体"/>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9"/>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889"/>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26.7投标人在开、评标全过程中应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，及时登录苏采云系统查阅、答复相关信息，并安排专人与采购代理机构及评标委员会联系。</w:t>
      </w:r>
      <w:r/>
    </w:p>
    <w:p>
      <w:pPr>
        <w:pStyle w:val="889"/>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27、无效投标条款和废标条款</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5" w:name="_Toc20823307"/>
      <w:r/>
      <w:bookmarkStart w:id="146" w:name="_Toc16938551"/>
      <w:r/>
      <w:bookmarkStart w:id="147" w:name="_Toc513029235"/>
      <w:r>
        <w:rPr>
          <w:rFonts w:hint="eastAsia" w:ascii="宋体" w:hAnsi="宋体" w:eastAsia="宋体" w:cs="宋体"/>
          <w:color w:val="000000" w:themeColor="text1"/>
          <w:sz w:val="24"/>
          <w:szCs w:val="24"/>
          <w:highlight w:val="none"/>
          <w14:textFill>
            <w14:solidFill>
              <w14:schemeClr w14:val="tx1"/>
            </w14:solidFill>
          </w14:textFill>
        </w:rPr>
        <w:t xml:space="preserve">27.1无效投标条款</w:t>
      </w:r>
      <w:bookmarkEnd w:id="145"/>
      <w:r/>
      <w:bookmarkEnd w:id="146"/>
      <w:r/>
      <w:bookmarkEnd w:id="147"/>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投标人在苏采云系统规定的时间内未成功解密电子投标文件的。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 投标人未按照招标文件要求上传电子投标文件的。</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27.1.3同一投标人提交两个（含两个）以上不同的投标报价的。</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27.1.4投标人不具备招标文件中规定资格要求的。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27.1.5投标人的报价超过了采购预算或最高限价的。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27.1.6未通过符合性审查的。</w:t>
      </w:r>
      <w:r/>
    </w:p>
    <w:p>
      <w:pPr>
        <w:pStyle w:val="889"/>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27.1.9投标文件含有采购人不能接受的附加条件的。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889"/>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9"/>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27.1.12 投标文件未按照招标文件要求加盖CA电子公章的。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27.1.13其他法律、法规及本招标文件规定的属无效投标的情形。</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27.2废标条款</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27.2.1符合专业条件的供应商或者对招标文件作实质响应的供应商不足三家的。27.2.2出现影响采购公正的违法、违规行为的。</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27.2.3因重大变故，采购任务取消的。</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27.2.4评标委员会认定招标文件存在歧义、重大缺陷导致评审工作无法进行。</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color w:val="000000" w:themeColor="text1"/>
          <w:sz w:val="24"/>
          <w:szCs w:val="24"/>
          <w:highlight w:val="none"/>
          <w14:textFill>
            <w14:solidFill>
              <w14:schemeClr w14:val="tx1"/>
            </w14:solidFill>
          </w14:textFill>
        </w:rPr>
        <w:t xml:space="preserve">原因造成开标不成功的。</w:t>
      </w:r>
      <w:r/>
    </w:p>
    <w:p>
      <w:pPr>
        <w:pStyle w:val="889"/>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投标截止时间结束后参加投标的供应商不足三家的处理：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889"/>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48"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48"/>
      <w:r/>
      <w:r/>
    </w:p>
    <w:p>
      <w:pPr>
        <w:pStyle w:val="889"/>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49" w:name="_Toc20823310"/>
      <w:r/>
      <w:bookmarkStart w:id="150" w:name="_Toc513029238"/>
      <w:r/>
      <w:bookmarkStart w:id="151" w:name="_Toc16938554"/>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49"/>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50"/>
      <w:r/>
      <w:bookmarkEnd w:id="151"/>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28.1中标候选人的选取原则和数量见招标文件第五章规定。 </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采购代理机构将在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发布中标公告，公告期限为1个工作日。</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若有充分证据证明，中标人出现下列情况之一的，一经查实，将被取消中标资格：</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28.4.1提供虚假材料谋取中标的。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28.4.2向采购人、采购代理机构行贿或者提供其他不正当利益的。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28.4.4与采购人或者其他供应商恶意串通的。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28.4.5采取不正当手段诋毁、排挤其他供应商的。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52"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28.5. 有下列情形之一的，视为投标人串通投标，投标无效：</w:t>
      </w:r>
      <w:bookmarkEnd w:id="152"/>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28.5.1不同投标人的投标文件由同一单位或者个人编制；</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28.5.2不同投标人委托同一单位或者个人办理投标事宜；</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不同投标人的投标文件载明的项目管理成员或者联系人员为同一人；</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889"/>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29.2.2对采购过程提出质疑的，为各采购程序环节结束之日；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29.2.3对中标或者成交结果提出质疑的，为中标或者成交结果公告期限届满之日。</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为射阳县综合检验检测中心，联系地址：：射阳县幸福大道26号联创中心B座，联系电话：18795479878 。29.5 以下情形的质疑不予受理</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未参加投标活动的供应商或在投标活动中自身权益未受到损害的供应商所提出的质疑。</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29.5.5供应商组成联合体参加投标，联合体中任何一方或多方未按要求签字、盖章、加盖公章的质疑。</w:t>
      </w:r>
      <w:r/>
    </w:p>
    <w:p>
      <w:pPr>
        <w:pStyle w:val="889"/>
        <w:ind w:firstLine="46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89"/>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30、中标通知书</w:t>
      </w:r>
      <w:r/>
    </w:p>
    <w:p>
      <w:pPr>
        <w:pStyle w:val="889"/>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9"/>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9"/>
        <w:jc w:val="both"/>
        <w:keepLines/>
        <w:keepNext/>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513029236"/>
      <w:r/>
      <w:bookmarkStart w:id="154" w:name="_Toc16938552"/>
      <w:r/>
      <w:bookmarkStart w:id="155" w:name="_Toc20823308"/>
      <w:r/>
      <w:bookmarkStart w:id="156" w:name="_Toc120614220"/>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53"/>
      <w:r/>
      <w:bookmarkEnd w:id="154"/>
      <w:r/>
      <w:bookmarkEnd w:id="155"/>
      <w:r/>
      <w:bookmarkEnd w:id="156"/>
      <w:r/>
      <w:r/>
    </w:p>
    <w:p>
      <w:pPr>
        <w:pStyle w:val="889"/>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57" w:name="_Toc513029237"/>
      <w:r/>
      <w:bookmarkStart w:id="158" w:name="_Toc16938553"/>
      <w:r/>
      <w:bookmarkStart w:id="159" w:name="_Toc20823309"/>
      <w:r>
        <w:rPr>
          <w:rFonts w:hint="eastAsia" w:ascii="宋体" w:hAnsi="宋体" w:eastAsia="宋体" w:cs="宋体"/>
          <w:color w:val="000000" w:themeColor="text1"/>
          <w:sz w:val="24"/>
          <w:szCs w:val="24"/>
          <w:highlight w:val="none"/>
          <w14:textFill>
            <w14:solidFill>
              <w14:schemeClr w14:val="tx1"/>
            </w14:solidFill>
          </w14:textFill>
        </w:rPr>
        <w:t xml:space="preserve">31. 签订合同</w:t>
      </w:r>
      <w:bookmarkEnd w:id="157"/>
      <w:r/>
      <w:bookmarkEnd w:id="158"/>
      <w:r/>
      <w:bookmarkEnd w:id="159"/>
      <w:r/>
      <w:r/>
    </w:p>
    <w:p>
      <w:pPr>
        <w:pStyle w:val="889"/>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31.l中标人应当在中标通知书发出之日起三十日内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（原则上应在15日签订采购合同）</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，按照招标文件确定的事项与采购人签订政府采购合同。合同签订之日起2个工作日内公告采购合同。</w:t>
      </w:r>
      <w:r/>
    </w:p>
    <w:p>
      <w:pPr>
        <w:pStyle w:val="889"/>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pStyle w:val="889"/>
        <w:ind w:firstLine="600"/>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购人损失的，中标人应承担相应赔偿责任。</w:t>
      </w:r>
      <w:r/>
    </w:p>
    <w:p>
      <w:pPr>
        <w:pStyle w:val="889"/>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32、货物（包含与货物相关的服务）的追加</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9"/>
        <w:numPr>
          <w:ilvl w:val="0"/>
          <w:numId w:val="0"/>
        </w:numPr>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33.政府采购政策功能落实</w:t>
      </w:r>
      <w:r/>
    </w:p>
    <w:p>
      <w:pPr>
        <w:pStyle w:val="889"/>
        <w:ind w:firstLine="48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33.2进口产品</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33.3中小企业、监狱企业及残疾人福利性单位</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.3.1中小企业定义：</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889"/>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33.4政府采购节能产品、环境标志产品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33.5绿色包装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33.6政府采购创新产品</w:t>
      </w:r>
      <w:r/>
    </w:p>
    <w:p>
      <w:pPr>
        <w:ind w:left="0" w:right="0" w:firstLine="478"/>
        <w:jc w:val="both"/>
        <w:spacing w:before="0" w:after="0"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33.7绿色数据中心政策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33.8实施本国产品标准及相关政策</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33.9履约保证金政策</w:t>
      </w:r>
      <w:r/>
    </w:p>
    <w:p>
      <w:pPr>
        <w:pStyle w:val="902"/>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履约保证金的退还：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方式：现金无息退还至投标人缴纳履约保证金的账户。如为保函，在到期时自行失效。</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时间：验收合格且采购人收到发票后30日内。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条件：按合同要求全部履约完成并经采购人验收合格，且采购人收到中标人出具的发票。</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不予退还情形：</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除不可抗力情况外，投标人出现下列情形之一的，其履约保证金，招标人将视情节决定不予退还或部分不予退还。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（2）中标人不履行与采购人订立的合同的；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（3）中标人所供货物或服务不符合招标文件规定要求的；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（4）中标人采取欺骗、弄虚作假方式投标的或与其它投标人串通投标的；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（5）中标人将合同内容转包、违法分包的；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（6）中标人故意捏造事实或伪造证明材料，进行虚假恶意投诉或反映的。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、采购项目需满足的政府采购政策目标和具体支持对象</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4强制采购节能产品、信息安全产品，优先采购环境标志产品。依据《财政部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.6政府采购落实“政采贷”政策，依据《关于深入推进政府采购线上合同信用融资工作的通知》（苏财购﹝2021﹞82号）。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.8政府采购落实（苏财购﹝2022﹞51号）。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.9政府采购落实《关于进一步优化政府采购营商环境的通知》（射财库﹝2023﹞23号）。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.10政府采购落实《江苏省财政厅关于加强政府绿色采购有关事项的通知》 （苏财购﹝2023﹞65号）。</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.11政府采购落实财政部办公厅住房和城乡建设部办公厅工业和信息化部办公厅《关于印发&lt;政府采购支技绿色建材促进建筑品质提升政策项目实施指南&gt;的通知》（财库办﹝2023﹞52号）。</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34.12根据射财库【2021】17号文件要求采购人应当在政府采购活动中应用第三方信用报告，通过“信易购”应用场景，促进市场主体诚信经营。从2022年开始所有政府采购项目纳入信易购管理。</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34.13根据射财库【2021】20号文件要求，代理机构积极配合做好政府采购线上合同信用融资工作。</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、踏勘</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.2采购人在踏勘现场中介绍的项目情况，供应商在编制响应文件时参考，采购人不对供应商据此作出的判断和决策负责。</w:t>
      </w:r>
      <w:r/>
    </w:p>
    <w:p>
      <w:pPr>
        <w:ind w:left="0" w:right="0" w:firstLine="480"/>
        <w:jc w:val="both"/>
        <w:spacing w:before="0" w:after="0" w:line="439"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.3供应商承担踏勘现场所发生的自身费用。</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36. 预付款制度</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%。在签订合同时，中标、成交供应商明确书面表示无需预付款或者主动要求降低预付款比例的，采购人可就预付款比例作相应调整。</w:t>
      </w:r>
      <w:r/>
    </w:p>
    <w:p>
      <w:pPr>
        <w:pStyle w:val="902"/>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rFonts w:ascii="宋体" w:hAnsi="宋体" w:cs="宋体"/>
          <w:b/>
          <w:color w:val="000000" w:themeColor="text1"/>
          <w:sz w:val="48"/>
          <w:szCs w:val="44"/>
          <w:highlight w:val="none"/>
          <w14:textFill>
            <w14:solidFill>
              <w14:schemeClr w14:val="tx1"/>
            </w14:solidFill>
          </w14:textFill>
        </w:rPr>
      </w:pPr>
      <w:r/>
      <w:bookmarkStart w:id="160" w:name="_Toc479757211"/>
      <w:r/>
      <w:bookmarkStart w:id="161" w:name="_Toc20823346"/>
      <w:r/>
      <w:bookmarkStart w:id="162" w:name="_Toc462564139"/>
      <w:r/>
      <w:bookmarkStart w:id="163" w:name="_Toc16938590"/>
      <w:r/>
      <w:bookmarkStart w:id="164" w:name="_Toc120614244"/>
      <w:r/>
      <w:bookmarkStart w:id="165" w:name="_Hlt16619350"/>
      <w:r/>
      <w:bookmarkStart w:id="166" w:name="_Hlt16619369"/>
      <w:r>
        <w:rPr>
          <w:rFonts w:hint="eastAsia" w:ascii="宋体" w:hAnsi="宋体" w:cs="宋体"/>
          <w:b/>
          <w:color w:val="000000" w:themeColor="text1"/>
          <w:sz w:val="48"/>
          <w:szCs w:val="44"/>
          <w:highlight w:val="none"/>
          <w14:textFill>
            <w14:solidFill>
              <w14:schemeClr w14:val="tx1"/>
            </w14:solidFill>
          </w14:textFill>
        </w:rPr>
        <w:t xml:space="preserve">第三</w:t>
      </w:r>
      <w:r>
        <w:rPr>
          <w:rFonts w:hint="eastAsia" w:ascii="宋体" w:hAnsi="宋体" w:cs="宋体"/>
          <w:b/>
          <w:color w:val="000000" w:themeColor="text1"/>
          <w:sz w:val="48"/>
          <w:szCs w:val="44"/>
          <w:highlight w:val="none"/>
          <w:lang w:eastAsia="zh-CN"/>
          <w14:textFill>
            <w14:solidFill>
              <w14:schemeClr w14:val="tx1"/>
            </w14:solidFill>
          </w14:textFill>
        </w:rPr>
        <w:t xml:space="preserve">章</w:t>
      </w:r>
      <w:r>
        <w:rPr>
          <w:rFonts w:hint="eastAsia" w:ascii="宋体" w:hAnsi="宋体" w:cs="宋体"/>
          <w:b/>
          <w:color w:val="000000" w:themeColor="text1"/>
          <w:sz w:val="48"/>
          <w:szCs w:val="44"/>
          <w:highlight w:val="none"/>
          <w14:textFill>
            <w14:solidFill>
              <w14:schemeClr w14:val="tx1"/>
            </w14:solidFill>
          </w14:textFill>
        </w:rPr>
        <w:t xml:space="preserve">  合同条款</w:t>
      </w:r>
      <w:r/>
    </w:p>
    <w:p>
      <w:pPr>
        <w:rPr>
          <w:rFonts w:ascii="宋体" w:hAnsi="宋体" w:cs="宋体"/>
          <w:color w:val="000000" w:themeColor="text1"/>
          <w:highlight w:val="none"/>
          <w14:textFill>
            <w14:solidFill>
              <w14:schemeClr w14:val="tx1"/>
            </w14:solidFill>
          </w14:textFill>
        </w:rPr>
      </w:pPr>
      <w:r/>
      <w:bookmarkStart w:id="167" w:name="EB6d2006462e294de090c16e672cecc3bd"/>
      <w:r/>
      <w:bookmarkEnd w:id="167"/>
      <w:r/>
      <w:r/>
    </w:p>
    <w:p>
      <w:pPr>
        <w:jc w:val="center"/>
        <w:rPr>
          <w:rFonts w:ascii="宋体" w:hAnsi="宋体" w:cs="宋体"/>
          <w:b/>
          <w:bCs/>
          <w:color w:val="000000" w:themeColor="text1"/>
          <w:spacing w:val="-20"/>
          <w:sz w:val="48"/>
          <w:szCs w:val="48"/>
          <w:highlight w:val="none"/>
          <w14:textFill>
            <w14:solidFill>
              <w14:schemeClr w14:val="tx1"/>
            </w14:solidFill>
          </w14:textFill>
        </w:rPr>
      </w:pPr>
      <w:r/>
      <w:bookmarkStart w:id="168" w:name="_Toc3995"/>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bookmarkEnd w:id="168"/>
      <w:r/>
      <w:r/>
    </w:p>
    <w:p>
      <w:pPr>
        <w:jc w:val="cente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jc w:val="center"/>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政府采购货物买卖合同</w:t>
      </w:r>
      <w:r/>
    </w:p>
    <w:p>
      <w:pPr>
        <w:jc w:val="cente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项目名称：</w:t>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甲    方：</w:t>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乙    方：</w:t>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签订时间：</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r>
      <w:r/>
    </w:p>
    <w:p>
      <w:pPr>
        <w:jc w:val="center"/>
        <w:rPr>
          <w:rFonts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使用说明</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jc w:val="center"/>
        <w:keepLines/>
        <w:keepNext/>
        <w:spacing w:line="400" w:lineRule="exact"/>
        <w:rPr>
          <w:rFonts w:ascii="黑体" w:hAnsi="黑体" w:eastAsia="黑体"/>
          <w:b/>
          <w:bCs/>
          <w:color w:val="000000" w:themeColor="text1"/>
          <w:sz w:val="28"/>
          <w:szCs w:val="28"/>
          <w:highlight w:val="none"/>
          <w14:textFill>
            <w14:solidFill>
              <w14:schemeClr w14:val="tx1"/>
            </w14:solidFill>
          </w14:textFill>
        </w:rPr>
        <w:outlineLvl w:val="1"/>
      </w:pPr>
      <w:r/>
      <w:bookmarkStart w:id="169" w:name="_Toc22209"/>
      <w:r/>
      <w:r/>
    </w:p>
    <w:p>
      <w:pPr>
        <w:jc w:val="center"/>
        <w:keepLines/>
        <w:keepNext/>
        <w:spacing w:line="400" w:lineRule="exact"/>
        <w:rPr>
          <w:rFonts w:ascii="黑体" w:hAnsi="华文中宋" w:eastAsia="黑体"/>
          <w:color w:val="000000" w:themeColor="text1"/>
          <w:sz w:val="28"/>
          <w:szCs w:val="28"/>
          <w:highlight w:val="none"/>
          <w14:textFill>
            <w14:solidFill>
              <w14:schemeClr w14:val="tx1"/>
            </w14:solidFill>
          </w14:textFill>
        </w:rPr>
        <w:outlineLvl w:val="1"/>
      </w:pPr>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69"/>
      <w:r/>
      <w:r/>
    </w:p>
    <w:p>
      <w:pPr>
        <w:jc w:val="center"/>
        <w:keepLines/>
        <w:keepNext/>
        <w:spacing w:line="360" w:lineRule="auto"/>
        <w:rPr>
          <w:rFonts w:ascii="黑体" w:hAnsi="华文中宋" w:eastAsia="黑体"/>
          <w:color w:val="000000" w:themeColor="text1"/>
          <w:sz w:val="28"/>
          <w:szCs w:val="28"/>
          <w:highlight w:val="none"/>
          <w14:textFill>
            <w14:solidFill>
              <w14:schemeClr w14:val="tx1"/>
            </w14:solidFill>
          </w14:textFill>
        </w:rPr>
        <w:outlineLvl w:val="1"/>
      </w:pPr>
      <w:r>
        <w:rPr>
          <w:rFonts w:ascii="黑体" w:hAnsi="华文中宋" w:eastAsia="黑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甲方（全称）：</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乙方（全称）：</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依据《中华人民共和国民法典</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项目信息</w:t>
      </w:r>
      <w:r/>
    </w:p>
    <w:p>
      <w:pPr>
        <w:numPr>
          <w:ilvl w:val="0"/>
          <w:numId w:val="2"/>
        </w:num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采购项目名称：</w:t>
      </w:r>
      <w:r/>
    </w:p>
    <w:p>
      <w:pPr>
        <w:numPr>
          <w:ilvl w:val="0"/>
          <w:numId w:val="0"/>
        </w:numPr>
        <w:spacing w:line="360" w:lineRule="auto"/>
        <w:tabs>
          <w:tab w:val="left" w:pos="999"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采购项目编号：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（3）项目内容：</w:t>
      </w:r>
      <w:r/>
    </w:p>
    <w:tbl>
      <w:tblPr>
        <w:tblStyle w:val="88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417"/>
        <w:gridCol w:w="1420"/>
        <w:gridCol w:w="1420"/>
        <w:gridCol w:w="1425"/>
        <w:gridCol w:w="1420"/>
      </w:tblGrid>
      <w:tr>
        <w:trPr>
          <w:jc w:val="center"/>
          <w:trHeight w:val="0"/>
          <w:tblHeader/>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合价</w:t>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888"/>
              <w:ind w:left="0" w:right="0" w:firstLine="0"/>
              <w:keepLines w:val="0"/>
              <w:keepNext w:val="0"/>
              <w:pageBreakBefore w:val="0"/>
              <w:spacing w:line="240" w:lineRule="auto"/>
              <w:widowControl w:val="off"/>
              <w:tabs>
                <w:tab w:val="clear" w:pos="4153" w:leader="none"/>
                <w:tab w:val="clear" w:pos="8306" w:leader="none"/>
              </w:tabs>
              <w:rPr>
                <w:rFonts w:hint="eastAsia" w:ascii="宋体" w:hAnsi="宋体" w:eastAsia="宋体" w:cs="宋体"/>
                <w:color w:val="000000" w:themeColor="text1"/>
                <w:sz w:val="21"/>
                <w:highlight w:val="none"/>
                <w14:textFill>
                  <w14:solidFill>
                    <w14:schemeClr w14:val="tx1"/>
                  </w14:solidFill>
                </w14:textFill>
              </w:rPr>
              <w:pBdr>
                <w:bottom w:val="none" w:color="auto" w:sz="0" w:space="0"/>
              </w:pBdr>
            </w:pPr>
            <w:r>
              <w:rPr>
                <w:rFonts w:hint="eastAsia" w:ascii="宋体" w:hAnsi="宋体" w:eastAsia="宋体" w:cs="宋体"/>
                <w:color w:val="000000" w:themeColor="text1"/>
                <w:sz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888"/>
              <w:ind w:left="0" w:right="0" w:firstLine="0"/>
              <w:keepLines w:val="0"/>
              <w:keepNext w:val="0"/>
              <w:pageBreakBefore w:val="0"/>
              <w:spacing w:line="240" w:lineRule="auto"/>
              <w:widowControl w:val="off"/>
              <w:tabs>
                <w:tab w:val="clear" w:pos="4153" w:leader="none"/>
                <w:tab w:val="clear" w:pos="8306" w:leader="none"/>
              </w:tabs>
              <w:rPr>
                <w:rFonts w:hint="eastAsia" w:ascii="宋体" w:hAnsi="宋体" w:eastAsia="宋体" w:cs="宋体"/>
                <w:color w:val="000000" w:themeColor="text1"/>
                <w:sz w:val="21"/>
                <w:highlight w:val="none"/>
                <w14:textFill>
                  <w14:solidFill>
                    <w14:schemeClr w14:val="tx1"/>
                  </w14:solidFill>
                </w14:textFill>
              </w:rPr>
              <w:pBdr>
                <w:bottom w:val="none" w:color="auto" w:sz="0" w:space="0"/>
              </w:pBdr>
            </w:pPr>
            <w:r>
              <w:rPr>
                <w:rFonts w:hint="eastAsia" w:ascii="宋体" w:hAnsi="宋体" w:eastAsia="宋体" w:cs="宋体"/>
                <w:color w:val="000000" w:themeColor="text1"/>
                <w:sz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总价（大写）：</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numPr>
          <w:ilvl w:val="0"/>
          <w:numId w:val="0"/>
        </w:num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其他要求：</w:t>
      </w:r>
      <w:r/>
    </w:p>
    <w:p>
      <w:pPr>
        <w:pStyle w:val="885"/>
        <w:ind w:firstLine="5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供应商提供的检测试剂需不少于3种品牌，其中主要品牌检测试剂的供货量占比为80%，副品牌（不少于2种）检测试剂供货量占比为20%。主品牌的检测试剂需包含本项目中的所有试剂类型。</w:t>
      </w:r>
      <w:r/>
    </w:p>
    <w:p>
      <w:pPr>
        <w:pStyle w:val="885"/>
        <w:ind w:firstLine="5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供应商在本项目所提供的快检试剂和耗材质保期不少于1年，自交付验收通过之日起计算。试剂外包装标识所显示的剩余保质有效期限应不少于10个月。提供非人为坏损、失效的退换等服务。</w:t>
      </w:r>
      <w:r/>
    </w:p>
    <w:p>
      <w:pPr>
        <w:rPr>
          <w:rFonts w:hint="eastAsia"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提供7×24小时技术支持和服务，接到问题时，2小时内作出响应，对重大问题提供现场技术支持，6小时内到达指定现场。</w:t>
      </w:r>
      <w:r/>
    </w:p>
    <w:p>
      <w:pPr>
        <w:pStyle w:val="885"/>
        <w:ind w:firstLine="5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快检试剂每条密封包装，外包装上应印有产品名称、品牌、生产厂名、生产日期、有效期等相关标识；需带塑料模板，不能为裸条。</w:t>
      </w:r>
      <w:r/>
    </w:p>
    <w:p>
      <w:pPr>
        <w:pStyle w:val="890"/>
        <w:rPr>
          <w:rFonts w:hint="eastAsia" w:ascii="Calibri" w:hAnsi="Calibri" w:eastAsiaTheme="minorEastAsia" w:cstheme="minorBidi"/>
          <w:color w:val="000000" w:themeColor="text1"/>
          <w:sz w:val="21"/>
          <w:szCs w:val="22"/>
          <w:highlight w:val="none"/>
          <w:lang w:val="en-US" w:eastAsia="zh-CN" w:bidi="ar-SA"/>
          <w14:textFill>
            <w14:solidFill>
              <w14:schemeClr w14:val="tx1"/>
            </w14:solidFill>
          </w14:textFill>
        </w:rPr>
      </w:pPr>
      <w:r>
        <w:rPr>
          <w:rFonts w:hint="eastAsia" w:ascii="Calibri" w:hAnsi="Calibri" w:eastAsiaTheme="minorEastAsia" w:cstheme="minorBidi"/>
          <w:color w:val="000000" w:themeColor="text1"/>
          <w:sz w:val="21"/>
          <w:szCs w:val="22"/>
          <w:highlight w:val="none"/>
          <w:lang w:val="en-US" w:eastAsia="zh-CN" w:bidi="ar-SA"/>
          <w14:textFill>
            <w14:solidFill>
              <w14:schemeClr w14:val="tx1"/>
            </w14:solidFill>
          </w14:textFill>
        </w:rPr>
        <w:t xml:space="preserve">胶体金快检试剂盒配套齐全的前处理试剂，无需额外再购买试剂。</w:t>
      </w:r>
      <w:r/>
    </w:p>
    <w:p>
      <w:pPr>
        <w:pStyle w:val="890"/>
        <w:ind w:firstLine="708"/>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对采购人的检测人员进行业务指导、培训。在服务期间内，免费提供不少于3次的检测人员食品安全和快检专业知识培训。协助采购人处置相关食品安全举报投诉，保障食品安全的快检服务工作正常运行。</w:t>
      </w:r>
      <w:r/>
    </w:p>
    <w:p>
      <w:pPr>
        <w:pStyle w:val="890"/>
        <w:ind w:firstLine="708"/>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在试剂提供过程中配合采购人因快检工作实际需求，进行试剂品种、品牌及数量的相应调整。</w:t>
      </w:r>
      <w:r/>
    </w:p>
    <w:p>
      <w:pPr>
        <w:numPr>
          <w:ilvl w:val="0"/>
          <w:numId w:val="0"/>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）政府采购组织形式：</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政府集中采购</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部门集中采购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分散采购</w:t>
      </w:r>
      <w:r/>
    </w:p>
    <w:p>
      <w:pPr>
        <w:numPr>
          <w:ilvl w:val="0"/>
          <w:numId w:val="0"/>
        </w:num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）政府采购方式：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公开招标</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邀请招标</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竞争性谈判</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竞争性磋商</w:t>
      </w:r>
      <w:r/>
    </w:p>
    <w:p>
      <w:pPr>
        <w:numPr>
          <w:ilvl w:val="0"/>
          <w:numId w:val="0"/>
        </w:numPr>
        <w:ind w:firstLine="420"/>
        <w:jc w:val="left"/>
        <w:spacing w:line="360" w:lineRule="auto"/>
        <w:widowControl/>
        <w:rPr>
          <w:rFonts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询价</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单一来源</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框架协议</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w:t>
      </w:r>
      <w:r/>
    </w:p>
    <w:p>
      <w:pPr>
        <w:numPr>
          <w:ilvl w:val="0"/>
          <w:numId w:val="0"/>
        </w:numPr>
        <w:ind w:firstLine="24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eastAsia="华文楷体" w:cs="华文楷体"/>
          <w:color w:val="000000" w:themeColor="text1"/>
          <w:sz w:val="24"/>
          <w:highlight w:val="none"/>
          <w14:textFill>
            <w14:solidFill>
              <w14:schemeClr w14:val="tx1"/>
            </w14:solidFill>
          </w14:textFill>
        </w:rPr>
        <w:t xml:space="preserve"> （</w:t>
      </w:r>
      <w:r>
        <w:rPr>
          <w:rFonts w:ascii="宋体" w:hAnsi="宋体" w:eastAsia="华文楷体" w:cs="华文楷体"/>
          <w:color w:val="000000" w:themeColor="text1"/>
          <w:sz w:val="24"/>
          <w:highlight w:val="none"/>
          <w14:textFill>
            <w14:solidFill>
              <w14:schemeClr w14:val="tx1"/>
            </w14:solidFill>
          </w14:textFill>
        </w:rPr>
        <w:t xml:space="preserve">6</w:t>
      </w:r>
      <w:r>
        <w:rPr>
          <w:rFonts w:hint="eastAsia" w:ascii="宋体" w:hAnsi="宋体" w:eastAsia="华文楷体" w:cs="华文楷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þ</w:t>
      </w:r>
      <w:r>
        <w:rPr>
          <w:rFonts w:hint="eastAsia" w:ascii="宋体" w:hAnsi="宋体"/>
          <w:iCs/>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 w:val="24"/>
          <w:highlight w:val="none"/>
          <w14:textFill>
            <w14:solidFill>
              <w14:schemeClr w14:val="tx1"/>
            </w14:solidFill>
          </w14:textFill>
        </w:rPr>
        <w:t xml:space="preserve">þ</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否</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）合同是否分包：</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þ</w:t>
      </w:r>
      <w:r>
        <w:rPr>
          <w:rFonts w:hint="eastAsia" w:ascii="宋体" w:hAnsi="宋体"/>
          <w:iCs/>
          <w:color w:val="000000" w:themeColor="text1"/>
          <w:sz w:val="24"/>
          <w:highlight w:val="none"/>
          <w14:textFill>
            <w14:solidFill>
              <w14:schemeClr w14:val="tx1"/>
            </w14:solidFill>
          </w14:textFill>
        </w:rPr>
        <w:t xml:space="preserve">否</w:t>
      </w:r>
      <w:r/>
    </w:p>
    <w:p>
      <w:pPr>
        <w:numPr>
          <w:ilvl w:val="0"/>
          <w:numId w:val="0"/>
        </w:numPr>
        <w:ind w:firstLine="480"/>
        <w:spacing w:line="360" w:lineRule="auto"/>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numPr>
          <w:ilvl w:val="0"/>
          <w:numId w:val="0"/>
        </w:num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）是否涉及进口产品：</w:t>
      </w:r>
      <w:r/>
    </w:p>
    <w:p>
      <w:pPr>
        <w:numPr>
          <w:ilvl w:val="0"/>
          <w:numId w:val="0"/>
        </w:numPr>
        <w:ind w:firstLine="960"/>
        <w:spacing w:line="360" w:lineRule="auto"/>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）是否涉及节能产品：</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是否涉及环境标志产品：</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ind w:firstLine="84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是否涉及绿色产品：</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快递包装政府采购需求标准（试行）》明确产品及相关快递服务的具体包装要求：</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合同金额</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（1）合同金额小写：</w:t>
      </w:r>
      <w:r/>
    </w:p>
    <w:p>
      <w:pPr>
        <w:ind w:firstLine="60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大写：</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（2）付款方式（按项目实际勾选填写，具体详见专用条款第二节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第12.2款）：</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630"/>
        <w:spacing w:line="400" w:lineRule="exact"/>
        <w:rPr>
          <w:rFonts w:hint="eastAsia"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þ</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合同签订时，经采购人与中标人根据实际情况协商一致，可支付合同总价的30%作为项目启动预付款；签订合同后，供货完成，验收合格后，支付合同金额90%，质保期满180天，支付剩余合同金额10%。中标方提供</w:t>
      </w:r>
      <w:r>
        <w:rPr>
          <w:rFonts w:hint="eastAsia" w:ascii="宋体" w:hAnsi="宋体"/>
          <w:color w:val="000000" w:themeColor="text1"/>
          <w:szCs w:val="21"/>
          <w:highlight w:val="none"/>
          <w:u w:val="single"/>
          <w:lang w:eastAsia="zh-CN"/>
          <w14:textFill>
            <w14:solidFill>
              <w14:schemeClr w14:val="tx1"/>
            </w14:solidFill>
          </w14:textFill>
        </w:rPr>
        <w:t xml:space="preserve">甲方认可的</w:t>
      </w:r>
      <w:r>
        <w:rPr>
          <w:rFonts w:hint="eastAsia" w:ascii="宋体" w:hAnsi="宋体"/>
          <w:color w:val="000000" w:themeColor="text1"/>
          <w:szCs w:val="21"/>
          <w:highlight w:val="none"/>
          <w:u w:val="single"/>
          <w14:textFill>
            <w14:solidFill>
              <w14:schemeClr w14:val="tx1"/>
            </w14:solidFill>
          </w14:textFill>
        </w:rPr>
        <w:t xml:space="preserve">发票。以上付款均不计任何利息和相关费用，付款一律通过银行结转。相关付款手续由用户单位由财政部门报批后办理。</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在签订合同时，中标人明确表示无需预付款或者主动要求降低预付款比例的金额，招标人可不适用预付款规定,但中标人需提供书面声明，采购人可就预付款比例作相应调整。</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630"/>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1"/>
        </w:num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合同履行</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（1）起始日期：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（2）履约地点</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履约担保：是否收取履约保证金：</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收取履约保证金形式：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收取履约保证金金额：</w:t>
      </w:r>
      <w:r>
        <w:rPr>
          <w:rFonts w:hint="eastAsia" w:ascii="宋体" w:hAnsi="宋体" w:cs="宋体"/>
          <w:bCs/>
          <w:color w:val="000000" w:themeColor="text1"/>
          <w:sz w:val="24"/>
          <w:highlight w:val="none"/>
          <w:u w:val="single"/>
          <w14:textFill>
            <w14:solidFill>
              <w14:schemeClr w14:val="tx1"/>
            </w14:solidFill>
          </w14:textFill>
        </w:rPr>
        <w:t xml:space="preserve">  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履约担保期限： </w:t>
      </w:r>
      <w:r>
        <w:rPr>
          <w:rFonts w:hint="eastAsia" w:ascii="宋体" w:hAnsi="宋体" w:cs="宋体"/>
          <w:bCs/>
          <w:color w:val="000000" w:themeColor="text1"/>
          <w:sz w:val="24"/>
          <w:highlight w:val="none"/>
          <w:u w:val="single"/>
          <w14:textFill>
            <w14:solidFill>
              <w14:schemeClr w14:val="tx1"/>
            </w14:solidFill>
          </w14:textFill>
        </w:rPr>
        <w:t xml:space="preserve"> 项目服务期结束并通过最终验收。                                   </w:t>
      </w:r>
      <w:r/>
    </w:p>
    <w:p>
      <w:pPr>
        <w:numPr>
          <w:ilvl w:val="0"/>
          <w:numId w:val="3"/>
        </w:num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确需收取履约保证金的，履约保证金的缴纳形式：</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numPr>
          <w:ilvl w:val="0"/>
          <w:numId w:val="3"/>
        </w:numPr>
        <w:ind w:left="0" w:firstLine="480"/>
        <w:spacing w:line="360" w:lineRule="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分期履行要求：</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numPr>
          <w:ilvl w:val="0"/>
          <w:numId w:val="0"/>
        </w:numPr>
        <w:ind w:left="480"/>
        <w:spacing w:line="360" w:lineRule="auto"/>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（6）风险处置措施和替代方案：</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合同验收</w:t>
      </w:r>
      <w:r/>
    </w:p>
    <w:p>
      <w:pPr>
        <w:numPr>
          <w:ilvl w:val="0"/>
          <w:numId w:val="4"/>
        </w:num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验收组织方式：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自行组织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委托第三方组织</w:t>
      </w:r>
      <w:r/>
    </w:p>
    <w:p>
      <w:pPr>
        <w:ind w:firstLine="9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验收主体：</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是否邀请本项目的其他供应商参加验收：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是，抽查比例：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w:t>
      </w:r>
      <w:r>
        <w:rPr>
          <w:rFonts w:hint="eastAsia" w:ascii="宋体" w:hAnsi="宋体"/>
          <w:bCs/>
          <w:color w:val="000000" w:themeColor="text1"/>
          <w:sz w:val="24"/>
          <w:highlight w:val="none"/>
          <w:u w:val="single"/>
          <w14:textFill>
            <w14:solidFill>
              <w14:schemeClr w14:val="tx1"/>
            </w14:solidFill>
          </w14:textFill>
        </w:rPr>
        <w:t xml:space="preserve">（应明确对被破坏的检测产品的处理方式）</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验收组织的其他事项：</w:t>
      </w:r>
      <w:r/>
    </w:p>
    <w:p>
      <w:pPr>
        <w:numPr>
          <w:ilvl w:val="0"/>
          <w:numId w:val="4"/>
        </w:numPr>
        <w:ind w:left="0" w:firstLine="48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履约验收时间：</w:t>
      </w:r>
      <w:r>
        <w:rPr>
          <w:rFonts w:hint="eastAsia" w:ascii="宋体" w:hAnsi="宋体"/>
          <w:bCs/>
          <w:color w:val="000000" w:themeColor="text1"/>
          <w:sz w:val="24"/>
          <w:highlight w:val="none"/>
          <w:u w:val="single"/>
          <w14:textFill>
            <w14:solidFill>
              <w14:schemeClr w14:val="tx1"/>
            </w14:solidFill>
          </w14:textFill>
        </w:rPr>
        <w:t xml:space="preserve">供应商提出验收申请之日起</w:t>
      </w:r>
      <w:r>
        <w:rPr>
          <w:rFonts w:hint="eastAsia" w:ascii="宋体" w:hAnsi="宋体"/>
          <w:bCs/>
          <w:color w:val="000000" w:themeColor="text1"/>
          <w:sz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highlight w:val="none"/>
          <w:u w:val="single"/>
          <w14:textFill>
            <w14:solidFill>
              <w14:schemeClr w14:val="tx1"/>
            </w14:solidFill>
          </w14:textFill>
        </w:rPr>
        <w:t xml:space="preserve">日内组织验收</w:t>
      </w:r>
      <w:r/>
    </w:p>
    <w:p>
      <w:pPr>
        <w:numPr>
          <w:ilvl w:val="0"/>
          <w:numId w:val="0"/>
        </w:numPr>
        <w:ind w:left="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（3）履约验收方式：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一次性验收         </w:t>
      </w:r>
      <w:r/>
    </w:p>
    <w:p>
      <w:pPr>
        <w:ind w:firstLine="720"/>
        <w:spacing w:line="360" w:lineRule="auto"/>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分期/分项验收：</w:t>
      </w:r>
      <w:r>
        <w:rPr>
          <w:rFonts w:hint="eastAsia" w:ascii="宋体" w:hAnsi="宋体"/>
          <w:bCs/>
          <w:color w:val="000000" w:themeColor="text1"/>
          <w:sz w:val="24"/>
          <w:highlight w:val="none"/>
          <w:u w:val="single"/>
          <w14:textFill>
            <w14:solidFill>
              <w14:schemeClr w14:val="tx1"/>
            </w14:solidFill>
          </w14:textFill>
        </w:rPr>
        <w:t xml:space="preserve">（应明确分期/分项验收的工作安排）</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履约验收程序：开箱验收：依照招标文件要求对合同标的的型号、规格、数量、外型、外观、包装及资料、文件（如装箱单、保修单、随箱介质等）进行验收。甲乙双方共同进行开箱检查，出现损坏、数量不全或合同标的不对等问题时，由乙方负责解决。</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验收：快检试剂送达后，采购方对其数量、品种、规格等进行检查验收，如不合格应无条件退货或换货，需提供检测试剂生产厂家及投标人的承诺书。</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提供的试剂性能及质量有国家标准的应符合国家标准。无国家标准的应符合行业标准或企业标准，并满足采购文件要求，实现响应文件承诺条款。</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对检测项目及主要检测品种进行预检，如达不到采购文件中的要求则必须整改，直到整改通过。</w:t>
      </w:r>
      <w:r/>
    </w:p>
    <w:p>
      <w:pPr>
        <w:ind w:firstLine="1024"/>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履约验收的内容：</w:t>
      </w:r>
      <w:r>
        <w:rPr>
          <w:rFonts w:hint="eastAsia" w:ascii="宋体" w:hAnsi="宋体"/>
          <w:bCs/>
          <w:color w:val="000000" w:themeColor="text1"/>
          <w:sz w:val="24"/>
          <w:highlight w:val="none"/>
          <w:u w:val="single"/>
          <w14:textFill>
            <w14:solidFill>
              <w14:schemeClr w14:val="tx1"/>
            </w14:solidFill>
          </w14:textFill>
        </w:rPr>
        <w:t xml:space="preserve">应当包括每一项技术和商务要求的履约情况</w:t>
      </w:r>
      <w:r>
        <w:rPr>
          <w:rFonts w:hint="eastAsia" w:ascii="宋体" w:hAnsi="宋体"/>
          <w:bCs/>
          <w:color w:val="000000" w:themeColor="text1"/>
          <w:sz w:val="24"/>
          <w:highlight w:val="none"/>
          <w:u w:val="single"/>
          <w:lang w:eastAsia="zh-CN"/>
          <w14:textFill>
            <w14:solidFill>
              <w14:schemeClr w14:val="tx1"/>
            </w14:solidFill>
          </w14:textFill>
        </w:rPr>
        <w:t xml:space="preserve">。</w:t>
      </w:r>
      <w:r/>
    </w:p>
    <w:p>
      <w:pPr>
        <w:numPr>
          <w:ilvl w:val="0"/>
          <w:numId w:val="0"/>
        </w:numPr>
        <w:ind w:left="48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（6）履约验收标准：</w:t>
      </w:r>
      <w:r>
        <w:rPr>
          <w:rFonts w:hint="eastAsia" w:ascii="宋体" w:hAnsi="宋体"/>
          <w:bCs/>
          <w:color w:val="000000" w:themeColor="text1"/>
          <w:sz w:val="24"/>
          <w:highlight w:val="none"/>
          <w:u w:val="single"/>
          <w14:textFill>
            <w14:solidFill>
              <w14:schemeClr w14:val="tx1"/>
            </w14:solidFill>
          </w14:textFill>
        </w:rPr>
        <w:t xml:space="preserve">招标文件技术要求、商务要求；乙方投标文件中的技术响应、商务响应及服务承诺；《第二节 政府采购合同通用条款》8.2款。</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default"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（8）履约验收其他事项：</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        </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组成合同的文件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本协议书与下列文件一起构成合同文件，如下述文件之间有任何抵触、矛盾或歧义，应按以下顺序解释：</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（1）政府采购合同协议书及其变更、补充协议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（2）政府采购合同专用条款</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（3）政府采购合同通用条款</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（4）中标（成交）通知书</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（5）投标（响应）文件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（6）采购文件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（7）有关技术文件，图纸</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（8）国家法律、行政法规和规章制度规定或合同约定的作为合同组成部分的其他文件</w:t>
      </w:r>
      <w:r/>
    </w:p>
    <w:p>
      <w:pPr>
        <w:ind w:left="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合同生效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本合同自</w:t>
      </w:r>
      <w:r>
        <w:rPr>
          <w:rFonts w:hint="eastAsia" w:ascii="宋体" w:hAnsi="宋体"/>
          <w:color w:val="000000" w:themeColor="text1"/>
          <w:sz w:val="24"/>
          <w:highlight w:val="none"/>
          <w:lang w:eastAsia="zh-CN"/>
          <w14:textFill>
            <w14:solidFill>
              <w14:schemeClr w14:val="tx1"/>
            </w14:solidFill>
          </w14:textFill>
        </w:rPr>
        <w:t xml:space="preserve">双方盖章后</w:t>
      </w:r>
      <w:r>
        <w:rPr>
          <w:rFonts w:hint="eastAsia" w:ascii="宋体" w:hAnsi="宋体"/>
          <w:color w:val="000000" w:themeColor="text1"/>
          <w:sz w:val="24"/>
          <w:highlight w:val="none"/>
          <w14:textFill>
            <w14:solidFill>
              <w14:schemeClr w14:val="tx1"/>
            </w14:solidFill>
          </w14:textFill>
        </w:rPr>
        <w:t xml:space="preserve">生效。</w:t>
      </w:r>
      <w:r/>
    </w:p>
    <w:p>
      <w:pPr>
        <w:ind w:left="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7.合同份数</w:t>
      </w:r>
      <w:r/>
    </w:p>
    <w:p>
      <w:pPr>
        <w:ind w:firstLine="4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本合同一式</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份，甲方执</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份，乙方执</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合同订立时间：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合同订立地点：</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80"/>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83"/>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83"/>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83"/>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83"/>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85"/>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90"/>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890"/>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bl>
      <w:tblPr>
        <w:tblStyle w:val="88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甲方</w:t>
            </w:r>
            <w:r>
              <w:rPr>
                <w:rFonts w:hint="eastAsia"/>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、受采购人委托签订合同的单位或</w:t>
            </w:r>
            <w:r>
              <w:rPr>
                <w:rFonts w:hint="eastAsia"/>
                <w:color w:val="000000" w:themeColor="text1"/>
                <w:sz w:val="24"/>
                <w:highlight w:val="none"/>
                <w14:textFill>
                  <w14:solidFill>
                    <w14:schemeClr w14:val="tx1"/>
                  </w14:solidFill>
                </w14:textFill>
              </w:rPr>
              <w:t xml:space="preserve">采购文件约定的合同甲方）</w:t>
            </w:r>
            <w:r/>
          </w:p>
        </w:tc>
        <w:tc>
          <w:tcPr>
            <w:gridSpan w:val="2"/>
            <w:tcW w:w="4100"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w:t>
            </w:r>
            <w:r>
              <w:rPr>
                <w:rFonts w:hint="eastAsia"/>
                <w:color w:val="000000" w:themeColor="text1"/>
                <w:sz w:val="24"/>
                <w:highlight w:val="none"/>
                <w14:textFill>
                  <w14:solidFill>
                    <w14:schemeClr w14:val="tx1"/>
                  </w14:solidFill>
                </w14:textFill>
              </w:rPr>
              <w:t xml:space="preserve">（供应商）</w:t>
            </w:r>
            <w:r/>
          </w:p>
        </w:tc>
      </w:tr>
      <w:tr>
        <w:trPr>
          <w:trHeight w:val="917"/>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（公章或合同章）</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（公章或合同章）</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cantSplit/>
          <w:trHeight w:val="1171"/>
        </w:trPr>
        <w:tc>
          <w:tcPr>
            <w:tcW w:w="1941" w:type="dxa"/>
            <w:vAlign w:val="center"/>
            <w:vMerge w:val="restart"/>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w:t>
            </w:r>
            <w:r/>
          </w:p>
          <w:p>
            <w:pPr>
              <w:ind w:firstLine="115"/>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或其</w:t>
            </w:r>
            <w:r>
              <w:rPr>
                <w:color w:val="000000" w:themeColor="text1"/>
                <w:sz w:val="24"/>
                <w:highlight w:val="none"/>
                <w14:textFill>
                  <w14:solidFill>
                    <w14:schemeClr w14:val="tx1"/>
                  </w14:solidFill>
                </w14:textFill>
              </w:rPr>
              <w:t xml:space="preserve">委托代理人</w:t>
            </w:r>
            <w:r>
              <w:rPr>
                <w:rFonts w:hint="eastAsia"/>
                <w:color w:val="000000" w:themeColor="text1"/>
                <w:sz w:val="24"/>
                <w:highlight w:val="none"/>
                <w14:textFill>
                  <w14:solidFill>
                    <w14:schemeClr w14:val="tx1"/>
                  </w14:solidFill>
                </w14:textFill>
              </w:rPr>
              <w:t xml:space="preserve">（签章）</w:t>
            </w:r>
            <w:r/>
          </w:p>
        </w:tc>
        <w:tc>
          <w:tcPr>
            <w:tcW w:w="2357" w:type="dxa"/>
            <w:vAlign w:val="center"/>
            <w:vMerge w:val="restart"/>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w:t>
            </w:r>
            <w:r/>
          </w:p>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或其</w:t>
            </w:r>
            <w:r>
              <w:rPr>
                <w:color w:val="000000" w:themeColor="text1"/>
                <w:sz w:val="24"/>
                <w:highlight w:val="none"/>
                <w14:textFill>
                  <w14:solidFill>
                    <w14:schemeClr w14:val="tx1"/>
                  </w14:solidFill>
                </w14:textFill>
              </w:rPr>
              <w:t xml:space="preserve">委托代理人</w:t>
            </w:r>
            <w:r>
              <w:rPr>
                <w:rFonts w:hint="eastAsia"/>
                <w:color w:val="000000" w:themeColor="text1"/>
                <w:sz w:val="24"/>
                <w:highlight w:val="none"/>
                <w14:textFill>
                  <w14:solidFill>
                    <w14:schemeClr w14:val="tx1"/>
                  </w14:solidFill>
                </w14:textFill>
              </w:rPr>
              <w:t xml:space="preserve">（签章）</w:t>
            </w:r>
            <w:r/>
          </w:p>
        </w:tc>
        <w:tc>
          <w:tcPr>
            <w:tcW w:w="207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83"/>
        </w:trPr>
        <w:tc>
          <w:tcPr>
            <w:tcW w:w="1941" w:type="dxa"/>
            <w:vAlign w:val="center"/>
            <w:vMerge w:val="continue"/>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vMerge w:val="continue"/>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拥有者性别</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住所</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住所</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 系 人</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 系 人</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通信地址</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通信地址</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邮政编码</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邮政编码</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电子邮箱</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电子邮箱</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统一社会信用代码</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统一社会信用代码</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开户名称</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开户银行</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银行账号</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bl>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bookmarkStart w:id="170" w:name="_Toc27624"/>
      <w:r/>
      <w:bookmarkStart w:id="171" w:name="_Toc20313"/>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sz w:val="28"/>
          <w:szCs w:val="28"/>
          <w:highlight w:val="none"/>
          <w14:textFill>
            <w14:solidFill>
              <w14:schemeClr w14:val="tx1"/>
            </w14:solidFill>
          </w14:textFill>
        </w:rPr>
      </w:r>
      <w:r>
        <w:rPr>
          <w:rFonts w:hint="eastAsia" w:ascii="黑体" w:hAnsi="黑体" w:eastAsia="黑体"/>
          <w:b w:val="0"/>
          <w:bCs w:val="0"/>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sz w:val="28"/>
          <w:szCs w:val="28"/>
          <w:highlight w:val="none"/>
          <w14:textFill>
            <w14:solidFill>
              <w14:schemeClr w14:val="tx1"/>
            </w14:solidFill>
          </w14:textFill>
        </w:rPr>
      </w:r>
      <w:r>
        <w:rPr>
          <w:rFonts w:hint="eastAsia" w:ascii="黑体" w:hAnsi="黑体" w:eastAsia="黑体"/>
          <w:b w:val="0"/>
          <w:bCs w:val="0"/>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sz w:val="28"/>
          <w:szCs w:val="28"/>
          <w:highlight w:val="none"/>
          <w14:textFill>
            <w14:solidFill>
              <w14:schemeClr w14:val="tx1"/>
            </w14:solidFill>
          </w14:textFill>
        </w:rPr>
      </w:r>
      <w:r>
        <w:rPr>
          <w:rFonts w:hint="eastAsia" w:ascii="黑体" w:hAnsi="黑体" w:eastAsia="黑体"/>
          <w:b w:val="0"/>
          <w:bCs w:val="0"/>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sz w:val="28"/>
          <w:szCs w:val="28"/>
          <w:highlight w:val="none"/>
          <w14:textFill>
            <w14:solidFill>
              <w14:schemeClr w14:val="tx1"/>
            </w14:solidFill>
          </w14:textFill>
        </w:rPr>
      </w:r>
      <w:r>
        <w:rPr>
          <w:rFonts w:hint="eastAsia" w:ascii="黑体" w:hAnsi="黑体" w:eastAsia="黑体"/>
          <w:b w:val="0"/>
          <w:bCs w:val="0"/>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sz w:val="28"/>
          <w:szCs w:val="28"/>
          <w:highlight w:val="none"/>
          <w14:textFill>
            <w14:solidFill>
              <w14:schemeClr w14:val="tx1"/>
            </w14:solidFill>
          </w14:textFill>
        </w:rPr>
      </w:r>
      <w:r>
        <w:rPr>
          <w:rFonts w:hint="eastAsia" w:ascii="黑体" w:hAnsi="黑体" w:eastAsia="黑体"/>
          <w:b w:val="0"/>
          <w:bCs w:val="0"/>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sz w:val="28"/>
          <w:szCs w:val="28"/>
          <w:highlight w:val="none"/>
          <w14:textFill>
            <w14:solidFill>
              <w14:schemeClr w14:val="tx1"/>
            </w14:solidFill>
          </w14:textFill>
        </w:rPr>
      </w:r>
      <w:r>
        <w:rPr>
          <w:rFonts w:hint="eastAsia" w:ascii="黑体" w:hAnsi="黑体" w:eastAsia="黑体"/>
          <w:b w:val="0"/>
          <w:bCs w:val="0"/>
          <w:sz w:val="28"/>
          <w:szCs w:val="28"/>
          <w:highlight w:val="none"/>
          <w14:textFill>
            <w14:solidFill>
              <w14:schemeClr w14:val="tx1"/>
            </w14:solidFill>
          </w14:textFill>
        </w:rPr>
      </w:r>
      <w:r/>
    </w:p>
    <w:p>
      <w:pPr>
        <w:pStyle w:val="905"/>
        <w:jc w:val="both"/>
        <w:spacing w:before="156"/>
        <w:rPr>
          <w:rFonts w:hint="eastAsia" w:ascii="黑体" w:hAnsi="黑体" w:eastAsia="黑体"/>
          <w:b w:val="0"/>
          <w:bCs w:val="0"/>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center"/>
        <w:keepLines w:val="0"/>
        <w:keepNext w:val="0"/>
        <w:pageBreakBefore w:val="0"/>
        <w:spacing w:before="156" w:line="400" w:lineRule="exact"/>
        <w:widowControl w:val="off"/>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t xml:space="preserve">第二节 政府采购合同通用条款</w:t>
      </w:r>
      <w:bookmarkEnd w:id="170"/>
      <w:r/>
      <w:r/>
    </w:p>
    <w:p>
      <w:pPr>
        <w:jc w:val="left"/>
        <w:keepLines w:val="0"/>
        <w:keepNext w:val="0"/>
        <w:pageBreakBefore w:val="0"/>
        <w:spacing w:line="400" w:lineRule="exact"/>
        <w:widowControl w:val="off"/>
        <w:tabs>
          <w:tab w:val="left" w:pos="8820" w:leader="none"/>
          <w:tab w:val="left" w:pos="9345" w:leader="none"/>
          <w:tab w:val="left" w:pos="97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6"/>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906"/>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896"/>
        <w:ind w:firstLine="420"/>
        <w:rPr>
          <w:rFonts w:hint="eastAsia"/>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p>
    <w:p>
      <w:pPr>
        <w:pStyle w:val="907"/>
        <w:ind w:firstLine="420"/>
        <w:jc w:val="left"/>
        <w:spacing w:line="400" w:lineRule="exact"/>
        <w:rPr>
          <w:rFonts w:hint="eastAsia"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8.1 质量标准</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7"/>
        <w:ind w:firstLine="420"/>
        <w:jc w:val="left"/>
        <w:spacing w:line="40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72"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p>
    <w:p>
      <w:pPr>
        <w:ind w:firstLine="420"/>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pStyle w:val="905"/>
        <w:ind w:firstLine="420"/>
        <w:spacing w:line="400" w:lineRule="exact"/>
        <w:rPr>
          <w:rFonts w:hint="eastAsia"/>
          <w:color w:val="000000" w:themeColor="text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themeColor="text1"/>
          <w:sz w:val="21"/>
          <w:szCs w:val="21"/>
          <w:highlight w:val="none"/>
          <w14:textFill>
            <w14:solidFill>
              <w14:schemeClr w14:val="tx1"/>
            </w14:solidFill>
          </w14:textFill>
        </w:rPr>
        <w:t xml:space="preserve">政府采购合同专用条款</w:t>
      </w:r>
      <w:r>
        <w:rPr>
          <w:rFonts w:hint="eastAsia" w:ascii="宋体" w:hAnsi="宋体"/>
          <w:b w:val="0"/>
          <w:bCs w:val="0"/>
          <w:color w:val="000000" w:themeColor="text1"/>
          <w:sz w:val="21"/>
          <w:szCs w:val="21"/>
          <w:highlight w:val="none"/>
          <w14:textFill>
            <w14:solidFill>
              <w14:schemeClr w14:val="tx1"/>
            </w14:solidFill>
          </w14:textFill>
        </w:rPr>
        <w:t xml:space="preserve">】中约定。</w:t>
      </w:r>
      <w:r/>
    </w:p>
    <w:p>
      <w:pPr>
        <w:pStyle w:val="906"/>
        <w:spacing w:after="0"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896"/>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p>
    <w:p>
      <w:pPr>
        <w:ind w:firstLine="420"/>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ind w:firstLine="420"/>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7"/>
        </w:num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6"/>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pStyle w:val="896"/>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896"/>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pStyle w:val="906"/>
        <w:ind w:firstLine="420"/>
        <w:spacing w:after="0"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896"/>
        <w:ind w:firstLine="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hint="eastAsia"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p>
    <w:p>
      <w:pPr>
        <w:jc w:val="center"/>
        <w:keepLines/>
        <w:keepNext/>
        <w:spacing w:line="360" w:lineRule="auto"/>
        <w:rPr>
          <w:rFonts w:ascii="黑体" w:hAnsi="华文中宋" w:eastAsia="黑体"/>
          <w:color w:val="000000" w:themeColor="text1"/>
          <w:sz w:val="24"/>
          <w:highlight w:val="none"/>
          <w14:textFill>
            <w14:solidFill>
              <w14:schemeClr w14:val="tx1"/>
            </w14:solidFill>
          </w14:textFill>
        </w:rPr>
        <w:outlineLvl w:val="1"/>
      </w:pPr>
      <w:r>
        <w:rPr>
          <w:rFonts w:hint="eastAsia" w:ascii="黑体" w:hAnsi="华文中宋" w:eastAsia="黑体"/>
          <w:color w:val="000000" w:themeColor="text1"/>
          <w:sz w:val="24"/>
          <w:highlight w:val="none"/>
          <w14:textFill>
            <w14:solidFill>
              <w14:schemeClr w14:val="tx1"/>
            </w14:solidFill>
          </w14:textFill>
        </w:rPr>
        <w:br w:type="page" w:clear="all"/>
      </w:r>
      <w:r/>
    </w:p>
    <w:p>
      <w:pPr>
        <w:jc w:val="center"/>
        <w:keepLines/>
        <w:keepNext/>
        <w:spacing w:line="360" w:lineRule="auto"/>
        <w:rPr>
          <w:rFonts w:ascii="黑体" w:hAnsi="华文中宋" w:eastAsia="黑体"/>
          <w:color w:val="000000" w:themeColor="text1"/>
          <w:sz w:val="24"/>
          <w:highlight w:val="none"/>
          <w14:textFill>
            <w14:solidFill>
              <w14:schemeClr w14:val="tx1"/>
            </w14:solidFill>
          </w14:textFill>
        </w:rPr>
        <w:outlineLvl w:val="1"/>
      </w:pPr>
      <w:r>
        <w:rPr>
          <w:rFonts w:hint="eastAsia" w:ascii="黑体" w:hAnsi="华文中宋" w:eastAsia="黑体"/>
          <w:color w:val="000000" w:themeColor="text1"/>
          <w:sz w:val="24"/>
          <w:highlight w:val="none"/>
          <w14:textFill>
            <w14:solidFill>
              <w14:schemeClr w14:val="tx1"/>
            </w14:solidFill>
          </w14:textFill>
        </w:rPr>
        <w:t xml:space="preserve">第三节 政府采购合同专用条款</w:t>
      </w:r>
      <w:bookmarkEnd w:id="171"/>
      <w:r/>
      <w:r/>
    </w:p>
    <w:tbl>
      <w:tblPr>
        <w:tblStyle w:val="882"/>
        <w:tblW w:w="87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382"/>
      </w:tblGrid>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第1.2（6）项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联合体具体要求</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w:t>
            </w:r>
            <w:r/>
          </w:p>
        </w:tc>
      </w:tr>
      <w:tr>
        <w:trPr>
          <w:trHeight w:val="604"/>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第1.2（7）项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其他术语解释</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“交货日期”系指合同标的最终验收合格、交付使用并提供所需单据的日期。</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第4.4款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履约验收中甲方提出异议或作出说明的期限</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个工作日</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第4.6款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约定甲方承担的其他义务和责任</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第5.4款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约定乙方承担的其他义务和责任</w:t>
            </w:r>
            <w:r/>
          </w:p>
        </w:tc>
        <w:tc>
          <w:tcPr>
            <w:tcW w:w="5382" w:type="dxa"/>
            <w:vAlign w:val="center"/>
            <w:textDirection w:val="lrTb"/>
            <w:noWrap w:val="false"/>
          </w:tcPr>
          <w:p>
            <w:pPr>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1.合同标的在交付甲方前发生的风险均由乙方承担。</w:t>
            </w:r>
            <w:r/>
          </w:p>
          <w:p>
            <w:pPr>
              <w:pStyle w:val="906"/>
              <w:spacing w:after="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2.乙方应按招标文件规定的技术要求、质量标准向甲方提供未经使用的全新产品。</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3.在质量保证期内，乙方应对合同标的出现的质量及安全问题负责处理解决并承担一切费用。</w:t>
            </w:r>
            <w:r/>
          </w:p>
          <w:p>
            <w:pPr>
              <w:pStyle w:val="906"/>
              <w:spacing w:after="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4.乙方应保证合同标的在正确安装、正常使用和保养条件下，在其使用寿命期内应具有满意的性能。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第6.1款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履行合同义务的顺序</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w:t>
            </w:r>
            <w:r/>
          </w:p>
        </w:tc>
      </w:tr>
      <w:tr>
        <w:trPr>
          <w:cantSplit/>
          <w:trHeight w:val="667"/>
        </w:trPr>
        <w:tc>
          <w:tcPr>
            <w:tcW w:w="1560" w:type="dxa"/>
            <w:vAlign w:val="center"/>
            <w:vMerge w:val="restart"/>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第7.1款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包装特殊要求</w:t>
            </w:r>
            <w:r/>
          </w:p>
        </w:tc>
        <w:tc>
          <w:tcPr>
            <w:tcW w:w="5382"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1.商品包装层数不得超过3 层，空隙率不大于40%；</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2.商品包装尽可能使用单一材质的包装材料，如因功能需求必需使用不同材质，不同材质间应便于分离；</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3.商品包装中铅、汞、镉、六价铬的总含量应不大于100mg/kg；</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4.商品包装印刷使用的油墨中挥发性有机化合物(VOCs)含量应不大于 5%（以重量计）；</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5.塑料材质商品包装上呈现的印刷颜色不得超过6色；</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6.纸质商品包装应使用75%以上的可再生纤维原料生产；</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7.木质商品包装的原料应来源于可持续性森林。</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9每件包装箱内应附一份详细装箱单和质量合格凭证。</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667"/>
        </w:trPr>
        <w:tc>
          <w:tcPr>
            <w:tcW w:w="1560" w:type="dxa"/>
            <w:vAlign w:val="center"/>
            <w:vMerge w:val="continue"/>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指定现场</w:t>
            </w:r>
            <w:r/>
          </w:p>
        </w:tc>
        <w:tc>
          <w:tcPr>
            <w:tcW w:w="5382"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根据采购人的要求分批配送快检试剂到指定地点。</w:t>
            </w:r>
            <w:r/>
          </w:p>
        </w:tc>
      </w:tr>
      <w:tr>
        <w:trPr>
          <w:trHeight w:val="772"/>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第7.2款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运输特殊要求</w:t>
            </w:r>
            <w:r/>
          </w:p>
        </w:tc>
        <w:tc>
          <w:tcPr>
            <w:tcW w:w="5382"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1.货物验收合格、交付使用并提供所需单据的日期视为交货日期。</w:t>
            </w:r>
            <w:r/>
          </w:p>
          <w:p>
            <w:pPr>
              <w:pStyle w:val="896"/>
              <w:ind w:firstLine="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2.乙方在货物发运手续办理完毕后24小时内或货到48小时前通知甲方，以准备接货。（具体时间根据双方实际需求调整）</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3.乙方装运的货物不应超过合同规定的数量或重量。乙方应对超交数量或超重而产生的一切后果负责。</w:t>
            </w:r>
            <w:r/>
          </w:p>
          <w:p>
            <w:pPr>
              <w:pStyle w:val="896"/>
              <w:ind w:firstLine="0"/>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第7.3款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保险要求</w:t>
            </w:r>
            <w:r/>
          </w:p>
        </w:tc>
        <w:tc>
          <w:tcPr>
            <w:tcW w:w="538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第8.2（1）项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质量保证期</w:t>
            </w:r>
            <w:r/>
          </w:p>
        </w:tc>
        <w:tc>
          <w:tcPr>
            <w:tcW w:w="5382" w:type="dxa"/>
            <w:vAlign w:val="center"/>
            <w:textDirection w:val="lrTb"/>
            <w:noWrap w:val="false"/>
          </w:tcPr>
          <w:p>
            <w:pPr>
              <w:pStyle w:val="904"/>
              <w:ind w:left="480" w:hanging="480"/>
              <w:jc w:val="both"/>
              <w:spacing w:before="120" w:beforeAutospacing="0" w:after="120" w:afterAutospacing="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w:t>
            </w:r>
            <w:r/>
          </w:p>
          <w:p>
            <w:pPr>
              <w:pStyle w:val="904"/>
              <w:ind w:left="480" w:hanging="480"/>
              <w:jc w:val="both"/>
              <w:spacing w:before="120" w:beforeAutospacing="0" w:after="120" w:afterAutospacing="0"/>
              <w:rPr>
                <w:rFonts w:hint="eastAsia" w:ascii="宋体" w:hAnsi="宋体"/>
                <w:color w:val="000000" w:themeColor="text1"/>
                <w:highlight w:val="cya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提供非人为坏损、失效的退换等服务。</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第8.2（3）项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货物质量缺陷</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响应时间</w:t>
            </w:r>
            <w:r/>
          </w:p>
        </w:tc>
        <w:tc>
          <w:tcPr>
            <w:tcW w:w="5382" w:type="dxa"/>
            <w:vAlign w:val="center"/>
            <w:textDirection w:val="lrTb"/>
            <w:noWrap w:val="false"/>
          </w:tcPr>
          <w:p>
            <w:pPr>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 产品质量或外包装不符合国家规定标准的应及时退、换货；</w:t>
            </w:r>
            <w:r/>
          </w:p>
          <w:p>
            <w:pPr>
              <w:pStyle w:val="908"/>
              <w:ind w:firstLine="0"/>
              <w:rPr>
                <w:rFonts w:hint="eastAsia"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 乙方所提供的产品须满足甲方需求；若乙方提供的货物不能满足要求的需无条件免费更换；若乙方不予更换的，甲方有权解除合同，且不予支付货款；给甲方造成损失的还应予以赔偿；</w:t>
            </w:r>
            <w:r/>
          </w:p>
          <w:p>
            <w:pPr>
              <w:ind w:left="239" w:firstLine="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3、提供7×24小时技术支持和服务，接到问题时，2小时内作出响应，对重大问题提供现场技术支持，6小时内到达指定现场。</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第8款补充</w:t>
            </w:r>
            <w:r/>
          </w:p>
        </w:tc>
        <w:tc>
          <w:tcPr>
            <w:tcW w:w="1789"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质量保证要求</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在质保期内，乙方应对货物出现的质量及安全问题负责处理解决并承担一切费用（因甲方不当使用的除外）。</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2.乙方应按照国家有关法律法规规章和“三包”规定以及招标文件售后服务要求及投标文件售后服务承诺提供售后服务。</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3.所有货物保修服务方式均为乙方上门保修，由乙方派员到货物使用现场维修，所产生的一切费用由乙方承担（双方视项目情况调整）。</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04"/>
              <w:ind w:left="480" w:hanging="480"/>
              <w:spacing w:before="120" w:beforeAutospacing="0" w:after="120" w:afterAutospacing="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spacing w:line="400" w:lineRule="exact"/>
              <w:widowControl/>
              <w:rPr>
                <w:rFonts w:ascii="华文楷体" w:hAnsi="华文楷体" w:eastAsia="华文楷体" w:cs="华文楷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第11.1款</w:t>
            </w:r>
            <w:r/>
          </w:p>
        </w:tc>
        <w:tc>
          <w:tcPr>
            <w:tcW w:w="1789"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其他应当保密的信息</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合同价款支付时间及要求</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1.合同款项的支付方式及进度安排：</w:t>
            </w:r>
            <w:r/>
          </w:p>
          <w:p>
            <w:pPr>
              <w:pStyle w:val="906"/>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合同签订时，经采购人与中标人根据实际情况协商一致，可支付合同总价的30%作为项目启动预付款；签订合同后，供货完成，验收合格后，支付合同金额90%，质保期满180天，支付剩余合同金额10%。中标方提供甲方认可的发票。以上付款均不计任何利息和相关费用，付款一律通过银行结转。相关付款手续由用户单位由财政部门报批后办理。</w:t>
            </w:r>
            <w:r/>
          </w:p>
          <w:p>
            <w:pPr>
              <w:ind w:firstLine="63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在签订合同时，中标人明确表示无需预付款或者主动要求降低预付款比例的金额，招标人可不适用预付款规定,但中标人需提供书面声明，采购人可就预付款比例作相应调整。</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发票；</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制造厂家出具的质量检验证书等；</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装箱单；</w:t>
            </w:r>
            <w:r/>
          </w:p>
          <w:p>
            <w:pPr>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第13.2款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履约保证金不予退还的情形</w:t>
            </w:r>
            <w:r/>
          </w:p>
        </w:tc>
        <w:tc>
          <w:tcPr>
            <w:tcW w:w="5382"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（2）中标人不履行与采购人订立的合同的；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（3）中标人所供货物或服务不符合招标文件规定要求的；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（4）中标人采取欺骗、弄虚作假方式投标的或与</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投标人串通投标的；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（5）中标人将合同内容转包、违法分包的；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第13.3款</w:t>
            </w:r>
            <w:r/>
          </w:p>
        </w:tc>
        <w:tc>
          <w:tcPr>
            <w:tcW w:w="1789"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履约保证金退还时间及逾期退还的违约金</w:t>
            </w:r>
            <w:r/>
          </w:p>
        </w:tc>
        <w:tc>
          <w:tcPr>
            <w:tcW w:w="5382"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1、合同履行结束后，甲方应及时退还交纳的履约保证金。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2、退还方式：现金无息退还至投标人缴纳履约保证金的账户。如为保函，在到期时自行失效。</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3、退还时间：验收合格且甲方收到发票后30日内。</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4、退还条件：按合同要求全部履约完成并经采购人验收合格，且采购人收到中标人出具的发票。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773"/>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第14.1（3）项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运行监督、维修期限</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本合同标的的使用期。</w:t>
            </w:r>
            <w:r/>
          </w:p>
        </w:tc>
      </w:tr>
      <w:tr>
        <w:trPr>
          <w:trHeight w:val="784"/>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第14.1（5）项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货物回收的约定</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第14.1（6）项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乙方提供的其他服务</w:t>
            </w:r>
            <w:r/>
          </w:p>
        </w:tc>
        <w:tc>
          <w:tcPr>
            <w:tcW w:w="5382"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 原则上中标人需在收到采购人供货通知后7日内完成供货，加急供货的应在</w:t>
            </w:r>
            <w:r>
              <w:rPr>
                <w:rFonts w:hint="eastAsia" w:ascii="宋体" w:hAnsi="宋体"/>
                <w:color w:val="000000" w:themeColor="text1"/>
                <w:sz w:val="24"/>
                <w:szCs w:val="24"/>
                <w:highlight w:val="none"/>
                <w:lang w:val="en-US" w:eastAsia="zh-CN"/>
                <w14:textFill>
                  <w14:solidFill>
                    <w14:schemeClr w14:val="tx1"/>
                  </w14:solidFill>
                </w14:textFill>
              </w:rPr>
              <w:t xml:space="preserve">72</w:t>
            </w:r>
            <w:r>
              <w:rPr>
                <w:rFonts w:hint="eastAsia" w:ascii="宋体" w:hAnsi="宋体"/>
                <w:color w:val="000000" w:themeColor="text1"/>
                <w:sz w:val="24"/>
                <w:szCs w:val="24"/>
                <w:highlight w:val="none"/>
                <w14:textFill>
                  <w14:solidFill>
                    <w14:schemeClr w14:val="tx1"/>
                  </w14:solidFill>
                </w14:textFill>
              </w:rPr>
              <w:t xml:space="preserve">小时内送达</w:t>
            </w:r>
            <w:r>
              <w:rPr>
                <w:rFonts w:hint="eastAsia" w:ascii="宋体" w:hAnsi="宋体" w:cs="宋体"/>
                <w:color w:val="000000" w:themeColor="text1"/>
                <w:sz w:val="24"/>
                <w:highlight w:val="none"/>
                <w14:textFill>
                  <w14:solidFill>
                    <w14:schemeClr w14:val="tx1"/>
                  </w14:solidFill>
                </w14:textFill>
              </w:rPr>
              <w:t xml:space="preserve">；</w:t>
            </w:r>
            <w:r/>
          </w:p>
          <w:p>
            <w:pPr>
              <w:pStyle w:val="906"/>
              <w:spacing w:after="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产品质量或外包装不符合国家规定标准的应及时退、换货；</w:t>
            </w:r>
            <w:r/>
          </w:p>
          <w:p>
            <w:pPr>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w:t>
            </w:r>
            <w:r>
              <w:rPr>
                <w:rFonts w:hint="eastAsia" w:ascii="宋体" w:hAnsi="宋体"/>
                <w:color w:val="000000" w:themeColor="text1"/>
                <w:highlight w:val="none"/>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供应商在本项目所提供的快检试剂和耗材质保期不少于1年，自交付验收通过之日起计算。试剂外包装标识所显示的剩余保质有效期限应不少于10个月。提供非人为坏损、失效的退换等服务。</w:t>
            </w:r>
            <w:r/>
          </w:p>
          <w:p>
            <w:pPr>
              <w:jc w:val="left"/>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中标人所提供的产品须满足采购人需求；若中标人提供的货物不能满足要求的需无条件免费更换；若中标人不予更换的，采购人有权解除合同，且不予支付货款；给采购人造成损失的还应予以赔偿</w:t>
            </w:r>
            <w:r>
              <w:rPr>
                <w:rFonts w:hint="eastAsia" w:ascii="宋体" w:hAnsi="宋体" w:cs="宋体"/>
                <w:color w:val="000000" w:themeColor="text1"/>
                <w:sz w:val="24"/>
                <w:lang w:eastAsia="zh-CN"/>
                <w14:textFill>
                  <w14:solidFill>
                    <w14:schemeClr w14:val="tx1"/>
                  </w14:solidFill>
                </w14:textFill>
              </w:rPr>
              <w:t xml:space="preserve">。</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修理、重</w:t>
            </w:r>
            <w:r>
              <w:rPr>
                <w:rFonts w:hint="eastAsia" w:ascii="宋体" w:hAnsi="宋体"/>
                <w:color w:val="000000" w:themeColor="text1"/>
                <w:sz w:val="24"/>
                <w:highlight w:val="none"/>
                <w:lang w:eastAsia="zh-CN"/>
                <w14:textFill>
                  <w14:solidFill>
                    <w14:schemeClr w14:val="tx1"/>
                  </w14:solidFill>
                </w14:textFill>
              </w:rPr>
              <w:t xml:space="preserve">做</w:t>
            </w:r>
            <w:r>
              <w:rPr>
                <w:rFonts w:hint="eastAsia" w:ascii="宋体" w:hAnsi="宋体"/>
                <w:color w:val="000000" w:themeColor="text1"/>
                <w:sz w:val="24"/>
                <w:highlight w:val="none"/>
                <w14:textFill>
                  <w14:solidFill>
                    <w14:schemeClr w14:val="tx1"/>
                  </w14:solidFill>
                </w14:textFill>
              </w:rPr>
              <w:t xml:space="preserve">、更换相关具体规定</w:t>
            </w:r>
            <w:r/>
          </w:p>
        </w:tc>
        <w:tc>
          <w:tcPr>
            <w:tcW w:w="5382" w:type="dxa"/>
            <w:vAlign w:val="center"/>
            <w:textDirection w:val="lrTb"/>
            <w:noWrap w:val="false"/>
          </w:tcPr>
          <w:p>
            <w:pPr>
              <w:numPr>
                <w:ilvl w:val="0"/>
                <w:numId w:val="9"/>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详见合同通用条款8.2条款、合同专用条款第二节第8款补充条款及合同专用条款中索赔条款。</w:t>
            </w:r>
            <w:r/>
          </w:p>
          <w:p>
            <w:pPr>
              <w:numPr>
                <w:ilvl w:val="0"/>
                <w:numId w:val="9"/>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第15.2（2）项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迟延交货赔偿费</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1.乙方应按照“开标（报价）一览表”中规定的交货期或承诺交货和提供服务，并交付甲方验收使用。</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2.如果乙方无正当理由拖延交货，将受到以下制裁：加收误期赔偿或终止合同。</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乙方逾期交付货物的，乙方应按逾期交货总额每日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千分之五</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向甲方支付违约金，由甲方从待付货款中扣除。逾期超过约定日期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个工作日不能交货的，甲方可解除本合同。乙方因逾期交货或因其他违约行为导致甲方解除合同的，乙方应向甲方支付合同总值</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的违约金，如造成甲方损失超过违约金的，超出部分由乙方继续承担赔偿责任。 </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4.如乙方不能交付货物，或者有违法转包他人情形，乙方应向甲方支付合同总价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的滞纳金。</w:t>
            </w:r>
            <w:r/>
          </w:p>
          <w:p>
            <w:pPr>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第15.3款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逾期付款利息</w:t>
            </w:r>
            <w:r/>
          </w:p>
        </w:tc>
        <w:tc>
          <w:tcPr>
            <w:tcW w:w="5382" w:type="dxa"/>
            <w:vAlign w:val="center"/>
            <w:textDirection w:val="lrTb"/>
            <w:noWrap w:val="false"/>
          </w:tcPr>
          <w:p>
            <w:pPr>
              <w:pStyle w:val="904"/>
              <w:ind w:left="410" w:hanging="410"/>
              <w:jc w:val="both"/>
              <w:spacing w:before="120" w:beforeAutospacing="0" w:after="120" w:afterAutospacing="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1.甲方无正当理由拒收货物的，甲方向乙方偿付拒收货款总值</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的违约金。</w:t>
            </w:r>
            <w:r/>
          </w:p>
          <w:p>
            <w:pPr>
              <w:pStyle w:val="904"/>
              <w:ind w:left="410" w:hanging="410"/>
              <w:jc w:val="both"/>
              <w:spacing w:before="120" w:beforeAutospacing="0" w:after="120" w:afterAutospacing="0"/>
              <w:rPr>
                <w:rFonts w:ascii="宋体" w:hAnsi="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2.甲方无故逾期验收和办理货款支付手续的,甲方应按逾期付款总额每日</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eastAsia="zh-CN"/>
                <w14:textFill>
                  <w14:solidFill>
                    <w14:schemeClr w14:val="tx1"/>
                  </w14:solidFill>
                </w14:textFill>
              </w:rPr>
              <w:t xml:space="preserve">按银行同期利息</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向乙方支付违约金。</w:t>
            </w:r>
            <w:r/>
          </w:p>
        </w:tc>
      </w:tr>
      <w:tr>
        <w:trPr>
          <w:trHeight w:val="87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第15.4款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其他违约责任</w:t>
            </w:r>
            <w:r/>
          </w:p>
        </w:tc>
        <w:tc>
          <w:tcPr>
            <w:tcW w:w="5382" w:type="dxa"/>
            <w:vAlign w:val="center"/>
            <w:textDirection w:val="lrTb"/>
            <w:noWrap w:val="false"/>
          </w:tcPr>
          <w:p>
            <w:pPr>
              <w:jc w:val="left"/>
              <w:rPr>
                <w:rFonts w:hint="eastAsia" w:ascii="宋体" w:hAnsi="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 xml:space="preserve">1.在合同有效期内，甲方不得以无正当理由拒收合同标的。</w:t>
            </w:r>
            <w:r/>
          </w:p>
          <w:p>
            <w:pPr>
              <w:jc w:val="left"/>
              <w:rPr>
                <w:rFonts w:ascii="宋体" w:hAnsi="宋体"/>
                <w:color w:val="000000" w:themeColor="text1"/>
                <w:sz w:val="24"/>
                <w:highlight w:val="none"/>
                <w:u w:val="single"/>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 xml:space="preserve">2.乙方所交的合同标的的品种、型号、规格、技术参数、质量不符合合同规定及招标文件规定标准的，甲方有权拒收该标的，乙方愿意更换标的但逾期交货的，按乙方逾期交货处理。乙方拒绝更换标的的，甲方可单方面解除合同。</w:t>
            </w:r>
            <w:r/>
          </w:p>
        </w:tc>
      </w:tr>
      <w:tr>
        <w:trPr>
          <w:trHeight w:val="90"/>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第19.2款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解决争议的方法</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1.因本合同及合同有关事项发生的争议，由双方协商解决，协商不成时，按下列第</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种方式解决：</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（1）向仲裁委员会申请仲裁，仲裁地点为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盐城市射阳县</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（2）向甲方所在地人民法院起诉。</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纠纷解决办法</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第23.1款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其他专用条款</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3.验收不合格的货物，乙方应在</w:t>
            </w:r>
            <w:r>
              <w:rPr>
                <w:rFonts w:hint="eastAsia" w:ascii="宋体" w:hAnsi="宋体"/>
                <w:color w:val="000000" w:themeColor="text1"/>
                <w:sz w:val="24"/>
                <w:highlight w:val="none"/>
                <w:u w:val="single"/>
                <w:lang w:eastAsia="zh-CN"/>
                <w14:textFill>
                  <w14:solidFill>
                    <w14:schemeClr w14:val="tx1"/>
                  </w14:solidFill>
                </w14:textFill>
              </w:rPr>
              <w:t xml:space="preserve">履约期限</w:t>
            </w:r>
            <w:r>
              <w:rPr>
                <w:rFonts w:hint="eastAsia" w:ascii="宋体" w:hAnsi="宋体"/>
                <w:color w:val="000000" w:themeColor="text1"/>
                <w:sz w:val="24"/>
                <w:highlight w:val="none"/>
                <w14:textFill>
                  <w14:solidFill>
                    <w14:schemeClr w14:val="tx1"/>
                  </w14:solidFill>
                </w14:textFill>
              </w:rPr>
              <w:t xml:space="preserve">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4.货物验收要求</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（1）依照招标文件要求对全部货物、型号、规格、数量、外型、外观、包装及资料、文件（如装箱单、保修单、随箱介质等）进行验收。</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（2）甲方与乙方对货物到货后共同进行开箱检查，出现损坏、数量不全或产品不对等问题时，由乙方负责解决。</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（4）乙方应按照本合同规定的时间、地点和方式向乙方交付货物。</w:t>
            </w:r>
            <w:r/>
          </w:p>
          <w:p>
            <w:pPr>
              <w:pStyle w:val="885"/>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快检试剂送达后，采购方对其数量、品种、规格等进行检查验收，如不合格应无条件退货或换货，需提供检测试剂生产厂家及投标人的承诺书。</w:t>
            </w:r>
            <w:r/>
          </w:p>
          <w:p>
            <w:pPr>
              <w:pStyle w:val="885"/>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所提供的试剂性能及质量有国家标准的应符合国家标准。无国家标准的应符合行业标准或企业标准，并满足采购文件要求，实现响应文件承诺条款。</w:t>
            </w:r>
            <w:r/>
          </w:p>
          <w:p>
            <w:pPr>
              <w:pStyle w:val="885"/>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对检测项目及主要检测品种进行预检，如达不到采购文件中的要求则必须整改，直到整改通过。</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合同履行期限</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自本合同签订之日起12个月，按需供货，每次接到甲方供货通知后7日内完成供货。</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交货地点：</w:t>
            </w:r>
            <w:r>
              <w:rPr>
                <w:rFonts w:hint="eastAsia" w:ascii="宋体" w:hAnsi="宋体"/>
                <w:b/>
                <w:bCs/>
                <w:color w:val="000000" w:themeColor="text1"/>
                <w:sz w:val="24"/>
                <w:highlight w:val="none"/>
                <w:u w:val="single"/>
                <w14:textFill>
                  <w14:solidFill>
                    <w14:schemeClr w14:val="tx1"/>
                  </w14:solidFill>
                </w14:textFill>
              </w:rPr>
              <w:t xml:space="preserve">根据采购人的要求分批配送快检试剂到指定地点。</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（5）甲方应在全部货物到货安装完毕后进行验收，验收包括：型号、规格、数量、外观是否完好，安装调试是否合格等。验收合格后甲方应在验收报告上签字盖章。</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4529"/>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税费</w:t>
            </w:r>
            <w:r/>
          </w:p>
        </w:tc>
        <w:tc>
          <w:tcPr>
            <w:tcW w:w="5382"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1.中国政府根据现行税法规定对甲方征收的与本合同有关的一切税费均由甲方负担（免税部分除外），招标文件另有规定的除外。</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2.中国政府根据现行税法规定对乙方征收的与本合同有关的一切税费均由乙方负担（免税部分除外）。</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523"/>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伴随服务</w:t>
            </w:r>
            <w:r/>
          </w:p>
        </w:tc>
        <w:tc>
          <w:tcPr>
            <w:tcW w:w="5382"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1.乙方应按照国家</w:t>
            </w:r>
            <w:r>
              <w:rPr>
                <w:rFonts w:hint="eastAsia" w:ascii="宋体" w:hAnsi="宋体"/>
                <w:b/>
                <w:color w:val="000000" w:themeColor="text1"/>
                <w:sz w:val="24"/>
                <w:highlight w:val="none"/>
                <w14:textFill>
                  <w14:solidFill>
                    <w14:schemeClr w14:val="tx1"/>
                  </w14:solidFill>
                </w14:textFill>
              </w:rPr>
              <w:t xml:space="preserve">“新三包”</w:t>
            </w:r>
            <w:r>
              <w:rPr>
                <w:rFonts w:hint="eastAsia" w:ascii="宋体" w:hAnsi="宋体"/>
                <w:color w:val="000000" w:themeColor="text1"/>
                <w:sz w:val="24"/>
                <w:highlight w:val="none"/>
                <w14:textFill>
                  <w14:solidFill>
                    <w14:schemeClr w14:val="tx1"/>
                  </w14:solidFill>
                </w14:textFill>
              </w:rPr>
              <w:t xml:space="preserve">规定和合同中所附的服务承诺提供服务。</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2.除第1条规定外，乙方还应提供下列服务：</w:t>
            </w:r>
            <w:r/>
          </w:p>
          <w:p>
            <w:pPr>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(1) 招标文件中的“服务要求”所规定的服务内容以及投标文件承诺提供的其他服务内容；</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负责货物的开孔，货物的现场安装；</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(3) 提供货物组装和维修所需的工具；</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(5) 在货物交货现场就货物的安装、启用、维护等对甲方人员进行培训。</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3.伴随服务的费用应含在合同价中，不单独进行支付。</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7275"/>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索赔</w:t>
            </w:r>
            <w:r/>
          </w:p>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1.甲方有权根据当地质检部门出具的检验报告，向乙方提出索赔。</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根据货物的低劣程度、损坏程度以及甲方所遭受损失的数额，乙方必须降低货物的价格。</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合同生效</w:t>
            </w:r>
            <w:r>
              <w:rPr>
                <w:rFonts w:hint="eastAsia" w:ascii="宋体" w:hAnsi="宋体"/>
                <w:color w:val="000000" w:themeColor="text1"/>
                <w:sz w:val="24"/>
                <w:highlight w:val="none"/>
                <w:lang w:eastAsia="zh-CN"/>
                <w14:textFill>
                  <w14:solidFill>
                    <w14:schemeClr w14:val="tx1"/>
                  </w14:solidFill>
                </w14:textFill>
              </w:rPr>
              <w:t xml:space="preserve">及其他</w:t>
            </w:r>
            <w:r/>
          </w:p>
          <w:p>
            <w:pPr>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合同经甲方、乙方盖章后生效。</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货物交付使用后所发生的合同纠纷，由甲方与乙方协商处理。</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4.本合同应按照中华人民共和国的现行法律进行解释。本合同未尽事宜，遵照《</w:t>
            </w:r>
            <w:r>
              <w:rPr>
                <w:rFonts w:hint="eastAsia" w:ascii="宋体" w:hAnsi="宋体" w:eastAsia="宋体" w:cs="宋体"/>
                <w:color w:val="000000" w:themeColor="text1"/>
                <w:highlight w:val="none"/>
                <w:shd w:val="clear" w:color="auto" w:fill="auto"/>
                <w14:textFill>
                  <w14:solidFill>
                    <w14:schemeClr w14:val="tx1"/>
                  </w14:solidFill>
                </w14:textFill>
              </w:rPr>
              <w:t xml:space="preserve">《</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中华人民共和国</w:t>
            </w:r>
            <w:r>
              <w:rPr>
                <w:rFonts w:hint="eastAsia" w:ascii="宋体" w:hAnsi="宋体"/>
                <w:color w:val="000000" w:themeColor="text1"/>
                <w:sz w:val="24"/>
                <w:highlight w:val="none"/>
                <w14:textFill>
                  <w14:solidFill>
                    <w14:schemeClr w14:val="tx1"/>
                  </w14:solidFill>
                </w14:textFill>
              </w:rPr>
              <w:t xml:space="preserve">民法典》、《</w:t>
            </w:r>
            <w:r>
              <w:rPr>
                <w:rFonts w:hint="eastAsia" w:ascii="宋体" w:hAnsi="宋体" w:eastAsia="宋体" w:cs="宋体"/>
                <w:color w:val="000000" w:themeColor="text1"/>
                <w:highlight w:val="none"/>
                <w:shd w:val="clear" w:color="auto" w:fill="auto"/>
                <w14:textFill>
                  <w14:solidFill>
                    <w14:schemeClr w14:val="tx1"/>
                  </w14:solidFill>
                </w14:textFill>
              </w:rPr>
              <w:t xml:space="preserve">《</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中华人民共和国</w:t>
            </w:r>
            <w:r>
              <w:rPr>
                <w:rFonts w:hint="eastAsia" w:ascii="宋体" w:hAnsi="宋体"/>
                <w:color w:val="000000" w:themeColor="text1"/>
                <w:sz w:val="24"/>
                <w:highlight w:val="none"/>
                <w14:textFill>
                  <w14:solidFill>
                    <w14:schemeClr w14:val="tx1"/>
                  </w14:solidFill>
                </w14:textFill>
              </w:rPr>
              <w:t xml:space="preserve">政府采购法》等有关条文执行。</w:t>
            </w:r>
            <w:r/>
          </w:p>
        </w:tc>
      </w:tr>
    </w:tbl>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pStyle w:val="889"/>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89"/>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89"/>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89"/>
        <w:jc w:val="center"/>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 第</w:t>
      </w:r>
      <w:bookmarkEnd w:id="160"/>
      <w:r>
        <w:rPr>
          <w:rFonts w:hint="eastAsia" w:ascii="黑体" w:hAnsi="宋体" w:eastAsia="黑体" w:cs="黑体"/>
          <w:color w:val="000000" w:themeColor="text1"/>
          <w:sz w:val="44"/>
          <w:szCs w:val="44"/>
          <w:highlight w:val="none"/>
          <w14:textFill>
            <w14:solidFill>
              <w14:schemeClr w14:val="tx1"/>
            </w14:solidFill>
          </w14:textFill>
        </w:rPr>
        <w:t xml:space="preserve">四章 采购需求</w:t>
      </w:r>
      <w:bookmarkEnd w:id="161"/>
      <w:r/>
      <w:bookmarkEnd w:id="162"/>
      <w:r/>
      <w:bookmarkEnd w:id="163"/>
      <w:r/>
      <w:bookmarkEnd w:id="164"/>
      <w:r/>
      <w:bookmarkEnd w:id="165"/>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（全部为本国产品）</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采购需求包括拟采购的标的及其需要满足的技术、商务要求。</w:t>
      </w:r>
      <w:r/>
    </w:p>
    <w:p>
      <w:pPr>
        <w:pStyle w:val="889"/>
        <w:numPr>
          <w:ilvl w:val="0"/>
          <w:numId w:val="10"/>
        </w:numPr>
        <w:jc w:val="both"/>
        <w:spacing w:beforeAutospacing="0" w:afterAutospacing="0" w:line="0" w:lineRule="atLeast"/>
        <w:tabs>
          <w:tab w:val="right" w:pos="830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技术要求是指对采购标的功能和质量要求，包括服务内容和标准等。</w:t>
      </w:r>
      <w:r>
        <w:rPr>
          <w:rFonts w:hint="eastAsia" w:ascii="宋体" w:hAnsi="宋体" w:eastAsia="宋体" w:cs="宋体"/>
          <w:color w:val="000000" w:themeColor="text1"/>
          <w:sz w:val="24"/>
          <w:szCs w:val="24"/>
          <w:highlight w:val="none"/>
          <w:lang w:eastAsia="zh-CN"/>
          <w14:textFill>
            <w14:solidFill>
              <w14:schemeClr w14:val="tx1"/>
            </w14:solidFill>
          </w14:textFill>
        </w:rPr>
        <w:tab/>
      </w:r>
      <w:r/>
    </w:p>
    <w:p>
      <w:pPr>
        <w:numPr>
          <w:ilvl w:val="0"/>
          <w:numId w:val="11"/>
        </w:numPr>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采购清单</w:t>
      </w:r>
      <w:r/>
    </w:p>
    <w:p>
      <w:pPr>
        <w:pStyle w:val="889"/>
        <w:numPr>
          <w:ilvl w:val="0"/>
          <w:numId w:val="0"/>
        </w:numPr>
        <w:ind w:left="479" w:firstLine="92"/>
        <w:jc w:val="both"/>
        <w:spacing w:beforeAutospacing="0" w:afterAutospacing="0" w:line="0" w:lineRule="atLeast"/>
        <w:widowControl w:val="off"/>
        <w:rPr>
          <w:rStyle w:val="911"/>
          <w:b/>
          <w:bCs/>
          <w:color w:val="000000" w:themeColor="text1"/>
          <w:sz w:val="24"/>
          <w:szCs w:val="24"/>
          <w:highlight w:val="red"/>
          <w:lang w:val="en-US" w:eastAsia="zh-CN" w:bidi="ar"/>
          <w14:textFill>
            <w14:solidFill>
              <w14:schemeClr w14:val="tx1"/>
            </w14:solidFill>
          </w14:textFill>
        </w:rPr>
      </w:pPr>
      <w:r>
        <w:rPr>
          <w:b/>
          <w:bCs/>
          <w:color w:val="000000" w:themeColor="text1"/>
          <w:sz w:val="24"/>
          <w:szCs w:val="24"/>
          <w:highlight w:val="red"/>
          <w:lang w:val="en-US" w:eastAsia="zh-CN" w:bidi="ar"/>
          <w14:textFill>
            <w14:solidFill>
              <w14:schemeClr w14:val="tx1"/>
            </w14:solidFill>
          </w14:textFill>
        </w:rPr>
      </w:r>
      <w:r/>
    </w:p>
    <w:tbl>
      <w:tblPr>
        <w:tblStyle w:val="882"/>
        <w:tblW w:w="92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795"/>
        <w:gridCol w:w="1650"/>
        <w:gridCol w:w="765"/>
        <w:gridCol w:w="2685"/>
        <w:gridCol w:w="720"/>
        <w:gridCol w:w="900"/>
        <w:gridCol w:w="1005"/>
      </w:tblGrid>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总价（元）</w:t>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恩诺沙星和环丙沙星胶体金法检测卡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磺胺类胶体金法检测卡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氟苯尼考胶体金法检测卡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孔雀石绿胶体金法检测卡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氧氟沙星胶体金法检测卡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呋喃唑酮胶体金法检测卡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氯霉素胶体金法检测卡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2.检出限：0.1μg/kg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甲硝唑快速检测试卡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1.检测样本：水产品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呋喃西林胶体金法检测卡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洛美沙星胶体金法检测卡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甲氧苄啶胶体金法检测卡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2.检出限：50μg/kg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毒死蜱胶体金法检测卡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氟虫腈胶体金快速检测卡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521"/>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农药残留测试片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2.检出限：敌百虫：0.1 mg/kg；丙溴磷：0.5 mg/kg；灭多威：0.2 mg/kg；克百威：0.02 mg/kg；敌敌畏：0.2 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34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瘦肉精三联卡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1.盐酸克伦特罗、莱克多巴胺、沙丁醇胺三联卡；</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2.检出限：盐酸克伦特罗：3ug/kg；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莱克多巴胺：3ug/kg；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沙丁醇胺：5ug/kg。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盐酸克伦特罗胶体金法检测卡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2.检出限：3μg/kg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莱克多巴胺胶体金法检测卡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2.检出限：3μg/kg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沙丁胺醇胶体金法检测卡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多西环素胶体金法检测卡（禽蛋）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3.规格：20卡/盒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u w:val="none"/>
                <w:lang w:val="en-US" w:eastAsia="zh-CN" w:bidi="ar-SA"/>
                <w14:textFill>
                  <w14:solidFill>
                    <w14:schemeClr w14:val="tx1"/>
                  </w14:solidFill>
                </w14:textFill>
                <w14:ligatures w14:val="none"/>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三甲氧苄氨嘧啶胶体金法检测卡（禽蛋）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3.规格：20卡/盒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地美硝唑检测卡（禽蛋）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甲硝唑快速检测试剂（禽蛋）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磺胺类胶体金法检测卡（禽蛋）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2.检出限：4-25μg/kg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氟苯尼考胶体金法检测卡（禽蛋）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喹诺酮类快速检测卡（禽蛋）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1.恩诺沙星和环丙沙星二合一检测卡；</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2.恩诺沙星检出限：10ug/kg；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  环丙沙星检出限：20ug/kg；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噻虫胺胶体金法检测卡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2.检出限：0.01—0.7mg/kg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噻虫嗪胶体金法检测卡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2.检出限：0.01—10mg/kg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菊酯类胶体金法检测卡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多效唑胶体金法检测卡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百菌清胶体金快速检测卡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多菌灵胶体金快速检测卡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吡虫啉胶体金快速检测卡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克百威胶体金法检测卡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啶虫脒胶体金快速检测卡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烯酰吗啉胶体金法检测卡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阿维菌素胶体金法检测卡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三唑磷胶体金快速检测卡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戊唑醇胶体金快速检测卡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甲萘威胶体金快速检测卡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2.检出限：0.1—5mg/kg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腐霉利胶体金检测卡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丙溴磷胶体金法检测卡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甲拌磷胶体金法检测卡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嘧霉胺胶体金法检测卡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水胺硫磷胶体金检测卡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灭蝇胺胶体金法检测卡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氧乐果胶体金法检测卡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4-氯苯氧乙酸钠检测卡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1.检测样本：豆芽</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2.检出限：30μg/kg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6-苄氨基嘌呤残留胶体法检测卡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1.检测样本：豆芽</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2.检出限：0.03mg/kg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亚硝酸盐快速检测试剂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1.检测样本：腌制菜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硼砂快速检测试剂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1.检测样本：加工食品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硫酸铝钾快速检测试剂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1.检测样本：面制品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8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吊白块快速检测试剂盒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1.检测样本：吊白块（腐竹、粉丝、米粉、年糕、馒头、面粉等面制品、米制品、豆制品及竹笋、白糖、榨菜等食品）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2.检测限：10mg/kg；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甲醛快速检测试剂盒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1.检测样本：水产制品，水发品，腌制菜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2.检测限：1—5mg/kg；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地西泮快速检测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检测样本:畜禽水产2.检出限: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0.5</w:t>
            </w: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magenta"/>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magenta"/>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双氧水快速检测试剂盒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1.检测样本：各种海产干品、冻品，水发食品，各种肉制品、面制品等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2.检测限：20mg/kg；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塑料漏斗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1.使用食品级塑料材质；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2.直径：≥60mm，长度：≥100mm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200ul移液枪</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1.数字视窗。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2.具备管嘴推出器。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3.配有可替换疏水性滤芯。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 具有防腐性，可高温高压灭菌。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95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1ml移液枪</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1.数字视窗。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2.具备管嘴推出器。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3.配有可替换疏水性滤芯。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 具有防腐性，可高温高压灭菌。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5ml移液枪</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 1.数字视窗。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2.具备管嘴推出器。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3.配有可替换疏水性滤芯。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 具有防腐性，可高温高压灭菌。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一次性医用乳胶手套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1.纯丁腈材质，坚韧耐穿刺；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2.高弹不勒手，防滑不易掉落；</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3.触屏顺滑无阻，操作触摸屏无需脱下手套。</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4.指尖微麻面设计。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1.尺寸：≥75mm*75mm；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2.包装：≥500张/袋；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3.纸质光滑不易黏附，不易吸潮，不易褶皱。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有机玻璃离心管架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1.规格：15ml*18；</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2.材质：亚克力塑料；厚度：≥4mm；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3.接口开槽设计，更牢固。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有机玻璃离心管架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1.规格：50ml*8；</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2.材质：亚克力塑料；厚度：≥4mm；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3.接口开槽设计，更牢固。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34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50ml螺盖圆底离心管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2.原生PP材料，无菌无酶无热源；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421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15ml螺盖圆底离心管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10ml 带盖圆底离心管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5ml 连盖圆底离心管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塑料200ul枪头盒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8*12孔</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1.全新PP材质，做工精美，边缘光滑无毛刺；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2.盒体可拆分；便于整体清洁。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3.可耐121℃高温灭菌。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塑料1ml枪头盒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6*10孔</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1.全新PP材质，做工精美，边缘光滑无毛刺；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2.盒体可拆分；便于整体清洁。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3.可耐121℃高温灭菌。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塑料5ml枪头盒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4*7孔</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1.全新PP材质，做工精美，边缘光滑无毛刺；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2.盒体可拆分；便于整体清洁。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3.可耐121℃高温灭菌。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黄色200ul枪头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1.采用优质聚丙烯PP材质，内壁口光滑，耐酸碱，耐高温灭菌；</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2.接口处螺口设计，更紧密，不易脱落和漏气。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蓝色1ml枪头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1.采用优质聚丙烯PP材质，内壁口光滑，耐酸碱，耐高温灭菌；</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2.接口处螺口设计，更紧密，不易脱落和漏气。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白色5ml枪头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1.采用优质聚丙烯PP材质，内壁口光滑，耐酸碱，耐高温灭菌；</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2.接口处螺口设计，更紧密，不易脱落和漏气。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一次性医用口罩</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1.符合YY0469-2011标准；</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2.轻柔宽扁耳带，无勒感；</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3.三层过滤，中间层95级为熔喷布。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长袖白大褂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均码/件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1.长袖，松紧袖口；</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2.棉含量：≥15%；</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3.透气不透光。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采样杯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1.容积：60ml；</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2.聚丙烯材质，密封性好，不漏液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3.具有磨砂面，可直接标记。</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4.刻度明显。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仪器热敏报告纸</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1.适用于快检中心快检仪使用；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2.单卷数量：≥200张。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中速定性滤纸</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1.最大孔径：15-20um；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2.材质：棉质纤维；</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3.灰分：≤0.15%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玻璃比色皿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1.光程：10mm；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2.玻璃或石英材质；两通光；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试剂架（多功能）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1.加厚HIPS材质；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2.表面光滑无毛刺凸起，不伤手；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3.有区分大小口设计，适用不同型号离心管。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宽胶带</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1.宽：≥45mm，长：≥50米；</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2.采用BOPP材质制作而成，强韧性，粘性高；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24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1.刀尖角度：≥60°，刃长：≥200cm；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2.精钢材质：50Cr15MoV；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1.尺寸：≥450mm×300mm，厚度：≥15mm；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2.食品级纯PE材质，实心一体砧板；</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3.防霉不掉渣。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53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绞肉机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1.刀片倾斜式设计，距离杯壁≤6mm，距离底部≤14mm；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2.刀轴孔浅无锯齿，易清洗；</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3.杯盖圆滑弧线加宽设计，无锐角，易清洗无残留。杯容量≥2L。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涡旋混匀器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1.最高转速≥3000rpm，转速可调；</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2.最大样品处理量≥50ml；</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3.可点动，可连续运行。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r>
            <w:r/>
          </w:p>
        </w:tc>
      </w:tr>
      <w:tr>
        <w:trPr>
          <w:trHeight w:val="79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1.运行中显示相对离心力（RCF）自动存储已运行的全部参数；</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2.超最高转速500r/min时，停机保护；</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3.无刷电机驱动、转速精准，低噪稳定；</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4.配置：主机一台（最高转速≥4000rpm），4*50ml角转子一个。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密封袋6号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2.尺寸≥：12cm×17cm；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密封袋8号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2.尺寸≥：17cm×24cm；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密封袋10号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2.尺寸≥：24cm×35cm；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密封袋13号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2.尺寸≥：35cm×45cm；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bl>
    <w:p>
      <w:pPr>
        <w:pStyle w:val="889"/>
        <w:numPr>
          <w:ilvl w:val="0"/>
          <w:numId w:val="0"/>
        </w:numPr>
        <w:jc w:val="both"/>
        <w:spacing w:beforeAutospacing="0" w:afterAutospacing="0" w:line="0" w:lineRule="atLeast"/>
        <w:widowControl w:val="off"/>
        <w:rPr>
          <w:rStyle w:val="911"/>
          <w:b/>
          <w:bCs/>
          <w:color w:val="000000" w:themeColor="text1"/>
          <w:sz w:val="24"/>
          <w:szCs w:val="24"/>
          <w:highlight w:val="red"/>
          <w:lang w:val="en-US" w:eastAsia="zh-CN" w:bidi="ar"/>
          <w14:textFill>
            <w14:solidFill>
              <w14:schemeClr w14:val="tx1"/>
            </w14:solidFill>
          </w14:textFill>
        </w:rPr>
      </w:pPr>
      <w:r>
        <w:rPr>
          <w:b/>
          <w:bCs/>
          <w:color w:val="000000" w:themeColor="text1"/>
          <w:sz w:val="24"/>
          <w:szCs w:val="24"/>
          <w:highlight w:val="red"/>
          <w:lang w:val="en-US" w:eastAsia="zh-CN" w:bidi="ar"/>
          <w14:textFill>
            <w14:solidFill>
              <w14:schemeClr w14:val="tx1"/>
            </w14:solidFill>
          </w14:textFill>
        </w:rPr>
      </w:r>
      <w:r/>
    </w:p>
    <w:p>
      <w:pPr>
        <w:pStyle w:val="889"/>
        <w:numPr>
          <w:ilvl w:val="0"/>
          <w:numId w:val="0"/>
        </w:numPr>
        <w:ind w:left="479" w:firstLine="92"/>
        <w:jc w:val="both"/>
        <w:spacing w:beforeAutospacing="0" w:afterAutospacing="0" w:line="0" w:lineRule="atLeast"/>
        <w:widowControl w:val="off"/>
        <w:rPr>
          <w:rStyle w:val="911"/>
          <w:rFonts w:hint="eastAsia"/>
          <w:color w:val="000000" w:themeColor="text1"/>
          <w:sz w:val="24"/>
          <w:szCs w:val="24"/>
          <w:highlight w:val="none"/>
          <w:lang w:val="en-US" w:eastAsia="zh-CN" w:bidi="ar"/>
          <w14:textFill>
            <w14:solidFill>
              <w14:schemeClr w14:val="tx1"/>
            </w14:solidFill>
          </w14:textFill>
        </w:rPr>
      </w:pPr>
      <w:r>
        <w:rPr>
          <w:rStyle w:val="911"/>
          <w:b/>
          <w:bCs/>
          <w:color w:val="000000" w:themeColor="text1"/>
          <w:sz w:val="24"/>
          <w:szCs w:val="24"/>
          <w:highlight w:val="none"/>
          <w:lang w:val="en-US" w:eastAsia="zh-CN" w:bidi="ar"/>
          <w14:textFill>
            <w14:solidFill>
              <w14:schemeClr w14:val="tx1"/>
            </w14:solidFill>
          </w14:textFill>
        </w:rPr>
        <w:t xml:space="preserve">★</w:t>
      </w:r>
      <w:r>
        <w:rPr>
          <w:rStyle w:val="911"/>
          <w:rFonts w:hint="eastAsia"/>
          <w:b/>
          <w:bCs/>
          <w:color w:val="000000" w:themeColor="text1"/>
          <w:sz w:val="24"/>
          <w:szCs w:val="24"/>
          <w:highlight w:val="none"/>
          <w:lang w:val="en-US" w:eastAsia="zh-CN" w:bidi="ar"/>
          <w14:textFill>
            <w14:solidFill>
              <w14:schemeClr w14:val="tx1"/>
            </w14:solidFill>
          </w14:textFill>
        </w:rPr>
        <w:t xml:space="preserve">采购清单中的检测试剂（序号1-55）的其他要求</w:t>
      </w:r>
      <w:r>
        <w:rPr>
          <w:rStyle w:val="911"/>
          <w:b/>
          <w:bCs/>
          <w:color w:val="000000" w:themeColor="text1"/>
          <w:sz w:val="24"/>
          <w:szCs w:val="24"/>
          <w:highlight w:val="none"/>
          <w:lang w:val="en-US" w:eastAsia="zh-CN" w:bidi="ar"/>
          <w14:textFill>
            <w14:solidFill>
              <w14:schemeClr w14:val="tx1"/>
            </w14:solidFill>
          </w14:textFill>
        </w:rPr>
        <w:t xml:space="preserve">：</w:t>
      </w:r>
      <w:r>
        <w:rPr>
          <w:rStyle w:val="911"/>
          <w:color w:val="000000" w:themeColor="text1"/>
          <w:sz w:val="24"/>
          <w:szCs w:val="24"/>
          <w:highlight w:val="none"/>
          <w:lang w:val="en-US" w:eastAsia="zh-CN" w:bidi="ar"/>
          <w14:textFill>
            <w14:solidFill>
              <w14:schemeClr w14:val="tx1"/>
            </w14:solidFill>
          </w14:textFill>
        </w:rPr>
        <w:br/>
      </w:r>
      <w:r>
        <w:rPr>
          <w:rStyle w:val="911"/>
          <w:color w:val="000000" w:themeColor="text1"/>
          <w:sz w:val="24"/>
          <w:szCs w:val="24"/>
          <w:highlight w:val="none"/>
          <w:lang w:val="en-US" w:eastAsia="zh-CN" w:bidi="ar"/>
          <w14:textFill>
            <w14:solidFill>
              <w14:schemeClr w14:val="tx1"/>
            </w14:solidFill>
          </w14:textFill>
        </w:rPr>
        <w:t xml:space="preserve">1、</w:t>
      </w:r>
      <w:r>
        <w:rPr>
          <w:rStyle w:val="911"/>
          <w:rFonts w:hint="eastAsia"/>
          <w:color w:val="000000" w:themeColor="text1"/>
          <w:sz w:val="24"/>
          <w:szCs w:val="24"/>
          <w:highlight w:val="none"/>
          <w:lang w:val="en-US" w:eastAsia="zh-CN" w:bidi="ar"/>
          <w14:textFill>
            <w14:solidFill>
              <w14:schemeClr w14:val="tx1"/>
            </w14:solidFill>
          </w14:textFill>
        </w:rPr>
        <w:t xml:space="preserve">快检试剂每条密封包装，外包装上应印有产品名称、品牌、生产厂名、生产日期、有效期等相关标识；需带塑料模板，不能为裸条。</w:t>
      </w:r>
      <w:r/>
    </w:p>
    <w:p>
      <w:pPr>
        <w:pStyle w:val="889"/>
        <w:numPr>
          <w:ilvl w:val="0"/>
          <w:numId w:val="0"/>
        </w:numPr>
        <w:ind w:firstLine="480"/>
        <w:jc w:val="both"/>
        <w:spacing w:beforeAutospacing="0" w:afterAutospacing="0" w:line="0" w:lineRule="atLeast"/>
        <w:widowControl w:val="off"/>
        <w:rPr>
          <w:rStyle w:val="911"/>
          <w:color w:val="000000" w:themeColor="text1"/>
          <w:sz w:val="24"/>
          <w:szCs w:val="24"/>
          <w:highlight w:val="none"/>
          <w:lang w:val="en-US" w:eastAsia="zh-CN" w:bidi="ar"/>
          <w14:textFill>
            <w14:solidFill>
              <w14:schemeClr w14:val="tx1"/>
            </w14:solidFill>
          </w14:textFill>
        </w:rPr>
      </w:pPr>
      <w:r>
        <w:rPr>
          <w:rStyle w:val="911"/>
          <w:rFonts w:hint="eastAsia"/>
          <w:color w:val="000000" w:themeColor="text1"/>
          <w:sz w:val="24"/>
          <w:szCs w:val="24"/>
          <w:highlight w:val="none"/>
          <w:lang w:val="en-US" w:eastAsia="zh-CN" w:bidi="ar"/>
          <w14:textFill>
            <w14:solidFill>
              <w14:schemeClr w14:val="tx1"/>
            </w14:solidFill>
          </w14:textFill>
        </w:rPr>
        <w:t xml:space="preserve">2、胶体金快检试剂盒配套齐全的前处理试剂，无需额外再购买试剂。</w:t>
      </w:r>
      <w:r/>
    </w:p>
    <w:p>
      <w:pPr>
        <w:pStyle w:val="889"/>
        <w:numPr>
          <w:ilvl w:val="0"/>
          <w:numId w:val="0"/>
        </w:numPr>
        <w:ind w:firstLine="502"/>
        <w:jc w:val="both"/>
        <w:spacing w:beforeAutospacing="0" w:afterAutospacing="0" w:line="0" w:lineRule="atLeast"/>
        <w:widowControl w:val="off"/>
        <w:rPr>
          <w:rStyle w:val="911"/>
          <w:rFonts w:hint="eastAsia"/>
          <w:color w:val="000000" w:themeColor="text1"/>
          <w:sz w:val="24"/>
          <w:szCs w:val="24"/>
          <w:highlight w:val="green"/>
          <w:lang w:val="en-US" w:eastAsia="zh-CN" w:bidi="ar"/>
          <w14:textFill>
            <w14:solidFill>
              <w14:schemeClr w14:val="tx1"/>
            </w14:solidFill>
          </w14:textFill>
        </w:rPr>
      </w:pPr>
      <w:r>
        <w:rPr>
          <w:rStyle w:val="911"/>
          <w:rFonts w:hint="eastAsia"/>
          <w:color w:val="000000" w:themeColor="text1"/>
          <w:sz w:val="24"/>
          <w:szCs w:val="24"/>
          <w:highlight w:val="none"/>
          <w:lang w:val="en-US" w:eastAsia="zh-CN" w:bidi="ar"/>
          <w14:textFill>
            <w14:solidFill>
              <w14:schemeClr w14:val="tx1"/>
            </w14:solidFill>
          </w14:textFill>
        </w:rPr>
        <w:t xml:space="preserve">3、快速试剂使用期间，供货方要确保快检结果可配套ZH-3009H型号快检设备读卡功能，并通过设备配套软件上传到盐城快检平台或其他快检平台（如江苏省农产品追溯平台等）。</w:t>
      </w:r>
      <w:r/>
    </w:p>
    <w:p>
      <w:pPr>
        <w:pStyle w:val="893"/>
        <w:ind w:right="-92" w:firstLine="480"/>
        <w:rPr>
          <w:rFonts w:hint="default"/>
          <w:b w:val="0"/>
          <w:bCs w:val="0"/>
          <w:color w:val="000000" w:themeColor="text1"/>
          <w:szCs w:val="22"/>
          <w:highlight w:val="magenta"/>
          <w:lang w:val="en-US" w:eastAsia="zh-CN"/>
          <w14:textFill>
            <w14:solidFill>
              <w14:schemeClr w14:val="tx1"/>
            </w14:solidFill>
          </w14:textFill>
        </w:rPr>
        <w:outlineLvl w:val="1"/>
      </w:pPr>
      <w:r>
        <w:rPr>
          <w:rFonts w:hint="eastAsia"/>
          <w:b w:val="0"/>
          <w:bCs w:val="0"/>
          <w:color w:val="000000" w:themeColor="text1"/>
          <w:szCs w:val="22"/>
          <w:highlight w:val="none"/>
          <w:lang w:val="en-US" w:eastAsia="zh-CN"/>
          <w14:textFill>
            <w14:solidFill>
              <w14:schemeClr w14:val="tx1"/>
            </w14:solidFill>
          </w14:textFill>
        </w:rPr>
        <w:t xml:space="preserve">标注“</w:t>
      </w:r>
      <w:r>
        <w:rPr>
          <w:rFonts w:hint="eastAsia" w:ascii="仿宋_GB2312" w:hAnsi="仿宋_GB2312" w:eastAsia="仿宋_GB2312" w:cs="仿宋_GB2312"/>
          <w:b w:val="0"/>
          <w:bCs w:val="0"/>
          <w:color w:val="000000" w:themeColor="text1"/>
          <w:sz w:val="21"/>
          <w:szCs w:val="21"/>
          <w:highlight w:val="none"/>
          <w:vertAlign w:val="baseline"/>
          <w:lang w:val="en-US" w:eastAsia="zh-CN" w:bidi="ar-SA"/>
          <w14:textFill>
            <w14:solidFill>
              <w14:schemeClr w14:val="tx1"/>
            </w14:solidFill>
          </w14:textFill>
        </w:rPr>
        <w:t xml:space="preserve">★</w:t>
      </w:r>
      <w:r>
        <w:rPr>
          <w:rFonts w:hint="eastAsia"/>
          <w:b w:val="0"/>
          <w:bCs w:val="0"/>
          <w:color w:val="000000" w:themeColor="text1"/>
          <w:szCs w:val="22"/>
          <w:highlight w:val="none"/>
          <w:lang w:val="en-US" w:eastAsia="zh-CN"/>
          <w14:textFill>
            <w14:solidFill>
              <w14:schemeClr w14:val="tx1"/>
            </w14:solidFill>
          </w14:textFill>
        </w:rPr>
        <w:t xml:space="preserve">”的条款为本项目实质性要求，必须满足要求，如有负偏离将作为无效投标处理。</w:t>
      </w:r>
      <w:r>
        <w:rPr>
          <w:rFonts w:hint="eastAsia"/>
          <w:b w:val="0"/>
          <w:bCs w:val="0"/>
          <w:color w:val="000000" w:themeColor="text1"/>
          <w:szCs w:val="22"/>
          <w:highlight w:val="magenta"/>
          <w:lang w:val="en-US" w:eastAsia="zh-CN"/>
          <w14:textFill>
            <w14:solidFill>
              <w14:schemeClr w14:val="tx1"/>
            </w14:solidFill>
          </w14:textFill>
        </w:rPr>
        <w:t xml:space="preserve">（投标时提供承诺书并加盖公章，格式自拟。）</w:t>
      </w:r>
      <w:r/>
    </w:p>
    <w:p>
      <w:pPr>
        <w:pStyle w:val="889"/>
        <w:numPr>
          <w:ilvl w:val="0"/>
          <w:numId w:val="0"/>
        </w:numPr>
        <w:ind w:firstLine="502"/>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Style w:val="911"/>
          <w:color w:val="000000" w:themeColor="text1"/>
          <w:lang w:val="en-US" w:eastAsia="zh-CN" w:bidi="ar"/>
          <w14:textFill>
            <w14:solidFill>
              <w14:schemeClr w14:val="tx1"/>
            </w14:solidFill>
          </w14:textFill>
        </w:rPr>
        <w:t xml:space="preserve"> </w:t>
      </w:r>
      <w:r/>
    </w:p>
    <w:p>
      <w:pPr>
        <w:pStyle w:val="889"/>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服务要求</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magenta"/>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（1）、投标人所投产品中的水产品药物残留快速检测卡的生产企业需属于农业农村部农产品质量安全监管司2025年1月公布的《关于2024年度农兽药残留快速检测产品评价结果的通报》所列评价全部通过的企业。</w:t>
      </w:r>
      <w:r>
        <w:rPr>
          <w:rFonts w:hint="eastAsia" w:ascii="宋体" w:hAnsi="宋体" w:eastAsia="宋体" w:cs="宋体"/>
          <w:b/>
          <w:bCs/>
          <w:color w:val="000000" w:themeColor="text1"/>
          <w:sz w:val="24"/>
          <w:szCs w:val="24"/>
          <w:highlight w:val="magenta"/>
          <w:lang w:val="en-US" w:eastAsia="zh-CN"/>
          <w14:textFill>
            <w14:solidFill>
              <w14:schemeClr w14:val="tx1"/>
            </w14:solidFill>
          </w14:textFill>
        </w:rPr>
        <w:t xml:space="preserve">（投标时提供承诺书并加盖公章，格式自拟。）</w:t>
      </w:r>
      <w:r/>
    </w:p>
    <w:p>
      <w:pPr>
        <w:ind w:firstLine="482"/>
        <w:jc w:val="left"/>
        <w:keepLines w:val="0"/>
        <w:keepNext w:val="0"/>
        <w:pageBreakBefore w:val="0"/>
        <w:spacing w:line="360" w:lineRule="auto"/>
        <w:shd w:val="clear" w:color="auto"/>
        <w:widowControl w:val="off"/>
        <w:rPr>
          <w:rFonts w:hint="eastAsia" w:ascii="宋体" w:hAnsi="宋体" w:eastAsia="宋体" w:cs="宋体"/>
          <w:b/>
          <w:bCs/>
          <w:i/>
          <w:iCs/>
          <w:color w:val="000000" w:themeColor="text1"/>
          <w:sz w:val="28"/>
          <w:szCs w:val="28"/>
          <w:highlight w:val="green"/>
          <w:u w:val="single"/>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（2）、供应商提供的检测试剂需不少于3种品牌，其中主要品牌检测试剂的供货量占比为80%，副品牌（不少于2种）检测试剂供货量占比为20%。主品牌的检测试剂需包含本项目中的所有试剂类型。</w:t>
      </w:r>
      <w:r>
        <w:rPr>
          <w:rFonts w:hint="eastAsia" w:ascii="宋体" w:hAnsi="宋体" w:eastAsia="宋体" w:cs="宋体"/>
          <w:b/>
          <w:bCs/>
          <w:color w:val="000000" w:themeColor="text1"/>
          <w:sz w:val="24"/>
          <w:szCs w:val="24"/>
          <w:highlight w:val="magenta"/>
          <w:lang w:val="en-US" w:eastAsia="zh-CN"/>
          <w14:textFill>
            <w14:solidFill>
              <w14:schemeClr w14:val="tx1"/>
            </w14:solidFill>
          </w14:textFill>
        </w:rPr>
        <w:t xml:space="preserve">（投标时提供承诺书并加盖公章，格式自拟。）</w:t>
      </w:r>
      <w:r>
        <w:rPr>
          <w:rFonts w:hint="eastAsia" w:ascii="宋体" w:hAnsi="宋体" w:eastAsia="宋体" w:cs="宋体"/>
          <w:b/>
          <w:bCs/>
          <w:i/>
          <w:iCs/>
          <w:color w:val="000000" w:themeColor="text1"/>
          <w:sz w:val="28"/>
          <w:szCs w:val="28"/>
          <w:u w:val="single"/>
          <w:lang w:val="en-US" w:eastAsia="zh-CN"/>
          <w14:textFill>
            <w14:solidFill>
              <w14:schemeClr w14:val="tx1"/>
            </w14:solidFill>
          </w14:textFill>
        </w:rPr>
        <w:t xml:space="preserve">中标后提供主要品牌检测试剂生产厂家针对本项目的质量承诺函。</w:t>
      </w:r>
      <w:r/>
    </w:p>
    <w:p>
      <w:pPr>
        <w:pStyle w:val="893"/>
        <w:ind w:firstLine="420"/>
        <w:keepLines w:val="0"/>
        <w:keepNext w:val="0"/>
        <w:pageBreakBefore w:val="0"/>
        <w:spacing w:line="360" w:lineRule="auto"/>
        <w:shd w:val="clear" w:color="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采购人不定时（随机抽查）对本服务工作进行抽查，同时提出意见和建议，促进此项目工作良性的持续发展。</w:t>
      </w:r>
      <w:r/>
    </w:p>
    <w:p>
      <w:pPr>
        <w:pStyle w:val="893"/>
        <w:ind w:firstLine="420"/>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在试剂提供过程中配合采购人因快检工作实际需求，进行试剂品种、品牌及数量的相应调整。</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其内容包含但不限于以下内容：</w:t>
      </w:r>
      <w:r/>
    </w:p>
    <w:p>
      <w:pPr>
        <w:pStyle w:val="889"/>
        <w:numPr>
          <w:ilvl w:val="0"/>
          <w:numId w:val="12"/>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采购标的需实现的功能或者目标，以及为落实政府采购政策需满足的要求；</w:t>
      </w:r>
      <w:r/>
    </w:p>
    <w:p>
      <w:pPr>
        <w:pStyle w:val="889"/>
        <w:numPr>
          <w:ilvl w:val="0"/>
          <w:numId w:val="0"/>
        </w:numPr>
        <w:ind w:firstLine="482"/>
        <w:jc w:val="both"/>
        <w:spacing w:beforeAutospacing="0" w:afterAutospacing="0" w:line="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的价格扣除，用扣除后的价格参与评审。供应商未填写比例数值，或比例数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值未达到8</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0%的，将不享受本国产品价格评审优惠。</w:t>
      </w:r>
      <w:r/>
    </w:p>
    <w:p>
      <w:pPr>
        <w:pStyle w:val="889"/>
        <w:numPr>
          <w:ilvl w:val="0"/>
          <w:numId w:val="12"/>
        </w:numPr>
        <w:ind w:left="0" w:firstLine="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采购标的需执行的国家相关标准、行业标准、地方标准或者其他标准、规范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89"/>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0"/>
        </w:numPr>
        <w:ind w:firstLine="562"/>
        <w:jc w:val="both"/>
        <w:spacing w:beforeAutospacing="0" w:afterAutospacing="0" w:line="0" w:lineRule="atLeast"/>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所提供的试剂性能及质量有国家标准的应符合国家标准。无国家标准的应符合行业标准或企业标准，并满足采购文件要求，实现响应文件承诺条款。</w:t>
      </w:r>
      <w:r/>
    </w:p>
    <w:p>
      <w:pPr>
        <w:pStyle w:val="889"/>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12"/>
        </w:numPr>
        <w:ind w:left="0" w:firstLine="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采购标的需满足的质量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14:textFill>
            <w14:solidFill>
              <w14:schemeClr w14:val="tx1"/>
            </w14:solidFill>
          </w14:textFill>
        </w:rPr>
        <w:t xml:space="preserve">等要求；</w:t>
      </w:r>
      <w:r/>
    </w:p>
    <w:p>
      <w:pPr>
        <w:pStyle w:val="889"/>
        <w:numPr>
          <w:ilvl w:val="0"/>
          <w:numId w:val="0"/>
        </w:numPr>
        <w:ind w:firstLine="7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0"/>
        </w:numPr>
        <w:ind w:firstLine="7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投标人须明确所投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宋体"/>
          <w:color w:val="000000" w:themeColor="text1"/>
          <w:sz w:val="24"/>
          <w:szCs w:val="24"/>
          <w:highlight w:val="none"/>
          <w14:textFill>
            <w14:solidFill>
              <w14:schemeClr w14:val="tx1"/>
            </w14:solidFill>
          </w14:textFill>
        </w:rPr>
        <w:t xml:space="preserve">的生产厂家、规格等。</w:t>
      </w:r>
      <w:r/>
    </w:p>
    <w:p>
      <w:pPr>
        <w:numPr>
          <w:ilvl w:val="0"/>
          <w:numId w:val="0"/>
        </w:numPr>
        <w:ind w:firstLine="562"/>
        <w:jc w:val="left"/>
        <w:keepLines w:val="0"/>
        <w:keepNext w:val="0"/>
        <w:pageBreakBefore w:val="0"/>
        <w:spacing w:line="360" w:lineRule="auto"/>
        <w:shd w:val="clear" w:color="auto"/>
        <w:widowControl w:val="off"/>
        <w:rPr>
          <w:rFonts w:hint="eastAsia"/>
          <w:b/>
          <w:bCs/>
          <w:color w:val="000000" w:themeColor="text1"/>
          <w:sz w:val="22"/>
          <w:szCs w:val="28"/>
          <w:highlight w:val="magenta"/>
          <w:lang w:val="en-US" w:eastAsia="zh-CN"/>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供应商在本项目所提供的快检试剂和耗材质保期不少于1年，自交付验收通过之日起计算。试剂外包装标识所显示的剩余保质有效期限应不少于10个月。提供非人为坏损、失效的退换等服务。</w:t>
      </w:r>
      <w:r>
        <w:rPr>
          <w:rFonts w:hint="eastAsia" w:ascii="仿宋" w:hAnsi="仿宋" w:eastAsia="仿宋" w:cs="仿宋"/>
          <w:b/>
          <w:bCs/>
          <w:color w:val="000000" w:themeColor="text1"/>
          <w:sz w:val="28"/>
          <w:szCs w:val="28"/>
          <w:highlight w:val="magenta"/>
          <w14:textFill>
            <w14:solidFill>
              <w14:schemeClr w14:val="tx1"/>
            </w14:solidFill>
          </w14:textFill>
        </w:rPr>
        <w:t xml:space="preserve">（投标时提供承诺书并加盖公章，格式自拟。）</w:t>
      </w:r>
      <w:r/>
    </w:p>
    <w:p>
      <w:pPr>
        <w:pStyle w:val="889"/>
        <w:numPr>
          <w:ilvl w:val="0"/>
          <w:numId w:val="0"/>
        </w:numPr>
        <w:jc w:val="both"/>
        <w:spacing w:beforeAutospacing="0" w:afterAutospacing="0" w:line="0" w:lineRule="atLeas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投标人应保证货物是全新、未使用过的原厂合格产品，并完全符合招标文件规定的质量、规格和参数的要求。</w:t>
      </w:r>
      <w:r/>
    </w:p>
    <w:p>
      <w:pPr>
        <w:pStyle w:val="889"/>
        <w:numPr>
          <w:ilvl w:val="0"/>
          <w:numId w:val="0"/>
        </w:numPr>
        <w:ind w:firstLine="720"/>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若发生安全问题，由中标方自行负责处理并承担一切经济和法律责任，其与招标单位一切无关，同时按合同要求保证项目进度，按时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9"/>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12"/>
        </w:numPr>
        <w:ind w:left="0" w:firstLine="0"/>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采购项目交付或者实施的地点；</w:t>
      </w:r>
      <w:r/>
    </w:p>
    <w:p>
      <w:pPr>
        <w:pStyle w:val="889"/>
        <w:numPr>
          <w:ilvl w:val="0"/>
          <w:numId w:val="0"/>
        </w:numPr>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履约地点：</w:t>
      </w:r>
      <w:r>
        <w:rPr>
          <w:rFonts w:hint="eastAsia" w:ascii="仿宋" w:hAnsi="仿宋" w:eastAsia="仿宋" w:cs="仿宋"/>
          <w:b/>
          <w:bCs/>
          <w:color w:val="000000" w:themeColor="text1"/>
          <w:sz w:val="28"/>
          <w:szCs w:val="28"/>
          <w:highlight w:val="none"/>
          <w14:textFill>
            <w14:solidFill>
              <w14:schemeClr w14:val="tx1"/>
            </w14:solidFill>
          </w14:textFill>
        </w:rPr>
        <w:t xml:space="preserve">根据采购人的要求分批配送快检试剂到指定地点。</w:t>
      </w:r>
      <w:r/>
    </w:p>
    <w:p>
      <w:pPr>
        <w:pStyle w:val="889"/>
        <w:numPr>
          <w:ilvl w:val="0"/>
          <w:numId w:val="12"/>
        </w:numPr>
        <w:ind w:left="0" w:firstLine="0"/>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采购标的需满足的服务标准、期限等要求；</w:t>
      </w:r>
      <w:r/>
    </w:p>
    <w:p>
      <w:pPr>
        <w:pStyle w:val="889"/>
        <w:numPr>
          <w:ilvl w:val="0"/>
          <w:numId w:val="0"/>
        </w:numPr>
        <w:jc w:val="both"/>
        <w:spacing w:beforeAutospacing="0" w:afterAutospacing="0" w:line="0" w:lineRule="atLeast"/>
        <w:tabs>
          <w:tab w:val="left" w:pos="817"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提供7×24小时技术支持和服务，接到问题时，2小时内作出响应，对重大问题提供现场技术支持，6小时内到达指定现场。</w:t>
      </w:r>
      <w:r/>
    </w:p>
    <w:p>
      <w:pPr>
        <w:pStyle w:val="889"/>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合同履行期限：自本合同签订之日起12个月，按需供货，每次接到甲方供货通知后7日内完成供货。</w:t>
      </w:r>
      <w:r/>
    </w:p>
    <w:p>
      <w:pPr>
        <w:pStyle w:val="889"/>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12"/>
        </w:numPr>
        <w:ind w:left="0" w:firstLine="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采购标的的验收标准；</w:t>
      </w:r>
      <w:r/>
    </w:p>
    <w:p>
      <w:pPr>
        <w:numPr>
          <w:ilvl w:val="0"/>
          <w:numId w:val="13"/>
        </w:numPr>
        <w:ind w:firstLine="562"/>
        <w:jc w:val="left"/>
        <w:keepLines w:val="0"/>
        <w:keepNext w:val="0"/>
        <w:pageBreakBefore w:val="0"/>
        <w:spacing w:line="360" w:lineRule="auto"/>
        <w:shd w:val="clear" w:color="auto"/>
        <w:widowControl w:val="off"/>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快检试剂送达后，采购方对其数量、品种、规格等进行检查验收，如不合格应无条件退货或换货，需提供检测试剂生产厂家及投标人的承诺书。</w:t>
      </w:r>
      <w:r/>
    </w:p>
    <w:p>
      <w:pPr>
        <w:numPr>
          <w:ilvl w:val="0"/>
          <w:numId w:val="0"/>
        </w:numPr>
        <w:ind w:firstLine="281"/>
        <w:jc w:val="left"/>
        <w:keepLines w:val="0"/>
        <w:keepNext w:val="0"/>
        <w:pageBreakBefore w:val="0"/>
        <w:spacing w:line="360" w:lineRule="auto"/>
        <w:shd w:val="clear" w:color="auto"/>
        <w:widowControl w:val="off"/>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14:textFill>
            <w14:solidFill>
              <w14:schemeClr w14:val="tx1"/>
            </w14:solidFill>
          </w14:textFill>
        </w:rPr>
        <w:t xml:space="preserve">所提供的试剂性能及质量有国家标准的应符合国家标准。无国家标准的应符合行业标准或企业标准，并满足采购文件要求，实现响应文件承诺条款。</w:t>
      </w:r>
      <w:r/>
    </w:p>
    <w:p>
      <w:pPr>
        <w:ind w:firstLine="562"/>
        <w:jc w:val="left"/>
        <w:keepLines w:val="0"/>
        <w:keepNext w:val="0"/>
        <w:pageBreakBefore w:val="0"/>
        <w:spacing w:line="360" w:lineRule="auto"/>
        <w:shd w:val="clear" w:color="auto"/>
        <w:widowControl w:val="off"/>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14:textFill>
            <w14:solidFill>
              <w14:schemeClr w14:val="tx1"/>
            </w14:solidFill>
          </w14:textFill>
        </w:rPr>
        <w:t xml:space="preserve">对检测项目及主要检测品种进行预检，如达不到采购文件中的要求则必须整改，直到整改通过。</w:t>
      </w:r>
      <w:r/>
    </w:p>
    <w:p>
      <w:pPr>
        <w:pStyle w:val="880"/>
        <w:rPr>
          <w:rFonts w:hint="default" w:eastAsia="仿宋"/>
          <w:color w:val="000000" w:themeColor="text1"/>
          <w:highlight w:val="red"/>
          <w:lang w:val="en-US" w:eastAsia="zh-CN"/>
          <w14:textFill>
            <w14:solidFill>
              <w14:schemeClr w14:val="tx1"/>
            </w14:solidFill>
          </w14:textFill>
        </w:rPr>
      </w:pPr>
      <w:r>
        <w:rPr>
          <w:rFonts w:hint="eastAsia" w:ascii="仿宋" w:hAnsi="仿宋" w:eastAsia="仿宋" w:cs="仿宋"/>
          <w:b/>
          <w:bCs/>
          <w:color w:val="000000" w:themeColor="text1"/>
          <w:sz w:val="28"/>
          <w:szCs w:val="28"/>
          <w:highlight w:val="green"/>
          <w:lang w:val="en-US" w:eastAsia="zh-CN"/>
          <w14:textFill>
            <w14:solidFill>
              <w14:schemeClr w14:val="tx1"/>
            </w14:solidFill>
          </w14:textFill>
        </w:rPr>
        <w:t xml:space="preserve">注意：验收标准里需提供检测试剂生产厂家及投标人的承诺书，是指中标单位中标后提供。</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、采购标的的服务等要求。</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对采购人的检测人员进行业务指导、培训。在服务期间内，免费提供不少于3次的检测人员食品安全和快检专业知识培训。协助采购人处置相关食品安全举报投诉，保障食品安全的快检服务工作正常运行。</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9"/>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非单一产品采购项目，采购标的中的核心产品。</w:t>
      </w:r>
      <w:r/>
    </w:p>
    <w:p>
      <w:pPr>
        <w:pStyle w:val="889"/>
        <w:numPr>
          <w:ilvl w:val="0"/>
          <w:numId w:val="0"/>
        </w:numPr>
        <w:jc w:val="both"/>
        <w:spacing w:beforeAutospacing="0" w:afterAutospacing="0" w:line="0" w:lineRule="atLeast"/>
        <w:rPr>
          <w:rFonts w:hint="default"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无核心产品</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9、</w:t>
      </w:r>
      <w:r>
        <w:rPr>
          <w:rFonts w:hint="eastAsia" w:ascii="宋体" w:hAnsi="宋体" w:eastAsia="宋体" w:cs="宋体"/>
          <w:i/>
          <w:color w:val="000000" w:themeColor="text1"/>
          <w:sz w:val="24"/>
          <w:szCs w:val="24"/>
          <w:highlight w:val="none"/>
          <w:u w:val="single"/>
          <w:shd w:val="clear" w:color="auto" w:fill="auto"/>
          <w:lang w:eastAsia="zh-CN"/>
          <w14:textFill>
            <w14:solidFill>
              <w14:schemeClr w14:val="tx1"/>
            </w14:solidFill>
          </w14:textFill>
        </w:rPr>
        <w:t xml:space="preserve">付款方式：合同签订时，经采购人与中标人根据实际情况协商一致，可支付合同总价的30%作为项目启动预付款；签订合同后，供货完成，验收合格后，支付合同金额90%，质保期满180天，支付剩余合同金额10%。中标方提供甲方认可的发票。以上付款均不计任何利息和相关费用，付款一律通过银行结转。相关付款手续由用户单位由财政部门报批后办理。</w:t>
      </w:r>
      <w:r/>
    </w:p>
    <w:p>
      <w:pPr>
        <w:pStyle w:val="889"/>
        <w:jc w:val="both"/>
        <w:spacing w:beforeAutospacing="0" w:afterAutospacing="0" w:line="0" w:lineRule="atLeast"/>
        <w:tabs>
          <w:tab w:val="left" w:pos="2242" w:leader="none"/>
        </w:tabs>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r>
      <w:r/>
    </w:p>
    <w:p>
      <w:pPr>
        <w:pStyle w:val="889"/>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lang w:val="en-US" w:eastAsia="zh-CN"/>
          <w14:textFill>
            <w14:solidFill>
              <w14:schemeClr w14:val="tx1"/>
            </w14:solidFill>
          </w14:textFill>
        </w:rPr>
        <w:t xml:space="preserve">10</w:t>
      </w: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、本项目不接受进口产品投标</w:t>
      </w:r>
      <w:r>
        <w:rPr>
          <w:rFonts w:hint="eastAsia" w:ascii="宋体" w:hAnsi="宋体" w:eastAsia="宋体" w:cs="宋体"/>
          <w:i/>
          <w:color w:val="000000" w:themeColor="text1"/>
          <w:sz w:val="24"/>
          <w:szCs w:val="24"/>
          <w:highlight w:val="none"/>
          <w:u w:val="single"/>
          <w:shd w:val="clear" w:color="auto" w:fill="auto"/>
          <w:lang w:eastAsia="zh-CN"/>
          <w14:textFill>
            <w14:solidFill>
              <w14:schemeClr w14:val="tx1"/>
            </w14:solidFill>
          </w14:textFill>
        </w:rPr>
        <w:t xml:space="preserve">。</w:t>
      </w:r>
      <w:r/>
    </w:p>
    <w:p>
      <w:pPr>
        <w:pStyle w:val="889"/>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、采购标的对应的中小企业划分标准所属行业一览表</w:t>
      </w:r>
      <w:r/>
    </w:p>
    <w:tbl>
      <w:tblPr>
        <w:tblStyle w:val="882"/>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工业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bl>
    <w:p>
      <w:pPr>
        <w:pStyle w:val="88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shd w:val="clear" w:color="auto"/>
        <w:rPr>
          <w:rFonts w:hint="eastAsia" w:ascii="仿宋" w:hAnsi="仿宋" w:eastAsia="仿宋" w:cs="仿宋"/>
          <w:b/>
          <w:bCs/>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其他</w:t>
      </w:r>
      <w:r/>
    </w:p>
    <w:p>
      <w:pPr>
        <w:ind w:firstLine="482"/>
        <w:jc w:val="left"/>
        <w:spacing w:line="360" w:lineRule="auto"/>
        <w:rPr>
          <w:rFonts w:hint="eastAsia" w:ascii="仿宋" w:hAnsi="仿宋" w:eastAsia="仿宋" w:cs="仿宋"/>
          <w:b/>
          <w:bCs/>
          <w:i/>
          <w:iCs/>
          <w:color w:val="000000" w:themeColor="text1"/>
          <w:sz w:val="28"/>
          <w:szCs w:val="28"/>
          <w14:textFill>
            <w14:solidFill>
              <w14:schemeClr w14:val="tx1"/>
            </w14:solidFill>
          </w14:textFill>
        </w:rPr>
        <w:outlineLvl w:val="0"/>
      </w:pPr>
      <w:r>
        <w:rPr>
          <w:rFonts w:hint="eastAsia" w:ascii="仿宋" w:hAnsi="仿宋" w:eastAsia="仿宋" w:cs="仿宋"/>
          <w:b/>
          <w:bCs/>
          <w:i/>
          <w:iCs/>
          <w:color w:val="000000" w:themeColor="text1"/>
          <w:sz w:val="24"/>
          <w:lang w:val="en-US" w:eastAsia="zh-CN"/>
          <w14:textFill>
            <w14:solidFill>
              <w14:schemeClr w14:val="tx1"/>
            </w14:solidFill>
          </w14:textFill>
        </w:rPr>
        <w:t xml:space="preserve">1、</w:t>
      </w:r>
      <w:r>
        <w:rPr>
          <w:rFonts w:hint="eastAsia" w:ascii="仿宋" w:hAnsi="仿宋" w:eastAsia="仿宋" w:cs="仿宋"/>
          <w:b/>
          <w:bCs/>
          <w:i/>
          <w:iCs/>
          <w:color w:val="000000" w:themeColor="text1"/>
          <w:sz w:val="28"/>
          <w:szCs w:val="28"/>
          <w14:textFill>
            <w14:solidFill>
              <w14:schemeClr w14:val="tx1"/>
            </w14:solidFill>
          </w14:textFill>
        </w:rPr>
        <w:t xml:space="preserve">供应商投标前应进行充分考虑各种风险，成交后不得以任何理由提出变更等理由减少产品数量、调整价格、服务质量等。</w:t>
      </w:r>
      <w:r/>
    </w:p>
    <w:p>
      <w:pPr>
        <w:ind w:firstLine="482"/>
        <w:jc w:val="left"/>
        <w:keepLines w:val="0"/>
        <w:keepNext w:val="0"/>
        <w:pageBreakBefore w:val="0"/>
        <w:spacing w:line="360" w:lineRule="auto"/>
        <w:shd w:val="clear" w:color="auto"/>
        <w:widowControl w:val="off"/>
        <w:rPr>
          <w:rFonts w:ascii="黑体" w:hAnsi="宋体" w:eastAsia="黑体" w:cs="黑体"/>
          <w:b/>
          <w:bCs/>
          <w:i/>
          <w:iCs/>
          <w:color w:val="000000" w:themeColor="text1"/>
          <w:sz w:val="44"/>
          <w:szCs w:val="44"/>
          <w:highlight w:val="none"/>
          <w14:textFill>
            <w14:solidFill>
              <w14:schemeClr w14:val="tx1"/>
            </w14:solidFill>
          </w14:textFill>
        </w:rPr>
      </w:pPr>
      <w:r>
        <w:rPr>
          <w:rFonts w:hint="eastAsia" w:ascii="仿宋" w:hAnsi="仿宋" w:eastAsia="仿宋" w:cs="仿宋"/>
          <w:b/>
          <w:bCs/>
          <w:i/>
          <w:iCs/>
          <w:color w:val="000000" w:themeColor="text1"/>
          <w:sz w:val="24"/>
          <w14:textFill>
            <w14:solidFill>
              <w14:schemeClr w14:val="tx1"/>
            </w14:solidFill>
          </w14:textFill>
        </w:rPr>
        <w:t xml:space="preserve">2</w:t>
      </w:r>
      <w:r>
        <w:rPr>
          <w:rFonts w:hint="eastAsia" w:ascii="仿宋" w:hAnsi="仿宋" w:eastAsia="仿宋" w:cs="仿宋"/>
          <w:b/>
          <w:bCs/>
          <w:i/>
          <w:iCs/>
          <w:color w:val="000000" w:themeColor="text1"/>
          <w:sz w:val="24"/>
          <w:lang w:eastAsia="zh-CN"/>
          <w14:textFill>
            <w14:solidFill>
              <w14:schemeClr w14:val="tx1"/>
            </w14:solidFill>
          </w14:textFill>
        </w:rPr>
        <w:t xml:space="preserve">、</w:t>
      </w:r>
      <w:r>
        <w:rPr>
          <w:rFonts w:hint="eastAsia" w:ascii="仿宋" w:hAnsi="仿宋" w:eastAsia="仿宋" w:cs="仿宋"/>
          <w:b/>
          <w:bCs/>
          <w:i/>
          <w:iCs/>
          <w:color w:val="000000" w:themeColor="text1"/>
          <w:sz w:val="28"/>
          <w:szCs w:val="28"/>
          <w14:textFill>
            <w14:solidFill>
              <w14:schemeClr w14:val="tx1"/>
            </w14:solidFill>
          </w14:textFill>
        </w:rPr>
        <w:t xml:space="preserve">未经采购方同意，供应商不得将抽样、检测数据对外泄露。</w:t>
      </w:r>
      <w:r/>
    </w:p>
    <w:p>
      <w:pPr>
        <w:pStyle w:val="889"/>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889"/>
        <w:ind w:firstLine="480"/>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r>
      <w:r/>
    </w:p>
    <w:p>
      <w:pPr>
        <w:pStyle w:val="889"/>
        <w:jc w:val="both"/>
        <w:spacing w:beforeAutospacing="0" w:afterAutospacing="0"/>
        <w:rPr>
          <w:rFonts w:hint="eastAsia"/>
          <w:color w:val="000000" w:themeColor="text1"/>
          <w:lang w:val="en-US" w:eastAsia="zh-CN"/>
          <w14:textFill>
            <w14:solidFill>
              <w14:schemeClr w14:val="tx1"/>
            </w14:solidFill>
          </w14:textFill>
        </w:rPr>
      </w:pPr>
      <w:r/>
      <w:bookmarkStart w:id="173" w:name="_Toc120614281"/>
      <w:r/>
      <w:r/>
    </w:p>
    <w:p>
      <w:pP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889"/>
        <w:ind w:firstLine="441"/>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901"/>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（1）本项目不专门面向中小企业采购，对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符合规定的</w:t>
      </w:r>
      <w:r>
        <w:rPr>
          <w:rFonts w:hint="eastAsia" w:ascii="宋体" w:hAnsi="宋体" w:eastAsia="宋体" w:cs="宋体"/>
          <w:color w:val="000000" w:themeColor="text1"/>
          <w:sz w:val="24"/>
          <w:szCs w:val="24"/>
          <w:highlight w:val="none"/>
          <w14:textFill>
            <w14:solidFill>
              <w14:schemeClr w14:val="tx1"/>
            </w14:solidFill>
          </w14:textFill>
        </w:rPr>
        <w:t xml:space="preserve">小型和微型企业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给予20%的扣除价格，用扣除后的价格参与评审；若专门面向中小企业采购，不再对小型和微型企业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给予价格扣除。</w:t>
      </w:r>
      <w:r/>
    </w:p>
    <w:p>
      <w:pPr>
        <w:pStyle w:val="889"/>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889"/>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pStyle w:val="889"/>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89"/>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pStyle w:val="889"/>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9"/>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Theme="minorEastAsia" w:hAnsiTheme="minorEastAsia" w:eastAsiaTheme="minorEastAsia" w:cstheme="minorEastAsia"/>
          <w:b/>
          <w:bCs/>
          <w:color w:val="000000" w:themeColor="text1"/>
          <w:sz w:val="24"/>
          <w:szCs w:val="24"/>
          <w:highlight w:val="yellow"/>
          <w14:textFill>
            <w14:solidFill>
              <w14:schemeClr w14:val="tx1"/>
            </w14:solidFill>
          </w14:textFill>
        </w:rPr>
        <w:t xml:space="preserve">未达到</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80%的，将不享受本国产品价格评审优惠。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 供应商需在《声明函》中逐一、准确填写产品名称、厂名、生产厂址三项信息，三项信息中任意一项未填写的视为该项产品不符合本国产品标准，不享受本国产品价格评审优惠。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pStyle w:val="889"/>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9"/>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9"/>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9"/>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9"/>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9"/>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9"/>
        <w:ind w:firstLine="482"/>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评标方法与评标标准</w:t>
      </w:r>
      <w:r>
        <w:rPr>
          <w:rFonts w:hint="eastAsia" w:ascii="宋体" w:hAnsi="宋体" w:eastAsia="宋体" w:cs="宋体"/>
          <w:color w:val="000000" w:themeColor="text1"/>
          <w:sz w:val="24"/>
          <w:szCs w:val="24"/>
          <w:highlight w:val="none"/>
          <w14:textFill>
            <w14:solidFill>
              <w14:schemeClr w14:val="tx1"/>
            </w14:solidFill>
          </w14:textFill>
        </w:rPr>
        <w:t xml:space="preserve"> </w:t>
      </w:r>
      <w:r/>
    </w:p>
    <w:tbl>
      <w:tblPr>
        <w:tblStyle w:val="882"/>
        <w:tblW w:w="9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41"/>
        <w:gridCol w:w="1350"/>
        <w:gridCol w:w="1065"/>
        <w:gridCol w:w="6300"/>
      </w:tblGrid>
      <w:tr>
        <w:trPr/>
        <w:tc>
          <w:tcPr>
            <w:tcMar>
              <w:left w:w="108" w:type="dxa"/>
              <w:right w:w="108" w:type="dxa"/>
            </w:tcMar>
            <w:tcW w:w="541"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序号</w:t>
            </w:r>
            <w:r/>
          </w:p>
        </w:tc>
        <w:tc>
          <w:tcPr>
            <w:gridSpan w:val="2"/>
            <w:tcMar>
              <w:left w:w="108" w:type="dxa"/>
              <w:right w:w="108" w:type="dxa"/>
            </w:tcMar>
            <w:tcW w:w="2415"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评分因素</w:t>
            </w:r>
            <w:r/>
          </w:p>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及权值</w:t>
            </w:r>
            <w:r/>
          </w:p>
        </w:tc>
        <w:tc>
          <w:tcPr>
            <w:tcMar>
              <w:left w:w="108" w:type="dxa"/>
              <w:right w:w="108" w:type="dxa"/>
            </w:tcMar>
            <w:tcW w:w="6300"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评分标准</w:t>
            </w:r>
            <w:r/>
          </w:p>
        </w:tc>
      </w:tr>
      <w:tr>
        <w:trPr/>
        <w:tc>
          <w:tcPr>
            <w:tcMar>
              <w:left w:w="108" w:type="dxa"/>
              <w:right w:w="108" w:type="dxa"/>
            </w:tcMar>
            <w:tcW w:w="541"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1</w:t>
            </w:r>
            <w:r/>
          </w:p>
        </w:tc>
        <w:tc>
          <w:tcPr>
            <w:gridSpan w:val="2"/>
            <w:shd w:val="clear" w:color="auto" w:fill="auto"/>
            <w:tcMar>
              <w:left w:w="108" w:type="dxa"/>
              <w:right w:w="108" w:type="dxa"/>
            </w:tcMar>
            <w:tcW w:w="241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投标报价</w:t>
            </w:r>
            <w:r/>
          </w:p>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（30分）</w:t>
            </w:r>
            <w:r/>
          </w:p>
        </w:tc>
        <w:tc>
          <w:tcPr>
            <w:shd w:val="clear" w:color="auto" w:fill="auto"/>
            <w:tcMar>
              <w:left w:w="108" w:type="dxa"/>
              <w:right w:w="108" w:type="dxa"/>
            </w:tcMar>
            <w:tcW w:w="6300" w:type="dxa"/>
            <w:vAlign w:val="center"/>
            <w:textDirection w:val="lrTb"/>
            <w:noWrap w:val="false"/>
          </w:tcPr>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投标人的价格分统一采用低价优先法计算，满足招标文件要求且投标价格最低的投标报价为评标基准价，其价格分为满分。其他投标人的价格分统一按照下列公式计算：</w:t>
            </w:r>
            <w:r/>
          </w:p>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投标报价得分=（评标基准价／投标报价）×30.00</w:t>
            </w:r>
            <w:r>
              <w:rPr>
                <w:rFonts w:hint="eastAsia" w:ascii="宋体" w:hAnsi="宋体" w:eastAsia="宋体" w:cs="宋体"/>
                <w:bCs/>
                <w:caps/>
                <w:color w:val="000000" w:themeColor="text1"/>
                <w:sz w:val="22"/>
                <w:szCs w:val="22"/>
                <w:highlight w:val="none"/>
                <w14:textFill>
                  <w14:solidFill>
                    <w14:schemeClr w14:val="tx1"/>
                  </w14:solidFill>
                </w14:textFill>
              </w:rPr>
              <w:t xml:space="preserve">（小数点后保留两位小数）</w:t>
            </w:r>
            <w:r/>
          </w:p>
        </w:tc>
      </w:tr>
      <w:tr>
        <w:trPr>
          <w:trHeight w:val="3856"/>
        </w:trPr>
        <w:tc>
          <w:tcPr>
            <w:tcMar>
              <w:left w:w="108" w:type="dxa"/>
              <w:right w:w="108" w:type="dxa"/>
            </w:tcMar>
            <w:tcW w:w="541" w:type="dxa"/>
            <w:vAlign w:val="center"/>
            <w:vMerge w:val="restart"/>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2</w:t>
            </w:r>
            <w:r/>
          </w:p>
        </w:tc>
        <w:tc>
          <w:tcPr>
            <w:shd w:val="clear" w:color="auto" w:fill="auto"/>
            <w:tcMar>
              <w:left w:w="108" w:type="dxa"/>
              <w:right w:w="108" w:type="dxa"/>
            </w:tcMar>
            <w:tcW w:w="1350" w:type="dxa"/>
            <w:vAlign w:val="center"/>
            <w:vMerge w:val="restart"/>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综合实力（33分）</w:t>
            </w:r>
            <w:r/>
          </w:p>
        </w:tc>
        <w:tc>
          <w:tcPr>
            <w:shd w:val="clear" w:color="auto" w:fill="auto"/>
            <w:tcMar>
              <w:left w:w="108" w:type="dxa"/>
              <w:right w:w="108" w:type="dxa"/>
            </w:tcMar>
            <w:tcW w:w="1065" w:type="dxa"/>
            <w:vAlign w:val="center"/>
            <w:textDirection w:val="lrTb"/>
            <w:noWrap w:val="false"/>
          </w:tcPr>
          <w:p>
            <w:pP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检测试剂制造能力覆盖率</w:t>
            </w:r>
            <w:r/>
          </w:p>
          <w:p>
            <w:pP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w:t>
            </w:r>
            <w:r>
              <w:rPr>
                <w:rFonts w:hint="eastAsia" w:ascii="宋体" w:hAnsi="宋体" w:eastAsia="宋体" w:cs="宋体"/>
                <w:bCs/>
                <w:color w:val="000000" w:themeColor="text1"/>
                <w:sz w:val="22"/>
                <w:szCs w:val="22"/>
                <w:lang w:val="en-US" w:eastAsia="zh-CN"/>
                <w14:textFill>
                  <w14:solidFill>
                    <w14:schemeClr w14:val="tx1"/>
                  </w14:solidFill>
                </w14:textFill>
              </w:rPr>
              <w:t xml:space="preserve">10</w:t>
            </w:r>
            <w:r>
              <w:rPr>
                <w:rFonts w:hint="eastAsia" w:ascii="宋体" w:hAnsi="宋体" w:eastAsia="宋体" w:cs="宋体"/>
                <w:bCs/>
                <w:color w:val="000000" w:themeColor="text1"/>
                <w:sz w:val="22"/>
                <w:szCs w:val="22"/>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同一个制造商提供“采购清单中的检测试剂（序号1-55）”的制造能力：</w:t>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按“采购需求”要求，供应商提供的检测试剂需不少于3种品牌，即须投三家制造商以上。不足三家的得0分；</w:t>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如提供的制造商制造能力不一致，按覆盖率最低的制造商计算；</w:t>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其覆盖率≥90%，得</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10</w:t>
            </w:r>
            <w:r>
              <w:rPr>
                <w:rFonts w:hint="eastAsia" w:ascii="宋体" w:hAnsi="宋体" w:eastAsia="宋体" w:cs="宋体"/>
                <w:b/>
                <w:bCs/>
                <w:color w:val="000000" w:themeColor="text1"/>
                <w:sz w:val="22"/>
                <w:szCs w:val="22"/>
                <w14:textFill>
                  <w14:solidFill>
                    <w14:schemeClr w14:val="tx1"/>
                  </w14:solidFill>
                </w14:textFill>
              </w:rPr>
              <w:t xml:space="preserve">分；70%≤覆盖率＜90%，得</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5</w:t>
            </w:r>
            <w:r>
              <w:rPr>
                <w:rFonts w:hint="eastAsia" w:ascii="宋体" w:hAnsi="宋体" w:eastAsia="宋体" w:cs="宋体"/>
                <w:b/>
                <w:bCs/>
                <w:color w:val="000000" w:themeColor="text1"/>
                <w:sz w:val="22"/>
                <w:szCs w:val="22"/>
                <w14:textFill>
                  <w14:solidFill>
                    <w14:schemeClr w14:val="tx1"/>
                  </w14:solidFill>
                </w14:textFill>
              </w:rPr>
              <w:t xml:space="preserve">分；覆盖率＜70%，得0分。</w:t>
            </w:r>
            <w:r>
              <w:rPr>
                <w:rFonts w:hint="eastAsia" w:ascii="宋体" w:hAnsi="宋体" w:eastAsia="宋体" w:cs="宋体"/>
                <w:b/>
                <w:bCs/>
                <w:color w:val="000000" w:themeColor="text1"/>
                <w:sz w:val="22"/>
                <w:szCs w:val="22"/>
                <w:highlight w:val="none"/>
                <w14:textFill>
                  <w14:solidFill>
                    <w14:schemeClr w14:val="tx1"/>
                  </w14:solidFill>
                </w14:textFill>
              </w:rPr>
              <w:t xml:space="preserve">（修约到小数点一位）</w:t>
            </w:r>
            <w:r/>
          </w:p>
          <w:p>
            <w:pP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注：1、采购清单中所有检测试剂（序号1-55）的制造能力单独计算是否覆盖；2、需提供具备检测试剂制造能力的公开证明文件，如成品的照片、产品彩页、网页截图、销售合同等；3、标明对应资质附表中的页码，评委现场核对，证明资料不完整或不一致的不计分。</w:t>
            </w:r>
            <w:r/>
          </w:p>
        </w:tc>
      </w:tr>
      <w:tr>
        <w:trPr/>
        <w:tc>
          <w:tcPr>
            <w:tcMar>
              <w:left w:w="108" w:type="dxa"/>
              <w:right w:w="108" w:type="dxa"/>
            </w:tcMar>
            <w:tcW w:w="541"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评价报告（8分）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投标人拟投入的</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主要品牌</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检测</w:t>
            </w:r>
            <w:r>
              <w:rPr>
                <w:rFonts w:hint="eastAsia" w:ascii="宋体" w:hAnsi="宋体" w:eastAsia="宋体" w:cs="宋体"/>
                <w:b/>
                <w:bCs w:val="0"/>
                <w:color w:val="000000" w:themeColor="text1"/>
                <w:sz w:val="22"/>
                <w:szCs w:val="22"/>
                <w:highlight w:val="none"/>
                <w14:textFill>
                  <w14:solidFill>
                    <w14:schemeClr w14:val="tx1"/>
                  </w14:solidFill>
                </w14:textFill>
              </w:rPr>
              <w:t xml:space="preserve">试剂（</w:t>
            </w:r>
            <w:r>
              <w:rPr>
                <w:rFonts w:hint="eastAsia" w:ascii="宋体" w:hAnsi="宋体" w:eastAsia="宋体" w:cs="宋体"/>
                <w:bCs/>
                <w:color w:val="000000" w:themeColor="text1"/>
                <w:sz w:val="22"/>
                <w:szCs w:val="22"/>
                <w:highlight w:val="none"/>
                <w14:textFill>
                  <w14:solidFill>
                    <w14:schemeClr w14:val="tx1"/>
                  </w14:solidFill>
                </w14:textFill>
              </w:rPr>
              <w:t xml:space="preserve">采购清单中序号1-5</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5）需</w:t>
            </w:r>
            <w:r>
              <w:rPr>
                <w:rFonts w:hint="eastAsia" w:ascii="宋体" w:hAnsi="宋体" w:eastAsia="宋体" w:cs="宋体"/>
                <w:bCs/>
                <w:color w:val="000000" w:themeColor="text1"/>
                <w:sz w:val="22"/>
                <w:szCs w:val="22"/>
                <w:highlight w:val="none"/>
                <w14:textFill>
                  <w14:solidFill>
                    <w14:schemeClr w14:val="tx1"/>
                  </w14:solidFill>
                </w14:textFill>
              </w:rPr>
              <w:t xml:space="preserve">具有省级或省级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以上法定检验检测单位</w:t>
            </w:r>
            <w:r>
              <w:rPr>
                <w:rFonts w:hint="eastAsia" w:ascii="宋体" w:hAnsi="宋体" w:eastAsia="宋体" w:cs="宋体"/>
                <w:bCs/>
                <w:color w:val="000000" w:themeColor="text1"/>
                <w:sz w:val="22"/>
                <w:szCs w:val="22"/>
                <w:highlight w:val="none"/>
                <w14:textFill>
                  <w14:solidFill>
                    <w14:schemeClr w14:val="tx1"/>
                  </w14:solidFill>
                </w14:textFill>
              </w:rPr>
              <w:t xml:space="preserve">出具的评价报告，满分8分</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14:textFill>
                  <w14:solidFill>
                    <w14:schemeClr w14:val="tx1"/>
                  </w14:solidFill>
                </w14:textFill>
              </w:rPr>
              <w:t xml:space="preserve">每</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少</w:t>
            </w:r>
            <w:r>
              <w:rPr>
                <w:rFonts w:hint="eastAsia" w:ascii="宋体" w:hAnsi="宋体" w:eastAsia="宋体" w:cs="宋体"/>
                <w:bCs/>
                <w:color w:val="000000" w:themeColor="text1"/>
                <w:sz w:val="22"/>
                <w:szCs w:val="22"/>
                <w:highlight w:val="none"/>
                <w14:textFill>
                  <w14:solidFill>
                    <w14:schemeClr w14:val="tx1"/>
                  </w14:solidFill>
                </w14:textFill>
              </w:rPr>
              <w:t xml:space="preserve">一份</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扣</w:t>
            </w:r>
            <w:r>
              <w:rPr>
                <w:rFonts w:hint="eastAsia" w:ascii="宋体" w:hAnsi="宋体" w:eastAsia="宋体" w:cs="宋体"/>
                <w:bCs/>
                <w:color w:val="000000" w:themeColor="text1"/>
                <w:sz w:val="22"/>
                <w:szCs w:val="22"/>
                <w:highlight w:val="none"/>
                <w14:textFill>
                  <w14:solidFill>
                    <w14:schemeClr w14:val="tx1"/>
                  </w14:solidFill>
                </w14:textFill>
              </w:rPr>
              <w:t xml:space="preserve">0.2分。提供证明材料复印件加盖投标人公章。</w:t>
            </w:r>
            <w:r/>
          </w:p>
        </w:tc>
      </w:tr>
      <w:tr>
        <w:trPr/>
        <w:tc>
          <w:tcPr>
            <w:tcMar>
              <w:left w:w="108" w:type="dxa"/>
              <w:right w:w="108" w:type="dxa"/>
            </w:tcMar>
            <w:tcW w:w="541"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产品验证（10分）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投标人在本项目中所投</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主要品牌检测试剂</w:t>
            </w:r>
            <w:r>
              <w:rPr>
                <w:rFonts w:hint="eastAsia" w:ascii="宋体" w:hAnsi="宋体" w:eastAsia="宋体" w:cs="宋体"/>
                <w:bCs/>
                <w:color w:val="000000" w:themeColor="text1"/>
                <w:sz w:val="22"/>
                <w:szCs w:val="22"/>
                <w:highlight w:val="none"/>
                <w14:textFill>
                  <w14:solidFill>
                    <w14:schemeClr w14:val="tx1"/>
                  </w14:solidFill>
                </w14:textFill>
              </w:rPr>
              <w:t xml:space="preserve">中的恩诺沙星和环丙沙星、孔雀石绿、氯霉素、</w:t>
            </w:r>
            <w:r>
              <w:rPr>
                <w:rFonts w:hint="eastAsia" w:ascii="宋体" w:hAnsi="宋体" w:eastAsia="宋体" w:cs="宋体"/>
                <w:bCs/>
                <w:color w:val="000000" w:themeColor="text1"/>
                <w:sz w:val="22"/>
                <w:szCs w:val="22"/>
                <w:highlight w:val="none"/>
                <w14:textFill>
                  <w14:solidFill>
                    <w14:schemeClr w14:val="tx1"/>
                  </w14:solidFill>
                </w14:textFill>
              </w:rPr>
              <w:t xml:space="preserve">硝基呋喃类代谢物、</w:t>
            </w:r>
            <w:r>
              <w:rPr>
                <w:rFonts w:hint="eastAsia" w:ascii="宋体" w:hAnsi="宋体" w:eastAsia="宋体" w:cs="宋体"/>
                <w:bCs/>
                <w:color w:val="000000" w:themeColor="text1"/>
                <w:sz w:val="22"/>
                <w:szCs w:val="22"/>
                <w:highlight w:val="none"/>
                <w14:textFill>
                  <w14:solidFill>
                    <w14:schemeClr w14:val="tx1"/>
                  </w14:solidFill>
                </w14:textFill>
              </w:rPr>
              <w:t xml:space="preserve">氧氟沙星、洛美沙星在2022—2025年</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农业农村部或其直属单位组织</w:t>
            </w:r>
            <w:r>
              <w:rPr>
                <w:rFonts w:hint="eastAsia" w:ascii="宋体" w:hAnsi="宋体" w:eastAsia="宋体" w:cs="宋体"/>
                <w:bCs/>
                <w:color w:val="000000" w:themeColor="text1"/>
                <w:sz w:val="22"/>
                <w:szCs w:val="22"/>
                <w:highlight w:val="none"/>
                <w14:textFill>
                  <w14:solidFill>
                    <w14:schemeClr w14:val="tx1"/>
                  </w14:solidFill>
                </w14:textFill>
              </w:rPr>
              <w:t xml:space="preserve">的水产品中药物残留快速检测产品筛选验证中至少有2年或2年以上通过了验证，并在验证中假阳性率和假阴性率均为0，以上都满足的得10分，其他情况不得分；在投标文件中提供相关证明材料盖章复印件，加盖投标人公章。</w:t>
            </w:r>
            <w:r/>
          </w:p>
        </w:tc>
      </w:tr>
      <w:tr>
        <w:trPr>
          <w:trHeight w:val="1570"/>
        </w:trPr>
        <w:tc>
          <w:tcPr>
            <w:tcMar>
              <w:left w:w="108" w:type="dxa"/>
              <w:right w:w="108" w:type="dxa"/>
            </w:tcMar>
            <w:tcW w:w="541"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产品认证（3分）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在本项目中投标人所投入的</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主要品牌</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检测</w:t>
            </w:r>
            <w:r>
              <w:rPr>
                <w:rFonts w:hint="eastAsia" w:ascii="宋体" w:hAnsi="宋体" w:eastAsia="宋体" w:cs="宋体"/>
                <w:b/>
                <w:bCs w:val="0"/>
                <w:color w:val="000000" w:themeColor="text1"/>
                <w:sz w:val="22"/>
                <w:szCs w:val="22"/>
                <w:highlight w:val="none"/>
                <w14:textFill>
                  <w14:solidFill>
                    <w14:schemeClr w14:val="tx1"/>
                  </w14:solidFill>
                </w14:textFill>
              </w:rPr>
              <w:t xml:space="preserve">试剂</w:t>
            </w:r>
            <w:r>
              <w:rPr>
                <w:rFonts w:hint="eastAsia" w:ascii="宋体" w:hAnsi="宋体" w:eastAsia="宋体" w:cs="宋体"/>
                <w:bCs/>
                <w:color w:val="000000" w:themeColor="text1"/>
                <w:sz w:val="22"/>
                <w:szCs w:val="22"/>
                <w:highlight w:val="none"/>
                <w14:textFill>
                  <w14:solidFill>
                    <w14:schemeClr w14:val="tx1"/>
                  </w14:solidFill>
                </w14:textFill>
              </w:rPr>
              <w:t xml:space="preserve">必须通过国家认证认可机构认证，有一种得3分，</w:t>
            </w:r>
            <w:r>
              <w:rPr>
                <w:rFonts w:hint="eastAsia" w:ascii="宋体" w:hAnsi="宋体" w:eastAsia="宋体" w:cs="宋体"/>
                <w:bCs/>
                <w:color w:val="000000" w:themeColor="text1"/>
                <w:sz w:val="22"/>
                <w:szCs w:val="22"/>
                <w14:textFill>
                  <w14:solidFill>
                    <w14:schemeClr w14:val="tx1"/>
                  </w14:solidFill>
                </w14:textFill>
              </w:rPr>
              <w:t xml:space="preserve">否则</w:t>
            </w:r>
            <w:r>
              <w:rPr>
                <w:rFonts w:hint="eastAsia" w:ascii="宋体" w:hAnsi="宋体" w:eastAsia="宋体" w:cs="宋体"/>
                <w:bCs/>
                <w:color w:val="000000" w:themeColor="text1"/>
                <w:sz w:val="22"/>
                <w:szCs w:val="22"/>
                <w:highlight w:val="none"/>
                <w14:textFill>
                  <w14:solidFill>
                    <w14:schemeClr w14:val="tx1"/>
                  </w14:solidFill>
                </w14:textFill>
              </w:rPr>
              <w:t xml:space="preserve">情况不得分。（需提供认证证书复印件及在国家认证认可监督管理委员会官方网站（www.cnca.gov.cn）上认证信息的查询结果截图并加盖投标人公章。）</w:t>
            </w:r>
            <w:r/>
          </w:p>
        </w:tc>
      </w:tr>
      <w:tr>
        <w:trPr>
          <w:trHeight w:val="2515"/>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ind w:right="-86"/>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售后认证</w:t>
            </w:r>
            <w:r/>
          </w:p>
          <w:p>
            <w:pPr>
              <w:ind w:right="-86"/>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（2分）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Cs/>
                <w:strike/>
                <w:color w:val="000000" w:themeColor="text1"/>
                <w:sz w:val="22"/>
                <w:szCs w:val="22"/>
                <w:highlight w:val="red"/>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投标人所投检测试剂的生产厂家具有售后认证的得2分；否则不得分（需提供国家认证认可信息公共服务平台查询截图及证书复印件并加盖投标人公章）。</w:t>
            </w:r>
            <w:r/>
          </w:p>
        </w:tc>
      </w:tr>
      <w:tr>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restart"/>
            <w:textDirection w:val="lrTb"/>
            <w:noWrap w:val="false"/>
          </w:tcPr>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rPr>
                <w:rFonts w:hint="eastAsia" w:ascii="宋体" w:hAnsi="宋体" w:eastAsia="宋体" w:cs="宋体"/>
                <w:bCs/>
                <w:color w:val="000000" w:themeColor="text1"/>
                <w:sz w:val="22"/>
                <w:szCs w:val="22"/>
                <w:highlight w:val="none"/>
                <w14:textFill>
                  <w14:solidFill>
                    <w14:schemeClr w14:val="tx1"/>
                  </w14:solidFill>
                </w14:textFill>
              </w:rPr>
            </w:r>
            <w:r/>
          </w:p>
          <w:p>
            <w:pPr>
              <w:rPr>
                <w:rFonts w:hint="eastAsia" w:ascii="宋体" w:hAnsi="宋体" w:eastAsia="宋体" w:cs="宋体"/>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实施方案</w:t>
            </w:r>
            <w:r/>
          </w:p>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35</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1065" w:type="dxa"/>
            <w:vAlign w:val="center"/>
            <w:textDirection w:val="lrTb"/>
            <w:noWrap w:val="false"/>
          </w:tcPr>
          <w:p>
            <w:pPr>
              <w:jc w:val="left"/>
              <w:widowControl/>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质量保障措施</w:t>
            </w:r>
            <w:r>
              <w:rPr>
                <w:rFonts w:hint="eastAsia" w:ascii="宋体" w:hAnsi="宋体" w:eastAsia="宋体" w:cs="宋体"/>
                <w:bCs/>
                <w:color w:val="000000" w:themeColor="text1"/>
                <w:sz w:val="22"/>
                <w:szCs w:val="22"/>
                <w:highlight w:val="none"/>
                <w14:textFill>
                  <w14:solidFill>
                    <w14:schemeClr w14:val="tx1"/>
                  </w14:solidFill>
                </w14:textFill>
              </w:rPr>
              <w:t xml:space="preserve">方案</w:t>
            </w:r>
            <w:r/>
          </w:p>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ind w:firstLine="440"/>
              <w:spacing w:line="32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质量保障方案，内容包括但不限于：1、本品牌最新型号及详细配置；2、质量保证总体方案；3、本项目重点、难点的质量控制方案及措施4、检测工作质量保证措施；5、具有检测应用研发能力，如在知名杂志发表的专业类文献、有成熟案例能为用户提供相关的检测方法开发及优化方面的等；6、优秀的产品稳定性，能提供测试数据的权威证明材料的；7、客户满意度，如第三方权威机构发布的市场占有率的调查数据、既往用户满意度评价的。评委根据投标人提供的具体方案进行综合评定。</w:t>
            </w:r>
            <w:r/>
          </w:p>
          <w:p>
            <w:pPr>
              <w:ind w:firstLine="440"/>
              <w:jc w:val="left"/>
              <w:widowControl/>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要求方案细致完整、针对性强、措施有力，方案的贯彻应能满足本项目各项服务要求。方案内容描述全面合理符合采购需求的得7分，每有一项内容缺失的扣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41"/>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供货方案（</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ind w:firstLine="440"/>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供货方案，内容包括但不限于：①供货组织方案，②制造商生产能力，③产品的仓储贮存管理，④运输中的防护、贮存条件能力，⑤突发事件的紧急供货能力。评委根据投标人提供的具体方案进行综合评定。</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要求方案细致完整、针对性强、措施有力，方案的贯彻应能满足本项目各项服务要求。方案内容描述全面合理符合采购需求的得5分，每有一项内容缺失的扣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41"/>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验收方案（</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ind w:firstLine="440"/>
              <w:jc w:val="left"/>
              <w:spacing w:line="3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投标时投标人应对本项目提供完整、详细、可行的验收方案，内容包括但不限于：①工作目标、②程序和步骤、③组织和协调、④不合格品调换方案。评委根据投标人提供的具体方案进行综合评定。</w:t>
            </w:r>
            <w:r/>
          </w:p>
          <w:p>
            <w:pPr>
              <w:ind w:firstLine="440"/>
              <w:jc w:val="left"/>
              <w:widowControl/>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2"/>
                <w:highlight w:val="none"/>
                <w14:textFill>
                  <w14:solidFill>
                    <w14:schemeClr w14:val="tx1"/>
                  </w14:solidFill>
                </w14:textFill>
              </w:rPr>
              <w:t xml:space="preserve">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41"/>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培训服务（7分）</w:t>
            </w:r>
            <w:r/>
          </w:p>
        </w:tc>
        <w:tc>
          <w:tcPr>
            <w:shd w:val="clear" w:color="auto" w:fill="auto"/>
            <w:tcMar>
              <w:left w:w="108" w:type="dxa"/>
              <w:right w:w="108" w:type="dxa"/>
            </w:tcMar>
            <w:tcW w:w="6300" w:type="dxa"/>
            <w:vAlign w:val="center"/>
            <w:textDirection w:val="lrTb"/>
            <w:noWrap w:val="false"/>
          </w:tcPr>
          <w:p>
            <w:pPr>
              <w:ind w:firstLine="440"/>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培训方案，内容包括但不限于：①总体培训计划和目标，②培训老师配置，③培训内容，④培训时间、地点安排和培训次数，⑤方法要点，⑥培训质量控制，⑦效果评价。评委根据投标人提供的具体方案进行综合评定。</w:t>
            </w:r>
            <w:r/>
          </w:p>
          <w:p>
            <w:pPr>
              <w:ind w:firstLine="440"/>
              <w:jc w:val="left"/>
              <w:spacing w:line="3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能够根据货物特点安排有针对性并符合业主要求的培训内容，由富有经验的师资力量开展培训活动，具有详细培训课程安排和个性化的培训效果评价计划。方案内容描述全面合理符合采购需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2"/>
                <w:szCs w:val="22"/>
                <w:highlight w:val="none"/>
                <w14:textFill>
                  <w14:solidFill>
                    <w14:schemeClr w14:val="tx1"/>
                  </w14:solidFill>
                </w14:textFill>
              </w:rPr>
              <w:t xml:space="preserve">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c>
          <w:tcPr>
            <w:tcMar>
              <w:left w:w="108" w:type="dxa"/>
              <w:right w:w="108" w:type="dxa"/>
            </w:tcMar>
            <w:tcW w:w="541" w:type="dxa"/>
            <w:vAlign w:val="center"/>
            <w:vMerge w:val="continue"/>
            <w:textDirection w:val="lrTb"/>
            <w:noWrap w:val="false"/>
          </w:tcPr>
          <w:p>
            <w:pPr>
              <w:ind w:firstLine="420"/>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应急预案方案（8分）</w:t>
            </w:r>
            <w:r/>
          </w:p>
        </w:tc>
        <w:tc>
          <w:tcPr>
            <w:shd w:val="clear" w:color="auto" w:fill="auto"/>
            <w:tcMar>
              <w:left w:w="108" w:type="dxa"/>
              <w:right w:w="108" w:type="dxa"/>
            </w:tcMar>
            <w:tcW w:w="6300" w:type="dxa"/>
            <w:vAlign w:val="center"/>
            <w:textDirection w:val="lrTb"/>
            <w:noWrap w:val="false"/>
          </w:tcPr>
          <w:p>
            <w:pPr>
              <w:jc w:val="left"/>
              <w:spacing w:line="276"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应急预案方案，内容包括但不限于：①备用检测试剂的提供，②提供现场指导等技术支持的服务应急，③突发事件所需合同外的检测试剂紧急供应保障，④现场紧急服务人员协助检测服务、响应速度。评委根据投标人提供的具体方案进行综合评定。</w:t>
            </w:r>
            <w:r/>
          </w:p>
          <w:p>
            <w:pPr>
              <w:jc w:val="left"/>
              <w:spacing w:line="276"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2"/>
                <w:highlight w:val="none"/>
                <w14:textFill>
                  <w14:solidFill>
                    <w14:schemeClr w14:val="tx1"/>
                  </w14:solidFill>
                </w14:textFill>
              </w:rPr>
              <w:t xml:space="preserve">分，每有一项内容缺失的扣2分；每有一处内容存在缺陷或不满足要求的扣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c>
          <w:tcPr>
            <w:tcMar>
              <w:left w:w="108" w:type="dxa"/>
              <w:right w:w="108" w:type="dxa"/>
            </w:tcMar>
            <w:tcW w:w="541" w:type="dxa"/>
            <w:vAlign w:val="center"/>
            <w:textDirection w:val="lrTb"/>
            <w:noWrap w:val="false"/>
          </w:tcPr>
          <w:p>
            <w:pPr>
              <w:ind w:firstLine="420"/>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t xml:space="preserve">44</w:t>
            </w:r>
            <w:r/>
          </w:p>
        </w:tc>
        <w:tc>
          <w:tcPr>
            <w:shd w:val="clear" w:color="auto" w:fill="auto"/>
            <w:tcMar>
              <w:left w:w="108" w:type="dxa"/>
              <w:right w:w="108" w:type="dxa"/>
            </w:tcMar>
            <w:tcW w:w="1350" w:type="dxa"/>
            <w:vAlign w:val="center"/>
            <w:textDirection w:val="lrTb"/>
            <w:noWrap w:val="false"/>
          </w:tcPr>
          <w:p>
            <w:pPr>
              <w:pStyle w:val="889"/>
              <w:jc w:val="both"/>
              <w:spacing w:before="120" w:beforeAutospacing="0" w:after="120" w:afterAutospacing="0" w:line="0" w:lineRule="atLeas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节能环保（2分）</w:t>
            </w:r>
            <w:r/>
          </w:p>
          <w:p>
            <w:pP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gridSpan w:val="2"/>
            <w:shd w:val="clear" w:color="auto" w:fill="auto"/>
            <w:tcMar>
              <w:left w:w="108" w:type="dxa"/>
              <w:right w:w="108" w:type="dxa"/>
            </w:tcMar>
            <w:tcW w:w="7365" w:type="dxa"/>
            <w:vAlign w:val="center"/>
            <w:textDirection w:val="lrTb"/>
            <w:noWrap w:val="false"/>
          </w:tcPr>
          <w:p>
            <w:pPr>
              <w:pStyle w:val="889"/>
              <w:ind w:firstLine="480"/>
              <w:jc w:val="both"/>
              <w:spacing w:beforeAutospacing="0" w:afterAutospacing="0"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1.投标产品属于财政部、</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2"/>
                <w:szCs w:val="22"/>
                <w:highlight w:val="none"/>
                <w14:textFill>
                  <w14:solidFill>
                    <w14:schemeClr w14:val="tx1"/>
                  </w14:solidFill>
                </w14:textFill>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89"/>
              <w:ind w:firstLine="480"/>
              <w:jc w:val="both"/>
              <w:spacing w:beforeAutospacing="0" w:afterAutospacing="0"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r>
    </w:tbl>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sz w:val="44"/>
          <w:szCs w:val="44"/>
          <w:highlight w:val="none"/>
          <w14:textFill>
            <w14:solidFill>
              <w14:schemeClr w14:val="tx1"/>
            </w14:solidFill>
          </w14:textFill>
        </w:rPr>
      </w:r>
      <w:r>
        <w:rPr>
          <w:rFonts w:hint="eastAsia" w:ascii="黑体" w:hAnsi="宋体" w:eastAsia="黑体" w:cs="黑体"/>
          <w:sz w:val="44"/>
          <w:szCs w:val="44"/>
          <w:highlight w:val="none"/>
          <w14:textFill>
            <w14:solidFill>
              <w14:schemeClr w14:val="tx1"/>
            </w14:solidFill>
          </w14:textFill>
        </w:rPr>
      </w:r>
      <w:r/>
    </w:p>
    <w:p>
      <w:pPr>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sz w:val="44"/>
          <w:szCs w:val="44"/>
          <w:highlight w:val="none"/>
          <w14:textFill>
            <w14:solidFill>
              <w14:schemeClr w14:val="tx1"/>
            </w14:solidFill>
          </w14:textFill>
        </w:rPr>
      </w:r>
      <w:r>
        <w:rPr>
          <w:rFonts w:hint="eastAsia" w:ascii="黑体" w:hAnsi="宋体" w:eastAsia="黑体" w:cs="黑体"/>
          <w:sz w:val="44"/>
          <w:szCs w:val="44"/>
          <w:highlight w:val="none"/>
          <w14:textFill>
            <w14:solidFill>
              <w14:schemeClr w14:val="tx1"/>
            </w14:solidFill>
          </w14:textFill>
        </w:rPr>
      </w:r>
      <w:r/>
    </w:p>
    <w:p>
      <w:pPr>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sz w:val="44"/>
          <w:szCs w:val="44"/>
          <w:highlight w:val="none"/>
          <w14:textFill>
            <w14:solidFill>
              <w14:schemeClr w14:val="tx1"/>
            </w14:solidFill>
          </w14:textFill>
        </w:rPr>
      </w:r>
      <w:r>
        <w:rPr>
          <w:rFonts w:hint="eastAsia" w:ascii="黑体" w:hAnsi="宋体" w:eastAsia="黑体" w:cs="黑体"/>
          <w:sz w:val="44"/>
          <w:szCs w:val="44"/>
          <w:highlight w:val="none"/>
          <w14:textFill>
            <w14:solidFill>
              <w14:schemeClr w14:val="tx1"/>
            </w14:solidFill>
          </w14:textFill>
        </w:rPr>
      </w:r>
      <w:r/>
    </w:p>
    <w:p>
      <w:pPr>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sz w:val="44"/>
          <w:szCs w:val="44"/>
          <w:highlight w:val="none"/>
          <w14:textFill>
            <w14:solidFill>
              <w14:schemeClr w14:val="tx1"/>
            </w14:solidFill>
          </w14:textFill>
        </w:rPr>
      </w:r>
      <w:r>
        <w:rPr>
          <w:rFonts w:hint="eastAsia" w:ascii="黑体" w:hAnsi="宋体" w:eastAsia="黑体" w:cs="黑体"/>
          <w:sz w:val="44"/>
          <w:szCs w:val="44"/>
          <w:highlight w:val="none"/>
          <w14:textFill>
            <w14:solidFill>
              <w14:schemeClr w14:val="tx1"/>
            </w14:solidFill>
          </w14:textFill>
        </w:rPr>
      </w:r>
      <w:r/>
    </w:p>
    <w:p>
      <w:pPr>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8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89"/>
        <w:jc w:val="center"/>
        <w:keepNext/>
        <w:spacing w:beforeAutospacing="0" w:afterAutospacing="0"/>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r/>
    </w:p>
    <w:p>
      <w:pPr>
        <w:pStyle w:val="889"/>
        <w:jc w:val="center"/>
        <w:spacing w:beforeAutospacing="0" w:afterAutospacing="0"/>
        <w:rPr>
          <w:color w:val="000000" w:themeColor="text1"/>
          <w:highlight w:val="none"/>
          <w14:textFill>
            <w14:solidFill>
              <w14:schemeClr w14:val="tx1"/>
            </w14:solidFill>
          </w14:textFill>
        </w:rPr>
      </w:pPr>
      <w:r/>
      <w:bookmarkStart w:id="174" w:name="_Toc49090576"/>
      <w:r/>
      <w:bookmarkEnd w:id="174"/>
      <w:r/>
      <w:bookmarkStart w:id="175" w:name="_Toc120614282"/>
      <w:r/>
      <w:bookmarkEnd w:id="175"/>
      <w:r/>
      <w:bookmarkStart w:id="176" w:name="_Hlt26671244"/>
      <w:r/>
      <w:bookmarkStart w:id="177" w:name="_Hlt26955039"/>
      <w:r/>
      <w:bookmarkStart w:id="178" w:name="_Toc26554094"/>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89"/>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p>
    <w:p>
      <w:pPr>
        <w:pStyle w:val="889"/>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left="480"/>
        <w:jc w:val="both"/>
        <w:spacing w:beforeAutospacing="0" w:afterAutospacing="0"/>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pStyle w:val="889"/>
        <w:ind w:left="480"/>
        <w:jc w:val="both"/>
        <w:spacing w:beforeAutospacing="0" w:afterAutospacing="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二、2024年度或2025年度的财务状况报表（至少提供资产负债表、利润表、现金流量表，投标人成立不满一年无需提供）</w:t>
      </w:r>
      <w:r/>
    </w:p>
    <w:p>
      <w:pPr>
        <w:pStyle w:val="889"/>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889"/>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六、特定资格要求的证明文件（如果本项目设置特定资格要求，则需要提供）</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七、法人授权书</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八、投标函</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中小</w:t>
      </w:r>
      <w:r>
        <w:rPr>
          <w:rFonts w:hint="eastAsia" w:ascii="宋体" w:hAnsi="宋体" w:eastAsia="宋体" w:cs="宋体"/>
          <w:i w:val="0"/>
          <w:iCs/>
          <w:color w:val="000000" w:themeColor="text1"/>
          <w:highlight w:val="none"/>
          <w:u w:val="none"/>
          <w14:textFill>
            <w14:solidFill>
              <w14:schemeClr w14:val="tx1"/>
            </w14:solidFill>
          </w14:textFill>
        </w:rPr>
        <w:t xml:space="preserve">企业声明函（</w:t>
      </w:r>
      <w:r>
        <w:rPr>
          <w:rFonts w:hint="eastAsia" w:ascii="宋体" w:hAnsi="宋体" w:eastAsia="宋体" w:cs="宋体"/>
          <w:i w:val="0"/>
          <w:iCs/>
          <w:color w:val="000000" w:themeColor="text1"/>
          <w:highlight w:val="none"/>
          <w:u w:val="none"/>
          <w14:textFill>
            <w14:solidFill>
              <w14:schemeClr w14:val="tx1"/>
            </w14:solidFill>
          </w14:textFill>
        </w:rPr>
        <w:t xml:space="preserve">货物</w:t>
      </w:r>
      <w:r>
        <w:rPr>
          <w:rFonts w:hint="eastAsia" w:ascii="宋体" w:hAnsi="宋体" w:eastAsia="宋体" w:cs="宋体"/>
          <w:i w:val="0"/>
          <w:iCs/>
          <w:color w:val="000000" w:themeColor="text1"/>
          <w:highlight w:val="none"/>
          <w:u w:val="none"/>
          <w14:textFill>
            <w14:solidFill>
              <w14:schemeClr w14:val="tx1"/>
            </w14:solidFill>
          </w14:textFill>
        </w:rPr>
        <w:t xml:space="preserve">）</w:t>
      </w:r>
      <w:r/>
    </w:p>
    <w:p>
      <w:pPr>
        <w:pStyle w:val="889"/>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十、残疾人福利性单位声明函</w:t>
      </w:r>
      <w:r/>
    </w:p>
    <w:p>
      <w:pPr>
        <w:pStyle w:val="889"/>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十一、</w:t>
      </w:r>
      <w:r>
        <w:rPr>
          <w:rFonts w:hint="eastAsia" w:ascii="宋体" w:hAnsi="宋体" w:eastAsia="宋体" w:cs="宋体"/>
          <w:i w:val="0"/>
          <w:iCs/>
          <w:color w:val="000000" w:themeColor="text1"/>
          <w:highlight w:val="none"/>
          <w:u w:val="none"/>
          <w14:textFill>
            <w14:solidFill>
              <w14:schemeClr w14:val="tx1"/>
            </w14:solidFill>
          </w14:textFill>
        </w:rPr>
        <w:t xml:space="preserve"> 关于符合本国产品标准的声明函</w:t>
      </w:r>
      <w:r/>
    </w:p>
    <w:p>
      <w:pPr>
        <w:pStyle w:val="889"/>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二</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投标分项报价表</w:t>
      </w:r>
      <w:r/>
    </w:p>
    <w:p>
      <w:pPr>
        <w:pStyle w:val="889"/>
        <w:ind w:firstLine="480"/>
        <w:jc w:val="both"/>
        <w:spacing w:beforeAutospacing="0" w:afterAutospacing="0" w:line="0" w:lineRule="atLeast"/>
        <w:rPr>
          <w:rFonts w:hint="default"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十三、</w:t>
      </w:r>
      <w:r>
        <w:rPr>
          <w:rFonts w:hint="eastAsia" w:ascii="宋体" w:hAnsi="宋体" w:eastAsia="宋体" w:cs="宋体"/>
          <w:i w:val="0"/>
          <w:iCs/>
          <w:color w:val="000000" w:themeColor="text1"/>
          <w:highlight w:val="none"/>
          <w:u w:val="none"/>
          <w14:textFill>
            <w14:solidFill>
              <w14:schemeClr w14:val="tx1"/>
            </w14:solidFill>
          </w14:textFill>
        </w:rPr>
        <w:t xml:space="preserve">技术要求响应及偏离表</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、商务要求响应及偏离表</w:t>
      </w:r>
      <w:r/>
    </w:p>
    <w:p>
      <w:pPr>
        <w:pStyle w:val="889"/>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五</w:t>
      </w:r>
      <w:r>
        <w:rPr>
          <w:rFonts w:hint="eastAsia" w:ascii="宋体" w:hAnsi="宋体" w:eastAsia="宋体" w:cs="宋体"/>
          <w:i w:val="0"/>
          <w:iCs/>
          <w:color w:val="000000" w:themeColor="text1"/>
          <w:highlight w:val="none"/>
          <w:u w:val="none"/>
          <w14:textFill>
            <w14:solidFill>
              <w14:schemeClr w14:val="tx1"/>
            </w14:solidFill>
          </w14:textFill>
        </w:rPr>
        <w:t xml:space="preserve">、开标一览表</w:t>
      </w:r>
      <w:r/>
    </w:p>
    <w:p>
      <w:pPr>
        <w:pStyle w:val="889"/>
        <w:ind w:firstLine="480"/>
        <w:jc w:val="both"/>
        <w:spacing w:beforeAutospacing="0" w:afterAutospacing="0" w:line="0" w:lineRule="atLeast"/>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六</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sz w:val="24"/>
          <w:highlight w:val="none"/>
          <w:u w:val="none"/>
          <w14:textFill>
            <w14:solidFill>
              <w14:schemeClr w14:val="tx1"/>
            </w14:solidFill>
          </w14:textFill>
        </w:rPr>
        <w:t xml:space="preserve">其他材料</w:t>
      </w:r>
      <w:r/>
    </w:p>
    <w:p>
      <w:pPr>
        <w:ind w:firstLine="480"/>
        <w:spacing w:before="50" w:after="50"/>
        <w:widowControl/>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sz w:val="24"/>
          <w:highlight w:val="none"/>
          <w:u w:val="none"/>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盐城市政府采购事前信用承诺书</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二、2024年度或2025年度的财务状况报表</w:t>
      </w:r>
      <w:r/>
    </w:p>
    <w:p>
      <w:pPr>
        <w:ind w:firstLine="480"/>
        <w:jc w:val="left"/>
        <w:tabs>
          <w:tab w:val="left" w:pos="1331" w:leader="none"/>
        </w:tabs>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highlight w:val="none"/>
          <w:u w:val="none"/>
          <w14:textFill>
            <w14:solidFill>
              <w14:schemeClr w14:val="tx1"/>
            </w14:solidFill>
          </w14:textFill>
        </w:rPr>
        <w:t xml:space="preserve">投标人成立不满一年无需提供）</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889"/>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89"/>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8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89"/>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889"/>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889"/>
        <w:jc w:val="both"/>
        <w:spacing w:beforeAutospacing="0" w:afterAutospacing="0" w:line="0" w:lineRule="atLeast"/>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p>
    <w:p>
      <w:pPr>
        <w:pStyle w:val="889"/>
        <w:ind w:firstLine="30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r/>
    </w:p>
    <w:p>
      <w:pPr>
        <w:pStyle w:val="889"/>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889"/>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如果本项目申请人的特定资格要求中要求提供的，必须提供。</w:t>
      </w:r>
      <w:r/>
    </w:p>
    <w:p>
      <w:pPr>
        <w:pStyle w:val="889"/>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bookmarkStart w:id="179" w:name="_Toc120614284"/>
      <w:r/>
      <w:r/>
    </w:p>
    <w:p>
      <w:pPr>
        <w:pStyle w:val="889"/>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rPr>
          <w:rFonts w:ascii="黑体" w:hAnsi="宋体" w:eastAsia="黑体" w:cs="黑体"/>
          <w:i/>
          <w:color w:val="000000" w:themeColor="text1"/>
          <w:sz w:val="32"/>
          <w:szCs w:val="32"/>
          <w:highlight w:val="none"/>
          <w:u w:val="single"/>
          <w14:textFill>
            <w14:solidFill>
              <w14:schemeClr w14:val="tx1"/>
            </w14:solidFill>
          </w14:textFill>
        </w:rPr>
      </w:r>
      <w:r/>
    </w:p>
    <w:p>
      <w:pPr>
        <w:pStyle w:val="889"/>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89"/>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89"/>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89"/>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89"/>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889"/>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889"/>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889"/>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889"/>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889"/>
        <w:ind w:firstLine="120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889"/>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889"/>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日期：</w:t>
      </w:r>
      <w:bookmarkStart w:id="180" w:name="_Hlt26671380"/>
      <w:r/>
      <w:bookmarkStart w:id="181" w:name="_Hlt26955070"/>
      <w:r/>
      <w:bookmarkStart w:id="182" w:name="_格式3__银行出具的资信证明"/>
      <w:r>
        <w:rPr>
          <w:rFonts w:ascii="Times New Roman" w:hAnsi="Times New Roman"/>
          <w:color w:val="000000" w:themeColor="text1"/>
          <w:highlight w:val="none"/>
          <w:u w:val="single"/>
          <w14:textFill>
            <w14:solidFill>
              <w14:schemeClr w14:val="tx1"/>
            </w14:solidFill>
          </w14:textFill>
        </w:rPr>
        <w:t xml:space="preserve">                                         </w:t>
      </w:r>
      <w:r/>
    </w:p>
    <w:p>
      <w:pPr>
        <w:pStyle w:val="889"/>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20"/>
        <w:spacing w:beforeAutospacing="0" w:afterAutospacing="0" w:line="360" w:lineRule="auto"/>
        <w:rPr>
          <w:rFonts w:hint="eastAsia" w:ascii="宋体" w:hAnsi="宋体"/>
          <w:color w:val="000000" w:themeColor="text1"/>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bl>
      <w:tblPr>
        <w:tblStyle w:val="882"/>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889"/>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9"/>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9"/>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bl>
      <w:tblPr>
        <w:tblStyle w:val="882"/>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889"/>
        <w:jc w:val="both"/>
        <w:spacing w:beforeAutospacing="0" w:afterAutospacing="0" w:line="0" w:lineRule="atLeast"/>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89"/>
        <w:ind w:firstLine="3390"/>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889"/>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致：射阳县综合检验检测中心、江苏甲晨建设集团有限公司</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1.按招标文件规定的各项要求，向买方提供所需货物（包含与货物相关的服务）。</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889"/>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889"/>
        <w:ind w:left="425"/>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889"/>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889"/>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889"/>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889"/>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889"/>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88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90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投标人授权代表姓名（签字）： </w:t>
      </w:r>
      <w:r/>
    </w:p>
    <w:p>
      <w:pPr>
        <w:pStyle w:val="90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投标人名称（加盖CA电子公章）： </w:t>
      </w:r>
      <w:r/>
    </w:p>
    <w:p>
      <w:pPr>
        <w:pStyle w:val="88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9"/>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)的规定，本公司参加江苏甲晨建设集团有限公司组织的</w:t>
      </w:r>
      <w:r>
        <w:rPr>
          <w:rFonts w:hint="eastAsia"/>
          <w:color w:val="000000" w:themeColor="text1"/>
          <w:sz w:val="24"/>
          <w:highlight w:val="none"/>
          <w:u w:val="singl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企业制造。相关企业的具体情况如下：</w:t>
      </w:r>
      <w:r/>
    </w:p>
    <w:p>
      <w:pPr>
        <w:pStyle w:val="889"/>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889"/>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889"/>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pStyle w:val="889"/>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9"/>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889"/>
        <w:ind w:right="72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企业名称（加盖CA电子公章）：</w:t>
      </w:r>
      <w:r/>
    </w:p>
    <w:p>
      <w:pPr>
        <w:pStyle w:val="889"/>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889"/>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889"/>
        <w:ind w:firstLine="48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备注2：供应商如不提供此声明函，价格将不做相应扣除。</w:t>
      </w:r>
      <w:r/>
    </w:p>
    <w:p>
      <w:pPr>
        <w:pStyle w:val="889"/>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bCs/>
          <w:sz w:val="32"/>
          <w:szCs w:val="32"/>
          <w:highlight w:val="none"/>
          <w14:textFill>
            <w14:solidFill>
              <w14:schemeClr w14:val="tx1"/>
            </w14:solidFill>
          </w14:textFill>
        </w:rPr>
      </w:r>
      <w:r>
        <w:rPr>
          <w:rFonts w:hint="eastAsia" w:ascii="黑体" w:hAnsi="宋体" w:eastAsia="黑体" w:cs="黑体"/>
          <w:b/>
          <w:bCs/>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bCs/>
          <w:sz w:val="32"/>
          <w:szCs w:val="32"/>
          <w:highlight w:val="none"/>
          <w14:textFill>
            <w14:solidFill>
              <w14:schemeClr w14:val="tx1"/>
            </w14:solidFill>
          </w14:textFill>
        </w:rPr>
      </w:r>
      <w:r>
        <w:rPr>
          <w:rFonts w:hint="eastAsia" w:ascii="黑体" w:hAnsi="宋体" w:eastAsia="黑体" w:cs="黑体"/>
          <w:b/>
          <w:bCs/>
          <w:sz w:val="32"/>
          <w:szCs w:val="32"/>
          <w:highlight w:val="none"/>
          <w14:textFill>
            <w14:solidFill>
              <w14:schemeClr w14:val="tx1"/>
            </w14:solidFill>
          </w14:textFill>
        </w:rPr>
      </w:r>
      <w:r/>
    </w:p>
    <w:p>
      <w:pPr>
        <w:pStyle w:val="889"/>
        <w:jc w:val="center"/>
        <w:spacing w:beforeAutospacing="0" w:afterAutospacing="0" w:line="0" w:lineRule="atLeast"/>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both"/>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p>
    <w:p>
      <w:pPr>
        <w:pStyle w:val="889"/>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供应商全称（加盖CA电子公章）：</w:t>
      </w:r>
      <w:r/>
    </w:p>
    <w:p>
      <w:pPr>
        <w:pStyle w:val="889"/>
        <w:ind w:right="1560" w:firstLine="480"/>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br w:type="page" w:clear="all"/>
      </w:r>
      <w:r/>
    </w:p>
    <w:p>
      <w:pPr>
        <w:pStyle w:val="885"/>
        <w:ind w:left="1537"/>
        <w:spacing w:before="168" w:line="207" w:lineRule="auto"/>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r>
      <w:r/>
    </w:p>
    <w:p>
      <w:pPr>
        <w:pStyle w:val="889"/>
        <w:ind w:left="0" w:right="0"/>
        <w:jc w:val="center"/>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14:textFill>
            <w14:solidFill>
              <w14:schemeClr w14:val="tx1"/>
            </w14:solidFill>
          </w14:textFill>
        </w:rPr>
        <w:t xml:space="preserve">十一、 关于符合本国产品标准的声明函</w:t>
      </w:r>
      <w:r/>
    </w:p>
    <w:p>
      <w:pPr>
        <w:pStyle w:val="889"/>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themeColor="text1"/>
          <w:sz w:val="24"/>
          <w:szCs w:val="24"/>
          <w14:textFill>
            <w14:solidFill>
              <w14:schemeClr w14:val="tx1"/>
            </w14:solidFill>
          </w14:textFill>
        </w:rPr>
        <w:t xml:space="preserve"> </w:t>
      </w:r>
      <w:r/>
    </w:p>
    <w:p>
      <w:pPr>
        <w:pStyle w:val="889"/>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numPr>
          <w:ilvl w:val="0"/>
          <w:numId w:val="14"/>
        </w:numPr>
        <w:ind w:left="0" w:firstLine="420"/>
        <w:jc w:val="both"/>
        <w:keepLines w:val="0"/>
        <w:keepNext w:val="0"/>
        <w:spacing w:before="30" w:beforeAutospacing="0" w:after="30" w:afterAutospacing="0"/>
        <w:widowControl w:val="off"/>
        <w:rPr>
          <w:rFonts w:ascii="宋体" w:hAnsi="宋体" w:eastAsia="宋体" w:cs="宋体"/>
          <w:b/>
          <w:bCs/>
          <w:color w:val="000000" w:themeColor="text1"/>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89"/>
        <w:numPr>
          <w:ilvl w:val="0"/>
          <w:numId w:val="0"/>
        </w:numPr>
        <w:ind w:left="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（产品名称2）</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89"/>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89"/>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88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 </w:t>
      </w:r>
      <w:r/>
    </w:p>
    <w:p>
      <w:pPr>
        <w:pStyle w:val="889"/>
        <w:ind w:left="0" w:right="480" w:firstLine="37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公司（单位）名称（盖章）：　</w:t>
      </w:r>
      <w:r/>
    </w:p>
    <w:p>
      <w:pPr>
        <w:pStyle w:val="889"/>
        <w:jc w:val="center"/>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                   日期：　   年　  月　  日         </w:t>
      </w:r>
      <w:r/>
    </w:p>
    <w:p>
      <w:pPr>
        <w:pStyle w:val="88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__________________</w:t>
      </w:r>
      <w:r/>
    </w:p>
    <w:p>
      <w:pPr>
        <w:pStyle w:val="88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1.产品如有型号，请在“产品名称”栏一并填写。</w:t>
      </w:r>
      <w:r/>
    </w:p>
    <w:p>
      <w:pPr>
        <w:pStyle w:val="889"/>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numPr>
          <w:ilvl w:val="0"/>
          <w:numId w:val="0"/>
        </w:numP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889"/>
        <w:jc w:val="both"/>
        <w:keepLines w:val="0"/>
        <w:keepNext w:val="0"/>
        <w:spacing w:before="30" w:beforeAutospacing="0" w:after="30" w:afterAutospacing="0"/>
        <w:widowControl w:val="off"/>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89"/>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center"/>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tbl>
      <w:tblPr>
        <w:tblStyle w:val="88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产品</w:t>
            </w:r>
            <w:r/>
          </w:p>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分项总价</w:t>
            </w:r>
            <w:r/>
          </w:p>
        </w:tc>
      </w:tr>
      <w:tr>
        <w:trP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0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5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15"/>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投标总报价（人民币：</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45"/>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left"/>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快检试剂品牌1（占比80%）：</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；生产厂家：</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tc>
      </w:tr>
      <w:tr>
        <w:trPr>
          <w:tblCellSpacing w:w="0" w:type="dxa"/>
          <w:trHeight w:val="445"/>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left"/>
              <w:spacing w:before="0" w:beforeAutospacing="0" w:after="0" w:afterAutospacing="0" w:line="0" w:lineRule="atLeas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快检试剂品牌2（占比  %）：</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；生产厂家：</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tc>
      </w:tr>
      <w:tr>
        <w:trPr>
          <w:tblCellSpacing w:w="0" w:type="dxa"/>
          <w:trHeight w:val="385"/>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left"/>
              <w:spacing w:before="0" w:beforeAutospacing="0" w:after="0" w:afterAutospacing="0" w:line="0" w:lineRule="atLeas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快检试剂品牌3（占比  %）：</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；生产厂家：</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tc>
      </w:tr>
      <w:tr>
        <w:trPr>
          <w:tblCellSpacing w:w="0" w:type="dxa"/>
          <w:trHeight w:val="34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left"/>
              <w:spacing w:before="0" w:beforeAutospacing="0" w:after="0" w:afterAutospacing="0" w:line="0" w:lineRule="atLeas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r>
      <w:tr>
        <w:trPr>
          <w:tblCellSpacing w:w="0" w:type="dxa"/>
          <w:trHeight w:val="94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both"/>
              <w:spacing w:beforeAutospacing="0" w:afterAutospacing="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供应商提供的检测试剂需不少于3种品牌，其中主要品牌检测试剂的供货量占比为80%，副品牌（不少于2种）检测试剂供货量占比为20%。主品牌的检测试剂需包含本项目中的所有试剂类型。</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投标人所投产品中的水产品药物残留快速检测卡的生产企业需属于农业农村部农产品质量安全监管司2025年1月公布的《关于2024年度农兽药残留快速检测产品评价结果的通报》所列评价</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通过的企业。</w:t>
            </w:r>
            <w:r/>
          </w:p>
        </w:tc>
      </w:tr>
      <w:tr>
        <w:trPr>
          <w:tblCellSpacing w:w="0" w:type="dxa"/>
          <w:trHeight w:val="76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w:t>
            </w:r>
            <w:r/>
          </w:p>
        </w:tc>
      </w:tr>
      <w:tr>
        <w:trPr>
          <w:tblCellSpacing w:w="0" w:type="dxa"/>
          <w:trHeight w:val="565"/>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both"/>
              <w:spacing w:beforeAutospacing="0" w:afterAutospacing="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本次招标检测试剂制造能力覆盖率</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 %（修约到小数点一位）</w:t>
            </w:r>
            <w:r/>
          </w:p>
        </w:tc>
      </w:tr>
      <w:tr>
        <w:trPr>
          <w:tblCellSpacing w:w="0" w:type="dxa"/>
          <w:trHeight w:val="85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9"/>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pStyle w:val="889"/>
        <w:jc w:val="both"/>
        <w:keepLines w:val="0"/>
        <w:keepNext w:val="0"/>
        <w:pageBreakBefore w:val="0"/>
        <w:spacing w:beforeAutospacing="0" w:afterAutospacing="0" w:line="6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p>
      <w:pPr>
        <w:pStyle w:val="889"/>
        <w:numPr>
          <w:ilvl w:val="0"/>
          <w:numId w:val="15"/>
        </w:numPr>
        <w:jc w:val="both"/>
        <w:keepLines w:val="0"/>
        <w:keepNext w:val="0"/>
        <w:pageBreakBefore w:val="0"/>
        <w:spacing w:beforeAutospacing="0" w:afterAutospacing="0" w:line="6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9"/>
        <w:numPr>
          <w:ilvl w:val="0"/>
          <w:numId w:val="0"/>
        </w:numPr>
        <w:jc w:val="both"/>
        <w:keepLines w:val="0"/>
        <w:keepNext w:val="0"/>
        <w:pageBreakBefore w:val="0"/>
        <w:spacing w:beforeAutospacing="0" w:afterAutospacing="0" w:line="600" w:lineRule="exact"/>
        <w:widowControl w:val="off"/>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keepLines w:val="0"/>
        <w:keepNext w:val="0"/>
        <w:pageBreakBefore w:val="0"/>
        <w:spacing w:line="600" w:lineRule="exact"/>
        <w:widowControl w:val="off"/>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9"/>
        <w:jc w:val="both"/>
        <w:spacing w:beforeAutospacing="0" w:afterAutospacing="0"/>
        <w:rPr>
          <w:color w:val="000000" w:themeColor="text1"/>
          <w:highlight w:val="none"/>
          <w14:textFill>
            <w14:solidFill>
              <w14:schemeClr w14:val="tx1"/>
            </w14:solidFill>
          </w14:textFill>
        </w:rPr>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none"/>
          <w14:textFill>
            <w14:solidFill>
              <w14:schemeClr w14:val="tx1"/>
            </w14:solidFill>
          </w14:textFill>
        </w:rPr>
        <w:t xml:space="preserve"> </w:t>
      </w:r>
      <w:r/>
    </w:p>
    <w:p>
      <w:pPr>
        <w:jc w:val="center"/>
        <w:spacing w:before="50" w:after="50" w:line="500" w:lineRule="exact"/>
        <w:rPr>
          <w:rFonts w:ascii="黑体" w:hAnsi="黑体" w:eastAsia="黑体"/>
          <w:color w:val="000000" w:themeColor="text1"/>
          <w:sz w:val="32"/>
          <w:szCs w:val="32"/>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*******制造商提供“</w:t>
      </w:r>
      <w:r>
        <w:rPr>
          <w:rFonts w:hint="eastAsia" w:ascii="仿宋" w:hAnsi="仿宋" w:eastAsia="仿宋" w:cs="仿宋"/>
          <w:bCs/>
          <w:color w:val="000000" w:themeColor="text1"/>
          <w:sz w:val="24"/>
          <w14:textFill>
            <w14:solidFill>
              <w14:schemeClr w14:val="tx1"/>
            </w14:solidFill>
          </w14:textFill>
        </w:rPr>
        <w:t xml:space="preserve">采购清单中的检测试剂(序号1-</w:t>
      </w:r>
      <w:r>
        <w:rPr>
          <w:rFonts w:hint="eastAsia" w:ascii="仿宋" w:hAnsi="仿宋" w:eastAsia="仿宋" w:cs="仿宋"/>
          <w:bCs/>
          <w:color w:val="000000" w:themeColor="text1"/>
          <w:sz w:val="24"/>
          <w:lang w:val="en-US" w:eastAsia="zh-CN"/>
          <w14:textFill>
            <w14:solidFill>
              <w14:schemeClr w14:val="tx1"/>
            </w14:solidFill>
          </w14:textFill>
        </w:rPr>
        <w:t xml:space="preserve">55</w:t>
      </w:r>
      <w:r>
        <w:rPr>
          <w:rFonts w:hint="eastAsia" w:ascii="仿宋" w:hAnsi="仿宋" w:eastAsia="仿宋" w:cs="仿宋"/>
          <w:bCs/>
          <w:color w:val="000000" w:themeColor="text1"/>
          <w:sz w:val="24"/>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”的制造能力</w:t>
      </w:r>
      <w:r/>
    </w:p>
    <w:tbl>
      <w:tblPr>
        <w:tblStyle w:val="882"/>
        <w:tblW w:w="141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3756"/>
        <w:gridCol w:w="3756"/>
        <w:gridCol w:w="3756"/>
        <w:gridCol w:w="2329"/>
      </w:tblGrid>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bookmarkStart w:id="183" w:name="_Hlk105596263"/>
            <w:r>
              <w:rPr>
                <w:rFonts w:ascii="Times New Roman" w:hAnsi="Times New Roman"/>
                <w:b/>
                <w:bCs/>
                <w:color w:val="000000" w:themeColor="text1"/>
                <w:sz w:val="21"/>
                <w:szCs w:val="21"/>
                <w14:textFill>
                  <w14:solidFill>
                    <w14:schemeClr w14:val="tx1"/>
                  </w14:solidFill>
                </w14:textFill>
              </w:rPr>
              <w:t xml:space="preserve">序号</w:t>
            </w:r>
            <w:r/>
          </w:p>
        </w:tc>
        <w:tc>
          <w:tcPr>
            <w:tcW w:w="3756"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t xml:space="preserve">类别</w:t>
            </w:r>
            <w:r/>
          </w:p>
        </w:tc>
        <w:tc>
          <w:tcPr>
            <w:tcW w:w="3756"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t xml:space="preserve">项目</w:t>
            </w:r>
            <w:r/>
          </w:p>
        </w:tc>
        <w:tc>
          <w:tcPr>
            <w:tcW w:w="3756"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t xml:space="preserve">规格参数</w:t>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制造能力</w:t>
            </w:r>
            <w:r>
              <w:rPr>
                <w:rFonts w:ascii="Times New Roman" w:hAnsi="Times New Roman"/>
                <w:b/>
                <w:bCs/>
                <w:color w:val="000000" w:themeColor="text1"/>
                <w:sz w:val="21"/>
                <w:szCs w:val="21"/>
                <w14:textFill>
                  <w14:solidFill>
                    <w14:schemeClr w14:val="tx1"/>
                  </w14:solidFill>
                </w14:textFill>
              </w:rPr>
              <w:t xml:space="preserve">是否覆盖</w:t>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725"/>
        </w:trPr>
        <w:tc>
          <w:tcPr>
            <w:gridSpan w:val="4"/>
            <w:tcW w:w="11860" w:type="dxa"/>
            <w:vAlign w:val="center"/>
            <w:textDirection w:val="lrTb"/>
            <w:noWrap w:val="false"/>
          </w:tcPr>
          <w:p>
            <w:pPr>
              <w:widowControl/>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合计：人民币大写：                                                          小写：</w:t>
            </w:r>
            <w:r/>
          </w:p>
        </w:tc>
        <w:tc>
          <w:tcPr>
            <w:tcW w:w="2329" w:type="dxa"/>
            <w:vAlign w:val="center"/>
            <w:textDirection w:val="lrTb"/>
            <w:noWrap w:val="false"/>
          </w:tcPr>
          <w:p>
            <w:pPr>
              <w:widowControl/>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覆盖率：    %</w:t>
            </w:r>
            <w:bookmarkEnd w:id="183"/>
            <w:r/>
            <w:r/>
          </w:p>
        </w:tc>
      </w:tr>
    </w:tbl>
    <w:p>
      <w:pPr>
        <w:pStyle w:val="880"/>
        <w:ind w:firstLine="11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83"/>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w:t>
      </w:r>
      <w:r/>
    </w:p>
    <w:p>
      <w:pPr>
        <w:pStyle w:val="883"/>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480"/>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投标人（公章）： </w:t>
      </w:r>
      <w:r/>
    </w:p>
    <w:p>
      <w:pPr>
        <w:ind w:firstLine="48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法定代表人或授权代表（签字或盖章）：</w:t>
      </w:r>
      <w:r/>
    </w:p>
    <w:p>
      <w:pPr>
        <w:pStyle w:val="883"/>
        <w:rPr>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日期：  </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年</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月</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日</w:t>
      </w:r>
      <w:r/>
    </w:p>
    <w:p>
      <w:pPr>
        <w:pStyle w:val="889"/>
        <w:jc w:val="both"/>
        <w:spacing w:beforeAutospacing="0" w:afterAutospacing="0"/>
        <w:rPr>
          <w:color w:val="000000" w:themeColor="text1"/>
          <w:highlight w:val="none"/>
          <w14:textFill>
            <w14:solidFill>
              <w14:schemeClr w14:val="tx1"/>
            </w14:solidFill>
          </w14:textFill>
        </w:rPr>
        <w:sectPr>
          <w:footnotePr/>
          <w:endnotePr/>
          <w:type w:val="nextPage"/>
          <w:pgSz w:w="16838" w:h="11906" w:orient="landscape"/>
          <w:pgMar w:top="1800" w:right="1440" w:bottom="1800" w:left="1440" w:header="851" w:footer="992" w:gutter="0"/>
          <w:cols w:num="1" w:sep="0" w:space="425" w:equalWidth="1"/>
          <w:docGrid w:linePitch="360"/>
        </w:sect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right="0" w:firstLine="0"/>
        <w:jc w:val="center"/>
        <w:spacing w:before="0" w:after="0" w:line="240" w:lineRule="auto"/>
        <w:rPr>
          <w:rFonts w:ascii="Times New Roman" w:hAnsi="Times New Roman" w:eastAsia="Times New Roman" w:cs="Times New Roman"/>
          <w:color w:val="000000" w:themeColor="text1"/>
          <w:spacing w:val="-6"/>
          <w:position w:val="0"/>
          <w:sz w:val="32"/>
          <w:shd w:val="clear" w:color="auto" w:fill="auto"/>
          <w14:textFill>
            <w14:solidFill>
              <w14:schemeClr w14:val="tx1"/>
            </w14:solidFill>
          </w14:textFill>
        </w:rPr>
      </w:pPr>
      <w:r>
        <w:rPr>
          <w:color w:val="000000" w:themeColor="text1"/>
          <w:highlight w:val="none"/>
          <w14:textFill>
            <w14:solidFill>
              <w14:schemeClr w14:val="tx1"/>
            </w14:solidFill>
          </w14:textFill>
        </w:rPr>
        <w:t xml:space="preserve"> </w:t>
      </w:r>
      <w:r>
        <w:rPr>
          <w:rFonts w:ascii="宋体" w:hAnsi="宋体" w:eastAsia="宋体" w:cs="宋体"/>
          <w:b/>
          <w:color w:val="000000" w:themeColor="text1"/>
          <w:spacing w:val="-6"/>
          <w:position w:val="0"/>
          <w:sz w:val="32"/>
          <w:shd w:val="clear" w:color="auto" w:fill="auto"/>
          <w14:textFill>
            <w14:solidFill>
              <w14:schemeClr w14:val="tx1"/>
            </w14:solidFill>
          </w14:textFill>
        </w:rPr>
        <w:t xml:space="preserve">项目需求承诺</w:t>
      </w:r>
      <w:r/>
    </w:p>
    <w:p>
      <w:pPr>
        <w:ind w:left="0" w:right="0" w:firstLine="0"/>
        <w:jc w:val="both"/>
        <w:spacing w:before="0" w:after="0" w:line="240" w:lineRule="auto"/>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pPr>
      <w:r>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r>
      <w:r/>
    </w:p>
    <w:p>
      <w:pPr>
        <w:ind w:left="0" w:right="0" w:firstLine="561"/>
        <w:jc w:val="both"/>
        <w:spacing w:before="0" w:after="0" w:line="58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我单位郑重承诺：将按采购文件项目需求中规定的各项要求，向采购人提供所需</w:t>
      </w:r>
      <w:r>
        <w:rPr>
          <w:rFonts w:hint="eastAsia" w:ascii="宋体" w:hAnsi="宋体" w:eastAsia="宋体" w:cs="宋体"/>
          <w:color w:val="000000" w:themeColor="text1"/>
          <w:spacing w:val="0"/>
          <w:position w:val="0"/>
          <w:sz w:val="28"/>
          <w:shd w:val="clear" w:color="auto" w:fill="ffffff"/>
          <w:lang w:eastAsia="zh-CN"/>
          <w14:textFill>
            <w14:solidFill>
              <w14:schemeClr w14:val="tx1"/>
            </w14:solidFill>
          </w14:textFill>
        </w:rPr>
        <w:t xml:space="preserve">货物及</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服务，一旦我方成交，我方将根据采购文件的规定严格履行合同的责任和义务，保证在采购文件规定的时间完成项目。</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462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供应商名称（公章）：</w:t>
      </w:r>
      <w:r/>
    </w:p>
    <w:p>
      <w:pPr>
        <w:ind w:left="0" w:right="0" w:firstLine="560"/>
        <w:jc w:val="left"/>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法定代表人或被授权人（签字或盖章）：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日期：</w:t>
      </w:r>
      <w:r>
        <w:rPr>
          <w:rFonts w:hint="eastAsia" w:ascii="宋体" w:hAnsi="宋体" w:eastAsia="宋体" w:cs="宋体"/>
          <w:color w:val="000000" w:themeColor="text1"/>
          <w:spacing w:val="0"/>
          <w:position w:val="0"/>
          <w:sz w:val="28"/>
          <w:shd w:val="clear" w:color="auto" w:fill="ffffff"/>
          <w:lang w:val="en-US" w:eastAsia="zh-CN"/>
          <w14:textFill>
            <w14:solidFill>
              <w14:schemeClr w14:val="tx1"/>
            </w14:solidFill>
          </w14:textFill>
        </w:rPr>
        <w:t xml:space="preserve">  </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年  月  日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889"/>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bookmarkStart w:id="184"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bookmarkStart w:id="185" w:name="_Hlt26955056"/>
            <w:r/>
            <w:bookmarkStart w:id="186" w:name="_Hlt26671343"/>
            <w:r/>
            <w:bookmarkStart w:id="187" w:name="_Hlt24879081"/>
            <w:r/>
            <w:bookmarkStart w:id="188" w:name="_Hlt26782999"/>
            <w:r/>
            <w:bookmarkStart w:id="189" w:name="_Hlt26671372"/>
            <w:r/>
            <w:bookmarkStart w:id="190" w:name="_Hlt26609391"/>
            <w:r/>
            <w:bookmarkStart w:id="191" w:name="_Hlt26955064"/>
            <w:r/>
            <w:bookmarkStart w:id="192" w:name="_Hlt26580838"/>
            <w:r>
              <w:rPr>
                <w:rFonts w:hint="eastAsia" w:ascii="宋体" w:hAnsi="宋体" w:eastAsia="宋体" w:cs="宋体"/>
                <w:color w:val="000000" w:themeColor="text1"/>
                <w:highlight w:val="none"/>
                <w14:textFill>
                  <w14:solidFill>
                    <w14:schemeClr w14:val="tx1"/>
                  </w14:solidFill>
                </w14:textFill>
              </w:rPr>
              <w:t xml:space="preserve">序号</w:t>
            </w:r>
            <w:bookmarkEnd w:id="185"/>
            <w:r/>
            <w:bookmarkEnd w:id="186"/>
            <w:r/>
            <w:bookmarkEnd w:id="187"/>
            <w:r/>
            <w:bookmarkEnd w:id="188"/>
            <w:r/>
            <w:bookmarkEnd w:id="189"/>
            <w:r/>
            <w:bookmarkEnd w:id="190"/>
            <w:r/>
            <w:bookmarkEnd w:id="191"/>
            <w:r/>
            <w:bookmarkEnd w:id="19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889"/>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889"/>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bookmarkStart w:id="193" w:name="_Hlt26609389"/>
      <w:r/>
      <w:bookmarkStart w:id="194" w:name="_Hlt26955066"/>
      <w:r/>
      <w:bookmarkStart w:id="195" w:name="_Toc462564146"/>
      <w:r/>
      <w:bookmarkStart w:id="196" w:name="_格式2__法定代表人授权书"/>
      <w:r/>
      <w:bookmarkStart w:id="197" w:name="_Hlt26671374"/>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89"/>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89"/>
        <w:jc w:val="center"/>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color w:val="000000" w:themeColor="text1"/>
          <w:sz w:val="32"/>
          <w:szCs w:val="32"/>
          <w:highlight w:val="none"/>
          <w:u w:val="single"/>
          <w:lang w:eastAsia="zh-CN"/>
          <w14:textFill>
            <w14:solidFill>
              <w14:schemeClr w14:val="tx1"/>
            </w14:solidFill>
          </w14:textFill>
        </w:rPr>
        <w:t xml:space="preserve">五</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、开标一览表</w:t>
      </w:r>
      <w:r/>
    </w:p>
    <w:p>
      <w:pPr>
        <w:pStyle w:val="889"/>
        <w:ind w:firstLine="480"/>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投标人全称（加盖CA电子签章）：</w:t>
      </w:r>
      <w:r/>
    </w:p>
    <w:p>
      <w:pPr>
        <w:pStyle w:val="889"/>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p>
      <w:pPr>
        <w:pStyle w:val="889"/>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编号：</w:t>
      </w:r>
      <w:r/>
    </w:p>
    <w:tbl>
      <w:tblPr>
        <w:tblStyle w:val="88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9"/>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9"/>
              <w:spacing w:beforeAutospacing="0" w:afterAutospacing="0" w:line="0" w:lineRule="atLeas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9"/>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小写：                      （人民币：元）</w:t>
            </w:r>
            <w:r/>
          </w:p>
        </w:tc>
      </w:tr>
    </w:tbl>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89"/>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889"/>
        <w:jc w:val="both"/>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889"/>
        <w:jc w:val="center"/>
        <w:spacing w:beforeAutospacing="0" w:afterAutospacing="0"/>
        <w:rPr>
          <w:rFonts w:ascii="宋体" w:hAnsi="宋体" w:eastAsia="宋体" w:cs="宋体"/>
          <w:b/>
          <w:color w:val="000000" w:themeColor="text1"/>
          <w:sz w:val="32"/>
          <w:szCs w:val="32"/>
          <w:highlight w:val="none"/>
          <w:shd w:val="clear" w:color="auto" w:fill="auto"/>
          <w14:textFill>
            <w14:solidFill>
              <w14:schemeClr w14:val="tx1"/>
            </w14:solidFill>
          </w14:textFill>
        </w:rPr>
      </w:pPr>
      <w:r>
        <w:rPr>
          <w:rFonts w:ascii="宋体" w:hAnsi="宋体" w:eastAsia="宋体" w:cs="宋体"/>
          <w:b/>
          <w:color w:val="000000" w:themeColor="text1"/>
          <w:sz w:val="32"/>
          <w:szCs w:val="32"/>
          <w:highlight w:val="none"/>
          <w:shd w:val="clear" w:color="auto" w:fill="auto"/>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jc w:val="center"/>
        <w:spacing w:before="50" w:after="50"/>
        <w:widowControl/>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、其他材料</w:t>
      </w:r>
      <w:r/>
    </w:p>
    <w:p>
      <w:pPr>
        <w:pStyle w:val="889"/>
        <w:jc w:val="left"/>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投标人认为应提交的其他资料：综合实力</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、实施方案</w:t>
      </w:r>
      <w:r>
        <w:rPr>
          <w:rFonts w:hint="eastAsia" w:ascii="宋体" w:hAnsi="宋体" w:eastAsia="宋体" w:cs="宋体"/>
          <w:b/>
          <w:color w:val="000000" w:themeColor="text1"/>
          <w:sz w:val="32"/>
          <w:szCs w:val="32"/>
          <w:highlight w:val="none"/>
          <w14:textFill>
            <w14:solidFill>
              <w14:schemeClr w14:val="tx1"/>
            </w14:solidFill>
          </w14:textFill>
        </w:rPr>
        <w:t xml:space="preserve">等证明材料（投标人按招标文件的要求及评分标准要求分点表述，格式自拟）均应加盖单位公章。</w:t>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、盐城市政府采购事前信用承诺书 </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889"/>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3"/>
      <w:r/>
      <w:bookmarkEnd w:id="176"/>
      <w:r/>
      <w:bookmarkEnd w:id="177"/>
      <w:r/>
      <w:bookmarkEnd w:id="178"/>
      <w:r/>
      <w:bookmarkEnd w:id="179"/>
      <w:r/>
      <w:bookmarkEnd w:id="180"/>
      <w:r/>
      <w:bookmarkEnd w:id="181"/>
      <w:r/>
      <w:bookmarkEnd w:id="182"/>
      <w:r/>
      <w:bookmarkEnd w:id="184"/>
      <w:r/>
      <w:bookmarkEnd w:id="193"/>
      <w:r/>
      <w:bookmarkEnd w:id="194"/>
      <w:r/>
      <w:bookmarkEnd w:id="195"/>
      <w:r/>
      <w:bookmarkEnd w:id="196"/>
      <w:r/>
      <w:bookmarkEnd w:id="197"/>
      <w:r/>
      <w:r/>
    </w:p>
    <w:p>
      <w:pPr>
        <w:pStyle w:val="889"/>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89"/>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889"/>
        <w:jc w:val="both"/>
        <w:spacing w:before="290"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889"/>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89"/>
        <w:jc w:val="both"/>
        <w:spacing w:beforeAutospacing="0" w:afterAutospacing="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889"/>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889"/>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889"/>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9"/>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89"/>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89"/>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889"/>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spacing w:beforeAutospacing="0" w:afterAutospacing="0"/>
        <w:rPr>
          <w:rFonts w:hint="eastAsia" w:eastAsiaTheme="minorEastAsia"/>
          <w:color w:val="000000" w:themeColor="text1"/>
          <w:sz w:val="36"/>
          <w:szCs w:val="36"/>
          <w:highlight w:val="none"/>
          <w:lang w:eastAsia="zh-CN"/>
          <w14:textFill>
            <w14:solidFill>
              <w14:schemeClr w14:val="tx1"/>
            </w14:solidFill>
          </w14:textFill>
        </w:rPr>
      </w:pPr>
      <w:r>
        <w:rPr>
          <w:rFonts w:hint="eastAsia" w:eastAsiaTheme="minorEastAsia"/>
          <w:color w:val="000000" w:themeColor="text1"/>
          <w:sz w:val="36"/>
          <w:szCs w:val="36"/>
          <w:highlight w:val="none"/>
          <w:lang w:eastAsia="zh-CN"/>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center" w:pos="7143" w:leader="none"/>
        <w:tab w:val="clear" w:pos="8306"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center" w:pos="7143" w:leader="none"/>
        <w:tab w:val="clear" w:pos="8306"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lvlOverride w:ilvl="0">
      <w:startOverride w:val="2"/>
    </w:lvlOverride>
  </w:num>
  <w:num w:numId="6">
    <w:abstractNumId w:val="9"/>
    <w:lvlOverride w:ilvl="0">
      <w:startOverride w:val="6"/>
    </w:lvlOverride>
  </w:num>
  <w:num w:numId="7">
    <w:abstractNumId w:val="8"/>
    <w:lvlOverride w:ilvl="0">
      <w:startOverride w:val="16"/>
    </w:lvlOverride>
  </w:num>
  <w:num w:numId="8">
    <w:abstractNumId w:val="12"/>
    <w:lvlOverride w:ilvl="0">
      <w:startOverride w:val="23"/>
    </w:lvlOverride>
  </w:num>
  <w:num w:numId="9">
    <w:abstractNumId w:val="3"/>
  </w:num>
  <w:num w:numId="10">
    <w:abstractNumId w:val="11"/>
  </w:num>
  <w:num w:numId="11">
    <w:abstractNumId w:val="0"/>
  </w:num>
  <w:num w:numId="12">
    <w:abstractNumId w:val="10"/>
  </w:num>
  <w:num w:numId="13">
    <w:abstractNumId w:val="6"/>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81"/>
    <w:link w:val="878"/>
    <w:uiPriority w:val="9"/>
    <w:rPr>
      <w:rFonts w:ascii="Arial" w:hAnsi="Arial" w:eastAsia="Arial" w:cs="Arial"/>
      <w:sz w:val="40"/>
      <w:szCs w:val="40"/>
    </w:rPr>
  </w:style>
  <w:style w:type="character" w:styleId="705">
    <w:name w:val="Heading 2 Char"/>
    <w:basedOn w:val="881"/>
    <w:link w:val="879"/>
    <w:uiPriority w:val="9"/>
    <w:rPr>
      <w:rFonts w:ascii="Arial" w:hAnsi="Arial" w:eastAsia="Arial" w:cs="Arial"/>
      <w:sz w:val="34"/>
    </w:rPr>
  </w:style>
  <w:style w:type="character" w:styleId="706">
    <w:name w:val="Heading 3 Char"/>
    <w:basedOn w:val="881"/>
    <w:link w:val="880"/>
    <w:uiPriority w:val="9"/>
    <w:rPr>
      <w:rFonts w:ascii="Arial" w:hAnsi="Arial" w:eastAsia="Arial" w:cs="Arial"/>
      <w:sz w:val="30"/>
      <w:szCs w:val="30"/>
    </w:rPr>
  </w:style>
  <w:style w:type="paragraph" w:styleId="707">
    <w:name w:val="Heading 4"/>
    <w:basedOn w:val="877"/>
    <w:next w:val="877"/>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basedOn w:val="881"/>
    <w:link w:val="707"/>
    <w:uiPriority w:val="9"/>
    <w:rPr>
      <w:rFonts w:ascii="Arial" w:hAnsi="Arial" w:eastAsia="Arial" w:cs="Arial"/>
      <w:b/>
      <w:bCs/>
      <w:sz w:val="26"/>
      <w:szCs w:val="26"/>
    </w:rPr>
  </w:style>
  <w:style w:type="paragraph" w:styleId="709">
    <w:name w:val="Heading 5"/>
    <w:basedOn w:val="877"/>
    <w:next w:val="877"/>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81"/>
    <w:link w:val="709"/>
    <w:uiPriority w:val="9"/>
    <w:rPr>
      <w:rFonts w:ascii="Arial" w:hAnsi="Arial" w:eastAsia="Arial" w:cs="Arial"/>
      <w:b/>
      <w:bCs/>
      <w:sz w:val="24"/>
      <w:szCs w:val="24"/>
    </w:rPr>
  </w:style>
  <w:style w:type="paragraph" w:styleId="711">
    <w:name w:val="Heading 6"/>
    <w:basedOn w:val="877"/>
    <w:next w:val="877"/>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81"/>
    <w:link w:val="711"/>
    <w:uiPriority w:val="9"/>
    <w:rPr>
      <w:rFonts w:ascii="Arial" w:hAnsi="Arial" w:eastAsia="Arial" w:cs="Arial"/>
      <w:b/>
      <w:bCs/>
      <w:sz w:val="22"/>
      <w:szCs w:val="22"/>
    </w:rPr>
  </w:style>
  <w:style w:type="paragraph" w:styleId="713">
    <w:name w:val="Heading 7"/>
    <w:basedOn w:val="877"/>
    <w:next w:val="877"/>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81"/>
    <w:link w:val="713"/>
    <w:uiPriority w:val="9"/>
    <w:rPr>
      <w:rFonts w:ascii="Arial" w:hAnsi="Arial" w:eastAsia="Arial" w:cs="Arial"/>
      <w:b/>
      <w:bCs/>
      <w:i/>
      <w:iCs/>
      <w:sz w:val="22"/>
      <w:szCs w:val="22"/>
    </w:rPr>
  </w:style>
  <w:style w:type="paragraph" w:styleId="715">
    <w:name w:val="Heading 8"/>
    <w:basedOn w:val="877"/>
    <w:next w:val="877"/>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81"/>
    <w:link w:val="715"/>
    <w:uiPriority w:val="9"/>
    <w:rPr>
      <w:rFonts w:ascii="Arial" w:hAnsi="Arial" w:eastAsia="Arial" w:cs="Arial"/>
      <w:i/>
      <w:iCs/>
      <w:sz w:val="22"/>
      <w:szCs w:val="22"/>
    </w:rPr>
  </w:style>
  <w:style w:type="paragraph" w:styleId="717">
    <w:name w:val="Heading 9"/>
    <w:basedOn w:val="877"/>
    <w:next w:val="877"/>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81"/>
    <w:link w:val="717"/>
    <w:uiPriority w:val="9"/>
    <w:rPr>
      <w:rFonts w:ascii="Arial" w:hAnsi="Arial" w:eastAsia="Arial" w:cs="Arial"/>
      <w:i/>
      <w:iCs/>
      <w:sz w:val="21"/>
      <w:szCs w:val="21"/>
    </w:rPr>
  </w:style>
  <w:style w:type="paragraph" w:styleId="719">
    <w:name w:val="List Paragraph"/>
    <w:basedOn w:val="877"/>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7"/>
    <w:next w:val="877"/>
    <w:link w:val="722"/>
    <w:uiPriority w:val="10"/>
    <w:qFormat/>
    <w:pPr>
      <w:contextualSpacing/>
      <w:spacing w:before="300" w:after="200"/>
    </w:pPr>
    <w:rPr>
      <w:sz w:val="48"/>
      <w:szCs w:val="48"/>
    </w:rPr>
  </w:style>
  <w:style w:type="character" w:styleId="722">
    <w:name w:val="Title Char"/>
    <w:basedOn w:val="881"/>
    <w:link w:val="721"/>
    <w:uiPriority w:val="10"/>
    <w:rPr>
      <w:sz w:val="48"/>
      <w:szCs w:val="48"/>
    </w:rPr>
  </w:style>
  <w:style w:type="paragraph" w:styleId="723">
    <w:name w:val="Subtitle"/>
    <w:basedOn w:val="877"/>
    <w:next w:val="877"/>
    <w:link w:val="724"/>
    <w:uiPriority w:val="11"/>
    <w:qFormat/>
    <w:pPr>
      <w:spacing w:before="200" w:after="200"/>
    </w:pPr>
    <w:rPr>
      <w:sz w:val="24"/>
      <w:szCs w:val="24"/>
    </w:rPr>
  </w:style>
  <w:style w:type="character" w:styleId="724">
    <w:name w:val="Subtitle Char"/>
    <w:basedOn w:val="881"/>
    <w:link w:val="723"/>
    <w:uiPriority w:val="11"/>
    <w:rPr>
      <w:sz w:val="24"/>
      <w:szCs w:val="24"/>
    </w:rPr>
  </w:style>
  <w:style w:type="paragraph" w:styleId="725">
    <w:name w:val="Quote"/>
    <w:basedOn w:val="877"/>
    <w:next w:val="877"/>
    <w:link w:val="726"/>
    <w:uiPriority w:val="29"/>
    <w:qFormat/>
    <w:pPr>
      <w:ind w:left="720" w:right="720"/>
    </w:pPr>
    <w:rPr>
      <w:i/>
    </w:rPr>
  </w:style>
  <w:style w:type="character" w:styleId="726">
    <w:name w:val="Quote Char"/>
    <w:link w:val="725"/>
    <w:uiPriority w:val="29"/>
    <w:rPr>
      <w:i/>
    </w:rPr>
  </w:style>
  <w:style w:type="paragraph" w:styleId="727">
    <w:name w:val="Intense Quote"/>
    <w:basedOn w:val="877"/>
    <w:next w:val="877"/>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1"/>
    <w:link w:val="888"/>
    <w:uiPriority w:val="99"/>
  </w:style>
  <w:style w:type="character" w:styleId="730">
    <w:name w:val="Footer Char"/>
    <w:basedOn w:val="881"/>
    <w:link w:val="887"/>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887"/>
    <w:uiPriority w:val="99"/>
  </w:style>
  <w:style w:type="table" w:styleId="733">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0">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1">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2">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3">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4">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5">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6">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7">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8">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9">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0">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3">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4">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5">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6">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7">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6">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7">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8">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9">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0">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1">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3">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4">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5">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6">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7">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8">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1"/>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1"/>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8">
    <w:name w:val="Heading 1"/>
    <w:basedOn w:val="877"/>
    <w:next w:val="877"/>
    <w:uiPriority w:val="0"/>
    <w:qFormat/>
    <w:pPr>
      <w:jc w:val="center"/>
      <w:keepNext/>
      <w:outlineLvl w:val="0"/>
    </w:pPr>
    <w:rPr>
      <w:rFonts w:ascii="楷体_GB2312" w:eastAsia="楷体_GB2312"/>
      <w:sz w:val="28"/>
      <w:szCs w:val="28"/>
    </w:rPr>
  </w:style>
  <w:style w:type="paragraph" w:styleId="879">
    <w:name w:val="Heading 2"/>
    <w:basedOn w:val="877"/>
    <w:next w:val="87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80">
    <w:name w:val="Heading 3"/>
    <w:basedOn w:val="877"/>
    <w:next w:val="883"/>
    <w:uiPriority w:val="99"/>
    <w:qFormat/>
    <w:pPr>
      <w:ind w:firstLine="137"/>
      <w:keepLines/>
      <w:keepNext/>
      <w:spacing w:line="415" w:lineRule="auto"/>
      <w:outlineLvl w:val="2"/>
    </w:pPr>
    <w:rPr>
      <w:rFonts w:hAnsi="黑体" w:eastAsia="黑体"/>
      <w:sz w:val="24"/>
      <w:szCs w:val="20"/>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7"/>
    <w:uiPriority w:val="99"/>
    <w:unhideWhenUsed/>
    <w:qFormat/>
    <w:pPr>
      <w:ind w:firstLine="420"/>
      <w:jc w:val="left"/>
    </w:pPr>
    <w:rPr>
      <w:rFonts w:ascii="宋体"/>
      <w:sz w:val="24"/>
    </w:rPr>
  </w:style>
  <w:style w:type="paragraph" w:styleId="884">
    <w:name w:val="annotation text"/>
    <w:basedOn w:val="877"/>
    <w:uiPriority w:val="0"/>
    <w:qFormat/>
    <w:pPr>
      <w:jc w:val="left"/>
    </w:pPr>
  </w:style>
  <w:style w:type="paragraph" w:styleId="885">
    <w:name w:val="Body Text"/>
    <w:basedOn w:val="877"/>
    <w:next w:val="877"/>
    <w:uiPriority w:val="0"/>
    <w:unhideWhenUsed/>
    <w:qFormat/>
    <w:pPr>
      <w:spacing w:after="120"/>
    </w:pPr>
    <w:rPr>
      <w:rFonts w:ascii="Calibri" w:hAnsi="Calibri"/>
      <w:szCs w:val="22"/>
    </w:rPr>
  </w:style>
  <w:style w:type="paragraph" w:styleId="886">
    <w:name w:val="Plain Text"/>
    <w:basedOn w:val="877"/>
    <w:uiPriority w:val="0"/>
    <w:unhideWhenUsed/>
    <w:qFormat/>
    <w:rPr>
      <w:rFonts w:ascii="宋体" w:hAnsi="Courier New" w:cs="Courier New"/>
      <w:szCs w:val="21"/>
    </w:rPr>
  </w:style>
  <w:style w:type="paragraph" w:styleId="887">
    <w:name w:val="Footer"/>
    <w:basedOn w:val="877"/>
    <w:link w:val="895"/>
    <w:uiPriority w:val="0"/>
    <w:qFormat/>
    <w:pPr>
      <w:jc w:val="left"/>
      <w:tabs>
        <w:tab w:val="center" w:pos="4153" w:leader="none"/>
        <w:tab w:val="right" w:pos="8306" w:leader="none"/>
      </w:tabs>
    </w:pPr>
    <w:rPr>
      <w:sz w:val="18"/>
      <w:szCs w:val="18"/>
    </w:rPr>
  </w:style>
  <w:style w:type="paragraph" w:styleId="888">
    <w:name w:val="Header"/>
    <w:basedOn w:val="877"/>
    <w:link w:val="894"/>
    <w:uiPriority w:val="0"/>
    <w:qFormat/>
    <w:pPr>
      <w:jc w:val="center"/>
      <w:tabs>
        <w:tab w:val="center" w:pos="4153" w:leader="none"/>
        <w:tab w:val="right" w:pos="8306" w:leader="none"/>
      </w:tabs>
      <w:pBdr>
        <w:bottom w:val="single" w:color="auto" w:sz="6" w:space="1"/>
      </w:pBdr>
    </w:pPr>
    <w:rPr>
      <w:sz w:val="18"/>
      <w:szCs w:val="18"/>
    </w:rPr>
  </w:style>
  <w:style w:type="paragraph" w:styleId="889">
    <w:name w:val="Normal (Web)"/>
    <w:basedOn w:val="877"/>
    <w:uiPriority w:val="0"/>
    <w:qFormat/>
    <w:pPr>
      <w:jc w:val="left"/>
      <w:spacing w:beforeAutospacing="1" w:afterAutospacing="1"/>
    </w:pPr>
    <w:rPr>
      <w:rFonts w:cs="Times New Roman"/>
      <w:sz w:val="24"/>
    </w:rPr>
  </w:style>
  <w:style w:type="paragraph" w:styleId="890">
    <w:name w:val="Body Text First Indent"/>
    <w:basedOn w:val="885"/>
    <w:uiPriority w:val="99"/>
    <w:qFormat/>
    <w:pPr>
      <w:ind w:firstLine="200"/>
      <w:spacing w:line="360" w:lineRule="auto"/>
    </w:pPr>
    <w:rPr>
      <w:rFonts w:ascii="仿宋_GB2312" w:hAnsi="Times New Roman" w:eastAsia="仿宋_GB2312"/>
      <w:sz w:val="30"/>
      <w:szCs w:val="30"/>
    </w:rPr>
  </w:style>
  <w:style w:type="character" w:styleId="891">
    <w:name w:val="page number"/>
    <w:uiPriority w:val="99"/>
    <w:qFormat/>
    <w:rPr>
      <w:rFonts w:cs="Times New Roman"/>
    </w:rPr>
  </w:style>
  <w:style w:type="character" w:styleId="892">
    <w:name w:val="Emphasis"/>
    <w:uiPriority w:val="0"/>
    <w:qFormat/>
    <w:rPr>
      <w:i/>
    </w:rPr>
  </w:style>
  <w:style w:type="paragraph" w:styleId="893" w:customStyle="1">
    <w:name w:val="Default"/>
    <w:basedOn w:val="877"/>
    <w:uiPriority w:val="0"/>
    <w:semiHidden/>
    <w:qFormat/>
    <w:pPr>
      <w:jc w:val="left"/>
    </w:pPr>
    <w:rPr>
      <w:rFonts w:ascii="宋体" w:hAnsi="Calibri" w:cs="宋体"/>
      <w:color w:val="000000"/>
      <w:sz w:val="24"/>
    </w:rPr>
  </w:style>
  <w:style w:type="character" w:styleId="894" w:customStyle="1">
    <w:name w:val="页眉 Char"/>
    <w:basedOn w:val="881"/>
    <w:link w:val="888"/>
    <w:uiPriority w:val="0"/>
    <w:qFormat/>
    <w:rPr>
      <w:rFonts w:asciiTheme="minorHAnsi" w:hAnsiTheme="minorHAnsi" w:eastAsiaTheme="minorEastAsia" w:cstheme="minorBidi"/>
      <w:sz w:val="18"/>
      <w:szCs w:val="18"/>
    </w:rPr>
  </w:style>
  <w:style w:type="character" w:styleId="895" w:customStyle="1">
    <w:name w:val="页脚 Char"/>
    <w:basedOn w:val="881"/>
    <w:link w:val="887"/>
    <w:uiPriority w:val="0"/>
    <w:qFormat/>
    <w:rPr>
      <w:rFonts w:asciiTheme="minorHAnsi" w:hAnsiTheme="minorHAnsi" w:eastAsiaTheme="minorEastAsia" w:cstheme="minorBidi"/>
      <w:sz w:val="18"/>
      <w:szCs w:val="18"/>
    </w:rPr>
  </w:style>
  <w:style w:type="paragraph" w:styleId="89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7" w:customStyle="1">
    <w:name w:val="页脚1"/>
    <w:basedOn w:val="898"/>
    <w:uiPriority w:val="99"/>
    <w:unhideWhenUsed/>
    <w:qFormat/>
    <w:pPr>
      <w:jc w:val="left"/>
      <w:tabs>
        <w:tab w:val="center" w:pos="4153" w:leader="none"/>
        <w:tab w:val="right" w:pos="8306" w:leader="none"/>
      </w:tabs>
    </w:pPr>
    <w:rPr>
      <w:sz w:val="18"/>
      <w:szCs w:val="18"/>
    </w:rPr>
  </w:style>
  <w:style w:type="paragraph" w:styleId="898" w:customStyle="1">
    <w:name w:val="正文113"/>
    <w:next w:val="899"/>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99" w:customStyle="1">
    <w:name w:val="BodyText1I21"/>
    <w:basedOn w:val="900"/>
    <w:uiPriority w:val="0"/>
    <w:qFormat/>
    <w:pPr>
      <w:ind w:firstLine="420"/>
      <w:spacing w:line="240" w:lineRule="auto"/>
    </w:pPr>
    <w:rPr>
      <w:sz w:val="21"/>
    </w:rPr>
  </w:style>
  <w:style w:type="paragraph" w:styleId="900" w:customStyle="1">
    <w:name w:val="BodyTextIndent1"/>
    <w:basedOn w:val="898"/>
    <w:uiPriority w:val="0"/>
    <w:qFormat/>
    <w:pPr>
      <w:ind w:left="420" w:firstLine="200"/>
      <w:spacing w:after="120" w:line="360" w:lineRule="auto"/>
    </w:pPr>
    <w:rPr>
      <w:rFonts w:ascii="Verdana" w:hAnsi="Verdana"/>
      <w:sz w:val="24"/>
      <w:szCs w:val="28"/>
    </w:rPr>
  </w:style>
  <w:style w:type="paragraph" w:styleId="901" w:customStyle="1">
    <w:name w:val="普通正文"/>
    <w:basedOn w:val="877"/>
    <w:uiPriority w:val="0"/>
    <w:qFormat/>
    <w:pPr>
      <w:ind w:firstLine="480"/>
      <w:jc w:val="left"/>
      <w:spacing w:before="120" w:after="120" w:line="360" w:lineRule="auto"/>
    </w:pPr>
    <w:rPr>
      <w:rFonts w:ascii="Arial" w:hAnsi="Arial" w:eastAsia="等线" w:cs="Arial"/>
      <w:sz w:val="24"/>
      <w:szCs w:val="24"/>
    </w:rPr>
  </w:style>
  <w:style w:type="paragraph" w:styleId="902" w:customStyle="1">
    <w:name w:val="正文首行缩进 21"/>
    <w:basedOn w:val="903"/>
    <w:uiPriority w:val="0"/>
    <w:qFormat/>
    <w:pPr>
      <w:ind w:firstLine="420"/>
    </w:pPr>
  </w:style>
  <w:style w:type="paragraph" w:styleId="903" w:customStyle="1">
    <w:name w:val="正文文本缩进1"/>
    <w:basedOn w:val="877"/>
    <w:uiPriority w:val="0"/>
    <w:qFormat/>
    <w:pPr>
      <w:ind w:left="420"/>
      <w:spacing w:after="120"/>
    </w:pPr>
  </w:style>
  <w:style w:type="paragraph" w:styleId="904" w:customStyle="1">
    <w:name w:val="普通(网站)1"/>
    <w:basedOn w:val="877"/>
    <w:uiPriority w:val="0"/>
    <w:qFormat/>
    <w:pPr>
      <w:jc w:val="left"/>
      <w:spacing w:beforeAutospacing="1" w:afterAutospacing="1"/>
    </w:pPr>
    <w:rPr>
      <w:rFonts w:cs="Times New Roman"/>
      <w:sz w:val="24"/>
    </w:rPr>
  </w:style>
  <w:style w:type="paragraph" w:styleId="905" w:customStyle="1">
    <w:name w:val="标题 21"/>
    <w:basedOn w:val="877"/>
    <w:next w:val="877"/>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6" w:customStyle="1">
    <w:name w:val="正文文本1"/>
    <w:basedOn w:val="877"/>
    <w:next w:val="877"/>
    <w:uiPriority w:val="0"/>
    <w:unhideWhenUsed/>
    <w:qFormat/>
    <w:pPr>
      <w:spacing w:after="120"/>
    </w:pPr>
    <w:rPr>
      <w:rFonts w:ascii="Calibri" w:hAnsi="Calibri"/>
      <w:szCs w:val="22"/>
    </w:rPr>
  </w:style>
  <w:style w:type="paragraph" w:styleId="907" w:customStyle="1">
    <w:name w:val="纯文本1"/>
    <w:basedOn w:val="877"/>
    <w:uiPriority w:val="0"/>
    <w:unhideWhenUsed/>
    <w:qFormat/>
    <w:rPr>
      <w:rFonts w:ascii="宋体" w:hAnsi="Courier New" w:cs="Courier New"/>
      <w:szCs w:val="21"/>
    </w:rPr>
  </w:style>
  <w:style w:type="paragraph" w:styleId="908" w:customStyle="1">
    <w:name w:val="正文空2格  1."/>
    <w:basedOn w:val="877"/>
    <w:uiPriority w:val="0"/>
    <w:qFormat/>
    <w:pPr>
      <w:ind w:firstLine="480"/>
    </w:pPr>
    <w:rPr>
      <w:rFonts w:cs="宋体"/>
      <w:szCs w:val="20"/>
    </w:rPr>
  </w:style>
  <w:style w:type="paragraph" w:styleId="909" w:customStyle="1">
    <w:name w:val="正文1"/>
    <w:basedOn w:val="910"/>
    <w:uiPriority w:val="0"/>
    <w:qFormat/>
  </w:style>
  <w:style w:type="paragraph" w:styleId="910" w:customStyle="1">
    <w:name w:val="正文112"/>
    <w:next w:val="8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11" w:customStyle="1">
    <w:name w:val="font11"/>
    <w:basedOn w:val="881"/>
    <w:uiPriority w:val="0"/>
    <w:qFormat/>
    <w:rPr>
      <w:rFonts w:hint="eastAsia" w:ascii="宋体" w:hAnsi="宋体" w:eastAsia="宋体" w:cs="宋体"/>
      <w:color w:val="000000"/>
      <w:sz w:val="20"/>
      <w:szCs w:val="20"/>
      <w:u w:val="none"/>
    </w:rPr>
  </w:style>
  <w:style w:type="paragraph" w:styleId="912" w:customStyle="1">
    <w:name w:val="文本块11"/>
    <w:uiPriority w:val="99"/>
    <w:unhideWhenUsed/>
    <w:qFormat/>
    <w:pPr>
      <w:ind w:left="1440" w:right="1440"/>
      <w:jc w:val="both"/>
      <w:spacing w:after="120"/>
      <w:widowControl w:val="off"/>
    </w:pPr>
    <w:rPr>
      <w:rFonts w:hint="default" w:ascii="Times New Roman" w:hAnsi="Times New Roman" w:eastAsia="宋体" w:cs="Times New Roman"/>
      <w:sz w:val="21"/>
      <w:szCs w:val="21"/>
      <w:lang w:val="en-US" w:eastAsia="zh-CN" w:bidi="ar-SA"/>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彭明艳</cp:lastModifiedBy>
  <cp:revision>121</cp:revision>
  <dcterms:created xsi:type="dcterms:W3CDTF">2014-10-29T12:08:00Z</dcterms:created>
  <dcterms:modified xsi:type="dcterms:W3CDTF">2026-03-30T06:33:19Z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5719E5D57F6F4FD7BDDE0AC399B32170_13</vt:lpwstr>
  </property>
  <property fmtid="{D5CDD505-2E9C-101B-9397-08002B2CF9AE}" pid="4" name="KSOTemplateDocerSaveRecord">
    <vt:lpwstr>eyJoZGlkIjoiMjY2YTJlYjNjZDA2OGVhYzU2ZjEzNTNiMzFkYjVhMDIiLCJ1c2VySWQiOiIzNjM0NzQ4NzEifQ==</vt:lpwstr>
  </property>
</Properties>
</file>