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F64542">
      <w:pPr>
        <w:pStyle w:val="11"/>
        <w:spacing w:before="120" w:beforeAutospacing="0" w:after="120" w:afterAutospacing="0" w:line="360" w:lineRule="auto"/>
        <w:rPr>
          <w:color w:val="auto"/>
          <w:highlight w:val="none"/>
        </w:rPr>
      </w:pPr>
      <w:r>
        <w:rPr>
          <w:color w:val="auto"/>
          <w:highlight w:val="none"/>
        </w:rPr>
        <w:t> </w:t>
      </w:r>
    </w:p>
    <w:p w14:paraId="22FC8B4C">
      <w:pPr>
        <w:pStyle w:val="11"/>
        <w:spacing w:before="120" w:beforeAutospacing="0" w:after="120" w:afterAutospacing="0" w:line="360" w:lineRule="auto"/>
        <w:jc w:val="center"/>
        <w:rPr>
          <w:rFonts w:ascii="Arial" w:hAnsi="Arial" w:cs="Arial"/>
          <w:b/>
          <w:color w:val="auto"/>
          <w:sz w:val="84"/>
          <w:szCs w:val="84"/>
          <w:highlight w:val="none"/>
        </w:rPr>
      </w:pPr>
    </w:p>
    <w:p w14:paraId="42530EE1">
      <w:pPr>
        <w:pStyle w:val="11"/>
        <w:spacing w:before="120" w:beforeAutospacing="0" w:after="120" w:afterAutospacing="0" w:line="360" w:lineRule="auto"/>
        <w:jc w:val="center"/>
        <w:rPr>
          <w:color w:val="auto"/>
          <w:highlight w:val="none"/>
        </w:rPr>
      </w:pPr>
      <w:r>
        <w:rPr>
          <w:rFonts w:ascii="Arial" w:hAnsi="Arial" w:cs="Arial"/>
          <w:b/>
          <w:color w:val="auto"/>
          <w:sz w:val="84"/>
          <w:szCs w:val="84"/>
          <w:highlight w:val="none"/>
        </w:rPr>
        <w:t>招 标 文 件</w:t>
      </w:r>
    </w:p>
    <w:p w14:paraId="713A3630">
      <w:pPr>
        <w:pStyle w:val="11"/>
        <w:spacing w:before="120" w:beforeAutospacing="0" w:after="120" w:afterAutospacing="0" w:line="360" w:lineRule="auto"/>
        <w:ind w:firstLine="2249"/>
        <w:rPr>
          <w:rFonts w:ascii="Arial" w:hAnsi="Arial" w:cs="Arial"/>
          <w:b/>
          <w:color w:val="auto"/>
          <w:sz w:val="32"/>
          <w:szCs w:val="32"/>
          <w:highlight w:val="none"/>
        </w:rPr>
      </w:pPr>
    </w:p>
    <w:p w14:paraId="162E5A27">
      <w:pPr>
        <w:pStyle w:val="11"/>
        <w:spacing w:before="120" w:beforeAutospacing="0" w:after="120" w:afterAutospacing="0" w:line="360" w:lineRule="auto"/>
        <w:ind w:firstLine="2249"/>
        <w:rPr>
          <w:rFonts w:ascii="Arial" w:hAnsi="Arial" w:cs="Arial"/>
          <w:b/>
          <w:color w:val="auto"/>
          <w:sz w:val="32"/>
          <w:szCs w:val="32"/>
          <w:highlight w:val="none"/>
        </w:rPr>
      </w:pPr>
    </w:p>
    <w:p w14:paraId="2753DA6B">
      <w:pPr>
        <w:pStyle w:val="11"/>
        <w:spacing w:before="120" w:beforeAutospacing="0" w:after="120" w:afterAutospacing="0" w:line="360" w:lineRule="auto"/>
        <w:ind w:firstLine="2249"/>
        <w:rPr>
          <w:rFonts w:ascii="Arial" w:hAnsi="Arial" w:cs="Arial"/>
          <w:b/>
          <w:color w:val="auto"/>
          <w:sz w:val="32"/>
          <w:szCs w:val="32"/>
          <w:highlight w:val="none"/>
        </w:rPr>
      </w:pPr>
    </w:p>
    <w:p w14:paraId="6AC9083A">
      <w:pPr>
        <w:pStyle w:val="11"/>
        <w:spacing w:before="120" w:beforeAutospacing="0" w:after="120" w:afterAutospacing="0" w:line="360" w:lineRule="auto"/>
        <w:jc w:val="center"/>
        <w:rPr>
          <w:rFonts w:hint="default" w:eastAsiaTheme="minorEastAsia"/>
          <w:color w:val="auto"/>
          <w:highlight w:val="none"/>
          <w:lang w:val="en-US" w:eastAsia="zh-CN"/>
        </w:rPr>
      </w:pPr>
      <w:r>
        <w:rPr>
          <w:rFonts w:ascii="Arial" w:hAnsi="Arial" w:cs="Arial"/>
          <w:b/>
          <w:color w:val="auto"/>
          <w:sz w:val="32"/>
          <w:szCs w:val="32"/>
          <w:highlight w:val="none"/>
        </w:rPr>
        <w:t>项目名称：</w:t>
      </w:r>
      <w:r>
        <w:rPr>
          <w:rFonts w:hint="eastAsia" w:ascii="Arial" w:hAnsi="Arial" w:cs="Arial"/>
          <w:b/>
          <w:color w:val="auto"/>
          <w:sz w:val="32"/>
          <w:szCs w:val="32"/>
          <w:highlight w:val="none"/>
          <w:lang w:val="en-US" w:eastAsia="zh-CN"/>
        </w:rPr>
        <w:t>东台眼见为食信息化监管平台二期建设项目</w:t>
      </w:r>
    </w:p>
    <w:p w14:paraId="5739FE49">
      <w:pPr>
        <w:pStyle w:val="11"/>
        <w:keepNext w:val="0"/>
        <w:keepLines w:val="0"/>
        <w:pageBreakBefore w:val="0"/>
        <w:widowControl w:val="0"/>
        <w:kinsoku/>
        <w:wordWrap/>
        <w:overflowPunct/>
        <w:topLinePunct w:val="0"/>
        <w:autoSpaceDE/>
        <w:autoSpaceDN/>
        <w:bidi w:val="0"/>
        <w:adjustRightInd/>
        <w:snapToGrid/>
        <w:spacing w:beforeAutospacing="0" w:afterAutospacing="0"/>
        <w:ind w:left="0" w:firstLine="321" w:firstLineChars="100"/>
        <w:jc w:val="left"/>
        <w:textAlignment w:val="auto"/>
        <w:rPr>
          <w:rFonts w:hint="default" w:eastAsiaTheme="minorEastAsia"/>
          <w:color w:val="auto"/>
          <w:highlight w:val="none"/>
          <w:lang w:val="en-US" w:eastAsia="zh-CN"/>
        </w:rPr>
      </w:pPr>
      <w:r>
        <w:rPr>
          <w:rFonts w:ascii="Times New Roman" w:hAnsi="Times New Roman"/>
          <w:b/>
          <w:color w:val="auto"/>
          <w:sz w:val="32"/>
          <w:szCs w:val="32"/>
          <w:highlight w:val="none"/>
        </w:rPr>
        <w:t>项目编号：</w:t>
      </w:r>
      <w:r>
        <w:rPr>
          <w:rFonts w:hint="eastAsia" w:ascii="Times New Roman" w:hAnsi="Times New Roman"/>
          <w:b/>
          <w:color w:val="auto"/>
          <w:sz w:val="32"/>
          <w:szCs w:val="32"/>
          <w:highlight w:val="none"/>
        </w:rPr>
        <w:t>JSZC-320981-DTJM-G2026-0002</w:t>
      </w:r>
    </w:p>
    <w:p w14:paraId="4F08E5A7">
      <w:pPr>
        <w:pStyle w:val="11"/>
        <w:spacing w:beforeAutospacing="0" w:afterAutospacing="0" w:line="360" w:lineRule="auto"/>
        <w:rPr>
          <w:color w:val="auto"/>
          <w:highlight w:val="none"/>
        </w:rPr>
      </w:pPr>
      <w:r>
        <w:rPr>
          <w:color w:val="auto"/>
          <w:highlight w:val="none"/>
        </w:rPr>
        <w:t> </w:t>
      </w:r>
    </w:p>
    <w:p w14:paraId="2CB79001">
      <w:pPr>
        <w:pStyle w:val="11"/>
        <w:spacing w:beforeAutospacing="0" w:afterAutospacing="0" w:line="360" w:lineRule="auto"/>
        <w:rPr>
          <w:color w:val="auto"/>
          <w:highlight w:val="none"/>
        </w:rPr>
      </w:pPr>
      <w:r>
        <w:rPr>
          <w:color w:val="auto"/>
          <w:highlight w:val="none"/>
        </w:rPr>
        <w:t> </w:t>
      </w:r>
    </w:p>
    <w:p w14:paraId="1210169D">
      <w:pPr>
        <w:pStyle w:val="11"/>
        <w:spacing w:beforeAutospacing="0" w:afterAutospacing="0" w:line="360" w:lineRule="auto"/>
        <w:rPr>
          <w:color w:val="auto"/>
          <w:highlight w:val="none"/>
        </w:rPr>
      </w:pPr>
      <w:r>
        <w:rPr>
          <w:color w:val="auto"/>
          <w:highlight w:val="none"/>
        </w:rPr>
        <w:t> </w:t>
      </w:r>
    </w:p>
    <w:p w14:paraId="41EFD7BF">
      <w:pPr>
        <w:pStyle w:val="11"/>
        <w:spacing w:beforeAutospacing="0" w:afterAutospacing="0" w:line="360" w:lineRule="auto"/>
        <w:rPr>
          <w:color w:val="auto"/>
          <w:highlight w:val="none"/>
        </w:rPr>
      </w:pPr>
      <w:r>
        <w:rPr>
          <w:color w:val="auto"/>
          <w:highlight w:val="none"/>
        </w:rPr>
        <w:t> </w:t>
      </w:r>
    </w:p>
    <w:p w14:paraId="24D68947">
      <w:pPr>
        <w:pStyle w:val="11"/>
        <w:spacing w:beforeAutospacing="0" w:afterAutospacing="0" w:line="360" w:lineRule="auto"/>
        <w:rPr>
          <w:color w:val="auto"/>
          <w:highlight w:val="none"/>
        </w:rPr>
      </w:pPr>
      <w:r>
        <w:rPr>
          <w:color w:val="auto"/>
          <w:highlight w:val="none"/>
        </w:rPr>
        <w:t> </w:t>
      </w:r>
    </w:p>
    <w:p w14:paraId="54396246">
      <w:pPr>
        <w:pStyle w:val="11"/>
        <w:spacing w:beforeAutospacing="0" w:afterAutospacing="0" w:line="360" w:lineRule="auto"/>
        <w:rPr>
          <w:color w:val="auto"/>
          <w:highlight w:val="none"/>
        </w:rPr>
      </w:pPr>
      <w:r>
        <w:rPr>
          <w:color w:val="auto"/>
          <w:highlight w:val="none"/>
        </w:rPr>
        <w:t> </w:t>
      </w:r>
    </w:p>
    <w:p w14:paraId="3F6ACE54">
      <w:pPr>
        <w:pStyle w:val="11"/>
        <w:spacing w:beforeAutospacing="0" w:afterAutospacing="0" w:line="360" w:lineRule="auto"/>
        <w:rPr>
          <w:color w:val="auto"/>
          <w:highlight w:val="none"/>
        </w:rPr>
      </w:pPr>
      <w:r>
        <w:rPr>
          <w:color w:val="auto"/>
          <w:highlight w:val="none"/>
        </w:rPr>
        <w:t> </w:t>
      </w:r>
    </w:p>
    <w:p w14:paraId="1A031427">
      <w:pPr>
        <w:spacing w:line="480" w:lineRule="auto"/>
        <w:jc w:val="center"/>
        <w:outlineLvl w:val="9"/>
        <w:rPr>
          <w:rFonts w:hint="eastAsia" w:ascii="Arial" w:hAnsi="Arial" w:eastAsia="宋体" w:cs="Arial"/>
          <w:b/>
          <w:color w:val="000000"/>
          <w:kern w:val="0"/>
          <w:sz w:val="32"/>
          <w:szCs w:val="32"/>
        </w:rPr>
      </w:pPr>
      <w:r>
        <w:rPr>
          <w:rFonts w:hint="eastAsia" w:ascii="Arial" w:hAnsi="Arial" w:cs="Arial"/>
          <w:b/>
          <w:color w:val="auto"/>
          <w:sz w:val="32"/>
          <w:szCs w:val="32"/>
          <w:highlight w:val="none"/>
        </w:rPr>
        <w:t>采购单位</w:t>
      </w:r>
      <w:r>
        <w:rPr>
          <w:rFonts w:hint="eastAsia" w:ascii="Arial" w:hAnsi="Arial" w:cs="Arial"/>
          <w:b/>
          <w:color w:val="auto"/>
          <w:sz w:val="32"/>
          <w:szCs w:val="32"/>
          <w:highlight w:val="none"/>
          <w:lang w:eastAsia="zh-CN"/>
        </w:rPr>
        <w:t>：</w:t>
      </w:r>
      <w:r>
        <w:rPr>
          <w:rFonts w:hint="eastAsia" w:ascii="Arial" w:hAnsi="Arial" w:cs="Arial"/>
          <w:b/>
          <w:color w:val="auto"/>
          <w:sz w:val="32"/>
          <w:szCs w:val="32"/>
          <w:highlight w:val="none"/>
          <w:lang w:val="en-US" w:eastAsia="zh-CN"/>
        </w:rPr>
        <w:t>东台市市场监督管理局</w:t>
      </w:r>
      <w:bookmarkStart w:id="0" w:name="_Toc31677"/>
    </w:p>
    <w:p w14:paraId="5EC449D5">
      <w:pPr>
        <w:spacing w:line="480" w:lineRule="auto"/>
        <w:jc w:val="center"/>
        <w:outlineLvl w:val="9"/>
        <w:rPr>
          <w:rFonts w:hint="eastAsia" w:ascii="宋体" w:hAnsi="宋体" w:eastAsia="宋体" w:cs="宋体"/>
          <w:b/>
          <w:kern w:val="0"/>
          <w:sz w:val="32"/>
          <w:szCs w:val="24"/>
          <w:lang w:val="en-US" w:eastAsia="zh-CN" w:bidi="ar-SA"/>
        </w:rPr>
      </w:pPr>
      <w:r>
        <w:rPr>
          <w:rFonts w:hint="eastAsia" w:ascii="Arial" w:hAnsi="Arial" w:eastAsia="宋体" w:cs="Arial"/>
          <w:b/>
          <w:color w:val="000000"/>
          <w:kern w:val="0"/>
          <w:sz w:val="32"/>
          <w:szCs w:val="32"/>
        </w:rPr>
        <w:t>代理机构：</w:t>
      </w:r>
      <w:bookmarkEnd w:id="0"/>
      <w:r>
        <w:rPr>
          <w:rFonts w:hint="eastAsia" w:ascii="Arial" w:hAnsi="Arial" w:eastAsia="宋体" w:cs="Arial"/>
          <w:b/>
          <w:color w:val="000000"/>
          <w:kern w:val="0"/>
          <w:sz w:val="32"/>
          <w:szCs w:val="32"/>
        </w:rPr>
        <w:t>江苏炬铭工程项目管理咨询有限公司</w:t>
      </w:r>
    </w:p>
    <w:p w14:paraId="7824D8EB">
      <w:pPr>
        <w:pStyle w:val="11"/>
        <w:spacing w:before="120" w:beforeAutospacing="0" w:after="120" w:afterAutospacing="0" w:line="360" w:lineRule="auto"/>
        <w:jc w:val="center"/>
        <w:rPr>
          <w:rFonts w:hint="default" w:eastAsiaTheme="minorEastAsia"/>
          <w:color w:val="auto"/>
          <w:highlight w:val="none"/>
          <w:u w:val="single"/>
          <w:lang w:val="en-US" w:eastAsia="zh-CN"/>
        </w:rPr>
      </w:pPr>
      <w:r>
        <w:rPr>
          <w:rFonts w:hint="eastAsia" w:ascii="Arial" w:hAnsi="Arial" w:cs="Arial"/>
          <w:b/>
          <w:color w:val="auto"/>
          <w:sz w:val="32"/>
          <w:szCs w:val="32"/>
          <w:highlight w:val="none"/>
          <w:lang w:val="en-US" w:eastAsia="zh-CN"/>
        </w:rPr>
        <w:t>2026</w:t>
      </w:r>
      <w:r>
        <w:rPr>
          <w:rFonts w:ascii="Arial" w:hAnsi="Arial" w:cs="Arial"/>
          <w:b/>
          <w:color w:val="auto"/>
          <w:sz w:val="32"/>
          <w:szCs w:val="32"/>
          <w:highlight w:val="none"/>
        </w:rPr>
        <w:t>年</w:t>
      </w:r>
      <w:r>
        <w:rPr>
          <w:rFonts w:hint="eastAsia" w:ascii="Arial" w:hAnsi="Arial" w:cs="Arial"/>
          <w:b/>
          <w:color w:val="auto"/>
          <w:sz w:val="32"/>
          <w:szCs w:val="32"/>
          <w:highlight w:val="none"/>
          <w:lang w:val="en-US" w:eastAsia="zh-CN"/>
        </w:rPr>
        <w:t>6</w:t>
      </w:r>
      <w:r>
        <w:rPr>
          <w:rFonts w:ascii="Arial" w:hAnsi="Arial" w:cs="Arial"/>
          <w:b/>
          <w:color w:val="auto"/>
          <w:sz w:val="32"/>
          <w:szCs w:val="32"/>
          <w:highlight w:val="none"/>
        </w:rPr>
        <w:t>月</w:t>
      </w:r>
      <w:r>
        <w:rPr>
          <w:rFonts w:hint="eastAsia" w:ascii="Arial" w:hAnsi="Arial" w:cs="Arial"/>
          <w:b/>
          <w:color w:val="auto"/>
          <w:sz w:val="32"/>
          <w:szCs w:val="32"/>
          <w:highlight w:val="none"/>
          <w:lang w:val="en-US" w:eastAsia="zh-CN"/>
        </w:rPr>
        <w:t>30日</w:t>
      </w:r>
    </w:p>
    <w:p w14:paraId="080F43E6">
      <w:pPr>
        <w:pStyle w:val="11"/>
        <w:spacing w:before="120" w:beforeAutospacing="0" w:after="120" w:afterAutospacing="0" w:line="360" w:lineRule="auto"/>
        <w:rPr>
          <w:color w:val="auto"/>
          <w:highlight w:val="none"/>
        </w:rPr>
      </w:pPr>
      <w:r>
        <w:rPr>
          <w:rFonts w:ascii="Arial" w:hAnsi="Arial" w:cs="Arial"/>
          <w:color w:val="auto"/>
          <w:highlight w:val="none"/>
        </w:rPr>
        <w:t xml:space="preserve">                        </w:t>
      </w:r>
    </w:p>
    <w:p w14:paraId="706634F4">
      <w:pPr>
        <w:pStyle w:val="11"/>
        <w:spacing w:beforeAutospacing="0" w:afterAutospacing="0" w:line="480" w:lineRule="auto"/>
        <w:jc w:val="center"/>
        <w:rPr>
          <w:rFonts w:ascii="Times New Roman" w:hAnsi="Times New Roman"/>
          <w:color w:val="000000"/>
          <w:sz w:val="21"/>
          <w:szCs w:val="21"/>
          <w:highlight w:val="none"/>
        </w:rPr>
      </w:pPr>
    </w:p>
    <w:p w14:paraId="6ACAE8D0">
      <w:pPr>
        <w:pStyle w:val="11"/>
        <w:spacing w:beforeAutospacing="0" w:afterAutospacing="0" w:line="480" w:lineRule="auto"/>
        <w:jc w:val="center"/>
        <w:rPr>
          <w:rFonts w:ascii="Times New Roman" w:hAnsi="Times New Roman"/>
          <w:color w:val="000000"/>
          <w:sz w:val="21"/>
          <w:szCs w:val="21"/>
          <w:highlight w:val="none"/>
        </w:rPr>
      </w:pPr>
    </w:p>
    <w:p w14:paraId="1C306D57">
      <w:pPr>
        <w:pStyle w:val="11"/>
        <w:spacing w:beforeAutospacing="0" w:afterAutospacing="0" w:line="480" w:lineRule="auto"/>
        <w:jc w:val="center"/>
        <w:rPr>
          <w:highlight w:val="none"/>
        </w:rPr>
      </w:pPr>
      <w:r>
        <w:rPr>
          <w:rFonts w:ascii="Times New Roman" w:hAnsi="Times New Roman"/>
          <w:color w:val="000000"/>
          <w:sz w:val="21"/>
          <w:szCs w:val="21"/>
          <w:highlight w:val="none"/>
        </w:rPr>
        <w:t> </w:t>
      </w:r>
      <w:bookmarkStart w:id="1" w:name="_Toc20823272"/>
      <w:bookmarkStart w:id="2" w:name="_Toc16938516"/>
      <w:bookmarkStart w:id="3" w:name="_Toc479757206"/>
      <w:bookmarkStart w:id="4" w:name="_Toc523127445"/>
      <w:bookmarkStart w:id="5" w:name="_Toc513029200"/>
      <w:bookmarkStart w:id="6" w:name="_Toc120614210"/>
      <w:r>
        <w:rPr>
          <w:rFonts w:ascii="Times New Roman" w:hAnsi="Times New Roman"/>
          <w:color w:val="000000"/>
          <w:sz w:val="21"/>
          <w:szCs w:val="21"/>
          <w:highlight w:val="none"/>
        </w:rPr>
        <w:t> </w:t>
      </w:r>
      <w:r>
        <w:rPr>
          <w:rFonts w:ascii="黑体" w:hAnsi="宋体" w:eastAsia="黑体" w:cs="黑体"/>
          <w:b/>
          <w:color w:val="000000"/>
          <w:sz w:val="44"/>
          <w:szCs w:val="44"/>
          <w:highlight w:val="none"/>
        </w:rPr>
        <w:t>总  目  录</w:t>
      </w:r>
      <w:bookmarkEnd w:id="1"/>
      <w:bookmarkEnd w:id="2"/>
      <w:bookmarkEnd w:id="3"/>
      <w:bookmarkEnd w:id="4"/>
      <w:bookmarkEnd w:id="5"/>
      <w:bookmarkEnd w:id="6"/>
    </w:p>
    <w:p w14:paraId="11556BE8">
      <w:pPr>
        <w:pStyle w:val="11"/>
        <w:spacing w:beforeAutospacing="0" w:afterAutospacing="0"/>
        <w:jc w:val="both"/>
        <w:rPr>
          <w:highlight w:val="none"/>
        </w:rPr>
      </w:pPr>
      <w:r>
        <w:rPr>
          <w:highlight w:val="none"/>
        </w:rPr>
        <w:t> </w:t>
      </w:r>
    </w:p>
    <w:p w14:paraId="7B29980D">
      <w:pPr>
        <w:pStyle w:val="11"/>
        <w:spacing w:beforeAutospacing="0" w:afterAutospacing="0"/>
        <w:jc w:val="both"/>
        <w:rPr>
          <w:highlight w:val="none"/>
        </w:rPr>
      </w:pPr>
      <w:r>
        <w:rPr>
          <w:highlight w:val="none"/>
        </w:rPr>
        <w:t> </w:t>
      </w:r>
    </w:p>
    <w:p w14:paraId="5989C3E4">
      <w:pPr>
        <w:pStyle w:val="10"/>
        <w:keepNext w:val="0"/>
        <w:keepLines w:val="0"/>
        <w:pageBreakBefore w:val="0"/>
        <w:widowControl w:val="0"/>
        <w:tabs>
          <w:tab w:val="right" w:leader="dot" w:pos="8306"/>
        </w:tabs>
        <w:kinsoku/>
        <w:wordWrap/>
        <w:overflowPunct/>
        <w:topLinePunct w:val="0"/>
        <w:autoSpaceDE/>
        <w:autoSpaceDN/>
        <w:bidi w:val="0"/>
        <w:adjustRightInd/>
        <w:snapToGrid/>
        <w:spacing w:line="1000" w:lineRule="exact"/>
        <w:textAlignment w:val="auto"/>
        <w:rPr>
          <w:sz w:val="36"/>
          <w:szCs w:val="44"/>
        </w:rPr>
      </w:pPr>
      <w:r>
        <w:rPr>
          <w:sz w:val="36"/>
          <w:szCs w:val="44"/>
          <w:highlight w:val="none"/>
        </w:rPr>
        <w:fldChar w:fldCharType="begin"/>
      </w:r>
      <w:r>
        <w:rPr>
          <w:sz w:val="36"/>
          <w:szCs w:val="44"/>
          <w:highlight w:val="none"/>
        </w:rPr>
        <w:instrText xml:space="preserve">TOC \o "1-1" \u </w:instrText>
      </w:r>
      <w:r>
        <w:rPr>
          <w:sz w:val="36"/>
          <w:szCs w:val="44"/>
          <w:highlight w:val="none"/>
        </w:rPr>
        <w:fldChar w:fldCharType="separate"/>
      </w:r>
      <w:r>
        <w:rPr>
          <w:rFonts w:hint="eastAsia" w:ascii="黑体" w:hAnsi="宋体" w:eastAsia="黑体" w:cs="黑体"/>
          <w:color w:val="000000"/>
          <w:sz w:val="36"/>
          <w:szCs w:val="72"/>
          <w:highlight w:val="none"/>
        </w:rPr>
        <w:t>第一章 </w:t>
      </w:r>
      <w:r>
        <w:rPr>
          <w:rFonts w:hint="eastAsia" w:ascii="黑体" w:hAnsi="宋体" w:eastAsia="黑体" w:cs="黑体"/>
          <w:color w:val="000000"/>
          <w:sz w:val="36"/>
          <w:szCs w:val="72"/>
          <w:highlight w:val="none"/>
          <w:lang w:val="en-US" w:eastAsia="zh-CN"/>
        </w:rPr>
        <w:t>招标公告</w:t>
      </w:r>
      <w:r>
        <w:rPr>
          <w:sz w:val="36"/>
          <w:szCs w:val="44"/>
        </w:rPr>
        <w:tab/>
      </w:r>
      <w:r>
        <w:rPr>
          <w:sz w:val="36"/>
          <w:szCs w:val="44"/>
        </w:rPr>
        <w:fldChar w:fldCharType="begin"/>
      </w:r>
      <w:r>
        <w:rPr>
          <w:sz w:val="36"/>
          <w:szCs w:val="44"/>
        </w:rPr>
        <w:instrText xml:space="preserve"> PAGEREF _Toc20851 \h </w:instrText>
      </w:r>
      <w:r>
        <w:rPr>
          <w:sz w:val="36"/>
          <w:szCs w:val="44"/>
        </w:rPr>
        <w:fldChar w:fldCharType="separate"/>
      </w:r>
      <w:r>
        <w:rPr>
          <w:sz w:val="36"/>
          <w:szCs w:val="44"/>
        </w:rPr>
        <w:t>1</w:t>
      </w:r>
      <w:r>
        <w:rPr>
          <w:sz w:val="36"/>
          <w:szCs w:val="44"/>
        </w:rPr>
        <w:fldChar w:fldCharType="end"/>
      </w:r>
    </w:p>
    <w:p w14:paraId="658A8D9D">
      <w:pPr>
        <w:pStyle w:val="10"/>
        <w:keepNext w:val="0"/>
        <w:keepLines w:val="0"/>
        <w:pageBreakBefore w:val="0"/>
        <w:widowControl w:val="0"/>
        <w:tabs>
          <w:tab w:val="right" w:leader="dot" w:pos="8306"/>
        </w:tabs>
        <w:kinsoku/>
        <w:wordWrap/>
        <w:overflowPunct/>
        <w:topLinePunct w:val="0"/>
        <w:autoSpaceDE/>
        <w:autoSpaceDN/>
        <w:bidi w:val="0"/>
        <w:adjustRightInd/>
        <w:snapToGrid/>
        <w:spacing w:line="1000" w:lineRule="exact"/>
        <w:textAlignment w:val="auto"/>
        <w:rPr>
          <w:sz w:val="36"/>
          <w:szCs w:val="44"/>
        </w:rPr>
      </w:pPr>
      <w:r>
        <w:rPr>
          <w:rFonts w:hint="eastAsia" w:ascii="黑体" w:hAnsi="宋体" w:eastAsia="黑体" w:cs="黑体"/>
          <w:color w:val="000000"/>
          <w:sz w:val="36"/>
          <w:szCs w:val="72"/>
          <w:highlight w:val="none"/>
        </w:rPr>
        <w:t>第二章 投标人须知</w:t>
      </w:r>
      <w:r>
        <w:rPr>
          <w:sz w:val="36"/>
          <w:szCs w:val="44"/>
        </w:rPr>
        <w:tab/>
      </w:r>
      <w:r>
        <w:rPr>
          <w:sz w:val="36"/>
          <w:szCs w:val="44"/>
        </w:rPr>
        <w:fldChar w:fldCharType="begin"/>
      </w:r>
      <w:r>
        <w:rPr>
          <w:sz w:val="36"/>
          <w:szCs w:val="44"/>
        </w:rPr>
        <w:instrText xml:space="preserve"> PAGEREF _Toc26954 \h </w:instrText>
      </w:r>
      <w:r>
        <w:rPr>
          <w:sz w:val="36"/>
          <w:szCs w:val="44"/>
        </w:rPr>
        <w:fldChar w:fldCharType="separate"/>
      </w:r>
      <w:r>
        <w:rPr>
          <w:sz w:val="36"/>
          <w:szCs w:val="44"/>
        </w:rPr>
        <w:t>4</w:t>
      </w:r>
      <w:r>
        <w:rPr>
          <w:sz w:val="36"/>
          <w:szCs w:val="44"/>
        </w:rPr>
        <w:fldChar w:fldCharType="end"/>
      </w:r>
    </w:p>
    <w:p w14:paraId="5C5EBF85">
      <w:pPr>
        <w:pStyle w:val="10"/>
        <w:keepNext w:val="0"/>
        <w:keepLines w:val="0"/>
        <w:pageBreakBefore w:val="0"/>
        <w:widowControl w:val="0"/>
        <w:tabs>
          <w:tab w:val="right" w:leader="dot" w:pos="8306"/>
        </w:tabs>
        <w:kinsoku/>
        <w:wordWrap/>
        <w:overflowPunct/>
        <w:topLinePunct w:val="0"/>
        <w:autoSpaceDE/>
        <w:autoSpaceDN/>
        <w:bidi w:val="0"/>
        <w:adjustRightInd/>
        <w:snapToGrid/>
        <w:spacing w:line="1000" w:lineRule="exact"/>
        <w:textAlignment w:val="auto"/>
        <w:rPr>
          <w:sz w:val="36"/>
          <w:szCs w:val="44"/>
        </w:rPr>
      </w:pPr>
      <w:r>
        <w:rPr>
          <w:rFonts w:hint="eastAsia" w:ascii="黑体" w:hAnsi="宋体" w:eastAsia="黑体" w:cs="黑体"/>
          <w:color w:val="000000"/>
          <w:sz w:val="36"/>
          <w:szCs w:val="72"/>
          <w:highlight w:val="none"/>
        </w:rPr>
        <w:t>第三章 合同文本</w:t>
      </w:r>
      <w:r>
        <w:rPr>
          <w:sz w:val="36"/>
          <w:szCs w:val="44"/>
        </w:rPr>
        <w:tab/>
      </w:r>
      <w:r>
        <w:rPr>
          <w:sz w:val="36"/>
          <w:szCs w:val="44"/>
        </w:rPr>
        <w:fldChar w:fldCharType="begin"/>
      </w:r>
      <w:r>
        <w:rPr>
          <w:sz w:val="36"/>
          <w:szCs w:val="44"/>
        </w:rPr>
        <w:instrText xml:space="preserve"> PAGEREF _Toc31035 \h </w:instrText>
      </w:r>
      <w:r>
        <w:rPr>
          <w:sz w:val="36"/>
          <w:szCs w:val="44"/>
        </w:rPr>
        <w:fldChar w:fldCharType="separate"/>
      </w:r>
      <w:r>
        <w:rPr>
          <w:sz w:val="36"/>
          <w:szCs w:val="44"/>
        </w:rPr>
        <w:t>15</w:t>
      </w:r>
      <w:r>
        <w:rPr>
          <w:sz w:val="36"/>
          <w:szCs w:val="44"/>
        </w:rPr>
        <w:fldChar w:fldCharType="end"/>
      </w:r>
    </w:p>
    <w:p w14:paraId="34C8ED63">
      <w:pPr>
        <w:pStyle w:val="10"/>
        <w:keepNext w:val="0"/>
        <w:keepLines w:val="0"/>
        <w:pageBreakBefore w:val="0"/>
        <w:widowControl w:val="0"/>
        <w:tabs>
          <w:tab w:val="right" w:leader="dot" w:pos="8306"/>
        </w:tabs>
        <w:kinsoku/>
        <w:wordWrap/>
        <w:overflowPunct/>
        <w:topLinePunct w:val="0"/>
        <w:autoSpaceDE/>
        <w:autoSpaceDN/>
        <w:bidi w:val="0"/>
        <w:adjustRightInd/>
        <w:snapToGrid/>
        <w:spacing w:line="1000" w:lineRule="exact"/>
        <w:textAlignment w:val="auto"/>
        <w:rPr>
          <w:sz w:val="36"/>
          <w:szCs w:val="44"/>
        </w:rPr>
      </w:pPr>
      <w:r>
        <w:rPr>
          <w:rFonts w:hint="eastAsia" w:ascii="黑体" w:hAnsi="宋体" w:eastAsia="黑体" w:cs="黑体"/>
          <w:color w:val="000000"/>
          <w:sz w:val="36"/>
          <w:szCs w:val="72"/>
          <w:highlight w:val="none"/>
        </w:rPr>
        <w:t xml:space="preserve">第四章 </w:t>
      </w:r>
      <w:r>
        <w:rPr>
          <w:rFonts w:hint="eastAsia" w:ascii="黑体" w:hAnsi="宋体" w:eastAsia="黑体" w:cs="黑体"/>
          <w:color w:val="000000"/>
          <w:sz w:val="36"/>
          <w:szCs w:val="72"/>
          <w:highlight w:val="none"/>
          <w:lang w:val="en-US" w:eastAsia="zh-CN"/>
        </w:rPr>
        <w:t xml:space="preserve"> </w:t>
      </w:r>
      <w:r>
        <w:rPr>
          <w:rFonts w:hint="eastAsia" w:ascii="黑体" w:hAnsi="宋体" w:eastAsia="黑体" w:cs="黑体"/>
          <w:color w:val="000000"/>
          <w:sz w:val="36"/>
          <w:szCs w:val="72"/>
          <w:highlight w:val="none"/>
        </w:rPr>
        <w:t>采购需求</w:t>
      </w:r>
      <w:r>
        <w:rPr>
          <w:sz w:val="36"/>
          <w:szCs w:val="44"/>
        </w:rPr>
        <w:tab/>
      </w:r>
      <w:r>
        <w:rPr>
          <w:sz w:val="36"/>
          <w:szCs w:val="44"/>
        </w:rPr>
        <w:fldChar w:fldCharType="begin"/>
      </w:r>
      <w:r>
        <w:rPr>
          <w:sz w:val="36"/>
          <w:szCs w:val="44"/>
        </w:rPr>
        <w:instrText xml:space="preserve"> PAGEREF _Toc28983 \h </w:instrText>
      </w:r>
      <w:r>
        <w:rPr>
          <w:sz w:val="36"/>
          <w:szCs w:val="44"/>
        </w:rPr>
        <w:fldChar w:fldCharType="separate"/>
      </w:r>
      <w:r>
        <w:rPr>
          <w:sz w:val="36"/>
          <w:szCs w:val="44"/>
        </w:rPr>
        <w:t>21</w:t>
      </w:r>
      <w:r>
        <w:rPr>
          <w:sz w:val="36"/>
          <w:szCs w:val="44"/>
        </w:rPr>
        <w:fldChar w:fldCharType="end"/>
      </w:r>
    </w:p>
    <w:p w14:paraId="2CB8EEC9">
      <w:pPr>
        <w:pStyle w:val="10"/>
        <w:keepNext w:val="0"/>
        <w:keepLines w:val="0"/>
        <w:pageBreakBefore w:val="0"/>
        <w:widowControl w:val="0"/>
        <w:tabs>
          <w:tab w:val="right" w:leader="dot" w:pos="8306"/>
        </w:tabs>
        <w:kinsoku/>
        <w:wordWrap/>
        <w:overflowPunct/>
        <w:topLinePunct w:val="0"/>
        <w:autoSpaceDE/>
        <w:autoSpaceDN/>
        <w:bidi w:val="0"/>
        <w:adjustRightInd/>
        <w:snapToGrid/>
        <w:spacing w:line="1000" w:lineRule="exact"/>
        <w:textAlignment w:val="auto"/>
        <w:rPr>
          <w:sz w:val="36"/>
          <w:szCs w:val="44"/>
        </w:rPr>
      </w:pPr>
      <w:r>
        <w:rPr>
          <w:rFonts w:hint="eastAsia" w:ascii="黑体" w:hAnsi="宋体" w:eastAsia="黑体" w:cs="黑体"/>
          <w:color w:val="000000"/>
          <w:sz w:val="36"/>
          <w:szCs w:val="72"/>
          <w:highlight w:val="none"/>
        </w:rPr>
        <w:t>第五章 评标方法与评标标准</w:t>
      </w:r>
      <w:r>
        <w:rPr>
          <w:sz w:val="36"/>
          <w:szCs w:val="44"/>
        </w:rPr>
        <w:tab/>
      </w:r>
      <w:r>
        <w:rPr>
          <w:sz w:val="36"/>
          <w:szCs w:val="44"/>
        </w:rPr>
        <w:fldChar w:fldCharType="begin"/>
      </w:r>
      <w:r>
        <w:rPr>
          <w:sz w:val="36"/>
          <w:szCs w:val="44"/>
        </w:rPr>
        <w:instrText xml:space="preserve"> PAGEREF _Toc18249 \h </w:instrText>
      </w:r>
      <w:r>
        <w:rPr>
          <w:sz w:val="36"/>
          <w:szCs w:val="44"/>
        </w:rPr>
        <w:fldChar w:fldCharType="separate"/>
      </w:r>
      <w:r>
        <w:rPr>
          <w:sz w:val="36"/>
          <w:szCs w:val="44"/>
        </w:rPr>
        <w:t>28</w:t>
      </w:r>
      <w:r>
        <w:rPr>
          <w:sz w:val="36"/>
          <w:szCs w:val="44"/>
        </w:rPr>
        <w:fldChar w:fldCharType="end"/>
      </w:r>
    </w:p>
    <w:p w14:paraId="4B412C2D">
      <w:pPr>
        <w:pStyle w:val="10"/>
        <w:keepNext w:val="0"/>
        <w:keepLines w:val="0"/>
        <w:pageBreakBefore w:val="0"/>
        <w:widowControl w:val="0"/>
        <w:tabs>
          <w:tab w:val="right" w:leader="dot" w:pos="8306"/>
        </w:tabs>
        <w:kinsoku/>
        <w:wordWrap/>
        <w:overflowPunct/>
        <w:topLinePunct w:val="0"/>
        <w:autoSpaceDE/>
        <w:autoSpaceDN/>
        <w:bidi w:val="0"/>
        <w:adjustRightInd/>
        <w:snapToGrid/>
        <w:spacing w:line="1000" w:lineRule="exact"/>
        <w:textAlignment w:val="auto"/>
        <w:rPr>
          <w:sz w:val="36"/>
          <w:szCs w:val="44"/>
        </w:rPr>
      </w:pPr>
      <w:r>
        <w:rPr>
          <w:rFonts w:hint="eastAsia" w:ascii="黑体" w:hAnsi="宋体" w:eastAsia="黑体" w:cs="黑体"/>
          <w:color w:val="auto"/>
          <w:sz w:val="36"/>
          <w:szCs w:val="72"/>
          <w:highlight w:val="none"/>
        </w:rPr>
        <w:t>第六章 投标文件格式</w:t>
      </w:r>
      <w:r>
        <w:rPr>
          <w:sz w:val="36"/>
          <w:szCs w:val="44"/>
        </w:rPr>
        <w:tab/>
      </w:r>
      <w:r>
        <w:rPr>
          <w:sz w:val="36"/>
          <w:szCs w:val="44"/>
        </w:rPr>
        <w:fldChar w:fldCharType="begin"/>
      </w:r>
      <w:r>
        <w:rPr>
          <w:sz w:val="36"/>
          <w:szCs w:val="44"/>
        </w:rPr>
        <w:instrText xml:space="preserve"> PAGEREF _Toc10935 \h </w:instrText>
      </w:r>
      <w:r>
        <w:rPr>
          <w:sz w:val="36"/>
          <w:szCs w:val="44"/>
        </w:rPr>
        <w:fldChar w:fldCharType="separate"/>
      </w:r>
      <w:r>
        <w:rPr>
          <w:sz w:val="36"/>
          <w:szCs w:val="44"/>
        </w:rPr>
        <w:t>33</w:t>
      </w:r>
      <w:r>
        <w:rPr>
          <w:sz w:val="36"/>
          <w:szCs w:val="44"/>
        </w:rPr>
        <w:fldChar w:fldCharType="end"/>
      </w:r>
    </w:p>
    <w:p w14:paraId="2CF6F2C2">
      <w:pPr>
        <w:pStyle w:val="11"/>
        <w:keepNext w:val="0"/>
        <w:keepLines w:val="0"/>
        <w:pageBreakBefore w:val="0"/>
        <w:widowControl w:val="0"/>
        <w:kinsoku/>
        <w:wordWrap/>
        <w:overflowPunct/>
        <w:topLinePunct w:val="0"/>
        <w:autoSpaceDE/>
        <w:autoSpaceDN/>
        <w:bidi w:val="0"/>
        <w:adjustRightInd/>
        <w:snapToGrid/>
        <w:spacing w:beforeAutospacing="0" w:afterAutospacing="0" w:line="1000" w:lineRule="exact"/>
        <w:jc w:val="both"/>
        <w:textAlignment w:val="auto"/>
        <w:rPr>
          <w:highlight w:val="none"/>
        </w:rPr>
      </w:pPr>
      <w:r>
        <w:rPr>
          <w:sz w:val="44"/>
          <w:szCs w:val="44"/>
          <w:highlight w:val="none"/>
        </w:rPr>
        <w:fldChar w:fldCharType="end"/>
      </w:r>
    </w:p>
    <w:p w14:paraId="1611712B">
      <w:pPr>
        <w:pStyle w:val="11"/>
        <w:spacing w:beforeAutospacing="0" w:afterAutospacing="0"/>
        <w:jc w:val="both"/>
        <w:rPr>
          <w:highlight w:val="none"/>
        </w:rPr>
      </w:pPr>
      <w:r>
        <w:rPr>
          <w:highlight w:val="none"/>
        </w:rPr>
        <w:t> </w:t>
      </w:r>
    </w:p>
    <w:p w14:paraId="69FAA169">
      <w:pPr>
        <w:pStyle w:val="11"/>
        <w:spacing w:beforeAutospacing="0" w:afterAutospacing="0"/>
        <w:jc w:val="both"/>
        <w:rPr>
          <w:highlight w:val="none"/>
        </w:rPr>
      </w:pPr>
      <w:r>
        <w:rPr>
          <w:highlight w:val="none"/>
        </w:rPr>
        <w:t> </w:t>
      </w:r>
    </w:p>
    <w:p w14:paraId="4182AF71">
      <w:pPr>
        <w:pStyle w:val="11"/>
        <w:spacing w:beforeAutospacing="0" w:afterAutospacing="0"/>
        <w:jc w:val="both"/>
        <w:rPr>
          <w:highlight w:val="none"/>
        </w:rPr>
      </w:pPr>
      <w:r>
        <w:rPr>
          <w:highlight w:val="none"/>
        </w:rPr>
        <w:t> </w:t>
      </w:r>
    </w:p>
    <w:p w14:paraId="71654CC7">
      <w:pPr>
        <w:pStyle w:val="11"/>
        <w:spacing w:beforeAutospacing="0" w:afterAutospacing="0"/>
        <w:jc w:val="both"/>
        <w:rPr>
          <w:highlight w:val="none"/>
        </w:rPr>
      </w:pPr>
      <w:r>
        <w:rPr>
          <w:highlight w:val="none"/>
        </w:rPr>
        <w:t> </w:t>
      </w:r>
    </w:p>
    <w:p w14:paraId="04037430">
      <w:pPr>
        <w:pStyle w:val="11"/>
        <w:spacing w:beforeAutospacing="0" w:afterAutospacing="0"/>
        <w:jc w:val="both"/>
        <w:rPr>
          <w:highlight w:val="none"/>
        </w:rPr>
      </w:pPr>
      <w:r>
        <w:rPr>
          <w:highlight w:val="none"/>
        </w:rPr>
        <w:t> </w:t>
      </w:r>
    </w:p>
    <w:p w14:paraId="781B204C">
      <w:pPr>
        <w:pStyle w:val="11"/>
        <w:spacing w:beforeAutospacing="0" w:afterAutospacing="0"/>
        <w:jc w:val="both"/>
        <w:rPr>
          <w:highlight w:val="none"/>
        </w:rPr>
      </w:pPr>
      <w:r>
        <w:rPr>
          <w:highlight w:val="none"/>
        </w:rPr>
        <w:t> </w:t>
      </w:r>
    </w:p>
    <w:p w14:paraId="267F7F03">
      <w:pPr>
        <w:pStyle w:val="11"/>
        <w:spacing w:beforeAutospacing="0" w:afterAutospacing="0"/>
        <w:jc w:val="both"/>
        <w:rPr>
          <w:highlight w:val="none"/>
        </w:rPr>
      </w:pPr>
      <w:r>
        <w:rPr>
          <w:highlight w:val="none"/>
        </w:rPr>
        <w:t> </w:t>
      </w:r>
    </w:p>
    <w:p w14:paraId="27498963">
      <w:pPr>
        <w:pStyle w:val="11"/>
        <w:spacing w:beforeAutospacing="0" w:afterAutospacing="0"/>
        <w:jc w:val="both"/>
        <w:rPr>
          <w:highlight w:val="none"/>
        </w:rPr>
      </w:pPr>
      <w:r>
        <w:rPr>
          <w:highlight w:val="none"/>
        </w:rPr>
        <w:t> </w:t>
      </w:r>
    </w:p>
    <w:p w14:paraId="4328D0A4">
      <w:pPr>
        <w:pStyle w:val="11"/>
        <w:spacing w:beforeAutospacing="0" w:afterAutospacing="0"/>
        <w:jc w:val="both"/>
        <w:rPr>
          <w:highlight w:val="none"/>
        </w:rPr>
      </w:pPr>
      <w:r>
        <w:rPr>
          <w:highlight w:val="none"/>
        </w:rPr>
        <w:t> </w:t>
      </w:r>
    </w:p>
    <w:p w14:paraId="3775B1C7">
      <w:pPr>
        <w:pStyle w:val="11"/>
        <w:spacing w:beforeAutospacing="0" w:afterAutospacing="0"/>
        <w:jc w:val="both"/>
        <w:rPr>
          <w:highlight w:val="none"/>
        </w:rPr>
      </w:pPr>
    </w:p>
    <w:p w14:paraId="3DA56832">
      <w:pPr>
        <w:pStyle w:val="11"/>
        <w:spacing w:beforeAutospacing="0" w:afterAutospacing="0"/>
        <w:jc w:val="both"/>
        <w:rPr>
          <w:highlight w:val="none"/>
        </w:rPr>
      </w:pPr>
    </w:p>
    <w:p w14:paraId="388CBC5F">
      <w:pPr>
        <w:pStyle w:val="11"/>
        <w:spacing w:beforeAutospacing="0" w:afterAutospacing="0"/>
        <w:jc w:val="both"/>
        <w:rPr>
          <w:highlight w:val="none"/>
        </w:rPr>
      </w:pPr>
    </w:p>
    <w:p w14:paraId="3E7D56DA">
      <w:pPr>
        <w:pStyle w:val="11"/>
        <w:spacing w:beforeAutospacing="0" w:afterAutospacing="0"/>
        <w:jc w:val="both"/>
        <w:rPr>
          <w:highlight w:val="none"/>
        </w:rPr>
      </w:pPr>
    </w:p>
    <w:p w14:paraId="4A519BDF">
      <w:pPr>
        <w:pStyle w:val="11"/>
        <w:spacing w:beforeAutospacing="0" w:afterAutospacing="0"/>
        <w:jc w:val="both"/>
        <w:rPr>
          <w:highlight w:val="none"/>
        </w:rPr>
      </w:pPr>
    </w:p>
    <w:p w14:paraId="1EE0AB56">
      <w:pPr>
        <w:pStyle w:val="11"/>
        <w:spacing w:beforeAutospacing="0" w:afterAutospacing="0"/>
        <w:jc w:val="both"/>
        <w:rPr>
          <w:highlight w:val="none"/>
        </w:rPr>
      </w:pPr>
    </w:p>
    <w:p w14:paraId="7D1DA330">
      <w:pPr>
        <w:pStyle w:val="11"/>
        <w:spacing w:beforeAutospacing="0" w:afterAutospacing="0"/>
        <w:jc w:val="both"/>
        <w:rPr>
          <w:highlight w:val="none"/>
        </w:rPr>
      </w:pPr>
    </w:p>
    <w:p w14:paraId="1F102E9A">
      <w:pPr>
        <w:pStyle w:val="11"/>
        <w:keepNext/>
        <w:spacing w:beforeAutospacing="0" w:afterAutospacing="0"/>
        <w:jc w:val="center"/>
        <w:outlineLvl w:val="0"/>
        <w:rPr>
          <w:rFonts w:hint="eastAsia" w:ascii="黑体" w:hAnsi="宋体" w:eastAsia="黑体" w:cs="黑体"/>
          <w:color w:val="000000"/>
          <w:sz w:val="44"/>
          <w:szCs w:val="44"/>
          <w:highlight w:val="none"/>
        </w:rPr>
        <w:sectPr>
          <w:pgSz w:w="11906" w:h="16838"/>
          <w:pgMar w:top="1440" w:right="1800" w:bottom="1440" w:left="1800" w:header="851" w:footer="992" w:gutter="0"/>
          <w:pgNumType w:fmt="decimal" w:start="1"/>
          <w:cols w:space="425" w:num="1"/>
          <w:docGrid w:type="lines" w:linePitch="312" w:charSpace="0"/>
        </w:sectPr>
      </w:pPr>
      <w:bookmarkStart w:id="7" w:name="_Toc20851"/>
    </w:p>
    <w:p w14:paraId="46154823">
      <w:pPr>
        <w:pStyle w:val="11"/>
        <w:keepNext/>
        <w:spacing w:beforeAutospacing="0" w:afterAutospacing="0"/>
        <w:jc w:val="center"/>
        <w:outlineLvl w:val="0"/>
        <w:rPr>
          <w:rFonts w:hint="default" w:eastAsia="黑体"/>
          <w:highlight w:val="none"/>
          <w:lang w:val="en-US" w:eastAsia="zh-CN"/>
        </w:rPr>
      </w:pPr>
      <w:r>
        <w:rPr>
          <w:rFonts w:hint="eastAsia" w:ascii="黑体" w:hAnsi="宋体" w:eastAsia="黑体" w:cs="黑体"/>
          <w:color w:val="000000"/>
          <w:sz w:val="44"/>
          <w:szCs w:val="44"/>
          <w:highlight w:val="none"/>
        </w:rPr>
        <w:t>第一章 </w:t>
      </w:r>
      <w:r>
        <w:rPr>
          <w:rFonts w:hint="eastAsia" w:ascii="黑体" w:hAnsi="宋体" w:eastAsia="黑体" w:cs="黑体"/>
          <w:color w:val="000000"/>
          <w:sz w:val="44"/>
          <w:szCs w:val="44"/>
          <w:highlight w:val="none"/>
          <w:lang w:val="en-US" w:eastAsia="zh-CN"/>
        </w:rPr>
        <w:t>招标公告</w:t>
      </w:r>
      <w:bookmarkEnd w:id="7"/>
    </w:p>
    <w:p w14:paraId="3A37393B">
      <w:pPr>
        <w:pStyle w:val="11"/>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项目概况</w:t>
      </w:r>
    </w:p>
    <w:p w14:paraId="54A8B89E">
      <w:pPr>
        <w:pStyle w:val="11"/>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东台眼见为食信息化监管平台二期建设项目</w:t>
      </w:r>
      <w:r>
        <w:rPr>
          <w:rFonts w:hint="eastAsia" w:ascii="宋体" w:hAnsi="宋体" w:eastAsia="宋体" w:cs="宋体"/>
          <w:color w:val="000000"/>
          <w:sz w:val="24"/>
          <w:szCs w:val="24"/>
          <w:highlight w:val="none"/>
        </w:rPr>
        <w:t>招标项目的潜在投标人可在</w:t>
      </w:r>
      <w:r>
        <w:rPr>
          <w:rFonts w:hint="eastAsia" w:ascii="宋体" w:hAnsi="宋体" w:eastAsia="宋体" w:cs="宋体"/>
          <w:i w:val="0"/>
          <w:iCs w:val="0"/>
          <w:caps w:val="0"/>
          <w:color w:val="333333"/>
          <w:spacing w:val="0"/>
          <w:sz w:val="24"/>
          <w:szCs w:val="24"/>
          <w:highlight w:val="none"/>
          <w:shd w:val="clear" w:fill="FFFFFF"/>
        </w:rPr>
        <w:t>“苏采云”系统内免费下载（投标人必须在苏采云系统中获取采购文件，方能参与政府采购项目）</w:t>
      </w:r>
      <w:r>
        <w:rPr>
          <w:rFonts w:hint="eastAsia" w:ascii="宋体" w:hAnsi="宋体" w:eastAsia="宋体" w:cs="宋体"/>
          <w:color w:val="000000"/>
          <w:sz w:val="24"/>
          <w:szCs w:val="24"/>
          <w:highlight w:val="none"/>
        </w:rPr>
        <w:t>，并于</w:t>
      </w:r>
      <w:r>
        <w:rPr>
          <w:rFonts w:hint="eastAsia" w:ascii="宋体" w:hAnsi="宋体" w:eastAsia="宋体" w:cs="宋体"/>
          <w:color w:val="000000"/>
          <w:sz w:val="24"/>
          <w:szCs w:val="24"/>
          <w:highlight w:val="none"/>
          <w:u w:val="single"/>
          <w:lang w:val="en-US" w:eastAsia="zh-CN"/>
        </w:rPr>
        <w:t>2026</w:t>
      </w:r>
      <w:r>
        <w:rPr>
          <w:rFonts w:hint="eastAsia" w:ascii="宋体" w:hAnsi="宋体" w:eastAsia="宋体" w:cs="宋体"/>
          <w:color w:val="000000"/>
          <w:sz w:val="24"/>
          <w:szCs w:val="24"/>
          <w:highlight w:val="none"/>
          <w:u w:val="single"/>
        </w:rPr>
        <w:t>年</w:t>
      </w:r>
      <w:r>
        <w:rPr>
          <w:rFonts w:hint="eastAsia" w:ascii="宋体" w:hAnsi="宋体" w:eastAsia="宋体" w:cs="宋体"/>
          <w:color w:val="000000"/>
          <w:sz w:val="24"/>
          <w:szCs w:val="24"/>
          <w:highlight w:val="none"/>
          <w:u w:val="single"/>
          <w:lang w:val="en-US" w:eastAsia="zh-CN"/>
        </w:rPr>
        <w:t>7</w:t>
      </w:r>
      <w:r>
        <w:rPr>
          <w:rFonts w:hint="eastAsia" w:ascii="宋体" w:hAnsi="宋体" w:eastAsia="宋体" w:cs="宋体"/>
          <w:color w:val="000000"/>
          <w:sz w:val="24"/>
          <w:szCs w:val="24"/>
          <w:highlight w:val="none"/>
          <w:u w:val="single"/>
        </w:rPr>
        <w:t>月</w:t>
      </w:r>
      <w:r>
        <w:rPr>
          <w:rFonts w:hint="eastAsia" w:ascii="宋体" w:hAnsi="宋体" w:eastAsia="宋体" w:cs="宋体"/>
          <w:color w:val="000000"/>
          <w:sz w:val="24"/>
          <w:szCs w:val="24"/>
          <w:highlight w:val="none"/>
          <w:u w:val="single"/>
          <w:lang w:val="en-US" w:eastAsia="zh-CN"/>
        </w:rPr>
        <w:t>22</w:t>
      </w:r>
      <w:r>
        <w:rPr>
          <w:rFonts w:hint="eastAsia" w:ascii="宋体" w:hAnsi="宋体" w:eastAsia="宋体" w:cs="宋体"/>
          <w:color w:val="000000"/>
          <w:sz w:val="24"/>
          <w:szCs w:val="24"/>
          <w:highlight w:val="none"/>
          <w:u w:val="single"/>
        </w:rPr>
        <w:t>日</w:t>
      </w:r>
      <w:r>
        <w:rPr>
          <w:rFonts w:hint="eastAsia" w:ascii="宋体" w:hAnsi="宋体" w:eastAsia="宋体" w:cs="宋体"/>
          <w:color w:val="000000"/>
          <w:sz w:val="24"/>
          <w:szCs w:val="24"/>
          <w:highlight w:val="none"/>
          <w:u w:val="single"/>
          <w:lang w:val="en-US" w:eastAsia="zh-CN"/>
        </w:rPr>
        <w:t>08</w:t>
      </w:r>
      <w:r>
        <w:rPr>
          <w:rFonts w:hint="eastAsia" w:ascii="宋体" w:hAnsi="宋体" w:eastAsia="宋体" w:cs="宋体"/>
          <w:color w:val="000000"/>
          <w:sz w:val="24"/>
          <w:szCs w:val="24"/>
          <w:highlight w:val="none"/>
          <w:u w:val="single"/>
        </w:rPr>
        <w:t>点</w:t>
      </w:r>
      <w:r>
        <w:rPr>
          <w:rFonts w:hint="eastAsia" w:ascii="宋体" w:hAnsi="宋体" w:eastAsia="宋体" w:cs="宋体"/>
          <w:color w:val="000000"/>
          <w:sz w:val="24"/>
          <w:szCs w:val="24"/>
          <w:highlight w:val="none"/>
          <w:u w:val="single"/>
          <w:lang w:val="en-US" w:eastAsia="zh-CN"/>
        </w:rPr>
        <w:t>30</w:t>
      </w:r>
      <w:r>
        <w:rPr>
          <w:rFonts w:hint="eastAsia" w:ascii="宋体" w:hAnsi="宋体" w:eastAsia="宋体" w:cs="宋体"/>
          <w:color w:val="000000"/>
          <w:sz w:val="24"/>
          <w:szCs w:val="24"/>
          <w:highlight w:val="none"/>
          <w:u w:val="single"/>
        </w:rPr>
        <w:t>分（</w:t>
      </w:r>
      <w:r>
        <w:rPr>
          <w:rFonts w:hint="eastAsia" w:ascii="宋体" w:hAnsi="宋体" w:eastAsia="宋体" w:cs="宋体"/>
          <w:color w:val="000000"/>
          <w:sz w:val="24"/>
          <w:szCs w:val="24"/>
          <w:highlight w:val="none"/>
        </w:rPr>
        <w:t>北京时间）前递交投标文件。</w:t>
      </w:r>
    </w:p>
    <w:p w14:paraId="5C0F5791">
      <w:pPr>
        <w:pStyle w:val="11"/>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8" w:name="_Toc35393790"/>
      <w:bookmarkStart w:id="9" w:name="_Toc28359079"/>
      <w:bookmarkStart w:id="10" w:name="_Toc28359002"/>
      <w:bookmarkStart w:id="11" w:name="_Toc38985263"/>
      <w:bookmarkStart w:id="12" w:name="_Hlk24379207"/>
      <w:bookmarkStart w:id="13" w:name="_Toc35393621"/>
      <w:r>
        <w:rPr>
          <w:rFonts w:hint="eastAsia" w:ascii="宋体" w:hAnsi="宋体" w:eastAsia="宋体" w:cs="宋体"/>
          <w:b/>
          <w:color w:val="000000"/>
          <w:sz w:val="24"/>
          <w:szCs w:val="24"/>
          <w:highlight w:val="none"/>
        </w:rPr>
        <w:t>一、项目基本情况</w:t>
      </w:r>
      <w:bookmarkEnd w:id="8"/>
      <w:bookmarkEnd w:id="9"/>
      <w:bookmarkEnd w:id="10"/>
      <w:bookmarkEnd w:id="11"/>
      <w:bookmarkEnd w:id="12"/>
      <w:bookmarkEnd w:id="13"/>
    </w:p>
    <w:p w14:paraId="6E8C93EC">
      <w:pPr>
        <w:pStyle w:val="11"/>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1.项目编号：JSZC-320981-DTJM-G2026-0002</w:t>
      </w:r>
    </w:p>
    <w:p w14:paraId="724DA292">
      <w:pPr>
        <w:pStyle w:val="11"/>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2.项目名称：东台眼见为食信息化监管平台二期建设项目</w:t>
      </w:r>
    </w:p>
    <w:p w14:paraId="35EBDC8A">
      <w:pPr>
        <w:pStyle w:val="11"/>
        <w:spacing w:beforeAutospacing="0" w:afterAutospacing="0"/>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3.</w:t>
      </w:r>
      <w:r>
        <w:rPr>
          <w:rFonts w:hint="eastAsia" w:ascii="宋体" w:hAnsi="宋体" w:eastAsia="宋体" w:cs="宋体"/>
          <w:i w:val="0"/>
          <w:iCs w:val="0"/>
          <w:caps w:val="0"/>
          <w:color w:val="333333"/>
          <w:spacing w:val="0"/>
          <w:sz w:val="24"/>
          <w:szCs w:val="24"/>
          <w:highlight w:val="none"/>
          <w:shd w:val="clear" w:fill="FFFFFF"/>
        </w:rPr>
        <w:t>采购方式：</w:t>
      </w:r>
      <w:r>
        <w:rPr>
          <w:rFonts w:hint="eastAsia" w:ascii="宋体" w:hAnsi="宋体" w:eastAsia="宋体" w:cs="宋体"/>
          <w:i w:val="0"/>
          <w:iCs w:val="0"/>
          <w:caps w:val="0"/>
          <w:color w:val="333333"/>
          <w:spacing w:val="0"/>
          <w:sz w:val="24"/>
          <w:szCs w:val="24"/>
          <w:highlight w:val="none"/>
          <w:shd w:val="clear" w:fill="FFFFFF"/>
          <w:lang w:val="en-US" w:eastAsia="zh-CN"/>
        </w:rPr>
        <w:t>公开招标</w:t>
      </w:r>
    </w:p>
    <w:p w14:paraId="45211976">
      <w:pPr>
        <w:pStyle w:val="11"/>
        <w:spacing w:beforeAutospacing="0" w:afterAutospacing="0"/>
        <w:ind w:firstLine="480"/>
        <w:jc w:val="both"/>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.预算金额：</w:t>
      </w:r>
      <w:r>
        <w:rPr>
          <w:rFonts w:hint="eastAsia" w:ascii="宋体" w:hAnsi="宋体" w:eastAsia="宋体" w:cs="宋体"/>
          <w:color w:val="000000"/>
          <w:sz w:val="24"/>
          <w:szCs w:val="24"/>
          <w:highlight w:val="none"/>
          <w:lang w:val="en-US" w:eastAsia="zh-CN"/>
        </w:rPr>
        <w:t>180.00万元</w:t>
      </w:r>
    </w:p>
    <w:p w14:paraId="5CC340FB">
      <w:pPr>
        <w:pStyle w:val="11"/>
        <w:spacing w:beforeAutospacing="0" w:afterAutospacing="0"/>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最高限价（如有）：</w:t>
      </w:r>
      <w:r>
        <w:rPr>
          <w:rFonts w:hint="eastAsia" w:ascii="宋体" w:hAnsi="宋体" w:eastAsia="宋体" w:cs="宋体"/>
          <w:color w:val="000000"/>
          <w:sz w:val="24"/>
          <w:szCs w:val="24"/>
          <w:highlight w:val="none"/>
          <w:lang w:val="en-US" w:eastAsia="zh-CN"/>
        </w:rPr>
        <w:t>180.00万元</w:t>
      </w:r>
    </w:p>
    <w:p w14:paraId="35C0D935">
      <w:pPr>
        <w:pStyle w:val="11"/>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.采购需求（简介）：</w:t>
      </w:r>
    </w:p>
    <w:tbl>
      <w:tblPr>
        <w:tblStyle w:val="12"/>
        <w:tblW w:w="4515" w:type="pct"/>
        <w:jc w:val="center"/>
        <w:tblLayout w:type="fixed"/>
        <w:tblCellMar>
          <w:top w:w="0" w:type="dxa"/>
          <w:left w:w="108" w:type="dxa"/>
          <w:bottom w:w="0" w:type="dxa"/>
          <w:right w:w="108" w:type="dxa"/>
        </w:tblCellMar>
      </w:tblPr>
      <w:tblGrid>
        <w:gridCol w:w="780"/>
        <w:gridCol w:w="4575"/>
        <w:gridCol w:w="1162"/>
        <w:gridCol w:w="1763"/>
      </w:tblGrid>
      <w:tr w14:paraId="6EDC596D">
        <w:tblPrEx>
          <w:tblCellMar>
            <w:top w:w="0" w:type="dxa"/>
            <w:left w:w="108" w:type="dxa"/>
            <w:bottom w:w="0" w:type="dxa"/>
            <w:right w:w="108" w:type="dxa"/>
          </w:tblCellMar>
        </w:tblPrEx>
        <w:trPr>
          <w:trHeight w:val="497" w:hRule="atLeast"/>
          <w:jc w:val="center"/>
        </w:trPr>
        <w:tc>
          <w:tcPr>
            <w:tcW w:w="780" w:type="dxa"/>
            <w:tcBorders>
              <w:top w:val="single" w:color="000000" w:sz="4" w:space="0"/>
              <w:left w:val="single" w:color="000000" w:sz="4" w:space="0"/>
              <w:bottom w:val="single" w:color="000000" w:sz="4" w:space="0"/>
              <w:right w:val="single" w:color="000000" w:sz="4" w:space="0"/>
            </w:tcBorders>
            <w:noWrap/>
            <w:vAlign w:val="center"/>
          </w:tcPr>
          <w:p w14:paraId="5EF09105">
            <w:pPr>
              <w:keepNext w:val="0"/>
              <w:keepLines w:val="0"/>
              <w:pageBreakBefore w:val="0"/>
              <w:widowControl/>
              <w:kinsoku/>
              <w:wordWrap/>
              <w:overflowPunct/>
              <w:topLinePunct w:val="0"/>
              <w:autoSpaceDE/>
              <w:autoSpaceDN/>
              <w:bidi w:val="0"/>
              <w:adjustRightInd w:val="0"/>
              <w:snapToGrid/>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序号</w:t>
            </w:r>
          </w:p>
        </w:tc>
        <w:tc>
          <w:tcPr>
            <w:tcW w:w="4575" w:type="dxa"/>
            <w:tcBorders>
              <w:top w:val="single" w:color="000000" w:sz="4" w:space="0"/>
              <w:left w:val="single" w:color="000000" w:sz="4" w:space="0"/>
              <w:bottom w:val="single" w:color="000000" w:sz="4" w:space="0"/>
              <w:right w:val="single" w:color="000000" w:sz="4" w:space="0"/>
            </w:tcBorders>
            <w:noWrap/>
            <w:vAlign w:val="center"/>
          </w:tcPr>
          <w:p w14:paraId="62AA9E13">
            <w:pPr>
              <w:keepNext w:val="0"/>
              <w:keepLines w:val="0"/>
              <w:pageBreakBefore w:val="0"/>
              <w:widowControl/>
              <w:kinsoku/>
              <w:wordWrap/>
              <w:overflowPunct/>
              <w:topLinePunct w:val="0"/>
              <w:autoSpaceDE/>
              <w:autoSpaceDN/>
              <w:bidi w:val="0"/>
              <w:adjustRightInd w:val="0"/>
              <w:snapToGrid/>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产品名称</w:t>
            </w:r>
          </w:p>
        </w:tc>
        <w:tc>
          <w:tcPr>
            <w:tcW w:w="1162" w:type="dxa"/>
            <w:tcBorders>
              <w:top w:val="single" w:color="000000" w:sz="4" w:space="0"/>
              <w:left w:val="single" w:color="000000" w:sz="4" w:space="0"/>
              <w:bottom w:val="single" w:color="000000" w:sz="4" w:space="0"/>
              <w:right w:val="single" w:color="000000" w:sz="4" w:space="0"/>
            </w:tcBorders>
            <w:noWrap/>
            <w:vAlign w:val="center"/>
          </w:tcPr>
          <w:p w14:paraId="44585C30">
            <w:pPr>
              <w:keepNext w:val="0"/>
              <w:keepLines w:val="0"/>
              <w:pageBreakBefore w:val="0"/>
              <w:widowControl/>
              <w:kinsoku/>
              <w:wordWrap/>
              <w:overflowPunct/>
              <w:topLinePunct w:val="0"/>
              <w:autoSpaceDE/>
              <w:autoSpaceDN/>
              <w:bidi w:val="0"/>
              <w:adjustRightInd w:val="0"/>
              <w:snapToGrid/>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单位</w:t>
            </w:r>
          </w:p>
        </w:tc>
        <w:tc>
          <w:tcPr>
            <w:tcW w:w="1763" w:type="dxa"/>
            <w:tcBorders>
              <w:top w:val="single" w:color="000000" w:sz="4" w:space="0"/>
              <w:left w:val="single" w:color="000000" w:sz="4" w:space="0"/>
              <w:bottom w:val="single" w:color="000000" w:sz="4" w:space="0"/>
              <w:right w:val="single" w:color="000000" w:sz="4" w:space="0"/>
            </w:tcBorders>
            <w:noWrap/>
            <w:vAlign w:val="center"/>
          </w:tcPr>
          <w:p w14:paraId="7FBC075D">
            <w:pPr>
              <w:keepNext w:val="0"/>
              <w:keepLines w:val="0"/>
              <w:pageBreakBefore w:val="0"/>
              <w:widowControl/>
              <w:kinsoku/>
              <w:wordWrap/>
              <w:overflowPunct/>
              <w:topLinePunct w:val="0"/>
              <w:autoSpaceDE/>
              <w:autoSpaceDN/>
              <w:bidi w:val="0"/>
              <w:adjustRightInd w:val="0"/>
              <w:snapToGrid/>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数量</w:t>
            </w:r>
          </w:p>
        </w:tc>
      </w:tr>
      <w:tr w14:paraId="3F7481AC">
        <w:tblPrEx>
          <w:tblCellMar>
            <w:top w:w="0" w:type="dxa"/>
            <w:left w:w="108" w:type="dxa"/>
            <w:bottom w:w="0" w:type="dxa"/>
            <w:right w:w="108" w:type="dxa"/>
          </w:tblCellMar>
        </w:tblPrEx>
        <w:trPr>
          <w:trHeight w:val="557" w:hRule="atLeast"/>
          <w:jc w:val="center"/>
        </w:trPr>
        <w:tc>
          <w:tcPr>
            <w:tcW w:w="780" w:type="dxa"/>
            <w:tcBorders>
              <w:top w:val="single" w:color="000000" w:sz="4" w:space="0"/>
              <w:left w:val="single" w:color="000000" w:sz="4" w:space="0"/>
              <w:bottom w:val="single" w:color="000000" w:sz="4" w:space="0"/>
              <w:right w:val="single" w:color="000000" w:sz="4" w:space="0"/>
            </w:tcBorders>
            <w:noWrap/>
            <w:vAlign w:val="center"/>
          </w:tcPr>
          <w:p w14:paraId="2D8A979E">
            <w:pPr>
              <w:keepNext w:val="0"/>
              <w:keepLines w:val="0"/>
              <w:pageBreakBefore w:val="0"/>
              <w:widowControl/>
              <w:kinsoku/>
              <w:wordWrap/>
              <w:overflowPunct/>
              <w:topLinePunct w:val="0"/>
              <w:autoSpaceDE/>
              <w:autoSpaceDN/>
              <w:bidi w:val="0"/>
              <w:adjustRightInd w:val="0"/>
              <w:snapToGrid/>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1</w:t>
            </w:r>
          </w:p>
        </w:tc>
        <w:tc>
          <w:tcPr>
            <w:tcW w:w="4575" w:type="dxa"/>
            <w:tcBorders>
              <w:top w:val="single" w:color="000000" w:sz="4" w:space="0"/>
              <w:left w:val="single" w:color="000000" w:sz="4" w:space="0"/>
              <w:bottom w:val="single" w:color="000000" w:sz="4" w:space="0"/>
              <w:right w:val="single" w:color="000000" w:sz="4" w:space="0"/>
            </w:tcBorders>
            <w:noWrap/>
            <w:vAlign w:val="center"/>
          </w:tcPr>
          <w:p w14:paraId="1BB65CA0">
            <w:pPr>
              <w:keepNext w:val="0"/>
              <w:keepLines w:val="0"/>
              <w:pageBreakBefore w:val="0"/>
              <w:widowControl/>
              <w:kinsoku/>
              <w:wordWrap/>
              <w:overflowPunct/>
              <w:topLinePunct w:val="0"/>
              <w:autoSpaceDE/>
              <w:autoSpaceDN/>
              <w:bidi w:val="0"/>
              <w:adjustRightInd w:val="0"/>
              <w:snapToGrid/>
              <w:jc w:val="center"/>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kern w:val="0"/>
                <w:sz w:val="22"/>
                <w:szCs w:val="22"/>
                <w:highlight w:val="none"/>
                <w:lang w:bidi="ar"/>
              </w:rPr>
              <w:t>监控</w:t>
            </w:r>
            <w:r>
              <w:rPr>
                <w:rFonts w:hint="eastAsia" w:ascii="宋体" w:hAnsi="宋体" w:eastAsia="宋体" w:cs="宋体"/>
                <w:color w:val="auto"/>
                <w:kern w:val="0"/>
                <w:sz w:val="22"/>
                <w:szCs w:val="22"/>
                <w:highlight w:val="none"/>
                <w:lang w:eastAsia="zh-CN" w:bidi="ar"/>
              </w:rPr>
              <w:t>设备</w:t>
            </w:r>
            <w:r>
              <w:rPr>
                <w:rFonts w:hint="eastAsia" w:ascii="宋体" w:hAnsi="宋体" w:eastAsia="宋体" w:cs="宋体"/>
                <w:color w:val="auto"/>
                <w:kern w:val="0"/>
                <w:sz w:val="22"/>
                <w:szCs w:val="22"/>
                <w:highlight w:val="none"/>
                <w:lang w:bidi="ar"/>
              </w:rPr>
              <w:t>（防爆、防油污、含10项AI功能</w:t>
            </w:r>
            <w:r>
              <w:rPr>
                <w:rFonts w:hint="eastAsia" w:ascii="宋体" w:hAnsi="宋体" w:eastAsia="宋体" w:cs="宋体"/>
                <w:color w:val="auto"/>
                <w:kern w:val="0"/>
                <w:sz w:val="22"/>
                <w:szCs w:val="22"/>
                <w:highlight w:val="none"/>
                <w:lang w:eastAsia="zh-CN" w:bidi="ar"/>
              </w:rPr>
              <w:t>、</w:t>
            </w:r>
            <w:r>
              <w:rPr>
                <w:rFonts w:hint="eastAsia" w:ascii="宋体" w:hAnsi="宋体" w:eastAsia="宋体" w:cs="宋体"/>
                <w:color w:val="auto"/>
                <w:kern w:val="0"/>
                <w:sz w:val="22"/>
                <w:szCs w:val="22"/>
                <w:highlight w:val="none"/>
                <w:lang w:bidi="ar"/>
              </w:rPr>
              <w:t>视频传输线路</w:t>
            </w:r>
            <w:r>
              <w:rPr>
                <w:rFonts w:hint="eastAsia" w:ascii="宋体" w:hAnsi="宋体" w:eastAsia="宋体" w:cs="宋体"/>
                <w:color w:val="auto"/>
                <w:kern w:val="0"/>
                <w:sz w:val="22"/>
                <w:szCs w:val="22"/>
                <w:highlight w:val="none"/>
                <w:lang w:eastAsia="zh-CN" w:bidi="ar"/>
              </w:rPr>
              <w:t>、</w:t>
            </w:r>
            <w:r>
              <w:rPr>
                <w:rFonts w:hint="eastAsia" w:ascii="宋体" w:hAnsi="宋体" w:eastAsia="宋体" w:cs="宋体"/>
                <w:color w:val="auto"/>
                <w:kern w:val="0"/>
                <w:sz w:val="22"/>
                <w:szCs w:val="22"/>
                <w:highlight w:val="none"/>
                <w:lang w:bidi="ar"/>
              </w:rPr>
              <w:t>7天云存储）</w:t>
            </w:r>
          </w:p>
        </w:tc>
        <w:tc>
          <w:tcPr>
            <w:tcW w:w="1162" w:type="dxa"/>
            <w:tcBorders>
              <w:top w:val="single" w:color="000000" w:sz="4" w:space="0"/>
              <w:left w:val="single" w:color="000000" w:sz="4" w:space="0"/>
              <w:bottom w:val="single" w:color="000000" w:sz="4" w:space="0"/>
              <w:right w:val="single" w:color="000000" w:sz="4" w:space="0"/>
            </w:tcBorders>
            <w:noWrap/>
            <w:vAlign w:val="center"/>
          </w:tcPr>
          <w:p w14:paraId="2C8FC584">
            <w:pPr>
              <w:keepNext w:val="0"/>
              <w:keepLines w:val="0"/>
              <w:pageBreakBefore w:val="0"/>
              <w:widowControl/>
              <w:kinsoku/>
              <w:wordWrap/>
              <w:overflowPunct/>
              <w:topLinePunct w:val="0"/>
              <w:autoSpaceDE/>
              <w:autoSpaceDN/>
              <w:bidi w:val="0"/>
              <w:adjustRightInd w:val="0"/>
              <w:snapToGrid/>
              <w:jc w:val="center"/>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kern w:val="0"/>
                <w:sz w:val="22"/>
                <w:szCs w:val="22"/>
                <w:highlight w:val="none"/>
                <w:lang w:eastAsia="zh-CN" w:bidi="ar"/>
              </w:rPr>
              <w:t>家（</w:t>
            </w:r>
            <w:r>
              <w:rPr>
                <w:rFonts w:hint="eastAsia" w:ascii="宋体" w:hAnsi="宋体" w:eastAsia="宋体" w:cs="宋体"/>
                <w:color w:val="auto"/>
                <w:kern w:val="0"/>
                <w:sz w:val="22"/>
                <w:szCs w:val="22"/>
                <w:highlight w:val="none"/>
                <w:lang w:bidi="ar"/>
              </w:rPr>
              <w:t>点位</w:t>
            </w:r>
            <w:r>
              <w:rPr>
                <w:rFonts w:hint="eastAsia" w:ascii="宋体" w:hAnsi="宋体" w:eastAsia="宋体" w:cs="宋体"/>
                <w:color w:val="auto"/>
                <w:kern w:val="0"/>
                <w:sz w:val="22"/>
                <w:szCs w:val="22"/>
                <w:highlight w:val="none"/>
                <w:lang w:eastAsia="zh-CN" w:bidi="ar"/>
              </w:rPr>
              <w:t>）</w:t>
            </w:r>
          </w:p>
        </w:tc>
        <w:tc>
          <w:tcPr>
            <w:tcW w:w="1763" w:type="dxa"/>
            <w:tcBorders>
              <w:top w:val="single" w:color="000000" w:sz="4" w:space="0"/>
              <w:left w:val="single" w:color="000000" w:sz="4" w:space="0"/>
              <w:bottom w:val="single" w:color="000000" w:sz="4" w:space="0"/>
              <w:right w:val="single" w:color="000000" w:sz="4" w:space="0"/>
            </w:tcBorders>
            <w:noWrap/>
            <w:vAlign w:val="center"/>
          </w:tcPr>
          <w:p w14:paraId="1358B3EE">
            <w:pPr>
              <w:keepNext w:val="0"/>
              <w:keepLines w:val="0"/>
              <w:pageBreakBefore w:val="0"/>
              <w:widowControl/>
              <w:kinsoku/>
              <w:wordWrap/>
              <w:overflowPunct/>
              <w:topLinePunct w:val="0"/>
              <w:autoSpaceDE/>
              <w:autoSpaceDN/>
              <w:bidi w:val="0"/>
              <w:adjustRightInd w:val="0"/>
              <w:snapToGrid/>
              <w:jc w:val="center"/>
              <w:textAlignment w:val="center"/>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eastAsia="zh-CN" w:bidi="ar"/>
              </w:rPr>
              <w:t>1000</w:t>
            </w:r>
          </w:p>
        </w:tc>
      </w:tr>
      <w:tr w14:paraId="1F349141">
        <w:tblPrEx>
          <w:tblCellMar>
            <w:top w:w="0" w:type="dxa"/>
            <w:left w:w="108" w:type="dxa"/>
            <w:bottom w:w="0" w:type="dxa"/>
            <w:right w:w="108" w:type="dxa"/>
          </w:tblCellMar>
        </w:tblPrEx>
        <w:trPr>
          <w:trHeight w:val="577" w:hRule="atLeast"/>
          <w:jc w:val="center"/>
        </w:trPr>
        <w:tc>
          <w:tcPr>
            <w:tcW w:w="780" w:type="dxa"/>
            <w:tcBorders>
              <w:top w:val="single" w:color="000000" w:sz="4" w:space="0"/>
              <w:left w:val="single" w:color="000000" w:sz="4" w:space="0"/>
              <w:bottom w:val="single" w:color="000000" w:sz="4" w:space="0"/>
              <w:right w:val="single" w:color="000000" w:sz="4" w:space="0"/>
            </w:tcBorders>
            <w:noWrap/>
            <w:vAlign w:val="center"/>
          </w:tcPr>
          <w:p w14:paraId="24642002">
            <w:pPr>
              <w:keepNext w:val="0"/>
              <w:keepLines w:val="0"/>
              <w:pageBreakBefore w:val="0"/>
              <w:widowControl/>
              <w:kinsoku/>
              <w:wordWrap/>
              <w:overflowPunct/>
              <w:topLinePunct w:val="0"/>
              <w:autoSpaceDE/>
              <w:autoSpaceDN/>
              <w:bidi w:val="0"/>
              <w:adjustRightInd w:val="0"/>
              <w:snapToGrid/>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val="en-US" w:eastAsia="zh-CN" w:bidi="ar"/>
              </w:rPr>
              <w:t>2</w:t>
            </w:r>
          </w:p>
        </w:tc>
        <w:tc>
          <w:tcPr>
            <w:tcW w:w="4575" w:type="dxa"/>
            <w:tcBorders>
              <w:top w:val="single" w:color="000000" w:sz="4" w:space="0"/>
              <w:left w:val="single" w:color="000000" w:sz="4" w:space="0"/>
              <w:bottom w:val="single" w:color="000000" w:sz="4" w:space="0"/>
              <w:right w:val="single" w:color="000000" w:sz="4" w:space="0"/>
            </w:tcBorders>
            <w:noWrap/>
            <w:vAlign w:val="center"/>
          </w:tcPr>
          <w:p w14:paraId="4AE96511">
            <w:pPr>
              <w:keepNext w:val="0"/>
              <w:keepLines w:val="0"/>
              <w:pageBreakBefore w:val="0"/>
              <w:widowControl/>
              <w:kinsoku/>
              <w:wordWrap/>
              <w:overflowPunct/>
              <w:topLinePunct w:val="0"/>
              <w:autoSpaceDE/>
              <w:autoSpaceDN/>
              <w:bidi w:val="0"/>
              <w:adjustRightInd w:val="0"/>
              <w:snapToGrid/>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监控平台</w:t>
            </w:r>
          </w:p>
        </w:tc>
        <w:tc>
          <w:tcPr>
            <w:tcW w:w="1162" w:type="dxa"/>
            <w:tcBorders>
              <w:top w:val="single" w:color="000000" w:sz="4" w:space="0"/>
              <w:left w:val="single" w:color="000000" w:sz="4" w:space="0"/>
              <w:bottom w:val="single" w:color="000000" w:sz="4" w:space="0"/>
              <w:right w:val="single" w:color="000000" w:sz="4" w:space="0"/>
            </w:tcBorders>
            <w:noWrap/>
            <w:vAlign w:val="center"/>
          </w:tcPr>
          <w:p w14:paraId="553CDE51">
            <w:pPr>
              <w:keepNext w:val="0"/>
              <w:keepLines w:val="0"/>
              <w:pageBreakBefore w:val="0"/>
              <w:widowControl/>
              <w:kinsoku/>
              <w:wordWrap/>
              <w:overflowPunct/>
              <w:topLinePunct w:val="0"/>
              <w:autoSpaceDE/>
              <w:autoSpaceDN/>
              <w:bidi w:val="0"/>
              <w:adjustRightInd w:val="0"/>
              <w:snapToGrid/>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套</w:t>
            </w:r>
          </w:p>
        </w:tc>
        <w:tc>
          <w:tcPr>
            <w:tcW w:w="1763" w:type="dxa"/>
            <w:tcBorders>
              <w:top w:val="single" w:color="000000" w:sz="4" w:space="0"/>
              <w:left w:val="single" w:color="000000" w:sz="4" w:space="0"/>
              <w:bottom w:val="single" w:color="000000" w:sz="4" w:space="0"/>
              <w:right w:val="single" w:color="000000" w:sz="4" w:space="0"/>
            </w:tcBorders>
            <w:noWrap/>
            <w:vAlign w:val="center"/>
          </w:tcPr>
          <w:p w14:paraId="4F6BC791">
            <w:pPr>
              <w:keepNext w:val="0"/>
              <w:keepLines w:val="0"/>
              <w:pageBreakBefore w:val="0"/>
              <w:widowControl/>
              <w:kinsoku/>
              <w:wordWrap/>
              <w:overflowPunct/>
              <w:topLinePunct w:val="0"/>
              <w:autoSpaceDE/>
              <w:autoSpaceDN/>
              <w:bidi w:val="0"/>
              <w:adjustRightInd w:val="0"/>
              <w:snapToGrid/>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bidi="ar"/>
              </w:rPr>
              <w:t>1</w:t>
            </w:r>
          </w:p>
        </w:tc>
      </w:tr>
    </w:tbl>
    <w:p w14:paraId="2F3263F6">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rPr>
        <w:t>注：中标单位须提供相关产品的租赁服务，其中监控</w:t>
      </w:r>
      <w:r>
        <w:rPr>
          <w:rFonts w:hint="eastAsia" w:ascii="宋体" w:hAnsi="宋体" w:eastAsia="宋体" w:cs="宋体"/>
          <w:color w:val="auto"/>
          <w:kern w:val="0"/>
          <w:sz w:val="24"/>
          <w:szCs w:val="24"/>
          <w:highlight w:val="none"/>
          <w:lang w:eastAsia="zh-CN"/>
        </w:rPr>
        <w:t>设备（</w:t>
      </w:r>
      <w:r>
        <w:rPr>
          <w:rFonts w:hint="eastAsia" w:ascii="宋体" w:hAnsi="宋体" w:eastAsia="宋体" w:cs="宋体"/>
          <w:color w:val="auto"/>
          <w:kern w:val="0"/>
          <w:sz w:val="24"/>
          <w:szCs w:val="24"/>
          <w:highlight w:val="none"/>
          <w:lang w:val="en-US" w:eastAsia="zh-CN"/>
        </w:rPr>
        <w:t>含</w:t>
      </w:r>
      <w:r>
        <w:rPr>
          <w:rFonts w:hint="eastAsia" w:ascii="宋体" w:hAnsi="宋体" w:eastAsia="宋体" w:cs="宋体"/>
          <w:color w:val="auto"/>
          <w:kern w:val="0"/>
          <w:sz w:val="24"/>
          <w:szCs w:val="24"/>
          <w:highlight w:val="none"/>
        </w:rPr>
        <w:t>线路、云存储</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2"/>
          <w:szCs w:val="22"/>
          <w:highlight w:val="none"/>
          <w:lang w:bidi="ar"/>
        </w:rPr>
        <w:t>监控平台</w:t>
      </w:r>
      <w:r>
        <w:rPr>
          <w:rFonts w:hint="eastAsia" w:ascii="宋体" w:hAnsi="宋体" w:eastAsia="宋体" w:cs="宋体"/>
          <w:color w:val="auto"/>
          <w:kern w:val="0"/>
          <w:sz w:val="24"/>
          <w:szCs w:val="24"/>
          <w:highlight w:val="none"/>
        </w:rPr>
        <w:t>，采购人享有在合同期间的使用权。监控平台及设备监测管理平台的源代码中标单位须无条件交付，并在运维服务期范围内根据采购人要求对已有模块进行</w:t>
      </w:r>
      <w:r>
        <w:rPr>
          <w:rFonts w:hint="eastAsia" w:ascii="宋体" w:hAnsi="宋体" w:eastAsia="宋体" w:cs="宋体"/>
          <w:color w:val="auto"/>
          <w:kern w:val="0"/>
          <w:sz w:val="24"/>
          <w:szCs w:val="24"/>
          <w:highlight w:val="none"/>
          <w:lang w:val="en-US" w:eastAsia="zh-CN"/>
        </w:rPr>
        <w:t>免费</w:t>
      </w:r>
      <w:r>
        <w:rPr>
          <w:rFonts w:hint="eastAsia" w:ascii="宋体" w:hAnsi="宋体" w:eastAsia="宋体" w:cs="宋体"/>
          <w:color w:val="auto"/>
          <w:kern w:val="0"/>
          <w:sz w:val="24"/>
          <w:szCs w:val="24"/>
          <w:highlight w:val="none"/>
        </w:rPr>
        <w:t>优化。履约期内运维服务由中标单位负责，合同</w:t>
      </w:r>
      <w:r>
        <w:rPr>
          <w:rFonts w:hint="eastAsia" w:ascii="宋体" w:hAnsi="宋体" w:eastAsia="宋体" w:cs="宋体"/>
          <w:color w:val="auto"/>
          <w:kern w:val="0"/>
          <w:sz w:val="24"/>
          <w:szCs w:val="24"/>
          <w:highlight w:val="none"/>
          <w:lang w:eastAsia="zh-CN"/>
        </w:rPr>
        <w:t>履约结束后</w:t>
      </w:r>
      <w:r>
        <w:rPr>
          <w:rFonts w:hint="eastAsia" w:ascii="宋体" w:hAnsi="宋体" w:eastAsia="宋体" w:cs="宋体"/>
          <w:color w:val="auto"/>
          <w:kern w:val="0"/>
          <w:sz w:val="24"/>
          <w:szCs w:val="24"/>
          <w:highlight w:val="none"/>
        </w:rPr>
        <w:t>，监控</w:t>
      </w:r>
      <w:r>
        <w:rPr>
          <w:rFonts w:hint="eastAsia" w:ascii="宋体" w:hAnsi="宋体" w:eastAsia="宋体" w:cs="宋体"/>
          <w:color w:val="auto"/>
          <w:kern w:val="0"/>
          <w:sz w:val="24"/>
          <w:szCs w:val="24"/>
          <w:highlight w:val="none"/>
          <w:lang w:eastAsia="zh-CN"/>
        </w:rPr>
        <w:t>设备归采购人所有</w:t>
      </w:r>
      <w:r>
        <w:rPr>
          <w:rFonts w:hint="eastAsia" w:ascii="宋体" w:hAnsi="宋体" w:eastAsia="宋体" w:cs="宋体"/>
          <w:color w:val="auto"/>
          <w:kern w:val="0"/>
          <w:sz w:val="24"/>
          <w:szCs w:val="24"/>
          <w:highlight w:val="none"/>
        </w:rPr>
        <w:t>。每个安装单位均须独立开户，不得使用安装单位的原有网络。</w:t>
      </w:r>
      <w:r>
        <w:rPr>
          <w:rFonts w:hint="eastAsia" w:ascii="宋体" w:hAnsi="宋体" w:eastAsia="宋体" w:cs="宋体"/>
          <w:color w:val="auto"/>
          <w:kern w:val="0"/>
          <w:sz w:val="24"/>
          <w:szCs w:val="24"/>
          <w:highlight w:val="none"/>
          <w:lang w:eastAsia="zh-CN"/>
        </w:rPr>
        <w:t>根据甲方需要，免费为甲方将食品生产经营单位自有摄像头进行收编，并纳入平台管理（不计入合同中</w:t>
      </w:r>
      <w:r>
        <w:rPr>
          <w:rFonts w:hint="eastAsia" w:ascii="宋体" w:hAnsi="宋体" w:eastAsia="宋体" w:cs="宋体"/>
          <w:color w:val="auto"/>
          <w:kern w:val="0"/>
          <w:sz w:val="24"/>
          <w:szCs w:val="24"/>
          <w:highlight w:val="none"/>
          <w:lang w:val="en-US" w:eastAsia="zh-CN"/>
        </w:rPr>
        <w:t>1000个监控点位</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sz w:val="24"/>
          <w:szCs w:val="24"/>
          <w:highlight w:val="none"/>
        </w:rPr>
        <w:t>详细内容见本</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文件第四章</w:t>
      </w:r>
      <w:r>
        <w:rPr>
          <w:rFonts w:hint="eastAsia" w:ascii="宋体" w:hAnsi="宋体" w:eastAsia="宋体" w:cs="宋体"/>
          <w:color w:val="auto"/>
          <w:sz w:val="24"/>
          <w:szCs w:val="24"/>
          <w:highlight w:val="none"/>
          <w:lang w:eastAsia="zh-CN"/>
        </w:rPr>
        <w:t>。</w:t>
      </w:r>
    </w:p>
    <w:p w14:paraId="71E59D54">
      <w:pPr>
        <w:pStyle w:val="11"/>
        <w:spacing w:beforeAutospacing="0" w:afterAutospacing="0"/>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.合同履行期限：合同签订后90日内完成系统建设且正式上线运营，运维服务期为系统验收通过之日起计3年。</w:t>
      </w:r>
    </w:p>
    <w:p w14:paraId="52432C18">
      <w:pPr>
        <w:pStyle w:val="11"/>
        <w:spacing w:beforeAutospacing="0" w:afterAutospacing="0"/>
        <w:ind w:firstLine="480"/>
        <w:jc w:val="both"/>
        <w:rPr>
          <w:rFonts w:hint="eastAsia" w:ascii="宋体" w:hAnsi="宋体" w:eastAsia="宋体" w:cs="宋体"/>
          <w:color w:val="000000"/>
          <w:sz w:val="24"/>
          <w:szCs w:val="24"/>
          <w:highlight w:val="none"/>
          <w:lang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本项目不接受联合体参与招标</w:t>
      </w:r>
      <w:r>
        <w:rPr>
          <w:rFonts w:hint="eastAsia" w:ascii="宋体" w:hAnsi="宋体" w:eastAsia="宋体" w:cs="宋体"/>
          <w:color w:val="auto"/>
          <w:sz w:val="24"/>
          <w:szCs w:val="24"/>
          <w:highlight w:val="none"/>
          <w:lang w:eastAsia="zh-CN"/>
        </w:rPr>
        <w:t>。</w:t>
      </w:r>
    </w:p>
    <w:p w14:paraId="0D95F988">
      <w:pPr>
        <w:pStyle w:val="11"/>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14" w:name="_Toc28359080"/>
      <w:bookmarkStart w:id="15" w:name="_Toc35393622"/>
      <w:bookmarkStart w:id="16" w:name="_Toc35393791"/>
      <w:bookmarkStart w:id="17" w:name="_Toc38985264"/>
      <w:bookmarkStart w:id="18" w:name="_Toc28359003"/>
      <w:r>
        <w:rPr>
          <w:rFonts w:hint="eastAsia" w:ascii="宋体" w:hAnsi="宋体" w:eastAsia="宋体" w:cs="宋体"/>
          <w:b/>
          <w:color w:val="000000"/>
          <w:sz w:val="24"/>
          <w:szCs w:val="24"/>
          <w:highlight w:val="none"/>
        </w:rPr>
        <w:t>二、申请人的资格要求：</w:t>
      </w:r>
      <w:bookmarkEnd w:id="14"/>
      <w:bookmarkEnd w:id="15"/>
      <w:bookmarkEnd w:id="16"/>
      <w:bookmarkEnd w:id="17"/>
      <w:bookmarkEnd w:id="18"/>
    </w:p>
    <w:p w14:paraId="1D22B421">
      <w:pPr>
        <w:pStyle w:val="11"/>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1.满足《中华人民共和国政府采购法》第二十二条规定，并提供下列材料：</w:t>
      </w:r>
    </w:p>
    <w:p w14:paraId="3839587F">
      <w:pPr>
        <w:pStyle w:val="11"/>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 法人或者其他组织的营业执照等证明文件，自然人的身份证明；</w:t>
      </w:r>
    </w:p>
    <w:p w14:paraId="747B7FCD">
      <w:pPr>
        <w:pStyle w:val="11"/>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1.2上一年度的财务状况报</w:t>
      </w:r>
      <w:r>
        <w:rPr>
          <w:rFonts w:hint="eastAsia" w:ascii="宋体" w:hAnsi="宋体" w:eastAsia="宋体" w:cs="宋体"/>
          <w:color w:val="000000"/>
          <w:sz w:val="24"/>
          <w:szCs w:val="24"/>
          <w:highlight w:val="none"/>
          <w:lang w:val="en-US" w:eastAsia="zh-CN"/>
        </w:rPr>
        <w:t>告</w:t>
      </w:r>
      <w:r>
        <w:rPr>
          <w:rFonts w:hint="eastAsia" w:ascii="宋体" w:hAnsi="宋体" w:eastAsia="宋体" w:cs="宋体"/>
          <w:color w:val="000000"/>
          <w:sz w:val="24"/>
          <w:szCs w:val="24"/>
          <w:highlight w:val="none"/>
        </w:rPr>
        <w:t>（成立不满一年无需提供）；</w:t>
      </w:r>
    </w:p>
    <w:p w14:paraId="1459E6E0">
      <w:pPr>
        <w:pStyle w:val="11"/>
        <w:spacing w:beforeAutospacing="0" w:afterAutospacing="0"/>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1.3</w:t>
      </w:r>
      <w:r>
        <w:rPr>
          <w:rFonts w:hint="eastAsia" w:ascii="宋体" w:hAnsi="宋体" w:eastAsia="宋体" w:cs="宋体"/>
          <w:color w:val="000000"/>
          <w:sz w:val="24"/>
          <w:szCs w:val="24"/>
          <w:highlight w:val="none"/>
        </w:rPr>
        <w:t>具备履行合同所必需的设备和专业技术能力的书面声明；</w:t>
      </w:r>
    </w:p>
    <w:p w14:paraId="5312617D">
      <w:pPr>
        <w:pStyle w:val="11"/>
        <w:keepNext w:val="0"/>
        <w:keepLines w:val="0"/>
        <w:pageBreakBefore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1905CC55">
      <w:pPr>
        <w:pStyle w:val="11"/>
        <w:keepNext w:val="0"/>
        <w:keepLines w:val="0"/>
        <w:pageBreakBefore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.5参加政府采购活动前3年内在经营活动中没有重大违法记录的书面声明。</w:t>
      </w:r>
    </w:p>
    <w:p w14:paraId="48E03DAE">
      <w:pPr>
        <w:pStyle w:val="11"/>
        <w:keepNext w:val="0"/>
        <w:keepLines w:val="0"/>
        <w:pageBreakBefore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1.6法律、行政法规规定的其他条件。</w:t>
      </w:r>
    </w:p>
    <w:p w14:paraId="359C15D0">
      <w:pPr>
        <w:pStyle w:val="11"/>
        <w:keepNext w:val="0"/>
        <w:keepLines w:val="0"/>
        <w:pageBreakBefore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1.7</w:t>
      </w:r>
      <w:r>
        <w:rPr>
          <w:rFonts w:hint="eastAsia" w:ascii="宋体" w:hAnsi="宋体" w:eastAsia="宋体" w:cs="宋体"/>
          <w:color w:val="000000"/>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7A41D00">
      <w:pPr>
        <w:pStyle w:val="11"/>
        <w:keepNext w:val="0"/>
        <w:keepLines w:val="0"/>
        <w:pageBreakBefore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1.8</w:t>
      </w:r>
      <w:r>
        <w:rPr>
          <w:rFonts w:hint="eastAsia" w:ascii="宋体" w:hAnsi="宋体" w:eastAsia="宋体" w:cs="宋体"/>
          <w:color w:val="000000"/>
          <w:sz w:val="24"/>
          <w:szCs w:val="24"/>
          <w:highlight w:val="none"/>
        </w:rPr>
        <w:t>单位负责人为同一人或者存在直接控股、管理关系的不同供应商，不得参加同一合同项下的政府采购活动。</w:t>
      </w:r>
    </w:p>
    <w:p w14:paraId="330531F5">
      <w:pPr>
        <w:pStyle w:val="11"/>
        <w:keepNext w:val="0"/>
        <w:keepLines w:val="0"/>
        <w:pageBreakBefore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落实政府采购政策需满足的资格要求：无</w:t>
      </w:r>
      <w:r>
        <w:rPr>
          <w:rFonts w:hint="eastAsia" w:ascii="宋体" w:hAnsi="宋体" w:eastAsia="宋体" w:cs="宋体"/>
          <w:color w:val="000000"/>
          <w:sz w:val="24"/>
          <w:szCs w:val="24"/>
          <w:highlight w:val="none"/>
          <w:lang w:eastAsia="zh-CN"/>
        </w:rPr>
        <w:t>。</w:t>
      </w:r>
    </w:p>
    <w:p w14:paraId="0C2DF951">
      <w:pPr>
        <w:pStyle w:val="11"/>
        <w:keepNext w:val="0"/>
        <w:keepLines w:val="0"/>
        <w:pageBreakBefore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本项目的特定资格要求</w:t>
      </w:r>
      <w:r>
        <w:rPr>
          <w:rFonts w:hint="eastAsia" w:ascii="宋体" w:hAnsi="宋体" w:eastAsia="宋体" w:cs="宋体"/>
          <w:color w:val="000000"/>
          <w:sz w:val="24"/>
          <w:szCs w:val="24"/>
          <w:highlight w:val="none"/>
          <w:lang w:eastAsia="zh-CN"/>
        </w:rPr>
        <w:t>：</w:t>
      </w:r>
    </w:p>
    <w:p w14:paraId="22551A6A">
      <w:pPr>
        <w:pStyle w:val="11"/>
        <w:keepNext w:val="0"/>
        <w:keepLines w:val="0"/>
        <w:pageBreakBefore w:val="0"/>
        <w:kinsoku/>
        <w:wordWrap/>
        <w:overflowPunct/>
        <w:topLinePunct w:val="0"/>
        <w:autoSpaceDE/>
        <w:autoSpaceDN/>
        <w:bidi w:val="0"/>
        <w:adjustRightInd/>
        <w:snapToGrid/>
        <w:spacing w:beforeAutospacing="0" w:afterAutospacing="0" w:line="240" w:lineRule="auto"/>
        <w:ind w:firstLine="48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（1）投标人如委托被授权人参与，则被授权人须为本单位正式职工并提供投标人为被授权人缴纳的社会养老保险证明。</w:t>
      </w:r>
    </w:p>
    <w:p w14:paraId="63754E56">
      <w:pPr>
        <w:pStyle w:val="11"/>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三、获取招标文件</w:t>
      </w:r>
    </w:p>
    <w:p w14:paraId="15F91AA5">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bookmarkStart w:id="19" w:name="_Toc38985266"/>
      <w:bookmarkStart w:id="20" w:name="_Toc28359082"/>
      <w:bookmarkStart w:id="21" w:name="_Toc35393793"/>
      <w:bookmarkStart w:id="22" w:name="_Toc28359005"/>
      <w:bookmarkStart w:id="23" w:name="_Toc35393624"/>
      <w:r>
        <w:rPr>
          <w:rFonts w:hint="eastAsia" w:ascii="宋体" w:hAnsi="宋体" w:eastAsia="宋体" w:cs="宋体"/>
          <w:color w:val="000000"/>
          <w:sz w:val="24"/>
          <w:szCs w:val="24"/>
          <w:highlight w:val="none"/>
        </w:rPr>
        <w:t>1.时间</w:t>
      </w:r>
      <w:r>
        <w:rPr>
          <w:rFonts w:hint="eastAsia" w:ascii="宋体" w:hAnsi="宋体" w:eastAsia="宋体" w:cs="宋体"/>
          <w:color w:val="000000"/>
          <w:kern w:val="0"/>
          <w:sz w:val="24"/>
          <w:szCs w:val="24"/>
          <w:highlight w:val="none"/>
          <w:lang w:val="en-US" w:eastAsia="zh-CN" w:bidi="ar-SA"/>
        </w:rPr>
        <w:t>：</w:t>
      </w:r>
      <w:bookmarkEnd w:id="19"/>
      <w:bookmarkEnd w:id="20"/>
      <w:bookmarkEnd w:id="21"/>
      <w:bookmarkEnd w:id="22"/>
      <w:bookmarkEnd w:id="23"/>
      <w:r>
        <w:rPr>
          <w:rFonts w:hint="eastAsia" w:ascii="宋体" w:hAnsi="宋体" w:eastAsia="宋体" w:cs="宋体"/>
          <w:color w:val="000000"/>
          <w:kern w:val="0"/>
          <w:sz w:val="24"/>
          <w:szCs w:val="24"/>
          <w:highlight w:val="none"/>
          <w:lang w:val="en-US" w:eastAsia="zh-CN" w:bidi="ar-SA"/>
        </w:rPr>
        <w:t>自招标文件公告发布之日起5个工作日。</w:t>
      </w:r>
    </w:p>
    <w:p w14:paraId="3FE7E4A2">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2.地点：“苏采云”系统内免费下载（投标人必须在苏采云系统中获取采购文件，方能参与政府采购项目）；</w:t>
      </w:r>
    </w:p>
    <w:p w14:paraId="1CD7F0EF">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3.方式：本项目采用网上注册登记方式。 </w:t>
      </w:r>
    </w:p>
    <w:p w14:paraId="31F3C5CF">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4.售价：0元</w:t>
      </w:r>
    </w:p>
    <w:p w14:paraId="48944B76">
      <w:pPr>
        <w:pStyle w:val="11"/>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四、提交投标文件截止时间、开标时间和地点</w:t>
      </w:r>
    </w:p>
    <w:p w14:paraId="64DBC186">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sz w:val="24"/>
          <w:szCs w:val="24"/>
          <w:highlight w:val="none"/>
        </w:rPr>
        <w:t>1.</w:t>
      </w:r>
      <w:r>
        <w:rPr>
          <w:rFonts w:hint="eastAsia" w:ascii="宋体" w:hAnsi="宋体" w:eastAsia="宋体" w:cs="宋体"/>
          <w:color w:val="000000"/>
          <w:kern w:val="0"/>
          <w:sz w:val="24"/>
          <w:szCs w:val="24"/>
          <w:highlight w:val="none"/>
          <w:lang w:val="en-US" w:eastAsia="zh-CN" w:bidi="ar-SA"/>
        </w:rPr>
        <w:t>时间：2026年7月22日</w:t>
      </w:r>
      <w:r>
        <w:rPr>
          <w:rFonts w:hint="eastAsia" w:ascii="宋体" w:hAnsi="宋体" w:eastAsia="宋体" w:cs="宋体"/>
          <w:color w:val="auto"/>
          <w:kern w:val="0"/>
          <w:sz w:val="24"/>
          <w:szCs w:val="24"/>
          <w:highlight w:val="none"/>
          <w:lang w:val="en-US" w:eastAsia="zh-CN" w:bidi="ar-SA"/>
        </w:rPr>
        <w:t>08点30分</w:t>
      </w:r>
      <w:r>
        <w:rPr>
          <w:rFonts w:hint="eastAsia" w:ascii="宋体" w:hAnsi="宋体" w:eastAsia="宋体" w:cs="宋体"/>
          <w:color w:val="000000"/>
          <w:kern w:val="0"/>
          <w:sz w:val="24"/>
          <w:szCs w:val="24"/>
          <w:highlight w:val="none"/>
          <w:lang w:val="en-US" w:eastAsia="zh-CN" w:bidi="ar-SA"/>
        </w:rPr>
        <w:t>（北京时间）</w:t>
      </w:r>
    </w:p>
    <w:p w14:paraId="2DD14093">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2.地点：苏采云“不见面”开标大厅 。</w:t>
      </w:r>
    </w:p>
    <w:p w14:paraId="24E0C040">
      <w:pPr>
        <w:pStyle w:val="11"/>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24" w:name="_Toc28359007"/>
      <w:bookmarkStart w:id="25" w:name="_Toc38985267"/>
      <w:bookmarkStart w:id="26" w:name="_Toc35393794"/>
      <w:bookmarkStart w:id="27" w:name="_Toc35393625"/>
      <w:bookmarkStart w:id="28" w:name="_Toc28359084"/>
      <w:r>
        <w:rPr>
          <w:rFonts w:hint="eastAsia" w:ascii="宋体" w:hAnsi="宋体" w:eastAsia="宋体" w:cs="宋体"/>
          <w:b/>
          <w:color w:val="000000"/>
          <w:sz w:val="24"/>
          <w:szCs w:val="24"/>
          <w:highlight w:val="none"/>
        </w:rPr>
        <w:t>五、公告期限</w:t>
      </w:r>
      <w:bookmarkEnd w:id="24"/>
      <w:bookmarkEnd w:id="25"/>
      <w:bookmarkEnd w:id="26"/>
      <w:bookmarkEnd w:id="27"/>
      <w:bookmarkEnd w:id="28"/>
    </w:p>
    <w:p w14:paraId="7C2197F9">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bookmarkStart w:id="29" w:name="_Toc38985268"/>
      <w:bookmarkStart w:id="30" w:name="_Toc35393626"/>
      <w:bookmarkStart w:id="31" w:name="_Toc35393795"/>
      <w:r>
        <w:rPr>
          <w:rFonts w:hint="eastAsia" w:ascii="宋体" w:hAnsi="宋体" w:eastAsia="宋体" w:cs="宋体"/>
          <w:i w:val="0"/>
          <w:iCs w:val="0"/>
          <w:caps w:val="0"/>
          <w:color w:val="333333"/>
          <w:spacing w:val="0"/>
          <w:sz w:val="24"/>
          <w:szCs w:val="24"/>
          <w:highlight w:val="none"/>
          <w:shd w:val="clear" w:fill="FFFFFF"/>
          <w:lang w:val="en-US" w:eastAsia="zh-CN"/>
        </w:rPr>
        <w:t>自本公告发布之日起5个工作日。</w:t>
      </w:r>
      <w:bookmarkEnd w:id="29"/>
      <w:bookmarkEnd w:id="30"/>
      <w:bookmarkEnd w:id="31"/>
    </w:p>
    <w:p w14:paraId="637476BB">
      <w:pPr>
        <w:pStyle w:val="11"/>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六、其他补充事宜</w:t>
      </w:r>
    </w:p>
    <w:p w14:paraId="2A0228E5">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bookmarkStart w:id="32" w:name="_Toc28359018"/>
      <w:r>
        <w:rPr>
          <w:rFonts w:hint="eastAsia" w:ascii="宋体" w:hAnsi="宋体" w:eastAsia="宋体" w:cs="宋体"/>
          <w:i w:val="0"/>
          <w:iCs w:val="0"/>
          <w:caps w:val="0"/>
          <w:color w:val="333333"/>
          <w:spacing w:val="0"/>
          <w:sz w:val="24"/>
          <w:szCs w:val="24"/>
          <w:highlight w:val="none"/>
          <w:shd w:val="clear"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93E042C">
      <w:pPr>
        <w:numPr>
          <w:ilvl w:val="0"/>
          <w:numId w:val="0"/>
        </w:numPr>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领取CA和办理电子签章（</w:t>
      </w:r>
      <w:r>
        <w:rPr>
          <w:rFonts w:hint="eastAsia" w:ascii="宋体" w:hAnsi="宋体" w:eastAsia="宋体" w:cs="宋体"/>
          <w:i w:val="0"/>
          <w:iCs w:val="0"/>
          <w:caps w:val="0"/>
          <w:color w:val="auto"/>
          <w:spacing w:val="0"/>
          <w:sz w:val="24"/>
          <w:szCs w:val="24"/>
          <w:highlight w:val="none"/>
          <w:shd w:val="clear" w:color="auto" w:fill="auto"/>
          <w:lang w:val="en-US" w:eastAsia="zh-CN"/>
        </w:rPr>
        <w:t>请至</w:t>
      </w:r>
      <w:r>
        <w:rPr>
          <w:rFonts w:hint="eastAsia" w:ascii="宋体" w:hAnsi="宋体" w:eastAsia="宋体" w:cs="宋体"/>
          <w:i w:val="0"/>
          <w:iCs w:val="0"/>
          <w:caps w:val="0"/>
          <w:color w:val="FF0000"/>
          <w:spacing w:val="0"/>
          <w:sz w:val="24"/>
          <w:szCs w:val="24"/>
          <w:highlight w:val="none"/>
          <w:shd w:val="clear" w:color="auto" w:fill="auto"/>
          <w:lang w:val="en-US" w:eastAsia="zh-CN"/>
        </w:rPr>
        <w:t>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auto"/>
          <w:lang w:val="en-US" w:eastAsia="zh-CN"/>
        </w:rPr>
        <w:t>办理</w:t>
      </w:r>
      <w:r>
        <w:rPr>
          <w:rFonts w:hint="eastAsia" w:ascii="宋体" w:hAnsi="宋体" w:eastAsia="宋体" w:cs="宋体"/>
          <w:i w:val="0"/>
          <w:iCs w:val="0"/>
          <w:caps w:val="0"/>
          <w:color w:val="333333"/>
          <w:spacing w:val="0"/>
          <w:sz w:val="24"/>
          <w:szCs w:val="24"/>
          <w:highlight w:val="none"/>
          <w:shd w:val="clear" w:fill="FFFFFF"/>
          <w:lang w:val="en-US" w:eastAsia="zh-CN"/>
        </w:rPr>
        <w:t>，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28F63D87">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 潜在供应商访问电子招标响应交易平台的网络地址和方法： </w:t>
      </w:r>
    </w:p>
    <w:p w14:paraId="32A21B87">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26A03879">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2.2 潜在投标人访问“苏采云”系统方法：江苏省政府采购网首页-“苏采云”链接。 </w:t>
      </w:r>
    </w:p>
    <w:p w14:paraId="5B5DA349">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2.3 采购文件（后缀名为“.kedt”）、供应商操作手册及政府采购客户端 工具可通过“苏采云”系统相应链接进行下载。 </w:t>
      </w:r>
    </w:p>
    <w:p w14:paraId="49157009">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2.4 采购代理机构将数据电文形式的采购文件加载至“苏采云”系统，供潜在供应商下载或者查阅。 </w:t>
      </w:r>
    </w:p>
    <w:p w14:paraId="721EE1E1">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2.5 请潜在投标单位提前安装相应的控件（详见《“苏采云”系统供应商操作手册》）并使用谷歌浏览器登录“苏采云”系统参与不见面开评标。 </w:t>
      </w:r>
    </w:p>
    <w:p w14:paraId="3C71CFFD">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如潜在投标人未按上述要求操作，将自行承担所产生的风险。</w:t>
      </w:r>
    </w:p>
    <w:p w14:paraId="7AFA5E6E">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3.有关本次招标的事项若存在变动或修改，敬请及时关注盐城市政府采购中心在“中国政府采购网”“江苏政府采购网”“盐城市政府采购网”发布的更正公告。</w:t>
      </w:r>
    </w:p>
    <w:p w14:paraId="4276C9F4">
      <w:pPr>
        <w:keepNext w:val="0"/>
        <w:keepLines w:val="0"/>
        <w:widowControl/>
        <w:suppressLineNumbers w:val="0"/>
        <w:ind w:firstLine="480" w:firstLineChars="200"/>
        <w:jc w:val="left"/>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4.本次招标不收取投标保证金，不收取质量保证金。</w:t>
      </w:r>
    </w:p>
    <w:p w14:paraId="32993B45">
      <w:pPr>
        <w:keepNext w:val="0"/>
        <w:keepLines w:val="0"/>
        <w:widowControl/>
        <w:suppressLineNumbers w:val="0"/>
        <w:ind w:firstLine="480" w:firstLineChars="200"/>
        <w:jc w:val="left"/>
        <w:rPr>
          <w:rFonts w:hint="eastAsia" w:ascii="宋体" w:hAnsi="宋体" w:eastAsia="宋体" w:cs="宋体"/>
          <w:b w:val="0"/>
          <w:bCs w:val="0"/>
          <w:i w:val="0"/>
          <w:iCs w:val="0"/>
          <w:caps w:val="0"/>
          <w:color w:val="333333"/>
          <w:spacing w:val="0"/>
          <w:sz w:val="24"/>
          <w:szCs w:val="24"/>
          <w:highlight w:val="none"/>
          <w:u w:val="none"/>
          <w:shd w:val="clear" w:fill="FFFFFF"/>
        </w:rPr>
      </w:pPr>
      <w:r>
        <w:rPr>
          <w:rFonts w:hint="eastAsia" w:ascii="宋体" w:hAnsi="宋体" w:eastAsia="宋体" w:cs="宋体"/>
          <w:b w:val="0"/>
          <w:bCs w:val="0"/>
          <w:i w:val="0"/>
          <w:iCs w:val="0"/>
          <w:caps w:val="0"/>
          <w:color w:val="333333"/>
          <w:spacing w:val="0"/>
          <w:sz w:val="24"/>
          <w:szCs w:val="24"/>
          <w:highlight w:val="none"/>
          <w:u w:val="none"/>
          <w:shd w:val="clear" w:fill="FFFFFF"/>
          <w:lang w:val="en-US" w:eastAsia="zh-CN"/>
        </w:rPr>
        <w:t>七</w:t>
      </w:r>
      <w:r>
        <w:rPr>
          <w:rFonts w:hint="eastAsia" w:ascii="宋体" w:hAnsi="宋体" w:eastAsia="宋体" w:cs="宋体"/>
          <w:b w:val="0"/>
          <w:bCs w:val="0"/>
          <w:i w:val="0"/>
          <w:iCs w:val="0"/>
          <w:caps w:val="0"/>
          <w:color w:val="333333"/>
          <w:spacing w:val="0"/>
          <w:sz w:val="24"/>
          <w:szCs w:val="24"/>
          <w:highlight w:val="none"/>
          <w:u w:val="none"/>
          <w:shd w:val="clear" w:fill="FFFFFF"/>
        </w:rPr>
        <w:t>、对本次</w:t>
      </w:r>
      <w:r>
        <w:rPr>
          <w:rFonts w:hint="eastAsia" w:ascii="宋体" w:hAnsi="宋体" w:eastAsia="宋体" w:cs="宋体"/>
          <w:b w:val="0"/>
          <w:bCs w:val="0"/>
          <w:i w:val="0"/>
          <w:iCs w:val="0"/>
          <w:caps w:val="0"/>
          <w:color w:val="333333"/>
          <w:spacing w:val="0"/>
          <w:sz w:val="24"/>
          <w:szCs w:val="24"/>
          <w:highlight w:val="none"/>
          <w:u w:val="none"/>
          <w:shd w:val="clear" w:fill="FFFFFF"/>
          <w:lang w:val="en-US" w:eastAsia="zh-CN"/>
        </w:rPr>
        <w:t>招标</w:t>
      </w:r>
      <w:r>
        <w:rPr>
          <w:rFonts w:hint="eastAsia" w:ascii="宋体" w:hAnsi="宋体" w:eastAsia="宋体" w:cs="宋体"/>
          <w:b w:val="0"/>
          <w:bCs w:val="0"/>
          <w:i w:val="0"/>
          <w:iCs w:val="0"/>
          <w:caps w:val="0"/>
          <w:color w:val="333333"/>
          <w:spacing w:val="0"/>
          <w:sz w:val="24"/>
          <w:szCs w:val="24"/>
          <w:highlight w:val="none"/>
          <w:u w:val="none"/>
          <w:shd w:val="clear" w:fill="FFFFFF"/>
        </w:rPr>
        <w:t>提出询问，请按以下方式联系。</w:t>
      </w:r>
      <w:bookmarkEnd w:id="32"/>
      <w:bookmarkStart w:id="33" w:name="_Toc28359009"/>
    </w:p>
    <w:p w14:paraId="00500500">
      <w:pPr>
        <w:keepNext w:val="0"/>
        <w:keepLines w:val="0"/>
        <w:widowControl/>
        <w:suppressLineNumbers w:val="0"/>
        <w:ind w:firstLine="480" w:firstLineChars="200"/>
        <w:jc w:val="left"/>
        <w:rPr>
          <w:rFonts w:hint="eastAsia" w:ascii="宋体" w:hAnsi="宋体" w:eastAsia="宋体" w:cs="宋体"/>
          <w:color w:val="333333"/>
          <w:sz w:val="24"/>
          <w:szCs w:val="24"/>
          <w:shd w:val="clear" w:color="auto" w:fill="FFFFFF"/>
          <w:lang w:val="en-US" w:eastAsia="zh-CN" w:bidi="ar-SA"/>
        </w:rPr>
      </w:pPr>
      <w:r>
        <w:rPr>
          <w:rFonts w:hint="eastAsia" w:ascii="宋体" w:hAnsi="宋体" w:eastAsia="宋体" w:cs="宋体"/>
          <w:color w:val="333333"/>
          <w:sz w:val="24"/>
          <w:szCs w:val="24"/>
          <w:shd w:val="clear" w:color="auto" w:fill="FFFFFF"/>
          <w:lang w:val="en-US" w:eastAsia="zh-CN" w:bidi="ar-SA"/>
        </w:rPr>
        <w:t>1.采购人信息</w:t>
      </w:r>
    </w:p>
    <w:p w14:paraId="18EEC9A8">
      <w:pPr>
        <w:keepNext w:val="0"/>
        <w:keepLines w:val="0"/>
        <w:widowControl/>
        <w:suppressLineNumbers w:val="0"/>
        <w:ind w:firstLine="480" w:firstLineChars="200"/>
        <w:jc w:val="left"/>
        <w:rPr>
          <w:rFonts w:hint="eastAsia" w:ascii="宋体" w:hAnsi="宋体" w:eastAsia="宋体" w:cs="宋体"/>
          <w:color w:val="333333"/>
          <w:sz w:val="24"/>
          <w:szCs w:val="24"/>
          <w:shd w:val="clear" w:color="auto" w:fill="FFFFFF"/>
          <w:lang w:val="en-US" w:eastAsia="zh-CN" w:bidi="ar-SA"/>
        </w:rPr>
      </w:pPr>
      <w:r>
        <w:rPr>
          <w:rFonts w:hint="eastAsia" w:ascii="宋体" w:hAnsi="宋体" w:eastAsia="宋体" w:cs="宋体"/>
          <w:color w:val="333333"/>
          <w:sz w:val="24"/>
          <w:szCs w:val="24"/>
          <w:shd w:val="clear" w:color="auto" w:fill="FFFFFF"/>
          <w:lang w:val="en-US" w:eastAsia="zh-CN" w:bidi="ar-SA"/>
        </w:rPr>
        <w:t xml:space="preserve">名 称：东台市市场监督管理局  </w:t>
      </w:r>
    </w:p>
    <w:p w14:paraId="79260296">
      <w:pPr>
        <w:keepNext w:val="0"/>
        <w:keepLines w:val="0"/>
        <w:widowControl/>
        <w:suppressLineNumbers w:val="0"/>
        <w:ind w:firstLine="480" w:firstLineChars="200"/>
        <w:jc w:val="left"/>
        <w:rPr>
          <w:rFonts w:hint="eastAsia" w:ascii="宋体" w:hAnsi="宋体" w:eastAsia="宋体" w:cs="宋体"/>
          <w:color w:val="333333"/>
          <w:sz w:val="24"/>
          <w:szCs w:val="24"/>
          <w:shd w:val="clear" w:color="auto" w:fill="FFFFFF"/>
          <w:lang w:val="en-US" w:eastAsia="zh-CN" w:bidi="ar-SA"/>
        </w:rPr>
      </w:pPr>
      <w:r>
        <w:rPr>
          <w:rFonts w:hint="eastAsia" w:ascii="宋体" w:hAnsi="宋体" w:eastAsia="宋体" w:cs="宋体"/>
          <w:color w:val="333333"/>
          <w:sz w:val="24"/>
          <w:szCs w:val="24"/>
          <w:shd w:val="clear" w:color="auto" w:fill="FFFFFF"/>
          <w:lang w:val="en-US" w:eastAsia="zh-CN" w:bidi="ar-SA"/>
        </w:rPr>
        <w:t xml:space="preserve">地址：东台市金海中路9号 </w:t>
      </w:r>
    </w:p>
    <w:p w14:paraId="38C8F2D8">
      <w:pPr>
        <w:keepNext w:val="0"/>
        <w:keepLines w:val="0"/>
        <w:widowControl/>
        <w:suppressLineNumbers w:val="0"/>
        <w:ind w:firstLine="480" w:firstLineChars="200"/>
        <w:jc w:val="left"/>
        <w:rPr>
          <w:rFonts w:hint="eastAsia" w:ascii="宋体" w:hAnsi="宋体" w:eastAsia="宋体" w:cs="宋体"/>
          <w:color w:val="333333"/>
          <w:sz w:val="24"/>
          <w:szCs w:val="24"/>
          <w:shd w:val="clear" w:color="auto" w:fill="FFFFFF"/>
          <w:lang w:val="en-US" w:eastAsia="zh-CN" w:bidi="ar-SA"/>
        </w:rPr>
      </w:pPr>
      <w:r>
        <w:rPr>
          <w:rFonts w:hint="eastAsia" w:ascii="宋体" w:hAnsi="宋体" w:eastAsia="宋体" w:cs="宋体"/>
          <w:color w:val="333333"/>
          <w:sz w:val="24"/>
          <w:szCs w:val="24"/>
          <w:shd w:val="clear" w:color="auto" w:fill="FFFFFF"/>
          <w:lang w:val="en-US" w:eastAsia="zh-CN" w:bidi="ar-SA"/>
        </w:rPr>
        <w:t xml:space="preserve">联系人：胡先生              </w:t>
      </w:r>
    </w:p>
    <w:p w14:paraId="4578C0EF">
      <w:pPr>
        <w:keepNext w:val="0"/>
        <w:keepLines w:val="0"/>
        <w:widowControl/>
        <w:suppressLineNumbers w:val="0"/>
        <w:ind w:firstLine="480" w:firstLineChars="200"/>
        <w:jc w:val="left"/>
        <w:rPr>
          <w:rFonts w:hint="eastAsia" w:ascii="宋体" w:hAnsi="宋体" w:eastAsia="宋体" w:cs="宋体"/>
          <w:color w:val="333333"/>
          <w:sz w:val="24"/>
          <w:szCs w:val="24"/>
          <w:shd w:val="clear" w:color="auto" w:fill="FFFFFF"/>
          <w:lang w:val="en-US" w:eastAsia="zh-CN" w:bidi="ar-SA"/>
        </w:rPr>
      </w:pPr>
      <w:r>
        <w:rPr>
          <w:rFonts w:hint="eastAsia" w:ascii="宋体" w:hAnsi="宋体" w:eastAsia="宋体" w:cs="宋体"/>
          <w:color w:val="333333"/>
          <w:sz w:val="24"/>
          <w:szCs w:val="24"/>
          <w:shd w:val="clear" w:color="auto" w:fill="FFFFFF"/>
          <w:lang w:val="en-US" w:eastAsia="zh-CN" w:bidi="ar-SA"/>
        </w:rPr>
        <w:t xml:space="preserve">联系方式：18861960596            </w:t>
      </w:r>
    </w:p>
    <w:p w14:paraId="15C60E20">
      <w:pPr>
        <w:keepNext w:val="0"/>
        <w:keepLines w:val="0"/>
        <w:widowControl/>
        <w:suppressLineNumbers w:val="0"/>
        <w:ind w:firstLine="480" w:firstLineChars="200"/>
        <w:jc w:val="left"/>
        <w:rPr>
          <w:rFonts w:hint="eastAsia" w:ascii="宋体" w:hAnsi="宋体" w:eastAsia="宋体" w:cs="宋体"/>
          <w:color w:val="333333"/>
          <w:sz w:val="24"/>
          <w:szCs w:val="24"/>
          <w:shd w:val="clear" w:color="auto" w:fill="FFFFFF"/>
          <w:lang w:val="en-US" w:eastAsia="zh-CN" w:bidi="ar-SA"/>
        </w:rPr>
      </w:pPr>
      <w:r>
        <w:rPr>
          <w:rFonts w:hint="eastAsia" w:ascii="宋体" w:hAnsi="宋体" w:eastAsia="宋体" w:cs="宋体"/>
          <w:color w:val="333333"/>
          <w:sz w:val="24"/>
          <w:szCs w:val="24"/>
          <w:shd w:val="clear" w:color="auto" w:fill="FFFFFF"/>
          <w:lang w:val="en-US" w:eastAsia="zh-CN" w:bidi="ar-SA"/>
        </w:rPr>
        <w:t>2.采购代理机构信息</w:t>
      </w:r>
    </w:p>
    <w:p w14:paraId="3A15B5BD">
      <w:pPr>
        <w:keepNext w:val="0"/>
        <w:keepLines w:val="0"/>
        <w:widowControl/>
        <w:suppressLineNumbers w:val="0"/>
        <w:ind w:firstLine="480" w:firstLineChars="200"/>
        <w:jc w:val="left"/>
        <w:rPr>
          <w:rFonts w:hint="eastAsia" w:ascii="宋体" w:hAnsi="宋体" w:eastAsia="宋体" w:cs="宋体"/>
          <w:color w:val="333333"/>
          <w:sz w:val="24"/>
          <w:szCs w:val="24"/>
          <w:shd w:val="clear" w:color="auto" w:fill="FFFFFF"/>
          <w:lang w:val="en-US" w:eastAsia="zh-CN" w:bidi="ar-SA"/>
        </w:rPr>
      </w:pPr>
      <w:r>
        <w:rPr>
          <w:rFonts w:hint="eastAsia" w:ascii="宋体" w:hAnsi="宋体" w:eastAsia="宋体" w:cs="宋体"/>
          <w:color w:val="333333"/>
          <w:sz w:val="24"/>
          <w:szCs w:val="24"/>
          <w:shd w:val="clear" w:color="auto" w:fill="FFFFFF"/>
          <w:lang w:val="en-US" w:eastAsia="zh-CN" w:bidi="ar-SA"/>
        </w:rPr>
        <w:t>名 称：江苏炬铭工程项目管理咨询有限公司</w:t>
      </w:r>
    </w:p>
    <w:p w14:paraId="5EAAA303">
      <w:pPr>
        <w:keepNext w:val="0"/>
        <w:keepLines w:val="0"/>
        <w:widowControl/>
        <w:suppressLineNumbers w:val="0"/>
        <w:ind w:firstLine="480" w:firstLineChars="200"/>
        <w:jc w:val="left"/>
        <w:rPr>
          <w:rFonts w:hint="eastAsia" w:ascii="宋体" w:hAnsi="宋体" w:eastAsia="宋体" w:cs="宋体"/>
          <w:color w:val="333333"/>
          <w:sz w:val="24"/>
          <w:szCs w:val="24"/>
          <w:shd w:val="clear" w:color="auto" w:fill="FFFFFF"/>
          <w:lang w:val="en-US" w:eastAsia="zh-CN" w:bidi="ar-SA"/>
        </w:rPr>
      </w:pPr>
      <w:r>
        <w:rPr>
          <w:rFonts w:hint="eastAsia" w:ascii="宋体" w:hAnsi="宋体" w:eastAsia="宋体" w:cs="宋体"/>
          <w:color w:val="333333"/>
          <w:sz w:val="24"/>
          <w:szCs w:val="24"/>
          <w:shd w:val="clear" w:color="auto" w:fill="FFFFFF"/>
          <w:lang w:val="en-US" w:eastAsia="zh-CN" w:bidi="ar-SA"/>
        </w:rPr>
        <w:t>地 址：东台市汇银广场6号楼203室</w:t>
      </w:r>
    </w:p>
    <w:p w14:paraId="51067672">
      <w:pPr>
        <w:keepNext w:val="0"/>
        <w:keepLines w:val="0"/>
        <w:widowControl/>
        <w:suppressLineNumbers w:val="0"/>
        <w:ind w:firstLine="480" w:firstLineChars="200"/>
        <w:jc w:val="left"/>
        <w:rPr>
          <w:rFonts w:hint="eastAsia" w:ascii="宋体" w:hAnsi="宋体" w:eastAsia="宋体" w:cs="宋体"/>
          <w:color w:val="333333"/>
          <w:sz w:val="24"/>
          <w:szCs w:val="24"/>
          <w:shd w:val="clear" w:color="auto" w:fill="FFFFFF"/>
          <w:lang w:val="en-US" w:eastAsia="zh-CN" w:bidi="ar-SA"/>
        </w:rPr>
      </w:pPr>
      <w:r>
        <w:rPr>
          <w:rFonts w:hint="eastAsia" w:ascii="宋体" w:hAnsi="宋体" w:eastAsia="宋体" w:cs="宋体"/>
          <w:color w:val="333333"/>
          <w:sz w:val="24"/>
          <w:szCs w:val="24"/>
          <w:shd w:val="clear" w:color="auto" w:fill="FFFFFF"/>
          <w:lang w:val="en-US" w:eastAsia="zh-CN" w:bidi="ar-SA"/>
        </w:rPr>
        <w:t xml:space="preserve">联系人：吴先生                     </w:t>
      </w:r>
    </w:p>
    <w:p w14:paraId="1448BDD1">
      <w:pPr>
        <w:keepNext w:val="0"/>
        <w:keepLines w:val="0"/>
        <w:widowControl/>
        <w:suppressLineNumbers w:val="0"/>
        <w:ind w:firstLine="480" w:firstLineChars="200"/>
        <w:jc w:val="left"/>
        <w:rPr>
          <w:rFonts w:hint="eastAsia" w:ascii="宋体" w:hAnsi="宋体" w:eastAsia="宋体" w:cs="宋体"/>
          <w:color w:val="333333"/>
          <w:sz w:val="24"/>
          <w:szCs w:val="24"/>
          <w:shd w:val="clear" w:color="auto" w:fill="FFFFFF"/>
          <w:lang w:val="en-US" w:eastAsia="zh-CN" w:bidi="ar-SA"/>
        </w:rPr>
      </w:pPr>
      <w:r>
        <w:rPr>
          <w:rFonts w:hint="eastAsia" w:ascii="宋体" w:hAnsi="宋体" w:eastAsia="宋体" w:cs="宋体"/>
          <w:color w:val="333333"/>
          <w:sz w:val="24"/>
          <w:szCs w:val="24"/>
          <w:shd w:val="clear" w:color="auto" w:fill="FFFFFF"/>
          <w:lang w:val="en-US" w:eastAsia="zh-CN" w:bidi="ar-SA"/>
        </w:rPr>
        <w:t>联系方式：</w:t>
      </w:r>
      <w:bookmarkStart w:id="34" w:name="_Toc28359010"/>
      <w:bookmarkStart w:id="35" w:name="_Toc28359087"/>
      <w:r>
        <w:rPr>
          <w:rFonts w:hint="eastAsia" w:ascii="宋体" w:hAnsi="宋体" w:eastAsia="宋体" w:cs="宋体"/>
          <w:color w:val="333333"/>
          <w:sz w:val="24"/>
          <w:szCs w:val="24"/>
          <w:shd w:val="clear" w:color="auto" w:fill="FFFFFF"/>
          <w:lang w:val="en-US" w:eastAsia="zh-CN" w:bidi="ar-SA"/>
        </w:rPr>
        <w:t>13056184212       </w:t>
      </w:r>
      <w:bookmarkEnd w:id="34"/>
      <w:bookmarkEnd w:id="35"/>
      <w:bookmarkStart w:id="36" w:name="_Toc28359021"/>
    </w:p>
    <w:p w14:paraId="181FBE81">
      <w:pPr>
        <w:keepNext w:val="0"/>
        <w:keepLines w:val="0"/>
        <w:widowControl/>
        <w:suppressLineNumbers w:val="0"/>
        <w:ind w:firstLine="480" w:firstLineChars="200"/>
        <w:jc w:val="left"/>
        <w:rPr>
          <w:rFonts w:hint="eastAsia" w:ascii="宋体" w:hAnsi="宋体" w:eastAsia="宋体" w:cs="宋体"/>
          <w:color w:val="333333"/>
          <w:sz w:val="24"/>
          <w:szCs w:val="24"/>
          <w:shd w:val="clear" w:color="auto" w:fill="FFFFFF"/>
          <w:lang w:val="en-US" w:eastAsia="zh-CN" w:bidi="ar-SA"/>
        </w:rPr>
      </w:pPr>
      <w:r>
        <w:rPr>
          <w:rFonts w:hint="eastAsia" w:ascii="宋体" w:hAnsi="宋体" w:eastAsia="宋体" w:cs="宋体"/>
          <w:color w:val="333333"/>
          <w:sz w:val="24"/>
          <w:szCs w:val="24"/>
          <w:shd w:val="clear" w:color="auto" w:fill="FFFFFF"/>
          <w:lang w:val="en-US" w:eastAsia="zh-CN" w:bidi="ar-SA"/>
        </w:rPr>
        <w:t>3.</w:t>
      </w:r>
      <w:bookmarkEnd w:id="36"/>
      <w:r>
        <w:rPr>
          <w:rFonts w:hint="eastAsia" w:ascii="宋体" w:hAnsi="宋体" w:eastAsia="宋体" w:cs="宋体"/>
          <w:color w:val="333333"/>
          <w:sz w:val="24"/>
          <w:szCs w:val="24"/>
          <w:shd w:val="clear" w:color="auto" w:fill="FFFFFF"/>
          <w:lang w:val="en-US" w:eastAsia="zh-CN" w:bidi="ar-SA"/>
        </w:rPr>
        <w:t>项目联系方式</w:t>
      </w:r>
    </w:p>
    <w:p w14:paraId="6A6932F4">
      <w:pPr>
        <w:keepNext w:val="0"/>
        <w:keepLines w:val="0"/>
        <w:widowControl/>
        <w:suppressLineNumbers w:val="0"/>
        <w:ind w:firstLine="480" w:firstLineChars="200"/>
        <w:jc w:val="left"/>
        <w:rPr>
          <w:rFonts w:hint="eastAsia" w:ascii="宋体" w:hAnsi="宋体" w:eastAsia="宋体" w:cs="宋体"/>
          <w:color w:val="333333"/>
          <w:sz w:val="24"/>
          <w:szCs w:val="24"/>
          <w:shd w:val="clear" w:color="auto" w:fill="FFFFFF"/>
          <w:lang w:val="en-US" w:eastAsia="zh-CN" w:bidi="ar-SA"/>
        </w:rPr>
      </w:pPr>
      <w:r>
        <w:rPr>
          <w:rFonts w:hint="eastAsia" w:ascii="宋体" w:hAnsi="宋体" w:eastAsia="宋体" w:cs="宋体"/>
          <w:color w:val="333333"/>
          <w:sz w:val="24"/>
          <w:szCs w:val="24"/>
          <w:shd w:val="clear" w:color="auto" w:fill="FFFFFF"/>
          <w:lang w:val="en-US" w:eastAsia="zh-CN" w:bidi="ar-SA"/>
        </w:rPr>
        <w:t xml:space="preserve">项目联系人：胡先生              </w:t>
      </w:r>
    </w:p>
    <w:p w14:paraId="6F7E63E8">
      <w:pPr>
        <w:keepNext w:val="0"/>
        <w:keepLines w:val="0"/>
        <w:widowControl/>
        <w:suppressLineNumbers w:val="0"/>
        <w:ind w:firstLine="480" w:firstLineChars="200"/>
        <w:jc w:val="left"/>
        <w:rPr>
          <w:rFonts w:hint="default" w:ascii="宋体" w:hAnsi="宋体" w:eastAsia="宋体" w:cs="宋体"/>
          <w:color w:val="333333"/>
          <w:sz w:val="24"/>
          <w:szCs w:val="24"/>
          <w:shd w:val="clear" w:color="auto" w:fill="FFFFFF"/>
          <w:lang w:val="en-US" w:eastAsia="zh-CN" w:bidi="ar-SA"/>
        </w:rPr>
      </w:pPr>
      <w:r>
        <w:rPr>
          <w:rFonts w:hint="eastAsia" w:ascii="宋体" w:hAnsi="宋体" w:eastAsia="宋体" w:cs="宋体"/>
          <w:color w:val="333333"/>
          <w:sz w:val="24"/>
          <w:szCs w:val="24"/>
          <w:shd w:val="clear" w:color="auto" w:fill="FFFFFF"/>
          <w:lang w:val="en-US" w:eastAsia="zh-CN" w:bidi="ar-SA"/>
        </w:rPr>
        <w:t>联系方式：18861960596 </w:t>
      </w:r>
    </w:p>
    <w:p w14:paraId="2CEFCD0D">
      <w:pPr>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D80FD0B">
      <w:pPr>
        <w:pStyle w:val="11"/>
        <w:spacing w:beforeAutospacing="0" w:afterAutospacing="0"/>
        <w:ind w:right="840"/>
        <w:jc w:val="both"/>
        <w:rPr>
          <w:highlight w:val="none"/>
        </w:rPr>
      </w:pPr>
      <w:r>
        <w:rPr>
          <w:rFonts w:hint="eastAsia" w:ascii="宋体" w:hAnsi="宋体" w:eastAsia="宋体" w:cs="宋体"/>
          <w:color w:val="000000"/>
          <w:sz w:val="24"/>
          <w:szCs w:val="24"/>
          <w:highlight w:val="none"/>
        </w:rPr>
        <w:br w:type="page"/>
      </w:r>
    </w:p>
    <w:p w14:paraId="01CD31E3">
      <w:pPr>
        <w:pStyle w:val="11"/>
        <w:keepNext/>
        <w:keepLines/>
        <w:pageBreakBefore w:val="0"/>
        <w:widowControl w:val="0"/>
        <w:kinsoku/>
        <w:wordWrap/>
        <w:overflowPunct/>
        <w:topLinePunct w:val="0"/>
        <w:autoSpaceDE/>
        <w:autoSpaceDN/>
        <w:bidi w:val="0"/>
        <w:adjustRightInd/>
        <w:snapToGrid/>
        <w:spacing w:beforeAutospacing="0" w:afterAutospacing="0" w:line="416" w:lineRule="auto"/>
        <w:jc w:val="center"/>
        <w:textAlignment w:val="auto"/>
        <w:outlineLvl w:val="0"/>
        <w:rPr>
          <w:highlight w:val="none"/>
        </w:rPr>
      </w:pPr>
      <w:bookmarkStart w:id="37" w:name="_Toc120614211"/>
      <w:bookmarkStart w:id="38" w:name="_Toc26954"/>
      <w:r>
        <w:rPr>
          <w:rFonts w:hint="eastAsia" w:ascii="黑体" w:hAnsi="宋体" w:eastAsia="黑体" w:cs="黑体"/>
          <w:b/>
          <w:color w:val="000000"/>
          <w:sz w:val="44"/>
          <w:szCs w:val="44"/>
          <w:highlight w:val="none"/>
        </w:rPr>
        <w:t>第二章 </w:t>
      </w:r>
      <w:bookmarkEnd w:id="37"/>
      <w:bookmarkStart w:id="39" w:name="_Toc20823274"/>
      <w:bookmarkStart w:id="40" w:name="_Toc16938518"/>
      <w:bookmarkStart w:id="41" w:name="_Toc120614213"/>
      <w:bookmarkStart w:id="42" w:name="_Toc513029202"/>
      <w:r>
        <w:rPr>
          <w:rFonts w:hint="eastAsia" w:ascii="黑体" w:hAnsi="宋体" w:eastAsia="黑体" w:cs="黑体"/>
          <w:b/>
          <w:color w:val="000000"/>
          <w:sz w:val="44"/>
          <w:szCs w:val="44"/>
          <w:highlight w:val="none"/>
        </w:rPr>
        <w:t>投标人须知</w:t>
      </w:r>
      <w:bookmarkEnd w:id="38"/>
      <w:bookmarkEnd w:id="39"/>
      <w:bookmarkEnd w:id="40"/>
      <w:bookmarkEnd w:id="41"/>
      <w:bookmarkEnd w:id="42"/>
    </w:p>
    <w:p w14:paraId="68A3D7D9">
      <w:pPr>
        <w:pStyle w:val="11"/>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43" w:name="_Toc120614214"/>
      <w:bookmarkStart w:id="44" w:name="_Toc16938519"/>
      <w:bookmarkStart w:id="45" w:name="_Toc513029203"/>
      <w:bookmarkStart w:id="46" w:name="_Toc20823275"/>
      <w:bookmarkStart w:id="47" w:name="_Hlt26954846"/>
      <w:bookmarkStart w:id="48" w:name="_Hlt26954848"/>
      <w:bookmarkStart w:id="49" w:name="_Hlt26954850"/>
      <w:bookmarkStart w:id="50" w:name="_Hlt26954840"/>
      <w:bookmarkStart w:id="51" w:name="_Hlt26954842"/>
      <w:bookmarkStart w:id="52" w:name="_Hlt26670373"/>
      <w:bookmarkStart w:id="53" w:name="_Hlt26670403"/>
      <w:bookmarkStart w:id="54" w:name="_Hlt26668983"/>
      <w:bookmarkStart w:id="55" w:name="_Hlt26954852"/>
      <w:bookmarkStart w:id="56" w:name="_Hlt26670486"/>
      <w:bookmarkStart w:id="57" w:name="_Hlt26670399"/>
      <w:bookmarkStart w:id="58" w:name="_Hlt26668975"/>
      <w:bookmarkStart w:id="59" w:name="_Hlt26670360"/>
      <w:bookmarkStart w:id="60" w:name="_Hlt26954838"/>
      <w:bookmarkStart w:id="61" w:name="_Toc513029226"/>
      <w:bookmarkStart w:id="62" w:name="_Hlt26670482"/>
      <w:bookmarkStart w:id="63" w:name="_Hlt26954739"/>
      <w:bookmarkStart w:id="64" w:name="_Hlt26954731"/>
      <w:bookmarkStart w:id="65" w:name="_Hlt26954734"/>
      <w:bookmarkStart w:id="66" w:name="_Hlt16619475"/>
      <w:bookmarkStart w:id="67" w:name="_Hlt26954844"/>
      <w:bookmarkStart w:id="68" w:name="_Hlt26670489"/>
      <w:bookmarkStart w:id="69" w:name="_Hlt26670425"/>
      <w:r>
        <w:rPr>
          <w:rFonts w:hint="eastAsia" w:ascii="宋体" w:hAnsi="宋体" w:eastAsia="宋体" w:cs="宋体"/>
          <w:b/>
          <w:color w:val="000000"/>
          <w:sz w:val="24"/>
          <w:szCs w:val="24"/>
          <w:highlight w:val="none"/>
        </w:rPr>
        <w:t>一、总则</w:t>
      </w:r>
      <w:bookmarkEnd w:id="43"/>
      <w:bookmarkEnd w:id="44"/>
      <w:bookmarkEnd w:id="45"/>
      <w:bookmarkEnd w:id="46"/>
    </w:p>
    <w:p w14:paraId="79AB4005">
      <w:pPr>
        <w:pStyle w:val="11"/>
        <w:keepNext/>
        <w:keepLines/>
        <w:spacing w:beforeAutospacing="0" w:afterAutospacing="0"/>
        <w:ind w:firstLine="420"/>
        <w:jc w:val="both"/>
        <w:rPr>
          <w:rFonts w:hint="eastAsia" w:ascii="宋体" w:hAnsi="宋体" w:eastAsia="宋体" w:cs="宋体"/>
          <w:color w:val="000000"/>
          <w:sz w:val="24"/>
          <w:szCs w:val="24"/>
          <w:highlight w:val="none"/>
        </w:rPr>
      </w:pPr>
      <w:bookmarkStart w:id="70" w:name="_Toc16938520"/>
      <w:bookmarkStart w:id="71" w:name="_Toc20823276"/>
      <w:bookmarkStart w:id="72" w:name="_Toc458694821"/>
      <w:bookmarkStart w:id="73" w:name="_Toc513029204"/>
      <w:r>
        <w:rPr>
          <w:rFonts w:hint="eastAsia" w:ascii="宋体" w:hAnsi="宋体" w:eastAsia="宋体" w:cs="宋体"/>
          <w:color w:val="000000"/>
          <w:sz w:val="24"/>
          <w:szCs w:val="24"/>
          <w:highlight w:val="none"/>
        </w:rPr>
        <w:t>1</w:t>
      </w:r>
      <w:bookmarkEnd w:id="70"/>
      <w:r>
        <w:rPr>
          <w:rFonts w:hint="eastAsia" w:ascii="宋体" w:hAnsi="宋体" w:eastAsia="宋体" w:cs="宋体"/>
          <w:color w:val="000000"/>
          <w:sz w:val="24"/>
          <w:szCs w:val="24"/>
          <w:highlight w:val="none"/>
        </w:rPr>
        <w:t>、招标方式</w:t>
      </w:r>
      <w:bookmarkEnd w:id="71"/>
      <w:bookmarkEnd w:id="72"/>
      <w:bookmarkEnd w:id="73"/>
    </w:p>
    <w:p w14:paraId="7B44E71D">
      <w:pPr>
        <w:pStyle w:val="11"/>
        <w:keepNext/>
        <w:keepLines/>
        <w:spacing w:beforeAutospacing="0" w:afterAutospacing="0"/>
        <w:ind w:firstLine="42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1.1本次招标采取公开招标方式，本招标文件仅适用于招标公告中所述项目</w:t>
      </w:r>
      <w:bookmarkStart w:id="74" w:name="_Toc16938521"/>
      <w:bookmarkStart w:id="75" w:name="_Toc513029205"/>
      <w:bookmarkStart w:id="76" w:name="_Toc20823277"/>
    </w:p>
    <w:p w14:paraId="47837A62">
      <w:pPr>
        <w:pStyle w:val="11"/>
        <w:keepNext/>
        <w:keepLines/>
        <w:spacing w:beforeAutospacing="0" w:afterAutospacing="0"/>
        <w:ind w:firstLine="42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2、合格的投标人</w:t>
      </w:r>
      <w:bookmarkEnd w:id="74"/>
      <w:bookmarkEnd w:id="75"/>
      <w:bookmarkEnd w:id="76"/>
    </w:p>
    <w:p w14:paraId="4844FDB3">
      <w:pPr>
        <w:pStyle w:val="11"/>
        <w:keepNext/>
        <w:keepLines/>
        <w:spacing w:beforeAutospacing="0" w:afterAutospacing="0"/>
        <w:ind w:firstLine="42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2.1满足招标公告中供应商的资格要求的规定。</w:t>
      </w:r>
    </w:p>
    <w:p w14:paraId="72A173A6">
      <w:pPr>
        <w:pStyle w:val="11"/>
        <w:keepNext/>
        <w:keepLines/>
        <w:spacing w:beforeAutospacing="0" w:afterAutospacing="0"/>
        <w:ind w:firstLine="42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2.2满足本文件实质性要求和条件的规定。</w:t>
      </w:r>
      <w:bookmarkStart w:id="77" w:name="_Toc513029206"/>
      <w:bookmarkStart w:id="78" w:name="_Toc20823278"/>
      <w:bookmarkStart w:id="79" w:name="_Toc16938522"/>
      <w:bookmarkStart w:id="80" w:name="_Toc513029207"/>
      <w:bookmarkStart w:id="81" w:name="_Toc20823279"/>
      <w:bookmarkStart w:id="82" w:name="_Toc462564067"/>
      <w:bookmarkStart w:id="83" w:name="_Toc16938523"/>
    </w:p>
    <w:p w14:paraId="6E09CAA9">
      <w:pPr>
        <w:pStyle w:val="11"/>
        <w:keepNext/>
        <w:keepLines/>
        <w:spacing w:beforeAutospacing="0" w:afterAutospacing="0"/>
        <w:ind w:firstLine="420"/>
        <w:jc w:val="both"/>
        <w:rPr>
          <w:rFonts w:hint="eastAsia" w:ascii="方正魏碑_GBK" w:hAnsi="方正魏碑_GBK" w:eastAsia="方正魏碑_GBK" w:cs="方正魏碑_GBK"/>
          <w:color w:val="auto"/>
          <w:sz w:val="24"/>
          <w:szCs w:val="21"/>
        </w:rPr>
      </w:pPr>
      <w:r>
        <w:rPr>
          <w:rFonts w:hint="eastAsia" w:ascii="方正魏碑_GBK" w:hAnsi="方正魏碑_GBK" w:eastAsia="方正魏碑_GBK" w:cs="方正魏碑_GBK"/>
          <w:color w:val="auto"/>
          <w:sz w:val="24"/>
          <w:szCs w:val="21"/>
        </w:rPr>
        <w:t>3、适用法律</w:t>
      </w:r>
      <w:bookmarkEnd w:id="77"/>
      <w:bookmarkEnd w:id="78"/>
      <w:bookmarkEnd w:id="79"/>
      <w:r>
        <w:rPr>
          <w:rFonts w:hint="eastAsia" w:ascii="方正魏碑_GBK" w:hAnsi="方正魏碑_GBK" w:eastAsia="方正魏碑_GBK" w:cs="方正魏碑_GBK"/>
          <w:color w:val="auto"/>
          <w:sz w:val="24"/>
          <w:szCs w:val="21"/>
        </w:rPr>
        <w:t>和标准</w:t>
      </w:r>
    </w:p>
    <w:p w14:paraId="0E282CA3">
      <w:pPr>
        <w:pStyle w:val="11"/>
        <w:spacing w:beforeAutospacing="0" w:afterAutospacing="0" w:line="0" w:lineRule="atLeast"/>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3.1本次招标及由此产生的合同受中华人民共和国有关的法律法规制约和保护。</w:t>
      </w:r>
    </w:p>
    <w:p w14:paraId="4EDB5D8E">
      <w:pPr>
        <w:pStyle w:val="11"/>
        <w:spacing w:beforeAutospacing="0" w:afterAutospacing="0" w:line="0" w:lineRule="atLeast"/>
        <w:ind w:firstLine="420"/>
        <w:jc w:val="both"/>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3.2在本项目政府采购活动过程中，如果所执行的标准有更新的，按照最新标准执行。</w:t>
      </w:r>
    </w:p>
    <w:p w14:paraId="7273C87F">
      <w:pPr>
        <w:pStyle w:val="11"/>
        <w:keepNext/>
        <w:keepLines/>
        <w:spacing w:beforeAutospacing="0" w:afterAutospacing="0"/>
        <w:ind w:firstLine="42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4、投标费用</w:t>
      </w:r>
      <w:bookmarkEnd w:id="80"/>
      <w:bookmarkEnd w:id="81"/>
      <w:bookmarkEnd w:id="82"/>
      <w:bookmarkEnd w:id="83"/>
    </w:p>
    <w:p w14:paraId="38ABAF7D">
      <w:pPr>
        <w:pStyle w:val="11"/>
        <w:keepNext/>
        <w:keepLines/>
        <w:spacing w:beforeAutospacing="0" w:afterAutospacing="0"/>
        <w:ind w:firstLine="42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4.1投标人应自行承担所有与参加投标有关的费用，无论投标过程中的做法和结果如何，采购人在任何情况下均无义务和责任承担这些费用。</w:t>
      </w:r>
    </w:p>
    <w:p w14:paraId="5D3130BD">
      <w:pPr>
        <w:pStyle w:val="11"/>
        <w:keepNext/>
        <w:keepLines/>
        <w:spacing w:beforeAutospacing="0" w:afterAutospacing="0"/>
        <w:ind w:firstLine="42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4.2本次招标招标采购人及代理机构不收取标书工本费与中标服务费。</w:t>
      </w:r>
    </w:p>
    <w:p w14:paraId="7D24FC2D">
      <w:pPr>
        <w:pStyle w:val="11"/>
        <w:keepNext/>
        <w:keepLines/>
        <w:spacing w:beforeAutospacing="0" w:afterAutospacing="0"/>
        <w:ind w:firstLine="420"/>
        <w:jc w:val="both"/>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5、招标文件的约束力</w:t>
      </w:r>
    </w:p>
    <w:p w14:paraId="429D824A">
      <w:pPr>
        <w:pStyle w:val="11"/>
        <w:keepNext/>
        <w:keepLines/>
        <w:spacing w:beforeAutospacing="0" w:afterAutospacing="0"/>
        <w:ind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5.1投标人一旦参加本项目采购活动，即被认为接受了本招标文件的规定和约束。</w:t>
      </w:r>
    </w:p>
    <w:p w14:paraId="6D536CCD">
      <w:pPr>
        <w:pStyle w:val="11"/>
        <w:keepNext/>
        <w:keepLines/>
        <w:spacing w:before="145" w:beforeAutospacing="0" w:after="145" w:afterAutospacing="0" w:line="360" w:lineRule="auto"/>
        <w:ind w:firstLine="321"/>
        <w:jc w:val="both"/>
        <w:rPr>
          <w:rFonts w:hint="eastAsia" w:ascii="宋体" w:hAnsi="宋体" w:eastAsia="宋体" w:cs="宋体"/>
          <w:sz w:val="24"/>
          <w:szCs w:val="24"/>
          <w:highlight w:val="none"/>
        </w:rPr>
      </w:pPr>
      <w:bookmarkStart w:id="84" w:name="_Toc16938525"/>
      <w:bookmarkStart w:id="85" w:name="_Toc120614215"/>
      <w:bookmarkStart w:id="86" w:name="_Toc513029209"/>
      <w:bookmarkStart w:id="87" w:name="_Toc20823281"/>
      <w:r>
        <w:rPr>
          <w:rFonts w:hint="eastAsia" w:ascii="宋体" w:hAnsi="宋体" w:eastAsia="宋体" w:cs="宋体"/>
          <w:b/>
          <w:color w:val="000000"/>
          <w:sz w:val="24"/>
          <w:szCs w:val="24"/>
          <w:highlight w:val="none"/>
        </w:rPr>
        <w:t>二、招标文件</w:t>
      </w:r>
      <w:bookmarkEnd w:id="84"/>
      <w:bookmarkEnd w:id="85"/>
      <w:bookmarkEnd w:id="86"/>
      <w:bookmarkEnd w:id="87"/>
    </w:p>
    <w:p w14:paraId="6366BBB0">
      <w:pPr>
        <w:pStyle w:val="11"/>
        <w:keepNext/>
        <w:keepLines/>
        <w:spacing w:beforeAutospacing="0" w:afterAutospacing="0"/>
        <w:ind w:firstLine="420"/>
        <w:jc w:val="both"/>
        <w:rPr>
          <w:rFonts w:hint="eastAsia" w:ascii="宋体" w:hAnsi="宋体" w:eastAsia="宋体" w:cs="宋体"/>
          <w:color w:val="000000"/>
          <w:sz w:val="24"/>
          <w:szCs w:val="24"/>
          <w:highlight w:val="none"/>
        </w:rPr>
      </w:pPr>
      <w:bookmarkStart w:id="88" w:name="_Toc16938526"/>
      <w:bookmarkStart w:id="89" w:name="_Toc513029210"/>
      <w:bookmarkStart w:id="90" w:name="_Toc20823282"/>
      <w:r>
        <w:rPr>
          <w:rFonts w:hint="eastAsia" w:ascii="宋体" w:hAnsi="宋体" w:eastAsia="宋体" w:cs="宋体"/>
          <w:color w:val="000000"/>
          <w:sz w:val="24"/>
          <w:szCs w:val="24"/>
          <w:highlight w:val="none"/>
        </w:rPr>
        <w:t>6、招标文件构成</w:t>
      </w:r>
      <w:bookmarkEnd w:id="88"/>
      <w:bookmarkEnd w:id="89"/>
      <w:bookmarkEnd w:id="90"/>
    </w:p>
    <w:p w14:paraId="68FA5957">
      <w:pPr>
        <w:pStyle w:val="11"/>
        <w:keepNext/>
        <w:keepLines/>
        <w:spacing w:beforeAutospacing="0" w:afterAutospacing="0"/>
        <w:ind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6.1招标文件由以下部分组成：</w:t>
      </w:r>
    </w:p>
    <w:p w14:paraId="6631F6BB">
      <w:pPr>
        <w:pStyle w:val="11"/>
        <w:spacing w:beforeAutospacing="0" w:afterAutospacing="0" w:line="0" w:lineRule="atLeast"/>
        <w:ind w:firstLine="360"/>
        <w:jc w:val="both"/>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招标公告</w:t>
      </w:r>
    </w:p>
    <w:p w14:paraId="769673F5">
      <w:pPr>
        <w:pStyle w:val="11"/>
        <w:spacing w:beforeAutospacing="0" w:afterAutospacing="0" w:line="0" w:lineRule="atLeas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（2）投标人须知</w:t>
      </w:r>
    </w:p>
    <w:p w14:paraId="20416B24">
      <w:pPr>
        <w:pStyle w:val="11"/>
        <w:spacing w:beforeAutospacing="0" w:afterAutospacing="0" w:line="0" w:lineRule="atLeas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（3）合同文本</w:t>
      </w:r>
    </w:p>
    <w:p w14:paraId="43E794AC">
      <w:pPr>
        <w:pStyle w:val="11"/>
        <w:spacing w:beforeAutospacing="0" w:afterAutospacing="0" w:line="0" w:lineRule="atLeas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（4）采购需求</w:t>
      </w:r>
    </w:p>
    <w:p w14:paraId="1185C4F6">
      <w:pPr>
        <w:pStyle w:val="11"/>
        <w:spacing w:beforeAutospacing="0" w:afterAutospacing="0"/>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（5）评标方法与评标标准</w:t>
      </w:r>
    </w:p>
    <w:p w14:paraId="48C0C241">
      <w:pPr>
        <w:pStyle w:val="11"/>
        <w:spacing w:beforeAutospacing="0" w:afterAutospacing="0" w:line="0" w:lineRule="atLeast"/>
        <w:ind w:firstLine="36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（6）投标文件格式</w:t>
      </w:r>
    </w:p>
    <w:p w14:paraId="4286C38E">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请仔细检查招标文件是否齐全，如有缺漏请立即与采购人或代理机构联系解决。</w:t>
      </w:r>
    </w:p>
    <w:p w14:paraId="45D21D48">
      <w:pPr>
        <w:pStyle w:val="11"/>
        <w:spacing w:beforeAutospacing="0" w:afterAutospacing="0" w:line="0" w:lineRule="atLeast"/>
        <w:ind w:left="0" w:leftChars="0" w:firstLine="420" w:firstLineChars="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bookmarkStart w:id="91" w:name="_Toc513029211"/>
      <w:bookmarkStart w:id="92" w:name="_Toc20823283"/>
      <w:bookmarkStart w:id="93" w:name="_Toc16938527"/>
      <w:bookmarkStart w:id="94" w:name="_Toc462564070"/>
    </w:p>
    <w:p w14:paraId="1EEC5CFA">
      <w:pPr>
        <w:pStyle w:val="11"/>
        <w:spacing w:beforeAutospacing="0" w:afterAutospacing="0" w:line="0" w:lineRule="atLeast"/>
        <w:ind w:left="0" w:leftChars="0" w:firstLine="420" w:firstLineChars="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7、招标文件的澄清</w:t>
      </w:r>
      <w:bookmarkEnd w:id="91"/>
      <w:bookmarkEnd w:id="92"/>
      <w:bookmarkEnd w:id="93"/>
      <w:bookmarkEnd w:id="94"/>
    </w:p>
    <w:p w14:paraId="30BD8E2A">
      <w:pPr>
        <w:pStyle w:val="11"/>
        <w:spacing w:beforeAutospacing="0" w:afterAutospacing="0" w:line="0" w:lineRule="atLeast"/>
        <w:ind w:left="0" w:leftChars="0" w:firstLine="420" w:firstLineChars="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7.1任何要求对招标文件进行澄清的投标人，应在投标截止期</w:t>
      </w:r>
      <w:r>
        <w:rPr>
          <w:rFonts w:hint="eastAsia" w:ascii="宋体" w:hAnsi="宋体" w:eastAsia="宋体" w:cs="宋体"/>
          <w:b/>
          <w:color w:val="000000"/>
          <w:sz w:val="24"/>
          <w:szCs w:val="24"/>
          <w:highlight w:val="none"/>
        </w:rPr>
        <w:t>十日</w:t>
      </w:r>
      <w:r>
        <w:rPr>
          <w:rFonts w:hint="eastAsia" w:ascii="宋体" w:hAnsi="宋体" w:eastAsia="宋体" w:cs="宋体"/>
          <w:color w:val="000000"/>
          <w:sz w:val="24"/>
          <w:szCs w:val="24"/>
          <w:highlight w:val="none"/>
        </w:rPr>
        <w:t>前按招标公告中的通讯地址，以书面形式通知采购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w:t>
      </w:r>
      <w:bookmarkStart w:id="95" w:name="_Toc20823284"/>
      <w:bookmarkStart w:id="96" w:name="_Toc16938528"/>
      <w:bookmarkStart w:id="97" w:name="_Toc513029212"/>
      <w:bookmarkStart w:id="98" w:name="_Toc462564071"/>
    </w:p>
    <w:p w14:paraId="512C0835">
      <w:pPr>
        <w:pStyle w:val="11"/>
        <w:spacing w:beforeAutospacing="0" w:afterAutospacing="0" w:line="0" w:lineRule="atLeast"/>
        <w:ind w:left="0" w:leftChars="0" w:firstLine="420" w:firstLineChars="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8、招标文件的修改</w:t>
      </w:r>
      <w:bookmarkEnd w:id="95"/>
      <w:bookmarkEnd w:id="96"/>
      <w:bookmarkEnd w:id="97"/>
      <w:bookmarkEnd w:id="98"/>
    </w:p>
    <w:p w14:paraId="29443A1D">
      <w:pPr>
        <w:pStyle w:val="11"/>
        <w:spacing w:beforeAutospacing="0" w:afterAutospacing="0" w:line="0" w:lineRule="atLeast"/>
        <w:ind w:left="0" w:leftChars="0" w:firstLine="420" w:firstLineChars="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8.1在投标截止时间前，采购人可以对招标文件进行修改。</w:t>
      </w:r>
    </w:p>
    <w:p w14:paraId="08838885">
      <w:pPr>
        <w:pStyle w:val="11"/>
        <w:spacing w:beforeAutospacing="0" w:afterAutospacing="0" w:line="0" w:lineRule="atLeast"/>
        <w:ind w:left="0" w:leftChars="0" w:firstLine="420" w:firstLineChars="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8.2采购人有权按照法定的要求推迟投标截止日期和开标日期。</w:t>
      </w:r>
    </w:p>
    <w:p w14:paraId="59A2311D">
      <w:pPr>
        <w:pStyle w:val="11"/>
        <w:spacing w:beforeAutospacing="0" w:afterAutospacing="0" w:line="0" w:lineRule="atLeast"/>
        <w:ind w:left="0" w:leftChars="0" w:firstLine="420" w:firstLineChars="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8.3招标文件的修改将在</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盐城市政府采购网公布，补充文件将作为招标文件的组成部分，并对投标人具有约束力。</w:t>
      </w:r>
    </w:p>
    <w:p w14:paraId="241B5BD1">
      <w:pPr>
        <w:pStyle w:val="11"/>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99" w:name="_Toc20823285"/>
      <w:bookmarkStart w:id="100" w:name="_Toc513029213"/>
      <w:bookmarkStart w:id="101" w:name="_Toc462564072"/>
      <w:bookmarkStart w:id="102" w:name="_Toc120614216"/>
      <w:bookmarkStart w:id="103" w:name="_Toc16938529"/>
      <w:r>
        <w:rPr>
          <w:rFonts w:hint="eastAsia" w:ascii="宋体" w:hAnsi="宋体" w:eastAsia="宋体" w:cs="宋体"/>
          <w:b/>
          <w:color w:val="000000"/>
          <w:sz w:val="24"/>
          <w:szCs w:val="24"/>
          <w:highlight w:val="none"/>
        </w:rPr>
        <w:t>三、投标文件的编制</w:t>
      </w:r>
      <w:bookmarkEnd w:id="99"/>
      <w:bookmarkEnd w:id="100"/>
      <w:bookmarkEnd w:id="101"/>
      <w:bookmarkEnd w:id="102"/>
      <w:bookmarkEnd w:id="103"/>
    </w:p>
    <w:p w14:paraId="43B6CAD6">
      <w:pPr>
        <w:pStyle w:val="11"/>
        <w:keepNext/>
        <w:keepLines/>
        <w:spacing w:beforeAutospacing="0" w:afterAutospacing="0"/>
        <w:ind w:firstLine="480" w:firstLineChars="200"/>
        <w:jc w:val="both"/>
        <w:rPr>
          <w:rFonts w:hint="eastAsia" w:ascii="宋体" w:hAnsi="宋体" w:eastAsia="宋体" w:cs="宋体"/>
          <w:sz w:val="24"/>
          <w:szCs w:val="24"/>
          <w:highlight w:val="none"/>
        </w:rPr>
      </w:pPr>
      <w:bookmarkStart w:id="104" w:name="_Toc462564073"/>
      <w:bookmarkStart w:id="105" w:name="_Toc20823286"/>
      <w:bookmarkStart w:id="106" w:name="_Toc513029214"/>
      <w:bookmarkStart w:id="107" w:name="_Toc16938530"/>
      <w:r>
        <w:rPr>
          <w:rFonts w:hint="eastAsia" w:ascii="宋体" w:hAnsi="宋体" w:eastAsia="宋体" w:cs="宋体"/>
          <w:color w:val="000000"/>
          <w:sz w:val="24"/>
          <w:szCs w:val="24"/>
          <w:highlight w:val="none"/>
        </w:rPr>
        <w:t>9、投标文件的语言及度量衡单位</w:t>
      </w:r>
      <w:bookmarkEnd w:id="104"/>
      <w:bookmarkEnd w:id="105"/>
      <w:bookmarkEnd w:id="106"/>
      <w:bookmarkEnd w:id="107"/>
    </w:p>
    <w:p w14:paraId="06602934">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9.1投标人提交的投标文件以及投标人与采购人就有关投标的所有来往通知、函件和文件均应使用</w:t>
      </w:r>
      <w:r>
        <w:rPr>
          <w:rFonts w:hint="eastAsia" w:ascii="宋体" w:hAnsi="宋体" w:eastAsia="宋体" w:cs="宋体"/>
          <w:b/>
          <w:color w:val="000000"/>
          <w:sz w:val="24"/>
          <w:szCs w:val="24"/>
          <w:highlight w:val="none"/>
        </w:rPr>
        <w:t>简体中文</w:t>
      </w:r>
      <w:r>
        <w:rPr>
          <w:rFonts w:hint="eastAsia" w:ascii="宋体" w:hAnsi="宋体" w:eastAsia="宋体" w:cs="宋体"/>
          <w:color w:val="000000"/>
          <w:sz w:val="24"/>
          <w:szCs w:val="24"/>
          <w:highlight w:val="none"/>
        </w:rPr>
        <w:t>。</w:t>
      </w:r>
    </w:p>
    <w:p w14:paraId="6CD770CC">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9.2除技术性能另有规定外，投标文件所使用的度量衡单位，均须采用国家法定计量单位。</w:t>
      </w:r>
      <w:bookmarkStart w:id="108" w:name="_Toc462564074"/>
      <w:bookmarkStart w:id="109" w:name="_Toc513029215"/>
      <w:bookmarkStart w:id="110" w:name="_Toc20823287"/>
      <w:bookmarkStart w:id="111" w:name="_Toc16938531"/>
    </w:p>
    <w:p w14:paraId="58868786">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10、投标文件构成</w:t>
      </w:r>
      <w:bookmarkEnd w:id="108"/>
      <w:bookmarkEnd w:id="109"/>
      <w:bookmarkEnd w:id="110"/>
      <w:bookmarkEnd w:id="111"/>
    </w:p>
    <w:p w14:paraId="3DC9B585">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10.1投标人编写的投标文件应包括资格证明文件、符合性证明文件、投标分项报价表、技术要求响应及偏离表、商务要求响应及偏离表、其他证明文件、投标函、开标一览表等部分。</w:t>
      </w:r>
    </w:p>
    <w:p w14:paraId="1FA3F65F">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10.2如标书制作工具中格式和内容与</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盐城市政府采购网”发布的招标文件不一致，请以</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盐城市政府采购网”发布的招标文件为准。</w:t>
      </w:r>
      <w:bookmarkStart w:id="112" w:name="_Toc513029219"/>
      <w:bookmarkStart w:id="113" w:name="_Toc14577354"/>
      <w:bookmarkStart w:id="114" w:name="_Toc49090509"/>
      <w:bookmarkStart w:id="115" w:name="_Toc513029216"/>
      <w:bookmarkStart w:id="116" w:name="_Toc49090507"/>
      <w:bookmarkStart w:id="117" w:name="_Toc14577357"/>
    </w:p>
    <w:p w14:paraId="060342F9">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11、证明投标人及投标标的符合招标文件规定的文件</w:t>
      </w:r>
      <w:bookmarkEnd w:id="112"/>
      <w:bookmarkEnd w:id="113"/>
      <w:bookmarkEnd w:id="114"/>
      <w:bookmarkEnd w:id="115"/>
      <w:bookmarkEnd w:id="116"/>
      <w:bookmarkEnd w:id="117"/>
      <w:bookmarkStart w:id="118" w:name="_Toc14577355"/>
      <w:bookmarkStart w:id="119" w:name="_Toc49090508"/>
    </w:p>
    <w:p w14:paraId="21795ED6">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11.1投标人应按照法律、法规、规章和规范性文件以及招标文件要求提交证明文件，证明其及投标标的符合招标文件规定。</w:t>
      </w:r>
      <w:bookmarkEnd w:id="118"/>
      <w:bookmarkEnd w:id="119"/>
    </w:p>
    <w:p w14:paraId="3900357A">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11.2招标文件对证明文件无明确形式要求的，证明文件可以以文字资料、图纸和数据等形式提交。</w:t>
      </w:r>
    </w:p>
    <w:p w14:paraId="51B7ADA5">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12、投标分项报价表</w:t>
      </w:r>
    </w:p>
    <w:p w14:paraId="02ABCB08">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12.1投标人应按照招标文件规定格式填报投标分项报价表。</w:t>
      </w:r>
    </w:p>
    <w:p w14:paraId="099F7198">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12.2投标货币。投标文件中的单价和总价无特殊规定的采用人民币报价，以元为单位标注。招标文件中另有规定的按规定执行。</w:t>
      </w:r>
    </w:p>
    <w:p w14:paraId="13F543F4">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13、技术要求响应及偏离表、商务要求响应及偏离表</w:t>
      </w:r>
    </w:p>
    <w:p w14:paraId="1A934D91">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13.1投标人需对招标文件中的技术要求与商务要求逐项作出响应或偏离，并说明原因。</w:t>
      </w:r>
    </w:p>
    <w:p w14:paraId="0510BC9B">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13.2投标人可在投标文件中提供认为需要的其他技术文件或说明。</w:t>
      </w:r>
      <w:bookmarkStart w:id="120" w:name="_Toc14577359"/>
      <w:bookmarkStart w:id="121" w:name="_Toc49090510"/>
    </w:p>
    <w:p w14:paraId="276D9E7C">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14、投标函和开标一览表</w:t>
      </w:r>
      <w:bookmarkEnd w:id="120"/>
      <w:bookmarkEnd w:id="121"/>
    </w:p>
    <w:p w14:paraId="493EDC6A">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14.1投标人应按照招标文件中提供的格式完整、正确填写投标函、开标一览表。</w:t>
      </w:r>
    </w:p>
    <w:p w14:paraId="7F933B18">
      <w:pPr>
        <w:pStyle w:val="11"/>
        <w:spacing w:beforeAutospacing="0" w:afterAutospacing="0" w:line="0" w:lineRule="atLeast"/>
        <w:ind w:firstLine="480"/>
        <w:jc w:val="both"/>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w:t>
      </w:r>
      <w:bookmarkStart w:id="122" w:name="_Toc49090511"/>
      <w:bookmarkStart w:id="123" w:name="_Toc14577360"/>
    </w:p>
    <w:p w14:paraId="20F59C7C">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15、投标有效期</w:t>
      </w:r>
      <w:bookmarkEnd w:id="122"/>
      <w:bookmarkEnd w:id="123"/>
    </w:p>
    <w:p w14:paraId="39326844">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15.1投标有效期为采购人规定的开标之日后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000000"/>
          <w:sz w:val="24"/>
          <w:szCs w:val="24"/>
          <w:highlight w:val="none"/>
        </w:rPr>
        <w:t>。投标有效期比规定短的将被视为未实质性响应招标文件而予以拒绝。</w:t>
      </w:r>
    </w:p>
    <w:p w14:paraId="0D5DB74C">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16、投标有效期的延长</w:t>
      </w:r>
    </w:p>
    <w:p w14:paraId="17B4A543">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bookmarkStart w:id="124" w:name="_Toc16938540"/>
      <w:bookmarkStart w:id="125" w:name="_Toc20823296"/>
      <w:bookmarkStart w:id="126" w:name="_Toc513029224"/>
      <w:bookmarkStart w:id="127" w:name="_Toc120614217"/>
    </w:p>
    <w:p w14:paraId="57F2E10B">
      <w:pPr>
        <w:pStyle w:val="11"/>
        <w:keepNext/>
        <w:keepLines/>
        <w:spacing w:before="145" w:beforeAutospacing="0" w:after="145" w:afterAutospacing="0" w:line="360" w:lineRule="auto"/>
        <w:ind w:firstLine="482"/>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四、投标文件的递交</w:t>
      </w:r>
      <w:bookmarkEnd w:id="124"/>
      <w:bookmarkEnd w:id="125"/>
      <w:bookmarkEnd w:id="126"/>
      <w:bookmarkEnd w:id="127"/>
      <w:bookmarkStart w:id="128" w:name="_Toc16938541"/>
      <w:bookmarkStart w:id="129" w:name="_Toc20823297"/>
      <w:bookmarkStart w:id="130" w:name="_Toc513029225"/>
      <w:bookmarkStart w:id="131" w:name="_Toc462564084"/>
    </w:p>
    <w:p w14:paraId="44ADEEB7">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17、投标文件</w:t>
      </w:r>
      <w:bookmarkEnd w:id="128"/>
      <w:bookmarkEnd w:id="129"/>
      <w:bookmarkEnd w:id="130"/>
      <w:bookmarkEnd w:id="131"/>
      <w:r>
        <w:rPr>
          <w:rFonts w:hint="eastAsia" w:ascii="宋体" w:hAnsi="宋体" w:eastAsia="宋体" w:cs="宋体"/>
          <w:color w:val="000000"/>
          <w:sz w:val="24"/>
          <w:szCs w:val="24"/>
          <w:highlight w:val="none"/>
        </w:rPr>
        <w:t>的递交</w:t>
      </w:r>
    </w:p>
    <w:p w14:paraId="4A1C152E">
      <w:pPr>
        <w:pStyle w:val="11"/>
        <w:keepNext/>
        <w:keepLines/>
        <w:spacing w:beforeAutospacing="0" w:afterAutospacing="0"/>
        <w:ind w:firstLine="480" w:firstLineChars="2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17.1电子投标文件的递交</w:t>
      </w:r>
    </w:p>
    <w:p w14:paraId="1361DED6">
      <w:pPr>
        <w:pStyle w:val="11"/>
        <w:spacing w:beforeAutospacing="0" w:afterAutospacing="0"/>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投标人应当按照《操作手册》规定，在投标截止时间前制作并上传电子投标文件。</w:t>
      </w:r>
      <w:bookmarkStart w:id="132" w:name="_Toc16938542"/>
      <w:bookmarkEnd w:id="132"/>
      <w:bookmarkStart w:id="133" w:name="_Toc20823298"/>
      <w:bookmarkEnd w:id="133"/>
    </w:p>
    <w:p w14:paraId="3820436F">
      <w:pPr>
        <w:pStyle w:val="11"/>
        <w:spacing w:beforeAutospacing="0" w:afterAutospacing="0"/>
        <w:ind w:firstLine="480" w:firstLineChars="2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18、投标截止时间</w:t>
      </w:r>
    </w:p>
    <w:p w14:paraId="22914B0C">
      <w:pPr>
        <w:pStyle w:val="11"/>
        <w:spacing w:beforeAutospacing="0" w:afterAutospacing="0" w:line="0" w:lineRule="atLeast"/>
        <w:ind w:firstLine="480"/>
        <w:jc w:val="both"/>
        <w:rPr>
          <w:rFonts w:hint="eastAsia" w:ascii="宋体" w:hAnsi="宋体" w:eastAsia="宋体" w:cs="宋体"/>
          <w:i/>
          <w:color w:val="000000"/>
          <w:sz w:val="24"/>
          <w:szCs w:val="24"/>
          <w:highlight w:val="none"/>
          <w:u w:val="single"/>
        </w:rPr>
      </w:pPr>
      <w:r>
        <w:rPr>
          <w:rFonts w:hint="eastAsia" w:ascii="宋体" w:hAnsi="宋体" w:eastAsia="宋体" w:cs="宋体"/>
          <w:i/>
          <w:color w:val="000000"/>
          <w:sz w:val="24"/>
          <w:szCs w:val="24"/>
          <w:highlight w:val="none"/>
          <w:u w:val="single"/>
        </w:rPr>
        <w:t>18.1投标人上传电子投标文件的时间不得迟于招标公告中规定的投标截止时间。</w:t>
      </w:r>
    </w:p>
    <w:p w14:paraId="220C2C53">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投标人应充分考虑到网络环境、网络带宽等风险因素，如因投标人自身原因造成的电子投标文件上传不成功的按照本招标文件第二章第26.1.2条规定做无效投标处理。</w:t>
      </w:r>
    </w:p>
    <w:p w14:paraId="009A00BA">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18.2采购人可以按照规定，通过修改招标文件酌情延长投标截止时间，在此情况下，投标人的所有权利和义务以及投标人受制的截止时间均应以延长后新的截止时间为准。</w:t>
      </w:r>
      <w:bookmarkStart w:id="134" w:name="_Toc513029227"/>
      <w:bookmarkStart w:id="135" w:name="_Toc16938543"/>
      <w:bookmarkStart w:id="136" w:name="_Toc20823299"/>
    </w:p>
    <w:p w14:paraId="7B0FD5D4">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19、投标文件</w:t>
      </w:r>
      <w:bookmarkEnd w:id="134"/>
      <w:bookmarkEnd w:id="135"/>
      <w:bookmarkEnd w:id="136"/>
      <w:r>
        <w:rPr>
          <w:rFonts w:hint="eastAsia" w:ascii="宋体" w:hAnsi="宋体" w:eastAsia="宋体" w:cs="宋体"/>
          <w:color w:val="000000"/>
          <w:sz w:val="24"/>
          <w:szCs w:val="24"/>
          <w:highlight w:val="none"/>
        </w:rPr>
        <w:t>的拒收</w:t>
      </w:r>
    </w:p>
    <w:p w14:paraId="641762D7">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19.1采购人拒绝接收在其规定的投标截止时间后上传的任何投标文件。</w:t>
      </w:r>
      <w:bookmarkStart w:id="137" w:name="_Toc513029228"/>
      <w:bookmarkStart w:id="138" w:name="_Toc16938544"/>
      <w:bookmarkStart w:id="139" w:name="_Toc20823300"/>
    </w:p>
    <w:p w14:paraId="474A3937">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20、投标文件的撤回和修改</w:t>
      </w:r>
      <w:bookmarkEnd w:id="137"/>
      <w:bookmarkEnd w:id="138"/>
      <w:bookmarkEnd w:id="139"/>
    </w:p>
    <w:p w14:paraId="05004D41">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20.1投标文件的撤回</w:t>
      </w:r>
    </w:p>
    <w:p w14:paraId="360C804F">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.1.1电子投标文件的撤回</w:t>
      </w:r>
    </w:p>
    <w:p w14:paraId="348E54ED">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投标人可在投标截止时间前，撤回其电子投标文件，具体操作方法见《操作手册》。</w:t>
      </w:r>
    </w:p>
    <w:p w14:paraId="1039C9D2">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.1.2投标人撤回电子投标文件，则认为其不再参与本项目投标活动。</w:t>
      </w:r>
    </w:p>
    <w:p w14:paraId="678157C5">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20.2投标文件的修改</w:t>
      </w:r>
    </w:p>
    <w:p w14:paraId="28B4299C">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20.2.1投标人可在投标截止时间前，对其电子投标文件进行修改，具体操作方法见《操作手册》。</w:t>
      </w:r>
    </w:p>
    <w:p w14:paraId="31F69462">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20.2.2在投标截止时间之后，投标人不得对其电子投标文件作任何修改。</w:t>
      </w:r>
    </w:p>
    <w:p w14:paraId="5422FDDD">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20.3在投标截止时间至招标文件中规定的投标有效期满之间的这段时间内，投标人不得撤回其投标。</w:t>
      </w:r>
    </w:p>
    <w:p w14:paraId="30913F8F">
      <w:pPr>
        <w:pStyle w:val="11"/>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140" w:name="_Toc20823301"/>
      <w:bookmarkStart w:id="141" w:name="_Toc16938545"/>
      <w:bookmarkStart w:id="142" w:name="_Toc513029229"/>
      <w:bookmarkStart w:id="143" w:name="_Toc120614218"/>
      <w:r>
        <w:rPr>
          <w:rFonts w:hint="eastAsia" w:ascii="宋体" w:hAnsi="宋体" w:eastAsia="宋体" w:cs="宋体"/>
          <w:b/>
          <w:color w:val="000000"/>
          <w:sz w:val="24"/>
          <w:szCs w:val="24"/>
          <w:highlight w:val="none"/>
        </w:rPr>
        <w:t>五、开标与评标</w:t>
      </w:r>
      <w:bookmarkEnd w:id="140"/>
      <w:bookmarkEnd w:id="141"/>
      <w:bookmarkEnd w:id="142"/>
      <w:bookmarkEnd w:id="143"/>
    </w:p>
    <w:p w14:paraId="189F508C">
      <w:pPr>
        <w:pStyle w:val="11"/>
        <w:keepNext/>
        <w:keepLines/>
        <w:spacing w:beforeAutospacing="0" w:afterAutospacing="0"/>
        <w:ind w:firstLine="480" w:firstLineChars="200"/>
        <w:jc w:val="both"/>
        <w:rPr>
          <w:rFonts w:hint="eastAsia" w:ascii="宋体" w:hAnsi="宋体" w:eastAsia="宋体" w:cs="宋体"/>
          <w:color w:val="auto"/>
          <w:sz w:val="24"/>
          <w:szCs w:val="24"/>
          <w:highlight w:val="none"/>
        </w:rPr>
      </w:pPr>
      <w:bookmarkStart w:id="144" w:name="_Toc513029230"/>
      <w:bookmarkStart w:id="145" w:name="_Toc16938546"/>
      <w:bookmarkStart w:id="146" w:name="_Toc20823302"/>
      <w:r>
        <w:rPr>
          <w:rFonts w:hint="eastAsia" w:ascii="宋体" w:hAnsi="宋体" w:eastAsia="宋体" w:cs="宋体"/>
          <w:color w:val="auto"/>
          <w:sz w:val="24"/>
          <w:szCs w:val="24"/>
          <w:highlight w:val="none"/>
        </w:rPr>
        <w:t>21、开标</w:t>
      </w:r>
      <w:bookmarkEnd w:id="144"/>
      <w:bookmarkEnd w:id="145"/>
      <w:bookmarkEnd w:id="146"/>
    </w:p>
    <w:p w14:paraId="6FE614B7">
      <w:pPr>
        <w:pStyle w:val="11"/>
        <w:keepNext/>
        <w:keepLines/>
        <w:spacing w:beforeAutospacing="0" w:afterAutospacing="0"/>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21.1采购人将在招标公告中规定的时间和地点组织公开开标。投标人应当按照《操作手册》规定，参加开标活动和在苏采云系统规定的时间内对投标文件进行解密。</w:t>
      </w:r>
    </w:p>
    <w:p w14:paraId="4FDF7671">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21.2开标仪式由采购人或代理机构组织。苏采云系统将自动对项目进行开标，并宣布各投标人名称和投标价格。</w:t>
      </w:r>
    </w:p>
    <w:p w14:paraId="58322E8F">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21.3投标人在开标过程中涉及到的投标文件解密、开标结果确认等工作，应按照《操作手册》规定执行。</w:t>
      </w:r>
    </w:p>
    <w:p w14:paraId="7D2EC27C">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21.4投标人如果对开标过程和开标记录有疑义，应当根据《操作手册》规定提出，如苏采云系统中《开标记录表》宣布后5分钟内未提出的，视同认可开标结果。</w:t>
      </w:r>
      <w:bookmarkStart w:id="147" w:name="_Toc16938547"/>
      <w:bookmarkStart w:id="148" w:name="_Toc20823303"/>
      <w:bookmarkStart w:id="149" w:name="_Toc513029231"/>
    </w:p>
    <w:p w14:paraId="3A0323AC">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22、评标委员会</w:t>
      </w:r>
      <w:bookmarkEnd w:id="147"/>
      <w:bookmarkEnd w:id="148"/>
      <w:bookmarkEnd w:id="149"/>
    </w:p>
    <w:p w14:paraId="530B4879">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22.1开标后，采购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将立即组织评标委员会（以下简称评委会）进行评标。</w:t>
      </w:r>
    </w:p>
    <w:p w14:paraId="165B0962">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22.2评委会由采购人代表和有关技术、经济等方面的专家组成，且人员构成符合政府采购有关规定。</w:t>
      </w:r>
    </w:p>
    <w:p w14:paraId="28F84128">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22.3评委会独立工作，负责评审所有投标文件并确定中标</w:t>
      </w:r>
      <w:r>
        <w:rPr>
          <w:rFonts w:hint="eastAsia" w:ascii="宋体" w:hAnsi="宋体" w:eastAsia="宋体" w:cs="宋体"/>
          <w:color w:val="000000"/>
          <w:sz w:val="24"/>
          <w:szCs w:val="24"/>
          <w:highlight w:val="none"/>
          <w:lang w:eastAsia="zh-CN"/>
        </w:rPr>
        <w:t>候选人</w:t>
      </w:r>
      <w:r>
        <w:rPr>
          <w:rFonts w:hint="eastAsia" w:ascii="宋体" w:hAnsi="宋体" w:eastAsia="宋体" w:cs="宋体"/>
          <w:color w:val="000000"/>
          <w:sz w:val="24"/>
          <w:szCs w:val="24"/>
          <w:highlight w:val="none"/>
        </w:rPr>
        <w:t>。</w:t>
      </w:r>
    </w:p>
    <w:p w14:paraId="275CEAB5">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23、评标过程的保密与公正</w:t>
      </w:r>
    </w:p>
    <w:p w14:paraId="725A90B5">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23.1凡是与审查、澄清、评价和比较投标的有关资料以及授标建议等，采购人、评委、代理机构均不得向投标人或与评标无关的其他人员透露。</w:t>
      </w:r>
    </w:p>
    <w:p w14:paraId="6966FB77">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23.2在评标过程中，投标人不得以任何行为影响评标过程，否则其投标文件将被作为无效投标文件。</w:t>
      </w:r>
    </w:p>
    <w:p w14:paraId="13623EE2">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23.</w:t>
      </w:r>
      <w:r>
        <w:rPr>
          <w:rFonts w:hint="eastAsia" w:ascii="宋体" w:hAnsi="宋体" w:eastAsia="宋体" w:cs="宋体"/>
          <w:color w:val="auto"/>
          <w:sz w:val="24"/>
          <w:szCs w:val="24"/>
          <w:highlight w:val="none"/>
        </w:rPr>
        <w:t>3采购人、代理机构和评标委员会不向未中标的投标人解释未中标原因，也不公布评标过程中的相关细节。</w:t>
      </w:r>
    </w:p>
    <w:p w14:paraId="03A2D029">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23.4采用综合评分法的项目，未中标的</w:t>
      </w:r>
      <w:r>
        <w:rPr>
          <w:rFonts w:hint="eastAsia" w:ascii="宋体" w:hAnsi="宋体" w:eastAsia="宋体" w:cs="宋体"/>
          <w:color w:val="000000"/>
          <w:sz w:val="24"/>
          <w:szCs w:val="24"/>
          <w:highlight w:val="none"/>
        </w:rPr>
        <w:t>投标人可于中标结果公告期限届满之日起通过苏采云系统查看自己的评审得分及排序情况。</w:t>
      </w:r>
      <w:bookmarkStart w:id="150" w:name="_Toc20823304"/>
      <w:bookmarkStart w:id="151" w:name="_Toc16938548"/>
      <w:bookmarkStart w:id="152" w:name="_Toc513029232"/>
    </w:p>
    <w:p w14:paraId="221AFF9E">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24、投标文件的澄清</w:t>
      </w:r>
      <w:bookmarkEnd w:id="150"/>
      <w:bookmarkEnd w:id="151"/>
      <w:bookmarkEnd w:id="152"/>
    </w:p>
    <w:p w14:paraId="4566104F">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24.1评标期间，评委会对投标文件中含义不明确、同类问题表述不一致或者有明显文字和计算错误的内容 ，有权要求投标人作出必要的澄清、说明或者补正。</w:t>
      </w:r>
    </w:p>
    <w:p w14:paraId="15378F68">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投标人的澄清、说明或者补正不得超出投标文件的范围或者改变投标文件的实质性内容。</w:t>
      </w:r>
    </w:p>
    <w:p w14:paraId="24E64A6F">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087E1550">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投标文件的补充部分，具体操作方式见《操作手册》。</w:t>
      </w:r>
    </w:p>
    <w:p w14:paraId="1AE077FF">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24.3接到评委会澄清、说明和补正要求的投标人如未按规定</w:t>
      </w:r>
      <w:r>
        <w:rPr>
          <w:rFonts w:hint="eastAsia" w:ascii="宋体" w:hAnsi="宋体" w:eastAsia="宋体" w:cs="宋体"/>
          <w:color w:val="000000"/>
          <w:sz w:val="24"/>
          <w:szCs w:val="24"/>
          <w:highlight w:val="none"/>
          <w:lang w:eastAsia="zh-CN"/>
        </w:rPr>
        <w:t>作出</w:t>
      </w:r>
      <w:r>
        <w:rPr>
          <w:rFonts w:hint="eastAsia" w:ascii="宋体" w:hAnsi="宋体" w:eastAsia="宋体" w:cs="宋体"/>
          <w:color w:val="000000"/>
          <w:sz w:val="24"/>
          <w:szCs w:val="24"/>
          <w:highlight w:val="none"/>
        </w:rPr>
        <w:t>澄清、说明和补正，其风险由投标人自行承担。</w:t>
      </w:r>
      <w:bookmarkStart w:id="153" w:name="_Toc513029233"/>
      <w:bookmarkStart w:id="154" w:name="_Toc20823305"/>
      <w:bookmarkStart w:id="155" w:name="_Toc16938549"/>
    </w:p>
    <w:p w14:paraId="6D7E8818">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25、对投标文件的初审</w:t>
      </w:r>
      <w:bookmarkEnd w:id="153"/>
      <w:bookmarkEnd w:id="154"/>
      <w:bookmarkEnd w:id="155"/>
    </w:p>
    <w:p w14:paraId="0E5EBF0A">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25.1投标文件初审分为资格审查和符合性审查。</w:t>
      </w:r>
    </w:p>
    <w:p w14:paraId="53522D4D">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25.1.1资格审查：依据法律法规和招标文件的规定，由采购人对投标文件中的资格证明文件进行审查。资格审查的结论，采购人以书面形式向评委会进行反馈。</w:t>
      </w:r>
    </w:p>
    <w:p w14:paraId="4E1545D2">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采购人在进行资格性审查的同时，将在“信用中国”网站（www.creditchina.gov.cn）查询投标人的信用记录，以确定投标人是否具备投标资格,查询结果留存并归档。</w:t>
      </w:r>
    </w:p>
    <w:p w14:paraId="54AA4C4A">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5A460679">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25.1.2符合性审查：依据招标文件的规定，由评委会从投标文件的有效性、完整性和对招标文件的响应程度进行审查，以确定是否对招标文件的实质性要求作出响应。</w:t>
      </w:r>
    </w:p>
    <w:p w14:paraId="6012F984">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25.1.3未通过资格审查或符合性审查的投标人，代理机构将在苏采云系统中告知未通过资格审查或符合性审查的原因，评标结束后，代理机构将不再告知未通过资格审查和符合性审查的原因</w:t>
      </w:r>
      <w:r>
        <w:rPr>
          <w:rFonts w:hint="eastAsia" w:ascii="宋体" w:hAnsi="宋体" w:eastAsia="宋体" w:cs="宋体"/>
          <w:color w:val="000000"/>
          <w:sz w:val="24"/>
          <w:szCs w:val="24"/>
          <w:highlight w:val="none"/>
        </w:rPr>
        <w:t>。</w:t>
      </w:r>
    </w:p>
    <w:p w14:paraId="3DE5CA2C">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62B122C6">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C3EB451">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25.4评委会将对确定为实质性响应的投标进行进一步审核，确定其是否有计算上或累加上的算术错误，修正错误的原则如下：</w:t>
      </w:r>
    </w:p>
    <w:p w14:paraId="56477956">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（1）投标文件中开标一览表内容与投标文件中相应内容不一致的，以开标一览表为准。</w:t>
      </w:r>
    </w:p>
    <w:p w14:paraId="510B8FA3">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（2）大写金额和小写金额不一致的，以大写金额为准。</w:t>
      </w:r>
    </w:p>
    <w:p w14:paraId="6170E35E">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（3）单价金额小数点或者百分比有明显错位的，以开标一览表的总价为准，并修改单价。</w:t>
      </w:r>
    </w:p>
    <w:p w14:paraId="0917B20A">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（4）总价金额与按单价汇总金额不一致的，以单价金额计算结果为准。</w:t>
      </w:r>
    </w:p>
    <w:p w14:paraId="21A16DA2">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55364FAE">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25.5评委会将按上述修正错误的方法调整投标文件中的投标报价，并通过苏采云系统告知投标人，调整后的价格应对投标人具有约束力。如果投标人不接受修正后的价格，则其投标将被拒绝。</w:t>
      </w:r>
      <w:bookmarkStart w:id="156" w:name="_Toc20823306"/>
      <w:bookmarkStart w:id="157" w:name="_Toc16938550"/>
      <w:bookmarkStart w:id="158" w:name="_Toc513029234"/>
    </w:p>
    <w:p w14:paraId="2D7F64B9">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25.6投标人在开、评标全过程中应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，及时登录苏采云系统查阅、答复相关信息，并安排专人与采购人及评标委员会联系。</w:t>
      </w:r>
      <w:bookmarkEnd w:id="156"/>
      <w:bookmarkEnd w:id="157"/>
      <w:bookmarkEnd w:id="158"/>
    </w:p>
    <w:p w14:paraId="560568CD">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26、无效投标条款和废标条款</w:t>
      </w:r>
    </w:p>
    <w:p w14:paraId="1423C552">
      <w:pPr>
        <w:pStyle w:val="11"/>
        <w:spacing w:beforeAutospacing="0" w:afterAutospacing="0" w:line="0" w:lineRule="atLeast"/>
        <w:ind w:left="479"/>
        <w:jc w:val="both"/>
        <w:rPr>
          <w:rFonts w:hint="eastAsia" w:ascii="宋体" w:hAnsi="宋体" w:eastAsia="宋体" w:cs="宋体"/>
          <w:color w:val="auto"/>
          <w:sz w:val="24"/>
          <w:szCs w:val="24"/>
          <w:highlight w:val="none"/>
        </w:rPr>
      </w:pPr>
      <w:bookmarkStart w:id="159" w:name="_Toc16938551"/>
      <w:bookmarkStart w:id="160" w:name="_Toc20823307"/>
      <w:bookmarkStart w:id="161" w:name="_Toc513029235"/>
      <w:r>
        <w:rPr>
          <w:rFonts w:hint="eastAsia" w:ascii="宋体" w:hAnsi="宋体" w:eastAsia="宋体" w:cs="宋体"/>
          <w:color w:val="auto"/>
          <w:sz w:val="24"/>
          <w:szCs w:val="24"/>
          <w:highlight w:val="none"/>
        </w:rPr>
        <w:t>26.1无效投标条款</w:t>
      </w:r>
      <w:bookmarkEnd w:id="159"/>
      <w:bookmarkEnd w:id="160"/>
      <w:bookmarkEnd w:id="161"/>
    </w:p>
    <w:p w14:paraId="2636CB70">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26.1.1投标人在苏采云系统规定的时间内未成功解密电子投标文件的。</w:t>
      </w:r>
    </w:p>
    <w:p w14:paraId="70C873B9">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26.1.2投标人未按照招标文件要求上传电子投标文件的。</w:t>
      </w:r>
    </w:p>
    <w:p w14:paraId="6ACF8D71">
      <w:pPr>
        <w:pStyle w:val="11"/>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26.1.3同一投标人提交两个（含两个）以上不同的投标报价的。</w:t>
      </w:r>
    </w:p>
    <w:p w14:paraId="6E7871B1">
      <w:pPr>
        <w:pStyle w:val="11"/>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26.1.4投标人不具备招标文件中规定资格要求的。</w:t>
      </w:r>
    </w:p>
    <w:p w14:paraId="62C4A7D7">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26.1.5投标人的报价超过了采购预算或最高限价的。</w:t>
      </w:r>
    </w:p>
    <w:p w14:paraId="40F572DD">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26.1.6未通过符合性审查的。</w:t>
      </w:r>
    </w:p>
    <w:p w14:paraId="0A80DF49">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26.1.7不符合招标文件中规定的实质性要求和条件的（</w:t>
      </w:r>
      <w:r>
        <w:rPr>
          <w:rFonts w:hint="eastAsia" w:ascii="宋体" w:hAnsi="宋体" w:eastAsia="宋体" w:cs="宋体"/>
          <w:i/>
          <w:color w:val="000000"/>
          <w:sz w:val="24"/>
          <w:szCs w:val="24"/>
          <w:highlight w:val="none"/>
          <w:u w:val="single"/>
        </w:rPr>
        <w:t>本招标文件中斜体且有下划线部分为实质性要求和条件）。</w:t>
      </w:r>
    </w:p>
    <w:p w14:paraId="5C24645E">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B0321FC">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26.1.9投标文件含有采购人不能接受的附加条件的。</w:t>
      </w:r>
    </w:p>
    <w:p w14:paraId="60105C53">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26.1.10</w:t>
      </w:r>
      <w:r>
        <w:rPr>
          <w:rFonts w:hint="eastAsia" w:ascii="宋体" w:hAnsi="宋体" w:eastAsia="宋体" w:cs="宋体"/>
          <w:color w:val="auto"/>
          <w:sz w:val="24"/>
          <w:szCs w:val="24"/>
          <w:highlight w:val="none"/>
        </w:rPr>
        <w:t>投标人不能证明其报价合理性的，评</w:t>
      </w:r>
      <w:r>
        <w:rPr>
          <w:rFonts w:hint="eastAsia" w:ascii="宋体" w:hAnsi="宋体" w:eastAsia="宋体" w:cs="宋体"/>
          <w:color w:val="auto"/>
          <w:sz w:val="24"/>
          <w:szCs w:val="24"/>
          <w:highlight w:val="none"/>
          <w:lang w:val="en-US" w:eastAsia="zh-CN"/>
        </w:rPr>
        <w:t>标</w:t>
      </w:r>
      <w:r>
        <w:rPr>
          <w:rFonts w:hint="eastAsia" w:ascii="宋体" w:hAnsi="宋体" w:eastAsia="宋体" w:cs="宋体"/>
          <w:color w:val="auto"/>
          <w:sz w:val="24"/>
          <w:szCs w:val="24"/>
          <w:highlight w:val="none"/>
        </w:rPr>
        <w:t>委员会应当将其作为无效投标处理。</w:t>
      </w:r>
    </w:p>
    <w:p w14:paraId="48A97BFA">
      <w:pPr>
        <w:pStyle w:val="11"/>
        <w:spacing w:beforeAutospacing="0" w:afterAutospacing="0" w:line="0" w:lineRule="atLeast"/>
        <w:ind w:firstLine="480"/>
        <w:jc w:val="both"/>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（一）评审过程中出现下列情形之一的，评标委员会应当启动异常低价投标审查程序：</w:t>
      </w:r>
    </w:p>
    <w:p w14:paraId="18D8BF2E">
      <w:pPr>
        <w:pStyle w:val="11"/>
        <w:spacing w:beforeAutospacing="0" w:afterAutospacing="0" w:line="0" w:lineRule="atLeast"/>
        <w:ind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2E3A37BC">
      <w:pPr>
        <w:pStyle w:val="11"/>
        <w:spacing w:beforeAutospacing="0" w:afterAutospacing="0" w:line="0" w:lineRule="atLeast"/>
        <w:ind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1D84E505">
      <w:pPr>
        <w:pStyle w:val="11"/>
        <w:spacing w:beforeAutospacing="0" w:afterAutospacing="0" w:line="0" w:lineRule="atLeast"/>
        <w:ind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3.投标（响应）报价低于采购项目最高限价45%的，即投标（响应）报价&lt;采购项目最高限价×45%；</w:t>
      </w:r>
    </w:p>
    <w:p w14:paraId="1037B6CC">
      <w:pPr>
        <w:pStyle w:val="11"/>
        <w:spacing w:beforeAutospacing="0" w:afterAutospacing="0" w:line="0" w:lineRule="atLeast"/>
        <w:ind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4.评审委员会基于专业判断，认为供应商报价过低，有可能影响产品质量或者不能诚信履约的其他情形。</w:t>
      </w:r>
    </w:p>
    <w:p w14:paraId="474316D5">
      <w:pPr>
        <w:pStyle w:val="11"/>
        <w:spacing w:beforeAutospacing="0" w:afterAutospacing="0" w:line="0" w:lineRule="atLeast"/>
        <w:ind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u w:val="single"/>
          <w:lang w:val="en-US" w:eastAsia="zh-CN" w:bidi="ar-SA"/>
        </w:rPr>
        <w:t>提醒：采购人可以结合具体项目实际情况，提高上述第1项至第3项中启动异常低价投标（响应）审查的数值标准，但是最高不得超过65%</w:t>
      </w:r>
      <w:r>
        <w:rPr>
          <w:rFonts w:hint="eastAsia" w:ascii="宋体" w:hAnsi="宋体" w:eastAsia="宋体" w:cs="宋体"/>
          <w:b/>
          <w:bCs/>
          <w:color w:val="auto"/>
          <w:sz w:val="24"/>
          <w:szCs w:val="24"/>
          <w:highlight w:val="none"/>
          <w:lang w:val="en-US" w:eastAsia="zh-CN" w:bidi="ar-SA"/>
        </w:rPr>
        <w:t>。</w:t>
      </w:r>
    </w:p>
    <w:p w14:paraId="5ED75A9D">
      <w:pPr>
        <w:pStyle w:val="11"/>
        <w:spacing w:beforeAutospacing="0" w:afterAutospacing="0" w:line="0" w:lineRule="atLeast"/>
        <w:ind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相关法律法规对供应商报价有规定的，从其规定。</w:t>
      </w:r>
    </w:p>
    <w:p w14:paraId="7872EDF6">
      <w:pPr>
        <w:pStyle w:val="11"/>
        <w:spacing w:beforeAutospacing="0" w:afterAutospacing="0" w:line="0" w:lineRule="atLeast"/>
        <w:ind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7E686AB">
      <w:pPr>
        <w:pStyle w:val="11"/>
        <w:spacing w:beforeAutospacing="0" w:afterAutospacing="0" w:line="0" w:lineRule="atLeast"/>
        <w:ind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993E54D">
      <w:pPr>
        <w:pStyle w:val="11"/>
        <w:spacing w:beforeAutospacing="0" w:afterAutospacing="0" w:line="0" w:lineRule="atLeast"/>
        <w:ind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8FBBEDF">
      <w:pPr>
        <w:pStyle w:val="11"/>
        <w:spacing w:beforeAutospacing="0" w:afterAutospacing="0" w:line="0" w:lineRule="atLeast"/>
        <w:ind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490EEA57">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26.1.11投标文件未按照招标文件要求加盖CA电子公章的。</w:t>
      </w:r>
    </w:p>
    <w:p w14:paraId="0C6BABA5">
      <w:pPr>
        <w:pStyle w:val="11"/>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26.1.12其他法律、法规及本招标文件规定的属无效投标的情形。</w:t>
      </w:r>
    </w:p>
    <w:p w14:paraId="3713EAF7">
      <w:pPr>
        <w:pStyle w:val="11"/>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26.2废标条款</w:t>
      </w:r>
    </w:p>
    <w:p w14:paraId="6CF23D93">
      <w:pPr>
        <w:pStyle w:val="11"/>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26.2.1符合专业条件的供应商或者对招标文件作实质响应的供应商不足三家的。</w:t>
      </w:r>
    </w:p>
    <w:p w14:paraId="29FAFEBB">
      <w:pPr>
        <w:pStyle w:val="11"/>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26.2.2出现影响采购公正的违法、违规行为的。</w:t>
      </w:r>
    </w:p>
    <w:p w14:paraId="6D2F66E6">
      <w:pPr>
        <w:pStyle w:val="11"/>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26.2.3因重大变故，采购任务取消的。</w:t>
      </w:r>
    </w:p>
    <w:p w14:paraId="4658DF24">
      <w:pPr>
        <w:pStyle w:val="11"/>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26.2.4评标委员会认定招标文件存在歧义、重大缺陷导致评审工作无法进行。</w:t>
      </w:r>
    </w:p>
    <w:p w14:paraId="4A491D7F">
      <w:pPr>
        <w:pStyle w:val="11"/>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26.2.5因苏采云系统系统故障原因造成开标不成功的。</w:t>
      </w:r>
    </w:p>
    <w:p w14:paraId="75B951A7">
      <w:pPr>
        <w:pStyle w:val="11"/>
        <w:spacing w:beforeAutospacing="0" w:afterAutospacing="0" w:line="0" w:lineRule="atLeast"/>
        <w:ind w:left="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26.3投标截止时间结束后参加投标的供应商不足三家的处理：</w:t>
      </w:r>
    </w:p>
    <w:p w14:paraId="485C11FA">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26.3.1如出现投标截止时间结束后参加投标的供应商或者在评标期间对招标文件做出实质响应的供应商不足三家情况，按政府采购相关规定执行。</w:t>
      </w:r>
    </w:p>
    <w:p w14:paraId="45E5140F">
      <w:pPr>
        <w:pStyle w:val="11"/>
        <w:keepNext/>
        <w:keepLines/>
        <w:spacing w:before="145" w:beforeAutospacing="0" w:after="145" w:afterAutospacing="0" w:line="360" w:lineRule="auto"/>
        <w:ind w:firstLine="482"/>
        <w:jc w:val="both"/>
        <w:rPr>
          <w:rFonts w:hint="eastAsia" w:ascii="宋体" w:hAnsi="宋体" w:eastAsia="宋体" w:cs="宋体"/>
          <w:b/>
          <w:color w:val="000000"/>
          <w:sz w:val="24"/>
          <w:szCs w:val="24"/>
          <w:highlight w:val="none"/>
        </w:rPr>
      </w:pPr>
      <w:bookmarkStart w:id="162" w:name="_Toc120614219"/>
      <w:r>
        <w:rPr>
          <w:rFonts w:hint="eastAsia" w:ascii="宋体" w:hAnsi="宋体" w:eastAsia="宋体" w:cs="宋体"/>
          <w:b/>
          <w:color w:val="000000"/>
          <w:sz w:val="24"/>
          <w:szCs w:val="24"/>
          <w:highlight w:val="none"/>
        </w:rPr>
        <w:t>六、定标</w:t>
      </w:r>
      <w:bookmarkEnd w:id="162"/>
    </w:p>
    <w:p w14:paraId="685029C1">
      <w:pPr>
        <w:pStyle w:val="11"/>
        <w:keepNext/>
        <w:keepLines/>
        <w:spacing w:beforeAutospacing="0" w:afterAutospacing="0"/>
        <w:ind w:firstLine="480" w:firstLineChars="200"/>
        <w:jc w:val="both"/>
        <w:rPr>
          <w:rFonts w:hint="eastAsia" w:ascii="宋体" w:hAnsi="宋体" w:eastAsia="宋体" w:cs="宋体"/>
          <w:sz w:val="24"/>
          <w:szCs w:val="24"/>
          <w:highlight w:val="none"/>
        </w:rPr>
      </w:pPr>
      <w:bookmarkStart w:id="163" w:name="_Toc20823310"/>
      <w:bookmarkStart w:id="164" w:name="_Toc513029238"/>
      <w:bookmarkStart w:id="165" w:name="_Toc16938554"/>
      <w:r>
        <w:rPr>
          <w:rFonts w:hint="eastAsia" w:ascii="宋体" w:hAnsi="宋体" w:eastAsia="宋体" w:cs="宋体"/>
          <w:color w:val="000000"/>
          <w:sz w:val="24"/>
          <w:szCs w:val="24"/>
          <w:highlight w:val="none"/>
        </w:rPr>
        <w:t>27、</w:t>
      </w:r>
      <w:bookmarkEnd w:id="163"/>
      <w:r>
        <w:rPr>
          <w:rFonts w:hint="eastAsia" w:ascii="宋体" w:hAnsi="宋体" w:eastAsia="宋体" w:cs="宋体"/>
          <w:color w:val="000000"/>
          <w:sz w:val="24"/>
          <w:szCs w:val="24"/>
          <w:highlight w:val="none"/>
        </w:rPr>
        <w:t>确定</w:t>
      </w:r>
      <w:bookmarkEnd w:id="164"/>
      <w:bookmarkEnd w:id="165"/>
      <w:r>
        <w:rPr>
          <w:rFonts w:hint="eastAsia" w:ascii="宋体" w:hAnsi="宋体" w:eastAsia="宋体" w:cs="宋体"/>
          <w:color w:val="000000"/>
          <w:sz w:val="24"/>
          <w:szCs w:val="24"/>
          <w:highlight w:val="none"/>
        </w:rPr>
        <w:t>中标单位</w:t>
      </w:r>
    </w:p>
    <w:p w14:paraId="77FF0949">
      <w:pPr>
        <w:pStyle w:val="11"/>
        <w:spacing w:beforeAutospacing="0" w:afterAutospacing="0" w:line="0" w:lineRule="atLeast"/>
        <w:ind w:firstLine="480"/>
        <w:jc w:val="both"/>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27.1中标候选人的选取原则和数量见招标文件第五章规定。</w:t>
      </w:r>
    </w:p>
    <w:p w14:paraId="231616D0">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27.2采购人应根据评委会推荐的中标候选人确定中标人。</w:t>
      </w:r>
    </w:p>
    <w:p w14:paraId="2076E086">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27.3采购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将在</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盐城市政府采购网”发布中标公告，公告期限为1个工作日。</w:t>
      </w:r>
    </w:p>
    <w:p w14:paraId="5FF18ABA">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27.4若有充分证据证明，中标人出现下列情况之一的，一经查实，将被取消中标资格：</w:t>
      </w:r>
    </w:p>
    <w:p w14:paraId="26B805EA">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27.4.1提供虚假材料谋取中标的。</w:t>
      </w:r>
    </w:p>
    <w:p w14:paraId="56C4A781">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27.4.2向采购人、</w:t>
      </w:r>
      <w:r>
        <w:rPr>
          <w:rFonts w:hint="eastAsia" w:ascii="宋体" w:hAnsi="宋体" w:eastAsia="宋体" w:cs="宋体"/>
          <w:color w:val="000000"/>
          <w:sz w:val="24"/>
          <w:szCs w:val="24"/>
          <w:highlight w:val="none"/>
          <w:lang w:val="en-US" w:eastAsia="zh-CN"/>
        </w:rPr>
        <w:t>代理机构</w:t>
      </w:r>
      <w:r>
        <w:rPr>
          <w:rFonts w:hint="eastAsia" w:ascii="宋体" w:hAnsi="宋体" w:eastAsia="宋体" w:cs="宋体"/>
          <w:color w:val="000000"/>
          <w:sz w:val="24"/>
          <w:szCs w:val="24"/>
          <w:highlight w:val="none"/>
        </w:rPr>
        <w:t>行贿或者提供其他不正当利益的。</w:t>
      </w:r>
    </w:p>
    <w:p w14:paraId="220C4DA5">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27.4.3属于本文件规定的无效条件，但在评标过程中又未被评委会发现的。</w:t>
      </w:r>
    </w:p>
    <w:p w14:paraId="4C01E771">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27.4.4与采购人或者其他供应商恶意串通的。</w:t>
      </w:r>
    </w:p>
    <w:p w14:paraId="469FD90C">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27.4.5采取不正当手段诋毁、排挤其他供应商的。</w:t>
      </w:r>
    </w:p>
    <w:p w14:paraId="30A7B6E2">
      <w:pPr>
        <w:pStyle w:val="11"/>
        <w:spacing w:beforeAutospacing="0" w:afterAutospacing="0" w:line="0" w:lineRule="atLeast"/>
        <w:ind w:firstLine="480"/>
        <w:jc w:val="both"/>
        <w:rPr>
          <w:rFonts w:hint="eastAsia" w:ascii="宋体" w:hAnsi="宋体" w:eastAsia="宋体" w:cs="宋体"/>
          <w:sz w:val="24"/>
          <w:szCs w:val="24"/>
          <w:highlight w:val="none"/>
        </w:rPr>
      </w:pPr>
      <w:bookmarkStart w:id="166" w:name="_Toc200451960"/>
      <w:r>
        <w:rPr>
          <w:rFonts w:hint="eastAsia" w:ascii="宋体" w:hAnsi="宋体" w:eastAsia="宋体" w:cs="宋体"/>
          <w:color w:val="000000"/>
          <w:sz w:val="24"/>
          <w:szCs w:val="24"/>
          <w:highlight w:val="none"/>
        </w:rPr>
        <w:t>27.5有下列情形之一的，视为投标人串通投标，投标无效：</w:t>
      </w:r>
      <w:bookmarkEnd w:id="166"/>
    </w:p>
    <w:p w14:paraId="23A8BB7D">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27.5.1不同投标人的投标文件由同一单位或者个人编制。</w:t>
      </w:r>
    </w:p>
    <w:p w14:paraId="2B372F75">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27.5.2不同投标人委托同一单位或者个人办理投标事宜。</w:t>
      </w:r>
    </w:p>
    <w:p w14:paraId="77FE83CD">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27.5.3不同投标人的投标文件载明的项目管理成员或者联系人员为同一人。</w:t>
      </w:r>
    </w:p>
    <w:p w14:paraId="48D084DE">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27.5.4不同投标人的投标文件异常一致或者投标报价呈规律性差异。</w:t>
      </w:r>
    </w:p>
    <w:p w14:paraId="1BD09230">
      <w:pPr>
        <w:pStyle w:val="11"/>
        <w:spacing w:beforeAutospacing="0" w:afterAutospacing="0" w:line="0" w:lineRule="atLeast"/>
        <w:ind w:firstLine="482"/>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28.质疑处理</w:t>
      </w:r>
    </w:p>
    <w:p w14:paraId="512CA32E">
      <w:pPr>
        <w:pStyle w:val="11"/>
        <w:spacing w:beforeAutospacing="0" w:afterAutospacing="0" w:line="0" w:lineRule="atLeast"/>
        <w:ind w:firstLine="482"/>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28.1提出质疑的供应商应当是参与所质疑项目采购活动的供应商。潜在供应商依法获取其可质疑的招标文件的，可以对招标文件提出质疑。</w:t>
      </w:r>
    </w:p>
    <w:p w14:paraId="44091E7F">
      <w:pPr>
        <w:pStyle w:val="11"/>
        <w:spacing w:beforeAutospacing="0" w:afterAutospacing="0" w:line="0" w:lineRule="atLeast"/>
        <w:ind w:firstLine="482"/>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p>
    <w:p w14:paraId="1523FC90">
      <w:pPr>
        <w:pStyle w:val="11"/>
        <w:spacing w:beforeAutospacing="0" w:afterAutospacing="0" w:line="0" w:lineRule="atLeast"/>
        <w:ind w:firstLine="482"/>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28.2.1对可以质疑的采购文件提出质疑的，为收到采购文件之日或者采购文件公告期限届满之日；</w:t>
      </w:r>
    </w:p>
    <w:p w14:paraId="0834F437">
      <w:pPr>
        <w:pStyle w:val="11"/>
        <w:spacing w:beforeAutospacing="0" w:afterAutospacing="0" w:line="0" w:lineRule="atLeast"/>
        <w:ind w:firstLine="482"/>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28.2.2对采购过程提出质疑的，为各采购程序环节结束之日；</w:t>
      </w:r>
    </w:p>
    <w:p w14:paraId="2867A9A2">
      <w:pPr>
        <w:pStyle w:val="11"/>
        <w:spacing w:beforeAutospacing="0" w:afterAutospacing="0" w:line="0" w:lineRule="atLeast"/>
        <w:ind w:firstLine="482"/>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28.2.3对中标或者成交结果提出质疑的，为中标或者成交结果公告期限届满之日。</w:t>
      </w:r>
    </w:p>
    <w:p w14:paraId="51704B55">
      <w:pPr>
        <w:pStyle w:val="11"/>
        <w:spacing w:beforeAutospacing="0" w:afterAutospacing="0" w:line="0" w:lineRule="atLeast"/>
        <w:ind w:firstLine="482"/>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供应商应当在法定质疑期内一次性提出针对同一采购程序环节的质疑。供应商如在法定期限内对同一采购程序环节提出多次质疑的，采购人将只对供应商第一次质疑作出答复。</w:t>
      </w:r>
    </w:p>
    <w:p w14:paraId="5D046268">
      <w:pPr>
        <w:pStyle w:val="11"/>
        <w:spacing w:beforeAutospacing="0" w:afterAutospacing="0" w:line="0" w:lineRule="atLeast"/>
        <w:ind w:firstLine="482"/>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6FADC3CE">
      <w:pPr>
        <w:pStyle w:val="11"/>
        <w:spacing w:beforeAutospacing="0" w:afterAutospacing="0" w:line="0" w:lineRule="atLeast"/>
        <w:ind w:firstLine="482"/>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负责答复。</w:t>
      </w:r>
    </w:p>
    <w:p w14:paraId="759E33A0">
      <w:pPr>
        <w:pStyle w:val="11"/>
        <w:spacing w:beforeAutospacing="0" w:afterAutospacing="0" w:line="0" w:lineRule="atLeast"/>
        <w:ind w:firstLine="482"/>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sz w:val="24"/>
          <w:szCs w:val="24"/>
          <w:highlight w:val="none"/>
        </w:rPr>
        <w:t>采购人只接收以纸质原件形式送达的质疑，采购人不接受未填写快递运单的快件</w:t>
      </w:r>
      <w:r>
        <w:rPr>
          <w:rFonts w:hint="eastAsia" w:ascii="宋体" w:hAnsi="宋体" w:eastAsia="宋体" w:cs="宋体"/>
          <w:color w:val="000000"/>
          <w:kern w:val="0"/>
          <w:sz w:val="24"/>
          <w:szCs w:val="24"/>
          <w:highlight w:val="none"/>
          <w:lang w:val="en-US" w:eastAsia="zh-CN" w:bidi="ar-SA"/>
        </w:rPr>
        <w:t>。</w:t>
      </w:r>
    </w:p>
    <w:p w14:paraId="528284C8">
      <w:pPr>
        <w:pStyle w:val="11"/>
        <w:spacing w:beforeAutospacing="0" w:afterAutospacing="0" w:line="0" w:lineRule="atLeast"/>
        <w:ind w:firstLine="482"/>
        <w:jc w:val="both"/>
        <w:rPr>
          <w:rFonts w:hint="eastAsia" w:ascii="宋体" w:hAnsi="宋体" w:eastAsia="宋体" w:cs="宋体"/>
          <w:color w:val="000000" w:themeColor="text1"/>
          <w:kern w:val="0"/>
          <w:sz w:val="24"/>
          <w:szCs w:val="24"/>
          <w:highlight w:val="none"/>
          <w:lang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bidi="ar-SA"/>
          <w14:textFill>
            <w14:solidFill>
              <w14:schemeClr w14:val="tx1"/>
            </w14:solidFill>
          </w14:textFill>
        </w:rPr>
        <w:t>质疑受理部门：东台市</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市场监督管理局</w:t>
      </w:r>
    </w:p>
    <w:p w14:paraId="44EDC892">
      <w:pPr>
        <w:pStyle w:val="11"/>
        <w:spacing w:beforeAutospacing="0" w:afterAutospacing="0" w:line="0" w:lineRule="atLeast"/>
        <w:ind w:firstLine="482"/>
        <w:jc w:val="both"/>
        <w:rPr>
          <w:rFonts w:hint="eastAsia" w:ascii="宋体" w:hAnsi="宋体" w:eastAsia="宋体" w:cs="宋体"/>
          <w:color w:val="000000" w:themeColor="text1"/>
          <w:kern w:val="0"/>
          <w:sz w:val="24"/>
          <w:szCs w:val="24"/>
          <w:highlight w:val="none"/>
          <w:lang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bidi="ar-SA"/>
          <w14:textFill>
            <w14:solidFill>
              <w14:schemeClr w14:val="tx1"/>
            </w14:solidFill>
          </w14:textFill>
        </w:rPr>
        <w:t>联系地址：东台市金海中路9号</w:t>
      </w:r>
    </w:p>
    <w:p w14:paraId="57E21EB1">
      <w:pPr>
        <w:pStyle w:val="11"/>
        <w:spacing w:beforeAutospacing="0" w:afterAutospacing="0" w:line="0" w:lineRule="atLeast"/>
        <w:ind w:firstLine="482"/>
        <w:jc w:val="both"/>
        <w:rPr>
          <w:rFonts w:hint="eastAsia" w:ascii="宋体" w:hAnsi="宋体" w:eastAsia="宋体" w:cs="宋体"/>
          <w:color w:val="000000" w:themeColor="text1"/>
          <w:kern w:val="0"/>
          <w:sz w:val="24"/>
          <w:szCs w:val="24"/>
          <w:highlight w:val="none"/>
          <w:lang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bidi="ar-SA"/>
          <w14:textFill>
            <w14:solidFill>
              <w14:schemeClr w14:val="tx1"/>
            </w14:solidFill>
          </w14:textFill>
        </w:rPr>
        <w:t>联系电话：</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胡</w:t>
      </w:r>
      <w:r>
        <w:rPr>
          <w:rFonts w:hint="eastAsia" w:ascii="宋体" w:hAnsi="宋体" w:eastAsia="宋体" w:cs="宋体"/>
          <w:color w:val="000000" w:themeColor="text1"/>
          <w:kern w:val="0"/>
          <w:sz w:val="24"/>
          <w:szCs w:val="24"/>
          <w:highlight w:val="none"/>
          <w:lang w:bidi="ar-SA"/>
          <w14:textFill>
            <w14:solidFill>
              <w14:schemeClr w14:val="tx1"/>
            </w14:solidFill>
          </w14:textFill>
        </w:rPr>
        <w:t>先生</w:t>
      </w:r>
      <w:r>
        <w:rPr>
          <w:rFonts w:hint="default" w:ascii="宋体" w:hAnsi="宋体" w:eastAsia="宋体" w:cs="宋体"/>
          <w:color w:val="000000" w:themeColor="text1"/>
          <w:kern w:val="0"/>
          <w:sz w:val="24"/>
          <w:szCs w:val="24"/>
          <w:highlight w:val="none"/>
          <w:lang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18861960596</w:t>
      </w:r>
    </w:p>
    <w:p w14:paraId="2F231415">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28.5以下情形的质疑不予受理</w:t>
      </w:r>
    </w:p>
    <w:p w14:paraId="3202466D">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28.5.1内容不符合《政府采购质疑和投诉办法》第十二条规定的质疑。</w:t>
      </w:r>
    </w:p>
    <w:p w14:paraId="6F551598">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28.5.2超出政府采购法定期限的质疑。</w:t>
      </w:r>
    </w:p>
    <w:p w14:paraId="06E7682D">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28.5.3以传真、电子邮件等方式递交的非原件形式的质疑。</w:t>
      </w:r>
    </w:p>
    <w:p w14:paraId="44F76D76">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28.5.4未参加投标活动的供应商或在投标活动中自身权益未受到损害的供应商所提出的质疑。</w:t>
      </w:r>
    </w:p>
    <w:p w14:paraId="357D9504">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28.5.5供应商组成联合体参加投标，联合体中任何一方或多方未按要求签字、盖章、加盖公章的质疑。</w:t>
      </w:r>
    </w:p>
    <w:p w14:paraId="7BC4EBDC">
      <w:pPr>
        <w:pStyle w:val="11"/>
        <w:spacing w:beforeAutospacing="0" w:afterAutospacing="0" w:line="0" w:lineRule="atLeast"/>
        <w:ind w:firstLine="468"/>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28.6供应商提出书面质疑必须有理、有据，不得捏造事实、提供虚假材料进行恶意质疑。否则，一经查实，采购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有权依据政府采购的有关规定，报请政府采购监管部门对该供应商进行相应的行政处罚和记录该供应商的失信信息。</w:t>
      </w:r>
    </w:p>
    <w:p w14:paraId="7776D4B2">
      <w:pPr>
        <w:pStyle w:val="11"/>
        <w:spacing w:beforeAutospacing="0" w:afterAutospacing="0" w:line="0" w:lineRule="atLeast"/>
        <w:ind w:firstLine="468"/>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29、中标通知书</w:t>
      </w:r>
    </w:p>
    <w:p w14:paraId="526A2280">
      <w:pPr>
        <w:pStyle w:val="11"/>
        <w:spacing w:beforeAutospacing="0" w:afterAutospacing="0" w:line="0" w:lineRule="atLeast"/>
        <w:ind w:firstLine="468"/>
        <w:jc w:val="both"/>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29.l中标结果确定后，采购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将向中标人发</w:t>
      </w:r>
      <w:r>
        <w:rPr>
          <w:rFonts w:hint="eastAsia" w:ascii="宋体" w:hAnsi="宋体" w:eastAsia="宋体" w:cs="宋体"/>
          <w:color w:val="auto"/>
          <w:sz w:val="24"/>
          <w:szCs w:val="24"/>
          <w:highlight w:val="none"/>
        </w:rPr>
        <w:t>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32194DB">
      <w:pPr>
        <w:pStyle w:val="11"/>
        <w:spacing w:beforeAutospacing="0" w:afterAutospacing="0" w:line="0" w:lineRule="atLeast"/>
        <w:ind w:firstLine="468"/>
        <w:jc w:val="both"/>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w:t>
      </w:r>
      <w:r>
        <w:rPr>
          <w:rFonts w:hint="eastAsia" w:ascii="宋体" w:hAnsi="宋体" w:eastAsia="宋体" w:cs="宋体"/>
          <w:color w:val="000000"/>
          <w:sz w:val="24"/>
          <w:szCs w:val="24"/>
          <w:highlight w:val="none"/>
        </w:rPr>
        <w:t>效力。中标通知书发出后，采购人改变中标结果的，或者中标人放弃中标项目的，应当依法承担法律责任。</w:t>
      </w:r>
      <w:bookmarkStart w:id="167" w:name="_Toc20823308"/>
      <w:bookmarkStart w:id="168" w:name="_Toc513029236"/>
      <w:bookmarkStart w:id="169" w:name="_Toc16938552"/>
      <w:bookmarkStart w:id="170" w:name="_Toc120614220"/>
    </w:p>
    <w:p w14:paraId="20DC4E93">
      <w:pPr>
        <w:pStyle w:val="11"/>
        <w:keepNext/>
        <w:keepLines/>
        <w:spacing w:before="145" w:beforeAutospacing="0" w:after="145" w:afterAutospacing="0" w:line="360" w:lineRule="auto"/>
        <w:ind w:firstLine="482"/>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七、授予合同</w:t>
      </w:r>
      <w:bookmarkEnd w:id="167"/>
      <w:bookmarkEnd w:id="168"/>
      <w:bookmarkEnd w:id="169"/>
      <w:bookmarkEnd w:id="170"/>
      <w:bookmarkStart w:id="171" w:name="_Toc16938553"/>
      <w:bookmarkStart w:id="172" w:name="_Toc513029237"/>
      <w:bookmarkStart w:id="173" w:name="_Toc20823309"/>
    </w:p>
    <w:p w14:paraId="2D15CCFE">
      <w:pPr>
        <w:pStyle w:val="11"/>
        <w:spacing w:beforeAutospacing="0" w:afterAutospacing="0" w:line="0" w:lineRule="atLeast"/>
        <w:ind w:firstLine="468"/>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30.签订合同</w:t>
      </w:r>
      <w:bookmarkEnd w:id="171"/>
      <w:bookmarkEnd w:id="172"/>
      <w:bookmarkEnd w:id="173"/>
    </w:p>
    <w:p w14:paraId="503A27F2">
      <w:pPr>
        <w:pStyle w:val="11"/>
        <w:spacing w:beforeAutospacing="0" w:afterAutospacing="0" w:line="0" w:lineRule="atLeast"/>
        <w:ind w:firstLine="468"/>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30.l中标人应当在中标通知书发出之日起三十日内，按照招标文件确定的事项与采购人签订政府采购合同。</w:t>
      </w:r>
    </w:p>
    <w:p w14:paraId="0EF226B5">
      <w:pPr>
        <w:pStyle w:val="11"/>
        <w:spacing w:beforeAutospacing="0" w:afterAutospacing="0" w:line="0" w:lineRule="atLeast"/>
        <w:ind w:firstLine="468"/>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30.2招标文件、中标人的投标文件及招标过程中有关澄清、承诺文件均应作为合同附件。</w:t>
      </w:r>
    </w:p>
    <w:p w14:paraId="390AC6BC">
      <w:pPr>
        <w:pStyle w:val="11"/>
        <w:spacing w:beforeAutospacing="0" w:afterAutospacing="0" w:line="0" w:lineRule="atLeast"/>
        <w:ind w:firstLine="468"/>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30.3签订合同后，</w:t>
      </w:r>
      <w:r>
        <w:rPr>
          <w:rFonts w:hint="eastAsia" w:ascii="宋体" w:hAnsi="宋体" w:eastAsia="宋体" w:cs="宋体"/>
          <w:i/>
          <w:color w:val="000000"/>
          <w:sz w:val="24"/>
          <w:szCs w:val="24"/>
          <w:highlight w:val="none"/>
          <w:u w:val="single"/>
        </w:rPr>
        <w:t>中标人不得将合同标的进行转包</w:t>
      </w:r>
      <w:r>
        <w:rPr>
          <w:rFonts w:hint="eastAsia" w:ascii="宋体" w:hAnsi="宋体" w:eastAsia="宋体" w:cs="宋体"/>
          <w:color w:val="000000"/>
          <w:sz w:val="24"/>
          <w:szCs w:val="24"/>
          <w:highlight w:val="none"/>
        </w:rPr>
        <w:t>。未经采购人同意，中标人也不得采用分包的形式履行合同，否则采购人有权终止合同。转包或分包造成采购人损失的，中标人应承担相应赔偿责任。</w:t>
      </w:r>
    </w:p>
    <w:p w14:paraId="129FC7D9">
      <w:pPr>
        <w:pStyle w:val="11"/>
        <w:spacing w:beforeAutospacing="0" w:afterAutospacing="0" w:line="0" w:lineRule="atLeast"/>
        <w:ind w:firstLine="468"/>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31、服务（包含与服务相关的货物）的追加</w:t>
      </w:r>
    </w:p>
    <w:p w14:paraId="08C8760A">
      <w:pPr>
        <w:pStyle w:val="11"/>
        <w:spacing w:beforeAutospacing="0" w:afterAutospacing="0" w:line="0" w:lineRule="atLeast"/>
        <w:ind w:firstLine="468"/>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5EEFCA0A">
      <w:pPr>
        <w:pStyle w:val="11"/>
        <w:spacing w:beforeAutospacing="0" w:afterAutospacing="0" w:line="0" w:lineRule="atLeast"/>
        <w:ind w:firstLine="468"/>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32.政府采购政策功能落实</w:t>
      </w:r>
    </w:p>
    <w:p w14:paraId="40BE76F0">
      <w:pPr>
        <w:pStyle w:val="11"/>
        <w:spacing w:beforeAutospacing="0" w:afterAutospacing="0" w:line="0" w:lineRule="atLeast"/>
        <w:ind w:firstLine="468"/>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32.1</w:t>
      </w:r>
      <w:r>
        <w:rPr>
          <w:rFonts w:hint="eastAsia" w:ascii="宋体" w:hAnsi="宋体" w:eastAsia="宋体" w:cs="宋体"/>
          <w:color w:val="000000"/>
          <w:sz w:val="24"/>
          <w:szCs w:val="24"/>
          <w:highlight w:val="none"/>
        </w:rPr>
        <w:t>政府采购</w:t>
      </w:r>
      <w:r>
        <w:rPr>
          <w:rFonts w:hint="eastAsia" w:ascii="宋体" w:hAnsi="宋体" w:eastAsia="宋体" w:cs="宋体"/>
          <w:color w:val="000000"/>
          <w:sz w:val="24"/>
          <w:szCs w:val="24"/>
          <w:highlight w:val="none"/>
          <w:lang w:eastAsia="zh-CN"/>
        </w:rPr>
        <w:t>线上合同信用融资</w:t>
      </w:r>
      <w:r>
        <w:rPr>
          <w:rFonts w:hint="eastAsia" w:ascii="宋体" w:hAnsi="宋体" w:eastAsia="宋体" w:cs="宋体"/>
          <w:color w:val="000000"/>
          <w:sz w:val="24"/>
          <w:szCs w:val="24"/>
          <w:highlight w:val="none"/>
        </w:rPr>
        <w:t>政策</w:t>
      </w:r>
    </w:p>
    <w:p w14:paraId="3CB02BD7">
      <w:pPr>
        <w:pStyle w:val="11"/>
        <w:spacing w:beforeAutospacing="0" w:afterAutospacing="0" w:line="0" w:lineRule="atLeast"/>
        <w:ind w:firstLine="468"/>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江苏省</w:t>
      </w:r>
      <w:r>
        <w:rPr>
          <w:rFonts w:hint="eastAsia" w:ascii="宋体" w:hAnsi="宋体" w:eastAsia="宋体" w:cs="宋体"/>
          <w:color w:val="000000"/>
          <w:sz w:val="24"/>
          <w:szCs w:val="24"/>
          <w:highlight w:val="none"/>
        </w:rPr>
        <w:t>政府采购网“政采贷”栏目）申请贷款，相关金融机构按照双方自愿的原则提供便捷、优惠的贷款服务；具体操作流程请参考苏采云系统中操作手册。</w:t>
      </w:r>
    </w:p>
    <w:p w14:paraId="7A741B60">
      <w:pPr>
        <w:pStyle w:val="11"/>
        <w:spacing w:beforeAutospacing="0" w:afterAutospacing="0" w:line="0" w:lineRule="atLeast"/>
        <w:ind w:firstLine="468"/>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32.2进口产品</w:t>
      </w:r>
    </w:p>
    <w:p w14:paraId="1C8FD64D">
      <w:pPr>
        <w:pStyle w:val="11"/>
        <w:spacing w:beforeAutospacing="0" w:afterAutospacing="0" w:line="0" w:lineRule="atLeast"/>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进口产品</w:t>
      </w:r>
      <w:r>
        <w:rPr>
          <w:rFonts w:hint="eastAsia" w:ascii="宋体" w:hAnsi="宋体" w:eastAsia="宋体" w:cs="宋体"/>
          <w:color w:val="000000"/>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889DF4D">
      <w:pPr>
        <w:pStyle w:val="11"/>
        <w:spacing w:beforeAutospacing="0" w:afterAutospacing="0" w:line="0" w:lineRule="atLeast"/>
        <w:ind w:firstLine="480"/>
        <w:jc w:val="both"/>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32.3中小企业、监狱企业及残疾人福利性单位</w:t>
      </w:r>
    </w:p>
    <w:p w14:paraId="46365861">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32.3.1中小企业定义：</w:t>
      </w:r>
    </w:p>
    <w:p w14:paraId="22E17B07">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28BDB20D">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32.3.2供应商提供的货物、工程或者服务符合下列情形的，享受中小企业扶持政策：</w:t>
      </w:r>
    </w:p>
    <w:p w14:paraId="59E94949">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32.3.2.1在货物采购项目中，货物由中小企业制造，即货物由中小企业生产且使用该中小企业商号或者注册商标；</w:t>
      </w:r>
    </w:p>
    <w:p w14:paraId="1B4E5239">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32.3.2.2在工程采购项目中，工程由中小企业承建，即工程施工单位为中小企业；</w:t>
      </w:r>
    </w:p>
    <w:p w14:paraId="659B5DD6">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32.3.2.3在服务采购项目中，服务由中小企业承接，即提供服务的人员为中小企业依照《中华人民共和国劳动合同法》订立劳动合同的从业人员。</w:t>
      </w:r>
    </w:p>
    <w:p w14:paraId="3BB5145B">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32.3.3在货物采购项目中，供应商提供的货物既有中小企业制造货物，也有大型企业制造货物的，不享受中小企业扶持政策。</w:t>
      </w:r>
    </w:p>
    <w:p w14:paraId="531583FB">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32.3.4以联合体形式参加政府采购活动，联合体各方均为中小企业的，联合体视同中小企业。其中，联合体各方均为小微企业的，联合体视同小微企业。</w:t>
      </w:r>
    </w:p>
    <w:p w14:paraId="30A99DD7">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2A97F84">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32.3.6残疾人福利单位定义：享受政府采购支持政策的残疾人福利性单位应当同时满足以下条件：</w:t>
      </w:r>
    </w:p>
    <w:p w14:paraId="2296DE92">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32.3.6.1安置的残疾人占本单位在职职工人数的比例不低于25%（含25%），并且安置的残疾人人数不少于10人（含10人）；</w:t>
      </w:r>
    </w:p>
    <w:p w14:paraId="152DF942">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32.3.6.2依法与安置的每位残疾人签订了一年以上（含一年）的劳动合同或服务协议；</w:t>
      </w:r>
    </w:p>
    <w:p w14:paraId="17ADDF4E">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32.3.6.3为安置的每位残疾人按月足额缴纳了基本养老保险、基本医疗保险、失业保险、工伤保险和生育保险等社会保险费；</w:t>
      </w:r>
    </w:p>
    <w:p w14:paraId="3AA66F2D">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32.3.6.4通过银行等金融机构向安置的每位残疾人，按月支付了不低于单位所在区县适用的经省级人民政府批准的月最低工资标准的工资；</w:t>
      </w:r>
    </w:p>
    <w:p w14:paraId="4DC4348D">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32.3.6.5提供本单位制造的货物、承担的工程或者服务（以下简称产品），或者提供其他残疾人福利性单位制造的货物（不包括使用非残疾人福利性单位注册商标的货物）；</w:t>
      </w:r>
    </w:p>
    <w:p w14:paraId="045139B5">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27AB8EF0">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32.3.7本项目是否专门面向中小企业预留采购份额见第一章《</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000000"/>
          <w:sz w:val="24"/>
          <w:szCs w:val="24"/>
          <w:highlight w:val="none"/>
          <w:lang w:val="en-US" w:eastAsia="zh-CN"/>
        </w:rPr>
        <w:t>》。</w:t>
      </w:r>
    </w:p>
    <w:p w14:paraId="7CA02328">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32.3.8采购标的对应的中小企业划分标准所属行业见第四章《采购需求》。</w:t>
      </w:r>
    </w:p>
    <w:p w14:paraId="1A46A6D8">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32.3.9小微企业价格评审优惠的政策：见第五章《评标方法和评标标准》。</w:t>
      </w:r>
    </w:p>
    <w:p w14:paraId="6AC7C4A1">
      <w:pPr>
        <w:pStyle w:val="11"/>
        <w:spacing w:beforeAutospacing="0" w:afterAutospacing="0" w:line="0" w:lineRule="atLeast"/>
        <w:ind w:left="0" w:leftChars="0" w:firstLine="420" w:firstLineChars="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32.4政府采购节能产品、环境标志产品</w:t>
      </w:r>
    </w:p>
    <w:p w14:paraId="4506ABEA">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DC73F81">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2095715">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32.5绿色包装</w:t>
      </w:r>
    </w:p>
    <w:p w14:paraId="06420177">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FD6AEF9">
      <w:pPr>
        <w:tabs>
          <w:tab w:val="left" w:pos="1381"/>
        </w:tabs>
        <w:spacing w:line="480" w:lineRule="exact"/>
        <w:ind w:firstLine="48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32.6政府采购创新产品</w:t>
      </w:r>
    </w:p>
    <w:p w14:paraId="6F2D0CD0">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采购人优先采购各级政府部门公开发布的有效期内的创新产品、创新服务、首台套、首购首用等《目录》的创新产品。</w:t>
      </w:r>
    </w:p>
    <w:p w14:paraId="00747503">
      <w:pPr>
        <w:tabs>
          <w:tab w:val="left" w:pos="1381"/>
        </w:tabs>
        <w:spacing w:line="480" w:lineRule="exact"/>
        <w:ind w:firstLine="482"/>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32.7绿色数据中心政策</w:t>
      </w:r>
    </w:p>
    <w:p w14:paraId="25D07750">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6217706">
      <w:pPr>
        <w:numPr>
          <w:ilvl w:val="0"/>
          <w:numId w:val="0"/>
        </w:numPr>
        <w:ind w:firstLine="480" w:firstLineChars="200"/>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32.8履约保证金政策</w:t>
      </w:r>
    </w:p>
    <w:p w14:paraId="4B308720">
      <w:pPr>
        <w:numPr>
          <w:ilvl w:val="0"/>
          <w:numId w:val="0"/>
        </w:numPr>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确需收取履约保证金的，履约保证金的缴纳形式：</w:t>
      </w:r>
    </w:p>
    <w:p w14:paraId="73A0706E">
      <w:pPr>
        <w:numPr>
          <w:ilvl w:val="0"/>
          <w:numId w:val="0"/>
        </w:numPr>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96D5C18">
      <w:pPr>
        <w:numPr>
          <w:ilvl w:val="0"/>
          <w:numId w:val="0"/>
        </w:numPr>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如以履约保函（保险）形式缴纳履约保证金，供应商可通过政府采购电子履约保函（保险）平台（www.jsdzbh.com）在线申请履约保函（保险）。</w:t>
      </w:r>
    </w:p>
    <w:p w14:paraId="69DE5A44">
      <w:pPr>
        <w:numPr>
          <w:ilvl w:val="0"/>
          <w:numId w:val="0"/>
        </w:numPr>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p>
    <w:p w14:paraId="3D464D91">
      <w:pPr>
        <w:numPr>
          <w:ilvl w:val="0"/>
          <w:numId w:val="0"/>
        </w:numPr>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33.预付款制度</w:t>
      </w:r>
    </w:p>
    <w:p w14:paraId="6E73E9CC">
      <w:pPr>
        <w:numPr>
          <w:ilvl w:val="0"/>
          <w:numId w:val="0"/>
        </w:numPr>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本项目落实预付款制度，预付款比例为</w:t>
      </w:r>
      <w:r>
        <w:rPr>
          <w:rFonts w:hint="eastAsia" w:ascii="宋体" w:hAnsi="宋体" w:eastAsia="宋体" w:cs="宋体"/>
          <w:color w:val="000000"/>
          <w:sz w:val="24"/>
          <w:szCs w:val="24"/>
          <w:highlight w:val="none"/>
          <w:u w:val="single"/>
          <w:lang w:val="en-US" w:eastAsia="zh-CN"/>
        </w:rPr>
        <w:t>合同金额的30%</w:t>
      </w:r>
      <w:r>
        <w:rPr>
          <w:rFonts w:hint="eastAsia" w:ascii="宋体" w:hAnsi="宋体" w:eastAsia="宋体" w:cs="宋体"/>
          <w:color w:val="auto"/>
          <w:kern w:val="0"/>
          <w:sz w:val="24"/>
          <w:szCs w:val="24"/>
          <w:highlight w:val="none"/>
          <w:shd w:val="clear" w:color="auto" w:fill="auto"/>
          <w:lang w:val="en-US" w:eastAsia="zh-CN" w:bidi="ar-SA"/>
        </w:rPr>
        <w:t>（原则上不低于合同金额的30%）</w:t>
      </w:r>
      <w:r>
        <w:rPr>
          <w:rFonts w:hint="eastAsia" w:ascii="宋体" w:hAnsi="宋体" w:eastAsia="宋体" w:cs="宋体"/>
          <w:color w:val="000000"/>
          <w:sz w:val="24"/>
          <w:szCs w:val="24"/>
          <w:highlight w:val="none"/>
          <w:lang w:val="en-US" w:eastAsia="zh-CN"/>
        </w:rPr>
        <w:t>。在签订合同时，中标、成交供应商明确书面表示无需预付款或者主动要求降低预付款比例的，采购人可就预付款比例作相应调整。</w:t>
      </w:r>
    </w:p>
    <w:p w14:paraId="25AFDBFE">
      <w:pPr>
        <w:numPr>
          <w:ilvl w:val="0"/>
          <w:numId w:val="0"/>
        </w:numPr>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34.招标代理服务费</w:t>
      </w:r>
    </w:p>
    <w:p w14:paraId="07ED73D2">
      <w:pPr>
        <w:numPr>
          <w:ilvl w:val="0"/>
          <w:numId w:val="0"/>
        </w:numPr>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依据采购人与招标代理人合同约定本项目代理服务费</w:t>
      </w:r>
      <w:r>
        <w:rPr>
          <w:rFonts w:hint="eastAsia" w:ascii="宋体" w:hAnsi="宋体" w:eastAsia="宋体" w:cs="宋体"/>
          <w:color w:val="000000"/>
          <w:sz w:val="24"/>
          <w:szCs w:val="24"/>
          <w:highlight w:val="none"/>
          <w:u w:val="single"/>
          <w:lang w:val="en-US" w:eastAsia="zh-CN"/>
        </w:rPr>
        <w:t>人民币：</w:t>
      </w:r>
      <w:r>
        <w:rPr>
          <w:rFonts w:hint="eastAsia" w:ascii="宋体" w:hAnsi="宋体" w:eastAsia="宋体" w:cs="宋体"/>
          <w:color w:val="000000"/>
          <w:sz w:val="24"/>
          <w:szCs w:val="24"/>
          <w:highlight w:val="none"/>
          <w:u w:val="single"/>
          <w:lang w:val="en-US" w:eastAsia="zh-CN"/>
        </w:rPr>
        <w:t>5000.00元</w:t>
      </w:r>
      <w:r>
        <w:rPr>
          <w:rFonts w:hint="eastAsia" w:ascii="宋体" w:hAnsi="宋体" w:eastAsia="宋体" w:cs="宋体"/>
          <w:color w:val="000000"/>
          <w:sz w:val="24"/>
          <w:szCs w:val="24"/>
          <w:highlight w:val="none"/>
          <w:lang w:val="en-US" w:eastAsia="zh-CN"/>
        </w:rPr>
        <w:t>由采购人支付。</w:t>
      </w:r>
    </w:p>
    <w:p w14:paraId="64A0D679">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03163463">
      <w:pPr>
        <w:pStyle w:val="11"/>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C42887D">
      <w:pPr>
        <w:pStyle w:val="11"/>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78ACCABE">
      <w:pPr>
        <w:pStyle w:val="11"/>
        <w:spacing w:beforeAutospacing="0" w:afterAutospacing="0"/>
        <w:jc w:val="both"/>
        <w:rPr>
          <w:rFonts w:hint="eastAsia" w:ascii="宋体" w:hAnsi="宋体" w:eastAsia="宋体" w:cs="宋体"/>
          <w:sz w:val="24"/>
          <w:szCs w:val="24"/>
          <w:highlight w:val="none"/>
        </w:rPr>
      </w:pPr>
    </w:p>
    <w:p w14:paraId="2DFF4593">
      <w:pPr>
        <w:pStyle w:val="11"/>
        <w:spacing w:beforeAutospacing="0" w:afterAutospacing="0"/>
        <w:jc w:val="both"/>
        <w:rPr>
          <w:rFonts w:hint="eastAsia" w:ascii="宋体" w:hAnsi="宋体" w:eastAsia="宋体" w:cs="宋体"/>
          <w:sz w:val="24"/>
          <w:szCs w:val="24"/>
          <w:highlight w:val="none"/>
        </w:rPr>
      </w:pPr>
    </w:p>
    <w:p w14:paraId="5BE4CB0E">
      <w:pPr>
        <w:pStyle w:val="11"/>
        <w:spacing w:beforeAutospacing="0" w:afterAutospacing="0"/>
        <w:jc w:val="both"/>
        <w:rPr>
          <w:rFonts w:hint="eastAsia" w:ascii="宋体" w:hAnsi="宋体" w:eastAsia="宋体" w:cs="宋体"/>
          <w:sz w:val="24"/>
          <w:szCs w:val="24"/>
          <w:highlight w:val="none"/>
        </w:rPr>
      </w:pPr>
    </w:p>
    <w:p w14:paraId="66D5DF74">
      <w:pPr>
        <w:pStyle w:val="11"/>
        <w:spacing w:beforeAutospacing="0" w:afterAutospacing="0"/>
        <w:jc w:val="both"/>
        <w:rPr>
          <w:rFonts w:hint="eastAsia" w:ascii="宋体" w:hAnsi="宋体" w:eastAsia="宋体" w:cs="宋体"/>
          <w:sz w:val="24"/>
          <w:szCs w:val="24"/>
          <w:highlight w:val="none"/>
        </w:rPr>
      </w:pPr>
    </w:p>
    <w:p w14:paraId="15806239">
      <w:pPr>
        <w:pStyle w:val="11"/>
        <w:spacing w:beforeAutospacing="0" w:afterAutospacing="0"/>
        <w:jc w:val="both"/>
        <w:rPr>
          <w:rFonts w:hint="eastAsia" w:ascii="宋体" w:hAnsi="宋体" w:eastAsia="宋体" w:cs="宋体"/>
          <w:sz w:val="24"/>
          <w:szCs w:val="24"/>
          <w:highlight w:val="none"/>
        </w:rPr>
      </w:pPr>
    </w:p>
    <w:p w14:paraId="2265B6A1">
      <w:pPr>
        <w:pStyle w:val="11"/>
        <w:spacing w:beforeAutospacing="0" w:afterAutospacing="0"/>
        <w:jc w:val="both"/>
        <w:rPr>
          <w:rFonts w:hint="eastAsia" w:ascii="宋体" w:hAnsi="宋体" w:eastAsia="宋体" w:cs="宋体"/>
          <w:sz w:val="24"/>
          <w:szCs w:val="24"/>
          <w:highlight w:val="none"/>
        </w:rPr>
      </w:pPr>
    </w:p>
    <w:p w14:paraId="5F3E6398">
      <w:pPr>
        <w:pStyle w:val="11"/>
        <w:spacing w:beforeAutospacing="0" w:afterAutospacing="0"/>
        <w:jc w:val="both"/>
        <w:rPr>
          <w:rFonts w:hint="eastAsia" w:ascii="宋体" w:hAnsi="宋体" w:eastAsia="宋体" w:cs="宋体"/>
          <w:sz w:val="24"/>
          <w:szCs w:val="24"/>
          <w:highlight w:val="none"/>
        </w:rPr>
      </w:pPr>
    </w:p>
    <w:p w14:paraId="21FF7A39">
      <w:pPr>
        <w:pStyle w:val="11"/>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AD85B1C">
      <w:pPr>
        <w:pStyle w:val="11"/>
        <w:spacing w:beforeAutospacing="0" w:afterAutospacing="0"/>
        <w:jc w:val="both"/>
        <w:rPr>
          <w:rFonts w:hint="eastAsia" w:ascii="宋体" w:hAnsi="宋体" w:eastAsia="宋体" w:cs="宋体"/>
          <w:sz w:val="24"/>
          <w:szCs w:val="24"/>
          <w:highlight w:val="none"/>
        </w:rPr>
      </w:pPr>
    </w:p>
    <w:p w14:paraId="1EF2DF48">
      <w:pPr>
        <w:pStyle w:val="11"/>
        <w:spacing w:beforeAutospacing="0" w:afterAutospacing="0"/>
        <w:jc w:val="both"/>
        <w:rPr>
          <w:rFonts w:hint="eastAsia" w:ascii="宋体" w:hAnsi="宋体" w:eastAsia="宋体" w:cs="宋体"/>
          <w:sz w:val="24"/>
          <w:szCs w:val="24"/>
          <w:highlight w:val="none"/>
        </w:rPr>
      </w:pPr>
    </w:p>
    <w:p w14:paraId="09D4ED71">
      <w:pPr>
        <w:pStyle w:val="11"/>
        <w:spacing w:beforeAutospacing="0" w:afterAutospacing="0"/>
        <w:jc w:val="both"/>
        <w:rPr>
          <w:rFonts w:hint="eastAsia" w:ascii="宋体" w:hAnsi="宋体" w:eastAsia="宋体" w:cs="宋体"/>
          <w:sz w:val="24"/>
          <w:szCs w:val="24"/>
          <w:highlight w:val="none"/>
        </w:rPr>
      </w:pPr>
    </w:p>
    <w:p w14:paraId="70D30C38">
      <w:pPr>
        <w:pStyle w:val="11"/>
        <w:spacing w:beforeAutospacing="0" w:afterAutospacing="0"/>
        <w:jc w:val="both"/>
        <w:rPr>
          <w:rFonts w:hint="eastAsia" w:ascii="宋体" w:hAnsi="宋体" w:eastAsia="宋体" w:cs="宋体"/>
          <w:sz w:val="24"/>
          <w:szCs w:val="24"/>
          <w:highlight w:val="none"/>
        </w:rPr>
      </w:pPr>
    </w:p>
    <w:p w14:paraId="4411887F">
      <w:pPr>
        <w:pStyle w:val="11"/>
        <w:spacing w:beforeAutospacing="0" w:afterAutospacing="0"/>
        <w:jc w:val="both"/>
        <w:rPr>
          <w:rFonts w:hint="eastAsia" w:ascii="宋体" w:hAnsi="宋体" w:eastAsia="宋体" w:cs="宋体"/>
          <w:sz w:val="24"/>
          <w:szCs w:val="24"/>
          <w:highlight w:val="none"/>
        </w:rPr>
      </w:pPr>
    </w:p>
    <w:p w14:paraId="03543989">
      <w:pPr>
        <w:pStyle w:val="11"/>
        <w:spacing w:beforeAutospacing="0" w:afterAutospacing="0"/>
        <w:jc w:val="both"/>
        <w:rPr>
          <w:rFonts w:hint="eastAsia" w:ascii="宋体" w:hAnsi="宋体" w:eastAsia="宋体" w:cs="宋体"/>
          <w:sz w:val="24"/>
          <w:szCs w:val="24"/>
          <w:highlight w:val="none"/>
        </w:rPr>
      </w:pPr>
    </w:p>
    <w:p w14:paraId="2A40798E">
      <w:pPr>
        <w:pStyle w:val="11"/>
        <w:spacing w:beforeAutospacing="0" w:afterAutospacing="0"/>
        <w:jc w:val="both"/>
        <w:rPr>
          <w:rFonts w:hint="eastAsia" w:ascii="宋体" w:hAnsi="宋体" w:eastAsia="宋体" w:cs="宋体"/>
          <w:sz w:val="24"/>
          <w:szCs w:val="24"/>
          <w:highlight w:val="none"/>
        </w:rPr>
      </w:pPr>
    </w:p>
    <w:p w14:paraId="4BE6D379">
      <w:pPr>
        <w:pStyle w:val="11"/>
        <w:spacing w:beforeAutospacing="0" w:afterAutospacing="0"/>
        <w:jc w:val="both"/>
        <w:rPr>
          <w:rFonts w:hint="eastAsia" w:ascii="宋体" w:hAnsi="宋体" w:eastAsia="宋体" w:cs="宋体"/>
          <w:sz w:val="24"/>
          <w:szCs w:val="24"/>
          <w:highlight w:val="none"/>
        </w:rPr>
      </w:pPr>
    </w:p>
    <w:p w14:paraId="345B20B6">
      <w:pPr>
        <w:pStyle w:val="11"/>
        <w:spacing w:beforeAutospacing="0" w:afterAutospacing="0"/>
        <w:jc w:val="both"/>
        <w:rPr>
          <w:rFonts w:hint="eastAsia" w:ascii="宋体" w:hAnsi="宋体" w:eastAsia="宋体" w:cs="宋体"/>
          <w:sz w:val="24"/>
          <w:szCs w:val="24"/>
          <w:highlight w:val="none"/>
        </w:rPr>
      </w:pPr>
    </w:p>
    <w:p w14:paraId="26CE1631">
      <w:pPr>
        <w:pStyle w:val="11"/>
        <w:spacing w:beforeAutospacing="0" w:afterAutospacing="0"/>
        <w:jc w:val="both"/>
        <w:rPr>
          <w:rFonts w:hint="eastAsia" w:ascii="宋体" w:hAnsi="宋体" w:eastAsia="宋体" w:cs="宋体"/>
          <w:sz w:val="24"/>
          <w:szCs w:val="24"/>
          <w:highlight w:val="none"/>
        </w:rPr>
      </w:pPr>
    </w:p>
    <w:p w14:paraId="7C0124AE">
      <w:pPr>
        <w:pStyle w:val="11"/>
        <w:spacing w:beforeAutospacing="0" w:afterAutospacing="0"/>
        <w:jc w:val="both"/>
        <w:rPr>
          <w:rFonts w:hint="eastAsia" w:ascii="宋体" w:hAnsi="宋体" w:eastAsia="宋体" w:cs="宋体"/>
          <w:sz w:val="24"/>
          <w:szCs w:val="24"/>
          <w:highlight w:val="none"/>
        </w:rPr>
      </w:pPr>
    </w:p>
    <w:p w14:paraId="0514903E">
      <w:pPr>
        <w:pStyle w:val="11"/>
        <w:spacing w:beforeAutospacing="0" w:afterAutospacing="0"/>
        <w:jc w:val="both"/>
        <w:rPr>
          <w:rFonts w:hint="eastAsia" w:ascii="宋体" w:hAnsi="宋体" w:eastAsia="宋体" w:cs="宋体"/>
          <w:sz w:val="24"/>
          <w:szCs w:val="24"/>
          <w:highlight w:val="none"/>
        </w:rPr>
      </w:pPr>
    </w:p>
    <w:p w14:paraId="58730BD8">
      <w:pPr>
        <w:pStyle w:val="11"/>
        <w:spacing w:beforeAutospacing="0" w:afterAutospacing="0"/>
        <w:jc w:val="both"/>
        <w:rPr>
          <w:rFonts w:hint="eastAsia" w:ascii="宋体" w:hAnsi="宋体" w:eastAsia="宋体" w:cs="宋体"/>
          <w:sz w:val="24"/>
          <w:szCs w:val="24"/>
          <w:highlight w:val="none"/>
        </w:rPr>
      </w:pPr>
    </w:p>
    <w:p w14:paraId="45E87B1A">
      <w:pPr>
        <w:pStyle w:val="11"/>
        <w:spacing w:beforeAutospacing="0" w:afterAutospacing="0"/>
        <w:jc w:val="both"/>
        <w:rPr>
          <w:rFonts w:hint="eastAsia" w:ascii="宋体" w:hAnsi="宋体" w:eastAsia="宋体" w:cs="宋体"/>
          <w:sz w:val="24"/>
          <w:szCs w:val="24"/>
          <w:highlight w:val="none"/>
        </w:rPr>
      </w:pPr>
    </w:p>
    <w:p w14:paraId="7C5157E4">
      <w:pPr>
        <w:pStyle w:val="11"/>
        <w:spacing w:beforeAutospacing="0" w:afterAutospacing="0"/>
        <w:jc w:val="both"/>
        <w:rPr>
          <w:rFonts w:hint="eastAsia" w:ascii="宋体" w:hAnsi="宋体" w:eastAsia="宋体" w:cs="宋体"/>
          <w:sz w:val="24"/>
          <w:szCs w:val="24"/>
          <w:highlight w:val="none"/>
        </w:rPr>
      </w:pPr>
    </w:p>
    <w:p w14:paraId="0A78BDA5">
      <w:pPr>
        <w:pStyle w:val="11"/>
        <w:spacing w:beforeAutospacing="0" w:afterAutospacing="0"/>
        <w:jc w:val="both"/>
        <w:rPr>
          <w:rFonts w:hint="eastAsia" w:ascii="宋体" w:hAnsi="宋体" w:eastAsia="宋体" w:cs="宋体"/>
          <w:sz w:val="24"/>
          <w:szCs w:val="24"/>
          <w:highlight w:val="none"/>
        </w:rPr>
      </w:pPr>
    </w:p>
    <w:p w14:paraId="659871DB">
      <w:pPr>
        <w:pStyle w:val="11"/>
        <w:spacing w:beforeAutospacing="0" w:afterAutospacing="0"/>
        <w:jc w:val="both"/>
        <w:rPr>
          <w:rFonts w:hint="eastAsia" w:ascii="宋体" w:hAnsi="宋体" w:eastAsia="宋体" w:cs="宋体"/>
          <w:sz w:val="24"/>
          <w:szCs w:val="24"/>
          <w:highlight w:val="none"/>
        </w:rPr>
      </w:pPr>
    </w:p>
    <w:p w14:paraId="483AD4E4">
      <w:pPr>
        <w:pStyle w:val="11"/>
        <w:spacing w:beforeAutospacing="0" w:afterAutospacing="0"/>
        <w:jc w:val="both"/>
        <w:rPr>
          <w:rFonts w:hint="eastAsia" w:ascii="宋体" w:hAnsi="宋体" w:eastAsia="宋体" w:cs="宋体"/>
          <w:sz w:val="24"/>
          <w:szCs w:val="24"/>
          <w:highlight w:val="none"/>
        </w:rPr>
      </w:pPr>
    </w:p>
    <w:p w14:paraId="73113D99">
      <w:pPr>
        <w:pStyle w:val="11"/>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7D979CA6">
      <w:pPr>
        <w:pStyle w:val="11"/>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D5A4711">
      <w:pPr>
        <w:pStyle w:val="11"/>
        <w:keepNext/>
        <w:keepLines/>
        <w:pageBreakBefore w:val="0"/>
        <w:widowControl w:val="0"/>
        <w:kinsoku/>
        <w:wordWrap/>
        <w:overflowPunct/>
        <w:topLinePunct w:val="0"/>
        <w:autoSpaceDE/>
        <w:autoSpaceDN/>
        <w:bidi w:val="0"/>
        <w:adjustRightInd/>
        <w:snapToGrid/>
        <w:spacing w:beforeAutospacing="0" w:afterAutospacing="0" w:line="416" w:lineRule="auto"/>
        <w:jc w:val="center"/>
        <w:textAlignment w:val="auto"/>
        <w:outlineLvl w:val="0"/>
        <w:rPr>
          <w:rFonts w:hint="eastAsia" w:ascii="黑体" w:hAnsi="宋体" w:eastAsia="黑体" w:cs="黑体"/>
          <w:b/>
          <w:color w:val="000000"/>
          <w:sz w:val="44"/>
          <w:szCs w:val="44"/>
          <w:highlight w:val="none"/>
        </w:rPr>
      </w:pPr>
      <w:bookmarkStart w:id="174" w:name="_Toc31035"/>
      <w:r>
        <w:rPr>
          <w:rFonts w:hint="eastAsia" w:ascii="黑体" w:hAnsi="宋体" w:eastAsia="黑体" w:cs="黑体"/>
          <w:b/>
          <w:color w:val="000000"/>
          <w:sz w:val="44"/>
          <w:szCs w:val="44"/>
          <w:highlight w:val="none"/>
        </w:rPr>
        <w:t>第三章 合同文本</w:t>
      </w:r>
      <w:bookmarkEnd w:id="174"/>
    </w:p>
    <w:p w14:paraId="5E3B28FB">
      <w:pPr>
        <w:pStyle w:val="1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lang w:val="en-US" w:eastAsia="zh-CN"/>
        </w:rPr>
      </w:pPr>
      <w:bookmarkStart w:id="175" w:name="_Toc16938559"/>
      <w:bookmarkStart w:id="176" w:name="_Toc20823315"/>
      <w:bookmarkStart w:id="177" w:name="_Toc513029243"/>
      <w:r>
        <w:rPr>
          <w:rFonts w:hint="eastAsia" w:ascii="宋体" w:hAnsi="宋体" w:eastAsia="宋体" w:cs="宋体"/>
          <w:color w:val="000000"/>
          <w:sz w:val="24"/>
          <w:szCs w:val="24"/>
          <w:highlight w:val="none"/>
        </w:rPr>
        <w:t>以下为中标后</w:t>
      </w:r>
      <w:r>
        <w:rPr>
          <w:rFonts w:hint="eastAsia" w:ascii="宋体" w:hAnsi="宋体" w:eastAsia="宋体" w:cs="宋体"/>
          <w:color w:val="000000"/>
          <w:sz w:val="24"/>
          <w:szCs w:val="24"/>
          <w:highlight w:val="none"/>
          <w:lang w:eastAsia="zh-CN"/>
        </w:rPr>
        <w:t>签订</w:t>
      </w:r>
      <w:r>
        <w:rPr>
          <w:rFonts w:hint="eastAsia" w:ascii="宋体" w:hAnsi="宋体" w:eastAsia="宋体" w:cs="宋体"/>
          <w:color w:val="000000"/>
          <w:sz w:val="24"/>
          <w:szCs w:val="24"/>
          <w:highlight w:val="none"/>
        </w:rPr>
        <w:t>本项目合同的通用条款，中标人不得提出实质性的修改。</w:t>
      </w:r>
      <w:bookmarkEnd w:id="175"/>
      <w:bookmarkEnd w:id="176"/>
      <w:bookmarkEnd w:id="177"/>
    </w:p>
    <w:p w14:paraId="6848ED5D">
      <w:pPr>
        <w:pStyle w:val="11"/>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center"/>
        <w:textAlignment w:val="auto"/>
        <w:rPr>
          <w:sz w:val="24"/>
          <w:szCs w:val="24"/>
          <w:highlight w:val="none"/>
        </w:rPr>
      </w:pPr>
      <w:r>
        <w:rPr>
          <w:sz w:val="24"/>
          <w:szCs w:val="24"/>
          <w:highlight w:val="none"/>
        </w:rPr>
        <w:t> </w:t>
      </w:r>
    </w:p>
    <w:p w14:paraId="515AD275">
      <w:pPr>
        <w:pStyle w:val="11"/>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center"/>
        <w:textAlignment w:val="auto"/>
        <w:rPr>
          <w:sz w:val="24"/>
          <w:szCs w:val="24"/>
          <w:highlight w:val="none"/>
        </w:rPr>
      </w:pPr>
      <w:r>
        <w:rPr>
          <w:rFonts w:hint="eastAsia" w:ascii="宋体" w:hAnsi="宋体" w:eastAsia="宋体" w:cs="宋体"/>
          <w:b/>
          <w:color w:val="000000"/>
          <w:sz w:val="24"/>
          <w:szCs w:val="24"/>
          <w:highlight w:val="none"/>
        </w:rPr>
        <w:t>盐城市政府采购合同（服务）（合同编号）</w:t>
      </w:r>
    </w:p>
    <w:p w14:paraId="71D2BD05">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项目名称：</w:t>
      </w:r>
      <w:r>
        <w:rPr>
          <w:rFonts w:hint="eastAsia" w:ascii="宋体" w:hAnsi="宋体" w:eastAsia="宋体" w:cs="宋体"/>
          <w:color w:val="000000"/>
          <w:sz w:val="24"/>
          <w:szCs w:val="24"/>
          <w:highlight w:val="none"/>
          <w:u w:val="single"/>
        </w:rPr>
        <w:t>东台眼见为食信息化监管平台二期建设项目</w:t>
      </w:r>
    </w:p>
    <w:p w14:paraId="08C12531">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jc w:val="both"/>
        <w:textAlignment w:val="auto"/>
        <w:rPr>
          <w:sz w:val="24"/>
          <w:szCs w:val="24"/>
          <w:highlight w:val="none"/>
        </w:rPr>
      </w:pPr>
      <w:r>
        <w:rPr>
          <w:rFonts w:hint="eastAsia" w:ascii="宋体" w:hAnsi="宋体" w:eastAsia="宋体" w:cs="宋体"/>
          <w:color w:val="000000"/>
          <w:sz w:val="24"/>
          <w:szCs w:val="24"/>
          <w:highlight w:val="none"/>
        </w:rPr>
        <w:t>项目编号：</w:t>
      </w:r>
      <w:r>
        <w:rPr>
          <w:rFonts w:hint="eastAsia" w:ascii="宋体" w:hAnsi="宋体" w:eastAsia="宋体" w:cs="宋体"/>
          <w:color w:val="000000"/>
          <w:sz w:val="24"/>
          <w:szCs w:val="24"/>
          <w:highlight w:val="none"/>
          <w:u w:val="single"/>
        </w:rPr>
        <w:t>JSZC-320981-DTJM-G2026-0002</w:t>
      </w:r>
    </w:p>
    <w:p w14:paraId="3229CF71">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jc w:val="both"/>
        <w:textAlignment w:val="auto"/>
        <w:rPr>
          <w:rFonts w:hint="default" w:eastAsia="宋体"/>
          <w:sz w:val="24"/>
          <w:szCs w:val="24"/>
          <w:highlight w:val="none"/>
          <w:lang w:val="en-US" w:eastAsia="zh-CN"/>
        </w:rPr>
      </w:pPr>
      <w:r>
        <w:rPr>
          <w:rFonts w:hint="eastAsia" w:ascii="宋体" w:hAnsi="宋体" w:eastAsia="宋体" w:cs="宋体"/>
          <w:color w:val="000000"/>
          <w:sz w:val="24"/>
          <w:szCs w:val="24"/>
          <w:highlight w:val="none"/>
        </w:rPr>
        <w:t>甲方：（买方）</w:t>
      </w:r>
      <w:r>
        <w:rPr>
          <w:rFonts w:hint="eastAsia" w:ascii="宋体" w:hAnsi="宋体" w:eastAsia="宋体" w:cs="宋体"/>
          <w:color w:val="000000"/>
          <w:sz w:val="24"/>
          <w:szCs w:val="24"/>
          <w:highlight w:val="none"/>
          <w:u w:val="single"/>
          <w:lang w:val="en-US" w:eastAsia="zh-CN"/>
        </w:rPr>
        <w:t xml:space="preserve">                       </w:t>
      </w:r>
    </w:p>
    <w:p w14:paraId="65E6F252">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jc w:val="both"/>
        <w:textAlignment w:val="auto"/>
        <w:rPr>
          <w:sz w:val="24"/>
          <w:szCs w:val="24"/>
          <w:highlight w:val="none"/>
        </w:rPr>
      </w:pPr>
      <w:r>
        <w:rPr>
          <w:rFonts w:hint="eastAsia" w:ascii="宋体" w:hAnsi="宋体" w:eastAsia="宋体" w:cs="宋体"/>
          <w:color w:val="000000"/>
          <w:sz w:val="24"/>
          <w:szCs w:val="24"/>
          <w:highlight w:val="none"/>
        </w:rPr>
        <w:t>乙方：（卖方）</w:t>
      </w:r>
      <w:r>
        <w:rPr>
          <w:rFonts w:hint="eastAsia" w:ascii="宋体" w:hAnsi="宋体" w:eastAsia="宋体" w:cs="宋体"/>
          <w:color w:val="000000"/>
          <w:sz w:val="24"/>
          <w:szCs w:val="24"/>
          <w:highlight w:val="none"/>
          <w:u w:val="single"/>
          <w:lang w:val="en-US" w:eastAsia="zh-CN"/>
        </w:rPr>
        <w:t xml:space="preserve">                       </w:t>
      </w:r>
    </w:p>
    <w:p w14:paraId="2AC07DB3">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0" w:firstLine="480" w:firstLineChars="200"/>
        <w:jc w:val="both"/>
        <w:textAlignment w:val="auto"/>
        <w:rPr>
          <w:color w:val="auto"/>
          <w:sz w:val="24"/>
          <w:szCs w:val="24"/>
          <w:highlight w:val="none"/>
        </w:rPr>
      </w:pPr>
      <w:r>
        <w:rPr>
          <w:rFonts w:hint="eastAsia" w:ascii="宋体" w:hAnsi="宋体" w:eastAsia="宋体" w:cs="宋体"/>
          <w:color w:val="auto"/>
          <w:sz w:val="24"/>
          <w:szCs w:val="24"/>
          <w:highlight w:val="none"/>
        </w:rPr>
        <w:t>甲、乙双方根据</w:t>
      </w:r>
      <w:r>
        <w:rPr>
          <w:rFonts w:hint="eastAsia" w:ascii="宋体" w:hAnsi="宋体" w:eastAsia="宋体" w:cs="宋体"/>
          <w:color w:val="auto"/>
          <w:sz w:val="24"/>
          <w:szCs w:val="24"/>
          <w:highlight w:val="none"/>
          <w:u w:val="single"/>
          <w:lang w:val="en-US" w:eastAsia="zh-CN"/>
        </w:rPr>
        <w:t>东台眼见为食信息化监管平台二期建设项目</w:t>
      </w:r>
      <w:r>
        <w:rPr>
          <w:rFonts w:hint="eastAsia" w:ascii="宋体" w:hAnsi="宋体" w:eastAsia="宋体" w:cs="宋体"/>
          <w:color w:val="auto"/>
          <w:sz w:val="24"/>
          <w:szCs w:val="24"/>
          <w:highlight w:val="none"/>
        </w:rPr>
        <w:t>项目公开招标的结果，签署本合同。</w:t>
      </w:r>
    </w:p>
    <w:p w14:paraId="60E3B411">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2" w:firstLineChars="200"/>
        <w:jc w:val="both"/>
        <w:textAlignment w:val="auto"/>
        <w:rPr>
          <w:sz w:val="24"/>
          <w:szCs w:val="24"/>
          <w:highlight w:val="none"/>
        </w:rPr>
      </w:pPr>
      <w:r>
        <w:rPr>
          <w:rFonts w:hint="eastAsia" w:ascii="宋体" w:hAnsi="宋体" w:eastAsia="宋体" w:cs="宋体"/>
          <w:b/>
          <w:color w:val="000000"/>
          <w:sz w:val="24"/>
          <w:szCs w:val="24"/>
          <w:highlight w:val="none"/>
        </w:rPr>
        <w:t>一、合同内容</w:t>
      </w:r>
    </w:p>
    <w:p w14:paraId="6694C535">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1.1 标的名称：</w:t>
      </w:r>
      <w:r>
        <w:rPr>
          <w:rFonts w:hint="eastAsia" w:ascii="宋体" w:hAnsi="宋体" w:eastAsia="宋体" w:cs="宋体"/>
          <w:color w:val="000000"/>
          <w:sz w:val="24"/>
          <w:szCs w:val="24"/>
          <w:highlight w:val="none"/>
          <w:u w:val="single"/>
        </w:rPr>
        <w:t>东台眼见为食信息化监管平台二期建设项目</w:t>
      </w:r>
    </w:p>
    <w:p w14:paraId="7FD485F0">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eastAsia="宋体"/>
          <w:sz w:val="24"/>
          <w:szCs w:val="24"/>
          <w:highlight w:val="none"/>
          <w:lang w:eastAsia="zh-CN"/>
        </w:rPr>
      </w:pPr>
      <w:r>
        <w:rPr>
          <w:rFonts w:hint="eastAsia" w:ascii="宋体" w:hAnsi="宋体" w:eastAsia="宋体" w:cs="宋体"/>
          <w:color w:val="000000"/>
          <w:sz w:val="24"/>
          <w:szCs w:val="24"/>
          <w:highlight w:val="none"/>
          <w:u w:val="none"/>
        </w:rPr>
        <w:t>1.2 标的质量：</w:t>
      </w:r>
      <w:r>
        <w:rPr>
          <w:rFonts w:hint="eastAsia" w:ascii="宋体" w:hAnsi="宋体" w:eastAsia="宋体" w:cs="宋体"/>
          <w:color w:val="000000"/>
          <w:sz w:val="24"/>
          <w:szCs w:val="24"/>
          <w:highlight w:val="none"/>
          <w:u w:val="single"/>
        </w:rPr>
        <w:t>合格，通过采购人组织的验收</w:t>
      </w:r>
      <w:r>
        <w:rPr>
          <w:rFonts w:hint="eastAsia" w:ascii="宋体" w:hAnsi="宋体" w:eastAsia="宋体" w:cs="宋体"/>
          <w:color w:val="000000"/>
          <w:sz w:val="24"/>
          <w:szCs w:val="24"/>
          <w:highlight w:val="none"/>
          <w:u w:val="single"/>
          <w:lang w:eastAsia="zh-CN"/>
        </w:rPr>
        <w:t>。</w:t>
      </w:r>
    </w:p>
    <w:p w14:paraId="5034A0B7">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 xml:space="preserve"> 履行时间（期限）：</w:t>
      </w:r>
      <w:r>
        <w:rPr>
          <w:rFonts w:hint="eastAsia" w:ascii="宋体" w:hAnsi="宋体" w:eastAsia="宋体" w:cs="宋体"/>
          <w:color w:val="000000"/>
          <w:sz w:val="24"/>
          <w:szCs w:val="24"/>
          <w:highlight w:val="none"/>
          <w:u w:val="single"/>
        </w:rPr>
        <w:t>合同签订后90日内完成系统建设且正式上线运营，运维服务期为系统验收通过之日起计3年。</w:t>
      </w:r>
    </w:p>
    <w:p w14:paraId="41B94B71">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eastAsia="宋体"/>
          <w:sz w:val="24"/>
          <w:szCs w:val="24"/>
          <w:highlight w:val="none"/>
          <w:lang w:val="en-US" w:eastAsia="zh-CN"/>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 xml:space="preserve"> 履行地点：</w:t>
      </w:r>
      <w:r>
        <w:rPr>
          <w:rFonts w:hint="eastAsia" w:ascii="宋体" w:hAnsi="宋体" w:eastAsia="宋体" w:cs="宋体"/>
          <w:color w:val="000000"/>
          <w:sz w:val="24"/>
          <w:szCs w:val="24"/>
          <w:highlight w:val="none"/>
          <w:u w:val="single"/>
          <w:lang w:val="en-US" w:eastAsia="zh-CN"/>
        </w:rPr>
        <w:t>东台市</w:t>
      </w:r>
      <w:r>
        <w:rPr>
          <w:rFonts w:hint="eastAsia" w:ascii="宋体" w:hAnsi="宋体" w:eastAsia="宋体" w:cs="宋体"/>
          <w:color w:val="000000"/>
          <w:sz w:val="24"/>
          <w:szCs w:val="24"/>
          <w:highlight w:val="none"/>
          <w:lang w:val="en-US" w:eastAsia="zh-CN"/>
        </w:rPr>
        <w:t>。</w:t>
      </w:r>
    </w:p>
    <w:p w14:paraId="4F452184">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2" w:firstLineChars="200"/>
        <w:jc w:val="both"/>
        <w:textAlignment w:val="auto"/>
        <w:rPr>
          <w:sz w:val="24"/>
          <w:szCs w:val="24"/>
          <w:highlight w:val="none"/>
        </w:rPr>
      </w:pPr>
      <w:r>
        <w:rPr>
          <w:rFonts w:hint="eastAsia" w:ascii="宋体" w:hAnsi="宋体" w:eastAsia="宋体" w:cs="宋体"/>
          <w:b/>
          <w:color w:val="000000"/>
          <w:sz w:val="24"/>
          <w:szCs w:val="24"/>
          <w:highlight w:val="none"/>
        </w:rPr>
        <w:t>二、合同金额</w:t>
      </w:r>
    </w:p>
    <w:p w14:paraId="7FE858A9">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left="426" w:leftChars="203" w:firstLine="12" w:firstLineChars="5"/>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2.1本合同金额为人民币（大写）：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元）</w:t>
      </w:r>
    </w:p>
    <w:p w14:paraId="41BE56DD">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jc w:val="both"/>
        <w:textAlignment w:val="auto"/>
        <w:rPr>
          <w:rFonts w:hint="eastAsia" w:eastAsia="宋体"/>
          <w:sz w:val="24"/>
          <w:szCs w:val="24"/>
          <w:highlight w:val="none"/>
          <w:lang w:eastAsia="zh-CN"/>
        </w:rPr>
      </w:pPr>
      <w:r>
        <w:rPr>
          <w:rFonts w:hint="eastAsia" w:ascii="宋体" w:hAnsi="宋体" w:eastAsia="宋体" w:cs="宋体"/>
          <w:color w:val="000000"/>
          <w:sz w:val="24"/>
          <w:szCs w:val="24"/>
          <w:highlight w:val="none"/>
          <w:lang w:eastAsia="zh-CN"/>
        </w:rPr>
        <w:t>该价格包括（但不限于）除标的物的价款外还应包括设备、人员、综合服务费、安装、调试、培训、售后服务、税费等全部项目的费用。</w:t>
      </w:r>
    </w:p>
    <w:p w14:paraId="5A59EEAD">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2" w:firstLineChars="200"/>
        <w:jc w:val="both"/>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三、技术资料</w:t>
      </w:r>
    </w:p>
    <w:p w14:paraId="27240C5D">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3.1乙方应按招标文件规定的时间向甲方提供服务（包含与服务相关的货物）的有关技术资料。</w:t>
      </w:r>
    </w:p>
    <w:p w14:paraId="6D17B91B">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14E9C2F">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2" w:firstLineChars="200"/>
        <w:jc w:val="both"/>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四、知识产权</w:t>
      </w:r>
    </w:p>
    <w:p w14:paraId="104E7EC4">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识产权的起诉。一旦出现侵权，由乙方负全部责任。</w:t>
      </w:r>
    </w:p>
    <w:p w14:paraId="05CFF07A">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2" w:firstLineChars="200"/>
        <w:jc w:val="both"/>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五、产权担保</w:t>
      </w:r>
    </w:p>
    <w:p w14:paraId="6A79D541">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5.1乙方保证所交付的服务（包含与服务相关的货物）的所有权完全属于乙方且无任何抵押、查封等产权瑕疵。</w:t>
      </w:r>
    </w:p>
    <w:p w14:paraId="3805FB51">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2" w:firstLineChars="200"/>
        <w:jc w:val="both"/>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六、履约保证金</w:t>
      </w:r>
    </w:p>
    <w:p w14:paraId="1E0F2D4A">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6.1乙方交纳人民币</w:t>
      </w:r>
      <w:r>
        <w:rPr>
          <w:rFonts w:hint="eastAsia" w:ascii="宋体" w:hAnsi="宋体" w:eastAsia="宋体" w:cs="宋体"/>
          <w:color w:val="000000"/>
          <w:sz w:val="24"/>
          <w:szCs w:val="24"/>
          <w:highlight w:val="none"/>
          <w:u w:val="single"/>
          <w:lang w:val="en-US" w:eastAsia="zh-CN"/>
        </w:rPr>
        <w:t xml:space="preserve"> 合同金额的5% </w:t>
      </w:r>
      <w:r>
        <w:rPr>
          <w:rFonts w:hint="eastAsia" w:ascii="宋体" w:hAnsi="宋体" w:eastAsia="宋体" w:cs="宋体"/>
          <w:color w:val="000000"/>
          <w:sz w:val="24"/>
          <w:szCs w:val="24"/>
          <w:highlight w:val="none"/>
        </w:rPr>
        <w:t>元作为本合同的履约保证金。</w:t>
      </w:r>
    </w:p>
    <w:p w14:paraId="49F5ED2B">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 </w:t>
      </w:r>
      <w:r>
        <w:rPr>
          <w:rFonts w:hint="eastAsia" w:ascii="宋体" w:hAnsi="宋体" w:eastAsia="宋体" w:cs="宋体"/>
          <w:color w:val="000000"/>
          <w:sz w:val="24"/>
          <w:szCs w:val="24"/>
          <w:highlight w:val="none"/>
          <w:u w:val="single"/>
        </w:rPr>
        <w:t>否</w:t>
      </w:r>
      <w:r>
        <w:rPr>
          <w:rFonts w:hint="eastAsia" w:ascii="宋体" w:hAnsi="宋体" w:eastAsia="宋体" w:cs="宋体"/>
          <w:color w:val="000000"/>
          <w:sz w:val="24"/>
          <w:szCs w:val="24"/>
          <w:highlight w:val="none"/>
        </w:rPr>
        <w:t xml:space="preserve"> 免收 ，降低履约保证金缴纳比例</w:t>
      </w:r>
      <w:r>
        <w:rPr>
          <w:rFonts w:hint="eastAsia" w:ascii="宋体" w:hAnsi="宋体" w:eastAsia="宋体" w:cs="宋体"/>
          <w:color w:val="000000"/>
          <w:sz w:val="24"/>
          <w:szCs w:val="24"/>
          <w:highlight w:val="none"/>
          <w:u w:val="single"/>
        </w:rPr>
        <w:t>50%</w:t>
      </w:r>
      <w:r>
        <w:rPr>
          <w:rFonts w:hint="eastAsia" w:ascii="宋体" w:hAnsi="宋体" w:eastAsia="宋体" w:cs="宋体"/>
          <w:color w:val="000000"/>
          <w:sz w:val="24"/>
          <w:szCs w:val="24"/>
          <w:highlight w:val="none"/>
        </w:rPr>
        <w:t xml:space="preserve"> 。</w:t>
      </w:r>
    </w:p>
    <w:p w14:paraId="0160F40C">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2确需收取履约保证金的，</w:t>
      </w:r>
      <w:r>
        <w:rPr>
          <w:rFonts w:hint="eastAsia" w:ascii="宋体" w:hAnsi="宋体" w:eastAsia="宋体" w:cs="宋体"/>
          <w:color w:val="auto"/>
          <w:sz w:val="24"/>
          <w:szCs w:val="24"/>
          <w:highlight w:val="none"/>
          <w:lang w:eastAsia="zh-CN"/>
        </w:rPr>
        <w:t>履约保证金的缴纳形式：</w:t>
      </w:r>
    </w:p>
    <w:p w14:paraId="4E906F20">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6.2.1</w:t>
      </w:r>
      <w:r>
        <w:rPr>
          <w:rFonts w:hint="eastAsia" w:ascii="宋体" w:hAnsi="宋体" w:eastAsia="宋体" w:cs="宋体"/>
          <w:color w:val="auto"/>
          <w:sz w:val="24"/>
          <w:szCs w:val="24"/>
          <w:highlight w:val="none"/>
        </w:rPr>
        <w:t>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履约保证金</w:t>
      </w:r>
      <w:r>
        <w:rPr>
          <w:rFonts w:hint="eastAsia" w:ascii="宋体" w:hAnsi="宋体" w:eastAsia="宋体" w:cs="宋体"/>
          <w:color w:val="auto"/>
          <w:sz w:val="24"/>
          <w:szCs w:val="24"/>
          <w:highlight w:val="none"/>
        </w:rPr>
        <w:t>。依据《关于在全省政府采购领域推行电子履约保函（保险）的通知》，鼓励供应商自愿使用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电子</w:t>
      </w:r>
      <w:r>
        <w:rPr>
          <w:rFonts w:hint="eastAsia" w:ascii="宋体" w:hAnsi="宋体" w:eastAsia="宋体" w:cs="宋体"/>
          <w:color w:val="auto"/>
          <w:sz w:val="24"/>
          <w:szCs w:val="24"/>
          <w:highlight w:val="none"/>
        </w:rPr>
        <w:t>履约保函（保险）代替缴纳履约保证金</w:t>
      </w:r>
      <w:r>
        <w:rPr>
          <w:rFonts w:hint="eastAsia" w:ascii="宋体" w:hAnsi="宋体" w:eastAsia="宋体" w:cs="宋体"/>
          <w:color w:val="auto"/>
          <w:sz w:val="24"/>
          <w:szCs w:val="24"/>
          <w:highlight w:val="none"/>
          <w:lang w:eastAsia="zh-CN"/>
        </w:rPr>
        <w:t>。</w:t>
      </w:r>
    </w:p>
    <w:p w14:paraId="57D55D43">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6.2.2 如以履约保函（保险）形式缴纳履约保证金，供应商可通过政府采购电子履约保函（保险）平台（www.jsdzbh.com）在线申请履约保函（保险）。</w:t>
      </w:r>
    </w:p>
    <w:p w14:paraId="7629904D">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合同履行结束后，甲方应及时退还交纳的履约保证金。</w:t>
      </w:r>
    </w:p>
    <w:p w14:paraId="5CDE83FD">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履约保证金的退还：</w:t>
      </w:r>
    </w:p>
    <w:p w14:paraId="4519EF5D">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.1方式：退还至投标人缴纳履约保证金的账户。如为保函，在到期时自行失效。</w:t>
      </w:r>
    </w:p>
    <w:p w14:paraId="3F6D84E3">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.2时间：验收合格且采购人收到发票后30日内。</w:t>
      </w:r>
    </w:p>
    <w:p w14:paraId="5852F276">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.3条件：按合同要求全部履约完成并经采购人验收合格，且采购人收到中标人出具的发票。</w:t>
      </w:r>
    </w:p>
    <w:p w14:paraId="1D712D88">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.4不予退还情形：</w:t>
      </w:r>
    </w:p>
    <w:p w14:paraId="6F794C4F">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除不可抗力情况外，投标人出现下列情形之一的，其履约保证金，招标人将视情节决定不予退还或部分不予退还。</w:t>
      </w:r>
    </w:p>
    <w:p w14:paraId="0EE94B95">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（1）中标人无正当理由拒绝签订合同的，或者在签订合同时向采购人提出附加条件或者更改合同实质性内容要求的；</w:t>
      </w:r>
    </w:p>
    <w:p w14:paraId="5CD64018">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（2）中标人不履行与采购人订立的合同的；</w:t>
      </w:r>
    </w:p>
    <w:p w14:paraId="2D2B4793">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（3）中标人所供货物或服务不符合招标文件规定要求的；</w:t>
      </w:r>
    </w:p>
    <w:p w14:paraId="072565CC">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（4）中标人采取欺骗、弄虚作假方式投标的或与其它投标人串通投标的；</w:t>
      </w:r>
    </w:p>
    <w:p w14:paraId="4906CBB1">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（5）中标人将合同内容转包、违法分包的；</w:t>
      </w:r>
    </w:p>
    <w:p w14:paraId="043F775F">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（6）中标人故意捏造事实或伪造证明材料，进行虚假恶意投诉或反映的。</w:t>
      </w:r>
    </w:p>
    <w:p w14:paraId="3B49F92E">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.5逾期退还的违约责任：采购人逾期无故未退还履约保证金的，按中国人民银行同期贷款基准利率上浮20%后的利率支付超期资金占用费，但因供应商自身原因导致无法及时退还的除外。</w:t>
      </w:r>
    </w:p>
    <w:p w14:paraId="47D2E5A4">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2" w:firstLineChars="200"/>
        <w:jc w:val="both"/>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七、合同转包或分包</w:t>
      </w:r>
    </w:p>
    <w:p w14:paraId="77ABC675">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7.1乙方不得将合同标的转包给他人履行。</w:t>
      </w:r>
    </w:p>
    <w:p w14:paraId="24281EDC">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7.2乙方不得将合同标的分包给他人履行。</w:t>
      </w:r>
    </w:p>
    <w:p w14:paraId="286F455D">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7.3乙方如有转包或未经甲方同意的分包行为，甲方有权解除合同。</w:t>
      </w:r>
    </w:p>
    <w:p w14:paraId="33694181">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2" w:firstLineChars="200"/>
        <w:jc w:val="both"/>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八、合同款项支付</w:t>
      </w:r>
    </w:p>
    <w:p w14:paraId="0A6FCD25">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8.1合同款项的支付方式及进度安排</w:t>
      </w:r>
    </w:p>
    <w:p w14:paraId="22B425B0">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8.1.1 预付款支付时间：合</w:t>
      </w:r>
      <w:r>
        <w:rPr>
          <w:rFonts w:hint="eastAsia" w:ascii="宋体" w:hAnsi="宋体" w:eastAsia="宋体" w:cs="宋体"/>
          <w:color w:val="000000"/>
          <w:sz w:val="24"/>
          <w:szCs w:val="24"/>
          <w:highlight w:val="none"/>
        </w:rPr>
        <w:t>同签订后</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采购人收到</w:t>
      </w:r>
      <w:r>
        <w:rPr>
          <w:rFonts w:hint="eastAsia" w:ascii="宋体" w:hAnsi="宋体" w:eastAsia="宋体" w:cs="宋体"/>
          <w:color w:val="000000"/>
          <w:sz w:val="24"/>
          <w:szCs w:val="24"/>
          <w:highlight w:val="none"/>
          <w:lang w:eastAsia="zh-CN"/>
        </w:rPr>
        <w:t>预付款</w:t>
      </w:r>
      <w:r>
        <w:rPr>
          <w:rFonts w:hint="eastAsia" w:ascii="宋体" w:hAnsi="宋体" w:eastAsia="宋体" w:cs="宋体"/>
          <w:color w:val="000000"/>
          <w:sz w:val="24"/>
          <w:szCs w:val="24"/>
          <w:highlight w:val="none"/>
        </w:rPr>
        <w:t>发票后10个工作日内，</w:t>
      </w:r>
      <w:r>
        <w:rPr>
          <w:rFonts w:hint="eastAsia" w:ascii="宋体" w:hAnsi="宋体" w:eastAsia="宋体" w:cs="宋体"/>
          <w:color w:val="000000"/>
          <w:sz w:val="24"/>
          <w:szCs w:val="24"/>
          <w:highlight w:val="none"/>
          <w:u w:val="none"/>
        </w:rPr>
        <w:t>预付款支付比例：合同金额的</w:t>
      </w:r>
      <w:r>
        <w:rPr>
          <w:rFonts w:hint="eastAsia" w:ascii="宋体" w:hAnsi="宋体" w:eastAsia="宋体" w:cs="宋体"/>
          <w:color w:val="000000"/>
          <w:sz w:val="24"/>
          <w:szCs w:val="24"/>
          <w:highlight w:val="none"/>
          <w:u w:val="single"/>
          <w:lang w:val="en-US" w:eastAsia="zh-CN"/>
        </w:rPr>
        <w:t>30</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u w:val="none"/>
        </w:rPr>
        <w:t>。</w:t>
      </w:r>
    </w:p>
    <w:p w14:paraId="298420E9">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8.1.2 系统建设完成经验收合格付至</w:t>
      </w:r>
      <w:r>
        <w:rPr>
          <w:rFonts w:hint="eastAsia" w:ascii="宋体" w:hAnsi="宋体" w:eastAsia="宋体" w:cs="宋体"/>
          <w:color w:val="000000"/>
          <w:sz w:val="24"/>
          <w:szCs w:val="24"/>
          <w:highlight w:val="none"/>
          <w:u w:val="single"/>
          <w:lang w:val="en-US" w:eastAsia="zh-CN"/>
        </w:rPr>
        <w:t>60</w:t>
      </w:r>
      <w:r>
        <w:rPr>
          <w:rFonts w:hint="eastAsia" w:ascii="宋体" w:hAnsi="宋体" w:eastAsia="宋体" w:cs="宋体"/>
          <w:color w:val="000000"/>
          <w:sz w:val="24"/>
          <w:szCs w:val="24"/>
          <w:highlight w:val="none"/>
          <w:u w:val="none"/>
          <w:lang w:val="en-US" w:eastAsia="zh-CN"/>
        </w:rPr>
        <w:t>万元。</w:t>
      </w:r>
    </w:p>
    <w:p w14:paraId="74283418">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8.1.3在运维服务期间按考核标准每年结算，验收合格1年后付至审计价款的65%，验收合格2年后付至审计价款的80%，验收合格3年后付清余款（甲方每月对在线率进行统计并通报，根据通报计算年度平均在线率，如果在线率低于95%，每低一个百分点在当年付款中扣减2万元）；</w:t>
      </w:r>
    </w:p>
    <w:p w14:paraId="26D1840D">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lang w:val="en-US" w:eastAsia="zh-CN"/>
        </w:rPr>
        <w:t>8.1.</w:t>
      </w:r>
      <w:r>
        <w:rPr>
          <w:rFonts w:hint="eastAsia" w:ascii="宋体" w:hAnsi="宋体" w:eastAsia="宋体" w:cs="宋体"/>
          <w:color w:val="000000"/>
          <w:sz w:val="24"/>
          <w:szCs w:val="24"/>
          <w:highlight w:val="none"/>
          <w:u w:val="none"/>
        </w:rPr>
        <w:t>4.在签订合同时，乙方明确表示无需预付款或者主动要求降低预付款比例的，甲方可不适用上述关于预付款的规定；</w:t>
      </w:r>
    </w:p>
    <w:p w14:paraId="519E015F">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lang w:val="en-US" w:eastAsia="zh-CN"/>
        </w:rPr>
        <w:t>8.1.</w:t>
      </w:r>
      <w:r>
        <w:rPr>
          <w:rFonts w:hint="eastAsia" w:ascii="宋体" w:hAnsi="宋体" w:eastAsia="宋体" w:cs="宋体"/>
          <w:color w:val="000000"/>
          <w:sz w:val="24"/>
          <w:szCs w:val="24"/>
          <w:highlight w:val="none"/>
          <w:u w:val="none"/>
        </w:rPr>
        <w:t>5.经双方确认后的支付金额，结算时乙方须提供相应金额的有效票据；</w:t>
      </w:r>
    </w:p>
    <w:p w14:paraId="475DFB78">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lang w:val="en-US" w:eastAsia="zh-CN"/>
        </w:rPr>
        <w:t>8.1.</w:t>
      </w:r>
      <w:r>
        <w:rPr>
          <w:rFonts w:hint="eastAsia" w:ascii="宋体" w:hAnsi="宋体" w:eastAsia="宋体" w:cs="宋体"/>
          <w:color w:val="000000"/>
          <w:sz w:val="24"/>
          <w:szCs w:val="24"/>
          <w:highlight w:val="none"/>
          <w:u w:val="none"/>
        </w:rPr>
        <w:t>6.甲方原则上自收到发票后10个工作日内将资金支付到乙方账户。</w:t>
      </w:r>
    </w:p>
    <w:p w14:paraId="171BCEB3">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2" w:firstLineChars="200"/>
        <w:jc w:val="both"/>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九、税费</w:t>
      </w:r>
    </w:p>
    <w:p w14:paraId="330242E3">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9.1本合同执行中相关的一切税费均由乙方负担。</w:t>
      </w:r>
    </w:p>
    <w:p w14:paraId="762A7579">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2" w:firstLineChars="200"/>
        <w:jc w:val="both"/>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十、项目验收</w:t>
      </w:r>
    </w:p>
    <w:p w14:paraId="3131D150">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10.1甲方依法组织履约验收工作。</w:t>
      </w:r>
    </w:p>
    <w:p w14:paraId="7E6A4E42">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50C6D80">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10.3对于实际使用人和甲方分离的项目，甲方邀请实际使用人参与验收。</w:t>
      </w:r>
      <w:r>
        <w:rPr>
          <w:rFonts w:hint="eastAsia" w:ascii="宋体" w:hAnsi="宋体" w:eastAsia="宋体" w:cs="宋体"/>
          <w:color w:val="000000"/>
          <w:sz w:val="24"/>
          <w:szCs w:val="24"/>
          <w:highlight w:val="none"/>
          <w:lang w:val="en-US" w:eastAsia="zh-CN"/>
        </w:rPr>
        <w:t xml:space="preserve"> </w:t>
      </w:r>
    </w:p>
    <w:p w14:paraId="68A72B70">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10.4如有必要，甲方邀请参加本项目的其他供应商或第三方专业机构及专家参与验收，相关意见将作为验收书的参考资料。</w:t>
      </w:r>
    </w:p>
    <w:p w14:paraId="3E7D7A8E">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218C164">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olor w:val="auto"/>
          <w:sz w:val="24"/>
          <w:highlight w:val="none"/>
          <w:shd w:val="clear" w:color="auto" w:fill="auto"/>
          <w:lang w:val="en-US" w:eastAsia="zh-CN"/>
        </w:rPr>
        <w:t>中华人民共和国</w:t>
      </w:r>
      <w:r>
        <w:rPr>
          <w:rFonts w:hint="eastAsia" w:ascii="宋体" w:hAnsi="宋体" w:eastAsia="宋体" w:cs="宋体"/>
          <w:color w:val="000000"/>
          <w:sz w:val="24"/>
          <w:szCs w:val="24"/>
          <w:highlight w:val="none"/>
        </w:rPr>
        <w:t>民法典》。乙方在履约过程中有政府采购法律法规规定的违法违规情形的,甲方将及时报告本级财政部门。</w:t>
      </w:r>
    </w:p>
    <w:p w14:paraId="653FB92F">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2" w:firstLineChars="200"/>
        <w:jc w:val="both"/>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十一、违约责任</w:t>
      </w:r>
    </w:p>
    <w:p w14:paraId="1CAB2208">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11.</w:t>
      </w:r>
      <w:r>
        <w:rPr>
          <w:rFonts w:hint="eastAsia" w:ascii="宋体" w:hAnsi="宋体" w:eastAsia="宋体" w:cs="宋体"/>
          <w:color w:val="000000"/>
          <w:sz w:val="24"/>
          <w:szCs w:val="24"/>
          <w:highlight w:val="none"/>
        </w:rPr>
        <w:t>1甲方不按合同规定付清货款，将按银行同期利率加倍罚息。</w:t>
      </w:r>
    </w:p>
    <w:p w14:paraId="1AEFAE4F">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11.</w:t>
      </w:r>
      <w:r>
        <w:rPr>
          <w:rFonts w:hint="eastAsia" w:ascii="宋体" w:hAnsi="宋体" w:eastAsia="宋体" w:cs="宋体"/>
          <w:color w:val="000000"/>
          <w:sz w:val="24"/>
          <w:szCs w:val="24"/>
          <w:highlight w:val="none"/>
        </w:rPr>
        <w:t>12系统建设完成且正常上线运行后，甲方不在30日内验收，无特殊原因，视同验收合格。</w:t>
      </w:r>
    </w:p>
    <w:p w14:paraId="6AFABE29">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11.</w:t>
      </w:r>
      <w:r>
        <w:rPr>
          <w:rFonts w:hint="eastAsia" w:ascii="宋体" w:hAnsi="宋体" w:eastAsia="宋体" w:cs="宋体"/>
          <w:color w:val="000000"/>
          <w:sz w:val="24"/>
          <w:szCs w:val="24"/>
          <w:highlight w:val="none"/>
        </w:rPr>
        <w:t>13.如果乙方没有在合同签订后90日内完成系统建设且正式上线运营，或有其他未按规定履约行为，延迟按2000元/天承担违约金，在当期服务费中扣除。如造成甲方损失超过违约金的，超出部分由乙方继续承担赔偿责任。</w:t>
      </w:r>
    </w:p>
    <w:p w14:paraId="5AF30E66">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11.</w:t>
      </w:r>
      <w:r>
        <w:rPr>
          <w:rFonts w:hint="eastAsia" w:ascii="宋体" w:hAnsi="宋体" w:eastAsia="宋体" w:cs="宋体"/>
          <w:color w:val="000000"/>
          <w:sz w:val="24"/>
          <w:szCs w:val="24"/>
          <w:highlight w:val="none"/>
        </w:rPr>
        <w:t>14.如果乙方没有按照合同规定履行系统建设服务，甲方有权解除合同并没收乙方履约保证金。</w:t>
      </w:r>
    </w:p>
    <w:p w14:paraId="5747F166">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11.</w:t>
      </w:r>
      <w:r>
        <w:rPr>
          <w:rFonts w:hint="eastAsia" w:ascii="宋体" w:hAnsi="宋体" w:eastAsia="宋体" w:cs="宋体"/>
          <w:color w:val="000000"/>
          <w:sz w:val="24"/>
          <w:szCs w:val="24"/>
          <w:highlight w:val="none"/>
        </w:rPr>
        <w:t>15.发生合同纠纷，由甲方所在地仲裁部门仲裁。</w:t>
      </w:r>
    </w:p>
    <w:p w14:paraId="4DEBACF0">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2" w:firstLineChars="200"/>
        <w:jc w:val="both"/>
        <w:textAlignment w:val="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十二、其他条款</w:t>
      </w:r>
    </w:p>
    <w:p w14:paraId="412D4FCF">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12.1乙方须提供相关产品的租赁服务，其中监控设备、线路、云存储、监控平台、设备监测管理平台，甲方享有在合同期间的使用权。（乙方需做好和一期建设方的协调沟通和数据对接，并按照甲方要求对平台系统做好持续优化升级，确保二期项目顺利建设运行。由此产生的费用由中标人自行承担）</w:t>
      </w:r>
    </w:p>
    <w:p w14:paraId="202CCCBD">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12.2监控平台及设备监测管理平台的源代码，中标单位须无条件交付。</w:t>
      </w:r>
    </w:p>
    <w:p w14:paraId="32FFEAA0">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12.3履约期内运维服务由乙方负责，合同履约结束后，监控设备归甲方所有。履约期满后，如甲方在接受相关设备时发现存在设备数量不足的问题，乙方须无条件补齐所缺设备；如乙方拒不执行，甲方将有权在其未结款项中扣除相应金额的款项（设备价格按正常市场价进行核算）。</w:t>
      </w:r>
    </w:p>
    <w:p w14:paraId="04EC46C6">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12.4乙方须无条件配合甲方与其他平台进行数据对接。如本项目系统平台接入其他系统平台，乙方无需向其他平台支付费用，但需由乙方的人力及技术来完成对接。如其他系统平台接入本项目系统平台，乙方不得收取任何费用，且须提供人力及技术支持确保对接完成。</w:t>
      </w:r>
    </w:p>
    <w:p w14:paraId="32E6E1EB">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12.5乙方须提供服务支持小组5*8小时现场服务。服务工作包括系统使用咨询、系统异常情况处理、硬件设备维修及更换、系统免费升级等服务。并根据用户需要，派技术服务人员到用户现场指导用户完成系统操作，对系统的功能操作或用户提出的其他系统问题进行现场讲解，对用户进行系统操作培训等。</w:t>
      </w:r>
    </w:p>
    <w:p w14:paraId="46D9D497">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12.6电话服务标准：实施服务商提供7*24小时电话服务，在日常技术支持服务中，服务团队接听甲方、用户的热线电话，详细记录问题并解答用户提出的问题，做好问题跟踪记录。对电话服务要求如下：工作日内实时响应客户电话。非工作日30分钟内回复客户电话。</w:t>
      </w:r>
    </w:p>
    <w:p w14:paraId="69760E0A">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12.7故障响应标准：系统开发运维团队须积极与甲方沟通协调，对一般故障，在半小时内响应并在2小时内解决；重大故障在24小时内解决。</w:t>
      </w:r>
    </w:p>
    <w:p w14:paraId="6DC34CDE">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2" w:firstLineChars="200"/>
        <w:jc w:val="both"/>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十</w:t>
      </w:r>
      <w:r>
        <w:rPr>
          <w:rFonts w:hint="eastAsia" w:ascii="宋体" w:hAnsi="宋体" w:eastAsia="宋体" w:cs="宋体"/>
          <w:b/>
          <w:color w:val="000000"/>
          <w:sz w:val="24"/>
          <w:szCs w:val="24"/>
          <w:highlight w:val="none"/>
          <w:lang w:val="en-US" w:eastAsia="zh-CN"/>
        </w:rPr>
        <w:t>三</w:t>
      </w:r>
      <w:r>
        <w:rPr>
          <w:rFonts w:hint="eastAsia" w:ascii="宋体" w:hAnsi="宋体" w:eastAsia="宋体" w:cs="宋体"/>
          <w:b/>
          <w:color w:val="000000"/>
          <w:sz w:val="24"/>
          <w:szCs w:val="24"/>
          <w:highlight w:val="none"/>
        </w:rPr>
        <w:t>、不可抗力事件处理</w:t>
      </w:r>
    </w:p>
    <w:p w14:paraId="79C1DAA8">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.1在合同有效期内，任何一方因不可抗力事件导致不能履行合同，则合同履行期可延长，其延长期与不可抗力影响期相同</w:t>
      </w:r>
    </w:p>
    <w:p w14:paraId="67A685B5">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.2不可抗力事件发生后，应立即通知对方，并寄送有关权威机构出具的证明。</w:t>
      </w:r>
    </w:p>
    <w:p w14:paraId="0097E056">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.3不可抗力事件延续120天以上，双方应通过友好协商，确定是否继续履行合同。</w:t>
      </w:r>
    </w:p>
    <w:p w14:paraId="2F6B2A24">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2" w:firstLineChars="200"/>
        <w:jc w:val="both"/>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十</w:t>
      </w:r>
      <w:r>
        <w:rPr>
          <w:rFonts w:hint="eastAsia" w:ascii="宋体" w:hAnsi="宋体" w:eastAsia="宋体" w:cs="宋体"/>
          <w:b/>
          <w:color w:val="000000"/>
          <w:sz w:val="24"/>
          <w:szCs w:val="24"/>
          <w:highlight w:val="none"/>
          <w:lang w:val="en-US" w:eastAsia="zh-CN"/>
        </w:rPr>
        <w:t>四</w:t>
      </w:r>
      <w:r>
        <w:rPr>
          <w:rFonts w:hint="eastAsia" w:ascii="宋体" w:hAnsi="宋体" w:eastAsia="宋体" w:cs="宋体"/>
          <w:b/>
          <w:color w:val="000000"/>
          <w:sz w:val="24"/>
          <w:szCs w:val="24"/>
          <w:highlight w:val="none"/>
        </w:rPr>
        <w:t>、解决争议的方法</w:t>
      </w:r>
    </w:p>
    <w:p w14:paraId="1450109A">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.1双方在签订、履行合同中所发生的一切争议，应通过友好协商解决。如协商不成，由甲方住所地人民法院管辖。</w:t>
      </w:r>
    </w:p>
    <w:p w14:paraId="0794F371">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2" w:firstLineChars="200"/>
        <w:jc w:val="both"/>
        <w:textAlignment w:val="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十</w:t>
      </w:r>
      <w:r>
        <w:rPr>
          <w:rFonts w:hint="eastAsia" w:ascii="宋体" w:hAnsi="宋体" w:eastAsia="宋体" w:cs="宋体"/>
          <w:b/>
          <w:color w:val="000000"/>
          <w:sz w:val="24"/>
          <w:szCs w:val="24"/>
          <w:highlight w:val="none"/>
          <w:lang w:val="en-US" w:eastAsia="zh-CN"/>
        </w:rPr>
        <w:t>五</w:t>
      </w:r>
      <w:r>
        <w:rPr>
          <w:rFonts w:hint="eastAsia" w:ascii="宋体" w:hAnsi="宋体" w:eastAsia="宋体" w:cs="宋体"/>
          <w:b/>
          <w:color w:val="000000"/>
          <w:sz w:val="24"/>
          <w:szCs w:val="24"/>
          <w:highlight w:val="none"/>
        </w:rPr>
        <w:t>、合同生效及其</w:t>
      </w:r>
      <w:r>
        <w:rPr>
          <w:rFonts w:hint="eastAsia" w:ascii="宋体" w:hAnsi="宋体" w:eastAsia="宋体" w:cs="宋体"/>
          <w:b/>
          <w:color w:val="000000"/>
          <w:sz w:val="24"/>
          <w:szCs w:val="24"/>
          <w:highlight w:val="none"/>
          <w:lang w:eastAsia="zh-CN"/>
        </w:rPr>
        <w:t>他</w:t>
      </w:r>
    </w:p>
    <w:p w14:paraId="19BF0418">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.1合同经双方法定代表人或授权委托代表人签字并加盖单位公章后生效。</w:t>
      </w:r>
    </w:p>
    <w:p w14:paraId="1B9C50E3">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.2本合同未尽事宜，遵照</w:t>
      </w:r>
      <w:r>
        <w:rPr>
          <w:rFonts w:hint="eastAsia" w:ascii="宋体" w:hAnsi="宋体" w:eastAsia="宋体" w:cs="宋体"/>
          <w:color w:val="auto"/>
          <w:highlight w:val="none"/>
          <w:shd w:val="clear" w:color="auto" w:fill="auto"/>
        </w:rPr>
        <w:t>《</w:t>
      </w:r>
      <w:r>
        <w:rPr>
          <w:rFonts w:hint="eastAsia" w:ascii="宋体" w:hAnsi="宋体" w:eastAsia="宋体" w:cs="宋体"/>
          <w:color w:val="auto"/>
          <w:highlight w:val="none"/>
          <w:shd w:val="clear" w:color="auto" w:fill="auto"/>
          <w:lang w:val="en-US" w:eastAsia="zh-CN"/>
        </w:rPr>
        <w:t>中华人民共和国</w:t>
      </w:r>
      <w:r>
        <w:rPr>
          <w:rFonts w:hint="eastAsia" w:ascii="宋体" w:hAnsi="宋体" w:eastAsia="宋体" w:cs="宋体"/>
          <w:color w:val="auto"/>
          <w:sz w:val="24"/>
          <w:szCs w:val="24"/>
          <w:highlight w:val="none"/>
        </w:rPr>
        <w:t>民法典》、</w:t>
      </w:r>
      <w:r>
        <w:rPr>
          <w:rFonts w:hint="eastAsia" w:ascii="宋体" w:hAnsi="宋体" w:eastAsia="宋体" w:cs="宋体"/>
          <w:color w:val="auto"/>
          <w:highlight w:val="none"/>
          <w:shd w:val="clear" w:color="auto" w:fill="auto"/>
        </w:rPr>
        <w:t>《</w:t>
      </w:r>
      <w:r>
        <w:rPr>
          <w:rFonts w:hint="eastAsia" w:ascii="宋体" w:hAnsi="宋体" w:eastAsia="宋体" w:cs="宋体"/>
          <w:color w:val="auto"/>
          <w:highlight w:val="none"/>
          <w:shd w:val="clear" w:color="auto" w:fill="auto"/>
          <w:lang w:val="en-US" w:eastAsia="zh-CN"/>
        </w:rPr>
        <w:t>中华人民共和国</w:t>
      </w:r>
      <w:r>
        <w:rPr>
          <w:rFonts w:hint="eastAsia" w:ascii="宋体" w:hAnsi="宋体" w:eastAsia="宋体" w:cs="宋体"/>
          <w:color w:val="auto"/>
          <w:sz w:val="24"/>
          <w:szCs w:val="24"/>
          <w:highlight w:val="none"/>
        </w:rPr>
        <w:t>政府采购法》有关条文执行。</w:t>
      </w:r>
    </w:p>
    <w:p w14:paraId="7AC8DAFE">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.3本合同一式</w:t>
      </w:r>
      <w:r>
        <w:rPr>
          <w:rFonts w:hint="eastAsia" w:ascii="宋体" w:hAnsi="宋体" w:eastAsia="宋体" w:cs="宋体"/>
          <w:color w:val="000000"/>
          <w:sz w:val="24"/>
          <w:szCs w:val="24"/>
          <w:highlight w:val="none"/>
          <w:u w:val="single"/>
        </w:rPr>
        <w:t xml:space="preserve"> 陆 </w:t>
      </w:r>
      <w:r>
        <w:rPr>
          <w:rFonts w:hint="eastAsia" w:ascii="宋体" w:hAnsi="宋体" w:eastAsia="宋体" w:cs="宋体"/>
          <w:color w:val="000000"/>
          <w:sz w:val="24"/>
          <w:szCs w:val="24"/>
          <w:highlight w:val="none"/>
        </w:rPr>
        <w:t>份，甲乙双方各执贰份，其余用于相关单位存档。</w:t>
      </w:r>
    </w:p>
    <w:p w14:paraId="2B85686E">
      <w:pPr>
        <w:pStyle w:val="11"/>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left="480" w:hanging="480"/>
        <w:jc w:val="both"/>
        <w:textAlignment w:val="auto"/>
        <w:rPr>
          <w:sz w:val="24"/>
          <w:szCs w:val="24"/>
          <w:highlight w:val="none"/>
        </w:rPr>
      </w:pPr>
      <w:r>
        <w:rPr>
          <w:rFonts w:hint="eastAsia" w:ascii="宋体" w:hAnsi="宋体" w:eastAsia="宋体" w:cs="宋体"/>
          <w:color w:val="000000"/>
          <w:sz w:val="24"/>
          <w:szCs w:val="24"/>
          <w:highlight w:val="none"/>
        </w:rPr>
        <w:t> 甲方：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 </w:t>
      </w:r>
    </w:p>
    <w:p w14:paraId="28624A47">
      <w:pPr>
        <w:pStyle w:val="11"/>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 地址：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地址： </w:t>
      </w:r>
    </w:p>
    <w:p w14:paraId="31D6EC24">
      <w:pPr>
        <w:pStyle w:val="11"/>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sz w:val="24"/>
          <w:szCs w:val="24"/>
          <w:highlight w:val="none"/>
        </w:rPr>
      </w:pPr>
      <w:r>
        <w:rPr>
          <w:rFonts w:hint="eastAsia" w:ascii="宋体" w:hAnsi="宋体" w:eastAsia="宋体" w:cs="宋体"/>
          <w:color w:val="000000"/>
          <w:sz w:val="24"/>
          <w:szCs w:val="24"/>
          <w:highlight w:val="none"/>
        </w:rPr>
        <w:t> 法定代表人或授权代表：        法定代表人或授权代表：</w:t>
      </w:r>
    </w:p>
    <w:p w14:paraId="47E210A7">
      <w:pPr>
        <w:pStyle w:val="11"/>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240" w:firstLineChars="100"/>
        <w:jc w:val="both"/>
        <w:textAlignment w:val="auto"/>
        <w:rPr>
          <w:sz w:val="24"/>
          <w:szCs w:val="24"/>
          <w:highlight w:val="none"/>
        </w:rPr>
      </w:pPr>
      <w:r>
        <w:rPr>
          <w:rFonts w:hint="eastAsia" w:ascii="宋体" w:hAnsi="宋体" w:eastAsia="宋体" w:cs="宋体"/>
          <w:color w:val="000000"/>
          <w:sz w:val="24"/>
          <w:szCs w:val="24"/>
          <w:highlight w:val="none"/>
        </w:rPr>
        <w:t>联系电话：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联系电话：          </w:t>
      </w:r>
    </w:p>
    <w:p w14:paraId="1BEF27ED">
      <w:pPr>
        <w:pStyle w:val="11"/>
        <w:keepNext w:val="0"/>
        <w:keepLines w:val="0"/>
        <w:pageBreakBefore w:val="0"/>
        <w:widowControl w:val="0"/>
        <w:kinsoku/>
        <w:wordWrap/>
        <w:overflowPunct/>
        <w:topLinePunct w:val="0"/>
        <w:autoSpaceDE/>
        <w:autoSpaceDN/>
        <w:bidi w:val="0"/>
        <w:adjustRightInd/>
        <w:snapToGrid/>
        <w:spacing w:beforeAutospacing="0" w:afterAutospacing="0" w:line="500" w:lineRule="exact"/>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签订日期：      年    月   日</w:t>
      </w:r>
      <w:bookmarkStart w:id="178" w:name="_Toc479757211"/>
      <w:bookmarkStart w:id="179" w:name="_Toc120614244"/>
      <w:bookmarkStart w:id="180" w:name="_Hlt16619350"/>
      <w:bookmarkStart w:id="181" w:name="_Toc462564139"/>
      <w:bookmarkStart w:id="182" w:name="_Toc16938590"/>
      <w:bookmarkStart w:id="183" w:name="_Toc20823346"/>
      <w:bookmarkStart w:id="184" w:name="_Hlt16619369"/>
    </w:p>
    <w:p w14:paraId="2BDD2EAC">
      <w:pPr>
        <w:pStyle w:val="11"/>
        <w:keepNext w:val="0"/>
        <w:keepLines w:val="0"/>
        <w:pageBreakBefore w:val="0"/>
        <w:widowControl w:val="0"/>
        <w:kinsoku/>
        <w:wordWrap/>
        <w:overflowPunct/>
        <w:topLinePunct w:val="0"/>
        <w:autoSpaceDE/>
        <w:autoSpaceDN/>
        <w:bidi w:val="0"/>
        <w:adjustRightInd/>
        <w:snapToGrid/>
        <w:spacing w:beforeAutospacing="0" w:afterAutospacing="0" w:line="500" w:lineRule="exact"/>
        <w:jc w:val="center"/>
        <w:textAlignment w:val="auto"/>
        <w:rPr>
          <w:rFonts w:hint="eastAsia" w:ascii="宋体" w:hAnsi="宋体" w:eastAsia="宋体" w:cs="宋体"/>
          <w:color w:val="000000"/>
          <w:sz w:val="24"/>
          <w:szCs w:val="24"/>
          <w:highlight w:val="none"/>
        </w:rPr>
      </w:pPr>
    </w:p>
    <w:p w14:paraId="40B37E52">
      <w:pPr>
        <w:pStyle w:val="11"/>
        <w:keepNext w:val="0"/>
        <w:keepLines w:val="0"/>
        <w:pageBreakBefore w:val="0"/>
        <w:widowControl w:val="0"/>
        <w:kinsoku/>
        <w:wordWrap/>
        <w:overflowPunct/>
        <w:topLinePunct w:val="0"/>
        <w:autoSpaceDE/>
        <w:autoSpaceDN/>
        <w:bidi w:val="0"/>
        <w:adjustRightInd/>
        <w:snapToGrid/>
        <w:spacing w:beforeAutospacing="0" w:afterAutospacing="0" w:line="500" w:lineRule="exact"/>
        <w:jc w:val="center"/>
        <w:textAlignment w:val="auto"/>
        <w:rPr>
          <w:rFonts w:hint="eastAsia" w:ascii="宋体" w:hAnsi="宋体" w:eastAsia="宋体" w:cs="宋体"/>
          <w:color w:val="000000"/>
          <w:sz w:val="24"/>
          <w:szCs w:val="24"/>
          <w:highlight w:val="none"/>
        </w:rPr>
      </w:pPr>
    </w:p>
    <w:p w14:paraId="638E68C4">
      <w:pPr>
        <w:pStyle w:val="11"/>
        <w:keepNext w:val="0"/>
        <w:keepLines w:val="0"/>
        <w:pageBreakBefore w:val="0"/>
        <w:widowControl w:val="0"/>
        <w:kinsoku/>
        <w:wordWrap/>
        <w:overflowPunct/>
        <w:topLinePunct w:val="0"/>
        <w:autoSpaceDE/>
        <w:autoSpaceDN/>
        <w:bidi w:val="0"/>
        <w:adjustRightInd/>
        <w:snapToGrid/>
        <w:spacing w:beforeAutospacing="0" w:afterAutospacing="0" w:line="500" w:lineRule="exact"/>
        <w:jc w:val="center"/>
        <w:textAlignment w:val="auto"/>
        <w:rPr>
          <w:rFonts w:hint="eastAsia" w:ascii="宋体" w:hAnsi="宋体" w:eastAsia="宋体" w:cs="宋体"/>
          <w:color w:val="000000"/>
          <w:sz w:val="24"/>
          <w:szCs w:val="24"/>
          <w:highlight w:val="none"/>
        </w:rPr>
      </w:pPr>
    </w:p>
    <w:p w14:paraId="6E8EB916">
      <w:pPr>
        <w:pStyle w:val="11"/>
        <w:keepNext w:val="0"/>
        <w:keepLines w:val="0"/>
        <w:pageBreakBefore w:val="0"/>
        <w:widowControl w:val="0"/>
        <w:kinsoku/>
        <w:wordWrap/>
        <w:overflowPunct/>
        <w:topLinePunct w:val="0"/>
        <w:autoSpaceDE/>
        <w:autoSpaceDN/>
        <w:bidi w:val="0"/>
        <w:adjustRightInd/>
        <w:snapToGrid/>
        <w:spacing w:beforeAutospacing="0" w:afterAutospacing="0" w:line="500" w:lineRule="exact"/>
        <w:jc w:val="center"/>
        <w:textAlignment w:val="auto"/>
        <w:rPr>
          <w:rFonts w:hint="eastAsia" w:ascii="宋体" w:hAnsi="宋体" w:eastAsia="宋体" w:cs="宋体"/>
          <w:color w:val="000000"/>
          <w:sz w:val="24"/>
          <w:szCs w:val="24"/>
          <w:highlight w:val="none"/>
        </w:rPr>
      </w:pPr>
    </w:p>
    <w:p w14:paraId="47CDAC51">
      <w:pPr>
        <w:pStyle w:val="11"/>
        <w:keepNext w:val="0"/>
        <w:keepLines w:val="0"/>
        <w:pageBreakBefore w:val="0"/>
        <w:widowControl w:val="0"/>
        <w:kinsoku/>
        <w:wordWrap/>
        <w:overflowPunct/>
        <w:topLinePunct w:val="0"/>
        <w:autoSpaceDE/>
        <w:autoSpaceDN/>
        <w:bidi w:val="0"/>
        <w:adjustRightInd/>
        <w:snapToGrid/>
        <w:spacing w:beforeAutospacing="0" w:afterAutospacing="0" w:line="500" w:lineRule="exact"/>
        <w:jc w:val="center"/>
        <w:textAlignment w:val="auto"/>
        <w:rPr>
          <w:rFonts w:hint="eastAsia" w:ascii="宋体" w:hAnsi="宋体" w:eastAsia="宋体" w:cs="宋体"/>
          <w:color w:val="000000"/>
          <w:sz w:val="24"/>
          <w:szCs w:val="24"/>
          <w:highlight w:val="none"/>
        </w:rPr>
      </w:pPr>
    </w:p>
    <w:p w14:paraId="75953B78">
      <w:pPr>
        <w:pStyle w:val="11"/>
        <w:keepNext w:val="0"/>
        <w:keepLines w:val="0"/>
        <w:pageBreakBefore w:val="0"/>
        <w:widowControl w:val="0"/>
        <w:kinsoku/>
        <w:wordWrap/>
        <w:overflowPunct/>
        <w:topLinePunct w:val="0"/>
        <w:autoSpaceDE/>
        <w:autoSpaceDN/>
        <w:bidi w:val="0"/>
        <w:adjustRightInd/>
        <w:snapToGrid/>
        <w:spacing w:beforeAutospacing="0" w:afterAutospacing="0" w:line="500" w:lineRule="exact"/>
        <w:jc w:val="center"/>
        <w:textAlignment w:val="auto"/>
        <w:rPr>
          <w:rFonts w:hint="eastAsia" w:ascii="宋体" w:hAnsi="宋体" w:eastAsia="宋体" w:cs="宋体"/>
          <w:color w:val="000000"/>
          <w:sz w:val="24"/>
          <w:szCs w:val="24"/>
          <w:highlight w:val="none"/>
        </w:rPr>
      </w:pPr>
    </w:p>
    <w:p w14:paraId="6E9058FB">
      <w:pPr>
        <w:pStyle w:val="11"/>
        <w:keepNext w:val="0"/>
        <w:keepLines w:val="0"/>
        <w:pageBreakBefore w:val="0"/>
        <w:widowControl w:val="0"/>
        <w:kinsoku/>
        <w:wordWrap/>
        <w:overflowPunct/>
        <w:topLinePunct w:val="0"/>
        <w:autoSpaceDE/>
        <w:autoSpaceDN/>
        <w:bidi w:val="0"/>
        <w:adjustRightInd/>
        <w:snapToGrid/>
        <w:spacing w:beforeAutospacing="0" w:afterAutospacing="0" w:line="500" w:lineRule="exact"/>
        <w:jc w:val="center"/>
        <w:textAlignment w:val="auto"/>
        <w:rPr>
          <w:rFonts w:hint="eastAsia" w:ascii="宋体" w:hAnsi="宋体" w:eastAsia="宋体" w:cs="宋体"/>
          <w:color w:val="000000"/>
          <w:sz w:val="24"/>
          <w:szCs w:val="24"/>
          <w:highlight w:val="none"/>
        </w:rPr>
      </w:pPr>
    </w:p>
    <w:p w14:paraId="5568EF5E">
      <w:pPr>
        <w:pStyle w:val="11"/>
        <w:keepNext w:val="0"/>
        <w:keepLines w:val="0"/>
        <w:pageBreakBefore w:val="0"/>
        <w:widowControl w:val="0"/>
        <w:kinsoku/>
        <w:wordWrap/>
        <w:overflowPunct/>
        <w:topLinePunct w:val="0"/>
        <w:autoSpaceDE/>
        <w:autoSpaceDN/>
        <w:bidi w:val="0"/>
        <w:adjustRightInd/>
        <w:snapToGrid/>
        <w:spacing w:beforeAutospacing="0" w:afterAutospacing="0" w:line="500" w:lineRule="exact"/>
        <w:jc w:val="center"/>
        <w:textAlignment w:val="auto"/>
        <w:rPr>
          <w:rFonts w:hint="eastAsia" w:ascii="宋体" w:hAnsi="宋体" w:eastAsia="宋体" w:cs="宋体"/>
          <w:color w:val="000000"/>
          <w:sz w:val="24"/>
          <w:szCs w:val="24"/>
          <w:highlight w:val="none"/>
        </w:rPr>
      </w:pPr>
    </w:p>
    <w:p w14:paraId="4ECA51AA">
      <w:pPr>
        <w:pStyle w:val="11"/>
        <w:keepNext w:val="0"/>
        <w:keepLines w:val="0"/>
        <w:pageBreakBefore w:val="0"/>
        <w:widowControl w:val="0"/>
        <w:kinsoku/>
        <w:wordWrap/>
        <w:overflowPunct/>
        <w:topLinePunct w:val="0"/>
        <w:autoSpaceDE/>
        <w:autoSpaceDN/>
        <w:bidi w:val="0"/>
        <w:adjustRightInd/>
        <w:snapToGrid/>
        <w:spacing w:beforeAutospacing="0" w:afterAutospacing="0" w:line="500" w:lineRule="exact"/>
        <w:jc w:val="center"/>
        <w:textAlignment w:val="auto"/>
        <w:rPr>
          <w:rFonts w:hint="eastAsia" w:ascii="宋体" w:hAnsi="宋体" w:eastAsia="宋体" w:cs="宋体"/>
          <w:color w:val="000000"/>
          <w:sz w:val="24"/>
          <w:szCs w:val="24"/>
          <w:highlight w:val="none"/>
        </w:rPr>
      </w:pPr>
    </w:p>
    <w:p w14:paraId="3E04FCAA">
      <w:pPr>
        <w:pStyle w:val="11"/>
        <w:keepNext/>
        <w:spacing w:beforeAutospacing="0" w:afterAutospacing="0"/>
        <w:jc w:val="center"/>
        <w:outlineLvl w:val="0"/>
        <w:rPr>
          <w:rFonts w:hint="eastAsia" w:ascii="黑体" w:hAnsi="宋体" w:eastAsia="黑体" w:cs="黑体"/>
          <w:color w:val="000000"/>
          <w:sz w:val="44"/>
          <w:szCs w:val="44"/>
          <w:highlight w:val="none"/>
        </w:rPr>
      </w:pPr>
      <w:bookmarkStart w:id="185" w:name="_Toc28983"/>
      <w:r>
        <w:rPr>
          <w:rFonts w:hint="eastAsia" w:ascii="黑体" w:hAnsi="宋体" w:eastAsia="黑体" w:cs="黑体"/>
          <w:color w:val="000000"/>
          <w:sz w:val="44"/>
          <w:szCs w:val="44"/>
          <w:highlight w:val="none"/>
        </w:rPr>
        <w:t>第</w:t>
      </w:r>
      <w:bookmarkEnd w:id="178"/>
      <w:r>
        <w:rPr>
          <w:rFonts w:hint="eastAsia" w:ascii="黑体" w:hAnsi="宋体" w:eastAsia="黑体" w:cs="黑体"/>
          <w:color w:val="000000"/>
          <w:sz w:val="44"/>
          <w:szCs w:val="44"/>
          <w:highlight w:val="none"/>
        </w:rPr>
        <w:t xml:space="preserve">四章 </w:t>
      </w: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采购需求</w:t>
      </w:r>
      <w:bookmarkEnd w:id="179"/>
      <w:bookmarkEnd w:id="180"/>
      <w:bookmarkEnd w:id="181"/>
      <w:bookmarkEnd w:id="182"/>
      <w:bookmarkEnd w:id="183"/>
      <w:bookmarkEnd w:id="185"/>
    </w:p>
    <w:p w14:paraId="04CF46EE">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项目属性:服务类项目。</w:t>
      </w:r>
    </w:p>
    <w:p w14:paraId="6FC26D22">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一、招标内容</w:t>
      </w:r>
    </w:p>
    <w:p w14:paraId="16DFE7FF">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为了促进全市食品生产经营单位进一步落实食品安全主体责任，为食品生产经营单位提供现场管理、公众开放等需求，打造一个便民平台，不断提升我市食品安全整体水平；同时加强信息公开力度，让社会公众直接参与食品安全，实现社会共治；也为监管部门提供优质的辅助监管服务，为日常监管执法检查提供及时、可靠的图像信息、业务数据，提升监管的主动性、覆盖面和工作效率。东台市市场监管局拟建设食品安全信息化监管平台（包含硬件及配套服务两部分）。</w:t>
      </w:r>
    </w:p>
    <w:p w14:paraId="57E1B81E">
      <w:pPr>
        <w:keepNext w:val="0"/>
        <w:keepLines w:val="0"/>
        <w:pageBreakBefore w:val="0"/>
        <w:widowControl w:val="0"/>
        <w:kinsoku/>
        <w:wordWrap/>
        <w:overflowPunct/>
        <w:topLinePunct w:val="0"/>
        <w:autoSpaceDE w:val="0"/>
        <w:autoSpaceDN w:val="0"/>
        <w:bidi w:val="0"/>
        <w:adjustRightInd w:val="0"/>
        <w:snapToGrid/>
        <w:spacing w:line="440" w:lineRule="exact"/>
        <w:ind w:left="840" w:hanging="42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二、采购内容</w:t>
      </w:r>
    </w:p>
    <w:tbl>
      <w:tblPr>
        <w:tblStyle w:val="12"/>
        <w:tblW w:w="5000" w:type="pct"/>
        <w:jc w:val="center"/>
        <w:tblLayout w:type="fixed"/>
        <w:tblCellMar>
          <w:top w:w="0" w:type="dxa"/>
          <w:left w:w="108" w:type="dxa"/>
          <w:bottom w:w="0" w:type="dxa"/>
          <w:right w:w="108" w:type="dxa"/>
        </w:tblCellMar>
      </w:tblPr>
      <w:tblGrid>
        <w:gridCol w:w="723"/>
        <w:gridCol w:w="5193"/>
        <w:gridCol w:w="1350"/>
        <w:gridCol w:w="1256"/>
      </w:tblGrid>
      <w:tr w14:paraId="4272CB65">
        <w:tblPrEx>
          <w:tblCellMar>
            <w:top w:w="0" w:type="dxa"/>
            <w:left w:w="108" w:type="dxa"/>
            <w:bottom w:w="0" w:type="dxa"/>
            <w:right w:w="108" w:type="dxa"/>
          </w:tblCellMar>
        </w:tblPrEx>
        <w:trPr>
          <w:trHeight w:val="495" w:hRule="atLeast"/>
          <w:jc w:val="center"/>
        </w:trPr>
        <w:tc>
          <w:tcPr>
            <w:tcW w:w="424" w:type="pct"/>
            <w:tcBorders>
              <w:top w:val="single" w:color="000000" w:sz="4" w:space="0"/>
              <w:left w:val="single" w:color="000000" w:sz="4" w:space="0"/>
              <w:bottom w:val="single" w:color="000000" w:sz="4" w:space="0"/>
              <w:right w:val="single" w:color="000000" w:sz="4" w:space="0"/>
            </w:tcBorders>
            <w:noWrap/>
            <w:vAlign w:val="center"/>
          </w:tcPr>
          <w:p w14:paraId="03E97866">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序号</w:t>
            </w:r>
          </w:p>
        </w:tc>
        <w:tc>
          <w:tcPr>
            <w:tcW w:w="3046" w:type="pct"/>
            <w:tcBorders>
              <w:top w:val="single" w:color="000000" w:sz="4" w:space="0"/>
              <w:left w:val="single" w:color="000000" w:sz="4" w:space="0"/>
              <w:bottom w:val="single" w:color="000000" w:sz="4" w:space="0"/>
              <w:right w:val="single" w:color="000000" w:sz="4" w:space="0"/>
            </w:tcBorders>
            <w:noWrap/>
            <w:vAlign w:val="center"/>
          </w:tcPr>
          <w:p w14:paraId="11AE359B">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产品名称</w:t>
            </w:r>
          </w:p>
        </w:tc>
        <w:tc>
          <w:tcPr>
            <w:tcW w:w="792" w:type="pct"/>
            <w:tcBorders>
              <w:top w:val="single" w:color="000000" w:sz="4" w:space="0"/>
              <w:left w:val="single" w:color="000000" w:sz="4" w:space="0"/>
              <w:bottom w:val="single" w:color="000000" w:sz="4" w:space="0"/>
              <w:right w:val="single" w:color="000000" w:sz="4" w:space="0"/>
            </w:tcBorders>
            <w:noWrap/>
            <w:vAlign w:val="center"/>
          </w:tcPr>
          <w:p w14:paraId="48D47AAE">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单位</w:t>
            </w:r>
          </w:p>
        </w:tc>
        <w:tc>
          <w:tcPr>
            <w:tcW w:w="736" w:type="pct"/>
            <w:tcBorders>
              <w:top w:val="single" w:color="000000" w:sz="4" w:space="0"/>
              <w:left w:val="single" w:color="000000" w:sz="4" w:space="0"/>
              <w:bottom w:val="single" w:color="000000" w:sz="4" w:space="0"/>
              <w:right w:val="single" w:color="000000" w:sz="4" w:space="0"/>
            </w:tcBorders>
            <w:noWrap/>
            <w:vAlign w:val="center"/>
          </w:tcPr>
          <w:p w14:paraId="3D78BDF9">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数量</w:t>
            </w:r>
          </w:p>
        </w:tc>
      </w:tr>
      <w:tr w14:paraId="1FCD7955">
        <w:tblPrEx>
          <w:tblCellMar>
            <w:top w:w="0" w:type="dxa"/>
            <w:left w:w="108" w:type="dxa"/>
            <w:bottom w:w="0" w:type="dxa"/>
            <w:right w:w="108" w:type="dxa"/>
          </w:tblCellMar>
        </w:tblPrEx>
        <w:trPr>
          <w:trHeight w:val="495" w:hRule="atLeast"/>
          <w:jc w:val="center"/>
        </w:trPr>
        <w:tc>
          <w:tcPr>
            <w:tcW w:w="424" w:type="pct"/>
            <w:tcBorders>
              <w:top w:val="single" w:color="000000" w:sz="4" w:space="0"/>
              <w:left w:val="single" w:color="000000" w:sz="4" w:space="0"/>
              <w:bottom w:val="single" w:color="000000" w:sz="4" w:space="0"/>
              <w:right w:val="single" w:color="000000" w:sz="4" w:space="0"/>
            </w:tcBorders>
            <w:noWrap/>
            <w:vAlign w:val="center"/>
          </w:tcPr>
          <w:p w14:paraId="41ED0EBA">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1</w:t>
            </w:r>
          </w:p>
        </w:tc>
        <w:tc>
          <w:tcPr>
            <w:tcW w:w="3046" w:type="pct"/>
            <w:tcBorders>
              <w:top w:val="single" w:color="000000" w:sz="4" w:space="0"/>
              <w:left w:val="single" w:color="000000" w:sz="4" w:space="0"/>
              <w:bottom w:val="single" w:color="000000" w:sz="4" w:space="0"/>
              <w:right w:val="single" w:color="000000" w:sz="4" w:space="0"/>
            </w:tcBorders>
            <w:noWrap/>
            <w:vAlign w:val="center"/>
          </w:tcPr>
          <w:p w14:paraId="72617FA6">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监控</w:t>
            </w:r>
            <w:r>
              <w:rPr>
                <w:rFonts w:hint="eastAsia" w:ascii="宋体" w:hAnsi="宋体" w:eastAsia="宋体" w:cs="宋体"/>
                <w:color w:val="auto"/>
                <w:kern w:val="0"/>
                <w:sz w:val="22"/>
                <w:szCs w:val="22"/>
                <w:highlight w:val="none"/>
                <w:lang w:eastAsia="zh-CN" w:bidi="ar"/>
              </w:rPr>
              <w:t>设备</w:t>
            </w:r>
            <w:r>
              <w:rPr>
                <w:rFonts w:hint="eastAsia" w:ascii="宋体" w:hAnsi="宋体" w:eastAsia="宋体" w:cs="宋体"/>
                <w:color w:val="auto"/>
                <w:kern w:val="0"/>
                <w:sz w:val="22"/>
                <w:szCs w:val="22"/>
                <w:highlight w:val="none"/>
                <w:lang w:bidi="ar"/>
              </w:rPr>
              <w:t>（防爆、防油污、含10项AI功能</w:t>
            </w:r>
            <w:r>
              <w:rPr>
                <w:rFonts w:hint="eastAsia" w:ascii="宋体" w:hAnsi="宋体" w:eastAsia="宋体" w:cs="宋体"/>
                <w:color w:val="auto"/>
                <w:kern w:val="0"/>
                <w:sz w:val="22"/>
                <w:szCs w:val="22"/>
                <w:highlight w:val="none"/>
                <w:lang w:eastAsia="zh-CN" w:bidi="ar"/>
              </w:rPr>
              <w:t>、</w:t>
            </w:r>
            <w:r>
              <w:rPr>
                <w:rFonts w:hint="eastAsia" w:ascii="宋体" w:hAnsi="宋体" w:eastAsia="宋体" w:cs="宋体"/>
                <w:color w:val="auto"/>
                <w:kern w:val="0"/>
                <w:sz w:val="22"/>
                <w:szCs w:val="22"/>
                <w:highlight w:val="none"/>
                <w:lang w:bidi="ar"/>
              </w:rPr>
              <w:t>视频传输线路</w:t>
            </w:r>
            <w:r>
              <w:rPr>
                <w:rFonts w:hint="eastAsia" w:ascii="宋体" w:hAnsi="宋体" w:eastAsia="宋体" w:cs="宋体"/>
                <w:color w:val="auto"/>
                <w:kern w:val="0"/>
                <w:sz w:val="22"/>
                <w:szCs w:val="22"/>
                <w:highlight w:val="none"/>
                <w:lang w:eastAsia="zh-CN" w:bidi="ar"/>
              </w:rPr>
              <w:t>、</w:t>
            </w:r>
            <w:r>
              <w:rPr>
                <w:rFonts w:hint="eastAsia" w:ascii="宋体" w:hAnsi="宋体" w:eastAsia="宋体" w:cs="宋体"/>
                <w:color w:val="auto"/>
                <w:kern w:val="0"/>
                <w:sz w:val="22"/>
                <w:szCs w:val="22"/>
                <w:highlight w:val="none"/>
                <w:lang w:bidi="ar"/>
              </w:rPr>
              <w:t>7天云存储）</w:t>
            </w:r>
          </w:p>
        </w:tc>
        <w:tc>
          <w:tcPr>
            <w:tcW w:w="792" w:type="pct"/>
            <w:tcBorders>
              <w:top w:val="single" w:color="000000" w:sz="4" w:space="0"/>
              <w:left w:val="single" w:color="000000" w:sz="4" w:space="0"/>
              <w:bottom w:val="single" w:color="000000" w:sz="4" w:space="0"/>
              <w:right w:val="single" w:color="000000" w:sz="4" w:space="0"/>
            </w:tcBorders>
            <w:noWrap/>
            <w:vAlign w:val="center"/>
          </w:tcPr>
          <w:p w14:paraId="03B4305A">
            <w:pPr>
              <w:widowControl/>
              <w:jc w:val="center"/>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kern w:val="0"/>
                <w:sz w:val="22"/>
                <w:szCs w:val="22"/>
                <w:highlight w:val="none"/>
                <w:lang w:eastAsia="zh-CN" w:bidi="ar"/>
              </w:rPr>
              <w:t>家（</w:t>
            </w:r>
            <w:r>
              <w:rPr>
                <w:rFonts w:hint="eastAsia" w:ascii="宋体" w:hAnsi="宋体" w:eastAsia="宋体" w:cs="宋体"/>
                <w:color w:val="auto"/>
                <w:kern w:val="0"/>
                <w:sz w:val="22"/>
                <w:szCs w:val="22"/>
                <w:highlight w:val="none"/>
                <w:lang w:bidi="ar"/>
              </w:rPr>
              <w:t>点位</w:t>
            </w:r>
            <w:r>
              <w:rPr>
                <w:rFonts w:hint="eastAsia" w:ascii="宋体" w:hAnsi="宋体" w:eastAsia="宋体" w:cs="宋体"/>
                <w:color w:val="auto"/>
                <w:kern w:val="0"/>
                <w:sz w:val="22"/>
                <w:szCs w:val="22"/>
                <w:highlight w:val="none"/>
                <w:lang w:eastAsia="zh-CN" w:bidi="ar"/>
              </w:rPr>
              <w:t>）</w:t>
            </w:r>
          </w:p>
        </w:tc>
        <w:tc>
          <w:tcPr>
            <w:tcW w:w="736" w:type="pct"/>
            <w:tcBorders>
              <w:top w:val="single" w:color="000000" w:sz="4" w:space="0"/>
              <w:left w:val="single" w:color="000000" w:sz="4" w:space="0"/>
              <w:bottom w:val="single" w:color="000000" w:sz="4" w:space="0"/>
              <w:right w:val="single" w:color="000000" w:sz="4" w:space="0"/>
            </w:tcBorders>
            <w:noWrap/>
            <w:vAlign w:val="center"/>
          </w:tcPr>
          <w:p w14:paraId="33C052E9">
            <w:pPr>
              <w:widowControl/>
              <w:jc w:val="center"/>
              <w:textAlignment w:val="center"/>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eastAsia="zh-CN" w:bidi="ar"/>
              </w:rPr>
              <w:t>1000</w:t>
            </w:r>
          </w:p>
        </w:tc>
      </w:tr>
      <w:tr w14:paraId="0497FFEE">
        <w:tblPrEx>
          <w:tblCellMar>
            <w:top w:w="0" w:type="dxa"/>
            <w:left w:w="108" w:type="dxa"/>
            <w:bottom w:w="0" w:type="dxa"/>
            <w:right w:w="108" w:type="dxa"/>
          </w:tblCellMar>
        </w:tblPrEx>
        <w:trPr>
          <w:trHeight w:val="495" w:hRule="atLeast"/>
          <w:jc w:val="center"/>
        </w:trPr>
        <w:tc>
          <w:tcPr>
            <w:tcW w:w="424" w:type="pct"/>
            <w:tcBorders>
              <w:top w:val="single" w:color="000000" w:sz="4" w:space="0"/>
              <w:left w:val="single" w:color="000000" w:sz="4" w:space="0"/>
              <w:bottom w:val="single" w:color="000000" w:sz="4" w:space="0"/>
              <w:right w:val="single" w:color="000000" w:sz="4" w:space="0"/>
            </w:tcBorders>
            <w:noWrap/>
            <w:vAlign w:val="center"/>
          </w:tcPr>
          <w:p w14:paraId="40E52E21">
            <w:pPr>
              <w:widowControl/>
              <w:jc w:val="center"/>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kern w:val="0"/>
                <w:sz w:val="22"/>
                <w:szCs w:val="22"/>
                <w:highlight w:val="none"/>
                <w:lang w:val="en-US" w:eastAsia="zh-CN" w:bidi="ar"/>
              </w:rPr>
              <w:t>2</w:t>
            </w:r>
          </w:p>
        </w:tc>
        <w:tc>
          <w:tcPr>
            <w:tcW w:w="3046" w:type="pct"/>
            <w:tcBorders>
              <w:top w:val="single" w:color="000000" w:sz="4" w:space="0"/>
              <w:left w:val="single" w:color="000000" w:sz="4" w:space="0"/>
              <w:bottom w:val="single" w:color="000000" w:sz="4" w:space="0"/>
              <w:right w:val="single" w:color="000000" w:sz="4" w:space="0"/>
            </w:tcBorders>
            <w:noWrap/>
            <w:vAlign w:val="center"/>
          </w:tcPr>
          <w:p w14:paraId="71097427">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监控平台</w:t>
            </w:r>
          </w:p>
        </w:tc>
        <w:tc>
          <w:tcPr>
            <w:tcW w:w="792" w:type="pct"/>
            <w:tcBorders>
              <w:top w:val="single" w:color="000000" w:sz="4" w:space="0"/>
              <w:left w:val="single" w:color="000000" w:sz="4" w:space="0"/>
              <w:bottom w:val="single" w:color="000000" w:sz="4" w:space="0"/>
              <w:right w:val="single" w:color="000000" w:sz="4" w:space="0"/>
            </w:tcBorders>
            <w:noWrap/>
            <w:vAlign w:val="center"/>
          </w:tcPr>
          <w:p w14:paraId="3CFA8B58">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套</w:t>
            </w:r>
          </w:p>
        </w:tc>
        <w:tc>
          <w:tcPr>
            <w:tcW w:w="736" w:type="pct"/>
            <w:tcBorders>
              <w:top w:val="single" w:color="000000" w:sz="4" w:space="0"/>
              <w:left w:val="single" w:color="000000" w:sz="4" w:space="0"/>
              <w:bottom w:val="single" w:color="000000" w:sz="4" w:space="0"/>
              <w:right w:val="single" w:color="000000" w:sz="4" w:space="0"/>
            </w:tcBorders>
            <w:noWrap/>
            <w:vAlign w:val="center"/>
          </w:tcPr>
          <w:p w14:paraId="4BDA1242">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bidi="ar"/>
              </w:rPr>
              <w:t>1</w:t>
            </w:r>
          </w:p>
        </w:tc>
      </w:tr>
    </w:tbl>
    <w:p w14:paraId="359CBB79">
      <w:pPr>
        <w:keepNext w:val="0"/>
        <w:keepLines w:val="0"/>
        <w:pageBreakBefore w:val="0"/>
        <w:widowControl w:val="0"/>
        <w:kinsoku/>
        <w:wordWrap/>
        <w:overflowPunct/>
        <w:topLinePunct w:val="0"/>
        <w:autoSpaceDE w:val="0"/>
        <w:autoSpaceDN w:val="0"/>
        <w:bidi w:val="0"/>
        <w:adjustRightInd w:val="0"/>
        <w:snapToGrid/>
        <w:spacing w:line="440" w:lineRule="exact"/>
        <w:ind w:left="42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三、配套服务</w:t>
      </w:r>
    </w:p>
    <w:p w14:paraId="5ED51522">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配套服务的主要内容包括培训服务、基础建设、运维服务等。具体服务内容及清单如下：</w:t>
      </w:r>
    </w:p>
    <w:p w14:paraId="4B78FC94">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（1）视频应用服务</w:t>
      </w:r>
    </w:p>
    <w:p w14:paraId="6AFE4513">
      <w:pPr>
        <w:keepNext w:val="0"/>
        <w:keepLines w:val="0"/>
        <w:pageBreakBefore w:val="0"/>
        <w:widowControl w:val="0"/>
        <w:kinsoku/>
        <w:wordWrap/>
        <w:overflowPunct/>
        <w:topLinePunct w:val="0"/>
        <w:autoSpaceDE w:val="0"/>
        <w:autoSpaceDN w:val="0"/>
        <w:bidi w:val="0"/>
        <w:adjustRightInd w:val="0"/>
        <w:snapToGrid/>
        <w:spacing w:line="440" w:lineRule="exact"/>
        <w:ind w:left="479" w:leftChars="228" w:firstLine="0" w:firstLineChars="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为消费者、食品生产经营单位、监管部门提供多路实时视频直播、回放服务（2）业务应用管理服务</w:t>
      </w:r>
    </w:p>
    <w:p w14:paraId="0F7DFBC1">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对食品生产经营单位进行规范化、透明化的管理服务；为消费者提供相关证照、食品安全信息查询服务。</w:t>
      </w:r>
    </w:p>
    <w:p w14:paraId="7E97BC3E">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（3）调试服务</w:t>
      </w:r>
    </w:p>
    <w:p w14:paraId="44BB0463">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信息化监管初始化调试及测试服务，在服务上线初期针对食品生产经营单位提供专人现场指导、调试服务。</w:t>
      </w:r>
    </w:p>
    <w:p w14:paraId="1CEA42B8">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（4）对接服务</w:t>
      </w:r>
    </w:p>
    <w:p w14:paraId="7C60DD1F">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根据甲方要求，实现食品安全信息化监管平台内所有网络餐饮商户实时视频和第三方网络餐饮平台的数据对接。</w:t>
      </w:r>
    </w:p>
    <w:p w14:paraId="217B8509">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（5）培训服务</w:t>
      </w:r>
    </w:p>
    <w:p w14:paraId="26B8D678">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监管部门、食品生产经营单位培训服务：对监管部门，着重于介绍系统服务的主要功能，以详细介绍操作原则、流程制定及相关监管经验的交流为重点；对食品生产经营单位，以初期上线的食品生产经营单位为试点，帮助他们掌握微信小程序操作流程。</w:t>
      </w:r>
    </w:p>
    <w:p w14:paraId="6A99570E">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（6）运维服务</w:t>
      </w:r>
    </w:p>
    <w:p w14:paraId="65B47438">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在全市设置食品安全信息化监管服务网格，为上线的食品生产经营单位提供及时的故障排查、故障检修服务；及时响应用户疑惑，协助用户处理难题。</w:t>
      </w:r>
    </w:p>
    <w:p w14:paraId="1A80B3F9">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四、具体参数及功能</w:t>
      </w:r>
    </w:p>
    <w:p w14:paraId="5DEB5912">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（1）硬件参数</w:t>
      </w:r>
    </w:p>
    <w:tbl>
      <w:tblPr>
        <w:tblStyle w:val="12"/>
        <w:tblW w:w="5000" w:type="pct"/>
        <w:tblInd w:w="0" w:type="dxa"/>
        <w:tblLayout w:type="autofit"/>
        <w:tblCellMar>
          <w:top w:w="0" w:type="dxa"/>
          <w:left w:w="108" w:type="dxa"/>
          <w:bottom w:w="0" w:type="dxa"/>
          <w:right w:w="108" w:type="dxa"/>
        </w:tblCellMar>
      </w:tblPr>
      <w:tblGrid>
        <w:gridCol w:w="1057"/>
        <w:gridCol w:w="1812"/>
        <w:gridCol w:w="5653"/>
      </w:tblGrid>
      <w:tr w14:paraId="71400A30">
        <w:tblPrEx>
          <w:tblCellMar>
            <w:top w:w="0" w:type="dxa"/>
            <w:left w:w="108" w:type="dxa"/>
            <w:bottom w:w="0" w:type="dxa"/>
            <w:right w:w="108" w:type="dxa"/>
          </w:tblCellMar>
        </w:tblPrEx>
        <w:trPr>
          <w:trHeight w:val="288" w:hRule="atLeast"/>
        </w:trPr>
        <w:tc>
          <w:tcPr>
            <w:tcW w:w="620" w:type="pct"/>
            <w:tcBorders>
              <w:top w:val="single" w:color="000000" w:sz="4" w:space="0"/>
              <w:left w:val="single" w:color="000000" w:sz="4" w:space="0"/>
              <w:bottom w:val="single" w:color="000000" w:sz="4" w:space="0"/>
              <w:right w:val="single" w:color="000000" w:sz="4" w:space="0"/>
            </w:tcBorders>
            <w:noWrap/>
            <w:vAlign w:val="center"/>
          </w:tcPr>
          <w:p w14:paraId="18E832C7">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序号</w:t>
            </w:r>
          </w:p>
        </w:tc>
        <w:tc>
          <w:tcPr>
            <w:tcW w:w="1063" w:type="pct"/>
            <w:tcBorders>
              <w:top w:val="single" w:color="000000" w:sz="4" w:space="0"/>
              <w:left w:val="single" w:color="000000" w:sz="4" w:space="0"/>
              <w:bottom w:val="single" w:color="000000" w:sz="4" w:space="0"/>
              <w:right w:val="single" w:color="000000" w:sz="4" w:space="0"/>
            </w:tcBorders>
            <w:noWrap/>
            <w:vAlign w:val="center"/>
          </w:tcPr>
          <w:p w14:paraId="77F1781B">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产品名称</w:t>
            </w:r>
          </w:p>
        </w:tc>
        <w:tc>
          <w:tcPr>
            <w:tcW w:w="3316" w:type="pct"/>
            <w:tcBorders>
              <w:top w:val="single" w:color="000000" w:sz="4" w:space="0"/>
              <w:left w:val="single" w:color="000000" w:sz="4" w:space="0"/>
              <w:bottom w:val="single" w:color="000000" w:sz="4" w:space="0"/>
              <w:right w:val="single" w:color="000000" w:sz="4" w:space="0"/>
            </w:tcBorders>
            <w:noWrap w:val="0"/>
            <w:vAlign w:val="center"/>
          </w:tcPr>
          <w:p w14:paraId="35F9C5A3">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功能及技术参数</w:t>
            </w:r>
          </w:p>
        </w:tc>
      </w:tr>
      <w:tr w14:paraId="60F13D40">
        <w:tblPrEx>
          <w:tblCellMar>
            <w:top w:w="0" w:type="dxa"/>
            <w:left w:w="108" w:type="dxa"/>
            <w:bottom w:w="0" w:type="dxa"/>
            <w:right w:w="108" w:type="dxa"/>
          </w:tblCellMar>
        </w:tblPrEx>
        <w:trPr>
          <w:trHeight w:val="969" w:hRule="atLeast"/>
        </w:trPr>
        <w:tc>
          <w:tcPr>
            <w:tcW w:w="620" w:type="pct"/>
            <w:tcBorders>
              <w:top w:val="single" w:color="000000" w:sz="4" w:space="0"/>
              <w:left w:val="single" w:color="000000" w:sz="4" w:space="0"/>
              <w:bottom w:val="single" w:color="000000" w:sz="4" w:space="0"/>
              <w:right w:val="single" w:color="000000" w:sz="4" w:space="0"/>
            </w:tcBorders>
            <w:noWrap/>
            <w:vAlign w:val="center"/>
          </w:tcPr>
          <w:p w14:paraId="75E6EF20">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1</w:t>
            </w:r>
          </w:p>
        </w:tc>
        <w:tc>
          <w:tcPr>
            <w:tcW w:w="1063" w:type="pct"/>
            <w:tcBorders>
              <w:top w:val="single" w:color="000000" w:sz="4" w:space="0"/>
              <w:left w:val="single" w:color="000000" w:sz="4" w:space="0"/>
              <w:bottom w:val="single" w:color="000000" w:sz="4" w:space="0"/>
              <w:right w:val="single" w:color="000000" w:sz="4" w:space="0"/>
            </w:tcBorders>
            <w:noWrap/>
            <w:vAlign w:val="center"/>
          </w:tcPr>
          <w:p w14:paraId="6FDC2448">
            <w:pPr>
              <w:widowControl/>
              <w:jc w:val="center"/>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kern w:val="0"/>
                <w:sz w:val="22"/>
                <w:szCs w:val="22"/>
                <w:highlight w:val="none"/>
                <w:lang w:bidi="ar"/>
              </w:rPr>
              <w:t>监控</w:t>
            </w:r>
            <w:r>
              <w:rPr>
                <w:rFonts w:hint="eastAsia" w:ascii="宋体" w:hAnsi="宋体" w:eastAsia="宋体" w:cs="宋体"/>
                <w:color w:val="auto"/>
                <w:kern w:val="0"/>
                <w:sz w:val="22"/>
                <w:szCs w:val="22"/>
                <w:highlight w:val="none"/>
                <w:lang w:eastAsia="zh-CN" w:bidi="ar"/>
              </w:rPr>
              <w:t>设备</w:t>
            </w:r>
          </w:p>
        </w:tc>
        <w:tc>
          <w:tcPr>
            <w:tcW w:w="3316" w:type="pct"/>
            <w:tcBorders>
              <w:top w:val="single" w:color="000000" w:sz="4" w:space="0"/>
              <w:left w:val="single" w:color="000000" w:sz="4" w:space="0"/>
              <w:bottom w:val="single" w:color="000000" w:sz="4" w:space="0"/>
              <w:right w:val="single" w:color="000000" w:sz="4" w:space="0"/>
            </w:tcBorders>
            <w:noWrap w:val="0"/>
            <w:vAlign w:val="center"/>
          </w:tcPr>
          <w:p w14:paraId="2F2F23F6">
            <w:pPr>
              <w:widowControl/>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kern w:val="0"/>
                <w:sz w:val="22"/>
                <w:szCs w:val="22"/>
                <w:highlight w:val="none"/>
                <w:lang w:bidi="ar"/>
              </w:rPr>
              <w:t>防油污球机，像素≽400万，支持云存储；最低照度≽0.1Lux；红外夜视距离≽30米；可见光距离≽20米；支持H.265；支持双向语音；SD卡容量最大支持128GB；防护等级≽IP67；工作温度：-30℃ to +50℃（含10项AI功能</w:t>
            </w:r>
            <w:r>
              <w:rPr>
                <w:rFonts w:hint="eastAsia" w:ascii="宋体" w:hAnsi="宋体" w:eastAsia="宋体" w:cs="宋体"/>
                <w:color w:val="auto"/>
                <w:kern w:val="0"/>
                <w:sz w:val="22"/>
                <w:szCs w:val="22"/>
                <w:highlight w:val="none"/>
                <w:lang w:eastAsia="zh-CN" w:bidi="ar"/>
              </w:rPr>
              <w:t>、</w:t>
            </w:r>
            <w:r>
              <w:rPr>
                <w:rFonts w:hint="eastAsia" w:ascii="宋体" w:hAnsi="宋体" w:eastAsia="宋体" w:cs="宋体"/>
                <w:color w:val="auto"/>
                <w:kern w:val="0"/>
                <w:sz w:val="22"/>
                <w:szCs w:val="22"/>
                <w:highlight w:val="none"/>
                <w:lang w:bidi="ar"/>
              </w:rPr>
              <w:t>视频传输线路</w:t>
            </w:r>
            <w:r>
              <w:rPr>
                <w:rFonts w:hint="eastAsia" w:ascii="宋体" w:hAnsi="宋体" w:eastAsia="宋体" w:cs="宋体"/>
                <w:color w:val="auto"/>
                <w:kern w:val="0"/>
                <w:sz w:val="22"/>
                <w:szCs w:val="22"/>
                <w:highlight w:val="none"/>
                <w:lang w:eastAsia="zh-CN" w:bidi="ar"/>
              </w:rPr>
              <w:t>、</w:t>
            </w:r>
            <w:r>
              <w:rPr>
                <w:rFonts w:hint="eastAsia" w:ascii="宋体" w:hAnsi="宋体" w:eastAsia="宋体" w:cs="宋体"/>
                <w:color w:val="auto"/>
                <w:kern w:val="0"/>
                <w:sz w:val="22"/>
                <w:szCs w:val="22"/>
                <w:highlight w:val="none"/>
                <w:lang w:bidi="ar"/>
              </w:rPr>
              <w:t>7天云存储）</w:t>
            </w:r>
            <w:r>
              <w:rPr>
                <w:rFonts w:hint="eastAsia" w:ascii="宋体" w:hAnsi="宋体" w:eastAsia="宋体" w:cs="宋体"/>
                <w:color w:val="auto"/>
                <w:kern w:val="0"/>
                <w:sz w:val="22"/>
                <w:szCs w:val="22"/>
                <w:highlight w:val="none"/>
                <w:lang w:eastAsia="zh-CN" w:bidi="ar"/>
              </w:rPr>
              <w:t>。</w:t>
            </w:r>
          </w:p>
        </w:tc>
      </w:tr>
    </w:tbl>
    <w:p w14:paraId="3D6B0297">
      <w:pPr>
        <w:widowControl w:val="0"/>
        <w:autoSpaceDE w:val="0"/>
        <w:autoSpaceDN w:val="0"/>
        <w:adjustRightInd w:val="0"/>
        <w:spacing w:line="440" w:lineRule="exact"/>
        <w:ind w:firstLine="480" w:firstLineChars="200"/>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（2）软件功能</w:t>
      </w:r>
    </w:p>
    <w:tbl>
      <w:tblPr>
        <w:tblStyle w:val="12"/>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1856"/>
        <w:gridCol w:w="1477"/>
        <w:gridCol w:w="4523"/>
      </w:tblGrid>
      <w:tr w14:paraId="564AF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85" w:type="pct"/>
            <w:noWrap/>
            <w:vAlign w:val="center"/>
          </w:tcPr>
          <w:p w14:paraId="4364801F">
            <w:pPr>
              <w:widowControl/>
              <w:jc w:val="center"/>
              <w:textAlignment w:val="center"/>
              <w:rPr>
                <w:rFonts w:hint="eastAsia" w:ascii="宋体" w:hAnsi="宋体" w:eastAsia="宋体" w:cs="宋体"/>
                <w:color w:val="auto"/>
                <w:kern w:val="0"/>
                <w:sz w:val="22"/>
                <w:szCs w:val="22"/>
                <w:highlight w:val="none"/>
                <w:lang w:bidi="ar"/>
              </w:rPr>
            </w:pPr>
            <w:bookmarkStart w:id="213" w:name="_GoBack"/>
            <w:r>
              <w:rPr>
                <w:rFonts w:hint="eastAsia" w:ascii="宋体" w:hAnsi="宋体" w:eastAsia="宋体" w:cs="宋体"/>
                <w:color w:val="auto"/>
                <w:kern w:val="0"/>
                <w:sz w:val="22"/>
                <w:szCs w:val="22"/>
                <w:highlight w:val="none"/>
                <w:lang w:bidi="ar"/>
              </w:rPr>
              <w:t>序号</w:t>
            </w:r>
          </w:p>
        </w:tc>
        <w:tc>
          <w:tcPr>
            <w:tcW w:w="1090" w:type="pct"/>
            <w:noWrap/>
            <w:vAlign w:val="center"/>
          </w:tcPr>
          <w:p w14:paraId="54F8518A">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模块</w:t>
            </w:r>
          </w:p>
        </w:tc>
        <w:tc>
          <w:tcPr>
            <w:tcW w:w="867" w:type="pct"/>
            <w:noWrap/>
            <w:vAlign w:val="center"/>
          </w:tcPr>
          <w:p w14:paraId="239AC55D">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子模块</w:t>
            </w:r>
          </w:p>
        </w:tc>
        <w:tc>
          <w:tcPr>
            <w:tcW w:w="2656" w:type="pct"/>
            <w:noWrap w:val="0"/>
            <w:vAlign w:val="center"/>
          </w:tcPr>
          <w:p w14:paraId="4880134C">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客户需求</w:t>
            </w:r>
          </w:p>
        </w:tc>
      </w:tr>
      <w:tr w14:paraId="3D8E0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6" w:hRule="atLeast"/>
        </w:trPr>
        <w:tc>
          <w:tcPr>
            <w:tcW w:w="385" w:type="pct"/>
            <w:noWrap/>
            <w:vAlign w:val="center"/>
          </w:tcPr>
          <w:p w14:paraId="66EBDC82">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1</w:t>
            </w:r>
          </w:p>
        </w:tc>
        <w:tc>
          <w:tcPr>
            <w:tcW w:w="1090" w:type="pct"/>
            <w:vMerge w:val="restart"/>
            <w:noWrap/>
            <w:vAlign w:val="center"/>
          </w:tcPr>
          <w:p w14:paraId="2E065689">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商家WEB端管理</w:t>
            </w:r>
          </w:p>
        </w:tc>
        <w:tc>
          <w:tcPr>
            <w:tcW w:w="867" w:type="pct"/>
            <w:noWrap w:val="0"/>
            <w:vAlign w:val="center"/>
          </w:tcPr>
          <w:p w14:paraId="49AD0D71">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店铺管理</w:t>
            </w:r>
          </w:p>
        </w:tc>
        <w:tc>
          <w:tcPr>
            <w:tcW w:w="2656" w:type="pct"/>
            <w:noWrap w:val="0"/>
            <w:vAlign w:val="center"/>
          </w:tcPr>
          <w:p w14:paraId="05B0256C">
            <w:pPr>
              <w:widowControl/>
              <w:jc w:val="left"/>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kern w:val="0"/>
                <w:sz w:val="22"/>
                <w:szCs w:val="22"/>
                <w:highlight w:val="none"/>
                <w:lang w:bidi="ar"/>
              </w:rPr>
              <w:t>用户上传店铺相关的资料，包括营业执照、食品生产</w:t>
            </w:r>
            <w:r>
              <w:rPr>
                <w:rFonts w:hint="eastAsia" w:ascii="宋体" w:hAnsi="宋体" w:eastAsia="宋体" w:cs="宋体"/>
                <w:color w:val="auto"/>
                <w:kern w:val="0"/>
                <w:sz w:val="22"/>
                <w:szCs w:val="22"/>
                <w:highlight w:val="none"/>
                <w:lang w:eastAsia="zh-CN" w:bidi="ar"/>
              </w:rPr>
              <w:t>（</w:t>
            </w:r>
            <w:r>
              <w:rPr>
                <w:rFonts w:hint="eastAsia" w:ascii="宋体" w:hAnsi="宋体" w:eastAsia="宋体" w:cs="宋体"/>
                <w:color w:val="auto"/>
                <w:kern w:val="0"/>
                <w:sz w:val="22"/>
                <w:szCs w:val="22"/>
                <w:highlight w:val="none"/>
                <w:lang w:bidi="ar"/>
              </w:rPr>
              <w:t>经营</w:t>
            </w:r>
            <w:r>
              <w:rPr>
                <w:rFonts w:hint="eastAsia" w:ascii="宋体" w:hAnsi="宋体" w:eastAsia="宋体" w:cs="宋体"/>
                <w:color w:val="auto"/>
                <w:kern w:val="0"/>
                <w:sz w:val="22"/>
                <w:szCs w:val="22"/>
                <w:highlight w:val="none"/>
                <w:lang w:eastAsia="zh-CN" w:bidi="ar"/>
              </w:rPr>
              <w:t>）</w:t>
            </w:r>
            <w:r>
              <w:rPr>
                <w:rFonts w:hint="eastAsia" w:ascii="宋体" w:hAnsi="宋体" w:eastAsia="宋体" w:cs="宋体"/>
                <w:color w:val="auto"/>
                <w:kern w:val="0"/>
                <w:sz w:val="22"/>
                <w:szCs w:val="22"/>
                <w:highlight w:val="none"/>
                <w:lang w:bidi="ar"/>
              </w:rPr>
              <w:t>许可证、食品从业人员健康证、索票索证、整改信息上传等。</w:t>
            </w:r>
          </w:p>
          <w:p w14:paraId="689D35B2">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产生店铺二维码，展示商家详情页，包含宣传介绍信息和视频画面支持保存本地。</w:t>
            </w:r>
            <w:r>
              <w:rPr>
                <w:rFonts w:hint="eastAsia" w:ascii="Times New Roman" w:hAnsi="Times New Roman" w:eastAsia="宋体" w:cs="Times New Roman"/>
                <w:color w:val="FF0000"/>
                <w:sz w:val="22"/>
                <w:szCs w:val="22"/>
                <w:highlight w:val="yellow"/>
                <w:lang w:eastAsia="zh-CN" w:bidi="ar"/>
              </w:rPr>
              <w:t>（</w:t>
            </w:r>
            <w:r>
              <w:rPr>
                <w:rFonts w:hint="eastAsia" w:ascii="Times New Roman" w:hAnsi="Times New Roman" w:eastAsia="宋体" w:cs="Times New Roman"/>
                <w:color w:val="FF0000"/>
                <w:sz w:val="22"/>
                <w:szCs w:val="22"/>
                <w:highlight w:val="yellow"/>
                <w:lang w:val="en-US" w:eastAsia="zh-CN" w:bidi="ar"/>
              </w:rPr>
              <w:t>投标提供软件功能截图并加盖公章）</w:t>
            </w:r>
          </w:p>
        </w:tc>
      </w:tr>
      <w:tr w14:paraId="12918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trPr>
        <w:tc>
          <w:tcPr>
            <w:tcW w:w="385" w:type="pct"/>
            <w:noWrap/>
            <w:vAlign w:val="center"/>
          </w:tcPr>
          <w:p w14:paraId="2AB7DB11">
            <w:pPr>
              <w:widowControl/>
              <w:jc w:val="center"/>
              <w:textAlignment w:val="center"/>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2</w:t>
            </w:r>
          </w:p>
        </w:tc>
        <w:tc>
          <w:tcPr>
            <w:tcW w:w="1090" w:type="pct"/>
            <w:vMerge w:val="continue"/>
            <w:noWrap/>
            <w:vAlign w:val="center"/>
          </w:tcPr>
          <w:p w14:paraId="7DE05DEA">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570420F3">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信息公示</w:t>
            </w:r>
          </w:p>
        </w:tc>
        <w:tc>
          <w:tcPr>
            <w:tcW w:w="2656" w:type="pct"/>
            <w:noWrap w:val="0"/>
            <w:vAlign w:val="center"/>
          </w:tcPr>
          <w:p w14:paraId="068B38BC">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查看公告、动态、宣传图文、食安小视频等系统信息，及时关注工作动态。</w:t>
            </w:r>
          </w:p>
        </w:tc>
      </w:tr>
      <w:tr w14:paraId="2320E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trPr>
        <w:tc>
          <w:tcPr>
            <w:tcW w:w="385" w:type="pct"/>
            <w:noWrap/>
            <w:vAlign w:val="center"/>
          </w:tcPr>
          <w:p w14:paraId="3F0DC209">
            <w:pPr>
              <w:widowControl/>
              <w:jc w:val="center"/>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kern w:val="0"/>
                <w:sz w:val="22"/>
                <w:szCs w:val="22"/>
                <w:highlight w:val="none"/>
                <w:lang w:val="en-US" w:eastAsia="zh-CN" w:bidi="ar"/>
              </w:rPr>
              <w:t>3</w:t>
            </w:r>
          </w:p>
        </w:tc>
        <w:tc>
          <w:tcPr>
            <w:tcW w:w="1090" w:type="pct"/>
            <w:vMerge w:val="continue"/>
            <w:noWrap/>
            <w:vAlign w:val="center"/>
          </w:tcPr>
          <w:p w14:paraId="245082E1">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5003A361">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明厨亮灶</w:t>
            </w:r>
          </w:p>
        </w:tc>
        <w:tc>
          <w:tcPr>
            <w:tcW w:w="2656" w:type="pct"/>
            <w:noWrap w:val="0"/>
            <w:vAlign w:val="center"/>
          </w:tcPr>
          <w:p w14:paraId="75C4629E">
            <w:pPr>
              <w:widowControl/>
              <w:jc w:val="left"/>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kern w:val="0"/>
                <w:sz w:val="22"/>
                <w:szCs w:val="22"/>
                <w:highlight w:val="none"/>
                <w:lang w:bidi="ar"/>
              </w:rPr>
              <w:t>对接视频管理平台，实现对应单位视频的实时查看与7天回放。</w:t>
            </w:r>
          </w:p>
          <w:p w14:paraId="55DEC02B">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整合现场监控图像、提供设备快速检索，画面实时调阅和自动化巡检机制，结合AI分析能力，随意调阅。</w:t>
            </w:r>
          </w:p>
          <w:p w14:paraId="6279976A">
            <w:pPr>
              <w:textAlignment w:val="center"/>
              <w:rPr>
                <w:rFonts w:hint="eastAsia" w:ascii="Times New Roman" w:hAnsi="Times New Roman" w:eastAsia="宋体" w:cs="Times New Roman"/>
                <w:sz w:val="22"/>
                <w:szCs w:val="22"/>
              </w:rPr>
            </w:pPr>
            <w:r>
              <w:rPr>
                <w:rFonts w:hint="eastAsia" w:ascii="Times New Roman" w:hAnsi="Times New Roman" w:eastAsia="宋体" w:cs="Times New Roman"/>
                <w:color w:val="000000"/>
                <w:sz w:val="22"/>
                <w:szCs w:val="22"/>
                <w:highlight w:val="none"/>
                <w:lang w:bidi="ar"/>
              </w:rPr>
              <w:t>实时视频播放与调节：基础要求支持在线设备实时播放（插件 / 浏览器切换）、图像增强调节（对比度 / 亮度 / 色度 / 饱和度）；食监补充需含 “一键截图固证” 功能，调节参数可保存 “后厨”“销售” 场景预设模板。</w:t>
            </w:r>
            <w:r>
              <w:rPr>
                <w:rFonts w:hint="eastAsia" w:ascii="Times New Roman" w:hAnsi="Times New Roman" w:eastAsia="宋体" w:cs="Times New Roman"/>
                <w:color w:val="FF0000"/>
                <w:sz w:val="22"/>
                <w:szCs w:val="22"/>
                <w:highlight w:val="yellow"/>
                <w:lang w:eastAsia="zh-CN" w:bidi="ar"/>
              </w:rPr>
              <w:t>（</w:t>
            </w:r>
            <w:r>
              <w:rPr>
                <w:rFonts w:hint="eastAsia" w:ascii="Times New Roman" w:hAnsi="Times New Roman" w:eastAsia="宋体" w:cs="Times New Roman"/>
                <w:color w:val="FF0000"/>
                <w:sz w:val="22"/>
                <w:szCs w:val="22"/>
                <w:highlight w:val="yellow"/>
                <w:lang w:val="en-US" w:eastAsia="zh-CN" w:bidi="ar"/>
              </w:rPr>
              <w:t>投标提供软件功能截图并加盖公章）</w:t>
            </w:r>
          </w:p>
        </w:tc>
      </w:tr>
      <w:tr w14:paraId="077FC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385" w:type="pct"/>
            <w:noWrap/>
            <w:vAlign w:val="center"/>
          </w:tcPr>
          <w:p w14:paraId="49493DB8">
            <w:pPr>
              <w:widowControl/>
              <w:jc w:val="center"/>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kern w:val="0"/>
                <w:sz w:val="22"/>
                <w:szCs w:val="22"/>
                <w:highlight w:val="none"/>
                <w:lang w:val="en-US" w:eastAsia="zh-CN" w:bidi="ar"/>
              </w:rPr>
              <w:t>4</w:t>
            </w:r>
          </w:p>
        </w:tc>
        <w:tc>
          <w:tcPr>
            <w:tcW w:w="1090" w:type="pct"/>
            <w:vMerge w:val="restart"/>
            <w:noWrap/>
            <w:vAlign w:val="center"/>
          </w:tcPr>
          <w:p w14:paraId="2838A894">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监管WEB端管理</w:t>
            </w:r>
          </w:p>
        </w:tc>
        <w:tc>
          <w:tcPr>
            <w:tcW w:w="867" w:type="pct"/>
            <w:noWrap w:val="0"/>
            <w:vAlign w:val="center"/>
          </w:tcPr>
          <w:p w14:paraId="12219329">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食安地图</w:t>
            </w:r>
          </w:p>
        </w:tc>
        <w:tc>
          <w:tcPr>
            <w:tcW w:w="2656" w:type="pct"/>
            <w:noWrap w:val="0"/>
            <w:vAlign w:val="center"/>
          </w:tcPr>
          <w:p w14:paraId="27810BA6">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sz w:val="22"/>
                <w:szCs w:val="22"/>
                <w:highlight w:val="none"/>
              </w:rPr>
              <w:t>地图综合展示各单位基础信息和视频。包括但不限于量化等级、视频巡查、风险预警和检查整改（点击单位就可查看基础信息（含证照信息、人员信息、量化等级、风险等级、食安指数等）及视频情况。地图中央部分显示各区域，点击任意镇区地图将展示本辖区地图，以及视频点位分布），并展示整个区域统计数据（比如单位有几家、监控有多少、在线有多少等情况）。结合食品安全关键要素，建立数据模型赋分规则，通过食安指数分值显示食品安全管理水平（包括基础信息、日常监管、食品抽检、食品事故、举报投诉</w:t>
            </w:r>
            <w:r>
              <w:rPr>
                <w:rFonts w:hint="eastAsia" w:ascii="宋体" w:hAnsi="宋体" w:eastAsia="宋体" w:cs="宋体"/>
                <w:color w:val="auto"/>
                <w:sz w:val="22"/>
                <w:szCs w:val="22"/>
                <w:highlight w:val="none"/>
                <w:lang w:eastAsia="zh-CN"/>
              </w:rPr>
              <w:t>、自动抓拍评估分析</w:t>
            </w:r>
            <w:r>
              <w:rPr>
                <w:rFonts w:hint="eastAsia" w:ascii="宋体" w:hAnsi="宋体" w:eastAsia="宋体" w:cs="宋体"/>
                <w:color w:val="auto"/>
                <w:sz w:val="22"/>
                <w:szCs w:val="22"/>
                <w:highlight w:val="none"/>
              </w:rPr>
              <w:t>等维度），多维、集中、可视化展示各类信息、监督整体态势全面感知，形成态势一张图。</w:t>
            </w:r>
          </w:p>
        </w:tc>
      </w:tr>
      <w:tr w14:paraId="268EF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385" w:type="pct"/>
            <w:noWrap/>
            <w:vAlign w:val="center"/>
          </w:tcPr>
          <w:p w14:paraId="47E117A5">
            <w:pPr>
              <w:widowControl/>
              <w:jc w:val="center"/>
              <w:textAlignment w:val="center"/>
              <w:rPr>
                <w:rFonts w:hint="eastAsia" w:ascii="宋体" w:hAnsi="宋体" w:eastAsia="宋体" w:cs="宋体"/>
                <w:color w:val="auto"/>
                <w:kern w:val="0"/>
                <w:sz w:val="22"/>
                <w:szCs w:val="22"/>
                <w:highlight w:val="none"/>
                <w:lang w:val="en-US" w:eastAsia="zh-CN" w:bidi="ar"/>
              </w:rPr>
            </w:pPr>
          </w:p>
        </w:tc>
        <w:tc>
          <w:tcPr>
            <w:tcW w:w="1090" w:type="pct"/>
            <w:vMerge w:val="continue"/>
            <w:noWrap/>
            <w:vAlign w:val="center"/>
          </w:tcPr>
          <w:p w14:paraId="54E9E56C">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2764E7D1">
            <w:pPr>
              <w:widowControl/>
              <w:jc w:val="center"/>
              <w:textAlignment w:val="center"/>
              <w:rPr>
                <w:rFonts w:hint="eastAsia" w:ascii="宋体" w:hAnsi="宋体" w:eastAsia="宋体" w:cs="宋体"/>
                <w:color w:val="auto"/>
                <w:kern w:val="0"/>
                <w:sz w:val="22"/>
                <w:szCs w:val="22"/>
                <w:highlight w:val="none"/>
                <w:lang w:bidi="ar"/>
              </w:rPr>
            </w:pPr>
            <w:r>
              <w:rPr>
                <w:rFonts w:hint="eastAsia" w:ascii="Times New Roman" w:hAnsi="Times New Roman" w:eastAsia="宋体" w:cs="Times New Roman"/>
                <w:color w:val="auto"/>
                <w:sz w:val="22"/>
                <w:szCs w:val="22"/>
                <w:highlight w:val="none"/>
                <w:lang w:bidi="ar"/>
              </w:rPr>
              <w:t>视频智能汇聚</w:t>
            </w:r>
          </w:p>
        </w:tc>
        <w:tc>
          <w:tcPr>
            <w:tcW w:w="2656" w:type="pct"/>
            <w:noWrap w:val="0"/>
            <w:vAlign w:val="center"/>
          </w:tcPr>
          <w:p w14:paraId="5CA513DC">
            <w:pPr>
              <w:textAlignment w:val="center"/>
              <w:rPr>
                <w:rFonts w:hint="eastAsia" w:ascii="Times New Roman" w:hAnsi="Times New Roman" w:eastAsia="宋体" w:cs="Times New Roman"/>
                <w:color w:val="auto"/>
                <w:sz w:val="22"/>
                <w:szCs w:val="22"/>
                <w:highlight w:val="none"/>
                <w:lang w:bidi="ar"/>
              </w:rPr>
            </w:pPr>
            <w:r>
              <w:rPr>
                <w:rFonts w:hint="eastAsia" w:ascii="Times New Roman" w:hAnsi="Times New Roman" w:eastAsia="宋体" w:cs="Times New Roman"/>
                <w:color w:val="auto"/>
                <w:sz w:val="22"/>
                <w:szCs w:val="22"/>
                <w:highlight w:val="none"/>
                <w:lang w:bidi="ar"/>
              </w:rPr>
              <w:t>平台须实现视频设备统一接入、汇聚管理、实时预览、云台控制、录像回放、智能告警、AI 行为分析、数据统计、监管闭环等全部功能，技术参数须完全满足本项目业务需求，无负偏离。</w:t>
            </w:r>
            <w:r>
              <w:rPr>
                <w:rFonts w:hint="eastAsia" w:ascii="Times New Roman" w:hAnsi="Times New Roman" w:eastAsia="宋体" w:cs="Times New Roman"/>
                <w:color w:val="auto"/>
                <w:sz w:val="22"/>
                <w:szCs w:val="22"/>
                <w:highlight w:val="none"/>
                <w:lang w:eastAsia="zh-CN" w:bidi="ar"/>
              </w:rPr>
              <w:t>（</w:t>
            </w:r>
            <w:r>
              <w:rPr>
                <w:rFonts w:hint="eastAsia" w:ascii="Times New Roman" w:hAnsi="Times New Roman" w:eastAsia="宋体" w:cs="Times New Roman"/>
                <w:color w:val="auto"/>
                <w:sz w:val="22"/>
                <w:szCs w:val="22"/>
                <w:highlight w:val="none"/>
                <w:lang w:val="en-US" w:eastAsia="zh-CN" w:bidi="ar"/>
              </w:rPr>
              <w:t>投标提供软件功能截图并加盖公章</w:t>
            </w:r>
          </w:p>
          <w:p w14:paraId="05FD9598">
            <w:pPr>
              <w:textAlignment w:val="center"/>
              <w:rPr>
                <w:rFonts w:hint="eastAsia" w:ascii="Times New Roman" w:hAnsi="Times New Roman" w:eastAsia="宋体" w:cs="Times New Roman"/>
                <w:color w:val="auto"/>
                <w:sz w:val="22"/>
                <w:szCs w:val="22"/>
                <w:highlight w:val="none"/>
                <w:lang w:val="en-US" w:eastAsia="zh-CN" w:bidi="ar"/>
              </w:rPr>
            </w:pPr>
            <w:r>
              <w:rPr>
                <w:rFonts w:hint="eastAsia" w:ascii="Times New Roman" w:hAnsi="Times New Roman" w:eastAsia="宋体" w:cs="Times New Roman"/>
                <w:color w:val="auto"/>
                <w:sz w:val="22"/>
                <w:szCs w:val="22"/>
                <w:highlight w:val="none"/>
                <w:lang w:bidi="ar"/>
              </w:rPr>
              <w:t>平台须支持 GB/T 28181、GB 35114、ONVIF 等标准协议，兼容多品牌前端设备，具备高稳定性、高并发能力与完善的安全防护机制。</w:t>
            </w:r>
            <w:r>
              <w:rPr>
                <w:rFonts w:hint="eastAsia" w:ascii="Times New Roman" w:hAnsi="Times New Roman" w:eastAsia="宋体" w:cs="Times New Roman"/>
                <w:color w:val="auto"/>
                <w:sz w:val="22"/>
                <w:szCs w:val="22"/>
                <w:highlight w:val="none"/>
                <w:lang w:eastAsia="zh-CN" w:bidi="ar"/>
              </w:rPr>
              <w:t>（</w:t>
            </w:r>
            <w:r>
              <w:rPr>
                <w:rFonts w:hint="eastAsia" w:ascii="Times New Roman" w:hAnsi="Times New Roman" w:eastAsia="宋体" w:cs="Times New Roman"/>
                <w:color w:val="auto"/>
                <w:sz w:val="22"/>
                <w:szCs w:val="22"/>
                <w:highlight w:val="none"/>
                <w:lang w:val="en-US" w:eastAsia="zh-CN" w:bidi="ar"/>
              </w:rPr>
              <w:t>投标提供软件功能截图并加盖公章）</w:t>
            </w:r>
          </w:p>
          <w:p w14:paraId="2F838C3B">
            <w:pPr>
              <w:widowControl/>
              <w:jc w:val="left"/>
              <w:textAlignment w:val="center"/>
              <w:rPr>
                <w:rFonts w:hint="eastAsia" w:ascii="宋体" w:hAnsi="宋体" w:eastAsia="宋体" w:cs="宋体"/>
                <w:color w:val="auto"/>
                <w:kern w:val="0"/>
                <w:sz w:val="22"/>
                <w:szCs w:val="22"/>
                <w:highlight w:val="none"/>
                <w:lang w:bidi="ar"/>
              </w:rPr>
            </w:pPr>
            <w:r>
              <w:rPr>
                <w:rFonts w:hint="eastAsia" w:ascii="Times New Roman" w:hAnsi="Times New Roman" w:eastAsia="宋体" w:cs="Times New Roman"/>
                <w:color w:val="auto"/>
                <w:sz w:val="22"/>
                <w:szCs w:val="22"/>
                <w:highlight w:val="none"/>
                <w:lang w:eastAsia="zh-CN" w:bidi="ar"/>
              </w:rPr>
              <w:t>本产品为投标人自主研发产品。</w:t>
            </w:r>
            <w:r>
              <w:rPr>
                <w:rFonts w:hint="eastAsia" w:ascii="Times New Roman" w:hAnsi="Times New Roman" w:eastAsia="宋体" w:cs="Times New Roman"/>
                <w:color w:val="FF0000"/>
                <w:sz w:val="22"/>
                <w:szCs w:val="22"/>
                <w:highlight w:val="yellow"/>
                <w:lang w:eastAsia="zh-CN" w:bidi="ar"/>
              </w:rPr>
              <w:t>（</w:t>
            </w:r>
            <w:r>
              <w:rPr>
                <w:rFonts w:hint="eastAsia" w:ascii="Times New Roman" w:hAnsi="Times New Roman" w:eastAsia="宋体" w:cs="Times New Roman"/>
                <w:color w:val="FF0000"/>
                <w:sz w:val="22"/>
                <w:szCs w:val="22"/>
                <w:highlight w:val="yellow"/>
                <w:lang w:val="en-US" w:eastAsia="zh-CN" w:bidi="ar"/>
              </w:rPr>
              <w:t>投标时</w:t>
            </w:r>
            <w:r>
              <w:rPr>
                <w:rFonts w:hint="eastAsia" w:ascii="Times New Roman" w:hAnsi="Times New Roman" w:eastAsia="宋体" w:cs="Times New Roman"/>
                <w:color w:val="FF0000"/>
                <w:sz w:val="22"/>
                <w:szCs w:val="22"/>
                <w:highlight w:val="yellow"/>
                <w:lang w:bidi="ar"/>
              </w:rPr>
              <w:t>提供视频汇聚相关软件著作权证书</w:t>
            </w:r>
            <w:r>
              <w:rPr>
                <w:rFonts w:hint="eastAsia" w:ascii="Times New Roman" w:hAnsi="Times New Roman" w:eastAsia="宋体" w:cs="Times New Roman"/>
                <w:color w:val="FF0000"/>
                <w:sz w:val="22"/>
                <w:szCs w:val="22"/>
                <w:highlight w:val="yellow"/>
                <w:lang w:val="en-US" w:eastAsia="zh-CN" w:bidi="ar"/>
              </w:rPr>
              <w:t>并加盖公章</w:t>
            </w:r>
            <w:r>
              <w:rPr>
                <w:rFonts w:hint="eastAsia" w:ascii="Times New Roman" w:hAnsi="Times New Roman" w:eastAsia="宋体" w:cs="Times New Roman"/>
                <w:color w:val="FF0000"/>
                <w:sz w:val="22"/>
                <w:szCs w:val="22"/>
                <w:highlight w:val="yellow"/>
                <w:lang w:eastAsia="zh-CN" w:bidi="ar"/>
              </w:rPr>
              <w:t>）</w:t>
            </w:r>
          </w:p>
        </w:tc>
      </w:tr>
      <w:tr w14:paraId="3C2A4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385" w:type="pct"/>
            <w:noWrap/>
            <w:vAlign w:val="center"/>
          </w:tcPr>
          <w:p w14:paraId="75C3BF8A">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5</w:t>
            </w:r>
          </w:p>
        </w:tc>
        <w:tc>
          <w:tcPr>
            <w:tcW w:w="1090" w:type="pct"/>
            <w:vMerge w:val="continue"/>
            <w:noWrap/>
            <w:vAlign w:val="center"/>
          </w:tcPr>
          <w:p w14:paraId="0F0F9AE3">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5FE82267">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明厨亮灶</w:t>
            </w:r>
          </w:p>
        </w:tc>
        <w:tc>
          <w:tcPr>
            <w:tcW w:w="2656" w:type="pct"/>
            <w:noWrap w:val="0"/>
            <w:vAlign w:val="center"/>
          </w:tcPr>
          <w:p w14:paraId="698617A3">
            <w:pPr>
              <w:widowControl/>
              <w:jc w:val="left"/>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kern w:val="0"/>
                <w:sz w:val="22"/>
                <w:szCs w:val="22"/>
                <w:highlight w:val="none"/>
                <w:lang w:bidi="ar"/>
              </w:rPr>
              <w:t>对接视频管理平台，实现对应单位视频的实时查看与7天回放。</w:t>
            </w:r>
          </w:p>
          <w:p w14:paraId="19CEF4FE">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整合现场监控图像、提供设备快速检索，</w:t>
            </w:r>
            <w:r>
              <w:rPr>
                <w:rFonts w:hint="eastAsia" w:ascii="宋体" w:hAnsi="宋体" w:eastAsia="宋体" w:cs="宋体"/>
                <w:b/>
                <w:bCs/>
                <w:color w:val="auto"/>
                <w:kern w:val="0"/>
                <w:sz w:val="22"/>
                <w:szCs w:val="22"/>
                <w:highlight w:val="none"/>
                <w:lang w:bidi="ar"/>
              </w:rPr>
              <w:t>画面</w:t>
            </w:r>
            <w:r>
              <w:rPr>
                <w:rFonts w:hint="eastAsia" w:ascii="宋体" w:hAnsi="宋体" w:eastAsia="宋体" w:cs="宋体"/>
                <w:b/>
                <w:bCs/>
                <w:color w:val="auto"/>
                <w:kern w:val="0"/>
                <w:sz w:val="22"/>
                <w:szCs w:val="22"/>
                <w:highlight w:val="none"/>
                <w:lang w:val="en-US" w:eastAsia="zh-CN" w:bidi="ar"/>
              </w:rPr>
              <w:t>角度</w:t>
            </w:r>
            <w:r>
              <w:rPr>
                <w:rFonts w:hint="eastAsia" w:ascii="宋体" w:hAnsi="宋体" w:eastAsia="宋体" w:cs="宋体"/>
                <w:b/>
                <w:bCs/>
                <w:color w:val="auto"/>
                <w:kern w:val="0"/>
                <w:sz w:val="22"/>
                <w:szCs w:val="22"/>
                <w:highlight w:val="none"/>
                <w:lang w:bidi="ar"/>
              </w:rPr>
              <w:t>实时</w:t>
            </w:r>
            <w:r>
              <w:rPr>
                <w:rFonts w:hint="eastAsia" w:ascii="宋体" w:hAnsi="宋体" w:eastAsia="宋体" w:cs="宋体"/>
                <w:b/>
                <w:bCs/>
                <w:color w:val="auto"/>
                <w:kern w:val="0"/>
                <w:sz w:val="22"/>
                <w:szCs w:val="22"/>
                <w:highlight w:val="none"/>
                <w:lang w:val="en-US" w:eastAsia="zh-CN" w:bidi="ar"/>
              </w:rPr>
              <w:t>调整</w:t>
            </w:r>
            <w:r>
              <w:rPr>
                <w:rFonts w:hint="eastAsia" w:ascii="宋体" w:hAnsi="宋体" w:eastAsia="宋体" w:cs="宋体"/>
                <w:b/>
                <w:bCs/>
                <w:color w:val="auto"/>
                <w:kern w:val="0"/>
                <w:sz w:val="22"/>
                <w:szCs w:val="22"/>
                <w:highlight w:val="none"/>
                <w:lang w:bidi="ar"/>
              </w:rPr>
              <w:t>调阅和自动化巡检机制</w:t>
            </w:r>
            <w:r>
              <w:rPr>
                <w:rFonts w:hint="eastAsia" w:ascii="宋体" w:hAnsi="宋体" w:eastAsia="宋体" w:cs="宋体"/>
                <w:color w:val="auto"/>
                <w:kern w:val="0"/>
                <w:sz w:val="22"/>
                <w:szCs w:val="22"/>
                <w:highlight w:val="none"/>
                <w:lang w:bidi="ar"/>
              </w:rPr>
              <w:t>，结合AI分析能力，随意调阅。</w:t>
            </w:r>
          </w:p>
          <w:p w14:paraId="3D53FD02">
            <w:pPr>
              <w:textAlignment w:val="center"/>
              <w:rPr>
                <w:rFonts w:hint="eastAsia" w:ascii="Times New Roman" w:hAnsi="Times New Roman" w:eastAsia="宋体" w:cs="Times New Roman"/>
                <w:color w:val="FF0000"/>
                <w:sz w:val="22"/>
                <w:szCs w:val="22"/>
                <w:highlight w:val="yellow"/>
                <w:lang w:val="en-US" w:eastAsia="zh-CN" w:bidi="ar"/>
              </w:rPr>
            </w:pPr>
            <w:r>
              <w:rPr>
                <w:rFonts w:hint="eastAsia" w:ascii="Times New Roman" w:hAnsi="Times New Roman" w:eastAsia="宋体" w:cs="Times New Roman"/>
                <w:color w:val="auto"/>
                <w:sz w:val="22"/>
                <w:szCs w:val="22"/>
                <w:highlight w:val="none"/>
                <w:lang w:bidi="ar"/>
              </w:rPr>
              <w:t>视频编码格式解码：</w:t>
            </w:r>
            <w:r>
              <w:rPr>
                <w:rFonts w:hint="eastAsia" w:ascii="Times New Roman" w:hAnsi="Times New Roman" w:eastAsia="宋体" w:cs="Times New Roman"/>
                <w:color w:val="auto"/>
                <w:sz w:val="22"/>
                <w:szCs w:val="22"/>
                <w:highlight w:val="none"/>
                <w:lang w:val="en-US" w:eastAsia="zh-CN" w:bidi="ar"/>
              </w:rPr>
              <w:t>支持</w:t>
            </w:r>
            <w:r>
              <w:rPr>
                <w:rFonts w:hint="eastAsia" w:ascii="Times New Roman" w:hAnsi="Times New Roman" w:eastAsia="宋体" w:cs="Times New Roman"/>
                <w:color w:val="auto"/>
                <w:sz w:val="22"/>
                <w:szCs w:val="22"/>
                <w:highlight w:val="none"/>
                <w:lang w:bidi="ar"/>
              </w:rPr>
              <w:t>H.264、H.265 编码格式解码播放（自动识别适配）</w:t>
            </w:r>
            <w:r>
              <w:rPr>
                <w:rFonts w:hint="eastAsia" w:ascii="Times New Roman" w:hAnsi="Times New Roman" w:eastAsia="宋体" w:cs="Times New Roman"/>
                <w:color w:val="FF0000"/>
                <w:sz w:val="22"/>
                <w:szCs w:val="22"/>
                <w:highlight w:val="yellow"/>
                <w:lang w:eastAsia="zh-CN" w:bidi="ar"/>
              </w:rPr>
              <w:t>。（</w:t>
            </w:r>
            <w:r>
              <w:rPr>
                <w:rFonts w:hint="eastAsia" w:ascii="Times New Roman" w:hAnsi="Times New Roman" w:eastAsia="宋体" w:cs="Times New Roman"/>
                <w:color w:val="FF0000"/>
                <w:sz w:val="22"/>
                <w:szCs w:val="22"/>
                <w:highlight w:val="yellow"/>
                <w:lang w:val="en-US" w:eastAsia="zh-CN" w:bidi="ar"/>
              </w:rPr>
              <w:t>投标提供软件功能截图并加盖公章）</w:t>
            </w:r>
          </w:p>
          <w:p w14:paraId="10E4E49C">
            <w:pPr>
              <w:textAlignment w:val="center"/>
              <w:rPr>
                <w:rFonts w:hint="eastAsia" w:ascii="Times New Roman" w:hAnsi="Times New Roman" w:eastAsia="宋体" w:cs="Times New Roman"/>
                <w:color w:val="FF0000"/>
                <w:sz w:val="22"/>
                <w:szCs w:val="22"/>
                <w:highlight w:val="yellow"/>
                <w:lang w:val="en-US" w:eastAsia="zh-CN" w:bidi="ar"/>
              </w:rPr>
            </w:pPr>
            <w:r>
              <w:rPr>
                <w:rFonts w:hint="eastAsia" w:ascii="Times New Roman" w:hAnsi="Times New Roman" w:eastAsia="宋体" w:cs="Times New Roman"/>
                <w:color w:val="auto"/>
                <w:sz w:val="22"/>
                <w:szCs w:val="22"/>
                <w:highlight w:val="none"/>
                <w:lang w:bidi="ar"/>
              </w:rPr>
              <w:t>视频流格式播放：</w:t>
            </w:r>
            <w:r>
              <w:rPr>
                <w:rFonts w:hint="eastAsia" w:ascii="Times New Roman" w:hAnsi="Times New Roman" w:eastAsia="宋体" w:cs="Times New Roman"/>
                <w:color w:val="auto"/>
                <w:sz w:val="22"/>
                <w:szCs w:val="22"/>
                <w:highlight w:val="none"/>
                <w:lang w:val="en-US" w:eastAsia="zh-CN" w:bidi="ar"/>
              </w:rPr>
              <w:t>支持</w:t>
            </w:r>
            <w:r>
              <w:rPr>
                <w:rFonts w:hint="eastAsia" w:ascii="Times New Roman" w:hAnsi="Times New Roman" w:eastAsia="宋体" w:cs="Times New Roman"/>
                <w:color w:val="auto"/>
                <w:sz w:val="22"/>
                <w:szCs w:val="22"/>
                <w:highlight w:val="none"/>
                <w:lang w:bidi="ar"/>
              </w:rPr>
              <w:t>RTSP、RTMP、flv、hls 四种视频流播放；</w:t>
            </w:r>
            <w:r>
              <w:rPr>
                <w:rFonts w:hint="eastAsia" w:ascii="Times New Roman" w:hAnsi="Times New Roman" w:eastAsia="宋体" w:cs="Times New Roman"/>
                <w:color w:val="FF0000"/>
                <w:sz w:val="22"/>
                <w:szCs w:val="22"/>
                <w:highlight w:val="yellow"/>
                <w:lang w:eastAsia="zh-CN" w:bidi="ar"/>
              </w:rPr>
              <w:t>（</w:t>
            </w:r>
            <w:r>
              <w:rPr>
                <w:rFonts w:hint="eastAsia" w:ascii="Times New Roman" w:hAnsi="Times New Roman" w:eastAsia="宋体" w:cs="Times New Roman"/>
                <w:color w:val="FF0000"/>
                <w:sz w:val="22"/>
                <w:szCs w:val="22"/>
                <w:highlight w:val="yellow"/>
                <w:lang w:val="en-US" w:eastAsia="zh-CN" w:bidi="ar"/>
              </w:rPr>
              <w:t>投标提供软件功能截图并加盖公章）</w:t>
            </w:r>
          </w:p>
          <w:p w14:paraId="2CF2ABF5">
            <w:pPr>
              <w:bidi w:val="0"/>
              <w:rPr>
                <w:rFonts w:hint="eastAsia" w:ascii="Times New Roman" w:hAnsi="Times New Roman" w:eastAsia="宋体" w:cs="Times New Roman"/>
                <w:sz w:val="22"/>
                <w:szCs w:val="22"/>
              </w:rPr>
            </w:pPr>
            <w:r>
              <w:rPr>
                <w:rFonts w:hint="eastAsia" w:ascii="Times New Roman" w:hAnsi="Times New Roman" w:eastAsia="宋体" w:cs="Times New Roman"/>
                <w:color w:val="auto"/>
                <w:sz w:val="22"/>
                <w:szCs w:val="22"/>
                <w:highlight w:val="none"/>
                <w:lang w:bidi="ar"/>
              </w:rPr>
              <w:t>视频分屏与解析：</w:t>
            </w:r>
            <w:r>
              <w:rPr>
                <w:rFonts w:hint="eastAsia" w:ascii="Times New Roman" w:hAnsi="Times New Roman" w:eastAsia="宋体" w:cs="Times New Roman"/>
                <w:color w:val="auto"/>
                <w:sz w:val="22"/>
                <w:szCs w:val="22"/>
                <w:highlight w:val="none"/>
                <w:lang w:val="en-US" w:eastAsia="zh-CN" w:bidi="ar"/>
              </w:rPr>
              <w:t>支持</w:t>
            </w:r>
            <w:r>
              <w:rPr>
                <w:rFonts w:hint="eastAsia" w:ascii="Times New Roman" w:hAnsi="Times New Roman" w:eastAsia="宋体" w:cs="Times New Roman"/>
                <w:color w:val="auto"/>
                <w:sz w:val="22"/>
                <w:szCs w:val="22"/>
                <w:highlight w:val="none"/>
                <w:lang w:bidi="ar"/>
              </w:rPr>
              <w:t xml:space="preserve"> 10 种以上分屏格式（1/2/3/4/6/9/16/32/40/64）、局部放大、比例调整，实时展示分辨率 / 编码 / 码率；分屏可按 “监管辖区”“企业类型” 选设备，解析信息关联企业食安等级标签。</w:t>
            </w:r>
            <w:r>
              <w:rPr>
                <w:rFonts w:hint="eastAsia" w:ascii="Times New Roman" w:hAnsi="Times New Roman" w:eastAsia="宋体" w:cs="Times New Roman"/>
                <w:color w:val="FF0000"/>
                <w:sz w:val="22"/>
                <w:szCs w:val="22"/>
                <w:highlight w:val="yellow"/>
                <w:lang w:eastAsia="zh-CN" w:bidi="ar"/>
              </w:rPr>
              <w:t>（</w:t>
            </w:r>
            <w:r>
              <w:rPr>
                <w:rFonts w:hint="eastAsia" w:ascii="Times New Roman" w:hAnsi="Times New Roman" w:eastAsia="宋体" w:cs="Times New Roman"/>
                <w:color w:val="FF0000"/>
                <w:sz w:val="22"/>
                <w:szCs w:val="22"/>
                <w:highlight w:val="yellow"/>
                <w:lang w:val="en-US" w:eastAsia="zh-CN" w:bidi="ar"/>
              </w:rPr>
              <w:t>投标提供软件功能截图并加盖公章）</w:t>
            </w:r>
          </w:p>
        </w:tc>
      </w:tr>
      <w:tr w14:paraId="1694F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0" w:hRule="atLeast"/>
        </w:trPr>
        <w:tc>
          <w:tcPr>
            <w:tcW w:w="385" w:type="pct"/>
            <w:noWrap/>
            <w:vAlign w:val="center"/>
          </w:tcPr>
          <w:p w14:paraId="3F948A1F">
            <w:pPr>
              <w:widowControl/>
              <w:jc w:val="center"/>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kern w:val="0"/>
                <w:sz w:val="22"/>
                <w:szCs w:val="22"/>
                <w:highlight w:val="none"/>
                <w:lang w:val="en-US" w:eastAsia="zh-CN" w:bidi="ar"/>
              </w:rPr>
              <w:t>6</w:t>
            </w:r>
          </w:p>
        </w:tc>
        <w:tc>
          <w:tcPr>
            <w:tcW w:w="1090" w:type="pct"/>
            <w:vMerge w:val="continue"/>
            <w:noWrap/>
            <w:vAlign w:val="center"/>
          </w:tcPr>
          <w:p w14:paraId="6B22817A">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21B83B38">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到期预警</w:t>
            </w:r>
          </w:p>
        </w:tc>
        <w:tc>
          <w:tcPr>
            <w:tcW w:w="2656" w:type="pct"/>
            <w:noWrap w:val="0"/>
            <w:vAlign w:val="center"/>
          </w:tcPr>
          <w:p w14:paraId="73C2C2D4">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b/>
                <w:bCs/>
                <w:color w:val="auto"/>
                <w:kern w:val="0"/>
                <w:sz w:val="22"/>
                <w:szCs w:val="22"/>
                <w:highlight w:val="none"/>
                <w:lang w:bidi="ar"/>
              </w:rPr>
              <w:t>根据用户上传的资料</w:t>
            </w:r>
            <w:r>
              <w:rPr>
                <w:rFonts w:hint="eastAsia" w:ascii="宋体" w:hAnsi="宋体" w:eastAsia="宋体" w:cs="宋体"/>
                <w:b/>
                <w:bCs/>
                <w:color w:val="auto"/>
                <w:kern w:val="0"/>
                <w:sz w:val="22"/>
                <w:szCs w:val="22"/>
                <w:highlight w:val="none"/>
                <w:lang w:eastAsia="zh-CN" w:bidi="ar"/>
              </w:rPr>
              <w:t>，</w:t>
            </w:r>
            <w:r>
              <w:rPr>
                <w:rFonts w:hint="eastAsia" w:ascii="宋体" w:hAnsi="宋体" w:eastAsia="宋体" w:cs="宋体"/>
                <w:b/>
                <w:bCs/>
                <w:color w:val="auto"/>
                <w:kern w:val="0"/>
                <w:sz w:val="22"/>
                <w:szCs w:val="22"/>
                <w:highlight w:val="none"/>
                <w:lang w:val="en-US" w:eastAsia="zh-CN" w:bidi="ar"/>
              </w:rPr>
              <w:t>通过OCR识别能力自动填写企业基础信息</w:t>
            </w:r>
            <w:r>
              <w:rPr>
                <w:rFonts w:hint="eastAsia" w:ascii="宋体" w:hAnsi="宋体" w:eastAsia="宋体" w:cs="宋体"/>
                <w:b/>
                <w:bCs/>
                <w:color w:val="auto"/>
                <w:kern w:val="0"/>
                <w:sz w:val="22"/>
                <w:szCs w:val="22"/>
                <w:highlight w:val="none"/>
                <w:lang w:eastAsia="zh-CN" w:bidi="ar"/>
              </w:rPr>
              <w:t>。</w:t>
            </w:r>
            <w:r>
              <w:rPr>
                <w:rFonts w:hint="eastAsia" w:ascii="宋体" w:hAnsi="宋体" w:eastAsia="宋体" w:cs="宋体"/>
                <w:color w:val="auto"/>
                <w:kern w:val="0"/>
                <w:sz w:val="22"/>
                <w:szCs w:val="22"/>
                <w:highlight w:val="none"/>
                <w:lang w:val="en-US" w:eastAsia="zh-CN" w:bidi="ar"/>
              </w:rPr>
              <w:t>对</w:t>
            </w:r>
            <w:r>
              <w:rPr>
                <w:rFonts w:hint="eastAsia" w:ascii="宋体" w:hAnsi="宋体" w:eastAsia="宋体" w:cs="宋体"/>
                <w:color w:val="auto"/>
                <w:kern w:val="0"/>
                <w:sz w:val="22"/>
                <w:szCs w:val="22"/>
                <w:highlight w:val="none"/>
                <w:lang w:bidi="ar"/>
              </w:rPr>
              <w:t>证件缺失或证件证书有效期限进行到期预警提醒，后台管理会对相关信息进行预警提醒，在词模块上可以显示即将到期、已经到期的单位；并可对不同级别告警、不同类型告警设置相应推送模板和推送方式。</w:t>
            </w:r>
          </w:p>
        </w:tc>
      </w:tr>
      <w:tr w14:paraId="7D756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0" w:hRule="atLeast"/>
        </w:trPr>
        <w:tc>
          <w:tcPr>
            <w:tcW w:w="385" w:type="pct"/>
            <w:noWrap/>
            <w:vAlign w:val="center"/>
          </w:tcPr>
          <w:p w14:paraId="4A7B8CF2">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7</w:t>
            </w:r>
          </w:p>
        </w:tc>
        <w:tc>
          <w:tcPr>
            <w:tcW w:w="1090" w:type="pct"/>
            <w:vMerge w:val="continue"/>
            <w:noWrap/>
            <w:vAlign w:val="center"/>
          </w:tcPr>
          <w:p w14:paraId="202EA8F4">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35AEE7B1">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信息报警</w:t>
            </w:r>
          </w:p>
        </w:tc>
        <w:tc>
          <w:tcPr>
            <w:tcW w:w="2656" w:type="pct"/>
            <w:noWrap w:val="0"/>
            <w:vAlign w:val="center"/>
          </w:tcPr>
          <w:p w14:paraId="351156CF">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对多种异常信息报警推送提示，包括但不限于：AI告警（厨师帽检测、口罩识别、工作服检测、打电话检测、老鼠检测、未戴手套检测、抽烟检测、垃圾桶是否盖上盖子检测、地面垃圾检测、地面积水检测</w:t>
            </w:r>
            <w:r>
              <w:rPr>
                <w:rFonts w:hint="eastAsia" w:ascii="宋体" w:hAnsi="宋体" w:eastAsia="宋体" w:cs="宋体"/>
                <w:color w:val="auto"/>
                <w:kern w:val="0"/>
                <w:sz w:val="22"/>
                <w:szCs w:val="22"/>
                <w:highlight w:val="none"/>
                <w:lang w:val="en-US" w:eastAsia="zh-CN" w:bidi="ar"/>
              </w:rPr>
              <w:t>等</w:t>
            </w:r>
            <w:r>
              <w:rPr>
                <w:rFonts w:hint="eastAsia" w:ascii="宋体" w:hAnsi="宋体" w:eastAsia="宋体" w:cs="宋体"/>
                <w:color w:val="auto"/>
                <w:kern w:val="0"/>
                <w:sz w:val="22"/>
                <w:szCs w:val="22"/>
                <w:highlight w:val="none"/>
                <w:lang w:bidi="ar"/>
              </w:rPr>
              <w:t>10种算法）、设备状态监测，并可以对告警信息进行处理，同时对不同级别告警、不同类型告警推送相应模板和推送方式</w:t>
            </w:r>
            <w:r>
              <w:rPr>
                <w:rFonts w:hint="eastAsia" w:ascii="宋体" w:hAnsi="宋体" w:eastAsia="宋体" w:cs="宋体"/>
                <w:color w:val="auto"/>
                <w:kern w:val="0"/>
                <w:sz w:val="22"/>
                <w:szCs w:val="22"/>
                <w:highlight w:val="none"/>
                <w:lang w:eastAsia="zh-CN" w:bidi="ar"/>
              </w:rPr>
              <w:t>，</w:t>
            </w:r>
            <w:r>
              <w:rPr>
                <w:rFonts w:hint="eastAsia" w:ascii="宋体" w:hAnsi="宋体" w:eastAsia="宋体" w:cs="宋体"/>
                <w:b/>
                <w:bCs/>
                <w:color w:val="auto"/>
                <w:kern w:val="0"/>
                <w:sz w:val="22"/>
                <w:szCs w:val="22"/>
                <w:highlight w:val="none"/>
                <w:lang w:val="en-US" w:eastAsia="zh-CN" w:bidi="ar"/>
              </w:rPr>
              <w:t>准确率达90%以上</w:t>
            </w:r>
            <w:r>
              <w:rPr>
                <w:rFonts w:hint="eastAsia" w:ascii="宋体" w:hAnsi="宋体" w:eastAsia="宋体" w:cs="宋体"/>
                <w:color w:val="auto"/>
                <w:kern w:val="0"/>
                <w:sz w:val="22"/>
                <w:szCs w:val="22"/>
                <w:highlight w:val="none"/>
                <w:lang w:bidi="ar"/>
              </w:rPr>
              <w:t>。</w:t>
            </w:r>
          </w:p>
        </w:tc>
      </w:tr>
      <w:tr w14:paraId="62228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385" w:type="pct"/>
            <w:noWrap/>
            <w:vAlign w:val="center"/>
          </w:tcPr>
          <w:p w14:paraId="78B5C549">
            <w:pPr>
              <w:widowControl/>
              <w:jc w:val="center"/>
              <w:textAlignment w:val="center"/>
              <w:rPr>
                <w:rFonts w:hint="default" w:ascii="宋体" w:hAnsi="宋体" w:eastAsia="宋体" w:cs="宋体"/>
                <w:color w:val="auto"/>
                <w:kern w:val="0"/>
                <w:sz w:val="22"/>
                <w:szCs w:val="22"/>
                <w:highlight w:val="none"/>
                <w:lang w:val="en-US" w:eastAsia="zh-CN" w:bidi="ar"/>
              </w:rPr>
            </w:pPr>
            <w:bookmarkStart w:id="186" w:name="_Hlk162361701"/>
            <w:r>
              <w:rPr>
                <w:rFonts w:hint="eastAsia" w:ascii="宋体" w:hAnsi="宋体" w:eastAsia="宋体" w:cs="宋体"/>
                <w:color w:val="auto"/>
                <w:kern w:val="0"/>
                <w:sz w:val="22"/>
                <w:szCs w:val="22"/>
                <w:highlight w:val="none"/>
                <w:lang w:val="en-US" w:eastAsia="zh-CN" w:bidi="ar"/>
              </w:rPr>
              <w:t>8</w:t>
            </w:r>
          </w:p>
        </w:tc>
        <w:tc>
          <w:tcPr>
            <w:tcW w:w="1090" w:type="pct"/>
            <w:vMerge w:val="continue"/>
            <w:noWrap/>
            <w:vAlign w:val="center"/>
          </w:tcPr>
          <w:p w14:paraId="30D75591">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598F078A">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权限管理</w:t>
            </w:r>
          </w:p>
        </w:tc>
        <w:tc>
          <w:tcPr>
            <w:tcW w:w="2656" w:type="pct"/>
            <w:noWrap w:val="0"/>
            <w:vAlign w:val="center"/>
          </w:tcPr>
          <w:p w14:paraId="551749E0">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分权限进行管理，分组分类，不同权限看到的区域不一样，内容不一样。</w:t>
            </w:r>
          </w:p>
        </w:tc>
      </w:tr>
      <w:tr w14:paraId="74401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85" w:type="pct"/>
            <w:noWrap/>
            <w:vAlign w:val="center"/>
          </w:tcPr>
          <w:p w14:paraId="2018A968">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9</w:t>
            </w:r>
          </w:p>
        </w:tc>
        <w:tc>
          <w:tcPr>
            <w:tcW w:w="1090" w:type="pct"/>
            <w:vMerge w:val="continue"/>
            <w:noWrap/>
            <w:vAlign w:val="center"/>
          </w:tcPr>
          <w:p w14:paraId="64BD6DF5">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2DBAA894">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监督检查</w:t>
            </w:r>
          </w:p>
        </w:tc>
        <w:tc>
          <w:tcPr>
            <w:tcW w:w="2656" w:type="pct"/>
            <w:noWrap w:val="0"/>
            <w:vAlign w:val="center"/>
          </w:tcPr>
          <w:p w14:paraId="23554262">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针对告警及预警信息，系统自动派发任务工单给分局执法人员，进行督导整改实现业务闭环。</w:t>
            </w:r>
          </w:p>
        </w:tc>
      </w:tr>
      <w:tr w14:paraId="0A7AB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85" w:type="pct"/>
            <w:noWrap/>
            <w:vAlign w:val="center"/>
          </w:tcPr>
          <w:p w14:paraId="70A4AE79">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10</w:t>
            </w:r>
          </w:p>
        </w:tc>
        <w:tc>
          <w:tcPr>
            <w:tcW w:w="1090" w:type="pct"/>
            <w:vMerge w:val="continue"/>
            <w:noWrap/>
            <w:vAlign w:val="center"/>
          </w:tcPr>
          <w:p w14:paraId="78601CCD">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7EE55CFE">
            <w:pPr>
              <w:widowControl/>
              <w:jc w:val="center"/>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kern w:val="0"/>
                <w:sz w:val="22"/>
                <w:szCs w:val="22"/>
                <w:highlight w:val="none"/>
                <w:lang w:eastAsia="zh-CN" w:bidi="ar"/>
              </w:rPr>
              <w:t>顾客投诉</w:t>
            </w:r>
          </w:p>
        </w:tc>
        <w:tc>
          <w:tcPr>
            <w:tcW w:w="2656" w:type="pct"/>
            <w:noWrap w:val="0"/>
            <w:vAlign w:val="center"/>
          </w:tcPr>
          <w:p w14:paraId="3E924285">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eastAsia="zh-CN" w:bidi="ar"/>
              </w:rPr>
              <w:t>监管人员可以查看顾客对商家的投诉举报，督促商家及时对投诉进行处理，</w:t>
            </w:r>
            <w:r>
              <w:rPr>
                <w:rFonts w:hint="eastAsia" w:ascii="宋体" w:hAnsi="宋体" w:eastAsia="宋体" w:cs="宋体"/>
                <w:color w:val="auto"/>
                <w:kern w:val="0"/>
                <w:sz w:val="22"/>
                <w:szCs w:val="22"/>
                <w:highlight w:val="none"/>
                <w:lang w:bidi="ar"/>
              </w:rPr>
              <w:t>确保问题得到解决。</w:t>
            </w:r>
          </w:p>
        </w:tc>
      </w:tr>
      <w:tr w14:paraId="41661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trPr>
        <w:tc>
          <w:tcPr>
            <w:tcW w:w="385" w:type="pct"/>
            <w:noWrap/>
            <w:vAlign w:val="center"/>
          </w:tcPr>
          <w:p w14:paraId="2F8B9FC9">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11</w:t>
            </w:r>
          </w:p>
        </w:tc>
        <w:tc>
          <w:tcPr>
            <w:tcW w:w="1090" w:type="pct"/>
            <w:vMerge w:val="continue"/>
            <w:noWrap/>
            <w:vAlign w:val="center"/>
          </w:tcPr>
          <w:p w14:paraId="350EBC08">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20F5869F">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信息查阅</w:t>
            </w:r>
          </w:p>
        </w:tc>
        <w:tc>
          <w:tcPr>
            <w:tcW w:w="2656" w:type="pct"/>
            <w:noWrap w:val="0"/>
            <w:vAlign w:val="center"/>
          </w:tcPr>
          <w:p w14:paraId="149DB769">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监管端可以向客户端发布信息（公告、动态、宣传图文、食安小视频等），</w:t>
            </w:r>
            <w:r>
              <w:rPr>
                <w:rFonts w:hint="eastAsia" w:ascii="宋体" w:hAnsi="宋体" w:eastAsia="宋体" w:cs="宋体"/>
                <w:b/>
                <w:bCs/>
                <w:color w:val="auto"/>
                <w:kern w:val="0"/>
                <w:sz w:val="22"/>
                <w:szCs w:val="22"/>
                <w:highlight w:val="none"/>
                <w:lang w:bidi="ar"/>
              </w:rPr>
              <w:t>可以看到</w:t>
            </w:r>
            <w:r>
              <w:rPr>
                <w:rFonts w:hint="eastAsia" w:ascii="宋体" w:hAnsi="宋体" w:eastAsia="宋体" w:cs="宋体"/>
                <w:b/>
                <w:bCs/>
                <w:color w:val="auto"/>
                <w:kern w:val="0"/>
                <w:sz w:val="22"/>
                <w:szCs w:val="22"/>
                <w:highlight w:val="none"/>
                <w:lang w:val="en-US" w:eastAsia="zh-CN" w:bidi="ar"/>
              </w:rPr>
              <w:t>监管人员登录巡查记录和</w:t>
            </w:r>
            <w:r>
              <w:rPr>
                <w:rFonts w:hint="eastAsia" w:ascii="宋体" w:hAnsi="宋体" w:eastAsia="宋体" w:cs="宋体"/>
                <w:b/>
                <w:bCs/>
                <w:color w:val="auto"/>
                <w:kern w:val="0"/>
                <w:sz w:val="22"/>
                <w:szCs w:val="22"/>
                <w:highlight w:val="none"/>
                <w:lang w:bidi="ar"/>
              </w:rPr>
              <w:t>客户端已阅和未阅的名单</w:t>
            </w:r>
            <w:r>
              <w:rPr>
                <w:rFonts w:hint="eastAsia" w:ascii="宋体" w:hAnsi="宋体" w:eastAsia="宋体" w:cs="宋体"/>
                <w:color w:val="auto"/>
                <w:kern w:val="0"/>
                <w:sz w:val="22"/>
                <w:szCs w:val="22"/>
                <w:highlight w:val="none"/>
                <w:lang w:bidi="ar"/>
              </w:rPr>
              <w:t>。</w:t>
            </w:r>
          </w:p>
        </w:tc>
      </w:tr>
      <w:bookmarkEnd w:id="186"/>
      <w:tr w14:paraId="621C1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85" w:type="pct"/>
            <w:noWrap/>
            <w:vAlign w:val="center"/>
          </w:tcPr>
          <w:p w14:paraId="3B9D986E">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12</w:t>
            </w:r>
          </w:p>
        </w:tc>
        <w:tc>
          <w:tcPr>
            <w:tcW w:w="1090" w:type="pct"/>
            <w:vMerge w:val="restart"/>
            <w:noWrap/>
            <w:vAlign w:val="center"/>
          </w:tcPr>
          <w:p w14:paraId="79219BEC">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监管小程序端</w:t>
            </w:r>
          </w:p>
        </w:tc>
        <w:tc>
          <w:tcPr>
            <w:tcW w:w="867" w:type="pct"/>
            <w:noWrap w:val="0"/>
            <w:vAlign w:val="center"/>
          </w:tcPr>
          <w:p w14:paraId="0F6F915A">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监管看板</w:t>
            </w:r>
          </w:p>
        </w:tc>
        <w:tc>
          <w:tcPr>
            <w:tcW w:w="2656" w:type="pct"/>
            <w:noWrap w:val="0"/>
            <w:vAlign w:val="center"/>
          </w:tcPr>
          <w:p w14:paraId="72FAB9C4">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监督管理要素，结合企业的量化等级、风险等级、公众监督等情况，多维、集中、可视化展示风险数据。</w:t>
            </w:r>
          </w:p>
        </w:tc>
      </w:tr>
      <w:tr w14:paraId="0B61F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85" w:type="pct"/>
            <w:noWrap/>
            <w:vAlign w:val="center"/>
          </w:tcPr>
          <w:p w14:paraId="33002565">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13</w:t>
            </w:r>
          </w:p>
        </w:tc>
        <w:tc>
          <w:tcPr>
            <w:tcW w:w="1090" w:type="pct"/>
            <w:vMerge w:val="continue"/>
            <w:noWrap/>
            <w:vAlign w:val="center"/>
          </w:tcPr>
          <w:p w14:paraId="6D8B3469">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164DF51E">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智能预警</w:t>
            </w:r>
          </w:p>
        </w:tc>
        <w:tc>
          <w:tcPr>
            <w:tcW w:w="2656" w:type="pct"/>
            <w:noWrap w:val="0"/>
            <w:vAlign w:val="center"/>
          </w:tcPr>
          <w:p w14:paraId="36CA728D">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汇总AI告警、设备告警并进行及时提醒，在记录详情中可以对告警信息进行处理。</w:t>
            </w:r>
          </w:p>
        </w:tc>
      </w:tr>
      <w:tr w14:paraId="2247C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85" w:type="pct"/>
            <w:noWrap/>
            <w:vAlign w:val="center"/>
          </w:tcPr>
          <w:p w14:paraId="7A2309A1">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14</w:t>
            </w:r>
          </w:p>
        </w:tc>
        <w:tc>
          <w:tcPr>
            <w:tcW w:w="1090" w:type="pct"/>
            <w:vMerge w:val="continue"/>
            <w:noWrap/>
            <w:vAlign w:val="center"/>
          </w:tcPr>
          <w:p w14:paraId="537319D7">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506482B9">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到期预警</w:t>
            </w:r>
          </w:p>
        </w:tc>
        <w:tc>
          <w:tcPr>
            <w:tcW w:w="2656" w:type="pct"/>
            <w:noWrap w:val="0"/>
            <w:vAlign w:val="center"/>
          </w:tcPr>
          <w:p w14:paraId="486EA028">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根据用户上传的资料、证件缺失或证件证书有效期限进行到期预警提醒，后台管理会对相关信息进行预警提醒，在此模块上可以显示即将到期、已经到期的单位。</w:t>
            </w:r>
          </w:p>
        </w:tc>
      </w:tr>
      <w:tr w14:paraId="2BEB8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85" w:type="pct"/>
            <w:noWrap/>
            <w:vAlign w:val="center"/>
          </w:tcPr>
          <w:p w14:paraId="1F948CFC">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15</w:t>
            </w:r>
          </w:p>
        </w:tc>
        <w:tc>
          <w:tcPr>
            <w:tcW w:w="1090" w:type="pct"/>
            <w:vMerge w:val="continue"/>
            <w:noWrap/>
            <w:vAlign w:val="center"/>
          </w:tcPr>
          <w:p w14:paraId="0F7AD0F1">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55033D19">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信息公示</w:t>
            </w:r>
          </w:p>
        </w:tc>
        <w:tc>
          <w:tcPr>
            <w:tcW w:w="2656" w:type="pct"/>
            <w:noWrap w:val="0"/>
            <w:vAlign w:val="center"/>
          </w:tcPr>
          <w:p w14:paraId="2EA59D51">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查看公告、动态、宣传图文、食安小视频等系统信息，及时关注工作动态。</w:t>
            </w:r>
          </w:p>
        </w:tc>
      </w:tr>
      <w:tr w14:paraId="65DD2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85" w:type="pct"/>
            <w:noWrap/>
            <w:vAlign w:val="center"/>
          </w:tcPr>
          <w:p w14:paraId="09270AC9">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16</w:t>
            </w:r>
          </w:p>
        </w:tc>
        <w:tc>
          <w:tcPr>
            <w:tcW w:w="1090" w:type="pct"/>
            <w:vMerge w:val="continue"/>
            <w:noWrap/>
            <w:vAlign w:val="center"/>
          </w:tcPr>
          <w:p w14:paraId="46F375F9">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1B0CBEEB">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明厨亮灶</w:t>
            </w:r>
          </w:p>
        </w:tc>
        <w:tc>
          <w:tcPr>
            <w:tcW w:w="2656" w:type="pct"/>
            <w:noWrap w:val="0"/>
            <w:vAlign w:val="center"/>
          </w:tcPr>
          <w:p w14:paraId="64920B2F">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整合现场监控图像、提供设备快速检索，结合AI分析能力，随意调阅。</w:t>
            </w:r>
          </w:p>
        </w:tc>
      </w:tr>
      <w:tr w14:paraId="1DEEC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85" w:type="pct"/>
            <w:noWrap/>
            <w:vAlign w:val="center"/>
          </w:tcPr>
          <w:p w14:paraId="6AFF639C">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17</w:t>
            </w:r>
          </w:p>
        </w:tc>
        <w:tc>
          <w:tcPr>
            <w:tcW w:w="1090" w:type="pct"/>
            <w:vMerge w:val="continue"/>
            <w:noWrap/>
            <w:vAlign w:val="center"/>
          </w:tcPr>
          <w:p w14:paraId="5B277668">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2360F523">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风险管理</w:t>
            </w:r>
          </w:p>
        </w:tc>
        <w:tc>
          <w:tcPr>
            <w:tcW w:w="2656" w:type="pct"/>
            <w:noWrap w:val="0"/>
            <w:vAlign w:val="center"/>
          </w:tcPr>
          <w:p w14:paraId="6D00A8B1">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从经营、场所、人员等静态等风险因素，确定餐饮服务提供者风险等级，并根据监督检查、投诉举报等监督管理记录实施动态调整。</w:t>
            </w:r>
          </w:p>
        </w:tc>
      </w:tr>
      <w:tr w14:paraId="21C8E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85" w:type="pct"/>
            <w:noWrap/>
            <w:vAlign w:val="center"/>
          </w:tcPr>
          <w:p w14:paraId="3F5DBAAC">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18</w:t>
            </w:r>
          </w:p>
        </w:tc>
        <w:tc>
          <w:tcPr>
            <w:tcW w:w="1090" w:type="pct"/>
            <w:vMerge w:val="restart"/>
            <w:noWrap/>
            <w:vAlign w:val="center"/>
          </w:tcPr>
          <w:p w14:paraId="1CCBE215">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商家小程序端</w:t>
            </w:r>
          </w:p>
        </w:tc>
        <w:tc>
          <w:tcPr>
            <w:tcW w:w="867" w:type="pct"/>
            <w:noWrap w:val="0"/>
            <w:vAlign w:val="center"/>
          </w:tcPr>
          <w:p w14:paraId="0A605B10">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商家看板</w:t>
            </w:r>
          </w:p>
        </w:tc>
        <w:tc>
          <w:tcPr>
            <w:tcW w:w="2656" w:type="pct"/>
            <w:noWrap w:val="0"/>
            <w:vAlign w:val="center"/>
          </w:tcPr>
          <w:p w14:paraId="7AF3A43A">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商家的量化等级、风险等级、AI告警等情况，多维、集中、可视化展示风险数据。</w:t>
            </w:r>
          </w:p>
        </w:tc>
      </w:tr>
      <w:tr w14:paraId="119DB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85" w:type="pct"/>
            <w:noWrap/>
            <w:vAlign w:val="center"/>
          </w:tcPr>
          <w:p w14:paraId="0F8A8002">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19</w:t>
            </w:r>
          </w:p>
        </w:tc>
        <w:tc>
          <w:tcPr>
            <w:tcW w:w="1090" w:type="pct"/>
            <w:vMerge w:val="continue"/>
            <w:noWrap/>
            <w:vAlign w:val="center"/>
          </w:tcPr>
          <w:p w14:paraId="6B39DAA7">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14394474">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我的投诉</w:t>
            </w:r>
          </w:p>
        </w:tc>
        <w:tc>
          <w:tcPr>
            <w:tcW w:w="2656" w:type="pct"/>
            <w:noWrap w:val="0"/>
            <w:vAlign w:val="center"/>
          </w:tcPr>
          <w:p w14:paraId="382A21D7">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顾客可便捷地提交投诉与建议，商家则能实时接收并处理，确保问题得到及时解决。</w:t>
            </w:r>
          </w:p>
        </w:tc>
      </w:tr>
      <w:tr w14:paraId="07AA1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85" w:type="pct"/>
            <w:noWrap/>
            <w:vAlign w:val="center"/>
          </w:tcPr>
          <w:p w14:paraId="1310DEEC">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20</w:t>
            </w:r>
          </w:p>
        </w:tc>
        <w:tc>
          <w:tcPr>
            <w:tcW w:w="1090" w:type="pct"/>
            <w:vMerge w:val="continue"/>
            <w:noWrap/>
            <w:vAlign w:val="center"/>
          </w:tcPr>
          <w:p w14:paraId="2E80FAB5">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6651E18F">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我的店铺</w:t>
            </w:r>
          </w:p>
        </w:tc>
        <w:tc>
          <w:tcPr>
            <w:tcW w:w="2656" w:type="pct"/>
            <w:noWrap w:val="0"/>
            <w:vAlign w:val="center"/>
          </w:tcPr>
          <w:p w14:paraId="2D3C1E42">
            <w:pPr>
              <w:widowControl/>
              <w:jc w:val="left"/>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kern w:val="0"/>
                <w:sz w:val="22"/>
                <w:szCs w:val="22"/>
                <w:highlight w:val="none"/>
                <w:lang w:bidi="ar"/>
              </w:rPr>
              <w:t>上传店铺相关的资料，包括营业执照、食品生产经营许可证、食品从业人员健康证、索证索票、整改信息上传等。</w:t>
            </w:r>
          </w:p>
          <w:p w14:paraId="2AE6E288">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产生店铺二维码，展示商家详情页，包含宣传介绍信息和视频画面支持保存本地。</w:t>
            </w:r>
          </w:p>
        </w:tc>
      </w:tr>
      <w:tr w14:paraId="46851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85" w:type="pct"/>
            <w:noWrap/>
            <w:vAlign w:val="center"/>
          </w:tcPr>
          <w:p w14:paraId="47149ADB">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21</w:t>
            </w:r>
          </w:p>
        </w:tc>
        <w:tc>
          <w:tcPr>
            <w:tcW w:w="1090" w:type="pct"/>
            <w:vMerge w:val="continue"/>
            <w:noWrap/>
            <w:vAlign w:val="center"/>
          </w:tcPr>
          <w:p w14:paraId="77E6F857">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686B3114">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明厨亮灶</w:t>
            </w:r>
          </w:p>
        </w:tc>
        <w:tc>
          <w:tcPr>
            <w:tcW w:w="2656" w:type="pct"/>
            <w:noWrap w:val="0"/>
            <w:vAlign w:val="center"/>
          </w:tcPr>
          <w:p w14:paraId="373114D8">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商家可以自主查看现场监控图像、提供设备快速检索，画面实时调阅和自动化巡检机制，结合AI分析能力，随意调阅。</w:t>
            </w:r>
          </w:p>
        </w:tc>
      </w:tr>
      <w:tr w14:paraId="46060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85" w:type="pct"/>
            <w:noWrap/>
            <w:vAlign w:val="center"/>
          </w:tcPr>
          <w:p w14:paraId="5F8458B9">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22</w:t>
            </w:r>
          </w:p>
        </w:tc>
        <w:tc>
          <w:tcPr>
            <w:tcW w:w="1090" w:type="pct"/>
            <w:vMerge w:val="continue"/>
            <w:noWrap/>
            <w:vAlign w:val="center"/>
          </w:tcPr>
          <w:p w14:paraId="395C26C7">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0CFA72CE">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智能预警</w:t>
            </w:r>
          </w:p>
        </w:tc>
        <w:tc>
          <w:tcPr>
            <w:tcW w:w="2656" w:type="pct"/>
            <w:noWrap w:val="0"/>
            <w:vAlign w:val="center"/>
          </w:tcPr>
          <w:p w14:paraId="0FD39F8F">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查看商家AI告警、设备告警并进行及时提醒，在记录详情中可以对告警信息进行处理。</w:t>
            </w:r>
          </w:p>
        </w:tc>
      </w:tr>
      <w:tr w14:paraId="04648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85" w:type="pct"/>
            <w:noWrap/>
            <w:vAlign w:val="center"/>
          </w:tcPr>
          <w:p w14:paraId="350892BA">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23</w:t>
            </w:r>
          </w:p>
        </w:tc>
        <w:tc>
          <w:tcPr>
            <w:tcW w:w="1090" w:type="pct"/>
            <w:vMerge w:val="continue"/>
            <w:noWrap/>
            <w:vAlign w:val="center"/>
          </w:tcPr>
          <w:p w14:paraId="43BEF9B5">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136F3DBA">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留样记录</w:t>
            </w:r>
          </w:p>
        </w:tc>
        <w:tc>
          <w:tcPr>
            <w:tcW w:w="2656" w:type="pct"/>
            <w:noWrap w:val="0"/>
            <w:vAlign w:val="center"/>
          </w:tcPr>
          <w:p w14:paraId="01BDB170">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对每批次制作的食品进行留样，即将一定量的成品保存起来，以备后续的质量检测或者食品安全事故调查。留样记录通常包括留样的时间、食品名称、留样数量、留样人员以及留样条件等信息。</w:t>
            </w:r>
          </w:p>
        </w:tc>
      </w:tr>
      <w:tr w14:paraId="48742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85" w:type="pct"/>
            <w:noWrap/>
            <w:vAlign w:val="center"/>
          </w:tcPr>
          <w:p w14:paraId="008A525D">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24</w:t>
            </w:r>
          </w:p>
        </w:tc>
        <w:tc>
          <w:tcPr>
            <w:tcW w:w="1090" w:type="pct"/>
            <w:vMerge w:val="continue"/>
            <w:noWrap/>
            <w:vAlign w:val="center"/>
          </w:tcPr>
          <w:p w14:paraId="5111DFF5">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04920D17">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供应商管理</w:t>
            </w:r>
          </w:p>
        </w:tc>
        <w:tc>
          <w:tcPr>
            <w:tcW w:w="2656" w:type="pct"/>
            <w:noWrap w:val="0"/>
            <w:vAlign w:val="center"/>
          </w:tcPr>
          <w:p w14:paraId="5E2EAC43">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规范食品生产经营过程中的供应商信息登记。</w:t>
            </w:r>
          </w:p>
        </w:tc>
      </w:tr>
      <w:tr w14:paraId="0C168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85" w:type="pct"/>
            <w:noWrap/>
            <w:vAlign w:val="center"/>
          </w:tcPr>
          <w:p w14:paraId="0A7719BB">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25</w:t>
            </w:r>
          </w:p>
        </w:tc>
        <w:tc>
          <w:tcPr>
            <w:tcW w:w="1090" w:type="pct"/>
            <w:vMerge w:val="continue"/>
            <w:noWrap/>
            <w:vAlign w:val="center"/>
          </w:tcPr>
          <w:p w14:paraId="350C6B90">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140E0151">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菜品管理</w:t>
            </w:r>
          </w:p>
        </w:tc>
        <w:tc>
          <w:tcPr>
            <w:tcW w:w="2656" w:type="pct"/>
            <w:noWrap w:val="0"/>
            <w:vAlign w:val="center"/>
          </w:tcPr>
          <w:p w14:paraId="7156C5B4">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单位可以录入、编辑菜品信息，分类管理菜品和设置特色菜或一周菜谱。</w:t>
            </w:r>
          </w:p>
        </w:tc>
      </w:tr>
      <w:tr w14:paraId="115B3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85" w:type="pct"/>
            <w:noWrap/>
            <w:vAlign w:val="center"/>
          </w:tcPr>
          <w:p w14:paraId="2E40ED31">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26</w:t>
            </w:r>
          </w:p>
        </w:tc>
        <w:tc>
          <w:tcPr>
            <w:tcW w:w="1090" w:type="pct"/>
            <w:vMerge w:val="continue"/>
            <w:noWrap/>
            <w:vAlign w:val="center"/>
          </w:tcPr>
          <w:p w14:paraId="16C7B7D8">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3A402E26">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信息公示</w:t>
            </w:r>
          </w:p>
        </w:tc>
        <w:tc>
          <w:tcPr>
            <w:tcW w:w="2656" w:type="pct"/>
            <w:noWrap w:val="0"/>
            <w:vAlign w:val="center"/>
          </w:tcPr>
          <w:p w14:paraId="02919F94">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查看公告、动态、宣传图文、食安小视频等系统信息，及时关注工作动态。</w:t>
            </w:r>
          </w:p>
        </w:tc>
      </w:tr>
      <w:tr w14:paraId="24929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85" w:type="pct"/>
            <w:noWrap/>
            <w:vAlign w:val="center"/>
          </w:tcPr>
          <w:p w14:paraId="1BAF4A91">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27</w:t>
            </w:r>
          </w:p>
        </w:tc>
        <w:tc>
          <w:tcPr>
            <w:tcW w:w="1090" w:type="pct"/>
            <w:vMerge w:val="continue"/>
            <w:noWrap/>
            <w:vAlign w:val="center"/>
          </w:tcPr>
          <w:p w14:paraId="235E24AD">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3EC632E0">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到期预警</w:t>
            </w:r>
          </w:p>
        </w:tc>
        <w:tc>
          <w:tcPr>
            <w:tcW w:w="2656" w:type="pct"/>
            <w:noWrap w:val="0"/>
            <w:vAlign w:val="center"/>
          </w:tcPr>
          <w:p w14:paraId="4FB061B2">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根据用户上传的资料、证件缺失或证件证书有效期限进行到期预警提醒，后台管理会对相关信息进行预警提醒，在词模块上可以显示即将到期、已经到期的单位。</w:t>
            </w:r>
          </w:p>
        </w:tc>
      </w:tr>
      <w:tr w14:paraId="2A2BB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85" w:type="pct"/>
            <w:noWrap/>
            <w:vAlign w:val="center"/>
          </w:tcPr>
          <w:p w14:paraId="562C5BDE">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28</w:t>
            </w:r>
          </w:p>
        </w:tc>
        <w:tc>
          <w:tcPr>
            <w:tcW w:w="1090" w:type="pct"/>
            <w:vMerge w:val="continue"/>
            <w:noWrap/>
            <w:vAlign w:val="center"/>
          </w:tcPr>
          <w:p w14:paraId="7ED1F0AB">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2F06793E">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风险预警</w:t>
            </w:r>
          </w:p>
        </w:tc>
        <w:tc>
          <w:tcPr>
            <w:tcW w:w="2656" w:type="pct"/>
            <w:noWrap w:val="0"/>
            <w:vAlign w:val="center"/>
          </w:tcPr>
          <w:p w14:paraId="4A0DC00E">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单位可查看量化等级、风险等级。</w:t>
            </w:r>
          </w:p>
        </w:tc>
      </w:tr>
      <w:tr w14:paraId="43A2D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85" w:type="pct"/>
            <w:noWrap/>
            <w:vAlign w:val="center"/>
          </w:tcPr>
          <w:p w14:paraId="4EC4B188">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29</w:t>
            </w:r>
          </w:p>
        </w:tc>
        <w:tc>
          <w:tcPr>
            <w:tcW w:w="1090" w:type="pct"/>
            <w:vMerge w:val="restart"/>
            <w:noWrap/>
            <w:vAlign w:val="center"/>
          </w:tcPr>
          <w:p w14:paraId="6AC8724E">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商家食安码</w:t>
            </w:r>
          </w:p>
        </w:tc>
        <w:tc>
          <w:tcPr>
            <w:tcW w:w="867" w:type="pct"/>
            <w:noWrap w:val="0"/>
            <w:vAlign w:val="center"/>
          </w:tcPr>
          <w:p w14:paraId="334E0781">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食安直播</w:t>
            </w:r>
          </w:p>
        </w:tc>
        <w:tc>
          <w:tcPr>
            <w:tcW w:w="2656" w:type="pct"/>
            <w:noWrap w:val="0"/>
            <w:vAlign w:val="center"/>
          </w:tcPr>
          <w:p w14:paraId="4AA17378">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通过高清摄像头实时展示餐饮后厨环境，让消费者直观了解食品加工过程。</w:t>
            </w:r>
          </w:p>
        </w:tc>
      </w:tr>
      <w:tr w14:paraId="6977E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85" w:type="pct"/>
            <w:noWrap/>
            <w:vAlign w:val="center"/>
          </w:tcPr>
          <w:p w14:paraId="700E22F2">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30</w:t>
            </w:r>
          </w:p>
        </w:tc>
        <w:tc>
          <w:tcPr>
            <w:tcW w:w="1090" w:type="pct"/>
            <w:vMerge w:val="continue"/>
            <w:noWrap/>
            <w:vAlign w:val="center"/>
          </w:tcPr>
          <w:p w14:paraId="66274227">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0AC82B3D">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阳光公示</w:t>
            </w:r>
          </w:p>
        </w:tc>
        <w:tc>
          <w:tcPr>
            <w:tcW w:w="2656" w:type="pct"/>
            <w:noWrap w:val="0"/>
            <w:vAlign w:val="center"/>
          </w:tcPr>
          <w:p w14:paraId="17548510">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查看公告、动态、宣传图文、食安小视频等系统信息，及时关注工作动态。</w:t>
            </w:r>
          </w:p>
        </w:tc>
      </w:tr>
      <w:tr w14:paraId="2A55B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85" w:type="pct"/>
            <w:noWrap/>
            <w:vAlign w:val="center"/>
          </w:tcPr>
          <w:p w14:paraId="4DE3DD01">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31</w:t>
            </w:r>
          </w:p>
        </w:tc>
        <w:tc>
          <w:tcPr>
            <w:tcW w:w="1090" w:type="pct"/>
            <w:vMerge w:val="continue"/>
            <w:noWrap/>
            <w:vAlign w:val="center"/>
          </w:tcPr>
          <w:p w14:paraId="05EF1870">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4113988D">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查看菜谱</w:t>
            </w:r>
          </w:p>
        </w:tc>
        <w:tc>
          <w:tcPr>
            <w:tcW w:w="2656" w:type="pct"/>
            <w:noWrap w:val="0"/>
            <w:vAlign w:val="center"/>
          </w:tcPr>
          <w:p w14:paraId="595EF8A6">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公众用户能够浏览商家的各类菜品信息。详细了解每道菜的名称、口味等细节，还能查看高清的菜品图片。</w:t>
            </w:r>
          </w:p>
        </w:tc>
      </w:tr>
      <w:tr w14:paraId="23957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85" w:type="pct"/>
            <w:noWrap/>
            <w:vAlign w:val="center"/>
          </w:tcPr>
          <w:p w14:paraId="606CA78F">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32</w:t>
            </w:r>
          </w:p>
        </w:tc>
        <w:tc>
          <w:tcPr>
            <w:tcW w:w="1090" w:type="pct"/>
            <w:vMerge w:val="continue"/>
            <w:noWrap/>
            <w:vAlign w:val="center"/>
          </w:tcPr>
          <w:p w14:paraId="3C878D2A">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0CF8B041">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投诉举报</w:t>
            </w:r>
          </w:p>
        </w:tc>
        <w:tc>
          <w:tcPr>
            <w:tcW w:w="2656" w:type="pct"/>
            <w:noWrap w:val="0"/>
            <w:vAlign w:val="center"/>
          </w:tcPr>
          <w:p w14:paraId="3F5E0073">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统一的投诉举报机制，线上投诉入口，公众可在线投诉。</w:t>
            </w:r>
          </w:p>
        </w:tc>
      </w:tr>
      <w:tr w14:paraId="4853C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85" w:type="pct"/>
            <w:noWrap/>
            <w:vAlign w:val="center"/>
          </w:tcPr>
          <w:p w14:paraId="3B0F43DD">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33</w:t>
            </w:r>
          </w:p>
        </w:tc>
        <w:tc>
          <w:tcPr>
            <w:tcW w:w="1090" w:type="pct"/>
            <w:vMerge w:val="continue"/>
            <w:noWrap/>
            <w:vAlign w:val="center"/>
          </w:tcPr>
          <w:p w14:paraId="7E4F0344">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439EBB6A">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食安指数</w:t>
            </w:r>
          </w:p>
        </w:tc>
        <w:tc>
          <w:tcPr>
            <w:tcW w:w="2656" w:type="pct"/>
            <w:noWrap w:val="0"/>
            <w:vAlign w:val="center"/>
          </w:tcPr>
          <w:p w14:paraId="15145424">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查看单位的食安指数（包括基础信息、日常监管、食品抽检、食品事故、举报投诉等五个维度）。</w:t>
            </w:r>
          </w:p>
        </w:tc>
      </w:tr>
      <w:tr w14:paraId="75150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trPr>
        <w:tc>
          <w:tcPr>
            <w:tcW w:w="385" w:type="pct"/>
            <w:noWrap/>
            <w:vAlign w:val="center"/>
          </w:tcPr>
          <w:p w14:paraId="3DC41B29">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34</w:t>
            </w:r>
          </w:p>
        </w:tc>
        <w:tc>
          <w:tcPr>
            <w:tcW w:w="1090" w:type="pct"/>
            <w:noWrap/>
            <w:vAlign w:val="center"/>
          </w:tcPr>
          <w:p w14:paraId="7AD0F1E1">
            <w:pPr>
              <w:widowControl/>
              <w:jc w:val="center"/>
              <w:textAlignment w:val="center"/>
              <w:rPr>
                <w:rFonts w:hint="eastAsia" w:ascii="宋体" w:hAnsi="宋体" w:eastAsia="宋体" w:cs="宋体"/>
                <w:b w:val="0"/>
                <w:bCs w:val="0"/>
                <w:color w:val="auto"/>
                <w:kern w:val="0"/>
                <w:sz w:val="22"/>
                <w:szCs w:val="22"/>
                <w:highlight w:val="none"/>
                <w:lang w:bidi="ar"/>
              </w:rPr>
            </w:pPr>
            <w:r>
              <w:rPr>
                <w:rFonts w:hint="eastAsia" w:ascii="宋体" w:hAnsi="宋体" w:eastAsia="宋体" w:cs="宋体"/>
                <w:b w:val="0"/>
                <w:bCs w:val="0"/>
                <w:color w:val="auto"/>
                <w:kern w:val="0"/>
                <w:sz w:val="22"/>
                <w:szCs w:val="22"/>
                <w:highlight w:val="none"/>
                <w:lang w:bidi="ar"/>
              </w:rPr>
              <w:t>AI智能设备健康度诊断</w:t>
            </w:r>
          </w:p>
        </w:tc>
        <w:tc>
          <w:tcPr>
            <w:tcW w:w="867" w:type="pct"/>
            <w:noWrap w:val="0"/>
            <w:vAlign w:val="center"/>
          </w:tcPr>
          <w:p w14:paraId="00E33E4C">
            <w:pPr>
              <w:widowControl/>
              <w:jc w:val="center"/>
              <w:textAlignment w:val="center"/>
              <w:rPr>
                <w:rFonts w:hint="eastAsia" w:ascii="宋体" w:hAnsi="宋体" w:eastAsia="宋体" w:cs="宋体"/>
                <w:b w:val="0"/>
                <w:bCs w:val="0"/>
                <w:color w:val="auto"/>
                <w:kern w:val="0"/>
                <w:sz w:val="22"/>
                <w:szCs w:val="22"/>
                <w:highlight w:val="none"/>
                <w:lang w:bidi="ar"/>
              </w:rPr>
            </w:pPr>
            <w:r>
              <w:rPr>
                <w:rFonts w:hint="eastAsia" w:ascii="Times New Roman" w:hAnsi="Times New Roman" w:eastAsia="宋体" w:cs="Times New Roman"/>
                <w:b w:val="0"/>
                <w:bCs w:val="0"/>
                <w:color w:val="auto"/>
                <w:sz w:val="22"/>
                <w:szCs w:val="22"/>
                <w:highlight w:val="none"/>
                <w:lang w:bidi="ar"/>
              </w:rPr>
              <w:t>设备健康度巡检</w:t>
            </w:r>
            <w:r>
              <w:rPr>
                <w:rFonts w:hint="eastAsia" w:ascii="Times New Roman" w:hAnsi="Times New Roman" w:eastAsia="宋体" w:cs="Times New Roman"/>
                <w:b w:val="0"/>
                <w:bCs w:val="0"/>
                <w:color w:val="auto"/>
                <w:sz w:val="22"/>
                <w:szCs w:val="22"/>
                <w:highlight w:val="none"/>
                <w:lang w:eastAsia="zh-CN" w:bidi="ar"/>
              </w:rPr>
              <w:t>、</w:t>
            </w:r>
            <w:r>
              <w:rPr>
                <w:rFonts w:hint="eastAsia" w:ascii="Times New Roman" w:hAnsi="Times New Roman" w:eastAsia="宋体" w:cs="Times New Roman"/>
                <w:b w:val="0"/>
                <w:bCs w:val="0"/>
                <w:color w:val="auto"/>
                <w:sz w:val="22"/>
                <w:szCs w:val="22"/>
                <w:highlight w:val="none"/>
                <w:lang w:bidi="ar"/>
              </w:rPr>
              <w:t>疑似逃避监管告警</w:t>
            </w:r>
          </w:p>
        </w:tc>
        <w:tc>
          <w:tcPr>
            <w:tcW w:w="2656" w:type="pct"/>
            <w:noWrap w:val="0"/>
            <w:vAlign w:val="center"/>
          </w:tcPr>
          <w:p w14:paraId="645C69EE">
            <w:pPr>
              <w:widowControl/>
              <w:jc w:val="left"/>
              <w:textAlignment w:val="center"/>
              <w:rPr>
                <w:rFonts w:hint="eastAsia" w:ascii="宋体" w:hAnsi="宋体" w:eastAsia="宋体" w:cs="宋体"/>
                <w:b w:val="0"/>
                <w:bCs w:val="0"/>
                <w:color w:val="auto"/>
                <w:kern w:val="0"/>
                <w:sz w:val="22"/>
                <w:szCs w:val="22"/>
                <w:highlight w:val="none"/>
                <w:lang w:eastAsia="zh-CN" w:bidi="ar"/>
              </w:rPr>
            </w:pPr>
            <w:r>
              <w:rPr>
                <w:rFonts w:hint="eastAsia" w:ascii="宋体" w:hAnsi="宋体" w:eastAsia="宋体" w:cs="宋体"/>
                <w:b w:val="0"/>
                <w:bCs w:val="0"/>
                <w:color w:val="auto"/>
                <w:kern w:val="0"/>
                <w:sz w:val="22"/>
                <w:szCs w:val="22"/>
                <w:highlight w:val="none"/>
                <w:lang w:val="en-US" w:eastAsia="zh-CN" w:bidi="ar"/>
              </w:rPr>
              <w:t>每日开展设备巡检</w:t>
            </w:r>
            <w:r>
              <w:rPr>
                <w:rFonts w:hint="eastAsia" w:ascii="宋体" w:hAnsi="宋体" w:eastAsia="宋体" w:cs="宋体"/>
                <w:b w:val="0"/>
                <w:bCs w:val="0"/>
                <w:color w:val="auto"/>
                <w:kern w:val="0"/>
                <w:sz w:val="22"/>
                <w:szCs w:val="22"/>
                <w:highlight w:val="none"/>
                <w:lang w:eastAsia="zh-CN" w:bidi="ar"/>
              </w:rPr>
              <w:t>，分类展示因设备故障、网络异常和人为断电导致的设备离线，包括巡检告警结果和告警设备数量及信息。</w:t>
            </w:r>
          </w:p>
          <w:p w14:paraId="05B804FD">
            <w:pPr>
              <w:textAlignment w:val="center"/>
              <w:rPr>
                <w:rFonts w:hint="eastAsia" w:ascii="Times New Roman" w:hAnsi="Times New Roman" w:eastAsia="宋体" w:cs="Times New Roman"/>
                <w:b w:val="0"/>
                <w:bCs w:val="0"/>
                <w:color w:val="auto"/>
                <w:sz w:val="22"/>
                <w:szCs w:val="22"/>
                <w:highlight w:val="none"/>
                <w:lang w:eastAsia="zh-CN"/>
              </w:rPr>
            </w:pPr>
            <w:r>
              <w:rPr>
                <w:rFonts w:hint="eastAsia" w:ascii="Times New Roman" w:hAnsi="Times New Roman" w:eastAsia="宋体" w:cs="Times New Roman"/>
                <w:b w:val="0"/>
                <w:bCs w:val="0"/>
                <w:color w:val="auto"/>
                <w:sz w:val="22"/>
                <w:szCs w:val="22"/>
                <w:highlight w:val="none"/>
                <w:lang w:bidi="ar"/>
              </w:rPr>
              <w:t>以画面遮挡模糊、设备画面抖动、设备云存异常、疑似人为断电情况为依据，当检测到以上异常情况时，生成疑似逃避监管告警。</w:t>
            </w:r>
          </w:p>
        </w:tc>
      </w:tr>
      <w:tr w14:paraId="5641D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6" w:hRule="atLeast"/>
        </w:trPr>
        <w:tc>
          <w:tcPr>
            <w:tcW w:w="385" w:type="pct"/>
            <w:vMerge w:val="restart"/>
            <w:noWrap/>
            <w:vAlign w:val="center"/>
          </w:tcPr>
          <w:p w14:paraId="7BBC6ADF">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35</w:t>
            </w:r>
          </w:p>
        </w:tc>
        <w:tc>
          <w:tcPr>
            <w:tcW w:w="1090" w:type="pct"/>
            <w:vMerge w:val="restart"/>
            <w:noWrap/>
            <w:vAlign w:val="center"/>
          </w:tcPr>
          <w:p w14:paraId="763ACB09">
            <w:pPr>
              <w:widowControl/>
              <w:jc w:val="center"/>
              <w:textAlignment w:val="center"/>
              <w:rPr>
                <w:rFonts w:hint="eastAsia" w:ascii="宋体" w:hAnsi="宋体" w:eastAsia="宋体" w:cs="宋体"/>
                <w:b w:val="0"/>
                <w:bCs w:val="0"/>
                <w:color w:val="auto"/>
                <w:kern w:val="0"/>
                <w:sz w:val="22"/>
                <w:szCs w:val="22"/>
                <w:highlight w:val="none"/>
                <w:lang w:eastAsia="zh-CN" w:bidi="ar"/>
              </w:rPr>
            </w:pPr>
            <w:r>
              <w:rPr>
                <w:rFonts w:hint="eastAsia" w:ascii="宋体" w:hAnsi="宋体" w:eastAsia="宋体" w:cs="宋体"/>
                <w:b w:val="0"/>
                <w:bCs w:val="0"/>
                <w:color w:val="auto"/>
                <w:kern w:val="0"/>
                <w:sz w:val="22"/>
                <w:szCs w:val="22"/>
                <w:highlight w:val="none"/>
                <w:lang w:eastAsia="zh-CN" w:bidi="ar"/>
              </w:rPr>
              <w:t>“</w:t>
            </w:r>
            <w:r>
              <w:rPr>
                <w:rFonts w:hint="eastAsia" w:ascii="宋体" w:hAnsi="宋体" w:eastAsia="宋体" w:cs="宋体"/>
                <w:b w:val="0"/>
                <w:bCs w:val="0"/>
                <w:color w:val="auto"/>
                <w:kern w:val="0"/>
                <w:sz w:val="22"/>
                <w:szCs w:val="22"/>
                <w:highlight w:val="none"/>
                <w:lang w:val="en-US" w:eastAsia="zh-CN" w:bidi="ar"/>
              </w:rPr>
              <w:t>一老一小</w:t>
            </w:r>
            <w:r>
              <w:rPr>
                <w:rFonts w:hint="eastAsia" w:ascii="宋体" w:hAnsi="宋体" w:eastAsia="宋体" w:cs="宋体"/>
                <w:b w:val="0"/>
                <w:bCs w:val="0"/>
                <w:color w:val="auto"/>
                <w:kern w:val="0"/>
                <w:sz w:val="22"/>
                <w:szCs w:val="22"/>
                <w:highlight w:val="none"/>
                <w:lang w:eastAsia="zh-CN" w:bidi="ar"/>
              </w:rPr>
              <w:t>”</w:t>
            </w:r>
          </w:p>
          <w:p w14:paraId="171CA390">
            <w:pPr>
              <w:widowControl/>
              <w:jc w:val="center"/>
              <w:textAlignment w:val="center"/>
              <w:rPr>
                <w:rFonts w:hint="eastAsia" w:ascii="宋体" w:hAnsi="宋体" w:eastAsia="宋体" w:cs="宋体"/>
                <w:b w:val="0"/>
                <w:bCs w:val="0"/>
                <w:color w:val="auto"/>
                <w:kern w:val="0"/>
                <w:sz w:val="22"/>
                <w:szCs w:val="22"/>
                <w:highlight w:val="none"/>
                <w:lang w:bidi="ar"/>
              </w:rPr>
            </w:pPr>
            <w:r>
              <w:rPr>
                <w:rFonts w:hint="eastAsia" w:ascii="宋体" w:hAnsi="宋体" w:eastAsia="宋体" w:cs="宋体"/>
                <w:b w:val="0"/>
                <w:bCs w:val="0"/>
                <w:color w:val="auto"/>
                <w:kern w:val="0"/>
                <w:sz w:val="22"/>
                <w:szCs w:val="22"/>
                <w:highlight w:val="none"/>
                <w:lang w:bidi="ar"/>
              </w:rPr>
              <w:t>共治触摸公示系统</w:t>
            </w:r>
          </w:p>
          <w:p w14:paraId="49447EFA">
            <w:pPr>
              <w:widowControl/>
              <w:jc w:val="center"/>
              <w:textAlignment w:val="center"/>
              <w:rPr>
                <w:rFonts w:hint="eastAsia" w:ascii="宋体" w:hAnsi="宋体" w:eastAsia="宋体" w:cs="宋体"/>
                <w:b w:val="0"/>
                <w:bCs w:val="0"/>
                <w:color w:val="auto"/>
                <w:kern w:val="0"/>
                <w:sz w:val="22"/>
                <w:szCs w:val="22"/>
                <w:highlight w:val="none"/>
                <w:lang w:eastAsia="zh-CN" w:bidi="ar"/>
              </w:rPr>
            </w:pPr>
            <w:r>
              <w:rPr>
                <w:rFonts w:hint="eastAsia" w:ascii="宋体" w:hAnsi="宋体" w:eastAsia="宋体" w:cs="宋体"/>
                <w:b w:val="0"/>
                <w:bCs w:val="0"/>
                <w:color w:val="auto"/>
                <w:kern w:val="0"/>
                <w:sz w:val="22"/>
                <w:szCs w:val="22"/>
                <w:highlight w:val="none"/>
                <w:lang w:eastAsia="zh-CN" w:bidi="ar"/>
              </w:rPr>
              <w:t>（新增设备费用另计）</w:t>
            </w:r>
          </w:p>
        </w:tc>
        <w:tc>
          <w:tcPr>
            <w:tcW w:w="867" w:type="pct"/>
            <w:noWrap w:val="0"/>
            <w:vAlign w:val="center"/>
          </w:tcPr>
          <w:p w14:paraId="16707CFC">
            <w:pPr>
              <w:widowControl/>
              <w:jc w:val="center"/>
              <w:textAlignment w:val="center"/>
              <w:rPr>
                <w:rFonts w:hint="eastAsia" w:ascii="宋体" w:hAnsi="宋体" w:eastAsia="宋体" w:cs="宋体"/>
                <w:b w:val="0"/>
                <w:bCs w:val="0"/>
                <w:color w:val="auto"/>
                <w:kern w:val="0"/>
                <w:sz w:val="22"/>
                <w:szCs w:val="22"/>
                <w:highlight w:val="none"/>
                <w:lang w:bidi="ar"/>
              </w:rPr>
            </w:pPr>
            <w:r>
              <w:rPr>
                <w:rFonts w:hint="eastAsia" w:ascii="宋体" w:hAnsi="宋体" w:eastAsia="宋体" w:cs="宋体"/>
                <w:b w:val="0"/>
                <w:bCs w:val="0"/>
                <w:color w:val="auto"/>
                <w:kern w:val="0"/>
                <w:sz w:val="22"/>
                <w:szCs w:val="22"/>
                <w:highlight w:val="none"/>
                <w:lang w:bidi="ar"/>
              </w:rPr>
              <w:t>食安信息公示</w:t>
            </w:r>
          </w:p>
        </w:tc>
        <w:tc>
          <w:tcPr>
            <w:tcW w:w="2656" w:type="pct"/>
            <w:noWrap w:val="0"/>
            <w:vAlign w:val="center"/>
          </w:tcPr>
          <w:p w14:paraId="501E323B">
            <w:pPr>
              <w:widowControl/>
              <w:jc w:val="left"/>
              <w:textAlignment w:val="center"/>
              <w:rPr>
                <w:rFonts w:hint="eastAsia" w:ascii="宋体" w:hAnsi="宋体" w:eastAsia="宋体" w:cs="宋体"/>
                <w:b w:val="0"/>
                <w:bCs w:val="0"/>
                <w:color w:val="auto"/>
                <w:kern w:val="0"/>
                <w:sz w:val="22"/>
                <w:szCs w:val="22"/>
                <w:highlight w:val="none"/>
                <w:lang w:eastAsia="zh-CN" w:bidi="ar"/>
              </w:rPr>
            </w:pPr>
            <w:r>
              <w:rPr>
                <w:rFonts w:hint="eastAsia" w:ascii="宋体" w:hAnsi="宋体" w:eastAsia="宋体" w:cs="宋体"/>
                <w:b w:val="0"/>
                <w:bCs w:val="0"/>
                <w:color w:val="auto"/>
                <w:kern w:val="0"/>
                <w:sz w:val="22"/>
                <w:szCs w:val="22"/>
                <w:highlight w:val="none"/>
                <w:lang w:bidi="ar"/>
              </w:rPr>
              <w:t>公示食材采购品类、供应商资质、采购时间、检验合格证明等数据</w:t>
            </w:r>
            <w:r>
              <w:rPr>
                <w:rFonts w:hint="eastAsia" w:ascii="宋体" w:hAnsi="宋体" w:eastAsia="宋体" w:cs="宋体"/>
                <w:b w:val="0"/>
                <w:bCs w:val="0"/>
                <w:color w:val="auto"/>
                <w:kern w:val="0"/>
                <w:sz w:val="22"/>
                <w:szCs w:val="22"/>
                <w:highlight w:val="none"/>
                <w:lang w:eastAsia="zh-CN" w:bidi="ar"/>
              </w:rPr>
              <w:t>；</w:t>
            </w:r>
            <w:r>
              <w:rPr>
                <w:rFonts w:hint="eastAsia" w:ascii="宋体" w:hAnsi="宋体" w:eastAsia="宋体" w:cs="宋体"/>
                <w:b w:val="0"/>
                <w:bCs w:val="0"/>
                <w:color w:val="auto"/>
                <w:kern w:val="0"/>
                <w:sz w:val="22"/>
                <w:szCs w:val="22"/>
                <w:highlight w:val="none"/>
                <w:lang w:bidi="ar"/>
              </w:rPr>
              <w:t>公示菜品留样的图片、名称、留样量等信息</w:t>
            </w:r>
            <w:r>
              <w:rPr>
                <w:rFonts w:hint="eastAsia" w:ascii="宋体" w:hAnsi="宋体" w:eastAsia="宋体" w:cs="宋体"/>
                <w:b w:val="0"/>
                <w:bCs w:val="0"/>
                <w:color w:val="auto"/>
                <w:kern w:val="0"/>
                <w:sz w:val="22"/>
                <w:szCs w:val="22"/>
                <w:highlight w:val="none"/>
                <w:lang w:eastAsia="zh-CN" w:bidi="ar"/>
              </w:rPr>
              <w:t>；</w:t>
            </w:r>
            <w:r>
              <w:rPr>
                <w:rFonts w:hint="eastAsia" w:ascii="宋体" w:hAnsi="宋体" w:eastAsia="宋体" w:cs="宋体"/>
                <w:b w:val="0"/>
                <w:bCs w:val="0"/>
                <w:color w:val="auto"/>
                <w:kern w:val="0"/>
                <w:sz w:val="22"/>
                <w:szCs w:val="22"/>
                <w:highlight w:val="none"/>
                <w:lang w:bidi="ar"/>
              </w:rPr>
              <w:t>公示食堂消毒时间、次数等数据</w:t>
            </w:r>
            <w:r>
              <w:rPr>
                <w:rFonts w:hint="eastAsia" w:ascii="宋体" w:hAnsi="宋体" w:eastAsia="宋体" w:cs="宋体"/>
                <w:b w:val="0"/>
                <w:bCs w:val="0"/>
                <w:color w:val="auto"/>
                <w:kern w:val="0"/>
                <w:sz w:val="22"/>
                <w:szCs w:val="22"/>
                <w:highlight w:val="none"/>
                <w:lang w:eastAsia="zh-CN" w:bidi="ar"/>
              </w:rPr>
              <w:t>。</w:t>
            </w:r>
          </w:p>
        </w:tc>
      </w:tr>
      <w:tr w14:paraId="4912A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trPr>
        <w:tc>
          <w:tcPr>
            <w:tcW w:w="385" w:type="pct"/>
            <w:vMerge w:val="continue"/>
            <w:noWrap/>
            <w:vAlign w:val="center"/>
          </w:tcPr>
          <w:p w14:paraId="0180CF9B">
            <w:pPr>
              <w:widowControl/>
              <w:jc w:val="center"/>
              <w:textAlignment w:val="center"/>
              <w:rPr>
                <w:rFonts w:hint="eastAsia" w:ascii="宋体" w:hAnsi="宋体" w:eastAsia="宋体" w:cs="宋体"/>
                <w:color w:val="FF0000"/>
                <w:kern w:val="0"/>
                <w:sz w:val="22"/>
                <w:szCs w:val="22"/>
                <w:highlight w:val="none"/>
                <w:lang w:val="en-US" w:eastAsia="zh-CN" w:bidi="ar"/>
              </w:rPr>
            </w:pPr>
          </w:p>
        </w:tc>
        <w:tc>
          <w:tcPr>
            <w:tcW w:w="1090" w:type="pct"/>
            <w:vMerge w:val="continue"/>
            <w:noWrap/>
            <w:vAlign w:val="center"/>
          </w:tcPr>
          <w:p w14:paraId="2D9391A6">
            <w:pPr>
              <w:widowControl/>
              <w:jc w:val="center"/>
              <w:textAlignment w:val="center"/>
              <w:rPr>
                <w:rFonts w:hint="eastAsia" w:ascii="宋体" w:hAnsi="宋体" w:eastAsia="宋体" w:cs="宋体"/>
                <w:b w:val="0"/>
                <w:bCs w:val="0"/>
                <w:color w:val="auto"/>
                <w:kern w:val="0"/>
                <w:sz w:val="22"/>
                <w:szCs w:val="22"/>
                <w:highlight w:val="none"/>
                <w:lang w:bidi="ar"/>
              </w:rPr>
            </w:pPr>
          </w:p>
        </w:tc>
        <w:tc>
          <w:tcPr>
            <w:tcW w:w="867" w:type="pct"/>
            <w:noWrap w:val="0"/>
            <w:vAlign w:val="center"/>
          </w:tcPr>
          <w:p w14:paraId="4DD27E63">
            <w:pPr>
              <w:widowControl/>
              <w:jc w:val="center"/>
              <w:textAlignment w:val="center"/>
              <w:rPr>
                <w:rFonts w:hint="eastAsia" w:ascii="宋体" w:hAnsi="宋体" w:eastAsia="宋体" w:cs="宋体"/>
                <w:b w:val="0"/>
                <w:bCs w:val="0"/>
                <w:color w:val="auto"/>
                <w:kern w:val="0"/>
                <w:sz w:val="22"/>
                <w:szCs w:val="22"/>
                <w:highlight w:val="none"/>
                <w:lang w:bidi="ar"/>
              </w:rPr>
            </w:pPr>
            <w:r>
              <w:rPr>
                <w:rFonts w:hint="eastAsia" w:ascii="宋体" w:hAnsi="宋体" w:eastAsia="宋体" w:cs="宋体"/>
                <w:b w:val="0"/>
                <w:bCs w:val="0"/>
                <w:color w:val="auto"/>
                <w:kern w:val="0"/>
                <w:sz w:val="22"/>
                <w:szCs w:val="22"/>
                <w:highlight w:val="none"/>
                <w:lang w:bidi="ar"/>
              </w:rPr>
              <w:t>大屏展示</w:t>
            </w:r>
          </w:p>
        </w:tc>
        <w:tc>
          <w:tcPr>
            <w:tcW w:w="2656" w:type="pct"/>
            <w:noWrap w:val="0"/>
            <w:vAlign w:val="center"/>
          </w:tcPr>
          <w:p w14:paraId="400A286F">
            <w:pPr>
              <w:widowControl/>
              <w:jc w:val="left"/>
              <w:textAlignment w:val="center"/>
              <w:rPr>
                <w:rFonts w:hint="eastAsia" w:ascii="宋体" w:hAnsi="宋体" w:eastAsia="宋体" w:cs="宋体"/>
                <w:b w:val="0"/>
                <w:bCs w:val="0"/>
                <w:color w:val="auto"/>
                <w:kern w:val="0"/>
                <w:sz w:val="22"/>
                <w:szCs w:val="22"/>
                <w:highlight w:val="none"/>
                <w:lang w:eastAsia="zh-CN" w:bidi="ar"/>
              </w:rPr>
            </w:pPr>
            <w:r>
              <w:rPr>
                <w:rFonts w:hint="eastAsia" w:ascii="宋体" w:hAnsi="宋体" w:eastAsia="宋体" w:cs="宋体"/>
                <w:b w:val="0"/>
                <w:bCs w:val="0"/>
                <w:color w:val="auto"/>
                <w:kern w:val="0"/>
                <w:sz w:val="22"/>
                <w:szCs w:val="22"/>
                <w:highlight w:val="none"/>
                <w:lang w:bidi="ar"/>
              </w:rPr>
              <w:t>接入后厨关键区域及就餐区监控画面，支持实时查看、分段回放</w:t>
            </w:r>
            <w:r>
              <w:rPr>
                <w:rFonts w:hint="eastAsia" w:ascii="宋体" w:hAnsi="宋体" w:eastAsia="宋体" w:cs="宋体"/>
                <w:b w:val="0"/>
                <w:bCs w:val="0"/>
                <w:color w:val="auto"/>
                <w:kern w:val="0"/>
                <w:sz w:val="22"/>
                <w:szCs w:val="22"/>
                <w:highlight w:val="none"/>
                <w:lang w:eastAsia="zh-CN" w:bidi="ar"/>
              </w:rPr>
              <w:t>；</w:t>
            </w:r>
            <w:r>
              <w:rPr>
                <w:rFonts w:hint="eastAsia" w:ascii="宋体" w:hAnsi="宋体" w:eastAsia="宋体" w:cs="宋体"/>
                <w:b w:val="0"/>
                <w:bCs w:val="0"/>
                <w:color w:val="auto"/>
                <w:kern w:val="0"/>
                <w:sz w:val="22"/>
                <w:szCs w:val="22"/>
                <w:highlight w:val="none"/>
                <w:lang w:bidi="ar"/>
              </w:rPr>
              <w:t>展示食堂食品经营许可证等证照</w:t>
            </w:r>
            <w:r>
              <w:rPr>
                <w:rFonts w:hint="eastAsia" w:ascii="宋体" w:hAnsi="宋体" w:eastAsia="宋体" w:cs="宋体"/>
                <w:b w:val="0"/>
                <w:bCs w:val="0"/>
                <w:color w:val="auto"/>
                <w:kern w:val="0"/>
                <w:sz w:val="22"/>
                <w:szCs w:val="22"/>
                <w:highlight w:val="none"/>
                <w:lang w:eastAsia="zh-CN" w:bidi="ar"/>
              </w:rPr>
              <w:t>；</w:t>
            </w:r>
            <w:r>
              <w:rPr>
                <w:rFonts w:hint="eastAsia" w:ascii="宋体" w:hAnsi="宋体" w:eastAsia="宋体" w:cs="宋体"/>
                <w:b w:val="0"/>
                <w:bCs w:val="0"/>
                <w:color w:val="auto"/>
                <w:kern w:val="0"/>
                <w:sz w:val="22"/>
                <w:szCs w:val="22"/>
                <w:highlight w:val="none"/>
                <w:lang w:bidi="ar"/>
              </w:rPr>
              <w:t>展示留样菜品信息</w:t>
            </w:r>
            <w:r>
              <w:rPr>
                <w:rFonts w:hint="eastAsia" w:ascii="宋体" w:hAnsi="宋体" w:eastAsia="宋体" w:cs="宋体"/>
                <w:b w:val="0"/>
                <w:bCs w:val="0"/>
                <w:color w:val="auto"/>
                <w:kern w:val="0"/>
                <w:sz w:val="22"/>
                <w:szCs w:val="22"/>
                <w:highlight w:val="none"/>
                <w:lang w:eastAsia="zh-CN" w:bidi="ar"/>
              </w:rPr>
              <w:t>；</w:t>
            </w:r>
            <w:r>
              <w:rPr>
                <w:rFonts w:hint="eastAsia" w:ascii="宋体" w:hAnsi="宋体" w:eastAsia="宋体" w:cs="宋体"/>
                <w:b w:val="0"/>
                <w:bCs w:val="0"/>
                <w:color w:val="auto"/>
                <w:kern w:val="0"/>
                <w:sz w:val="22"/>
                <w:szCs w:val="22"/>
                <w:highlight w:val="none"/>
                <w:lang w:bidi="ar"/>
              </w:rPr>
              <w:t>展示食堂食安等级以及评分情况</w:t>
            </w:r>
            <w:r>
              <w:rPr>
                <w:rFonts w:hint="eastAsia" w:ascii="宋体" w:hAnsi="宋体" w:eastAsia="宋体" w:cs="宋体"/>
                <w:b w:val="0"/>
                <w:bCs w:val="0"/>
                <w:color w:val="auto"/>
                <w:kern w:val="0"/>
                <w:sz w:val="22"/>
                <w:szCs w:val="22"/>
                <w:highlight w:val="none"/>
                <w:lang w:eastAsia="zh-CN" w:bidi="ar"/>
              </w:rPr>
              <w:t>；</w:t>
            </w:r>
            <w:r>
              <w:rPr>
                <w:rFonts w:hint="eastAsia" w:ascii="宋体" w:hAnsi="宋体" w:eastAsia="宋体" w:cs="宋体"/>
                <w:b w:val="0"/>
                <w:bCs w:val="0"/>
                <w:color w:val="auto"/>
                <w:kern w:val="0"/>
                <w:sz w:val="22"/>
                <w:szCs w:val="22"/>
                <w:highlight w:val="none"/>
                <w:lang w:bidi="ar"/>
              </w:rPr>
              <w:t>统计展示近期食堂食材采购数据</w:t>
            </w:r>
            <w:r>
              <w:rPr>
                <w:rFonts w:hint="eastAsia" w:ascii="宋体" w:hAnsi="宋体" w:eastAsia="宋体" w:cs="宋体"/>
                <w:b w:val="0"/>
                <w:bCs w:val="0"/>
                <w:color w:val="auto"/>
                <w:kern w:val="0"/>
                <w:sz w:val="22"/>
                <w:szCs w:val="22"/>
                <w:highlight w:val="none"/>
                <w:lang w:eastAsia="zh-CN" w:bidi="ar"/>
              </w:rPr>
              <w:t>；</w:t>
            </w:r>
            <w:r>
              <w:rPr>
                <w:rFonts w:hint="eastAsia" w:ascii="宋体" w:hAnsi="宋体" w:eastAsia="宋体" w:cs="宋体"/>
                <w:b w:val="0"/>
                <w:bCs w:val="0"/>
                <w:color w:val="auto"/>
                <w:kern w:val="0"/>
                <w:sz w:val="22"/>
                <w:szCs w:val="22"/>
                <w:highlight w:val="none"/>
                <w:lang w:bidi="ar"/>
              </w:rPr>
              <w:t>统计展示近期食堂消毒操作数据</w:t>
            </w:r>
            <w:r>
              <w:rPr>
                <w:rFonts w:hint="eastAsia" w:ascii="宋体" w:hAnsi="宋体" w:eastAsia="宋体" w:cs="宋体"/>
                <w:b w:val="0"/>
                <w:bCs w:val="0"/>
                <w:color w:val="auto"/>
                <w:kern w:val="0"/>
                <w:sz w:val="22"/>
                <w:szCs w:val="22"/>
                <w:highlight w:val="none"/>
                <w:lang w:eastAsia="zh-CN" w:bidi="ar"/>
              </w:rPr>
              <w:t>。</w:t>
            </w:r>
          </w:p>
        </w:tc>
      </w:tr>
      <w:tr w14:paraId="7F57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trPr>
        <w:tc>
          <w:tcPr>
            <w:tcW w:w="385" w:type="pct"/>
            <w:vMerge w:val="restart"/>
            <w:noWrap/>
            <w:vAlign w:val="center"/>
          </w:tcPr>
          <w:p w14:paraId="64197575">
            <w:pPr>
              <w:widowControl/>
              <w:jc w:val="center"/>
              <w:textAlignment w:val="center"/>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36</w:t>
            </w:r>
          </w:p>
          <w:p w14:paraId="1B0C857A">
            <w:pPr>
              <w:widowControl/>
              <w:jc w:val="center"/>
              <w:textAlignment w:val="center"/>
              <w:rPr>
                <w:rFonts w:hint="default" w:ascii="宋体" w:hAnsi="宋体" w:eastAsia="宋体" w:cs="宋体"/>
                <w:color w:val="auto"/>
                <w:kern w:val="0"/>
                <w:sz w:val="22"/>
                <w:szCs w:val="22"/>
                <w:highlight w:val="none"/>
                <w:lang w:val="en-US" w:eastAsia="zh-CN" w:bidi="ar"/>
              </w:rPr>
            </w:pPr>
          </w:p>
        </w:tc>
        <w:tc>
          <w:tcPr>
            <w:tcW w:w="1090" w:type="pct"/>
            <w:vMerge w:val="restart"/>
            <w:noWrap/>
            <w:vAlign w:val="center"/>
          </w:tcPr>
          <w:p w14:paraId="0506FB54">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设备监测管理平台</w:t>
            </w:r>
          </w:p>
        </w:tc>
        <w:tc>
          <w:tcPr>
            <w:tcW w:w="867" w:type="pct"/>
            <w:noWrap w:val="0"/>
            <w:vAlign w:val="center"/>
          </w:tcPr>
          <w:p w14:paraId="08AED112">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Paas 层监测</w:t>
            </w:r>
          </w:p>
        </w:tc>
        <w:tc>
          <w:tcPr>
            <w:tcW w:w="2656" w:type="pct"/>
            <w:noWrap w:val="0"/>
            <w:vAlign w:val="center"/>
          </w:tcPr>
          <w:p w14:paraId="723932C6">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操作系统运行状态监测</w:t>
            </w:r>
          </w:p>
        </w:tc>
      </w:tr>
      <w:tr w14:paraId="01843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385" w:type="pct"/>
            <w:vMerge w:val="continue"/>
            <w:noWrap/>
            <w:vAlign w:val="center"/>
          </w:tcPr>
          <w:p w14:paraId="7AF7F78F">
            <w:pPr>
              <w:widowControl/>
              <w:jc w:val="center"/>
              <w:textAlignment w:val="center"/>
              <w:rPr>
                <w:rFonts w:hint="default" w:ascii="宋体" w:hAnsi="宋体" w:eastAsia="宋体" w:cs="宋体"/>
                <w:color w:val="auto"/>
                <w:kern w:val="0"/>
                <w:sz w:val="22"/>
                <w:szCs w:val="22"/>
                <w:highlight w:val="none"/>
                <w:lang w:val="en-US" w:eastAsia="zh-CN" w:bidi="ar"/>
              </w:rPr>
            </w:pPr>
          </w:p>
        </w:tc>
        <w:tc>
          <w:tcPr>
            <w:tcW w:w="1090" w:type="pct"/>
            <w:vMerge w:val="continue"/>
            <w:noWrap/>
            <w:vAlign w:val="center"/>
          </w:tcPr>
          <w:p w14:paraId="1C41CFD4">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2875FC90">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IaaS层监测</w:t>
            </w:r>
          </w:p>
        </w:tc>
        <w:tc>
          <w:tcPr>
            <w:tcW w:w="2656" w:type="pct"/>
            <w:noWrap w:val="0"/>
            <w:vAlign w:val="center"/>
          </w:tcPr>
          <w:p w14:paraId="474BA668">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服务器、存储设备和网络设备等硬件设备监测</w:t>
            </w:r>
          </w:p>
        </w:tc>
      </w:tr>
      <w:tr w14:paraId="423F6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85" w:type="pct"/>
            <w:vMerge w:val="continue"/>
            <w:noWrap/>
            <w:vAlign w:val="center"/>
          </w:tcPr>
          <w:p w14:paraId="7288AB4B">
            <w:pPr>
              <w:widowControl/>
              <w:jc w:val="center"/>
              <w:textAlignment w:val="center"/>
              <w:rPr>
                <w:rFonts w:hint="default" w:ascii="宋体" w:hAnsi="宋体" w:eastAsia="宋体" w:cs="宋体"/>
                <w:color w:val="auto"/>
                <w:kern w:val="0"/>
                <w:sz w:val="22"/>
                <w:szCs w:val="22"/>
                <w:highlight w:val="none"/>
                <w:lang w:val="en-US" w:eastAsia="zh-CN" w:bidi="ar"/>
              </w:rPr>
            </w:pPr>
          </w:p>
        </w:tc>
        <w:tc>
          <w:tcPr>
            <w:tcW w:w="1090" w:type="pct"/>
            <w:vMerge w:val="continue"/>
            <w:noWrap/>
            <w:vAlign w:val="center"/>
          </w:tcPr>
          <w:p w14:paraId="7F5C08CD">
            <w:pPr>
              <w:widowControl/>
              <w:jc w:val="center"/>
              <w:textAlignment w:val="center"/>
              <w:rPr>
                <w:rFonts w:hint="eastAsia" w:ascii="宋体" w:hAnsi="宋体" w:eastAsia="宋体" w:cs="宋体"/>
                <w:color w:val="auto"/>
                <w:kern w:val="0"/>
                <w:sz w:val="22"/>
                <w:szCs w:val="22"/>
                <w:highlight w:val="none"/>
                <w:lang w:bidi="ar"/>
              </w:rPr>
            </w:pPr>
          </w:p>
        </w:tc>
        <w:tc>
          <w:tcPr>
            <w:tcW w:w="867" w:type="pct"/>
            <w:noWrap w:val="0"/>
            <w:vAlign w:val="center"/>
          </w:tcPr>
          <w:p w14:paraId="6386A7D0">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Saas 层监测</w:t>
            </w:r>
          </w:p>
        </w:tc>
        <w:tc>
          <w:tcPr>
            <w:tcW w:w="2656" w:type="pct"/>
            <w:noWrap w:val="0"/>
            <w:vAlign w:val="center"/>
          </w:tcPr>
          <w:p w14:paraId="58090598">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软件运行状态监测</w:t>
            </w:r>
          </w:p>
        </w:tc>
      </w:tr>
      <w:tr w14:paraId="565AF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85" w:type="pct"/>
            <w:noWrap/>
            <w:vAlign w:val="center"/>
          </w:tcPr>
          <w:p w14:paraId="74062516">
            <w:pPr>
              <w:widowControl/>
              <w:jc w:val="center"/>
              <w:textAlignment w:val="center"/>
              <w:rPr>
                <w:rFonts w:hint="default"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37</w:t>
            </w:r>
          </w:p>
        </w:tc>
        <w:tc>
          <w:tcPr>
            <w:tcW w:w="1090" w:type="pct"/>
            <w:noWrap/>
            <w:vAlign w:val="center"/>
          </w:tcPr>
          <w:p w14:paraId="21C4F8DF">
            <w:pPr>
              <w:widowControl/>
              <w:jc w:val="center"/>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kern w:val="0"/>
                <w:sz w:val="22"/>
                <w:szCs w:val="22"/>
                <w:highlight w:val="none"/>
                <w:lang w:eastAsia="zh-CN" w:bidi="ar"/>
              </w:rPr>
              <w:t>平台安全</w:t>
            </w:r>
          </w:p>
        </w:tc>
        <w:tc>
          <w:tcPr>
            <w:tcW w:w="867" w:type="pct"/>
            <w:noWrap w:val="0"/>
            <w:vAlign w:val="center"/>
          </w:tcPr>
          <w:p w14:paraId="44CB4C37">
            <w:pPr>
              <w:widowControl/>
              <w:jc w:val="center"/>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kern w:val="0"/>
                <w:sz w:val="22"/>
                <w:szCs w:val="22"/>
                <w:highlight w:val="none"/>
                <w:lang w:eastAsia="zh-CN" w:bidi="ar"/>
              </w:rPr>
              <w:t>等保测评</w:t>
            </w:r>
          </w:p>
        </w:tc>
        <w:tc>
          <w:tcPr>
            <w:tcW w:w="2656" w:type="pct"/>
            <w:noWrap w:val="0"/>
            <w:vAlign w:val="center"/>
          </w:tcPr>
          <w:p w14:paraId="2022EFAD">
            <w:pPr>
              <w:widowControl/>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sz w:val="22"/>
                <w:szCs w:val="22"/>
                <w:highlight w:val="none"/>
              </w:rPr>
              <w:t>投标人提供的视频汇聚平台通过</w:t>
            </w:r>
            <w:r>
              <w:rPr>
                <w:rFonts w:hint="eastAsia" w:ascii="宋体" w:hAnsi="宋体" w:eastAsia="宋体" w:cs="宋体"/>
                <w:color w:val="auto"/>
                <w:sz w:val="22"/>
                <w:szCs w:val="22"/>
                <w:highlight w:val="none"/>
                <w:lang w:eastAsia="zh-CN"/>
              </w:rPr>
              <w:t>二级及以上</w:t>
            </w:r>
            <w:r>
              <w:rPr>
                <w:rFonts w:hint="eastAsia" w:ascii="宋体" w:hAnsi="宋体" w:eastAsia="宋体" w:cs="宋体"/>
                <w:color w:val="auto"/>
                <w:sz w:val="22"/>
                <w:szCs w:val="22"/>
                <w:highlight w:val="none"/>
              </w:rPr>
              <w:t>《网络安全等级保护》</w:t>
            </w:r>
            <w:r>
              <w:rPr>
                <w:rFonts w:hint="eastAsia" w:ascii="宋体" w:hAnsi="宋体" w:eastAsia="宋体" w:cs="宋体"/>
                <w:color w:val="auto"/>
                <w:sz w:val="22"/>
                <w:szCs w:val="22"/>
                <w:highlight w:val="none"/>
                <w:lang w:eastAsia="zh-CN"/>
              </w:rPr>
              <w:t>测评。</w:t>
            </w:r>
          </w:p>
        </w:tc>
      </w:tr>
      <w:bookmarkEnd w:id="213"/>
    </w:tbl>
    <w:p w14:paraId="04E99369">
      <w:pPr>
        <w:widowControl w:val="0"/>
        <w:autoSpaceDE w:val="0"/>
        <w:autoSpaceDN w:val="0"/>
        <w:adjustRightInd w:val="0"/>
        <w:spacing w:line="440" w:lineRule="exact"/>
        <w:ind w:firstLine="480" w:firstLineChars="200"/>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五、其他</w:t>
      </w:r>
    </w:p>
    <w:p w14:paraId="41327815">
      <w:pPr>
        <w:widowControl w:val="0"/>
        <w:autoSpaceDE w:val="0"/>
        <w:autoSpaceDN w:val="0"/>
        <w:adjustRightInd w:val="0"/>
        <w:spacing w:line="440" w:lineRule="exact"/>
        <w:ind w:firstLine="480" w:firstLineChars="200"/>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（1）监控平台及设备监测管理平台的源代码，中标单位须无条件交付。</w:t>
      </w:r>
    </w:p>
    <w:p w14:paraId="2C838D3D">
      <w:pPr>
        <w:widowControl w:val="0"/>
        <w:autoSpaceDE w:val="0"/>
        <w:autoSpaceDN w:val="0"/>
        <w:adjustRightInd w:val="0"/>
        <w:spacing w:line="440" w:lineRule="exact"/>
        <w:ind w:firstLine="480" w:firstLineChars="200"/>
        <w:rPr>
          <w:rFonts w:hint="eastAsia" w:ascii="宋体" w:hAnsi="宋体" w:eastAsia="宋体" w:cs="宋体"/>
          <w:color w:val="FF0000"/>
          <w:sz w:val="24"/>
          <w:szCs w:val="24"/>
          <w:highlight w:val="none"/>
          <w:u w:val="none"/>
          <w:lang w:val="en-US" w:eastAsia="zh-CN" w:bidi="ar-SA"/>
        </w:rPr>
      </w:pPr>
      <w:r>
        <w:rPr>
          <w:rFonts w:hint="eastAsia" w:ascii="宋体" w:hAnsi="宋体" w:eastAsia="宋体" w:cs="宋体"/>
          <w:color w:val="auto"/>
          <w:sz w:val="24"/>
          <w:szCs w:val="22"/>
          <w:highlight w:val="none"/>
          <w:lang w:val="en-US" w:eastAsia="zh-CN" w:bidi="ar-SA"/>
        </w:rPr>
        <w:t>（2）中标单位在运维服务期范围内须根据甲方要求，</w:t>
      </w:r>
      <w:r>
        <w:rPr>
          <w:rFonts w:hint="eastAsia" w:ascii="宋体" w:hAnsi="宋体" w:eastAsia="宋体" w:cs="宋体"/>
          <w:b/>
          <w:bCs/>
          <w:color w:val="auto"/>
          <w:sz w:val="24"/>
          <w:szCs w:val="24"/>
          <w:highlight w:val="none"/>
          <w:u w:val="none"/>
          <w:lang w:val="en-US" w:eastAsia="zh-CN" w:bidi="ar-SA"/>
        </w:rPr>
        <w:t>做好和一期建设方的协调沟通和数据对接，并对平台系统做好持续优化升级，确保二期项目顺利建设运行</w:t>
      </w:r>
      <w:r>
        <w:rPr>
          <w:rFonts w:hint="eastAsia" w:ascii="宋体" w:hAnsi="宋体" w:eastAsia="宋体" w:cs="宋体"/>
          <w:color w:val="auto"/>
          <w:sz w:val="24"/>
          <w:szCs w:val="24"/>
          <w:highlight w:val="none"/>
          <w:u w:val="none"/>
          <w:lang w:val="en-US" w:eastAsia="zh-CN" w:bidi="ar-SA"/>
        </w:rPr>
        <w:t>。</w:t>
      </w:r>
    </w:p>
    <w:p w14:paraId="6E6C7921">
      <w:pPr>
        <w:widowControl w:val="0"/>
        <w:autoSpaceDE w:val="0"/>
        <w:autoSpaceDN w:val="0"/>
        <w:adjustRightInd w:val="0"/>
        <w:spacing w:line="440" w:lineRule="exact"/>
        <w:ind w:firstLine="480" w:firstLineChars="200"/>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（3）乙方须无条件配合甲方与其他平台进行数据对接。如本项目系统平台接入其他系统平台，</w:t>
      </w:r>
      <w:r>
        <w:rPr>
          <w:rFonts w:hint="eastAsia" w:ascii="宋体" w:hAnsi="宋体" w:eastAsia="宋体" w:cs="宋体"/>
          <w:color w:val="auto"/>
          <w:sz w:val="24"/>
          <w:szCs w:val="24"/>
          <w:highlight w:val="none"/>
          <w:u w:val="none"/>
          <w:lang w:val="en-US" w:eastAsia="zh-CN" w:bidi="ar-SA"/>
        </w:rPr>
        <w:t>乙方无需向其他平台支付费用，但需由乙方的人力及技术来完成对接。</w:t>
      </w:r>
      <w:r>
        <w:rPr>
          <w:rFonts w:hint="eastAsia" w:ascii="宋体" w:hAnsi="宋体" w:eastAsia="宋体" w:cs="宋体"/>
          <w:color w:val="auto"/>
          <w:sz w:val="24"/>
          <w:szCs w:val="22"/>
          <w:highlight w:val="none"/>
          <w:lang w:val="en-US" w:eastAsia="zh-CN" w:bidi="ar-SA"/>
        </w:rPr>
        <w:t>如其他系统平台接入本项目系统平台，乙方不得收取任何费用，且须提供人力及技术支持确保对接完成。</w:t>
      </w:r>
    </w:p>
    <w:p w14:paraId="5601B6FE">
      <w:pPr>
        <w:widowControl w:val="0"/>
        <w:autoSpaceDE w:val="0"/>
        <w:autoSpaceDN w:val="0"/>
        <w:adjustRightInd w:val="0"/>
        <w:spacing w:line="440" w:lineRule="exact"/>
        <w:ind w:firstLine="480" w:firstLineChars="200"/>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4）中标单位须提供服务支持小组5*8小时现场服务。服务工作包括系统使用咨询、系统异常情况处理、硬件设备维修及更换、系统免费升级等服务。并根据用户需要，派技术服务人员到用户现场指导用户完成系统操作，对系统的功能操作或用户提出的其他系统问题进行现场讲解，对用户进行系统操作培训等。</w:t>
      </w:r>
    </w:p>
    <w:p w14:paraId="2BEAA4D1">
      <w:pPr>
        <w:widowControl w:val="0"/>
        <w:autoSpaceDE w:val="0"/>
        <w:autoSpaceDN w:val="0"/>
        <w:adjustRightInd w:val="0"/>
        <w:spacing w:line="440" w:lineRule="exact"/>
        <w:ind w:firstLine="480" w:firstLineChars="200"/>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5）中标单位须提供7*24小时电话服务，在日常技术支持服务中，服务团队接听采购人、用户的热线电话，详细记录问题并解答用户提出的问题，做好问题跟踪记录。对电话服务要求如下：工作日内实时响应客户电话。非工作日30分钟内回复客户电话。</w:t>
      </w:r>
    </w:p>
    <w:p w14:paraId="4300AC77">
      <w:pPr>
        <w:widowControl w:val="0"/>
        <w:autoSpaceDE w:val="0"/>
        <w:autoSpaceDN w:val="0"/>
        <w:adjustRightInd w:val="0"/>
        <w:spacing w:line="440" w:lineRule="exact"/>
        <w:ind w:firstLine="480" w:firstLineChars="200"/>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（6）故障响应标准：中标单位须积极与采购人沟通协调，对一般故障，在半小时内响应并在2小时内解决；重大故障在24小时内解决。</w:t>
      </w:r>
    </w:p>
    <w:p w14:paraId="7DA1B6E5">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六、服务时间和地点</w:t>
      </w:r>
    </w:p>
    <w:p w14:paraId="0BEC2684">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（1）履约期限：合同签订后90日内完成系统建设且正式上线运营，运维服务期为系统验收通过之日起计3年。</w:t>
      </w:r>
    </w:p>
    <w:p w14:paraId="2A76E74B">
      <w:pPr>
        <w:pStyle w:val="11"/>
        <w:keepNext w:val="0"/>
        <w:keepLines w:val="0"/>
        <w:pageBreakBefore w:val="0"/>
        <w:widowControl w:val="0"/>
        <w:kinsoku/>
        <w:wordWrap/>
        <w:overflowPunct/>
        <w:topLinePunct w:val="0"/>
        <w:bidi w:val="0"/>
        <w:snapToGrid/>
        <w:spacing w:beforeAutospacing="0" w:afterAutospacing="0" w:line="440" w:lineRule="exact"/>
        <w:ind w:firstLine="480"/>
        <w:jc w:val="both"/>
        <w:textAlignment w:val="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（2）服务地点：东台市。</w:t>
      </w:r>
    </w:p>
    <w:p w14:paraId="7B31BE3F">
      <w:pPr>
        <w:pStyle w:val="11"/>
        <w:keepNext w:val="0"/>
        <w:keepLines w:val="0"/>
        <w:pageBreakBefore w:val="0"/>
        <w:widowControl w:val="0"/>
        <w:kinsoku/>
        <w:wordWrap/>
        <w:overflowPunct/>
        <w:topLinePunct w:val="0"/>
        <w:bidi w:val="0"/>
        <w:snapToGrid/>
        <w:spacing w:beforeAutospacing="0" w:afterAutospacing="0" w:line="44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七、采购标的对应的中小企业划分标准所属行业一览表</w:t>
      </w:r>
    </w:p>
    <w:tbl>
      <w:tblPr>
        <w:tblStyle w:val="12"/>
        <w:tblW w:w="8261" w:type="dxa"/>
        <w:jc w:val="center"/>
        <w:tblCellSpacing w:w="0" w:type="dxa"/>
        <w:tblLayout w:type="fixed"/>
        <w:tblCellMar>
          <w:top w:w="0" w:type="dxa"/>
          <w:left w:w="108" w:type="dxa"/>
          <w:bottom w:w="0" w:type="dxa"/>
          <w:right w:w="108" w:type="dxa"/>
        </w:tblCellMar>
      </w:tblPr>
      <w:tblGrid>
        <w:gridCol w:w="1536"/>
        <w:gridCol w:w="3108"/>
        <w:gridCol w:w="3617"/>
      </w:tblGrid>
      <w:tr w14:paraId="2D41744F">
        <w:tblPrEx>
          <w:tblCellMar>
            <w:top w:w="0" w:type="dxa"/>
            <w:left w:w="108" w:type="dxa"/>
            <w:bottom w:w="0" w:type="dxa"/>
            <w:right w:w="108" w:type="dxa"/>
          </w:tblCellMar>
        </w:tblPrEx>
        <w:trPr>
          <w:trHeight w:val="539" w:hRule="atLeast"/>
          <w:tblCellSpacing w:w="0" w:type="dxa"/>
          <w:jc w:val="center"/>
        </w:trPr>
        <w:tc>
          <w:tcPr>
            <w:tcW w:w="1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31352">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序号</w:t>
            </w:r>
          </w:p>
        </w:tc>
        <w:tc>
          <w:tcPr>
            <w:tcW w:w="3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3639C">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采购标的</w:t>
            </w:r>
          </w:p>
        </w:tc>
        <w:tc>
          <w:tcPr>
            <w:tcW w:w="3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75D45">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对应中小企业划分标准所属行业</w:t>
            </w:r>
          </w:p>
        </w:tc>
      </w:tr>
      <w:tr w14:paraId="6762354E">
        <w:tblPrEx>
          <w:tblCellMar>
            <w:top w:w="0" w:type="dxa"/>
            <w:left w:w="108" w:type="dxa"/>
            <w:bottom w:w="0" w:type="dxa"/>
            <w:right w:w="108" w:type="dxa"/>
          </w:tblCellMar>
        </w:tblPrEx>
        <w:trPr>
          <w:trHeight w:val="543" w:hRule="atLeast"/>
          <w:tblCellSpacing w:w="0" w:type="dxa"/>
          <w:jc w:val="center"/>
        </w:trPr>
        <w:tc>
          <w:tcPr>
            <w:tcW w:w="1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D9B1E">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31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CBD10">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东台眼见为食信息化监管平台二期建设项目</w:t>
            </w:r>
          </w:p>
        </w:tc>
        <w:tc>
          <w:tcPr>
            <w:tcW w:w="3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0891E">
            <w:pPr>
              <w:pStyle w:val="11"/>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软件和信息技术服务行业</w:t>
            </w:r>
          </w:p>
        </w:tc>
      </w:tr>
    </w:tbl>
    <w:p w14:paraId="2402B7F4">
      <w:pPr>
        <w:widowControl w:val="0"/>
        <w:autoSpaceDE w:val="0"/>
        <w:autoSpaceDN w:val="0"/>
        <w:adjustRightInd w:val="0"/>
        <w:spacing w:line="440" w:lineRule="exact"/>
        <w:ind w:firstLine="480" w:firstLineChars="200"/>
        <w:rPr>
          <w:rFonts w:hint="eastAsia" w:ascii="宋体" w:hAnsi="宋体" w:eastAsia="宋体" w:cs="宋体"/>
          <w:color w:val="auto"/>
          <w:sz w:val="24"/>
          <w:szCs w:val="22"/>
          <w:highlight w:val="none"/>
          <w:lang w:val="en-US" w:eastAsia="zh-CN" w:bidi="ar-SA"/>
        </w:rPr>
      </w:pPr>
    </w:p>
    <w:p w14:paraId="689B40AD">
      <w:pPr>
        <w:pStyle w:val="11"/>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w:t>
      </w:r>
    </w:p>
    <w:p w14:paraId="420EBFCF">
      <w:pPr>
        <w:pStyle w:val="11"/>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72C7CF00">
      <w:pPr>
        <w:pStyle w:val="11"/>
        <w:spacing w:beforeAutospacing="0" w:afterAutospacing="0"/>
        <w:ind w:firstLine="60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7EE32333">
      <w:pPr>
        <w:pStyle w:val="11"/>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358497D9">
      <w:pPr>
        <w:pStyle w:val="11"/>
        <w:tabs>
          <w:tab w:val="left" w:pos="6205"/>
        </w:tabs>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5AEEB34B">
      <w:pPr>
        <w:pStyle w:val="11"/>
        <w:keepNext/>
        <w:spacing w:beforeAutospacing="0" w:afterAutospacing="0"/>
        <w:jc w:val="center"/>
        <w:rPr>
          <w:rFonts w:hint="eastAsia" w:ascii="宋体" w:hAnsi="宋体" w:eastAsia="宋体" w:cs="宋体"/>
          <w:sz w:val="24"/>
          <w:szCs w:val="24"/>
          <w:highlight w:val="none"/>
        </w:rPr>
      </w:pPr>
      <w:bookmarkStart w:id="187" w:name="_Toc120614281"/>
      <w:r>
        <w:rPr>
          <w:rFonts w:hint="eastAsia" w:ascii="宋体" w:hAnsi="宋体" w:eastAsia="宋体" w:cs="宋体"/>
          <w:sz w:val="24"/>
          <w:szCs w:val="24"/>
          <w:highlight w:val="none"/>
        </w:rPr>
        <w:t> </w:t>
      </w:r>
    </w:p>
    <w:p w14:paraId="61AA3C61">
      <w:pPr>
        <w:pStyle w:val="11"/>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23810F0B">
      <w:pPr>
        <w:pStyle w:val="11"/>
        <w:spacing w:beforeAutospacing="0" w:afterAutospacing="0"/>
        <w:jc w:val="both"/>
        <w:rPr>
          <w:highlight w:val="none"/>
        </w:rPr>
      </w:pPr>
    </w:p>
    <w:p w14:paraId="7375105D">
      <w:pPr>
        <w:pStyle w:val="11"/>
        <w:spacing w:beforeAutospacing="0" w:afterAutospacing="0"/>
        <w:jc w:val="both"/>
        <w:rPr>
          <w:highlight w:val="none"/>
        </w:rPr>
      </w:pPr>
    </w:p>
    <w:p w14:paraId="498F8BED">
      <w:pPr>
        <w:pStyle w:val="11"/>
        <w:spacing w:beforeAutospacing="0" w:afterAutospacing="0"/>
        <w:jc w:val="both"/>
        <w:rPr>
          <w:highlight w:val="none"/>
        </w:rPr>
      </w:pPr>
    </w:p>
    <w:p w14:paraId="2AD50BEB">
      <w:pPr>
        <w:pStyle w:val="11"/>
        <w:spacing w:beforeAutospacing="0" w:afterAutospacing="0"/>
        <w:jc w:val="both"/>
        <w:rPr>
          <w:highlight w:val="none"/>
        </w:rPr>
      </w:pPr>
    </w:p>
    <w:p w14:paraId="07650E61">
      <w:pPr>
        <w:pStyle w:val="11"/>
        <w:spacing w:beforeAutospacing="0" w:afterAutospacing="0"/>
        <w:jc w:val="both"/>
        <w:rPr>
          <w:highlight w:val="none"/>
        </w:rPr>
      </w:pPr>
    </w:p>
    <w:p w14:paraId="70AE6F08">
      <w:pPr>
        <w:pStyle w:val="11"/>
        <w:spacing w:beforeAutospacing="0" w:afterAutospacing="0"/>
        <w:jc w:val="both"/>
        <w:rPr>
          <w:highlight w:val="none"/>
        </w:rPr>
      </w:pPr>
    </w:p>
    <w:p w14:paraId="12B56465">
      <w:pPr>
        <w:pStyle w:val="11"/>
        <w:spacing w:beforeAutospacing="0" w:afterAutospacing="0"/>
        <w:jc w:val="both"/>
        <w:rPr>
          <w:highlight w:val="none"/>
        </w:rPr>
      </w:pPr>
    </w:p>
    <w:p w14:paraId="7E02351F">
      <w:pPr>
        <w:pStyle w:val="11"/>
        <w:spacing w:beforeAutospacing="0" w:afterAutospacing="0"/>
        <w:jc w:val="both"/>
        <w:rPr>
          <w:highlight w:val="none"/>
        </w:rPr>
      </w:pPr>
    </w:p>
    <w:p w14:paraId="3D7A4676">
      <w:pPr>
        <w:pStyle w:val="11"/>
        <w:spacing w:beforeAutospacing="0" w:afterAutospacing="0"/>
        <w:jc w:val="both"/>
        <w:rPr>
          <w:highlight w:val="none"/>
        </w:rPr>
      </w:pPr>
    </w:p>
    <w:p w14:paraId="694A91C7">
      <w:pPr>
        <w:pStyle w:val="11"/>
        <w:spacing w:beforeAutospacing="0" w:afterAutospacing="0"/>
        <w:jc w:val="both"/>
        <w:rPr>
          <w:highlight w:val="none"/>
        </w:rPr>
      </w:pPr>
    </w:p>
    <w:p w14:paraId="5AAC4C6B">
      <w:pPr>
        <w:pStyle w:val="11"/>
        <w:spacing w:beforeAutospacing="0" w:afterAutospacing="0"/>
        <w:jc w:val="both"/>
        <w:rPr>
          <w:highlight w:val="none"/>
        </w:rPr>
      </w:pPr>
    </w:p>
    <w:p w14:paraId="6EE3998B">
      <w:pPr>
        <w:pStyle w:val="11"/>
        <w:spacing w:beforeAutospacing="0" w:afterAutospacing="0"/>
        <w:jc w:val="both"/>
        <w:rPr>
          <w:highlight w:val="none"/>
        </w:rPr>
      </w:pPr>
    </w:p>
    <w:p w14:paraId="37C52DE2">
      <w:pPr>
        <w:pStyle w:val="11"/>
        <w:spacing w:beforeAutospacing="0" w:afterAutospacing="0"/>
        <w:jc w:val="both"/>
        <w:rPr>
          <w:highlight w:val="none"/>
        </w:rPr>
      </w:pPr>
    </w:p>
    <w:p w14:paraId="2DDB68F8">
      <w:pPr>
        <w:pStyle w:val="11"/>
        <w:spacing w:beforeAutospacing="0" w:afterAutospacing="0"/>
        <w:jc w:val="both"/>
        <w:rPr>
          <w:highlight w:val="none"/>
        </w:rPr>
      </w:pPr>
    </w:p>
    <w:p w14:paraId="638722E3">
      <w:pPr>
        <w:pStyle w:val="11"/>
        <w:spacing w:beforeAutospacing="0" w:afterAutospacing="0"/>
        <w:jc w:val="both"/>
        <w:rPr>
          <w:highlight w:val="none"/>
        </w:rPr>
      </w:pPr>
    </w:p>
    <w:p w14:paraId="2D132F51">
      <w:pPr>
        <w:pStyle w:val="11"/>
        <w:spacing w:beforeAutospacing="0" w:afterAutospacing="0"/>
        <w:jc w:val="both"/>
        <w:rPr>
          <w:highlight w:val="none"/>
        </w:rPr>
      </w:pPr>
    </w:p>
    <w:p w14:paraId="45E4BE4E">
      <w:pPr>
        <w:pStyle w:val="11"/>
        <w:spacing w:beforeAutospacing="0" w:afterAutospacing="0"/>
        <w:jc w:val="both"/>
        <w:rPr>
          <w:highlight w:val="none"/>
        </w:rPr>
      </w:pPr>
    </w:p>
    <w:p w14:paraId="71C3D6DB">
      <w:pPr>
        <w:pStyle w:val="11"/>
        <w:spacing w:beforeAutospacing="0" w:afterAutospacing="0"/>
        <w:jc w:val="both"/>
        <w:rPr>
          <w:highlight w:val="none"/>
        </w:rPr>
      </w:pPr>
    </w:p>
    <w:p w14:paraId="31970F2F">
      <w:pPr>
        <w:pStyle w:val="11"/>
        <w:spacing w:beforeAutospacing="0" w:afterAutospacing="0"/>
        <w:jc w:val="both"/>
        <w:rPr>
          <w:highlight w:val="none"/>
        </w:rPr>
      </w:pPr>
    </w:p>
    <w:p w14:paraId="70AE0CD7">
      <w:pPr>
        <w:pStyle w:val="11"/>
        <w:spacing w:beforeAutospacing="0" w:afterAutospacing="0"/>
        <w:jc w:val="both"/>
        <w:rPr>
          <w:highlight w:val="none"/>
        </w:rPr>
      </w:pPr>
    </w:p>
    <w:p w14:paraId="2056C4CD">
      <w:pPr>
        <w:pStyle w:val="11"/>
        <w:spacing w:beforeAutospacing="0" w:afterAutospacing="0"/>
        <w:jc w:val="both"/>
        <w:rPr>
          <w:highlight w:val="none"/>
        </w:rPr>
      </w:pPr>
    </w:p>
    <w:p w14:paraId="10F119B7">
      <w:pPr>
        <w:pStyle w:val="11"/>
        <w:spacing w:beforeAutospacing="0" w:afterAutospacing="0"/>
        <w:jc w:val="both"/>
        <w:rPr>
          <w:highlight w:val="none"/>
        </w:rPr>
      </w:pPr>
    </w:p>
    <w:p w14:paraId="7F94AFE3">
      <w:pPr>
        <w:pStyle w:val="11"/>
        <w:spacing w:beforeAutospacing="0" w:afterAutospacing="0"/>
        <w:jc w:val="both"/>
        <w:rPr>
          <w:highlight w:val="none"/>
        </w:rPr>
      </w:pPr>
    </w:p>
    <w:p w14:paraId="41FB9C48">
      <w:pPr>
        <w:pStyle w:val="11"/>
        <w:spacing w:beforeAutospacing="0" w:afterAutospacing="0"/>
        <w:jc w:val="both"/>
        <w:rPr>
          <w:highlight w:val="none"/>
        </w:rPr>
      </w:pPr>
    </w:p>
    <w:p w14:paraId="6F12AE82">
      <w:pPr>
        <w:pStyle w:val="11"/>
        <w:spacing w:beforeAutospacing="0" w:afterAutospacing="0"/>
        <w:jc w:val="both"/>
        <w:rPr>
          <w:highlight w:val="none"/>
        </w:rPr>
      </w:pPr>
    </w:p>
    <w:p w14:paraId="2ED372E7">
      <w:pPr>
        <w:pStyle w:val="11"/>
        <w:spacing w:beforeAutospacing="0" w:afterAutospacing="0"/>
        <w:jc w:val="both"/>
        <w:rPr>
          <w:highlight w:val="none"/>
        </w:rPr>
      </w:pPr>
      <w:r>
        <w:rPr>
          <w:highlight w:val="none"/>
        </w:rPr>
        <w:t> </w:t>
      </w:r>
    </w:p>
    <w:p w14:paraId="2C63ACE4">
      <w:pPr>
        <w:pStyle w:val="11"/>
        <w:keepNext/>
        <w:spacing w:beforeAutospacing="0" w:afterAutospacing="0"/>
        <w:jc w:val="center"/>
        <w:rPr>
          <w:highlight w:val="none"/>
        </w:rPr>
      </w:pPr>
      <w:r>
        <w:rPr>
          <w:highlight w:val="none"/>
        </w:rPr>
        <w:t> </w:t>
      </w:r>
    </w:p>
    <w:p w14:paraId="3880A673">
      <w:pPr>
        <w:pStyle w:val="11"/>
        <w:keepNext/>
        <w:spacing w:beforeAutospacing="0" w:afterAutospacing="0"/>
        <w:jc w:val="center"/>
        <w:outlineLvl w:val="0"/>
        <w:rPr>
          <w:highlight w:val="none"/>
        </w:rPr>
      </w:pPr>
      <w:bookmarkStart w:id="188" w:name="_Toc18249"/>
      <w:r>
        <w:rPr>
          <w:rFonts w:hint="eastAsia" w:ascii="黑体" w:hAnsi="宋体" w:eastAsia="黑体" w:cs="黑体"/>
          <w:color w:val="000000"/>
          <w:sz w:val="44"/>
          <w:szCs w:val="44"/>
          <w:highlight w:val="none"/>
        </w:rPr>
        <w:t>第五章 </w:t>
      </w:r>
      <w:r>
        <w:rPr>
          <w:rFonts w:hint="eastAsia" w:ascii="黑体" w:hAnsi="宋体" w:eastAsia="黑体" w:cs="黑体"/>
          <w:b/>
          <w:color w:val="000000"/>
          <w:sz w:val="44"/>
          <w:szCs w:val="44"/>
          <w:highlight w:val="none"/>
        </w:rPr>
        <w:t>评标方法与评标标准</w:t>
      </w:r>
      <w:bookmarkEnd w:id="188"/>
    </w:p>
    <w:p w14:paraId="423C8189">
      <w:pPr>
        <w:pStyle w:val="11"/>
        <w:spacing w:beforeAutospacing="0" w:afterAutospacing="0"/>
        <w:jc w:val="both"/>
        <w:rPr>
          <w:highlight w:val="none"/>
        </w:rPr>
      </w:pPr>
      <w:r>
        <w:rPr>
          <w:highlight w:val="none"/>
        </w:rPr>
        <w:t> </w:t>
      </w:r>
    </w:p>
    <w:p w14:paraId="668FEA9F">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一、定标原则</w:t>
      </w:r>
    </w:p>
    <w:p w14:paraId="2C328EA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rPr>
      </w:pPr>
      <w:r>
        <w:rPr>
          <w:rFonts w:hint="eastAsia" w:ascii="宋体" w:hAnsi="宋体" w:eastAsia="宋体" w:cs="宋体"/>
          <w:bCs/>
          <w:color w:val="000000"/>
          <w:sz w:val="24"/>
          <w:szCs w:val="24"/>
          <w:highlight w:val="none"/>
        </w:rPr>
        <w:t>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法</w:t>
      </w:r>
      <w:r>
        <w:rPr>
          <w:rFonts w:hint="eastAsia" w:ascii="宋体" w:hAnsi="宋体" w:eastAsia="宋体" w:cs="宋体"/>
          <w:bCs/>
          <w:color w:val="000000"/>
          <w:sz w:val="24"/>
          <w:szCs w:val="24"/>
          <w:highlight w:val="none"/>
          <w:lang w:eastAsia="zh-CN"/>
        </w:rPr>
        <w:t>，</w:t>
      </w:r>
      <w:r>
        <w:rPr>
          <w:rFonts w:hint="eastAsia" w:ascii="宋体" w:hAnsi="宋体" w:eastAsia="宋体" w:cs="宋体"/>
          <w:color w:val="000000"/>
          <w:kern w:val="0"/>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000000"/>
          <w:kern w:val="0"/>
          <w:sz w:val="24"/>
          <w:szCs w:val="24"/>
          <w:highlight w:val="none"/>
          <w:lang w:val="en-US" w:eastAsia="zh-CN"/>
        </w:rPr>
        <w:t>并列</w:t>
      </w:r>
      <w:r>
        <w:rPr>
          <w:rFonts w:hint="eastAsia" w:ascii="宋体" w:hAnsi="宋体" w:eastAsia="宋体" w:cs="宋体"/>
          <w:color w:val="000000"/>
          <w:kern w:val="0"/>
          <w:sz w:val="24"/>
          <w:szCs w:val="24"/>
          <w:highlight w:val="none"/>
        </w:rPr>
        <w:t>。投标文件满足招标文件全部实质性要求，且按照评审因素的量化指标评审得分最高的投标人为排名第一的中标候选人，本项目选取1名中标候选人。</w:t>
      </w:r>
    </w:p>
    <w:p w14:paraId="7A676DAE">
      <w:pPr>
        <w:pStyle w:val="11"/>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482" w:firstLineChars="200"/>
        <w:textAlignment w:val="auto"/>
        <w:rPr>
          <w:rFonts w:hint="eastAsia" w:ascii="宋体" w:hAnsi="宋体" w:eastAsia="宋体" w:cs="宋体"/>
          <w:highlight w:val="none"/>
        </w:rPr>
      </w:pPr>
      <w:r>
        <w:rPr>
          <w:rFonts w:hint="eastAsia" w:ascii="宋体" w:hAnsi="宋体" w:eastAsia="宋体" w:cs="宋体"/>
          <w:b/>
          <w:color w:val="000000"/>
          <w:highlight w:val="none"/>
        </w:rPr>
        <w:t>政府采购政策功能落实</w:t>
      </w:r>
    </w:p>
    <w:p w14:paraId="20E729E2">
      <w:pPr>
        <w:pStyle w:val="11"/>
        <w:keepNext w:val="0"/>
        <w:keepLines w:val="0"/>
        <w:pageBreakBefore w:val="0"/>
        <w:widowControl w:val="0"/>
        <w:kinsoku/>
        <w:wordWrap/>
        <w:overflowPunct/>
        <w:topLinePunct w:val="0"/>
        <w:autoSpaceDE/>
        <w:autoSpaceDN/>
        <w:bidi w:val="0"/>
        <w:snapToGrid/>
        <w:spacing w:beforeAutospacing="0" w:afterAutospacing="0" w:line="360" w:lineRule="auto"/>
        <w:ind w:firstLine="480" w:firstLineChars="200"/>
        <w:rPr>
          <w:rFonts w:hint="eastAsia" w:ascii="宋体" w:hAnsi="宋体" w:eastAsia="宋体" w:cs="宋体"/>
          <w:highlight w:val="none"/>
        </w:rPr>
      </w:pPr>
      <w:r>
        <w:rPr>
          <w:rFonts w:hint="eastAsia" w:ascii="宋体" w:hAnsi="宋体" w:eastAsia="宋体" w:cs="宋体"/>
          <w:color w:val="000000"/>
          <w:highlight w:val="none"/>
        </w:rPr>
        <w:t>1、小微型企业价格扣除</w:t>
      </w:r>
    </w:p>
    <w:p w14:paraId="5A19E5A0">
      <w:pPr>
        <w:pStyle w:val="18"/>
        <w:keepNext w:val="0"/>
        <w:keepLines w:val="0"/>
        <w:pageBreakBefore w:val="0"/>
        <w:widowControl w:val="0"/>
        <w:kinsoku/>
        <w:wordWrap/>
        <w:overflowPunct/>
        <w:topLinePunct w:val="0"/>
        <w:autoSpaceDE/>
        <w:autoSpaceDN/>
        <w:bidi w:val="0"/>
        <w:snapToGrid/>
        <w:spacing w:before="0" w:after="0"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（1）本项目不专门面向中小企业采购，对</w:t>
      </w:r>
      <w:r>
        <w:rPr>
          <w:rFonts w:hint="eastAsia" w:ascii="宋体" w:hAnsi="宋体" w:eastAsia="宋体" w:cs="宋体"/>
          <w:highlight w:val="none"/>
          <w:lang w:val="en-US" w:eastAsia="zh-CN"/>
        </w:rPr>
        <w:t>符合规定的</w:t>
      </w:r>
      <w:r>
        <w:rPr>
          <w:rFonts w:hint="eastAsia" w:ascii="宋体" w:hAnsi="宋体" w:eastAsia="宋体" w:cs="宋体"/>
          <w:highlight w:val="none"/>
        </w:rPr>
        <w:t>小型和微型企业</w:t>
      </w:r>
      <w:r>
        <w:rPr>
          <w:rFonts w:hint="eastAsia" w:ascii="宋体" w:hAnsi="宋体" w:eastAsia="宋体" w:cs="宋体"/>
          <w:highlight w:val="none"/>
          <w:lang w:val="en-US" w:eastAsia="zh-CN"/>
        </w:rPr>
        <w:t>报价</w:t>
      </w:r>
      <w:r>
        <w:rPr>
          <w:rFonts w:hint="eastAsia" w:ascii="宋体" w:hAnsi="宋体" w:eastAsia="宋体" w:cs="宋体"/>
          <w:highlight w:val="none"/>
        </w:rPr>
        <w:t>给予20%的扣除价格，用扣除后的价格参与评审。</w:t>
      </w:r>
    </w:p>
    <w:p w14:paraId="73B3C08A">
      <w:pPr>
        <w:pStyle w:val="11"/>
        <w:keepNext w:val="0"/>
        <w:keepLines w:val="0"/>
        <w:pageBreakBefore w:val="0"/>
        <w:widowControl w:val="0"/>
        <w:kinsoku/>
        <w:wordWrap/>
        <w:overflowPunct/>
        <w:topLinePunct w:val="0"/>
        <w:autoSpaceDE/>
        <w:autoSpaceDN/>
        <w:bidi w:val="0"/>
        <w:snapToGrid/>
        <w:spacing w:beforeAutospacing="0" w:afterAutospacing="0" w:line="360" w:lineRule="auto"/>
        <w:ind w:firstLine="480" w:firstLineChars="200"/>
        <w:rPr>
          <w:rFonts w:hint="eastAsia" w:ascii="宋体" w:hAnsi="宋体" w:eastAsia="宋体" w:cs="宋体"/>
          <w:highlight w:val="none"/>
        </w:rPr>
      </w:pPr>
      <w:r>
        <w:rPr>
          <w:rFonts w:hint="eastAsia" w:ascii="宋体" w:hAnsi="宋体" w:eastAsia="宋体" w:cs="宋体"/>
          <w:color w:val="000000"/>
          <w:highlight w:val="none"/>
        </w:rPr>
        <w:t>（2）供应商需按照采购文件的要求提供相应的《</w:t>
      </w:r>
      <w:r>
        <w:rPr>
          <w:rFonts w:hint="eastAsia" w:ascii="宋体" w:hAnsi="宋体" w:eastAsia="宋体" w:cs="宋体"/>
          <w:color w:val="auto"/>
          <w:highlight w:val="none"/>
          <w:lang w:val="en-US" w:eastAsia="zh-CN"/>
        </w:rPr>
        <w:t>中小</w:t>
      </w:r>
      <w:r>
        <w:rPr>
          <w:rFonts w:hint="eastAsia" w:ascii="宋体" w:hAnsi="宋体" w:eastAsia="宋体" w:cs="宋体"/>
          <w:color w:val="auto"/>
          <w:highlight w:val="none"/>
        </w:rPr>
        <w:t>企业声明函</w:t>
      </w:r>
      <w:r>
        <w:rPr>
          <w:rFonts w:hint="eastAsia" w:ascii="宋体" w:hAnsi="宋体" w:eastAsia="宋体" w:cs="宋体"/>
          <w:color w:val="000000"/>
          <w:highlight w:val="none"/>
        </w:rPr>
        <w:t>》。</w:t>
      </w:r>
    </w:p>
    <w:p w14:paraId="73ACDBA4">
      <w:pPr>
        <w:pStyle w:val="11"/>
        <w:keepNext w:val="0"/>
        <w:keepLines w:val="0"/>
        <w:pageBreakBefore w:val="0"/>
        <w:widowControl w:val="0"/>
        <w:kinsoku/>
        <w:wordWrap/>
        <w:overflowPunct/>
        <w:topLinePunct w:val="0"/>
        <w:autoSpaceDE/>
        <w:autoSpaceDN/>
        <w:bidi w:val="0"/>
        <w:snapToGrid/>
        <w:spacing w:beforeAutospacing="0" w:afterAutospacing="0" w:line="360" w:lineRule="auto"/>
        <w:ind w:firstLine="480" w:firstLineChars="200"/>
        <w:rPr>
          <w:rFonts w:hint="eastAsia" w:ascii="宋体" w:hAnsi="宋体" w:eastAsia="宋体" w:cs="宋体"/>
          <w:highlight w:val="none"/>
        </w:rPr>
      </w:pPr>
      <w:r>
        <w:rPr>
          <w:rFonts w:hint="eastAsia" w:ascii="宋体" w:hAnsi="宋体" w:eastAsia="宋体" w:cs="宋体"/>
          <w:color w:val="000000"/>
          <w:highlight w:val="none"/>
        </w:rPr>
        <w:t>（3）企业标准请参照《关于印发中小企业划型标准规定的通知》（工信部联企业</w:t>
      </w:r>
      <w:r>
        <w:rPr>
          <w:rFonts w:hint="eastAsia" w:ascii="宋体" w:hAnsi="宋体" w:eastAsia="宋体" w:cs="宋体"/>
          <w:color w:val="000000"/>
          <w:highlight w:val="none"/>
          <w:lang w:eastAsia="zh-CN"/>
        </w:rPr>
        <w:t>〔2011〕300号</w:t>
      </w:r>
      <w:r>
        <w:rPr>
          <w:rFonts w:hint="eastAsia" w:ascii="宋体" w:hAnsi="宋体" w:eastAsia="宋体" w:cs="宋体"/>
          <w:color w:val="000000"/>
          <w:highlight w:val="none"/>
        </w:rPr>
        <w:t>）文件规定自行填写。</w:t>
      </w:r>
    </w:p>
    <w:p w14:paraId="4E90EFB4">
      <w:pPr>
        <w:pStyle w:val="11"/>
        <w:keepNext w:val="0"/>
        <w:keepLines w:val="0"/>
        <w:pageBreakBefore w:val="0"/>
        <w:widowControl w:val="0"/>
        <w:kinsoku/>
        <w:wordWrap/>
        <w:overflowPunct/>
        <w:topLinePunct w:val="0"/>
        <w:autoSpaceDE/>
        <w:autoSpaceDN/>
        <w:bidi w:val="0"/>
        <w:snapToGrid/>
        <w:spacing w:beforeAutospacing="0" w:afterAutospacing="0" w:line="360" w:lineRule="auto"/>
        <w:ind w:firstLine="480" w:firstLineChars="200"/>
        <w:rPr>
          <w:rFonts w:hint="eastAsia" w:ascii="宋体" w:hAnsi="宋体" w:eastAsia="宋体" w:cs="宋体"/>
          <w:color w:val="000000"/>
          <w:highlight w:val="none"/>
        </w:rPr>
      </w:pPr>
      <w:r>
        <w:rPr>
          <w:rFonts w:hint="eastAsia" w:ascii="宋体" w:hAnsi="宋体" w:eastAsia="宋体" w:cs="宋体"/>
          <w:color w:val="000000"/>
          <w:highlight w:val="none"/>
        </w:rPr>
        <w:t>2、残疾人福利单位价格扣除</w:t>
      </w:r>
    </w:p>
    <w:p w14:paraId="277EBF0C">
      <w:pPr>
        <w:pStyle w:val="11"/>
        <w:keepNext w:val="0"/>
        <w:keepLines w:val="0"/>
        <w:pageBreakBefore w:val="0"/>
        <w:widowControl w:val="0"/>
        <w:kinsoku/>
        <w:wordWrap/>
        <w:overflowPunct/>
        <w:topLinePunct w:val="0"/>
        <w:autoSpaceDE/>
        <w:autoSpaceDN/>
        <w:bidi w:val="0"/>
        <w:snapToGrid/>
        <w:spacing w:beforeAutospacing="0" w:afterAutospacing="0" w:line="360" w:lineRule="auto"/>
        <w:ind w:firstLine="480" w:firstLineChars="200"/>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（1）本项目对残疾人福利性单位视同小型、微型企业，给予</w:t>
      </w:r>
      <w:r>
        <w:rPr>
          <w:rFonts w:hint="eastAsia" w:ascii="宋体" w:hAnsi="宋体" w:eastAsia="宋体" w:cs="宋体"/>
          <w:color w:val="000000"/>
          <w:highlight w:val="none"/>
          <w:u w:val="single"/>
        </w:rPr>
        <w:t>20%</w:t>
      </w:r>
      <w:r>
        <w:rPr>
          <w:rFonts w:hint="eastAsia" w:ascii="宋体" w:hAnsi="宋体" w:eastAsia="宋体" w:cs="宋体"/>
          <w:color w:val="000000"/>
          <w:highlight w:val="none"/>
          <w:u w:val="single"/>
          <w:lang w:eastAsia="zh-CN"/>
        </w:rPr>
        <w:t>的价格扣除。</w:t>
      </w:r>
    </w:p>
    <w:p w14:paraId="54C57A6C">
      <w:pPr>
        <w:pStyle w:val="11"/>
        <w:keepNext w:val="0"/>
        <w:keepLines w:val="0"/>
        <w:pageBreakBefore w:val="0"/>
        <w:widowControl w:val="0"/>
        <w:kinsoku/>
        <w:wordWrap/>
        <w:overflowPunct/>
        <w:topLinePunct w:val="0"/>
        <w:autoSpaceDE/>
        <w:autoSpaceDN/>
        <w:bidi w:val="0"/>
        <w:snapToGrid/>
        <w:spacing w:beforeAutospacing="0" w:afterAutospacing="0" w:line="360" w:lineRule="auto"/>
        <w:ind w:firstLine="480" w:firstLineChars="200"/>
        <w:rPr>
          <w:rFonts w:hint="eastAsia" w:ascii="宋体" w:hAnsi="宋体" w:eastAsia="宋体" w:cs="宋体"/>
          <w:color w:val="000000"/>
          <w:highlight w:val="none"/>
        </w:rPr>
      </w:pPr>
      <w:r>
        <w:rPr>
          <w:rFonts w:hint="eastAsia" w:ascii="宋体" w:hAnsi="宋体" w:eastAsia="宋体" w:cs="宋体"/>
          <w:color w:val="000000"/>
          <w:highlight w:val="none"/>
        </w:rPr>
        <w:t>（2）残疾人福利单位需按照采购文件的要求提供《残疾人福利性单位声明函》。</w:t>
      </w:r>
    </w:p>
    <w:p w14:paraId="05D26FC5">
      <w:pPr>
        <w:pStyle w:val="11"/>
        <w:keepNext w:val="0"/>
        <w:keepLines w:val="0"/>
        <w:pageBreakBefore w:val="0"/>
        <w:widowControl w:val="0"/>
        <w:kinsoku/>
        <w:wordWrap/>
        <w:overflowPunct/>
        <w:topLinePunct w:val="0"/>
        <w:autoSpaceDE/>
        <w:autoSpaceDN/>
        <w:bidi w:val="0"/>
        <w:snapToGrid/>
        <w:spacing w:beforeAutospacing="0" w:afterAutospacing="0" w:line="360" w:lineRule="auto"/>
        <w:ind w:firstLine="480" w:firstLineChars="200"/>
        <w:rPr>
          <w:rFonts w:hint="eastAsia" w:ascii="宋体" w:hAnsi="宋体" w:eastAsia="宋体" w:cs="宋体"/>
          <w:highlight w:val="none"/>
        </w:rPr>
      </w:pPr>
      <w:r>
        <w:rPr>
          <w:rFonts w:hint="eastAsia" w:ascii="宋体" w:hAnsi="宋体" w:eastAsia="宋体" w:cs="宋体"/>
          <w:color w:val="000000"/>
          <w:highlight w:val="none"/>
        </w:rPr>
        <w:t>（3）残疾人福利单位标准请参照《关于促进残疾人就业政府采购政策的通知》（财库〔2017〕141号）。</w:t>
      </w:r>
    </w:p>
    <w:p w14:paraId="04DB8360">
      <w:pPr>
        <w:pStyle w:val="11"/>
        <w:keepNext w:val="0"/>
        <w:keepLines w:val="0"/>
        <w:pageBreakBefore w:val="0"/>
        <w:widowControl w:val="0"/>
        <w:kinsoku/>
        <w:wordWrap/>
        <w:overflowPunct/>
        <w:topLinePunct w:val="0"/>
        <w:autoSpaceDE/>
        <w:autoSpaceDN/>
        <w:bidi w:val="0"/>
        <w:snapToGrid/>
        <w:spacing w:beforeAutospacing="0" w:afterAutospacing="0" w:line="360" w:lineRule="auto"/>
        <w:ind w:firstLine="480" w:firstLineChars="200"/>
        <w:rPr>
          <w:rFonts w:hint="eastAsia" w:ascii="宋体" w:hAnsi="宋体" w:eastAsia="宋体" w:cs="宋体"/>
          <w:highlight w:val="none"/>
        </w:rPr>
      </w:pPr>
      <w:r>
        <w:rPr>
          <w:rFonts w:hint="eastAsia" w:ascii="宋体" w:hAnsi="宋体" w:eastAsia="宋体" w:cs="宋体"/>
          <w:color w:val="000000"/>
          <w:highlight w:val="none"/>
        </w:rPr>
        <w:t>3、监狱和戒毒企业价格扣除</w:t>
      </w:r>
    </w:p>
    <w:p w14:paraId="7D3DF823">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120" w:firstLine="480" w:firstLineChars="200"/>
        <w:rPr>
          <w:rFonts w:hint="eastAsia" w:ascii="宋体" w:hAnsi="宋体" w:eastAsia="宋体" w:cs="宋体"/>
          <w:color w:val="000000"/>
          <w:highlight w:val="none"/>
          <w:u w:val="single"/>
        </w:rPr>
      </w:pPr>
      <w:r>
        <w:rPr>
          <w:rFonts w:hint="eastAsia" w:ascii="宋体" w:hAnsi="宋体" w:eastAsia="宋体" w:cs="宋体"/>
          <w:color w:val="000000"/>
          <w:highlight w:val="none"/>
        </w:rPr>
        <w:t>（1）本项目对监狱和戒毒企业（简称监狱企业）视同小型、微型企业，给予</w:t>
      </w:r>
      <w:r>
        <w:rPr>
          <w:rFonts w:hint="eastAsia" w:ascii="宋体" w:hAnsi="宋体" w:eastAsia="宋体" w:cs="宋体"/>
          <w:color w:val="000000"/>
          <w:highlight w:val="none"/>
          <w:u w:val="single"/>
        </w:rPr>
        <w:t>20%</w:t>
      </w:r>
      <w:r>
        <w:rPr>
          <w:rFonts w:hint="eastAsia" w:ascii="宋体" w:hAnsi="宋体" w:eastAsia="宋体" w:cs="宋体"/>
          <w:color w:val="000000"/>
          <w:highlight w:val="none"/>
          <w:u w:val="single"/>
          <w:lang w:eastAsia="zh-CN"/>
        </w:rPr>
        <w:t>的价格扣除。</w:t>
      </w:r>
    </w:p>
    <w:p w14:paraId="734F155E">
      <w:pPr>
        <w:pStyle w:val="11"/>
        <w:keepNext w:val="0"/>
        <w:keepLines w:val="0"/>
        <w:pageBreakBefore w:val="0"/>
        <w:widowControl w:val="0"/>
        <w:kinsoku/>
        <w:wordWrap/>
        <w:overflowPunct/>
        <w:topLinePunct w:val="0"/>
        <w:autoSpaceDE/>
        <w:autoSpaceDN/>
        <w:bidi w:val="0"/>
        <w:snapToGrid/>
        <w:spacing w:beforeAutospacing="0" w:afterAutospacing="0" w:line="360" w:lineRule="auto"/>
        <w:ind w:firstLine="480" w:firstLineChars="200"/>
        <w:rPr>
          <w:rFonts w:hint="eastAsia" w:ascii="宋体" w:hAnsi="宋体" w:eastAsia="宋体" w:cs="宋体"/>
          <w:highlight w:val="none"/>
        </w:rPr>
      </w:pPr>
      <w:r>
        <w:rPr>
          <w:rFonts w:hint="eastAsia" w:ascii="宋体" w:hAnsi="宋体" w:eastAsia="宋体" w:cs="宋体"/>
          <w:color w:val="000000"/>
          <w:highlight w:val="none"/>
        </w:rPr>
        <w:t>（2）监狱企业参加政府采购活动时，需提供由省级以上监狱管理局、戒毒管理局(含新疆生产建设兵团)出具的属于监狱企业的证明文件。供应商如不提供上述证明文件，价格将不做相应扣除。</w:t>
      </w:r>
    </w:p>
    <w:p w14:paraId="48706D45">
      <w:pPr>
        <w:pStyle w:val="11"/>
        <w:keepNext w:val="0"/>
        <w:keepLines w:val="0"/>
        <w:pageBreakBefore w:val="0"/>
        <w:widowControl w:val="0"/>
        <w:kinsoku/>
        <w:wordWrap/>
        <w:overflowPunct/>
        <w:topLinePunct w:val="0"/>
        <w:autoSpaceDE/>
        <w:autoSpaceDN/>
        <w:bidi w:val="0"/>
        <w:snapToGrid/>
        <w:spacing w:beforeAutospacing="0" w:afterAutospacing="0" w:line="360" w:lineRule="auto"/>
        <w:ind w:firstLine="480" w:firstLineChars="200"/>
        <w:rPr>
          <w:rFonts w:hint="eastAsia" w:ascii="宋体" w:hAnsi="宋体" w:eastAsia="宋体" w:cs="宋体"/>
          <w:highlight w:val="none"/>
        </w:rPr>
      </w:pPr>
      <w:r>
        <w:rPr>
          <w:rFonts w:hint="eastAsia" w:ascii="宋体" w:hAnsi="宋体" w:eastAsia="宋体" w:cs="宋体"/>
          <w:color w:val="000000"/>
          <w:highlight w:val="none"/>
        </w:rPr>
        <w:t>（3）监狱企业标准请参照《关于政府采购支持监狱企业发展有关问题的通知》（财库</w:t>
      </w:r>
      <w:r>
        <w:rPr>
          <w:rFonts w:hint="eastAsia" w:ascii="宋体" w:hAnsi="宋体" w:eastAsia="宋体" w:cs="宋体"/>
          <w:color w:val="000000"/>
          <w:highlight w:val="none"/>
          <w:lang w:eastAsia="zh-CN"/>
        </w:rPr>
        <w:t>〔2014〕68号</w:t>
      </w:r>
      <w:r>
        <w:rPr>
          <w:rFonts w:hint="eastAsia" w:ascii="宋体" w:hAnsi="宋体" w:eastAsia="宋体" w:cs="宋体"/>
          <w:color w:val="000000"/>
          <w:highlight w:val="none"/>
        </w:rPr>
        <w:t>）。</w:t>
      </w:r>
    </w:p>
    <w:p w14:paraId="70D78B33">
      <w:pPr>
        <w:pStyle w:val="11"/>
        <w:keepNext w:val="0"/>
        <w:keepLines w:val="0"/>
        <w:pageBreakBefore w:val="0"/>
        <w:widowControl w:val="0"/>
        <w:kinsoku/>
        <w:wordWrap/>
        <w:overflowPunct/>
        <w:topLinePunct w:val="0"/>
        <w:autoSpaceDE/>
        <w:autoSpaceDN/>
        <w:bidi w:val="0"/>
        <w:snapToGrid/>
        <w:spacing w:beforeAutospacing="0" w:afterAutospacing="0" w:line="360" w:lineRule="auto"/>
        <w:ind w:firstLine="480" w:firstLineChars="200"/>
        <w:rPr>
          <w:rFonts w:hint="eastAsia" w:ascii="宋体" w:hAnsi="宋体" w:eastAsia="宋体" w:cs="宋体"/>
          <w:highlight w:val="none"/>
        </w:rPr>
      </w:pPr>
      <w:r>
        <w:rPr>
          <w:rFonts w:hint="eastAsia" w:ascii="宋体" w:hAnsi="宋体" w:eastAsia="宋体" w:cs="宋体"/>
          <w:color w:val="000000"/>
          <w:highlight w:val="none"/>
        </w:rPr>
        <w:t>4、残疾人福利单位、监狱企业属于小型、微型企业的，不重复享受政策。</w:t>
      </w:r>
    </w:p>
    <w:p w14:paraId="018A8531">
      <w:pPr>
        <w:pStyle w:val="11"/>
        <w:keepNext w:val="0"/>
        <w:keepLines w:val="0"/>
        <w:pageBreakBefore w:val="0"/>
        <w:widowControl w:val="0"/>
        <w:kinsoku/>
        <w:wordWrap/>
        <w:overflowPunct/>
        <w:topLinePunct w:val="0"/>
        <w:autoSpaceDE/>
        <w:autoSpaceDN/>
        <w:bidi w:val="0"/>
        <w:snapToGrid/>
        <w:spacing w:beforeAutospacing="0" w:afterAutospacing="0" w:line="360" w:lineRule="auto"/>
        <w:ind w:firstLine="480" w:firstLineChars="200"/>
        <w:rPr>
          <w:rFonts w:hint="eastAsia" w:ascii="宋体" w:hAnsi="宋体" w:eastAsia="宋体" w:cs="宋体"/>
          <w:color w:val="000000"/>
          <w:highlight w:val="none"/>
        </w:rPr>
      </w:pPr>
      <w:r>
        <w:rPr>
          <w:rFonts w:hint="eastAsia" w:ascii="宋体" w:hAnsi="宋体" w:eastAsia="宋体" w:cs="宋体"/>
          <w:color w:val="000000"/>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6%</w:t>
      </w:r>
      <w:r>
        <w:rPr>
          <w:rFonts w:hint="eastAsia" w:ascii="宋体" w:hAnsi="宋体" w:eastAsia="宋体" w:cs="宋体"/>
          <w:color w:val="000000"/>
          <w:highlight w:val="none"/>
        </w:rPr>
        <w:t>的价格扣除，用扣除后的价格参与评审。</w:t>
      </w:r>
    </w:p>
    <w:p w14:paraId="182E125C">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120" w:firstLine="480" w:firstLineChars="200"/>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6、联合体各方均为小型、微型企业（残疾人福利单位、监狱企业）的，联合体享受</w:t>
      </w:r>
      <w:r>
        <w:rPr>
          <w:rFonts w:hint="eastAsia" w:ascii="宋体" w:hAnsi="宋体" w:eastAsia="宋体" w:cs="宋体"/>
          <w:color w:val="000000"/>
          <w:highlight w:val="none"/>
          <w:u w:val="single"/>
        </w:rPr>
        <w:t>20%</w:t>
      </w:r>
      <w:r>
        <w:rPr>
          <w:rFonts w:hint="eastAsia" w:ascii="宋体" w:hAnsi="宋体" w:eastAsia="宋体" w:cs="宋体"/>
          <w:color w:val="000000"/>
          <w:highlight w:val="none"/>
          <w:u w:val="single"/>
          <w:lang w:eastAsia="zh-CN"/>
        </w:rPr>
        <w:t>的价格扣除。</w:t>
      </w:r>
    </w:p>
    <w:p w14:paraId="795098B7">
      <w:pPr>
        <w:pStyle w:val="11"/>
        <w:keepNext w:val="0"/>
        <w:keepLines w:val="0"/>
        <w:pageBreakBefore w:val="0"/>
        <w:widowControl w:val="0"/>
        <w:kinsoku/>
        <w:wordWrap/>
        <w:overflowPunct/>
        <w:topLinePunct w:val="0"/>
        <w:autoSpaceDE/>
        <w:autoSpaceDN/>
        <w:bidi w:val="0"/>
        <w:snapToGrid/>
        <w:spacing w:beforeAutospacing="0" w:afterAutospacing="0" w:line="360" w:lineRule="auto"/>
        <w:ind w:left="120"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highlight w:val="none"/>
        </w:rPr>
        <w:t>。</w:t>
      </w:r>
      <w:r>
        <w:rPr>
          <w:rFonts w:hint="eastAsia" w:ascii="宋体" w:hAnsi="宋体" w:eastAsia="宋体" w:cs="宋体"/>
          <w:color w:val="auto"/>
          <w:kern w:val="0"/>
          <w:sz w:val="24"/>
          <w:highlight w:val="none"/>
        </w:rPr>
        <w:t>其他条件相同情况下，应当优先采购节能产品、环境标志产品。</w:t>
      </w:r>
    </w:p>
    <w:p w14:paraId="7CC0C503">
      <w:pPr>
        <w:pStyle w:val="11"/>
        <w:spacing w:before="120" w:beforeAutospacing="0" w:after="120" w:afterAutospacing="0" w:line="0" w:lineRule="atLeast"/>
        <w:ind w:firstLine="482"/>
        <w:rPr>
          <w:rFonts w:hint="eastAsia" w:ascii="宋体" w:hAnsi="宋体" w:eastAsia="宋体" w:cs="宋体"/>
          <w:highlight w:val="none"/>
        </w:rPr>
      </w:pPr>
      <w:r>
        <w:rPr>
          <w:rFonts w:hint="eastAsia" w:ascii="宋体" w:hAnsi="宋体" w:eastAsia="宋体" w:cs="宋体"/>
          <w:b/>
          <w:color w:val="000000"/>
          <w:highlight w:val="none"/>
        </w:rPr>
        <w:t>评标方法与评标标准</w:t>
      </w:r>
    </w:p>
    <w:tbl>
      <w:tblPr>
        <w:tblStyle w:val="1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6"/>
        <w:gridCol w:w="732"/>
        <w:gridCol w:w="753"/>
        <w:gridCol w:w="712"/>
        <w:gridCol w:w="5592"/>
      </w:tblGrid>
      <w:tr w14:paraId="4E3B6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 w:type="pct"/>
            <w:noWrap w:val="0"/>
            <w:vAlign w:val="center"/>
          </w:tcPr>
          <w:p w14:paraId="6DD5CF44">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序号</w:t>
            </w:r>
          </w:p>
        </w:tc>
        <w:tc>
          <w:tcPr>
            <w:tcW w:w="430" w:type="pct"/>
            <w:noWrap w:val="0"/>
            <w:vAlign w:val="center"/>
          </w:tcPr>
          <w:p w14:paraId="0D0586D7">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分部内容</w:t>
            </w:r>
          </w:p>
        </w:tc>
        <w:tc>
          <w:tcPr>
            <w:tcW w:w="442" w:type="pct"/>
            <w:noWrap w:val="0"/>
            <w:vAlign w:val="center"/>
          </w:tcPr>
          <w:p w14:paraId="29A05AA8">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分项内容</w:t>
            </w:r>
          </w:p>
        </w:tc>
        <w:tc>
          <w:tcPr>
            <w:tcW w:w="418" w:type="pct"/>
            <w:noWrap w:val="0"/>
            <w:vAlign w:val="center"/>
          </w:tcPr>
          <w:p w14:paraId="06AFC89E">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分值</w:t>
            </w:r>
          </w:p>
        </w:tc>
        <w:tc>
          <w:tcPr>
            <w:tcW w:w="3283" w:type="pct"/>
            <w:noWrap w:val="0"/>
            <w:vAlign w:val="center"/>
          </w:tcPr>
          <w:p w14:paraId="549D4366">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打分要求</w:t>
            </w:r>
          </w:p>
        </w:tc>
      </w:tr>
      <w:tr w14:paraId="464C8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426" w:type="pct"/>
            <w:noWrap w:val="0"/>
            <w:vAlign w:val="center"/>
          </w:tcPr>
          <w:p w14:paraId="5DD269C3">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一</w:t>
            </w:r>
          </w:p>
        </w:tc>
        <w:tc>
          <w:tcPr>
            <w:tcW w:w="430" w:type="pct"/>
            <w:noWrap w:val="0"/>
            <w:vAlign w:val="center"/>
          </w:tcPr>
          <w:p w14:paraId="60CD33ED">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价格部分</w:t>
            </w:r>
          </w:p>
        </w:tc>
        <w:tc>
          <w:tcPr>
            <w:tcW w:w="442" w:type="pct"/>
            <w:noWrap w:val="0"/>
            <w:vAlign w:val="center"/>
          </w:tcPr>
          <w:p w14:paraId="3CDFE252">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投标报价</w:t>
            </w:r>
          </w:p>
        </w:tc>
        <w:tc>
          <w:tcPr>
            <w:tcW w:w="418" w:type="pct"/>
            <w:noWrap w:val="0"/>
            <w:vAlign w:val="center"/>
          </w:tcPr>
          <w:p w14:paraId="467D2268">
            <w:pPr>
              <w:widowControl/>
              <w:jc w:val="center"/>
              <w:textAlignment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10</w:t>
            </w:r>
          </w:p>
        </w:tc>
        <w:tc>
          <w:tcPr>
            <w:tcW w:w="3283" w:type="pct"/>
            <w:noWrap w:val="0"/>
            <w:vAlign w:val="center"/>
          </w:tcPr>
          <w:p w14:paraId="55142A45">
            <w:pPr>
              <w:widowControl/>
              <w:ind w:firstLine="440" w:firstLineChars="200"/>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满足招标文件要求且投标价格最低的投标报价为基准价，其价格分为满分。报价得分=(评标基准价/投标报价)×</w:t>
            </w:r>
            <w:r>
              <w:rPr>
                <w:rFonts w:hint="eastAsia" w:ascii="宋体" w:hAnsi="宋体" w:eastAsia="宋体" w:cs="宋体"/>
                <w:color w:val="auto"/>
                <w:kern w:val="0"/>
                <w:sz w:val="22"/>
                <w:szCs w:val="22"/>
                <w:highlight w:val="none"/>
                <w:lang w:val="en-US" w:eastAsia="zh-CN" w:bidi="ar"/>
              </w:rPr>
              <w:t>1</w:t>
            </w:r>
            <w:r>
              <w:rPr>
                <w:rFonts w:hint="eastAsia" w:ascii="宋体" w:hAnsi="宋体" w:eastAsia="宋体" w:cs="宋体"/>
                <w:color w:val="auto"/>
                <w:kern w:val="0"/>
                <w:sz w:val="22"/>
                <w:szCs w:val="22"/>
                <w:highlight w:val="none"/>
                <w:lang w:bidi="ar"/>
              </w:rPr>
              <w:t>0。</w:t>
            </w:r>
          </w:p>
        </w:tc>
      </w:tr>
      <w:tr w14:paraId="2AC2A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426" w:type="pct"/>
            <w:vMerge w:val="restart"/>
            <w:noWrap w:val="0"/>
            <w:vAlign w:val="center"/>
          </w:tcPr>
          <w:p w14:paraId="16857650">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二、</w:t>
            </w:r>
          </w:p>
        </w:tc>
        <w:tc>
          <w:tcPr>
            <w:tcW w:w="430" w:type="pct"/>
            <w:vMerge w:val="restart"/>
            <w:noWrap w:val="0"/>
            <w:vAlign w:val="center"/>
          </w:tcPr>
          <w:p w14:paraId="06E72323">
            <w:pPr>
              <w:jc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技术部分</w:t>
            </w:r>
          </w:p>
        </w:tc>
        <w:tc>
          <w:tcPr>
            <w:tcW w:w="442" w:type="pct"/>
            <w:noWrap w:val="0"/>
            <w:vAlign w:val="center"/>
          </w:tcPr>
          <w:p w14:paraId="73B985B6">
            <w:pPr>
              <w:widowControl/>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技术参数</w:t>
            </w:r>
          </w:p>
        </w:tc>
        <w:tc>
          <w:tcPr>
            <w:tcW w:w="418" w:type="pct"/>
            <w:noWrap w:val="0"/>
            <w:vAlign w:val="center"/>
          </w:tcPr>
          <w:p w14:paraId="71D89AF0">
            <w:pPr>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10</w:t>
            </w:r>
          </w:p>
        </w:tc>
        <w:tc>
          <w:tcPr>
            <w:tcW w:w="3283" w:type="pct"/>
            <w:noWrap w:val="0"/>
            <w:vAlign w:val="center"/>
          </w:tcPr>
          <w:p w14:paraId="4D3C12D6">
            <w:pPr>
              <w:tabs>
                <w:tab w:val="left" w:pos="510"/>
              </w:tabs>
              <w:ind w:firstLine="440" w:firstLineChars="200"/>
              <w:rPr>
                <w:rFonts w:hint="eastAsia" w:ascii="宋体" w:hAnsi="宋体" w:eastAsia="宋体" w:cs="宋体"/>
                <w:color w:val="auto"/>
                <w:spacing w:val="-4"/>
                <w:sz w:val="22"/>
                <w:szCs w:val="22"/>
                <w:highlight w:val="none"/>
                <w:lang w:val="en-US" w:eastAsia="zh-CN"/>
              </w:rPr>
            </w:pPr>
            <w:r>
              <w:rPr>
                <w:rFonts w:hint="eastAsia" w:ascii="宋体" w:hAnsi="宋体" w:eastAsia="宋体" w:cs="宋体"/>
                <w:color w:val="auto"/>
                <w:kern w:val="0"/>
                <w:sz w:val="22"/>
                <w:szCs w:val="22"/>
                <w:highlight w:val="none"/>
              </w:rPr>
              <w:t>投标人是否已充分理解并全部响应本次项目采购要求中所需功能和业务需求，评委针对</w:t>
            </w:r>
            <w:r>
              <w:rPr>
                <w:rFonts w:hint="eastAsia" w:ascii="宋体" w:hAnsi="宋体" w:eastAsia="宋体" w:cs="宋体"/>
                <w:color w:val="auto"/>
                <w:kern w:val="0"/>
                <w:sz w:val="22"/>
                <w:szCs w:val="22"/>
                <w:highlight w:val="none"/>
                <w:lang w:val="en-US" w:eastAsia="zh-CN"/>
              </w:rPr>
              <w:t>招标</w:t>
            </w:r>
            <w:r>
              <w:rPr>
                <w:rFonts w:hint="eastAsia" w:ascii="宋体" w:hAnsi="宋体" w:eastAsia="宋体" w:cs="宋体"/>
                <w:color w:val="auto"/>
                <w:kern w:val="0"/>
                <w:sz w:val="22"/>
                <w:szCs w:val="22"/>
                <w:highlight w:val="none"/>
              </w:rPr>
              <w:t>文件技术响应指标与需求的吻合程度和偏差情况打分，投标人需详尽真实的提供投标产品的技术参数表列明偏离情况。</w:t>
            </w:r>
            <w:r>
              <w:rPr>
                <w:rFonts w:hint="eastAsia" w:ascii="宋体" w:hAnsi="宋体" w:eastAsia="宋体" w:cs="宋体"/>
                <w:color w:val="auto"/>
                <w:kern w:val="0"/>
                <w:sz w:val="22"/>
                <w:szCs w:val="22"/>
                <w:highlight w:val="none"/>
                <w:lang w:val="en-US" w:eastAsia="zh-CN"/>
              </w:rPr>
              <w:t>如</w:t>
            </w:r>
            <w:r>
              <w:rPr>
                <w:rFonts w:hint="eastAsia" w:ascii="宋体" w:hAnsi="宋体" w:eastAsia="宋体" w:cs="宋体"/>
                <w:color w:val="auto"/>
                <w:spacing w:val="-4"/>
                <w:sz w:val="22"/>
                <w:szCs w:val="22"/>
                <w:highlight w:val="none"/>
              </w:rPr>
              <w:t>有一项负偏离扣</w:t>
            </w:r>
            <w:r>
              <w:rPr>
                <w:rFonts w:hint="eastAsia" w:ascii="宋体" w:hAnsi="宋体" w:eastAsia="宋体" w:cs="宋体"/>
                <w:color w:val="auto"/>
                <w:spacing w:val="-4"/>
                <w:sz w:val="22"/>
                <w:szCs w:val="22"/>
                <w:highlight w:val="none"/>
                <w:lang w:val="en-US" w:eastAsia="zh-CN"/>
              </w:rPr>
              <w:t>1</w:t>
            </w:r>
            <w:r>
              <w:rPr>
                <w:rFonts w:hint="eastAsia" w:ascii="宋体" w:hAnsi="宋体" w:eastAsia="宋体" w:cs="宋体"/>
                <w:color w:val="auto"/>
                <w:spacing w:val="-4"/>
                <w:sz w:val="22"/>
                <w:szCs w:val="22"/>
                <w:highlight w:val="none"/>
              </w:rPr>
              <w:t>分</w:t>
            </w:r>
            <w:r>
              <w:rPr>
                <w:rFonts w:hint="eastAsia" w:ascii="宋体" w:hAnsi="宋体" w:eastAsia="宋体" w:cs="宋体"/>
                <w:color w:val="auto"/>
                <w:spacing w:val="-4"/>
                <w:sz w:val="22"/>
                <w:szCs w:val="22"/>
                <w:highlight w:val="none"/>
                <w:lang w:eastAsia="zh-CN"/>
              </w:rPr>
              <w:t>，</w:t>
            </w:r>
            <w:r>
              <w:rPr>
                <w:rFonts w:hint="eastAsia" w:ascii="宋体" w:hAnsi="宋体" w:eastAsia="宋体" w:cs="宋体"/>
                <w:color w:val="auto"/>
                <w:spacing w:val="-4"/>
                <w:sz w:val="22"/>
                <w:szCs w:val="22"/>
                <w:highlight w:val="none"/>
                <w:lang w:val="en-US" w:eastAsia="zh-CN"/>
              </w:rPr>
              <w:t>扣完为止。</w:t>
            </w:r>
          </w:p>
          <w:p w14:paraId="3BA678C5">
            <w:pPr>
              <w:keepNext w:val="0"/>
              <w:keepLines w:val="0"/>
              <w:widowControl/>
              <w:suppressLineNumbers w:val="0"/>
              <w:ind w:firstLine="221" w:firstLineChars="100"/>
              <w:jc w:val="left"/>
              <w:rPr>
                <w:rFonts w:hint="eastAsia" w:ascii="Times New Roman" w:hAnsi="Times New Roman" w:eastAsia="宋体" w:cs="Times New Roman"/>
                <w:sz w:val="22"/>
                <w:szCs w:val="22"/>
                <w:lang w:val="en-US" w:eastAsia="zh-CN"/>
              </w:rPr>
            </w:pPr>
            <w:r>
              <w:rPr>
                <w:rFonts w:hint="eastAsia" w:ascii="宋体" w:hAnsi="宋体" w:eastAsia="宋体" w:cs="宋体"/>
                <w:b/>
                <w:bCs/>
                <w:color w:val="auto"/>
                <w:kern w:val="0"/>
                <w:sz w:val="22"/>
                <w:szCs w:val="22"/>
                <w:highlight w:val="none"/>
                <w:lang w:val="en-US" w:eastAsia="zh-CN"/>
              </w:rPr>
              <w:t>须按招标文件采购需求中要求提供 相关证明材料，否则不得分。</w:t>
            </w:r>
          </w:p>
        </w:tc>
      </w:tr>
      <w:tr w14:paraId="7D451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 w:type="pct"/>
            <w:vMerge w:val="continue"/>
            <w:noWrap w:val="0"/>
            <w:vAlign w:val="center"/>
          </w:tcPr>
          <w:p w14:paraId="36DCEF39">
            <w:pPr>
              <w:jc w:val="center"/>
              <w:rPr>
                <w:rFonts w:hint="eastAsia" w:ascii="宋体" w:hAnsi="宋体" w:eastAsia="宋体" w:cs="宋体"/>
                <w:color w:val="auto"/>
                <w:sz w:val="22"/>
                <w:szCs w:val="22"/>
                <w:highlight w:val="none"/>
              </w:rPr>
            </w:pPr>
          </w:p>
        </w:tc>
        <w:tc>
          <w:tcPr>
            <w:tcW w:w="430" w:type="pct"/>
            <w:vMerge w:val="continue"/>
            <w:noWrap w:val="0"/>
            <w:vAlign w:val="center"/>
          </w:tcPr>
          <w:p w14:paraId="24E23DF4">
            <w:pPr>
              <w:jc w:val="center"/>
              <w:rPr>
                <w:rFonts w:hint="eastAsia" w:ascii="宋体" w:hAnsi="宋体" w:eastAsia="宋体" w:cs="宋体"/>
                <w:color w:val="auto"/>
                <w:sz w:val="22"/>
                <w:szCs w:val="22"/>
                <w:highlight w:val="none"/>
              </w:rPr>
            </w:pPr>
          </w:p>
        </w:tc>
        <w:tc>
          <w:tcPr>
            <w:tcW w:w="442" w:type="pct"/>
            <w:noWrap w:val="0"/>
            <w:vAlign w:val="center"/>
          </w:tcPr>
          <w:p w14:paraId="741265C9">
            <w:pPr>
              <w:widowControl/>
              <w:jc w:val="center"/>
              <w:rPr>
                <w:rFonts w:hint="eastAsia" w:ascii="宋体" w:hAnsi="宋体" w:eastAsia="宋体" w:cs="宋体"/>
                <w:color w:val="auto"/>
                <w:kern w:val="0"/>
                <w:sz w:val="22"/>
                <w:szCs w:val="22"/>
                <w:highlight w:val="none"/>
                <w:lang w:bidi="ar"/>
              </w:rPr>
            </w:pPr>
            <w:r>
              <w:rPr>
                <w:rFonts w:hint="eastAsia" w:ascii="宋体" w:hAnsi="宋体" w:eastAsia="宋体" w:cs="宋体"/>
                <w:sz w:val="22"/>
                <w:szCs w:val="22"/>
                <w:highlight w:val="none"/>
              </w:rPr>
              <w:t>总体设计方案</w:t>
            </w:r>
          </w:p>
        </w:tc>
        <w:tc>
          <w:tcPr>
            <w:tcW w:w="418" w:type="pct"/>
            <w:noWrap w:val="0"/>
            <w:vAlign w:val="center"/>
          </w:tcPr>
          <w:p w14:paraId="59E01758">
            <w:pPr>
              <w:jc w:val="center"/>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sz w:val="22"/>
                <w:szCs w:val="22"/>
                <w:highlight w:val="none"/>
                <w:lang w:val="en-US" w:eastAsia="zh-CN"/>
              </w:rPr>
              <w:t>8</w:t>
            </w:r>
          </w:p>
        </w:tc>
        <w:tc>
          <w:tcPr>
            <w:tcW w:w="3283" w:type="pct"/>
            <w:noWrap w:val="0"/>
            <w:vAlign w:val="center"/>
          </w:tcPr>
          <w:p w14:paraId="21454D9D">
            <w:pPr>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评标委员会根据投标人提供的设计方案，从投标人对项目需求的理解以及总体设计全面性、整体技术和架构的先进性、开放性；总体设计方案是否可行并具备可落地性、可扩展性等角度，由评委依据响应情况综合评审。</w:t>
            </w:r>
          </w:p>
          <w:p w14:paraId="3FADA6FA">
            <w:pPr>
              <w:widowControl/>
              <w:ind w:firstLine="440" w:firstLineChars="20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满足以</w:t>
            </w:r>
            <w:r>
              <w:rPr>
                <w:rFonts w:hint="eastAsia" w:ascii="宋体" w:hAnsi="宋体" w:eastAsia="宋体" w:cs="宋体"/>
                <w:color w:val="auto"/>
                <w:kern w:val="0"/>
                <w:sz w:val="22"/>
                <w:szCs w:val="22"/>
                <w:highlight w:val="none"/>
                <w:lang w:eastAsia="zh-CN"/>
              </w:rPr>
              <w:t>上</w:t>
            </w:r>
            <w:r>
              <w:rPr>
                <w:rFonts w:hint="eastAsia" w:ascii="宋体" w:hAnsi="宋体" w:eastAsia="宋体" w:cs="宋体"/>
                <w:color w:val="auto"/>
                <w:kern w:val="0"/>
                <w:sz w:val="22"/>
                <w:szCs w:val="22"/>
                <w:highlight w:val="none"/>
                <w:lang w:val="en-US" w:eastAsia="zh-CN"/>
              </w:rPr>
              <w:t>4</w:t>
            </w:r>
            <w:r>
              <w:rPr>
                <w:rFonts w:hint="eastAsia" w:ascii="宋体" w:hAnsi="宋体" w:eastAsia="宋体" w:cs="宋体"/>
                <w:color w:val="auto"/>
                <w:kern w:val="0"/>
                <w:sz w:val="22"/>
                <w:szCs w:val="22"/>
                <w:highlight w:val="none"/>
              </w:rPr>
              <w:t>项要求最多得</w:t>
            </w:r>
            <w:r>
              <w:rPr>
                <w:rFonts w:hint="eastAsia" w:ascii="宋体" w:hAnsi="宋体" w:eastAsia="宋体" w:cs="宋体"/>
                <w:color w:val="auto"/>
                <w:kern w:val="0"/>
                <w:sz w:val="22"/>
                <w:szCs w:val="22"/>
                <w:highlight w:val="none"/>
                <w:lang w:val="en-US" w:eastAsia="zh-CN"/>
              </w:rPr>
              <w:t>8</w:t>
            </w:r>
            <w:r>
              <w:rPr>
                <w:rFonts w:hint="eastAsia" w:ascii="宋体" w:hAnsi="宋体" w:eastAsia="宋体" w:cs="宋体"/>
                <w:color w:val="auto"/>
                <w:kern w:val="0"/>
                <w:sz w:val="22"/>
                <w:szCs w:val="22"/>
                <w:highlight w:val="none"/>
              </w:rPr>
              <w:t>分；满足任意一项最多得</w:t>
            </w:r>
            <w:r>
              <w:rPr>
                <w:rFonts w:hint="eastAsia" w:ascii="宋体" w:hAnsi="宋体" w:eastAsia="宋体" w:cs="宋体"/>
                <w:color w:val="auto"/>
                <w:kern w:val="0"/>
                <w:sz w:val="22"/>
                <w:szCs w:val="22"/>
                <w:highlight w:val="none"/>
                <w:lang w:val="en-US" w:eastAsia="zh-CN"/>
              </w:rPr>
              <w:t>3</w:t>
            </w:r>
            <w:r>
              <w:rPr>
                <w:rFonts w:hint="eastAsia" w:ascii="宋体" w:hAnsi="宋体" w:eastAsia="宋体" w:cs="宋体"/>
                <w:color w:val="auto"/>
                <w:kern w:val="0"/>
                <w:sz w:val="22"/>
                <w:szCs w:val="22"/>
                <w:highlight w:val="none"/>
              </w:rPr>
              <w:t>分；其余情况不得分。</w:t>
            </w:r>
          </w:p>
          <w:p w14:paraId="0E9B9EAB">
            <w:pPr>
              <w:widowControl/>
              <w:ind w:firstLine="440" w:firstLineChars="20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注：评审委员会根据各供应商的具体响应内容按照以下量化的评审因素指标对各项要求进行满足性判断：</w:t>
            </w:r>
          </w:p>
          <w:p w14:paraId="3FAAB325">
            <w:pPr>
              <w:widowControl/>
              <w:ind w:firstLine="440" w:firstLineChars="20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1.方案完整详尽，专业性、可行性强，考虑周全，思路清晰，</w:t>
            </w:r>
            <w:r>
              <w:rPr>
                <w:rFonts w:ascii="Times New Roman" w:hAnsi="Times New Roman" w:eastAsia="宋体" w:cs="Times New Roman"/>
                <w:color w:val="000000"/>
                <w:sz w:val="22"/>
                <w:szCs w:val="22"/>
                <w:highlight w:val="none"/>
              </w:rPr>
              <w:t>整体架构基于投标人自主知识产权的核心软件产品（提供对应软件著作权）</w:t>
            </w:r>
            <w:r>
              <w:rPr>
                <w:rFonts w:hint="eastAsia" w:ascii="Times New Roman" w:hAnsi="Times New Roman" w:eastAsia="宋体" w:cs="Times New Roman"/>
                <w:color w:val="000000"/>
                <w:sz w:val="22"/>
                <w:szCs w:val="22"/>
                <w:highlight w:val="none"/>
                <w:lang w:eastAsia="zh-CN"/>
              </w:rPr>
              <w:t>，</w:t>
            </w:r>
            <w:r>
              <w:rPr>
                <w:rFonts w:ascii="Times New Roman" w:hAnsi="Times New Roman" w:eastAsia="宋体" w:cs="Times New Roman"/>
                <w:color w:val="000000"/>
                <w:sz w:val="22"/>
                <w:szCs w:val="22"/>
                <w:highlight w:val="none"/>
              </w:rPr>
              <w:t>该项最高得</w:t>
            </w:r>
            <w:r>
              <w:rPr>
                <w:rFonts w:hint="eastAsia" w:ascii="宋体" w:hAnsi="宋体" w:eastAsia="宋体" w:cs="宋体"/>
                <w:color w:val="auto"/>
                <w:kern w:val="0"/>
                <w:sz w:val="22"/>
                <w:szCs w:val="22"/>
                <w:highlight w:val="none"/>
                <w:lang w:val="en-US" w:eastAsia="zh-CN"/>
              </w:rPr>
              <w:t>8</w:t>
            </w:r>
            <w:r>
              <w:rPr>
                <w:rFonts w:hint="eastAsia" w:ascii="宋体" w:hAnsi="宋体" w:eastAsia="宋体" w:cs="宋体"/>
                <w:color w:val="auto"/>
                <w:kern w:val="0"/>
                <w:sz w:val="22"/>
                <w:szCs w:val="22"/>
                <w:highlight w:val="none"/>
              </w:rPr>
              <w:t>分；</w:t>
            </w:r>
          </w:p>
          <w:p w14:paraId="40745444">
            <w:pPr>
              <w:widowControl/>
              <w:ind w:firstLine="440" w:firstLineChars="20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2.对项目总体有一定的认识，方案较为完整、细致，思路较清晰，基本符合项目需求，</w:t>
            </w:r>
            <w:r>
              <w:rPr>
                <w:rFonts w:hint="eastAsia" w:ascii="宋体" w:hAnsi="宋体" w:eastAsia="宋体" w:cs="宋体"/>
                <w:color w:val="auto"/>
                <w:kern w:val="0"/>
                <w:sz w:val="22"/>
                <w:szCs w:val="22"/>
                <w:highlight w:val="none"/>
                <w:lang w:val="en-US" w:eastAsia="zh-CN"/>
              </w:rPr>
              <w:t>无</w:t>
            </w:r>
            <w:r>
              <w:rPr>
                <w:rFonts w:ascii="Times New Roman" w:hAnsi="Times New Roman" w:eastAsia="宋体" w:cs="Times New Roman"/>
                <w:color w:val="000000"/>
                <w:sz w:val="22"/>
                <w:szCs w:val="22"/>
                <w:highlight w:val="none"/>
              </w:rPr>
              <w:t>自主知识产权核心产品支撑</w:t>
            </w:r>
            <w:r>
              <w:rPr>
                <w:rFonts w:hint="eastAsia" w:ascii="Times New Roman" w:hAnsi="Times New Roman" w:eastAsia="宋体" w:cs="Times New Roman"/>
                <w:color w:val="000000"/>
                <w:sz w:val="22"/>
                <w:szCs w:val="22"/>
                <w:highlight w:val="none"/>
                <w:lang w:eastAsia="zh-CN"/>
              </w:rPr>
              <w:t>的</w:t>
            </w:r>
            <w:r>
              <w:rPr>
                <w:rFonts w:ascii="Times New Roman" w:hAnsi="Times New Roman" w:eastAsia="宋体" w:cs="Times New Roman"/>
                <w:color w:val="000000"/>
                <w:sz w:val="22"/>
                <w:szCs w:val="22"/>
                <w:highlight w:val="none"/>
              </w:rPr>
              <w:t>，该项最高得</w:t>
            </w:r>
            <w:r>
              <w:rPr>
                <w:rFonts w:hint="eastAsia" w:ascii="Times New Roman" w:hAnsi="Times New Roman" w:eastAsia="宋体" w:cs="Times New Roman"/>
                <w:color w:val="000000"/>
                <w:sz w:val="22"/>
                <w:szCs w:val="22"/>
                <w:highlight w:val="none"/>
                <w:lang w:val="en-US" w:eastAsia="zh-CN"/>
              </w:rPr>
              <w:t>7</w:t>
            </w:r>
            <w:r>
              <w:rPr>
                <w:rFonts w:ascii="Times New Roman" w:hAnsi="Times New Roman" w:eastAsia="宋体" w:cs="Times New Roman"/>
                <w:color w:val="000000"/>
                <w:sz w:val="22"/>
                <w:szCs w:val="22"/>
                <w:highlight w:val="none"/>
              </w:rPr>
              <w:t>分</w:t>
            </w:r>
            <w:r>
              <w:rPr>
                <w:rFonts w:hint="eastAsia" w:ascii="宋体" w:hAnsi="宋体" w:eastAsia="宋体" w:cs="宋体"/>
                <w:color w:val="auto"/>
                <w:kern w:val="0"/>
                <w:sz w:val="22"/>
                <w:szCs w:val="22"/>
                <w:highlight w:val="none"/>
              </w:rPr>
              <w:t>；</w:t>
            </w:r>
          </w:p>
          <w:p w14:paraId="72813F51">
            <w:pPr>
              <w:widowControl/>
              <w:ind w:firstLine="440" w:firstLineChars="20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3.方案不细致，欠完善，与项目需求响应度低，项目理解思路一般</w:t>
            </w:r>
            <w:r>
              <w:rPr>
                <w:rFonts w:hint="eastAsia" w:ascii="宋体" w:hAnsi="宋体" w:eastAsia="宋体" w:cs="宋体"/>
                <w:color w:val="auto"/>
                <w:kern w:val="0"/>
                <w:sz w:val="22"/>
                <w:szCs w:val="22"/>
                <w:highlight w:val="none"/>
                <w:lang w:eastAsia="zh-CN"/>
              </w:rPr>
              <w:t>，</w:t>
            </w:r>
            <w:r>
              <w:rPr>
                <w:rFonts w:ascii="Times New Roman" w:hAnsi="Times New Roman" w:eastAsia="宋体" w:cs="Times New Roman"/>
                <w:color w:val="000000"/>
                <w:sz w:val="22"/>
                <w:szCs w:val="22"/>
                <w:highlight w:val="none"/>
              </w:rPr>
              <w:t>该项最高得</w:t>
            </w:r>
            <w:r>
              <w:rPr>
                <w:rFonts w:hint="eastAsia" w:ascii="Times New Roman" w:hAnsi="Times New Roman" w:eastAsia="宋体" w:cs="Times New Roman"/>
                <w:color w:val="000000"/>
                <w:sz w:val="22"/>
                <w:szCs w:val="22"/>
                <w:highlight w:val="none"/>
                <w:lang w:val="en-US" w:eastAsia="zh-CN"/>
              </w:rPr>
              <w:t>2</w:t>
            </w:r>
            <w:r>
              <w:rPr>
                <w:rFonts w:hint="eastAsia" w:ascii="宋体" w:hAnsi="宋体" w:eastAsia="宋体" w:cs="宋体"/>
                <w:color w:val="auto"/>
                <w:kern w:val="0"/>
                <w:sz w:val="22"/>
                <w:szCs w:val="22"/>
                <w:highlight w:val="none"/>
              </w:rPr>
              <w:t>分。</w:t>
            </w:r>
          </w:p>
          <w:p w14:paraId="6C076843">
            <w:pPr>
              <w:ind w:firstLine="440" w:firstLineChars="200"/>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4.不提供或者经评标委员会不认可的不得分。</w:t>
            </w:r>
          </w:p>
        </w:tc>
      </w:tr>
      <w:tr w14:paraId="4E59F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426" w:type="pct"/>
            <w:vMerge w:val="continue"/>
            <w:noWrap w:val="0"/>
            <w:vAlign w:val="center"/>
          </w:tcPr>
          <w:p w14:paraId="337F5272">
            <w:pPr>
              <w:jc w:val="center"/>
              <w:rPr>
                <w:rFonts w:hint="eastAsia" w:ascii="宋体" w:hAnsi="宋体" w:eastAsia="宋体" w:cs="宋体"/>
                <w:color w:val="auto"/>
                <w:sz w:val="22"/>
                <w:szCs w:val="22"/>
                <w:highlight w:val="none"/>
              </w:rPr>
            </w:pPr>
          </w:p>
        </w:tc>
        <w:tc>
          <w:tcPr>
            <w:tcW w:w="430" w:type="pct"/>
            <w:vMerge w:val="continue"/>
            <w:noWrap w:val="0"/>
            <w:vAlign w:val="center"/>
          </w:tcPr>
          <w:p w14:paraId="1EF2F55F">
            <w:pPr>
              <w:jc w:val="center"/>
              <w:rPr>
                <w:rFonts w:hint="eastAsia" w:ascii="宋体" w:hAnsi="宋体" w:eastAsia="宋体" w:cs="宋体"/>
                <w:color w:val="auto"/>
                <w:sz w:val="22"/>
                <w:szCs w:val="22"/>
                <w:highlight w:val="none"/>
              </w:rPr>
            </w:pPr>
          </w:p>
        </w:tc>
        <w:tc>
          <w:tcPr>
            <w:tcW w:w="442" w:type="pct"/>
            <w:noWrap w:val="0"/>
            <w:vAlign w:val="center"/>
          </w:tcPr>
          <w:p w14:paraId="2140C56F">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项目实施</w:t>
            </w:r>
          </w:p>
        </w:tc>
        <w:tc>
          <w:tcPr>
            <w:tcW w:w="418" w:type="pct"/>
            <w:noWrap w:val="0"/>
            <w:vAlign w:val="center"/>
          </w:tcPr>
          <w:p w14:paraId="5EB861C6">
            <w:pPr>
              <w:widowControl/>
              <w:jc w:val="center"/>
              <w:textAlignment w:val="center"/>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10</w:t>
            </w:r>
          </w:p>
        </w:tc>
        <w:tc>
          <w:tcPr>
            <w:tcW w:w="3283" w:type="pct"/>
            <w:noWrap w:val="0"/>
            <w:vAlign w:val="center"/>
          </w:tcPr>
          <w:p w14:paraId="33E256CB">
            <w:pPr>
              <w:widowControl/>
              <w:ind w:firstLine="440" w:firstLineChars="20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sz w:val="22"/>
                <w:szCs w:val="22"/>
                <w:highlight w:val="none"/>
              </w:rPr>
              <w:t>评标委员会</w:t>
            </w:r>
            <w:r>
              <w:rPr>
                <w:rFonts w:hint="eastAsia" w:ascii="宋体" w:hAnsi="宋体" w:eastAsia="宋体" w:cs="宋体"/>
                <w:sz w:val="22"/>
                <w:szCs w:val="22"/>
                <w:highlight w:val="none"/>
                <w:lang w:val="en-US" w:eastAsia="zh-CN"/>
              </w:rPr>
              <w:t>根据</w:t>
            </w:r>
            <w:r>
              <w:rPr>
                <w:rFonts w:hint="eastAsia" w:ascii="宋体" w:hAnsi="宋体" w:eastAsia="宋体" w:cs="宋体"/>
                <w:color w:val="auto"/>
                <w:kern w:val="0"/>
                <w:sz w:val="22"/>
                <w:szCs w:val="22"/>
                <w:highlight w:val="none"/>
              </w:rPr>
              <w:t>投标人提供的针对本项目的整体实施与推进方案包含但不限于实施内容、计划安排、进度保障</w:t>
            </w:r>
            <w:r>
              <w:rPr>
                <w:rFonts w:hint="eastAsia" w:ascii="宋体" w:hAnsi="宋体" w:eastAsia="宋体" w:cs="宋体"/>
                <w:color w:val="auto"/>
                <w:kern w:val="0"/>
                <w:sz w:val="22"/>
                <w:szCs w:val="22"/>
                <w:highlight w:val="none"/>
                <w:lang w:eastAsia="zh-CN"/>
              </w:rPr>
              <w:t>、</w:t>
            </w:r>
            <w:r>
              <w:rPr>
                <w:rFonts w:hint="eastAsia" w:ascii="宋体" w:hAnsi="宋体" w:eastAsia="宋体" w:cs="宋体"/>
                <w:color w:val="auto"/>
                <w:kern w:val="0"/>
                <w:sz w:val="22"/>
                <w:szCs w:val="22"/>
                <w:highlight w:val="none"/>
                <w:lang w:val="en-US" w:eastAsia="zh-CN"/>
              </w:rPr>
              <w:t>质量保障</w:t>
            </w:r>
            <w:r>
              <w:rPr>
                <w:rFonts w:hint="eastAsia" w:ascii="宋体" w:hAnsi="宋体" w:eastAsia="宋体" w:cs="宋体"/>
                <w:color w:val="auto"/>
                <w:kern w:val="0"/>
                <w:sz w:val="22"/>
                <w:szCs w:val="22"/>
                <w:highlight w:val="none"/>
              </w:rPr>
              <w:t>等内容。</w:t>
            </w:r>
          </w:p>
          <w:p w14:paraId="04E5B255">
            <w:pPr>
              <w:widowControl/>
              <w:ind w:firstLine="440" w:firstLineChars="20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满足以上</w:t>
            </w:r>
            <w:r>
              <w:rPr>
                <w:rFonts w:hint="eastAsia" w:ascii="宋体" w:hAnsi="宋体" w:eastAsia="宋体" w:cs="宋体"/>
                <w:color w:val="auto"/>
                <w:kern w:val="0"/>
                <w:sz w:val="22"/>
                <w:szCs w:val="22"/>
                <w:highlight w:val="none"/>
                <w:lang w:val="en-US" w:eastAsia="zh-CN"/>
              </w:rPr>
              <w:t>4</w:t>
            </w:r>
            <w:r>
              <w:rPr>
                <w:rFonts w:hint="eastAsia" w:ascii="宋体" w:hAnsi="宋体" w:eastAsia="宋体" w:cs="宋体"/>
                <w:color w:val="auto"/>
                <w:kern w:val="0"/>
                <w:sz w:val="22"/>
                <w:szCs w:val="22"/>
                <w:highlight w:val="none"/>
              </w:rPr>
              <w:t>项要求最多得</w:t>
            </w:r>
            <w:r>
              <w:rPr>
                <w:rFonts w:hint="eastAsia" w:ascii="宋体" w:hAnsi="宋体" w:eastAsia="宋体" w:cs="宋体"/>
                <w:color w:val="auto"/>
                <w:kern w:val="0"/>
                <w:sz w:val="22"/>
                <w:szCs w:val="22"/>
                <w:highlight w:val="none"/>
                <w:lang w:val="en-US" w:eastAsia="zh-CN"/>
              </w:rPr>
              <w:t>10</w:t>
            </w:r>
            <w:r>
              <w:rPr>
                <w:rFonts w:hint="eastAsia" w:ascii="宋体" w:hAnsi="宋体" w:eastAsia="宋体" w:cs="宋体"/>
                <w:color w:val="auto"/>
                <w:kern w:val="0"/>
                <w:sz w:val="22"/>
                <w:szCs w:val="22"/>
                <w:highlight w:val="none"/>
              </w:rPr>
              <w:t>分；满足任意一项最多得</w:t>
            </w:r>
            <w:r>
              <w:rPr>
                <w:rFonts w:hint="eastAsia" w:ascii="宋体" w:hAnsi="宋体" w:eastAsia="宋体" w:cs="宋体"/>
                <w:color w:val="auto"/>
                <w:kern w:val="0"/>
                <w:sz w:val="22"/>
                <w:szCs w:val="22"/>
                <w:highlight w:val="none"/>
                <w:lang w:val="en-US" w:eastAsia="zh-CN"/>
              </w:rPr>
              <w:t>2.5</w:t>
            </w:r>
            <w:r>
              <w:rPr>
                <w:rFonts w:hint="eastAsia" w:ascii="宋体" w:hAnsi="宋体" w:eastAsia="宋体" w:cs="宋体"/>
                <w:color w:val="auto"/>
                <w:kern w:val="0"/>
                <w:sz w:val="22"/>
                <w:szCs w:val="22"/>
                <w:highlight w:val="none"/>
              </w:rPr>
              <w:t>分；其余情况不得分。</w:t>
            </w:r>
          </w:p>
          <w:p w14:paraId="6D1285B9">
            <w:pPr>
              <w:widowControl/>
              <w:ind w:firstLine="440" w:firstLineChars="20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注：评审委员会根据各供应商的具体响应内容按照以下量化的评审因素指标对各项要求进行满足性判断：</w:t>
            </w:r>
          </w:p>
          <w:p w14:paraId="2C5E7523">
            <w:pPr>
              <w:widowControl/>
              <w:ind w:firstLine="440" w:firstLineChars="20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1.方案完整详尽，专业性、可行性强，考虑周全，思路清晰，符合项目需求</w:t>
            </w:r>
            <w:r>
              <w:rPr>
                <w:rFonts w:hint="eastAsia" w:ascii="宋体" w:hAnsi="宋体" w:eastAsia="宋体" w:cs="宋体"/>
                <w:color w:val="auto"/>
                <w:kern w:val="0"/>
                <w:sz w:val="22"/>
                <w:szCs w:val="22"/>
                <w:highlight w:val="none"/>
                <w:lang w:eastAsia="zh-CN"/>
              </w:rPr>
              <w:t>，</w:t>
            </w:r>
            <w:r>
              <w:rPr>
                <w:rFonts w:ascii="Times New Roman" w:hAnsi="Times New Roman" w:eastAsia="宋体" w:cs="Times New Roman"/>
                <w:color w:val="000000"/>
                <w:sz w:val="22"/>
                <w:szCs w:val="22"/>
                <w:highlight w:val="none"/>
              </w:rPr>
              <w:t>该项最高得</w:t>
            </w:r>
            <w:r>
              <w:rPr>
                <w:rFonts w:hint="eastAsia" w:ascii="宋体" w:hAnsi="宋体" w:eastAsia="宋体" w:cs="宋体"/>
                <w:color w:val="auto"/>
                <w:kern w:val="0"/>
                <w:sz w:val="22"/>
                <w:szCs w:val="22"/>
                <w:highlight w:val="none"/>
                <w:lang w:val="en-US" w:eastAsia="zh-CN"/>
              </w:rPr>
              <w:t>10</w:t>
            </w:r>
            <w:r>
              <w:rPr>
                <w:rFonts w:hint="eastAsia" w:ascii="宋体" w:hAnsi="宋体" w:eastAsia="宋体" w:cs="宋体"/>
                <w:color w:val="auto"/>
                <w:kern w:val="0"/>
                <w:sz w:val="22"/>
                <w:szCs w:val="22"/>
                <w:highlight w:val="none"/>
              </w:rPr>
              <w:t>分；</w:t>
            </w:r>
          </w:p>
          <w:p w14:paraId="1458FC18">
            <w:pPr>
              <w:widowControl/>
              <w:ind w:firstLine="440" w:firstLineChars="20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2.对项目总体有一定的认识，方案较为完整、细致，思路较清晰，基本符合项目需求，</w:t>
            </w:r>
            <w:r>
              <w:rPr>
                <w:rFonts w:ascii="Times New Roman" w:hAnsi="Times New Roman" w:eastAsia="宋体" w:cs="Times New Roman"/>
                <w:color w:val="000000"/>
                <w:sz w:val="22"/>
                <w:szCs w:val="22"/>
                <w:highlight w:val="none"/>
              </w:rPr>
              <w:t>该项最高得</w:t>
            </w:r>
            <w:r>
              <w:rPr>
                <w:rFonts w:hint="eastAsia" w:ascii="Times New Roman" w:hAnsi="Times New Roman" w:eastAsia="宋体" w:cs="Times New Roman"/>
                <w:color w:val="000000"/>
                <w:sz w:val="22"/>
                <w:szCs w:val="22"/>
                <w:highlight w:val="none"/>
                <w:lang w:val="en-US" w:eastAsia="zh-CN"/>
              </w:rPr>
              <w:t>9</w:t>
            </w:r>
            <w:r>
              <w:rPr>
                <w:rFonts w:hint="eastAsia" w:ascii="宋体" w:hAnsi="宋体" w:eastAsia="宋体" w:cs="宋体"/>
                <w:color w:val="auto"/>
                <w:kern w:val="0"/>
                <w:sz w:val="22"/>
                <w:szCs w:val="22"/>
                <w:highlight w:val="none"/>
              </w:rPr>
              <w:t>分；</w:t>
            </w:r>
          </w:p>
          <w:p w14:paraId="7D69D61A">
            <w:pPr>
              <w:widowControl/>
              <w:ind w:firstLine="440" w:firstLineChars="20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3.方案不细致，欠完善，与项目需求响应度低，项目理解思路一般</w:t>
            </w:r>
            <w:r>
              <w:rPr>
                <w:rFonts w:hint="eastAsia" w:ascii="宋体" w:hAnsi="宋体" w:eastAsia="宋体" w:cs="宋体"/>
                <w:color w:val="auto"/>
                <w:kern w:val="0"/>
                <w:sz w:val="22"/>
                <w:szCs w:val="22"/>
                <w:highlight w:val="none"/>
                <w:lang w:eastAsia="zh-CN"/>
              </w:rPr>
              <w:t>，</w:t>
            </w:r>
            <w:r>
              <w:rPr>
                <w:rFonts w:ascii="Times New Roman" w:hAnsi="Times New Roman" w:eastAsia="宋体" w:cs="Times New Roman"/>
                <w:color w:val="000000"/>
                <w:sz w:val="22"/>
                <w:szCs w:val="22"/>
                <w:highlight w:val="none"/>
              </w:rPr>
              <w:t>该项最高得</w:t>
            </w:r>
            <w:r>
              <w:rPr>
                <w:rFonts w:hint="eastAsia" w:ascii="Times New Roman" w:hAnsi="Times New Roman" w:eastAsia="宋体" w:cs="Times New Roman"/>
                <w:color w:val="000000"/>
                <w:sz w:val="22"/>
                <w:szCs w:val="22"/>
                <w:highlight w:val="none"/>
                <w:lang w:val="en-US" w:eastAsia="zh-CN"/>
              </w:rPr>
              <w:t>2</w:t>
            </w:r>
            <w:r>
              <w:rPr>
                <w:rFonts w:hint="eastAsia" w:ascii="宋体" w:hAnsi="宋体" w:eastAsia="宋体" w:cs="宋体"/>
                <w:color w:val="auto"/>
                <w:kern w:val="0"/>
                <w:sz w:val="22"/>
                <w:szCs w:val="22"/>
                <w:highlight w:val="none"/>
              </w:rPr>
              <w:t>分。</w:t>
            </w:r>
          </w:p>
          <w:p w14:paraId="076D88F1">
            <w:pPr>
              <w:widowControl/>
              <w:ind w:firstLine="440" w:firstLineChars="20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4.不提供或者经评标委员会不认可的不得分。</w:t>
            </w:r>
          </w:p>
        </w:tc>
      </w:tr>
      <w:tr w14:paraId="798C5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426" w:type="pct"/>
            <w:vMerge w:val="continue"/>
            <w:noWrap w:val="0"/>
            <w:vAlign w:val="center"/>
          </w:tcPr>
          <w:p w14:paraId="64608B85">
            <w:pPr>
              <w:jc w:val="center"/>
              <w:rPr>
                <w:rFonts w:hint="eastAsia" w:ascii="宋体" w:hAnsi="宋体" w:eastAsia="宋体" w:cs="宋体"/>
                <w:color w:val="auto"/>
                <w:sz w:val="22"/>
                <w:szCs w:val="22"/>
                <w:highlight w:val="none"/>
              </w:rPr>
            </w:pPr>
          </w:p>
        </w:tc>
        <w:tc>
          <w:tcPr>
            <w:tcW w:w="430" w:type="pct"/>
            <w:vMerge w:val="continue"/>
            <w:noWrap w:val="0"/>
            <w:vAlign w:val="center"/>
          </w:tcPr>
          <w:p w14:paraId="225558CE">
            <w:pPr>
              <w:jc w:val="center"/>
              <w:rPr>
                <w:rFonts w:hint="eastAsia" w:ascii="宋体" w:hAnsi="宋体" w:eastAsia="宋体" w:cs="宋体"/>
                <w:color w:val="auto"/>
                <w:sz w:val="22"/>
                <w:szCs w:val="22"/>
                <w:highlight w:val="none"/>
              </w:rPr>
            </w:pPr>
          </w:p>
        </w:tc>
        <w:tc>
          <w:tcPr>
            <w:tcW w:w="442" w:type="pct"/>
            <w:noWrap w:val="0"/>
            <w:vAlign w:val="center"/>
          </w:tcPr>
          <w:p w14:paraId="6C181AED">
            <w:pPr>
              <w:widowControl/>
              <w:spacing w:line="360" w:lineRule="exact"/>
              <w:jc w:val="center"/>
              <w:rPr>
                <w:rFonts w:hint="eastAsia" w:ascii="宋体" w:hAnsi="宋体" w:eastAsia="宋体" w:cs="宋体"/>
                <w:color w:val="auto"/>
                <w:kern w:val="0"/>
                <w:sz w:val="22"/>
                <w:szCs w:val="22"/>
                <w:highlight w:val="none"/>
                <w:lang w:bidi="ar"/>
              </w:rPr>
            </w:pPr>
            <w:r>
              <w:rPr>
                <w:rFonts w:hint="eastAsia" w:ascii="宋体" w:hAnsi="宋体" w:eastAsia="宋体" w:cs="宋体"/>
                <w:sz w:val="22"/>
                <w:szCs w:val="22"/>
                <w:highlight w:val="none"/>
              </w:rPr>
              <w:t>质量控制及保障方案</w:t>
            </w:r>
          </w:p>
        </w:tc>
        <w:tc>
          <w:tcPr>
            <w:tcW w:w="418" w:type="pct"/>
            <w:noWrap w:val="0"/>
            <w:vAlign w:val="center"/>
          </w:tcPr>
          <w:p w14:paraId="22494F18">
            <w:pPr>
              <w:widowControl/>
              <w:spacing w:line="360" w:lineRule="exact"/>
              <w:jc w:val="center"/>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sz w:val="22"/>
                <w:szCs w:val="22"/>
                <w:highlight w:val="none"/>
              </w:rPr>
              <w:t>8</w:t>
            </w:r>
          </w:p>
        </w:tc>
        <w:tc>
          <w:tcPr>
            <w:tcW w:w="3283" w:type="pct"/>
            <w:noWrap w:val="0"/>
            <w:vAlign w:val="center"/>
          </w:tcPr>
          <w:p w14:paraId="524190AF">
            <w:pPr>
              <w:keepNext w:val="0"/>
              <w:keepLines w:val="0"/>
              <w:pageBreakBefore w:val="0"/>
              <w:widowControl/>
              <w:spacing w:after="0" w:line="240" w:lineRule="exact"/>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评标委员会根据投标人所提供的质量控制及保障方案，包含质量及安全管理目标；质量及安全管理组织架构；质量及安全控制重点及措施；风险排查管控等内容。</w:t>
            </w:r>
          </w:p>
          <w:p w14:paraId="3A727B16">
            <w:pPr>
              <w:keepNext w:val="0"/>
              <w:keepLines w:val="0"/>
              <w:pageBreakBefore w:val="0"/>
              <w:widowControl/>
              <w:spacing w:after="0" w:line="240" w:lineRule="exact"/>
              <w:ind w:firstLine="422"/>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满足以上4项要求最多得8分；满足任意1项得2分；其余情况不得分。</w:t>
            </w:r>
          </w:p>
          <w:p w14:paraId="5FF18483">
            <w:pPr>
              <w:keepNext w:val="0"/>
              <w:keepLines w:val="0"/>
              <w:pageBreakBefore w:val="0"/>
              <w:widowControl/>
              <w:spacing w:after="0" w:line="240" w:lineRule="exact"/>
              <w:ind w:firstLine="422"/>
              <w:rPr>
                <w:rFonts w:hint="eastAsia" w:ascii="宋体" w:hAnsi="宋体" w:eastAsia="宋体" w:cs="宋体"/>
                <w:b/>
                <w:bCs/>
                <w:sz w:val="22"/>
                <w:szCs w:val="22"/>
                <w:highlight w:val="none"/>
              </w:rPr>
            </w:pPr>
            <w:r>
              <w:rPr>
                <w:rFonts w:hint="eastAsia" w:ascii="宋体" w:hAnsi="宋体" w:eastAsia="宋体" w:cs="宋体"/>
                <w:b w:val="0"/>
                <w:bCs w:val="0"/>
                <w:sz w:val="22"/>
                <w:szCs w:val="22"/>
                <w:highlight w:val="none"/>
              </w:rPr>
              <w:t>注：评审委员会根据各供应商的具体响应内容按照以下量化的评审因素指标对各项要求进行评审：</w:t>
            </w:r>
          </w:p>
          <w:p w14:paraId="27F127EE">
            <w:pPr>
              <w:keepNext w:val="0"/>
              <w:keepLines w:val="0"/>
              <w:pageBreakBefore w:val="0"/>
              <w:widowControl/>
              <w:spacing w:after="0" w:line="240" w:lineRule="exact"/>
              <w:ind w:firstLine="420"/>
              <w:rPr>
                <w:rFonts w:hint="eastAsia" w:ascii="宋体" w:hAnsi="宋体" w:eastAsia="宋体" w:cs="宋体"/>
                <w:sz w:val="22"/>
                <w:szCs w:val="22"/>
                <w:highlight w:val="none"/>
                <w:lang w:val="zh-CN"/>
              </w:rPr>
            </w:pPr>
            <w:r>
              <w:rPr>
                <w:rFonts w:hint="eastAsia" w:ascii="宋体" w:hAnsi="宋体" w:eastAsia="宋体" w:cs="宋体"/>
                <w:sz w:val="22"/>
                <w:szCs w:val="22"/>
                <w:highlight w:val="none"/>
                <w:lang w:val="zh-CN"/>
              </w:rPr>
              <w:t>1、方案完整、专业、可行，考虑周全，思路清晰，</w:t>
            </w:r>
            <w:r>
              <w:rPr>
                <w:rFonts w:hint="eastAsia" w:ascii="宋体" w:hAnsi="宋体" w:eastAsia="宋体" w:cs="宋体"/>
                <w:sz w:val="22"/>
                <w:szCs w:val="22"/>
                <w:highlight w:val="none"/>
              </w:rPr>
              <w:t>完全</w:t>
            </w:r>
            <w:r>
              <w:rPr>
                <w:rFonts w:hint="eastAsia" w:ascii="宋体" w:hAnsi="宋体" w:eastAsia="宋体" w:cs="宋体"/>
                <w:sz w:val="22"/>
                <w:szCs w:val="22"/>
                <w:highlight w:val="none"/>
                <w:lang w:val="zh-CN"/>
              </w:rPr>
              <w:t>符合项目需求，</w:t>
            </w:r>
            <w:r>
              <w:rPr>
                <w:rFonts w:ascii="Times New Roman" w:hAnsi="Times New Roman" w:eastAsia="宋体" w:cs="Times New Roman"/>
                <w:color w:val="000000"/>
                <w:sz w:val="22"/>
                <w:szCs w:val="22"/>
                <w:highlight w:val="none"/>
              </w:rPr>
              <w:t>该项最高得</w:t>
            </w:r>
            <w:r>
              <w:rPr>
                <w:rFonts w:hint="eastAsia" w:ascii="宋体" w:hAnsi="宋体" w:eastAsia="宋体" w:cs="宋体"/>
                <w:sz w:val="22"/>
                <w:szCs w:val="22"/>
                <w:highlight w:val="none"/>
                <w:lang w:val="en-US" w:eastAsia="zh-CN"/>
              </w:rPr>
              <w:t>8</w:t>
            </w:r>
            <w:r>
              <w:rPr>
                <w:rFonts w:hint="eastAsia" w:ascii="宋体" w:hAnsi="宋体" w:eastAsia="宋体" w:cs="宋体"/>
                <w:sz w:val="22"/>
                <w:szCs w:val="22"/>
                <w:highlight w:val="none"/>
                <w:lang w:val="zh-CN"/>
              </w:rPr>
              <w:t>分；</w:t>
            </w:r>
          </w:p>
          <w:p w14:paraId="55B55BF8">
            <w:pPr>
              <w:keepNext w:val="0"/>
              <w:keepLines w:val="0"/>
              <w:pageBreakBefore w:val="0"/>
              <w:widowControl/>
              <w:spacing w:after="0" w:line="240" w:lineRule="exact"/>
              <w:ind w:firstLine="420"/>
              <w:rPr>
                <w:rFonts w:hint="eastAsia" w:ascii="宋体" w:hAnsi="宋体" w:eastAsia="宋体" w:cs="宋体"/>
                <w:sz w:val="22"/>
                <w:szCs w:val="22"/>
                <w:highlight w:val="none"/>
                <w:lang w:val="zh-CN"/>
              </w:rPr>
            </w:pPr>
            <w:r>
              <w:rPr>
                <w:rFonts w:hint="eastAsia" w:ascii="宋体" w:hAnsi="宋体" w:eastAsia="宋体" w:cs="宋体"/>
                <w:sz w:val="22"/>
                <w:szCs w:val="22"/>
                <w:highlight w:val="none"/>
                <w:lang w:val="zh-CN"/>
              </w:rPr>
              <w:t>2、方案</w:t>
            </w:r>
            <w:r>
              <w:rPr>
                <w:rFonts w:hint="eastAsia" w:ascii="宋体" w:hAnsi="宋体" w:eastAsia="宋体" w:cs="宋体"/>
                <w:sz w:val="22"/>
                <w:szCs w:val="22"/>
                <w:highlight w:val="none"/>
              </w:rPr>
              <w:t>较</w:t>
            </w:r>
            <w:r>
              <w:rPr>
                <w:rFonts w:hint="eastAsia" w:ascii="宋体" w:hAnsi="宋体" w:eastAsia="宋体" w:cs="宋体"/>
                <w:sz w:val="22"/>
                <w:szCs w:val="22"/>
                <w:highlight w:val="none"/>
                <w:lang w:val="zh-CN"/>
              </w:rPr>
              <w:t>完整、思路</w:t>
            </w:r>
            <w:r>
              <w:rPr>
                <w:rFonts w:hint="eastAsia" w:ascii="宋体" w:hAnsi="宋体" w:eastAsia="宋体" w:cs="宋体"/>
                <w:sz w:val="22"/>
                <w:szCs w:val="22"/>
                <w:highlight w:val="none"/>
              </w:rPr>
              <w:t>较</w:t>
            </w:r>
            <w:r>
              <w:rPr>
                <w:rFonts w:hint="eastAsia" w:ascii="宋体" w:hAnsi="宋体" w:eastAsia="宋体" w:cs="宋体"/>
                <w:sz w:val="22"/>
                <w:szCs w:val="22"/>
                <w:highlight w:val="none"/>
                <w:lang w:val="zh-CN"/>
              </w:rPr>
              <w:t>清晰，</w:t>
            </w:r>
            <w:r>
              <w:rPr>
                <w:rFonts w:hint="eastAsia" w:ascii="宋体" w:hAnsi="宋体" w:eastAsia="宋体" w:cs="宋体"/>
                <w:sz w:val="22"/>
                <w:szCs w:val="22"/>
                <w:highlight w:val="none"/>
              </w:rPr>
              <w:t>基本符合</w:t>
            </w:r>
            <w:r>
              <w:rPr>
                <w:rFonts w:hint="eastAsia" w:ascii="宋体" w:hAnsi="宋体" w:eastAsia="宋体" w:cs="宋体"/>
                <w:sz w:val="22"/>
                <w:szCs w:val="22"/>
                <w:highlight w:val="none"/>
                <w:lang w:val="zh-CN"/>
              </w:rPr>
              <w:t>项目需求，</w:t>
            </w:r>
            <w:r>
              <w:rPr>
                <w:rFonts w:ascii="Times New Roman" w:hAnsi="Times New Roman" w:eastAsia="宋体" w:cs="Times New Roman"/>
                <w:color w:val="000000"/>
                <w:sz w:val="22"/>
                <w:szCs w:val="22"/>
                <w:highlight w:val="none"/>
              </w:rPr>
              <w:t>该项最高得</w:t>
            </w:r>
            <w:r>
              <w:rPr>
                <w:rFonts w:hint="eastAsia" w:ascii="Times New Roman" w:hAnsi="Times New Roman" w:eastAsia="宋体" w:cs="Times New Roman"/>
                <w:color w:val="000000"/>
                <w:sz w:val="22"/>
                <w:szCs w:val="22"/>
                <w:highlight w:val="none"/>
                <w:lang w:val="en-US" w:eastAsia="zh-CN"/>
              </w:rPr>
              <w:t>7</w:t>
            </w:r>
            <w:r>
              <w:rPr>
                <w:rFonts w:hint="eastAsia" w:ascii="宋体" w:hAnsi="宋体" w:eastAsia="宋体" w:cs="宋体"/>
                <w:sz w:val="22"/>
                <w:szCs w:val="22"/>
                <w:highlight w:val="none"/>
                <w:lang w:val="zh-CN"/>
              </w:rPr>
              <w:t>分；</w:t>
            </w:r>
          </w:p>
          <w:p w14:paraId="66C92296">
            <w:pPr>
              <w:keepNext w:val="0"/>
              <w:keepLines w:val="0"/>
              <w:pageBreakBefore w:val="0"/>
              <w:widowControl/>
              <w:spacing w:after="0" w:line="240" w:lineRule="exact"/>
              <w:ind w:firstLine="420"/>
              <w:rPr>
                <w:rFonts w:hint="eastAsia" w:ascii="宋体" w:hAnsi="宋体" w:eastAsia="宋体" w:cs="宋体"/>
                <w:sz w:val="22"/>
                <w:szCs w:val="22"/>
                <w:highlight w:val="none"/>
                <w:lang w:val="zh-CN"/>
              </w:rPr>
            </w:pPr>
            <w:r>
              <w:rPr>
                <w:rFonts w:hint="eastAsia" w:ascii="宋体" w:hAnsi="宋体" w:eastAsia="宋体" w:cs="宋体"/>
                <w:sz w:val="22"/>
                <w:szCs w:val="22"/>
                <w:highlight w:val="none"/>
                <w:lang w:val="zh-CN"/>
              </w:rPr>
              <w:t>3、方案</w:t>
            </w:r>
            <w:r>
              <w:rPr>
                <w:rFonts w:hint="eastAsia" w:ascii="宋体" w:hAnsi="宋体" w:eastAsia="宋体" w:cs="宋体"/>
                <w:sz w:val="22"/>
                <w:szCs w:val="22"/>
                <w:highlight w:val="none"/>
              </w:rPr>
              <w:t>简单</w:t>
            </w:r>
            <w:r>
              <w:rPr>
                <w:rFonts w:hint="eastAsia" w:ascii="宋体" w:hAnsi="宋体" w:eastAsia="宋体" w:cs="宋体"/>
                <w:sz w:val="22"/>
                <w:szCs w:val="22"/>
                <w:highlight w:val="none"/>
                <w:lang w:val="zh-CN"/>
              </w:rPr>
              <w:t>，与项目需求响应度低，</w:t>
            </w:r>
            <w:r>
              <w:rPr>
                <w:rFonts w:ascii="Times New Roman" w:hAnsi="Times New Roman" w:eastAsia="宋体" w:cs="Times New Roman"/>
                <w:color w:val="000000"/>
                <w:sz w:val="22"/>
                <w:szCs w:val="22"/>
                <w:highlight w:val="none"/>
              </w:rPr>
              <w:t>该项最高得</w:t>
            </w:r>
            <w:r>
              <w:rPr>
                <w:rFonts w:hint="eastAsia" w:ascii="Times New Roman" w:hAnsi="Times New Roman" w:eastAsia="宋体" w:cs="Times New Roman"/>
                <w:color w:val="000000"/>
                <w:sz w:val="22"/>
                <w:szCs w:val="22"/>
                <w:highlight w:val="none"/>
                <w:lang w:val="en-US" w:eastAsia="zh-CN"/>
              </w:rPr>
              <w:t>2</w:t>
            </w:r>
            <w:r>
              <w:rPr>
                <w:rFonts w:hint="eastAsia" w:ascii="宋体" w:hAnsi="宋体" w:eastAsia="宋体" w:cs="宋体"/>
                <w:sz w:val="22"/>
                <w:szCs w:val="22"/>
                <w:highlight w:val="none"/>
                <w:lang w:val="zh-CN"/>
              </w:rPr>
              <w:t>分。</w:t>
            </w:r>
          </w:p>
          <w:p w14:paraId="680DAD24">
            <w:pPr>
              <w:keepNext w:val="0"/>
              <w:keepLines w:val="0"/>
              <w:pageBreakBefore w:val="0"/>
              <w:widowControl/>
              <w:spacing w:after="0" w:line="240" w:lineRule="exact"/>
              <w:ind w:firstLine="420" w:firstLineChars="0"/>
              <w:rPr>
                <w:rFonts w:hint="eastAsia" w:ascii="宋体" w:hAnsi="宋体" w:eastAsia="宋体" w:cs="宋体"/>
                <w:color w:val="auto"/>
                <w:kern w:val="0"/>
                <w:sz w:val="22"/>
                <w:szCs w:val="22"/>
                <w:highlight w:val="none"/>
              </w:rPr>
            </w:pPr>
            <w:r>
              <w:rPr>
                <w:rFonts w:hint="eastAsia" w:ascii="宋体" w:hAnsi="宋体" w:eastAsia="宋体" w:cs="宋体"/>
                <w:sz w:val="22"/>
                <w:szCs w:val="22"/>
                <w:highlight w:val="none"/>
                <w:lang w:val="zh-CN"/>
              </w:rPr>
              <w:t>4、不提供或者经评标委员会认定非常差的不得分。</w:t>
            </w:r>
          </w:p>
        </w:tc>
      </w:tr>
      <w:tr w14:paraId="3A258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426" w:type="pct"/>
            <w:vMerge w:val="continue"/>
            <w:noWrap w:val="0"/>
            <w:vAlign w:val="center"/>
          </w:tcPr>
          <w:p w14:paraId="39FCDABE">
            <w:pPr>
              <w:jc w:val="center"/>
              <w:rPr>
                <w:rFonts w:hint="eastAsia" w:ascii="宋体" w:hAnsi="宋体" w:eastAsia="宋体" w:cs="宋体"/>
                <w:color w:val="auto"/>
                <w:sz w:val="22"/>
                <w:szCs w:val="22"/>
                <w:highlight w:val="none"/>
              </w:rPr>
            </w:pPr>
          </w:p>
        </w:tc>
        <w:tc>
          <w:tcPr>
            <w:tcW w:w="430" w:type="pct"/>
            <w:vMerge w:val="continue"/>
            <w:noWrap w:val="0"/>
            <w:vAlign w:val="center"/>
          </w:tcPr>
          <w:p w14:paraId="3D232D46">
            <w:pPr>
              <w:jc w:val="center"/>
              <w:rPr>
                <w:rFonts w:hint="eastAsia" w:ascii="宋体" w:hAnsi="宋体" w:eastAsia="宋体" w:cs="宋体"/>
                <w:color w:val="auto"/>
                <w:sz w:val="22"/>
                <w:szCs w:val="22"/>
                <w:highlight w:val="none"/>
              </w:rPr>
            </w:pPr>
          </w:p>
        </w:tc>
        <w:tc>
          <w:tcPr>
            <w:tcW w:w="442" w:type="pct"/>
            <w:noWrap w:val="0"/>
            <w:vAlign w:val="center"/>
          </w:tcPr>
          <w:p w14:paraId="42DF1B4C">
            <w:pPr>
              <w:widowControl/>
              <w:jc w:val="center"/>
              <w:textAlignment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kern w:val="0"/>
                <w:sz w:val="22"/>
                <w:szCs w:val="22"/>
                <w:highlight w:val="none"/>
                <w:lang w:bidi="ar"/>
              </w:rPr>
              <w:t>售后服务</w:t>
            </w:r>
          </w:p>
        </w:tc>
        <w:tc>
          <w:tcPr>
            <w:tcW w:w="418" w:type="pct"/>
            <w:noWrap w:val="0"/>
            <w:vAlign w:val="center"/>
          </w:tcPr>
          <w:p w14:paraId="7C213C00">
            <w:pPr>
              <w:widowControl/>
              <w:jc w:val="center"/>
              <w:textAlignment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kern w:val="0"/>
                <w:sz w:val="22"/>
                <w:szCs w:val="22"/>
                <w:highlight w:val="none"/>
                <w:lang w:val="en-US" w:eastAsia="zh-CN" w:bidi="ar"/>
              </w:rPr>
              <w:t>8</w:t>
            </w:r>
          </w:p>
        </w:tc>
        <w:tc>
          <w:tcPr>
            <w:tcW w:w="3283" w:type="pct"/>
            <w:noWrap w:val="0"/>
            <w:vAlign w:val="center"/>
          </w:tcPr>
          <w:p w14:paraId="08AEF941">
            <w:pPr>
              <w:keepNext w:val="0"/>
              <w:keepLines w:val="0"/>
              <w:pageBreakBefore w:val="0"/>
              <w:widowControl/>
              <w:spacing w:after="0" w:line="240" w:lineRule="exact"/>
              <w:ind w:firstLine="420"/>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评标委员会根据投标人所提供的售后服务方案，包括：服务目标、服务措施、售后服务承诺和保证、售后服务队伍等方面进行评审。</w:t>
            </w:r>
          </w:p>
          <w:p w14:paraId="3299337C">
            <w:pPr>
              <w:keepNext w:val="0"/>
              <w:keepLines w:val="0"/>
              <w:pageBreakBefore w:val="0"/>
              <w:widowControl/>
              <w:spacing w:after="0" w:line="240" w:lineRule="exact"/>
              <w:ind w:firstLine="420"/>
              <w:rPr>
                <w:rFonts w:hint="eastAsia" w:ascii="宋体" w:hAnsi="宋体" w:eastAsia="宋体" w:cs="宋体"/>
                <w:b w:val="0"/>
                <w:bCs w:val="0"/>
                <w:sz w:val="22"/>
                <w:szCs w:val="22"/>
                <w:highlight w:val="none"/>
                <w:lang w:val="zh-CN"/>
              </w:rPr>
            </w:pPr>
            <w:r>
              <w:rPr>
                <w:rFonts w:hint="eastAsia" w:ascii="宋体" w:hAnsi="宋体" w:eastAsia="宋体" w:cs="宋体"/>
                <w:b w:val="0"/>
                <w:bCs w:val="0"/>
                <w:sz w:val="22"/>
                <w:szCs w:val="22"/>
                <w:highlight w:val="none"/>
                <w:lang w:val="zh-CN"/>
              </w:rPr>
              <w:t>满足以上</w:t>
            </w:r>
            <w:r>
              <w:rPr>
                <w:rFonts w:hint="eastAsia" w:ascii="宋体" w:hAnsi="宋体" w:eastAsia="宋体" w:cs="宋体"/>
                <w:b w:val="0"/>
                <w:bCs w:val="0"/>
                <w:sz w:val="22"/>
                <w:szCs w:val="22"/>
                <w:highlight w:val="none"/>
              </w:rPr>
              <w:t>4</w:t>
            </w:r>
            <w:r>
              <w:rPr>
                <w:rFonts w:hint="eastAsia" w:ascii="宋体" w:hAnsi="宋体" w:eastAsia="宋体" w:cs="宋体"/>
                <w:b w:val="0"/>
                <w:bCs w:val="0"/>
                <w:sz w:val="22"/>
                <w:szCs w:val="22"/>
                <w:highlight w:val="none"/>
                <w:lang w:val="zh-CN"/>
              </w:rPr>
              <w:t>项要求最多得</w:t>
            </w:r>
            <w:r>
              <w:rPr>
                <w:rFonts w:hint="eastAsia" w:ascii="宋体" w:hAnsi="宋体" w:eastAsia="宋体" w:cs="宋体"/>
                <w:b w:val="0"/>
                <w:bCs w:val="0"/>
                <w:sz w:val="22"/>
                <w:szCs w:val="22"/>
                <w:highlight w:val="none"/>
                <w:lang w:val="en-US" w:eastAsia="zh-CN"/>
              </w:rPr>
              <w:t>8</w:t>
            </w:r>
            <w:r>
              <w:rPr>
                <w:rFonts w:hint="eastAsia" w:ascii="宋体" w:hAnsi="宋体" w:eastAsia="宋体" w:cs="宋体"/>
                <w:b w:val="0"/>
                <w:bCs w:val="0"/>
                <w:sz w:val="22"/>
                <w:szCs w:val="22"/>
                <w:highlight w:val="none"/>
                <w:lang w:val="zh-CN"/>
              </w:rPr>
              <w:t>分；满足任意</w:t>
            </w:r>
            <w:r>
              <w:rPr>
                <w:rFonts w:hint="eastAsia" w:ascii="宋体" w:hAnsi="宋体" w:eastAsia="宋体" w:cs="宋体"/>
                <w:b w:val="0"/>
                <w:bCs w:val="0"/>
                <w:sz w:val="22"/>
                <w:szCs w:val="22"/>
                <w:highlight w:val="none"/>
              </w:rPr>
              <w:t>1</w:t>
            </w:r>
            <w:r>
              <w:rPr>
                <w:rFonts w:hint="eastAsia" w:ascii="宋体" w:hAnsi="宋体" w:eastAsia="宋体" w:cs="宋体"/>
                <w:b w:val="0"/>
                <w:bCs w:val="0"/>
                <w:sz w:val="22"/>
                <w:szCs w:val="22"/>
                <w:highlight w:val="none"/>
                <w:lang w:val="zh-CN"/>
              </w:rPr>
              <w:t>项得</w:t>
            </w:r>
            <w:r>
              <w:rPr>
                <w:rFonts w:hint="eastAsia" w:ascii="宋体" w:hAnsi="宋体" w:eastAsia="宋体" w:cs="宋体"/>
                <w:b w:val="0"/>
                <w:bCs w:val="0"/>
                <w:sz w:val="22"/>
                <w:szCs w:val="22"/>
                <w:highlight w:val="none"/>
                <w:lang w:val="en-US" w:eastAsia="zh-CN"/>
              </w:rPr>
              <w:t>2</w:t>
            </w:r>
            <w:r>
              <w:rPr>
                <w:rFonts w:hint="eastAsia" w:ascii="宋体" w:hAnsi="宋体" w:eastAsia="宋体" w:cs="宋体"/>
                <w:b w:val="0"/>
                <w:bCs w:val="0"/>
                <w:sz w:val="22"/>
                <w:szCs w:val="22"/>
                <w:highlight w:val="none"/>
                <w:lang w:val="zh-CN"/>
              </w:rPr>
              <w:t>分；其余情况不得分。</w:t>
            </w:r>
          </w:p>
          <w:p w14:paraId="755D3DC9">
            <w:pPr>
              <w:keepNext w:val="0"/>
              <w:keepLines w:val="0"/>
              <w:pageBreakBefore w:val="0"/>
              <w:widowControl/>
              <w:spacing w:after="0" w:line="240" w:lineRule="exact"/>
              <w:ind w:firstLine="420"/>
              <w:rPr>
                <w:rFonts w:hint="eastAsia" w:ascii="宋体" w:hAnsi="宋体" w:eastAsia="宋体" w:cs="宋体"/>
                <w:b w:val="0"/>
                <w:bCs w:val="0"/>
                <w:sz w:val="22"/>
                <w:szCs w:val="22"/>
                <w:highlight w:val="none"/>
                <w:lang w:val="zh-CN"/>
              </w:rPr>
            </w:pPr>
            <w:r>
              <w:rPr>
                <w:rFonts w:hint="eastAsia" w:ascii="宋体" w:hAnsi="宋体" w:eastAsia="宋体" w:cs="宋体"/>
                <w:b w:val="0"/>
                <w:bCs w:val="0"/>
                <w:sz w:val="22"/>
                <w:szCs w:val="22"/>
                <w:highlight w:val="none"/>
                <w:lang w:val="zh-CN"/>
              </w:rPr>
              <w:t>注：评审委员会根据各供应商的具体响应内容按照以下量化的评审因素指标对各项要求进行评审：</w:t>
            </w:r>
          </w:p>
          <w:p w14:paraId="43EAA02C">
            <w:pPr>
              <w:keepNext w:val="0"/>
              <w:keepLines w:val="0"/>
              <w:pageBreakBefore w:val="0"/>
              <w:widowControl/>
              <w:spacing w:after="0" w:line="240" w:lineRule="exact"/>
              <w:ind w:firstLine="420"/>
              <w:rPr>
                <w:rFonts w:hint="eastAsia" w:ascii="宋体" w:hAnsi="宋体" w:eastAsia="宋体" w:cs="宋体"/>
                <w:b w:val="0"/>
                <w:bCs w:val="0"/>
                <w:sz w:val="22"/>
                <w:szCs w:val="22"/>
                <w:highlight w:val="none"/>
                <w:lang w:val="zh-CN"/>
              </w:rPr>
            </w:pPr>
            <w:r>
              <w:rPr>
                <w:rFonts w:hint="eastAsia" w:ascii="宋体" w:hAnsi="宋体" w:eastAsia="宋体" w:cs="宋体"/>
                <w:b w:val="0"/>
                <w:bCs w:val="0"/>
                <w:sz w:val="22"/>
                <w:szCs w:val="22"/>
                <w:highlight w:val="none"/>
                <w:lang w:val="zh-CN"/>
              </w:rPr>
              <w:t>1、方案完整、专业、可行，考虑周全，思路清晰，</w:t>
            </w:r>
            <w:r>
              <w:rPr>
                <w:rFonts w:hint="eastAsia" w:ascii="宋体" w:hAnsi="宋体" w:eastAsia="宋体" w:cs="宋体"/>
                <w:b w:val="0"/>
                <w:bCs w:val="0"/>
                <w:sz w:val="22"/>
                <w:szCs w:val="22"/>
                <w:highlight w:val="none"/>
              </w:rPr>
              <w:t>完全</w:t>
            </w:r>
            <w:r>
              <w:rPr>
                <w:rFonts w:hint="eastAsia" w:ascii="宋体" w:hAnsi="宋体" w:eastAsia="宋体" w:cs="宋体"/>
                <w:b w:val="0"/>
                <w:bCs w:val="0"/>
                <w:sz w:val="22"/>
                <w:szCs w:val="22"/>
                <w:highlight w:val="none"/>
                <w:lang w:val="zh-CN"/>
              </w:rPr>
              <w:t>符合项目需求，</w:t>
            </w:r>
            <w:r>
              <w:rPr>
                <w:rFonts w:ascii="Times New Roman" w:hAnsi="Times New Roman" w:eastAsia="宋体" w:cs="Times New Roman"/>
                <w:b w:val="0"/>
                <w:bCs w:val="0"/>
                <w:color w:val="000000"/>
                <w:sz w:val="22"/>
                <w:szCs w:val="22"/>
                <w:highlight w:val="none"/>
              </w:rPr>
              <w:t>该项最高得</w:t>
            </w:r>
            <w:r>
              <w:rPr>
                <w:rFonts w:hint="eastAsia" w:ascii="宋体" w:hAnsi="宋体" w:eastAsia="宋体" w:cs="宋体"/>
                <w:b w:val="0"/>
                <w:bCs w:val="0"/>
                <w:sz w:val="22"/>
                <w:szCs w:val="22"/>
                <w:highlight w:val="none"/>
                <w:lang w:val="en-US" w:eastAsia="zh-CN"/>
              </w:rPr>
              <w:t>8</w:t>
            </w:r>
            <w:r>
              <w:rPr>
                <w:rFonts w:hint="eastAsia" w:ascii="宋体" w:hAnsi="宋体" w:eastAsia="宋体" w:cs="宋体"/>
                <w:b w:val="0"/>
                <w:bCs w:val="0"/>
                <w:sz w:val="22"/>
                <w:szCs w:val="22"/>
                <w:highlight w:val="none"/>
                <w:lang w:val="zh-CN"/>
              </w:rPr>
              <w:t>分；</w:t>
            </w:r>
          </w:p>
          <w:p w14:paraId="44C89174">
            <w:pPr>
              <w:keepNext w:val="0"/>
              <w:keepLines w:val="0"/>
              <w:pageBreakBefore w:val="0"/>
              <w:widowControl/>
              <w:spacing w:after="0" w:line="240" w:lineRule="exact"/>
              <w:ind w:firstLine="420"/>
              <w:rPr>
                <w:rFonts w:hint="eastAsia" w:ascii="宋体" w:hAnsi="宋体" w:eastAsia="宋体" w:cs="宋体"/>
                <w:b w:val="0"/>
                <w:bCs w:val="0"/>
                <w:sz w:val="22"/>
                <w:szCs w:val="22"/>
                <w:highlight w:val="none"/>
                <w:lang w:val="zh-CN"/>
              </w:rPr>
            </w:pPr>
            <w:r>
              <w:rPr>
                <w:rFonts w:hint="eastAsia" w:ascii="宋体" w:hAnsi="宋体" w:eastAsia="宋体" w:cs="宋体"/>
                <w:b w:val="0"/>
                <w:bCs w:val="0"/>
                <w:sz w:val="22"/>
                <w:szCs w:val="22"/>
                <w:highlight w:val="none"/>
                <w:lang w:val="zh-CN"/>
              </w:rPr>
              <w:t>2、方案</w:t>
            </w:r>
            <w:r>
              <w:rPr>
                <w:rFonts w:hint="eastAsia" w:ascii="宋体" w:hAnsi="宋体" w:eastAsia="宋体" w:cs="宋体"/>
                <w:b w:val="0"/>
                <w:bCs w:val="0"/>
                <w:sz w:val="22"/>
                <w:szCs w:val="22"/>
                <w:highlight w:val="none"/>
              </w:rPr>
              <w:t>较</w:t>
            </w:r>
            <w:r>
              <w:rPr>
                <w:rFonts w:hint="eastAsia" w:ascii="宋体" w:hAnsi="宋体" w:eastAsia="宋体" w:cs="宋体"/>
                <w:b w:val="0"/>
                <w:bCs w:val="0"/>
                <w:sz w:val="22"/>
                <w:szCs w:val="22"/>
                <w:highlight w:val="none"/>
                <w:lang w:val="zh-CN"/>
              </w:rPr>
              <w:t>完整、思路</w:t>
            </w:r>
            <w:r>
              <w:rPr>
                <w:rFonts w:hint="eastAsia" w:ascii="宋体" w:hAnsi="宋体" w:eastAsia="宋体" w:cs="宋体"/>
                <w:b w:val="0"/>
                <w:bCs w:val="0"/>
                <w:sz w:val="22"/>
                <w:szCs w:val="22"/>
                <w:highlight w:val="none"/>
              </w:rPr>
              <w:t>较</w:t>
            </w:r>
            <w:r>
              <w:rPr>
                <w:rFonts w:hint="eastAsia" w:ascii="宋体" w:hAnsi="宋体" w:eastAsia="宋体" w:cs="宋体"/>
                <w:b w:val="0"/>
                <w:bCs w:val="0"/>
                <w:sz w:val="22"/>
                <w:szCs w:val="22"/>
                <w:highlight w:val="none"/>
                <w:lang w:val="zh-CN"/>
              </w:rPr>
              <w:t>清晰，</w:t>
            </w:r>
            <w:r>
              <w:rPr>
                <w:rFonts w:hint="eastAsia" w:ascii="宋体" w:hAnsi="宋体" w:eastAsia="宋体" w:cs="宋体"/>
                <w:b w:val="0"/>
                <w:bCs w:val="0"/>
                <w:sz w:val="22"/>
                <w:szCs w:val="22"/>
                <w:highlight w:val="none"/>
              </w:rPr>
              <w:t>基本符合</w:t>
            </w:r>
            <w:r>
              <w:rPr>
                <w:rFonts w:hint="eastAsia" w:ascii="宋体" w:hAnsi="宋体" w:eastAsia="宋体" w:cs="宋体"/>
                <w:b w:val="0"/>
                <w:bCs w:val="0"/>
                <w:sz w:val="22"/>
                <w:szCs w:val="22"/>
                <w:highlight w:val="none"/>
                <w:lang w:val="zh-CN"/>
              </w:rPr>
              <w:t>项目需求，</w:t>
            </w:r>
            <w:r>
              <w:rPr>
                <w:rFonts w:ascii="Times New Roman" w:hAnsi="Times New Roman" w:eastAsia="宋体" w:cs="Times New Roman"/>
                <w:b w:val="0"/>
                <w:bCs w:val="0"/>
                <w:color w:val="000000"/>
                <w:sz w:val="22"/>
                <w:szCs w:val="22"/>
                <w:highlight w:val="none"/>
              </w:rPr>
              <w:t>该项最高得</w:t>
            </w:r>
            <w:r>
              <w:rPr>
                <w:rFonts w:hint="eastAsia" w:ascii="宋体" w:hAnsi="宋体" w:eastAsia="宋体" w:cs="宋体"/>
                <w:b w:val="0"/>
                <w:bCs w:val="0"/>
                <w:sz w:val="22"/>
                <w:szCs w:val="22"/>
                <w:highlight w:val="none"/>
                <w:lang w:val="en-US" w:eastAsia="zh-CN"/>
              </w:rPr>
              <w:t>7</w:t>
            </w:r>
            <w:r>
              <w:rPr>
                <w:rFonts w:hint="eastAsia" w:ascii="宋体" w:hAnsi="宋体" w:eastAsia="宋体" w:cs="宋体"/>
                <w:b w:val="0"/>
                <w:bCs w:val="0"/>
                <w:sz w:val="22"/>
                <w:szCs w:val="22"/>
                <w:highlight w:val="none"/>
                <w:lang w:val="zh-CN"/>
              </w:rPr>
              <w:t>分；</w:t>
            </w:r>
          </w:p>
          <w:p w14:paraId="1740C469">
            <w:pPr>
              <w:keepNext w:val="0"/>
              <w:keepLines w:val="0"/>
              <w:pageBreakBefore w:val="0"/>
              <w:widowControl/>
              <w:spacing w:after="0" w:line="240" w:lineRule="exact"/>
              <w:ind w:firstLine="420"/>
              <w:rPr>
                <w:rFonts w:hint="eastAsia" w:ascii="宋体" w:hAnsi="宋体" w:eastAsia="宋体" w:cs="宋体"/>
                <w:b w:val="0"/>
                <w:bCs w:val="0"/>
                <w:sz w:val="22"/>
                <w:szCs w:val="22"/>
                <w:highlight w:val="none"/>
                <w:lang w:val="zh-CN"/>
              </w:rPr>
            </w:pPr>
            <w:r>
              <w:rPr>
                <w:rFonts w:hint="eastAsia" w:ascii="宋体" w:hAnsi="宋体" w:eastAsia="宋体" w:cs="宋体"/>
                <w:b w:val="0"/>
                <w:bCs w:val="0"/>
                <w:sz w:val="22"/>
                <w:szCs w:val="22"/>
                <w:highlight w:val="none"/>
                <w:lang w:val="zh-CN"/>
              </w:rPr>
              <w:t>3、方案</w:t>
            </w:r>
            <w:r>
              <w:rPr>
                <w:rFonts w:hint="eastAsia" w:ascii="宋体" w:hAnsi="宋体" w:eastAsia="宋体" w:cs="宋体"/>
                <w:b w:val="0"/>
                <w:bCs w:val="0"/>
                <w:sz w:val="22"/>
                <w:szCs w:val="22"/>
                <w:highlight w:val="none"/>
              </w:rPr>
              <w:t>简单</w:t>
            </w:r>
            <w:r>
              <w:rPr>
                <w:rFonts w:hint="eastAsia" w:ascii="宋体" w:hAnsi="宋体" w:eastAsia="宋体" w:cs="宋体"/>
                <w:b w:val="0"/>
                <w:bCs w:val="0"/>
                <w:sz w:val="22"/>
                <w:szCs w:val="22"/>
                <w:highlight w:val="none"/>
                <w:lang w:val="zh-CN"/>
              </w:rPr>
              <w:t>，与项目需求响应度低，</w:t>
            </w:r>
            <w:r>
              <w:rPr>
                <w:rFonts w:ascii="Times New Roman" w:hAnsi="Times New Roman" w:eastAsia="宋体" w:cs="Times New Roman"/>
                <w:b w:val="0"/>
                <w:bCs w:val="0"/>
                <w:color w:val="000000"/>
                <w:sz w:val="22"/>
                <w:szCs w:val="22"/>
                <w:highlight w:val="none"/>
              </w:rPr>
              <w:t>该项最高得</w:t>
            </w:r>
            <w:r>
              <w:rPr>
                <w:rFonts w:hint="eastAsia" w:ascii="Times New Roman" w:hAnsi="Times New Roman" w:eastAsia="宋体" w:cs="Times New Roman"/>
                <w:b w:val="0"/>
                <w:bCs w:val="0"/>
                <w:color w:val="000000"/>
                <w:sz w:val="22"/>
                <w:szCs w:val="22"/>
                <w:highlight w:val="none"/>
                <w:lang w:val="en-US" w:eastAsia="zh-CN"/>
              </w:rPr>
              <w:t>2</w:t>
            </w:r>
            <w:r>
              <w:rPr>
                <w:rFonts w:hint="eastAsia" w:ascii="宋体" w:hAnsi="宋体" w:eastAsia="宋体" w:cs="宋体"/>
                <w:b w:val="0"/>
                <w:bCs w:val="0"/>
                <w:sz w:val="22"/>
                <w:szCs w:val="22"/>
                <w:highlight w:val="none"/>
                <w:lang w:val="zh-CN"/>
              </w:rPr>
              <w:t>分。</w:t>
            </w:r>
          </w:p>
          <w:p w14:paraId="2725F736">
            <w:pPr>
              <w:keepNext w:val="0"/>
              <w:keepLines w:val="0"/>
              <w:pageBreakBefore w:val="0"/>
              <w:widowControl/>
              <w:spacing w:after="0" w:line="240" w:lineRule="exact"/>
              <w:ind w:firstLine="420" w:firstLineChars="0"/>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sz w:val="22"/>
                <w:szCs w:val="22"/>
                <w:highlight w:val="none"/>
                <w:lang w:val="zh-CN"/>
              </w:rPr>
              <w:t>4、不提供或者经评标委员会认定非常差的不得分。</w:t>
            </w:r>
          </w:p>
        </w:tc>
      </w:tr>
      <w:tr w14:paraId="408D8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426" w:type="pct"/>
            <w:vMerge w:val="continue"/>
            <w:noWrap w:val="0"/>
            <w:vAlign w:val="center"/>
          </w:tcPr>
          <w:p w14:paraId="611D97D3">
            <w:pPr>
              <w:jc w:val="center"/>
              <w:rPr>
                <w:rFonts w:hint="eastAsia" w:ascii="宋体" w:hAnsi="宋体" w:eastAsia="宋体" w:cs="宋体"/>
                <w:color w:val="auto"/>
                <w:sz w:val="22"/>
                <w:szCs w:val="22"/>
                <w:highlight w:val="none"/>
              </w:rPr>
            </w:pPr>
          </w:p>
        </w:tc>
        <w:tc>
          <w:tcPr>
            <w:tcW w:w="430" w:type="pct"/>
            <w:vMerge w:val="continue"/>
            <w:noWrap w:val="0"/>
            <w:vAlign w:val="center"/>
          </w:tcPr>
          <w:p w14:paraId="24434B3C">
            <w:pPr>
              <w:jc w:val="center"/>
              <w:rPr>
                <w:rFonts w:hint="eastAsia" w:ascii="宋体" w:hAnsi="宋体" w:eastAsia="宋体" w:cs="宋体"/>
                <w:color w:val="auto"/>
                <w:sz w:val="22"/>
                <w:szCs w:val="22"/>
                <w:highlight w:val="none"/>
              </w:rPr>
            </w:pPr>
          </w:p>
        </w:tc>
        <w:tc>
          <w:tcPr>
            <w:tcW w:w="442" w:type="pct"/>
            <w:noWrap w:val="0"/>
            <w:vAlign w:val="center"/>
          </w:tcPr>
          <w:p w14:paraId="7F7ECF37">
            <w:pPr>
              <w:widowControl/>
              <w:jc w:val="center"/>
              <w:textAlignment w:val="center"/>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培训方案</w:t>
            </w:r>
          </w:p>
        </w:tc>
        <w:tc>
          <w:tcPr>
            <w:tcW w:w="418" w:type="pct"/>
            <w:noWrap w:val="0"/>
            <w:vAlign w:val="center"/>
          </w:tcPr>
          <w:p w14:paraId="6C7436B4">
            <w:pPr>
              <w:widowControl/>
              <w:jc w:val="center"/>
              <w:textAlignment w:val="center"/>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8</w:t>
            </w:r>
          </w:p>
        </w:tc>
        <w:tc>
          <w:tcPr>
            <w:tcW w:w="3283" w:type="pct"/>
            <w:noWrap w:val="0"/>
            <w:vAlign w:val="center"/>
          </w:tcPr>
          <w:p w14:paraId="2E10127A">
            <w:pPr>
              <w:keepNext w:val="0"/>
              <w:keepLines w:val="0"/>
              <w:pageBreakBefore w:val="0"/>
              <w:widowControl/>
              <w:spacing w:after="0" w:line="240" w:lineRule="exact"/>
              <w:ind w:firstLine="420"/>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评标委员会根据投标人所提供的人员培训方案，包含培训目的、培训质量保障、培训时间计划、培训内容等方面进行评审。</w:t>
            </w:r>
          </w:p>
          <w:p w14:paraId="2D26340A">
            <w:pPr>
              <w:keepNext w:val="0"/>
              <w:keepLines w:val="0"/>
              <w:pageBreakBefore w:val="0"/>
              <w:widowControl/>
              <w:spacing w:after="0" w:line="240" w:lineRule="exact"/>
              <w:ind w:firstLine="422"/>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满足以上4项要求最多得8分；满足任意1项得2分；其余情况不得分。</w:t>
            </w:r>
          </w:p>
          <w:p w14:paraId="28EB5CAE">
            <w:pPr>
              <w:keepNext w:val="0"/>
              <w:keepLines w:val="0"/>
              <w:pageBreakBefore w:val="0"/>
              <w:widowControl/>
              <w:spacing w:after="0" w:line="240" w:lineRule="exact"/>
              <w:ind w:firstLine="422"/>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注：评审委员会根据各供应商的具体响应内容按照以下量化的评审因素指标对各项要求进行评审：</w:t>
            </w:r>
          </w:p>
          <w:p w14:paraId="297B4265">
            <w:pPr>
              <w:keepNext w:val="0"/>
              <w:keepLines w:val="0"/>
              <w:pageBreakBefore w:val="0"/>
              <w:widowControl/>
              <w:spacing w:after="0" w:line="240" w:lineRule="exact"/>
              <w:ind w:firstLine="420"/>
              <w:rPr>
                <w:rFonts w:hint="eastAsia" w:ascii="宋体" w:hAnsi="宋体" w:eastAsia="宋体" w:cs="宋体"/>
                <w:b w:val="0"/>
                <w:bCs w:val="0"/>
                <w:sz w:val="22"/>
                <w:szCs w:val="22"/>
                <w:highlight w:val="none"/>
                <w:lang w:val="zh-CN"/>
              </w:rPr>
            </w:pPr>
            <w:r>
              <w:rPr>
                <w:rFonts w:hint="eastAsia" w:ascii="宋体" w:hAnsi="宋体" w:eastAsia="宋体" w:cs="宋体"/>
                <w:b w:val="0"/>
                <w:bCs w:val="0"/>
                <w:sz w:val="22"/>
                <w:szCs w:val="22"/>
                <w:highlight w:val="none"/>
                <w:lang w:val="zh-CN"/>
              </w:rPr>
              <w:t>1、方案完整、专业、可行，考虑周全，思路清晰，</w:t>
            </w:r>
            <w:r>
              <w:rPr>
                <w:rFonts w:hint="eastAsia" w:ascii="宋体" w:hAnsi="宋体" w:eastAsia="宋体" w:cs="宋体"/>
                <w:b w:val="0"/>
                <w:bCs w:val="0"/>
                <w:sz w:val="22"/>
                <w:szCs w:val="22"/>
                <w:highlight w:val="none"/>
              </w:rPr>
              <w:t>完全</w:t>
            </w:r>
            <w:r>
              <w:rPr>
                <w:rFonts w:hint="eastAsia" w:ascii="宋体" w:hAnsi="宋体" w:eastAsia="宋体" w:cs="宋体"/>
                <w:b w:val="0"/>
                <w:bCs w:val="0"/>
                <w:sz w:val="22"/>
                <w:szCs w:val="22"/>
                <w:highlight w:val="none"/>
                <w:lang w:val="zh-CN"/>
              </w:rPr>
              <w:t>符合项目需求，</w:t>
            </w:r>
            <w:r>
              <w:rPr>
                <w:rFonts w:ascii="Times New Roman" w:hAnsi="Times New Roman" w:eastAsia="宋体" w:cs="Times New Roman"/>
                <w:b w:val="0"/>
                <w:bCs w:val="0"/>
                <w:color w:val="000000"/>
                <w:sz w:val="22"/>
                <w:szCs w:val="22"/>
                <w:highlight w:val="none"/>
              </w:rPr>
              <w:t>该项最高得</w:t>
            </w:r>
            <w:r>
              <w:rPr>
                <w:rFonts w:hint="eastAsia" w:ascii="Times New Roman" w:hAnsi="Times New Roman" w:eastAsia="宋体" w:cs="Times New Roman"/>
                <w:b w:val="0"/>
                <w:bCs w:val="0"/>
                <w:color w:val="000000"/>
                <w:sz w:val="22"/>
                <w:szCs w:val="22"/>
                <w:highlight w:val="none"/>
                <w:lang w:val="en-US" w:eastAsia="zh-CN"/>
              </w:rPr>
              <w:t>8</w:t>
            </w:r>
            <w:r>
              <w:rPr>
                <w:rFonts w:hint="eastAsia" w:ascii="宋体" w:hAnsi="宋体" w:eastAsia="宋体" w:cs="宋体"/>
                <w:b w:val="0"/>
                <w:bCs w:val="0"/>
                <w:sz w:val="22"/>
                <w:szCs w:val="22"/>
                <w:highlight w:val="none"/>
                <w:lang w:val="zh-CN"/>
              </w:rPr>
              <w:t>分；</w:t>
            </w:r>
          </w:p>
          <w:p w14:paraId="48DB5215">
            <w:pPr>
              <w:keepNext w:val="0"/>
              <w:keepLines w:val="0"/>
              <w:pageBreakBefore w:val="0"/>
              <w:widowControl/>
              <w:spacing w:after="0" w:line="240" w:lineRule="exact"/>
              <w:ind w:firstLine="420"/>
              <w:rPr>
                <w:rFonts w:hint="eastAsia" w:ascii="宋体" w:hAnsi="宋体" w:eastAsia="宋体" w:cs="宋体"/>
                <w:b w:val="0"/>
                <w:bCs w:val="0"/>
                <w:sz w:val="22"/>
                <w:szCs w:val="22"/>
                <w:highlight w:val="none"/>
                <w:lang w:val="zh-CN"/>
              </w:rPr>
            </w:pPr>
            <w:r>
              <w:rPr>
                <w:rFonts w:hint="eastAsia" w:ascii="宋体" w:hAnsi="宋体" w:eastAsia="宋体" w:cs="宋体"/>
                <w:b w:val="0"/>
                <w:bCs w:val="0"/>
                <w:sz w:val="22"/>
                <w:szCs w:val="22"/>
                <w:highlight w:val="none"/>
                <w:lang w:val="zh-CN"/>
              </w:rPr>
              <w:t>2、方案</w:t>
            </w:r>
            <w:r>
              <w:rPr>
                <w:rFonts w:hint="eastAsia" w:ascii="宋体" w:hAnsi="宋体" w:eastAsia="宋体" w:cs="宋体"/>
                <w:b w:val="0"/>
                <w:bCs w:val="0"/>
                <w:sz w:val="22"/>
                <w:szCs w:val="22"/>
                <w:highlight w:val="none"/>
              </w:rPr>
              <w:t>较</w:t>
            </w:r>
            <w:r>
              <w:rPr>
                <w:rFonts w:hint="eastAsia" w:ascii="宋体" w:hAnsi="宋体" w:eastAsia="宋体" w:cs="宋体"/>
                <w:b w:val="0"/>
                <w:bCs w:val="0"/>
                <w:sz w:val="22"/>
                <w:szCs w:val="22"/>
                <w:highlight w:val="none"/>
                <w:lang w:val="zh-CN"/>
              </w:rPr>
              <w:t>完整、思路</w:t>
            </w:r>
            <w:r>
              <w:rPr>
                <w:rFonts w:hint="eastAsia" w:ascii="宋体" w:hAnsi="宋体" w:eastAsia="宋体" w:cs="宋体"/>
                <w:b w:val="0"/>
                <w:bCs w:val="0"/>
                <w:sz w:val="22"/>
                <w:szCs w:val="22"/>
                <w:highlight w:val="none"/>
              </w:rPr>
              <w:t>较</w:t>
            </w:r>
            <w:r>
              <w:rPr>
                <w:rFonts w:hint="eastAsia" w:ascii="宋体" w:hAnsi="宋体" w:eastAsia="宋体" w:cs="宋体"/>
                <w:b w:val="0"/>
                <w:bCs w:val="0"/>
                <w:sz w:val="22"/>
                <w:szCs w:val="22"/>
                <w:highlight w:val="none"/>
                <w:lang w:val="zh-CN"/>
              </w:rPr>
              <w:t>清晰，</w:t>
            </w:r>
            <w:r>
              <w:rPr>
                <w:rFonts w:hint="eastAsia" w:ascii="宋体" w:hAnsi="宋体" w:eastAsia="宋体" w:cs="宋体"/>
                <w:b w:val="0"/>
                <w:bCs w:val="0"/>
                <w:sz w:val="22"/>
                <w:szCs w:val="22"/>
                <w:highlight w:val="none"/>
              </w:rPr>
              <w:t>基本符合</w:t>
            </w:r>
            <w:r>
              <w:rPr>
                <w:rFonts w:hint="eastAsia" w:ascii="宋体" w:hAnsi="宋体" w:eastAsia="宋体" w:cs="宋体"/>
                <w:b w:val="0"/>
                <w:bCs w:val="0"/>
                <w:sz w:val="22"/>
                <w:szCs w:val="22"/>
                <w:highlight w:val="none"/>
                <w:lang w:val="zh-CN"/>
              </w:rPr>
              <w:t>项目需求，</w:t>
            </w:r>
            <w:r>
              <w:rPr>
                <w:rFonts w:ascii="Times New Roman" w:hAnsi="Times New Roman" w:eastAsia="宋体" w:cs="Times New Roman"/>
                <w:b w:val="0"/>
                <w:bCs w:val="0"/>
                <w:color w:val="000000"/>
                <w:sz w:val="22"/>
                <w:szCs w:val="22"/>
                <w:highlight w:val="none"/>
              </w:rPr>
              <w:t>该项最高得</w:t>
            </w:r>
            <w:r>
              <w:rPr>
                <w:rFonts w:hint="eastAsia" w:ascii="Times New Roman" w:hAnsi="Times New Roman" w:eastAsia="宋体" w:cs="Times New Roman"/>
                <w:b w:val="0"/>
                <w:bCs w:val="0"/>
                <w:color w:val="000000"/>
                <w:sz w:val="22"/>
                <w:szCs w:val="22"/>
                <w:highlight w:val="none"/>
                <w:lang w:val="en-US" w:eastAsia="zh-CN"/>
              </w:rPr>
              <w:t>7</w:t>
            </w:r>
            <w:r>
              <w:rPr>
                <w:rFonts w:hint="eastAsia" w:ascii="宋体" w:hAnsi="宋体" w:eastAsia="宋体" w:cs="宋体"/>
                <w:b w:val="0"/>
                <w:bCs w:val="0"/>
                <w:sz w:val="22"/>
                <w:szCs w:val="22"/>
                <w:highlight w:val="none"/>
                <w:lang w:val="zh-CN"/>
              </w:rPr>
              <w:t>分；</w:t>
            </w:r>
          </w:p>
          <w:p w14:paraId="69CE4816">
            <w:pPr>
              <w:keepNext w:val="0"/>
              <w:keepLines w:val="0"/>
              <w:pageBreakBefore w:val="0"/>
              <w:widowControl/>
              <w:spacing w:after="0" w:line="240" w:lineRule="exact"/>
              <w:ind w:firstLine="420"/>
              <w:rPr>
                <w:rFonts w:hint="eastAsia" w:ascii="宋体" w:hAnsi="宋体" w:eastAsia="宋体" w:cs="宋体"/>
                <w:b w:val="0"/>
                <w:bCs w:val="0"/>
                <w:sz w:val="22"/>
                <w:szCs w:val="22"/>
                <w:highlight w:val="none"/>
                <w:lang w:val="zh-CN"/>
              </w:rPr>
            </w:pPr>
            <w:r>
              <w:rPr>
                <w:rFonts w:hint="eastAsia" w:ascii="宋体" w:hAnsi="宋体" w:eastAsia="宋体" w:cs="宋体"/>
                <w:b w:val="0"/>
                <w:bCs w:val="0"/>
                <w:sz w:val="22"/>
                <w:szCs w:val="22"/>
                <w:highlight w:val="none"/>
                <w:lang w:val="zh-CN"/>
              </w:rPr>
              <w:t>3、方案</w:t>
            </w:r>
            <w:r>
              <w:rPr>
                <w:rFonts w:hint="eastAsia" w:ascii="宋体" w:hAnsi="宋体" w:eastAsia="宋体" w:cs="宋体"/>
                <w:b w:val="0"/>
                <w:bCs w:val="0"/>
                <w:sz w:val="22"/>
                <w:szCs w:val="22"/>
                <w:highlight w:val="none"/>
              </w:rPr>
              <w:t>简单</w:t>
            </w:r>
            <w:r>
              <w:rPr>
                <w:rFonts w:hint="eastAsia" w:ascii="宋体" w:hAnsi="宋体" w:eastAsia="宋体" w:cs="宋体"/>
                <w:b w:val="0"/>
                <w:bCs w:val="0"/>
                <w:sz w:val="22"/>
                <w:szCs w:val="22"/>
                <w:highlight w:val="none"/>
                <w:lang w:val="zh-CN"/>
              </w:rPr>
              <w:t>，与项目需求响应度低，</w:t>
            </w:r>
            <w:r>
              <w:rPr>
                <w:rFonts w:ascii="Times New Roman" w:hAnsi="Times New Roman" w:eastAsia="宋体" w:cs="Times New Roman"/>
                <w:b w:val="0"/>
                <w:bCs w:val="0"/>
                <w:color w:val="000000"/>
                <w:sz w:val="22"/>
                <w:szCs w:val="22"/>
                <w:highlight w:val="none"/>
              </w:rPr>
              <w:t>该项最高得</w:t>
            </w:r>
            <w:r>
              <w:rPr>
                <w:rFonts w:hint="eastAsia" w:ascii="Times New Roman" w:hAnsi="Times New Roman" w:eastAsia="宋体" w:cs="Times New Roman"/>
                <w:b w:val="0"/>
                <w:bCs w:val="0"/>
                <w:color w:val="000000"/>
                <w:sz w:val="22"/>
                <w:szCs w:val="22"/>
                <w:highlight w:val="none"/>
                <w:lang w:val="en-US" w:eastAsia="zh-CN"/>
              </w:rPr>
              <w:t>2</w:t>
            </w:r>
            <w:r>
              <w:rPr>
                <w:rFonts w:hint="eastAsia" w:ascii="宋体" w:hAnsi="宋体" w:eastAsia="宋体" w:cs="宋体"/>
                <w:b w:val="0"/>
                <w:bCs w:val="0"/>
                <w:sz w:val="22"/>
                <w:szCs w:val="22"/>
                <w:highlight w:val="none"/>
                <w:lang w:val="zh-CN"/>
              </w:rPr>
              <w:t>分。</w:t>
            </w:r>
          </w:p>
          <w:p w14:paraId="3A495926">
            <w:pPr>
              <w:widowControl/>
              <w:ind w:firstLine="440" w:firstLineChars="200"/>
              <w:jc w:val="left"/>
              <w:textAlignment w:val="center"/>
              <w:rPr>
                <w:rFonts w:hint="eastAsia" w:ascii="宋体" w:hAnsi="宋体" w:eastAsia="宋体" w:cs="宋体"/>
                <w:b w:val="0"/>
                <w:bCs w:val="0"/>
                <w:color w:val="auto"/>
                <w:kern w:val="0"/>
                <w:sz w:val="22"/>
                <w:szCs w:val="22"/>
                <w:highlight w:val="none"/>
                <w:lang w:val="en-US" w:eastAsia="zh-CN" w:bidi="ar-SA"/>
              </w:rPr>
            </w:pPr>
            <w:r>
              <w:rPr>
                <w:rFonts w:hint="eastAsia" w:ascii="宋体" w:hAnsi="宋体" w:eastAsia="宋体" w:cs="宋体"/>
                <w:b w:val="0"/>
                <w:bCs w:val="0"/>
                <w:sz w:val="22"/>
                <w:szCs w:val="22"/>
                <w:highlight w:val="none"/>
                <w:lang w:val="zh-CN"/>
              </w:rPr>
              <w:t>4、不提供或者经评标委员会认定非常差的不得分。</w:t>
            </w:r>
          </w:p>
        </w:tc>
      </w:tr>
      <w:tr w14:paraId="42640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426" w:type="pct"/>
            <w:vMerge w:val="continue"/>
            <w:noWrap w:val="0"/>
            <w:vAlign w:val="center"/>
          </w:tcPr>
          <w:p w14:paraId="3B1D7D77">
            <w:pPr>
              <w:jc w:val="center"/>
              <w:rPr>
                <w:rFonts w:hint="eastAsia" w:ascii="宋体" w:hAnsi="宋体" w:eastAsia="宋体" w:cs="宋体"/>
                <w:color w:val="auto"/>
                <w:sz w:val="22"/>
                <w:szCs w:val="22"/>
                <w:highlight w:val="none"/>
              </w:rPr>
            </w:pPr>
          </w:p>
        </w:tc>
        <w:tc>
          <w:tcPr>
            <w:tcW w:w="430" w:type="pct"/>
            <w:vMerge w:val="continue"/>
            <w:noWrap w:val="0"/>
            <w:vAlign w:val="center"/>
          </w:tcPr>
          <w:p w14:paraId="378EC836">
            <w:pPr>
              <w:jc w:val="center"/>
              <w:rPr>
                <w:rFonts w:hint="eastAsia" w:ascii="宋体" w:hAnsi="宋体" w:eastAsia="宋体" w:cs="宋体"/>
                <w:color w:val="auto"/>
                <w:sz w:val="22"/>
                <w:szCs w:val="22"/>
                <w:highlight w:val="none"/>
              </w:rPr>
            </w:pPr>
          </w:p>
        </w:tc>
        <w:tc>
          <w:tcPr>
            <w:tcW w:w="442" w:type="pct"/>
            <w:vMerge w:val="restart"/>
            <w:noWrap w:val="0"/>
            <w:vAlign w:val="center"/>
          </w:tcPr>
          <w:p w14:paraId="031C7F94">
            <w:pPr>
              <w:widowControl/>
              <w:jc w:val="center"/>
              <w:textAlignment w:val="center"/>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bidi="ar"/>
              </w:rPr>
              <w:t>平台安全</w:t>
            </w:r>
          </w:p>
        </w:tc>
        <w:tc>
          <w:tcPr>
            <w:tcW w:w="418" w:type="pct"/>
            <w:noWrap w:val="0"/>
            <w:vAlign w:val="center"/>
          </w:tcPr>
          <w:p w14:paraId="21AD58EC">
            <w:pPr>
              <w:widowControl/>
              <w:jc w:val="center"/>
              <w:textAlignment w:val="center"/>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3</w:t>
            </w:r>
          </w:p>
        </w:tc>
        <w:tc>
          <w:tcPr>
            <w:tcW w:w="3283" w:type="pct"/>
            <w:noWrap w:val="0"/>
            <w:vAlign w:val="center"/>
          </w:tcPr>
          <w:p w14:paraId="1A9475E9">
            <w:pPr>
              <w:widowControl w:val="0"/>
              <w:autoSpaceDE w:val="0"/>
              <w:autoSpaceDN w:val="0"/>
              <w:adjustRightInd w:val="0"/>
              <w:ind w:firstLine="440" w:firstLineChars="200"/>
              <w:rPr>
                <w:rFonts w:hint="eastAsia" w:ascii="宋体" w:hAnsi="宋体" w:eastAsia="宋体" w:cs="宋体"/>
                <w:color w:val="000000"/>
                <w:sz w:val="22"/>
                <w:szCs w:val="22"/>
                <w:highlight w:val="none"/>
                <w:lang w:val="zh-CN" w:eastAsia="zh-CN" w:bidi="ar-SA"/>
              </w:rPr>
            </w:pPr>
            <w:r>
              <w:rPr>
                <w:rFonts w:hint="eastAsia" w:ascii="宋体" w:hAnsi="宋体" w:eastAsia="宋体" w:cs="宋体"/>
                <w:color w:val="auto"/>
                <w:sz w:val="22"/>
                <w:szCs w:val="22"/>
                <w:highlight w:val="none"/>
                <w:lang w:val="en-US" w:eastAsia="zh-CN" w:bidi="ar-SA"/>
              </w:rPr>
              <w:t>投标人提供的监控平台通过CMA、ILAC-MRA、CNAS检验检测报告的得3分，投标文件中提供检测报告复印件，未提供的不得分。</w:t>
            </w:r>
          </w:p>
        </w:tc>
      </w:tr>
      <w:tr w14:paraId="23612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426" w:type="pct"/>
            <w:vMerge w:val="continue"/>
            <w:noWrap w:val="0"/>
            <w:vAlign w:val="center"/>
          </w:tcPr>
          <w:p w14:paraId="18B1BE4C">
            <w:pPr>
              <w:jc w:val="center"/>
              <w:rPr>
                <w:rFonts w:hint="eastAsia" w:ascii="宋体" w:hAnsi="宋体" w:eastAsia="宋体" w:cs="宋体"/>
                <w:color w:val="auto"/>
                <w:sz w:val="22"/>
                <w:szCs w:val="22"/>
                <w:highlight w:val="none"/>
              </w:rPr>
            </w:pPr>
          </w:p>
        </w:tc>
        <w:tc>
          <w:tcPr>
            <w:tcW w:w="430" w:type="pct"/>
            <w:vMerge w:val="continue"/>
            <w:noWrap w:val="0"/>
            <w:vAlign w:val="center"/>
          </w:tcPr>
          <w:p w14:paraId="743FBAC9">
            <w:pPr>
              <w:jc w:val="center"/>
              <w:rPr>
                <w:rFonts w:hint="eastAsia" w:ascii="宋体" w:hAnsi="宋体" w:eastAsia="宋体" w:cs="宋体"/>
                <w:color w:val="auto"/>
                <w:sz w:val="22"/>
                <w:szCs w:val="22"/>
                <w:highlight w:val="none"/>
              </w:rPr>
            </w:pPr>
          </w:p>
        </w:tc>
        <w:tc>
          <w:tcPr>
            <w:tcW w:w="442" w:type="pct"/>
            <w:vMerge w:val="continue"/>
            <w:noWrap w:val="0"/>
            <w:vAlign w:val="center"/>
          </w:tcPr>
          <w:p w14:paraId="574906F1">
            <w:pPr>
              <w:widowControl/>
              <w:jc w:val="center"/>
              <w:textAlignment w:val="center"/>
              <w:rPr>
                <w:rFonts w:hint="eastAsia" w:ascii="宋体" w:hAnsi="宋体" w:eastAsia="宋体" w:cs="宋体"/>
                <w:color w:val="auto"/>
                <w:sz w:val="22"/>
                <w:szCs w:val="22"/>
                <w:highlight w:val="none"/>
              </w:rPr>
            </w:pPr>
          </w:p>
        </w:tc>
        <w:tc>
          <w:tcPr>
            <w:tcW w:w="418" w:type="pct"/>
            <w:noWrap w:val="0"/>
            <w:vAlign w:val="center"/>
          </w:tcPr>
          <w:p w14:paraId="426E152E">
            <w:pPr>
              <w:widowControl/>
              <w:jc w:val="center"/>
              <w:textAlignment w:val="center"/>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3</w:t>
            </w:r>
          </w:p>
        </w:tc>
        <w:tc>
          <w:tcPr>
            <w:tcW w:w="3283" w:type="pct"/>
            <w:noWrap w:val="0"/>
            <w:vAlign w:val="center"/>
          </w:tcPr>
          <w:p w14:paraId="40C0AD62">
            <w:pPr>
              <w:widowControl w:val="0"/>
              <w:autoSpaceDE w:val="0"/>
              <w:autoSpaceDN w:val="0"/>
              <w:adjustRightInd w:val="0"/>
              <w:snapToGrid w:val="0"/>
              <w:ind w:firstLine="440" w:firstLineChars="200"/>
              <w:rPr>
                <w:rFonts w:hint="eastAsia" w:ascii="宋体" w:hAnsi="宋体" w:eastAsia="宋体" w:cs="宋体"/>
                <w:color w:val="000000"/>
                <w:sz w:val="22"/>
                <w:szCs w:val="22"/>
                <w:highlight w:val="none"/>
                <w:lang w:val="zh-CN" w:eastAsia="zh-CN" w:bidi="ar-SA"/>
              </w:rPr>
            </w:pPr>
            <w:r>
              <w:rPr>
                <w:rFonts w:hint="eastAsia" w:ascii="宋体" w:hAnsi="宋体" w:eastAsia="宋体" w:cs="宋体"/>
                <w:color w:val="auto"/>
                <w:sz w:val="22"/>
                <w:szCs w:val="22"/>
                <w:highlight w:val="none"/>
                <w:lang w:val="en-US" w:eastAsia="zh-CN" w:bidi="ar-SA"/>
              </w:rPr>
              <w:t>投标人提供的监控平台通过公安部GB/T28181-2022及 GB 35114-2017 标准检测的得3分，投标文件中提供检测报告复印件，未通过不得分。</w:t>
            </w:r>
          </w:p>
        </w:tc>
      </w:tr>
      <w:tr w14:paraId="0AF2F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426" w:type="pct"/>
            <w:vMerge w:val="continue"/>
            <w:noWrap w:val="0"/>
            <w:vAlign w:val="center"/>
          </w:tcPr>
          <w:p w14:paraId="2FBB6F61">
            <w:pPr>
              <w:jc w:val="center"/>
              <w:rPr>
                <w:rFonts w:hint="eastAsia" w:ascii="宋体" w:hAnsi="宋体" w:eastAsia="宋体" w:cs="宋体"/>
                <w:color w:val="auto"/>
                <w:sz w:val="22"/>
                <w:szCs w:val="22"/>
                <w:highlight w:val="none"/>
              </w:rPr>
            </w:pPr>
          </w:p>
        </w:tc>
        <w:tc>
          <w:tcPr>
            <w:tcW w:w="430" w:type="pct"/>
            <w:vMerge w:val="continue"/>
            <w:noWrap w:val="0"/>
            <w:vAlign w:val="center"/>
          </w:tcPr>
          <w:p w14:paraId="0B885258">
            <w:pPr>
              <w:jc w:val="center"/>
              <w:rPr>
                <w:rFonts w:hint="eastAsia" w:ascii="宋体" w:hAnsi="宋体" w:eastAsia="宋体" w:cs="宋体"/>
                <w:color w:val="auto"/>
                <w:sz w:val="22"/>
                <w:szCs w:val="22"/>
                <w:highlight w:val="none"/>
              </w:rPr>
            </w:pPr>
          </w:p>
        </w:tc>
        <w:tc>
          <w:tcPr>
            <w:tcW w:w="442" w:type="pct"/>
            <w:vMerge w:val="continue"/>
            <w:noWrap w:val="0"/>
            <w:vAlign w:val="center"/>
          </w:tcPr>
          <w:p w14:paraId="138EA806">
            <w:pPr>
              <w:widowControl/>
              <w:jc w:val="center"/>
              <w:textAlignment w:val="center"/>
              <w:rPr>
                <w:rFonts w:hint="eastAsia" w:ascii="宋体" w:hAnsi="宋体" w:eastAsia="宋体" w:cs="宋体"/>
                <w:color w:val="auto"/>
                <w:sz w:val="22"/>
                <w:szCs w:val="22"/>
                <w:highlight w:val="none"/>
              </w:rPr>
            </w:pPr>
          </w:p>
        </w:tc>
        <w:tc>
          <w:tcPr>
            <w:tcW w:w="418" w:type="pct"/>
            <w:noWrap w:val="0"/>
            <w:vAlign w:val="center"/>
          </w:tcPr>
          <w:p w14:paraId="7E0868A7">
            <w:pPr>
              <w:widowControl/>
              <w:jc w:val="center"/>
              <w:textAlignment w:val="center"/>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color w:val="auto"/>
                <w:sz w:val="22"/>
                <w:szCs w:val="22"/>
                <w:highlight w:val="none"/>
                <w:lang w:val="en-US" w:eastAsia="zh-CN"/>
              </w:rPr>
              <w:t>3</w:t>
            </w:r>
          </w:p>
        </w:tc>
        <w:tc>
          <w:tcPr>
            <w:tcW w:w="3283" w:type="pct"/>
            <w:noWrap w:val="0"/>
            <w:vAlign w:val="center"/>
          </w:tcPr>
          <w:p w14:paraId="65D4DC86">
            <w:pPr>
              <w:widowControl w:val="0"/>
              <w:autoSpaceDE w:val="0"/>
              <w:autoSpaceDN w:val="0"/>
              <w:adjustRightInd w:val="0"/>
              <w:ind w:firstLine="440" w:firstLineChars="200"/>
              <w:rPr>
                <w:rFonts w:hint="eastAsia" w:ascii="宋体" w:hAnsi="宋体" w:eastAsia="宋体" w:cs="宋体"/>
                <w:color w:val="000000"/>
                <w:sz w:val="22"/>
                <w:szCs w:val="22"/>
                <w:highlight w:val="none"/>
                <w:lang w:val="zh-CN" w:eastAsia="zh-CN" w:bidi="ar-SA"/>
              </w:rPr>
            </w:pPr>
            <w:r>
              <w:rPr>
                <w:rFonts w:hint="eastAsia" w:ascii="宋体" w:hAnsi="宋体" w:eastAsia="宋体" w:cs="宋体"/>
                <w:color w:val="auto"/>
                <w:sz w:val="22"/>
                <w:szCs w:val="22"/>
                <w:highlight w:val="none"/>
                <w:lang w:val="en-US" w:eastAsia="zh-CN" w:bidi="ar-SA"/>
              </w:rPr>
              <w:t>投标人提供的监控平台通过《网络安全等级保护》（第三级）测评的得3分，未通过不得分，投标文件中提供相关等保材料，未提供的不得分。</w:t>
            </w:r>
          </w:p>
        </w:tc>
      </w:tr>
      <w:tr w14:paraId="5F12B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9" w:hRule="atLeast"/>
        </w:trPr>
        <w:tc>
          <w:tcPr>
            <w:tcW w:w="426" w:type="pct"/>
            <w:vMerge w:val="restart"/>
            <w:noWrap w:val="0"/>
            <w:vAlign w:val="center"/>
          </w:tcPr>
          <w:p w14:paraId="36DFA164">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三</w:t>
            </w:r>
          </w:p>
        </w:tc>
        <w:tc>
          <w:tcPr>
            <w:tcW w:w="430" w:type="pct"/>
            <w:vMerge w:val="restart"/>
            <w:noWrap w:val="0"/>
            <w:vAlign w:val="center"/>
          </w:tcPr>
          <w:p w14:paraId="73A4ED53">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企业实力</w:t>
            </w:r>
          </w:p>
        </w:tc>
        <w:tc>
          <w:tcPr>
            <w:tcW w:w="442" w:type="pct"/>
            <w:noWrap w:val="0"/>
            <w:vAlign w:val="center"/>
          </w:tcPr>
          <w:p w14:paraId="396D06B0">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企业资质</w:t>
            </w:r>
          </w:p>
        </w:tc>
        <w:tc>
          <w:tcPr>
            <w:tcW w:w="418" w:type="pct"/>
            <w:noWrap w:val="0"/>
            <w:vAlign w:val="center"/>
          </w:tcPr>
          <w:p w14:paraId="3C1D96AF">
            <w:pPr>
              <w:widowControl/>
              <w:jc w:val="center"/>
              <w:textAlignment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12</w:t>
            </w:r>
          </w:p>
        </w:tc>
        <w:tc>
          <w:tcPr>
            <w:tcW w:w="3283" w:type="pct"/>
            <w:noWrap w:val="0"/>
            <w:vAlign w:val="center"/>
          </w:tcPr>
          <w:p w14:paraId="1147B1F2">
            <w:pPr>
              <w:widowControl/>
              <w:numPr>
                <w:ilvl w:val="0"/>
                <w:numId w:val="0"/>
              </w:numPr>
              <w:ind w:firstLine="440" w:firstLineChars="200"/>
              <w:jc w:val="left"/>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val="en-US" w:eastAsia="zh-CN" w:bidi="ar"/>
              </w:rPr>
              <w:t>1.</w:t>
            </w:r>
            <w:r>
              <w:rPr>
                <w:rFonts w:hint="eastAsia" w:ascii="宋体" w:hAnsi="宋体" w:eastAsia="宋体" w:cs="宋体"/>
                <w:color w:val="auto"/>
                <w:kern w:val="0"/>
                <w:sz w:val="22"/>
                <w:szCs w:val="22"/>
                <w:highlight w:val="none"/>
                <w:lang w:bidi="ar"/>
              </w:rPr>
              <w:t>投标人具有ISO9001质量管理体系认证的得2分；具有ISO20000信息技术服务管理体系认证的得</w:t>
            </w:r>
            <w:r>
              <w:rPr>
                <w:rFonts w:hint="eastAsia" w:ascii="宋体" w:hAnsi="宋体" w:eastAsia="宋体" w:cs="宋体"/>
                <w:color w:val="auto"/>
                <w:kern w:val="0"/>
                <w:sz w:val="22"/>
                <w:szCs w:val="22"/>
                <w:highlight w:val="none"/>
                <w:lang w:val="en-US" w:eastAsia="zh-CN" w:bidi="ar"/>
              </w:rPr>
              <w:t>2</w:t>
            </w:r>
            <w:r>
              <w:rPr>
                <w:rFonts w:hint="eastAsia" w:ascii="宋体" w:hAnsi="宋体" w:eastAsia="宋体" w:cs="宋体"/>
                <w:color w:val="auto"/>
                <w:kern w:val="0"/>
                <w:sz w:val="22"/>
                <w:szCs w:val="22"/>
                <w:highlight w:val="none"/>
                <w:lang w:bidi="ar"/>
              </w:rPr>
              <w:t>分；具有ISO27001信息安全管理体系认证的得</w:t>
            </w:r>
            <w:r>
              <w:rPr>
                <w:rFonts w:hint="eastAsia" w:ascii="宋体" w:hAnsi="宋体" w:eastAsia="宋体" w:cs="宋体"/>
                <w:color w:val="auto"/>
                <w:kern w:val="0"/>
                <w:sz w:val="22"/>
                <w:szCs w:val="22"/>
                <w:highlight w:val="none"/>
                <w:lang w:val="en-US" w:eastAsia="zh-CN" w:bidi="ar"/>
              </w:rPr>
              <w:t>2</w:t>
            </w:r>
            <w:r>
              <w:rPr>
                <w:rFonts w:hint="eastAsia" w:ascii="宋体" w:hAnsi="宋体" w:eastAsia="宋体" w:cs="宋体"/>
                <w:color w:val="auto"/>
                <w:kern w:val="0"/>
                <w:sz w:val="22"/>
                <w:szCs w:val="22"/>
                <w:highlight w:val="none"/>
                <w:lang w:bidi="ar"/>
              </w:rPr>
              <w:t>分。</w:t>
            </w:r>
          </w:p>
          <w:p w14:paraId="4F7A2E6E">
            <w:pPr>
              <w:widowControl/>
              <w:numPr>
                <w:ilvl w:val="0"/>
                <w:numId w:val="0"/>
              </w:numPr>
              <w:ind w:firstLine="440" w:firstLineChars="200"/>
              <w:jc w:val="left"/>
              <w:textAlignment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val="en-US" w:eastAsia="zh-CN"/>
              </w:rPr>
              <w:t>2.</w:t>
            </w:r>
            <w:r>
              <w:rPr>
                <w:rFonts w:hint="eastAsia" w:ascii="宋体" w:hAnsi="宋体" w:eastAsia="宋体" w:cs="宋体"/>
                <w:color w:val="auto"/>
                <w:kern w:val="0"/>
                <w:sz w:val="22"/>
                <w:szCs w:val="22"/>
                <w:highlight w:val="none"/>
              </w:rPr>
              <w:t>投标人具有商品售后服务评价认证得</w:t>
            </w:r>
            <w:r>
              <w:rPr>
                <w:rFonts w:hint="eastAsia" w:ascii="宋体" w:hAnsi="宋体" w:eastAsia="宋体" w:cs="宋体"/>
                <w:color w:val="auto"/>
                <w:kern w:val="0"/>
                <w:sz w:val="22"/>
                <w:szCs w:val="22"/>
                <w:highlight w:val="none"/>
                <w:lang w:val="en-US" w:eastAsia="zh-CN"/>
              </w:rPr>
              <w:t>1</w:t>
            </w:r>
            <w:r>
              <w:rPr>
                <w:rFonts w:hint="eastAsia" w:ascii="宋体" w:hAnsi="宋体" w:eastAsia="宋体" w:cs="宋体"/>
                <w:color w:val="auto"/>
                <w:kern w:val="0"/>
                <w:sz w:val="22"/>
                <w:szCs w:val="22"/>
                <w:highlight w:val="none"/>
              </w:rPr>
              <w:t>分</w:t>
            </w:r>
            <w:r>
              <w:rPr>
                <w:rFonts w:hint="eastAsia" w:ascii="宋体" w:hAnsi="宋体" w:eastAsia="宋体" w:cs="宋体"/>
                <w:color w:val="auto"/>
                <w:kern w:val="0"/>
                <w:sz w:val="22"/>
                <w:szCs w:val="22"/>
                <w:highlight w:val="none"/>
                <w:lang w:eastAsia="zh-CN"/>
              </w:rPr>
              <w:t>。</w:t>
            </w:r>
          </w:p>
          <w:p w14:paraId="6AF039B8">
            <w:pPr>
              <w:widowControl/>
              <w:numPr>
                <w:ilvl w:val="0"/>
                <w:numId w:val="0"/>
              </w:numPr>
              <w:ind w:firstLine="440" w:firstLineChars="200"/>
              <w:jc w:val="left"/>
              <w:textAlignment w:val="center"/>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val="en-US" w:eastAsia="zh-CN"/>
              </w:rPr>
              <w:t>3.</w:t>
            </w:r>
            <w:r>
              <w:rPr>
                <w:rFonts w:hint="eastAsia" w:ascii="宋体" w:hAnsi="宋体" w:eastAsia="宋体" w:cs="宋体"/>
                <w:color w:val="auto"/>
                <w:kern w:val="0"/>
                <w:sz w:val="22"/>
                <w:szCs w:val="22"/>
                <w:highlight w:val="none"/>
              </w:rPr>
              <w:t>投标人具有信息技术服务标准（ITSS）运行维护能力一级的得2分，二级及以下的得1分。</w:t>
            </w:r>
          </w:p>
          <w:p w14:paraId="19E4A3A9">
            <w:pPr>
              <w:widowControl/>
              <w:numPr>
                <w:ilvl w:val="0"/>
                <w:numId w:val="1"/>
              </w:numPr>
              <w:ind w:firstLine="440" w:firstLineChars="20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投标人具有信息系统建设和服务能力评估四级（CS4）及以上的得2分，三级（CS3）及以下的得1分。</w:t>
            </w:r>
          </w:p>
          <w:p w14:paraId="6A6D2BAF">
            <w:pPr>
              <w:numPr>
                <w:ilvl w:val="0"/>
                <w:numId w:val="0"/>
              </w:numPr>
              <w:bidi w:val="0"/>
              <w:ind w:firstLine="440" w:firstLineChars="200"/>
              <w:rPr>
                <w:rFonts w:hint="eastAsia" w:ascii="Times New Roman" w:hAnsi="Times New Roman" w:eastAsia="宋体" w:cs="Times New Roman"/>
                <w:sz w:val="22"/>
                <w:szCs w:val="22"/>
                <w:highlight w:val="none"/>
              </w:rPr>
            </w:pPr>
            <w:r>
              <w:rPr>
                <w:rFonts w:hint="eastAsia" w:ascii="Times New Roman" w:hAnsi="Times New Roman" w:eastAsia="宋体" w:cs="Times New Roman"/>
                <w:sz w:val="22"/>
                <w:szCs w:val="22"/>
                <w:highlight w:val="none"/>
                <w:lang w:val="en-US" w:eastAsia="zh-CN"/>
              </w:rPr>
              <w:t>5.投标人具有与本项目建设内容相关的专利证书，每提供1项得0.5分，本项最高得1分。</w:t>
            </w:r>
          </w:p>
          <w:p w14:paraId="2E60564C">
            <w:pPr>
              <w:widowControl/>
              <w:ind w:firstLine="440" w:firstLineChars="200"/>
              <w:jc w:val="left"/>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eastAsia="zh-CN"/>
              </w:rPr>
              <w:t>注：</w:t>
            </w:r>
            <w:r>
              <w:rPr>
                <w:rFonts w:hint="eastAsia" w:ascii="宋体" w:hAnsi="宋体" w:eastAsia="宋体" w:cs="宋体"/>
                <w:color w:val="auto"/>
                <w:kern w:val="0"/>
                <w:sz w:val="22"/>
                <w:szCs w:val="22"/>
                <w:highlight w:val="none"/>
              </w:rPr>
              <w:t>投标文件中须提供证书</w:t>
            </w:r>
            <w:r>
              <w:rPr>
                <w:rFonts w:hint="eastAsia" w:ascii="宋体" w:hAnsi="宋体" w:eastAsia="宋体" w:cs="宋体"/>
                <w:color w:val="auto"/>
                <w:kern w:val="0"/>
                <w:sz w:val="22"/>
                <w:szCs w:val="22"/>
                <w:highlight w:val="none"/>
                <w:lang w:eastAsia="zh-CN"/>
              </w:rPr>
              <w:t>扫描件</w:t>
            </w:r>
            <w:r>
              <w:rPr>
                <w:rFonts w:hint="eastAsia" w:ascii="宋体" w:hAnsi="宋体" w:eastAsia="宋体" w:cs="宋体"/>
                <w:color w:val="auto"/>
                <w:kern w:val="0"/>
                <w:sz w:val="22"/>
                <w:szCs w:val="22"/>
                <w:highlight w:val="none"/>
              </w:rPr>
              <w:t>，否则不得分。</w:t>
            </w:r>
          </w:p>
        </w:tc>
      </w:tr>
      <w:tr w14:paraId="4625C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426" w:type="pct"/>
            <w:vMerge w:val="continue"/>
            <w:noWrap w:val="0"/>
            <w:vAlign w:val="center"/>
          </w:tcPr>
          <w:p w14:paraId="3220F178">
            <w:pPr>
              <w:jc w:val="center"/>
              <w:rPr>
                <w:rFonts w:hint="eastAsia" w:ascii="宋体" w:hAnsi="宋体" w:eastAsia="宋体" w:cs="宋体"/>
                <w:color w:val="auto"/>
                <w:sz w:val="22"/>
                <w:szCs w:val="22"/>
                <w:highlight w:val="none"/>
              </w:rPr>
            </w:pPr>
          </w:p>
        </w:tc>
        <w:tc>
          <w:tcPr>
            <w:tcW w:w="430" w:type="pct"/>
            <w:vMerge w:val="continue"/>
            <w:noWrap w:val="0"/>
            <w:vAlign w:val="center"/>
          </w:tcPr>
          <w:p w14:paraId="3178F79A">
            <w:pPr>
              <w:jc w:val="center"/>
              <w:rPr>
                <w:rFonts w:hint="eastAsia" w:ascii="宋体" w:hAnsi="宋体" w:eastAsia="宋体" w:cs="宋体"/>
                <w:color w:val="auto"/>
                <w:sz w:val="22"/>
                <w:szCs w:val="22"/>
                <w:highlight w:val="none"/>
              </w:rPr>
            </w:pPr>
          </w:p>
        </w:tc>
        <w:tc>
          <w:tcPr>
            <w:tcW w:w="442" w:type="pct"/>
            <w:noWrap w:val="0"/>
            <w:vAlign w:val="center"/>
          </w:tcPr>
          <w:p w14:paraId="27E74791">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软件著作权</w:t>
            </w:r>
          </w:p>
        </w:tc>
        <w:tc>
          <w:tcPr>
            <w:tcW w:w="418" w:type="pct"/>
            <w:noWrap w:val="0"/>
            <w:vAlign w:val="center"/>
          </w:tcPr>
          <w:p w14:paraId="7858E3CB">
            <w:pPr>
              <w:widowControl/>
              <w:jc w:val="center"/>
              <w:textAlignment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kern w:val="0"/>
                <w:sz w:val="22"/>
                <w:szCs w:val="22"/>
                <w:highlight w:val="none"/>
                <w:lang w:val="en-US" w:eastAsia="zh-CN" w:bidi="ar"/>
              </w:rPr>
              <w:t>4</w:t>
            </w:r>
          </w:p>
        </w:tc>
        <w:tc>
          <w:tcPr>
            <w:tcW w:w="3283" w:type="pct"/>
            <w:noWrap w:val="0"/>
            <w:vAlign w:val="center"/>
          </w:tcPr>
          <w:p w14:paraId="5AFDBBB9">
            <w:pPr>
              <w:widowControl/>
              <w:ind w:firstLine="440" w:firstLineChars="20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投标人具有食品安全信息化监管系统或明厨亮灶相关软件著作权登记</w:t>
            </w:r>
            <w:r>
              <w:rPr>
                <w:rFonts w:hint="eastAsia" w:ascii="宋体" w:hAnsi="宋体" w:eastAsia="宋体" w:cs="宋体"/>
                <w:color w:val="auto"/>
                <w:kern w:val="0"/>
                <w:sz w:val="22"/>
                <w:szCs w:val="22"/>
                <w:highlight w:val="none"/>
                <w:lang w:val="en-US" w:eastAsia="zh-CN"/>
              </w:rPr>
              <w:t>或认证</w:t>
            </w:r>
            <w:r>
              <w:rPr>
                <w:rFonts w:hint="eastAsia" w:ascii="宋体" w:hAnsi="宋体" w:eastAsia="宋体" w:cs="宋体"/>
                <w:color w:val="auto"/>
                <w:kern w:val="0"/>
                <w:sz w:val="22"/>
                <w:szCs w:val="22"/>
                <w:highlight w:val="none"/>
              </w:rPr>
              <w:t>证书的得4分，未提供的不得分。</w:t>
            </w:r>
          </w:p>
          <w:p w14:paraId="02AD2802">
            <w:pPr>
              <w:widowControl/>
              <w:ind w:firstLine="440" w:firstLineChars="200"/>
              <w:jc w:val="left"/>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eastAsia="zh-CN" w:bidi="ar"/>
              </w:rPr>
              <w:t>注：</w:t>
            </w:r>
            <w:r>
              <w:rPr>
                <w:rFonts w:hint="eastAsia" w:ascii="宋体" w:hAnsi="宋体" w:eastAsia="宋体" w:cs="宋体"/>
                <w:color w:val="auto"/>
                <w:kern w:val="0"/>
                <w:sz w:val="22"/>
                <w:szCs w:val="22"/>
                <w:highlight w:val="none"/>
                <w:lang w:bidi="ar"/>
              </w:rPr>
              <w:t>投标文件中须提供证书</w:t>
            </w:r>
            <w:r>
              <w:rPr>
                <w:rFonts w:hint="eastAsia" w:ascii="宋体" w:hAnsi="宋体" w:eastAsia="宋体" w:cs="宋体"/>
                <w:color w:val="auto"/>
                <w:kern w:val="0"/>
                <w:sz w:val="22"/>
                <w:szCs w:val="22"/>
                <w:highlight w:val="none"/>
                <w:lang w:eastAsia="zh-CN" w:bidi="ar"/>
              </w:rPr>
              <w:t>扫描件</w:t>
            </w:r>
            <w:r>
              <w:rPr>
                <w:rFonts w:hint="eastAsia" w:ascii="宋体" w:hAnsi="宋体" w:eastAsia="宋体" w:cs="宋体"/>
                <w:color w:val="auto"/>
                <w:kern w:val="0"/>
                <w:sz w:val="22"/>
                <w:szCs w:val="22"/>
                <w:highlight w:val="none"/>
                <w:lang w:bidi="ar"/>
              </w:rPr>
              <w:t>否则不得分。</w:t>
            </w:r>
          </w:p>
        </w:tc>
      </w:tr>
      <w:tr w14:paraId="613AA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8" w:hRule="atLeast"/>
        </w:trPr>
        <w:tc>
          <w:tcPr>
            <w:tcW w:w="426" w:type="pct"/>
            <w:noWrap w:val="0"/>
            <w:vAlign w:val="center"/>
          </w:tcPr>
          <w:p w14:paraId="67A7789A">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四</w:t>
            </w:r>
          </w:p>
        </w:tc>
        <w:tc>
          <w:tcPr>
            <w:tcW w:w="430" w:type="pct"/>
            <w:noWrap w:val="0"/>
            <w:vAlign w:val="center"/>
          </w:tcPr>
          <w:p w14:paraId="2A32ECA9">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履约能力</w:t>
            </w:r>
          </w:p>
        </w:tc>
        <w:tc>
          <w:tcPr>
            <w:tcW w:w="442" w:type="pct"/>
            <w:noWrap w:val="0"/>
            <w:vAlign w:val="center"/>
          </w:tcPr>
          <w:p w14:paraId="5E3A43B2">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项目组人员</w:t>
            </w:r>
          </w:p>
        </w:tc>
        <w:tc>
          <w:tcPr>
            <w:tcW w:w="418" w:type="pct"/>
            <w:noWrap w:val="0"/>
            <w:vAlign w:val="center"/>
          </w:tcPr>
          <w:p w14:paraId="5C047DB4">
            <w:pPr>
              <w:widowControl/>
              <w:jc w:val="center"/>
              <w:textAlignment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kern w:val="0"/>
                <w:sz w:val="22"/>
                <w:szCs w:val="22"/>
                <w:highlight w:val="none"/>
                <w:lang w:val="en-US" w:eastAsia="zh-CN" w:bidi="ar"/>
              </w:rPr>
              <w:t>9</w:t>
            </w:r>
          </w:p>
        </w:tc>
        <w:tc>
          <w:tcPr>
            <w:tcW w:w="3283" w:type="pct"/>
            <w:noWrap w:val="0"/>
            <w:vAlign w:val="center"/>
          </w:tcPr>
          <w:p w14:paraId="06DB2A0E">
            <w:pPr>
              <w:widowControl/>
              <w:ind w:firstLine="440" w:firstLineChars="200"/>
              <w:jc w:val="left"/>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kern w:val="0"/>
                <w:sz w:val="22"/>
                <w:szCs w:val="22"/>
                <w:highlight w:val="none"/>
                <w:lang w:bidi="ar"/>
              </w:rPr>
              <w:t>1</w:t>
            </w:r>
            <w:r>
              <w:rPr>
                <w:rFonts w:hint="eastAsia" w:ascii="宋体" w:hAnsi="宋体" w:eastAsia="宋体" w:cs="宋体"/>
                <w:color w:val="auto"/>
                <w:kern w:val="0"/>
                <w:sz w:val="22"/>
                <w:szCs w:val="22"/>
                <w:highlight w:val="none"/>
                <w:lang w:val="en-US" w:eastAsia="zh-CN" w:bidi="ar"/>
              </w:rPr>
              <w:t>.</w:t>
            </w:r>
            <w:r>
              <w:rPr>
                <w:rFonts w:hint="eastAsia" w:ascii="宋体" w:hAnsi="宋体" w:eastAsia="宋体" w:cs="宋体"/>
                <w:color w:val="auto"/>
                <w:kern w:val="0"/>
                <w:sz w:val="22"/>
                <w:szCs w:val="22"/>
                <w:highlight w:val="none"/>
                <w:lang w:bidi="ar"/>
              </w:rPr>
              <w:t>项目负责人同时具有信息系统项目管理师证书、ITSS-IT 服务项目经理证书、CISP认证证书的得3分，不提供不得分。</w:t>
            </w:r>
          </w:p>
          <w:p w14:paraId="65DA3DB6">
            <w:pPr>
              <w:widowControl/>
              <w:ind w:firstLine="440" w:firstLineChars="200"/>
              <w:jc w:val="left"/>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kern w:val="0"/>
                <w:sz w:val="22"/>
                <w:szCs w:val="22"/>
                <w:highlight w:val="none"/>
                <w:lang w:bidi="ar"/>
              </w:rPr>
              <w:t>2</w:t>
            </w:r>
            <w:r>
              <w:rPr>
                <w:rFonts w:hint="eastAsia" w:ascii="宋体" w:hAnsi="宋体" w:eastAsia="宋体" w:cs="宋体"/>
                <w:color w:val="auto"/>
                <w:kern w:val="0"/>
                <w:sz w:val="22"/>
                <w:szCs w:val="22"/>
                <w:highlight w:val="none"/>
                <w:lang w:val="en-US" w:eastAsia="zh-CN" w:bidi="ar"/>
              </w:rPr>
              <w:t>.</w:t>
            </w:r>
            <w:r>
              <w:rPr>
                <w:rFonts w:hint="eastAsia" w:ascii="宋体" w:hAnsi="宋体" w:eastAsia="宋体" w:cs="宋体"/>
                <w:color w:val="auto"/>
                <w:kern w:val="0"/>
                <w:sz w:val="22"/>
                <w:szCs w:val="22"/>
                <w:highlight w:val="none"/>
                <w:lang w:bidi="ar"/>
              </w:rPr>
              <w:t xml:space="preserve">项目组成员（项目负责人除外）具有系统集成项目管理师、具有ITSS-信息技术应用创新服务工程师认证证书、 CISP认证证书每有一个得 </w:t>
            </w:r>
            <w:r>
              <w:rPr>
                <w:rFonts w:hint="eastAsia" w:ascii="宋体" w:hAnsi="宋体" w:eastAsia="宋体" w:cs="宋体"/>
                <w:color w:val="auto"/>
                <w:kern w:val="0"/>
                <w:sz w:val="22"/>
                <w:szCs w:val="22"/>
                <w:highlight w:val="none"/>
                <w:lang w:val="en-US" w:eastAsia="zh-CN" w:bidi="ar"/>
              </w:rPr>
              <w:t>2</w:t>
            </w:r>
            <w:r>
              <w:rPr>
                <w:rFonts w:hint="eastAsia" w:ascii="宋体" w:hAnsi="宋体" w:eastAsia="宋体" w:cs="宋体"/>
                <w:color w:val="auto"/>
                <w:kern w:val="0"/>
                <w:sz w:val="22"/>
                <w:szCs w:val="22"/>
                <w:highlight w:val="none"/>
                <w:lang w:bidi="ar"/>
              </w:rPr>
              <w:t>分，最多得</w:t>
            </w:r>
            <w:r>
              <w:rPr>
                <w:rFonts w:hint="eastAsia" w:ascii="宋体" w:hAnsi="宋体" w:eastAsia="宋体" w:cs="宋体"/>
                <w:color w:val="auto"/>
                <w:kern w:val="0"/>
                <w:sz w:val="22"/>
                <w:szCs w:val="22"/>
                <w:highlight w:val="none"/>
                <w:lang w:val="en-US" w:eastAsia="zh-CN" w:bidi="ar"/>
              </w:rPr>
              <w:t>6</w:t>
            </w:r>
            <w:r>
              <w:rPr>
                <w:rFonts w:hint="eastAsia" w:ascii="宋体" w:hAnsi="宋体" w:eastAsia="宋体" w:cs="宋体"/>
                <w:color w:val="auto"/>
                <w:kern w:val="0"/>
                <w:sz w:val="22"/>
                <w:szCs w:val="22"/>
                <w:highlight w:val="none"/>
                <w:lang w:bidi="ar"/>
              </w:rPr>
              <w:t>分。</w:t>
            </w:r>
          </w:p>
          <w:p w14:paraId="6888C9E7">
            <w:pPr>
              <w:widowControl/>
              <w:ind w:firstLine="440" w:firstLineChars="200"/>
              <w:jc w:val="left"/>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 xml:space="preserve"> 注：投标时提供</w:t>
            </w:r>
            <w:r>
              <w:rPr>
                <w:rFonts w:hint="eastAsia" w:ascii="宋体" w:hAnsi="宋体" w:eastAsia="宋体" w:cs="宋体"/>
                <w:color w:val="auto"/>
                <w:kern w:val="0"/>
                <w:sz w:val="22"/>
                <w:szCs w:val="22"/>
                <w:highlight w:val="none"/>
                <w:lang w:val="en-US" w:eastAsia="zh-CN" w:bidi="ar"/>
              </w:rPr>
              <w:t>人员的</w:t>
            </w:r>
            <w:r>
              <w:rPr>
                <w:rFonts w:hint="eastAsia" w:ascii="宋体" w:hAnsi="宋体" w:eastAsia="宋体" w:cs="宋体"/>
                <w:color w:val="auto"/>
                <w:kern w:val="0"/>
                <w:sz w:val="22"/>
                <w:szCs w:val="22"/>
                <w:highlight w:val="none"/>
                <w:lang w:bidi="ar"/>
              </w:rPr>
              <w:t>电子证书或纸质证书原件扫描件及供应商为其缴纳的社保证明材料，未提供或提供不全的不得分。</w:t>
            </w:r>
          </w:p>
        </w:tc>
      </w:tr>
      <w:tr w14:paraId="2C172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426" w:type="pct"/>
            <w:noWrap w:val="0"/>
            <w:vAlign w:val="center"/>
          </w:tcPr>
          <w:p w14:paraId="3ECFB42B">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五</w:t>
            </w:r>
          </w:p>
        </w:tc>
        <w:tc>
          <w:tcPr>
            <w:tcW w:w="430" w:type="pct"/>
            <w:noWrap w:val="0"/>
            <w:vAlign w:val="center"/>
          </w:tcPr>
          <w:p w14:paraId="6A98CE57">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其他</w:t>
            </w:r>
          </w:p>
        </w:tc>
        <w:tc>
          <w:tcPr>
            <w:tcW w:w="442" w:type="pct"/>
            <w:noWrap w:val="0"/>
            <w:vAlign w:val="center"/>
          </w:tcPr>
          <w:p w14:paraId="46CF7B58">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业绩</w:t>
            </w:r>
          </w:p>
        </w:tc>
        <w:tc>
          <w:tcPr>
            <w:tcW w:w="418" w:type="pct"/>
            <w:noWrap w:val="0"/>
            <w:vAlign w:val="center"/>
          </w:tcPr>
          <w:p w14:paraId="0D1FFAD1">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4</w:t>
            </w:r>
          </w:p>
        </w:tc>
        <w:tc>
          <w:tcPr>
            <w:tcW w:w="3283" w:type="pct"/>
            <w:noWrap w:val="0"/>
            <w:vAlign w:val="center"/>
          </w:tcPr>
          <w:p w14:paraId="2ED8ED92">
            <w:pPr>
              <w:widowControl/>
              <w:ind w:firstLine="440" w:firstLineChars="200"/>
              <w:jc w:val="left"/>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kern w:val="0"/>
                <w:sz w:val="22"/>
                <w:szCs w:val="22"/>
                <w:highlight w:val="none"/>
                <w:lang w:bidi="ar"/>
              </w:rPr>
              <w:t>投标供应商2021年1月1日至今有类似项目案例的每份得1分，最多得4分</w:t>
            </w:r>
            <w:r>
              <w:rPr>
                <w:rFonts w:hint="eastAsia" w:ascii="宋体" w:hAnsi="宋体" w:eastAsia="宋体" w:cs="宋体"/>
                <w:color w:val="auto"/>
                <w:kern w:val="0"/>
                <w:sz w:val="22"/>
                <w:szCs w:val="22"/>
                <w:highlight w:val="none"/>
                <w:lang w:eastAsia="zh-CN" w:bidi="ar"/>
              </w:rPr>
              <w:t>。</w:t>
            </w:r>
          </w:p>
          <w:p w14:paraId="20DBD364">
            <w:pPr>
              <w:widowControl/>
              <w:ind w:firstLine="440" w:firstLineChars="200"/>
              <w:jc w:val="left"/>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eastAsia="zh-CN" w:bidi="ar"/>
              </w:rPr>
              <w:t>注：投标文件中</w:t>
            </w:r>
            <w:r>
              <w:rPr>
                <w:rFonts w:hint="eastAsia" w:ascii="宋体" w:hAnsi="宋体" w:eastAsia="宋体" w:cs="宋体"/>
                <w:color w:val="auto"/>
                <w:kern w:val="0"/>
                <w:sz w:val="22"/>
                <w:szCs w:val="22"/>
                <w:highlight w:val="none"/>
                <w:lang w:bidi="ar"/>
              </w:rPr>
              <w:t xml:space="preserve">需提供合同原件扫描件，时间以合同上的时间为准，不提供或提供不全的不得分。 </w:t>
            </w:r>
          </w:p>
        </w:tc>
      </w:tr>
    </w:tbl>
    <w:p w14:paraId="2A3C2208">
      <w:pPr>
        <w:widowControl w:val="0"/>
        <w:autoSpaceDE w:val="0"/>
        <w:autoSpaceDN w:val="0"/>
        <w:adjustRightInd w:val="0"/>
        <w:spacing w:line="440" w:lineRule="exact"/>
        <w:ind w:firstLine="480" w:firstLineChars="200"/>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说明：</w:t>
      </w:r>
    </w:p>
    <w:p w14:paraId="28AB2691">
      <w:pPr>
        <w:widowControl w:val="0"/>
        <w:autoSpaceDE w:val="0"/>
        <w:autoSpaceDN w:val="0"/>
        <w:adjustRightInd w:val="0"/>
        <w:spacing w:line="440" w:lineRule="exact"/>
        <w:ind w:firstLine="480" w:firstLineChars="200"/>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（1）所有打分项均以投标人所提供的投标文件进行打分，投标文件中未提及的不予认可，投标文件提交截止时间后不得修改或是补充投标文件。</w:t>
      </w:r>
    </w:p>
    <w:p w14:paraId="04F26863">
      <w:pPr>
        <w:widowControl w:val="0"/>
        <w:autoSpaceDE w:val="0"/>
        <w:autoSpaceDN w:val="0"/>
        <w:adjustRightInd w:val="0"/>
        <w:spacing w:line="440" w:lineRule="exact"/>
        <w:ind w:firstLine="480" w:firstLineChars="200"/>
        <w:rPr>
          <w:rFonts w:hint="eastAsia" w:ascii="宋体" w:hAnsi="宋体" w:eastAsia="宋体" w:cs="宋体"/>
          <w:highlight w:val="none"/>
        </w:rPr>
      </w:pPr>
      <w:r>
        <w:rPr>
          <w:rFonts w:hint="eastAsia" w:ascii="宋体" w:hAnsi="宋体" w:eastAsia="宋体" w:cs="宋体"/>
          <w:color w:val="auto"/>
          <w:sz w:val="24"/>
          <w:szCs w:val="22"/>
          <w:highlight w:val="none"/>
          <w:lang w:val="en-US" w:eastAsia="zh-CN" w:bidi="ar-SA"/>
        </w:rPr>
        <w:t>（2）投标人的最终得分为所有评委打分的平均值，计算结果保留至小数点后两位。</w:t>
      </w:r>
    </w:p>
    <w:p w14:paraId="15D541B7">
      <w:pPr>
        <w:pStyle w:val="1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83661C7">
      <w:pPr>
        <w:pStyle w:val="11"/>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1F79B1BA">
      <w:pPr>
        <w:pStyle w:val="11"/>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74E73B9D">
      <w:pPr>
        <w:pStyle w:val="11"/>
        <w:spacing w:beforeAutospacing="0" w:afterAutospacing="0"/>
        <w:jc w:val="both"/>
        <w:rPr>
          <w:highlight w:val="none"/>
        </w:rPr>
      </w:pPr>
      <w:r>
        <w:rPr>
          <w:highlight w:val="none"/>
        </w:rPr>
        <w:t> </w:t>
      </w:r>
    </w:p>
    <w:p w14:paraId="0BEEBA55">
      <w:pPr>
        <w:pStyle w:val="11"/>
        <w:spacing w:beforeAutospacing="0" w:afterAutospacing="0"/>
        <w:jc w:val="both"/>
        <w:rPr>
          <w:highlight w:val="none"/>
        </w:rPr>
      </w:pPr>
      <w:r>
        <w:rPr>
          <w:highlight w:val="none"/>
        </w:rPr>
        <w:t> </w:t>
      </w:r>
    </w:p>
    <w:p w14:paraId="594F2953">
      <w:pPr>
        <w:pStyle w:val="11"/>
        <w:spacing w:beforeAutospacing="0" w:afterAutospacing="0"/>
        <w:jc w:val="both"/>
        <w:rPr>
          <w:highlight w:val="none"/>
        </w:rPr>
      </w:pPr>
      <w:r>
        <w:rPr>
          <w:highlight w:val="none"/>
        </w:rPr>
        <w:t> </w:t>
      </w:r>
    </w:p>
    <w:p w14:paraId="436EEBE6">
      <w:pPr>
        <w:pStyle w:val="11"/>
        <w:spacing w:beforeAutospacing="0" w:afterAutospacing="0"/>
        <w:jc w:val="both"/>
        <w:rPr>
          <w:highlight w:val="none"/>
        </w:rPr>
      </w:pPr>
      <w:r>
        <w:rPr>
          <w:highlight w:val="none"/>
        </w:rPr>
        <w:t> </w:t>
      </w:r>
    </w:p>
    <w:p w14:paraId="7EB855CE">
      <w:pPr>
        <w:pStyle w:val="11"/>
        <w:spacing w:beforeAutospacing="0" w:afterAutospacing="0"/>
        <w:jc w:val="both"/>
        <w:rPr>
          <w:highlight w:val="none"/>
        </w:rPr>
      </w:pPr>
      <w:r>
        <w:rPr>
          <w:highlight w:val="none"/>
        </w:rPr>
        <w:t> </w:t>
      </w:r>
    </w:p>
    <w:p w14:paraId="477992A1">
      <w:pPr>
        <w:pStyle w:val="11"/>
        <w:spacing w:beforeAutospacing="0" w:afterAutospacing="0"/>
        <w:jc w:val="both"/>
        <w:rPr>
          <w:highlight w:val="none"/>
        </w:rPr>
      </w:pPr>
      <w:r>
        <w:rPr>
          <w:highlight w:val="none"/>
        </w:rPr>
        <w:t> </w:t>
      </w:r>
    </w:p>
    <w:p w14:paraId="1274C143">
      <w:pPr>
        <w:pStyle w:val="11"/>
        <w:spacing w:beforeAutospacing="0" w:afterAutospacing="0"/>
        <w:jc w:val="both"/>
        <w:rPr>
          <w:highlight w:val="none"/>
        </w:rPr>
      </w:pPr>
      <w:r>
        <w:rPr>
          <w:highlight w:val="none"/>
        </w:rPr>
        <w:t> </w:t>
      </w:r>
    </w:p>
    <w:p w14:paraId="2309399E">
      <w:pPr>
        <w:pStyle w:val="11"/>
        <w:spacing w:beforeAutospacing="0" w:afterAutospacing="0"/>
        <w:jc w:val="both"/>
        <w:rPr>
          <w:highlight w:val="none"/>
        </w:rPr>
      </w:pPr>
    </w:p>
    <w:p w14:paraId="569177ED">
      <w:pPr>
        <w:pStyle w:val="11"/>
        <w:spacing w:beforeAutospacing="0" w:afterAutospacing="0"/>
        <w:jc w:val="both"/>
        <w:rPr>
          <w:highlight w:val="none"/>
        </w:rPr>
      </w:pPr>
      <w:r>
        <w:rPr>
          <w:highlight w:val="none"/>
        </w:rPr>
        <w:t> </w:t>
      </w:r>
    </w:p>
    <w:p w14:paraId="7F276C28">
      <w:pPr>
        <w:pStyle w:val="11"/>
        <w:spacing w:beforeAutospacing="0" w:afterAutospacing="0"/>
        <w:jc w:val="both"/>
        <w:rPr>
          <w:highlight w:val="none"/>
        </w:rPr>
      </w:pPr>
      <w:r>
        <w:rPr>
          <w:highlight w:val="none"/>
        </w:rPr>
        <w:t> </w:t>
      </w:r>
    </w:p>
    <w:p w14:paraId="64E4DEF8">
      <w:pPr>
        <w:pStyle w:val="11"/>
        <w:spacing w:beforeAutospacing="0" w:afterAutospacing="0"/>
        <w:jc w:val="both"/>
        <w:rPr>
          <w:highlight w:val="none"/>
        </w:rPr>
      </w:pPr>
      <w:r>
        <w:rPr>
          <w:highlight w:val="none"/>
        </w:rPr>
        <w:t> </w:t>
      </w:r>
    </w:p>
    <w:p w14:paraId="5CE34B33">
      <w:pPr>
        <w:pStyle w:val="11"/>
        <w:spacing w:beforeAutospacing="0" w:afterAutospacing="0"/>
        <w:jc w:val="both"/>
        <w:rPr>
          <w:highlight w:val="none"/>
        </w:rPr>
      </w:pPr>
      <w:r>
        <w:rPr>
          <w:highlight w:val="none"/>
        </w:rPr>
        <w:t> </w:t>
      </w:r>
    </w:p>
    <w:p w14:paraId="510655E1">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r>
    </w:p>
    <w:p w14:paraId="73DB1A75">
      <w:pPr>
        <w:pStyle w:val="11"/>
        <w:keepNext/>
        <w:spacing w:beforeAutospacing="0" w:afterAutospacing="0"/>
        <w:jc w:val="center"/>
        <w:rPr>
          <w:rFonts w:hint="eastAsia" w:ascii="黑体" w:hAnsi="宋体" w:eastAsia="黑体" w:cs="黑体"/>
          <w:color w:val="auto"/>
          <w:sz w:val="44"/>
          <w:szCs w:val="44"/>
          <w:highlight w:val="none"/>
        </w:rPr>
      </w:pPr>
      <w:bookmarkStart w:id="189" w:name="_Toc120614282"/>
      <w:bookmarkStart w:id="190" w:name="_Toc49090576"/>
    </w:p>
    <w:p w14:paraId="40204C52">
      <w:pPr>
        <w:pStyle w:val="11"/>
        <w:keepNext/>
        <w:spacing w:beforeAutospacing="0" w:afterAutospacing="0"/>
        <w:jc w:val="center"/>
        <w:rPr>
          <w:rFonts w:hint="eastAsia" w:ascii="黑体" w:hAnsi="宋体" w:eastAsia="黑体" w:cs="黑体"/>
          <w:color w:val="auto"/>
          <w:sz w:val="44"/>
          <w:szCs w:val="44"/>
          <w:highlight w:val="none"/>
        </w:rPr>
      </w:pPr>
    </w:p>
    <w:p w14:paraId="1CC5E1F8">
      <w:pPr>
        <w:pStyle w:val="11"/>
        <w:keepNext/>
        <w:spacing w:beforeAutospacing="0" w:afterAutospacing="0"/>
        <w:jc w:val="center"/>
        <w:outlineLvl w:val="0"/>
        <w:rPr>
          <w:color w:val="auto"/>
          <w:highlight w:val="none"/>
        </w:rPr>
      </w:pPr>
      <w:bookmarkStart w:id="191" w:name="_Toc10935"/>
      <w:r>
        <w:rPr>
          <w:rFonts w:hint="eastAsia" w:ascii="黑体" w:hAnsi="宋体" w:eastAsia="黑体" w:cs="黑体"/>
          <w:color w:val="auto"/>
          <w:sz w:val="44"/>
          <w:szCs w:val="44"/>
          <w:highlight w:val="none"/>
        </w:rPr>
        <w:t>第六章 投标文件格式</w:t>
      </w:r>
      <w:bookmarkEnd w:id="191"/>
      <w:r>
        <w:rPr>
          <w:rFonts w:hint="eastAsia" w:ascii="黑体" w:hAnsi="宋体" w:eastAsia="黑体" w:cs="黑体"/>
          <w:color w:val="auto"/>
          <w:sz w:val="44"/>
          <w:szCs w:val="44"/>
          <w:highlight w:val="none"/>
        </w:rPr>
        <w:t xml:space="preserve"> </w:t>
      </w:r>
    </w:p>
    <w:p w14:paraId="55BC3EA7">
      <w:pPr>
        <w:pStyle w:val="11"/>
        <w:spacing w:beforeAutospacing="0" w:afterAutospacing="0"/>
        <w:jc w:val="center"/>
        <w:rPr>
          <w:rFonts w:hint="eastAsia" w:ascii="宋体" w:hAnsi="宋体" w:eastAsia="宋体" w:cs="宋体"/>
          <w:b/>
          <w:color w:val="auto"/>
          <w:sz w:val="72"/>
          <w:szCs w:val="72"/>
          <w:highlight w:val="none"/>
        </w:rPr>
      </w:pPr>
      <w:bookmarkStart w:id="192" w:name="_Hlt26671244"/>
      <w:bookmarkEnd w:id="192"/>
      <w:bookmarkStart w:id="193" w:name="_Hlt26955039"/>
      <w:bookmarkEnd w:id="193"/>
      <w:bookmarkStart w:id="194" w:name="_Toc26554094"/>
      <w:bookmarkEnd w:id="194"/>
    </w:p>
    <w:p w14:paraId="40DE41C1">
      <w:pPr>
        <w:pStyle w:val="11"/>
        <w:spacing w:beforeAutospacing="0" w:afterAutospacing="0"/>
        <w:jc w:val="center"/>
        <w:rPr>
          <w:rFonts w:hint="eastAsia" w:ascii="宋体" w:hAnsi="宋体" w:eastAsia="宋体" w:cs="宋体"/>
          <w:b/>
          <w:color w:val="auto"/>
          <w:sz w:val="72"/>
          <w:szCs w:val="72"/>
          <w:highlight w:val="none"/>
        </w:rPr>
      </w:pPr>
    </w:p>
    <w:p w14:paraId="1B01E21D">
      <w:pPr>
        <w:pStyle w:val="11"/>
        <w:spacing w:beforeAutospacing="0" w:afterAutospacing="0"/>
        <w:jc w:val="center"/>
        <w:rPr>
          <w:rFonts w:hint="eastAsia" w:ascii="宋体" w:hAnsi="宋体" w:eastAsia="宋体" w:cs="宋体"/>
          <w:b/>
          <w:color w:val="auto"/>
          <w:sz w:val="72"/>
          <w:szCs w:val="72"/>
          <w:highlight w:val="none"/>
        </w:rPr>
      </w:pPr>
    </w:p>
    <w:p w14:paraId="4FA71875">
      <w:pPr>
        <w:pStyle w:val="11"/>
        <w:spacing w:beforeAutospacing="0" w:afterAutospacing="0"/>
        <w:jc w:val="center"/>
        <w:rPr>
          <w:color w:val="auto"/>
          <w:highlight w:val="none"/>
        </w:rPr>
      </w:pPr>
      <w:r>
        <w:rPr>
          <w:rFonts w:hint="eastAsia" w:ascii="宋体" w:hAnsi="宋体" w:eastAsia="宋体" w:cs="宋体"/>
          <w:b/>
          <w:color w:val="auto"/>
          <w:sz w:val="72"/>
          <w:szCs w:val="72"/>
          <w:highlight w:val="none"/>
        </w:rPr>
        <w:t>投  标  文  件</w:t>
      </w:r>
    </w:p>
    <w:p w14:paraId="31BA9361">
      <w:pPr>
        <w:pStyle w:val="11"/>
        <w:spacing w:beforeAutospacing="0" w:afterAutospacing="0"/>
        <w:jc w:val="center"/>
        <w:rPr>
          <w:color w:val="auto"/>
          <w:highlight w:val="none"/>
        </w:rPr>
      </w:pPr>
      <w:r>
        <w:rPr>
          <w:color w:val="auto"/>
          <w:highlight w:val="none"/>
        </w:rPr>
        <w:t> </w:t>
      </w:r>
    </w:p>
    <w:p w14:paraId="67247CDB">
      <w:pPr>
        <w:pStyle w:val="11"/>
        <w:spacing w:beforeAutospacing="0" w:afterAutospacing="0"/>
        <w:jc w:val="center"/>
        <w:rPr>
          <w:color w:val="auto"/>
          <w:highlight w:val="none"/>
        </w:rPr>
      </w:pPr>
      <w:r>
        <w:rPr>
          <w:color w:val="auto"/>
          <w:highlight w:val="none"/>
        </w:rPr>
        <w:t> </w:t>
      </w:r>
    </w:p>
    <w:p w14:paraId="346C5F82">
      <w:pPr>
        <w:pStyle w:val="11"/>
        <w:spacing w:beforeAutospacing="0" w:afterAutospacing="0"/>
        <w:jc w:val="center"/>
        <w:rPr>
          <w:color w:val="auto"/>
          <w:highlight w:val="none"/>
        </w:rPr>
      </w:pPr>
      <w:r>
        <w:rPr>
          <w:color w:val="auto"/>
          <w:highlight w:val="none"/>
        </w:rPr>
        <w:t> </w:t>
      </w:r>
    </w:p>
    <w:p w14:paraId="38CB6843">
      <w:pPr>
        <w:pStyle w:val="11"/>
        <w:spacing w:beforeAutospacing="0" w:afterAutospacing="0"/>
        <w:jc w:val="center"/>
        <w:rPr>
          <w:color w:val="auto"/>
          <w:highlight w:val="none"/>
        </w:rPr>
      </w:pPr>
      <w:r>
        <w:rPr>
          <w:color w:val="auto"/>
          <w:highlight w:val="none"/>
        </w:rPr>
        <w:t> </w:t>
      </w:r>
    </w:p>
    <w:p w14:paraId="76324A18">
      <w:pPr>
        <w:pStyle w:val="11"/>
        <w:spacing w:beforeAutospacing="0" w:afterAutospacing="0"/>
        <w:jc w:val="center"/>
        <w:rPr>
          <w:color w:val="auto"/>
          <w:highlight w:val="none"/>
        </w:rPr>
      </w:pPr>
      <w:r>
        <w:rPr>
          <w:color w:val="auto"/>
          <w:highlight w:val="none"/>
        </w:rPr>
        <w:t> </w:t>
      </w:r>
    </w:p>
    <w:p w14:paraId="1131ED4C">
      <w:pPr>
        <w:pStyle w:val="11"/>
        <w:spacing w:beforeAutospacing="0" w:afterAutospacing="0"/>
        <w:ind w:firstLine="1084" w:firstLineChars="300"/>
        <w:jc w:val="both"/>
        <w:rPr>
          <w:color w:val="auto"/>
          <w:highlight w:val="non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xml:space="preserve">               </w:t>
      </w:r>
    </w:p>
    <w:p w14:paraId="319D7588">
      <w:pPr>
        <w:pStyle w:val="11"/>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xml:space="preserve">               </w:t>
      </w:r>
    </w:p>
    <w:p w14:paraId="66B4A5D2">
      <w:pPr>
        <w:pStyle w:val="11"/>
        <w:spacing w:beforeAutospacing="0" w:afterAutospacing="0"/>
        <w:jc w:val="both"/>
        <w:rPr>
          <w:color w:val="auto"/>
          <w:highlight w:val="none"/>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 xml:space="preserve">（加盖CA电子公章）        </w:t>
      </w:r>
    </w:p>
    <w:p w14:paraId="6E025CC1">
      <w:pPr>
        <w:pStyle w:val="11"/>
        <w:spacing w:beforeAutospacing="0" w:afterAutospacing="0"/>
        <w:jc w:val="both"/>
        <w:rPr>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p w14:paraId="008F6786">
      <w:pPr>
        <w:pStyle w:val="11"/>
        <w:spacing w:beforeAutospacing="0" w:afterAutospacing="0" w:line="0" w:lineRule="atLeast"/>
        <w:jc w:val="center"/>
        <w:rPr>
          <w:highlight w:val="none"/>
        </w:rPr>
      </w:pPr>
      <w:r>
        <w:rPr>
          <w:highlight w:val="none"/>
        </w:rPr>
        <w:t> </w:t>
      </w:r>
    </w:p>
    <w:p w14:paraId="0004A50C">
      <w:pPr>
        <w:pStyle w:val="11"/>
        <w:spacing w:beforeAutospacing="0" w:afterAutospacing="0" w:line="0" w:lineRule="atLeast"/>
        <w:jc w:val="both"/>
        <w:rPr>
          <w:highlight w:val="none"/>
        </w:rPr>
      </w:pPr>
      <w:r>
        <w:rPr>
          <w:highlight w:val="none"/>
        </w:rPr>
        <w:t> </w:t>
      </w:r>
    </w:p>
    <w:p w14:paraId="79EF6E88">
      <w:pPr>
        <w:pStyle w:val="11"/>
        <w:spacing w:beforeAutospacing="0" w:afterAutospacing="0" w:line="0" w:lineRule="atLeast"/>
        <w:jc w:val="center"/>
        <w:rPr>
          <w:rFonts w:ascii="宋体" w:hAnsi="宋体" w:eastAsia="宋体" w:cs="宋体"/>
          <w:b/>
          <w:color w:val="000000"/>
          <w:sz w:val="36"/>
          <w:szCs w:val="36"/>
          <w:highlight w:val="none"/>
          <w:u w:val="single"/>
        </w:rPr>
      </w:pPr>
    </w:p>
    <w:p w14:paraId="7FDB23BC">
      <w:pPr>
        <w:pStyle w:val="11"/>
        <w:spacing w:beforeAutospacing="0" w:afterAutospacing="0" w:line="0" w:lineRule="atLeast"/>
        <w:jc w:val="center"/>
        <w:rPr>
          <w:rFonts w:ascii="宋体" w:hAnsi="宋体" w:eastAsia="宋体" w:cs="宋体"/>
          <w:b/>
          <w:color w:val="000000"/>
          <w:sz w:val="36"/>
          <w:szCs w:val="36"/>
          <w:highlight w:val="none"/>
          <w:u w:val="single"/>
        </w:rPr>
      </w:pPr>
    </w:p>
    <w:p w14:paraId="535972F9">
      <w:pPr>
        <w:pStyle w:val="11"/>
        <w:spacing w:beforeAutospacing="0" w:afterAutospacing="0" w:line="0" w:lineRule="atLeast"/>
        <w:jc w:val="center"/>
        <w:rPr>
          <w:rFonts w:ascii="宋体" w:hAnsi="宋体" w:eastAsia="宋体" w:cs="宋体"/>
          <w:b/>
          <w:color w:val="000000"/>
          <w:sz w:val="36"/>
          <w:szCs w:val="36"/>
          <w:highlight w:val="none"/>
          <w:u w:val="single"/>
        </w:rPr>
      </w:pPr>
    </w:p>
    <w:p w14:paraId="3B5B4E47">
      <w:pPr>
        <w:pStyle w:val="11"/>
        <w:spacing w:beforeAutospacing="0" w:afterAutospacing="0" w:line="0" w:lineRule="atLeast"/>
        <w:jc w:val="center"/>
        <w:rPr>
          <w:rFonts w:ascii="宋体" w:hAnsi="宋体" w:eastAsia="宋体" w:cs="宋体"/>
          <w:b/>
          <w:color w:val="000000"/>
          <w:sz w:val="36"/>
          <w:szCs w:val="36"/>
          <w:highlight w:val="none"/>
          <w:u w:val="single"/>
        </w:rPr>
      </w:pPr>
    </w:p>
    <w:p w14:paraId="4F4FD738">
      <w:pPr>
        <w:pStyle w:val="11"/>
        <w:spacing w:beforeAutospacing="0" w:afterAutospacing="0" w:line="0" w:lineRule="atLeast"/>
        <w:jc w:val="center"/>
        <w:rPr>
          <w:rFonts w:ascii="宋体" w:hAnsi="宋体" w:eastAsia="宋体" w:cs="宋体"/>
          <w:b/>
          <w:color w:val="000000"/>
          <w:sz w:val="36"/>
          <w:szCs w:val="36"/>
          <w:highlight w:val="none"/>
          <w:u w:val="single"/>
        </w:rPr>
      </w:pPr>
    </w:p>
    <w:p w14:paraId="24537143">
      <w:pPr>
        <w:pStyle w:val="11"/>
        <w:spacing w:beforeAutospacing="0" w:afterAutospacing="0" w:line="0" w:lineRule="atLeast"/>
        <w:jc w:val="center"/>
        <w:rPr>
          <w:rFonts w:ascii="宋体" w:hAnsi="宋体" w:eastAsia="宋体" w:cs="宋体"/>
          <w:b/>
          <w:color w:val="000000"/>
          <w:sz w:val="36"/>
          <w:szCs w:val="36"/>
          <w:highlight w:val="none"/>
          <w:u w:val="single"/>
        </w:rPr>
      </w:pPr>
    </w:p>
    <w:p w14:paraId="6D5EFAD9">
      <w:pPr>
        <w:pStyle w:val="11"/>
        <w:spacing w:beforeAutospacing="0" w:afterAutospacing="0" w:line="0" w:lineRule="atLeast"/>
        <w:jc w:val="center"/>
        <w:rPr>
          <w:rFonts w:ascii="宋体" w:hAnsi="宋体" w:eastAsia="宋体" w:cs="宋体"/>
          <w:b/>
          <w:color w:val="000000"/>
          <w:sz w:val="36"/>
          <w:szCs w:val="36"/>
          <w:highlight w:val="none"/>
          <w:u w:val="single"/>
        </w:rPr>
      </w:pPr>
    </w:p>
    <w:p w14:paraId="58D621D3">
      <w:pPr>
        <w:pStyle w:val="11"/>
        <w:spacing w:beforeAutospacing="0" w:afterAutospacing="0" w:line="0" w:lineRule="atLeast"/>
        <w:jc w:val="center"/>
        <w:rPr>
          <w:rFonts w:hint="eastAsia" w:ascii="宋体" w:hAnsi="宋体" w:eastAsia="宋体" w:cs="宋体"/>
          <w:b/>
          <w:color w:val="000000"/>
          <w:sz w:val="32"/>
          <w:szCs w:val="32"/>
          <w:highlight w:val="none"/>
        </w:rPr>
      </w:pPr>
    </w:p>
    <w:p w14:paraId="06EE6D93">
      <w:pPr>
        <w:pStyle w:val="11"/>
        <w:spacing w:beforeAutospacing="0" w:afterAutospacing="0" w:line="0" w:lineRule="atLeast"/>
        <w:jc w:val="center"/>
        <w:rPr>
          <w:highlight w:val="none"/>
        </w:rPr>
      </w:pPr>
      <w:r>
        <w:rPr>
          <w:rFonts w:hint="eastAsia" w:ascii="宋体" w:hAnsi="宋体" w:eastAsia="宋体" w:cs="宋体"/>
          <w:b/>
          <w:color w:val="000000"/>
          <w:sz w:val="32"/>
          <w:szCs w:val="32"/>
          <w:highlight w:val="none"/>
        </w:rPr>
        <w:t>投标文件目录</w:t>
      </w:r>
    </w:p>
    <w:p w14:paraId="30EA27C7">
      <w:pPr>
        <w:pStyle w:val="11"/>
        <w:spacing w:beforeAutospacing="0" w:afterAutospacing="0" w:line="0" w:lineRule="atLeast"/>
        <w:jc w:val="center"/>
        <w:rPr>
          <w:highlight w:val="none"/>
        </w:rPr>
      </w:pPr>
      <w:r>
        <w:rPr>
          <w:highlight w:val="none"/>
        </w:rPr>
        <w:t> </w:t>
      </w:r>
    </w:p>
    <w:p w14:paraId="5713C76E">
      <w:pPr>
        <w:pStyle w:val="11"/>
        <w:spacing w:beforeAutospacing="0" w:afterAutospacing="0"/>
        <w:ind w:firstLine="480" w:firstLineChars="20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一、法人或者其他组织的营业执照等证明文件，自然人的身份证明</w:t>
      </w:r>
    </w:p>
    <w:p w14:paraId="0C60B884">
      <w:pPr>
        <w:tabs>
          <w:tab w:val="left" w:pos="1331"/>
        </w:tabs>
        <w:bidi w:val="0"/>
        <w:ind w:firstLine="480" w:firstLineChars="200"/>
        <w:jc w:val="left"/>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二、上一年度的财务状况报告（至少提供资产负债表、利润表、现金流量表，投标人成立不满一年无需提供）</w:t>
      </w:r>
    </w:p>
    <w:p w14:paraId="42ACAE88">
      <w:pPr>
        <w:pStyle w:val="11"/>
        <w:spacing w:beforeAutospacing="0" w:afterAutospacing="0"/>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、具备履行合同所必需的设备和专业技术能力的书面声明</w:t>
      </w:r>
    </w:p>
    <w:p w14:paraId="3F988CBE">
      <w:pPr>
        <w:pStyle w:val="11"/>
        <w:spacing w:beforeAutospacing="0" w:afterAutospacing="0"/>
        <w:ind w:firstLine="480" w:firstLineChars="20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四</w:t>
      </w:r>
      <w:r>
        <w:rPr>
          <w:rFonts w:hint="eastAsia" w:ascii="宋体" w:hAnsi="宋体" w:eastAsia="宋体" w:cs="宋体"/>
          <w:i w:val="0"/>
          <w:iCs/>
          <w:color w:val="000000"/>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58936FC6">
      <w:pPr>
        <w:pStyle w:val="11"/>
        <w:spacing w:beforeAutospacing="0" w:afterAutospacing="0"/>
        <w:ind w:firstLine="480" w:firstLineChars="20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五、参加政府采购活动前 3 年内在经营活动中没有重大违法记录的书面声明</w:t>
      </w:r>
    </w:p>
    <w:p w14:paraId="6CFBDE60">
      <w:pPr>
        <w:pStyle w:val="11"/>
        <w:spacing w:beforeAutospacing="0" w:afterAutospacing="0"/>
        <w:ind w:firstLine="480" w:firstLineChars="20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六、特定资格要求的证明文件（如果本项目设置特定资格要求，则需要提供）</w:t>
      </w:r>
    </w:p>
    <w:p w14:paraId="3E3E3867">
      <w:pPr>
        <w:pStyle w:val="11"/>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七、法人授权书</w:t>
      </w:r>
    </w:p>
    <w:p w14:paraId="3BDE6B94">
      <w:pPr>
        <w:pStyle w:val="11"/>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八、投标函</w:t>
      </w:r>
    </w:p>
    <w:p w14:paraId="5FEA8D1E">
      <w:pPr>
        <w:pStyle w:val="11"/>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九、</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企业声明函（服务）</w:t>
      </w:r>
    </w:p>
    <w:p w14:paraId="4D58AB9A">
      <w:pPr>
        <w:pStyle w:val="11"/>
        <w:spacing w:beforeAutospacing="0" w:afterAutospacing="0" w:line="0" w:lineRule="atLeast"/>
        <w:ind w:firstLine="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十、残疾人福利性单位声明函（如有）</w:t>
      </w:r>
    </w:p>
    <w:p w14:paraId="5A16B8B8">
      <w:pPr>
        <w:pStyle w:val="11"/>
        <w:spacing w:beforeAutospacing="0" w:afterAutospacing="0" w:line="0" w:lineRule="atLeast"/>
        <w:ind w:firstLine="48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十一、</w:t>
      </w:r>
      <w:r>
        <w:rPr>
          <w:rFonts w:hint="eastAsia" w:ascii="宋体" w:hAnsi="宋体" w:eastAsia="宋体" w:cs="宋体"/>
          <w:i w:val="0"/>
          <w:iCs/>
          <w:color w:val="000000"/>
          <w:highlight w:val="none"/>
          <w:u w:val="none"/>
        </w:rPr>
        <w:t>投标分项报价表</w:t>
      </w:r>
    </w:p>
    <w:p w14:paraId="0263EB78">
      <w:pPr>
        <w:pStyle w:val="11"/>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二</w:t>
      </w:r>
      <w:r>
        <w:rPr>
          <w:rFonts w:hint="eastAsia" w:ascii="宋体" w:hAnsi="宋体" w:eastAsia="宋体" w:cs="宋体"/>
          <w:i w:val="0"/>
          <w:iCs/>
          <w:color w:val="000000"/>
          <w:highlight w:val="none"/>
          <w:u w:val="none"/>
        </w:rPr>
        <w:t>、技术要求响应及偏离表</w:t>
      </w:r>
    </w:p>
    <w:p w14:paraId="36EABC97">
      <w:pPr>
        <w:pStyle w:val="11"/>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、商务要求响应及偏离表</w:t>
      </w:r>
    </w:p>
    <w:p w14:paraId="260078DA">
      <w:pPr>
        <w:pStyle w:val="11"/>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四</w:t>
      </w:r>
      <w:r>
        <w:rPr>
          <w:rFonts w:hint="eastAsia" w:ascii="宋体" w:hAnsi="宋体" w:eastAsia="宋体" w:cs="宋体"/>
          <w:i w:val="0"/>
          <w:iCs/>
          <w:color w:val="000000"/>
          <w:highlight w:val="none"/>
          <w:u w:val="none"/>
        </w:rPr>
        <w:t>、开标一览表</w:t>
      </w:r>
    </w:p>
    <w:p w14:paraId="7D69B72A">
      <w:pPr>
        <w:pStyle w:val="11"/>
        <w:spacing w:beforeAutospacing="0" w:afterAutospacing="0"/>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五</w:t>
      </w:r>
      <w:r>
        <w:rPr>
          <w:rFonts w:hint="eastAsia" w:ascii="宋体" w:hAnsi="宋体" w:eastAsia="宋体" w:cs="宋体"/>
          <w:i w:val="0"/>
          <w:iCs/>
          <w:color w:val="000000"/>
          <w:highlight w:val="none"/>
          <w:u w:val="none"/>
        </w:rPr>
        <w:t>、技术方案、服务承诺、培训承诺等</w:t>
      </w:r>
    </w:p>
    <w:p w14:paraId="4469A885">
      <w:pPr>
        <w:pStyle w:val="11"/>
        <w:spacing w:beforeAutospacing="0" w:afterAutospacing="0"/>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六</w:t>
      </w:r>
      <w:r>
        <w:rPr>
          <w:rFonts w:hint="eastAsia" w:ascii="宋体" w:hAnsi="宋体" w:eastAsia="宋体" w:cs="宋体"/>
          <w:i w:val="0"/>
          <w:iCs/>
          <w:color w:val="000000"/>
          <w:highlight w:val="none"/>
          <w:u w:val="none"/>
        </w:rPr>
        <w:t>、盐城市政府采购事前信用承诺书</w:t>
      </w:r>
    </w:p>
    <w:p w14:paraId="48EFFF5A">
      <w:pPr>
        <w:pStyle w:val="11"/>
        <w:spacing w:beforeAutospacing="0" w:afterAutospacing="0"/>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十七、与评审有关的其他资料</w:t>
      </w:r>
    </w:p>
    <w:p w14:paraId="138E25DE">
      <w:pPr>
        <w:pStyle w:val="11"/>
        <w:spacing w:beforeAutospacing="0" w:afterAutospacing="0"/>
        <w:ind w:left="480"/>
        <w:jc w:val="both"/>
        <w:rPr>
          <w:rFonts w:hint="eastAsia" w:ascii="宋体" w:hAnsi="宋体" w:eastAsia="宋体" w:cs="宋体"/>
          <w:i w:val="0"/>
          <w:iCs/>
          <w:color w:val="000000"/>
          <w:highlight w:val="none"/>
          <w:u w:val="none"/>
        </w:rPr>
      </w:pPr>
    </w:p>
    <w:p w14:paraId="5384EF08">
      <w:pPr>
        <w:pStyle w:val="11"/>
        <w:spacing w:beforeAutospacing="0" w:afterAutospacing="0"/>
        <w:ind w:left="480"/>
        <w:jc w:val="both"/>
        <w:rPr>
          <w:rFonts w:hint="eastAsia" w:ascii="宋体" w:hAnsi="宋体" w:eastAsia="宋体" w:cs="宋体"/>
          <w:i w:val="0"/>
          <w:iCs/>
          <w:color w:val="000000"/>
          <w:highlight w:val="none"/>
          <w:u w:val="none"/>
        </w:rPr>
      </w:pPr>
    </w:p>
    <w:p w14:paraId="2B4328CE">
      <w:pPr>
        <w:pStyle w:val="11"/>
        <w:spacing w:beforeAutospacing="0" w:afterAutospacing="0" w:line="0" w:lineRule="atLeast"/>
        <w:ind w:firstLine="480"/>
        <w:jc w:val="both"/>
        <w:rPr>
          <w:rFonts w:ascii="宋体" w:hAnsi="宋体" w:eastAsia="宋体" w:cs="宋体"/>
          <w:color w:val="000000"/>
          <w:highlight w:val="none"/>
        </w:rPr>
      </w:pPr>
    </w:p>
    <w:p w14:paraId="77C0513D">
      <w:pPr>
        <w:pStyle w:val="11"/>
        <w:spacing w:beforeAutospacing="0" w:afterAutospacing="0" w:line="0" w:lineRule="atLeast"/>
        <w:ind w:firstLine="480"/>
        <w:jc w:val="both"/>
        <w:rPr>
          <w:rFonts w:ascii="宋体" w:hAnsi="宋体" w:eastAsia="宋体" w:cs="宋体"/>
          <w:color w:val="000000"/>
          <w:highlight w:val="none"/>
        </w:rPr>
      </w:pPr>
    </w:p>
    <w:p w14:paraId="28A2EEB9">
      <w:pPr>
        <w:pStyle w:val="11"/>
        <w:spacing w:beforeAutospacing="0" w:afterAutospacing="0" w:line="0" w:lineRule="atLeast"/>
        <w:ind w:firstLine="480"/>
        <w:jc w:val="both"/>
        <w:rPr>
          <w:highlight w:val="none"/>
        </w:rPr>
      </w:pPr>
      <w:r>
        <w:rPr>
          <w:highlight w:val="none"/>
        </w:rPr>
        <w:t> </w:t>
      </w:r>
    </w:p>
    <w:p w14:paraId="400734C6">
      <w:pPr>
        <w:pStyle w:val="11"/>
        <w:spacing w:beforeAutospacing="0" w:afterAutospacing="0" w:line="0" w:lineRule="atLeast"/>
        <w:ind w:firstLine="480"/>
        <w:jc w:val="both"/>
        <w:rPr>
          <w:highlight w:val="none"/>
        </w:rPr>
      </w:pPr>
      <w:r>
        <w:rPr>
          <w:highlight w:val="none"/>
        </w:rPr>
        <w:t> </w:t>
      </w:r>
    </w:p>
    <w:p w14:paraId="41206A44">
      <w:pPr>
        <w:pStyle w:val="11"/>
        <w:spacing w:beforeAutospacing="0" w:afterAutospacing="0" w:line="0" w:lineRule="atLeast"/>
        <w:ind w:firstLine="480"/>
        <w:jc w:val="both"/>
        <w:rPr>
          <w:highlight w:val="none"/>
        </w:rPr>
      </w:pPr>
      <w:r>
        <w:rPr>
          <w:highlight w:val="none"/>
        </w:rPr>
        <w:t> </w:t>
      </w:r>
    </w:p>
    <w:p w14:paraId="7E08E7EC">
      <w:pPr>
        <w:pStyle w:val="11"/>
        <w:spacing w:beforeAutospacing="0" w:afterAutospacing="0" w:line="0" w:lineRule="atLeast"/>
        <w:ind w:firstLine="480"/>
        <w:jc w:val="both"/>
        <w:rPr>
          <w:highlight w:val="none"/>
        </w:rPr>
      </w:pPr>
      <w:r>
        <w:rPr>
          <w:highlight w:val="none"/>
        </w:rPr>
        <w:t> </w:t>
      </w:r>
    </w:p>
    <w:p w14:paraId="22FD2207">
      <w:pPr>
        <w:pStyle w:val="11"/>
        <w:spacing w:beforeAutospacing="0" w:afterAutospacing="0" w:line="0" w:lineRule="atLeast"/>
        <w:ind w:firstLine="480"/>
        <w:jc w:val="both"/>
        <w:rPr>
          <w:highlight w:val="none"/>
        </w:rPr>
      </w:pPr>
    </w:p>
    <w:p w14:paraId="5C7EF343">
      <w:pPr>
        <w:pStyle w:val="11"/>
        <w:spacing w:beforeAutospacing="0" w:afterAutospacing="0" w:line="0" w:lineRule="atLeast"/>
        <w:ind w:firstLine="480"/>
        <w:jc w:val="both"/>
        <w:rPr>
          <w:highlight w:val="none"/>
        </w:rPr>
      </w:pPr>
    </w:p>
    <w:p w14:paraId="36B01A60">
      <w:pPr>
        <w:pStyle w:val="11"/>
        <w:spacing w:beforeAutospacing="0" w:afterAutospacing="0" w:line="0" w:lineRule="atLeast"/>
        <w:ind w:firstLine="480"/>
        <w:jc w:val="both"/>
        <w:rPr>
          <w:highlight w:val="none"/>
        </w:rPr>
      </w:pPr>
    </w:p>
    <w:p w14:paraId="02254F24">
      <w:pPr>
        <w:pStyle w:val="11"/>
        <w:spacing w:beforeAutospacing="0" w:afterAutospacing="0" w:line="0" w:lineRule="atLeast"/>
        <w:ind w:firstLine="480"/>
        <w:jc w:val="both"/>
        <w:rPr>
          <w:highlight w:val="none"/>
        </w:rPr>
      </w:pPr>
    </w:p>
    <w:p w14:paraId="4AB0D669">
      <w:pPr>
        <w:pStyle w:val="11"/>
        <w:spacing w:beforeAutospacing="0" w:afterAutospacing="0" w:line="0" w:lineRule="atLeast"/>
        <w:ind w:firstLine="480"/>
        <w:jc w:val="both"/>
        <w:rPr>
          <w:highlight w:val="none"/>
        </w:rPr>
      </w:pPr>
    </w:p>
    <w:p w14:paraId="083788F3">
      <w:pPr>
        <w:pStyle w:val="11"/>
        <w:spacing w:beforeAutospacing="0" w:afterAutospacing="0" w:line="0" w:lineRule="atLeast"/>
        <w:ind w:firstLine="480"/>
        <w:jc w:val="both"/>
        <w:rPr>
          <w:highlight w:val="none"/>
        </w:rPr>
      </w:pPr>
    </w:p>
    <w:p w14:paraId="1EC8B59E">
      <w:pPr>
        <w:pStyle w:val="11"/>
        <w:spacing w:beforeAutospacing="0" w:afterAutospacing="0" w:line="0" w:lineRule="atLeast"/>
        <w:ind w:firstLine="480"/>
        <w:jc w:val="both"/>
        <w:rPr>
          <w:highlight w:val="none"/>
        </w:rPr>
      </w:pPr>
    </w:p>
    <w:p w14:paraId="02056A74">
      <w:pPr>
        <w:pStyle w:val="11"/>
        <w:spacing w:beforeAutospacing="0" w:afterAutospacing="0" w:line="0" w:lineRule="atLeast"/>
        <w:ind w:firstLine="480"/>
        <w:jc w:val="both"/>
        <w:rPr>
          <w:highlight w:val="none"/>
        </w:rPr>
      </w:pPr>
    </w:p>
    <w:p w14:paraId="220C742C">
      <w:pPr>
        <w:pStyle w:val="11"/>
        <w:spacing w:beforeAutospacing="0" w:afterAutospacing="0" w:line="0" w:lineRule="atLeast"/>
        <w:ind w:firstLine="480"/>
        <w:jc w:val="both"/>
        <w:rPr>
          <w:highlight w:val="none"/>
        </w:rPr>
      </w:pPr>
    </w:p>
    <w:p w14:paraId="19D49FFD">
      <w:pPr>
        <w:pStyle w:val="11"/>
        <w:spacing w:beforeAutospacing="0" w:afterAutospacing="0" w:line="0" w:lineRule="atLeast"/>
        <w:ind w:firstLine="480"/>
        <w:jc w:val="both"/>
        <w:rPr>
          <w:highlight w:val="none"/>
        </w:rPr>
      </w:pPr>
    </w:p>
    <w:p w14:paraId="5593769B">
      <w:pPr>
        <w:pStyle w:val="11"/>
        <w:spacing w:beforeAutospacing="0" w:afterAutospacing="0" w:line="0" w:lineRule="atLeast"/>
        <w:ind w:firstLine="480"/>
        <w:jc w:val="both"/>
        <w:rPr>
          <w:highlight w:val="none"/>
        </w:rPr>
      </w:pPr>
    </w:p>
    <w:p w14:paraId="75F6EE61">
      <w:pPr>
        <w:pStyle w:val="11"/>
        <w:spacing w:beforeAutospacing="0" w:afterAutospacing="0" w:line="0" w:lineRule="atLeast"/>
        <w:ind w:firstLine="480"/>
        <w:jc w:val="both"/>
        <w:rPr>
          <w:highlight w:val="none"/>
        </w:rPr>
      </w:pPr>
    </w:p>
    <w:p w14:paraId="31558438">
      <w:pPr>
        <w:pStyle w:val="11"/>
        <w:spacing w:beforeAutospacing="0" w:afterAutospacing="0" w:line="0" w:lineRule="atLeast"/>
        <w:ind w:firstLine="480"/>
        <w:jc w:val="both"/>
        <w:rPr>
          <w:highlight w:val="none"/>
        </w:rPr>
      </w:pPr>
    </w:p>
    <w:p w14:paraId="28CCB0B1">
      <w:pPr>
        <w:pStyle w:val="11"/>
        <w:spacing w:beforeAutospacing="0" w:afterAutospacing="0" w:line="0" w:lineRule="atLeast"/>
        <w:ind w:firstLine="480"/>
        <w:jc w:val="both"/>
        <w:rPr>
          <w:highlight w:val="none"/>
        </w:rPr>
      </w:pPr>
    </w:p>
    <w:p w14:paraId="3AFD48EA">
      <w:pPr>
        <w:pStyle w:val="11"/>
        <w:spacing w:beforeAutospacing="0" w:afterAutospacing="0"/>
        <w:jc w:val="both"/>
        <w:rPr>
          <w:highlight w:val="none"/>
        </w:rPr>
      </w:pPr>
      <w:r>
        <w:rPr>
          <w:rFonts w:hint="eastAsia" w:ascii="黑体" w:hAnsi="宋体" w:eastAsia="黑体" w:cs="黑体"/>
          <w:i/>
          <w:color w:val="000000"/>
          <w:sz w:val="32"/>
          <w:szCs w:val="32"/>
          <w:highlight w:val="none"/>
          <w:u w:val="single"/>
        </w:rPr>
        <w:t>一、法人或者其他组织的营业执照等证明文件，自然人的身份证明</w:t>
      </w:r>
    </w:p>
    <w:p w14:paraId="20683007">
      <w:pPr>
        <w:pStyle w:val="11"/>
        <w:spacing w:beforeAutospacing="0" w:afterAutospacing="0" w:line="0" w:lineRule="atLeast"/>
        <w:ind w:firstLine="480"/>
        <w:jc w:val="both"/>
        <w:rPr>
          <w:highlight w:val="none"/>
        </w:rPr>
      </w:pPr>
      <w:r>
        <w:rPr>
          <w:highlight w:val="none"/>
        </w:rPr>
        <w:t> </w:t>
      </w:r>
    </w:p>
    <w:p w14:paraId="31F29E3F">
      <w:pPr>
        <w:pStyle w:val="11"/>
        <w:spacing w:beforeAutospacing="0" w:afterAutospacing="0"/>
        <w:jc w:val="both"/>
        <w:rPr>
          <w:rFonts w:hint="eastAsia" w:eastAsia="黑体"/>
          <w:highlight w:val="none"/>
          <w:lang w:val="en-US" w:eastAsia="zh-CN"/>
        </w:rPr>
      </w:pPr>
      <w:r>
        <w:rPr>
          <w:rFonts w:hint="eastAsia" w:ascii="黑体" w:hAnsi="宋体" w:eastAsia="黑体" w:cs="黑体"/>
          <w:i/>
          <w:color w:val="000000"/>
          <w:sz w:val="32"/>
          <w:szCs w:val="32"/>
          <w:highlight w:val="none"/>
          <w:u w:val="single"/>
        </w:rPr>
        <w:t>二、上一年度的财务状况报</w:t>
      </w:r>
      <w:r>
        <w:rPr>
          <w:rFonts w:hint="eastAsia" w:ascii="黑体" w:hAnsi="宋体" w:eastAsia="黑体" w:cs="黑体"/>
          <w:i/>
          <w:color w:val="000000"/>
          <w:sz w:val="32"/>
          <w:szCs w:val="32"/>
          <w:highlight w:val="none"/>
          <w:u w:val="single"/>
          <w:lang w:val="en-US" w:eastAsia="zh-CN"/>
        </w:rPr>
        <w:t>告</w:t>
      </w:r>
    </w:p>
    <w:p w14:paraId="057FE733">
      <w:pPr>
        <w:tabs>
          <w:tab w:val="left" w:pos="1331"/>
        </w:tabs>
        <w:bidi w:val="0"/>
        <w:jc w:val="left"/>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（至少提供资产负债表、利润表、现金流量表，投标人成立不满一年无需提供）</w:t>
      </w:r>
    </w:p>
    <w:p w14:paraId="4778C699">
      <w:pPr>
        <w:pStyle w:val="11"/>
        <w:spacing w:beforeAutospacing="0" w:afterAutospacing="0" w:line="0" w:lineRule="atLeast"/>
        <w:ind w:firstLine="480"/>
        <w:jc w:val="both"/>
        <w:rPr>
          <w:highlight w:val="none"/>
        </w:rPr>
      </w:pPr>
    </w:p>
    <w:p w14:paraId="7F1E7E29">
      <w:pPr>
        <w:pStyle w:val="11"/>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三</w:t>
      </w:r>
      <w:r>
        <w:rPr>
          <w:rFonts w:hint="eastAsia" w:ascii="黑体" w:hAnsi="宋体" w:eastAsia="黑体" w:cs="黑体"/>
          <w:i/>
          <w:color w:val="000000"/>
          <w:sz w:val="32"/>
          <w:szCs w:val="32"/>
          <w:highlight w:val="none"/>
          <w:u w:val="single"/>
        </w:rPr>
        <w:t>、具备履行合同所必需的设备和专业技术能力的书面声明</w:t>
      </w:r>
    </w:p>
    <w:p w14:paraId="472E9ABD">
      <w:pPr>
        <w:pStyle w:val="11"/>
        <w:spacing w:beforeAutospacing="0" w:afterAutospacing="0" w:line="0" w:lineRule="atLeast"/>
        <w:ind w:firstLine="492"/>
        <w:jc w:val="both"/>
        <w:rPr>
          <w:highlight w:val="none"/>
        </w:rPr>
      </w:pPr>
      <w:r>
        <w:rPr>
          <w:rFonts w:hint="eastAsia" w:ascii="宋体" w:hAnsi="宋体" w:eastAsia="宋体" w:cs="宋体"/>
          <w:color w:val="000000"/>
          <w:highlight w:val="none"/>
        </w:rPr>
        <w:t>我单位郑重声明：我单位具备履行本项采购合同所必需的设备和专业技术能力，为履行本项采购合同我公司具备如下主要设备和主要专业技术能力：</w:t>
      </w:r>
    </w:p>
    <w:p w14:paraId="0075AA8D">
      <w:pPr>
        <w:pStyle w:val="11"/>
        <w:spacing w:beforeAutospacing="0" w:afterAutospacing="0" w:line="0" w:lineRule="atLeast"/>
        <w:ind w:firstLine="492"/>
        <w:jc w:val="both"/>
        <w:rPr>
          <w:rFonts w:hint="eastAsia" w:ascii="宋体" w:hAnsi="宋体" w:eastAsia="宋体" w:cs="宋体"/>
          <w:color w:val="000000"/>
          <w:highlight w:val="none"/>
        </w:rPr>
      </w:pPr>
      <w:r>
        <w:rPr>
          <w:rFonts w:hint="eastAsia" w:ascii="宋体" w:hAnsi="宋体" w:eastAsia="宋体" w:cs="宋体"/>
          <w:color w:val="000000"/>
          <w:highlight w:val="none"/>
        </w:rPr>
        <w:t>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w:t>
      </w:r>
    </w:p>
    <w:p w14:paraId="3BCA7677">
      <w:pPr>
        <w:pStyle w:val="11"/>
        <w:spacing w:beforeAutospacing="0" w:afterAutospacing="0" w:line="0" w:lineRule="atLeast"/>
        <w:ind w:firstLine="492"/>
        <w:jc w:val="both"/>
        <w:rPr>
          <w:rFonts w:hint="eastAsia" w:ascii="宋体" w:hAnsi="宋体" w:eastAsia="宋体" w:cs="宋体"/>
          <w:color w:val="000000"/>
          <w:highlight w:val="none"/>
        </w:rPr>
      </w:pPr>
      <w:r>
        <w:rPr>
          <w:rFonts w:hint="eastAsia" w:ascii="宋体" w:hAnsi="宋体" w:eastAsia="宋体" w:cs="宋体"/>
          <w:color w:val="000000"/>
          <w:highlight w:val="none"/>
        </w:rPr>
        <w:t>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1E537BF6">
      <w:pPr>
        <w:pStyle w:val="11"/>
        <w:spacing w:beforeAutospacing="0" w:afterAutospacing="0" w:line="0" w:lineRule="atLeast"/>
        <w:ind w:firstLine="492"/>
        <w:jc w:val="both"/>
        <w:rPr>
          <w:rFonts w:hint="eastAsia" w:ascii="宋体" w:hAnsi="宋体" w:eastAsia="宋体" w:cs="宋体"/>
          <w:color w:val="000000"/>
          <w:highlight w:val="none"/>
        </w:rPr>
      </w:pPr>
    </w:p>
    <w:p w14:paraId="7E763E7C">
      <w:pPr>
        <w:pStyle w:val="11"/>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四</w:t>
      </w:r>
      <w:r>
        <w:rPr>
          <w:rFonts w:hint="eastAsia" w:ascii="黑体" w:hAnsi="宋体" w:eastAsia="黑体" w:cs="黑体"/>
          <w:i/>
          <w:color w:val="000000"/>
          <w:sz w:val="32"/>
          <w:szCs w:val="32"/>
          <w:highlight w:val="none"/>
          <w:u w:val="single"/>
        </w:rPr>
        <w:t>、依法缴纳税收和社会保障资金的相关材料</w:t>
      </w:r>
    </w:p>
    <w:p w14:paraId="573B755F">
      <w:pPr>
        <w:pStyle w:val="11"/>
        <w:spacing w:beforeAutospacing="0" w:afterAutospacing="0"/>
        <w:ind w:firstLine="480"/>
        <w:jc w:val="both"/>
        <w:rPr>
          <w:rFonts w:hint="eastAsia" w:ascii="宋体" w:hAnsi="宋体" w:eastAsia="宋体" w:cs="宋体"/>
          <w:color w:val="000000"/>
          <w:highlight w:val="none"/>
        </w:rPr>
      </w:pPr>
      <w:bookmarkStart w:id="195" w:name="_Toc120614284"/>
      <w:r>
        <w:rPr>
          <w:rFonts w:hint="eastAsia" w:ascii="宋体" w:hAnsi="宋体" w:eastAsia="宋体" w:cs="宋体"/>
          <w:color w:val="000000"/>
          <w:highlight w:val="none"/>
        </w:rPr>
        <w:t>提供提交投标文件截止时间前一年内至少一个月依法缴纳税收及缴纳社会保障资金的证明材料。投标人依法享受缓缴、免缴税收、社会保障资金的提供证明材料。</w:t>
      </w:r>
      <w:bookmarkEnd w:id="195"/>
    </w:p>
    <w:p w14:paraId="72942F14">
      <w:pPr>
        <w:pStyle w:val="11"/>
        <w:spacing w:beforeAutospacing="0" w:afterAutospacing="0"/>
        <w:ind w:firstLine="480"/>
        <w:jc w:val="both"/>
        <w:rPr>
          <w:rFonts w:hint="eastAsia" w:ascii="宋体" w:hAnsi="宋体" w:eastAsia="宋体" w:cs="宋体"/>
          <w:color w:val="000000"/>
          <w:highlight w:val="none"/>
        </w:rPr>
      </w:pPr>
    </w:p>
    <w:p w14:paraId="363F6DD6">
      <w:pPr>
        <w:pStyle w:val="11"/>
        <w:spacing w:beforeAutospacing="0" w:afterAutospacing="0"/>
        <w:jc w:val="both"/>
        <w:rPr>
          <w:highlight w:val="none"/>
        </w:rPr>
      </w:pPr>
      <w:r>
        <w:rPr>
          <w:rFonts w:hint="eastAsia" w:ascii="黑体" w:hAnsi="宋体" w:eastAsia="黑体" w:cs="黑体"/>
          <w:i/>
          <w:color w:val="000000"/>
          <w:sz w:val="32"/>
          <w:szCs w:val="32"/>
          <w:highlight w:val="none"/>
          <w:u w:val="single"/>
        </w:rPr>
        <w:t>五、参加政府采购活动前 3 年内在经营活动中没有重大违法记录的书面声明</w:t>
      </w:r>
    </w:p>
    <w:p w14:paraId="493AC879">
      <w:pPr>
        <w:pStyle w:val="11"/>
        <w:spacing w:beforeAutospacing="0" w:afterAutospacing="0" w:line="0" w:lineRule="atLeast"/>
        <w:jc w:val="center"/>
        <w:rPr>
          <w:highlight w:val="none"/>
        </w:rPr>
      </w:pPr>
      <w:r>
        <w:rPr>
          <w:rFonts w:hint="eastAsia" w:ascii="宋体" w:hAnsi="宋体" w:eastAsia="宋体" w:cs="宋体"/>
          <w:b/>
          <w:color w:val="000000"/>
          <w:sz w:val="44"/>
          <w:szCs w:val="44"/>
          <w:highlight w:val="none"/>
        </w:rPr>
        <w:t>声  明</w:t>
      </w:r>
    </w:p>
    <w:p w14:paraId="41791563">
      <w:pPr>
        <w:pStyle w:val="11"/>
        <w:spacing w:beforeAutospacing="0" w:afterAutospacing="0" w:line="0" w:lineRule="atLeast"/>
        <w:ind w:firstLine="480" w:firstLineChars="200"/>
        <w:jc w:val="both"/>
        <w:rPr>
          <w:highlight w:val="none"/>
        </w:rPr>
      </w:pPr>
      <w:r>
        <w:rPr>
          <w:rFonts w:hint="eastAsia" w:ascii="宋体" w:hAnsi="宋体" w:eastAsia="宋体" w:cs="宋体"/>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6119E2AF">
      <w:pPr>
        <w:pStyle w:val="11"/>
        <w:spacing w:beforeAutospacing="0" w:afterAutospacing="0"/>
        <w:jc w:val="both"/>
        <w:rPr>
          <w:highlight w:val="none"/>
        </w:rPr>
      </w:pPr>
      <w:r>
        <w:rPr>
          <w:highlight w:val="none"/>
        </w:rPr>
        <w:t> </w:t>
      </w:r>
    </w:p>
    <w:p w14:paraId="03822A78">
      <w:pPr>
        <w:pStyle w:val="11"/>
        <w:spacing w:beforeAutospacing="0" w:afterAutospacing="0"/>
        <w:jc w:val="both"/>
        <w:rPr>
          <w:highlight w:val="none"/>
        </w:rPr>
      </w:pPr>
      <w:r>
        <w:rPr>
          <w:rFonts w:hint="eastAsia" w:ascii="黑体" w:hAnsi="宋体" w:eastAsia="黑体" w:cs="黑体"/>
          <w:i/>
          <w:color w:val="000000"/>
          <w:sz w:val="32"/>
          <w:szCs w:val="32"/>
          <w:highlight w:val="none"/>
          <w:u w:val="single"/>
        </w:rPr>
        <w:t>六、特定资格要求的证明文件</w:t>
      </w:r>
    </w:p>
    <w:p w14:paraId="5F16B80B">
      <w:pPr>
        <w:pStyle w:val="11"/>
        <w:spacing w:beforeAutospacing="0" w:afterAutospacing="0" w:line="0" w:lineRule="atLeast"/>
        <w:ind w:firstLine="480" w:firstLineChars="200"/>
        <w:jc w:val="both"/>
        <w:rPr>
          <w:rFonts w:hint="eastAsia" w:ascii="宋体" w:hAnsi="宋体" w:eastAsia="宋体" w:cs="宋体"/>
          <w:color w:val="000000"/>
          <w:highlight w:val="none"/>
        </w:rPr>
      </w:pPr>
      <w:r>
        <w:rPr>
          <w:rFonts w:hint="eastAsia" w:ascii="宋体" w:hAnsi="宋体" w:eastAsia="宋体" w:cs="宋体"/>
          <w:color w:val="000000"/>
          <w:highlight w:val="none"/>
        </w:rPr>
        <w:t>如果本项目申请人的特定资格要求中要求提供的，必须提供。</w:t>
      </w:r>
    </w:p>
    <w:p w14:paraId="4C7AE4BB">
      <w:pPr>
        <w:pStyle w:val="11"/>
        <w:spacing w:beforeAutospacing="0" w:afterAutospacing="0" w:line="0" w:lineRule="atLeast"/>
        <w:ind w:firstLine="480" w:firstLineChars="200"/>
        <w:jc w:val="both"/>
        <w:rPr>
          <w:highlight w:val="none"/>
        </w:rPr>
      </w:pPr>
      <w:r>
        <w:rPr>
          <w:rFonts w:hint="eastAsia" w:ascii="宋体" w:hAnsi="宋体" w:eastAsia="宋体" w:cs="宋体"/>
          <w:color w:val="000000"/>
          <w:highlight w:val="none"/>
        </w:rPr>
        <w:t>1.投标人如委托被授权人参与，则被授权人须为本单位正式职工并提供投标人近期为被授权人缴纳的社会养老保险证明。</w:t>
      </w:r>
    </w:p>
    <w:p w14:paraId="4F82CDD6">
      <w:pPr>
        <w:pStyle w:val="11"/>
        <w:spacing w:beforeAutospacing="0" w:afterAutospacing="0" w:line="0" w:lineRule="atLeast"/>
        <w:jc w:val="both"/>
        <w:rPr>
          <w:highlight w:val="none"/>
        </w:rPr>
      </w:pPr>
      <w:r>
        <w:rPr>
          <w:highlight w:val="none"/>
        </w:rPr>
        <w:t> </w:t>
      </w:r>
    </w:p>
    <w:p w14:paraId="18734FE7">
      <w:pPr>
        <w:pStyle w:val="11"/>
        <w:spacing w:beforeAutospacing="0" w:afterAutospacing="0"/>
        <w:jc w:val="center"/>
        <w:rPr>
          <w:rFonts w:ascii="黑体" w:hAnsi="宋体" w:eastAsia="黑体" w:cs="黑体"/>
          <w:i/>
          <w:color w:val="000000"/>
          <w:sz w:val="32"/>
          <w:szCs w:val="32"/>
          <w:highlight w:val="none"/>
          <w:u w:val="single"/>
        </w:rPr>
      </w:pPr>
    </w:p>
    <w:p w14:paraId="3819BF7B">
      <w:pPr>
        <w:pStyle w:val="11"/>
        <w:spacing w:beforeAutospacing="0" w:afterAutospacing="0"/>
        <w:jc w:val="center"/>
        <w:rPr>
          <w:rFonts w:ascii="黑体" w:hAnsi="宋体" w:eastAsia="黑体" w:cs="黑体"/>
          <w:i/>
          <w:color w:val="000000"/>
          <w:sz w:val="32"/>
          <w:szCs w:val="32"/>
          <w:highlight w:val="none"/>
          <w:u w:val="single"/>
        </w:rPr>
      </w:pPr>
    </w:p>
    <w:p w14:paraId="24A61D77">
      <w:pPr>
        <w:pStyle w:val="11"/>
        <w:spacing w:beforeAutospacing="0" w:afterAutospacing="0"/>
        <w:jc w:val="center"/>
        <w:rPr>
          <w:rFonts w:ascii="黑体" w:hAnsi="宋体" w:eastAsia="黑体" w:cs="黑体"/>
          <w:i/>
          <w:color w:val="000000"/>
          <w:sz w:val="32"/>
          <w:szCs w:val="32"/>
          <w:highlight w:val="none"/>
          <w:u w:val="single"/>
        </w:rPr>
      </w:pPr>
    </w:p>
    <w:p w14:paraId="429D58A5">
      <w:pPr>
        <w:pStyle w:val="11"/>
        <w:spacing w:beforeAutospacing="0" w:afterAutospacing="0"/>
        <w:jc w:val="center"/>
        <w:rPr>
          <w:i w:val="0"/>
          <w:iCs/>
          <w:highlight w:val="none"/>
          <w:u w:val="none"/>
        </w:rPr>
      </w:pPr>
      <w:r>
        <w:rPr>
          <w:rFonts w:hint="eastAsia" w:ascii="黑体" w:hAnsi="宋体" w:eastAsia="黑体" w:cs="黑体"/>
          <w:i w:val="0"/>
          <w:iCs/>
          <w:color w:val="000000"/>
          <w:sz w:val="32"/>
          <w:szCs w:val="32"/>
          <w:highlight w:val="none"/>
          <w:u w:val="none"/>
        </w:rPr>
        <w:t>七、法人授权书</w:t>
      </w:r>
    </w:p>
    <w:p w14:paraId="14F4F68C">
      <w:pPr>
        <w:pStyle w:val="11"/>
        <w:tabs>
          <w:tab w:val="left" w:pos="360"/>
        </w:tabs>
        <w:spacing w:beforeAutospacing="0" w:afterAutospacing="0"/>
        <w:ind w:firstLine="480"/>
        <w:jc w:val="both"/>
        <w:rPr>
          <w:rFonts w:ascii="Times New Roman" w:hAnsi="Times New Roman"/>
          <w:color w:val="000000"/>
          <w:highlight w:val="none"/>
        </w:rPr>
      </w:pPr>
      <w:r>
        <w:rPr>
          <w:rFonts w:ascii="Times New Roman" w:hAnsi="Times New Roman"/>
          <w:color w:val="000000"/>
          <w:highlight w:val="none"/>
        </w:rPr>
        <w:t>本授权书声明：____________（投标人名称）授权____________（被授权人的姓名）为我方就JSZC-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号项目采购活动的合法代理人，以本单位名义全权处理一切与该项目采购有关的事务。</w:t>
      </w:r>
    </w:p>
    <w:p w14:paraId="102AEEDF">
      <w:pPr>
        <w:pStyle w:val="11"/>
        <w:tabs>
          <w:tab w:val="left" w:pos="360"/>
        </w:tabs>
        <w:spacing w:beforeAutospacing="0" w:afterAutospacing="0"/>
        <w:ind w:firstLine="480"/>
        <w:jc w:val="both"/>
        <w:rPr>
          <w:rFonts w:ascii="Times New Roman" w:hAnsi="Times New Roman"/>
          <w:color w:val="000000"/>
          <w:highlight w:val="none"/>
        </w:rPr>
      </w:pPr>
      <w:r>
        <w:rPr>
          <w:rFonts w:ascii="Times New Roman" w:hAnsi="Times New Roman"/>
          <w:color w:val="000000"/>
          <w:highlight w:val="none"/>
        </w:rPr>
        <w:t>本授权书于______年____月____日起生效，特此声明。</w:t>
      </w:r>
    </w:p>
    <w:p w14:paraId="360E3CC9">
      <w:pPr>
        <w:pStyle w:val="11"/>
        <w:tabs>
          <w:tab w:val="left" w:pos="360"/>
        </w:tabs>
        <w:spacing w:beforeAutospacing="0" w:afterAutospacing="0"/>
        <w:ind w:firstLine="480"/>
        <w:jc w:val="both"/>
        <w:rPr>
          <w:rFonts w:ascii="Times New Roman" w:hAnsi="Times New Roman"/>
          <w:color w:val="000000"/>
          <w:highlight w:val="none"/>
          <w:u w:val="single"/>
        </w:rPr>
      </w:pPr>
      <w:r>
        <w:rPr>
          <w:rFonts w:ascii="Times New Roman" w:hAnsi="Times New Roman"/>
          <w:color w:val="000000"/>
          <w:highlight w:val="none"/>
        </w:rPr>
        <w:t>被授权人身份证号码：</w:t>
      </w:r>
      <w:r>
        <w:rPr>
          <w:rFonts w:ascii="Times New Roman" w:hAnsi="Times New Roman"/>
          <w:color w:val="000000"/>
          <w:highlight w:val="none"/>
          <w:u w:val="single"/>
        </w:rPr>
        <w:t xml:space="preserve">                              </w:t>
      </w:r>
    </w:p>
    <w:p w14:paraId="59D69D75">
      <w:pPr>
        <w:pStyle w:val="11"/>
        <w:tabs>
          <w:tab w:val="left" w:pos="360"/>
        </w:tabs>
        <w:spacing w:beforeAutospacing="0" w:afterAutospacing="0"/>
        <w:ind w:firstLine="480"/>
        <w:jc w:val="both"/>
        <w:rPr>
          <w:rFonts w:ascii="Times New Roman" w:hAnsi="Times New Roman"/>
          <w:color w:val="000000"/>
          <w:highlight w:val="none"/>
          <w:u w:val="single"/>
        </w:rPr>
      </w:pPr>
      <w:r>
        <w:rPr>
          <w:rFonts w:ascii="Times New Roman" w:hAnsi="Times New Roman"/>
          <w:color w:val="000000"/>
          <w:highlight w:val="none"/>
        </w:rPr>
        <w:t>被授权人联系电话：（手机）</w:t>
      </w:r>
      <w:r>
        <w:rPr>
          <w:rFonts w:ascii="Times New Roman" w:hAnsi="Times New Roman"/>
          <w:color w:val="000000"/>
          <w:highlight w:val="none"/>
          <w:u w:val="single"/>
        </w:rPr>
        <w:t xml:space="preserve">                          </w:t>
      </w:r>
    </w:p>
    <w:p w14:paraId="0C625390">
      <w:pPr>
        <w:pStyle w:val="11"/>
        <w:tabs>
          <w:tab w:val="left" w:pos="360"/>
        </w:tabs>
        <w:spacing w:beforeAutospacing="0" w:afterAutospacing="0"/>
        <w:ind w:firstLine="480"/>
        <w:jc w:val="both"/>
        <w:rPr>
          <w:rFonts w:ascii="Times New Roman" w:hAnsi="Times New Roman"/>
          <w:color w:val="000000"/>
          <w:highlight w:val="none"/>
          <w:u w:val="single"/>
        </w:rPr>
      </w:pPr>
      <w:r>
        <w:rPr>
          <w:rFonts w:hint="eastAsia" w:ascii="Times New Roman" w:hAnsi="Times New Roman"/>
          <w:color w:val="000000"/>
          <w:highlight w:val="none"/>
          <w:u w:val="none"/>
        </w:rPr>
        <w:t>法定代表人或被授权人（签字或盖章）：</w:t>
      </w:r>
      <w:r>
        <w:rPr>
          <w:rFonts w:hint="eastAsia" w:ascii="Times New Roman" w:hAnsi="Times New Roman"/>
          <w:color w:val="000000"/>
          <w:highlight w:val="none"/>
          <w:u w:val="single"/>
        </w:rPr>
        <w:t xml:space="preserve">                 </w:t>
      </w:r>
    </w:p>
    <w:p w14:paraId="7F6149C3">
      <w:pPr>
        <w:pStyle w:val="11"/>
        <w:tabs>
          <w:tab w:val="left" w:pos="360"/>
        </w:tabs>
        <w:spacing w:beforeAutospacing="0" w:afterAutospacing="0"/>
        <w:ind w:firstLine="480"/>
        <w:jc w:val="both"/>
        <w:rPr>
          <w:rFonts w:ascii="Times New Roman" w:hAnsi="Times New Roman"/>
          <w:color w:val="000000"/>
          <w:highlight w:val="none"/>
          <w:u w:val="single"/>
        </w:rPr>
      </w:pPr>
      <w:r>
        <w:rPr>
          <w:rFonts w:ascii="Times New Roman" w:hAnsi="Times New Roman"/>
          <w:color w:val="000000"/>
          <w:highlight w:val="none"/>
        </w:rPr>
        <w:t>授权单位名称：</w:t>
      </w:r>
      <w:r>
        <w:rPr>
          <w:rFonts w:ascii="Times New Roman" w:hAnsi="Times New Roman"/>
          <w:color w:val="000000"/>
          <w:highlight w:val="none"/>
          <w:u w:val="single"/>
        </w:rPr>
        <w:t>（加盖CA电子公章）</w:t>
      </w:r>
    </w:p>
    <w:p w14:paraId="29AF09E6">
      <w:pPr>
        <w:pStyle w:val="11"/>
        <w:tabs>
          <w:tab w:val="left" w:pos="360"/>
        </w:tabs>
        <w:spacing w:beforeAutospacing="0" w:afterAutospacing="0"/>
        <w:ind w:firstLine="480"/>
        <w:jc w:val="both"/>
        <w:rPr>
          <w:rFonts w:ascii="Times New Roman" w:hAnsi="Times New Roman"/>
          <w:color w:val="000000"/>
          <w:highlight w:val="none"/>
          <w:u w:val="single"/>
        </w:rPr>
      </w:pPr>
      <w:r>
        <w:rPr>
          <w:rFonts w:ascii="Times New Roman" w:hAnsi="Times New Roman"/>
          <w:color w:val="000000"/>
          <w:highlight w:val="none"/>
        </w:rPr>
        <w:t>单位地址：</w:t>
      </w:r>
      <w:r>
        <w:rPr>
          <w:rFonts w:ascii="Times New Roman" w:hAnsi="Times New Roman"/>
          <w:color w:val="000000"/>
          <w:highlight w:val="none"/>
          <w:u w:val="single"/>
        </w:rPr>
        <w:t xml:space="preserve">                                         </w:t>
      </w:r>
    </w:p>
    <w:p w14:paraId="747B88F2">
      <w:pPr>
        <w:pStyle w:val="11"/>
        <w:tabs>
          <w:tab w:val="left" w:pos="360"/>
        </w:tabs>
        <w:spacing w:beforeAutospacing="0" w:afterAutospacing="0"/>
        <w:ind w:firstLine="480"/>
        <w:jc w:val="both"/>
        <w:rPr>
          <w:highlight w:val="none"/>
        </w:rPr>
      </w:pPr>
      <w:r>
        <w:rPr>
          <w:rFonts w:ascii="Times New Roman" w:hAnsi="Times New Roman"/>
          <w:color w:val="000000"/>
          <w:highlight w:val="none"/>
        </w:rPr>
        <w:t>日期：</w:t>
      </w:r>
      <w:bookmarkStart w:id="196" w:name="_Hlt26671380"/>
      <w:bookmarkStart w:id="197" w:name="_Hlt26955070"/>
      <w:bookmarkStart w:id="198" w:name="_格式3__银行出具的资信证明"/>
      <w:r>
        <w:rPr>
          <w:rFonts w:ascii="Times New Roman" w:hAnsi="Times New Roman"/>
          <w:color w:val="000000"/>
          <w:highlight w:val="none"/>
          <w:u w:val="single"/>
        </w:rPr>
        <w:t xml:space="preserve">                                         </w:t>
      </w:r>
    </w:p>
    <w:p w14:paraId="7240DC73">
      <w:pPr>
        <w:pStyle w:val="11"/>
        <w:tabs>
          <w:tab w:val="left" w:pos="360"/>
        </w:tabs>
        <w:spacing w:beforeAutospacing="0" w:afterAutospacing="0"/>
        <w:jc w:val="both"/>
        <w:rPr>
          <w:rFonts w:hint="eastAsia" w:ascii="Times New Roman" w:hAnsi="Times New Roman"/>
          <w:color w:val="000000"/>
          <w:highlight w:val="none"/>
        </w:rPr>
      </w:pPr>
    </w:p>
    <w:p w14:paraId="3A7E2BDD">
      <w:pPr>
        <w:pStyle w:val="11"/>
        <w:tabs>
          <w:tab w:val="left" w:pos="360"/>
        </w:tabs>
        <w:spacing w:beforeAutospacing="0" w:afterAutospacing="0"/>
        <w:jc w:val="both"/>
        <w:rPr>
          <w:rFonts w:hint="eastAsia" w:ascii="Times New Roman" w:hAnsi="Times New Roman"/>
          <w:color w:val="000000"/>
          <w:highlight w:val="none"/>
        </w:rPr>
      </w:pPr>
      <w:r>
        <w:rPr>
          <w:rFonts w:hint="eastAsia" w:ascii="Times New Roman" w:hAnsi="Times New Roman"/>
          <w:color w:val="000000"/>
          <w:highlight w:val="none"/>
        </w:rPr>
        <w:t>（附：被授权人身份证正反面复印件）</w:t>
      </w:r>
    </w:p>
    <w:p w14:paraId="47F9A0C6">
      <w:pPr>
        <w:pStyle w:val="11"/>
        <w:tabs>
          <w:tab w:val="left" w:pos="360"/>
        </w:tabs>
        <w:spacing w:beforeAutospacing="0" w:afterAutospacing="0"/>
        <w:ind w:firstLine="480" w:firstLineChars="200"/>
        <w:jc w:val="both"/>
        <w:rPr>
          <w:rFonts w:hint="eastAsia" w:ascii="Times New Roman" w:hAnsi="Times New Roman"/>
          <w:color w:val="000000"/>
          <w:highlight w:val="none"/>
        </w:rPr>
      </w:pPr>
      <w:r>
        <w:rPr>
          <w:rFonts w:hint="eastAsia" w:ascii="Times New Roman" w:hAnsi="Times New Roman"/>
          <w:color w:val="000000"/>
          <w:highlight w:val="none"/>
        </w:rPr>
        <w:t>注：1、授权人须为本单位正式职工并提供投标人为被授权人缴纳的社会养老保险证明。</w:t>
      </w:r>
    </w:p>
    <w:p w14:paraId="5F75C7E5">
      <w:pPr>
        <w:pStyle w:val="11"/>
        <w:tabs>
          <w:tab w:val="left" w:pos="360"/>
        </w:tabs>
        <w:spacing w:beforeAutospacing="0" w:afterAutospacing="0"/>
        <w:ind w:firstLine="960" w:firstLineChars="400"/>
        <w:jc w:val="both"/>
        <w:rPr>
          <w:rFonts w:hint="default" w:ascii="Times New Roman" w:hAnsi="Times New Roman"/>
          <w:color w:val="000000"/>
          <w:highlight w:val="none"/>
        </w:rPr>
      </w:pPr>
      <w:r>
        <w:rPr>
          <w:rFonts w:hint="eastAsia" w:ascii="Times New Roman" w:hAnsi="Times New Roman"/>
          <w:color w:val="000000"/>
          <w:highlight w:val="none"/>
        </w:rPr>
        <w:t>2、法定表人亲自参加时无需提供授权书及保险证明</w:t>
      </w:r>
    </w:p>
    <w:p w14:paraId="0016F04B">
      <w:pPr>
        <w:pStyle w:val="11"/>
        <w:spacing w:beforeAutospacing="0" w:afterAutospacing="0"/>
        <w:jc w:val="both"/>
        <w:rPr>
          <w:highlight w:val="none"/>
        </w:rPr>
      </w:pPr>
    </w:p>
    <w:p w14:paraId="35C87C39">
      <w:pPr>
        <w:pStyle w:val="11"/>
        <w:spacing w:beforeAutospacing="0" w:afterAutospacing="0" w:line="0" w:lineRule="atLeast"/>
        <w:jc w:val="both"/>
        <w:rPr>
          <w:highlight w:val="none"/>
        </w:rPr>
      </w:pPr>
      <w:r>
        <w:rPr>
          <w:highlight w:val="none"/>
        </w:rPr>
        <w:t> </w:t>
      </w:r>
    </w:p>
    <w:p w14:paraId="4937D57C">
      <w:pPr>
        <w:pStyle w:val="11"/>
        <w:spacing w:beforeAutospacing="0" w:afterAutospacing="0" w:line="0" w:lineRule="atLeast"/>
        <w:jc w:val="both"/>
        <w:rPr>
          <w:highlight w:val="none"/>
        </w:rPr>
      </w:pPr>
      <w:r>
        <w:rPr>
          <w:highlight w:val="none"/>
        </w:rPr>
        <w:t> </w:t>
      </w:r>
    </w:p>
    <w:p w14:paraId="0F02C396">
      <w:pPr>
        <w:pStyle w:val="11"/>
        <w:keepNext/>
        <w:keepLines/>
        <w:spacing w:before="260" w:beforeAutospacing="0" w:after="260" w:afterAutospacing="0" w:line="415" w:lineRule="auto"/>
        <w:jc w:val="center"/>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r>
      <w:r>
        <w:rPr>
          <w:rFonts w:hint="eastAsia" w:ascii="黑体" w:hAnsi="宋体" w:eastAsia="黑体" w:cs="黑体"/>
          <w:b/>
          <w:color w:val="000000"/>
          <w:sz w:val="32"/>
          <w:szCs w:val="32"/>
          <w:highlight w:val="none"/>
        </w:rPr>
        <w:t>八、投标函</w:t>
      </w:r>
    </w:p>
    <w:p w14:paraId="26D1CCB0">
      <w:pPr>
        <w:pStyle w:val="11"/>
        <w:spacing w:beforeAutospacing="0" w:afterAutospacing="0" w:line="0" w:lineRule="atLeast"/>
        <w:rPr>
          <w:highlight w:val="none"/>
        </w:rPr>
      </w:pPr>
      <w:r>
        <w:rPr>
          <w:rFonts w:hint="eastAsia" w:ascii="宋体" w:hAnsi="宋体" w:eastAsia="宋体" w:cs="宋体"/>
          <w:color w:val="000000"/>
          <w:highlight w:val="none"/>
        </w:rPr>
        <w:t>致：</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rPr>
        <w:t>（采购人）</w:t>
      </w:r>
    </w:p>
    <w:p w14:paraId="2DE50441">
      <w:pPr>
        <w:pStyle w:val="11"/>
        <w:spacing w:beforeAutospacing="0" w:afterAutospacing="0" w:line="0" w:lineRule="atLeast"/>
        <w:ind w:firstLine="480"/>
        <w:rPr>
          <w:highlight w:val="none"/>
        </w:rPr>
      </w:pPr>
      <w:r>
        <w:rPr>
          <w:rFonts w:hint="eastAsia" w:ascii="宋体" w:hAnsi="宋体" w:eastAsia="宋体" w:cs="宋体"/>
          <w:color w:val="000000"/>
          <w:highlight w:val="none"/>
        </w:rPr>
        <w:t>根据贵方的</w:t>
      </w:r>
      <w:r>
        <w:rPr>
          <w:rFonts w:hint="eastAsia" w:ascii="宋体" w:hAnsi="宋体" w:eastAsia="宋体" w:cs="宋体"/>
          <w:color w:val="000000"/>
        </w:rPr>
        <w:t>JSZC-***</w:t>
      </w:r>
      <w:r>
        <w:rPr>
          <w:rFonts w:hint="eastAsia" w:ascii="宋体" w:hAnsi="宋体" w:eastAsia="宋体" w:cs="宋体"/>
          <w:b/>
          <w:color w:val="000000"/>
          <w:sz w:val="36"/>
          <w:szCs w:val="36"/>
          <w:u w:val="single"/>
        </w:rPr>
        <w:t>        </w:t>
      </w:r>
      <w:r>
        <w:rPr>
          <w:rFonts w:hint="eastAsia"/>
          <w:u w:val="single"/>
        </w:rPr>
        <w:t>（项目编号）</w:t>
      </w:r>
      <w:r>
        <w:rPr>
          <w:rFonts w:hint="eastAsia" w:ascii="宋体" w:hAnsi="宋体" w:eastAsia="宋体" w:cs="宋体"/>
          <w:b/>
          <w:color w:val="000000"/>
          <w:sz w:val="36"/>
          <w:szCs w:val="36"/>
          <w:u w:val="single"/>
        </w:rPr>
        <w:t xml:space="preserve"> </w:t>
      </w:r>
      <w:r>
        <w:rPr>
          <w:rFonts w:hint="eastAsia" w:ascii="宋体" w:hAnsi="宋体" w:eastAsia="宋体" w:cs="宋体"/>
          <w:color w:val="000000"/>
          <w:highlight w:val="none"/>
        </w:rPr>
        <w:t>号招标文件，正式授权下述签字人______(姓名)代表我方______________（投标人的名称），全权处理本次项目投标的有关事宜。</w:t>
      </w:r>
    </w:p>
    <w:p w14:paraId="64F87FD4">
      <w:pPr>
        <w:pStyle w:val="11"/>
        <w:spacing w:beforeAutospacing="0" w:afterAutospacing="0" w:line="0" w:lineRule="atLeast"/>
        <w:ind w:firstLine="480"/>
        <w:rPr>
          <w:highlight w:val="none"/>
        </w:rPr>
      </w:pPr>
      <w:r>
        <w:rPr>
          <w:rFonts w:hint="eastAsia" w:ascii="宋体" w:hAnsi="宋体" w:eastAsia="宋体" w:cs="宋体"/>
          <w:color w:val="000000"/>
          <w:highlight w:val="none"/>
        </w:rPr>
        <w:t>据此函，__________签字人兹宣布同意如下：</w:t>
      </w:r>
    </w:p>
    <w:p w14:paraId="313F2607">
      <w:pPr>
        <w:pStyle w:val="11"/>
        <w:spacing w:beforeAutospacing="0" w:afterAutospacing="0" w:line="0" w:lineRule="atLeast"/>
        <w:ind w:firstLine="480"/>
        <w:rPr>
          <w:highlight w:val="none"/>
        </w:rPr>
      </w:pPr>
      <w:r>
        <w:rPr>
          <w:rFonts w:hint="eastAsia" w:ascii="宋体" w:hAnsi="宋体" w:eastAsia="宋体" w:cs="宋体"/>
          <w:color w:val="000000"/>
          <w:highlight w:val="none"/>
        </w:rPr>
        <w:t>1.按招标文件规定的各项要求，向买方提供所需服务（包含与服务相关的货物）。</w:t>
      </w:r>
    </w:p>
    <w:p w14:paraId="473EF1FB">
      <w:pPr>
        <w:pStyle w:val="11"/>
        <w:spacing w:beforeAutospacing="0" w:afterAutospacing="0" w:line="0" w:lineRule="atLeast"/>
        <w:ind w:firstLine="480"/>
        <w:rPr>
          <w:highlight w:val="none"/>
        </w:rPr>
      </w:pPr>
      <w:r>
        <w:rPr>
          <w:rFonts w:hint="eastAsia" w:ascii="宋体" w:hAnsi="宋体" w:eastAsia="宋体" w:cs="宋体"/>
          <w:color w:val="000000"/>
          <w:highlight w:val="none"/>
        </w:rPr>
        <w:t>2.我们完全理解贵方不一定将合同授予最低报价的投标人。</w:t>
      </w:r>
    </w:p>
    <w:p w14:paraId="58062D8A">
      <w:pPr>
        <w:pStyle w:val="11"/>
        <w:spacing w:beforeAutospacing="0" w:afterAutospacing="0" w:line="0" w:lineRule="atLeast"/>
        <w:ind w:firstLine="480"/>
        <w:rPr>
          <w:highlight w:val="none"/>
        </w:rPr>
      </w:pPr>
      <w:r>
        <w:rPr>
          <w:rFonts w:hint="eastAsia" w:ascii="宋体" w:hAnsi="宋体" w:eastAsia="宋体" w:cs="宋体"/>
          <w:color w:val="000000"/>
          <w:highlight w:val="none"/>
        </w:rPr>
        <w:t>3.我们已详细审核全部招标文件及其有效补充文件，我们知道必须放弃提出含糊不清或误解问题的权利。</w:t>
      </w:r>
    </w:p>
    <w:p w14:paraId="08CB0CD4">
      <w:pPr>
        <w:pStyle w:val="11"/>
        <w:spacing w:beforeAutospacing="0" w:afterAutospacing="0" w:line="0" w:lineRule="atLeast"/>
        <w:ind w:firstLine="480"/>
        <w:rPr>
          <w:highlight w:val="none"/>
        </w:rPr>
      </w:pPr>
      <w:r>
        <w:rPr>
          <w:rFonts w:hint="eastAsia" w:ascii="宋体" w:hAnsi="宋体" w:eastAsia="宋体" w:cs="宋体"/>
          <w:color w:val="000000"/>
          <w:highlight w:val="none"/>
        </w:rPr>
        <w:t>4.我们同意从规定的开标日期起遵循本投标文件，并在规定的投标有效期期满之前均具有约束力。</w:t>
      </w:r>
    </w:p>
    <w:p w14:paraId="209DD427">
      <w:pPr>
        <w:pStyle w:val="11"/>
        <w:spacing w:beforeAutospacing="0" w:afterAutospacing="0" w:line="0" w:lineRule="atLeast"/>
        <w:ind w:firstLine="480"/>
        <w:rPr>
          <w:highlight w:val="none"/>
        </w:rPr>
      </w:pPr>
      <w:r>
        <w:rPr>
          <w:rFonts w:hint="eastAsia" w:ascii="宋体" w:hAnsi="宋体" w:eastAsia="宋体" w:cs="宋体"/>
          <w:color w:val="000000"/>
          <w:highlight w:val="none"/>
        </w:rPr>
        <w:t>5.同意向贵方提供贵方可能另外要求的与投标有关的任何证据或资料，并保证我方已提供和将要提供的文件是真实的、准确的。</w:t>
      </w:r>
    </w:p>
    <w:p w14:paraId="1F9BB1C3">
      <w:pPr>
        <w:pStyle w:val="11"/>
        <w:spacing w:beforeAutospacing="0" w:afterAutospacing="0" w:line="0" w:lineRule="atLeast"/>
        <w:ind w:firstLine="480"/>
        <w:rPr>
          <w:highlight w:val="none"/>
        </w:rPr>
      </w:pPr>
      <w:r>
        <w:rPr>
          <w:rFonts w:hint="eastAsia" w:ascii="宋体" w:hAnsi="宋体" w:eastAsia="宋体" w:cs="宋体"/>
          <w:color w:val="000000"/>
          <w:highlight w:val="none"/>
        </w:rPr>
        <w:t>6.一旦我方中标,我方将根据招标文件的规定，严格履行合同的责任和义务,并保证在招标文件规定的时间完成项目，交付买方验收、使用。</w:t>
      </w:r>
    </w:p>
    <w:p w14:paraId="7F010EAF">
      <w:pPr>
        <w:pStyle w:val="11"/>
        <w:spacing w:beforeAutospacing="0" w:afterAutospacing="0" w:line="0" w:lineRule="atLeast"/>
        <w:ind w:firstLine="480"/>
        <w:rPr>
          <w:rFonts w:hint="eastAsia" w:ascii="宋体" w:hAnsi="宋体" w:eastAsia="宋体" w:cs="宋体"/>
          <w:color w:val="000000"/>
          <w:highlight w:val="none"/>
        </w:rPr>
      </w:pPr>
      <w:r>
        <w:rPr>
          <w:rFonts w:hint="eastAsia" w:ascii="宋体" w:hAnsi="宋体" w:eastAsia="宋体" w:cs="宋体"/>
          <w:color w:val="000000"/>
          <w:highlight w:val="none"/>
        </w:rPr>
        <w:t>7.与本投标有关的正式通讯地址为：</w:t>
      </w:r>
    </w:p>
    <w:p w14:paraId="3267A9FE">
      <w:pPr>
        <w:pStyle w:val="11"/>
        <w:spacing w:beforeAutospacing="0" w:afterAutospacing="0" w:line="0" w:lineRule="atLeast"/>
        <w:ind w:firstLine="480"/>
        <w:rPr>
          <w:rFonts w:hint="eastAsia" w:ascii="宋体" w:hAnsi="宋体" w:eastAsia="宋体" w:cs="宋体"/>
          <w:color w:val="000000"/>
          <w:highlight w:val="none"/>
        </w:rPr>
      </w:pPr>
      <w:r>
        <w:rPr>
          <w:rFonts w:hint="eastAsia" w:ascii="宋体" w:hAnsi="宋体" w:eastAsia="宋体" w:cs="宋体"/>
          <w:color w:val="000000"/>
          <w:highlight w:val="none"/>
        </w:rPr>
        <w:t>地址：</w:t>
      </w:r>
    </w:p>
    <w:p w14:paraId="344BE45D">
      <w:pPr>
        <w:pStyle w:val="11"/>
        <w:spacing w:beforeAutospacing="0" w:afterAutospacing="0" w:line="0" w:lineRule="atLeast"/>
        <w:ind w:firstLine="480"/>
        <w:rPr>
          <w:rFonts w:hint="eastAsia" w:ascii="宋体" w:hAnsi="宋体" w:eastAsia="宋体" w:cs="宋体"/>
          <w:color w:val="000000"/>
          <w:highlight w:val="none"/>
        </w:rPr>
      </w:pPr>
      <w:r>
        <w:rPr>
          <w:rFonts w:hint="eastAsia" w:ascii="宋体" w:hAnsi="宋体" w:eastAsia="宋体" w:cs="宋体"/>
          <w:color w:val="000000"/>
          <w:highlight w:val="none"/>
        </w:rPr>
        <w:t>邮编：</w:t>
      </w:r>
    </w:p>
    <w:p w14:paraId="4A566D28">
      <w:pPr>
        <w:pStyle w:val="11"/>
        <w:spacing w:beforeAutospacing="0" w:afterAutospacing="0" w:line="0" w:lineRule="atLeast"/>
        <w:ind w:firstLine="480"/>
        <w:rPr>
          <w:rFonts w:hint="eastAsia" w:ascii="宋体" w:hAnsi="宋体" w:eastAsia="宋体" w:cs="宋体"/>
          <w:color w:val="000000"/>
          <w:highlight w:val="none"/>
        </w:rPr>
      </w:pPr>
      <w:r>
        <w:rPr>
          <w:rFonts w:hint="eastAsia" w:ascii="宋体" w:hAnsi="宋体" w:eastAsia="宋体" w:cs="宋体"/>
          <w:color w:val="000000"/>
          <w:highlight w:val="none"/>
        </w:rPr>
        <w:t>电话：</w:t>
      </w:r>
    </w:p>
    <w:p w14:paraId="5A2A1479">
      <w:pPr>
        <w:pStyle w:val="11"/>
        <w:spacing w:beforeAutospacing="0" w:afterAutospacing="0" w:line="0" w:lineRule="atLeast"/>
        <w:ind w:firstLine="480"/>
        <w:rPr>
          <w:rFonts w:hint="eastAsia" w:ascii="宋体" w:hAnsi="宋体" w:eastAsia="宋体" w:cs="宋体"/>
          <w:color w:val="000000"/>
          <w:highlight w:val="none"/>
        </w:rPr>
      </w:pPr>
      <w:r>
        <w:rPr>
          <w:rFonts w:hint="eastAsia" w:ascii="宋体" w:hAnsi="宋体" w:eastAsia="宋体" w:cs="宋体"/>
          <w:color w:val="000000"/>
          <w:highlight w:val="none"/>
        </w:rPr>
        <w:t>传真：</w:t>
      </w:r>
    </w:p>
    <w:p w14:paraId="7526BFAE">
      <w:pPr>
        <w:pStyle w:val="11"/>
        <w:spacing w:beforeAutospacing="0" w:afterAutospacing="0" w:line="0" w:lineRule="atLeast"/>
        <w:ind w:firstLine="480"/>
        <w:rPr>
          <w:rFonts w:hint="eastAsia" w:ascii="宋体" w:hAnsi="宋体" w:eastAsia="宋体" w:cs="宋体"/>
          <w:color w:val="000000"/>
          <w:highlight w:val="none"/>
        </w:rPr>
      </w:pPr>
      <w:r>
        <w:rPr>
          <w:rFonts w:hint="eastAsia" w:ascii="宋体" w:hAnsi="宋体" w:eastAsia="宋体" w:cs="宋体"/>
          <w:color w:val="000000"/>
          <w:highlight w:val="none"/>
        </w:rPr>
        <w:t>投标人开户行：</w:t>
      </w:r>
    </w:p>
    <w:p w14:paraId="5F7A5D7E">
      <w:pPr>
        <w:pStyle w:val="11"/>
        <w:spacing w:beforeAutospacing="0" w:afterAutospacing="0" w:line="0" w:lineRule="atLeast"/>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账号： </w:t>
      </w:r>
    </w:p>
    <w:p w14:paraId="4B904C99">
      <w:pPr>
        <w:pStyle w:val="11"/>
        <w:spacing w:beforeAutospacing="0" w:afterAutospacing="0" w:line="0" w:lineRule="atLeast"/>
        <w:ind w:firstLine="480"/>
        <w:rPr>
          <w:highlight w:val="none"/>
        </w:rPr>
      </w:pPr>
      <w:r>
        <w:rPr>
          <w:rFonts w:hint="eastAsia" w:ascii="宋体" w:hAnsi="宋体" w:eastAsia="宋体" w:cs="宋体"/>
          <w:color w:val="000000"/>
          <w:highlight w:val="none"/>
        </w:rPr>
        <w:t>日期：________年____月____日</w:t>
      </w:r>
    </w:p>
    <w:p w14:paraId="517D30F4">
      <w:pPr>
        <w:pStyle w:val="11"/>
        <w:spacing w:beforeAutospacing="0" w:afterAutospacing="0" w:line="0" w:lineRule="atLeast"/>
        <w:ind w:firstLine="240"/>
        <w:jc w:val="center"/>
        <w:rPr>
          <w:highlight w:val="none"/>
        </w:rPr>
      </w:pPr>
      <w:r>
        <w:rPr>
          <w:highlight w:val="none"/>
        </w:rPr>
        <w:t> </w:t>
      </w:r>
    </w:p>
    <w:p w14:paraId="7D02EC5F">
      <w:pPr>
        <w:pStyle w:val="11"/>
        <w:spacing w:beforeAutospacing="0" w:afterAutospacing="0" w:line="0" w:lineRule="atLeast"/>
        <w:ind w:firstLine="240"/>
        <w:jc w:val="center"/>
        <w:rPr>
          <w:highlight w:val="none"/>
        </w:rPr>
      </w:pPr>
      <w:r>
        <w:rPr>
          <w:highlight w:val="none"/>
        </w:rPr>
        <w:t> </w:t>
      </w:r>
    </w:p>
    <w:p w14:paraId="526D8B48">
      <w:pPr>
        <w:pStyle w:val="11"/>
        <w:spacing w:beforeAutospacing="0" w:afterAutospacing="0" w:line="0" w:lineRule="atLeast"/>
        <w:ind w:firstLine="240"/>
        <w:jc w:val="center"/>
        <w:rPr>
          <w:highlight w:val="none"/>
        </w:rPr>
      </w:pPr>
      <w:r>
        <w:rPr>
          <w:highlight w:val="none"/>
        </w:rPr>
        <w:t> </w:t>
      </w:r>
    </w:p>
    <w:p w14:paraId="7D664580">
      <w:pPr>
        <w:pStyle w:val="11"/>
        <w:spacing w:beforeAutospacing="0" w:afterAutospacing="0" w:line="0" w:lineRule="atLeast"/>
        <w:ind w:firstLine="240"/>
        <w:jc w:val="center"/>
        <w:rPr>
          <w:highlight w:val="none"/>
        </w:rPr>
      </w:pPr>
      <w:r>
        <w:rPr>
          <w:highlight w:val="none"/>
        </w:rPr>
        <w:t> </w:t>
      </w:r>
    </w:p>
    <w:p w14:paraId="4CB43A27">
      <w:pPr>
        <w:pStyle w:val="11"/>
        <w:spacing w:beforeAutospacing="0" w:afterAutospacing="0" w:line="0" w:lineRule="atLeast"/>
        <w:ind w:firstLine="240"/>
        <w:jc w:val="center"/>
        <w:rPr>
          <w:highlight w:val="none"/>
        </w:rPr>
      </w:pPr>
      <w:r>
        <w:rPr>
          <w:highlight w:val="none"/>
        </w:rPr>
        <w:t> </w:t>
      </w:r>
    </w:p>
    <w:p w14:paraId="009E3C67">
      <w:pPr>
        <w:pStyle w:val="11"/>
        <w:spacing w:beforeAutospacing="0" w:afterAutospacing="0" w:line="0" w:lineRule="atLeast"/>
        <w:ind w:firstLine="240"/>
        <w:jc w:val="center"/>
        <w:rPr>
          <w:highlight w:val="none"/>
        </w:rPr>
      </w:pPr>
    </w:p>
    <w:p w14:paraId="076B6F71">
      <w:pPr>
        <w:pStyle w:val="11"/>
        <w:spacing w:beforeAutospacing="0" w:afterAutospacing="0" w:line="0" w:lineRule="atLeast"/>
        <w:ind w:firstLine="240"/>
        <w:jc w:val="center"/>
        <w:rPr>
          <w:highlight w:val="none"/>
        </w:rPr>
      </w:pPr>
    </w:p>
    <w:p w14:paraId="3827CC3B">
      <w:pPr>
        <w:pStyle w:val="11"/>
        <w:spacing w:beforeAutospacing="0" w:afterAutospacing="0" w:line="0" w:lineRule="atLeast"/>
        <w:ind w:firstLine="240"/>
        <w:jc w:val="center"/>
        <w:rPr>
          <w:highlight w:val="none"/>
        </w:rPr>
      </w:pPr>
    </w:p>
    <w:p w14:paraId="2B728E37">
      <w:pPr>
        <w:pStyle w:val="11"/>
        <w:spacing w:beforeAutospacing="0" w:afterAutospacing="0" w:line="0" w:lineRule="atLeast"/>
        <w:ind w:firstLine="240"/>
        <w:jc w:val="center"/>
        <w:rPr>
          <w:highlight w:val="none"/>
        </w:rPr>
      </w:pPr>
    </w:p>
    <w:p w14:paraId="4A16AAF8">
      <w:pPr>
        <w:pStyle w:val="11"/>
        <w:spacing w:beforeAutospacing="0" w:afterAutospacing="0" w:line="0" w:lineRule="atLeast"/>
        <w:ind w:firstLine="240"/>
        <w:jc w:val="center"/>
        <w:rPr>
          <w:highlight w:val="none"/>
        </w:rPr>
      </w:pPr>
    </w:p>
    <w:p w14:paraId="69A5DCA0">
      <w:pPr>
        <w:pStyle w:val="11"/>
        <w:spacing w:beforeAutospacing="0" w:afterAutospacing="0" w:line="0" w:lineRule="atLeast"/>
        <w:ind w:firstLine="240"/>
        <w:jc w:val="center"/>
        <w:rPr>
          <w:highlight w:val="none"/>
        </w:rPr>
      </w:pPr>
    </w:p>
    <w:p w14:paraId="0F79A881">
      <w:pPr>
        <w:pStyle w:val="11"/>
        <w:spacing w:beforeAutospacing="0" w:afterAutospacing="0" w:line="0" w:lineRule="atLeast"/>
        <w:ind w:firstLine="240"/>
        <w:jc w:val="center"/>
        <w:rPr>
          <w:highlight w:val="none"/>
        </w:rPr>
      </w:pPr>
    </w:p>
    <w:p w14:paraId="15EC5A70">
      <w:pPr>
        <w:pStyle w:val="11"/>
        <w:spacing w:beforeAutospacing="0" w:afterAutospacing="0" w:line="0" w:lineRule="atLeast"/>
        <w:ind w:firstLine="240"/>
        <w:jc w:val="center"/>
        <w:rPr>
          <w:highlight w:val="none"/>
        </w:rPr>
      </w:pPr>
    </w:p>
    <w:p w14:paraId="048221C4">
      <w:pPr>
        <w:pStyle w:val="11"/>
        <w:spacing w:beforeAutospacing="0" w:afterAutospacing="0" w:line="0" w:lineRule="atLeast"/>
        <w:ind w:firstLine="240"/>
        <w:jc w:val="center"/>
        <w:rPr>
          <w:highlight w:val="none"/>
        </w:rPr>
      </w:pPr>
    </w:p>
    <w:p w14:paraId="3802D699">
      <w:pPr>
        <w:pStyle w:val="11"/>
        <w:spacing w:beforeAutospacing="0" w:afterAutospacing="0" w:line="0" w:lineRule="atLeast"/>
        <w:ind w:firstLine="240"/>
        <w:jc w:val="center"/>
        <w:rPr>
          <w:highlight w:val="none"/>
        </w:rPr>
      </w:pPr>
    </w:p>
    <w:p w14:paraId="2B93E367">
      <w:pPr>
        <w:pStyle w:val="11"/>
        <w:spacing w:beforeAutospacing="0" w:afterAutospacing="0" w:line="0" w:lineRule="atLeast"/>
        <w:ind w:firstLine="240"/>
        <w:jc w:val="center"/>
        <w:rPr>
          <w:highlight w:val="none"/>
        </w:rPr>
      </w:pPr>
    </w:p>
    <w:p w14:paraId="757DE681">
      <w:pPr>
        <w:pStyle w:val="11"/>
        <w:spacing w:beforeAutospacing="0" w:afterAutospacing="0" w:line="0" w:lineRule="atLeast"/>
        <w:jc w:val="center"/>
        <w:rPr>
          <w:highlight w:val="none"/>
        </w:rPr>
      </w:pPr>
      <w:r>
        <w:rPr>
          <w:highlight w:val="none"/>
        </w:rPr>
        <w:t> </w:t>
      </w:r>
    </w:p>
    <w:p w14:paraId="76E9D5C9">
      <w:pPr>
        <w:pStyle w:val="11"/>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企业声明函（服务）</w:t>
      </w:r>
    </w:p>
    <w:p w14:paraId="1DCF832C">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i/>
          <w:iCs/>
          <w:color w:val="auto"/>
          <w:sz w:val="24"/>
          <w:szCs w:val="24"/>
          <w:highlight w:val="none"/>
          <w:u w:val="single"/>
        </w:rPr>
        <w:t>（单位名称）</w:t>
      </w:r>
      <w:r>
        <w:rPr>
          <w:rFonts w:hint="eastAsia"/>
          <w:color w:val="auto"/>
          <w:sz w:val="24"/>
          <w:highlight w:val="none"/>
        </w:rPr>
        <w:t>组织的采购编号为</w:t>
      </w:r>
      <w:r>
        <w:rPr>
          <w:rFonts w:hint="eastAsia" w:ascii="Times New Roman" w:eastAsia="宋体"/>
          <w:color w:val="auto"/>
          <w:sz w:val="24"/>
          <w:highlight w:val="none"/>
          <w:u w:val="single"/>
          <w:lang w:val="en-US" w:eastAsia="zh-CN"/>
        </w:rPr>
        <w:t xml:space="preserve">     </w:t>
      </w:r>
      <w:r>
        <w:rPr>
          <w:rFonts w:hint="eastAsia" w:ascii="Times New Roman" w:eastAsia="宋体"/>
          <w:color w:val="auto"/>
          <w:sz w:val="24"/>
          <w:highlight w:val="none"/>
          <w:lang w:val="en-US" w:eastAsia="zh-CN"/>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32604D9A">
      <w:pPr>
        <w:numPr>
          <w:ilvl w:val="0"/>
          <w:numId w:val="2"/>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39DC9F7">
      <w:pPr>
        <w:numPr>
          <w:ilvl w:val="0"/>
          <w:numId w:val="2"/>
        </w:numPr>
        <w:spacing w:line="500" w:lineRule="exact"/>
        <w:ind w:left="0" w:leftChars="0" w:firstLine="480" w:firstLineChars="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68A76B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w:t>
      </w:r>
    </w:p>
    <w:p w14:paraId="34FA3AC3">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479C3C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0FE19C0D">
      <w:pPr>
        <w:pStyle w:val="11"/>
        <w:spacing w:beforeAutospacing="0" w:afterAutospacing="0" w:line="0" w:lineRule="atLeast"/>
        <w:ind w:right="720"/>
        <w:jc w:val="both"/>
        <w:rPr>
          <w:color w:val="auto"/>
          <w:highlight w:val="none"/>
        </w:rPr>
      </w:pPr>
      <w:r>
        <w:rPr>
          <w:color w:val="auto"/>
          <w:highlight w:val="none"/>
        </w:rPr>
        <w:t> </w:t>
      </w:r>
    </w:p>
    <w:p w14:paraId="6CD49601">
      <w:pPr>
        <w:pStyle w:val="11"/>
        <w:spacing w:beforeAutospacing="0" w:afterAutospacing="0" w:line="0" w:lineRule="atLeast"/>
        <w:ind w:right="180" w:firstLine="360"/>
        <w:jc w:val="right"/>
        <w:rPr>
          <w:rFonts w:hint="eastAsia" w:ascii="宋体" w:hAnsi="宋体" w:eastAsia="宋体" w:cs="宋体"/>
          <w:color w:val="auto"/>
          <w:highlight w:val="none"/>
        </w:rPr>
      </w:pPr>
      <w:r>
        <w:rPr>
          <w:rFonts w:hint="eastAsia" w:ascii="宋体" w:hAnsi="宋体" w:eastAsia="宋体" w:cs="宋体"/>
          <w:color w:val="auto"/>
          <w:highlight w:val="none"/>
        </w:rPr>
        <w:t>企业名称（加盖CA电子公章）：</w:t>
      </w:r>
    </w:p>
    <w:p w14:paraId="23C344F5">
      <w:pPr>
        <w:pStyle w:val="11"/>
        <w:spacing w:beforeAutospacing="0" w:afterAutospacing="0" w:line="0" w:lineRule="atLeast"/>
        <w:ind w:right="180" w:firstLine="360"/>
        <w:jc w:val="right"/>
        <w:rPr>
          <w:rFonts w:hint="eastAsia" w:ascii="宋体" w:hAnsi="宋体" w:eastAsia="宋体" w:cs="宋体"/>
          <w:color w:val="auto"/>
          <w:highlight w:val="none"/>
        </w:rPr>
      </w:pPr>
    </w:p>
    <w:p w14:paraId="19405A62">
      <w:pPr>
        <w:pStyle w:val="11"/>
        <w:spacing w:beforeAutospacing="0" w:afterAutospacing="0" w:line="0" w:lineRule="atLeast"/>
        <w:ind w:right="480" w:firstLine="4800" w:firstLineChars="2000"/>
        <w:jc w:val="both"/>
        <w:rPr>
          <w:color w:val="auto"/>
          <w:highlight w:val="none"/>
        </w:rPr>
      </w:pPr>
      <w:r>
        <w:rPr>
          <w:rFonts w:hint="eastAsia" w:ascii="宋体" w:hAnsi="宋体" w:eastAsia="宋体" w:cs="宋体"/>
          <w:color w:val="auto"/>
          <w:highlight w:val="none"/>
        </w:rPr>
        <w:t>日  期：</w:t>
      </w:r>
    </w:p>
    <w:p w14:paraId="09B20EFD">
      <w:pPr>
        <w:pStyle w:val="11"/>
        <w:spacing w:beforeAutospacing="0" w:afterAutospacing="0" w:line="0" w:lineRule="atLeast"/>
        <w:ind w:firstLine="240"/>
        <w:jc w:val="both"/>
        <w:rPr>
          <w:color w:val="auto"/>
          <w:highlight w:val="none"/>
        </w:rPr>
      </w:pPr>
      <w:r>
        <w:rPr>
          <w:color w:val="auto"/>
          <w:highlight w:val="none"/>
        </w:rPr>
        <w:t> </w:t>
      </w:r>
    </w:p>
    <w:p w14:paraId="5FD8B9FE">
      <w:pPr>
        <w:pStyle w:val="11"/>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181A3D1">
      <w:pPr>
        <w:pStyle w:val="11"/>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p>
    <w:p w14:paraId="3C438E2C">
      <w:pPr>
        <w:pStyle w:val="11"/>
        <w:spacing w:beforeAutospacing="0" w:afterAutospacing="0" w:line="0" w:lineRule="atLeast"/>
        <w:jc w:val="center"/>
        <w:rPr>
          <w:rFonts w:hint="eastAsia" w:ascii="黑体" w:hAnsi="宋体" w:eastAsia="黑体" w:cs="黑体"/>
          <w:b/>
          <w:color w:val="000000"/>
          <w:sz w:val="32"/>
          <w:szCs w:val="32"/>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000000"/>
          <w:sz w:val="32"/>
          <w:szCs w:val="32"/>
          <w:highlight w:val="none"/>
        </w:rPr>
        <w:t> 十、残疾人福利性单位声明函（分包号：**）</w:t>
      </w:r>
    </w:p>
    <w:p w14:paraId="7D1DC8C7">
      <w:pPr>
        <w:pStyle w:val="11"/>
        <w:spacing w:beforeAutospacing="0" w:afterAutospacing="0" w:line="0" w:lineRule="atLeast"/>
        <w:jc w:val="center"/>
        <w:rPr>
          <w:rFonts w:hint="eastAsia" w:ascii="黑体" w:hAnsi="宋体" w:eastAsia="黑体" w:cs="黑体"/>
          <w:b/>
          <w:color w:val="000000"/>
          <w:sz w:val="32"/>
          <w:szCs w:val="32"/>
          <w:highlight w:val="none"/>
        </w:rPr>
      </w:pPr>
    </w:p>
    <w:p w14:paraId="40AD2CD4">
      <w:pPr>
        <w:pStyle w:val="11"/>
        <w:keepNext w:val="0"/>
        <w:keepLines w:val="0"/>
        <w:pageBreakBefore w:val="0"/>
        <w:widowControl w:val="0"/>
        <w:kinsoku/>
        <w:wordWrap/>
        <w:overflowPunct/>
        <w:topLinePunct w:val="0"/>
        <w:autoSpaceDE/>
        <w:autoSpaceDN/>
        <w:bidi w:val="0"/>
        <w:adjustRightInd/>
        <w:snapToGrid/>
        <w:spacing w:beforeAutospacing="0" w:afterAutospacing="0" w:line="500" w:lineRule="atLeast"/>
        <w:ind w:firstLine="480"/>
        <w:jc w:val="both"/>
        <w:textAlignment w:val="auto"/>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〔2017〕141号</w:t>
      </w:r>
      <w:r>
        <w:rPr>
          <w:rFonts w:hint="eastAsia" w:ascii="宋体" w:hAnsi="宋体" w:eastAsia="宋体" w:cs="宋体"/>
          <w:color w:val="000000"/>
          <w:highlight w:val="none"/>
        </w:rPr>
        <w:t>）的规定，本单位为符合条件的残疾人福利性单位，且本单位参加______单位的采购文件编号为______的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项目（分包号：**）采购活动由本单位提供服务。</w:t>
      </w:r>
    </w:p>
    <w:p w14:paraId="7214428A">
      <w:pPr>
        <w:pStyle w:val="11"/>
        <w:keepNext w:val="0"/>
        <w:keepLines w:val="0"/>
        <w:pageBreakBefore w:val="0"/>
        <w:widowControl w:val="0"/>
        <w:kinsoku/>
        <w:wordWrap/>
        <w:overflowPunct/>
        <w:topLinePunct w:val="0"/>
        <w:autoSpaceDE/>
        <w:autoSpaceDN/>
        <w:bidi w:val="0"/>
        <w:adjustRightInd/>
        <w:snapToGrid/>
        <w:spacing w:beforeAutospacing="0" w:afterAutospacing="0" w:line="500" w:lineRule="atLeast"/>
        <w:ind w:firstLine="480"/>
        <w:jc w:val="both"/>
        <w:textAlignment w:val="auto"/>
        <w:rPr>
          <w:highlight w:val="none"/>
        </w:rPr>
      </w:pPr>
      <w:r>
        <w:rPr>
          <w:rFonts w:hint="eastAsia" w:ascii="宋体" w:hAnsi="宋体" w:eastAsia="宋体" w:cs="宋体"/>
          <w:color w:val="000000"/>
          <w:highlight w:val="none"/>
        </w:rPr>
        <w:t>本单位对上述声明的真实性负责。如有虚假，将依法承担相应责任。</w:t>
      </w:r>
    </w:p>
    <w:p w14:paraId="396ACBB3">
      <w:pPr>
        <w:pStyle w:val="11"/>
        <w:keepNext w:val="0"/>
        <w:keepLines w:val="0"/>
        <w:pageBreakBefore w:val="0"/>
        <w:widowControl w:val="0"/>
        <w:kinsoku/>
        <w:wordWrap/>
        <w:overflowPunct/>
        <w:topLinePunct w:val="0"/>
        <w:autoSpaceDE/>
        <w:autoSpaceDN/>
        <w:bidi w:val="0"/>
        <w:adjustRightInd/>
        <w:snapToGrid/>
        <w:spacing w:beforeAutospacing="0" w:afterAutospacing="0" w:line="500" w:lineRule="atLeast"/>
        <w:ind w:firstLine="480"/>
        <w:jc w:val="both"/>
        <w:textAlignment w:val="auto"/>
        <w:rPr>
          <w:rFonts w:hint="eastAsia" w:ascii="宋体" w:hAnsi="宋体" w:eastAsia="宋体" w:cs="宋体"/>
          <w:color w:val="000000"/>
          <w:highlight w:val="none"/>
          <w:lang w:eastAsia="zh-CN"/>
        </w:rPr>
      </w:pPr>
      <w:r>
        <w:rPr>
          <w:rFonts w:hint="eastAsia" w:ascii="宋体" w:hAnsi="宋体" w:eastAsia="宋体" w:cs="宋体"/>
          <w:color w:val="000000"/>
          <w:highlight w:val="none"/>
        </w:rPr>
        <w:t>备注：1、供应商如不提供此声明函，价格将不做相应扣除</w:t>
      </w:r>
      <w:r>
        <w:rPr>
          <w:rFonts w:hint="eastAsia" w:ascii="宋体" w:hAnsi="宋体" w:eastAsia="宋体" w:cs="宋体"/>
          <w:color w:val="000000"/>
          <w:highlight w:val="none"/>
          <w:lang w:eastAsia="zh-CN"/>
        </w:rPr>
        <w:t>（如项目全面面向中小企业，则资格审查不通过）。</w:t>
      </w:r>
    </w:p>
    <w:p w14:paraId="29CEDC66">
      <w:pPr>
        <w:pStyle w:val="11"/>
        <w:keepNext w:val="0"/>
        <w:keepLines w:val="0"/>
        <w:pageBreakBefore w:val="0"/>
        <w:widowControl w:val="0"/>
        <w:kinsoku/>
        <w:wordWrap/>
        <w:overflowPunct/>
        <w:topLinePunct w:val="0"/>
        <w:autoSpaceDE/>
        <w:autoSpaceDN/>
        <w:bidi w:val="0"/>
        <w:adjustRightInd/>
        <w:snapToGrid/>
        <w:spacing w:beforeAutospacing="0" w:afterAutospacing="0" w:line="500" w:lineRule="atLeast"/>
        <w:ind w:firstLine="480"/>
        <w:jc w:val="both"/>
        <w:textAlignment w:val="auto"/>
        <w:rPr>
          <w:highlight w:val="none"/>
        </w:rPr>
      </w:pPr>
      <w:r>
        <w:rPr>
          <w:rFonts w:hint="eastAsia" w:ascii="宋体" w:hAnsi="宋体" w:eastAsia="宋体" w:cs="宋体"/>
          <w:color w:val="000000"/>
          <w:highlight w:val="none"/>
        </w:rPr>
        <w:t>2、中标人为残疾人福利单位的，此声明函将随中标结果同时公告，接受社会监督</w:t>
      </w:r>
    </w:p>
    <w:p w14:paraId="756ED4E7">
      <w:pPr>
        <w:pStyle w:val="11"/>
        <w:keepNext w:val="0"/>
        <w:keepLines w:val="0"/>
        <w:pageBreakBefore w:val="0"/>
        <w:widowControl w:val="0"/>
        <w:kinsoku/>
        <w:wordWrap/>
        <w:overflowPunct/>
        <w:topLinePunct w:val="0"/>
        <w:autoSpaceDE/>
        <w:autoSpaceDN/>
        <w:bidi w:val="0"/>
        <w:adjustRightInd/>
        <w:snapToGrid/>
        <w:spacing w:beforeAutospacing="0" w:afterAutospacing="0" w:line="500" w:lineRule="atLeast"/>
        <w:ind w:firstLine="624"/>
        <w:jc w:val="both"/>
        <w:textAlignment w:val="auto"/>
        <w:rPr>
          <w:highlight w:val="none"/>
        </w:rPr>
      </w:pPr>
      <w:r>
        <w:rPr>
          <w:highlight w:val="none"/>
        </w:rPr>
        <w:t> </w:t>
      </w:r>
    </w:p>
    <w:p w14:paraId="2EB5028B">
      <w:pPr>
        <w:pStyle w:val="11"/>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500" w:lineRule="atLeast"/>
        <w:ind w:right="1560" w:firstLine="624"/>
        <w:jc w:val="center"/>
        <w:textAlignment w:val="auto"/>
        <w:rPr>
          <w:rFonts w:hint="eastAsia" w:ascii="宋体" w:hAnsi="宋体" w:eastAsia="宋体" w:cs="宋体"/>
          <w:color w:val="000000"/>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供应商全称（加盖CA电子公章）：</w:t>
      </w:r>
    </w:p>
    <w:p w14:paraId="26FB6E74">
      <w:pPr>
        <w:pStyle w:val="11"/>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500" w:lineRule="atLeast"/>
        <w:ind w:right="1560" w:firstLine="624"/>
        <w:jc w:val="center"/>
        <w:textAlignment w:val="auto"/>
        <w:rPr>
          <w:highlight w:val="none"/>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日  期：</w:t>
      </w:r>
    </w:p>
    <w:p w14:paraId="2B15E9CD">
      <w:pPr>
        <w:pStyle w:val="11"/>
        <w:spacing w:beforeAutospacing="0" w:afterAutospacing="0" w:line="0" w:lineRule="atLeast"/>
        <w:jc w:val="center"/>
        <w:rPr>
          <w:highlight w:val="none"/>
        </w:rPr>
      </w:pPr>
      <w:r>
        <w:rPr>
          <w:highlight w:val="none"/>
        </w:rPr>
        <w:t> </w:t>
      </w:r>
    </w:p>
    <w:p w14:paraId="5B4F30B6">
      <w:pPr>
        <w:pStyle w:val="11"/>
        <w:spacing w:beforeAutospacing="0" w:afterAutospacing="0" w:line="0" w:lineRule="atLeast"/>
        <w:jc w:val="center"/>
        <w:rPr>
          <w:highlight w:val="none"/>
        </w:rPr>
      </w:pPr>
      <w:r>
        <w:rPr>
          <w:highlight w:val="none"/>
        </w:rPr>
        <w:t> </w:t>
      </w:r>
    </w:p>
    <w:p w14:paraId="0BFA54F0">
      <w:pPr>
        <w:pStyle w:val="11"/>
        <w:spacing w:beforeAutospacing="0" w:afterAutospacing="0" w:line="0" w:lineRule="atLeast"/>
        <w:jc w:val="center"/>
        <w:rPr>
          <w:highlight w:val="none"/>
        </w:rPr>
      </w:pPr>
      <w:r>
        <w:rPr>
          <w:highlight w:val="none"/>
        </w:rPr>
        <w:t> </w:t>
      </w:r>
    </w:p>
    <w:p w14:paraId="23548FC4">
      <w:pPr>
        <w:pStyle w:val="11"/>
        <w:spacing w:beforeAutospacing="0" w:afterAutospacing="0" w:line="0" w:lineRule="atLeast"/>
        <w:jc w:val="center"/>
        <w:rPr>
          <w:highlight w:val="none"/>
        </w:rPr>
      </w:pPr>
      <w:r>
        <w:rPr>
          <w:highlight w:val="none"/>
        </w:rPr>
        <w:t> </w:t>
      </w:r>
    </w:p>
    <w:p w14:paraId="7CC18ADA">
      <w:pPr>
        <w:pStyle w:val="11"/>
        <w:spacing w:beforeAutospacing="0" w:afterAutospacing="0" w:line="0" w:lineRule="atLeast"/>
        <w:jc w:val="center"/>
        <w:rPr>
          <w:highlight w:val="none"/>
        </w:rPr>
      </w:pPr>
      <w:r>
        <w:rPr>
          <w:highlight w:val="none"/>
        </w:rPr>
        <w:t> </w:t>
      </w:r>
    </w:p>
    <w:p w14:paraId="3620AEDE">
      <w:pPr>
        <w:pStyle w:val="11"/>
        <w:spacing w:beforeAutospacing="0" w:afterAutospacing="0" w:line="0" w:lineRule="atLeast"/>
        <w:jc w:val="center"/>
        <w:rPr>
          <w:highlight w:val="none"/>
        </w:rPr>
      </w:pPr>
      <w:r>
        <w:rPr>
          <w:highlight w:val="none"/>
        </w:rPr>
        <w:t> </w:t>
      </w:r>
    </w:p>
    <w:p w14:paraId="45D5FEAA">
      <w:pPr>
        <w:pStyle w:val="11"/>
        <w:spacing w:beforeAutospacing="0" w:afterAutospacing="0" w:line="0" w:lineRule="atLeast"/>
        <w:jc w:val="center"/>
        <w:rPr>
          <w:highlight w:val="none"/>
        </w:rPr>
      </w:pPr>
      <w:r>
        <w:rPr>
          <w:highlight w:val="none"/>
        </w:rPr>
        <w:t> </w:t>
      </w:r>
    </w:p>
    <w:p w14:paraId="02551D98">
      <w:pPr>
        <w:pStyle w:val="11"/>
        <w:spacing w:beforeAutospacing="0" w:afterAutospacing="0" w:line="0" w:lineRule="atLeast"/>
        <w:jc w:val="center"/>
        <w:rPr>
          <w:highlight w:val="none"/>
        </w:rPr>
      </w:pPr>
      <w:r>
        <w:rPr>
          <w:highlight w:val="none"/>
        </w:rPr>
        <w:t> </w:t>
      </w:r>
    </w:p>
    <w:p w14:paraId="2E201E66">
      <w:pPr>
        <w:pStyle w:val="11"/>
        <w:spacing w:beforeAutospacing="0" w:afterAutospacing="0" w:line="0" w:lineRule="atLeast"/>
        <w:jc w:val="center"/>
        <w:rPr>
          <w:highlight w:val="none"/>
        </w:rPr>
      </w:pPr>
    </w:p>
    <w:p w14:paraId="26480510">
      <w:pPr>
        <w:pStyle w:val="11"/>
        <w:spacing w:beforeAutospacing="0" w:afterAutospacing="0" w:line="0" w:lineRule="atLeast"/>
        <w:jc w:val="center"/>
        <w:rPr>
          <w:highlight w:val="none"/>
        </w:rPr>
      </w:pPr>
    </w:p>
    <w:p w14:paraId="040A5ABB">
      <w:pPr>
        <w:pStyle w:val="11"/>
        <w:spacing w:beforeAutospacing="0" w:afterAutospacing="0" w:line="0" w:lineRule="atLeast"/>
        <w:jc w:val="center"/>
        <w:rPr>
          <w:highlight w:val="none"/>
        </w:rPr>
      </w:pPr>
    </w:p>
    <w:p w14:paraId="0E4F8989">
      <w:pPr>
        <w:pStyle w:val="11"/>
        <w:spacing w:beforeAutospacing="0" w:afterAutospacing="0" w:line="0" w:lineRule="atLeast"/>
        <w:jc w:val="center"/>
        <w:rPr>
          <w:highlight w:val="none"/>
        </w:rPr>
      </w:pPr>
    </w:p>
    <w:p w14:paraId="33B3D7CE">
      <w:pPr>
        <w:pStyle w:val="11"/>
        <w:spacing w:beforeAutospacing="0" w:afterAutospacing="0" w:line="0" w:lineRule="atLeast"/>
        <w:jc w:val="center"/>
        <w:rPr>
          <w:highlight w:val="none"/>
        </w:rPr>
      </w:pPr>
    </w:p>
    <w:p w14:paraId="47822C90">
      <w:pPr>
        <w:pStyle w:val="11"/>
        <w:spacing w:beforeAutospacing="0" w:afterAutospacing="0" w:line="0" w:lineRule="atLeast"/>
        <w:jc w:val="center"/>
        <w:rPr>
          <w:highlight w:val="none"/>
        </w:rPr>
      </w:pPr>
    </w:p>
    <w:p w14:paraId="09A39851">
      <w:pPr>
        <w:pStyle w:val="11"/>
        <w:spacing w:beforeAutospacing="0" w:afterAutospacing="0" w:line="0" w:lineRule="atLeast"/>
        <w:jc w:val="center"/>
        <w:rPr>
          <w:highlight w:val="none"/>
        </w:rPr>
      </w:pPr>
    </w:p>
    <w:p w14:paraId="7FD1136E">
      <w:pPr>
        <w:pStyle w:val="11"/>
        <w:spacing w:beforeAutospacing="0" w:afterAutospacing="0" w:line="0" w:lineRule="atLeast"/>
        <w:jc w:val="center"/>
        <w:rPr>
          <w:highlight w:val="none"/>
        </w:rPr>
      </w:pPr>
    </w:p>
    <w:p w14:paraId="5BEB7273">
      <w:pPr>
        <w:pStyle w:val="11"/>
        <w:spacing w:beforeAutospacing="0" w:afterAutospacing="0" w:line="0" w:lineRule="atLeast"/>
        <w:jc w:val="center"/>
        <w:rPr>
          <w:highlight w:val="none"/>
        </w:rPr>
      </w:pPr>
    </w:p>
    <w:p w14:paraId="033ACD42">
      <w:pPr>
        <w:pStyle w:val="11"/>
        <w:spacing w:beforeAutospacing="0" w:afterAutospacing="0" w:line="0" w:lineRule="atLeast"/>
        <w:jc w:val="center"/>
        <w:rPr>
          <w:highlight w:val="none"/>
        </w:rPr>
      </w:pPr>
    </w:p>
    <w:p w14:paraId="0E7A7A07">
      <w:pPr>
        <w:pStyle w:val="11"/>
        <w:spacing w:beforeAutospacing="0" w:afterAutospacing="0" w:line="0" w:lineRule="atLeast"/>
        <w:jc w:val="center"/>
        <w:rPr>
          <w:highlight w:val="none"/>
        </w:rPr>
      </w:pPr>
    </w:p>
    <w:p w14:paraId="290ED4BC">
      <w:pPr>
        <w:pStyle w:val="11"/>
        <w:spacing w:beforeAutospacing="0" w:afterAutospacing="0" w:line="0" w:lineRule="atLeast"/>
        <w:jc w:val="center"/>
        <w:rPr>
          <w:highlight w:val="none"/>
        </w:rPr>
      </w:pPr>
    </w:p>
    <w:p w14:paraId="2DE28D43">
      <w:pPr>
        <w:pStyle w:val="11"/>
        <w:spacing w:beforeAutospacing="0" w:afterAutospacing="0" w:line="0" w:lineRule="atLeast"/>
        <w:jc w:val="center"/>
        <w:rPr>
          <w:highlight w:val="none"/>
        </w:rPr>
      </w:pPr>
    </w:p>
    <w:p w14:paraId="4C188FB5">
      <w:pPr>
        <w:pStyle w:val="11"/>
        <w:spacing w:beforeAutospacing="0" w:afterAutospacing="0" w:line="0" w:lineRule="atLeast"/>
        <w:jc w:val="center"/>
        <w:rPr>
          <w:highlight w:val="none"/>
        </w:rPr>
      </w:pPr>
    </w:p>
    <w:p w14:paraId="44A213E5">
      <w:pPr>
        <w:pStyle w:val="11"/>
        <w:spacing w:beforeAutospacing="0" w:afterAutospacing="0" w:line="0" w:lineRule="atLeast"/>
        <w:jc w:val="center"/>
        <w:rPr>
          <w:highlight w:val="none"/>
        </w:rPr>
      </w:pPr>
    </w:p>
    <w:p w14:paraId="2CCFA17F">
      <w:pPr>
        <w:jc w:val="center"/>
        <w:rPr>
          <w:rFonts w:hint="eastAsia" w:ascii="黑体" w:hAnsi="宋体" w:eastAsia="黑体" w:cs="黑体"/>
          <w:b/>
          <w:bCs/>
          <w:color w:val="auto"/>
          <w:sz w:val="32"/>
          <w:szCs w:val="32"/>
        </w:rPr>
      </w:pPr>
      <w:r>
        <w:rPr>
          <w:rFonts w:ascii="黑体" w:hAnsi="宋体" w:eastAsia="黑体" w:cs="黑体"/>
          <w:b/>
          <w:bCs/>
          <w:color w:val="auto"/>
          <w:sz w:val="32"/>
          <w:szCs w:val="32"/>
        </w:rPr>
        <w:t>十一、</w:t>
      </w:r>
      <w:r>
        <w:rPr>
          <w:rFonts w:hint="eastAsia" w:ascii="黑体" w:hAnsi="宋体" w:eastAsia="黑体" w:cs="黑体"/>
          <w:b/>
          <w:bCs/>
          <w:color w:val="auto"/>
          <w:sz w:val="32"/>
          <w:szCs w:val="32"/>
        </w:rPr>
        <w:t>投标分项报价表</w:t>
      </w:r>
    </w:p>
    <w:p w14:paraId="5DC19C2C">
      <w:pPr>
        <w:pStyle w:val="2"/>
        <w:rPr>
          <w:rFonts w:hint="eastAsia"/>
          <w:color w:val="auto"/>
        </w:rPr>
      </w:pPr>
    </w:p>
    <w:tbl>
      <w:tblPr>
        <w:tblStyle w:val="12"/>
        <w:tblW w:w="5000" w:type="pct"/>
        <w:jc w:val="center"/>
        <w:tblLayout w:type="fixed"/>
        <w:tblCellMar>
          <w:top w:w="0" w:type="dxa"/>
          <w:left w:w="108" w:type="dxa"/>
          <w:bottom w:w="0" w:type="dxa"/>
          <w:right w:w="108" w:type="dxa"/>
        </w:tblCellMar>
      </w:tblPr>
      <w:tblGrid>
        <w:gridCol w:w="469"/>
        <w:gridCol w:w="4041"/>
        <w:gridCol w:w="1125"/>
        <w:gridCol w:w="775"/>
        <w:gridCol w:w="1028"/>
        <w:gridCol w:w="1084"/>
      </w:tblGrid>
      <w:tr w14:paraId="01722822">
        <w:tblPrEx>
          <w:tblCellMar>
            <w:top w:w="0" w:type="dxa"/>
            <w:left w:w="108" w:type="dxa"/>
            <w:bottom w:w="0" w:type="dxa"/>
            <w:right w:w="108" w:type="dxa"/>
          </w:tblCellMar>
        </w:tblPrEx>
        <w:trPr>
          <w:trHeight w:val="690" w:hRule="atLeast"/>
          <w:jc w:val="center"/>
        </w:trPr>
        <w:tc>
          <w:tcPr>
            <w:tcW w:w="275" w:type="pct"/>
            <w:tcBorders>
              <w:top w:val="single" w:color="000000" w:sz="4" w:space="0"/>
              <w:left w:val="single" w:color="000000" w:sz="4" w:space="0"/>
              <w:bottom w:val="single" w:color="000000" w:sz="4" w:space="0"/>
              <w:right w:val="single" w:color="000000" w:sz="4" w:space="0"/>
            </w:tcBorders>
            <w:noWrap/>
            <w:vAlign w:val="center"/>
          </w:tcPr>
          <w:p w14:paraId="1C96734D">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序号</w:t>
            </w:r>
          </w:p>
        </w:tc>
        <w:tc>
          <w:tcPr>
            <w:tcW w:w="2370" w:type="pct"/>
            <w:tcBorders>
              <w:top w:val="single" w:color="000000" w:sz="4" w:space="0"/>
              <w:left w:val="single" w:color="000000" w:sz="4" w:space="0"/>
              <w:bottom w:val="single" w:color="000000" w:sz="4" w:space="0"/>
              <w:right w:val="single" w:color="000000" w:sz="4" w:space="0"/>
            </w:tcBorders>
            <w:noWrap/>
            <w:vAlign w:val="center"/>
          </w:tcPr>
          <w:p w14:paraId="5D4413C3">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产品名称</w:t>
            </w:r>
          </w:p>
        </w:tc>
        <w:tc>
          <w:tcPr>
            <w:tcW w:w="660" w:type="pct"/>
            <w:tcBorders>
              <w:top w:val="single" w:color="000000" w:sz="4" w:space="0"/>
              <w:left w:val="single" w:color="000000" w:sz="4" w:space="0"/>
              <w:bottom w:val="single" w:color="000000" w:sz="4" w:space="0"/>
              <w:right w:val="single" w:color="000000" w:sz="4" w:space="0"/>
            </w:tcBorders>
            <w:noWrap/>
            <w:vAlign w:val="center"/>
          </w:tcPr>
          <w:p w14:paraId="594B7178">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单位</w:t>
            </w:r>
          </w:p>
        </w:tc>
        <w:tc>
          <w:tcPr>
            <w:tcW w:w="454" w:type="pct"/>
            <w:tcBorders>
              <w:top w:val="single" w:color="000000" w:sz="4" w:space="0"/>
              <w:left w:val="single" w:color="000000" w:sz="4" w:space="0"/>
              <w:bottom w:val="single" w:color="000000" w:sz="4" w:space="0"/>
              <w:right w:val="single" w:color="000000" w:sz="4" w:space="0"/>
            </w:tcBorders>
            <w:noWrap/>
            <w:vAlign w:val="center"/>
          </w:tcPr>
          <w:p w14:paraId="52F04EB3">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数量</w:t>
            </w:r>
          </w:p>
        </w:tc>
        <w:tc>
          <w:tcPr>
            <w:tcW w:w="603" w:type="pct"/>
            <w:tcBorders>
              <w:top w:val="single" w:color="000000" w:sz="4" w:space="0"/>
              <w:left w:val="single" w:color="000000" w:sz="4" w:space="0"/>
              <w:bottom w:val="single" w:color="000000" w:sz="4" w:space="0"/>
              <w:right w:val="single" w:color="auto" w:sz="4" w:space="0"/>
            </w:tcBorders>
            <w:noWrap w:val="0"/>
            <w:vAlign w:val="center"/>
          </w:tcPr>
          <w:p w14:paraId="32C3E7F7">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单价（元/</w:t>
            </w:r>
            <w:r>
              <w:rPr>
                <w:rFonts w:hint="eastAsia" w:ascii="宋体" w:hAnsi="宋体" w:eastAsia="宋体" w:cs="宋体"/>
                <w:color w:val="auto"/>
                <w:kern w:val="0"/>
                <w:sz w:val="22"/>
                <w:szCs w:val="22"/>
                <w:highlight w:val="none"/>
                <w:lang w:val="en-US" w:eastAsia="zh-CN" w:bidi="ar"/>
              </w:rPr>
              <w:t>1年</w:t>
            </w:r>
            <w:r>
              <w:rPr>
                <w:rFonts w:hint="eastAsia" w:ascii="宋体" w:hAnsi="宋体" w:eastAsia="宋体" w:cs="宋体"/>
                <w:color w:val="auto"/>
                <w:kern w:val="0"/>
                <w:sz w:val="22"/>
                <w:szCs w:val="22"/>
                <w:highlight w:val="none"/>
                <w:lang w:bidi="ar"/>
              </w:rPr>
              <w:t>）</w:t>
            </w:r>
          </w:p>
        </w:tc>
        <w:tc>
          <w:tcPr>
            <w:tcW w:w="636" w:type="pct"/>
            <w:tcBorders>
              <w:top w:val="single" w:color="000000" w:sz="4" w:space="0"/>
              <w:left w:val="single" w:color="auto" w:sz="4" w:space="0"/>
              <w:bottom w:val="single" w:color="000000" w:sz="4" w:space="0"/>
              <w:right w:val="single" w:color="000000" w:sz="4" w:space="0"/>
            </w:tcBorders>
            <w:noWrap w:val="0"/>
            <w:vAlign w:val="center"/>
          </w:tcPr>
          <w:p w14:paraId="01298B8C">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合价（元/3年）</w:t>
            </w:r>
          </w:p>
        </w:tc>
      </w:tr>
      <w:tr w14:paraId="365BDC77">
        <w:tblPrEx>
          <w:tblCellMar>
            <w:top w:w="0" w:type="dxa"/>
            <w:left w:w="108" w:type="dxa"/>
            <w:bottom w:w="0" w:type="dxa"/>
            <w:right w:w="108" w:type="dxa"/>
          </w:tblCellMar>
        </w:tblPrEx>
        <w:trPr>
          <w:trHeight w:val="690" w:hRule="atLeast"/>
          <w:jc w:val="center"/>
        </w:trPr>
        <w:tc>
          <w:tcPr>
            <w:tcW w:w="275" w:type="pct"/>
            <w:tcBorders>
              <w:top w:val="single" w:color="000000" w:sz="4" w:space="0"/>
              <w:left w:val="single" w:color="000000" w:sz="4" w:space="0"/>
              <w:bottom w:val="single" w:color="000000" w:sz="4" w:space="0"/>
              <w:right w:val="single" w:color="000000" w:sz="4" w:space="0"/>
            </w:tcBorders>
            <w:noWrap/>
            <w:vAlign w:val="center"/>
          </w:tcPr>
          <w:p w14:paraId="75430AAD">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1</w:t>
            </w:r>
          </w:p>
        </w:tc>
        <w:tc>
          <w:tcPr>
            <w:tcW w:w="2370" w:type="pct"/>
            <w:tcBorders>
              <w:top w:val="single" w:color="000000" w:sz="4" w:space="0"/>
              <w:left w:val="single" w:color="000000" w:sz="4" w:space="0"/>
              <w:bottom w:val="single" w:color="000000" w:sz="4" w:space="0"/>
              <w:right w:val="single" w:color="000000" w:sz="4" w:space="0"/>
            </w:tcBorders>
            <w:noWrap/>
            <w:vAlign w:val="center"/>
          </w:tcPr>
          <w:p w14:paraId="4503B53B">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监控</w:t>
            </w:r>
            <w:r>
              <w:rPr>
                <w:rFonts w:hint="eastAsia" w:ascii="宋体" w:hAnsi="宋体" w:eastAsia="宋体" w:cs="宋体"/>
                <w:color w:val="auto"/>
                <w:kern w:val="0"/>
                <w:sz w:val="22"/>
                <w:szCs w:val="22"/>
                <w:highlight w:val="none"/>
                <w:lang w:eastAsia="zh-CN" w:bidi="ar"/>
              </w:rPr>
              <w:t>设备</w:t>
            </w:r>
            <w:r>
              <w:rPr>
                <w:rFonts w:hint="eastAsia" w:ascii="宋体" w:hAnsi="宋体" w:eastAsia="宋体" w:cs="宋体"/>
                <w:color w:val="auto"/>
                <w:kern w:val="0"/>
                <w:sz w:val="22"/>
                <w:szCs w:val="22"/>
                <w:highlight w:val="none"/>
                <w:lang w:bidi="ar"/>
              </w:rPr>
              <w:t>（防爆、防油污、含10项AI功能</w:t>
            </w:r>
            <w:r>
              <w:rPr>
                <w:rFonts w:hint="eastAsia" w:ascii="宋体" w:hAnsi="宋体" w:eastAsia="宋体" w:cs="宋体"/>
                <w:color w:val="auto"/>
                <w:kern w:val="0"/>
                <w:sz w:val="22"/>
                <w:szCs w:val="22"/>
                <w:highlight w:val="none"/>
                <w:lang w:eastAsia="zh-CN" w:bidi="ar"/>
              </w:rPr>
              <w:t>、</w:t>
            </w:r>
            <w:r>
              <w:rPr>
                <w:rFonts w:hint="eastAsia" w:ascii="宋体" w:hAnsi="宋体" w:eastAsia="宋体" w:cs="宋体"/>
                <w:color w:val="auto"/>
                <w:kern w:val="0"/>
                <w:sz w:val="22"/>
                <w:szCs w:val="22"/>
                <w:highlight w:val="none"/>
                <w:lang w:bidi="ar"/>
              </w:rPr>
              <w:t>视频传输线路</w:t>
            </w:r>
            <w:r>
              <w:rPr>
                <w:rFonts w:hint="eastAsia" w:ascii="宋体" w:hAnsi="宋体" w:eastAsia="宋体" w:cs="宋体"/>
                <w:color w:val="auto"/>
                <w:kern w:val="0"/>
                <w:sz w:val="22"/>
                <w:szCs w:val="22"/>
                <w:highlight w:val="none"/>
                <w:lang w:eastAsia="zh-CN" w:bidi="ar"/>
              </w:rPr>
              <w:t>、</w:t>
            </w:r>
            <w:r>
              <w:rPr>
                <w:rFonts w:hint="eastAsia" w:ascii="宋体" w:hAnsi="宋体" w:eastAsia="宋体" w:cs="宋体"/>
                <w:color w:val="auto"/>
                <w:kern w:val="0"/>
                <w:sz w:val="22"/>
                <w:szCs w:val="22"/>
                <w:highlight w:val="none"/>
                <w:lang w:bidi="ar"/>
              </w:rPr>
              <w:t>7天云存储）</w:t>
            </w:r>
          </w:p>
        </w:tc>
        <w:tc>
          <w:tcPr>
            <w:tcW w:w="660" w:type="pct"/>
            <w:tcBorders>
              <w:top w:val="single" w:color="000000" w:sz="4" w:space="0"/>
              <w:left w:val="single" w:color="000000" w:sz="4" w:space="0"/>
              <w:bottom w:val="single" w:color="000000" w:sz="4" w:space="0"/>
              <w:right w:val="single" w:color="000000" w:sz="4" w:space="0"/>
            </w:tcBorders>
            <w:noWrap/>
            <w:vAlign w:val="center"/>
          </w:tcPr>
          <w:p w14:paraId="6B718F76">
            <w:pPr>
              <w:widowControl/>
              <w:jc w:val="center"/>
              <w:textAlignment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kern w:val="0"/>
                <w:sz w:val="22"/>
                <w:szCs w:val="22"/>
                <w:highlight w:val="none"/>
                <w:lang w:val="en-US" w:eastAsia="zh-CN" w:bidi="ar"/>
              </w:rPr>
              <w:t>家（</w:t>
            </w:r>
            <w:r>
              <w:rPr>
                <w:rFonts w:hint="eastAsia" w:ascii="宋体" w:hAnsi="宋体" w:eastAsia="宋体" w:cs="宋体"/>
                <w:color w:val="auto"/>
                <w:kern w:val="0"/>
                <w:sz w:val="22"/>
                <w:szCs w:val="22"/>
                <w:highlight w:val="none"/>
                <w:lang w:bidi="ar"/>
              </w:rPr>
              <w:t>点位</w:t>
            </w:r>
            <w:r>
              <w:rPr>
                <w:rFonts w:hint="eastAsia" w:ascii="宋体" w:hAnsi="宋体" w:eastAsia="宋体" w:cs="宋体"/>
                <w:color w:val="auto"/>
                <w:kern w:val="0"/>
                <w:sz w:val="22"/>
                <w:szCs w:val="22"/>
                <w:highlight w:val="none"/>
                <w:lang w:eastAsia="zh-CN" w:bidi="ar"/>
              </w:rPr>
              <w:t>）</w:t>
            </w:r>
          </w:p>
        </w:tc>
        <w:tc>
          <w:tcPr>
            <w:tcW w:w="454" w:type="pct"/>
            <w:tcBorders>
              <w:top w:val="single" w:color="000000" w:sz="4" w:space="0"/>
              <w:left w:val="single" w:color="000000" w:sz="4" w:space="0"/>
              <w:bottom w:val="single" w:color="000000" w:sz="4" w:space="0"/>
              <w:right w:val="single" w:color="000000" w:sz="4" w:space="0"/>
            </w:tcBorders>
            <w:noWrap/>
            <w:vAlign w:val="center"/>
          </w:tcPr>
          <w:p w14:paraId="5D9792A8">
            <w:pPr>
              <w:widowControl/>
              <w:jc w:val="center"/>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kern w:val="0"/>
                <w:sz w:val="22"/>
                <w:szCs w:val="22"/>
                <w:highlight w:val="none"/>
                <w:lang w:eastAsia="zh-CN" w:bidi="ar"/>
              </w:rPr>
              <w:t>1000</w:t>
            </w:r>
          </w:p>
        </w:tc>
        <w:tc>
          <w:tcPr>
            <w:tcW w:w="603" w:type="pct"/>
            <w:tcBorders>
              <w:top w:val="single" w:color="000000" w:sz="4" w:space="0"/>
              <w:left w:val="single" w:color="000000" w:sz="4" w:space="0"/>
              <w:bottom w:val="single" w:color="000000" w:sz="4" w:space="0"/>
              <w:right w:val="single" w:color="auto" w:sz="4" w:space="0"/>
            </w:tcBorders>
            <w:noWrap w:val="0"/>
            <w:vAlign w:val="center"/>
          </w:tcPr>
          <w:p w14:paraId="36B0A1CF">
            <w:pPr>
              <w:widowControl/>
              <w:jc w:val="center"/>
              <w:textAlignment w:val="center"/>
              <w:rPr>
                <w:rFonts w:hint="eastAsia" w:ascii="宋体" w:hAnsi="宋体" w:eastAsia="宋体" w:cs="宋体"/>
                <w:color w:val="auto"/>
                <w:kern w:val="0"/>
                <w:sz w:val="22"/>
                <w:szCs w:val="22"/>
                <w:highlight w:val="none"/>
                <w:lang w:bidi="ar"/>
              </w:rPr>
            </w:pPr>
          </w:p>
        </w:tc>
        <w:tc>
          <w:tcPr>
            <w:tcW w:w="636" w:type="pct"/>
            <w:tcBorders>
              <w:top w:val="single" w:color="000000" w:sz="4" w:space="0"/>
              <w:left w:val="single" w:color="auto" w:sz="4" w:space="0"/>
              <w:bottom w:val="single" w:color="000000" w:sz="4" w:space="0"/>
              <w:right w:val="single" w:color="000000" w:sz="4" w:space="0"/>
            </w:tcBorders>
            <w:noWrap w:val="0"/>
            <w:vAlign w:val="center"/>
          </w:tcPr>
          <w:p w14:paraId="1A211BFF">
            <w:pPr>
              <w:widowControl/>
              <w:jc w:val="center"/>
              <w:textAlignment w:val="center"/>
              <w:rPr>
                <w:rFonts w:hint="eastAsia" w:ascii="宋体" w:hAnsi="宋体" w:eastAsia="宋体" w:cs="宋体"/>
                <w:color w:val="auto"/>
                <w:kern w:val="0"/>
                <w:sz w:val="22"/>
                <w:szCs w:val="22"/>
                <w:highlight w:val="none"/>
                <w:lang w:bidi="ar"/>
              </w:rPr>
            </w:pPr>
          </w:p>
        </w:tc>
      </w:tr>
      <w:tr w14:paraId="4CE15276">
        <w:tblPrEx>
          <w:tblCellMar>
            <w:top w:w="0" w:type="dxa"/>
            <w:left w:w="108" w:type="dxa"/>
            <w:bottom w:w="0" w:type="dxa"/>
            <w:right w:w="108" w:type="dxa"/>
          </w:tblCellMar>
        </w:tblPrEx>
        <w:trPr>
          <w:trHeight w:val="690" w:hRule="atLeast"/>
          <w:jc w:val="center"/>
        </w:trPr>
        <w:tc>
          <w:tcPr>
            <w:tcW w:w="275" w:type="pct"/>
            <w:tcBorders>
              <w:top w:val="single" w:color="000000" w:sz="4" w:space="0"/>
              <w:left w:val="single" w:color="000000" w:sz="4" w:space="0"/>
              <w:bottom w:val="single" w:color="000000" w:sz="4" w:space="0"/>
              <w:right w:val="single" w:color="000000" w:sz="4" w:space="0"/>
            </w:tcBorders>
            <w:noWrap/>
            <w:vAlign w:val="center"/>
          </w:tcPr>
          <w:p w14:paraId="2D9FD821">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val="en-US" w:eastAsia="zh-CN" w:bidi="ar"/>
              </w:rPr>
              <w:t>2</w:t>
            </w:r>
          </w:p>
        </w:tc>
        <w:tc>
          <w:tcPr>
            <w:tcW w:w="2370" w:type="pct"/>
            <w:tcBorders>
              <w:top w:val="single" w:color="000000" w:sz="4" w:space="0"/>
              <w:left w:val="single" w:color="000000" w:sz="4" w:space="0"/>
              <w:bottom w:val="single" w:color="000000" w:sz="4" w:space="0"/>
              <w:right w:val="single" w:color="000000" w:sz="4" w:space="0"/>
            </w:tcBorders>
            <w:noWrap/>
            <w:vAlign w:val="center"/>
          </w:tcPr>
          <w:p w14:paraId="38523868">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监控平台</w:t>
            </w:r>
          </w:p>
        </w:tc>
        <w:tc>
          <w:tcPr>
            <w:tcW w:w="660" w:type="pct"/>
            <w:tcBorders>
              <w:top w:val="single" w:color="000000" w:sz="4" w:space="0"/>
              <w:left w:val="single" w:color="000000" w:sz="4" w:space="0"/>
              <w:bottom w:val="single" w:color="000000" w:sz="4" w:space="0"/>
              <w:right w:val="single" w:color="000000" w:sz="4" w:space="0"/>
            </w:tcBorders>
            <w:noWrap/>
            <w:vAlign w:val="center"/>
          </w:tcPr>
          <w:p w14:paraId="0708D85B">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套</w:t>
            </w:r>
          </w:p>
        </w:tc>
        <w:tc>
          <w:tcPr>
            <w:tcW w:w="454" w:type="pct"/>
            <w:tcBorders>
              <w:top w:val="single" w:color="000000" w:sz="4" w:space="0"/>
              <w:left w:val="single" w:color="000000" w:sz="4" w:space="0"/>
              <w:bottom w:val="single" w:color="000000" w:sz="4" w:space="0"/>
              <w:right w:val="single" w:color="000000" w:sz="4" w:space="0"/>
            </w:tcBorders>
            <w:noWrap/>
            <w:vAlign w:val="center"/>
          </w:tcPr>
          <w:p w14:paraId="10FAD562">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1</w:t>
            </w:r>
          </w:p>
        </w:tc>
        <w:tc>
          <w:tcPr>
            <w:tcW w:w="603" w:type="pct"/>
            <w:tcBorders>
              <w:top w:val="single" w:color="000000" w:sz="4" w:space="0"/>
              <w:left w:val="single" w:color="000000" w:sz="4" w:space="0"/>
              <w:bottom w:val="single" w:color="000000" w:sz="4" w:space="0"/>
              <w:right w:val="single" w:color="auto" w:sz="4" w:space="0"/>
            </w:tcBorders>
            <w:noWrap w:val="0"/>
            <w:vAlign w:val="center"/>
          </w:tcPr>
          <w:p w14:paraId="7648DA07">
            <w:pPr>
              <w:widowControl/>
              <w:jc w:val="center"/>
              <w:textAlignment w:val="center"/>
              <w:rPr>
                <w:rFonts w:hint="eastAsia" w:ascii="宋体" w:hAnsi="宋体" w:eastAsia="宋体" w:cs="宋体"/>
                <w:color w:val="auto"/>
                <w:kern w:val="0"/>
                <w:sz w:val="22"/>
                <w:szCs w:val="22"/>
                <w:highlight w:val="none"/>
                <w:lang w:bidi="ar"/>
              </w:rPr>
            </w:pPr>
          </w:p>
        </w:tc>
        <w:tc>
          <w:tcPr>
            <w:tcW w:w="636" w:type="pct"/>
            <w:tcBorders>
              <w:top w:val="single" w:color="000000" w:sz="4" w:space="0"/>
              <w:left w:val="single" w:color="auto" w:sz="4" w:space="0"/>
              <w:bottom w:val="single" w:color="000000" w:sz="4" w:space="0"/>
              <w:right w:val="single" w:color="000000" w:sz="4" w:space="0"/>
            </w:tcBorders>
            <w:noWrap w:val="0"/>
            <w:vAlign w:val="center"/>
          </w:tcPr>
          <w:p w14:paraId="6CFA7C5A">
            <w:pPr>
              <w:widowControl/>
              <w:jc w:val="center"/>
              <w:textAlignment w:val="center"/>
              <w:rPr>
                <w:rFonts w:hint="eastAsia" w:ascii="宋体" w:hAnsi="宋体" w:eastAsia="宋体" w:cs="宋体"/>
                <w:color w:val="auto"/>
                <w:kern w:val="0"/>
                <w:sz w:val="22"/>
                <w:szCs w:val="22"/>
                <w:highlight w:val="none"/>
                <w:lang w:bidi="ar"/>
              </w:rPr>
            </w:pPr>
          </w:p>
        </w:tc>
      </w:tr>
      <w:tr w14:paraId="1873A176">
        <w:tblPrEx>
          <w:tblCellMar>
            <w:top w:w="0" w:type="dxa"/>
            <w:left w:w="108" w:type="dxa"/>
            <w:bottom w:w="0" w:type="dxa"/>
            <w:right w:w="108" w:type="dxa"/>
          </w:tblCellMar>
        </w:tblPrEx>
        <w:trPr>
          <w:trHeight w:val="690" w:hRule="atLeast"/>
          <w:jc w:val="center"/>
        </w:trPr>
        <w:tc>
          <w:tcPr>
            <w:tcW w:w="2646" w:type="pct"/>
            <w:gridSpan w:val="2"/>
            <w:tcBorders>
              <w:top w:val="single" w:color="000000" w:sz="4" w:space="0"/>
              <w:left w:val="single" w:color="000000" w:sz="4" w:space="0"/>
              <w:bottom w:val="single" w:color="000000" w:sz="4" w:space="0"/>
              <w:right w:val="single" w:color="000000" w:sz="4" w:space="0"/>
            </w:tcBorders>
            <w:noWrap/>
            <w:vAlign w:val="center"/>
          </w:tcPr>
          <w:p w14:paraId="25B2DDE1">
            <w:pPr>
              <w:widowControl/>
              <w:jc w:val="center"/>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总价（人民币）</w:t>
            </w:r>
          </w:p>
        </w:tc>
        <w:tc>
          <w:tcPr>
            <w:tcW w:w="2353" w:type="pct"/>
            <w:gridSpan w:val="4"/>
            <w:tcBorders>
              <w:top w:val="single" w:color="000000" w:sz="4" w:space="0"/>
              <w:left w:val="single" w:color="000000" w:sz="4" w:space="0"/>
              <w:bottom w:val="single" w:color="000000" w:sz="4" w:space="0"/>
              <w:right w:val="single" w:color="000000" w:sz="4" w:space="0"/>
            </w:tcBorders>
            <w:noWrap/>
            <w:vAlign w:val="center"/>
          </w:tcPr>
          <w:p w14:paraId="5100E154">
            <w:pPr>
              <w:widowControl/>
              <w:textAlignment w:val="center"/>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大写：</w:t>
            </w:r>
            <w:r>
              <w:rPr>
                <w:rFonts w:hint="eastAsia" w:ascii="宋体" w:hAnsi="宋体" w:eastAsia="宋体" w:cs="宋体"/>
                <w:color w:val="auto"/>
                <w:kern w:val="0"/>
                <w:sz w:val="22"/>
                <w:szCs w:val="22"/>
                <w:highlight w:val="none"/>
                <w:u w:val="single"/>
                <w:lang w:bidi="ar"/>
              </w:rPr>
              <w:t xml:space="preserve">                    </w:t>
            </w:r>
            <w:r>
              <w:rPr>
                <w:rFonts w:hint="eastAsia" w:ascii="宋体" w:hAnsi="宋体" w:eastAsia="宋体" w:cs="宋体"/>
                <w:color w:val="auto"/>
                <w:kern w:val="0"/>
                <w:sz w:val="22"/>
                <w:szCs w:val="22"/>
                <w:highlight w:val="none"/>
                <w:lang w:bidi="ar"/>
              </w:rPr>
              <w:t xml:space="preserve"> 小写：</w:t>
            </w:r>
            <w:r>
              <w:rPr>
                <w:rFonts w:hint="eastAsia" w:ascii="宋体" w:hAnsi="宋体" w:eastAsia="宋体" w:cs="宋体"/>
                <w:color w:val="auto"/>
                <w:kern w:val="0"/>
                <w:sz w:val="22"/>
                <w:szCs w:val="22"/>
                <w:highlight w:val="none"/>
                <w:u w:val="single"/>
                <w:lang w:bidi="ar"/>
              </w:rPr>
              <w:t xml:space="preserve">             </w:t>
            </w:r>
            <w:r>
              <w:rPr>
                <w:rFonts w:hint="eastAsia" w:ascii="宋体" w:hAnsi="宋体" w:eastAsia="宋体" w:cs="宋体"/>
                <w:color w:val="auto"/>
                <w:kern w:val="0"/>
                <w:sz w:val="22"/>
                <w:szCs w:val="22"/>
                <w:highlight w:val="none"/>
                <w:lang w:bidi="ar"/>
              </w:rPr>
              <w:t>元</w:t>
            </w:r>
          </w:p>
        </w:tc>
      </w:tr>
    </w:tbl>
    <w:p w14:paraId="37B1B62B">
      <w:pPr>
        <w:spacing w:line="18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填写说明：</w:t>
      </w:r>
    </w:p>
    <w:p w14:paraId="701FDDA6">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1.开标一览表不得填报选择性报价，否则将作为无效投标；</w:t>
      </w:r>
    </w:p>
    <w:p w14:paraId="53C854AA">
      <w:pPr>
        <w:widowControl w:val="0"/>
        <w:autoSpaceDE w:val="0"/>
        <w:autoSpaceDN w:val="0"/>
        <w:adjustRightInd w:val="0"/>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2.监控设备、视频传输线路、7天云存储结算时按实际数量乘以单价进行结算。</w:t>
      </w:r>
    </w:p>
    <w:p w14:paraId="46B827C0">
      <w:pPr>
        <w:widowControl w:val="0"/>
        <w:autoSpaceDE w:val="0"/>
        <w:autoSpaceDN w:val="0"/>
        <w:adjustRightInd w:val="0"/>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3.报价除标的物的价款外还应包括设备、人员、综合服务费、安装、调试、培训、售后服务、税费等全部项目的费用。</w:t>
      </w:r>
    </w:p>
    <w:p w14:paraId="43FC6AB6">
      <w:pPr>
        <w:widowControl w:val="0"/>
        <w:autoSpaceDE w:val="0"/>
        <w:autoSpaceDN w:val="0"/>
        <w:adjustRightInd w:val="0"/>
        <w:rPr>
          <w:rFonts w:hint="eastAsia" w:ascii="宋体" w:hAnsi="宋体" w:eastAsia="宋体" w:cs="宋体"/>
          <w:b/>
          <w:color w:val="auto"/>
          <w:sz w:val="24"/>
          <w:szCs w:val="24"/>
          <w:highlight w:val="none"/>
          <w:lang w:val="en-US" w:eastAsia="zh-CN" w:bidi="ar-SA"/>
        </w:rPr>
      </w:pPr>
    </w:p>
    <w:p w14:paraId="533A7B89">
      <w:pPr>
        <w:widowControl w:val="0"/>
        <w:autoSpaceDE w:val="0"/>
        <w:autoSpaceDN w:val="0"/>
        <w:adjustRightInd w:val="0"/>
        <w:ind w:firstLine="3600" w:firstLineChars="15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法定代表人或被授权人（签字）：</w:t>
      </w:r>
    </w:p>
    <w:p w14:paraId="76C48446">
      <w:pPr>
        <w:widowControl w:val="0"/>
        <w:autoSpaceDE w:val="0"/>
        <w:autoSpaceDN w:val="0"/>
        <w:adjustRightInd w:val="0"/>
        <w:ind w:firstLine="3600" w:firstLineChars="1500"/>
        <w:rPr>
          <w:rFonts w:hint="eastAsia" w:ascii="宋体" w:hAnsi="宋体" w:eastAsia="宋体" w:cs="宋体"/>
          <w:color w:val="auto"/>
          <w:sz w:val="24"/>
          <w:szCs w:val="21"/>
          <w:highlight w:val="none"/>
        </w:rPr>
      </w:pPr>
    </w:p>
    <w:p w14:paraId="295A45DF">
      <w:pPr>
        <w:widowControl w:val="0"/>
        <w:autoSpaceDE w:val="0"/>
        <w:autoSpaceDN w:val="0"/>
        <w:adjustRightInd w:val="0"/>
        <w:ind w:firstLine="3600" w:firstLineChars="15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供应商全称（加盖CA电子公章）：</w:t>
      </w:r>
    </w:p>
    <w:p w14:paraId="2F2DDA02">
      <w:pPr>
        <w:widowControl w:val="0"/>
        <w:autoSpaceDE w:val="0"/>
        <w:autoSpaceDN w:val="0"/>
        <w:adjustRightInd w:val="0"/>
        <w:ind w:firstLine="3600" w:firstLineChars="1500"/>
        <w:rPr>
          <w:rFonts w:hint="eastAsia" w:ascii="宋体" w:hAnsi="宋体" w:eastAsia="宋体" w:cs="宋体"/>
          <w:color w:val="auto"/>
          <w:sz w:val="24"/>
          <w:szCs w:val="21"/>
          <w:highlight w:val="none"/>
        </w:rPr>
      </w:pPr>
    </w:p>
    <w:p w14:paraId="7AC5A3D8">
      <w:pPr>
        <w:widowControl w:val="0"/>
        <w:autoSpaceDE w:val="0"/>
        <w:autoSpaceDN w:val="0"/>
        <w:adjustRightInd w:val="0"/>
        <w:ind w:firstLine="5040" w:firstLineChars="21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年</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月</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日</w:t>
      </w:r>
    </w:p>
    <w:p w14:paraId="342CD8C6">
      <w:pPr>
        <w:spacing w:line="241" w:lineRule="auto"/>
        <w:rPr>
          <w:rFonts w:ascii="Arial"/>
          <w:b/>
          <w:bCs/>
          <w:sz w:val="21"/>
        </w:rPr>
      </w:pPr>
    </w:p>
    <w:p w14:paraId="5C74B25B">
      <w:pPr>
        <w:spacing w:line="241" w:lineRule="auto"/>
        <w:rPr>
          <w:rFonts w:ascii="Arial"/>
          <w:b/>
          <w:bCs/>
          <w:sz w:val="21"/>
        </w:rPr>
      </w:pPr>
    </w:p>
    <w:p w14:paraId="59FA9411">
      <w:pPr>
        <w:pStyle w:val="11"/>
        <w:spacing w:beforeAutospacing="0" w:afterAutospacing="0" w:line="0" w:lineRule="atLeast"/>
        <w:jc w:val="center"/>
        <w:rPr>
          <w:b/>
          <w:bCs/>
          <w:highlight w:val="none"/>
        </w:rPr>
      </w:pPr>
      <w:r>
        <w:rPr>
          <w:b/>
          <w:bCs/>
          <w:highlight w:val="none"/>
        </w:rPr>
        <w:t> </w:t>
      </w:r>
    </w:p>
    <w:p w14:paraId="24879B48">
      <w:pPr>
        <w:pStyle w:val="11"/>
        <w:spacing w:beforeAutospacing="0" w:afterAutospacing="0" w:line="0" w:lineRule="atLeast"/>
        <w:jc w:val="center"/>
        <w:rPr>
          <w:b/>
          <w:bCs/>
          <w:highlight w:val="none"/>
        </w:rPr>
      </w:pPr>
    </w:p>
    <w:p w14:paraId="18A83768">
      <w:pPr>
        <w:pStyle w:val="11"/>
        <w:spacing w:beforeAutospacing="0" w:afterAutospacing="0" w:line="0" w:lineRule="atLeast"/>
        <w:jc w:val="center"/>
        <w:rPr>
          <w:highlight w:val="none"/>
        </w:rPr>
      </w:pPr>
    </w:p>
    <w:p w14:paraId="4CA70EEF">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r>
    </w:p>
    <w:p w14:paraId="5BD99AA3">
      <w:pPr>
        <w:pStyle w:val="11"/>
        <w:spacing w:beforeAutospacing="0" w:afterAutospacing="0"/>
        <w:jc w:val="center"/>
        <w:rPr>
          <w:highlight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二</w:t>
      </w:r>
      <w:r>
        <w:rPr>
          <w:rFonts w:hint="eastAsia" w:ascii="黑体" w:hAnsi="宋体" w:eastAsia="黑体" w:cs="黑体"/>
          <w:b/>
          <w:color w:val="000000"/>
          <w:sz w:val="32"/>
          <w:szCs w:val="32"/>
          <w:highlight w:val="none"/>
        </w:rPr>
        <w:t>、技术要求响应及偏离表（分包号：**）</w:t>
      </w:r>
    </w:p>
    <w:tbl>
      <w:tblPr>
        <w:tblStyle w:val="12"/>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28654DC9">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5BD68">
            <w:pPr>
              <w:pStyle w:val="11"/>
              <w:spacing w:beforeAutospacing="0" w:afterAutospacing="0"/>
              <w:jc w:val="center"/>
              <w:rPr>
                <w:highlight w:val="none"/>
              </w:rPr>
            </w:pPr>
            <w:r>
              <w:rPr>
                <w:rFonts w:hint="eastAsia" w:ascii="宋体" w:hAnsi="宋体" w:eastAsia="宋体" w:cs="宋体"/>
                <w:color w:val="000000"/>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5F678">
            <w:pPr>
              <w:pStyle w:val="11"/>
              <w:spacing w:beforeAutospacing="0" w:afterAutospacing="0"/>
              <w:jc w:val="center"/>
              <w:rPr>
                <w:highlight w:val="none"/>
              </w:rPr>
            </w:pPr>
            <w:r>
              <w:rPr>
                <w:rFonts w:hint="eastAsia" w:ascii="宋体" w:hAnsi="宋体" w:eastAsia="宋体"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71259">
            <w:pPr>
              <w:pStyle w:val="11"/>
              <w:spacing w:beforeAutospacing="0" w:afterAutospacing="0"/>
              <w:jc w:val="center"/>
              <w:rPr>
                <w:highlight w:val="none"/>
              </w:rPr>
            </w:pPr>
            <w:r>
              <w:rPr>
                <w:rFonts w:hint="eastAsia" w:ascii="宋体" w:hAnsi="宋体" w:eastAsia="宋体" w:cs="宋体"/>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AEAAF">
            <w:pPr>
              <w:pStyle w:val="11"/>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773F5">
            <w:pPr>
              <w:pStyle w:val="11"/>
              <w:spacing w:beforeAutospacing="0" w:afterAutospacing="0"/>
              <w:jc w:val="center"/>
              <w:rPr>
                <w:highlight w:val="none"/>
              </w:rPr>
            </w:pPr>
            <w:r>
              <w:rPr>
                <w:rFonts w:hint="eastAsia" w:ascii="宋体" w:hAnsi="宋体" w:eastAsia="宋体" w:cs="宋体"/>
                <w:color w:val="000000"/>
                <w:highlight w:val="none"/>
              </w:rPr>
              <w:t>证明</w:t>
            </w:r>
          </w:p>
          <w:p w14:paraId="73755A4F">
            <w:pPr>
              <w:pStyle w:val="11"/>
              <w:spacing w:beforeAutospacing="0" w:afterAutospacing="0"/>
              <w:jc w:val="center"/>
              <w:rPr>
                <w:highlight w:val="none"/>
              </w:rPr>
            </w:pPr>
            <w:r>
              <w:rPr>
                <w:rFonts w:hint="eastAsia" w:ascii="宋体" w:hAnsi="宋体" w:eastAsia="宋体" w:cs="宋体"/>
                <w:color w:val="000000"/>
                <w:highlight w:val="none"/>
              </w:rPr>
              <w:t>材料</w:t>
            </w:r>
          </w:p>
        </w:tc>
      </w:tr>
      <w:tr w14:paraId="1995EDE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9FB52">
            <w:pPr>
              <w:pStyle w:val="11"/>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B99CE">
            <w:pPr>
              <w:pStyle w:val="11"/>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07AAD">
            <w:pPr>
              <w:pStyle w:val="11"/>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F8137">
            <w:pPr>
              <w:pStyle w:val="11"/>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C41B4">
            <w:pPr>
              <w:pStyle w:val="11"/>
              <w:spacing w:beforeAutospacing="0" w:afterAutospacing="0"/>
              <w:jc w:val="center"/>
              <w:rPr>
                <w:highlight w:val="none"/>
              </w:rPr>
            </w:pPr>
            <w:r>
              <w:rPr>
                <w:highlight w:val="none"/>
              </w:rPr>
              <w:t> </w:t>
            </w:r>
          </w:p>
        </w:tc>
      </w:tr>
      <w:tr w14:paraId="5657709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2FCC7">
            <w:pPr>
              <w:pStyle w:val="11"/>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A2356">
            <w:pPr>
              <w:pStyle w:val="11"/>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805BA">
            <w:pPr>
              <w:pStyle w:val="11"/>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CEBF2">
            <w:pPr>
              <w:pStyle w:val="11"/>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53294">
            <w:pPr>
              <w:pStyle w:val="11"/>
              <w:spacing w:beforeAutospacing="0" w:afterAutospacing="0"/>
              <w:jc w:val="center"/>
              <w:rPr>
                <w:highlight w:val="none"/>
              </w:rPr>
            </w:pPr>
            <w:r>
              <w:rPr>
                <w:highlight w:val="none"/>
              </w:rPr>
              <w:t> </w:t>
            </w:r>
          </w:p>
        </w:tc>
      </w:tr>
      <w:tr w14:paraId="69D472C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FE447">
            <w:pPr>
              <w:pStyle w:val="11"/>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07CDF">
            <w:pPr>
              <w:pStyle w:val="11"/>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04B07">
            <w:pPr>
              <w:pStyle w:val="11"/>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FC15F">
            <w:pPr>
              <w:pStyle w:val="11"/>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0C95E">
            <w:pPr>
              <w:pStyle w:val="11"/>
              <w:spacing w:beforeAutospacing="0" w:afterAutospacing="0"/>
              <w:jc w:val="center"/>
              <w:rPr>
                <w:highlight w:val="none"/>
              </w:rPr>
            </w:pPr>
            <w:r>
              <w:rPr>
                <w:highlight w:val="none"/>
              </w:rPr>
              <w:t> </w:t>
            </w:r>
          </w:p>
        </w:tc>
      </w:tr>
      <w:tr w14:paraId="0209733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382F6">
            <w:pPr>
              <w:pStyle w:val="11"/>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71168">
            <w:pPr>
              <w:pStyle w:val="11"/>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31902">
            <w:pPr>
              <w:pStyle w:val="11"/>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BCE23">
            <w:pPr>
              <w:pStyle w:val="11"/>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5A982">
            <w:pPr>
              <w:pStyle w:val="11"/>
              <w:spacing w:beforeAutospacing="0" w:afterAutospacing="0"/>
              <w:jc w:val="center"/>
              <w:rPr>
                <w:highlight w:val="none"/>
              </w:rPr>
            </w:pPr>
            <w:r>
              <w:rPr>
                <w:highlight w:val="none"/>
              </w:rPr>
              <w:t> </w:t>
            </w:r>
          </w:p>
        </w:tc>
      </w:tr>
      <w:tr w14:paraId="3B4B791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9A844">
            <w:pPr>
              <w:pStyle w:val="11"/>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96C68">
            <w:pPr>
              <w:pStyle w:val="11"/>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C952A">
            <w:pPr>
              <w:pStyle w:val="11"/>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CEFEF">
            <w:pPr>
              <w:pStyle w:val="11"/>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4A060">
            <w:pPr>
              <w:pStyle w:val="11"/>
              <w:spacing w:beforeAutospacing="0" w:afterAutospacing="0"/>
              <w:jc w:val="center"/>
              <w:rPr>
                <w:highlight w:val="none"/>
              </w:rPr>
            </w:pPr>
            <w:r>
              <w:rPr>
                <w:highlight w:val="none"/>
              </w:rPr>
              <w:t> </w:t>
            </w:r>
          </w:p>
        </w:tc>
      </w:tr>
      <w:tr w14:paraId="38B8912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ED9D5">
            <w:pPr>
              <w:pStyle w:val="11"/>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FA323">
            <w:pPr>
              <w:pStyle w:val="11"/>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AF7DA">
            <w:pPr>
              <w:pStyle w:val="11"/>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1AF6A">
            <w:pPr>
              <w:pStyle w:val="11"/>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ADA16">
            <w:pPr>
              <w:pStyle w:val="11"/>
              <w:spacing w:beforeAutospacing="0" w:afterAutospacing="0"/>
              <w:jc w:val="center"/>
              <w:rPr>
                <w:highlight w:val="none"/>
              </w:rPr>
            </w:pPr>
            <w:r>
              <w:rPr>
                <w:highlight w:val="none"/>
              </w:rPr>
              <w:t> </w:t>
            </w:r>
          </w:p>
        </w:tc>
      </w:tr>
      <w:tr w14:paraId="4A6A7C7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8EA28">
            <w:pPr>
              <w:pStyle w:val="11"/>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E2E88">
            <w:pPr>
              <w:pStyle w:val="11"/>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8BDD8">
            <w:pPr>
              <w:pStyle w:val="11"/>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284EE">
            <w:pPr>
              <w:pStyle w:val="11"/>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CD56B">
            <w:pPr>
              <w:pStyle w:val="11"/>
              <w:spacing w:beforeAutospacing="0" w:afterAutospacing="0"/>
              <w:jc w:val="center"/>
              <w:rPr>
                <w:highlight w:val="none"/>
              </w:rPr>
            </w:pPr>
            <w:r>
              <w:rPr>
                <w:highlight w:val="none"/>
              </w:rPr>
              <w:t> </w:t>
            </w:r>
          </w:p>
        </w:tc>
      </w:tr>
      <w:tr w14:paraId="50CE53E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84DC0">
            <w:pPr>
              <w:pStyle w:val="11"/>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59B1F">
            <w:pPr>
              <w:pStyle w:val="11"/>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7D1A7">
            <w:pPr>
              <w:pStyle w:val="11"/>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5063E">
            <w:pPr>
              <w:pStyle w:val="11"/>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7BBE6">
            <w:pPr>
              <w:pStyle w:val="11"/>
              <w:spacing w:beforeAutospacing="0" w:afterAutospacing="0"/>
              <w:jc w:val="center"/>
              <w:rPr>
                <w:highlight w:val="none"/>
              </w:rPr>
            </w:pPr>
            <w:r>
              <w:rPr>
                <w:highlight w:val="none"/>
              </w:rPr>
              <w:t> </w:t>
            </w:r>
          </w:p>
        </w:tc>
      </w:tr>
    </w:tbl>
    <w:p w14:paraId="528EFE88">
      <w:pPr>
        <w:pStyle w:val="11"/>
        <w:spacing w:beforeAutospacing="0" w:afterAutospacing="0"/>
        <w:jc w:val="both"/>
        <w:rPr>
          <w:highlight w:val="none"/>
        </w:rPr>
      </w:pPr>
      <w:r>
        <w:rPr>
          <w:rFonts w:hint="eastAsia" w:ascii="宋体" w:hAnsi="宋体" w:eastAsia="宋体" w:cs="宋体"/>
          <w:color w:val="000000"/>
          <w:highlight w:val="none"/>
        </w:rPr>
        <w:t>注： 行数不够，可自行添加。</w:t>
      </w:r>
    </w:p>
    <w:p w14:paraId="75497F4A">
      <w:pPr>
        <w:pStyle w:val="11"/>
        <w:spacing w:beforeAutospacing="0" w:afterAutospacing="0" w:line="0" w:lineRule="atLeast"/>
        <w:jc w:val="both"/>
        <w:rPr>
          <w:highlight w:val="none"/>
        </w:rPr>
      </w:pPr>
    </w:p>
    <w:p w14:paraId="1362C19C">
      <w:pPr>
        <w:pStyle w:val="11"/>
        <w:spacing w:beforeAutospacing="0" w:afterAutospacing="0" w:line="0" w:lineRule="atLeast"/>
        <w:ind w:firstLine="645"/>
        <w:jc w:val="both"/>
        <w:rPr>
          <w:highlight w:val="none"/>
        </w:rPr>
      </w:pPr>
      <w:r>
        <w:rPr>
          <w:highlight w:val="none"/>
        </w:rPr>
        <w:t> </w:t>
      </w:r>
    </w:p>
    <w:p w14:paraId="166AC735">
      <w:pPr>
        <w:pStyle w:val="11"/>
        <w:spacing w:beforeAutospacing="0" w:afterAutospacing="0" w:line="0" w:lineRule="atLeast"/>
        <w:jc w:val="both"/>
        <w:rPr>
          <w:highlight w:val="none"/>
        </w:rPr>
      </w:pPr>
      <w:r>
        <w:rPr>
          <w:highlight w:val="none"/>
        </w:rPr>
        <w:t> </w:t>
      </w:r>
    </w:p>
    <w:p w14:paraId="3D799F36">
      <w:pPr>
        <w:pStyle w:val="11"/>
        <w:spacing w:beforeAutospacing="0" w:afterAutospacing="0" w:line="0" w:lineRule="atLeast"/>
        <w:jc w:val="both"/>
        <w:rPr>
          <w:highlight w:val="none"/>
        </w:rPr>
      </w:pPr>
      <w:r>
        <w:rPr>
          <w:highlight w:val="none"/>
        </w:rPr>
        <w:t> </w:t>
      </w:r>
    </w:p>
    <w:p w14:paraId="37E6BE0B">
      <w:pPr>
        <w:pStyle w:val="11"/>
        <w:spacing w:beforeAutospacing="0" w:afterAutospacing="0" w:line="0" w:lineRule="atLeast"/>
        <w:jc w:val="both"/>
        <w:rPr>
          <w:highlight w:val="none"/>
        </w:rPr>
      </w:pPr>
      <w:r>
        <w:rPr>
          <w:highlight w:val="none"/>
        </w:rPr>
        <w:t> </w:t>
      </w:r>
    </w:p>
    <w:p w14:paraId="2B60C190">
      <w:pPr>
        <w:pStyle w:val="11"/>
        <w:spacing w:beforeAutospacing="0" w:afterAutospacing="0" w:line="0" w:lineRule="atLeast"/>
        <w:jc w:val="both"/>
        <w:rPr>
          <w:highlight w:val="none"/>
        </w:rPr>
      </w:pPr>
      <w:r>
        <w:rPr>
          <w:highlight w:val="none"/>
        </w:rPr>
        <w:t> </w:t>
      </w:r>
    </w:p>
    <w:p w14:paraId="57527C1B">
      <w:pPr>
        <w:pStyle w:val="11"/>
        <w:spacing w:beforeAutospacing="0" w:afterAutospacing="0" w:line="0" w:lineRule="atLeast"/>
        <w:jc w:val="both"/>
        <w:rPr>
          <w:highlight w:val="none"/>
        </w:rPr>
      </w:pPr>
      <w:r>
        <w:rPr>
          <w:highlight w:val="none"/>
        </w:rPr>
        <w:t> </w:t>
      </w:r>
    </w:p>
    <w:p w14:paraId="3F791BC4">
      <w:pPr>
        <w:pStyle w:val="11"/>
        <w:spacing w:beforeAutospacing="0" w:afterAutospacing="0" w:line="0" w:lineRule="atLeast"/>
        <w:jc w:val="both"/>
        <w:rPr>
          <w:highlight w:val="none"/>
        </w:rPr>
      </w:pPr>
    </w:p>
    <w:p w14:paraId="6A959F58">
      <w:pPr>
        <w:pStyle w:val="11"/>
        <w:spacing w:beforeAutospacing="0" w:afterAutospacing="0" w:line="0" w:lineRule="atLeast"/>
        <w:jc w:val="both"/>
        <w:rPr>
          <w:highlight w:val="none"/>
        </w:rPr>
      </w:pPr>
    </w:p>
    <w:p w14:paraId="59120E29">
      <w:pPr>
        <w:pStyle w:val="11"/>
        <w:spacing w:beforeAutospacing="0" w:afterAutospacing="0" w:line="0" w:lineRule="atLeast"/>
        <w:jc w:val="both"/>
        <w:rPr>
          <w:highlight w:val="none"/>
        </w:rPr>
      </w:pPr>
    </w:p>
    <w:p w14:paraId="7BFD87F7">
      <w:pPr>
        <w:pStyle w:val="11"/>
        <w:spacing w:beforeAutospacing="0" w:afterAutospacing="0" w:line="0" w:lineRule="atLeast"/>
        <w:jc w:val="both"/>
        <w:rPr>
          <w:highlight w:val="none"/>
        </w:rPr>
      </w:pPr>
    </w:p>
    <w:p w14:paraId="46460017">
      <w:pPr>
        <w:pStyle w:val="11"/>
        <w:spacing w:beforeAutospacing="0" w:afterAutospacing="0" w:line="0" w:lineRule="atLeast"/>
        <w:jc w:val="both"/>
        <w:rPr>
          <w:highlight w:val="none"/>
        </w:rPr>
      </w:pPr>
    </w:p>
    <w:p w14:paraId="319FDB43">
      <w:pPr>
        <w:pStyle w:val="11"/>
        <w:spacing w:beforeAutospacing="0" w:afterAutospacing="0" w:line="0" w:lineRule="atLeast"/>
        <w:jc w:val="both"/>
        <w:rPr>
          <w:highlight w:val="none"/>
        </w:rPr>
      </w:pPr>
    </w:p>
    <w:p w14:paraId="48D90514">
      <w:pPr>
        <w:pStyle w:val="11"/>
        <w:spacing w:beforeAutospacing="0" w:afterAutospacing="0" w:line="0" w:lineRule="atLeast"/>
        <w:jc w:val="both"/>
        <w:rPr>
          <w:highlight w:val="none"/>
        </w:rPr>
      </w:pPr>
    </w:p>
    <w:p w14:paraId="77319186">
      <w:pPr>
        <w:pStyle w:val="11"/>
        <w:spacing w:beforeAutospacing="0" w:afterAutospacing="0" w:line="0" w:lineRule="atLeast"/>
        <w:jc w:val="both"/>
        <w:rPr>
          <w:highlight w:val="none"/>
        </w:rPr>
      </w:pPr>
    </w:p>
    <w:p w14:paraId="3EEE9B03">
      <w:pPr>
        <w:pStyle w:val="11"/>
        <w:spacing w:beforeAutospacing="0" w:afterAutospacing="0" w:line="0" w:lineRule="atLeast"/>
        <w:jc w:val="both"/>
        <w:rPr>
          <w:highlight w:val="none"/>
        </w:rPr>
      </w:pPr>
    </w:p>
    <w:p w14:paraId="6F25DC03">
      <w:pPr>
        <w:pStyle w:val="11"/>
        <w:spacing w:beforeAutospacing="0" w:afterAutospacing="0" w:line="0" w:lineRule="atLeast"/>
        <w:jc w:val="both"/>
        <w:rPr>
          <w:highlight w:val="none"/>
        </w:rPr>
      </w:pPr>
    </w:p>
    <w:p w14:paraId="5E3ACA2F">
      <w:pPr>
        <w:pStyle w:val="11"/>
        <w:spacing w:beforeAutospacing="0" w:afterAutospacing="0" w:line="0" w:lineRule="atLeast"/>
        <w:jc w:val="both"/>
        <w:rPr>
          <w:highlight w:val="none"/>
        </w:rPr>
      </w:pPr>
    </w:p>
    <w:p w14:paraId="7E170FB9">
      <w:pPr>
        <w:pStyle w:val="11"/>
        <w:spacing w:beforeAutospacing="0" w:afterAutospacing="0" w:line="0" w:lineRule="atLeast"/>
        <w:jc w:val="both"/>
        <w:rPr>
          <w:highlight w:val="none"/>
        </w:rPr>
      </w:pPr>
    </w:p>
    <w:p w14:paraId="07CFFF96">
      <w:pPr>
        <w:pStyle w:val="11"/>
        <w:spacing w:beforeAutospacing="0" w:afterAutospacing="0" w:line="0" w:lineRule="atLeast"/>
        <w:jc w:val="both"/>
        <w:rPr>
          <w:highlight w:val="none"/>
        </w:rPr>
      </w:pPr>
    </w:p>
    <w:p w14:paraId="5940DC2F">
      <w:pPr>
        <w:pStyle w:val="11"/>
        <w:spacing w:beforeAutospacing="0" w:afterAutospacing="0" w:line="0" w:lineRule="atLeast"/>
        <w:jc w:val="both"/>
        <w:rPr>
          <w:highlight w:val="none"/>
        </w:rPr>
      </w:pPr>
    </w:p>
    <w:p w14:paraId="1644ADE4">
      <w:pPr>
        <w:pStyle w:val="11"/>
        <w:spacing w:beforeAutospacing="0" w:afterAutospacing="0" w:line="0" w:lineRule="atLeast"/>
        <w:jc w:val="both"/>
        <w:rPr>
          <w:highlight w:val="none"/>
        </w:rPr>
      </w:pPr>
    </w:p>
    <w:p w14:paraId="72752EF8">
      <w:pPr>
        <w:pStyle w:val="11"/>
        <w:spacing w:beforeAutospacing="0" w:afterAutospacing="0" w:line="0" w:lineRule="atLeast"/>
        <w:jc w:val="both"/>
        <w:rPr>
          <w:highlight w:val="none"/>
        </w:rPr>
      </w:pPr>
    </w:p>
    <w:p w14:paraId="1627436F">
      <w:pPr>
        <w:pStyle w:val="11"/>
        <w:spacing w:beforeAutospacing="0" w:afterAutospacing="0" w:line="0" w:lineRule="atLeast"/>
        <w:jc w:val="both"/>
        <w:rPr>
          <w:highlight w:val="none"/>
        </w:rPr>
      </w:pPr>
    </w:p>
    <w:p w14:paraId="72AE8BA3">
      <w:pPr>
        <w:pStyle w:val="11"/>
        <w:spacing w:beforeAutospacing="0" w:afterAutospacing="0"/>
        <w:jc w:val="center"/>
        <w:rPr>
          <w:highlight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三</w:t>
      </w:r>
      <w:r>
        <w:rPr>
          <w:rFonts w:hint="eastAsia" w:ascii="黑体" w:hAnsi="宋体" w:eastAsia="黑体" w:cs="黑体"/>
          <w:b/>
          <w:color w:val="000000"/>
          <w:sz w:val="32"/>
          <w:szCs w:val="32"/>
          <w:highlight w:val="none"/>
        </w:rPr>
        <w:t>、商务要求响应及偏离表（分包号：**）</w:t>
      </w:r>
    </w:p>
    <w:tbl>
      <w:tblPr>
        <w:tblStyle w:val="12"/>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03C8B5A3">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51DC2">
            <w:pPr>
              <w:pStyle w:val="11"/>
              <w:spacing w:beforeAutospacing="0" w:afterAutospacing="0"/>
              <w:jc w:val="center"/>
              <w:rPr>
                <w:highlight w:val="none"/>
              </w:rPr>
            </w:pPr>
            <w:bookmarkStart w:id="199" w:name="_Hlt24879081"/>
            <w:bookmarkStart w:id="200" w:name="_Hlt26609391"/>
            <w:bookmarkStart w:id="201" w:name="_Hlt26955056"/>
            <w:bookmarkStart w:id="202" w:name="_Hlt26955064"/>
            <w:bookmarkStart w:id="203" w:name="_Hlt26580838"/>
            <w:bookmarkStart w:id="204" w:name="_Hlt26782999"/>
            <w:bookmarkStart w:id="205" w:name="_Hlt26671372"/>
            <w:bookmarkStart w:id="206" w:name="_Hlt26671343"/>
            <w:r>
              <w:rPr>
                <w:rFonts w:hint="eastAsia" w:ascii="宋体" w:hAnsi="宋体" w:eastAsia="宋体" w:cs="宋体"/>
                <w:color w:val="000000"/>
                <w:highlight w:val="none"/>
              </w:rPr>
              <w:t>序号</w:t>
            </w:r>
          </w:p>
          <w:bookmarkEnd w:id="199"/>
          <w:bookmarkEnd w:id="200"/>
          <w:bookmarkEnd w:id="201"/>
          <w:bookmarkEnd w:id="202"/>
          <w:bookmarkEnd w:id="203"/>
          <w:bookmarkEnd w:id="204"/>
          <w:bookmarkEnd w:id="205"/>
          <w:bookmarkEnd w:id="206"/>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F056C">
            <w:pPr>
              <w:pStyle w:val="11"/>
              <w:spacing w:beforeAutospacing="0" w:afterAutospacing="0"/>
              <w:jc w:val="center"/>
              <w:rPr>
                <w:highlight w:val="none"/>
              </w:rPr>
            </w:pPr>
            <w:r>
              <w:rPr>
                <w:rFonts w:hint="eastAsia" w:ascii="宋体" w:hAnsi="宋体" w:eastAsia="宋体" w:cs="宋体"/>
                <w:color w:val="000000"/>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9E1A0">
            <w:pPr>
              <w:pStyle w:val="11"/>
              <w:spacing w:beforeAutospacing="0" w:afterAutospacing="0"/>
              <w:jc w:val="center"/>
              <w:rPr>
                <w:highlight w:val="none"/>
              </w:rPr>
            </w:pPr>
            <w:r>
              <w:rPr>
                <w:rFonts w:hint="eastAsia" w:ascii="宋体" w:hAnsi="宋体" w:eastAsia="宋体" w:cs="宋体"/>
                <w:color w:val="000000"/>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C39C4">
            <w:pPr>
              <w:pStyle w:val="11"/>
              <w:spacing w:beforeAutospacing="0" w:afterAutospacing="0"/>
              <w:jc w:val="center"/>
              <w:rPr>
                <w:highlight w:val="none"/>
              </w:rPr>
            </w:pPr>
            <w:r>
              <w:rPr>
                <w:rFonts w:hint="eastAsia" w:ascii="宋体" w:hAnsi="宋体" w:eastAsia="宋体" w:cs="宋体"/>
                <w:color w:val="000000"/>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3041F">
            <w:pPr>
              <w:pStyle w:val="11"/>
              <w:spacing w:beforeAutospacing="0" w:afterAutospacing="0"/>
              <w:jc w:val="center"/>
              <w:rPr>
                <w:highlight w:val="none"/>
              </w:rPr>
            </w:pPr>
            <w:r>
              <w:rPr>
                <w:rFonts w:hint="eastAsia" w:ascii="宋体" w:hAnsi="宋体" w:eastAsia="宋体" w:cs="宋体"/>
                <w:color w:val="000000"/>
                <w:highlight w:val="none"/>
              </w:rPr>
              <w:t>证明</w:t>
            </w:r>
          </w:p>
          <w:p w14:paraId="126FBFB7">
            <w:pPr>
              <w:pStyle w:val="11"/>
              <w:spacing w:beforeAutospacing="0" w:afterAutospacing="0"/>
              <w:jc w:val="center"/>
              <w:rPr>
                <w:highlight w:val="none"/>
              </w:rPr>
            </w:pPr>
            <w:r>
              <w:rPr>
                <w:rFonts w:hint="eastAsia" w:ascii="宋体" w:hAnsi="宋体" w:eastAsia="宋体" w:cs="宋体"/>
                <w:color w:val="000000"/>
                <w:highlight w:val="none"/>
              </w:rPr>
              <w:t>材料</w:t>
            </w:r>
          </w:p>
        </w:tc>
      </w:tr>
      <w:tr w14:paraId="2E670E2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8A874">
            <w:pPr>
              <w:pStyle w:val="11"/>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54E12">
            <w:pPr>
              <w:pStyle w:val="11"/>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B9479">
            <w:pPr>
              <w:pStyle w:val="11"/>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8273B">
            <w:pPr>
              <w:pStyle w:val="11"/>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30B29">
            <w:pPr>
              <w:pStyle w:val="11"/>
              <w:spacing w:beforeAutospacing="0" w:afterAutospacing="0"/>
              <w:jc w:val="center"/>
              <w:rPr>
                <w:highlight w:val="none"/>
              </w:rPr>
            </w:pPr>
            <w:r>
              <w:rPr>
                <w:highlight w:val="none"/>
              </w:rPr>
              <w:t> </w:t>
            </w:r>
          </w:p>
        </w:tc>
      </w:tr>
      <w:tr w14:paraId="5FC8D4B6">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BD029">
            <w:pPr>
              <w:pStyle w:val="11"/>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51FC6">
            <w:pPr>
              <w:pStyle w:val="11"/>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D25CA">
            <w:pPr>
              <w:pStyle w:val="11"/>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F6A98">
            <w:pPr>
              <w:pStyle w:val="11"/>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893E4">
            <w:pPr>
              <w:pStyle w:val="11"/>
              <w:spacing w:beforeAutospacing="0" w:afterAutospacing="0"/>
              <w:jc w:val="center"/>
              <w:rPr>
                <w:highlight w:val="none"/>
              </w:rPr>
            </w:pPr>
            <w:r>
              <w:rPr>
                <w:highlight w:val="none"/>
              </w:rPr>
              <w:t> </w:t>
            </w:r>
          </w:p>
        </w:tc>
      </w:tr>
      <w:tr w14:paraId="674AD73B">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C02FD">
            <w:pPr>
              <w:pStyle w:val="11"/>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9A892">
            <w:pPr>
              <w:pStyle w:val="11"/>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EC3DD">
            <w:pPr>
              <w:pStyle w:val="11"/>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C8121">
            <w:pPr>
              <w:pStyle w:val="11"/>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4A4D4">
            <w:pPr>
              <w:pStyle w:val="11"/>
              <w:spacing w:beforeAutospacing="0" w:afterAutospacing="0"/>
              <w:jc w:val="center"/>
              <w:rPr>
                <w:highlight w:val="none"/>
              </w:rPr>
            </w:pPr>
            <w:r>
              <w:rPr>
                <w:highlight w:val="none"/>
              </w:rPr>
              <w:t> </w:t>
            </w:r>
          </w:p>
        </w:tc>
      </w:tr>
      <w:tr w14:paraId="0E01292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906FA">
            <w:pPr>
              <w:pStyle w:val="11"/>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1E512">
            <w:pPr>
              <w:pStyle w:val="11"/>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7CE18">
            <w:pPr>
              <w:pStyle w:val="11"/>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B70D9">
            <w:pPr>
              <w:pStyle w:val="11"/>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8B089">
            <w:pPr>
              <w:pStyle w:val="11"/>
              <w:spacing w:beforeAutospacing="0" w:afterAutospacing="0"/>
              <w:jc w:val="center"/>
              <w:rPr>
                <w:highlight w:val="none"/>
              </w:rPr>
            </w:pPr>
            <w:r>
              <w:rPr>
                <w:highlight w:val="none"/>
              </w:rPr>
              <w:t> </w:t>
            </w:r>
          </w:p>
        </w:tc>
      </w:tr>
      <w:tr w14:paraId="7E1C8AC3">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CFDF5">
            <w:pPr>
              <w:pStyle w:val="11"/>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84A6C">
            <w:pPr>
              <w:pStyle w:val="11"/>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38DBB">
            <w:pPr>
              <w:pStyle w:val="11"/>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D3EAC">
            <w:pPr>
              <w:pStyle w:val="11"/>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8044F">
            <w:pPr>
              <w:pStyle w:val="11"/>
              <w:spacing w:beforeAutospacing="0" w:afterAutospacing="0"/>
              <w:jc w:val="center"/>
              <w:rPr>
                <w:highlight w:val="none"/>
              </w:rPr>
            </w:pPr>
            <w:r>
              <w:rPr>
                <w:highlight w:val="none"/>
              </w:rPr>
              <w:t> </w:t>
            </w:r>
          </w:p>
        </w:tc>
      </w:tr>
      <w:tr w14:paraId="610BF5B6">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E9A5E">
            <w:pPr>
              <w:pStyle w:val="11"/>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4EEF1">
            <w:pPr>
              <w:pStyle w:val="11"/>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EB251">
            <w:pPr>
              <w:pStyle w:val="11"/>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BE4CA">
            <w:pPr>
              <w:pStyle w:val="11"/>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A687B">
            <w:pPr>
              <w:pStyle w:val="11"/>
              <w:spacing w:beforeAutospacing="0" w:afterAutospacing="0"/>
              <w:jc w:val="center"/>
              <w:rPr>
                <w:highlight w:val="none"/>
              </w:rPr>
            </w:pPr>
            <w:r>
              <w:rPr>
                <w:highlight w:val="none"/>
              </w:rPr>
              <w:t> </w:t>
            </w:r>
          </w:p>
        </w:tc>
      </w:tr>
      <w:tr w14:paraId="5816D05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FA754">
            <w:pPr>
              <w:pStyle w:val="11"/>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16516">
            <w:pPr>
              <w:pStyle w:val="11"/>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D5B5C">
            <w:pPr>
              <w:pStyle w:val="11"/>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42718">
            <w:pPr>
              <w:pStyle w:val="11"/>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1026B">
            <w:pPr>
              <w:pStyle w:val="11"/>
              <w:spacing w:beforeAutospacing="0" w:afterAutospacing="0"/>
              <w:jc w:val="center"/>
              <w:rPr>
                <w:highlight w:val="none"/>
              </w:rPr>
            </w:pPr>
            <w:r>
              <w:rPr>
                <w:highlight w:val="none"/>
              </w:rPr>
              <w:t> </w:t>
            </w:r>
          </w:p>
        </w:tc>
      </w:tr>
      <w:tr w14:paraId="6F4FB4A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25D3C">
            <w:pPr>
              <w:pStyle w:val="11"/>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2562B">
            <w:pPr>
              <w:pStyle w:val="11"/>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A5F04">
            <w:pPr>
              <w:pStyle w:val="11"/>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79614">
            <w:pPr>
              <w:pStyle w:val="11"/>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7F0E8">
            <w:pPr>
              <w:pStyle w:val="11"/>
              <w:spacing w:beforeAutospacing="0" w:afterAutospacing="0"/>
              <w:jc w:val="center"/>
              <w:rPr>
                <w:highlight w:val="none"/>
              </w:rPr>
            </w:pPr>
            <w:r>
              <w:rPr>
                <w:highlight w:val="none"/>
              </w:rPr>
              <w:t> </w:t>
            </w:r>
          </w:p>
        </w:tc>
      </w:tr>
    </w:tbl>
    <w:p w14:paraId="733EBC9C">
      <w:pPr>
        <w:pStyle w:val="11"/>
        <w:spacing w:beforeAutospacing="0" w:afterAutospacing="0"/>
        <w:jc w:val="both"/>
        <w:rPr>
          <w:highlight w:val="none"/>
        </w:rPr>
      </w:pPr>
      <w:r>
        <w:rPr>
          <w:rFonts w:hint="eastAsia" w:ascii="宋体" w:hAnsi="宋体" w:eastAsia="宋体" w:cs="宋体"/>
          <w:color w:val="000000"/>
          <w:highlight w:val="none"/>
        </w:rPr>
        <w:t>注： 行数不够，可自行添加。</w:t>
      </w:r>
    </w:p>
    <w:p w14:paraId="2FB74AE2">
      <w:pPr>
        <w:pStyle w:val="11"/>
        <w:spacing w:beforeAutospacing="0" w:afterAutospacing="0"/>
        <w:jc w:val="both"/>
        <w:rPr>
          <w:highlight w:val="none"/>
          <w:shd w:val="clear" w:color="auto" w:fill="auto"/>
        </w:rPr>
      </w:pPr>
    </w:p>
    <w:p w14:paraId="557CDBCA">
      <w:pPr>
        <w:pStyle w:val="11"/>
        <w:spacing w:beforeAutospacing="0" w:afterAutospacing="0"/>
        <w:jc w:val="both"/>
        <w:rPr>
          <w:highlight w:val="none"/>
          <w:shd w:val="clear" w:color="auto" w:fill="auto"/>
        </w:rPr>
      </w:pPr>
      <w:r>
        <w:rPr>
          <w:highlight w:val="none"/>
          <w:shd w:val="clear" w:color="auto" w:fill="auto"/>
        </w:rPr>
        <w:t> </w:t>
      </w:r>
    </w:p>
    <w:p w14:paraId="5C3CDF56">
      <w:pPr>
        <w:pStyle w:val="11"/>
        <w:spacing w:beforeAutospacing="0" w:afterAutospacing="0"/>
        <w:jc w:val="both"/>
        <w:rPr>
          <w:highlight w:val="none"/>
        </w:rPr>
      </w:pPr>
      <w:r>
        <w:rPr>
          <w:highlight w:val="none"/>
        </w:rPr>
        <w:t> </w:t>
      </w:r>
    </w:p>
    <w:p w14:paraId="05F298F1">
      <w:pPr>
        <w:pStyle w:val="11"/>
        <w:spacing w:beforeAutospacing="0" w:afterAutospacing="0"/>
        <w:jc w:val="center"/>
        <w:rPr>
          <w:highlight w:val="none"/>
        </w:rPr>
      </w:pPr>
      <w:r>
        <w:rPr>
          <w:highlight w:val="none"/>
        </w:rPr>
        <w:t> </w:t>
      </w:r>
    </w:p>
    <w:p w14:paraId="39706C2B">
      <w:pPr>
        <w:pStyle w:val="11"/>
        <w:spacing w:beforeAutospacing="0" w:afterAutospacing="0"/>
        <w:jc w:val="center"/>
        <w:rPr>
          <w:highlight w:val="none"/>
        </w:rPr>
      </w:pPr>
      <w:r>
        <w:rPr>
          <w:highlight w:val="none"/>
        </w:rPr>
        <w:t> </w:t>
      </w:r>
    </w:p>
    <w:p w14:paraId="4A94BB85">
      <w:pPr>
        <w:pStyle w:val="11"/>
        <w:spacing w:beforeAutospacing="0" w:afterAutospacing="0"/>
        <w:jc w:val="center"/>
        <w:rPr>
          <w:highlight w:val="none"/>
        </w:rPr>
      </w:pPr>
      <w:r>
        <w:rPr>
          <w:highlight w:val="none"/>
        </w:rPr>
        <w:t> </w:t>
      </w:r>
    </w:p>
    <w:p w14:paraId="3EFE5620">
      <w:pPr>
        <w:pStyle w:val="11"/>
        <w:spacing w:beforeAutospacing="0" w:afterAutospacing="0"/>
        <w:jc w:val="center"/>
        <w:rPr>
          <w:highlight w:val="none"/>
        </w:rPr>
      </w:pPr>
    </w:p>
    <w:p w14:paraId="75117A34">
      <w:pPr>
        <w:pStyle w:val="11"/>
        <w:spacing w:beforeAutospacing="0" w:afterAutospacing="0"/>
        <w:jc w:val="center"/>
        <w:rPr>
          <w:highlight w:val="none"/>
        </w:rPr>
      </w:pPr>
    </w:p>
    <w:p w14:paraId="7D01EFCA">
      <w:pPr>
        <w:pStyle w:val="11"/>
        <w:spacing w:beforeAutospacing="0" w:afterAutospacing="0"/>
        <w:jc w:val="center"/>
        <w:rPr>
          <w:highlight w:val="none"/>
        </w:rPr>
      </w:pPr>
    </w:p>
    <w:p w14:paraId="17DDE5B4">
      <w:pPr>
        <w:pStyle w:val="11"/>
        <w:spacing w:beforeAutospacing="0" w:afterAutospacing="0"/>
        <w:jc w:val="center"/>
        <w:rPr>
          <w:highlight w:val="none"/>
        </w:rPr>
      </w:pPr>
    </w:p>
    <w:p w14:paraId="0ADF81D3">
      <w:pPr>
        <w:pStyle w:val="11"/>
        <w:spacing w:beforeAutospacing="0" w:afterAutospacing="0"/>
        <w:jc w:val="center"/>
        <w:rPr>
          <w:highlight w:val="none"/>
        </w:rPr>
      </w:pPr>
    </w:p>
    <w:p w14:paraId="106EDDF6">
      <w:pPr>
        <w:pStyle w:val="11"/>
        <w:spacing w:beforeAutospacing="0" w:afterAutospacing="0"/>
        <w:jc w:val="center"/>
        <w:rPr>
          <w:highlight w:val="none"/>
        </w:rPr>
      </w:pPr>
    </w:p>
    <w:p w14:paraId="01A3C97E">
      <w:pPr>
        <w:pStyle w:val="11"/>
        <w:spacing w:beforeAutospacing="0" w:afterAutospacing="0"/>
        <w:jc w:val="center"/>
        <w:rPr>
          <w:highlight w:val="none"/>
        </w:rPr>
      </w:pPr>
    </w:p>
    <w:p w14:paraId="3BC2BC63">
      <w:pPr>
        <w:pStyle w:val="11"/>
        <w:spacing w:beforeAutospacing="0" w:afterAutospacing="0"/>
        <w:jc w:val="center"/>
        <w:rPr>
          <w:highlight w:val="none"/>
        </w:rPr>
      </w:pPr>
    </w:p>
    <w:p w14:paraId="17D749AA">
      <w:pPr>
        <w:pStyle w:val="11"/>
        <w:spacing w:beforeAutospacing="0" w:afterAutospacing="0"/>
        <w:jc w:val="center"/>
        <w:rPr>
          <w:highlight w:val="none"/>
        </w:rPr>
      </w:pPr>
    </w:p>
    <w:p w14:paraId="3C9F7046">
      <w:pPr>
        <w:pStyle w:val="11"/>
        <w:spacing w:beforeAutospacing="0" w:afterAutospacing="0"/>
        <w:jc w:val="center"/>
        <w:rPr>
          <w:highlight w:val="none"/>
        </w:rPr>
      </w:pPr>
      <w:r>
        <w:rPr>
          <w:highlight w:val="none"/>
        </w:rPr>
        <w:t> </w:t>
      </w:r>
    </w:p>
    <w:p w14:paraId="24133F66">
      <w:pPr>
        <w:pStyle w:val="11"/>
        <w:spacing w:beforeAutospacing="0" w:afterAutospacing="0"/>
        <w:jc w:val="center"/>
        <w:rPr>
          <w:highlight w:val="none"/>
        </w:rPr>
      </w:pPr>
      <w:r>
        <w:rPr>
          <w:highlight w:val="none"/>
        </w:rPr>
        <w:t> </w:t>
      </w:r>
    </w:p>
    <w:p w14:paraId="0C906EDB">
      <w:pPr>
        <w:pStyle w:val="11"/>
        <w:spacing w:beforeAutospacing="0" w:afterAutospacing="0"/>
        <w:jc w:val="center"/>
        <w:rPr>
          <w:highlight w:val="none"/>
        </w:rPr>
      </w:pPr>
      <w:r>
        <w:rPr>
          <w:highlight w:val="none"/>
        </w:rPr>
        <w:t> </w:t>
      </w:r>
    </w:p>
    <w:p w14:paraId="16CA878F">
      <w:pPr>
        <w:pStyle w:val="11"/>
        <w:spacing w:beforeAutospacing="0" w:afterAutospacing="0"/>
        <w:jc w:val="center"/>
        <w:rPr>
          <w:highlight w:val="none"/>
        </w:rPr>
      </w:pPr>
      <w:r>
        <w:rPr>
          <w:highlight w:val="none"/>
        </w:rPr>
        <w:t> </w:t>
      </w:r>
    </w:p>
    <w:p w14:paraId="2D3E7171">
      <w:pPr>
        <w:pStyle w:val="11"/>
        <w:spacing w:beforeAutospacing="0" w:afterAutospacing="0"/>
        <w:jc w:val="center"/>
        <w:rPr>
          <w:highlight w:val="none"/>
        </w:rPr>
      </w:pPr>
      <w:r>
        <w:rPr>
          <w:highlight w:val="none"/>
        </w:rPr>
        <w:t> </w:t>
      </w:r>
    </w:p>
    <w:p w14:paraId="0FB8DD22">
      <w:pPr>
        <w:pStyle w:val="11"/>
        <w:spacing w:beforeAutospacing="0" w:afterAutospacing="0"/>
        <w:jc w:val="center"/>
        <w:rPr>
          <w:highlight w:val="none"/>
        </w:rPr>
      </w:pPr>
    </w:p>
    <w:p w14:paraId="0BBAF78C">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r>
    </w:p>
    <w:p w14:paraId="665FF2F8">
      <w:pPr>
        <w:pStyle w:val="11"/>
        <w:spacing w:beforeAutospacing="0" w:afterAutospacing="0"/>
        <w:jc w:val="center"/>
        <w:rPr>
          <w:i w:val="0"/>
          <w:iCs w:val="0"/>
          <w:color w:val="auto"/>
          <w:highlight w:val="none"/>
          <w:u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四</w:t>
      </w:r>
      <w:r>
        <w:rPr>
          <w:rFonts w:hint="eastAsia" w:ascii="黑体" w:hAnsi="宋体" w:eastAsia="黑体" w:cs="黑体"/>
          <w:b/>
          <w:i w:val="0"/>
          <w:iCs w:val="0"/>
          <w:color w:val="000000"/>
          <w:sz w:val="32"/>
          <w:szCs w:val="32"/>
          <w:highlight w:val="none"/>
          <w:u w:val="none"/>
        </w:rPr>
        <w:t>、</w:t>
      </w:r>
      <w:r>
        <w:rPr>
          <w:rFonts w:hint="eastAsia" w:ascii="黑体" w:hAnsi="宋体" w:eastAsia="黑体" w:cs="黑体"/>
          <w:b/>
          <w:i w:val="0"/>
          <w:iCs w:val="0"/>
          <w:color w:val="auto"/>
          <w:sz w:val="32"/>
          <w:szCs w:val="32"/>
          <w:highlight w:val="none"/>
          <w:u w:val="none"/>
        </w:rPr>
        <w:t>开标一览表</w:t>
      </w:r>
    </w:p>
    <w:p w14:paraId="78B1213E">
      <w:pPr>
        <w:pStyle w:val="11"/>
        <w:spacing w:beforeAutospacing="0" w:afterAutospacing="0"/>
        <w:ind w:firstLine="480"/>
        <w:jc w:val="both"/>
        <w:rPr>
          <w:color w:val="auto"/>
          <w:highlight w:val="none"/>
        </w:rPr>
      </w:pPr>
      <w:r>
        <w:rPr>
          <w:rFonts w:hint="eastAsia" w:ascii="宋体" w:hAnsi="宋体" w:eastAsia="宋体" w:cs="宋体"/>
          <w:color w:val="auto"/>
          <w:highlight w:val="none"/>
        </w:rPr>
        <w:t>投标人全称（加盖CA电子签章）：</w:t>
      </w:r>
    </w:p>
    <w:p w14:paraId="38647386">
      <w:pPr>
        <w:pStyle w:val="11"/>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17DFAD63">
      <w:pPr>
        <w:pStyle w:val="11"/>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p w14:paraId="6E0A77E3">
      <w:pPr>
        <w:pStyle w:val="11"/>
        <w:spacing w:beforeAutospacing="0" w:afterAutospacing="0"/>
        <w:ind w:firstLine="480"/>
        <w:jc w:val="both"/>
        <w:rPr>
          <w:color w:val="auto"/>
          <w:highlight w:val="none"/>
        </w:rPr>
      </w:pPr>
      <w:r>
        <w:rPr>
          <w:rFonts w:hint="eastAsia" w:ascii="宋体" w:hAnsi="宋体" w:eastAsia="宋体" w:cs="宋体"/>
          <w:color w:val="auto"/>
          <w:highlight w:val="none"/>
        </w:rPr>
        <w:t>分包号：</w:t>
      </w:r>
    </w:p>
    <w:tbl>
      <w:tblPr>
        <w:tblStyle w:val="12"/>
        <w:tblW w:w="8206" w:type="dxa"/>
        <w:tblCellSpacing w:w="0" w:type="dxa"/>
        <w:tblInd w:w="118" w:type="dxa"/>
        <w:tblLayout w:type="fixed"/>
        <w:tblCellMar>
          <w:top w:w="0" w:type="dxa"/>
          <w:left w:w="108" w:type="dxa"/>
          <w:bottom w:w="0" w:type="dxa"/>
          <w:right w:w="108" w:type="dxa"/>
        </w:tblCellMar>
      </w:tblPr>
      <w:tblGrid>
        <w:gridCol w:w="8206"/>
      </w:tblGrid>
      <w:tr w14:paraId="09AAFCA8">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1DA6A">
            <w:pPr>
              <w:pStyle w:val="11"/>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21218551">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BD5CC">
            <w:pPr>
              <w:pStyle w:val="11"/>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6B2AAA81">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5CCCA">
            <w:pPr>
              <w:pStyle w:val="11"/>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bl>
    <w:p w14:paraId="579BC5EB">
      <w:pPr>
        <w:pStyle w:val="11"/>
        <w:spacing w:beforeAutospacing="0" w:afterAutospacing="0"/>
        <w:jc w:val="both"/>
        <w:rPr>
          <w:color w:val="auto"/>
          <w:highlight w:val="none"/>
        </w:rPr>
      </w:pPr>
      <w:r>
        <w:rPr>
          <w:color w:val="auto"/>
          <w:highlight w:val="none"/>
        </w:rPr>
        <w:t> </w:t>
      </w:r>
    </w:p>
    <w:p w14:paraId="02E1EA22">
      <w:pPr>
        <w:pStyle w:val="11"/>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265D2949">
      <w:pPr>
        <w:pStyle w:val="11"/>
        <w:spacing w:beforeAutospacing="0" w:afterAutospacing="0"/>
        <w:jc w:val="both"/>
        <w:rPr>
          <w:highlight w:val="none"/>
        </w:rPr>
      </w:pPr>
    </w:p>
    <w:p w14:paraId="15AA5ABF">
      <w:pPr>
        <w:pStyle w:val="11"/>
        <w:spacing w:beforeAutospacing="0" w:afterAutospacing="0"/>
        <w:jc w:val="center"/>
        <w:rPr>
          <w:highlight w:val="none"/>
        </w:rPr>
      </w:pPr>
      <w:r>
        <w:rPr>
          <w:highlight w:val="none"/>
        </w:rPr>
        <w:t> </w:t>
      </w:r>
    </w:p>
    <w:p w14:paraId="3DE57A72">
      <w:pPr>
        <w:pStyle w:val="11"/>
        <w:spacing w:beforeAutospacing="0" w:afterAutospacing="0"/>
        <w:jc w:val="center"/>
        <w:rPr>
          <w:highlight w:val="none"/>
        </w:rPr>
      </w:pPr>
      <w:r>
        <w:rPr>
          <w:highlight w:val="none"/>
        </w:rPr>
        <w:t> </w:t>
      </w:r>
    </w:p>
    <w:p w14:paraId="5D8A6DEA">
      <w:pPr>
        <w:pStyle w:val="11"/>
        <w:spacing w:beforeAutospacing="0" w:afterAutospacing="0"/>
        <w:jc w:val="center"/>
        <w:rPr>
          <w:highlight w:val="none"/>
        </w:rPr>
      </w:pPr>
      <w:r>
        <w:rPr>
          <w:highlight w:val="none"/>
        </w:rPr>
        <w:t> </w:t>
      </w:r>
    </w:p>
    <w:p w14:paraId="4F7E03C8">
      <w:pPr>
        <w:pStyle w:val="11"/>
        <w:spacing w:beforeAutospacing="0" w:afterAutospacing="0"/>
        <w:jc w:val="center"/>
        <w:rPr>
          <w:highlight w:val="none"/>
        </w:rPr>
      </w:pPr>
      <w:r>
        <w:rPr>
          <w:highlight w:val="none"/>
        </w:rPr>
        <w:t> </w:t>
      </w:r>
    </w:p>
    <w:p w14:paraId="068A4565">
      <w:pPr>
        <w:pStyle w:val="11"/>
        <w:spacing w:beforeAutospacing="0" w:afterAutospacing="0"/>
        <w:jc w:val="both"/>
        <w:rPr>
          <w:highlight w:val="none"/>
        </w:rPr>
      </w:pPr>
      <w:r>
        <w:rPr>
          <w:highlight w:val="none"/>
        </w:rPr>
        <w:t> </w:t>
      </w:r>
    </w:p>
    <w:p w14:paraId="6EC5A847">
      <w:pPr>
        <w:pStyle w:val="11"/>
        <w:spacing w:beforeAutospacing="0" w:afterAutospacing="0"/>
        <w:jc w:val="both"/>
        <w:rPr>
          <w:highlight w:val="none"/>
        </w:rPr>
      </w:pPr>
      <w:r>
        <w:rPr>
          <w:highlight w:val="none"/>
        </w:rPr>
        <w:t> </w:t>
      </w:r>
    </w:p>
    <w:p w14:paraId="78FCBE0B">
      <w:pPr>
        <w:pStyle w:val="11"/>
        <w:spacing w:beforeAutospacing="0" w:afterAutospacing="0"/>
        <w:jc w:val="both"/>
        <w:rPr>
          <w:highlight w:val="none"/>
        </w:rPr>
      </w:pPr>
      <w:r>
        <w:rPr>
          <w:highlight w:val="none"/>
        </w:rPr>
        <w:t> </w:t>
      </w:r>
    </w:p>
    <w:p w14:paraId="174ABED4">
      <w:pPr>
        <w:pStyle w:val="11"/>
        <w:spacing w:beforeAutospacing="0" w:afterAutospacing="0"/>
        <w:jc w:val="both"/>
        <w:rPr>
          <w:highlight w:val="none"/>
        </w:rPr>
      </w:pPr>
      <w:r>
        <w:rPr>
          <w:highlight w:val="none"/>
        </w:rPr>
        <w:t> </w:t>
      </w:r>
    </w:p>
    <w:p w14:paraId="79285A37">
      <w:pPr>
        <w:pStyle w:val="11"/>
        <w:spacing w:beforeAutospacing="0" w:afterAutospacing="0"/>
        <w:jc w:val="both"/>
        <w:rPr>
          <w:highlight w:val="none"/>
        </w:rPr>
      </w:pPr>
    </w:p>
    <w:p w14:paraId="1F8896A9">
      <w:pPr>
        <w:pStyle w:val="11"/>
        <w:spacing w:beforeAutospacing="0" w:afterAutospacing="0"/>
        <w:jc w:val="both"/>
        <w:rPr>
          <w:highlight w:val="none"/>
        </w:rPr>
      </w:pPr>
    </w:p>
    <w:p w14:paraId="79134A98">
      <w:pPr>
        <w:pStyle w:val="11"/>
        <w:spacing w:beforeAutospacing="0" w:afterAutospacing="0"/>
        <w:jc w:val="both"/>
        <w:rPr>
          <w:highlight w:val="none"/>
        </w:rPr>
      </w:pPr>
    </w:p>
    <w:p w14:paraId="6EE91BD1">
      <w:pPr>
        <w:pStyle w:val="11"/>
        <w:spacing w:beforeAutospacing="0" w:afterAutospacing="0"/>
        <w:jc w:val="both"/>
        <w:rPr>
          <w:highlight w:val="none"/>
        </w:rPr>
      </w:pPr>
    </w:p>
    <w:p w14:paraId="3A99652A">
      <w:pPr>
        <w:pStyle w:val="11"/>
        <w:spacing w:beforeAutospacing="0" w:afterAutospacing="0"/>
        <w:jc w:val="both"/>
        <w:rPr>
          <w:highlight w:val="none"/>
        </w:rPr>
      </w:pPr>
    </w:p>
    <w:p w14:paraId="19B95A14">
      <w:pPr>
        <w:pStyle w:val="11"/>
        <w:spacing w:beforeAutospacing="0" w:afterAutospacing="0"/>
        <w:jc w:val="both"/>
        <w:rPr>
          <w:highlight w:val="none"/>
        </w:rPr>
      </w:pPr>
    </w:p>
    <w:p w14:paraId="33FE263D">
      <w:pPr>
        <w:pStyle w:val="11"/>
        <w:spacing w:beforeAutospacing="0" w:afterAutospacing="0"/>
        <w:jc w:val="both"/>
        <w:rPr>
          <w:highlight w:val="none"/>
        </w:rPr>
      </w:pPr>
    </w:p>
    <w:p w14:paraId="6377BA79">
      <w:pPr>
        <w:pStyle w:val="11"/>
        <w:spacing w:beforeAutospacing="0" w:afterAutospacing="0"/>
        <w:jc w:val="both"/>
        <w:rPr>
          <w:highlight w:val="none"/>
        </w:rPr>
      </w:pPr>
    </w:p>
    <w:p w14:paraId="7251072B">
      <w:pPr>
        <w:pStyle w:val="11"/>
        <w:spacing w:beforeAutospacing="0" w:afterAutospacing="0"/>
        <w:jc w:val="both"/>
        <w:rPr>
          <w:highlight w:val="none"/>
        </w:rPr>
      </w:pPr>
    </w:p>
    <w:p w14:paraId="1B25334D">
      <w:pPr>
        <w:pStyle w:val="11"/>
        <w:spacing w:beforeAutospacing="0" w:afterAutospacing="0"/>
        <w:jc w:val="both"/>
        <w:rPr>
          <w:highlight w:val="none"/>
        </w:rPr>
      </w:pPr>
    </w:p>
    <w:p w14:paraId="5D154BA8">
      <w:pPr>
        <w:pStyle w:val="11"/>
        <w:spacing w:beforeAutospacing="0" w:afterAutospacing="0"/>
        <w:jc w:val="both"/>
        <w:rPr>
          <w:highlight w:val="none"/>
        </w:rPr>
      </w:pPr>
    </w:p>
    <w:p w14:paraId="50B76237">
      <w:pPr>
        <w:pStyle w:val="11"/>
        <w:spacing w:beforeAutospacing="0" w:afterAutospacing="0"/>
        <w:jc w:val="both"/>
        <w:rPr>
          <w:highlight w:val="none"/>
        </w:rPr>
      </w:pPr>
    </w:p>
    <w:p w14:paraId="3C29FEC0">
      <w:pPr>
        <w:pStyle w:val="11"/>
        <w:spacing w:beforeAutospacing="0" w:afterAutospacing="0"/>
        <w:jc w:val="both"/>
        <w:rPr>
          <w:highlight w:val="none"/>
        </w:rPr>
      </w:pPr>
    </w:p>
    <w:p w14:paraId="341FB04E">
      <w:pPr>
        <w:pStyle w:val="11"/>
        <w:spacing w:beforeAutospacing="0" w:afterAutospacing="0"/>
        <w:jc w:val="both"/>
        <w:rPr>
          <w:highlight w:val="none"/>
        </w:rPr>
      </w:pPr>
    </w:p>
    <w:p w14:paraId="388B35FD">
      <w:pPr>
        <w:pStyle w:val="11"/>
        <w:spacing w:beforeAutospacing="0" w:afterAutospacing="0"/>
        <w:jc w:val="both"/>
        <w:rPr>
          <w:highlight w:val="none"/>
        </w:rPr>
      </w:pPr>
    </w:p>
    <w:p w14:paraId="07E2D191">
      <w:pPr>
        <w:pStyle w:val="11"/>
        <w:spacing w:beforeAutospacing="0" w:afterAutospacing="0"/>
        <w:jc w:val="both"/>
        <w:rPr>
          <w:highlight w:val="none"/>
        </w:rPr>
      </w:pPr>
    </w:p>
    <w:p w14:paraId="40F74D23">
      <w:pPr>
        <w:pStyle w:val="11"/>
        <w:spacing w:beforeAutospacing="0" w:afterAutospacing="0"/>
        <w:jc w:val="both"/>
        <w:rPr>
          <w:highlight w:val="none"/>
        </w:rPr>
      </w:pPr>
    </w:p>
    <w:p w14:paraId="22A00EBC">
      <w:pPr>
        <w:pStyle w:val="11"/>
        <w:spacing w:beforeAutospacing="0" w:afterAutospacing="0"/>
        <w:jc w:val="both"/>
        <w:rPr>
          <w:highlight w:val="none"/>
        </w:rPr>
      </w:pPr>
      <w:r>
        <w:rPr>
          <w:highlight w:val="none"/>
        </w:rPr>
        <w:t> </w:t>
      </w:r>
    </w:p>
    <w:p w14:paraId="450607F9">
      <w:pPr>
        <w:pStyle w:val="11"/>
        <w:spacing w:beforeAutospacing="0" w:afterAutospacing="0"/>
        <w:jc w:val="both"/>
        <w:rPr>
          <w:highlight w:val="none"/>
        </w:rPr>
      </w:pPr>
      <w:r>
        <w:rPr>
          <w:highlight w:val="none"/>
        </w:rPr>
        <w:t> </w:t>
      </w:r>
    </w:p>
    <w:p w14:paraId="0515F675">
      <w:pPr>
        <w:pStyle w:val="11"/>
        <w:spacing w:beforeAutospacing="0" w:afterAutospacing="0"/>
        <w:jc w:val="center"/>
        <w:rPr>
          <w:highlight w:val="none"/>
        </w:rPr>
      </w:pPr>
      <w:bookmarkStart w:id="207" w:name="_Hlt26955054"/>
      <w:r>
        <w:rPr>
          <w:rFonts w:hint="eastAsia" w:ascii="黑体" w:hAnsi="宋体" w:eastAsia="黑体" w:cs="黑体"/>
          <w:b/>
          <w:color w:val="000000"/>
          <w:sz w:val="32"/>
          <w:szCs w:val="32"/>
          <w:highlight w:val="none"/>
          <w:lang w:val="en-US" w:eastAsia="zh-CN"/>
        </w:rPr>
        <w:t>十五</w:t>
      </w:r>
      <w:r>
        <w:rPr>
          <w:rFonts w:hint="eastAsia" w:ascii="黑体" w:hAnsi="宋体" w:eastAsia="黑体" w:cs="黑体"/>
          <w:b/>
          <w:color w:val="000000"/>
          <w:sz w:val="32"/>
          <w:szCs w:val="32"/>
          <w:highlight w:val="none"/>
        </w:rPr>
        <w:t>、</w:t>
      </w:r>
      <w:r>
        <w:rPr>
          <w:rFonts w:hint="eastAsia" w:ascii="宋体" w:hAnsi="宋体" w:eastAsia="宋体" w:cs="宋体"/>
          <w:b/>
          <w:bCs/>
          <w:color w:val="000000"/>
          <w:sz w:val="32"/>
          <w:szCs w:val="32"/>
          <w:highlight w:val="none"/>
        </w:rPr>
        <w:t>技术方案、服务承诺、培训承诺等</w:t>
      </w:r>
    </w:p>
    <w:p w14:paraId="4F9477BB">
      <w:pPr>
        <w:pStyle w:val="11"/>
        <w:spacing w:beforeAutospacing="0" w:afterAutospacing="0" w:line="480" w:lineRule="auto"/>
        <w:jc w:val="both"/>
        <w:rPr>
          <w:highlight w:val="none"/>
        </w:rPr>
      </w:pPr>
      <w:r>
        <w:rPr>
          <w:highlight w:val="none"/>
        </w:rPr>
        <w:t> </w:t>
      </w:r>
    </w:p>
    <w:p w14:paraId="771A2ABD">
      <w:pPr>
        <w:pStyle w:val="11"/>
        <w:spacing w:beforeAutospacing="0" w:afterAutospacing="0" w:line="480" w:lineRule="auto"/>
        <w:jc w:val="both"/>
        <w:rPr>
          <w:highlight w:val="none"/>
        </w:rPr>
      </w:pPr>
      <w:r>
        <w:rPr>
          <w:highlight w:val="none"/>
        </w:rPr>
        <w:t> </w:t>
      </w:r>
    </w:p>
    <w:p w14:paraId="6564921F">
      <w:pPr>
        <w:pStyle w:val="11"/>
        <w:spacing w:beforeAutospacing="0" w:afterAutospacing="0"/>
        <w:jc w:val="center"/>
        <w:rPr>
          <w:highlight w:val="none"/>
        </w:rPr>
      </w:pPr>
      <w:bookmarkStart w:id="208" w:name="_Toc462564146"/>
      <w:bookmarkStart w:id="209" w:name="_Hlt26609389"/>
      <w:bookmarkStart w:id="210" w:name="_Hlt26671374"/>
      <w:bookmarkStart w:id="211" w:name="_格式2__法定代表人授权书"/>
      <w:bookmarkStart w:id="212" w:name="_Hlt26955066"/>
      <w:r>
        <w:rPr>
          <w:highlight w:val="none"/>
        </w:rPr>
        <w:t> </w:t>
      </w:r>
    </w:p>
    <w:p w14:paraId="43E033E8">
      <w:pPr>
        <w:pStyle w:val="11"/>
        <w:spacing w:beforeAutospacing="0" w:afterAutospacing="0"/>
        <w:jc w:val="both"/>
        <w:rPr>
          <w:highlight w:val="none"/>
        </w:rPr>
      </w:pPr>
      <w:r>
        <w:rPr>
          <w:highlight w:val="none"/>
        </w:rPr>
        <w:t> </w:t>
      </w:r>
    </w:p>
    <w:p w14:paraId="34DD36AA">
      <w:pPr>
        <w:pStyle w:val="11"/>
        <w:spacing w:beforeAutospacing="0" w:afterAutospacing="0"/>
        <w:jc w:val="both"/>
        <w:rPr>
          <w:highlight w:val="none"/>
        </w:rPr>
      </w:pPr>
      <w:r>
        <w:rPr>
          <w:highlight w:val="none"/>
        </w:rPr>
        <w:t> </w:t>
      </w:r>
    </w:p>
    <w:p w14:paraId="0B59FED3">
      <w:pPr>
        <w:pStyle w:val="11"/>
        <w:spacing w:beforeAutospacing="0" w:afterAutospacing="0"/>
        <w:jc w:val="both"/>
        <w:rPr>
          <w:highlight w:val="none"/>
        </w:rPr>
      </w:pPr>
    </w:p>
    <w:p w14:paraId="674A53C6">
      <w:pPr>
        <w:pStyle w:val="11"/>
        <w:spacing w:beforeAutospacing="0" w:afterAutospacing="0"/>
        <w:jc w:val="both"/>
        <w:rPr>
          <w:highlight w:val="none"/>
        </w:rPr>
      </w:pPr>
    </w:p>
    <w:p w14:paraId="7646B14A">
      <w:pPr>
        <w:pStyle w:val="11"/>
        <w:spacing w:beforeAutospacing="0" w:afterAutospacing="0"/>
        <w:jc w:val="both"/>
        <w:rPr>
          <w:highlight w:val="none"/>
        </w:rPr>
      </w:pPr>
    </w:p>
    <w:p w14:paraId="18437834">
      <w:pPr>
        <w:pStyle w:val="11"/>
        <w:spacing w:beforeAutospacing="0" w:afterAutospacing="0"/>
        <w:jc w:val="both"/>
        <w:rPr>
          <w:highlight w:val="none"/>
        </w:rPr>
      </w:pPr>
    </w:p>
    <w:p w14:paraId="6AC5CF75">
      <w:pPr>
        <w:pStyle w:val="11"/>
        <w:spacing w:beforeAutospacing="0" w:afterAutospacing="0"/>
        <w:jc w:val="both"/>
        <w:rPr>
          <w:highlight w:val="none"/>
        </w:rPr>
      </w:pPr>
    </w:p>
    <w:p w14:paraId="4402A329">
      <w:pPr>
        <w:pStyle w:val="11"/>
        <w:spacing w:beforeAutospacing="0" w:afterAutospacing="0"/>
        <w:jc w:val="both"/>
        <w:rPr>
          <w:highlight w:val="none"/>
        </w:rPr>
      </w:pPr>
    </w:p>
    <w:p w14:paraId="433415F5">
      <w:pPr>
        <w:pStyle w:val="11"/>
        <w:spacing w:beforeAutospacing="0" w:afterAutospacing="0"/>
        <w:jc w:val="both"/>
        <w:rPr>
          <w:highlight w:val="none"/>
        </w:rPr>
      </w:pPr>
    </w:p>
    <w:p w14:paraId="57832BCE">
      <w:pPr>
        <w:pStyle w:val="11"/>
        <w:spacing w:beforeAutospacing="0" w:afterAutospacing="0"/>
        <w:jc w:val="both"/>
        <w:rPr>
          <w:highlight w:val="none"/>
        </w:rPr>
      </w:pPr>
    </w:p>
    <w:p w14:paraId="61AD9140">
      <w:pPr>
        <w:pStyle w:val="11"/>
        <w:spacing w:beforeAutospacing="0" w:afterAutospacing="0"/>
        <w:jc w:val="both"/>
        <w:rPr>
          <w:highlight w:val="none"/>
        </w:rPr>
      </w:pPr>
    </w:p>
    <w:p w14:paraId="22BC4272">
      <w:pPr>
        <w:pStyle w:val="11"/>
        <w:spacing w:beforeAutospacing="0" w:afterAutospacing="0"/>
        <w:jc w:val="both"/>
        <w:rPr>
          <w:highlight w:val="none"/>
        </w:rPr>
      </w:pPr>
    </w:p>
    <w:p w14:paraId="382AF405">
      <w:pPr>
        <w:pStyle w:val="11"/>
        <w:spacing w:beforeAutospacing="0" w:afterAutospacing="0"/>
        <w:jc w:val="both"/>
        <w:rPr>
          <w:highlight w:val="none"/>
        </w:rPr>
      </w:pPr>
    </w:p>
    <w:p w14:paraId="3FE1AC03">
      <w:pPr>
        <w:pStyle w:val="11"/>
        <w:spacing w:beforeAutospacing="0" w:afterAutospacing="0"/>
        <w:jc w:val="both"/>
        <w:rPr>
          <w:highlight w:val="none"/>
        </w:rPr>
      </w:pPr>
    </w:p>
    <w:p w14:paraId="64DEB890">
      <w:pPr>
        <w:pStyle w:val="11"/>
        <w:spacing w:beforeAutospacing="0" w:afterAutospacing="0"/>
        <w:jc w:val="both"/>
        <w:rPr>
          <w:highlight w:val="none"/>
        </w:rPr>
      </w:pPr>
    </w:p>
    <w:p w14:paraId="6A863978">
      <w:pPr>
        <w:pStyle w:val="11"/>
        <w:spacing w:beforeAutospacing="0" w:afterAutospacing="0"/>
        <w:jc w:val="both"/>
        <w:rPr>
          <w:highlight w:val="none"/>
        </w:rPr>
      </w:pPr>
    </w:p>
    <w:p w14:paraId="33FA9529">
      <w:pPr>
        <w:pStyle w:val="11"/>
        <w:spacing w:beforeAutospacing="0" w:afterAutospacing="0"/>
        <w:jc w:val="both"/>
        <w:rPr>
          <w:highlight w:val="none"/>
        </w:rPr>
      </w:pPr>
    </w:p>
    <w:p w14:paraId="61BE93A9">
      <w:pPr>
        <w:pStyle w:val="11"/>
        <w:spacing w:beforeAutospacing="0" w:afterAutospacing="0"/>
        <w:jc w:val="both"/>
        <w:rPr>
          <w:highlight w:val="none"/>
        </w:rPr>
      </w:pPr>
    </w:p>
    <w:p w14:paraId="2DA9ABDD">
      <w:pPr>
        <w:pStyle w:val="11"/>
        <w:spacing w:beforeAutospacing="0" w:afterAutospacing="0"/>
        <w:jc w:val="both"/>
        <w:rPr>
          <w:highlight w:val="none"/>
        </w:rPr>
      </w:pPr>
    </w:p>
    <w:p w14:paraId="5CA63F6C">
      <w:pPr>
        <w:pStyle w:val="11"/>
        <w:spacing w:beforeAutospacing="0" w:afterAutospacing="0"/>
        <w:jc w:val="both"/>
        <w:rPr>
          <w:highlight w:val="none"/>
        </w:rPr>
      </w:pPr>
    </w:p>
    <w:p w14:paraId="0C3CC4AF">
      <w:pPr>
        <w:pStyle w:val="11"/>
        <w:spacing w:beforeAutospacing="0" w:afterAutospacing="0"/>
        <w:jc w:val="both"/>
        <w:rPr>
          <w:highlight w:val="none"/>
        </w:rPr>
      </w:pPr>
    </w:p>
    <w:p w14:paraId="403A0913">
      <w:pPr>
        <w:pStyle w:val="11"/>
        <w:spacing w:beforeAutospacing="0" w:afterAutospacing="0"/>
        <w:jc w:val="both"/>
        <w:rPr>
          <w:highlight w:val="none"/>
        </w:rPr>
      </w:pPr>
    </w:p>
    <w:p w14:paraId="223A0F3A">
      <w:pPr>
        <w:pStyle w:val="11"/>
        <w:spacing w:beforeAutospacing="0" w:afterAutospacing="0"/>
        <w:jc w:val="both"/>
        <w:rPr>
          <w:highlight w:val="none"/>
        </w:rPr>
      </w:pPr>
    </w:p>
    <w:p w14:paraId="32BE26EE">
      <w:pPr>
        <w:pStyle w:val="11"/>
        <w:spacing w:beforeAutospacing="0" w:afterAutospacing="0"/>
        <w:jc w:val="both"/>
        <w:rPr>
          <w:highlight w:val="none"/>
        </w:rPr>
      </w:pPr>
    </w:p>
    <w:p w14:paraId="4AB7207F">
      <w:pPr>
        <w:pStyle w:val="11"/>
        <w:spacing w:beforeAutospacing="0" w:afterAutospacing="0"/>
        <w:jc w:val="both"/>
        <w:rPr>
          <w:highlight w:val="none"/>
        </w:rPr>
      </w:pPr>
    </w:p>
    <w:p w14:paraId="531C0819">
      <w:pPr>
        <w:pStyle w:val="11"/>
        <w:spacing w:beforeAutospacing="0" w:afterAutospacing="0"/>
        <w:jc w:val="both"/>
        <w:rPr>
          <w:highlight w:val="none"/>
        </w:rPr>
      </w:pPr>
    </w:p>
    <w:p w14:paraId="20EBF430">
      <w:pPr>
        <w:pStyle w:val="11"/>
        <w:spacing w:beforeAutospacing="0" w:afterAutospacing="0"/>
        <w:jc w:val="both"/>
        <w:rPr>
          <w:highlight w:val="none"/>
        </w:rPr>
      </w:pPr>
    </w:p>
    <w:p w14:paraId="357688AA">
      <w:pPr>
        <w:pStyle w:val="11"/>
        <w:spacing w:beforeAutospacing="0" w:afterAutospacing="0"/>
        <w:jc w:val="both"/>
        <w:rPr>
          <w:highlight w:val="none"/>
        </w:rPr>
      </w:pPr>
    </w:p>
    <w:p w14:paraId="317D4400">
      <w:pPr>
        <w:pStyle w:val="11"/>
        <w:spacing w:beforeAutospacing="0" w:afterAutospacing="0"/>
        <w:jc w:val="both"/>
        <w:rPr>
          <w:highlight w:val="none"/>
        </w:rPr>
      </w:pPr>
    </w:p>
    <w:p w14:paraId="22383697">
      <w:pPr>
        <w:pStyle w:val="11"/>
        <w:spacing w:beforeAutospacing="0" w:afterAutospacing="0"/>
        <w:jc w:val="both"/>
        <w:rPr>
          <w:highlight w:val="none"/>
        </w:rPr>
      </w:pPr>
    </w:p>
    <w:p w14:paraId="664A23CF">
      <w:pPr>
        <w:pStyle w:val="11"/>
        <w:spacing w:beforeAutospacing="0" w:afterAutospacing="0"/>
        <w:jc w:val="both"/>
        <w:rPr>
          <w:highlight w:val="none"/>
        </w:rPr>
      </w:pPr>
    </w:p>
    <w:p w14:paraId="577CDDA2">
      <w:pPr>
        <w:pStyle w:val="11"/>
        <w:spacing w:beforeAutospacing="0" w:afterAutospacing="0"/>
        <w:jc w:val="both"/>
        <w:rPr>
          <w:highlight w:val="none"/>
        </w:rPr>
      </w:pPr>
    </w:p>
    <w:p w14:paraId="2C30742F">
      <w:pPr>
        <w:pStyle w:val="11"/>
        <w:spacing w:beforeAutospacing="0" w:afterAutospacing="0"/>
        <w:jc w:val="both"/>
        <w:rPr>
          <w:highlight w:val="none"/>
        </w:rPr>
      </w:pPr>
    </w:p>
    <w:p w14:paraId="3BA22CC3">
      <w:pPr>
        <w:pStyle w:val="11"/>
        <w:spacing w:beforeAutospacing="0" w:afterAutospacing="0"/>
        <w:jc w:val="both"/>
        <w:rPr>
          <w:highlight w:val="none"/>
        </w:rPr>
      </w:pPr>
    </w:p>
    <w:p w14:paraId="284FF7FD">
      <w:pPr>
        <w:pStyle w:val="11"/>
        <w:spacing w:beforeAutospacing="0" w:afterAutospacing="0"/>
        <w:jc w:val="both"/>
        <w:rPr>
          <w:highlight w:val="none"/>
        </w:rPr>
      </w:pPr>
    </w:p>
    <w:p w14:paraId="634E5CAA">
      <w:pPr>
        <w:pStyle w:val="11"/>
        <w:spacing w:beforeAutospacing="0" w:afterAutospacing="0"/>
        <w:jc w:val="both"/>
        <w:rPr>
          <w:highlight w:val="none"/>
        </w:rPr>
      </w:pPr>
    </w:p>
    <w:p w14:paraId="770C7ECF">
      <w:pPr>
        <w:pStyle w:val="11"/>
        <w:spacing w:beforeAutospacing="0" w:afterAutospacing="0"/>
        <w:jc w:val="both"/>
        <w:rPr>
          <w:highlight w:val="none"/>
        </w:rPr>
      </w:pPr>
    </w:p>
    <w:p w14:paraId="684007B2">
      <w:pPr>
        <w:widowControl/>
        <w:spacing w:line="499" w:lineRule="atLeast"/>
        <w:ind w:firstLine="1600"/>
        <w:rPr>
          <w:rFonts w:ascii="宋体" w:hAnsi="宋体" w:eastAsia="宋体" w:cs="宋体"/>
          <w:b/>
          <w:bCs/>
          <w:sz w:val="24"/>
          <w:highlight w:val="none"/>
        </w:rPr>
      </w:pPr>
      <w:r>
        <w:rPr>
          <w:rFonts w:hint="eastAsia" w:ascii="黑体" w:hAnsi="宋体" w:eastAsia="黑体" w:cs="黑体"/>
          <w:b/>
          <w:i w:val="0"/>
          <w:iCs/>
          <w:color w:val="auto"/>
          <w:sz w:val="32"/>
          <w:szCs w:val="32"/>
          <w:highlight w:val="none"/>
          <w:u w:val="none"/>
        </w:rPr>
        <w:t>十</w:t>
      </w:r>
      <w:r>
        <w:rPr>
          <w:rFonts w:hint="eastAsia" w:ascii="黑体" w:hAnsi="宋体" w:eastAsia="黑体" w:cs="黑体"/>
          <w:b/>
          <w:i w:val="0"/>
          <w:iCs/>
          <w:color w:val="auto"/>
          <w:sz w:val="32"/>
          <w:szCs w:val="32"/>
          <w:highlight w:val="none"/>
          <w:u w:val="none"/>
          <w:lang w:val="en-US" w:eastAsia="zh-CN"/>
        </w:rPr>
        <w:t>六</w:t>
      </w:r>
      <w:r>
        <w:rPr>
          <w:rFonts w:hint="eastAsia" w:ascii="黑体" w:hAnsi="宋体" w:eastAsia="黑体" w:cs="黑体"/>
          <w:b/>
          <w:i w:val="0"/>
          <w:iCs/>
          <w:color w:val="auto"/>
          <w:sz w:val="32"/>
          <w:szCs w:val="32"/>
          <w:highlight w:val="none"/>
          <w:u w:val="none"/>
        </w:rPr>
        <w:t>、</w:t>
      </w:r>
      <w:r>
        <w:rPr>
          <w:rFonts w:hint="eastAsia" w:ascii="宋体" w:hAnsi="宋体" w:eastAsia="宋体" w:cs="宋体"/>
          <w:b/>
          <w:bCs/>
          <w:i w:val="0"/>
          <w:iCs/>
          <w:color w:val="000000"/>
          <w:sz w:val="32"/>
          <w:szCs w:val="32"/>
          <w:highlight w:val="none"/>
          <w:u w:val="none"/>
        </w:rPr>
        <w:t>盐</w:t>
      </w:r>
      <w:r>
        <w:rPr>
          <w:rFonts w:hint="eastAsia" w:ascii="宋体" w:hAnsi="宋体" w:eastAsia="宋体" w:cs="宋体"/>
          <w:b/>
          <w:bCs/>
          <w:color w:val="000000"/>
          <w:sz w:val="32"/>
          <w:szCs w:val="32"/>
          <w:highlight w:val="none"/>
        </w:rPr>
        <w:t>城市政府采购事前信用承诺书</w:t>
      </w:r>
    </w:p>
    <w:p w14:paraId="2F208448">
      <w:pPr>
        <w:widowControl/>
        <w:spacing w:line="499" w:lineRule="atLeast"/>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为营造我市公开、公平、公正、诚实守信的政府采购交易环境，树立诚信守法的投标人形象，本人代表本单位作出以下承诺：</w:t>
      </w:r>
    </w:p>
    <w:p w14:paraId="4FC03B1B">
      <w:pPr>
        <w:widowControl/>
        <w:spacing w:line="499" w:lineRule="atLeast"/>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虚假成分</w:t>
      </w:r>
      <w:r>
        <w:rPr>
          <w:rFonts w:hint="eastAsia" w:ascii="宋体" w:hAnsi="宋体" w:eastAsia="宋体" w:cs="宋体"/>
          <w:color w:val="000000"/>
          <w:sz w:val="24"/>
          <w:highlight w:val="none"/>
        </w:rPr>
        <w:t>，并对所提供资料的真实性负责；</w:t>
      </w:r>
    </w:p>
    <w:p w14:paraId="07EA1973">
      <w:pPr>
        <w:widowControl/>
        <w:spacing w:line="499" w:lineRule="atLeast"/>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FEA335B">
      <w:pPr>
        <w:widowControl/>
        <w:spacing w:line="499" w:lineRule="atLeast"/>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p>
    <w:p w14:paraId="399FEC25">
      <w:pPr>
        <w:widowControl/>
        <w:spacing w:line="499" w:lineRule="atLeast"/>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（四）严格遵守即时信息公示规定，及时</w:t>
      </w:r>
      <w:r>
        <w:rPr>
          <w:rFonts w:hint="eastAsia" w:ascii="宋体" w:hAnsi="宋体" w:eastAsia="宋体" w:cs="宋体"/>
          <w:color w:val="000000"/>
          <w:sz w:val="24"/>
          <w:highlight w:val="none"/>
          <w:lang w:eastAsia="zh-CN"/>
        </w:rPr>
        <w:t>维护和更新</w:t>
      </w:r>
      <w:r>
        <w:rPr>
          <w:rFonts w:hint="eastAsia" w:ascii="宋体" w:hAnsi="宋体" w:eastAsia="宋体" w:cs="宋体"/>
          <w:color w:val="000000"/>
          <w:sz w:val="24"/>
          <w:highlight w:val="none"/>
        </w:rPr>
        <w:t>盐城市政府采购网中与本单位相关的信息；</w:t>
      </w:r>
    </w:p>
    <w:p w14:paraId="1D1D1829">
      <w:pPr>
        <w:widowControl/>
        <w:spacing w:line="499" w:lineRule="atLeast"/>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07C0C18C">
      <w:pPr>
        <w:widowControl/>
        <w:spacing w:line="499" w:lineRule="atLeast"/>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（六）自觉接受政府、行业组织、社会公众、新闻舆论的监督；</w:t>
      </w:r>
    </w:p>
    <w:p w14:paraId="1849BDE9">
      <w:pPr>
        <w:widowControl/>
        <w:spacing w:line="499" w:lineRule="atLeast"/>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46532DB">
      <w:pPr>
        <w:widowControl/>
        <w:spacing w:line="499" w:lineRule="atLeast"/>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（八）本人已认真阅读了上述承诺，并向本单位员工作了宣传教育。</w:t>
      </w:r>
    </w:p>
    <w:p w14:paraId="23C51784">
      <w:pPr>
        <w:widowControl/>
        <w:spacing w:line="499" w:lineRule="atLeast"/>
        <w:ind w:firstLine="5520" w:firstLineChars="2300"/>
        <w:jc w:val="left"/>
        <w:rPr>
          <w:rFonts w:ascii="宋体" w:hAnsi="宋体" w:eastAsia="宋体" w:cs="宋体"/>
          <w:sz w:val="24"/>
          <w:highlight w:val="none"/>
        </w:rPr>
      </w:pPr>
      <w:r>
        <w:rPr>
          <w:rFonts w:hint="eastAsia" w:ascii="宋体" w:hAnsi="宋体" w:eastAsia="宋体" w:cs="宋体"/>
          <w:color w:val="000000"/>
          <w:sz w:val="24"/>
          <w:highlight w:val="none"/>
        </w:rPr>
        <w:t>法定代表人签名：</w:t>
      </w:r>
    </w:p>
    <w:p w14:paraId="47C91580">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单位名称（盖章）：</w:t>
      </w:r>
    </w:p>
    <w:p w14:paraId="71CDBC63">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日</w:t>
      </w:r>
    </w:p>
    <w:p w14:paraId="269A9D2E">
      <w:pPr>
        <w:pStyle w:val="11"/>
        <w:spacing w:beforeAutospacing="0" w:afterAutospacing="0"/>
        <w:ind w:firstLine="480"/>
        <w:jc w:val="both"/>
        <w:rPr>
          <w:color w:val="auto"/>
          <w:highlight w:val="none"/>
        </w:rPr>
      </w:pPr>
    </w:p>
    <w:p w14:paraId="1B5D6B9D">
      <w:pPr>
        <w:pStyle w:val="11"/>
        <w:spacing w:beforeAutospacing="0" w:afterAutospacing="0"/>
        <w:ind w:firstLine="480"/>
        <w:jc w:val="both"/>
        <w:rPr>
          <w:highlight w:val="none"/>
        </w:rPr>
      </w:pPr>
      <w:r>
        <w:rPr>
          <w:highlight w:val="none"/>
        </w:rPr>
        <w:t> </w:t>
      </w:r>
    </w:p>
    <w:p w14:paraId="7EDBB936">
      <w:pPr>
        <w:pStyle w:val="11"/>
        <w:spacing w:beforeAutospacing="0" w:afterAutospacing="0" w:line="0" w:lineRule="atLeast"/>
        <w:ind w:firstLine="480"/>
        <w:jc w:val="both"/>
        <w:rPr>
          <w:rFonts w:hint="eastAsia" w:ascii="宋体" w:hAnsi="宋体" w:eastAsia="宋体" w:cs="宋体"/>
          <w:color w:val="000000"/>
          <w:highlight w:val="none"/>
          <w:lang w:val="en-US" w:eastAsia="zh-CN"/>
        </w:rPr>
      </w:pPr>
    </w:p>
    <w:p w14:paraId="29D1AF51">
      <w:pPr>
        <w:widowControl/>
        <w:spacing w:before="50" w:after="50"/>
        <w:jc w:val="center"/>
        <w:rPr>
          <w:highlight w:val="none"/>
        </w:rPr>
      </w:pPr>
      <w:r>
        <w:rPr>
          <w:highlight w:val="none"/>
        </w:rPr>
        <w:tab/>
      </w:r>
    </w:p>
    <w:p w14:paraId="7004870A">
      <w:pPr>
        <w:widowControl/>
        <w:spacing w:before="50" w:after="50"/>
        <w:jc w:val="center"/>
        <w:rPr>
          <w:rFonts w:ascii="宋体" w:hAnsi="宋体" w:eastAsia="宋体" w:cs="宋体"/>
          <w:b/>
          <w:bCs/>
          <w:sz w:val="24"/>
          <w:highlight w:val="none"/>
        </w:rPr>
      </w:pPr>
      <w:r>
        <w:rPr>
          <w:rFonts w:hint="eastAsia" w:ascii="宋体" w:hAnsi="宋体" w:eastAsia="宋体" w:cs="宋体"/>
          <w:b/>
          <w:bCs/>
          <w:color w:val="000000"/>
          <w:sz w:val="32"/>
          <w:szCs w:val="32"/>
          <w:highlight w:val="none"/>
        </w:rPr>
        <w:t>十</w:t>
      </w:r>
      <w:r>
        <w:rPr>
          <w:rFonts w:hint="eastAsia" w:ascii="宋体" w:hAnsi="宋体" w:eastAsia="宋体" w:cs="宋体"/>
          <w:b/>
          <w:bCs/>
          <w:color w:val="000000"/>
          <w:sz w:val="32"/>
          <w:szCs w:val="32"/>
          <w:highlight w:val="none"/>
          <w:lang w:val="en-US" w:eastAsia="zh-CN"/>
        </w:rPr>
        <w:t>七</w:t>
      </w:r>
      <w:r>
        <w:rPr>
          <w:rFonts w:hint="eastAsia" w:ascii="宋体" w:hAnsi="宋体" w:eastAsia="宋体" w:cs="宋体"/>
          <w:b/>
          <w:bCs/>
          <w:color w:val="000000"/>
          <w:sz w:val="32"/>
          <w:szCs w:val="32"/>
          <w:highlight w:val="none"/>
        </w:rPr>
        <w:t>、与评审有关的其他资料</w:t>
      </w:r>
    </w:p>
    <w:p w14:paraId="7B35C616">
      <w:pPr>
        <w:pStyle w:val="11"/>
        <w:tabs>
          <w:tab w:val="left" w:pos="2160"/>
        </w:tabs>
        <w:spacing w:beforeAutospacing="0" w:afterAutospacing="0"/>
        <w:jc w:val="both"/>
        <w:rPr>
          <w:highlight w:val="none"/>
        </w:rPr>
      </w:pPr>
    </w:p>
    <w:p w14:paraId="2E05F151">
      <w:pPr>
        <w:widowControl/>
        <w:spacing w:line="499" w:lineRule="atLeast"/>
        <w:ind w:firstLine="1600"/>
        <w:rPr>
          <w:rFonts w:ascii="宋体" w:hAnsi="宋体" w:eastAsia="宋体" w:cs="宋体"/>
          <w:color w:val="000000"/>
          <w:sz w:val="32"/>
          <w:szCs w:val="32"/>
          <w:highlight w:val="none"/>
        </w:rPr>
      </w:pPr>
    </w:p>
    <w:p w14:paraId="4A600B49">
      <w:pPr>
        <w:widowControl/>
        <w:spacing w:line="499" w:lineRule="atLeast"/>
        <w:ind w:firstLine="1600"/>
        <w:rPr>
          <w:rFonts w:ascii="宋体" w:hAnsi="宋体" w:eastAsia="宋体" w:cs="宋体"/>
          <w:color w:val="000000"/>
          <w:sz w:val="32"/>
          <w:szCs w:val="32"/>
          <w:highlight w:val="none"/>
        </w:rPr>
      </w:pPr>
    </w:p>
    <w:p w14:paraId="0BD27D1B">
      <w:pPr>
        <w:widowControl/>
        <w:spacing w:line="499" w:lineRule="atLeast"/>
        <w:ind w:firstLine="1600"/>
        <w:rPr>
          <w:rFonts w:ascii="宋体" w:hAnsi="宋体" w:eastAsia="宋体" w:cs="宋体"/>
          <w:color w:val="000000"/>
          <w:sz w:val="32"/>
          <w:szCs w:val="32"/>
          <w:highlight w:val="none"/>
        </w:rPr>
      </w:pPr>
    </w:p>
    <w:p w14:paraId="26590AC4">
      <w:pPr>
        <w:widowControl/>
        <w:spacing w:line="499" w:lineRule="atLeast"/>
        <w:ind w:firstLine="1600"/>
        <w:rPr>
          <w:rFonts w:ascii="宋体" w:hAnsi="宋体" w:eastAsia="宋体" w:cs="宋体"/>
          <w:color w:val="000000"/>
          <w:sz w:val="32"/>
          <w:szCs w:val="32"/>
          <w:highlight w:val="none"/>
        </w:rPr>
      </w:pPr>
    </w:p>
    <w:p w14:paraId="2AA4ACEE">
      <w:pPr>
        <w:widowControl/>
        <w:spacing w:line="499" w:lineRule="atLeast"/>
        <w:ind w:firstLine="1600"/>
        <w:rPr>
          <w:rFonts w:ascii="宋体" w:hAnsi="宋体" w:eastAsia="宋体" w:cs="宋体"/>
          <w:color w:val="000000"/>
          <w:sz w:val="32"/>
          <w:szCs w:val="32"/>
          <w:highlight w:val="none"/>
        </w:rPr>
      </w:pPr>
    </w:p>
    <w:p w14:paraId="3941763E">
      <w:pPr>
        <w:widowControl/>
        <w:spacing w:line="499" w:lineRule="atLeast"/>
        <w:ind w:firstLine="1600"/>
        <w:rPr>
          <w:rFonts w:ascii="宋体" w:hAnsi="宋体" w:eastAsia="宋体" w:cs="宋体"/>
          <w:color w:val="000000"/>
          <w:sz w:val="32"/>
          <w:szCs w:val="32"/>
          <w:highlight w:val="none"/>
        </w:rPr>
      </w:pPr>
    </w:p>
    <w:p w14:paraId="7BDE8637">
      <w:pPr>
        <w:widowControl/>
        <w:spacing w:line="499" w:lineRule="atLeast"/>
        <w:ind w:firstLine="1600"/>
        <w:rPr>
          <w:rFonts w:ascii="宋体" w:hAnsi="宋体" w:eastAsia="宋体" w:cs="宋体"/>
          <w:color w:val="000000"/>
          <w:sz w:val="32"/>
          <w:szCs w:val="32"/>
          <w:highlight w:val="none"/>
        </w:rPr>
      </w:pPr>
    </w:p>
    <w:p w14:paraId="28C20E5A">
      <w:pPr>
        <w:widowControl/>
        <w:spacing w:line="499" w:lineRule="atLeast"/>
        <w:ind w:firstLine="1600"/>
        <w:rPr>
          <w:rFonts w:ascii="宋体" w:hAnsi="宋体" w:eastAsia="宋体" w:cs="宋体"/>
          <w:color w:val="000000"/>
          <w:sz w:val="32"/>
          <w:szCs w:val="32"/>
          <w:highlight w:val="none"/>
        </w:rPr>
      </w:pPr>
    </w:p>
    <w:p w14:paraId="68A65AD9">
      <w:pPr>
        <w:widowControl/>
        <w:spacing w:line="499" w:lineRule="atLeast"/>
        <w:ind w:firstLine="1600"/>
        <w:rPr>
          <w:rFonts w:ascii="宋体" w:hAnsi="宋体" w:eastAsia="宋体" w:cs="宋体"/>
          <w:color w:val="000000"/>
          <w:sz w:val="32"/>
          <w:szCs w:val="32"/>
          <w:highlight w:val="none"/>
        </w:rPr>
      </w:pPr>
    </w:p>
    <w:p w14:paraId="3102B3C3">
      <w:pPr>
        <w:widowControl/>
        <w:spacing w:line="499" w:lineRule="atLeast"/>
        <w:ind w:firstLine="1600"/>
        <w:rPr>
          <w:rFonts w:ascii="宋体" w:hAnsi="宋体" w:eastAsia="宋体" w:cs="宋体"/>
          <w:color w:val="000000"/>
          <w:sz w:val="32"/>
          <w:szCs w:val="32"/>
          <w:highlight w:val="none"/>
        </w:rPr>
      </w:pPr>
    </w:p>
    <w:p w14:paraId="61F78CD7">
      <w:pPr>
        <w:widowControl/>
        <w:spacing w:line="499" w:lineRule="atLeast"/>
        <w:ind w:firstLine="1600"/>
        <w:rPr>
          <w:rFonts w:ascii="宋体" w:hAnsi="宋体" w:eastAsia="宋体" w:cs="宋体"/>
          <w:color w:val="000000"/>
          <w:sz w:val="32"/>
          <w:szCs w:val="32"/>
          <w:highlight w:val="none"/>
        </w:rPr>
      </w:pPr>
    </w:p>
    <w:p w14:paraId="40ABC58B">
      <w:pPr>
        <w:widowControl/>
        <w:spacing w:line="499" w:lineRule="atLeast"/>
        <w:ind w:firstLine="1600"/>
        <w:rPr>
          <w:rFonts w:ascii="宋体" w:hAnsi="宋体" w:eastAsia="宋体" w:cs="宋体"/>
          <w:color w:val="000000"/>
          <w:sz w:val="32"/>
          <w:szCs w:val="32"/>
          <w:highlight w:val="none"/>
        </w:rPr>
      </w:pPr>
    </w:p>
    <w:p w14:paraId="38DB44D6">
      <w:pPr>
        <w:widowControl/>
        <w:spacing w:line="499" w:lineRule="atLeast"/>
        <w:ind w:firstLine="1600"/>
        <w:rPr>
          <w:rFonts w:ascii="宋体" w:hAnsi="宋体" w:eastAsia="宋体" w:cs="宋体"/>
          <w:color w:val="000000"/>
          <w:sz w:val="32"/>
          <w:szCs w:val="32"/>
          <w:highlight w:val="none"/>
        </w:rPr>
      </w:pPr>
    </w:p>
    <w:p w14:paraId="1FF3DE71">
      <w:pPr>
        <w:widowControl/>
        <w:spacing w:line="499" w:lineRule="atLeast"/>
        <w:ind w:firstLine="1600"/>
        <w:rPr>
          <w:rFonts w:ascii="宋体" w:hAnsi="宋体" w:eastAsia="宋体" w:cs="宋体"/>
          <w:color w:val="000000"/>
          <w:sz w:val="32"/>
          <w:szCs w:val="32"/>
          <w:highlight w:val="none"/>
        </w:rPr>
      </w:pPr>
    </w:p>
    <w:p w14:paraId="5078FCFC">
      <w:pPr>
        <w:widowControl/>
        <w:spacing w:line="499" w:lineRule="atLeast"/>
        <w:ind w:firstLine="1600"/>
        <w:rPr>
          <w:rFonts w:ascii="宋体" w:hAnsi="宋体" w:eastAsia="宋体" w:cs="宋体"/>
          <w:color w:val="000000"/>
          <w:sz w:val="32"/>
          <w:szCs w:val="32"/>
          <w:highlight w:val="none"/>
        </w:rPr>
      </w:pPr>
    </w:p>
    <w:p w14:paraId="685824D5">
      <w:pPr>
        <w:widowControl/>
        <w:spacing w:line="499" w:lineRule="atLeast"/>
        <w:ind w:firstLine="1600"/>
        <w:rPr>
          <w:rFonts w:ascii="宋体" w:hAnsi="宋体" w:eastAsia="宋体" w:cs="宋体"/>
          <w:color w:val="000000"/>
          <w:sz w:val="32"/>
          <w:szCs w:val="32"/>
          <w:highlight w:val="none"/>
        </w:rPr>
      </w:pPr>
    </w:p>
    <w:p w14:paraId="6075A9B9">
      <w:pPr>
        <w:widowControl/>
        <w:spacing w:line="499" w:lineRule="atLeast"/>
        <w:ind w:firstLine="1600"/>
        <w:rPr>
          <w:rFonts w:ascii="宋体" w:hAnsi="宋体" w:eastAsia="宋体" w:cs="宋体"/>
          <w:color w:val="000000"/>
          <w:sz w:val="32"/>
          <w:szCs w:val="32"/>
          <w:highlight w:val="none"/>
        </w:rPr>
      </w:pPr>
    </w:p>
    <w:p w14:paraId="2947B088">
      <w:pPr>
        <w:widowControl/>
        <w:spacing w:line="499" w:lineRule="atLeast"/>
        <w:ind w:firstLine="1600"/>
        <w:rPr>
          <w:rFonts w:ascii="宋体" w:hAnsi="宋体" w:eastAsia="宋体" w:cs="宋体"/>
          <w:color w:val="000000"/>
          <w:sz w:val="32"/>
          <w:szCs w:val="32"/>
          <w:highlight w:val="none"/>
        </w:rPr>
      </w:pPr>
    </w:p>
    <w:p w14:paraId="391DFE35">
      <w:pPr>
        <w:widowControl/>
        <w:spacing w:line="499" w:lineRule="atLeast"/>
        <w:ind w:firstLine="1600"/>
        <w:rPr>
          <w:rFonts w:ascii="宋体" w:hAnsi="宋体" w:eastAsia="宋体" w:cs="宋体"/>
          <w:color w:val="000000"/>
          <w:sz w:val="32"/>
          <w:szCs w:val="32"/>
          <w:highlight w:val="none"/>
        </w:rPr>
      </w:pPr>
    </w:p>
    <w:p w14:paraId="44D85E4E">
      <w:pPr>
        <w:widowControl/>
        <w:spacing w:line="499" w:lineRule="atLeast"/>
        <w:ind w:firstLine="1600"/>
        <w:rPr>
          <w:rFonts w:ascii="宋体" w:hAnsi="宋体" w:eastAsia="宋体" w:cs="宋体"/>
          <w:color w:val="000000"/>
          <w:sz w:val="32"/>
          <w:szCs w:val="32"/>
          <w:highlight w:val="none"/>
        </w:rPr>
      </w:pPr>
    </w:p>
    <w:bookmarkEnd w:id="33"/>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184"/>
    <w:bookmarkEnd w:id="187"/>
    <w:bookmarkEnd w:id="189"/>
    <w:bookmarkEnd w:id="190"/>
    <w:bookmarkEnd w:id="196"/>
    <w:bookmarkEnd w:id="197"/>
    <w:bookmarkEnd w:id="198"/>
    <w:bookmarkEnd w:id="207"/>
    <w:bookmarkEnd w:id="208"/>
    <w:bookmarkEnd w:id="209"/>
    <w:bookmarkEnd w:id="210"/>
    <w:bookmarkEnd w:id="211"/>
    <w:bookmarkEnd w:id="212"/>
    <w:p w14:paraId="4D3B41D8">
      <w:pPr>
        <w:pStyle w:val="11"/>
        <w:spacing w:beforeAutospacing="0" w:afterAutospacing="0"/>
        <w:jc w:val="cente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质疑函范本</w:t>
      </w:r>
    </w:p>
    <w:p w14:paraId="09EC660E">
      <w:pPr>
        <w:pStyle w:val="11"/>
        <w:spacing w:before="290"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一、质疑供应商基本信息</w:t>
      </w:r>
    </w:p>
    <w:p w14:paraId="1BBEA404">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质疑供应商：</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683C323">
      <w:pPr>
        <w:pStyle w:val="11"/>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p>
    <w:p w14:paraId="4FD10787">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51269EB1">
      <w:pPr>
        <w:pStyle w:val="11"/>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8A79C72">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p>
    <w:p w14:paraId="5B63D208">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授权代表：</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C1857D9">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8C266A2">
      <w:pPr>
        <w:pStyle w:val="11"/>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 </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855B596">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xml:space="preserve">                                </w:t>
      </w:r>
    </w:p>
    <w:p w14:paraId="25856014">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二、质疑项目基本情况</w:t>
      </w:r>
    </w:p>
    <w:p w14:paraId="3DF26DCD">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质疑项目的名称：</w:t>
      </w:r>
      <w:r>
        <w:rPr>
          <w:rFonts w:hint="eastAsia" w:ascii="宋体" w:hAnsi="宋体" w:eastAsia="宋体" w:cs="宋体"/>
          <w:color w:val="000000"/>
          <w:highlight w:val="none"/>
          <w:u w:val="single"/>
        </w:rPr>
        <w:t xml:space="preserve">                            </w:t>
      </w:r>
    </w:p>
    <w:p w14:paraId="05D9AAAA">
      <w:pPr>
        <w:pStyle w:val="11"/>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质疑项目的编号：</w:t>
      </w:r>
      <w:r>
        <w:rPr>
          <w:rFonts w:hint="eastAsia" w:ascii="宋体" w:hAnsi="宋体" w:eastAsia="宋体" w:cs="宋体"/>
          <w:color w:val="000000"/>
          <w:highlight w:val="none"/>
          <w:u w:val="single"/>
        </w:rPr>
        <w:t xml:space="preserve">                          </w:t>
      </w:r>
    </w:p>
    <w:p w14:paraId="6C45C6E4">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02EE101">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采购人名称：</w:t>
      </w:r>
      <w:r>
        <w:rPr>
          <w:rFonts w:hint="eastAsia" w:ascii="宋体" w:hAnsi="宋体" w:eastAsia="宋体" w:cs="宋体"/>
          <w:color w:val="000000"/>
          <w:highlight w:val="none"/>
          <w:u w:val="single"/>
        </w:rPr>
        <w:t xml:space="preserve">                            </w:t>
      </w:r>
    </w:p>
    <w:p w14:paraId="0C3EA93A">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采购文件获取日期：</w:t>
      </w:r>
      <w:r>
        <w:rPr>
          <w:rFonts w:hint="eastAsia" w:ascii="宋体" w:hAnsi="宋体" w:eastAsia="宋体" w:cs="宋体"/>
          <w:color w:val="000000"/>
          <w:highlight w:val="none"/>
          <w:u w:val="single"/>
        </w:rPr>
        <w:t xml:space="preserve">                             </w:t>
      </w:r>
    </w:p>
    <w:p w14:paraId="454C489F">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三、质疑事项具体内容</w:t>
      </w:r>
    </w:p>
    <w:p w14:paraId="5B0C3A09">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质疑事项1：</w:t>
      </w:r>
      <w:r>
        <w:rPr>
          <w:rFonts w:hint="eastAsia" w:ascii="宋体" w:hAnsi="宋体" w:eastAsia="宋体" w:cs="宋体"/>
          <w:color w:val="000000"/>
          <w:highlight w:val="none"/>
          <w:u w:val="single"/>
        </w:rPr>
        <w:t xml:space="preserve">                             </w:t>
      </w:r>
    </w:p>
    <w:p w14:paraId="65F6B2B9">
      <w:pPr>
        <w:pStyle w:val="11"/>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事实依据：</w:t>
      </w:r>
      <w:r>
        <w:rPr>
          <w:rFonts w:hint="eastAsia" w:ascii="宋体" w:hAnsi="宋体" w:eastAsia="宋体" w:cs="宋体"/>
          <w:color w:val="000000"/>
          <w:highlight w:val="none"/>
          <w:u w:val="single"/>
        </w:rPr>
        <w:t xml:space="preserve">                                                   </w:t>
      </w:r>
    </w:p>
    <w:p w14:paraId="78A4C18D">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法律依据：</w:t>
      </w:r>
      <w:r>
        <w:rPr>
          <w:rFonts w:hint="eastAsia" w:ascii="宋体" w:hAnsi="宋体" w:eastAsia="宋体" w:cs="宋体"/>
          <w:color w:val="000000"/>
          <w:highlight w:val="none"/>
          <w:u w:val="single"/>
        </w:rPr>
        <w:t xml:space="preserve">                                                    </w:t>
      </w:r>
    </w:p>
    <w:p w14:paraId="32398CFA">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质疑事项2</w:t>
      </w:r>
    </w:p>
    <w:p w14:paraId="7481B690">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w:t>
      </w:r>
    </w:p>
    <w:p w14:paraId="4BFC85F6">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四、与质疑事项相关的质疑请求</w:t>
      </w:r>
    </w:p>
    <w:p w14:paraId="4142A576">
      <w:pPr>
        <w:pStyle w:val="11"/>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请求：</w:t>
      </w:r>
      <w:r>
        <w:rPr>
          <w:rFonts w:hint="eastAsia" w:ascii="宋体" w:hAnsi="宋体" w:eastAsia="宋体" w:cs="宋体"/>
          <w:color w:val="000000"/>
          <w:highlight w:val="none"/>
          <w:u w:val="single"/>
        </w:rPr>
        <w:t xml:space="preserve">                                                          </w:t>
      </w:r>
    </w:p>
    <w:p w14:paraId="0E62018D">
      <w:pPr>
        <w:pStyle w:val="11"/>
        <w:spacing w:beforeAutospacing="0" w:afterAutospacing="0"/>
        <w:jc w:val="both"/>
        <w:rPr>
          <w:rFonts w:ascii="宋体" w:hAnsi="宋体" w:eastAsia="宋体" w:cs="宋体"/>
          <w:highlight w:val="none"/>
        </w:rPr>
      </w:pPr>
      <w:r>
        <w:rPr>
          <w:rFonts w:hint="eastAsia" w:ascii="宋体" w:hAnsi="宋体" w:eastAsia="宋体" w:cs="宋体"/>
          <w:color w:val="000000"/>
          <w:highlight w:val="none"/>
        </w:rPr>
        <w:t xml:space="preserve">签字(签章)：                 公章：               日期：    </w:t>
      </w:r>
    </w:p>
    <w:p w14:paraId="2BD1128B">
      <w:pPr>
        <w:pStyle w:val="11"/>
        <w:spacing w:beforeAutospacing="0" w:afterAutospacing="0" w:line="0" w:lineRule="atLeast"/>
        <w:jc w:val="both"/>
        <w:rPr>
          <w:rFonts w:ascii="宋体" w:hAnsi="宋体" w:eastAsia="宋体" w:cs="宋体"/>
          <w:highlight w:val="none"/>
        </w:rPr>
      </w:pPr>
      <w:r>
        <w:rPr>
          <w:rFonts w:hint="eastAsia" w:ascii="宋体" w:hAnsi="宋体" w:eastAsia="宋体" w:cs="宋体"/>
          <w:b/>
          <w:color w:val="000000"/>
          <w:highlight w:val="none"/>
        </w:rPr>
        <w:t>质疑函制作说明：</w:t>
      </w:r>
    </w:p>
    <w:p w14:paraId="366B4F23">
      <w:pPr>
        <w:pStyle w:val="11"/>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1.供应商提出质疑时，应提交质疑函和必要的证明材料。</w:t>
      </w:r>
    </w:p>
    <w:p w14:paraId="4477C1A6">
      <w:pPr>
        <w:pStyle w:val="11"/>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B40952D">
      <w:pPr>
        <w:pStyle w:val="11"/>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3.质疑供应商若对项目的某一分包进行质疑，质疑函中应列明具体分包号。</w:t>
      </w:r>
    </w:p>
    <w:p w14:paraId="61B2EC12">
      <w:pPr>
        <w:pStyle w:val="11"/>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4.质疑函的质疑事项应具体、明确，并有必要的事实依据和法律依据。</w:t>
      </w:r>
    </w:p>
    <w:p w14:paraId="00DA2770">
      <w:pPr>
        <w:pStyle w:val="11"/>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5.质疑函的质疑请求应与质疑事项相关。</w:t>
      </w:r>
    </w:p>
    <w:p w14:paraId="7B96CA49">
      <w:pPr>
        <w:pStyle w:val="11"/>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6.质疑供应商为自然人的，质疑函应由本人签字；质疑供应商为法人或者其他组织的，质疑函应由法定代表人、主要负责人，或者其授权代表签字或者盖章，并加盖公章。</w:t>
      </w:r>
    </w:p>
    <w:p w14:paraId="2A8F5BDA">
      <w:pPr>
        <w:pStyle w:val="11"/>
        <w:spacing w:beforeAutospacing="0" w:afterAutospacing="0"/>
        <w:ind w:firstLine="420"/>
        <w:jc w:val="both"/>
        <w:rPr>
          <w:rFonts w:ascii="宋体" w:hAnsi="宋体" w:eastAsia="宋体" w:cs="宋体"/>
          <w:highlight w:val="none"/>
        </w:rPr>
      </w:pPr>
      <w:r>
        <w:rPr>
          <w:rFonts w:hint="eastAsia" w:ascii="宋体" w:hAnsi="宋体" w:eastAsia="宋体" w:cs="宋体"/>
          <w:highlight w:val="none"/>
        </w:rPr>
        <w:t> </w:t>
      </w:r>
    </w:p>
    <w:p w14:paraId="5C2BD028">
      <w:pPr>
        <w:rPr>
          <w:highlight w:val="none"/>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魏碑_GBK">
    <w:altName w:val="宋体"/>
    <w:panose1 w:val="03000509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79F4F">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10AB6F">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510AB6F">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EBBEA5"/>
    <w:multiLevelType w:val="singleLevel"/>
    <w:tmpl w:val="C6EBBEA5"/>
    <w:lvl w:ilvl="0" w:tentative="0">
      <w:start w:val="1"/>
      <w:numFmt w:val="decimal"/>
      <w:suff w:val="space"/>
      <w:lvlText w:val="%1."/>
      <w:lvlJc w:val="left"/>
    </w:lvl>
  </w:abstractNum>
  <w:abstractNum w:abstractNumId="1">
    <w:nsid w:val="7E9F8A5C"/>
    <w:multiLevelType w:val="singleLevel"/>
    <w:tmpl w:val="7E9F8A5C"/>
    <w:lvl w:ilvl="0" w:tentative="0">
      <w:start w:val="4"/>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75369"/>
    <w:rsid w:val="00077137"/>
    <w:rsid w:val="00093DD2"/>
    <w:rsid w:val="00100CC0"/>
    <w:rsid w:val="00131CB1"/>
    <w:rsid w:val="00172A27"/>
    <w:rsid w:val="00177F0B"/>
    <w:rsid w:val="001A3225"/>
    <w:rsid w:val="001F4115"/>
    <w:rsid w:val="00215AA4"/>
    <w:rsid w:val="00251125"/>
    <w:rsid w:val="002E61F3"/>
    <w:rsid w:val="002F12F8"/>
    <w:rsid w:val="003C1A89"/>
    <w:rsid w:val="003C6894"/>
    <w:rsid w:val="0043276E"/>
    <w:rsid w:val="004529E6"/>
    <w:rsid w:val="00455E51"/>
    <w:rsid w:val="004670D5"/>
    <w:rsid w:val="00474047"/>
    <w:rsid w:val="00491F6E"/>
    <w:rsid w:val="004D3110"/>
    <w:rsid w:val="00502ACB"/>
    <w:rsid w:val="00520AC5"/>
    <w:rsid w:val="00552DFB"/>
    <w:rsid w:val="005E57E9"/>
    <w:rsid w:val="006932C0"/>
    <w:rsid w:val="006B6F15"/>
    <w:rsid w:val="007871B9"/>
    <w:rsid w:val="007A220C"/>
    <w:rsid w:val="007A7B98"/>
    <w:rsid w:val="007B1CF4"/>
    <w:rsid w:val="00817A96"/>
    <w:rsid w:val="0088127E"/>
    <w:rsid w:val="008B090D"/>
    <w:rsid w:val="008E4636"/>
    <w:rsid w:val="00935693"/>
    <w:rsid w:val="00A4304F"/>
    <w:rsid w:val="00A62079"/>
    <w:rsid w:val="00A70028"/>
    <w:rsid w:val="00A80AB0"/>
    <w:rsid w:val="00AA2A8E"/>
    <w:rsid w:val="00B07FD4"/>
    <w:rsid w:val="00B454C4"/>
    <w:rsid w:val="00BE692E"/>
    <w:rsid w:val="00BE787D"/>
    <w:rsid w:val="00C30C78"/>
    <w:rsid w:val="00C36D58"/>
    <w:rsid w:val="00C83D22"/>
    <w:rsid w:val="00C86C58"/>
    <w:rsid w:val="00CB578B"/>
    <w:rsid w:val="00D1282F"/>
    <w:rsid w:val="00D550E3"/>
    <w:rsid w:val="00D63F4B"/>
    <w:rsid w:val="00D93FCD"/>
    <w:rsid w:val="00E57898"/>
    <w:rsid w:val="00E6087B"/>
    <w:rsid w:val="00F130C8"/>
    <w:rsid w:val="00F264FD"/>
    <w:rsid w:val="00F33192"/>
    <w:rsid w:val="00F50207"/>
    <w:rsid w:val="00F8669E"/>
    <w:rsid w:val="00F957B2"/>
    <w:rsid w:val="00FC6132"/>
    <w:rsid w:val="00FE3C91"/>
    <w:rsid w:val="014036E0"/>
    <w:rsid w:val="01416DF2"/>
    <w:rsid w:val="015C3D17"/>
    <w:rsid w:val="01C209CB"/>
    <w:rsid w:val="02357688"/>
    <w:rsid w:val="02851591"/>
    <w:rsid w:val="02BD5381"/>
    <w:rsid w:val="02D505AD"/>
    <w:rsid w:val="03365B5E"/>
    <w:rsid w:val="034E4AD1"/>
    <w:rsid w:val="037E0789"/>
    <w:rsid w:val="03913FFC"/>
    <w:rsid w:val="04CF1FA6"/>
    <w:rsid w:val="056E5657"/>
    <w:rsid w:val="05AD05DE"/>
    <w:rsid w:val="05BD3D79"/>
    <w:rsid w:val="05D1541D"/>
    <w:rsid w:val="0621639E"/>
    <w:rsid w:val="062C42CE"/>
    <w:rsid w:val="06764670"/>
    <w:rsid w:val="06867FD2"/>
    <w:rsid w:val="068A6E34"/>
    <w:rsid w:val="06B12B65"/>
    <w:rsid w:val="06BD3726"/>
    <w:rsid w:val="071D689A"/>
    <w:rsid w:val="07887E6F"/>
    <w:rsid w:val="07994E3B"/>
    <w:rsid w:val="07A02A3F"/>
    <w:rsid w:val="07A40F48"/>
    <w:rsid w:val="07F651C7"/>
    <w:rsid w:val="080A468F"/>
    <w:rsid w:val="0854758E"/>
    <w:rsid w:val="08992D34"/>
    <w:rsid w:val="08C86899"/>
    <w:rsid w:val="09132265"/>
    <w:rsid w:val="09D92A42"/>
    <w:rsid w:val="09FE79EC"/>
    <w:rsid w:val="0AB319EF"/>
    <w:rsid w:val="0ABC363A"/>
    <w:rsid w:val="0AD8294B"/>
    <w:rsid w:val="0B4B3B00"/>
    <w:rsid w:val="0B8A23C1"/>
    <w:rsid w:val="0BA111B6"/>
    <w:rsid w:val="0BAE3813"/>
    <w:rsid w:val="0BFF003E"/>
    <w:rsid w:val="0C9413AC"/>
    <w:rsid w:val="0CFF0F1B"/>
    <w:rsid w:val="0D4D2FC1"/>
    <w:rsid w:val="0E0362D5"/>
    <w:rsid w:val="0E783234"/>
    <w:rsid w:val="0E966A8C"/>
    <w:rsid w:val="0E9C279A"/>
    <w:rsid w:val="0EB36461"/>
    <w:rsid w:val="0EE61CD2"/>
    <w:rsid w:val="0F0A004B"/>
    <w:rsid w:val="0F655282"/>
    <w:rsid w:val="0F6D24BC"/>
    <w:rsid w:val="0F7D537E"/>
    <w:rsid w:val="0FBC4A1F"/>
    <w:rsid w:val="0FE97C61"/>
    <w:rsid w:val="10007707"/>
    <w:rsid w:val="10B2533E"/>
    <w:rsid w:val="11072A94"/>
    <w:rsid w:val="11AB711C"/>
    <w:rsid w:val="11EB7CC0"/>
    <w:rsid w:val="12A21019"/>
    <w:rsid w:val="12D9220E"/>
    <w:rsid w:val="12F015A0"/>
    <w:rsid w:val="132711CC"/>
    <w:rsid w:val="13D157F4"/>
    <w:rsid w:val="143E4A1F"/>
    <w:rsid w:val="14477BA7"/>
    <w:rsid w:val="157923E7"/>
    <w:rsid w:val="162C6AF9"/>
    <w:rsid w:val="163E3563"/>
    <w:rsid w:val="169263C8"/>
    <w:rsid w:val="16A61788"/>
    <w:rsid w:val="16AF4856"/>
    <w:rsid w:val="16FC471D"/>
    <w:rsid w:val="170045BA"/>
    <w:rsid w:val="174D6D27"/>
    <w:rsid w:val="174D7871"/>
    <w:rsid w:val="17666D47"/>
    <w:rsid w:val="176F0FD8"/>
    <w:rsid w:val="17732C32"/>
    <w:rsid w:val="178521C3"/>
    <w:rsid w:val="17884203"/>
    <w:rsid w:val="18BC4109"/>
    <w:rsid w:val="18D23988"/>
    <w:rsid w:val="193260E4"/>
    <w:rsid w:val="19835197"/>
    <w:rsid w:val="19A11C2E"/>
    <w:rsid w:val="1A1C3150"/>
    <w:rsid w:val="1A4F2C83"/>
    <w:rsid w:val="1AA839EE"/>
    <w:rsid w:val="1AD2708F"/>
    <w:rsid w:val="1AD75285"/>
    <w:rsid w:val="1AE6196C"/>
    <w:rsid w:val="1B193AF0"/>
    <w:rsid w:val="1B5508A0"/>
    <w:rsid w:val="1B5F5046"/>
    <w:rsid w:val="1B9509DF"/>
    <w:rsid w:val="1BA002D8"/>
    <w:rsid w:val="1C493F61"/>
    <w:rsid w:val="1CAC4347"/>
    <w:rsid w:val="1D1C1092"/>
    <w:rsid w:val="1D605A5A"/>
    <w:rsid w:val="1D812873"/>
    <w:rsid w:val="1DDF4451"/>
    <w:rsid w:val="1DE2466D"/>
    <w:rsid w:val="1DFD1285"/>
    <w:rsid w:val="1E4E1D03"/>
    <w:rsid w:val="1EC70509"/>
    <w:rsid w:val="1EE6018D"/>
    <w:rsid w:val="1F4A0271"/>
    <w:rsid w:val="1FA5245A"/>
    <w:rsid w:val="1FC7762D"/>
    <w:rsid w:val="1FE416D0"/>
    <w:rsid w:val="2000702C"/>
    <w:rsid w:val="205C376D"/>
    <w:rsid w:val="20607ACB"/>
    <w:rsid w:val="20677E3C"/>
    <w:rsid w:val="20733730"/>
    <w:rsid w:val="209429D0"/>
    <w:rsid w:val="20A83FAF"/>
    <w:rsid w:val="20CE42A1"/>
    <w:rsid w:val="215025DE"/>
    <w:rsid w:val="21827A71"/>
    <w:rsid w:val="219455DB"/>
    <w:rsid w:val="21CC717D"/>
    <w:rsid w:val="22424AA4"/>
    <w:rsid w:val="228C104B"/>
    <w:rsid w:val="22934188"/>
    <w:rsid w:val="22F62B8A"/>
    <w:rsid w:val="23151041"/>
    <w:rsid w:val="23254D08"/>
    <w:rsid w:val="23534E2B"/>
    <w:rsid w:val="242C02D7"/>
    <w:rsid w:val="24533DC2"/>
    <w:rsid w:val="24BE643D"/>
    <w:rsid w:val="2532334D"/>
    <w:rsid w:val="259B3353"/>
    <w:rsid w:val="26750FF7"/>
    <w:rsid w:val="26A854B6"/>
    <w:rsid w:val="27194423"/>
    <w:rsid w:val="27206206"/>
    <w:rsid w:val="27290FC5"/>
    <w:rsid w:val="280F2F92"/>
    <w:rsid w:val="28BC3D0D"/>
    <w:rsid w:val="28FE41FC"/>
    <w:rsid w:val="29345C52"/>
    <w:rsid w:val="2996274E"/>
    <w:rsid w:val="29BD7D3C"/>
    <w:rsid w:val="2A4648B7"/>
    <w:rsid w:val="2A9A62D0"/>
    <w:rsid w:val="2B005440"/>
    <w:rsid w:val="2BCA6741"/>
    <w:rsid w:val="2C03574A"/>
    <w:rsid w:val="2C0A4EA8"/>
    <w:rsid w:val="2C1125C1"/>
    <w:rsid w:val="2C7B3B05"/>
    <w:rsid w:val="2CC277F5"/>
    <w:rsid w:val="2CEA709A"/>
    <w:rsid w:val="2D39592C"/>
    <w:rsid w:val="2D654973"/>
    <w:rsid w:val="2E0C4DEE"/>
    <w:rsid w:val="2E5E7AF7"/>
    <w:rsid w:val="2E9F2106"/>
    <w:rsid w:val="2EE73822"/>
    <w:rsid w:val="2FA80D19"/>
    <w:rsid w:val="2FAD4FD9"/>
    <w:rsid w:val="2FB346FB"/>
    <w:rsid w:val="2FFA5778"/>
    <w:rsid w:val="30495C84"/>
    <w:rsid w:val="30650005"/>
    <w:rsid w:val="310333AD"/>
    <w:rsid w:val="3126266B"/>
    <w:rsid w:val="31522189"/>
    <w:rsid w:val="318E0F10"/>
    <w:rsid w:val="31DB0550"/>
    <w:rsid w:val="32357BED"/>
    <w:rsid w:val="32531113"/>
    <w:rsid w:val="329E6CD8"/>
    <w:rsid w:val="32AE0B6A"/>
    <w:rsid w:val="32E77BD8"/>
    <w:rsid w:val="33440753"/>
    <w:rsid w:val="334B4AB3"/>
    <w:rsid w:val="33773E42"/>
    <w:rsid w:val="34367069"/>
    <w:rsid w:val="34E14EA2"/>
    <w:rsid w:val="34E346A0"/>
    <w:rsid w:val="359B1151"/>
    <w:rsid w:val="35A41DB0"/>
    <w:rsid w:val="35AD49A2"/>
    <w:rsid w:val="35BC534C"/>
    <w:rsid w:val="36172BC3"/>
    <w:rsid w:val="36721EAF"/>
    <w:rsid w:val="36CC7C95"/>
    <w:rsid w:val="36E076F0"/>
    <w:rsid w:val="36EB650A"/>
    <w:rsid w:val="375B1FDF"/>
    <w:rsid w:val="378133A9"/>
    <w:rsid w:val="383A233E"/>
    <w:rsid w:val="39101F1B"/>
    <w:rsid w:val="392D7EB3"/>
    <w:rsid w:val="39643D30"/>
    <w:rsid w:val="39720FC7"/>
    <w:rsid w:val="39987E7E"/>
    <w:rsid w:val="39A84137"/>
    <w:rsid w:val="39CD52E9"/>
    <w:rsid w:val="3A1C0AAF"/>
    <w:rsid w:val="3A575643"/>
    <w:rsid w:val="3A64388F"/>
    <w:rsid w:val="3AB02FA5"/>
    <w:rsid w:val="3B0B043D"/>
    <w:rsid w:val="3B702E61"/>
    <w:rsid w:val="3B9710EF"/>
    <w:rsid w:val="3BDF2457"/>
    <w:rsid w:val="3BDF7FE6"/>
    <w:rsid w:val="3CC36DCD"/>
    <w:rsid w:val="3D23372C"/>
    <w:rsid w:val="3D2823FA"/>
    <w:rsid w:val="3D581DFE"/>
    <w:rsid w:val="3D6A4AAA"/>
    <w:rsid w:val="3DF80C94"/>
    <w:rsid w:val="3DFD4754"/>
    <w:rsid w:val="3E064F5A"/>
    <w:rsid w:val="3E161B6B"/>
    <w:rsid w:val="3E496B6B"/>
    <w:rsid w:val="3E7F5998"/>
    <w:rsid w:val="3EED6576"/>
    <w:rsid w:val="3F0056DB"/>
    <w:rsid w:val="3F0156C1"/>
    <w:rsid w:val="3F1A3023"/>
    <w:rsid w:val="3F243A9D"/>
    <w:rsid w:val="3FC26720"/>
    <w:rsid w:val="40260F22"/>
    <w:rsid w:val="402B33C8"/>
    <w:rsid w:val="40350295"/>
    <w:rsid w:val="406E1D8D"/>
    <w:rsid w:val="41020A70"/>
    <w:rsid w:val="42053C57"/>
    <w:rsid w:val="42214BD9"/>
    <w:rsid w:val="42324DFA"/>
    <w:rsid w:val="42AF59D8"/>
    <w:rsid w:val="431353F3"/>
    <w:rsid w:val="43455446"/>
    <w:rsid w:val="4450382F"/>
    <w:rsid w:val="44DA072F"/>
    <w:rsid w:val="454D0F8E"/>
    <w:rsid w:val="45890E3A"/>
    <w:rsid w:val="45FC0A54"/>
    <w:rsid w:val="461D469A"/>
    <w:rsid w:val="466976E6"/>
    <w:rsid w:val="46D32596"/>
    <w:rsid w:val="46EA0CE7"/>
    <w:rsid w:val="470D4256"/>
    <w:rsid w:val="472208AE"/>
    <w:rsid w:val="47704C41"/>
    <w:rsid w:val="47755C7D"/>
    <w:rsid w:val="477F6C5D"/>
    <w:rsid w:val="47B925F3"/>
    <w:rsid w:val="48771F96"/>
    <w:rsid w:val="48910AEC"/>
    <w:rsid w:val="48913E27"/>
    <w:rsid w:val="489D725F"/>
    <w:rsid w:val="48B3170D"/>
    <w:rsid w:val="493C7DE9"/>
    <w:rsid w:val="49D62B33"/>
    <w:rsid w:val="4A1E13B4"/>
    <w:rsid w:val="4A2C49B0"/>
    <w:rsid w:val="4A7D1B0F"/>
    <w:rsid w:val="4AAC50D1"/>
    <w:rsid w:val="4AF64A04"/>
    <w:rsid w:val="4AFA44F5"/>
    <w:rsid w:val="4B0C37B9"/>
    <w:rsid w:val="4B944949"/>
    <w:rsid w:val="4BC33B49"/>
    <w:rsid w:val="4BD12EAB"/>
    <w:rsid w:val="4C0C6ECB"/>
    <w:rsid w:val="4C5A2B74"/>
    <w:rsid w:val="4D2D20D9"/>
    <w:rsid w:val="4D317F76"/>
    <w:rsid w:val="4D3C69F8"/>
    <w:rsid w:val="4D784E5B"/>
    <w:rsid w:val="4DA074F7"/>
    <w:rsid w:val="4DA33F07"/>
    <w:rsid w:val="4DDE52C0"/>
    <w:rsid w:val="4EDD03B5"/>
    <w:rsid w:val="4F337FD5"/>
    <w:rsid w:val="4F526BF1"/>
    <w:rsid w:val="4FC2427A"/>
    <w:rsid w:val="50A0169A"/>
    <w:rsid w:val="50A1397F"/>
    <w:rsid w:val="51C75DFE"/>
    <w:rsid w:val="52741FCB"/>
    <w:rsid w:val="52CA1464"/>
    <w:rsid w:val="52D06B10"/>
    <w:rsid w:val="52D52291"/>
    <w:rsid w:val="53112879"/>
    <w:rsid w:val="533D58C6"/>
    <w:rsid w:val="53536515"/>
    <w:rsid w:val="536B21BA"/>
    <w:rsid w:val="53A862CC"/>
    <w:rsid w:val="542645AC"/>
    <w:rsid w:val="542A0FDA"/>
    <w:rsid w:val="545729B8"/>
    <w:rsid w:val="546C11F4"/>
    <w:rsid w:val="546E1AAF"/>
    <w:rsid w:val="54857525"/>
    <w:rsid w:val="54ED53D0"/>
    <w:rsid w:val="55091CCC"/>
    <w:rsid w:val="552830F6"/>
    <w:rsid w:val="55C67DF5"/>
    <w:rsid w:val="55FA184D"/>
    <w:rsid w:val="56307253"/>
    <w:rsid w:val="56453199"/>
    <w:rsid w:val="582F6DAB"/>
    <w:rsid w:val="58366D88"/>
    <w:rsid w:val="588910E4"/>
    <w:rsid w:val="58977827"/>
    <w:rsid w:val="58AD45AF"/>
    <w:rsid w:val="58D4718C"/>
    <w:rsid w:val="59274DA4"/>
    <w:rsid w:val="597131E7"/>
    <w:rsid w:val="599211F9"/>
    <w:rsid w:val="59A82CA5"/>
    <w:rsid w:val="5AB567F5"/>
    <w:rsid w:val="5ABD109B"/>
    <w:rsid w:val="5AD514E8"/>
    <w:rsid w:val="5AD536B4"/>
    <w:rsid w:val="5AEA4CCC"/>
    <w:rsid w:val="5B031B11"/>
    <w:rsid w:val="5B2C4517"/>
    <w:rsid w:val="5B96574B"/>
    <w:rsid w:val="5C2A4141"/>
    <w:rsid w:val="5C5A652B"/>
    <w:rsid w:val="5CE305DA"/>
    <w:rsid w:val="5D3E5EBD"/>
    <w:rsid w:val="5DDD75C3"/>
    <w:rsid w:val="5DE138D8"/>
    <w:rsid w:val="5E1921ED"/>
    <w:rsid w:val="5EF07A1A"/>
    <w:rsid w:val="5F7D5E8E"/>
    <w:rsid w:val="5F7F522A"/>
    <w:rsid w:val="5FD72BFF"/>
    <w:rsid w:val="5FFC4413"/>
    <w:rsid w:val="601337BB"/>
    <w:rsid w:val="60762DC3"/>
    <w:rsid w:val="60D51B2B"/>
    <w:rsid w:val="617F2D1C"/>
    <w:rsid w:val="61891CD7"/>
    <w:rsid w:val="62312A9A"/>
    <w:rsid w:val="6283706E"/>
    <w:rsid w:val="62A87E16"/>
    <w:rsid w:val="62C43294"/>
    <w:rsid w:val="62CA561A"/>
    <w:rsid w:val="6313315F"/>
    <w:rsid w:val="637172BE"/>
    <w:rsid w:val="63CD6C1F"/>
    <w:rsid w:val="64813139"/>
    <w:rsid w:val="64A56430"/>
    <w:rsid w:val="65BB2793"/>
    <w:rsid w:val="65DD5A8E"/>
    <w:rsid w:val="65FB46E7"/>
    <w:rsid w:val="667027CF"/>
    <w:rsid w:val="6688694C"/>
    <w:rsid w:val="66B22301"/>
    <w:rsid w:val="66D41C46"/>
    <w:rsid w:val="670D4A21"/>
    <w:rsid w:val="67B6759E"/>
    <w:rsid w:val="68076E78"/>
    <w:rsid w:val="68245589"/>
    <w:rsid w:val="68777DD2"/>
    <w:rsid w:val="68CF442F"/>
    <w:rsid w:val="69605A13"/>
    <w:rsid w:val="69983CE0"/>
    <w:rsid w:val="6A1C1694"/>
    <w:rsid w:val="6A303461"/>
    <w:rsid w:val="6A751DB0"/>
    <w:rsid w:val="6AB95533"/>
    <w:rsid w:val="6B037E0E"/>
    <w:rsid w:val="6BDD2B0A"/>
    <w:rsid w:val="6BDE41BB"/>
    <w:rsid w:val="6BF40AC7"/>
    <w:rsid w:val="6C5462A8"/>
    <w:rsid w:val="6C7041BF"/>
    <w:rsid w:val="6C917FD7"/>
    <w:rsid w:val="6DEE183F"/>
    <w:rsid w:val="6E401402"/>
    <w:rsid w:val="6F3574FF"/>
    <w:rsid w:val="6F6F7A6D"/>
    <w:rsid w:val="6F711F0A"/>
    <w:rsid w:val="6FBB0862"/>
    <w:rsid w:val="70106954"/>
    <w:rsid w:val="71BB7860"/>
    <w:rsid w:val="71C1726B"/>
    <w:rsid w:val="72440385"/>
    <w:rsid w:val="72CC236B"/>
    <w:rsid w:val="73761484"/>
    <w:rsid w:val="73EA0CFB"/>
    <w:rsid w:val="743F3C99"/>
    <w:rsid w:val="74835482"/>
    <w:rsid w:val="74877DC7"/>
    <w:rsid w:val="74DB35C2"/>
    <w:rsid w:val="75890D8F"/>
    <w:rsid w:val="75B043EA"/>
    <w:rsid w:val="76D90F68"/>
    <w:rsid w:val="77280C7C"/>
    <w:rsid w:val="77660E93"/>
    <w:rsid w:val="77A613DD"/>
    <w:rsid w:val="77BB58EB"/>
    <w:rsid w:val="77C1540B"/>
    <w:rsid w:val="783E7320"/>
    <w:rsid w:val="78C43643"/>
    <w:rsid w:val="78CB19C0"/>
    <w:rsid w:val="78F35EFE"/>
    <w:rsid w:val="78FF5669"/>
    <w:rsid w:val="793275BA"/>
    <w:rsid w:val="79A724F1"/>
    <w:rsid w:val="79B53B59"/>
    <w:rsid w:val="79C1605A"/>
    <w:rsid w:val="7A4B7878"/>
    <w:rsid w:val="7A6D100D"/>
    <w:rsid w:val="7B4231CA"/>
    <w:rsid w:val="7B825670"/>
    <w:rsid w:val="7B946370"/>
    <w:rsid w:val="7C04162B"/>
    <w:rsid w:val="7C3675D7"/>
    <w:rsid w:val="7C3F1529"/>
    <w:rsid w:val="7C5F16F8"/>
    <w:rsid w:val="7C6929D9"/>
    <w:rsid w:val="7C9D3E10"/>
    <w:rsid w:val="7CA82FB1"/>
    <w:rsid w:val="7CAF2E48"/>
    <w:rsid w:val="7CB122FF"/>
    <w:rsid w:val="7D7322CD"/>
    <w:rsid w:val="7DA05FAF"/>
    <w:rsid w:val="7DBA67DE"/>
    <w:rsid w:val="7DF53ACA"/>
    <w:rsid w:val="7DF7159A"/>
    <w:rsid w:val="7E7C50A3"/>
    <w:rsid w:val="7F0E4C61"/>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3">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2">
    <w:name w:val="index 9"/>
    <w:next w:val="1"/>
    <w:qFormat/>
    <w:uiPriority w:val="0"/>
    <w:pPr>
      <w:widowControl w:val="0"/>
      <w:ind w:left="1600" w:leftChars="1600"/>
      <w:jc w:val="both"/>
    </w:pPr>
    <w:rPr>
      <w:rFonts w:ascii="Times New Roman" w:hAnsi="Times New Roman" w:eastAsia="宋体" w:cs="Times New Roman"/>
      <w:kern w:val="2"/>
      <w:sz w:val="21"/>
      <w:szCs w:val="21"/>
      <w:lang w:val="en-US" w:eastAsia="zh-CN" w:bidi="ar-SA"/>
    </w:rPr>
  </w:style>
  <w:style w:type="paragraph" w:styleId="4">
    <w:name w:val="annotation text"/>
    <w:basedOn w:val="1"/>
    <w:autoRedefine/>
    <w:qFormat/>
    <w:uiPriority w:val="0"/>
    <w:pPr>
      <w:jc w:val="left"/>
    </w:pPr>
  </w:style>
  <w:style w:type="paragraph" w:styleId="5">
    <w:name w:val="Body Text"/>
    <w:basedOn w:val="1"/>
    <w:semiHidden/>
    <w:qFormat/>
    <w:uiPriority w:val="0"/>
    <w:rPr>
      <w:rFonts w:ascii="仿宋" w:hAnsi="仿宋" w:eastAsia="仿宋" w:cs="仿宋"/>
      <w:sz w:val="31"/>
      <w:szCs w:val="31"/>
      <w:lang w:val="en-US" w:eastAsia="en-US" w:bidi="ar-SA"/>
    </w:rPr>
  </w:style>
  <w:style w:type="paragraph" w:styleId="6">
    <w:name w:val="Body Text Indent"/>
    <w:next w:val="7"/>
    <w:qFormat/>
    <w:uiPriority w:val="99"/>
    <w:pPr>
      <w:widowControl w:val="0"/>
      <w:ind w:firstLine="645"/>
      <w:jc w:val="both"/>
    </w:pPr>
    <w:rPr>
      <w:rFonts w:ascii="楷体_GB2312" w:eastAsia="楷体_GB2312" w:hAnsiTheme="minorHAnsi" w:cstheme="minorBidi"/>
      <w:kern w:val="2"/>
      <w:sz w:val="32"/>
      <w:szCs w:val="32"/>
      <w:lang w:val="en-US" w:eastAsia="zh-CN" w:bidi="ar-SA"/>
    </w:rPr>
  </w:style>
  <w:style w:type="paragraph" w:styleId="7">
    <w:name w:val="envelope return"/>
    <w:qFormat/>
    <w:uiPriority w:val="0"/>
    <w:pPr>
      <w:widowControl w:val="0"/>
      <w:jc w:val="both"/>
    </w:pPr>
    <w:rPr>
      <w:rFonts w:ascii="Arial" w:hAnsi="Arial" w:eastAsiaTheme="minorEastAsia" w:cstheme="minorBidi"/>
      <w:kern w:val="2"/>
      <w:sz w:val="21"/>
      <w:szCs w:val="24"/>
      <w:lang w:val="en-US" w:eastAsia="zh-CN" w:bidi="ar-SA"/>
    </w:rPr>
  </w:style>
  <w:style w:type="paragraph" w:styleId="8">
    <w:name w:val="footer"/>
    <w:basedOn w:val="1"/>
    <w:link w:val="17"/>
    <w:autoRedefine/>
    <w:qFormat/>
    <w:uiPriority w:val="0"/>
    <w:pPr>
      <w:tabs>
        <w:tab w:val="center" w:pos="4153"/>
        <w:tab w:val="right" w:pos="8306"/>
      </w:tabs>
      <w:snapToGrid w:val="0"/>
      <w:jc w:val="left"/>
    </w:pPr>
    <w:rPr>
      <w:sz w:val="18"/>
      <w:szCs w:val="18"/>
    </w:rPr>
  </w:style>
  <w:style w:type="paragraph" w:styleId="9">
    <w:name w:val="header"/>
    <w:basedOn w:val="1"/>
    <w:link w:val="16"/>
    <w:autoRedefine/>
    <w:qFormat/>
    <w:uiPriority w:val="0"/>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0"/>
  </w:style>
  <w:style w:type="paragraph" w:styleId="11">
    <w:name w:val="Normal (Web)"/>
    <w:basedOn w:val="1"/>
    <w:autoRedefine/>
    <w:qFormat/>
    <w:uiPriority w:val="0"/>
    <w:pPr>
      <w:spacing w:beforeAutospacing="1" w:afterAutospacing="1"/>
      <w:jc w:val="left"/>
    </w:pPr>
    <w:rPr>
      <w:rFonts w:cs="Times New Roman"/>
      <w:kern w:val="0"/>
      <w:sz w:val="24"/>
    </w:rPr>
  </w:style>
  <w:style w:type="character" w:styleId="14">
    <w:name w:val="Emphasis"/>
    <w:qFormat/>
    <w:uiPriority w:val="0"/>
    <w:rPr>
      <w:i/>
    </w:rPr>
  </w:style>
  <w:style w:type="paragraph" w:customStyle="1" w:styleId="15">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16">
    <w:name w:val="页眉 Char"/>
    <w:basedOn w:val="13"/>
    <w:link w:val="9"/>
    <w:autoRedefine/>
    <w:qFormat/>
    <w:uiPriority w:val="0"/>
    <w:rPr>
      <w:rFonts w:asciiTheme="minorHAnsi" w:hAnsiTheme="minorHAnsi" w:eastAsiaTheme="minorEastAsia" w:cstheme="minorBidi"/>
      <w:kern w:val="2"/>
      <w:sz w:val="18"/>
      <w:szCs w:val="18"/>
    </w:rPr>
  </w:style>
  <w:style w:type="character" w:customStyle="1" w:styleId="17">
    <w:name w:val="页脚 Char"/>
    <w:basedOn w:val="13"/>
    <w:link w:val="8"/>
    <w:autoRedefine/>
    <w:qFormat/>
    <w:uiPriority w:val="0"/>
    <w:rPr>
      <w:rFonts w:asciiTheme="minorHAnsi" w:hAnsiTheme="minorHAnsi" w:eastAsiaTheme="minorEastAsia" w:cstheme="minorBidi"/>
      <w:kern w:val="2"/>
      <w:sz w:val="18"/>
      <w:szCs w:val="18"/>
    </w:rPr>
  </w:style>
  <w:style w:type="paragraph" w:customStyle="1" w:styleId="18">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19">
    <w:name w:val="正文首行缩进 21"/>
    <w:basedOn w:val="20"/>
    <w:qFormat/>
    <w:uiPriority w:val="0"/>
    <w:pPr>
      <w:ind w:firstLine="420"/>
    </w:pPr>
  </w:style>
  <w:style w:type="paragraph" w:customStyle="1" w:styleId="20">
    <w:name w:val="正文文本缩进1"/>
    <w:basedOn w:val="1"/>
    <w:qFormat/>
    <w:uiPriority w:val="0"/>
    <w:pPr>
      <w:spacing w:after="120"/>
      <w:ind w:left="42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50</Pages>
  <Words>17050</Words>
  <Characters>18314</Characters>
  <Lines>167</Lines>
  <Paragraphs>47</Paragraphs>
  <TotalTime>6</TotalTime>
  <ScaleCrop>false</ScaleCrop>
  <LinksUpToDate>false</LinksUpToDate>
  <CharactersWithSpaces>18702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卞</cp:lastModifiedBy>
  <dcterms:modified xsi:type="dcterms:W3CDTF">2026-06-30T08:31:48Z</dcterms:modified>
  <cp:revision>272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2CE69B72E26145598C5168D9FD45F1DC_13</vt:lpwstr>
  </property>
  <property fmtid="{D5CDD505-2E9C-101B-9397-08002B2CF9AE}" pid="4" name="KSOTemplateDocerSaveRecord">
    <vt:lpwstr>eyJoZGlkIjoiMGVlNTcxYjIyNTdjMzg1NWY2NWViMWM4MjBjZWJmMjUiLCJ1c2VySWQiOiI0MjMzMDQ2NzYifQ==</vt:lpwstr>
  </property>
</Properties>
</file>