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4F8228">
      <w:pPr>
        <w:jc w:val="center"/>
        <w:rPr>
          <w:rFonts w:hint="eastAsia" w:ascii="宋体" w:hAnsi="宋体" w:eastAsia="宋体"/>
          <w:color w:val="auto"/>
          <w:sz w:val="48"/>
          <w:szCs w:val="52"/>
        </w:rPr>
      </w:pPr>
    </w:p>
    <w:p w14:paraId="4777CED9">
      <w:pPr>
        <w:jc w:val="center"/>
        <w:rPr>
          <w:rFonts w:hint="eastAsia" w:ascii="宋体" w:hAnsi="宋体" w:eastAsia="宋体"/>
          <w:b/>
          <w:bCs/>
          <w:color w:val="auto"/>
          <w:sz w:val="96"/>
          <w:szCs w:val="96"/>
        </w:rPr>
      </w:pPr>
      <w:r>
        <w:rPr>
          <w:rFonts w:hint="eastAsia" w:ascii="宋体" w:hAnsi="宋体" w:eastAsia="宋体"/>
          <w:b/>
          <w:bCs/>
          <w:color w:val="auto"/>
          <w:sz w:val="96"/>
          <w:szCs w:val="96"/>
        </w:rPr>
        <w:t>招标文件</w:t>
      </w:r>
    </w:p>
    <w:p w14:paraId="0FEC872E">
      <w:pPr>
        <w:jc w:val="center"/>
        <w:rPr>
          <w:rFonts w:hint="eastAsia" w:ascii="宋体" w:hAnsi="宋体" w:eastAsia="宋体"/>
          <w:b/>
          <w:bCs/>
          <w:color w:val="auto"/>
          <w:sz w:val="56"/>
          <w:szCs w:val="72"/>
        </w:rPr>
      </w:pPr>
    </w:p>
    <w:p w14:paraId="723C650A">
      <w:pPr>
        <w:jc w:val="center"/>
        <w:rPr>
          <w:rFonts w:hint="eastAsia" w:ascii="宋体" w:hAnsi="宋体" w:eastAsia="宋体"/>
          <w:b/>
          <w:bCs/>
          <w:color w:val="auto"/>
          <w:sz w:val="56"/>
          <w:szCs w:val="72"/>
        </w:rPr>
      </w:pPr>
    </w:p>
    <w:p w14:paraId="7C210BFC">
      <w:pPr>
        <w:jc w:val="center"/>
        <w:rPr>
          <w:rFonts w:hint="eastAsia" w:ascii="宋体" w:hAnsi="宋体" w:eastAsia="宋体"/>
          <w:b/>
          <w:bCs/>
          <w:color w:val="auto"/>
          <w:sz w:val="56"/>
          <w:szCs w:val="72"/>
        </w:rPr>
      </w:pPr>
    </w:p>
    <w:p w14:paraId="7A49BF64">
      <w:pPr>
        <w:jc w:val="center"/>
        <w:rPr>
          <w:rFonts w:hint="eastAsia" w:ascii="宋体" w:hAnsi="宋体" w:eastAsia="宋体"/>
          <w:b/>
          <w:bCs/>
          <w:color w:val="auto"/>
          <w:sz w:val="56"/>
          <w:szCs w:val="72"/>
        </w:rPr>
      </w:pPr>
    </w:p>
    <w:p w14:paraId="6FF6743C">
      <w:pPr>
        <w:keepNext w:val="0"/>
        <w:keepLines w:val="0"/>
        <w:pageBreakBefore w:val="0"/>
        <w:widowControl w:val="0"/>
        <w:kinsoku/>
        <w:wordWrap/>
        <w:overflowPunct/>
        <w:topLinePunct w:val="0"/>
        <w:autoSpaceDE/>
        <w:autoSpaceDN/>
        <w:bidi w:val="0"/>
        <w:adjustRightInd/>
        <w:snapToGrid/>
        <w:spacing w:line="900" w:lineRule="exact"/>
        <w:ind w:left="1807" w:hanging="1807" w:hangingChars="500"/>
        <w:jc w:val="left"/>
        <w:textAlignment w:val="auto"/>
        <w:outlineLvl w:val="0"/>
        <w:rPr>
          <w:rFonts w:hint="eastAsia" w:ascii="宋体" w:hAnsi="宋体" w:eastAsia="宋体"/>
          <w:color w:val="auto"/>
          <w:sz w:val="36"/>
          <w:szCs w:val="36"/>
          <w:lang w:eastAsia="zh-CN"/>
        </w:rPr>
      </w:pPr>
      <w:r>
        <w:rPr>
          <w:rFonts w:hint="eastAsia" w:ascii="宋体" w:hAnsi="宋体" w:eastAsia="宋体"/>
          <w:b/>
          <w:color w:val="auto"/>
          <w:sz w:val="36"/>
          <w:szCs w:val="36"/>
        </w:rPr>
        <w:t>项目名称：</w:t>
      </w:r>
      <w:r>
        <w:rPr>
          <w:rFonts w:hint="eastAsia" w:ascii="宋体" w:hAnsi="宋体" w:eastAsia="宋体"/>
          <w:b/>
          <w:color w:val="auto"/>
          <w:sz w:val="36"/>
          <w:szCs w:val="36"/>
          <w:lang w:val="en-US" w:eastAsia="zh-CN"/>
        </w:rPr>
        <w:t>射阳县公安局交通管理大队涉案车辆清拖及保管服务项目（四次）</w:t>
      </w:r>
      <w:r>
        <w:rPr>
          <w:rFonts w:hint="eastAsia" w:ascii="宋体" w:hAnsi="宋体" w:eastAsia="宋体" w:cs="宋体"/>
          <w:b/>
          <w:color w:val="auto"/>
          <w:sz w:val="36"/>
          <w:szCs w:val="36"/>
          <w:lang w:val="en-US" w:eastAsia="zh-CN"/>
        </w:rPr>
        <w:t xml:space="preserve"> </w:t>
      </w:r>
    </w:p>
    <w:p w14:paraId="0F0EC00F">
      <w:pPr>
        <w:rPr>
          <w:rFonts w:hint="eastAsia" w:ascii="宋体" w:hAnsi="宋体" w:eastAsia="宋体"/>
          <w:color w:val="auto"/>
        </w:rPr>
      </w:pPr>
    </w:p>
    <w:p w14:paraId="0157EE7C">
      <w:pPr>
        <w:spacing w:line="360" w:lineRule="auto"/>
        <w:jc w:val="center"/>
        <w:rPr>
          <w:rFonts w:hint="eastAsia" w:ascii="宋体" w:hAnsi="宋体" w:eastAsia="宋体"/>
          <w:color w:val="auto"/>
        </w:rPr>
      </w:pPr>
    </w:p>
    <w:p w14:paraId="75368BA7">
      <w:pPr>
        <w:spacing w:line="360" w:lineRule="auto"/>
        <w:jc w:val="center"/>
        <w:rPr>
          <w:rFonts w:hint="eastAsia" w:ascii="宋体" w:hAnsi="宋体" w:eastAsia="宋体"/>
          <w:color w:val="auto"/>
        </w:rPr>
      </w:pPr>
    </w:p>
    <w:p w14:paraId="78025166">
      <w:pPr>
        <w:spacing w:line="360" w:lineRule="auto"/>
        <w:jc w:val="center"/>
        <w:rPr>
          <w:rFonts w:hint="eastAsia" w:ascii="宋体" w:hAnsi="宋体" w:eastAsia="宋体"/>
          <w:color w:val="auto"/>
        </w:rPr>
      </w:pPr>
    </w:p>
    <w:p w14:paraId="557CC171">
      <w:pPr>
        <w:spacing w:line="360" w:lineRule="auto"/>
        <w:jc w:val="center"/>
        <w:rPr>
          <w:rFonts w:hint="eastAsia" w:ascii="宋体" w:hAnsi="宋体" w:eastAsia="宋体"/>
          <w:color w:val="auto"/>
        </w:rPr>
      </w:pPr>
    </w:p>
    <w:p w14:paraId="0A67BE54">
      <w:pPr>
        <w:spacing w:line="360" w:lineRule="auto"/>
        <w:jc w:val="center"/>
        <w:rPr>
          <w:rFonts w:hint="eastAsia" w:ascii="宋体" w:hAnsi="宋体" w:eastAsia="宋体"/>
          <w:color w:val="auto"/>
        </w:rPr>
      </w:pPr>
    </w:p>
    <w:p w14:paraId="1F69A858">
      <w:pPr>
        <w:spacing w:line="360" w:lineRule="auto"/>
        <w:jc w:val="center"/>
        <w:rPr>
          <w:rFonts w:hint="eastAsia" w:ascii="宋体" w:hAnsi="宋体" w:eastAsia="宋体"/>
          <w:color w:val="auto"/>
        </w:rPr>
      </w:pPr>
    </w:p>
    <w:p w14:paraId="28F5FB14">
      <w:pPr>
        <w:spacing w:line="360" w:lineRule="auto"/>
        <w:jc w:val="center"/>
        <w:rPr>
          <w:rFonts w:hint="eastAsia" w:ascii="宋体" w:hAnsi="宋体" w:eastAsia="宋体"/>
          <w:color w:val="auto"/>
        </w:rPr>
      </w:pPr>
    </w:p>
    <w:p w14:paraId="3D088B29">
      <w:pPr>
        <w:spacing w:line="360" w:lineRule="auto"/>
        <w:jc w:val="center"/>
        <w:rPr>
          <w:rFonts w:hint="eastAsia" w:ascii="宋体" w:hAnsi="宋体" w:eastAsia="宋体"/>
          <w:color w:val="auto"/>
        </w:rPr>
      </w:pPr>
    </w:p>
    <w:p w14:paraId="2CBFFF64">
      <w:pPr>
        <w:spacing w:line="360" w:lineRule="auto"/>
        <w:jc w:val="center"/>
        <w:rPr>
          <w:rFonts w:hint="eastAsia" w:ascii="宋体" w:hAnsi="宋体" w:eastAsia="宋体"/>
          <w:color w:val="auto"/>
        </w:rPr>
      </w:pPr>
    </w:p>
    <w:p w14:paraId="5B036494">
      <w:pPr>
        <w:keepNext w:val="0"/>
        <w:keepLines w:val="0"/>
        <w:pageBreakBefore w:val="0"/>
        <w:widowControl w:val="0"/>
        <w:kinsoku/>
        <w:wordWrap/>
        <w:overflowPunct/>
        <w:topLinePunct w:val="0"/>
        <w:autoSpaceDE/>
        <w:autoSpaceDN/>
        <w:bidi w:val="0"/>
        <w:adjustRightInd/>
        <w:snapToGrid/>
        <w:spacing w:line="900" w:lineRule="exact"/>
        <w:jc w:val="center"/>
        <w:textAlignment w:val="auto"/>
        <w:outlineLvl w:val="0"/>
        <w:rPr>
          <w:rFonts w:hint="eastAsia" w:ascii="宋体" w:hAnsi="宋体" w:eastAsia="宋体"/>
          <w:b/>
          <w:bCs/>
          <w:color w:val="auto"/>
          <w:sz w:val="36"/>
          <w:szCs w:val="40"/>
        </w:rPr>
      </w:pPr>
      <w:r>
        <w:rPr>
          <w:rFonts w:hint="eastAsia" w:ascii="宋体" w:hAnsi="宋体" w:eastAsia="宋体"/>
          <w:b/>
          <w:bCs/>
          <w:color w:val="auto"/>
          <w:sz w:val="36"/>
          <w:szCs w:val="40"/>
          <w:lang w:val="en-US" w:eastAsia="zh-CN"/>
        </w:rPr>
        <w:t>射阳县公安局</w:t>
      </w:r>
    </w:p>
    <w:p w14:paraId="0A761BBD">
      <w:pPr>
        <w:keepNext w:val="0"/>
        <w:keepLines w:val="0"/>
        <w:pageBreakBefore w:val="0"/>
        <w:widowControl w:val="0"/>
        <w:kinsoku/>
        <w:wordWrap/>
        <w:overflowPunct/>
        <w:topLinePunct w:val="0"/>
        <w:autoSpaceDE/>
        <w:autoSpaceDN/>
        <w:bidi w:val="0"/>
        <w:adjustRightInd/>
        <w:snapToGrid/>
        <w:spacing w:line="900" w:lineRule="exact"/>
        <w:jc w:val="center"/>
        <w:textAlignment w:val="auto"/>
        <w:outlineLvl w:val="0"/>
        <w:rPr>
          <w:rFonts w:hint="eastAsia" w:ascii="宋体" w:hAnsi="宋体" w:eastAsia="宋体"/>
          <w:b/>
          <w:bCs/>
          <w:color w:val="auto"/>
          <w:sz w:val="36"/>
          <w:szCs w:val="40"/>
        </w:rPr>
      </w:pPr>
      <w:r>
        <w:rPr>
          <w:rFonts w:hint="eastAsia" w:ascii="宋体" w:hAnsi="宋体" w:eastAsia="宋体"/>
          <w:b/>
          <w:bCs/>
          <w:color w:val="auto"/>
          <w:sz w:val="36"/>
          <w:szCs w:val="40"/>
        </w:rPr>
        <w:t>江苏</w:t>
      </w:r>
      <w:r>
        <w:rPr>
          <w:rFonts w:hint="eastAsia" w:ascii="宋体" w:hAnsi="宋体" w:eastAsia="宋体"/>
          <w:b/>
          <w:bCs/>
          <w:color w:val="auto"/>
          <w:sz w:val="36"/>
          <w:szCs w:val="40"/>
          <w:lang w:val="en-US" w:eastAsia="zh-CN"/>
        </w:rPr>
        <w:t>苏伟项目管理</w:t>
      </w:r>
      <w:r>
        <w:rPr>
          <w:rFonts w:hint="eastAsia" w:ascii="宋体" w:hAnsi="宋体" w:eastAsia="宋体"/>
          <w:b/>
          <w:bCs/>
          <w:color w:val="auto"/>
          <w:sz w:val="36"/>
          <w:szCs w:val="40"/>
        </w:rPr>
        <w:t>有限公司</w:t>
      </w:r>
    </w:p>
    <w:p w14:paraId="3AC087B7">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宋体" w:hAnsi="宋体" w:eastAsia="宋体"/>
          <w:b/>
          <w:bCs/>
          <w:color w:val="auto"/>
          <w:sz w:val="36"/>
          <w:szCs w:val="40"/>
        </w:rPr>
      </w:pPr>
      <w:r>
        <w:rPr>
          <w:rFonts w:hint="eastAsia" w:ascii="宋体" w:hAnsi="宋体" w:eastAsia="宋体"/>
          <w:b/>
          <w:bCs/>
          <w:color w:val="auto"/>
          <w:sz w:val="36"/>
          <w:szCs w:val="40"/>
        </w:rPr>
        <w:t>202</w:t>
      </w:r>
      <w:r>
        <w:rPr>
          <w:rFonts w:hint="eastAsia" w:ascii="宋体" w:hAnsi="宋体" w:eastAsia="宋体"/>
          <w:b/>
          <w:bCs/>
          <w:color w:val="auto"/>
          <w:sz w:val="36"/>
          <w:szCs w:val="40"/>
          <w:lang w:val="en-US" w:eastAsia="zh-CN"/>
        </w:rPr>
        <w:t>6</w:t>
      </w:r>
      <w:r>
        <w:rPr>
          <w:rFonts w:hint="eastAsia" w:ascii="宋体" w:hAnsi="宋体" w:eastAsia="宋体"/>
          <w:b/>
          <w:bCs/>
          <w:color w:val="auto"/>
          <w:sz w:val="36"/>
          <w:szCs w:val="40"/>
        </w:rPr>
        <w:t>年</w:t>
      </w:r>
      <w:r>
        <w:rPr>
          <w:rFonts w:hint="eastAsia" w:ascii="宋体" w:hAnsi="宋体" w:eastAsia="宋体"/>
          <w:b/>
          <w:bCs/>
          <w:color w:val="auto"/>
          <w:sz w:val="36"/>
          <w:szCs w:val="40"/>
          <w:lang w:val="en-US" w:eastAsia="zh-CN"/>
        </w:rPr>
        <w:t>4</w:t>
      </w:r>
      <w:r>
        <w:rPr>
          <w:rFonts w:hint="eastAsia" w:ascii="宋体" w:hAnsi="宋体" w:eastAsia="宋体"/>
          <w:b/>
          <w:bCs/>
          <w:color w:val="auto"/>
          <w:sz w:val="36"/>
          <w:szCs w:val="40"/>
        </w:rPr>
        <w:t>月</w:t>
      </w:r>
    </w:p>
    <w:p w14:paraId="16CA1786">
      <w:pPr>
        <w:rPr>
          <w:rFonts w:hint="eastAsia" w:ascii="宋体" w:hAnsi="宋体" w:eastAsia="宋体"/>
          <w:color w:val="auto"/>
        </w:rPr>
      </w:pPr>
    </w:p>
    <w:p w14:paraId="6E20964A">
      <w:pPr>
        <w:pStyle w:val="207"/>
        <w:jc w:val="center"/>
        <w:rPr>
          <w:rFonts w:ascii="宋体" w:hAnsi="宋体" w:eastAsia="宋体" w:cstheme="minorBidi"/>
          <w:color w:val="auto"/>
          <w:sz w:val="21"/>
          <w:szCs w:val="22"/>
          <w:lang w:val="zh-CN"/>
        </w:rPr>
        <w:sectPr>
          <w:pgSz w:w="11906" w:h="16838"/>
          <w:pgMar w:top="1417" w:right="1701" w:bottom="1417" w:left="1701" w:header="851" w:footer="680" w:gutter="0"/>
          <w:pgNumType w:start="1"/>
          <w:cols w:space="0" w:num="1"/>
          <w:rtlGutter w:val="0"/>
          <w:docGrid w:linePitch="360" w:charSpace="0"/>
        </w:sectPr>
      </w:pPr>
    </w:p>
    <w:sdt>
      <w:sdtPr>
        <w:rPr>
          <w:rFonts w:ascii="宋体" w:hAnsi="宋体" w:eastAsia="宋体" w:cstheme="minorBidi"/>
          <w:color w:val="auto"/>
          <w:sz w:val="21"/>
          <w:szCs w:val="22"/>
          <w:lang w:val="zh-CN"/>
        </w:rPr>
        <w:id w:val="330504054"/>
        <w:docPartObj>
          <w:docPartGallery w:val="Table of Contents"/>
          <w:docPartUnique/>
        </w:docPartObj>
      </w:sdtPr>
      <w:sdtEndPr>
        <w:rPr>
          <w:rFonts w:ascii="宋体" w:hAnsi="宋体" w:eastAsia="宋体" w:cstheme="minorBidi"/>
          <w:color w:val="auto"/>
          <w:sz w:val="21"/>
          <w:szCs w:val="22"/>
          <w:lang w:val="zh-CN"/>
        </w:rPr>
      </w:sdtEndPr>
      <w:sdtContent>
        <w:p w14:paraId="73DE7EF1">
          <w:pPr>
            <w:pStyle w:val="207"/>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目  录</w:t>
          </w:r>
        </w:p>
        <w:p w14:paraId="530159DB">
          <w:pPr>
            <w:pStyle w:val="30"/>
            <w:tabs>
              <w:tab w:val="left" w:pos="1320"/>
              <w:tab w:val="right" w:leader="dot" w:pos="8296"/>
            </w:tabs>
            <w:rPr>
              <w:rFonts w:hint="eastAsia" w:ascii="宋体" w:hAnsi="宋体" w:eastAsia="宋体" w:cs="宋体"/>
              <w:color w:val="auto"/>
            </w:rPr>
          </w:pPr>
        </w:p>
        <w:p w14:paraId="5FAE76CB">
          <w:pPr>
            <w:pStyle w:val="30"/>
            <w:tabs>
              <w:tab w:val="left" w:pos="1320"/>
              <w:tab w:val="right" w:leader="dot" w:pos="8296"/>
            </w:tabs>
            <w:rPr>
              <w:rFonts w:hint="eastAsia" w:ascii="宋体" w:hAnsi="宋体" w:eastAsia="宋体" w:cs="宋体"/>
              <w:color w:val="auto"/>
            </w:rPr>
          </w:pPr>
        </w:p>
        <w:p w14:paraId="433C5826">
          <w:pPr>
            <w:pStyle w:val="30"/>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TOC \o "1-4" \h \z \u </w:instrText>
          </w:r>
          <w:r>
            <w:rPr>
              <w:rFonts w:hint="eastAsia" w:ascii="宋体" w:hAnsi="宋体" w:eastAsia="宋体" w:cs="宋体"/>
              <w:color w:val="auto"/>
            </w:rPr>
            <w:fldChar w:fldCharType="separate"/>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"_Toc197644519" \o "#_Toc197644519" </w:instrText>
          </w:r>
          <w:r>
            <w:rPr>
              <w:rFonts w:hint="eastAsia" w:ascii="宋体" w:hAnsi="宋体" w:eastAsia="宋体" w:cs="宋体"/>
              <w:b/>
              <w:bCs/>
              <w:color w:val="auto"/>
              <w:sz w:val="28"/>
              <w:szCs w:val="28"/>
            </w:rPr>
            <w:fldChar w:fldCharType="separate"/>
          </w:r>
          <w:r>
            <w:rPr>
              <w:rStyle w:val="39"/>
              <w:rFonts w:hint="eastAsia" w:ascii="宋体" w:hAnsi="宋体" w:eastAsia="宋体" w:cs="宋体"/>
              <w:b/>
              <w:bCs/>
              <w:color w:val="auto"/>
              <w:sz w:val="28"/>
              <w:szCs w:val="28"/>
              <w14:ligatures w14:val="none"/>
            </w:rPr>
            <w:t>第一章</w:t>
          </w:r>
          <w:r>
            <w:rPr>
              <w:rFonts w:hint="eastAsia" w:ascii="宋体" w:hAnsi="宋体" w:eastAsia="宋体" w:cs="宋体"/>
              <w:b/>
              <w:bCs/>
              <w:color w:val="auto"/>
              <w:sz w:val="28"/>
              <w:szCs w:val="28"/>
            </w:rPr>
            <w:tab/>
          </w:r>
          <w:r>
            <w:rPr>
              <w:rStyle w:val="39"/>
              <w:rFonts w:hint="eastAsia" w:ascii="宋体" w:hAnsi="宋体" w:eastAsia="宋体" w:cs="宋体"/>
              <w:b/>
              <w:bCs/>
              <w:color w:val="auto"/>
              <w:sz w:val="28"/>
              <w:szCs w:val="28"/>
              <w14:ligatures w14:val="none"/>
            </w:rPr>
            <w:t>招标公告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rPr>
            <w:fldChar w:fldCharType="end"/>
          </w:r>
        </w:p>
        <w:p w14:paraId="398FD710">
          <w:pPr>
            <w:pStyle w:val="18"/>
            <w:tabs>
              <w:tab w:val="right" w:leader="dot" w:pos="8296"/>
            </w:tabs>
            <w:rPr>
              <w:rFonts w:hint="eastAsia" w:ascii="宋体" w:hAnsi="宋体" w:eastAsia="宋体" w:cs="宋体"/>
              <w:b/>
              <w:bCs/>
              <w:color w:val="auto"/>
              <w:sz w:val="28"/>
              <w:szCs w:val="28"/>
            </w:rPr>
          </w:pPr>
        </w:p>
        <w:p w14:paraId="0999C17C">
          <w:pPr>
            <w:pStyle w:val="30"/>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"_Toc197644527" \o "#_Toc197644527" </w:instrText>
          </w:r>
          <w:r>
            <w:rPr>
              <w:rFonts w:hint="eastAsia" w:ascii="宋体" w:hAnsi="宋体" w:eastAsia="宋体" w:cs="宋体"/>
              <w:b/>
              <w:bCs/>
              <w:color w:val="auto"/>
              <w:sz w:val="28"/>
              <w:szCs w:val="28"/>
            </w:rPr>
            <w:fldChar w:fldCharType="separate"/>
          </w:r>
          <w:r>
            <w:rPr>
              <w:rStyle w:val="39"/>
              <w:rFonts w:hint="eastAsia" w:ascii="宋体" w:hAnsi="宋体" w:eastAsia="宋体" w:cs="宋体"/>
              <w:b/>
              <w:bCs/>
              <w:color w:val="auto"/>
              <w:sz w:val="28"/>
              <w:szCs w:val="28"/>
              <w14:ligatures w14:val="none"/>
            </w:rPr>
            <w:t>第二章</w:t>
          </w:r>
          <w:r>
            <w:rPr>
              <w:rFonts w:hint="eastAsia" w:ascii="宋体" w:hAnsi="宋体" w:eastAsia="宋体" w:cs="宋体"/>
              <w:b/>
              <w:bCs/>
              <w:color w:val="auto"/>
              <w:sz w:val="28"/>
              <w:szCs w:val="28"/>
            </w:rPr>
            <w:tab/>
          </w:r>
          <w:r>
            <w:rPr>
              <w:rStyle w:val="39"/>
              <w:rFonts w:hint="eastAsia" w:ascii="宋体" w:hAnsi="宋体" w:eastAsia="宋体" w:cs="宋体"/>
              <w:b/>
              <w:bCs/>
              <w:color w:val="auto"/>
              <w:sz w:val="28"/>
              <w:szCs w:val="28"/>
              <w14:ligatures w14:val="none"/>
            </w:rPr>
            <w:t>投标人须知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_Toc197644527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6</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7089B70E">
          <w:pPr>
            <w:pStyle w:val="25"/>
            <w:tabs>
              <w:tab w:val="right" w:leader="dot" w:pos="8296"/>
            </w:tabs>
            <w:rPr>
              <w:rFonts w:hint="eastAsia" w:ascii="宋体" w:hAnsi="宋体" w:eastAsia="宋体" w:cs="宋体"/>
              <w:b/>
              <w:bCs/>
              <w:color w:val="auto"/>
              <w:sz w:val="28"/>
              <w:szCs w:val="28"/>
            </w:rPr>
          </w:pPr>
        </w:p>
        <w:p w14:paraId="34AD4326">
          <w:pPr>
            <w:pStyle w:val="30"/>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"_Toc197644568" \o "#_Toc197644568" </w:instrText>
          </w:r>
          <w:r>
            <w:rPr>
              <w:rFonts w:hint="eastAsia" w:ascii="宋体" w:hAnsi="宋体" w:eastAsia="宋体" w:cs="宋体"/>
              <w:b/>
              <w:bCs/>
              <w:color w:val="auto"/>
              <w:sz w:val="28"/>
              <w:szCs w:val="28"/>
            </w:rPr>
            <w:fldChar w:fldCharType="separate"/>
          </w:r>
          <w:r>
            <w:rPr>
              <w:rStyle w:val="39"/>
              <w:rFonts w:hint="eastAsia" w:ascii="宋体" w:hAnsi="宋体" w:eastAsia="宋体" w:cs="宋体"/>
              <w:b/>
              <w:bCs/>
              <w:color w:val="auto"/>
              <w:sz w:val="28"/>
              <w:szCs w:val="28"/>
              <w14:ligatures w14:val="none"/>
            </w:rPr>
            <w:t>第三章</w:t>
          </w:r>
          <w:r>
            <w:rPr>
              <w:rFonts w:hint="eastAsia" w:ascii="宋体" w:hAnsi="宋体" w:eastAsia="宋体" w:cs="宋体"/>
              <w:b/>
              <w:bCs/>
              <w:color w:val="auto"/>
              <w:sz w:val="28"/>
              <w:szCs w:val="28"/>
            </w:rPr>
            <w:tab/>
          </w:r>
          <w:r>
            <w:rPr>
              <w:rStyle w:val="39"/>
              <w:rFonts w:hint="eastAsia" w:ascii="宋体" w:hAnsi="宋体" w:eastAsia="宋体" w:cs="宋体"/>
              <w:b/>
              <w:bCs/>
              <w:color w:val="auto"/>
              <w:sz w:val="28"/>
              <w:szCs w:val="28"/>
              <w14:ligatures w14:val="none"/>
            </w:rPr>
            <w:t>合同文本</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_Toc197644568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21</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50B23F3F">
          <w:pPr>
            <w:pStyle w:val="30"/>
            <w:tabs>
              <w:tab w:val="left" w:pos="1320"/>
              <w:tab w:val="right" w:leader="dot" w:pos="8296"/>
            </w:tabs>
            <w:rPr>
              <w:rFonts w:hint="eastAsia" w:ascii="宋体" w:hAnsi="宋体" w:eastAsia="宋体" w:cs="宋体"/>
              <w:b/>
              <w:bCs/>
              <w:color w:val="auto"/>
              <w:sz w:val="28"/>
              <w:szCs w:val="28"/>
            </w:rPr>
          </w:pPr>
        </w:p>
        <w:p w14:paraId="4A906C36">
          <w:pPr>
            <w:pStyle w:val="30"/>
            <w:tabs>
              <w:tab w:val="left" w:pos="1320"/>
              <w:tab w:val="right" w:leader="dot" w:pos="8296"/>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"_Toc197644569" \o "#_Toc197644569" </w:instrText>
          </w:r>
          <w:r>
            <w:rPr>
              <w:rFonts w:hint="eastAsia" w:ascii="宋体" w:hAnsi="宋体" w:eastAsia="宋体" w:cs="宋体"/>
              <w:b/>
              <w:bCs/>
              <w:color w:val="auto"/>
              <w:sz w:val="28"/>
              <w:szCs w:val="28"/>
            </w:rPr>
            <w:fldChar w:fldCharType="separate"/>
          </w:r>
          <w:r>
            <w:rPr>
              <w:rStyle w:val="39"/>
              <w:rFonts w:hint="eastAsia" w:ascii="宋体" w:hAnsi="宋体" w:eastAsia="宋体" w:cs="宋体"/>
              <w:b/>
              <w:bCs/>
              <w:color w:val="auto"/>
              <w:sz w:val="28"/>
              <w:szCs w:val="28"/>
              <w14:ligatures w14:val="none"/>
            </w:rPr>
            <w:t>第四章</w:t>
          </w:r>
          <w:r>
            <w:rPr>
              <w:rFonts w:hint="eastAsia" w:ascii="宋体" w:hAnsi="宋体" w:eastAsia="宋体" w:cs="宋体"/>
              <w:b/>
              <w:bCs/>
              <w:color w:val="auto"/>
              <w:sz w:val="28"/>
              <w:szCs w:val="28"/>
            </w:rPr>
            <w:tab/>
          </w:r>
          <w:r>
            <w:rPr>
              <w:rStyle w:val="39"/>
              <w:rFonts w:hint="eastAsia" w:ascii="宋体" w:hAnsi="宋体" w:eastAsia="宋体" w:cs="宋体"/>
              <w:b/>
              <w:bCs/>
              <w:color w:val="auto"/>
              <w:sz w:val="28"/>
              <w:szCs w:val="28"/>
              <w14:ligatures w14:val="none"/>
            </w:rPr>
            <w:t>采购需求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_Toc197644569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27</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75803AA0">
          <w:pPr>
            <w:pStyle w:val="18"/>
            <w:tabs>
              <w:tab w:val="right" w:leader="dot" w:pos="8296"/>
            </w:tabs>
            <w:rPr>
              <w:rFonts w:hint="eastAsia" w:ascii="宋体" w:hAnsi="宋体" w:eastAsia="宋体" w:cs="宋体"/>
              <w:b/>
              <w:bCs/>
              <w:color w:val="auto"/>
              <w:sz w:val="28"/>
              <w:szCs w:val="28"/>
            </w:rPr>
          </w:pPr>
        </w:p>
        <w:p w14:paraId="1F858F7B">
          <w:pPr>
            <w:pStyle w:val="30"/>
            <w:tabs>
              <w:tab w:val="left" w:pos="1320"/>
              <w:tab w:val="right" w:leader="dot" w:pos="8296"/>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"_Toc197644575" \o "#_Toc197644575" </w:instrText>
          </w:r>
          <w:r>
            <w:rPr>
              <w:rFonts w:hint="eastAsia" w:ascii="宋体" w:hAnsi="宋体" w:eastAsia="宋体" w:cs="宋体"/>
              <w:b/>
              <w:bCs/>
              <w:color w:val="auto"/>
              <w:sz w:val="28"/>
              <w:szCs w:val="28"/>
            </w:rPr>
            <w:fldChar w:fldCharType="separate"/>
          </w:r>
          <w:r>
            <w:rPr>
              <w:rStyle w:val="39"/>
              <w:rFonts w:hint="eastAsia" w:ascii="宋体" w:hAnsi="宋体" w:eastAsia="宋体" w:cs="宋体"/>
              <w:b/>
              <w:bCs/>
              <w:color w:val="auto"/>
              <w:sz w:val="28"/>
              <w:szCs w:val="28"/>
              <w14:ligatures w14:val="none"/>
            </w:rPr>
            <w:t>第五章</w:t>
          </w:r>
          <w:r>
            <w:rPr>
              <w:rFonts w:hint="eastAsia" w:ascii="宋体" w:hAnsi="宋体" w:eastAsia="宋体" w:cs="宋体"/>
              <w:b/>
              <w:bCs/>
              <w:color w:val="auto"/>
              <w:sz w:val="28"/>
              <w:szCs w:val="28"/>
            </w:rPr>
            <w:tab/>
          </w:r>
          <w:r>
            <w:rPr>
              <w:rStyle w:val="39"/>
              <w:rFonts w:hint="eastAsia" w:ascii="宋体" w:hAnsi="宋体" w:eastAsia="宋体" w:cs="宋体"/>
              <w:b/>
              <w:bCs/>
              <w:color w:val="auto"/>
              <w:sz w:val="28"/>
              <w:szCs w:val="28"/>
              <w14:ligatures w14:val="none"/>
            </w:rPr>
            <w:t>评标方法与评标标准</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3</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val="en-US" w:eastAsia="zh-CN"/>
            </w:rPr>
            <w:t>6</w:t>
          </w:r>
        </w:p>
        <w:p w14:paraId="67A356EE">
          <w:pPr>
            <w:pStyle w:val="18"/>
            <w:tabs>
              <w:tab w:val="right" w:leader="dot" w:pos="8296"/>
            </w:tabs>
            <w:rPr>
              <w:rFonts w:hint="eastAsia" w:ascii="宋体" w:hAnsi="宋体" w:eastAsia="宋体" w:cs="宋体"/>
              <w:b/>
              <w:bCs/>
              <w:color w:val="auto"/>
              <w:sz w:val="28"/>
              <w:szCs w:val="28"/>
            </w:rPr>
          </w:pPr>
        </w:p>
        <w:p w14:paraId="1439EA36">
          <w:pPr>
            <w:pStyle w:val="30"/>
            <w:tabs>
              <w:tab w:val="left" w:pos="1320"/>
              <w:tab w:val="right" w:leader="dot" w:pos="8296"/>
            </w:tabs>
            <w:rPr>
              <w:rFonts w:hint="eastAsia" w:ascii="宋体" w:hAnsi="宋体" w:eastAsia="宋体" w:cs="宋体"/>
              <w:b/>
              <w:bCs/>
              <w:color w:val="auto"/>
              <w:sz w:val="22"/>
              <w:szCs w:val="24"/>
              <w:lang w:val="en-US" w:eastAsia="zh-CN"/>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"_Toc197644579" \o "#_Toc197644579" </w:instrText>
          </w:r>
          <w:r>
            <w:rPr>
              <w:rFonts w:hint="eastAsia" w:ascii="宋体" w:hAnsi="宋体" w:eastAsia="宋体" w:cs="宋体"/>
              <w:b/>
              <w:bCs/>
              <w:color w:val="auto"/>
              <w:sz w:val="28"/>
              <w:szCs w:val="28"/>
            </w:rPr>
            <w:fldChar w:fldCharType="separate"/>
          </w:r>
          <w:r>
            <w:rPr>
              <w:rStyle w:val="39"/>
              <w:rFonts w:hint="eastAsia" w:ascii="宋体" w:hAnsi="宋体" w:eastAsia="宋体" w:cs="宋体"/>
              <w:b/>
              <w:bCs/>
              <w:color w:val="auto"/>
              <w:sz w:val="28"/>
              <w:szCs w:val="28"/>
              <w14:ligatures w14:val="none"/>
            </w:rPr>
            <w:t>第六章</w:t>
          </w:r>
          <w:r>
            <w:rPr>
              <w:rFonts w:hint="eastAsia" w:ascii="宋体" w:hAnsi="宋体" w:eastAsia="宋体" w:cs="宋体"/>
              <w:b/>
              <w:bCs/>
              <w:color w:val="auto"/>
              <w:sz w:val="28"/>
              <w:szCs w:val="28"/>
            </w:rPr>
            <w:tab/>
          </w:r>
          <w:r>
            <w:rPr>
              <w:rStyle w:val="39"/>
              <w:rFonts w:hint="eastAsia" w:ascii="宋体" w:hAnsi="宋体" w:eastAsia="宋体" w:cs="宋体"/>
              <w:b/>
              <w:bCs/>
              <w:color w:val="auto"/>
              <w:sz w:val="28"/>
              <w:szCs w:val="28"/>
              <w14:ligatures w14:val="none"/>
            </w:rPr>
            <w:t>投标文件格式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42</w:t>
          </w:r>
          <w:r>
            <w:rPr>
              <w:rFonts w:hint="eastAsia" w:ascii="宋体" w:hAnsi="宋体" w:eastAsia="宋体" w:cs="宋体"/>
              <w:b/>
              <w:bCs/>
              <w:color w:val="auto"/>
              <w:sz w:val="28"/>
              <w:szCs w:val="28"/>
            </w:rPr>
            <w:fldChar w:fldCharType="end"/>
          </w:r>
        </w:p>
        <w:p w14:paraId="36466B4D">
          <w:pPr>
            <w:pStyle w:val="30"/>
            <w:tabs>
              <w:tab w:val="right" w:leader="dot" w:pos="8296"/>
            </w:tabs>
            <w:rPr>
              <w:rFonts w:hint="eastAsia" w:ascii="宋体" w:hAnsi="宋体" w:eastAsia="宋体" w:cs="宋体"/>
              <w:color w:val="auto"/>
              <w:sz w:val="22"/>
              <w:szCs w:val="24"/>
            </w:rPr>
          </w:pPr>
        </w:p>
        <w:p w14:paraId="2C5A2D53">
          <w:pPr>
            <w:rPr>
              <w:rFonts w:hint="eastAsia" w:ascii="宋体" w:hAnsi="宋体" w:eastAsia="宋体"/>
              <w:color w:val="auto"/>
            </w:rPr>
          </w:pPr>
          <w:r>
            <w:rPr>
              <w:rFonts w:hint="eastAsia" w:ascii="宋体" w:hAnsi="宋体" w:eastAsia="宋体" w:cs="宋体"/>
              <w:color w:val="auto"/>
            </w:rPr>
            <w:fldChar w:fldCharType="end"/>
          </w:r>
        </w:p>
      </w:sdtContent>
    </w:sdt>
    <w:p w14:paraId="38147157">
      <w:pPr>
        <w:widowControl/>
        <w:jc w:val="left"/>
        <w:rPr>
          <w:rFonts w:hint="eastAsia" w:ascii="宋体" w:hAnsi="宋体" w:eastAsia="宋体"/>
          <w:color w:val="auto"/>
        </w:rPr>
      </w:pPr>
      <w:r>
        <w:rPr>
          <w:rFonts w:hint="eastAsia" w:ascii="宋体" w:hAnsi="宋体" w:eastAsia="宋体"/>
          <w:color w:val="auto"/>
        </w:rPr>
        <w:br w:type="page" w:clear="all"/>
      </w:r>
    </w:p>
    <w:p w14:paraId="1DBA99F8">
      <w:pPr>
        <w:pStyle w:val="5"/>
        <w:keepNext w:val="0"/>
        <w:keepLines w:val="0"/>
        <w:numPr>
          <w:ilvl w:val="0"/>
          <w:numId w:val="1"/>
        </w:numPr>
        <w:spacing w:before="100" w:beforeAutospacing="1" w:after="100" w:afterAutospacing="1" w:line="360" w:lineRule="auto"/>
        <w:ind w:left="0" w:firstLine="0"/>
        <w:jc w:val="center"/>
        <w:outlineLvl w:val="0"/>
        <w:rPr>
          <w:rFonts w:hint="eastAsia" w:ascii="宋体" w:hAnsi="宋体" w:eastAsia="宋体" w:cs="Times New Roman"/>
          <w:b/>
          <w:bCs/>
          <w:color w:val="auto"/>
          <w:sz w:val="32"/>
          <w:szCs w:val="32"/>
          <w14:ligatures w14:val="none"/>
        </w:rPr>
      </w:pPr>
      <w:bookmarkStart w:id="0" w:name="_Toc197644519"/>
      <w:r>
        <w:rPr>
          <w:rFonts w:hint="eastAsia" w:ascii="宋体" w:hAnsi="宋体" w:eastAsia="宋体" w:cs="Times New Roman"/>
          <w:b/>
          <w:bCs/>
          <w:color w:val="auto"/>
          <w:sz w:val="32"/>
          <w:szCs w:val="32"/>
          <w14:ligatures w14:val="none"/>
        </w:rPr>
        <w:t>招标公告</w:t>
      </w:r>
      <w:bookmarkEnd w:id="0"/>
    </w:p>
    <w:p w14:paraId="41932C2D">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b/>
          <w:bCs/>
          <w:color w:val="auto"/>
          <w:sz w:val="24"/>
          <w:szCs w:val="28"/>
        </w:rPr>
      </w:pPr>
      <w:r>
        <w:rPr>
          <w:rFonts w:hint="eastAsia" w:ascii="宋体" w:hAnsi="宋体" w:eastAsia="宋体"/>
          <w:b/>
          <w:bCs/>
          <w:color w:val="auto"/>
          <w:sz w:val="24"/>
          <w:szCs w:val="28"/>
        </w:rPr>
        <w:t>项目概况</w:t>
      </w:r>
    </w:p>
    <w:p w14:paraId="33A0129C">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firstLine="424"/>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lang w:val="en-US" w:eastAsia="zh-CN"/>
        </w:rPr>
        <w:t>射阳县公安局交通管理大队涉案车辆清拖及保管服务项目（四次）</w:t>
      </w:r>
      <w:r>
        <w:rPr>
          <w:rFonts w:hint="eastAsia" w:ascii="宋体" w:hAnsi="宋体" w:eastAsia="宋体" w:cs="宋体"/>
          <w:color w:val="auto"/>
          <w:sz w:val="24"/>
          <w:szCs w:val="24"/>
        </w:rPr>
        <w:t>的潜在投标人可在</w:t>
      </w:r>
      <w:r>
        <w:rPr>
          <w:rFonts w:hint="eastAsia" w:ascii="宋体" w:hAnsi="宋体" w:eastAsia="宋体" w:cs="宋体"/>
          <w:color w:val="auto"/>
          <w:sz w:val="24"/>
          <w:szCs w:val="24"/>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rPr>
        <w:t>，并于</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6</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14</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u w:val="single"/>
          <w:lang w:val="en-US" w:eastAsia="zh-CN"/>
        </w:rPr>
        <w:t>15</w:t>
      </w:r>
      <w:r>
        <w:rPr>
          <w:rFonts w:hint="eastAsia" w:ascii="宋体" w:hAnsi="宋体" w:eastAsia="宋体" w:cs="宋体"/>
          <w:color w:val="auto"/>
          <w:sz w:val="24"/>
          <w:szCs w:val="24"/>
          <w:u w:val="single"/>
        </w:rPr>
        <w:t>点00分</w:t>
      </w:r>
      <w:r>
        <w:rPr>
          <w:rFonts w:hint="eastAsia" w:ascii="宋体" w:hAnsi="宋体" w:eastAsia="宋体" w:cs="宋体"/>
          <w:color w:val="auto"/>
          <w:sz w:val="24"/>
          <w:szCs w:val="24"/>
        </w:rPr>
        <w:t>（北京时间）前递交投标文件。</w:t>
      </w:r>
    </w:p>
    <w:p w14:paraId="4AE6D8CF">
      <w:pPr>
        <w:pStyle w:val="198"/>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rPr>
      </w:pPr>
      <w:bookmarkStart w:id="1" w:name="_Toc197644520"/>
      <w:r>
        <w:rPr>
          <w:rFonts w:hint="eastAsia" w:ascii="宋体" w:hAnsi="宋体" w:eastAsia="宋体" w:cs="宋体"/>
          <w:b/>
          <w:bCs/>
          <w:color w:val="auto"/>
          <w:sz w:val="24"/>
          <w:szCs w:val="24"/>
        </w:rPr>
        <w:t>项目基本情况</w:t>
      </w:r>
      <w:bookmarkEnd w:id="1"/>
    </w:p>
    <w:p w14:paraId="6C797D2A">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bookmarkStart w:id="2" w:name="_Hlk195780407"/>
      <w:r>
        <w:rPr>
          <w:rFonts w:hint="eastAsia" w:ascii="宋体" w:hAnsi="宋体" w:eastAsia="宋体" w:cs="宋体"/>
          <w:color w:val="auto"/>
          <w:sz w:val="24"/>
          <w:szCs w:val="24"/>
        </w:rPr>
        <w:t>项目编号</w:t>
      </w:r>
      <w:bookmarkEnd w:id="2"/>
      <w:r>
        <w:rPr>
          <w:rFonts w:hint="eastAsia" w:ascii="宋体" w:hAnsi="宋体" w:eastAsia="宋体" w:cs="宋体"/>
          <w:color w:val="auto"/>
          <w:sz w:val="24"/>
          <w:szCs w:val="24"/>
        </w:rPr>
        <w:t>：JSZC-320924-JSSW-G2026-000</w:t>
      </w:r>
      <w:r>
        <w:rPr>
          <w:rFonts w:hint="eastAsia" w:ascii="宋体" w:hAnsi="宋体" w:eastAsia="宋体" w:cs="宋体"/>
          <w:color w:val="auto"/>
          <w:sz w:val="24"/>
          <w:szCs w:val="24"/>
          <w:lang w:val="en-US" w:eastAsia="zh-CN"/>
        </w:rPr>
        <w:t>7</w:t>
      </w:r>
    </w:p>
    <w:p w14:paraId="3EC1A45D">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射阳县公安局交通管理大队涉案车辆清拖及保管服务项目（四次）</w:t>
      </w:r>
      <w:bookmarkStart w:id="133" w:name="_GoBack"/>
      <w:bookmarkEnd w:id="133"/>
    </w:p>
    <w:p w14:paraId="4703FE3F">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采购方式：公开招标</w:t>
      </w:r>
    </w:p>
    <w:p w14:paraId="25E65590">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140</w:t>
      </w:r>
      <w:r>
        <w:rPr>
          <w:rFonts w:hint="eastAsia" w:ascii="宋体" w:hAnsi="宋体" w:eastAsia="宋体" w:cs="宋体"/>
          <w:color w:val="auto"/>
          <w:sz w:val="24"/>
          <w:szCs w:val="24"/>
        </w:rPr>
        <w:t>万元</w:t>
      </w:r>
    </w:p>
    <w:p w14:paraId="55B645D2">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最高限价：</w:t>
      </w:r>
      <w:r>
        <w:rPr>
          <w:rFonts w:hint="eastAsia" w:ascii="宋体" w:hAnsi="宋体" w:eastAsia="宋体" w:cs="宋体"/>
          <w:color w:val="auto"/>
          <w:sz w:val="24"/>
          <w:szCs w:val="24"/>
          <w:lang w:val="en-US" w:eastAsia="zh-CN"/>
        </w:rPr>
        <w:t>140万元（包括清拖预算110万，场地预算30万），且下浮率不得高于100%。</w:t>
      </w:r>
    </w:p>
    <w:p w14:paraId="659309A0">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r>
        <w:rPr>
          <w:rFonts w:hint="eastAsia" w:ascii="宋体" w:hAnsi="宋体" w:eastAsia="宋体" w:cs="宋体"/>
          <w:color w:val="auto"/>
          <w:sz w:val="24"/>
          <w:szCs w:val="24"/>
          <w:lang w:val="en-US" w:eastAsia="zh-CN"/>
        </w:rPr>
        <w:t>射阳县公安局交通管理大队涉案车辆清拖及保管服务项目</w:t>
      </w:r>
      <w:r>
        <w:rPr>
          <w:rFonts w:hint="eastAsia" w:ascii="宋体" w:hAnsi="宋体" w:eastAsia="宋体" w:cs="宋体"/>
          <w:color w:val="auto"/>
          <w:sz w:val="24"/>
          <w:szCs w:val="24"/>
        </w:rPr>
        <w:t>，具体要求详见项目需求。</w:t>
      </w:r>
    </w:p>
    <w:p w14:paraId="6F941631">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val="en-US" w:eastAsia="zh-CN"/>
        </w:rPr>
        <w:t>一年（自合同签订之日起）。</w:t>
      </w:r>
    </w:p>
    <w:p w14:paraId="5916ED9D">
      <w:pPr>
        <w:pStyle w:val="198"/>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本项目不接受联合体参与</w:t>
      </w:r>
      <w:r>
        <w:rPr>
          <w:rFonts w:hint="eastAsia" w:ascii="宋体" w:hAnsi="宋体" w:eastAsia="宋体" w:cs="宋体"/>
          <w:color w:val="auto"/>
          <w:sz w:val="24"/>
          <w:szCs w:val="24"/>
          <w:lang w:val="en-US" w:eastAsia="zh-CN"/>
        </w:rPr>
        <w:t>投标</w:t>
      </w:r>
    </w:p>
    <w:p w14:paraId="7B33E735">
      <w:pPr>
        <w:pStyle w:val="198"/>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rPr>
      </w:pPr>
      <w:bookmarkStart w:id="3" w:name="_Toc197644521"/>
      <w:r>
        <w:rPr>
          <w:rFonts w:hint="eastAsia" w:ascii="宋体" w:hAnsi="宋体" w:eastAsia="宋体" w:cs="宋体"/>
          <w:b/>
          <w:bCs/>
          <w:color w:val="auto"/>
          <w:sz w:val="24"/>
          <w:szCs w:val="24"/>
        </w:rPr>
        <w:t>申请人的资格要求</w:t>
      </w:r>
      <w:bookmarkEnd w:id="3"/>
    </w:p>
    <w:p w14:paraId="49E8D678">
      <w:pPr>
        <w:pStyle w:val="198"/>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满足《中华人民共和国政府采购法》第二十二条规定，并提供下列材料：</w:t>
      </w:r>
    </w:p>
    <w:p w14:paraId="49AAD6AD">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法人或者其他组织的营业执照等证明文件，自然人的身份证明；</w:t>
      </w:r>
    </w:p>
    <w:p w14:paraId="796AE376">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上一年度的财务状况报表（成立不满一年无需提供）；</w:t>
      </w:r>
    </w:p>
    <w:p w14:paraId="5FB749B5">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具备履行合同所必需的设备和专业技术能力的书面声明；</w:t>
      </w:r>
    </w:p>
    <w:p w14:paraId="09C63401">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D4BA1CF">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参加政府采购活动前3年内在经营活动中没有重大违法记录的书面声明；</w:t>
      </w:r>
    </w:p>
    <w:p w14:paraId="258D6249">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ind w:left="0" w:firstLine="426"/>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法律、行政法规规定的其他条件。</w:t>
      </w:r>
    </w:p>
    <w:p w14:paraId="1170F343">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1CEBA939">
      <w:pPr>
        <w:pStyle w:val="198"/>
        <w:keepNext w:val="0"/>
        <w:keepLines w:val="0"/>
        <w:pageBreakBefore w:val="0"/>
        <w:widowControl w:val="0"/>
        <w:numPr>
          <w:ilvl w:val="1"/>
          <w:numId w:val="4"/>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单位负责人为同一人或者存在直接控股、管理关系的不同供应商，不得参加同一合同项下的政府采购活动。</w:t>
      </w:r>
    </w:p>
    <w:p w14:paraId="505F223A">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b/>
          <w:bCs/>
          <w:color w:val="auto"/>
          <w:sz w:val="24"/>
        </w:rPr>
      </w:pPr>
      <w:r>
        <w:rPr>
          <w:rFonts w:hint="eastAsia" w:ascii="宋体" w:hAnsi="宋体" w:eastAsia="宋体" w:cs="宋体"/>
          <w:color w:val="auto"/>
          <w:sz w:val="24"/>
          <w:szCs w:val="24"/>
        </w:rPr>
        <w:t>落实政府采购政策需满足的资格要求：</w:t>
      </w:r>
      <w:r>
        <w:rPr>
          <w:rFonts w:hint="eastAsia" w:ascii="宋体" w:hAnsi="宋体"/>
          <w:b/>
          <w:bCs/>
          <w:color w:val="auto"/>
          <w:sz w:val="24"/>
        </w:rPr>
        <w:t>本项目为服务类。本项目为专门面向中小微企业采购的项目，供应商必须为中小微企业、监狱企业、残疾人福利性单位，不接受非中小企业参与本项目投标。响应文件中需提供《中小企业声明函》，否则按无效标处理。具体中小企业划分标准详见《关于印发中小企业划型标准规定的通知》工信部联企业【2011】300号文件。监狱企业、残疾人福利性单位视同小微企业。</w:t>
      </w:r>
    </w:p>
    <w:p w14:paraId="0450B2C7">
      <w:pPr>
        <w:pStyle w:val="198"/>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firstLine="426"/>
        <w:textAlignment w:val="auto"/>
        <w:outlineLvl w:val="3"/>
        <w:rPr>
          <w:rFonts w:hint="eastAsia" w:ascii="宋体" w:hAnsi="宋体" w:eastAsia="宋体" w:cs="宋体"/>
          <w:color w:val="auto"/>
          <w:sz w:val="24"/>
          <w:szCs w:val="24"/>
        </w:rPr>
      </w:pPr>
      <w:r>
        <w:rPr>
          <w:rFonts w:hint="eastAsia" w:ascii="宋体" w:hAnsi="宋体" w:eastAsia="宋体" w:cs="宋体"/>
          <w:color w:val="auto"/>
          <w:sz w:val="24"/>
          <w:szCs w:val="24"/>
        </w:rPr>
        <w:t>本项目的特定资格要求：</w:t>
      </w:r>
      <w:r>
        <w:rPr>
          <w:rFonts w:hint="eastAsia" w:ascii="宋体" w:hAnsi="宋体" w:eastAsia="宋体" w:cs="宋体"/>
          <w:color w:val="auto"/>
          <w:sz w:val="24"/>
          <w:szCs w:val="24"/>
          <w:lang w:val="en-US" w:eastAsia="zh-CN"/>
        </w:rPr>
        <w:t>无</w:t>
      </w:r>
    </w:p>
    <w:p w14:paraId="7833F5AE">
      <w:pPr>
        <w:pStyle w:val="198"/>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rPr>
      </w:pPr>
      <w:bookmarkStart w:id="4" w:name="_Toc197644522"/>
      <w:r>
        <w:rPr>
          <w:rFonts w:hint="eastAsia" w:ascii="宋体" w:hAnsi="宋体" w:eastAsia="宋体" w:cs="宋体"/>
          <w:b/>
          <w:bCs/>
          <w:color w:val="auto"/>
          <w:sz w:val="24"/>
          <w:szCs w:val="24"/>
        </w:rPr>
        <w:t>获取招标文件</w:t>
      </w:r>
      <w:bookmarkEnd w:id="4"/>
    </w:p>
    <w:p w14:paraId="102D99B5">
      <w:pPr>
        <w:pStyle w:val="198"/>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6"/>
        <w:textAlignment w:val="auto"/>
        <w:outlineLvl w:val="2"/>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时间：自招标公告发布之日起5个工作日</w:t>
      </w:r>
    </w:p>
    <w:p w14:paraId="49000E4B">
      <w:pPr>
        <w:pStyle w:val="198"/>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地点：“苏采云”系统内免费下载（投标人必须在“苏采云”系统中获取采购文件，方能参与政府采购项目）</w:t>
      </w:r>
    </w:p>
    <w:p w14:paraId="20F30818">
      <w:pPr>
        <w:pStyle w:val="198"/>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方式：本项目采用网上注册登记方式</w:t>
      </w:r>
    </w:p>
    <w:p w14:paraId="27C986F5">
      <w:pPr>
        <w:pStyle w:val="198"/>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售价：0元</w:t>
      </w:r>
    </w:p>
    <w:p w14:paraId="5323AB1F">
      <w:pPr>
        <w:pStyle w:val="198"/>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rPr>
      </w:pPr>
      <w:bookmarkStart w:id="5" w:name="_Toc197644523"/>
      <w:r>
        <w:rPr>
          <w:rFonts w:hint="eastAsia" w:ascii="宋体" w:hAnsi="宋体" w:eastAsia="宋体" w:cs="宋体"/>
          <w:b/>
          <w:bCs/>
          <w:color w:val="auto"/>
          <w:sz w:val="24"/>
          <w:szCs w:val="24"/>
        </w:rPr>
        <w:t>提交投标文件截止时间、开标时间和地点</w:t>
      </w:r>
      <w:bookmarkEnd w:id="5"/>
    </w:p>
    <w:p w14:paraId="4F59795C">
      <w:pPr>
        <w:pStyle w:val="198"/>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时间：2026年5月14日15点00分（北京时间）</w:t>
      </w:r>
    </w:p>
    <w:p w14:paraId="6489EBB6">
      <w:pPr>
        <w:pStyle w:val="198"/>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firstLine="426"/>
        <w:textAlignment w:val="auto"/>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地点：苏采云“不见面”开标大厅 </w:t>
      </w:r>
    </w:p>
    <w:p w14:paraId="4212DB9B">
      <w:pPr>
        <w:pStyle w:val="198"/>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rPr>
      </w:pPr>
      <w:bookmarkStart w:id="6" w:name="_Toc197644524"/>
      <w:r>
        <w:rPr>
          <w:rFonts w:hint="eastAsia" w:ascii="宋体" w:hAnsi="宋体" w:eastAsia="宋体" w:cs="宋体"/>
          <w:b/>
          <w:bCs/>
          <w:color w:val="auto"/>
          <w:sz w:val="24"/>
          <w:szCs w:val="24"/>
        </w:rPr>
        <w:t>公告期限</w:t>
      </w:r>
      <w:bookmarkEnd w:id="6"/>
    </w:p>
    <w:p w14:paraId="0D6F4FEA">
      <w:pPr>
        <w:keepNext w:val="0"/>
        <w:keepLines w:val="0"/>
        <w:pageBreakBefore w:val="0"/>
        <w:widowControl w:val="0"/>
        <w:kinsoku/>
        <w:wordWrap/>
        <w:overflowPunct/>
        <w:topLinePunct w:val="0"/>
        <w:autoSpaceDE/>
        <w:autoSpaceDN/>
        <w:bidi w:val="0"/>
        <w:adjustRightInd/>
        <w:snapToGrid/>
        <w:spacing w:line="500" w:lineRule="exact"/>
        <w:ind w:firstLine="424"/>
        <w:textAlignment w:val="auto"/>
        <w:rPr>
          <w:rFonts w:hint="eastAsia" w:ascii="宋体" w:hAnsi="宋体" w:eastAsia="宋体" w:cs="宋体"/>
          <w:color w:val="auto"/>
          <w:sz w:val="24"/>
          <w:szCs w:val="24"/>
        </w:rPr>
      </w:pPr>
      <w:bookmarkStart w:id="7" w:name="_Toc35393626"/>
      <w:bookmarkStart w:id="8" w:name="_Toc38985268"/>
      <w:bookmarkStart w:id="9" w:name="_Toc35393795"/>
      <w:r>
        <w:rPr>
          <w:rFonts w:hint="eastAsia" w:ascii="宋体" w:hAnsi="宋体" w:eastAsia="宋体" w:cs="宋体"/>
          <w:color w:val="auto"/>
          <w:sz w:val="24"/>
          <w:szCs w:val="24"/>
          <w:shd w:val="clear" w:color="auto" w:fill="FFFFFF"/>
        </w:rPr>
        <w:t>自本公告发布之日起5个工作日。</w:t>
      </w:r>
      <w:bookmarkEnd w:id="7"/>
      <w:bookmarkEnd w:id="8"/>
      <w:bookmarkEnd w:id="9"/>
    </w:p>
    <w:p w14:paraId="6E6F4A78">
      <w:pPr>
        <w:pStyle w:val="198"/>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rPr>
      </w:pPr>
      <w:bookmarkStart w:id="10" w:name="_Toc197644525"/>
      <w:r>
        <w:rPr>
          <w:rFonts w:hint="eastAsia" w:ascii="宋体" w:hAnsi="宋体" w:eastAsia="宋体" w:cs="宋体"/>
          <w:b/>
          <w:bCs/>
          <w:color w:val="auto"/>
          <w:sz w:val="24"/>
          <w:szCs w:val="24"/>
        </w:rPr>
        <w:t>其他补充事宜</w:t>
      </w:r>
      <w:bookmarkEnd w:id="10"/>
    </w:p>
    <w:p w14:paraId="51FB5C98">
      <w:pPr>
        <w:pStyle w:val="32"/>
        <w:keepNext w:val="0"/>
        <w:keepLines w:val="0"/>
        <w:pageBreakBefore w:val="0"/>
        <w:widowControl/>
        <w:numPr>
          <w:ilvl w:val="0"/>
          <w:numId w:val="7"/>
        </w:numPr>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599F7E9">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6015ACF">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 潜在供应商访问电子招标响应交易平台的网络地址和方法： </w:t>
      </w:r>
    </w:p>
    <w:p w14:paraId="42F08788">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DF32C1F">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2.2 潜在投标人访问“苏采云”系统方法：江苏省政府采购网首页-“苏采云”链接。 </w:t>
      </w:r>
    </w:p>
    <w:p w14:paraId="5C673ADB">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2.3 采购文件（后缀名为“.kedt”）、供应商操作手册及政府采购客户端 工具可通过“苏采云”系统相应链接进行下载。 </w:t>
      </w:r>
    </w:p>
    <w:p w14:paraId="230054D1">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2.4 采购代理机构将数据电文形式的采购文件加载至“苏采云”系统，供潜在供应商下载或者查阅。 </w:t>
      </w:r>
    </w:p>
    <w:p w14:paraId="7CB1D1B5">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2.5 请潜在投标单位提前安装相应的控件（详见《“苏采云”系统供应商操作手册》）并使用谷歌浏览器登录“苏采云”系统参与不见面开评标。 </w:t>
      </w:r>
    </w:p>
    <w:p w14:paraId="1E93383A">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如潜在投标人未按上述要求操作，将自行承担所产生的风险。</w:t>
      </w:r>
    </w:p>
    <w:p w14:paraId="6D97D87A">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3.有关本次招标的事项若存在变动或修改，敬请及时关注“中国政府采购网”、“江苏政府采购网”、“盐城市政府采购网”发布的更正公告。</w:t>
      </w:r>
    </w:p>
    <w:p w14:paraId="6540BE58">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4.本次招标不收取投标保证金，不收取质量保证金。</w:t>
      </w:r>
    </w:p>
    <w:p w14:paraId="59007C87">
      <w:pPr>
        <w:pStyle w:val="198"/>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42" w:hanging="442"/>
        <w:textAlignment w:val="auto"/>
        <w:outlineLvl w:val="1"/>
        <w:rPr>
          <w:rFonts w:hint="eastAsia" w:ascii="宋体" w:hAnsi="宋体" w:eastAsia="宋体" w:cs="宋体"/>
          <w:b/>
          <w:bCs/>
          <w:color w:val="auto"/>
          <w:sz w:val="24"/>
          <w:szCs w:val="24"/>
        </w:rPr>
      </w:pPr>
      <w:bookmarkStart w:id="11" w:name="_Toc197644526"/>
      <w:r>
        <w:rPr>
          <w:rFonts w:hint="eastAsia" w:ascii="宋体" w:hAnsi="宋体" w:eastAsia="宋体" w:cs="宋体"/>
          <w:b/>
          <w:bCs/>
          <w:color w:val="auto"/>
          <w:sz w:val="24"/>
          <w:szCs w:val="24"/>
        </w:rPr>
        <w:t>对本次招标提出询问，请按以下方式联系</w:t>
      </w:r>
      <w:bookmarkEnd w:id="11"/>
    </w:p>
    <w:p w14:paraId="255A14F8">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1.采购人信息</w:t>
      </w:r>
    </w:p>
    <w:p w14:paraId="6C4F9427">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名 称：射阳县公安局  </w:t>
      </w:r>
    </w:p>
    <w:p w14:paraId="2AE8E877">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default"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地 址：射阳县合德镇解放西路110号</w:t>
      </w:r>
    </w:p>
    <w:p w14:paraId="4EB10383">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联系人：张先生               </w:t>
      </w:r>
    </w:p>
    <w:p w14:paraId="40F4AC41">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联系方式：18851558799            </w:t>
      </w:r>
    </w:p>
    <w:p w14:paraId="239D836F">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2.采购代理机构信息</w:t>
      </w:r>
    </w:p>
    <w:p w14:paraId="28609CDE">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名 称：江苏苏伟项目管理有限公司</w:t>
      </w:r>
    </w:p>
    <w:p w14:paraId="5C6BCF25">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地 址：盐城市射阳县海都路86号</w:t>
      </w:r>
    </w:p>
    <w:p w14:paraId="4305BA1D">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联系人：王先生                     </w:t>
      </w:r>
    </w:p>
    <w:p w14:paraId="47DA3276">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联系方式：</w:t>
      </w:r>
      <w:bookmarkStart w:id="12" w:name="_Toc28359010"/>
      <w:bookmarkStart w:id="13" w:name="_Toc28359087"/>
      <w:r>
        <w:rPr>
          <w:rFonts w:hint="eastAsia" w:ascii="宋体" w:hAnsi="宋体" w:cs="宋体"/>
          <w:color w:val="auto"/>
          <w:sz w:val="24"/>
          <w:szCs w:val="24"/>
          <w:shd w:val="clear" w:color="auto" w:fill="FFFFFF"/>
          <w:lang w:val="en-US" w:eastAsia="zh-CN" w:bidi="ar-SA"/>
          <w14:ligatures w14:val="none"/>
        </w:rPr>
        <w:t>18014655317       </w:t>
      </w:r>
      <w:bookmarkEnd w:id="12"/>
      <w:bookmarkEnd w:id="13"/>
      <w:r>
        <w:rPr>
          <w:rFonts w:hint="eastAsia" w:ascii="宋体" w:hAnsi="宋体" w:cs="宋体"/>
          <w:color w:val="auto"/>
          <w:sz w:val="24"/>
          <w:szCs w:val="24"/>
          <w:shd w:val="clear" w:color="auto" w:fill="FFFFFF"/>
          <w:lang w:val="en-US" w:eastAsia="zh-CN" w:bidi="ar-SA"/>
          <w14:ligatures w14:val="none"/>
        </w:rPr>
        <w:t xml:space="preserve">            </w:t>
      </w:r>
    </w:p>
    <w:p w14:paraId="0ACF6B56">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outlineLvl w:val="2"/>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3.项目联系方式</w:t>
      </w:r>
    </w:p>
    <w:p w14:paraId="312E7640">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项目联系人：张先生       王先生</w:t>
      </w:r>
    </w:p>
    <w:p w14:paraId="0174BCD7">
      <w:pPr>
        <w:pStyle w:val="32"/>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jc w:val="both"/>
        <w:textAlignment w:val="auto"/>
        <w:rPr>
          <w:rFonts w:hint="eastAsia" w:ascii="宋体" w:hAnsi="宋体" w:eastAsia="宋体" w:cs="宋体"/>
          <w:color w:val="auto"/>
          <w:shd w:val="clear" w:color="auto" w:fill="FFFFFF"/>
        </w:rPr>
      </w:pPr>
      <w:r>
        <w:rPr>
          <w:rFonts w:hint="eastAsia" w:ascii="宋体" w:hAnsi="宋体" w:cs="宋体"/>
          <w:color w:val="auto"/>
          <w:sz w:val="24"/>
          <w:szCs w:val="24"/>
          <w:shd w:val="clear" w:color="auto" w:fill="FFFFFF"/>
          <w:lang w:val="en-US" w:eastAsia="zh-CN" w:bidi="ar-SA"/>
          <w14:ligatures w14:val="none"/>
        </w:rPr>
        <w:t>电　  话：18851558799　  18014655317　</w:t>
      </w:r>
      <w:r>
        <w:rPr>
          <w:rFonts w:hint="eastAsia" w:ascii="宋体" w:hAnsi="宋体" w:eastAsia="宋体" w:cs="宋体"/>
          <w:color w:val="auto"/>
          <w:shd w:val="clear" w:color="auto" w:fill="FFFFFF"/>
        </w:rPr>
        <w:br w:type="page" w:clear="all"/>
      </w:r>
    </w:p>
    <w:p w14:paraId="7091D98D">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2"/>
          <w:szCs w:val="32"/>
          <w14:ligatures w14:val="none"/>
        </w:rPr>
      </w:pPr>
      <w:bookmarkStart w:id="14" w:name="_Toc513029202"/>
      <w:bookmarkStart w:id="15" w:name="_Toc20823274"/>
      <w:bookmarkStart w:id="16" w:name="_Toc197644527"/>
      <w:bookmarkStart w:id="17" w:name="_Toc16938518"/>
      <w:bookmarkStart w:id="18" w:name="_Toc120614213"/>
      <w:r>
        <w:rPr>
          <w:rFonts w:hint="eastAsia" w:ascii="宋体" w:hAnsi="宋体" w:eastAsia="宋体" w:cs="Times New Roman"/>
          <w:b/>
          <w:bCs/>
          <w:color w:val="auto"/>
          <w:sz w:val="32"/>
          <w:szCs w:val="32"/>
          <w14:ligatures w14:val="none"/>
        </w:rPr>
        <w:t>投标人须知</w:t>
      </w:r>
      <w:bookmarkEnd w:id="14"/>
      <w:bookmarkEnd w:id="15"/>
      <w:bookmarkEnd w:id="16"/>
      <w:bookmarkEnd w:id="17"/>
      <w:bookmarkEnd w:id="18"/>
    </w:p>
    <w:p w14:paraId="114CD73F">
      <w:pPr>
        <w:pStyle w:val="198"/>
        <w:numPr>
          <w:ilvl w:val="0"/>
          <w:numId w:val="8"/>
        </w:numPr>
        <w:spacing w:line="480" w:lineRule="auto"/>
        <w:jc w:val="left"/>
        <w:outlineLvl w:val="1"/>
        <w:rPr>
          <w:rFonts w:hint="eastAsia" w:ascii="宋体" w:hAnsi="宋体" w:eastAsia="宋体"/>
          <w:b/>
          <w:bCs/>
          <w:color w:val="auto"/>
          <w:sz w:val="24"/>
          <w:szCs w:val="24"/>
        </w:rPr>
      </w:pPr>
      <w:bookmarkStart w:id="19" w:name="_Toc197644528"/>
      <w:bookmarkStart w:id="20" w:name="OLE_LINK21"/>
      <w:r>
        <w:rPr>
          <w:rFonts w:hint="eastAsia" w:ascii="宋体" w:hAnsi="宋体" w:eastAsia="宋体"/>
          <w:b/>
          <w:bCs/>
          <w:color w:val="auto"/>
          <w:sz w:val="24"/>
          <w:szCs w:val="24"/>
        </w:rPr>
        <w:t>总则</w:t>
      </w:r>
      <w:bookmarkEnd w:id="19"/>
    </w:p>
    <w:p w14:paraId="1A7960B0">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21" w:name="_Toc197644529"/>
      <w:r>
        <w:rPr>
          <w:rFonts w:hint="eastAsia" w:ascii="宋体" w:hAnsi="宋体" w:eastAsia="宋体" w:cs="宋体"/>
          <w:color w:val="auto"/>
          <w:sz w:val="24"/>
          <w:szCs w:val="24"/>
        </w:rPr>
        <w:t>招标方式</w:t>
      </w:r>
      <w:bookmarkEnd w:id="21"/>
    </w:p>
    <w:p w14:paraId="78B5C116">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本次招标采取公开招标方式，本招标文件仅适用于招标公告中所述项目。</w:t>
      </w:r>
    </w:p>
    <w:p w14:paraId="118B006C">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22" w:name="_Toc197644530"/>
      <w:r>
        <w:rPr>
          <w:rFonts w:hint="eastAsia" w:ascii="宋体" w:hAnsi="宋体" w:eastAsia="宋体" w:cs="宋体"/>
          <w:color w:val="auto"/>
          <w:sz w:val="24"/>
          <w:szCs w:val="24"/>
        </w:rPr>
        <w:t>合格的投标人</w:t>
      </w:r>
      <w:bookmarkEnd w:id="22"/>
    </w:p>
    <w:p w14:paraId="5625A0B0">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满足招标公告中申请人的资格要求的规定。</w:t>
      </w:r>
    </w:p>
    <w:p w14:paraId="3304B5FF">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满足本文件实质性要求和条件的规定。</w:t>
      </w:r>
    </w:p>
    <w:p w14:paraId="032A14AA">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23" w:name="_Toc197644531"/>
      <w:r>
        <w:rPr>
          <w:rFonts w:hint="eastAsia" w:ascii="宋体" w:hAnsi="宋体" w:eastAsia="宋体" w:cs="宋体"/>
          <w:color w:val="auto"/>
          <w:sz w:val="24"/>
          <w:szCs w:val="24"/>
        </w:rPr>
        <w:t>适用法律</w:t>
      </w:r>
      <w:bookmarkEnd w:id="23"/>
    </w:p>
    <w:p w14:paraId="7BCCE619">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本次招标及由此产生的合同受中华人民共和国有关的法律法规制约和保护。</w:t>
      </w:r>
    </w:p>
    <w:p w14:paraId="18E1D213">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24" w:name="_Toc197644532"/>
      <w:r>
        <w:rPr>
          <w:rFonts w:hint="eastAsia" w:ascii="宋体" w:hAnsi="宋体" w:eastAsia="宋体" w:cs="宋体"/>
          <w:color w:val="auto"/>
          <w:sz w:val="24"/>
          <w:szCs w:val="24"/>
        </w:rPr>
        <w:t>投标费用</w:t>
      </w:r>
      <w:bookmarkEnd w:id="24"/>
    </w:p>
    <w:p w14:paraId="4A4F858F">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投标人应自行承担所有与参加投标有关的费用，无论投标过程中的做法和结果如何，江苏</w:t>
      </w:r>
      <w:r>
        <w:rPr>
          <w:rFonts w:hint="eastAsia" w:ascii="宋体" w:hAnsi="宋体" w:eastAsia="宋体" w:cs="宋体"/>
          <w:color w:val="auto"/>
          <w:sz w:val="24"/>
          <w:szCs w:val="24"/>
          <w:lang w:val="en-US" w:eastAsia="zh-CN"/>
        </w:rPr>
        <w:t>苏伟项目管理有限公司</w:t>
      </w:r>
      <w:r>
        <w:rPr>
          <w:rFonts w:hint="eastAsia" w:ascii="宋体" w:hAnsi="宋体" w:eastAsia="宋体" w:cs="宋体"/>
          <w:color w:val="auto"/>
          <w:sz w:val="24"/>
          <w:szCs w:val="24"/>
        </w:rPr>
        <w:t>（以下简称采购代理机构）和射阳县</w:t>
      </w:r>
      <w:r>
        <w:rPr>
          <w:rFonts w:hint="eastAsia" w:ascii="宋体" w:hAnsi="宋体" w:eastAsia="宋体" w:cs="宋体"/>
          <w:color w:val="auto"/>
          <w:sz w:val="24"/>
          <w:szCs w:val="24"/>
          <w:lang w:val="en-US" w:eastAsia="zh-CN"/>
        </w:rPr>
        <w:t>公安局</w:t>
      </w:r>
      <w:r>
        <w:rPr>
          <w:rFonts w:hint="eastAsia" w:ascii="宋体" w:hAnsi="宋体" w:eastAsia="宋体" w:cs="宋体"/>
          <w:color w:val="auto"/>
          <w:sz w:val="24"/>
          <w:szCs w:val="24"/>
        </w:rPr>
        <w:t>（以下简称采购人）在任何情况下均无义务和责任承担这些费用。</w:t>
      </w:r>
    </w:p>
    <w:p w14:paraId="526FFC5D">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本次招标采购代理机构和采购人不收取标书工本费。</w:t>
      </w:r>
    </w:p>
    <w:p w14:paraId="5BD2C59A">
      <w:pPr>
        <w:pStyle w:val="198"/>
        <w:numPr>
          <w:ilvl w:val="0"/>
          <w:numId w:val="9"/>
        </w:numPr>
        <w:spacing w:line="360" w:lineRule="auto"/>
        <w:ind w:left="0" w:firstLine="425"/>
        <w:outlineLvl w:val="3"/>
        <w:rPr>
          <w:rFonts w:hint="eastAsia" w:ascii="宋体" w:hAnsi="宋体" w:eastAsia="宋体" w:cs="宋体"/>
          <w:color w:val="auto"/>
          <w:sz w:val="24"/>
          <w:szCs w:val="24"/>
        </w:rPr>
      </w:pPr>
      <w:bookmarkStart w:id="25" w:name="_Toc197644533"/>
      <w:r>
        <w:rPr>
          <w:rFonts w:hint="eastAsia" w:ascii="宋体" w:hAnsi="宋体" w:eastAsia="宋体" w:cs="宋体"/>
          <w:color w:val="auto"/>
          <w:sz w:val="24"/>
          <w:szCs w:val="24"/>
        </w:rPr>
        <w:t>本项目采购代理服务费按照苏政采协[2024]20号文件规定标准计取，由中标供应商在领取中标通知书前一次性支付。（本条不单独列表报价，自行综合考虑在投标报价中，中标后采购人不再另行支付）。</w:t>
      </w:r>
    </w:p>
    <w:p w14:paraId="7C8D59C2">
      <w:pPr>
        <w:pStyle w:val="198"/>
        <w:numPr>
          <w:ilvl w:val="0"/>
          <w:numId w:val="9"/>
        </w:numPr>
        <w:spacing w:line="360" w:lineRule="auto"/>
        <w:ind w:left="0" w:leftChars="0" w:firstLine="425" w:firstLineChars="0"/>
        <w:outlineLvl w:val="2"/>
        <w:rPr>
          <w:rFonts w:hint="eastAsia" w:ascii="宋体" w:hAnsi="宋体" w:eastAsia="宋体" w:cs="宋体"/>
          <w:color w:val="auto"/>
          <w:sz w:val="24"/>
          <w:szCs w:val="24"/>
        </w:rPr>
      </w:pPr>
      <w:r>
        <w:rPr>
          <w:rFonts w:hint="eastAsia" w:ascii="宋体" w:hAnsi="宋体" w:eastAsia="宋体" w:cs="宋体"/>
          <w:color w:val="auto"/>
          <w:sz w:val="24"/>
          <w:szCs w:val="24"/>
        </w:rPr>
        <w:t>招标文件的约束力</w:t>
      </w:r>
      <w:bookmarkEnd w:id="25"/>
    </w:p>
    <w:p w14:paraId="06887232">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投标人一旦参加本项目采购活动，即被认为接受了本招标文件的规定和约束。</w:t>
      </w:r>
    </w:p>
    <w:p w14:paraId="1F0F6C55">
      <w:pPr>
        <w:pStyle w:val="198"/>
        <w:numPr>
          <w:ilvl w:val="0"/>
          <w:numId w:val="8"/>
        </w:numPr>
        <w:spacing w:line="480" w:lineRule="auto"/>
        <w:jc w:val="left"/>
        <w:outlineLvl w:val="1"/>
        <w:rPr>
          <w:rFonts w:hint="eastAsia" w:ascii="宋体" w:hAnsi="宋体" w:eastAsia="宋体"/>
          <w:b/>
          <w:bCs/>
          <w:color w:val="auto"/>
          <w:sz w:val="24"/>
          <w:szCs w:val="24"/>
        </w:rPr>
      </w:pPr>
      <w:bookmarkStart w:id="26" w:name="_Toc197644534"/>
      <w:r>
        <w:rPr>
          <w:rFonts w:hint="eastAsia" w:ascii="宋体" w:hAnsi="宋体" w:eastAsia="宋体"/>
          <w:b/>
          <w:bCs/>
          <w:color w:val="auto"/>
          <w:sz w:val="24"/>
          <w:szCs w:val="24"/>
        </w:rPr>
        <w:t>招标文件</w:t>
      </w:r>
      <w:bookmarkEnd w:id="26"/>
    </w:p>
    <w:p w14:paraId="4C205E9F">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27" w:name="_Toc197644535"/>
      <w:r>
        <w:rPr>
          <w:rFonts w:hint="eastAsia" w:ascii="宋体" w:hAnsi="宋体" w:eastAsia="宋体" w:cs="宋体"/>
          <w:color w:val="auto"/>
          <w:sz w:val="24"/>
          <w:szCs w:val="24"/>
        </w:rPr>
        <w:t>招标文件构成</w:t>
      </w:r>
      <w:bookmarkEnd w:id="27"/>
    </w:p>
    <w:p w14:paraId="4386959C">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招标文件由以下部分组成：</w:t>
      </w:r>
    </w:p>
    <w:p w14:paraId="045D8F59">
      <w:pPr>
        <w:pStyle w:val="198"/>
        <w:numPr>
          <w:ilvl w:val="0"/>
          <w:numId w:val="1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招标公告</w:t>
      </w:r>
    </w:p>
    <w:p w14:paraId="6417EE64">
      <w:pPr>
        <w:pStyle w:val="198"/>
        <w:numPr>
          <w:ilvl w:val="0"/>
          <w:numId w:val="1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投标人须知</w:t>
      </w:r>
    </w:p>
    <w:p w14:paraId="2CC56CFD">
      <w:pPr>
        <w:pStyle w:val="198"/>
        <w:numPr>
          <w:ilvl w:val="0"/>
          <w:numId w:val="1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合同文本</w:t>
      </w:r>
    </w:p>
    <w:p w14:paraId="49DCE1F7">
      <w:pPr>
        <w:pStyle w:val="198"/>
        <w:numPr>
          <w:ilvl w:val="0"/>
          <w:numId w:val="1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34EE0D8A">
      <w:pPr>
        <w:pStyle w:val="198"/>
        <w:numPr>
          <w:ilvl w:val="0"/>
          <w:numId w:val="1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评标方法与评标标准</w:t>
      </w:r>
    </w:p>
    <w:p w14:paraId="6CFFC495">
      <w:pPr>
        <w:pStyle w:val="198"/>
        <w:numPr>
          <w:ilvl w:val="0"/>
          <w:numId w:val="10"/>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投标文件格式</w:t>
      </w:r>
    </w:p>
    <w:p w14:paraId="6E1FDC0D">
      <w:pPr>
        <w:spacing w:line="360" w:lineRule="auto"/>
        <w:ind w:firstLine="424"/>
        <w:rPr>
          <w:rFonts w:hint="eastAsia" w:ascii="宋体" w:hAnsi="宋体" w:eastAsia="宋体" w:cs="宋体"/>
          <w:color w:val="auto"/>
          <w:sz w:val="24"/>
          <w:szCs w:val="24"/>
        </w:rPr>
      </w:pPr>
      <w:r>
        <w:rPr>
          <w:rFonts w:hint="eastAsia" w:ascii="宋体" w:hAnsi="宋体" w:eastAsia="宋体" w:cs="宋体"/>
          <w:color w:val="auto"/>
          <w:sz w:val="24"/>
          <w:szCs w:val="24"/>
        </w:rPr>
        <w:t>请仔细检查招标文件是否齐全，如有缺漏请立即与采购代理机构联系解决。</w:t>
      </w:r>
    </w:p>
    <w:p w14:paraId="108B4375">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F9FAEA1">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28" w:name="_Toc197644536"/>
      <w:r>
        <w:rPr>
          <w:rFonts w:hint="eastAsia" w:ascii="宋体" w:hAnsi="宋体" w:eastAsia="宋体" w:cs="宋体"/>
          <w:color w:val="auto"/>
          <w:sz w:val="24"/>
          <w:szCs w:val="24"/>
        </w:rPr>
        <w:t>招标文件的澄清</w:t>
      </w:r>
      <w:bookmarkEnd w:id="28"/>
    </w:p>
    <w:p w14:paraId="0F19F3E7">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任何要求对招标文件进行澄清的投标人，应在投标截止期十日前按招标公告中的通讯地址，以书面形式通知采购代理机构。</w:t>
      </w:r>
    </w:p>
    <w:p w14:paraId="79BD0392">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29" w:name="_Toc197644537"/>
      <w:r>
        <w:rPr>
          <w:rFonts w:hint="eastAsia" w:ascii="宋体" w:hAnsi="宋体" w:eastAsia="宋体" w:cs="宋体"/>
          <w:color w:val="auto"/>
          <w:sz w:val="24"/>
          <w:szCs w:val="24"/>
        </w:rPr>
        <w:t>招标文件的修改</w:t>
      </w:r>
      <w:bookmarkEnd w:id="29"/>
    </w:p>
    <w:p w14:paraId="09FD3162">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在投标截止时间前，采购代理机构可以对招标文件进行修改。</w:t>
      </w:r>
    </w:p>
    <w:p w14:paraId="69B6B87F">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采购代理机构有权按照法定的要求推迟投标截止日期和开标日期。</w:t>
      </w:r>
    </w:p>
    <w:p w14:paraId="28B47C3B">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招标文件的修改将在中国政府采购网、江苏政府采购网、盐城市政府采购网公布，补充文件将作为招标文件的组成部分，并对投标人具有约束力。</w:t>
      </w:r>
    </w:p>
    <w:p w14:paraId="320300F1">
      <w:pPr>
        <w:pStyle w:val="198"/>
        <w:numPr>
          <w:ilvl w:val="0"/>
          <w:numId w:val="8"/>
        </w:numPr>
        <w:spacing w:line="480" w:lineRule="auto"/>
        <w:jc w:val="left"/>
        <w:outlineLvl w:val="1"/>
        <w:rPr>
          <w:rFonts w:hint="eastAsia" w:ascii="宋体" w:hAnsi="宋体" w:eastAsia="宋体"/>
          <w:b/>
          <w:bCs/>
          <w:color w:val="auto"/>
          <w:sz w:val="24"/>
          <w:szCs w:val="24"/>
        </w:rPr>
      </w:pPr>
      <w:bookmarkStart w:id="30" w:name="_Toc197644538"/>
      <w:r>
        <w:rPr>
          <w:rFonts w:hint="eastAsia" w:ascii="宋体" w:hAnsi="宋体" w:eastAsia="宋体" w:cs="宋体"/>
          <w:b/>
          <w:color w:val="auto"/>
          <w:sz w:val="24"/>
          <w:szCs w:val="24"/>
        </w:rPr>
        <w:t>投标文件的编制</w:t>
      </w:r>
      <w:bookmarkEnd w:id="30"/>
    </w:p>
    <w:p w14:paraId="3CB5F7B7">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31" w:name="_Toc197644539"/>
      <w:r>
        <w:rPr>
          <w:rFonts w:hint="eastAsia" w:ascii="宋体" w:hAnsi="宋体" w:eastAsia="宋体" w:cs="宋体"/>
          <w:color w:val="auto"/>
          <w:sz w:val="24"/>
          <w:szCs w:val="24"/>
        </w:rPr>
        <w:t>投标文件的语言及度量衡单位</w:t>
      </w:r>
      <w:bookmarkEnd w:id="31"/>
    </w:p>
    <w:p w14:paraId="3CEF83FE">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投标人提交的投标文件以及投标人与采购代理机构就有关投标的所有来往通知、函件和文件均应使用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w:t>
      </w:r>
    </w:p>
    <w:p w14:paraId="113CAEF5">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除技术性能另有规定外，投标文件所使用的度量衡单位，均须采用国家法定计量单位。</w:t>
      </w:r>
    </w:p>
    <w:p w14:paraId="5C6AAAF9">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32" w:name="_Toc197644540"/>
      <w:r>
        <w:rPr>
          <w:rFonts w:hint="eastAsia" w:ascii="宋体" w:hAnsi="宋体" w:eastAsia="宋体" w:cs="宋体"/>
          <w:color w:val="auto"/>
          <w:sz w:val="24"/>
          <w:szCs w:val="24"/>
        </w:rPr>
        <w:t>投标文件构成</w:t>
      </w:r>
      <w:bookmarkEnd w:id="32"/>
    </w:p>
    <w:p w14:paraId="2C7988FF">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投标人编写的投标文件应包括资格证明文件、符合性证明文件、投标分项报价表、技术要求响应及偏离表、商务要求响应及偏离表、其他证明文件、投标函、开标一览表等部分。</w:t>
      </w:r>
    </w:p>
    <w:p w14:paraId="0BC6F0F0">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如标书制作工具中格式和内容与“中国政府采购网”、“江苏政府采购网”、“盐城市政府采购网”发布的招标文件不一致，请以“中国政府采购网”、“江苏政府采购网”、“盐城市政府采购网”发布的招标文件为准。</w:t>
      </w:r>
    </w:p>
    <w:p w14:paraId="35E1AD57">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33" w:name="_Toc197644541"/>
      <w:r>
        <w:rPr>
          <w:rFonts w:hint="eastAsia" w:ascii="宋体" w:hAnsi="宋体" w:eastAsia="宋体" w:cs="宋体"/>
          <w:color w:val="auto"/>
          <w:sz w:val="24"/>
          <w:szCs w:val="24"/>
        </w:rPr>
        <w:t>证明投标人及投标标的符合招标文件规定的文件</w:t>
      </w:r>
      <w:bookmarkEnd w:id="33"/>
    </w:p>
    <w:p w14:paraId="504FD30B">
      <w:pPr>
        <w:pStyle w:val="198"/>
        <w:numPr>
          <w:ilvl w:val="1"/>
          <w:numId w:val="9"/>
        </w:numPr>
        <w:spacing w:line="360" w:lineRule="auto"/>
        <w:ind w:left="0" w:firstLine="426"/>
        <w:rPr>
          <w:rFonts w:hint="eastAsia" w:ascii="宋体" w:hAnsi="宋体" w:eastAsia="宋体" w:cs="宋体"/>
          <w:color w:val="auto"/>
          <w:sz w:val="24"/>
          <w:szCs w:val="24"/>
        </w:rPr>
      </w:pPr>
      <w:bookmarkStart w:id="34" w:name="_Toc49090508"/>
      <w:bookmarkStart w:id="35" w:name="_Toc14577355"/>
      <w:r>
        <w:rPr>
          <w:rFonts w:hint="eastAsia" w:ascii="宋体" w:hAnsi="宋体" w:eastAsia="宋体" w:cs="宋体"/>
          <w:color w:val="auto"/>
          <w:sz w:val="24"/>
          <w:szCs w:val="24"/>
        </w:rPr>
        <w:t>投标人应按照法律、法规、规章和规范性文件以及招标文件要求提交证明文件，证明其及投标标的符合招标文件规定。</w:t>
      </w:r>
      <w:bookmarkEnd w:id="34"/>
      <w:bookmarkEnd w:id="35"/>
    </w:p>
    <w:p w14:paraId="62217D01">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招标文件对证明文件无明确形式要求的，证明文件可以以文字资料、图纸和数据等形式提交。</w:t>
      </w:r>
    </w:p>
    <w:p w14:paraId="76E8DFB2">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36" w:name="_Toc197644542"/>
      <w:r>
        <w:rPr>
          <w:rFonts w:hint="eastAsia" w:ascii="宋体" w:hAnsi="宋体" w:eastAsia="宋体" w:cs="宋体"/>
          <w:color w:val="auto"/>
          <w:sz w:val="24"/>
          <w:szCs w:val="24"/>
        </w:rPr>
        <w:t>投标分项报价表</w:t>
      </w:r>
      <w:bookmarkEnd w:id="36"/>
    </w:p>
    <w:p w14:paraId="4A6F98CA">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投标人应按照招标文件规定格式填报投标分项报价表。</w:t>
      </w:r>
    </w:p>
    <w:p w14:paraId="4A50CDC8">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投标货币。投标文件中的单价和总价无特殊规定的采用人民币报价，以元为单位标注。招标文件中另有规定的按规定执行。</w:t>
      </w:r>
    </w:p>
    <w:p w14:paraId="734FA7A7">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37" w:name="_Toc197644543"/>
      <w:r>
        <w:rPr>
          <w:rFonts w:hint="eastAsia" w:ascii="宋体" w:hAnsi="宋体" w:eastAsia="宋体" w:cs="宋体"/>
          <w:color w:val="auto"/>
          <w:sz w:val="24"/>
          <w:szCs w:val="24"/>
        </w:rPr>
        <w:t>技术要求响应及偏离表、商务要求响应及偏离表</w:t>
      </w:r>
      <w:bookmarkEnd w:id="37"/>
    </w:p>
    <w:p w14:paraId="5A2B32F8">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投标人需对招标文件中的技术要求与商务要求逐项作出响应或偏离，并说明原因。</w:t>
      </w:r>
    </w:p>
    <w:p w14:paraId="76DD03FB">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投标人可在投标文件中提供认为需要的其他技术文件或说明。</w:t>
      </w:r>
    </w:p>
    <w:p w14:paraId="1424059E">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38" w:name="_Toc197644544"/>
      <w:r>
        <w:rPr>
          <w:rFonts w:hint="eastAsia" w:ascii="宋体" w:hAnsi="宋体" w:eastAsia="宋体" w:cs="宋体"/>
          <w:color w:val="auto"/>
          <w:sz w:val="24"/>
          <w:szCs w:val="24"/>
        </w:rPr>
        <w:t>投标函和开标一览表</w:t>
      </w:r>
      <w:bookmarkEnd w:id="38"/>
    </w:p>
    <w:p w14:paraId="145B12B3">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投标人应按照招标文件中提供的格式完整、正确填写投标函、开标一览表。</w:t>
      </w:r>
    </w:p>
    <w:p w14:paraId="4FF479B7">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对于采用货币报价的项目，开标一览表中的投标总报价应与投标分项报价表中的投标总报价一致，如不一致，不作为无效投标处理，但评标时按开标一览表中价格为准。</w:t>
      </w:r>
    </w:p>
    <w:p w14:paraId="5BBB7B15">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39" w:name="_Toc197644545"/>
      <w:r>
        <w:rPr>
          <w:rFonts w:hint="eastAsia" w:ascii="宋体" w:hAnsi="宋体" w:eastAsia="宋体" w:cs="宋体"/>
          <w:color w:val="auto"/>
          <w:sz w:val="24"/>
          <w:szCs w:val="24"/>
        </w:rPr>
        <w:t>投标有效期</w:t>
      </w:r>
      <w:bookmarkEnd w:id="39"/>
    </w:p>
    <w:p w14:paraId="7FB666E9">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投标有效期为采购代理机构规定的开标之日后</w:t>
      </w:r>
      <w:r>
        <w:rPr>
          <w:rFonts w:hint="eastAsia" w:ascii="宋体" w:hAnsi="宋体" w:eastAsia="宋体" w:cs="宋体"/>
          <w:b/>
          <w:bCs/>
          <w:color w:val="auto"/>
          <w:sz w:val="24"/>
          <w:szCs w:val="24"/>
          <w:u w:val="single"/>
        </w:rPr>
        <w:t>九十（90）天</w:t>
      </w:r>
      <w:r>
        <w:rPr>
          <w:rFonts w:hint="eastAsia" w:ascii="宋体" w:hAnsi="宋体" w:eastAsia="宋体" w:cs="宋体"/>
          <w:color w:val="auto"/>
          <w:sz w:val="24"/>
          <w:szCs w:val="24"/>
        </w:rPr>
        <w:t>。投标有效期比规定短的将被视为未实质性响应招标文件而予以拒绝。</w:t>
      </w:r>
    </w:p>
    <w:p w14:paraId="386E3119">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40" w:name="_Toc197644546"/>
      <w:r>
        <w:rPr>
          <w:rFonts w:hint="eastAsia" w:ascii="宋体" w:hAnsi="宋体" w:eastAsia="宋体" w:cs="宋体"/>
          <w:color w:val="auto"/>
          <w:sz w:val="24"/>
          <w:szCs w:val="24"/>
        </w:rPr>
        <w:t>投标有效期的延长</w:t>
      </w:r>
      <w:bookmarkEnd w:id="40"/>
    </w:p>
    <w:p w14:paraId="09F28E17">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14:paraId="642331C0">
      <w:pPr>
        <w:pStyle w:val="198"/>
        <w:numPr>
          <w:ilvl w:val="0"/>
          <w:numId w:val="8"/>
        </w:numPr>
        <w:spacing w:line="480" w:lineRule="auto"/>
        <w:jc w:val="left"/>
        <w:outlineLvl w:val="1"/>
        <w:rPr>
          <w:rFonts w:hint="eastAsia" w:ascii="宋体" w:hAnsi="宋体" w:eastAsia="宋体"/>
          <w:b/>
          <w:bCs/>
          <w:color w:val="auto"/>
          <w:sz w:val="24"/>
          <w:szCs w:val="24"/>
        </w:rPr>
      </w:pPr>
      <w:bookmarkStart w:id="41" w:name="_Toc197644547"/>
      <w:r>
        <w:rPr>
          <w:rFonts w:hint="eastAsia" w:ascii="宋体" w:hAnsi="宋体" w:eastAsia="宋体" w:cs="宋体"/>
          <w:b/>
          <w:color w:val="auto"/>
          <w:sz w:val="24"/>
          <w:szCs w:val="24"/>
        </w:rPr>
        <w:t>投标文件的递交</w:t>
      </w:r>
      <w:bookmarkEnd w:id="41"/>
    </w:p>
    <w:p w14:paraId="010E94CE">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42" w:name="_Toc197644548"/>
      <w:r>
        <w:rPr>
          <w:rFonts w:hint="eastAsia" w:ascii="宋体" w:hAnsi="宋体" w:eastAsia="宋体" w:cs="宋体"/>
          <w:color w:val="auto"/>
          <w:sz w:val="24"/>
          <w:szCs w:val="24"/>
        </w:rPr>
        <w:t>投标文件的递交</w:t>
      </w:r>
      <w:bookmarkEnd w:id="42"/>
    </w:p>
    <w:p w14:paraId="413C4C6B">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电子投标文件的递交</w:t>
      </w:r>
    </w:p>
    <w:p w14:paraId="4A391017">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投标人应当按照《操作手册》规定，在投标截止时间前制作并上传电子投标文件。</w:t>
      </w:r>
    </w:p>
    <w:p w14:paraId="1843E887">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43" w:name="_Toc197644549"/>
      <w:r>
        <w:rPr>
          <w:rFonts w:hint="eastAsia" w:ascii="宋体" w:hAnsi="宋体" w:eastAsia="宋体" w:cs="宋体"/>
          <w:color w:val="auto"/>
          <w:sz w:val="24"/>
          <w:szCs w:val="24"/>
        </w:rPr>
        <w:t>投标截止时间</w:t>
      </w:r>
      <w:bookmarkEnd w:id="43"/>
    </w:p>
    <w:p w14:paraId="56708939">
      <w:pPr>
        <w:pStyle w:val="198"/>
        <w:numPr>
          <w:ilvl w:val="1"/>
          <w:numId w:val="9"/>
        </w:numPr>
        <w:spacing w:line="360" w:lineRule="auto"/>
        <w:ind w:left="0" w:firstLine="426"/>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rPr>
        <w:t>投标人上传电子投标文件的时间不得迟于招标公告中规定的投标截止时间。</w:t>
      </w:r>
    </w:p>
    <w:p w14:paraId="4E0C66CB">
      <w:pPr>
        <w:pStyle w:val="198"/>
        <w:spacing w:line="360" w:lineRule="auto"/>
        <w:ind w:left="0" w:firstLine="424"/>
        <w:rPr>
          <w:rFonts w:hint="eastAsia" w:ascii="宋体" w:hAnsi="宋体" w:eastAsia="宋体" w:cs="宋体"/>
          <w:i/>
          <w:iCs/>
          <w:color w:val="auto"/>
          <w:sz w:val="24"/>
          <w:szCs w:val="24"/>
          <w:u w:val="single"/>
        </w:rPr>
      </w:pPr>
      <w:r>
        <w:rPr>
          <w:rFonts w:hint="eastAsia" w:ascii="宋体" w:hAnsi="宋体" w:eastAsia="宋体" w:cs="宋体"/>
          <w:color w:val="auto"/>
          <w:sz w:val="24"/>
          <w:szCs w:val="24"/>
        </w:rPr>
        <w:t>投标人应充分考虑到网络环境、网络带宽等风险因素，如因投标人自身原因造成的电子投标文件上传不成功的按照本招标文件第二章第26.1.2条规定做无效投标处理。</w:t>
      </w:r>
    </w:p>
    <w:p w14:paraId="77AD9E24">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采购代理机构可以按照规定，通过修改招标文件酌情延长投标截止时间，在此情况下，投标人的所有权利和义务以及投标人受制的截止时间均应以延长后新的截止时间为准。</w:t>
      </w:r>
    </w:p>
    <w:p w14:paraId="53BD9EC1">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44" w:name="_Toc16938543"/>
      <w:bookmarkStart w:id="45" w:name="_Toc20823299"/>
      <w:bookmarkStart w:id="46" w:name="_Toc513029227"/>
      <w:bookmarkStart w:id="47" w:name="_Toc197644550"/>
      <w:r>
        <w:rPr>
          <w:rFonts w:hint="eastAsia" w:ascii="宋体" w:hAnsi="宋体" w:eastAsia="宋体" w:cs="宋体"/>
          <w:color w:val="auto"/>
          <w:sz w:val="24"/>
          <w:szCs w:val="24"/>
        </w:rPr>
        <w:t>投标文件</w:t>
      </w:r>
      <w:bookmarkEnd w:id="44"/>
      <w:bookmarkEnd w:id="45"/>
      <w:bookmarkEnd w:id="46"/>
      <w:r>
        <w:rPr>
          <w:rFonts w:hint="eastAsia" w:ascii="宋体" w:hAnsi="宋体" w:eastAsia="宋体" w:cs="宋体"/>
          <w:color w:val="auto"/>
          <w:sz w:val="24"/>
          <w:szCs w:val="24"/>
        </w:rPr>
        <w:t>的拒收</w:t>
      </w:r>
      <w:bookmarkEnd w:id="47"/>
    </w:p>
    <w:p w14:paraId="2BEBF311">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采购代理机构拒绝接收在其规定的投标截止时间后上传的任何投标文件。</w:t>
      </w:r>
    </w:p>
    <w:p w14:paraId="3050F021">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48" w:name="_Toc197644551"/>
      <w:bookmarkStart w:id="49" w:name="_Toc16938544"/>
      <w:bookmarkStart w:id="50" w:name="_Toc513029228"/>
      <w:bookmarkStart w:id="51" w:name="_Toc20823300"/>
      <w:r>
        <w:rPr>
          <w:rFonts w:hint="eastAsia" w:ascii="宋体" w:hAnsi="宋体" w:eastAsia="宋体" w:cs="宋体"/>
          <w:color w:val="auto"/>
          <w:sz w:val="24"/>
          <w:szCs w:val="24"/>
        </w:rPr>
        <w:t>投标文件的撤回和修改</w:t>
      </w:r>
      <w:bookmarkEnd w:id="48"/>
      <w:bookmarkEnd w:id="49"/>
      <w:bookmarkEnd w:id="50"/>
      <w:bookmarkEnd w:id="51"/>
    </w:p>
    <w:p w14:paraId="48B7C71C">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投标文件的撤回</w:t>
      </w:r>
    </w:p>
    <w:p w14:paraId="3F62BCE6">
      <w:pPr>
        <w:pStyle w:val="198"/>
        <w:numPr>
          <w:ilvl w:val="2"/>
          <w:numId w:val="9"/>
        </w:numPr>
        <w:spacing w:line="360" w:lineRule="auto"/>
        <w:ind w:hanging="1142"/>
        <w:outlineLvl w:val="4"/>
        <w:rPr>
          <w:rFonts w:hint="eastAsia" w:ascii="宋体" w:hAnsi="宋体" w:eastAsia="宋体" w:cs="宋体"/>
          <w:color w:val="auto"/>
          <w:sz w:val="24"/>
          <w:szCs w:val="24"/>
        </w:rPr>
      </w:pPr>
      <w:r>
        <w:rPr>
          <w:rFonts w:hint="eastAsia" w:ascii="宋体" w:hAnsi="宋体" w:eastAsia="宋体" w:cs="宋体"/>
          <w:color w:val="auto"/>
          <w:sz w:val="24"/>
          <w:szCs w:val="24"/>
        </w:rPr>
        <w:t>电子投标文件的撤回</w:t>
      </w:r>
    </w:p>
    <w:p w14:paraId="2009F6A6">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投标人可在投标截止时间前，撤回其电子投标文件，具体操作方法见《操作手册》。</w:t>
      </w:r>
    </w:p>
    <w:p w14:paraId="0A9776A0">
      <w:pPr>
        <w:pStyle w:val="198"/>
        <w:numPr>
          <w:ilvl w:val="2"/>
          <w:numId w:val="9"/>
        </w:numPr>
        <w:spacing w:line="360" w:lineRule="auto"/>
        <w:ind w:hanging="1142"/>
        <w:rPr>
          <w:rFonts w:hint="eastAsia" w:ascii="宋体" w:hAnsi="宋体" w:eastAsia="宋体" w:cs="宋体"/>
          <w:color w:val="auto"/>
          <w:sz w:val="24"/>
          <w:szCs w:val="24"/>
        </w:rPr>
      </w:pPr>
      <w:r>
        <w:rPr>
          <w:rFonts w:hint="eastAsia" w:ascii="宋体" w:hAnsi="宋体" w:eastAsia="宋体" w:cs="宋体"/>
          <w:color w:val="auto"/>
          <w:sz w:val="24"/>
          <w:szCs w:val="24"/>
        </w:rPr>
        <w:t>投标人撤回电子投标文件，则认为其不再参与本项目投标活动。</w:t>
      </w:r>
    </w:p>
    <w:p w14:paraId="7AE24031">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投标文件的修改</w:t>
      </w:r>
    </w:p>
    <w:p w14:paraId="2C66EEAA">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投标人可在投标截止时间前，对其电子投标文件进行修改，具体操作方法见《操作手册》。</w:t>
      </w:r>
    </w:p>
    <w:p w14:paraId="24868739">
      <w:pPr>
        <w:pStyle w:val="198"/>
        <w:numPr>
          <w:ilvl w:val="2"/>
          <w:numId w:val="9"/>
        </w:numPr>
        <w:spacing w:line="360" w:lineRule="auto"/>
        <w:ind w:hanging="1142"/>
        <w:rPr>
          <w:rFonts w:hint="eastAsia" w:ascii="宋体" w:hAnsi="宋体" w:eastAsia="宋体" w:cs="宋体"/>
          <w:color w:val="auto"/>
          <w:sz w:val="24"/>
          <w:szCs w:val="24"/>
        </w:rPr>
      </w:pPr>
      <w:r>
        <w:rPr>
          <w:rFonts w:hint="eastAsia" w:ascii="宋体" w:hAnsi="宋体" w:eastAsia="宋体" w:cs="宋体"/>
          <w:color w:val="auto"/>
          <w:sz w:val="24"/>
          <w:szCs w:val="24"/>
        </w:rPr>
        <w:t>在投标截止时间之后，投标人不得对其电子投标文件作任何修改。</w:t>
      </w:r>
    </w:p>
    <w:p w14:paraId="3616715F">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在投标截止时间至招标文件中规定的投标有效期满之间的这段时间内，投标人不得撤回其投标。</w:t>
      </w:r>
    </w:p>
    <w:p w14:paraId="6CEE0F67">
      <w:pPr>
        <w:pStyle w:val="198"/>
        <w:numPr>
          <w:ilvl w:val="0"/>
          <w:numId w:val="8"/>
        </w:numPr>
        <w:spacing w:line="480" w:lineRule="auto"/>
        <w:jc w:val="left"/>
        <w:outlineLvl w:val="1"/>
        <w:rPr>
          <w:rFonts w:hint="eastAsia" w:ascii="宋体" w:hAnsi="宋体" w:eastAsia="宋体"/>
          <w:b/>
          <w:bCs/>
          <w:color w:val="auto"/>
          <w:sz w:val="24"/>
          <w:szCs w:val="24"/>
        </w:rPr>
      </w:pPr>
      <w:bookmarkStart w:id="52" w:name="_Toc197644552"/>
      <w:r>
        <w:rPr>
          <w:rFonts w:hint="eastAsia" w:ascii="宋体" w:hAnsi="宋体" w:eastAsia="宋体" w:cs="宋体"/>
          <w:b/>
          <w:color w:val="auto"/>
          <w:sz w:val="24"/>
          <w:szCs w:val="24"/>
        </w:rPr>
        <w:t>开标与评标</w:t>
      </w:r>
      <w:bookmarkEnd w:id="52"/>
    </w:p>
    <w:p w14:paraId="40CCFE05">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53" w:name="_Toc20823302"/>
      <w:bookmarkStart w:id="54" w:name="_Toc197644553"/>
      <w:bookmarkStart w:id="55" w:name="_Toc16938546"/>
      <w:bookmarkStart w:id="56" w:name="_Toc513029230"/>
      <w:r>
        <w:rPr>
          <w:rFonts w:hint="eastAsia" w:ascii="宋体" w:hAnsi="宋体" w:eastAsia="宋体" w:cs="宋体"/>
          <w:color w:val="auto"/>
          <w:sz w:val="24"/>
          <w:szCs w:val="24"/>
        </w:rPr>
        <w:t>开标</w:t>
      </w:r>
      <w:bookmarkEnd w:id="53"/>
      <w:bookmarkEnd w:id="54"/>
      <w:bookmarkEnd w:id="55"/>
      <w:bookmarkEnd w:id="56"/>
    </w:p>
    <w:p w14:paraId="54E0FF5D">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采购代理机构将在招标公告中规定的时间和地点组织公开开标。投标人应当按照《操作手册》规定，参加开标活动和在“苏采云”系统规定的时间内对投标文件进行解密。</w:t>
      </w:r>
    </w:p>
    <w:p w14:paraId="0ACF1749">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开标仪式由采购代理机构组织。“苏采云”系统将自动对项目进行开标，并宣布各投标人名称和投标价格。</w:t>
      </w:r>
    </w:p>
    <w:p w14:paraId="59D9DBAF">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投标人在开标过程中涉及到的投标文件解密、开标结果确认等工作，应按照《操作手册》规定执行。</w:t>
      </w:r>
    </w:p>
    <w:p w14:paraId="147A22E4">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投标人如果对开标过程和开标记录有疑义，应当根据《操作手册》规定提出，如“苏采云”系统中《开标记录表》宣布后5分钟内未提出的，视同认可开标结果。</w:t>
      </w:r>
    </w:p>
    <w:p w14:paraId="3634F55C">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57" w:name="_Toc513029231"/>
      <w:bookmarkStart w:id="58" w:name="_Toc197644554"/>
      <w:bookmarkStart w:id="59" w:name="_Toc16938547"/>
      <w:bookmarkStart w:id="60" w:name="_Toc20823303"/>
      <w:r>
        <w:rPr>
          <w:rFonts w:hint="eastAsia" w:ascii="宋体" w:hAnsi="宋体" w:eastAsia="宋体" w:cs="宋体"/>
          <w:color w:val="auto"/>
          <w:sz w:val="24"/>
          <w:szCs w:val="24"/>
        </w:rPr>
        <w:t>评标委员会</w:t>
      </w:r>
      <w:bookmarkEnd w:id="57"/>
      <w:bookmarkEnd w:id="58"/>
      <w:bookmarkEnd w:id="59"/>
      <w:bookmarkEnd w:id="60"/>
    </w:p>
    <w:p w14:paraId="7950638E">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开标后，采购代理机构将立即组织评标委员会（以下简称评委会）进行评标。</w:t>
      </w:r>
    </w:p>
    <w:p w14:paraId="0685339F">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评委</w:t>
      </w:r>
      <w:r>
        <w:rPr>
          <w:rFonts w:hint="eastAsia" w:ascii="宋体" w:hAnsi="宋体" w:eastAsia="宋体" w:cs="宋体"/>
          <w:color w:val="auto"/>
          <w:sz w:val="24"/>
          <w:szCs w:val="24"/>
          <w:lang w:val="en-US" w:eastAsia="zh-CN"/>
        </w:rPr>
        <w:t>委员</w:t>
      </w:r>
      <w:r>
        <w:rPr>
          <w:rFonts w:hint="eastAsia" w:ascii="宋体" w:hAnsi="宋体" w:eastAsia="宋体" w:cs="宋体"/>
          <w:color w:val="auto"/>
          <w:sz w:val="24"/>
          <w:szCs w:val="24"/>
        </w:rPr>
        <w:t>会</w:t>
      </w:r>
      <w:r>
        <w:rPr>
          <w:rFonts w:hint="eastAsia" w:ascii="宋体" w:hAnsi="宋体" w:eastAsia="宋体" w:cs="宋体"/>
          <w:color w:val="auto"/>
          <w:sz w:val="24"/>
          <w:szCs w:val="24"/>
          <w:lang w:val="en-US" w:eastAsia="zh-CN"/>
        </w:rPr>
        <w:t>将按规定由技术、经济5人专家组成</w:t>
      </w:r>
      <w:r>
        <w:rPr>
          <w:rFonts w:hint="eastAsia" w:ascii="宋体" w:hAnsi="宋体" w:eastAsia="宋体" w:cs="宋体"/>
          <w:color w:val="auto"/>
          <w:sz w:val="24"/>
          <w:szCs w:val="24"/>
        </w:rPr>
        <w:t>。</w:t>
      </w:r>
    </w:p>
    <w:p w14:paraId="5B096D22">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评委会独立工作，负责评审所有投标文件并确定中标候选人。</w:t>
      </w:r>
    </w:p>
    <w:p w14:paraId="1D5CF2E1">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61" w:name="_Toc197644555"/>
      <w:r>
        <w:rPr>
          <w:rFonts w:hint="eastAsia" w:ascii="宋体" w:hAnsi="宋体" w:eastAsia="宋体" w:cs="宋体"/>
          <w:color w:val="auto"/>
          <w:sz w:val="24"/>
          <w:szCs w:val="24"/>
        </w:rPr>
        <w:t>评标过程的保密与公正</w:t>
      </w:r>
      <w:bookmarkEnd w:id="61"/>
    </w:p>
    <w:p w14:paraId="6E95B7A9">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凡是与审查、澄清、评价和比较投标的有关资料以及授标建议等，采购人、评委、采购代理机构均不得向投标人或与评标无关的其他人员透露。</w:t>
      </w:r>
    </w:p>
    <w:p w14:paraId="575165F6">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在评标过程中，投标人不得以任何行为影响评标过程，否则其投标文件将被作为无效投标文件。</w:t>
      </w:r>
    </w:p>
    <w:p w14:paraId="33D02D5A">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采购代理机构和评标委员会不向未中标的投标人解释未中标原因，也不公布评标过程中的相关细节。</w:t>
      </w:r>
    </w:p>
    <w:p w14:paraId="4F006EB0">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采用综合评分法的项目，未中标的投标人可于中标结果公告期限届满之日起通过“苏采云”系统查看自己的评审得分及排序情况。</w:t>
      </w:r>
    </w:p>
    <w:p w14:paraId="45A21110">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62" w:name="_Toc16938548"/>
      <w:bookmarkStart w:id="63" w:name="_Toc197644556"/>
      <w:bookmarkStart w:id="64" w:name="_Toc513029232"/>
      <w:bookmarkStart w:id="65" w:name="_Toc20823304"/>
      <w:r>
        <w:rPr>
          <w:rFonts w:hint="eastAsia" w:ascii="宋体" w:hAnsi="宋体" w:eastAsia="宋体" w:cs="宋体"/>
          <w:color w:val="auto"/>
          <w:sz w:val="24"/>
          <w:szCs w:val="24"/>
        </w:rPr>
        <w:t>投标文件的澄清</w:t>
      </w:r>
      <w:bookmarkEnd w:id="62"/>
      <w:bookmarkEnd w:id="63"/>
      <w:bookmarkEnd w:id="64"/>
      <w:bookmarkEnd w:id="65"/>
    </w:p>
    <w:p w14:paraId="583F2FA6">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评标期间，评委会对投标文件中含义不明确、同类问题表述不一致或者有明显文字和计算错误的内容，有权要求投标人作出必要的澄清、说明或者补正。</w:t>
      </w:r>
    </w:p>
    <w:p w14:paraId="52EA8236">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投标人的澄清、说明或者补正不得超出投标文件的范围或者改变投标文件的实质性内容。</w:t>
      </w:r>
    </w:p>
    <w:p w14:paraId="0E351452">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评委会并非对每个投标人都做澄清要求。</w:t>
      </w:r>
    </w:p>
    <w:p w14:paraId="39E949AA">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5C48AFB3">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接到评委会澄清、说明和补正要求的投标人如未按规定做出澄清、说明和补正，其风险由投标人自行承担。</w:t>
      </w:r>
    </w:p>
    <w:p w14:paraId="7268746A">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66" w:name="_Toc197644557"/>
      <w:bookmarkStart w:id="67" w:name="_Toc16938549"/>
      <w:bookmarkStart w:id="68" w:name="_Toc20823305"/>
      <w:bookmarkStart w:id="69" w:name="_Toc513029233"/>
      <w:r>
        <w:rPr>
          <w:rFonts w:hint="eastAsia" w:ascii="宋体" w:hAnsi="宋体" w:eastAsia="宋体" w:cs="宋体"/>
          <w:color w:val="auto"/>
          <w:sz w:val="24"/>
          <w:szCs w:val="24"/>
        </w:rPr>
        <w:t>对投标文件的初审</w:t>
      </w:r>
      <w:bookmarkEnd w:id="66"/>
      <w:bookmarkEnd w:id="67"/>
      <w:bookmarkEnd w:id="68"/>
      <w:bookmarkEnd w:id="69"/>
    </w:p>
    <w:p w14:paraId="61667D20">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投标文件初审分为资格审查和符合性审查。</w:t>
      </w:r>
    </w:p>
    <w:p w14:paraId="5FB14D76">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资格审查：依据法律法规和招标文件的规定，由采购人对投标文件中的资格证明文件进行审查。资格审查的结论，采购人以书面形式向评委会进行反馈。</w:t>
      </w:r>
    </w:p>
    <w:p w14:paraId="12608FD3">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采购人在进行资格性审查的同时，将在“信用中国”网站（www.creditchina.gov.cn）查询投标人的信用记录，以确定投标人是否具备投标资格，查询结果留存并归档。</w:t>
      </w:r>
    </w:p>
    <w:p w14:paraId="5FD2359B">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符合性审查：依据招标文件的规定，由评委会从投标文件的有效性、完整性和对招标文件的响应程度进行审查，以确定是否对招标文件的实质性要求作出响应。</w:t>
      </w:r>
    </w:p>
    <w:p w14:paraId="0392FD5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未通过资格审查或符合性审查的投标人，采购代理机构将在“苏采云”系统中告知未通过资格审查或符合性审查的原因，评标结束后，采购代理机构将不再告知未通过资格审查和符合性审查的原因。</w:t>
      </w:r>
    </w:p>
    <w:p w14:paraId="46F3D94A">
      <w:pPr>
        <w:pStyle w:val="198"/>
        <w:numPr>
          <w:ilvl w:val="1"/>
          <w:numId w:val="9"/>
        </w:numPr>
        <w:spacing w:line="360" w:lineRule="auto"/>
        <w:ind w:left="0" w:firstLine="426"/>
        <w:rPr>
          <w:rFonts w:hint="eastAsia" w:ascii="宋体" w:hAnsi="宋体" w:eastAsia="宋体" w:cs="宋体"/>
          <w:color w:val="auto"/>
          <w:sz w:val="24"/>
          <w:szCs w:val="24"/>
        </w:rPr>
      </w:pPr>
      <w:bookmarkStart w:id="70" w:name="OLE_LINK2"/>
      <w:r>
        <w:rPr>
          <w:rFonts w:hint="eastAsia" w:ascii="宋体" w:hAnsi="宋体" w:eastAsia="宋体" w:cs="宋体"/>
          <w:color w:val="auto"/>
          <w:sz w:val="24"/>
          <w:szCs w:val="24"/>
        </w:rPr>
        <w:t>在详细评标之前，评委会将首先审查每份投标文件是否实质性响应了招标文件的要求。实质性响应的投标应该是与招标文件要求的全部条款、条件和规格相符，没有重大偏离或保留的投标。</w:t>
      </w:r>
      <w:bookmarkEnd w:id="70"/>
    </w:p>
    <w:p w14:paraId="08555E58">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DC77D39">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如果投标文件实质上没有响应招标文件的要求，评委会将予以拒绝，投标人不得通过修改或撤销不合要求的偏离或保留而使其投标成为实质性响应的投标。</w:t>
      </w:r>
    </w:p>
    <w:p w14:paraId="171C2113">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评委会将对确定为实质性响应的投标进行进一步审核，确定其是否有计算上或累加上的算术错误，修正错误的原则如下：</w:t>
      </w:r>
    </w:p>
    <w:p w14:paraId="16ED0A88">
      <w:pPr>
        <w:pStyle w:val="198"/>
        <w:numPr>
          <w:ilvl w:val="0"/>
          <w:numId w:val="11"/>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投标文件中开标一览表内容与投标文件中相应内容不一致的，以开标一览表为准。</w:t>
      </w:r>
    </w:p>
    <w:p w14:paraId="476A44A5">
      <w:pPr>
        <w:pStyle w:val="198"/>
        <w:numPr>
          <w:ilvl w:val="0"/>
          <w:numId w:val="11"/>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大写金额和小写金额不一致的，以大写金额为准。</w:t>
      </w:r>
    </w:p>
    <w:p w14:paraId="2350E7D6">
      <w:pPr>
        <w:pStyle w:val="198"/>
        <w:numPr>
          <w:ilvl w:val="0"/>
          <w:numId w:val="11"/>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单价金额小数点或者百分比有明显错位的，以开标一览表的总价为准，并修改单价。</w:t>
      </w:r>
    </w:p>
    <w:p w14:paraId="3E18E2AF">
      <w:pPr>
        <w:pStyle w:val="198"/>
        <w:numPr>
          <w:ilvl w:val="0"/>
          <w:numId w:val="11"/>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总价金额与按单价汇总金额不一致的，以单价金额计算结果为准。</w:t>
      </w:r>
    </w:p>
    <w:p w14:paraId="7B98A80D">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同时出现两种以上错误的，按照前款规定的顺序修正。</w:t>
      </w:r>
    </w:p>
    <w:p w14:paraId="0F48C8BB">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评委会将按上述修正错误的方法调整投标文件中的投标报价，并通过“苏采云”系统告知投标人，调整后的价格应对投标人具有约束力。如果投标人不接受修正后的价格，则其投标将被拒绝。</w:t>
      </w:r>
    </w:p>
    <w:p w14:paraId="006DC4FE">
      <w:pPr>
        <w:pStyle w:val="198"/>
        <w:numPr>
          <w:ilvl w:val="1"/>
          <w:numId w:val="9"/>
        </w:numPr>
        <w:spacing w:line="360" w:lineRule="auto"/>
        <w:ind w:left="0" w:firstLine="426"/>
        <w:rPr>
          <w:rFonts w:hint="eastAsia" w:ascii="宋体" w:hAnsi="宋体" w:eastAsia="宋体" w:cs="宋体"/>
          <w:color w:val="auto"/>
          <w:sz w:val="24"/>
          <w:szCs w:val="24"/>
        </w:rPr>
      </w:pPr>
      <w:bookmarkStart w:id="71" w:name="_Toc16938550"/>
      <w:bookmarkStart w:id="72" w:name="_Toc513029234"/>
      <w:bookmarkStart w:id="73" w:name="_Toc20823306"/>
      <w:r>
        <w:rPr>
          <w:rFonts w:hint="eastAsia" w:ascii="宋体" w:hAnsi="宋体" w:eastAsia="宋体" w:cs="宋体"/>
          <w:color w:val="auto"/>
          <w:sz w:val="24"/>
          <w:szCs w:val="24"/>
        </w:rPr>
        <w:t>投标人在开、评标全过程中应保持通讯畅通，及时登录“苏采云”系统查阅、答复相关信息，并安排专人与采购代理机构及评委会联系。</w:t>
      </w:r>
      <w:bookmarkEnd w:id="71"/>
      <w:bookmarkEnd w:id="72"/>
      <w:bookmarkEnd w:id="73"/>
    </w:p>
    <w:p w14:paraId="6AC47E10">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74" w:name="_Toc197644558"/>
      <w:r>
        <w:rPr>
          <w:rFonts w:hint="eastAsia" w:ascii="宋体" w:hAnsi="宋体" w:eastAsia="宋体" w:cs="宋体"/>
          <w:color w:val="auto"/>
          <w:sz w:val="24"/>
          <w:szCs w:val="24"/>
        </w:rPr>
        <w:t>无效投标条款和废标条款</w:t>
      </w:r>
      <w:bookmarkEnd w:id="74"/>
    </w:p>
    <w:p w14:paraId="7EE9DBF8">
      <w:pPr>
        <w:pStyle w:val="198"/>
        <w:numPr>
          <w:ilvl w:val="1"/>
          <w:numId w:val="9"/>
        </w:numPr>
        <w:spacing w:line="360" w:lineRule="auto"/>
        <w:ind w:left="0" w:firstLine="426"/>
        <w:outlineLvl w:val="3"/>
        <w:rPr>
          <w:rFonts w:hint="eastAsia" w:ascii="宋体" w:hAnsi="宋体" w:eastAsia="宋体" w:cs="宋体"/>
          <w:color w:val="auto"/>
          <w:sz w:val="24"/>
          <w:szCs w:val="24"/>
        </w:rPr>
      </w:pPr>
      <w:bookmarkStart w:id="75" w:name="_Toc20823307"/>
      <w:bookmarkStart w:id="76" w:name="_Toc513029235"/>
      <w:bookmarkStart w:id="77" w:name="_Toc16938551"/>
      <w:r>
        <w:rPr>
          <w:rFonts w:hint="eastAsia" w:ascii="宋体" w:hAnsi="宋体" w:eastAsia="宋体" w:cs="宋体"/>
          <w:color w:val="auto"/>
          <w:sz w:val="24"/>
          <w:szCs w:val="24"/>
        </w:rPr>
        <w:t>无效投标条款</w:t>
      </w:r>
      <w:bookmarkEnd w:id="75"/>
      <w:bookmarkEnd w:id="76"/>
      <w:bookmarkEnd w:id="77"/>
    </w:p>
    <w:p w14:paraId="06D5A250">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投标人在“苏采云”系统规定的时间内未成功解密电子投标文件的。</w:t>
      </w:r>
    </w:p>
    <w:p w14:paraId="50A2E5D6">
      <w:pPr>
        <w:pStyle w:val="198"/>
        <w:numPr>
          <w:ilvl w:val="2"/>
          <w:numId w:val="9"/>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投标人未按照招标文件要求上传电子投标文件的。</w:t>
      </w:r>
    </w:p>
    <w:p w14:paraId="146213F3">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同一投标人提交两个（含两个）以上不同的投标报价的。</w:t>
      </w:r>
    </w:p>
    <w:p w14:paraId="18067158">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投标人不具备招标文件中规定资格要求的。</w:t>
      </w:r>
    </w:p>
    <w:p w14:paraId="0101134D">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投标人的报价超过了采购预算或最高限价的。</w:t>
      </w:r>
    </w:p>
    <w:p w14:paraId="4CDA2916">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未通过符合性审查的。</w:t>
      </w:r>
    </w:p>
    <w:p w14:paraId="2EED6861">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不符合招标文件中规定的实质性要求和条件的（</w:t>
      </w:r>
      <w:r>
        <w:rPr>
          <w:rFonts w:hint="eastAsia" w:ascii="宋体" w:hAnsi="宋体" w:eastAsia="宋体" w:cs="宋体"/>
          <w:b/>
          <w:bCs/>
          <w:i/>
          <w:iCs/>
          <w:color w:val="auto"/>
          <w:sz w:val="24"/>
          <w:szCs w:val="24"/>
          <w:u w:val="single"/>
        </w:rPr>
        <w:t>本招标文件中斜体且有下划线部分为实质性要求和条件</w:t>
      </w:r>
      <w:r>
        <w:rPr>
          <w:rFonts w:hint="eastAsia" w:ascii="宋体" w:hAnsi="宋体" w:eastAsia="宋体" w:cs="宋体"/>
          <w:color w:val="auto"/>
          <w:sz w:val="24"/>
          <w:szCs w:val="24"/>
        </w:rPr>
        <w:t>）。</w:t>
      </w:r>
    </w:p>
    <w:p w14:paraId="36DE63B2">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A57482E">
      <w:pPr>
        <w:pStyle w:val="198"/>
        <w:numPr>
          <w:ilvl w:val="2"/>
          <w:numId w:val="9"/>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投标文件含有采购人不能接受的附加条件的。</w:t>
      </w:r>
    </w:p>
    <w:p w14:paraId="16CABEE3">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w:t>
      </w:r>
      <w:r>
        <w:rPr>
          <w:rFonts w:hint="eastAsia" w:ascii="宋体" w:hAnsi="宋体" w:eastAsia="宋体" w:cs="宋体"/>
          <w:b/>
          <w:bCs/>
          <w:i/>
          <w:iCs/>
          <w:color w:val="auto"/>
          <w:sz w:val="24"/>
          <w:szCs w:val="24"/>
          <w:u w:val="single"/>
        </w:rPr>
        <w:t>投标人不能证明其报价合理性的，评委会应当将其作为无效投标处理</w:t>
      </w:r>
      <w:r>
        <w:rPr>
          <w:rFonts w:hint="eastAsia" w:ascii="宋体" w:hAnsi="宋体" w:eastAsia="宋体" w:cs="宋体"/>
          <w:color w:val="auto"/>
          <w:sz w:val="24"/>
          <w:szCs w:val="24"/>
        </w:rPr>
        <w:t>。</w:t>
      </w:r>
    </w:p>
    <w:p w14:paraId="47F633BE">
      <w:pPr>
        <w:pStyle w:val="198"/>
        <w:numPr>
          <w:ilvl w:val="2"/>
          <w:numId w:val="9"/>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投标文件未按照招标文件要求加盖CA电子公章的。</w:t>
      </w:r>
    </w:p>
    <w:p w14:paraId="5D65C4FE">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其他法律、法规及本招标文件规定的属无效投标的情形。</w:t>
      </w:r>
    </w:p>
    <w:p w14:paraId="59D2E032">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关于供应商异常低价审查</w:t>
      </w:r>
    </w:p>
    <w:p w14:paraId="581E3B43">
      <w:pPr>
        <w:pStyle w:val="198"/>
        <w:numPr>
          <w:ilvl w:val="0"/>
          <w:numId w:val="0"/>
        </w:numPr>
        <w:spacing w:line="360" w:lineRule="auto"/>
        <w:ind w:left="426" w:leftChars="0"/>
        <w:outlineLvl w:val="4"/>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26.2.1启动异常低价投标审查条件：</w:t>
      </w:r>
    </w:p>
    <w:p w14:paraId="07DA8DD6">
      <w:pPr>
        <w:pStyle w:val="198"/>
        <w:numPr>
          <w:ilvl w:val="0"/>
          <w:numId w:val="0"/>
        </w:num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评审过程中出现下列情形之一的，评审委员会应当启动异常低价投标（响应）审查程序： </w:t>
      </w:r>
    </w:p>
    <w:p w14:paraId="04F10566">
      <w:pPr>
        <w:pStyle w:val="198"/>
        <w:numPr>
          <w:ilvl w:val="0"/>
          <w:numId w:val="0"/>
        </w:num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①投标（响应）报价低于采购项目预算50%的，即投标（响应）报价&lt;采购项目预算×50% ； </w:t>
      </w:r>
    </w:p>
    <w:p w14:paraId="5C528FDA">
      <w:pPr>
        <w:pStyle w:val="198"/>
        <w:numPr>
          <w:ilvl w:val="0"/>
          <w:numId w:val="0"/>
        </w:num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②投标（响应）报价低于采购项目最高限价45%的，即投标（响应）报价&lt;采购项目最高限价×45% ； </w:t>
      </w:r>
    </w:p>
    <w:p w14:paraId="709ADC4E">
      <w:pPr>
        <w:pStyle w:val="198"/>
        <w:numPr>
          <w:ilvl w:val="0"/>
          <w:numId w:val="0"/>
        </w:num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③评审委员会认定的供应商报价过低、有可能影响产品质量或者不能诚信履约的其他情形。 </w:t>
      </w:r>
    </w:p>
    <w:p w14:paraId="79490899">
      <w:pPr>
        <w:pStyle w:val="198"/>
        <w:numPr>
          <w:ilvl w:val="0"/>
          <w:numId w:val="0"/>
        </w:numPr>
        <w:spacing w:line="360" w:lineRule="auto"/>
        <w:ind w:firstLine="241" w:firstLineChars="100"/>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26.2.2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6D1C00AB">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废标条款</w:t>
      </w:r>
    </w:p>
    <w:p w14:paraId="7838BED8">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符合专业条件的供应商或者对招标文件作实质响应的供应商不足三家的。</w:t>
      </w:r>
    </w:p>
    <w:p w14:paraId="17ED567D">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出现影响采购公正的违法、违规行为的。</w:t>
      </w:r>
    </w:p>
    <w:p w14:paraId="0A1AD3B6">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因重大变故，采购任务取消的。</w:t>
      </w:r>
    </w:p>
    <w:p w14:paraId="6DF4A587">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评委会认定招标文件存在歧义、重大缺陷导致评审工作无法进行。</w:t>
      </w:r>
    </w:p>
    <w:p w14:paraId="05850CA4">
      <w:pPr>
        <w:pStyle w:val="198"/>
        <w:numPr>
          <w:ilvl w:val="2"/>
          <w:numId w:val="9"/>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因“苏采云”系统故障原因造成开标不成功的。</w:t>
      </w:r>
    </w:p>
    <w:p w14:paraId="5D05C77C">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投标截止时间结束后参加投标的供应商不足三家的处理：</w:t>
      </w:r>
    </w:p>
    <w:p w14:paraId="514FB769">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如出现投标截止时间结束后参加投标的供应商或者在评标期间对招标文件做出实质响应的供应商不足三家情况，按政府采购相关规定执行。</w:t>
      </w:r>
    </w:p>
    <w:p w14:paraId="3D5F8C4A">
      <w:pPr>
        <w:pStyle w:val="198"/>
        <w:numPr>
          <w:ilvl w:val="0"/>
          <w:numId w:val="8"/>
        </w:numPr>
        <w:spacing w:line="480" w:lineRule="auto"/>
        <w:jc w:val="left"/>
        <w:outlineLvl w:val="1"/>
        <w:rPr>
          <w:rFonts w:hint="eastAsia" w:ascii="宋体" w:hAnsi="宋体" w:eastAsia="宋体"/>
          <w:b/>
          <w:bCs/>
          <w:color w:val="auto"/>
          <w:sz w:val="24"/>
          <w:szCs w:val="24"/>
        </w:rPr>
      </w:pPr>
      <w:bookmarkStart w:id="78" w:name="_Toc197644559"/>
      <w:r>
        <w:rPr>
          <w:rFonts w:hint="eastAsia" w:ascii="宋体" w:hAnsi="宋体" w:eastAsia="宋体" w:cs="宋体"/>
          <w:b/>
          <w:color w:val="auto"/>
          <w:sz w:val="24"/>
          <w:szCs w:val="24"/>
        </w:rPr>
        <w:t>定标</w:t>
      </w:r>
      <w:bookmarkEnd w:id="78"/>
    </w:p>
    <w:p w14:paraId="7B6F7041">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79" w:name="_Toc513029238"/>
      <w:bookmarkStart w:id="80" w:name="_Toc16938554"/>
      <w:bookmarkStart w:id="81" w:name="_Toc197644560"/>
      <w:r>
        <w:rPr>
          <w:rFonts w:hint="eastAsia" w:ascii="宋体" w:hAnsi="宋体" w:eastAsia="宋体" w:cs="宋体"/>
          <w:color w:val="auto"/>
          <w:sz w:val="24"/>
          <w:szCs w:val="24"/>
        </w:rPr>
        <w:t>确定</w:t>
      </w:r>
      <w:bookmarkEnd w:id="79"/>
      <w:bookmarkEnd w:id="80"/>
      <w:r>
        <w:rPr>
          <w:rFonts w:hint="eastAsia" w:ascii="宋体" w:hAnsi="宋体" w:eastAsia="宋体" w:cs="宋体"/>
          <w:color w:val="auto"/>
          <w:sz w:val="24"/>
          <w:szCs w:val="24"/>
        </w:rPr>
        <w:t>中标单位</w:t>
      </w:r>
      <w:bookmarkEnd w:id="81"/>
    </w:p>
    <w:p w14:paraId="73486815">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中标候选人的选取原则和数量见招标文件第五章规定。</w:t>
      </w:r>
    </w:p>
    <w:p w14:paraId="6041C58E">
      <w:pPr>
        <w:pStyle w:val="198"/>
        <w:numPr>
          <w:ilvl w:val="1"/>
          <w:numId w:val="9"/>
        </w:numPr>
        <w:spacing w:line="360" w:lineRule="auto"/>
        <w:ind w:left="0" w:firstLine="426"/>
        <w:rPr>
          <w:rFonts w:hint="eastAsia" w:ascii="宋体" w:hAnsi="宋体" w:eastAsia="宋体" w:cs="宋体"/>
          <w:color w:val="auto"/>
          <w:sz w:val="24"/>
          <w:szCs w:val="24"/>
        </w:rPr>
      </w:pPr>
      <w:r>
        <w:rPr>
          <w:rFonts w:ascii="宋体" w:hAnsi="宋体" w:eastAsia="宋体" w:cs="宋体"/>
          <w:color w:val="auto"/>
          <w:sz w:val="24"/>
          <w:szCs w:val="24"/>
        </w:rPr>
        <w:t>采购人应当自收到评标报告之日起</w:t>
      </w:r>
      <w:r>
        <w:rPr>
          <w:rFonts w:hint="eastAsia" w:ascii="宋体" w:hAnsi="宋体" w:eastAsia="宋体" w:cs="宋体"/>
          <w:color w:val="auto"/>
          <w:sz w:val="24"/>
          <w:szCs w:val="24"/>
        </w:rPr>
        <w:t>5</w:t>
      </w:r>
      <w:r>
        <w:rPr>
          <w:rFonts w:ascii="宋体" w:hAnsi="宋体" w:eastAsia="宋体" w:cs="宋体"/>
          <w:color w:val="auto"/>
          <w:sz w:val="24"/>
          <w:szCs w:val="24"/>
        </w:rPr>
        <w:t>个工作日内，在评标报告确定的中标候选人名单中按顺序确定中标人。</w:t>
      </w:r>
    </w:p>
    <w:p w14:paraId="4726B979">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采购代理机构将在“中国政府采购网”、“江苏政府采购网”、“盐城市政府采购网”发布中标公告，公告期限为1个工作日。</w:t>
      </w:r>
    </w:p>
    <w:p w14:paraId="4F60D9E1">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若有充分证据证明，中标人出现下列情况之一的，一经查实，将被取消中标资格：</w:t>
      </w:r>
    </w:p>
    <w:p w14:paraId="4E8A7168">
      <w:pPr>
        <w:pStyle w:val="198"/>
        <w:numPr>
          <w:ilvl w:val="2"/>
          <w:numId w:val="9"/>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提供虚假材料谋取中标的。</w:t>
      </w:r>
    </w:p>
    <w:p w14:paraId="3E328D13">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向采购人、采购代理机构行贿或者提供其他不正当利益的。</w:t>
      </w:r>
    </w:p>
    <w:p w14:paraId="4C5FE7B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属于本文件规定的无效条件，但在评标过程中又未被评委会发现的。</w:t>
      </w:r>
    </w:p>
    <w:p w14:paraId="56DDD84D">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与采购人或者其他供应商恶意串通的。</w:t>
      </w:r>
    </w:p>
    <w:p w14:paraId="468082C3">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采取不正当手段诋毁、排挤其他供应商的。</w:t>
      </w:r>
    </w:p>
    <w:p w14:paraId="18F53FF4">
      <w:pPr>
        <w:pStyle w:val="198"/>
        <w:numPr>
          <w:ilvl w:val="1"/>
          <w:numId w:val="9"/>
        </w:numPr>
        <w:spacing w:line="360" w:lineRule="auto"/>
        <w:ind w:left="0" w:firstLine="426"/>
        <w:outlineLvl w:val="3"/>
        <w:rPr>
          <w:rFonts w:hint="eastAsia" w:ascii="宋体" w:hAnsi="宋体" w:eastAsia="宋体" w:cs="宋体"/>
          <w:color w:val="auto"/>
          <w:sz w:val="24"/>
          <w:szCs w:val="24"/>
        </w:rPr>
      </w:pPr>
      <w:bookmarkStart w:id="82" w:name="_Toc200451960"/>
      <w:r>
        <w:rPr>
          <w:rFonts w:hint="eastAsia" w:ascii="宋体" w:hAnsi="宋体" w:eastAsia="宋体" w:cs="宋体"/>
          <w:color w:val="auto"/>
          <w:sz w:val="24"/>
          <w:szCs w:val="24"/>
        </w:rPr>
        <w:t>有下列情形之一的，视为投标人串通投标，投标无效：</w:t>
      </w:r>
      <w:bookmarkEnd w:id="82"/>
    </w:p>
    <w:p w14:paraId="1E421777">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不同投标人的投标文件由同一单位或者个人编制。</w:t>
      </w:r>
    </w:p>
    <w:p w14:paraId="47BA366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不同投标人委托同一单位或者个人办理投标事宜。</w:t>
      </w:r>
    </w:p>
    <w:p w14:paraId="5F873B5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不同投标人的投标文件载明的项目管理成员或者联系人员为同一人。</w:t>
      </w:r>
    </w:p>
    <w:p w14:paraId="504C0392">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不同投标人的投标文件异常一致或者投标报价呈规律性差异。</w:t>
      </w:r>
    </w:p>
    <w:p w14:paraId="21633140">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83" w:name="_Toc197644561"/>
      <w:r>
        <w:rPr>
          <w:rFonts w:hint="eastAsia" w:ascii="宋体" w:hAnsi="宋体" w:eastAsia="宋体" w:cs="宋体"/>
          <w:color w:val="auto"/>
          <w:sz w:val="24"/>
          <w:szCs w:val="24"/>
        </w:rPr>
        <w:t>质疑处理</w:t>
      </w:r>
      <w:bookmarkEnd w:id="83"/>
    </w:p>
    <w:p w14:paraId="689F0203">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提出质疑的供应商应当是参与所质疑项目采购活动的供应商。潜在供应商依法获取其可质疑的采购文件的，可以对采购文件提出质疑。</w:t>
      </w:r>
    </w:p>
    <w:p w14:paraId="49367724">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6B80D3C">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对可以质疑的采购文件提出质疑的，为收到采购文件之日或者采购文件公告期限届满之日；</w:t>
      </w:r>
    </w:p>
    <w:p w14:paraId="3F49EE44">
      <w:pPr>
        <w:pStyle w:val="198"/>
        <w:numPr>
          <w:ilvl w:val="2"/>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对采购过程提出质疑的，为各采购程序环节结束之日；</w:t>
      </w:r>
    </w:p>
    <w:p w14:paraId="3F81EE55">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对中标或者成交结果提出质疑的，为中标或者成交结果公告期限届满之日。</w:t>
      </w:r>
    </w:p>
    <w:p w14:paraId="3177FD0C">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4558B458">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质疑函必须按照本招标文件中《质疑函范本》要求的格式和内容进行填写。</w:t>
      </w:r>
    </w:p>
    <w:p w14:paraId="1ED20D86">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供应商（含潜在供应商）对采购文件、采购过程、</w:t>
      </w:r>
      <w:r>
        <w:rPr>
          <w:rFonts w:ascii="宋体" w:hAnsi="宋体" w:eastAsia="宋体" w:cs="宋体"/>
          <w:color w:val="auto"/>
          <w:sz w:val="24"/>
          <w:szCs w:val="24"/>
        </w:rPr>
        <w:t>中标或者成交结果</w:t>
      </w:r>
      <w:r>
        <w:rPr>
          <w:rFonts w:hint="eastAsia" w:ascii="宋体" w:hAnsi="宋体" w:eastAsia="宋体" w:cs="宋体"/>
          <w:color w:val="auto"/>
          <w:sz w:val="24"/>
          <w:szCs w:val="24"/>
        </w:rPr>
        <w:t>的询问、质疑请向采购代理机构提出，由采购代理机构负责答复。</w:t>
      </w:r>
    </w:p>
    <w:p w14:paraId="4A7C60FA">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采购代理机构只接收以纸质原件形式送达的质疑，采购代理机构不接受未填写快递运单的快件。</w:t>
      </w:r>
    </w:p>
    <w:p w14:paraId="51CFFCAD">
      <w:pPr>
        <w:pStyle w:val="198"/>
        <w:numPr>
          <w:ilvl w:val="1"/>
          <w:numId w:val="9"/>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以下情形的质疑不予受理</w:t>
      </w:r>
    </w:p>
    <w:p w14:paraId="2B33018C">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内容不符合《政府采购质疑和投诉办法》第十二条规定的质疑。</w:t>
      </w:r>
    </w:p>
    <w:p w14:paraId="57BD9FFC">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超出政府采购法定期限的质疑。</w:t>
      </w:r>
    </w:p>
    <w:p w14:paraId="31A5E05C">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以传真、电子邮件等方式递交的非原件形式的质疑。</w:t>
      </w:r>
    </w:p>
    <w:p w14:paraId="075FE32A">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未参加投标活动的供应商或在投标活动中自身权益未受到损害的供应商所提出的质疑。</w:t>
      </w:r>
    </w:p>
    <w:p w14:paraId="602AC0C8">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0CB5AEC">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84" w:name="_Toc197644562"/>
      <w:r>
        <w:rPr>
          <w:rFonts w:hint="eastAsia" w:ascii="宋体" w:hAnsi="宋体" w:eastAsia="宋体" w:cs="宋体"/>
          <w:color w:val="auto"/>
          <w:sz w:val="24"/>
          <w:szCs w:val="24"/>
        </w:rPr>
        <w:t>中标通知书</w:t>
      </w:r>
      <w:bookmarkEnd w:id="84"/>
    </w:p>
    <w:p w14:paraId="785F8D23">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5DE334F">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中标通知书将是合同的一个组成部分。对采购人和中标人均具有法律效力。中标通知书发出后，采购人改变中标结果的，或者中标人放弃中标项目的，应当依法承担法律责任。</w:t>
      </w:r>
    </w:p>
    <w:p w14:paraId="4D8940AD">
      <w:pPr>
        <w:pStyle w:val="198"/>
        <w:numPr>
          <w:ilvl w:val="0"/>
          <w:numId w:val="8"/>
        </w:numPr>
        <w:spacing w:line="480" w:lineRule="auto"/>
        <w:jc w:val="left"/>
        <w:outlineLvl w:val="1"/>
        <w:rPr>
          <w:rFonts w:hint="eastAsia" w:ascii="宋体" w:hAnsi="宋体" w:eastAsia="宋体"/>
          <w:b/>
          <w:bCs/>
          <w:color w:val="auto"/>
          <w:sz w:val="24"/>
          <w:szCs w:val="24"/>
        </w:rPr>
      </w:pPr>
      <w:bookmarkStart w:id="85" w:name="_Toc197644563"/>
      <w:r>
        <w:rPr>
          <w:rFonts w:hint="eastAsia" w:ascii="宋体" w:hAnsi="宋体" w:eastAsia="宋体" w:cs="宋体"/>
          <w:b/>
          <w:color w:val="auto"/>
          <w:sz w:val="24"/>
          <w:szCs w:val="24"/>
        </w:rPr>
        <w:t>授予合同</w:t>
      </w:r>
      <w:bookmarkEnd w:id="85"/>
    </w:p>
    <w:p w14:paraId="77064DE7">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86" w:name="_Toc513029237"/>
      <w:bookmarkStart w:id="87" w:name="_Toc20823309"/>
      <w:bookmarkStart w:id="88" w:name="_Toc197644564"/>
      <w:bookmarkStart w:id="89" w:name="_Toc16938553"/>
      <w:r>
        <w:rPr>
          <w:rFonts w:hint="eastAsia" w:ascii="宋体" w:hAnsi="宋体" w:eastAsia="宋体" w:cs="宋体"/>
          <w:color w:val="auto"/>
          <w:sz w:val="24"/>
          <w:szCs w:val="24"/>
        </w:rPr>
        <w:t>签订合同</w:t>
      </w:r>
      <w:bookmarkEnd w:id="86"/>
      <w:bookmarkEnd w:id="87"/>
      <w:bookmarkEnd w:id="88"/>
      <w:bookmarkEnd w:id="89"/>
    </w:p>
    <w:p w14:paraId="3A3C3A1C">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中标人应当在中标通知书发出之日起三十日内（原则上应在15日内签订采购合同），按照招标文件确定的事项与采购人签订政府采购合同。</w:t>
      </w:r>
    </w:p>
    <w:p w14:paraId="25F0DFB4">
      <w:pPr>
        <w:pStyle w:val="198"/>
        <w:numPr>
          <w:ilvl w:val="1"/>
          <w:numId w:val="9"/>
        </w:numPr>
        <w:spacing w:line="360" w:lineRule="auto"/>
        <w:ind w:left="0" w:firstLine="426"/>
        <w:rPr>
          <w:rFonts w:hint="eastAsia" w:ascii="宋体" w:hAnsi="宋体" w:eastAsia="宋体" w:cs="宋体"/>
          <w:color w:val="auto"/>
          <w:sz w:val="24"/>
          <w:szCs w:val="24"/>
        </w:rPr>
      </w:pPr>
      <w:r>
        <w:rPr>
          <w:rFonts w:ascii="宋体" w:hAnsi="宋体" w:eastAsia="宋体" w:cs="宋体"/>
          <w:color w:val="auto"/>
          <w:sz w:val="24"/>
          <w:szCs w:val="24"/>
        </w:rPr>
        <w:t>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szCs w:val="24"/>
        </w:rPr>
        <w:t>。</w:t>
      </w:r>
    </w:p>
    <w:p w14:paraId="0A9126D0">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招标文件、中标人的投标文件及招标过程中有关澄清、承诺文件均应作为合同附件。</w:t>
      </w:r>
    </w:p>
    <w:p w14:paraId="5DB17E43">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签订合同后，</w:t>
      </w:r>
      <w:r>
        <w:rPr>
          <w:rFonts w:hint="eastAsia" w:ascii="宋体" w:hAnsi="宋体" w:eastAsia="宋体" w:cs="宋体"/>
          <w:b/>
          <w:bCs/>
          <w:i/>
          <w:iCs/>
          <w:color w:val="auto"/>
          <w:sz w:val="24"/>
          <w:szCs w:val="24"/>
          <w:u w:val="single"/>
        </w:rPr>
        <w:t>中标人不得将合同标的进行转包</w:t>
      </w:r>
      <w:r>
        <w:rPr>
          <w:rFonts w:hint="eastAsia" w:ascii="宋体" w:hAnsi="宋体" w:eastAsia="宋体" w:cs="宋体"/>
          <w:color w:val="auto"/>
          <w:sz w:val="24"/>
          <w:szCs w:val="24"/>
        </w:rPr>
        <w:t>。未经采购人同意，中标人也不得采用分包的形式履行合同，否则采购人有权终止合同。转包或分包造成采购人损失的，中标人应承担相应赔偿责任。</w:t>
      </w:r>
    </w:p>
    <w:p w14:paraId="1963F1F4">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90" w:name="_Toc197644565"/>
      <w:r>
        <w:rPr>
          <w:rFonts w:hint="eastAsia" w:ascii="宋体" w:hAnsi="宋体" w:eastAsia="宋体" w:cs="宋体"/>
          <w:color w:val="auto"/>
          <w:sz w:val="24"/>
          <w:szCs w:val="24"/>
        </w:rPr>
        <w:t>服务（包含与服务相关的货物）的追加</w:t>
      </w:r>
      <w:bookmarkEnd w:id="90"/>
    </w:p>
    <w:p w14:paraId="7DA0DA53">
      <w:pPr>
        <w:pStyle w:val="198"/>
        <w:numPr>
          <w:ilvl w:val="1"/>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41D15DEF">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91" w:name="_Toc197644566"/>
      <w:r>
        <w:rPr>
          <w:rFonts w:hint="eastAsia" w:ascii="宋体" w:hAnsi="宋体" w:eastAsia="宋体" w:cs="宋体"/>
          <w:color w:val="auto"/>
          <w:sz w:val="24"/>
          <w:szCs w:val="24"/>
        </w:rPr>
        <w:t>政府采购政策功能落实</w:t>
      </w:r>
      <w:bookmarkEnd w:id="91"/>
    </w:p>
    <w:p w14:paraId="27131DA7">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政府采购线上合同信用融资政策</w:t>
      </w:r>
    </w:p>
    <w:p w14:paraId="116AB0D1">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14:paraId="0ABF2FDC">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进口产品</w:t>
      </w:r>
    </w:p>
    <w:p w14:paraId="7EF9D5BF">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9F09CA8">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中小企业、监狱企业及残疾人福利性单位</w:t>
      </w:r>
    </w:p>
    <w:p w14:paraId="2983BAF3">
      <w:pPr>
        <w:pStyle w:val="198"/>
        <w:numPr>
          <w:ilvl w:val="2"/>
          <w:numId w:val="9"/>
        </w:numPr>
        <w:spacing w:line="360" w:lineRule="auto"/>
        <w:ind w:left="0" w:firstLine="426"/>
        <w:outlineLvl w:val="4"/>
        <w:rPr>
          <w:rFonts w:hint="eastAsia" w:ascii="宋体" w:hAnsi="宋体" w:eastAsia="宋体" w:cs="宋体"/>
          <w:color w:val="auto"/>
          <w:sz w:val="24"/>
          <w:szCs w:val="24"/>
        </w:rPr>
      </w:pPr>
      <w:r>
        <w:rPr>
          <w:rFonts w:hint="eastAsia" w:ascii="宋体" w:hAnsi="宋体" w:eastAsia="宋体" w:cs="宋体"/>
          <w:color w:val="auto"/>
          <w:sz w:val="24"/>
          <w:szCs w:val="24"/>
        </w:rPr>
        <w:t>中小企业定义：</w:t>
      </w:r>
    </w:p>
    <w:p w14:paraId="3A22C137">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785C97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供应商提供的货物、工程或者服务符合下列情形的，享受中小企业扶持政策：</w:t>
      </w:r>
    </w:p>
    <w:p w14:paraId="2F688F79">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在货物采购项目中，货物由中小企业制造，即货物由中小企业生产且使用该中小企业商号或者注册商标；</w:t>
      </w:r>
    </w:p>
    <w:p w14:paraId="4C97B7F9">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在工程采购项目中，工程由中小企业承建，即工程施工单位为中小企业；</w:t>
      </w:r>
    </w:p>
    <w:p w14:paraId="796876A2">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在服务采购项目中，服务由中小企业承接，即提供服务的人员为中小企业依照《中华人民共和国劳动合同法》订立劳动合同的从业人员。</w:t>
      </w:r>
    </w:p>
    <w:p w14:paraId="5AF27ECB">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在货物采购项目中，供应商提供的货物既有中小企业制造货物，也有大型企业制造货物的，不享受中小企业扶持政策。</w:t>
      </w:r>
    </w:p>
    <w:p w14:paraId="7F4658B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39813A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残疾人福利单位定义：享受政府采购支持政策的残疾人福利性单位应当同时满足以下条件：</w:t>
      </w:r>
    </w:p>
    <w:p w14:paraId="32B40DFC">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安置的残疾人占本单位在职职工人数的比例不低于25%（含25%），并且安置的残疾人人数不少于10 人（含10 人）；</w:t>
      </w:r>
    </w:p>
    <w:p w14:paraId="312D57F0">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依法与安置的每位残疾人签订了一年以上（含一年）的劳动合同或服务协议；</w:t>
      </w:r>
    </w:p>
    <w:p w14:paraId="6CD26209">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为安置的每位残疾人按月足额缴纳了基本养老保险、基本医疗保险、失业保险、工伤保险和生育保险等社会保险费；</w:t>
      </w:r>
    </w:p>
    <w:p w14:paraId="13B7847B">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通过银行等金融机构向安置的每位残疾人，按月支付了不低于单位所在区县适用的经省级人民政府批准的月最低工资标准的工资；</w:t>
      </w:r>
    </w:p>
    <w:p w14:paraId="3E8A8D11">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提供本单位制造的货物、承担的工程或者服务（以下简称产品），或者提供其他残疾人福利性单位制造的货物（不包括使用非残疾人福利性单位注册商标的货物）；</w:t>
      </w:r>
    </w:p>
    <w:p w14:paraId="15294E06">
      <w:pPr>
        <w:pStyle w:val="198"/>
        <w:numPr>
          <w:ilvl w:val="3"/>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7DE0B28">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本项目是否专门面向中小企业预留采购份额见第一章《招标公告》。</w:t>
      </w:r>
    </w:p>
    <w:p w14:paraId="6124E8BF">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采购标的对应的中小企业划分标准所属行业见第四章《采购需求》。</w:t>
      </w:r>
    </w:p>
    <w:p w14:paraId="11422F04">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小微企业价格评审优惠的政策：见第五章《评标方法和评标标准》。</w:t>
      </w:r>
    </w:p>
    <w:p w14:paraId="4380189F">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政府采购节能产品、环境标志产品</w:t>
      </w:r>
    </w:p>
    <w:p w14:paraId="22554CD2">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30856F0E">
      <w:pPr>
        <w:pStyle w:val="198"/>
        <w:numPr>
          <w:ilvl w:val="2"/>
          <w:numId w:val="9"/>
        </w:numPr>
        <w:spacing w:line="360" w:lineRule="auto"/>
        <w:ind w:left="0" w:firstLine="426"/>
        <w:rPr>
          <w:rFonts w:hint="eastAsia" w:ascii="宋体" w:hAnsi="宋体" w:eastAsia="宋体" w:cs="宋体"/>
          <w:color w:val="auto"/>
          <w:sz w:val="24"/>
          <w:szCs w:val="24"/>
        </w:rPr>
      </w:pPr>
      <w:r>
        <w:rPr>
          <w:rFonts w:hint="eastAsia" w:ascii="宋体" w:hAnsi="宋体" w:eastAsia="宋体" w:cs="宋体"/>
          <w:color w:val="auto"/>
          <w:sz w:val="24"/>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4C65211">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绿色包装</w:t>
      </w:r>
    </w:p>
    <w:p w14:paraId="557E1E50">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8102166">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政府采购创新产品</w:t>
      </w:r>
    </w:p>
    <w:p w14:paraId="08655070">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采购人优先采购各级政府部门公开发布的有效期内的创新产品、创新服务、首台套、首购首用等《目录》的创新产品。</w:t>
      </w:r>
    </w:p>
    <w:p w14:paraId="5D681100">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 xml:space="preserve">绿色数据中心政策 </w:t>
      </w:r>
    </w:p>
    <w:p w14:paraId="436C26B0">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4226B56">
      <w:pPr>
        <w:pStyle w:val="198"/>
        <w:numPr>
          <w:ilvl w:val="1"/>
          <w:numId w:val="9"/>
        </w:numPr>
        <w:spacing w:line="360" w:lineRule="auto"/>
        <w:ind w:left="0" w:firstLine="426"/>
        <w:outlineLvl w:val="3"/>
        <w:rPr>
          <w:rFonts w:hint="eastAsia" w:ascii="宋体" w:hAnsi="宋体" w:eastAsia="宋体" w:cs="宋体"/>
          <w:color w:val="auto"/>
          <w:sz w:val="24"/>
          <w:szCs w:val="24"/>
        </w:rPr>
      </w:pPr>
      <w:r>
        <w:rPr>
          <w:rFonts w:hint="eastAsia" w:ascii="宋体" w:hAnsi="宋体" w:eastAsia="宋体" w:cs="宋体"/>
          <w:color w:val="auto"/>
          <w:sz w:val="24"/>
          <w:szCs w:val="24"/>
        </w:rPr>
        <w:t>履约保证金政策</w:t>
      </w:r>
    </w:p>
    <w:p w14:paraId="07FDBF23">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确需收取履约保证金的，履约保证金的提交形式：</w:t>
      </w:r>
    </w:p>
    <w:p w14:paraId="3F59B055">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p>
    <w:p w14:paraId="0BB0A17F">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如以履约保函（保险）形式提交履约保证金，供应商可通过政府采购电子履约保函（保险）平台（www.jsdzbh.com）在线申请履约保函（保险）。</w:t>
      </w:r>
    </w:p>
    <w:p w14:paraId="5452E3B4">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部门备案的第三方信用报告，且信用报告通过“信用盐城网”可查实），免收履约保证金或降低履约保证金提交比例。</w:t>
      </w:r>
    </w:p>
    <w:p w14:paraId="377F03D0">
      <w:pPr>
        <w:pStyle w:val="198"/>
        <w:numPr>
          <w:ilvl w:val="0"/>
          <w:numId w:val="9"/>
        </w:numPr>
        <w:spacing w:line="360" w:lineRule="auto"/>
        <w:ind w:left="0" w:firstLine="425"/>
        <w:outlineLvl w:val="2"/>
        <w:rPr>
          <w:rFonts w:hint="eastAsia" w:ascii="宋体" w:hAnsi="宋体" w:eastAsia="宋体" w:cs="宋体"/>
          <w:color w:val="auto"/>
          <w:sz w:val="24"/>
          <w:szCs w:val="24"/>
        </w:rPr>
      </w:pPr>
      <w:bookmarkStart w:id="92" w:name="_Toc197644567"/>
      <w:r>
        <w:rPr>
          <w:rFonts w:hint="eastAsia" w:ascii="宋体" w:hAnsi="宋体" w:eastAsia="宋体" w:cs="宋体"/>
          <w:color w:val="auto"/>
          <w:sz w:val="24"/>
          <w:szCs w:val="24"/>
        </w:rPr>
        <w:t>预付款制度</w:t>
      </w:r>
      <w:bookmarkEnd w:id="92"/>
    </w:p>
    <w:p w14:paraId="7D9EB15D">
      <w:pPr>
        <w:pStyle w:val="198"/>
        <w:spacing w:line="360" w:lineRule="auto"/>
        <w:ind w:left="0" w:firstLine="424"/>
        <w:rPr>
          <w:rFonts w:hint="eastAsia" w:ascii="宋体" w:hAnsi="宋体" w:eastAsia="宋体" w:cs="宋体"/>
          <w:color w:val="auto"/>
          <w:sz w:val="24"/>
          <w:szCs w:val="24"/>
        </w:rPr>
      </w:pPr>
      <w:r>
        <w:rPr>
          <w:rFonts w:hint="eastAsia" w:ascii="宋体" w:hAnsi="宋体" w:eastAsia="宋体" w:cs="宋体"/>
          <w:color w:val="auto"/>
          <w:sz w:val="24"/>
          <w:szCs w:val="24"/>
        </w:rPr>
        <w:t>本项目落实预付款制度，预付款比例为</w:t>
      </w:r>
      <w:r>
        <w:rPr>
          <w:rFonts w:hint="eastAsia" w:ascii="宋体" w:hAnsi="宋体" w:eastAsia="宋体" w:cs="宋体"/>
          <w:color w:val="auto"/>
          <w:sz w:val="24"/>
          <w:szCs w:val="24"/>
          <w:u w:val="single"/>
        </w:rPr>
        <w:t xml:space="preserve"> 30 </w:t>
      </w:r>
      <w:r>
        <w:rPr>
          <w:rFonts w:hint="eastAsia" w:ascii="宋体" w:hAnsi="宋体" w:eastAsia="宋体" w:cs="宋体"/>
          <w:color w:val="auto"/>
          <w:sz w:val="24"/>
          <w:szCs w:val="24"/>
        </w:rPr>
        <w:t>%。在签订合同时，中标人明确书面表示无需预付款或者主动要求降低预付款比例的，采购人可就预付款比例作相应调整。</w:t>
      </w:r>
      <w:bookmarkEnd w:id="20"/>
    </w:p>
    <w:p w14:paraId="40318684">
      <w:pPr>
        <w:pStyle w:val="32"/>
        <w:keepNext/>
        <w:keepLines/>
        <w:spacing w:before="145" w:after="145" w:line="460" w:lineRule="exact"/>
        <w:outlineLvl w:val="1"/>
        <w:rPr>
          <w:rFonts w:hint="eastAsia" w:ascii="宋体" w:hAnsi="宋体" w:cs="宋体"/>
          <w:b/>
          <w:color w:val="auto"/>
          <w:sz w:val="24"/>
        </w:rPr>
      </w:pPr>
      <w:r>
        <w:rPr>
          <w:rFonts w:hint="eastAsia" w:ascii="宋体" w:hAnsi="宋体" w:cs="宋体"/>
          <w:b/>
          <w:color w:val="auto"/>
          <w:sz w:val="24"/>
        </w:rPr>
        <w:t>八、踏勘</w:t>
      </w:r>
    </w:p>
    <w:p w14:paraId="43D524B6">
      <w:pPr>
        <w:pStyle w:val="198"/>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p>
    <w:p w14:paraId="46844DCB">
      <w:pPr>
        <w:pStyle w:val="198"/>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采购人在踏勘现场中介绍的项目情况，供应商在编制响应文件时参考，采购人不对供应商据此作出的判断和决策负责。</w:t>
      </w:r>
    </w:p>
    <w:p w14:paraId="31A05B4E">
      <w:pPr>
        <w:pStyle w:val="198"/>
        <w:spacing w:line="360" w:lineRule="auto"/>
        <w:ind w:left="0" w:firstLine="424"/>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供应商承担踏勘现场所发生的自身费用。</w:t>
      </w:r>
    </w:p>
    <w:p w14:paraId="0168FF4D">
      <w:pPr>
        <w:pStyle w:val="198"/>
        <w:spacing w:line="360" w:lineRule="auto"/>
        <w:ind w:left="0" w:firstLine="424"/>
        <w:rPr>
          <w:rFonts w:hint="eastAsia" w:ascii="宋体" w:hAnsi="宋体" w:eastAsia="宋体" w:cs="宋体"/>
          <w:color w:val="auto"/>
          <w:sz w:val="24"/>
          <w:szCs w:val="24"/>
          <w14:ligatures w14:val="standardContextual"/>
        </w:rPr>
      </w:pPr>
    </w:p>
    <w:p w14:paraId="3A945EC2">
      <w:pPr>
        <w:rPr>
          <w:rFonts w:hint="eastAsia" w:ascii="宋体" w:hAnsi="宋体" w:eastAsia="宋体"/>
          <w:color w:val="auto"/>
        </w:rPr>
      </w:pPr>
    </w:p>
    <w:p w14:paraId="1816A126">
      <w:pPr>
        <w:widowControl/>
        <w:jc w:val="left"/>
        <w:rPr>
          <w:rFonts w:hint="eastAsia" w:ascii="宋体" w:hAnsi="宋体" w:eastAsia="宋体"/>
          <w:color w:val="auto"/>
        </w:rPr>
      </w:pPr>
      <w:r>
        <w:rPr>
          <w:rFonts w:hint="eastAsia" w:ascii="宋体" w:hAnsi="宋体" w:eastAsia="宋体"/>
          <w:color w:val="auto"/>
        </w:rPr>
        <w:br w:type="page" w:clear="all"/>
      </w:r>
    </w:p>
    <w:p w14:paraId="6023A095">
      <w:pPr>
        <w:pStyle w:val="5"/>
        <w:keepNext w:val="0"/>
        <w:keepLines w:val="0"/>
        <w:pageBreakBefore w:val="0"/>
        <w:widowControl w:val="0"/>
        <w:numPr>
          <w:ilvl w:val="0"/>
          <w:numId w:val="1"/>
        </w:numPr>
        <w:kinsoku/>
        <w:wordWrap/>
        <w:overflowPunct/>
        <w:topLinePunct w:val="0"/>
        <w:autoSpaceDE/>
        <w:autoSpaceDN/>
        <w:bidi w:val="0"/>
        <w:adjustRightInd/>
        <w:snapToGrid/>
        <w:spacing w:before="0" w:beforeAutospacing="0" w:after="0" w:afterAutospacing="0" w:line="520" w:lineRule="exact"/>
        <w:ind w:left="0" w:firstLine="0"/>
        <w:jc w:val="center"/>
        <w:textAlignment w:val="auto"/>
        <w:outlineLvl w:val="0"/>
        <w:rPr>
          <w:rFonts w:hint="eastAsia" w:ascii="宋体" w:hAnsi="宋体" w:eastAsia="宋体" w:cs="Times New Roman"/>
          <w:b/>
          <w:bCs/>
          <w:color w:val="auto"/>
          <w:sz w:val="32"/>
          <w:szCs w:val="32"/>
          <w14:ligatures w14:val="none"/>
        </w:rPr>
      </w:pPr>
      <w:bookmarkStart w:id="93" w:name="_Toc197644568"/>
      <w:r>
        <w:rPr>
          <w:rFonts w:hint="eastAsia" w:ascii="宋体" w:hAnsi="宋体" w:eastAsia="宋体" w:cs="Times New Roman"/>
          <w:b/>
          <w:bCs/>
          <w:color w:val="auto"/>
          <w:sz w:val="32"/>
          <w:szCs w:val="32"/>
          <w14:ligatures w14:val="none"/>
        </w:rPr>
        <w:t>合同文本</w:t>
      </w:r>
      <w:bookmarkEnd w:id="93"/>
    </w:p>
    <w:p w14:paraId="055425B8">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jc w:val="both"/>
        <w:textAlignment w:val="auto"/>
        <w:rPr>
          <w:color w:val="auto"/>
          <w:sz w:val="24"/>
          <w:szCs w:val="24"/>
          <w:highlight w:val="none"/>
        </w:rPr>
      </w:pPr>
      <w:r>
        <w:rPr>
          <w:rFonts w:hint="eastAsia" w:ascii="宋体" w:hAnsi="宋体" w:eastAsia="宋体" w:cs="宋体"/>
          <w:color w:val="auto"/>
          <w:sz w:val="24"/>
          <w:szCs w:val="24"/>
          <w:highlight w:val="none"/>
        </w:rPr>
        <w:t>以下为中标后签定本项目合同的通用条款，中标人不得提出实质性的修改。</w:t>
      </w:r>
    </w:p>
    <w:p w14:paraId="0DC65CCE">
      <w:pPr>
        <w:keepNext w:val="0"/>
        <w:keepLines w:val="0"/>
        <w:pageBreakBefore w:val="0"/>
        <w:widowControl w:val="0"/>
        <w:kinsoku/>
        <w:wordWrap/>
        <w:overflowPunct/>
        <w:topLinePunct w:val="0"/>
        <w:autoSpaceDE/>
        <w:autoSpaceDN/>
        <w:bidi w:val="0"/>
        <w:adjustRightInd/>
        <w:snapToGrid/>
        <w:spacing w:beforeAutospacing="0" w:afterAutospacing="0" w:line="520" w:lineRule="exact"/>
        <w:jc w:val="center"/>
        <w:textAlignment w:val="auto"/>
        <w:outlineLvl w:val="1"/>
        <w:rPr>
          <w:rFonts w:eastAsia="仿宋"/>
          <w:color w:val="auto"/>
          <w:sz w:val="32"/>
          <w:szCs w:val="32"/>
        </w:rPr>
      </w:pPr>
      <w:r>
        <w:rPr>
          <w:rFonts w:hint="eastAsia"/>
          <w:b/>
          <w:bCs/>
          <w:color w:val="auto"/>
          <w:sz w:val="32"/>
          <w:szCs w:val="32"/>
        </w:rPr>
        <w:t>政府采购合同（服务）</w:t>
      </w:r>
    </w:p>
    <w:p w14:paraId="2B81D0AC">
      <w:pPr>
        <w:pStyle w:val="19"/>
        <w:keepNext w:val="0"/>
        <w:keepLines w:val="0"/>
        <w:pageBreakBefore w:val="0"/>
        <w:widowControl w:val="0"/>
        <w:tabs>
          <w:tab w:val="right" w:pos="8700"/>
        </w:tabs>
        <w:kinsoku/>
        <w:wordWrap/>
        <w:overflowPunct/>
        <w:topLinePunct w:val="0"/>
        <w:autoSpaceDE/>
        <w:autoSpaceDN/>
        <w:bidi w:val="0"/>
        <w:adjustRightInd/>
        <w:snapToGrid w:val="0"/>
        <w:spacing w:line="520" w:lineRule="exact"/>
        <w:ind w:left="0" w:leftChars="0" w:right="0" w:firstLine="480" w:firstLineChars="200"/>
        <w:textAlignment w:val="auto"/>
        <w:outlineLvl w:val="9"/>
        <w:rPr>
          <w:rFonts w:ascii="宋体" w:hAnsi="宋体" w:cs="宋体"/>
          <w:color w:val="auto"/>
          <w:sz w:val="24"/>
        </w:rPr>
      </w:pPr>
      <w:bookmarkStart w:id="94" w:name="_Toc30451"/>
      <w:bookmarkStart w:id="95" w:name="_Toc4438"/>
      <w:bookmarkStart w:id="96" w:name="_Toc893"/>
      <w:bookmarkStart w:id="97" w:name="_Toc513029243"/>
      <w:bookmarkStart w:id="98" w:name="_Toc20823315"/>
      <w:bookmarkStart w:id="99" w:name="_Toc16938559"/>
      <w:r>
        <w:rPr>
          <w:rFonts w:ascii="宋体" w:hAnsi="宋体" w:cs="宋体"/>
          <w:color w:val="auto"/>
          <w:sz w:val="24"/>
        </w:rPr>
        <w:t>根据《中华人民共和国政府采购法》、《中华人民共和国民法典》及国家有关法规规定，经</w:t>
      </w:r>
      <w:r>
        <w:rPr>
          <w:rFonts w:hint="eastAsia" w:ascii="宋体" w:hAnsi="宋体" w:cs="宋体"/>
          <w:color w:val="auto"/>
          <w:sz w:val="24"/>
          <w:lang w:val="en-US" w:eastAsia="zh-CN"/>
        </w:rPr>
        <w:t>公开招标</w:t>
      </w:r>
      <w:r>
        <w:rPr>
          <w:rFonts w:ascii="宋体" w:hAnsi="宋体" w:cs="宋体"/>
          <w:color w:val="auto"/>
          <w:sz w:val="24"/>
        </w:rPr>
        <w:t>确定该项目供应商。为明确责任，协作配合，结合本项目的具体情况，确保项目供应商根据本项目响应文件及其它有关规定实施本项目的各项工作，并经协商一致，签订本合同，共同遵守。</w:t>
      </w:r>
      <w:bookmarkEnd w:id="94"/>
      <w:bookmarkEnd w:id="95"/>
      <w:bookmarkEnd w:id="96"/>
    </w:p>
    <w:bookmarkEnd w:id="97"/>
    <w:bookmarkEnd w:id="98"/>
    <w:bookmarkEnd w:id="99"/>
    <w:p w14:paraId="6F54FB4F">
      <w:pPr>
        <w:pStyle w:val="19"/>
        <w:keepNext w:val="0"/>
        <w:keepLines w:val="0"/>
        <w:pageBreakBefore w:val="0"/>
        <w:widowControl w:val="0"/>
        <w:kinsoku/>
        <w:wordWrap/>
        <w:overflowPunct/>
        <w:topLinePunct w:val="0"/>
        <w:autoSpaceDE/>
        <w:autoSpaceDN/>
        <w:bidi w:val="0"/>
        <w:adjustRightInd/>
        <w:snapToGrid w:val="0"/>
        <w:spacing w:line="520" w:lineRule="exact"/>
        <w:ind w:left="0" w:leftChars="0" w:right="0" w:firstLine="480" w:firstLineChars="200"/>
        <w:textAlignment w:val="auto"/>
        <w:outlineLvl w:val="9"/>
        <w:rPr>
          <w:rFonts w:ascii="宋体" w:hAnsi="宋体" w:cs="宋体"/>
          <w:color w:val="auto"/>
          <w:sz w:val="24"/>
        </w:rPr>
      </w:pPr>
      <w:r>
        <w:rPr>
          <w:rFonts w:ascii="宋体" w:hAnsi="宋体" w:cs="宋体"/>
          <w:color w:val="auto"/>
          <w:sz w:val="24"/>
        </w:rPr>
        <w:t>项目名称：</w:t>
      </w:r>
      <w:r>
        <w:rPr>
          <w:rFonts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ascii="宋体" w:hAnsi="宋体" w:cs="宋体"/>
          <w:color w:val="auto"/>
          <w:sz w:val="24"/>
          <w:u w:val="single"/>
        </w:rPr>
        <w:t xml:space="preserve"> </w:t>
      </w:r>
      <w:r>
        <w:rPr>
          <w:rFonts w:ascii="宋体" w:hAnsi="宋体" w:cs="宋体"/>
          <w:color w:val="auto"/>
          <w:sz w:val="24"/>
        </w:rPr>
        <w:t xml:space="preserve">  </w:t>
      </w:r>
    </w:p>
    <w:p w14:paraId="607FBD7C">
      <w:pPr>
        <w:pStyle w:val="19"/>
        <w:keepNext w:val="0"/>
        <w:keepLines w:val="0"/>
        <w:pageBreakBefore w:val="0"/>
        <w:widowControl w:val="0"/>
        <w:kinsoku/>
        <w:wordWrap/>
        <w:overflowPunct/>
        <w:topLinePunct w:val="0"/>
        <w:autoSpaceDE/>
        <w:autoSpaceDN/>
        <w:bidi w:val="0"/>
        <w:adjustRightInd/>
        <w:snapToGrid w:val="0"/>
        <w:spacing w:line="520" w:lineRule="exact"/>
        <w:ind w:left="0" w:leftChars="0" w:right="0" w:firstLine="480" w:firstLineChars="200"/>
        <w:textAlignment w:val="auto"/>
        <w:outlineLvl w:val="9"/>
        <w:rPr>
          <w:rFonts w:ascii="宋体" w:hAnsi="宋体" w:cs="宋体"/>
          <w:color w:val="auto"/>
          <w:sz w:val="24"/>
        </w:rPr>
      </w:pPr>
      <w:r>
        <w:rPr>
          <w:rFonts w:ascii="宋体" w:hAnsi="宋体" w:cs="宋体"/>
          <w:color w:val="auto"/>
          <w:sz w:val="24"/>
        </w:rPr>
        <w:t>采购人：</w:t>
      </w:r>
      <w:r>
        <w:rPr>
          <w:rFonts w:ascii="宋体" w:hAnsi="宋体" w:cs="宋体"/>
          <w:color w:val="auto"/>
          <w:kern w:val="2"/>
          <w:sz w:val="24"/>
          <w:u w:val="single"/>
        </w:rPr>
        <w:t xml:space="preserve">             </w:t>
      </w:r>
      <w:r>
        <w:rPr>
          <w:rFonts w:hint="eastAsia" w:ascii="宋体" w:hAnsi="宋体" w:cs="宋体"/>
          <w:color w:val="auto"/>
          <w:kern w:val="2"/>
          <w:sz w:val="24"/>
          <w:u w:val="single"/>
          <w:lang w:val="en-US" w:eastAsia="zh-CN"/>
        </w:rPr>
        <w:t xml:space="preserve">  </w:t>
      </w:r>
      <w:r>
        <w:rPr>
          <w:rFonts w:ascii="宋体" w:hAnsi="宋体" w:cs="宋体"/>
          <w:color w:val="auto"/>
          <w:kern w:val="2"/>
          <w:sz w:val="24"/>
          <w:u w:val="single"/>
        </w:rPr>
        <w:t xml:space="preserve">    </w:t>
      </w:r>
      <w:r>
        <w:rPr>
          <w:rFonts w:ascii="宋体" w:hAnsi="宋体" w:cs="宋体"/>
          <w:color w:val="auto"/>
          <w:sz w:val="24"/>
        </w:rPr>
        <w:t>（简称甲方）</w:t>
      </w:r>
    </w:p>
    <w:p w14:paraId="34B873AA">
      <w:pPr>
        <w:pStyle w:val="19"/>
        <w:keepNext w:val="0"/>
        <w:keepLines w:val="0"/>
        <w:pageBreakBefore w:val="0"/>
        <w:widowControl w:val="0"/>
        <w:kinsoku/>
        <w:wordWrap/>
        <w:overflowPunct/>
        <w:topLinePunct w:val="0"/>
        <w:autoSpaceDE/>
        <w:autoSpaceDN/>
        <w:bidi w:val="0"/>
        <w:adjustRightInd/>
        <w:snapToGrid w:val="0"/>
        <w:spacing w:line="520" w:lineRule="exact"/>
        <w:ind w:left="0" w:leftChars="0" w:right="0" w:firstLine="480" w:firstLineChars="200"/>
        <w:textAlignment w:val="auto"/>
        <w:outlineLvl w:val="9"/>
        <w:rPr>
          <w:rFonts w:ascii="宋体" w:hAnsi="宋体" w:cs="宋体"/>
          <w:color w:val="auto"/>
          <w:sz w:val="24"/>
        </w:rPr>
      </w:pPr>
      <w:r>
        <w:rPr>
          <w:rFonts w:ascii="宋体" w:hAnsi="宋体" w:cs="宋体"/>
          <w:color w:val="auto"/>
          <w:sz w:val="24"/>
        </w:rPr>
        <w:t>成交人：</w:t>
      </w:r>
      <w:r>
        <w:rPr>
          <w:rFonts w:ascii="宋体" w:hAnsi="宋体" w:cs="宋体"/>
          <w:color w:val="auto"/>
          <w:kern w:val="2"/>
          <w:sz w:val="24"/>
          <w:u w:val="single"/>
        </w:rPr>
        <w:t xml:space="preserve">                   </w:t>
      </w:r>
      <w:r>
        <w:rPr>
          <w:rFonts w:ascii="宋体" w:hAnsi="宋体" w:cs="宋体"/>
          <w:color w:val="auto"/>
          <w:sz w:val="24"/>
        </w:rPr>
        <w:t xml:space="preserve"> （简称乙方）</w:t>
      </w:r>
    </w:p>
    <w:p w14:paraId="3A495CA7">
      <w:pPr>
        <w:pStyle w:val="19"/>
        <w:keepNext w:val="0"/>
        <w:keepLines w:val="0"/>
        <w:pageBreakBefore w:val="0"/>
        <w:widowControl w:val="0"/>
        <w:kinsoku/>
        <w:wordWrap/>
        <w:overflowPunct/>
        <w:topLinePunct w:val="0"/>
        <w:autoSpaceDE/>
        <w:autoSpaceDN/>
        <w:bidi w:val="0"/>
        <w:adjustRightInd/>
        <w:snapToGrid w:val="0"/>
        <w:spacing w:line="520" w:lineRule="exact"/>
        <w:ind w:left="0" w:leftChars="0" w:right="0" w:firstLine="480" w:firstLineChars="200"/>
        <w:textAlignment w:val="auto"/>
        <w:outlineLvl w:val="9"/>
        <w:rPr>
          <w:rFonts w:ascii="宋体" w:hAnsi="宋体" w:cs="宋体"/>
          <w:b/>
          <w:color w:val="auto"/>
          <w:sz w:val="24"/>
        </w:rPr>
      </w:pPr>
      <w:r>
        <w:rPr>
          <w:rFonts w:ascii="宋体" w:hAnsi="宋体" w:cs="宋体"/>
          <w:color w:val="auto"/>
          <w:sz w:val="24"/>
        </w:rPr>
        <w:t>甲、乙双方根据</w:t>
      </w:r>
      <w:r>
        <w:rPr>
          <w:rFonts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ascii="宋体" w:hAnsi="宋体" w:cs="宋体"/>
          <w:color w:val="auto"/>
          <w:sz w:val="24"/>
          <w:u w:val="single"/>
        </w:rPr>
        <w:t xml:space="preserve"> </w:t>
      </w:r>
      <w:r>
        <w:rPr>
          <w:rFonts w:ascii="宋体" w:hAnsi="宋体" w:cs="宋体"/>
          <w:color w:val="auto"/>
          <w:sz w:val="24"/>
        </w:rPr>
        <w:t>招标的结果，签署本合同。</w:t>
      </w:r>
    </w:p>
    <w:p w14:paraId="1F447A5C">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为依法保障被扣留、扣押、拖移车辆当事人的合法权益，规范涉案车辆停车保管费、交通事故施救费的收取，根据《中华人民共和国民法典》及相关法律法规的规定，甲乙双方就车辆清拖、停放保管以及相关费用支付等事宜，签订如下条款，双方共同遵守:</w:t>
      </w:r>
    </w:p>
    <w:p w14:paraId="4C904B84">
      <w:pPr>
        <w:pStyle w:val="32"/>
        <w:keepNext w:val="0"/>
        <w:keepLines w:val="0"/>
        <w:pageBreakBefore w:val="0"/>
        <w:widowControl w:val="0"/>
        <w:numPr>
          <w:ilvl w:val="0"/>
          <w:numId w:val="12"/>
        </w:numPr>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项目内容及范围</w:t>
      </w:r>
      <w:r>
        <w:rPr>
          <w:rFonts w:hint="eastAsia" w:cs="宋体"/>
          <w:color w:val="auto"/>
          <w:sz w:val="24"/>
          <w:szCs w:val="24"/>
          <w:lang w:val="en-US" w:eastAsia="zh-CN" w:bidi="ar-SA"/>
        </w:rPr>
        <w:t>：</w:t>
      </w:r>
      <w:r>
        <w:rPr>
          <w:rFonts w:hint="eastAsia" w:ascii="宋体" w:hAnsi="宋体" w:eastAsia="宋体" w:cs="宋体"/>
          <w:color w:val="auto"/>
          <w:sz w:val="24"/>
          <w:szCs w:val="24"/>
          <w:lang w:val="en-US" w:eastAsia="zh-CN" w:bidi="ar-SA"/>
        </w:rPr>
        <w:t>甲方因工作需要，依法将扣留、扣押车辆及要求拖移车辆委托乙方拖移至乙方停车场，并由乙方负责车辆停放及保管(具体要求详见</w:t>
      </w:r>
      <w:r>
        <w:rPr>
          <w:rFonts w:hint="eastAsia" w:cs="宋体"/>
          <w:color w:val="auto"/>
          <w:sz w:val="24"/>
          <w:szCs w:val="24"/>
          <w:lang w:val="en-US" w:eastAsia="zh-CN" w:bidi="ar-SA"/>
        </w:rPr>
        <w:t>招标</w:t>
      </w:r>
      <w:r>
        <w:rPr>
          <w:rFonts w:hint="eastAsia" w:ascii="宋体" w:hAnsi="宋体" w:eastAsia="宋体" w:cs="宋体"/>
          <w:color w:val="auto"/>
          <w:sz w:val="24"/>
          <w:szCs w:val="24"/>
          <w:lang w:val="en-US" w:eastAsia="zh-CN" w:bidi="ar-SA"/>
        </w:rPr>
        <w:t>文件项目需求。)</w:t>
      </w:r>
    </w:p>
    <w:p w14:paraId="0EF2BCFF">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二、合同预算总价</w:t>
      </w:r>
    </w:p>
    <w:p w14:paraId="1672E9C1">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本合同预算</w:t>
      </w:r>
      <w:r>
        <w:rPr>
          <w:rFonts w:hint="eastAsia" w:cs="宋体"/>
          <w:color w:val="auto"/>
          <w:sz w:val="24"/>
          <w:szCs w:val="24"/>
          <w:lang w:val="en-US" w:eastAsia="zh-CN" w:bidi="ar-SA"/>
        </w:rPr>
        <w:t>约</w:t>
      </w:r>
      <w:r>
        <w:rPr>
          <w:rFonts w:hint="eastAsia" w:ascii="宋体" w:hAnsi="宋体" w:eastAsia="宋体" w:cs="宋体"/>
          <w:color w:val="auto"/>
          <w:sz w:val="24"/>
          <w:szCs w:val="24"/>
          <w:lang w:val="en-US" w:eastAsia="zh-CN" w:bidi="ar-SA"/>
        </w:rPr>
        <w:t>总价：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万元(包括清拖预算</w:t>
      </w:r>
      <w:r>
        <w:rPr>
          <w:rFonts w:hint="eastAsia" w:cs="宋体"/>
          <w:color w:val="auto"/>
          <w:sz w:val="24"/>
          <w:szCs w:val="24"/>
          <w:lang w:val="en-US" w:eastAsia="zh-CN" w:bidi="ar-SA"/>
        </w:rPr>
        <w:t>约</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万元，场地预算</w:t>
      </w:r>
      <w:r>
        <w:rPr>
          <w:rFonts w:hint="eastAsia" w:cs="宋体"/>
          <w:color w:val="auto"/>
          <w:sz w:val="24"/>
          <w:szCs w:val="24"/>
          <w:lang w:val="en-US" w:eastAsia="zh-CN" w:bidi="ar-SA"/>
        </w:rPr>
        <w:t>约</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万元)。</w:t>
      </w:r>
    </w:p>
    <w:p w14:paraId="1E15E5F4">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三、甲方向乙方支付的费用，包括:</w:t>
      </w:r>
    </w:p>
    <w:p w14:paraId="0D40FB34">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cs="宋体"/>
          <w:color w:val="auto"/>
          <w:sz w:val="24"/>
          <w:szCs w:val="24"/>
          <w:lang w:val="en-US" w:eastAsia="zh-CN" w:bidi="ar-SA"/>
        </w:rPr>
        <w:t>3.1</w:t>
      </w:r>
      <w:r>
        <w:rPr>
          <w:rFonts w:hint="eastAsia" w:ascii="宋体" w:hAnsi="宋体" w:eastAsia="宋体" w:cs="宋体"/>
          <w:color w:val="auto"/>
          <w:sz w:val="24"/>
          <w:szCs w:val="24"/>
          <w:lang w:val="en-US" w:eastAsia="zh-CN" w:bidi="ar-SA"/>
        </w:rPr>
        <w:t>甲方通知乙方将依法扣留、扣押车辆拖移至乙方停车场产生的拖移费用</w:t>
      </w:r>
      <w:r>
        <w:rPr>
          <w:rFonts w:hint="eastAsia" w:cs="宋体"/>
          <w:color w:val="auto"/>
          <w:sz w:val="24"/>
          <w:szCs w:val="24"/>
          <w:lang w:val="en-US" w:eastAsia="zh-CN" w:bidi="ar-SA"/>
        </w:rPr>
        <w:t>；</w:t>
      </w:r>
    </w:p>
    <w:p w14:paraId="55C4F35D">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cs="宋体"/>
          <w:color w:val="auto"/>
          <w:sz w:val="24"/>
          <w:szCs w:val="24"/>
          <w:lang w:val="en-US" w:eastAsia="zh-CN" w:bidi="ar-SA"/>
        </w:rPr>
        <w:t>3.2</w:t>
      </w:r>
      <w:r>
        <w:rPr>
          <w:rFonts w:hint="eastAsia" w:ascii="宋体" w:hAnsi="宋体" w:eastAsia="宋体" w:cs="宋体"/>
          <w:color w:val="auto"/>
          <w:sz w:val="24"/>
          <w:szCs w:val="24"/>
          <w:lang w:val="en-US" w:eastAsia="zh-CN" w:bidi="ar-SA"/>
        </w:rPr>
        <w:t>甲方依法扣留、扣押车辆拖移至乙方停车场的停放保管费用(含在场地费内)</w:t>
      </w:r>
      <w:r>
        <w:rPr>
          <w:rFonts w:hint="eastAsia" w:cs="宋体"/>
          <w:color w:val="auto"/>
          <w:sz w:val="24"/>
          <w:szCs w:val="24"/>
          <w:lang w:val="en-US" w:eastAsia="zh-CN" w:bidi="ar-SA"/>
        </w:rPr>
        <w:t>；</w:t>
      </w:r>
    </w:p>
    <w:p w14:paraId="2664CB9D">
      <w:pPr>
        <w:pStyle w:val="32"/>
        <w:keepNext w:val="0"/>
        <w:keepLines w:val="0"/>
        <w:pageBreakBefore w:val="0"/>
        <w:widowControl w:val="0"/>
        <w:kinsoku/>
        <w:wordWrap/>
        <w:overflowPunct/>
        <w:topLinePunct w:val="0"/>
        <w:autoSpaceDE/>
        <w:autoSpaceDN/>
        <w:bidi w:val="0"/>
        <w:adjustRightInd/>
        <w:spacing w:line="520" w:lineRule="exact"/>
        <w:ind w:left="479" w:leftChars="228" w:right="0" w:firstLine="0" w:firstLineChars="0"/>
        <w:textAlignment w:val="auto"/>
        <w:outlineLvl w:val="9"/>
        <w:rPr>
          <w:rFonts w:hint="eastAsia" w:ascii="宋体" w:hAnsi="宋体" w:eastAsia="宋体" w:cs="宋体"/>
          <w:color w:val="auto"/>
          <w:sz w:val="24"/>
          <w:szCs w:val="24"/>
          <w:lang w:val="en-US" w:eastAsia="zh-CN" w:bidi="ar-SA"/>
        </w:rPr>
      </w:pPr>
      <w:r>
        <w:rPr>
          <w:rFonts w:hint="eastAsia" w:cs="宋体"/>
          <w:color w:val="auto"/>
          <w:sz w:val="24"/>
          <w:szCs w:val="24"/>
          <w:lang w:val="en-US" w:eastAsia="zh-CN" w:bidi="ar-SA"/>
        </w:rPr>
        <w:t>3.3</w:t>
      </w:r>
      <w:r>
        <w:rPr>
          <w:rFonts w:hint="eastAsia" w:ascii="宋体" w:hAnsi="宋体" w:eastAsia="宋体" w:cs="宋体"/>
          <w:color w:val="auto"/>
          <w:sz w:val="24"/>
          <w:szCs w:val="24"/>
          <w:lang w:val="en-US" w:eastAsia="zh-CN" w:bidi="ar-SA"/>
        </w:rPr>
        <w:t>甲方排除妨碍将违停车辆拖移至乙方停车场或其他停放区域的拖移费。</w:t>
      </w:r>
      <w:r>
        <w:rPr>
          <w:rFonts w:hint="eastAsia" w:cs="宋体"/>
          <w:color w:val="auto"/>
          <w:sz w:val="24"/>
          <w:szCs w:val="24"/>
          <w:lang w:val="en-US" w:eastAsia="zh-CN" w:bidi="ar-SA"/>
        </w:rPr>
        <w:t xml:space="preserve">  四、</w:t>
      </w:r>
      <w:r>
        <w:rPr>
          <w:rFonts w:hint="eastAsia" w:ascii="宋体" w:hAnsi="宋体" w:eastAsia="宋体" w:cs="宋体"/>
          <w:color w:val="auto"/>
          <w:sz w:val="24"/>
          <w:szCs w:val="24"/>
          <w:lang w:val="en-US" w:eastAsia="zh-CN" w:bidi="ar-SA"/>
        </w:rPr>
        <w:t>费用支付标准及支付方式：</w:t>
      </w:r>
    </w:p>
    <w:p w14:paraId="6DD43505">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bidi="ar-SA"/>
        </w:rPr>
        <w:t>4.1</w:t>
      </w:r>
      <w:r>
        <w:rPr>
          <w:rFonts w:hint="eastAsia" w:ascii="宋体" w:hAnsi="宋体" w:cs="宋体"/>
          <w:color w:val="auto"/>
          <w:sz w:val="24"/>
          <w:lang w:val="en-US" w:eastAsia="zh-CN"/>
        </w:rPr>
        <w:t>按实结算，签订合同后，采购人支付合同价*[1-下浮率]的30%预付款（如乙方不需要预付款按乙方要求执行，乙方需提供书面材料）；</w:t>
      </w:r>
    </w:p>
    <w:p w14:paraId="41D63629">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4.2</w:t>
      </w:r>
      <w:r>
        <w:rPr>
          <w:rFonts w:hint="eastAsia" w:ascii="宋体" w:hAnsi="宋体" w:cs="宋体"/>
          <w:color w:val="auto"/>
          <w:sz w:val="24"/>
        </w:rPr>
        <w:t xml:space="preserve"> </w:t>
      </w:r>
      <w:r>
        <w:rPr>
          <w:rFonts w:hint="eastAsia" w:ascii="宋体" w:hAnsi="宋体" w:cs="宋体"/>
          <w:color w:val="auto"/>
          <w:sz w:val="24"/>
          <w:lang w:val="en-US" w:eastAsia="zh-CN"/>
        </w:rPr>
        <w:t>供应商每月10日前须提供上月产生的费用清单交采购人确认，经确认的费用清单作为结算依据，逾期未提供费用清单的，视为自愿放弃上月服务费用。</w:t>
      </w:r>
    </w:p>
    <w:p w14:paraId="4F5C1CF0">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4.3</w:t>
      </w:r>
      <w:r>
        <w:rPr>
          <w:rFonts w:hint="eastAsia" w:ascii="宋体" w:hAnsi="宋体" w:cs="宋体"/>
          <w:color w:val="auto"/>
          <w:sz w:val="24"/>
          <w:lang w:val="zh-CN" w:eastAsia="zh-CN"/>
        </w:rPr>
        <w:t>双方逐月计算金额，按季结算支付</w:t>
      </w:r>
      <w:r>
        <w:rPr>
          <w:rFonts w:hint="eastAsia" w:ascii="宋体" w:hAnsi="宋体" w:cs="宋体"/>
          <w:color w:val="auto"/>
          <w:sz w:val="24"/>
          <w:lang w:val="en-US" w:eastAsia="zh-CN"/>
        </w:rPr>
        <w:t>，经采购人确认的每月产生的费用清单作为涉案车辆拖移、运输、停放、保管、发还费用结算的重要依据。</w:t>
      </w:r>
    </w:p>
    <w:p w14:paraId="6E28383F">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default" w:ascii="宋体" w:hAnsi="宋体" w:cs="宋体"/>
          <w:color w:val="auto"/>
          <w:sz w:val="24"/>
          <w:lang w:val="en-US" w:eastAsia="zh-CN"/>
        </w:rPr>
      </w:pPr>
      <w:r>
        <w:rPr>
          <w:rFonts w:hint="eastAsia" w:cs="宋体"/>
          <w:color w:val="auto"/>
          <w:sz w:val="24"/>
          <w:lang w:val="en-US" w:eastAsia="zh-CN"/>
        </w:rPr>
        <w:t>4.4乙方提供服务的累计金额低于合同预算总价时，甲方按实支付；乙方提供服务的累计金额超过合同预算总价时，甲方按合同预算总价支付，超出部分不再支付，且乙方不得因此停止提供服务或降低服务质量。</w:t>
      </w:r>
    </w:p>
    <w:p w14:paraId="2BDF1D60">
      <w:pPr>
        <w:pStyle w:val="32"/>
        <w:keepNext w:val="0"/>
        <w:keepLines w:val="0"/>
        <w:pageBreakBefore w:val="0"/>
        <w:widowControl w:val="0"/>
        <w:numPr>
          <w:ilvl w:val="0"/>
          <w:numId w:val="13"/>
        </w:numPr>
        <w:kinsoku/>
        <w:wordWrap/>
        <w:overflowPunct/>
        <w:topLinePunct w:val="0"/>
        <w:autoSpaceDE/>
        <w:autoSpaceDN/>
        <w:bidi w:val="0"/>
        <w:adjustRightInd/>
        <w:spacing w:line="520" w:lineRule="exact"/>
        <w:ind w:left="479" w:leftChars="228" w:right="0" w:firstLine="0" w:firstLineChars="0"/>
        <w:textAlignment w:val="auto"/>
        <w:outlineLvl w:val="9"/>
        <w:rPr>
          <w:rFonts w:hint="eastAsia" w:cs="宋体"/>
          <w:color w:val="auto"/>
          <w:sz w:val="24"/>
          <w:szCs w:val="24"/>
          <w:lang w:val="en-US" w:eastAsia="zh-CN" w:bidi="ar-SA"/>
        </w:rPr>
      </w:pPr>
      <w:r>
        <w:rPr>
          <w:rFonts w:hint="eastAsia" w:ascii="宋体" w:hAnsi="宋体" w:eastAsia="宋体" w:cs="宋体"/>
          <w:color w:val="auto"/>
          <w:sz w:val="24"/>
          <w:szCs w:val="24"/>
          <w:lang w:val="en-US" w:eastAsia="zh-CN" w:bidi="ar-SA"/>
        </w:rPr>
        <w:t>费用结算标准</w:t>
      </w:r>
      <w:r>
        <w:rPr>
          <w:rFonts w:hint="eastAsia" w:cs="宋体"/>
          <w:color w:val="auto"/>
          <w:sz w:val="24"/>
          <w:szCs w:val="24"/>
          <w:lang w:val="en-US" w:eastAsia="zh-CN" w:bidi="ar-SA"/>
        </w:rPr>
        <w:t>：</w:t>
      </w:r>
    </w:p>
    <w:p w14:paraId="25294965">
      <w:pPr>
        <w:pStyle w:val="32"/>
        <w:keepNext w:val="0"/>
        <w:keepLines w:val="0"/>
        <w:pageBreakBefore w:val="0"/>
        <w:widowControl w:val="0"/>
        <w:numPr>
          <w:ilvl w:val="0"/>
          <w:numId w:val="0"/>
        </w:numPr>
        <w:kinsoku/>
        <w:wordWrap/>
        <w:overflowPunct/>
        <w:topLinePunct w:val="0"/>
        <w:autoSpaceDE/>
        <w:autoSpaceDN/>
        <w:bidi w:val="0"/>
        <w:adjustRightInd/>
        <w:spacing w:line="520" w:lineRule="exact"/>
        <w:ind w:leftChars="228" w:right="0" w:rightChars="0"/>
        <w:textAlignment w:val="auto"/>
        <w:outlineLvl w:val="9"/>
        <w:rPr>
          <w:rFonts w:hint="eastAsia" w:cs="宋体"/>
          <w:color w:val="auto"/>
          <w:sz w:val="24"/>
          <w:szCs w:val="24"/>
          <w:lang w:val="en-US" w:eastAsia="zh-CN" w:bidi="ar-SA"/>
        </w:rPr>
      </w:pPr>
    </w:p>
    <w:p w14:paraId="634222AA">
      <w:pPr>
        <w:widowControl w:val="0"/>
        <w:numPr>
          <w:ilvl w:val="0"/>
          <w:numId w:val="0"/>
        </w:numPr>
        <w:wordWrap/>
        <w:adjustRightInd/>
        <w:snapToGrid/>
        <w:ind w:firstLine="562" w:firstLineChars="200"/>
        <w:textAlignment w:val="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val="en-US" w:eastAsia="zh-CN"/>
        </w:rPr>
        <w:t>A</w:t>
      </w:r>
      <w:r>
        <w:rPr>
          <w:rFonts w:hint="eastAsia" w:ascii="宋体" w:hAnsi="宋体" w:eastAsia="宋体" w:cs="宋体"/>
          <w:b/>
          <w:bCs/>
          <w:color w:val="auto"/>
          <w:sz w:val="28"/>
          <w:szCs w:val="28"/>
          <w:lang w:eastAsia="zh-CN"/>
        </w:rPr>
        <w:t>清拖车辆</w:t>
      </w:r>
      <w:r>
        <w:rPr>
          <w:rFonts w:hint="eastAsia" w:ascii="宋体" w:hAnsi="宋体" w:eastAsia="宋体" w:cs="宋体"/>
          <w:b/>
          <w:bCs/>
          <w:color w:val="auto"/>
          <w:sz w:val="28"/>
          <w:szCs w:val="28"/>
        </w:rPr>
        <w:t>采购清单</w:t>
      </w:r>
      <w:r>
        <w:rPr>
          <w:rFonts w:hint="eastAsia" w:ascii="宋体" w:hAnsi="宋体" w:eastAsia="宋体" w:cs="宋体"/>
          <w:b/>
          <w:bCs/>
          <w:color w:val="auto"/>
          <w:sz w:val="28"/>
          <w:szCs w:val="28"/>
          <w:lang w:eastAsia="zh-CN"/>
        </w:rPr>
        <w:t>单</w:t>
      </w:r>
      <w:r>
        <w:rPr>
          <w:rFonts w:hint="eastAsia" w:ascii="宋体" w:hAnsi="宋体" w:eastAsia="宋体" w:cs="宋体"/>
          <w:b/>
          <w:bCs/>
          <w:color w:val="auto"/>
          <w:sz w:val="28"/>
          <w:szCs w:val="28"/>
        </w:rPr>
        <w:t>价</w:t>
      </w:r>
      <w:r>
        <w:rPr>
          <w:rFonts w:hint="eastAsia" w:ascii="宋体" w:hAnsi="宋体" w:eastAsia="宋体" w:cs="宋体"/>
          <w:b/>
          <w:bCs/>
          <w:color w:val="auto"/>
          <w:sz w:val="28"/>
          <w:szCs w:val="28"/>
          <w:lang w:eastAsia="zh-CN"/>
        </w:rPr>
        <w:t>限价表：</w:t>
      </w:r>
    </w:p>
    <w:tbl>
      <w:tblPr>
        <w:tblStyle w:val="35"/>
        <w:tblpPr w:leftFromText="180" w:rightFromText="180" w:vertAnchor="text" w:horzAnchor="page" w:tblpX="1688" w:tblpY="259"/>
        <w:tblOverlap w:val="never"/>
        <w:tblW w:w="8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1496"/>
        <w:gridCol w:w="1249"/>
        <w:gridCol w:w="955"/>
        <w:gridCol w:w="1325"/>
        <w:gridCol w:w="944"/>
        <w:gridCol w:w="1432"/>
        <w:gridCol w:w="1179"/>
      </w:tblGrid>
      <w:tr w14:paraId="12A69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78" w:hRule="atLeast"/>
        </w:trPr>
        <w:tc>
          <w:tcPr>
            <w:tcW w:w="8580" w:type="dxa"/>
            <w:gridSpan w:val="7"/>
            <w:tcBorders>
              <w:top w:val="single" w:color="000000" w:sz="4" w:space="0"/>
              <w:left w:val="single" w:color="000000" w:sz="4" w:space="0"/>
              <w:bottom w:val="single" w:color="000000" w:sz="4" w:space="0"/>
              <w:right w:val="single" w:color="000000" w:sz="4" w:space="0"/>
            </w:tcBorders>
            <w:noWrap w:val="0"/>
            <w:vAlign w:val="center"/>
          </w:tcPr>
          <w:p w14:paraId="784B7E50">
            <w:pPr>
              <w:autoSpaceDN w:val="0"/>
              <w:ind w:left="0" w:right="0"/>
              <w:jc w:val="center"/>
              <w:textAlignment w:val="center"/>
              <w:rPr>
                <w:rFonts w:hint="eastAsia" w:ascii="宋体" w:hAnsi="宋体" w:eastAsia="宋体" w:cs="宋体"/>
                <w:b/>
                <w:i w:val="0"/>
                <w:color w:val="auto"/>
                <w:sz w:val="36"/>
                <w:szCs w:val="18"/>
                <w:u w:val="none"/>
                <w:lang w:eastAsia="zh-CN"/>
              </w:rPr>
            </w:pPr>
            <w:r>
              <w:rPr>
                <w:rFonts w:hint="eastAsia" w:ascii="宋体" w:hAnsi="宋体" w:eastAsia="宋体" w:cs="宋体"/>
                <w:b/>
                <w:bCs w:val="0"/>
                <w:i w:val="0"/>
                <w:color w:val="auto"/>
                <w:sz w:val="28"/>
                <w:szCs w:val="28"/>
                <w:u w:val="none"/>
                <w:lang w:eastAsia="zh-CN"/>
              </w:rPr>
              <w:t>清拖车辆</w:t>
            </w:r>
            <w:r>
              <w:rPr>
                <w:rFonts w:hint="eastAsia" w:ascii="宋体" w:hAnsi="宋体" w:eastAsia="宋体" w:cs="宋体"/>
                <w:b/>
                <w:bCs w:val="0"/>
                <w:color w:val="auto"/>
                <w:sz w:val="28"/>
                <w:szCs w:val="28"/>
              </w:rPr>
              <w:t>采购清单</w:t>
            </w:r>
            <w:r>
              <w:rPr>
                <w:rFonts w:hint="eastAsia" w:ascii="宋体" w:hAnsi="宋体" w:eastAsia="宋体" w:cs="宋体"/>
                <w:b/>
                <w:bCs w:val="0"/>
                <w:color w:val="auto"/>
                <w:sz w:val="28"/>
                <w:szCs w:val="28"/>
                <w:lang w:eastAsia="zh-CN"/>
              </w:rPr>
              <w:t>单</w:t>
            </w:r>
            <w:r>
              <w:rPr>
                <w:rFonts w:hint="eastAsia" w:ascii="宋体" w:hAnsi="宋体" w:eastAsia="宋体" w:cs="宋体"/>
                <w:b/>
                <w:bCs w:val="0"/>
                <w:color w:val="auto"/>
                <w:sz w:val="28"/>
                <w:szCs w:val="28"/>
              </w:rPr>
              <w:t>价</w:t>
            </w:r>
            <w:r>
              <w:rPr>
                <w:rFonts w:hint="eastAsia" w:ascii="宋体" w:hAnsi="宋体" w:eastAsia="宋体" w:cs="宋体"/>
                <w:b/>
                <w:bCs w:val="0"/>
                <w:color w:val="auto"/>
                <w:sz w:val="28"/>
                <w:szCs w:val="28"/>
                <w:lang w:eastAsia="zh-CN"/>
              </w:rPr>
              <w:t>限价</w:t>
            </w:r>
          </w:p>
        </w:tc>
      </w:tr>
      <w:tr w14:paraId="76232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0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14:paraId="19FC5E92">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车辆类型</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6C714C24">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清拖范围一</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1A4D6CBD">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val="en-US" w:eastAsia="zh-CN"/>
              </w:rPr>
              <w:t>单价</w:t>
            </w:r>
            <w:r>
              <w:rPr>
                <w:rFonts w:hint="eastAsia" w:ascii="宋体" w:hAnsi="宋体" w:eastAsia="宋体" w:cs="宋体"/>
                <w:b/>
                <w:i w:val="0"/>
                <w:color w:val="auto"/>
                <w:sz w:val="20"/>
                <w:szCs w:val="20"/>
                <w:u w:val="none"/>
                <w:lang w:eastAsia="zh-CN"/>
              </w:rPr>
              <w:t>（元）</w:t>
            </w:r>
          </w:p>
        </w:tc>
        <w:tc>
          <w:tcPr>
            <w:tcW w:w="1325" w:type="dxa"/>
            <w:tcBorders>
              <w:top w:val="single" w:color="000000" w:sz="4" w:space="0"/>
              <w:left w:val="single" w:color="000000" w:sz="4" w:space="0"/>
              <w:bottom w:val="single" w:color="000000" w:sz="4" w:space="0"/>
              <w:right w:val="single" w:color="000000" w:sz="4" w:space="0"/>
            </w:tcBorders>
            <w:noWrap w:val="0"/>
            <w:vAlign w:val="center"/>
          </w:tcPr>
          <w:p w14:paraId="02CE46DA">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清拖范围二</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62C3AD6A">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val="en-US" w:eastAsia="zh-CN"/>
              </w:rPr>
              <w:t>单价</w:t>
            </w:r>
            <w:r>
              <w:rPr>
                <w:rFonts w:hint="eastAsia" w:ascii="宋体" w:hAnsi="宋体" w:eastAsia="宋体" w:cs="宋体"/>
                <w:b/>
                <w:i w:val="0"/>
                <w:color w:val="auto"/>
                <w:sz w:val="20"/>
                <w:szCs w:val="20"/>
                <w:u w:val="none"/>
                <w:lang w:eastAsia="zh-CN"/>
              </w:rPr>
              <w:t>（元）</w:t>
            </w: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106C3C99">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清拖范围三</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02082219">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val="en-US" w:eastAsia="zh-CN"/>
              </w:rPr>
              <w:t>单价</w:t>
            </w:r>
            <w:r>
              <w:rPr>
                <w:rFonts w:hint="eastAsia" w:ascii="宋体" w:hAnsi="宋体" w:eastAsia="宋体" w:cs="宋体"/>
                <w:b/>
                <w:i w:val="0"/>
                <w:color w:val="auto"/>
                <w:sz w:val="20"/>
                <w:szCs w:val="20"/>
                <w:u w:val="none"/>
                <w:lang w:eastAsia="zh-CN"/>
              </w:rPr>
              <w:t>（元）</w:t>
            </w:r>
          </w:p>
        </w:tc>
      </w:tr>
      <w:tr w14:paraId="46927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14:paraId="40C01CF8">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二轮摩托车（电动自行车）</w:t>
            </w:r>
          </w:p>
        </w:tc>
        <w:tc>
          <w:tcPr>
            <w:tcW w:w="1249" w:type="dxa"/>
            <w:vMerge w:val="restart"/>
            <w:tcBorders>
              <w:top w:val="single" w:color="000000" w:sz="4" w:space="0"/>
              <w:left w:val="single" w:color="000000" w:sz="4" w:space="0"/>
              <w:bottom w:val="single" w:color="000000" w:sz="4" w:space="0"/>
              <w:right w:val="single" w:color="000000" w:sz="4" w:space="0"/>
            </w:tcBorders>
            <w:noWrap w:val="0"/>
            <w:vAlign w:val="center"/>
          </w:tcPr>
          <w:p w14:paraId="79075F08">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北至S329(含）、南至运棉河、东至G228(含）、西至S226（绕城）</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4DE0C76B">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 xml:space="preserve"> </w:t>
            </w:r>
          </w:p>
        </w:tc>
        <w:tc>
          <w:tcPr>
            <w:tcW w:w="1325" w:type="dxa"/>
            <w:vMerge w:val="restart"/>
            <w:tcBorders>
              <w:top w:val="single" w:color="000000" w:sz="4" w:space="0"/>
              <w:left w:val="single" w:color="000000" w:sz="4" w:space="0"/>
              <w:bottom w:val="single" w:color="000000" w:sz="4" w:space="0"/>
              <w:right w:val="single" w:color="000000" w:sz="4" w:space="0"/>
            </w:tcBorders>
            <w:noWrap w:val="0"/>
            <w:vAlign w:val="center"/>
          </w:tcPr>
          <w:p w14:paraId="0268BD06">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合德镇、射阳县经济开发区、兴桥镇、临海农场、海通镇、新洋农场、千秋镇、新坍镇、射阳港经济开发区（除范围一）</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673ACEA6">
            <w:pPr>
              <w:autoSpaceDN w:val="0"/>
              <w:ind w:left="0" w:right="0"/>
              <w:jc w:val="center"/>
              <w:textAlignment w:val="center"/>
              <w:rPr>
                <w:rFonts w:hint="eastAsia" w:ascii="宋体" w:hAnsi="宋体" w:eastAsia="宋体" w:cs="宋体"/>
                <w:b w:val="0"/>
                <w:i w:val="0"/>
                <w:color w:val="auto"/>
                <w:sz w:val="20"/>
                <w:szCs w:val="20"/>
                <w:u w:val="none"/>
                <w:lang w:eastAsia="zh-CN"/>
              </w:rPr>
            </w:pPr>
          </w:p>
        </w:tc>
        <w:tc>
          <w:tcPr>
            <w:tcW w:w="1432" w:type="dxa"/>
            <w:vMerge w:val="restart"/>
            <w:tcBorders>
              <w:top w:val="single" w:color="000000" w:sz="4" w:space="0"/>
              <w:left w:val="single" w:color="000000" w:sz="4" w:space="0"/>
              <w:bottom w:val="single" w:color="000000" w:sz="4" w:space="0"/>
              <w:right w:val="single" w:color="000000" w:sz="4" w:space="0"/>
            </w:tcBorders>
            <w:noWrap w:val="0"/>
            <w:vAlign w:val="center"/>
          </w:tcPr>
          <w:p w14:paraId="66D3B4C7">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四明镇、海河镇、盘湾镇、特庸镇、洋马镇、长荡镇、盐场、黄沙港镇、临海镇、淮海农场</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3CCA341F">
            <w:pPr>
              <w:autoSpaceDN w:val="0"/>
              <w:ind w:left="0" w:right="0"/>
              <w:jc w:val="center"/>
              <w:textAlignment w:val="center"/>
              <w:rPr>
                <w:rFonts w:hint="eastAsia" w:ascii="宋体" w:hAnsi="宋体" w:eastAsia="宋体" w:cs="宋体"/>
                <w:b w:val="0"/>
                <w:i w:val="0"/>
                <w:color w:val="auto"/>
                <w:sz w:val="20"/>
                <w:szCs w:val="20"/>
                <w:u w:val="none"/>
                <w:lang w:eastAsia="zh-CN"/>
              </w:rPr>
            </w:pPr>
          </w:p>
        </w:tc>
      </w:tr>
      <w:tr w14:paraId="5AC27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14:paraId="1D73C731">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三四轮电动车（三轮摩托车）</w:t>
            </w:r>
          </w:p>
        </w:tc>
        <w:tc>
          <w:tcPr>
            <w:tcW w:w="12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E5A392">
            <w:pPr>
              <w:ind w:left="0" w:right="0"/>
              <w:jc w:val="center"/>
              <w:rPr>
                <w:rFonts w:hint="eastAsia" w:ascii="宋体" w:hAnsi="宋体" w:eastAsia="宋体" w:cs="宋体"/>
                <w:color w:val="auto"/>
                <w:sz w:val="20"/>
                <w:szCs w:val="20"/>
              </w:rPr>
            </w:pP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3C8C0D61">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 xml:space="preserve"> </w:t>
            </w:r>
          </w:p>
        </w:tc>
        <w:tc>
          <w:tcPr>
            <w:tcW w:w="13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440703">
            <w:pPr>
              <w:ind w:left="0" w:right="0"/>
              <w:jc w:val="center"/>
              <w:rPr>
                <w:rFonts w:hint="eastAsia" w:ascii="宋体" w:hAnsi="宋体" w:eastAsia="宋体" w:cs="宋体"/>
                <w:color w:val="auto"/>
                <w:sz w:val="20"/>
                <w:szCs w:val="20"/>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6D65AC0F">
            <w:pPr>
              <w:autoSpaceDN w:val="0"/>
              <w:ind w:left="0" w:right="0"/>
              <w:jc w:val="center"/>
              <w:textAlignment w:val="center"/>
              <w:rPr>
                <w:rFonts w:hint="eastAsia" w:ascii="宋体" w:hAnsi="宋体" w:eastAsia="宋体" w:cs="宋体"/>
                <w:b w:val="0"/>
                <w:i w:val="0"/>
                <w:color w:val="auto"/>
                <w:sz w:val="20"/>
                <w:szCs w:val="20"/>
                <w:u w:val="none"/>
                <w:lang w:eastAsia="zh-CN"/>
              </w:rPr>
            </w:pPr>
          </w:p>
        </w:tc>
        <w:tc>
          <w:tcPr>
            <w:tcW w:w="143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6FC5E3">
            <w:pPr>
              <w:ind w:left="0" w:right="0"/>
              <w:jc w:val="center"/>
              <w:rPr>
                <w:rFonts w:hint="eastAsia" w:ascii="宋体" w:hAnsi="宋体" w:eastAsia="宋体" w:cs="宋体"/>
                <w:color w:val="auto"/>
                <w:sz w:val="20"/>
                <w:szCs w:val="20"/>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37F46D11">
            <w:pPr>
              <w:autoSpaceDN w:val="0"/>
              <w:ind w:left="0" w:right="0"/>
              <w:jc w:val="center"/>
              <w:textAlignment w:val="center"/>
              <w:rPr>
                <w:rFonts w:hint="eastAsia" w:ascii="宋体" w:hAnsi="宋体" w:eastAsia="宋体" w:cs="宋体"/>
                <w:b w:val="0"/>
                <w:i w:val="0"/>
                <w:color w:val="auto"/>
                <w:sz w:val="20"/>
                <w:szCs w:val="20"/>
                <w:u w:val="none"/>
                <w:lang w:eastAsia="zh-CN"/>
              </w:rPr>
            </w:pPr>
          </w:p>
        </w:tc>
      </w:tr>
      <w:tr w14:paraId="099EB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14:paraId="65550E76">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小型汽车（蓝牌货车）</w:t>
            </w:r>
          </w:p>
        </w:tc>
        <w:tc>
          <w:tcPr>
            <w:tcW w:w="12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C2D2E8">
            <w:pPr>
              <w:ind w:left="0" w:right="0"/>
              <w:jc w:val="center"/>
              <w:rPr>
                <w:rFonts w:hint="eastAsia" w:ascii="宋体" w:hAnsi="宋体" w:eastAsia="宋体" w:cs="宋体"/>
                <w:color w:val="auto"/>
                <w:sz w:val="20"/>
                <w:szCs w:val="20"/>
              </w:rPr>
            </w:pP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1392F711">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 xml:space="preserve"> </w:t>
            </w:r>
          </w:p>
        </w:tc>
        <w:tc>
          <w:tcPr>
            <w:tcW w:w="13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DA736C">
            <w:pPr>
              <w:ind w:left="0" w:right="0"/>
              <w:jc w:val="center"/>
              <w:rPr>
                <w:rFonts w:hint="eastAsia" w:ascii="宋体" w:hAnsi="宋体" w:eastAsia="宋体" w:cs="宋体"/>
                <w:color w:val="auto"/>
                <w:sz w:val="20"/>
                <w:szCs w:val="20"/>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440503D6">
            <w:pPr>
              <w:autoSpaceDN w:val="0"/>
              <w:ind w:left="0" w:right="0"/>
              <w:jc w:val="center"/>
              <w:textAlignment w:val="center"/>
              <w:rPr>
                <w:rFonts w:hint="eastAsia" w:ascii="宋体" w:hAnsi="宋体" w:eastAsia="宋体" w:cs="宋体"/>
                <w:b w:val="0"/>
                <w:i w:val="0"/>
                <w:color w:val="auto"/>
                <w:sz w:val="20"/>
                <w:szCs w:val="20"/>
                <w:u w:val="none"/>
                <w:lang w:eastAsia="zh-CN"/>
              </w:rPr>
            </w:pPr>
          </w:p>
        </w:tc>
        <w:tc>
          <w:tcPr>
            <w:tcW w:w="143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D709A2">
            <w:pPr>
              <w:ind w:left="0" w:right="0"/>
              <w:jc w:val="center"/>
              <w:rPr>
                <w:rFonts w:hint="eastAsia" w:ascii="宋体" w:hAnsi="宋体" w:eastAsia="宋体" w:cs="宋体"/>
                <w:color w:val="auto"/>
                <w:sz w:val="20"/>
                <w:szCs w:val="20"/>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491FA8C4">
            <w:pPr>
              <w:autoSpaceDN w:val="0"/>
              <w:ind w:left="0" w:right="0"/>
              <w:jc w:val="center"/>
              <w:textAlignment w:val="center"/>
              <w:rPr>
                <w:rFonts w:hint="eastAsia" w:ascii="宋体" w:hAnsi="宋体" w:eastAsia="宋体" w:cs="宋体"/>
                <w:b w:val="0"/>
                <w:i w:val="0"/>
                <w:color w:val="auto"/>
                <w:sz w:val="20"/>
                <w:szCs w:val="20"/>
                <w:u w:val="none"/>
                <w:lang w:eastAsia="zh-CN"/>
              </w:rPr>
            </w:pPr>
          </w:p>
        </w:tc>
      </w:tr>
      <w:tr w14:paraId="6B00E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92"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14:paraId="383346ED">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大型汽车</w:t>
            </w:r>
          </w:p>
        </w:tc>
        <w:tc>
          <w:tcPr>
            <w:tcW w:w="12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DB29D3">
            <w:pPr>
              <w:ind w:left="0" w:right="0"/>
              <w:jc w:val="center"/>
              <w:rPr>
                <w:rFonts w:hint="eastAsia" w:ascii="宋体" w:hAnsi="宋体" w:eastAsia="宋体" w:cs="宋体"/>
                <w:color w:val="auto"/>
                <w:sz w:val="20"/>
                <w:szCs w:val="20"/>
              </w:rPr>
            </w:pP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7CF40B3C">
            <w:pPr>
              <w:autoSpaceDN w:val="0"/>
              <w:ind w:left="0" w:right="0"/>
              <w:jc w:val="center"/>
              <w:textAlignment w:val="center"/>
              <w:rPr>
                <w:rFonts w:hint="default" w:ascii="宋体" w:hAnsi="宋体" w:eastAsia="宋体" w:cs="宋体"/>
                <w:b w:val="0"/>
                <w:i w:val="0"/>
                <w:color w:val="auto"/>
                <w:sz w:val="20"/>
                <w:szCs w:val="20"/>
                <w:u w:val="none"/>
                <w:lang w:val="en-US" w:eastAsia="zh-CN"/>
              </w:rPr>
            </w:pPr>
          </w:p>
        </w:tc>
        <w:tc>
          <w:tcPr>
            <w:tcW w:w="13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F2CD4E">
            <w:pPr>
              <w:ind w:left="0" w:right="0"/>
              <w:jc w:val="center"/>
              <w:rPr>
                <w:rFonts w:hint="eastAsia" w:ascii="宋体" w:hAnsi="宋体" w:eastAsia="宋体" w:cs="宋体"/>
                <w:color w:val="auto"/>
                <w:sz w:val="20"/>
                <w:szCs w:val="20"/>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01324984">
            <w:pPr>
              <w:autoSpaceDN w:val="0"/>
              <w:ind w:left="0" w:right="0"/>
              <w:jc w:val="center"/>
              <w:textAlignment w:val="center"/>
              <w:rPr>
                <w:rFonts w:hint="eastAsia" w:ascii="宋体" w:hAnsi="宋体" w:eastAsia="宋体" w:cs="宋体"/>
                <w:b w:val="0"/>
                <w:i w:val="0"/>
                <w:color w:val="auto"/>
                <w:sz w:val="20"/>
                <w:szCs w:val="20"/>
                <w:u w:val="none"/>
                <w:lang w:eastAsia="zh-CN"/>
              </w:rPr>
            </w:pPr>
          </w:p>
        </w:tc>
        <w:tc>
          <w:tcPr>
            <w:tcW w:w="143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E59542">
            <w:pPr>
              <w:ind w:left="0" w:right="0"/>
              <w:jc w:val="center"/>
              <w:rPr>
                <w:rFonts w:hint="eastAsia" w:ascii="宋体" w:hAnsi="宋体" w:eastAsia="宋体" w:cs="宋体"/>
                <w:color w:val="auto"/>
                <w:sz w:val="20"/>
                <w:szCs w:val="20"/>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27DC8116">
            <w:pPr>
              <w:autoSpaceDN w:val="0"/>
              <w:ind w:left="0" w:right="0"/>
              <w:jc w:val="center"/>
              <w:textAlignment w:val="center"/>
              <w:rPr>
                <w:rFonts w:hint="eastAsia" w:ascii="宋体" w:hAnsi="宋体" w:eastAsia="宋体" w:cs="宋体"/>
                <w:b w:val="0"/>
                <w:i w:val="0"/>
                <w:color w:val="auto"/>
                <w:sz w:val="20"/>
                <w:szCs w:val="20"/>
                <w:u w:val="none"/>
                <w:lang w:eastAsia="zh-CN"/>
              </w:rPr>
            </w:pPr>
          </w:p>
        </w:tc>
      </w:tr>
      <w:tr w14:paraId="2B7F7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448" w:hRule="atLeast"/>
        </w:trPr>
        <w:tc>
          <w:tcPr>
            <w:tcW w:w="8580" w:type="dxa"/>
            <w:gridSpan w:val="7"/>
            <w:tcBorders>
              <w:top w:val="single" w:color="000000" w:sz="4" w:space="0"/>
              <w:left w:val="single" w:color="000000" w:sz="4" w:space="0"/>
              <w:bottom w:val="single" w:color="000000" w:sz="4" w:space="0"/>
              <w:right w:val="single" w:color="000000" w:sz="4" w:space="0"/>
            </w:tcBorders>
            <w:noWrap w:val="0"/>
            <w:vAlign w:val="center"/>
          </w:tcPr>
          <w:p w14:paraId="4A168243">
            <w:pPr>
              <w:widowControl w:val="0"/>
              <w:wordWrap/>
              <w:autoSpaceDN w:val="0"/>
              <w:snapToGrid/>
              <w:spacing w:line="300" w:lineRule="exact"/>
              <w:ind w:right="0"/>
              <w:jc w:val="left"/>
              <w:textAlignment w:val="center"/>
              <w:rPr>
                <w:rFonts w:hint="eastAsia" w:ascii="宋体" w:hAnsi="宋体" w:eastAsia="宋体" w:cs="宋体"/>
                <w:b w:val="0"/>
                <w:i w:val="0"/>
                <w:color w:val="auto"/>
                <w:sz w:val="22"/>
                <w:szCs w:val="18"/>
                <w:u w:val="none"/>
                <w:lang w:val="en-US" w:eastAsia="zh-CN"/>
              </w:rPr>
            </w:pPr>
            <w:r>
              <w:rPr>
                <w:rFonts w:hint="eastAsia" w:ascii="宋体" w:hAnsi="宋体" w:eastAsia="宋体" w:cs="宋体"/>
                <w:b/>
                <w:bCs/>
                <w:color w:val="auto"/>
                <w:kern w:val="2"/>
                <w:sz w:val="20"/>
                <w:szCs w:val="20"/>
                <w:lang w:val="en-US" w:eastAsia="zh-CN" w:bidi="ar-SA"/>
              </w:rPr>
              <w:t>备注：</w:t>
            </w:r>
            <w:r>
              <w:rPr>
                <w:rFonts w:hint="eastAsia" w:ascii="宋体" w:hAnsi="宋体" w:eastAsia="宋体" w:cs="宋体"/>
                <w:b w:val="0"/>
                <w:bCs w:val="0"/>
                <w:color w:val="auto"/>
                <w:kern w:val="2"/>
                <w:sz w:val="20"/>
                <w:szCs w:val="20"/>
                <w:highlight w:val="none"/>
                <w:lang w:val="en-US" w:eastAsia="zh-CN" w:bidi="ar-SA"/>
              </w:rPr>
              <w:t>乙方接到托运指令出车后，清障车半路撤回或者抵达现场后未清拖到车辆的，按清障车类型及清障范围半折计算费用</w:t>
            </w:r>
            <w:r>
              <w:rPr>
                <w:rFonts w:hint="eastAsia" w:ascii="宋体" w:hAnsi="宋体" w:eastAsia="宋体" w:cs="宋体"/>
                <w:b/>
                <w:bCs/>
                <w:color w:val="auto"/>
                <w:kern w:val="2"/>
                <w:sz w:val="20"/>
                <w:szCs w:val="20"/>
                <w:lang w:val="en-US" w:eastAsia="zh-CN" w:bidi="ar-SA"/>
              </w:rPr>
              <w:t>；</w:t>
            </w:r>
            <w:r>
              <w:rPr>
                <w:rFonts w:hint="eastAsia" w:ascii="宋体" w:hAnsi="宋体" w:eastAsia="宋体" w:cs="宋体"/>
                <w:b w:val="0"/>
                <w:bCs w:val="0"/>
                <w:color w:val="auto"/>
                <w:kern w:val="2"/>
                <w:sz w:val="20"/>
                <w:szCs w:val="20"/>
                <w:highlight w:val="none"/>
                <w:lang w:val="en-US" w:eastAsia="zh-CN" w:bidi="ar-SA"/>
              </w:rPr>
              <w:t>一次清拖多部车辆时，第一辆车按最高车型标准全额收费，第二辆以外车辆均以60%收费。</w:t>
            </w:r>
          </w:p>
        </w:tc>
      </w:tr>
    </w:tbl>
    <w:p w14:paraId="0794EB0D">
      <w:pPr>
        <w:widowControl w:val="0"/>
        <w:wordWrap/>
        <w:adjustRightInd/>
        <w:snapToGrid/>
        <w:spacing w:line="360" w:lineRule="auto"/>
        <w:ind w:firstLine="562" w:firstLineChars="200"/>
        <w:textAlignment w:val="auto"/>
        <w:rPr>
          <w:rFonts w:hint="eastAsia" w:ascii="宋体" w:hAnsi="宋体" w:eastAsia="宋体" w:cs="宋体"/>
          <w:b/>
          <w:bCs/>
          <w:color w:val="auto"/>
          <w:sz w:val="28"/>
          <w:szCs w:val="20"/>
          <w:highlight w:val="none"/>
          <w:lang w:val="en-US" w:eastAsia="zh-CN" w:bidi="ar-SA"/>
        </w:rPr>
      </w:pPr>
    </w:p>
    <w:p w14:paraId="01C49D6F">
      <w:pPr>
        <w:widowControl w:val="0"/>
        <w:wordWrap/>
        <w:adjustRightInd/>
        <w:snapToGrid/>
        <w:spacing w:line="360" w:lineRule="auto"/>
        <w:ind w:firstLine="562" w:firstLineChars="200"/>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28"/>
          <w:szCs w:val="20"/>
          <w:highlight w:val="none"/>
          <w:lang w:val="en-US" w:eastAsia="zh-CN" w:bidi="ar-SA"/>
        </w:rPr>
        <w:t>B吊车采购清单单价限价表：</w:t>
      </w:r>
    </w:p>
    <w:tbl>
      <w:tblPr>
        <w:tblStyle w:val="35"/>
        <w:tblpPr w:leftFromText="180" w:rightFromText="180" w:vertAnchor="text" w:horzAnchor="page" w:tblpX="1954" w:tblpY="85"/>
        <w:tblOverlap w:val="never"/>
        <w:tblW w:w="82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3"/>
        <w:gridCol w:w="5523"/>
        <w:gridCol w:w="1527"/>
      </w:tblGrid>
      <w:tr w14:paraId="2D719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223" w:type="dxa"/>
            <w:noWrap w:val="0"/>
            <w:vAlign w:val="center"/>
          </w:tcPr>
          <w:p w14:paraId="40F78C15">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序号</w:t>
            </w:r>
          </w:p>
        </w:tc>
        <w:tc>
          <w:tcPr>
            <w:tcW w:w="5523" w:type="dxa"/>
            <w:noWrap w:val="0"/>
            <w:vAlign w:val="center"/>
          </w:tcPr>
          <w:p w14:paraId="44485590">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拖吊车型</w:t>
            </w:r>
          </w:p>
        </w:tc>
        <w:tc>
          <w:tcPr>
            <w:tcW w:w="1527" w:type="dxa"/>
            <w:noWrap w:val="0"/>
            <w:vAlign w:val="center"/>
          </w:tcPr>
          <w:p w14:paraId="35A8C2BC">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吊车价（元）</w:t>
            </w:r>
          </w:p>
        </w:tc>
      </w:tr>
      <w:tr w14:paraId="0F32A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1223" w:type="dxa"/>
            <w:noWrap w:val="0"/>
            <w:vAlign w:val="top"/>
          </w:tcPr>
          <w:p w14:paraId="74A0F62B">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p>
          <w:p w14:paraId="10264548">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w:t>
            </w:r>
          </w:p>
        </w:tc>
        <w:tc>
          <w:tcPr>
            <w:tcW w:w="5523" w:type="dxa"/>
            <w:noWrap w:val="0"/>
            <w:vAlign w:val="center"/>
          </w:tcPr>
          <w:p w14:paraId="4E93486F">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7座以下（含7座）小型客车</w:t>
            </w:r>
          </w:p>
          <w:p w14:paraId="4B32165F">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小于等于6T轻型货车</w:t>
            </w:r>
          </w:p>
          <w:p w14:paraId="6EF8A573">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手扶拖拉机</w:t>
            </w:r>
          </w:p>
        </w:tc>
        <w:tc>
          <w:tcPr>
            <w:tcW w:w="1527" w:type="dxa"/>
            <w:noWrap w:val="0"/>
            <w:vAlign w:val="center"/>
          </w:tcPr>
          <w:p w14:paraId="239AB05E">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p>
        </w:tc>
      </w:tr>
      <w:tr w14:paraId="45228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1223" w:type="dxa"/>
            <w:noWrap w:val="0"/>
            <w:vAlign w:val="top"/>
          </w:tcPr>
          <w:p w14:paraId="4A5342A8">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w:t>
            </w:r>
          </w:p>
        </w:tc>
        <w:tc>
          <w:tcPr>
            <w:tcW w:w="5523" w:type="dxa"/>
            <w:noWrap w:val="0"/>
            <w:vAlign w:val="center"/>
          </w:tcPr>
          <w:p w14:paraId="13D40B26">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中型客车(6m＜车辆长度 ≤9m)</w:t>
            </w:r>
          </w:p>
          <w:p w14:paraId="339B4465">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中型货车(6t＜总质量≤14t)</w:t>
            </w:r>
          </w:p>
        </w:tc>
        <w:tc>
          <w:tcPr>
            <w:tcW w:w="1527" w:type="dxa"/>
            <w:noWrap w:val="0"/>
            <w:vAlign w:val="center"/>
          </w:tcPr>
          <w:p w14:paraId="169789A1">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p>
        </w:tc>
      </w:tr>
      <w:tr w14:paraId="44F4B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23" w:type="dxa"/>
            <w:noWrap w:val="0"/>
            <w:vAlign w:val="top"/>
          </w:tcPr>
          <w:p w14:paraId="46D5FD12">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3</w:t>
            </w:r>
          </w:p>
        </w:tc>
        <w:tc>
          <w:tcPr>
            <w:tcW w:w="5523" w:type="dxa"/>
            <w:noWrap w:val="0"/>
            <w:vAlign w:val="center"/>
          </w:tcPr>
          <w:p w14:paraId="0FD029E8">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大型客车（车辆长度＞9m)</w:t>
            </w:r>
          </w:p>
        </w:tc>
        <w:tc>
          <w:tcPr>
            <w:tcW w:w="1527" w:type="dxa"/>
            <w:noWrap w:val="0"/>
            <w:vAlign w:val="center"/>
          </w:tcPr>
          <w:p w14:paraId="5380ABE8">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p>
        </w:tc>
      </w:tr>
      <w:tr w14:paraId="11F47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1223" w:type="dxa"/>
            <w:noWrap w:val="0"/>
            <w:vAlign w:val="top"/>
          </w:tcPr>
          <w:p w14:paraId="499CFDEC">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w:t>
            </w:r>
          </w:p>
        </w:tc>
        <w:tc>
          <w:tcPr>
            <w:tcW w:w="5523" w:type="dxa"/>
            <w:noWrap w:val="0"/>
            <w:vAlign w:val="center"/>
          </w:tcPr>
          <w:p w14:paraId="3C11E7C1">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重型货车（(14t＜总质量≤35t)</w:t>
            </w:r>
          </w:p>
        </w:tc>
        <w:tc>
          <w:tcPr>
            <w:tcW w:w="1527" w:type="dxa"/>
            <w:noWrap w:val="0"/>
            <w:vAlign w:val="center"/>
          </w:tcPr>
          <w:p w14:paraId="6CA105E0">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p>
        </w:tc>
      </w:tr>
      <w:tr w14:paraId="50398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1223" w:type="dxa"/>
            <w:noWrap w:val="0"/>
            <w:vAlign w:val="top"/>
          </w:tcPr>
          <w:p w14:paraId="454F465D">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5</w:t>
            </w:r>
          </w:p>
        </w:tc>
        <w:tc>
          <w:tcPr>
            <w:tcW w:w="5523" w:type="dxa"/>
            <w:noWrap w:val="0"/>
            <w:vAlign w:val="center"/>
          </w:tcPr>
          <w:p w14:paraId="011F721C">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重型货车（总质量＞ 35t)（含桥梁登高车、轮式挖机、装载机、压路机）</w:t>
            </w:r>
          </w:p>
        </w:tc>
        <w:tc>
          <w:tcPr>
            <w:tcW w:w="1527" w:type="dxa"/>
            <w:noWrap w:val="0"/>
            <w:vAlign w:val="center"/>
          </w:tcPr>
          <w:p w14:paraId="4D47C875">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p>
        </w:tc>
      </w:tr>
      <w:tr w14:paraId="33936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rPr>
        <w:tc>
          <w:tcPr>
            <w:tcW w:w="1223" w:type="dxa"/>
            <w:noWrap w:val="0"/>
            <w:vAlign w:val="top"/>
          </w:tcPr>
          <w:p w14:paraId="7FA059DF">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6</w:t>
            </w:r>
          </w:p>
        </w:tc>
        <w:tc>
          <w:tcPr>
            <w:tcW w:w="5523" w:type="dxa"/>
            <w:noWrap w:val="0"/>
            <w:vAlign w:val="center"/>
          </w:tcPr>
          <w:p w14:paraId="025044AB">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三轮电动车、三轮摩托车以及三轮其他车辆</w:t>
            </w:r>
          </w:p>
        </w:tc>
        <w:tc>
          <w:tcPr>
            <w:tcW w:w="1527" w:type="dxa"/>
            <w:noWrap w:val="0"/>
            <w:vAlign w:val="center"/>
          </w:tcPr>
          <w:p w14:paraId="7DC8F915">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1"/>
                <w:szCs w:val="21"/>
                <w:lang w:val="en-US" w:eastAsia="zh-CN" w:bidi="ar-SA"/>
              </w:rPr>
            </w:pPr>
          </w:p>
        </w:tc>
      </w:tr>
      <w:tr w14:paraId="07036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trPr>
        <w:tc>
          <w:tcPr>
            <w:tcW w:w="8273" w:type="dxa"/>
            <w:gridSpan w:val="3"/>
            <w:noWrap w:val="0"/>
            <w:vAlign w:val="center"/>
          </w:tcPr>
          <w:p w14:paraId="661AA33B">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备注：清障过程中涉及需要使用吊车的，由中标供应商自行联系能提供符合不同作业需求的吊车，其费用由清拖方和保险公司对接。</w:t>
            </w:r>
          </w:p>
        </w:tc>
      </w:tr>
    </w:tbl>
    <w:p w14:paraId="755819F4">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2" w:firstLineChars="200"/>
        <w:textAlignment w:val="auto"/>
        <w:outlineLvl w:val="1"/>
        <w:rPr>
          <w:rFonts w:hint="eastAsia" w:ascii="宋体" w:hAnsi="宋体" w:eastAsia="宋体" w:cs="宋体"/>
          <w:color w:val="auto"/>
          <w:sz w:val="24"/>
          <w:szCs w:val="24"/>
          <w:lang w:val="en-US" w:eastAsia="zh-CN" w:bidi="ar-SA"/>
        </w:rPr>
      </w:pPr>
      <w:r>
        <w:rPr>
          <w:rFonts w:hint="eastAsia" w:cs="宋体"/>
          <w:b/>
          <w:bCs/>
          <w:color w:val="auto"/>
          <w:sz w:val="24"/>
          <w:szCs w:val="24"/>
          <w:lang w:val="en-US" w:eastAsia="zh-CN" w:bidi="ar-SA"/>
        </w:rPr>
        <w:t>六</w:t>
      </w:r>
      <w:r>
        <w:rPr>
          <w:rFonts w:hint="eastAsia" w:ascii="宋体" w:hAnsi="宋体" w:eastAsia="宋体" w:cs="宋体"/>
          <w:b/>
          <w:bCs/>
          <w:color w:val="auto"/>
          <w:sz w:val="24"/>
          <w:szCs w:val="24"/>
          <w:lang w:val="en-US" w:eastAsia="zh-CN" w:bidi="ar-SA"/>
        </w:rPr>
        <w:t>、本协议有效期间为</w:t>
      </w:r>
      <w:r>
        <w:rPr>
          <w:rFonts w:hint="eastAsia" w:ascii="宋体" w:hAnsi="宋体" w:eastAsia="宋体" w:cs="宋体"/>
          <w:color w:val="auto"/>
          <w:sz w:val="24"/>
          <w:szCs w:val="24"/>
          <w:lang w:val="en-US" w:eastAsia="zh-CN" w:bidi="ar-SA"/>
        </w:rPr>
        <w:t>：</w:t>
      </w:r>
    </w:p>
    <w:p w14:paraId="5CF313A9">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自</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年</w:t>
      </w:r>
      <w:r>
        <w:rPr>
          <w:rFonts w:hint="eastAsia" w:ascii="宋体" w:hAnsi="宋体" w:eastAsia="宋体" w:cs="宋体"/>
          <w:color w:val="auto"/>
          <w:sz w:val="24"/>
          <w:szCs w:val="24"/>
          <w:u w:val="single"/>
          <w:lang w:val="en-US" w:eastAsia="zh-CN" w:bidi="ar-SA"/>
        </w:rPr>
        <w:tab/>
      </w:r>
      <w:r>
        <w:rPr>
          <w:rFonts w:hint="eastAsia" w:ascii="宋体" w:hAnsi="宋体" w:eastAsia="宋体" w:cs="宋体"/>
          <w:color w:val="auto"/>
          <w:sz w:val="24"/>
          <w:szCs w:val="24"/>
          <w:lang w:val="en-US" w:eastAsia="zh-CN" w:bidi="ar-SA"/>
        </w:rPr>
        <w:t>月</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日起至</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ab/>
      </w:r>
      <w:r>
        <w:rPr>
          <w:rFonts w:hint="eastAsia"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月</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日止。</w:t>
      </w:r>
    </w:p>
    <w:p w14:paraId="47E707D2">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2" w:firstLineChars="200"/>
        <w:textAlignment w:val="auto"/>
        <w:outlineLvl w:val="1"/>
        <w:rPr>
          <w:rFonts w:hint="eastAsia" w:ascii="宋体" w:hAnsi="宋体" w:cs="宋体"/>
          <w:color w:val="auto"/>
          <w:sz w:val="24"/>
        </w:rPr>
      </w:pPr>
      <w:r>
        <w:rPr>
          <w:rFonts w:hint="eastAsia" w:cs="宋体"/>
          <w:b/>
          <w:color w:val="auto"/>
          <w:sz w:val="24"/>
          <w:lang w:val="en-US" w:eastAsia="zh-CN"/>
        </w:rPr>
        <w:t>七</w:t>
      </w:r>
      <w:r>
        <w:rPr>
          <w:rFonts w:hint="eastAsia" w:ascii="宋体" w:hAnsi="宋体" w:cs="宋体"/>
          <w:b/>
          <w:color w:val="auto"/>
          <w:sz w:val="24"/>
          <w:lang w:val="en-US" w:eastAsia="zh-CN"/>
        </w:rPr>
        <w:t>、</w:t>
      </w:r>
      <w:r>
        <w:rPr>
          <w:rFonts w:hint="eastAsia" w:ascii="宋体" w:hAnsi="宋体" w:cs="宋体"/>
          <w:b/>
          <w:color w:val="auto"/>
          <w:sz w:val="24"/>
        </w:rPr>
        <w:t>履约保证金</w:t>
      </w:r>
    </w:p>
    <w:p w14:paraId="30AC07F6">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cs="宋体"/>
          <w:color w:val="auto"/>
          <w:sz w:val="24"/>
          <w:lang w:val="en-US" w:eastAsia="zh-CN"/>
        </w:rPr>
        <w:t>7</w:t>
      </w:r>
      <w:r>
        <w:rPr>
          <w:rFonts w:hint="eastAsia" w:ascii="宋体" w:hAnsi="宋体" w:cs="宋体"/>
          <w:color w:val="auto"/>
          <w:sz w:val="24"/>
        </w:rPr>
        <w:t>.1 乙方交纳人民币</w:t>
      </w:r>
      <w:r>
        <w:rPr>
          <w:rFonts w:hint="eastAsia" w:ascii="宋体" w:hAnsi="宋体" w:cs="宋体"/>
          <w:color w:val="auto"/>
          <w:sz w:val="24"/>
          <w:u w:val="single"/>
        </w:rPr>
        <w:t xml:space="preserve">          </w:t>
      </w:r>
      <w:r>
        <w:rPr>
          <w:rFonts w:hint="eastAsia" w:ascii="宋体" w:hAnsi="宋体" w:cs="宋体"/>
          <w:color w:val="auto"/>
          <w:sz w:val="24"/>
        </w:rPr>
        <w:t>作为本合同的履约保证金。</w:t>
      </w:r>
    </w:p>
    <w:p w14:paraId="67FB16FD">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cs="宋体"/>
          <w:color w:val="auto"/>
          <w:sz w:val="24"/>
          <w:lang w:val="en-US" w:eastAsia="zh-CN"/>
        </w:rPr>
        <w:t>7</w:t>
      </w:r>
      <w:r>
        <w:rPr>
          <w:rFonts w:hint="eastAsia" w:ascii="宋体" w:hAnsi="宋体" w:cs="宋体"/>
          <w:color w:val="auto"/>
          <w:sz w:val="24"/>
        </w:rPr>
        <w:t>.2确需收取履约保证金的，履约保证金的缴纳形式：</w:t>
      </w:r>
    </w:p>
    <w:p w14:paraId="10A8A8FA">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cs="宋体"/>
          <w:color w:val="auto"/>
          <w:sz w:val="24"/>
          <w:lang w:val="en-US" w:eastAsia="zh-CN"/>
        </w:rPr>
        <w:t>7</w:t>
      </w:r>
      <w:r>
        <w:rPr>
          <w:rFonts w:hint="eastAsia" w:ascii="宋体" w:hAnsi="宋体" w:cs="宋体"/>
          <w:color w:val="auto"/>
          <w:sz w:val="24"/>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EF28A8D">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cs="宋体"/>
          <w:color w:val="auto"/>
          <w:sz w:val="24"/>
          <w:lang w:val="en-US" w:eastAsia="zh-CN"/>
        </w:rPr>
        <w:t>7</w:t>
      </w:r>
      <w:r>
        <w:rPr>
          <w:rFonts w:hint="eastAsia" w:ascii="宋体" w:hAnsi="宋体" w:cs="宋体"/>
          <w:color w:val="auto"/>
          <w:sz w:val="24"/>
        </w:rPr>
        <w:t>.2.2 如以履约保函（保险）形式缴纳履约保证金，供应商可通过政府采购电子履约保函（保险）平台（www.jsdzbh.com）在线申请履约保函（保险）。</w:t>
      </w:r>
    </w:p>
    <w:p w14:paraId="40765FB6">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cs="宋体"/>
          <w:color w:val="auto"/>
          <w:sz w:val="24"/>
          <w:lang w:val="en-US" w:eastAsia="zh-CN"/>
        </w:rPr>
        <w:t>7</w:t>
      </w:r>
      <w:r>
        <w:rPr>
          <w:rFonts w:hint="eastAsia" w:ascii="宋体" w:hAnsi="宋体" w:cs="宋体"/>
          <w:color w:val="auto"/>
          <w:sz w:val="24"/>
        </w:rPr>
        <w:t>.3合同履行结束后，甲方应及时退还交纳的履约保证金。</w:t>
      </w:r>
    </w:p>
    <w:p w14:paraId="313EDD00">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.4履约保证金的退还：</w:t>
      </w:r>
    </w:p>
    <w:p w14:paraId="3475DA4B">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.4.1方式：无息退还至供应商缴纳履约保证金的账户。如为保函，在到期时自行失效。</w:t>
      </w:r>
    </w:p>
    <w:p w14:paraId="268BE214">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.4.2时间：</w:t>
      </w:r>
      <w:r>
        <w:rPr>
          <w:rFonts w:hint="eastAsia" w:ascii="宋体" w:hAnsi="宋体" w:cs="宋体"/>
          <w:color w:val="auto"/>
          <w:sz w:val="24"/>
          <w:lang w:val="en-US" w:eastAsia="zh-CN"/>
        </w:rPr>
        <w:t>合同期限到期后</w:t>
      </w:r>
      <w:r>
        <w:rPr>
          <w:rFonts w:hint="eastAsia" w:ascii="宋体" w:hAnsi="宋体" w:cs="宋体"/>
          <w:color w:val="auto"/>
          <w:sz w:val="24"/>
        </w:rPr>
        <w:t>且采购人收到发票后30日内。</w:t>
      </w:r>
    </w:p>
    <w:p w14:paraId="36E2C044">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.4.3条件：按合同要求全部履约完成并经采购人验收合格，且采购人收到中标人出具的发票。</w:t>
      </w:r>
    </w:p>
    <w:p w14:paraId="58F114CD">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.4.4不予退还情形：</w:t>
      </w:r>
    </w:p>
    <w:p w14:paraId="2A9EB075">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除不可抗力情况外，供应商出现下列情形之一的，其履约保证金，招标人将视情节决定不予退还或部分不予退还。</w:t>
      </w:r>
    </w:p>
    <w:p w14:paraId="1848E524">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（1）中标人无正当理由拒绝签订合同的，或者在签订合同时向采购人提出附加条件或者更改合同实质性内容要求的；</w:t>
      </w:r>
    </w:p>
    <w:p w14:paraId="070B7B0C">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（2）中标人不履行与采购人订立的合同的；</w:t>
      </w:r>
    </w:p>
    <w:p w14:paraId="04BA8180">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（3）中标人所供服务不符合招标文件规定要求的；</w:t>
      </w:r>
    </w:p>
    <w:p w14:paraId="0135A7DE">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（4）中标人采取欺骗、弄虚作假方式投标的或与其他供应商串通投标的；</w:t>
      </w:r>
    </w:p>
    <w:p w14:paraId="07250441">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（5）中标人将合同内容转包、违法分包的；</w:t>
      </w:r>
    </w:p>
    <w:p w14:paraId="66076167">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（6）中标人故意捏造事实或伪造证明材料，进行虚假恶意投诉或反映的。</w:t>
      </w:r>
    </w:p>
    <w:p w14:paraId="3A5AEBC9">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.4.5逾期退还的违约责任：采购人逾期无故未退还履约保证金的，按中国人民银行同期贷款基准利率上浮20%后的利率支付超期资金占用费，但因供应商自身原因导致无法及时退还的除外。</w:t>
      </w:r>
    </w:p>
    <w:p w14:paraId="2113D22C">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2" w:firstLineChars="200"/>
        <w:textAlignment w:val="auto"/>
        <w:outlineLvl w:val="1"/>
        <w:rPr>
          <w:rFonts w:hint="eastAsia" w:ascii="宋体" w:hAnsi="宋体" w:eastAsia="宋体" w:cs="宋体"/>
          <w:color w:val="auto"/>
          <w:sz w:val="24"/>
          <w:szCs w:val="24"/>
          <w:lang w:val="en-US" w:eastAsia="zh-CN" w:bidi="ar-SA"/>
        </w:rPr>
      </w:pPr>
      <w:r>
        <w:rPr>
          <w:rFonts w:hint="eastAsia" w:cs="宋体"/>
          <w:b/>
          <w:bCs/>
          <w:color w:val="auto"/>
          <w:sz w:val="24"/>
          <w:szCs w:val="24"/>
          <w:lang w:val="en-US" w:eastAsia="zh-CN" w:bidi="ar-SA"/>
        </w:rPr>
        <w:t>八</w:t>
      </w:r>
      <w:r>
        <w:rPr>
          <w:rFonts w:hint="eastAsia" w:ascii="宋体" w:hAnsi="宋体" w:eastAsia="宋体" w:cs="宋体"/>
          <w:b/>
          <w:bCs/>
          <w:color w:val="auto"/>
          <w:sz w:val="24"/>
          <w:szCs w:val="24"/>
          <w:lang w:val="en-US" w:eastAsia="zh-CN" w:bidi="ar-SA"/>
        </w:rPr>
        <w:t>、甲乙双方的权利和义务</w:t>
      </w:r>
      <w:r>
        <w:rPr>
          <w:rFonts w:hint="eastAsia" w:ascii="宋体" w:hAnsi="宋体" w:eastAsia="宋体" w:cs="宋体"/>
          <w:color w:val="auto"/>
          <w:sz w:val="24"/>
          <w:szCs w:val="24"/>
          <w:lang w:val="en-US" w:eastAsia="zh-CN" w:bidi="ar-SA"/>
        </w:rPr>
        <w:t>：</w:t>
      </w:r>
    </w:p>
    <w:p w14:paraId="5CA3F52D">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 w:val="0"/>
          <w:bCs/>
          <w:color w:val="auto"/>
          <w:sz w:val="24"/>
          <w:lang w:val="en-US" w:eastAsia="zh-CN"/>
        </w:rPr>
      </w:pPr>
      <w:r>
        <w:rPr>
          <w:rFonts w:hint="eastAsia" w:cs="宋体"/>
          <w:b w:val="0"/>
          <w:bCs/>
          <w:color w:val="auto"/>
          <w:sz w:val="24"/>
          <w:lang w:val="en-US" w:eastAsia="zh-CN"/>
        </w:rPr>
        <w:t>8.1</w:t>
      </w:r>
      <w:r>
        <w:rPr>
          <w:rFonts w:hint="eastAsia" w:ascii="宋体" w:hAnsi="宋体" w:cs="宋体"/>
          <w:b w:val="0"/>
          <w:bCs/>
          <w:color w:val="auto"/>
          <w:sz w:val="24"/>
          <w:lang w:val="en-US" w:eastAsia="zh-CN"/>
        </w:rPr>
        <w:t>乙方应具备开设停车场资质，提供有效的营业执照、经营许可等资质文件，具备一定面积的停车场地，配备拖移车辆及必要的防火、防盗、防水等安全设施。乙方需能够调配第三方机械、设备、人员及实施交通事故现场清障</w:t>
      </w:r>
    </w:p>
    <w:p w14:paraId="76CA2733">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 w:val="0"/>
          <w:bCs/>
          <w:color w:val="auto"/>
          <w:sz w:val="24"/>
          <w:lang w:val="en-US" w:eastAsia="zh-CN"/>
        </w:rPr>
      </w:pPr>
      <w:r>
        <w:rPr>
          <w:rFonts w:hint="eastAsia" w:cs="宋体"/>
          <w:b w:val="0"/>
          <w:bCs/>
          <w:color w:val="auto"/>
          <w:sz w:val="24"/>
          <w:lang w:val="en-US" w:eastAsia="zh-CN"/>
        </w:rPr>
        <w:t>8.2</w:t>
      </w:r>
      <w:r>
        <w:rPr>
          <w:rFonts w:hint="eastAsia" w:ascii="宋体" w:hAnsi="宋体" w:cs="宋体"/>
          <w:b w:val="0"/>
          <w:bCs/>
          <w:color w:val="auto"/>
          <w:sz w:val="24"/>
          <w:lang w:val="en-US" w:eastAsia="zh-CN"/>
        </w:rPr>
        <w:t>乙方应明确专人做好停放车辆的登记、发还和计费核算工作，保证停车场24小时有专人看守，并确保甲方委托停放保管的车辆有序、完好。如在乙方保管期间发生损坏、缺失、盗用，由乙方负责赔偿，损失金额以物价部门认证的价格或法院裁决确定的价格为准。</w:t>
      </w:r>
    </w:p>
    <w:p w14:paraId="70F000E8">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 w:val="0"/>
          <w:bCs/>
          <w:color w:val="auto"/>
          <w:sz w:val="24"/>
          <w:lang w:val="en-US" w:eastAsia="zh-CN"/>
        </w:rPr>
      </w:pPr>
      <w:r>
        <w:rPr>
          <w:rFonts w:hint="eastAsia" w:cs="宋体"/>
          <w:b w:val="0"/>
          <w:bCs/>
          <w:color w:val="auto"/>
          <w:sz w:val="24"/>
          <w:lang w:val="en-US" w:eastAsia="zh-CN"/>
        </w:rPr>
        <w:t>8.3</w:t>
      </w:r>
      <w:r>
        <w:rPr>
          <w:rFonts w:hint="eastAsia" w:ascii="宋体" w:hAnsi="宋体" w:cs="宋体"/>
          <w:b w:val="0"/>
          <w:bCs/>
          <w:color w:val="auto"/>
          <w:sz w:val="24"/>
          <w:lang w:val="en-US" w:eastAsia="zh-CN"/>
        </w:rPr>
        <w:t>甲方向被扣押车辆当事人开具《领取车辆通知书》，乙方凭《领取车辆通知书》核对相关证件后向当事人发还车辆。</w:t>
      </w:r>
    </w:p>
    <w:p w14:paraId="4DD22EE4">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 w:val="0"/>
          <w:bCs/>
          <w:color w:val="auto"/>
          <w:sz w:val="24"/>
          <w:lang w:val="en-US" w:eastAsia="zh-CN"/>
        </w:rPr>
      </w:pPr>
      <w:r>
        <w:rPr>
          <w:rFonts w:hint="eastAsia" w:cs="宋体"/>
          <w:b w:val="0"/>
          <w:bCs/>
          <w:color w:val="auto"/>
          <w:sz w:val="24"/>
          <w:lang w:val="en-US" w:eastAsia="zh-CN"/>
        </w:rPr>
        <w:t>8.4</w:t>
      </w:r>
      <w:r>
        <w:rPr>
          <w:rFonts w:hint="eastAsia" w:ascii="宋体" w:hAnsi="宋体" w:cs="宋体"/>
          <w:b w:val="0"/>
          <w:bCs/>
          <w:color w:val="auto"/>
          <w:sz w:val="24"/>
          <w:lang w:val="en-US" w:eastAsia="zh-CN"/>
        </w:rPr>
        <w:t>依据本协议第二条由甲方负担的拖移、停车保管费用，严禁乙方向相关当事人收取费用。甲方定期对乙方停车场进行检查、监督，如发现乙方有违规收取费用的情形，除要求乙方无条件退还收取的费用外，发现第一次从合同款项中扣除5000元，第二次从合同款项中扣除10000元并约谈乙方负责人，第三次终止合同。</w:t>
      </w:r>
    </w:p>
    <w:p w14:paraId="2B9FD29D">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 w:val="0"/>
          <w:bCs/>
          <w:color w:val="auto"/>
          <w:sz w:val="24"/>
          <w:lang w:val="en-US" w:eastAsia="zh-CN"/>
        </w:rPr>
      </w:pPr>
      <w:r>
        <w:rPr>
          <w:rFonts w:hint="eastAsia" w:cs="宋体"/>
          <w:b w:val="0"/>
          <w:bCs/>
          <w:color w:val="auto"/>
          <w:sz w:val="24"/>
          <w:lang w:val="en-US" w:eastAsia="zh-CN"/>
        </w:rPr>
        <w:t>8.5</w:t>
      </w:r>
      <w:r>
        <w:rPr>
          <w:rFonts w:hint="eastAsia" w:ascii="宋体" w:hAnsi="宋体" w:cs="宋体"/>
          <w:b w:val="0"/>
          <w:bCs/>
          <w:color w:val="auto"/>
          <w:sz w:val="24"/>
          <w:lang w:val="en-US" w:eastAsia="zh-CN"/>
        </w:rPr>
        <w:t>乙方须能根据甲方需求及时清拖现场车辆，按照A表范围一:(30分钟内到达)、范围二:(50分钟内到达)、范围三:(70分钟内到达)，如有特殊情况不能及时到达现场须与甲方沟通并征得甲方同意。乙方无正当理由不提供清拖服务或不能及时组织清拖，又未征得甲方同意，根据现场情况必须尽快清理现场的，甲方有权先行组织车辆清拖，所需费用由乙方承担，同时，第一次发生上述情况从合同款项中扣除2000元，第二次从合同款项中扣除5000元，并由甲方约谈乙方负责人，第三次终止合同。</w:t>
      </w:r>
    </w:p>
    <w:p w14:paraId="21A623FD">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 w:val="0"/>
          <w:bCs/>
          <w:color w:val="auto"/>
          <w:sz w:val="24"/>
          <w:lang w:val="en-US" w:eastAsia="zh-CN"/>
        </w:rPr>
      </w:pPr>
      <w:r>
        <w:rPr>
          <w:rFonts w:hint="eastAsia" w:cs="宋体"/>
          <w:b w:val="0"/>
          <w:bCs/>
          <w:color w:val="auto"/>
          <w:sz w:val="24"/>
          <w:lang w:val="en-US" w:eastAsia="zh-CN"/>
        </w:rPr>
        <w:t>8.6</w:t>
      </w:r>
      <w:r>
        <w:rPr>
          <w:rFonts w:hint="eastAsia" w:ascii="宋体" w:hAnsi="宋体" w:cs="宋体"/>
          <w:b w:val="0"/>
          <w:bCs/>
          <w:color w:val="auto"/>
          <w:sz w:val="24"/>
          <w:lang w:val="en-US" w:eastAsia="zh-CN"/>
        </w:rPr>
        <w:t>乙方妥善保管《领取车辆通知书》，每月填写《扣押车辆拖移、保管费用结算汇总单》，及时按照程序完成相关审批手续。</w:t>
      </w:r>
    </w:p>
    <w:p w14:paraId="5349A503">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jc w:val="left"/>
        <w:textAlignment w:val="auto"/>
        <w:outlineLvl w:val="1"/>
        <w:rPr>
          <w:rFonts w:hint="eastAsia" w:ascii="宋体" w:hAnsi="宋体" w:cs="宋体"/>
          <w:b/>
          <w:color w:val="auto"/>
          <w:sz w:val="24"/>
        </w:rPr>
      </w:pPr>
      <w:r>
        <w:rPr>
          <w:rFonts w:hint="eastAsia" w:ascii="宋体" w:hAnsi="宋体" w:cs="宋体"/>
          <w:b/>
          <w:color w:val="auto"/>
          <w:sz w:val="24"/>
          <w:lang w:val="en-US" w:eastAsia="zh-CN"/>
        </w:rPr>
        <w:t>九</w:t>
      </w:r>
      <w:r>
        <w:rPr>
          <w:rFonts w:hint="eastAsia" w:ascii="宋体" w:hAnsi="宋体" w:cs="宋体"/>
          <w:b/>
          <w:color w:val="auto"/>
          <w:sz w:val="24"/>
        </w:rPr>
        <w:t>、违约责任</w:t>
      </w:r>
    </w:p>
    <w:p w14:paraId="3500A3A6">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.1</w:t>
      </w:r>
      <w:r>
        <w:rPr>
          <w:rFonts w:hint="eastAsia" w:ascii="宋体" w:hAnsi="宋体" w:cs="宋体"/>
          <w:bCs/>
          <w:color w:val="auto"/>
          <w:sz w:val="24"/>
          <w:lang w:val="en-US" w:eastAsia="zh-CN"/>
        </w:rPr>
        <w:t>乙方不服从甲方管理，甲方有权单方面终止合同，乙方所缴纳的履约保证金作为违约金不予退还</w:t>
      </w:r>
      <w:r>
        <w:rPr>
          <w:rFonts w:hint="eastAsia" w:ascii="宋体" w:hAnsi="宋体" w:cs="宋体"/>
          <w:bCs/>
          <w:color w:val="auto"/>
          <w:sz w:val="24"/>
        </w:rPr>
        <w:t>。</w:t>
      </w:r>
    </w:p>
    <w:p w14:paraId="7279DFC5">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jc w:val="left"/>
        <w:textAlignment w:val="auto"/>
        <w:outlineLvl w:val="9"/>
        <w:rPr>
          <w:rFonts w:hint="eastAsia" w:ascii="宋体" w:hAnsi="宋体" w:cs="宋体"/>
          <w:b/>
          <w:color w:val="auto"/>
          <w:sz w:val="24"/>
          <w:lang w:val="en-US" w:eastAsia="zh-CN"/>
        </w:rPr>
      </w:pPr>
      <w:r>
        <w:rPr>
          <w:rFonts w:hint="eastAsia" w:ascii="宋体" w:hAnsi="宋体" w:cs="宋体"/>
          <w:bCs/>
          <w:color w:val="auto"/>
          <w:sz w:val="24"/>
          <w:lang w:val="en-US" w:eastAsia="zh-CN"/>
        </w:rPr>
        <w:t>9</w:t>
      </w:r>
      <w:r>
        <w:rPr>
          <w:rFonts w:hint="eastAsia" w:ascii="宋体" w:hAnsi="宋体" w:cs="宋体"/>
          <w:bCs/>
          <w:color w:val="auto"/>
          <w:sz w:val="24"/>
        </w:rPr>
        <w:t>.2乙方擅自转包和分包的，甲方有权终止合同，同时乙方交的履约保证金作合</w:t>
      </w:r>
      <w:r>
        <w:rPr>
          <w:rFonts w:hint="eastAsia" w:ascii="宋体" w:hAnsi="宋体" w:cs="宋体"/>
          <w:bCs/>
          <w:color w:val="auto"/>
          <w:sz w:val="24"/>
          <w:lang w:val="en-US" w:eastAsia="zh-CN"/>
        </w:rPr>
        <w:t>同违约金不予退还。</w:t>
      </w:r>
    </w:p>
    <w:p w14:paraId="7E65EE03">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jc w:val="left"/>
        <w:textAlignment w:val="auto"/>
        <w:outlineLvl w:val="1"/>
        <w:rPr>
          <w:rFonts w:hint="default" w:ascii="宋体" w:hAnsi="宋体" w:cs="宋体"/>
          <w:b/>
          <w:color w:val="auto"/>
          <w:sz w:val="24"/>
          <w:lang w:val="en-US" w:eastAsia="zh-CN"/>
        </w:rPr>
      </w:pPr>
      <w:r>
        <w:rPr>
          <w:rFonts w:hint="eastAsia" w:ascii="宋体" w:hAnsi="宋体" w:cs="宋体"/>
          <w:b/>
          <w:color w:val="auto"/>
          <w:sz w:val="24"/>
          <w:lang w:val="en-US" w:eastAsia="zh-CN"/>
        </w:rPr>
        <w:t>十、其他</w:t>
      </w:r>
    </w:p>
    <w:p w14:paraId="18974DB3">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bCs/>
          <w:color w:val="auto"/>
          <w:sz w:val="24"/>
          <w:lang w:eastAsia="zh"/>
        </w:rPr>
      </w:pPr>
      <w:r>
        <w:rPr>
          <w:rFonts w:hint="eastAsia" w:ascii="宋体" w:hAnsi="宋体" w:cs="宋体"/>
          <w:bCs/>
          <w:color w:val="auto"/>
          <w:sz w:val="24"/>
          <w:lang w:val="en-US" w:eastAsia="zh-CN"/>
        </w:rPr>
        <w:t>10.1乙方所有的服务人员的人身安全均由乙方自行承担，并与甲方不产生任何费用，无论发生任何意外情况均与甲方无关</w:t>
      </w:r>
      <w:r>
        <w:rPr>
          <w:rFonts w:hint="eastAsia" w:ascii="宋体" w:hAnsi="宋体" w:cs="宋体"/>
          <w:bCs/>
          <w:color w:val="auto"/>
          <w:sz w:val="24"/>
          <w:lang w:eastAsia="zh"/>
        </w:rPr>
        <w:t>。</w:t>
      </w:r>
    </w:p>
    <w:p w14:paraId="338C918F">
      <w:pPr>
        <w:pStyle w:val="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eastAsia="宋体" w:cs="宋体"/>
          <w:bCs/>
          <w:color w:val="auto"/>
          <w:sz w:val="24"/>
        </w:rPr>
      </w:pPr>
      <w:r>
        <w:rPr>
          <w:rFonts w:hint="eastAsia" w:ascii="宋体" w:hAnsi="宋体" w:eastAsia="宋体" w:cs="宋体"/>
          <w:bCs/>
          <w:color w:val="auto"/>
          <w:sz w:val="24"/>
          <w:lang w:val="en-US" w:eastAsia="zh-CN"/>
        </w:rPr>
        <w:t>10</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1乙方自行协调解决本项目实施过程中发生的各种矛盾，甲方不承担任何费用</w:t>
      </w:r>
      <w:r>
        <w:rPr>
          <w:rFonts w:hint="eastAsia" w:ascii="宋体" w:hAnsi="宋体" w:eastAsia="宋体" w:cs="宋体"/>
          <w:bCs/>
          <w:color w:val="auto"/>
          <w:sz w:val="24"/>
        </w:rPr>
        <w:t>。</w:t>
      </w:r>
    </w:p>
    <w:p w14:paraId="0B8612B0">
      <w:pPr>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bCs/>
          <w:color w:val="auto"/>
          <w:sz w:val="24"/>
          <w:lang w:val="en-US" w:eastAsia="zh-CN"/>
        </w:rPr>
        <w:t>10</w:t>
      </w:r>
      <w:r>
        <w:rPr>
          <w:rFonts w:hint="eastAsia" w:ascii="宋体" w:hAnsi="宋体" w:cs="宋体"/>
          <w:bCs/>
          <w:color w:val="auto"/>
          <w:sz w:val="24"/>
        </w:rPr>
        <w:t>.</w:t>
      </w:r>
      <w:r>
        <w:rPr>
          <w:rFonts w:hint="eastAsia" w:ascii="宋体" w:hAnsi="宋体" w:cs="宋体"/>
          <w:bCs/>
          <w:color w:val="auto"/>
          <w:sz w:val="24"/>
          <w:lang w:val="en-US" w:eastAsia="zh-CN"/>
        </w:rPr>
        <w:t>3合同修改：合同签订后欲对合同条款进行任何改动，均须由甲、乙双方签署书面的同意修改书</w:t>
      </w:r>
      <w:r>
        <w:rPr>
          <w:rFonts w:hint="eastAsia" w:ascii="宋体" w:hAnsi="宋体" w:cs="宋体"/>
          <w:bCs/>
          <w:color w:val="auto"/>
          <w:sz w:val="24"/>
        </w:rPr>
        <w:t>。</w:t>
      </w:r>
    </w:p>
    <w:p w14:paraId="57E446BC">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2" w:firstLineChars="200"/>
        <w:textAlignment w:val="auto"/>
        <w:outlineLvl w:val="1"/>
        <w:rPr>
          <w:rFonts w:hint="eastAsia" w:ascii="宋体" w:hAnsi="宋体" w:cs="宋体"/>
          <w:color w:val="auto"/>
          <w:sz w:val="24"/>
        </w:rPr>
      </w:pPr>
      <w:r>
        <w:rPr>
          <w:rFonts w:hint="eastAsia" w:ascii="宋体" w:hAnsi="宋体" w:cs="宋体"/>
          <w:b/>
          <w:color w:val="auto"/>
          <w:sz w:val="24"/>
        </w:rPr>
        <w:t>十</w:t>
      </w:r>
      <w:r>
        <w:rPr>
          <w:rFonts w:hint="eastAsia" w:ascii="宋体" w:hAnsi="宋体" w:cs="宋体"/>
          <w:b/>
          <w:color w:val="auto"/>
          <w:sz w:val="24"/>
          <w:lang w:val="en-US" w:eastAsia="zh-CN"/>
        </w:rPr>
        <w:t>一</w:t>
      </w:r>
      <w:r>
        <w:rPr>
          <w:rFonts w:hint="eastAsia" w:ascii="宋体" w:hAnsi="宋体" w:cs="宋体"/>
          <w:b/>
          <w:color w:val="auto"/>
          <w:sz w:val="24"/>
        </w:rPr>
        <w:t>、不可抗力事件处理</w:t>
      </w:r>
    </w:p>
    <w:p w14:paraId="332C42EF">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1</w:t>
      </w:r>
      <w:r>
        <w:rPr>
          <w:rFonts w:hint="eastAsia" w:cs="宋体"/>
          <w:color w:val="auto"/>
          <w:sz w:val="24"/>
          <w:lang w:val="en-US" w:eastAsia="zh-CN"/>
        </w:rPr>
        <w:t>1</w:t>
      </w:r>
      <w:r>
        <w:rPr>
          <w:rFonts w:hint="eastAsia" w:ascii="宋体" w:hAnsi="宋体" w:cs="宋体"/>
          <w:color w:val="auto"/>
          <w:sz w:val="24"/>
        </w:rPr>
        <w:t>.1 在合同有效期内，任何一方因不可抗力事件导致不能履行合同，则合同履行期可延长，其延长期与不可抗力影响期相同。</w:t>
      </w:r>
    </w:p>
    <w:p w14:paraId="452A5378">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1</w:t>
      </w:r>
      <w:r>
        <w:rPr>
          <w:rFonts w:hint="eastAsia" w:cs="宋体"/>
          <w:color w:val="auto"/>
          <w:sz w:val="24"/>
          <w:lang w:val="en-US" w:eastAsia="zh-CN"/>
        </w:rPr>
        <w:t>1</w:t>
      </w:r>
      <w:r>
        <w:rPr>
          <w:rFonts w:hint="eastAsia" w:ascii="宋体" w:hAnsi="宋体" w:cs="宋体"/>
          <w:color w:val="auto"/>
          <w:sz w:val="24"/>
        </w:rPr>
        <w:t>.2 不可抗力事件发生后，应立即通知对方，并寄送有关权威机构出具的证明。</w:t>
      </w:r>
    </w:p>
    <w:p w14:paraId="1B1C0242">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1</w:t>
      </w:r>
      <w:r>
        <w:rPr>
          <w:rFonts w:hint="eastAsia" w:cs="宋体"/>
          <w:color w:val="auto"/>
          <w:sz w:val="24"/>
          <w:lang w:val="en-US" w:eastAsia="zh-CN"/>
        </w:rPr>
        <w:t>1</w:t>
      </w:r>
      <w:r>
        <w:rPr>
          <w:rFonts w:hint="eastAsia" w:ascii="宋体" w:hAnsi="宋体" w:cs="宋体"/>
          <w:color w:val="auto"/>
          <w:sz w:val="24"/>
        </w:rPr>
        <w:t>.3 不可抗力事件延续120天以上，双方应通过友好协商，确定是否继续履行合同。</w:t>
      </w:r>
    </w:p>
    <w:p w14:paraId="4BDFE061">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2" w:firstLineChars="200"/>
        <w:textAlignment w:val="auto"/>
        <w:outlineLvl w:val="1"/>
        <w:rPr>
          <w:rFonts w:hint="eastAsia" w:ascii="宋体" w:hAnsi="宋体" w:cs="宋体"/>
          <w:color w:val="auto"/>
          <w:sz w:val="24"/>
        </w:rPr>
      </w:pPr>
      <w:r>
        <w:rPr>
          <w:rFonts w:hint="eastAsia" w:ascii="宋体" w:hAnsi="宋体" w:cs="宋体"/>
          <w:b/>
          <w:color w:val="auto"/>
          <w:sz w:val="24"/>
        </w:rPr>
        <w:t>十</w:t>
      </w:r>
      <w:r>
        <w:rPr>
          <w:rFonts w:hint="eastAsia" w:ascii="宋体" w:hAnsi="宋体" w:cs="宋体"/>
          <w:b/>
          <w:color w:val="auto"/>
          <w:sz w:val="24"/>
          <w:lang w:val="en-US" w:eastAsia="zh-CN"/>
        </w:rPr>
        <w:t>二</w:t>
      </w:r>
      <w:r>
        <w:rPr>
          <w:rFonts w:hint="eastAsia" w:ascii="宋体" w:hAnsi="宋体" w:cs="宋体"/>
          <w:b/>
          <w:color w:val="auto"/>
          <w:sz w:val="24"/>
        </w:rPr>
        <w:t>、解决争议的方法</w:t>
      </w:r>
    </w:p>
    <w:p w14:paraId="0248E6D7">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双方在签订、履行合同中所发生的一切争议，应通过友好协商解决。如协商不成，由甲方住所地人民法院管辖。</w:t>
      </w:r>
    </w:p>
    <w:p w14:paraId="54178B39">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2" w:firstLineChars="200"/>
        <w:textAlignment w:val="auto"/>
        <w:outlineLvl w:val="1"/>
        <w:rPr>
          <w:rFonts w:hint="eastAsia" w:ascii="宋体" w:hAnsi="宋体" w:cs="宋体"/>
          <w:color w:val="auto"/>
          <w:sz w:val="24"/>
        </w:rPr>
      </w:pPr>
      <w:r>
        <w:rPr>
          <w:rFonts w:hint="eastAsia" w:ascii="宋体" w:hAnsi="宋体" w:cs="宋体"/>
          <w:b/>
          <w:color w:val="auto"/>
          <w:sz w:val="24"/>
        </w:rPr>
        <w:t>十</w:t>
      </w:r>
      <w:r>
        <w:rPr>
          <w:rFonts w:hint="eastAsia" w:ascii="宋体" w:hAnsi="宋体" w:cs="宋体"/>
          <w:b/>
          <w:color w:val="auto"/>
          <w:sz w:val="24"/>
          <w:lang w:val="en-US" w:eastAsia="zh-CN"/>
        </w:rPr>
        <w:t>三</w:t>
      </w:r>
      <w:r>
        <w:rPr>
          <w:rFonts w:hint="eastAsia" w:ascii="宋体" w:hAnsi="宋体" w:cs="宋体"/>
          <w:b/>
          <w:color w:val="auto"/>
          <w:sz w:val="24"/>
        </w:rPr>
        <w:t>、合同生效及其他</w:t>
      </w:r>
    </w:p>
    <w:p w14:paraId="566B12E8">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1</w:t>
      </w:r>
      <w:r>
        <w:rPr>
          <w:rFonts w:hint="eastAsia" w:cs="宋体"/>
          <w:color w:val="auto"/>
          <w:sz w:val="24"/>
          <w:lang w:val="en-US" w:eastAsia="zh-CN"/>
        </w:rPr>
        <w:t>3</w:t>
      </w:r>
      <w:r>
        <w:rPr>
          <w:rFonts w:hint="eastAsia" w:ascii="宋体" w:hAnsi="宋体" w:cs="宋体"/>
          <w:color w:val="auto"/>
          <w:sz w:val="24"/>
        </w:rPr>
        <w:t>.1合同经双方法定代表人或授权委托代表人签名并加盖单位公章后生效。</w:t>
      </w:r>
    </w:p>
    <w:p w14:paraId="45771687">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1</w:t>
      </w:r>
      <w:r>
        <w:rPr>
          <w:rFonts w:hint="eastAsia" w:cs="宋体"/>
          <w:color w:val="auto"/>
          <w:sz w:val="24"/>
          <w:lang w:val="en-US" w:eastAsia="zh-CN"/>
        </w:rPr>
        <w:t>3</w:t>
      </w:r>
      <w:r>
        <w:rPr>
          <w:rFonts w:hint="eastAsia" w:ascii="宋体" w:hAnsi="宋体" w:cs="宋体"/>
          <w:color w:val="auto"/>
          <w:sz w:val="24"/>
        </w:rPr>
        <w:t>.2本合同项目招标文件、乙方的响应文件均为合同的有效组成部分。本合同未尽事宜，遵照《中华人民共和国民法典》、《中华人民共和国政府采购法》有关条文执行。</w:t>
      </w:r>
    </w:p>
    <w:p w14:paraId="20C93E37">
      <w:pPr>
        <w:pStyle w:val="32"/>
        <w:keepNext w:val="0"/>
        <w:keepLines w:val="0"/>
        <w:pageBreakBefore w:val="0"/>
        <w:widowControl w:val="0"/>
        <w:kinsoku/>
        <w:wordWrap/>
        <w:overflowPunct/>
        <w:topLinePunct w:val="0"/>
        <w:autoSpaceDE/>
        <w:autoSpaceDN/>
        <w:bidi w:val="0"/>
        <w:adjustRightInd/>
        <w:spacing w:line="520" w:lineRule="exact"/>
        <w:ind w:left="0" w:leftChars="0" w:right="0" w:firstLine="480" w:firstLineChars="200"/>
        <w:textAlignment w:val="auto"/>
        <w:outlineLvl w:val="9"/>
        <w:rPr>
          <w:rFonts w:hint="eastAsia" w:ascii="宋体" w:hAnsi="宋体" w:cs="宋体"/>
          <w:color w:val="auto"/>
          <w:sz w:val="24"/>
        </w:rPr>
      </w:pPr>
      <w:r>
        <w:rPr>
          <w:rFonts w:hint="eastAsia" w:ascii="宋体" w:hAnsi="宋体" w:cs="宋体"/>
          <w:color w:val="auto"/>
          <w:sz w:val="24"/>
        </w:rPr>
        <w:t>1</w:t>
      </w:r>
      <w:r>
        <w:rPr>
          <w:rFonts w:hint="eastAsia" w:cs="宋体"/>
          <w:color w:val="auto"/>
          <w:sz w:val="24"/>
          <w:lang w:val="en-US" w:eastAsia="zh-CN"/>
        </w:rPr>
        <w:t>3</w:t>
      </w:r>
      <w:r>
        <w:rPr>
          <w:rFonts w:hint="eastAsia" w:ascii="宋体" w:hAnsi="宋体" w:cs="宋体"/>
          <w:color w:val="auto"/>
          <w:sz w:val="24"/>
        </w:rPr>
        <w:t>.3本合同正本一式六份，具有同等法律效力，甲方执肆份、乙方执两份。</w:t>
      </w:r>
    </w:p>
    <w:p w14:paraId="22E41548">
      <w:pPr>
        <w:pStyle w:val="32"/>
        <w:keepNext w:val="0"/>
        <w:keepLines w:val="0"/>
        <w:pageBreakBefore w:val="0"/>
        <w:widowControl w:val="0"/>
        <w:kinsoku/>
        <w:wordWrap/>
        <w:overflowPunct/>
        <w:topLinePunct w:val="0"/>
        <w:autoSpaceDE/>
        <w:autoSpaceDN/>
        <w:bidi w:val="0"/>
        <w:adjustRightInd/>
        <w:spacing w:before="120" w:after="120" w:line="520" w:lineRule="exact"/>
        <w:ind w:left="480" w:hanging="480"/>
        <w:textAlignment w:val="auto"/>
        <w:outlineLvl w:val="9"/>
        <w:rPr>
          <w:rFonts w:hint="eastAsia" w:ascii="宋体" w:hAnsi="宋体" w:cs="宋体"/>
          <w:color w:val="auto"/>
          <w:sz w:val="24"/>
        </w:rPr>
      </w:pPr>
    </w:p>
    <w:p w14:paraId="1BE9F14D">
      <w:pPr>
        <w:pStyle w:val="32"/>
        <w:keepNext w:val="0"/>
        <w:keepLines w:val="0"/>
        <w:pageBreakBefore w:val="0"/>
        <w:widowControl w:val="0"/>
        <w:kinsoku/>
        <w:wordWrap/>
        <w:overflowPunct/>
        <w:topLinePunct w:val="0"/>
        <w:autoSpaceDE/>
        <w:autoSpaceDN/>
        <w:bidi w:val="0"/>
        <w:adjustRightInd/>
        <w:snapToGrid/>
        <w:spacing w:before="120" w:after="120" w:line="700" w:lineRule="exact"/>
        <w:ind w:left="480" w:hanging="480"/>
        <w:textAlignment w:val="auto"/>
        <w:outlineLvl w:val="9"/>
        <w:rPr>
          <w:rFonts w:hint="eastAsia" w:ascii="宋体" w:hAnsi="宋体" w:cs="宋体"/>
          <w:color w:val="auto"/>
          <w:sz w:val="24"/>
        </w:rPr>
      </w:pPr>
      <w:r>
        <w:rPr>
          <w:rFonts w:hint="eastAsia" w:ascii="宋体" w:hAnsi="宋体" w:cs="宋体"/>
          <w:color w:val="auto"/>
          <w:sz w:val="24"/>
        </w:rPr>
        <w:t xml:space="preserve">甲方：                 乙方： </w:t>
      </w:r>
    </w:p>
    <w:p w14:paraId="507E6342">
      <w:pPr>
        <w:pStyle w:val="32"/>
        <w:keepNext w:val="0"/>
        <w:keepLines w:val="0"/>
        <w:pageBreakBefore w:val="0"/>
        <w:widowControl w:val="0"/>
        <w:kinsoku/>
        <w:wordWrap/>
        <w:overflowPunct/>
        <w:topLinePunct w:val="0"/>
        <w:autoSpaceDE/>
        <w:autoSpaceDN/>
        <w:bidi w:val="0"/>
        <w:adjustRightInd/>
        <w:snapToGrid/>
        <w:spacing w:before="120" w:after="120" w:line="700" w:lineRule="exact"/>
        <w:textAlignment w:val="auto"/>
        <w:outlineLvl w:val="9"/>
        <w:rPr>
          <w:rFonts w:hint="eastAsia" w:ascii="宋体" w:hAnsi="宋体" w:cs="宋体"/>
          <w:color w:val="auto"/>
          <w:sz w:val="24"/>
        </w:rPr>
      </w:pPr>
      <w:r>
        <w:rPr>
          <w:rFonts w:hint="eastAsia" w:ascii="宋体" w:hAnsi="宋体" w:cs="宋体"/>
          <w:color w:val="auto"/>
          <w:sz w:val="24"/>
        </w:rPr>
        <w:t xml:space="preserve">地址：                地址： </w:t>
      </w:r>
    </w:p>
    <w:p w14:paraId="0B3E7DC3">
      <w:pPr>
        <w:pStyle w:val="32"/>
        <w:keepNext w:val="0"/>
        <w:keepLines w:val="0"/>
        <w:pageBreakBefore w:val="0"/>
        <w:widowControl w:val="0"/>
        <w:kinsoku/>
        <w:wordWrap/>
        <w:overflowPunct/>
        <w:topLinePunct w:val="0"/>
        <w:autoSpaceDE/>
        <w:autoSpaceDN/>
        <w:bidi w:val="0"/>
        <w:adjustRightInd/>
        <w:snapToGrid/>
        <w:spacing w:before="120" w:after="120" w:line="700" w:lineRule="exact"/>
        <w:textAlignment w:val="auto"/>
        <w:outlineLvl w:val="9"/>
        <w:rPr>
          <w:rFonts w:hint="eastAsia" w:ascii="宋体" w:hAnsi="宋体" w:cs="宋体"/>
          <w:color w:val="auto"/>
          <w:sz w:val="24"/>
        </w:rPr>
      </w:pPr>
      <w:r>
        <w:rPr>
          <w:rFonts w:hint="eastAsia" w:ascii="宋体" w:hAnsi="宋体" w:cs="宋体"/>
          <w:color w:val="auto"/>
          <w:sz w:val="24"/>
        </w:rPr>
        <w:t>法定代表人或授权代表：        法定代表人或授权代表：</w:t>
      </w:r>
    </w:p>
    <w:p w14:paraId="52C3138F">
      <w:pPr>
        <w:pStyle w:val="32"/>
        <w:keepNext w:val="0"/>
        <w:keepLines w:val="0"/>
        <w:pageBreakBefore w:val="0"/>
        <w:widowControl w:val="0"/>
        <w:kinsoku/>
        <w:wordWrap/>
        <w:overflowPunct/>
        <w:topLinePunct w:val="0"/>
        <w:autoSpaceDE/>
        <w:autoSpaceDN/>
        <w:bidi w:val="0"/>
        <w:adjustRightInd/>
        <w:snapToGrid/>
        <w:spacing w:before="120" w:after="120" w:line="700" w:lineRule="exact"/>
        <w:textAlignment w:val="auto"/>
        <w:outlineLvl w:val="9"/>
        <w:rPr>
          <w:rFonts w:hint="eastAsia" w:ascii="宋体" w:hAnsi="宋体" w:cs="宋体"/>
          <w:color w:val="auto"/>
          <w:sz w:val="24"/>
        </w:rPr>
      </w:pPr>
      <w:r>
        <w:rPr>
          <w:rFonts w:hint="eastAsia" w:ascii="宋体" w:hAnsi="宋体" w:cs="宋体"/>
          <w:color w:val="auto"/>
          <w:sz w:val="24"/>
        </w:rPr>
        <w:t xml:space="preserve">联系电话：                 联系电话：          </w:t>
      </w:r>
    </w:p>
    <w:p w14:paraId="25D2A103">
      <w:pPr>
        <w:pStyle w:val="32"/>
        <w:keepNext w:val="0"/>
        <w:keepLines w:val="0"/>
        <w:pageBreakBefore w:val="0"/>
        <w:widowControl w:val="0"/>
        <w:kinsoku/>
        <w:wordWrap/>
        <w:overflowPunct/>
        <w:topLinePunct w:val="0"/>
        <w:autoSpaceDE/>
        <w:autoSpaceDN/>
        <w:bidi w:val="0"/>
        <w:adjustRightInd/>
        <w:snapToGrid/>
        <w:spacing w:line="700" w:lineRule="exact"/>
        <w:jc w:val="left"/>
        <w:textAlignment w:val="auto"/>
        <w:outlineLvl w:val="9"/>
        <w:rPr>
          <w:rFonts w:hint="eastAsia" w:ascii="宋体" w:hAnsi="宋体" w:cs="宋体"/>
          <w:color w:val="auto"/>
          <w:sz w:val="24"/>
        </w:rPr>
      </w:pPr>
      <w:r>
        <w:rPr>
          <w:rFonts w:hint="eastAsia" w:ascii="宋体" w:hAnsi="宋体" w:cs="宋体"/>
          <w:color w:val="auto"/>
          <w:sz w:val="24"/>
        </w:rPr>
        <w:t>                                  </w:t>
      </w:r>
    </w:p>
    <w:p w14:paraId="36FA4013">
      <w:pPr>
        <w:pStyle w:val="32"/>
        <w:keepNext w:val="0"/>
        <w:keepLines w:val="0"/>
        <w:pageBreakBefore w:val="0"/>
        <w:widowControl w:val="0"/>
        <w:kinsoku/>
        <w:wordWrap/>
        <w:overflowPunct/>
        <w:topLinePunct w:val="0"/>
        <w:autoSpaceDE/>
        <w:autoSpaceDN/>
        <w:bidi w:val="0"/>
        <w:adjustRightInd/>
        <w:snapToGrid/>
        <w:spacing w:line="700" w:lineRule="exact"/>
        <w:jc w:val="left"/>
        <w:textAlignment w:val="auto"/>
        <w:outlineLvl w:val="9"/>
        <w:rPr>
          <w:rFonts w:hint="default" w:ascii="宋体" w:hAnsi="宋体" w:eastAsia="宋体" w:cs="宋体"/>
          <w:color w:val="auto"/>
          <w:sz w:val="24"/>
          <w:lang w:val="en-US" w:eastAsia="zh-CN"/>
        </w:rPr>
      </w:pPr>
      <w:r>
        <w:rPr>
          <w:rFonts w:hint="eastAsia" w:ascii="宋体" w:hAnsi="宋体" w:cs="宋体"/>
          <w:color w:val="auto"/>
          <w:sz w:val="24"/>
        </w:rPr>
        <w:t>签订日期：  年    月   日</w:t>
      </w:r>
      <w:r>
        <w:rPr>
          <w:rFonts w:hint="eastAsia" w:ascii="宋体" w:hAnsi="宋体" w:cs="宋体"/>
          <w:color w:val="auto"/>
          <w:sz w:val="24"/>
          <w:lang w:val="en-US" w:eastAsia="zh-CN"/>
        </w:rPr>
        <w:t xml:space="preserve">   </w:t>
      </w:r>
      <w:r>
        <w:rPr>
          <w:rFonts w:hint="eastAsia" w:cs="宋体"/>
          <w:color w:val="auto"/>
          <w:sz w:val="24"/>
          <w:lang w:val="en-US" w:eastAsia="zh-CN"/>
        </w:rPr>
        <w:t xml:space="preserve">   </w:t>
      </w:r>
      <w:r>
        <w:rPr>
          <w:rFonts w:hint="eastAsia" w:ascii="宋体" w:hAnsi="宋体" w:cs="宋体"/>
          <w:color w:val="auto"/>
          <w:sz w:val="24"/>
        </w:rPr>
        <w:t>签订日</w:t>
      </w:r>
      <w:r>
        <w:rPr>
          <w:rFonts w:hint="eastAsia" w:cs="宋体"/>
          <w:color w:val="auto"/>
          <w:sz w:val="24"/>
          <w:lang w:val="en-US" w:eastAsia="zh-CN"/>
        </w:rPr>
        <w:t>期</w:t>
      </w:r>
      <w:r>
        <w:rPr>
          <w:rFonts w:hint="eastAsia" w:ascii="宋体" w:hAnsi="宋体" w:cs="宋体"/>
          <w:color w:val="auto"/>
          <w:sz w:val="24"/>
        </w:rPr>
        <w:t>：   年    月   日</w:t>
      </w:r>
    </w:p>
    <w:p w14:paraId="7484A603">
      <w:pPr>
        <w:widowControl/>
        <w:jc w:val="left"/>
        <w:rPr>
          <w:rFonts w:hint="eastAsia" w:ascii="宋体" w:hAnsi="宋体" w:eastAsia="宋体"/>
          <w:color w:val="auto"/>
        </w:rPr>
      </w:pPr>
      <w:r>
        <w:rPr>
          <w:rFonts w:hint="eastAsia" w:ascii="宋体" w:hAnsi="宋体" w:eastAsia="宋体"/>
          <w:color w:val="auto"/>
        </w:rPr>
        <w:br w:type="page" w:clear="all"/>
      </w:r>
    </w:p>
    <w:p w14:paraId="5B606033">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2"/>
          <w:szCs w:val="32"/>
          <w14:ligatures w14:val="none"/>
        </w:rPr>
      </w:pPr>
      <w:bookmarkStart w:id="100" w:name="_Toc197644569"/>
      <w:r>
        <w:rPr>
          <w:rFonts w:hint="eastAsia" w:ascii="宋体" w:hAnsi="宋体" w:eastAsia="宋体" w:cs="Times New Roman"/>
          <w:b/>
          <w:bCs/>
          <w:color w:val="auto"/>
          <w:sz w:val="32"/>
          <w:szCs w:val="32"/>
          <w14:ligatures w14:val="none"/>
        </w:rPr>
        <w:t>采购需求</w:t>
      </w:r>
      <w:bookmarkEnd w:id="100"/>
    </w:p>
    <w:p w14:paraId="64F67ACE">
      <w:pPr>
        <w:keepNext w:val="0"/>
        <w:keepLines w:val="0"/>
        <w:pageBreakBefore w:val="0"/>
        <w:kinsoku/>
        <w:overflowPunct/>
        <w:topLinePunct w:val="0"/>
        <w:autoSpaceDE/>
        <w:autoSpaceDN/>
        <w:bidi w:val="0"/>
        <w:adjustRightInd/>
        <w:spacing w:line="500" w:lineRule="exact"/>
        <w:ind w:left="0" w:leftChars="0" w:firstLine="480" w:firstLineChars="200"/>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项目属性:服务类项目</w:t>
      </w:r>
    </w:p>
    <w:p w14:paraId="4B0E6ECC">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firstLine="482" w:firstLineChars="200"/>
        <w:jc w:val="left"/>
        <w:textAlignment w:val="auto"/>
        <w:outlineLvl w:val="1"/>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一、项目概况</w:t>
      </w:r>
    </w:p>
    <w:p w14:paraId="65DBAA3F">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2" w:firstLineChars="200"/>
        <w:jc w:val="left"/>
        <w:textAlignment w:val="auto"/>
        <w:outlineLvl w:val="1"/>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 xml:space="preserve"> </w:t>
      </w:r>
      <w:r>
        <w:rPr>
          <w:rFonts w:hint="eastAsia" w:ascii="宋体" w:hAnsi="宋体" w:eastAsia="宋体" w:cs="宋体"/>
          <w:b w:val="0"/>
          <w:bCs w:val="0"/>
          <w:color w:val="auto"/>
          <w:kern w:val="0"/>
          <w:sz w:val="24"/>
          <w:szCs w:val="24"/>
          <w:lang w:val="en-US" w:eastAsia="zh-CN" w:bidi="ar"/>
        </w:rPr>
        <w:t>1、本次招标采购：射阳县公安局交通管理大队涉案车辆清拖及保管服务项目，具体要求详见项目需求。</w:t>
      </w:r>
    </w:p>
    <w:p w14:paraId="025CE2C0">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outlineLvl w:val="2"/>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2、合同履行期限：一年（自合同签订之日起）。</w:t>
      </w:r>
    </w:p>
    <w:p w14:paraId="774BA4F4">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outlineLvl w:val="2"/>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3、预算金额：140万元（包括清拖预算110万，场地预算30万）。</w:t>
      </w:r>
    </w:p>
    <w:p w14:paraId="6AECC2E4">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outlineLvl w:val="2"/>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4、履约地点：射阳县境内（采购人指定地点）</w:t>
      </w:r>
    </w:p>
    <w:p w14:paraId="15178A98">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outlineLvl w:val="2"/>
        <w:rPr>
          <w:rFonts w:hint="default"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5、采购方式：公开招标</w:t>
      </w:r>
    </w:p>
    <w:p w14:paraId="18F1EC36">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outlineLvl w:val="2"/>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lang w:val="en-US" w:eastAsia="zh-CN" w:bidi="ar"/>
        </w:rPr>
        <w:t>6、评标方法：综合评分法</w:t>
      </w:r>
    </w:p>
    <w:p w14:paraId="049E8E60">
      <w:pPr>
        <w:keepNext w:val="0"/>
        <w:keepLines w:val="0"/>
        <w:pageBreakBefore w:val="0"/>
        <w:kinsoku/>
        <w:wordWrap w:val="0"/>
        <w:overflowPunct/>
        <w:topLinePunct w:val="0"/>
        <w:autoSpaceDE/>
        <w:autoSpaceDN/>
        <w:bidi w:val="0"/>
        <w:adjustRightInd/>
        <w:snapToGrid w:val="0"/>
        <w:spacing w:line="500" w:lineRule="exact"/>
        <w:ind w:left="0" w:leftChars="0" w:firstLine="482" w:firstLineChars="200"/>
        <w:textAlignment w:val="auto"/>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、商务要求</w:t>
      </w:r>
    </w:p>
    <w:p w14:paraId="4AD02A32">
      <w:pPr>
        <w:keepNext w:val="0"/>
        <w:keepLines w:val="0"/>
        <w:pageBreakBefore w:val="0"/>
        <w:widowControl w:val="0"/>
        <w:suppressLineNumbers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1、合同履行期限：一年（自合同签订之日起）。</w:t>
      </w:r>
    </w:p>
    <w:p w14:paraId="34113897">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2、付款方式</w:t>
      </w:r>
    </w:p>
    <w:p w14:paraId="2866D7CA">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2.1按实结算，签订合同后，采购人支付合同价*[1-下浮率]的30%预付款（如乙方不需要预付款按乙方要求执行，乙方需提供书面材料）；</w:t>
      </w:r>
    </w:p>
    <w:p w14:paraId="523B232F">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2.2 供应商每月10日前须提供上月产生的费用清单交采购人确认，经确认的费用清单作为结算依据，逾期未提供费用清单的，视为自愿放弃上月服务费用。</w:t>
      </w:r>
    </w:p>
    <w:p w14:paraId="4F03012F">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2.3双方逐月计算金额，按季结算支付，经采购人确认的每月产生的费用清单作为涉案车辆拖移、运输、停放、保管、发还费用结算的重要依据。</w:t>
      </w:r>
    </w:p>
    <w:p w14:paraId="3D8C80F4">
      <w:pPr>
        <w:keepNext w:val="0"/>
        <w:keepLines w:val="0"/>
        <w:pageBreakBefore w:val="0"/>
        <w:numPr>
          <w:ilvl w:val="0"/>
          <w:numId w:val="0"/>
        </w:numPr>
        <w:kinsoku/>
        <w:wordWrap w:val="0"/>
        <w:overflowPunct/>
        <w:topLinePunct w:val="0"/>
        <w:autoSpaceDE/>
        <w:autoSpaceDN/>
        <w:bidi w:val="0"/>
        <w:adjustRightInd/>
        <w:snapToGrid w:val="0"/>
        <w:spacing w:line="500" w:lineRule="exact"/>
        <w:ind w:left="0" w:leftChars="0" w:firstLine="482" w:firstLineChars="200"/>
        <w:textAlignment w:val="auto"/>
        <w:outlineLvl w:val="1"/>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bidi="ar-SA"/>
        </w:rPr>
        <w:t>三、</w:t>
      </w:r>
      <w:r>
        <w:rPr>
          <w:rFonts w:hint="eastAsia" w:ascii="宋体" w:hAnsi="宋体" w:eastAsia="宋体" w:cs="宋体"/>
          <w:b/>
          <w:bCs/>
          <w:color w:val="auto"/>
          <w:sz w:val="24"/>
          <w:szCs w:val="24"/>
          <w:lang w:val="en-US" w:eastAsia="zh-CN"/>
        </w:rPr>
        <w:t>技术要求</w:t>
      </w:r>
    </w:p>
    <w:p w14:paraId="18D8292B">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outlineLvl w:val="2"/>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1、停车场硬件要求：</w:t>
      </w:r>
      <w:r>
        <w:rPr>
          <w:rFonts w:hint="eastAsia" w:ascii="宋体" w:hAnsi="宋体" w:eastAsia="宋体" w:cs="宋体"/>
          <w:color w:val="auto"/>
          <w:kern w:val="0"/>
          <w:sz w:val="24"/>
          <w:szCs w:val="24"/>
          <w:lang w:val="en-US" w:eastAsia="zh-CN" w:bidi="ar"/>
        </w:rPr>
        <w:t xml:space="preserve">     </w:t>
      </w:r>
    </w:p>
    <w:p w14:paraId="3384CC86">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color w:val="auto"/>
          <w:kern w:val="0"/>
          <w:sz w:val="24"/>
          <w:szCs w:val="24"/>
          <w:lang w:val="en-US" w:eastAsia="zh-CN" w:bidi="ar"/>
        </w:rPr>
        <w:t>1.1停车场应不远离县城主城区，交通便利，至少具有一块占地面积30亩及以上的停车场地，其中停车区域面积不少于25亩；且符合消防、环保的要求，同时符合政府规划要求，如遇政府规划调整，应及时提供符合前述要求的停车保管场地。</w:t>
      </w:r>
      <w:r>
        <w:rPr>
          <w:rFonts w:hint="eastAsia" w:ascii="宋体" w:hAnsi="宋体" w:eastAsia="宋体" w:cs="宋体"/>
          <w:b/>
          <w:bCs/>
          <w:color w:val="auto"/>
          <w:kern w:val="0"/>
          <w:sz w:val="24"/>
          <w:szCs w:val="24"/>
          <w:lang w:val="en-US" w:eastAsia="zh-CN" w:bidi="ar"/>
        </w:rPr>
        <w:t xml:space="preserve">（注：①需提供停车场地的有效权属文件或租赁协议原件彩色扫描件并加盖单位公章；②需提供承诺书原件原件彩色扫描件并加盖单位公章，承诺内容包括场地位置、场地面积、停车区域面积、可用时间且符合消防、环保的要求，同时符合政府规划要求等 ；以上材料不提供视为符合性审查不通过 ）  </w:t>
      </w:r>
    </w:p>
    <w:p w14:paraId="338FFB41">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1.2必须专门用于停放涉案车辆，实施专管专用全封闭，严禁停放其他车辆；</w:t>
      </w:r>
    </w:p>
    <w:p w14:paraId="04600D4F">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1.3要与外界有必要的安全隔离设施，出入口安装门禁，设置门卫值班室；</w:t>
      </w:r>
    </w:p>
    <w:p w14:paraId="50F34A5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1.4需建有防盗报警系统、视频监控系统，实现对车辆进出、存放情况进行全时段、全方位监控和取证，视频资料保存时间不少于6个月；</w:t>
      </w:r>
    </w:p>
    <w:p w14:paraId="51E121A9">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1.5应有独立的办公场所和停车场地，并配备与停车场规模相适应的专职管理人员、办公设备等；</w:t>
      </w:r>
    </w:p>
    <w:p w14:paraId="024DD455">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1.6应配备与停车场规模相适应的专职清拖人员和必要的清拖车辆，同时能提供符合作业需求的吊车；</w:t>
      </w:r>
    </w:p>
    <w:p w14:paraId="30DCF60A">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1.7需设有封闭车库或室内停车场，用于高价值或易损坏车辆的入库管理；</w:t>
      </w:r>
    </w:p>
    <w:p w14:paraId="66B5753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1.8室外停车场应为混凝土地面、沥青地面或者用砂石硬化的平整地面；室内停车场（车库）应为混凝土或沥青地面；</w:t>
      </w:r>
    </w:p>
    <w:p w14:paraId="5334463B">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1.9应具有保证车辆安全进出停放的照明设施和应急照明设备，以及良好的排水系统；</w:t>
      </w:r>
    </w:p>
    <w:p w14:paraId="03781F88">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1.10应能实现分类、分区、分期、分中队有序停放涉案车辆，停车场地应划分为：大型车、小型车、摩托车、非机动车区域，施划交通标线和停车泊位，并悬挂相应的指示牌；区与区之间须留有消防通道；分期：以扣车时间顺序为单位统一编号；分中队：不同中队应分别设置停放区；</w:t>
      </w:r>
    </w:p>
    <w:p w14:paraId="37B949BB">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1.11应安装符合采购方要求的涉案车辆信息管理系统，制定涉案车辆进场、出场、登记、审批、管理等工作流程，并实行对涉案车辆的电子化、信息化管理；</w:t>
      </w:r>
    </w:p>
    <w:p w14:paraId="12BBF148">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1.12应建有与停车场规模相当的消防、防爆设施，制定完善符合消防规定的消防管理制度和工作应急预案。</w:t>
      </w:r>
    </w:p>
    <w:p w14:paraId="62C6822B">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outlineLvl w:val="2"/>
        <w:rPr>
          <w:rFonts w:hint="default"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2、</w:t>
      </w:r>
      <w:r>
        <w:rPr>
          <w:rFonts w:hint="default" w:ascii="宋体" w:hAnsi="宋体" w:eastAsia="宋体" w:cs="宋体"/>
          <w:b/>
          <w:bCs/>
          <w:color w:val="auto"/>
          <w:kern w:val="0"/>
          <w:sz w:val="24"/>
          <w:szCs w:val="24"/>
          <w:lang w:val="en-US" w:eastAsia="zh-CN" w:bidi="ar"/>
        </w:rPr>
        <w:t>清拖能力要求：</w:t>
      </w:r>
    </w:p>
    <w:p w14:paraId="73990139">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2.1供应商</w:t>
      </w:r>
      <w:r>
        <w:rPr>
          <w:rFonts w:hint="default" w:ascii="宋体" w:hAnsi="宋体" w:eastAsia="宋体" w:cs="宋体"/>
          <w:color w:val="auto"/>
          <w:kern w:val="0"/>
          <w:sz w:val="24"/>
          <w:szCs w:val="24"/>
          <w:lang w:val="en-US" w:eastAsia="zh-CN" w:bidi="ar"/>
        </w:rPr>
        <w:t>须能根据</w:t>
      </w:r>
      <w:r>
        <w:rPr>
          <w:rFonts w:hint="eastAsia" w:ascii="宋体" w:hAnsi="宋体" w:eastAsia="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需求及时清拖（吊运）现场车辆，原则上范围一：（30分钟内到达）、范围二：（50分钟内到达）、范围三：（70分钟内到达），如有特殊情况不能及时到达现场须与</w:t>
      </w:r>
      <w:r>
        <w:rPr>
          <w:rFonts w:hint="eastAsia" w:ascii="宋体" w:hAnsi="宋体" w:eastAsia="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沟通并征得</w:t>
      </w:r>
      <w:r>
        <w:rPr>
          <w:rFonts w:hint="eastAsia" w:ascii="宋体" w:hAnsi="宋体" w:eastAsia="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同意，并应尽快组织清拖。</w:t>
      </w:r>
      <w:r>
        <w:rPr>
          <w:rFonts w:hint="eastAsia" w:ascii="宋体" w:hAnsi="宋体" w:eastAsia="宋体" w:cs="宋体"/>
          <w:color w:val="auto"/>
          <w:kern w:val="0"/>
          <w:sz w:val="24"/>
          <w:szCs w:val="24"/>
          <w:lang w:val="en-US" w:eastAsia="zh-CN" w:bidi="ar"/>
        </w:rPr>
        <w:t>供应商</w:t>
      </w:r>
      <w:r>
        <w:rPr>
          <w:rFonts w:hint="default" w:ascii="宋体" w:hAnsi="宋体" w:eastAsia="宋体" w:cs="宋体"/>
          <w:color w:val="auto"/>
          <w:kern w:val="0"/>
          <w:sz w:val="24"/>
          <w:szCs w:val="24"/>
          <w:lang w:val="en-US" w:eastAsia="zh-CN" w:bidi="ar"/>
        </w:rPr>
        <w:t>无正当理由不提供清拖（吊运）服务或不能及时组织清拖，又未征得</w:t>
      </w:r>
      <w:r>
        <w:rPr>
          <w:rFonts w:hint="eastAsia" w:ascii="宋体" w:hAnsi="宋体" w:eastAsia="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同意，根据现场情况必须尽快清理现场的，</w:t>
      </w:r>
      <w:r>
        <w:rPr>
          <w:rFonts w:hint="eastAsia" w:ascii="宋体" w:hAnsi="宋体" w:eastAsia="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有权先行组织车辆清拖（吊运），所需费用由</w:t>
      </w:r>
      <w:r>
        <w:rPr>
          <w:rFonts w:hint="eastAsia" w:ascii="宋体" w:hAnsi="宋体" w:eastAsia="宋体" w:cs="宋体"/>
          <w:color w:val="auto"/>
          <w:kern w:val="0"/>
          <w:sz w:val="24"/>
          <w:szCs w:val="24"/>
          <w:lang w:val="en-US" w:eastAsia="zh-CN" w:bidi="ar"/>
        </w:rPr>
        <w:t>供应商</w:t>
      </w:r>
      <w:r>
        <w:rPr>
          <w:rFonts w:hint="default" w:ascii="宋体" w:hAnsi="宋体" w:eastAsia="宋体" w:cs="宋体"/>
          <w:color w:val="auto"/>
          <w:kern w:val="0"/>
          <w:sz w:val="24"/>
          <w:szCs w:val="24"/>
          <w:lang w:val="en-US" w:eastAsia="zh-CN" w:bidi="ar"/>
        </w:rPr>
        <w:t>承担，同时，第一次发生上述情况从合同款项中扣除2000元，第二次从合同款项中扣除5000元，并由</w:t>
      </w:r>
      <w:r>
        <w:rPr>
          <w:rFonts w:hint="eastAsia" w:ascii="宋体" w:hAnsi="宋体" w:eastAsia="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约谈</w:t>
      </w:r>
      <w:r>
        <w:rPr>
          <w:rFonts w:hint="eastAsia" w:ascii="宋体" w:hAnsi="宋体" w:eastAsia="宋体" w:cs="宋体"/>
          <w:color w:val="auto"/>
          <w:kern w:val="0"/>
          <w:sz w:val="24"/>
          <w:szCs w:val="24"/>
          <w:lang w:val="en-US" w:eastAsia="zh-CN" w:bidi="ar"/>
        </w:rPr>
        <w:t>供应商</w:t>
      </w:r>
      <w:r>
        <w:rPr>
          <w:rFonts w:hint="default" w:ascii="宋体" w:hAnsi="宋体" w:eastAsia="宋体" w:cs="宋体"/>
          <w:color w:val="auto"/>
          <w:kern w:val="0"/>
          <w:sz w:val="24"/>
          <w:szCs w:val="24"/>
          <w:lang w:val="en-US" w:eastAsia="zh-CN" w:bidi="ar"/>
        </w:rPr>
        <w:t>负责人，第三次终止合同。</w:t>
      </w:r>
    </w:p>
    <w:p w14:paraId="3E892842">
      <w:pPr>
        <w:widowControl w:val="0"/>
        <w:numPr>
          <w:ilvl w:val="0"/>
          <w:numId w:val="0"/>
        </w:numPr>
        <w:wordWrap/>
        <w:adjustRightInd/>
        <w:snapToGrid/>
        <w:ind w:firstLine="480" w:firstLineChars="200"/>
        <w:textAlignment w:val="auto"/>
        <w:rPr>
          <w:rFonts w:hint="eastAsia" w:ascii="宋体" w:hAnsi="宋体" w:eastAsia="宋体" w:cs="宋体"/>
          <w:b w:val="0"/>
          <w:bCs w:val="0"/>
          <w:color w:val="auto"/>
          <w:sz w:val="24"/>
          <w:szCs w:val="18"/>
          <w:lang w:val="en-US" w:eastAsia="zh-CN" w:bidi="ar-SA"/>
        </w:rPr>
      </w:pPr>
    </w:p>
    <w:p w14:paraId="33B0FDD4">
      <w:pPr>
        <w:widowControl w:val="0"/>
        <w:numPr>
          <w:ilvl w:val="0"/>
          <w:numId w:val="0"/>
        </w:numPr>
        <w:wordWrap/>
        <w:adjustRightInd/>
        <w:snapToGrid/>
        <w:ind w:firstLine="480" w:firstLineChars="200"/>
        <w:textAlignment w:val="auto"/>
        <w:rPr>
          <w:rFonts w:hint="eastAsia" w:ascii="宋体" w:hAnsi="宋体" w:eastAsia="宋体" w:cs="宋体"/>
          <w:b/>
          <w:bCs/>
          <w:color w:val="auto"/>
          <w:sz w:val="28"/>
          <w:szCs w:val="28"/>
          <w:lang w:eastAsia="zh-CN"/>
        </w:rPr>
      </w:pPr>
      <w:r>
        <w:rPr>
          <w:rFonts w:hint="eastAsia" w:ascii="宋体" w:hAnsi="宋体" w:eastAsia="宋体" w:cs="宋体"/>
          <w:b w:val="0"/>
          <w:bCs w:val="0"/>
          <w:color w:val="auto"/>
          <w:sz w:val="24"/>
          <w:szCs w:val="18"/>
          <w:lang w:val="en-US" w:eastAsia="zh-CN" w:bidi="ar-SA"/>
        </w:rPr>
        <w:t>A</w:t>
      </w:r>
      <w:r>
        <w:rPr>
          <w:rFonts w:hint="eastAsia" w:ascii="宋体" w:hAnsi="宋体" w:eastAsia="宋体" w:cs="宋体"/>
          <w:b/>
          <w:bCs/>
          <w:i w:val="0"/>
          <w:color w:val="auto"/>
          <w:sz w:val="28"/>
          <w:szCs w:val="28"/>
          <w:u w:val="none"/>
          <w:lang w:eastAsia="zh-CN"/>
        </w:rPr>
        <w:t>清拖车辆</w:t>
      </w:r>
      <w:r>
        <w:rPr>
          <w:rFonts w:hint="eastAsia" w:ascii="宋体" w:hAnsi="宋体" w:eastAsia="宋体" w:cs="宋体"/>
          <w:b/>
          <w:bCs/>
          <w:color w:val="auto"/>
          <w:sz w:val="28"/>
          <w:szCs w:val="28"/>
        </w:rPr>
        <w:t>采购清单</w:t>
      </w:r>
      <w:r>
        <w:rPr>
          <w:rFonts w:hint="eastAsia" w:ascii="宋体" w:hAnsi="宋体" w:eastAsia="宋体" w:cs="宋体"/>
          <w:b/>
          <w:bCs/>
          <w:color w:val="auto"/>
          <w:sz w:val="28"/>
          <w:szCs w:val="28"/>
          <w:lang w:eastAsia="zh-CN"/>
        </w:rPr>
        <w:t>单</w:t>
      </w:r>
      <w:r>
        <w:rPr>
          <w:rFonts w:hint="eastAsia" w:ascii="宋体" w:hAnsi="宋体" w:eastAsia="宋体" w:cs="宋体"/>
          <w:b/>
          <w:bCs/>
          <w:color w:val="auto"/>
          <w:sz w:val="28"/>
          <w:szCs w:val="28"/>
        </w:rPr>
        <w:t>价</w:t>
      </w:r>
      <w:r>
        <w:rPr>
          <w:rFonts w:hint="eastAsia" w:ascii="宋体" w:hAnsi="宋体" w:eastAsia="宋体" w:cs="宋体"/>
          <w:b/>
          <w:bCs/>
          <w:color w:val="auto"/>
          <w:sz w:val="28"/>
          <w:szCs w:val="28"/>
          <w:lang w:eastAsia="zh-CN"/>
        </w:rPr>
        <w:t>限价表：</w:t>
      </w:r>
    </w:p>
    <w:tbl>
      <w:tblPr>
        <w:tblStyle w:val="35"/>
        <w:tblpPr w:leftFromText="180" w:rightFromText="180" w:vertAnchor="text" w:horzAnchor="page" w:tblpX="1882" w:tblpY="259"/>
        <w:tblOverlap w:val="never"/>
        <w:tblW w:w="82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1209"/>
        <w:gridCol w:w="1300"/>
        <w:gridCol w:w="941"/>
        <w:gridCol w:w="1305"/>
        <w:gridCol w:w="930"/>
        <w:gridCol w:w="1410"/>
        <w:gridCol w:w="1155"/>
      </w:tblGrid>
      <w:tr w14:paraId="43C72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740" w:hRule="atLeast"/>
        </w:trPr>
        <w:tc>
          <w:tcPr>
            <w:tcW w:w="8250" w:type="dxa"/>
            <w:gridSpan w:val="7"/>
            <w:tcBorders>
              <w:top w:val="single" w:color="000000" w:sz="4" w:space="0"/>
              <w:left w:val="single" w:color="000000" w:sz="4" w:space="0"/>
              <w:bottom w:val="single" w:color="000000" w:sz="4" w:space="0"/>
              <w:right w:val="single" w:color="000000" w:sz="4" w:space="0"/>
            </w:tcBorders>
            <w:noWrap w:val="0"/>
            <w:vAlign w:val="center"/>
          </w:tcPr>
          <w:p w14:paraId="37E1F09D">
            <w:pPr>
              <w:autoSpaceDN w:val="0"/>
              <w:ind w:left="0" w:right="0"/>
              <w:jc w:val="center"/>
              <w:textAlignment w:val="center"/>
              <w:rPr>
                <w:rFonts w:hint="eastAsia" w:ascii="宋体" w:hAnsi="宋体" w:eastAsia="宋体" w:cs="宋体"/>
                <w:b/>
                <w:i w:val="0"/>
                <w:color w:val="auto"/>
                <w:sz w:val="36"/>
                <w:szCs w:val="18"/>
                <w:u w:val="none"/>
                <w:lang w:eastAsia="zh-CN"/>
              </w:rPr>
            </w:pPr>
            <w:r>
              <w:rPr>
                <w:rFonts w:hint="eastAsia" w:ascii="宋体" w:hAnsi="宋体" w:eastAsia="宋体" w:cs="宋体"/>
                <w:b/>
                <w:bCs w:val="0"/>
                <w:i w:val="0"/>
                <w:color w:val="auto"/>
                <w:sz w:val="28"/>
                <w:szCs w:val="28"/>
                <w:u w:val="none"/>
                <w:lang w:eastAsia="zh-CN"/>
              </w:rPr>
              <w:t>清拖车辆</w:t>
            </w:r>
            <w:r>
              <w:rPr>
                <w:rFonts w:hint="eastAsia" w:ascii="宋体" w:hAnsi="宋体" w:eastAsia="宋体" w:cs="宋体"/>
                <w:b/>
                <w:bCs w:val="0"/>
                <w:color w:val="auto"/>
                <w:sz w:val="28"/>
                <w:szCs w:val="28"/>
              </w:rPr>
              <w:t>采购清单</w:t>
            </w:r>
            <w:r>
              <w:rPr>
                <w:rFonts w:hint="eastAsia" w:ascii="宋体" w:hAnsi="宋体" w:eastAsia="宋体" w:cs="宋体"/>
                <w:b/>
                <w:bCs w:val="0"/>
                <w:color w:val="auto"/>
                <w:sz w:val="28"/>
                <w:szCs w:val="28"/>
                <w:lang w:eastAsia="zh-CN"/>
              </w:rPr>
              <w:t>单</w:t>
            </w:r>
            <w:r>
              <w:rPr>
                <w:rFonts w:hint="eastAsia" w:ascii="宋体" w:hAnsi="宋体" w:eastAsia="宋体" w:cs="宋体"/>
                <w:b/>
                <w:bCs w:val="0"/>
                <w:color w:val="auto"/>
                <w:sz w:val="28"/>
                <w:szCs w:val="28"/>
              </w:rPr>
              <w:t>价</w:t>
            </w:r>
            <w:r>
              <w:rPr>
                <w:rFonts w:hint="eastAsia" w:ascii="宋体" w:hAnsi="宋体" w:eastAsia="宋体" w:cs="宋体"/>
                <w:b/>
                <w:bCs w:val="0"/>
                <w:color w:val="auto"/>
                <w:sz w:val="28"/>
                <w:szCs w:val="28"/>
                <w:lang w:eastAsia="zh-CN"/>
              </w:rPr>
              <w:t>限价</w:t>
            </w:r>
          </w:p>
        </w:tc>
      </w:tr>
      <w:tr w14:paraId="76EBE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0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7875AF3A">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车辆类型</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22510ADC">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清拖范围一</w:t>
            </w: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52667CAC">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限价（元）</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4D89DCC2">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清拖范围二</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0A48572A">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限价（元）</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B7F5F2A">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清拖范围三</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1948330D">
            <w:pPr>
              <w:autoSpaceDN w:val="0"/>
              <w:ind w:left="0" w:right="0"/>
              <w:jc w:val="center"/>
              <w:textAlignment w:val="center"/>
              <w:rPr>
                <w:rFonts w:hint="eastAsia" w:ascii="宋体" w:hAnsi="宋体" w:eastAsia="宋体" w:cs="宋体"/>
                <w:b/>
                <w:i w:val="0"/>
                <w:color w:val="auto"/>
                <w:sz w:val="20"/>
                <w:szCs w:val="20"/>
                <w:u w:val="none"/>
                <w:lang w:eastAsia="zh-CN"/>
              </w:rPr>
            </w:pPr>
            <w:r>
              <w:rPr>
                <w:rFonts w:hint="eastAsia" w:ascii="宋体" w:hAnsi="宋体" w:eastAsia="宋体" w:cs="宋体"/>
                <w:b/>
                <w:i w:val="0"/>
                <w:color w:val="auto"/>
                <w:sz w:val="20"/>
                <w:szCs w:val="20"/>
                <w:u w:val="none"/>
                <w:lang w:eastAsia="zh-CN"/>
              </w:rPr>
              <w:t>限价（元）</w:t>
            </w:r>
          </w:p>
        </w:tc>
      </w:tr>
      <w:tr w14:paraId="3E88A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9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7BC06786">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二轮摩托车（电动自行车）</w:t>
            </w: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98F3799">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北至S329(含）、南至运棉河、东至G228(含）、西至S226（绕城）</w:t>
            </w: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05CD5B47">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80</w:t>
            </w:r>
          </w:p>
        </w:tc>
        <w:tc>
          <w:tcPr>
            <w:tcW w:w="1305" w:type="dxa"/>
            <w:vMerge w:val="restart"/>
            <w:tcBorders>
              <w:top w:val="single" w:color="000000" w:sz="4" w:space="0"/>
              <w:left w:val="single" w:color="000000" w:sz="4" w:space="0"/>
              <w:bottom w:val="single" w:color="000000" w:sz="4" w:space="0"/>
              <w:right w:val="single" w:color="000000" w:sz="4" w:space="0"/>
            </w:tcBorders>
            <w:noWrap w:val="0"/>
            <w:vAlign w:val="center"/>
          </w:tcPr>
          <w:p w14:paraId="432E63AF">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合德镇、射阳县经济开发区、兴桥镇、临海农场、海通镇、新洋农场、千秋镇、新坍镇、射阳港经济开发区（除范围一）</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02C95A1C">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120</w:t>
            </w:r>
          </w:p>
        </w:tc>
        <w:tc>
          <w:tcPr>
            <w:tcW w:w="1410" w:type="dxa"/>
            <w:vMerge w:val="restart"/>
            <w:tcBorders>
              <w:top w:val="single" w:color="000000" w:sz="4" w:space="0"/>
              <w:left w:val="single" w:color="000000" w:sz="4" w:space="0"/>
              <w:bottom w:val="single" w:color="000000" w:sz="4" w:space="0"/>
              <w:right w:val="single" w:color="000000" w:sz="4" w:space="0"/>
            </w:tcBorders>
            <w:noWrap w:val="0"/>
            <w:vAlign w:val="center"/>
          </w:tcPr>
          <w:p w14:paraId="09F27F46">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四明镇、海河镇、盘湾镇、特庸镇、洋马镇、长荡镇、盐场、黄沙港镇、临海镇、淮海农场</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0C6837F4">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160</w:t>
            </w:r>
          </w:p>
        </w:tc>
      </w:tr>
      <w:tr w14:paraId="6C940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9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60F47279">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三四轮电动车（三轮摩托车）</w:t>
            </w: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4CD8AC">
            <w:pPr>
              <w:ind w:left="0" w:right="0"/>
              <w:jc w:val="center"/>
              <w:rPr>
                <w:rFonts w:hint="eastAsia" w:ascii="宋体" w:hAnsi="宋体" w:eastAsia="宋体" w:cs="宋体"/>
                <w:color w:val="auto"/>
                <w:sz w:val="20"/>
                <w:szCs w:val="20"/>
              </w:rPr>
            </w:pP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070966DC">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100</w:t>
            </w:r>
          </w:p>
        </w:tc>
        <w:tc>
          <w:tcPr>
            <w:tcW w:w="13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CC3EB1">
            <w:pPr>
              <w:ind w:left="0" w:right="0"/>
              <w:jc w:val="center"/>
              <w:rPr>
                <w:rFonts w:hint="eastAsia" w:ascii="宋体" w:hAnsi="宋体" w:eastAsia="宋体" w:cs="宋体"/>
                <w:color w:val="auto"/>
                <w:sz w:val="20"/>
                <w:szCs w:val="20"/>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0DE03CD4">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150</w:t>
            </w:r>
          </w:p>
        </w:tc>
        <w:tc>
          <w:tcPr>
            <w:tcW w:w="14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23C75F">
            <w:pPr>
              <w:ind w:left="0" w:right="0"/>
              <w:jc w:val="center"/>
              <w:rPr>
                <w:rFonts w:hint="eastAsia" w:ascii="宋体" w:hAnsi="宋体" w:eastAsia="宋体" w:cs="宋体"/>
                <w:color w:val="auto"/>
                <w:sz w:val="20"/>
                <w:szCs w:val="20"/>
              </w:rPr>
            </w:pP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4D8C7ED7">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200</w:t>
            </w:r>
          </w:p>
        </w:tc>
      </w:tr>
      <w:tr w14:paraId="6869C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9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850AFEC">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小型汽车（蓝牌货车）</w:t>
            </w: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D40933">
            <w:pPr>
              <w:ind w:left="0" w:right="0"/>
              <w:jc w:val="center"/>
              <w:rPr>
                <w:rFonts w:hint="eastAsia" w:ascii="宋体" w:hAnsi="宋体" w:eastAsia="宋体" w:cs="宋体"/>
                <w:color w:val="auto"/>
                <w:sz w:val="20"/>
                <w:szCs w:val="20"/>
              </w:rPr>
            </w:pP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0BD7596B">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150</w:t>
            </w:r>
          </w:p>
        </w:tc>
        <w:tc>
          <w:tcPr>
            <w:tcW w:w="13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418ED7">
            <w:pPr>
              <w:ind w:left="0" w:right="0"/>
              <w:jc w:val="center"/>
              <w:rPr>
                <w:rFonts w:hint="eastAsia" w:ascii="宋体" w:hAnsi="宋体" w:eastAsia="宋体" w:cs="宋体"/>
                <w:color w:val="auto"/>
                <w:sz w:val="20"/>
                <w:szCs w:val="20"/>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CA182FF">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225</w:t>
            </w:r>
          </w:p>
        </w:tc>
        <w:tc>
          <w:tcPr>
            <w:tcW w:w="14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C80DBA">
            <w:pPr>
              <w:ind w:left="0" w:right="0"/>
              <w:jc w:val="center"/>
              <w:rPr>
                <w:rFonts w:hint="eastAsia" w:ascii="宋体" w:hAnsi="宋体" w:eastAsia="宋体" w:cs="宋体"/>
                <w:color w:val="auto"/>
                <w:sz w:val="20"/>
                <w:szCs w:val="20"/>
              </w:rPr>
            </w:pP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4C9F50E6">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300</w:t>
            </w:r>
          </w:p>
        </w:tc>
      </w:tr>
      <w:tr w14:paraId="3B0BF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9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814E735">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大型汽车</w:t>
            </w: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F51767">
            <w:pPr>
              <w:ind w:left="0" w:right="0"/>
              <w:jc w:val="center"/>
              <w:rPr>
                <w:rFonts w:hint="eastAsia" w:ascii="宋体" w:hAnsi="宋体" w:eastAsia="宋体" w:cs="宋体"/>
                <w:color w:val="auto"/>
                <w:sz w:val="20"/>
                <w:szCs w:val="20"/>
              </w:rPr>
            </w:pPr>
          </w:p>
        </w:tc>
        <w:tc>
          <w:tcPr>
            <w:tcW w:w="941" w:type="dxa"/>
            <w:tcBorders>
              <w:top w:val="single" w:color="000000" w:sz="4" w:space="0"/>
              <w:left w:val="single" w:color="000000" w:sz="4" w:space="0"/>
              <w:bottom w:val="single" w:color="000000" w:sz="4" w:space="0"/>
              <w:right w:val="single" w:color="000000" w:sz="4" w:space="0"/>
            </w:tcBorders>
            <w:noWrap w:val="0"/>
            <w:vAlign w:val="center"/>
          </w:tcPr>
          <w:p w14:paraId="5C01F77F">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500</w:t>
            </w:r>
          </w:p>
        </w:tc>
        <w:tc>
          <w:tcPr>
            <w:tcW w:w="13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78DFC6">
            <w:pPr>
              <w:ind w:left="0" w:right="0"/>
              <w:jc w:val="center"/>
              <w:rPr>
                <w:rFonts w:hint="eastAsia" w:ascii="宋体" w:hAnsi="宋体" w:eastAsia="宋体" w:cs="宋体"/>
                <w:color w:val="auto"/>
                <w:sz w:val="20"/>
                <w:szCs w:val="20"/>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270BBFCB">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750</w:t>
            </w:r>
          </w:p>
        </w:tc>
        <w:tc>
          <w:tcPr>
            <w:tcW w:w="14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8A566A">
            <w:pPr>
              <w:ind w:left="0" w:right="0"/>
              <w:jc w:val="center"/>
              <w:rPr>
                <w:rFonts w:hint="eastAsia" w:ascii="宋体" w:hAnsi="宋体" w:eastAsia="宋体" w:cs="宋体"/>
                <w:color w:val="auto"/>
                <w:sz w:val="20"/>
                <w:szCs w:val="20"/>
              </w:rPr>
            </w:pP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7D86C257">
            <w:pPr>
              <w:autoSpaceDN w:val="0"/>
              <w:ind w:left="0" w:right="0"/>
              <w:jc w:val="center"/>
              <w:textAlignment w:val="center"/>
              <w:rPr>
                <w:rFonts w:hint="eastAsia" w:ascii="宋体" w:hAnsi="宋体" w:eastAsia="宋体" w:cs="宋体"/>
                <w:b w:val="0"/>
                <w:i w:val="0"/>
                <w:color w:val="auto"/>
                <w:sz w:val="20"/>
                <w:szCs w:val="20"/>
                <w:u w:val="none"/>
                <w:lang w:eastAsia="zh-CN"/>
              </w:rPr>
            </w:pPr>
            <w:r>
              <w:rPr>
                <w:rFonts w:hint="eastAsia" w:ascii="宋体" w:hAnsi="宋体" w:eastAsia="宋体" w:cs="宋体"/>
                <w:b w:val="0"/>
                <w:i w:val="0"/>
                <w:color w:val="auto"/>
                <w:sz w:val="20"/>
                <w:szCs w:val="20"/>
                <w:u w:val="none"/>
                <w:lang w:eastAsia="zh-CN"/>
              </w:rPr>
              <w:t>1000</w:t>
            </w:r>
          </w:p>
        </w:tc>
      </w:tr>
      <w:tr w14:paraId="210A8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080" w:hRule="atLeast"/>
        </w:trPr>
        <w:tc>
          <w:tcPr>
            <w:tcW w:w="8250" w:type="dxa"/>
            <w:gridSpan w:val="7"/>
            <w:tcBorders>
              <w:top w:val="single" w:color="000000" w:sz="4" w:space="0"/>
              <w:left w:val="single" w:color="000000" w:sz="4" w:space="0"/>
              <w:bottom w:val="single" w:color="000000" w:sz="4" w:space="0"/>
              <w:right w:val="single" w:color="000000" w:sz="4" w:space="0"/>
            </w:tcBorders>
            <w:noWrap w:val="0"/>
            <w:vAlign w:val="center"/>
          </w:tcPr>
          <w:p w14:paraId="5B3869C6">
            <w:pPr>
              <w:widowControl w:val="0"/>
              <w:wordWrap/>
              <w:autoSpaceDN w:val="0"/>
              <w:snapToGrid/>
              <w:spacing w:line="300" w:lineRule="exact"/>
              <w:ind w:right="0"/>
              <w:jc w:val="left"/>
              <w:textAlignment w:val="center"/>
              <w:rPr>
                <w:rFonts w:hint="eastAsia" w:ascii="宋体" w:hAnsi="宋体" w:eastAsia="宋体" w:cs="宋体"/>
                <w:b w:val="0"/>
                <w:i w:val="0"/>
                <w:color w:val="auto"/>
                <w:sz w:val="22"/>
                <w:szCs w:val="18"/>
                <w:u w:val="none"/>
                <w:lang w:val="en-US" w:eastAsia="zh-CN"/>
              </w:rPr>
            </w:pPr>
            <w:r>
              <w:rPr>
                <w:rFonts w:hint="eastAsia" w:ascii="宋体" w:hAnsi="宋体" w:eastAsia="宋体" w:cs="宋体"/>
                <w:b/>
                <w:bCs/>
                <w:color w:val="auto"/>
                <w:kern w:val="2"/>
                <w:sz w:val="20"/>
                <w:szCs w:val="20"/>
                <w:lang w:val="en-US" w:eastAsia="zh-CN" w:bidi="ar-SA"/>
              </w:rPr>
              <w:t>备注：</w:t>
            </w:r>
            <w:r>
              <w:rPr>
                <w:rFonts w:hint="eastAsia" w:ascii="宋体" w:hAnsi="宋体" w:eastAsia="宋体" w:cs="宋体"/>
                <w:b w:val="0"/>
                <w:bCs w:val="0"/>
                <w:color w:val="auto"/>
                <w:kern w:val="2"/>
                <w:sz w:val="20"/>
                <w:szCs w:val="20"/>
                <w:highlight w:val="none"/>
                <w:lang w:val="en-US" w:eastAsia="zh-CN" w:bidi="ar-SA"/>
              </w:rPr>
              <w:t>供应商接到托运指令出车后，清障车半路撤回或者抵达现场后未清拖到车辆的，按清障车类型及清障范围半折计算费用</w:t>
            </w:r>
            <w:r>
              <w:rPr>
                <w:rFonts w:hint="eastAsia" w:ascii="宋体" w:hAnsi="宋体" w:eastAsia="宋体" w:cs="宋体"/>
                <w:b/>
                <w:bCs/>
                <w:color w:val="auto"/>
                <w:kern w:val="2"/>
                <w:sz w:val="20"/>
                <w:szCs w:val="20"/>
                <w:lang w:val="en-US" w:eastAsia="zh-CN" w:bidi="ar-SA"/>
              </w:rPr>
              <w:t>；</w:t>
            </w:r>
            <w:r>
              <w:rPr>
                <w:rFonts w:hint="eastAsia" w:ascii="宋体" w:hAnsi="宋体" w:eastAsia="宋体" w:cs="宋体"/>
                <w:b w:val="0"/>
                <w:bCs w:val="0"/>
                <w:color w:val="auto"/>
                <w:kern w:val="2"/>
                <w:sz w:val="20"/>
                <w:szCs w:val="20"/>
                <w:highlight w:val="none"/>
                <w:lang w:val="en-US" w:eastAsia="zh-CN" w:bidi="ar-SA"/>
              </w:rPr>
              <w:t>一次清拖多部车辆时，第一辆车按最高车型标准全额收费，第二辆以外车辆均以60%收费。</w:t>
            </w:r>
          </w:p>
        </w:tc>
      </w:tr>
    </w:tbl>
    <w:p w14:paraId="2F478F55">
      <w:pPr>
        <w:widowControl w:val="0"/>
        <w:wordWrap/>
        <w:adjustRightInd/>
        <w:snapToGrid/>
        <w:spacing w:line="360" w:lineRule="auto"/>
        <w:ind w:firstLine="562" w:firstLineChars="200"/>
        <w:textAlignment w:val="auto"/>
        <w:rPr>
          <w:rFonts w:hint="eastAsia" w:ascii="宋体" w:hAnsi="宋体" w:eastAsia="宋体" w:cs="宋体"/>
          <w:b/>
          <w:bCs/>
          <w:color w:val="auto"/>
          <w:sz w:val="28"/>
          <w:szCs w:val="20"/>
          <w:highlight w:val="none"/>
          <w:lang w:val="en-US" w:eastAsia="zh-CN" w:bidi="ar-SA"/>
        </w:rPr>
      </w:pPr>
    </w:p>
    <w:p w14:paraId="131AD864">
      <w:pPr>
        <w:widowControl w:val="0"/>
        <w:wordWrap/>
        <w:adjustRightInd/>
        <w:snapToGrid/>
        <w:spacing w:line="360" w:lineRule="auto"/>
        <w:ind w:firstLine="562" w:firstLineChars="200"/>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28"/>
          <w:szCs w:val="20"/>
          <w:highlight w:val="none"/>
          <w:lang w:val="en-US" w:eastAsia="zh-CN" w:bidi="ar-SA"/>
        </w:rPr>
        <w:t>B吊车采购清单单价限价表：</w:t>
      </w:r>
    </w:p>
    <w:tbl>
      <w:tblPr>
        <w:tblStyle w:val="35"/>
        <w:tblpPr w:leftFromText="180" w:rightFromText="180" w:vertAnchor="text" w:horzAnchor="page" w:tblpX="1954" w:tblpY="85"/>
        <w:tblOverlap w:val="never"/>
        <w:tblW w:w="82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3"/>
        <w:gridCol w:w="5523"/>
        <w:gridCol w:w="1527"/>
      </w:tblGrid>
      <w:tr w14:paraId="1A306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223" w:type="dxa"/>
            <w:noWrap w:val="0"/>
            <w:vAlign w:val="center"/>
          </w:tcPr>
          <w:p w14:paraId="5B6B4984">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序号</w:t>
            </w:r>
          </w:p>
        </w:tc>
        <w:tc>
          <w:tcPr>
            <w:tcW w:w="5523" w:type="dxa"/>
            <w:noWrap w:val="0"/>
            <w:vAlign w:val="center"/>
          </w:tcPr>
          <w:p w14:paraId="48D6712E">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拖吊车型</w:t>
            </w:r>
          </w:p>
        </w:tc>
        <w:tc>
          <w:tcPr>
            <w:tcW w:w="1527" w:type="dxa"/>
            <w:noWrap w:val="0"/>
            <w:vAlign w:val="center"/>
          </w:tcPr>
          <w:p w14:paraId="2F0DDC89">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吊车价（元）</w:t>
            </w:r>
          </w:p>
        </w:tc>
      </w:tr>
      <w:tr w14:paraId="55224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trPr>
        <w:tc>
          <w:tcPr>
            <w:tcW w:w="1223" w:type="dxa"/>
            <w:noWrap w:val="0"/>
            <w:vAlign w:val="top"/>
          </w:tcPr>
          <w:p w14:paraId="542EABB6">
            <w:pPr>
              <w:widowControl w:val="0"/>
              <w:wordWrap/>
              <w:autoSpaceDN w:val="0"/>
              <w:snapToGrid/>
              <w:spacing w:line="300" w:lineRule="exact"/>
              <w:ind w:left="0" w:right="0" w:firstLine="660" w:firstLineChars="300"/>
              <w:jc w:val="both"/>
              <w:textAlignment w:val="center"/>
              <w:rPr>
                <w:rFonts w:hint="eastAsia" w:ascii="宋体" w:hAnsi="宋体" w:eastAsia="宋体" w:cs="宋体"/>
                <w:b w:val="0"/>
                <w:bCs w:val="0"/>
                <w:color w:val="auto"/>
                <w:kern w:val="2"/>
                <w:sz w:val="22"/>
                <w:szCs w:val="22"/>
                <w:lang w:val="en-US" w:eastAsia="zh-CN" w:bidi="ar-SA"/>
              </w:rPr>
            </w:pPr>
          </w:p>
          <w:p w14:paraId="0047467C">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1</w:t>
            </w:r>
          </w:p>
        </w:tc>
        <w:tc>
          <w:tcPr>
            <w:tcW w:w="5523" w:type="dxa"/>
            <w:noWrap w:val="0"/>
            <w:vAlign w:val="center"/>
          </w:tcPr>
          <w:p w14:paraId="1FD6C1A3">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7座以下（含7座）小型客车</w:t>
            </w:r>
          </w:p>
          <w:p w14:paraId="6C2014F4">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小于等于6T轻型货车</w:t>
            </w:r>
          </w:p>
          <w:p w14:paraId="1D50E90B">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手扶拖拉机</w:t>
            </w:r>
          </w:p>
        </w:tc>
        <w:tc>
          <w:tcPr>
            <w:tcW w:w="1527" w:type="dxa"/>
            <w:noWrap w:val="0"/>
            <w:vAlign w:val="center"/>
          </w:tcPr>
          <w:p w14:paraId="1916012E">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800</w:t>
            </w:r>
          </w:p>
        </w:tc>
      </w:tr>
      <w:tr w14:paraId="26F7F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1223" w:type="dxa"/>
            <w:noWrap w:val="0"/>
            <w:vAlign w:val="top"/>
          </w:tcPr>
          <w:p w14:paraId="574CD526">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2</w:t>
            </w:r>
          </w:p>
        </w:tc>
        <w:tc>
          <w:tcPr>
            <w:tcW w:w="5523" w:type="dxa"/>
            <w:noWrap w:val="0"/>
            <w:vAlign w:val="center"/>
          </w:tcPr>
          <w:p w14:paraId="23C1683F">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中型客车(6m＜车辆长度 ≤9m)</w:t>
            </w:r>
          </w:p>
          <w:p w14:paraId="70EF8A7E">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中型货车(6t＜总质量≤14t)</w:t>
            </w:r>
          </w:p>
        </w:tc>
        <w:tc>
          <w:tcPr>
            <w:tcW w:w="1527" w:type="dxa"/>
            <w:noWrap w:val="0"/>
            <w:vAlign w:val="center"/>
          </w:tcPr>
          <w:p w14:paraId="712BE985">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1000</w:t>
            </w:r>
          </w:p>
        </w:tc>
      </w:tr>
      <w:tr w14:paraId="56FF6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23" w:type="dxa"/>
            <w:noWrap w:val="0"/>
            <w:vAlign w:val="top"/>
          </w:tcPr>
          <w:p w14:paraId="3F8E15E4">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3</w:t>
            </w:r>
          </w:p>
        </w:tc>
        <w:tc>
          <w:tcPr>
            <w:tcW w:w="5523" w:type="dxa"/>
            <w:noWrap w:val="0"/>
            <w:vAlign w:val="center"/>
          </w:tcPr>
          <w:p w14:paraId="1D148E33">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大型客车（车辆长度＞9m)</w:t>
            </w:r>
          </w:p>
        </w:tc>
        <w:tc>
          <w:tcPr>
            <w:tcW w:w="1527" w:type="dxa"/>
            <w:noWrap w:val="0"/>
            <w:vAlign w:val="center"/>
          </w:tcPr>
          <w:p w14:paraId="5F69D041">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2200</w:t>
            </w:r>
          </w:p>
        </w:tc>
      </w:tr>
      <w:tr w14:paraId="47E43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1223" w:type="dxa"/>
            <w:noWrap w:val="0"/>
            <w:vAlign w:val="top"/>
          </w:tcPr>
          <w:p w14:paraId="7B341E5A">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4</w:t>
            </w:r>
          </w:p>
        </w:tc>
        <w:tc>
          <w:tcPr>
            <w:tcW w:w="5523" w:type="dxa"/>
            <w:noWrap w:val="0"/>
            <w:vAlign w:val="center"/>
          </w:tcPr>
          <w:p w14:paraId="260A6AA3">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重型货车（(14t＜总质量≤35t)</w:t>
            </w:r>
          </w:p>
        </w:tc>
        <w:tc>
          <w:tcPr>
            <w:tcW w:w="1527" w:type="dxa"/>
            <w:noWrap w:val="0"/>
            <w:vAlign w:val="center"/>
          </w:tcPr>
          <w:p w14:paraId="71FC0728">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2200</w:t>
            </w:r>
          </w:p>
        </w:tc>
      </w:tr>
      <w:tr w14:paraId="464C0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1223" w:type="dxa"/>
            <w:noWrap w:val="0"/>
            <w:vAlign w:val="top"/>
          </w:tcPr>
          <w:p w14:paraId="2C85DD8B">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5</w:t>
            </w:r>
          </w:p>
        </w:tc>
        <w:tc>
          <w:tcPr>
            <w:tcW w:w="5523" w:type="dxa"/>
            <w:noWrap w:val="0"/>
            <w:vAlign w:val="center"/>
          </w:tcPr>
          <w:p w14:paraId="445223FB">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重型货车（总质量＞ 35t)（含桥梁登高车、轮式挖机、装载机、压路机）</w:t>
            </w:r>
          </w:p>
        </w:tc>
        <w:tc>
          <w:tcPr>
            <w:tcW w:w="1527" w:type="dxa"/>
            <w:noWrap w:val="0"/>
            <w:vAlign w:val="center"/>
          </w:tcPr>
          <w:p w14:paraId="2074561F">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3800</w:t>
            </w:r>
          </w:p>
        </w:tc>
      </w:tr>
      <w:tr w14:paraId="6BAB5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1223" w:type="dxa"/>
            <w:noWrap w:val="0"/>
            <w:vAlign w:val="top"/>
          </w:tcPr>
          <w:p w14:paraId="5F772356">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6</w:t>
            </w:r>
          </w:p>
        </w:tc>
        <w:tc>
          <w:tcPr>
            <w:tcW w:w="5523" w:type="dxa"/>
            <w:noWrap w:val="0"/>
            <w:vAlign w:val="center"/>
          </w:tcPr>
          <w:p w14:paraId="4B15FBC1">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三轮电动车、三轮摩托车以及三轮其他车辆</w:t>
            </w:r>
          </w:p>
        </w:tc>
        <w:tc>
          <w:tcPr>
            <w:tcW w:w="1527" w:type="dxa"/>
            <w:noWrap w:val="0"/>
            <w:vAlign w:val="center"/>
          </w:tcPr>
          <w:p w14:paraId="6BA377B4">
            <w:pPr>
              <w:widowControl w:val="0"/>
              <w:wordWrap/>
              <w:autoSpaceDN w:val="0"/>
              <w:snapToGrid/>
              <w:spacing w:line="300" w:lineRule="exact"/>
              <w:ind w:right="0"/>
              <w:jc w:val="center"/>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600</w:t>
            </w:r>
          </w:p>
        </w:tc>
      </w:tr>
      <w:tr w14:paraId="63ADD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trPr>
        <w:tc>
          <w:tcPr>
            <w:tcW w:w="8273" w:type="dxa"/>
            <w:gridSpan w:val="3"/>
            <w:noWrap w:val="0"/>
            <w:vAlign w:val="center"/>
          </w:tcPr>
          <w:p w14:paraId="33C7D5F5">
            <w:pPr>
              <w:widowControl w:val="0"/>
              <w:wordWrap/>
              <w:autoSpaceDN w:val="0"/>
              <w:snapToGrid/>
              <w:spacing w:line="300" w:lineRule="exact"/>
              <w:ind w:right="0"/>
              <w:jc w:val="left"/>
              <w:textAlignment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2"/>
                <w:szCs w:val="22"/>
                <w:lang w:val="en-US" w:eastAsia="zh-CN" w:bidi="ar-SA"/>
              </w:rPr>
              <w:t>备注：清障过程中涉及需要使用吊车的，由中标供应商自行联系能提供符合不同作业需求的吊车，其费用由清拖方和保险公司对接。</w:t>
            </w:r>
          </w:p>
        </w:tc>
      </w:tr>
    </w:tbl>
    <w:p w14:paraId="746E3D40">
      <w:pPr>
        <w:pStyle w:val="16"/>
        <w:rPr>
          <w:rFonts w:hint="default"/>
          <w:color w:val="auto"/>
          <w:lang w:val="en-US" w:eastAsia="zh-CN"/>
        </w:rPr>
      </w:pPr>
    </w:p>
    <w:p w14:paraId="0454CF6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2.2采购人根据实际工作需要，确定清拖（吊运）车辆及相关信息的登记、核对、统计方式和要求，供应商须无条件配合采购人，双方基于上述途径确认的清拖服务工作量作为最终结算的依据。</w:t>
      </w:r>
    </w:p>
    <w:p w14:paraId="45C8D44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2.3车辆清拖（吊运）及保管过程中发生被清拖车辆及车内物品遗失、损坏等情况的，由供应商负责赔偿。</w:t>
      </w:r>
    </w:p>
    <w:p w14:paraId="49EB066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2.4所有清拖（吊运）、保管服务涉及费用均由采购人按合同约定支付，供应商不得向车主及其他相关人收取任何费用，同时不得有其他严重违规行为（投诉查实的）。一经发现，除责令供应商全额退还当事人全部款项外，第一次从合同款项中扣除5000元，第二次从合同款项中扣除1万元，并由采购人约谈供应商负责人，第三次终止合同。</w:t>
      </w:r>
    </w:p>
    <w:p w14:paraId="6C954E8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2.5合同价=最高限价*（1-下浮率），最终结算价不得高于合同价；最终结算价格如低于合同价， 按实计算，结算价=最高单价限价*（1-下浮率）]*实际车辆类型的数量，如高于合同价，按合同价结算，且供应商不得因此停止提供服务或降低服务质量。</w:t>
      </w:r>
    </w:p>
    <w:p w14:paraId="4808168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3、服务要求</w:t>
      </w:r>
    </w:p>
    <w:p w14:paraId="65CED7F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3.1清障车数量要求，供应商除了能提供符合作业需求的吊车以外，还需配备以下清障车辆：</w:t>
      </w:r>
    </w:p>
    <w:tbl>
      <w:tblPr>
        <w:tblStyle w:val="35"/>
        <w:tblW w:w="8685" w:type="dxa"/>
        <w:tblInd w:w="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4065"/>
        <w:gridCol w:w="4620"/>
      </w:tblGrid>
      <w:tr w14:paraId="673BB2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c>
          <w:tcPr>
            <w:tcW w:w="4065"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2804866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车 型</w:t>
            </w:r>
          </w:p>
        </w:tc>
        <w:tc>
          <w:tcPr>
            <w:tcW w:w="4620"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3FD28E0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数量</w:t>
            </w:r>
          </w:p>
        </w:tc>
      </w:tr>
      <w:tr w14:paraId="44C4C7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c>
          <w:tcPr>
            <w:tcW w:w="4065"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048ECAE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小型专项作业车（清障）</w:t>
            </w:r>
          </w:p>
        </w:tc>
        <w:tc>
          <w:tcPr>
            <w:tcW w:w="4620"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1D5C4EA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2</w:t>
            </w:r>
          </w:p>
        </w:tc>
      </w:tr>
      <w:tr w14:paraId="349DD5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c>
          <w:tcPr>
            <w:tcW w:w="4065"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45A5453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中型专项作业车（清障）</w:t>
            </w:r>
          </w:p>
        </w:tc>
        <w:tc>
          <w:tcPr>
            <w:tcW w:w="4620"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686B8DD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w:t>
            </w:r>
          </w:p>
        </w:tc>
      </w:tr>
      <w:tr w14:paraId="32FA447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c>
          <w:tcPr>
            <w:tcW w:w="4065"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25E2DE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大型专项作业车（清障）</w:t>
            </w:r>
          </w:p>
        </w:tc>
        <w:tc>
          <w:tcPr>
            <w:tcW w:w="4620" w:type="dxa"/>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22F704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w:t>
            </w:r>
          </w:p>
        </w:tc>
      </w:tr>
      <w:tr w14:paraId="37EC27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c>
          <w:tcPr>
            <w:tcW w:w="8685" w:type="dxa"/>
            <w:gridSpan w:val="2"/>
            <w:tcBorders>
              <w:top w:val="outset" w:color="auto" w:sz="6" w:space="0"/>
              <w:left w:val="outset" w:color="auto" w:sz="6" w:space="0"/>
              <w:bottom w:val="outset" w:color="auto" w:sz="6" w:space="0"/>
              <w:right w:val="outset" w:color="auto" w:sz="6" w:space="0"/>
            </w:tcBorders>
            <w:noWrap w:val="0"/>
            <w:tcMar>
              <w:left w:w="0" w:type="dxa"/>
              <w:right w:w="0" w:type="dxa"/>
            </w:tcMar>
            <w:vAlign w:val="center"/>
          </w:tcPr>
          <w:p w14:paraId="1734833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供应商需具有满足需求的专用清障车及相应的清障设施，且车辆检验、保险等手续齐全，车辆安全技术状况良好；车辆购买交强险外，还要有不少于300万元的第三者责任险，不少于100万的货物险，且保险理赔时限在本项目服务期限内持续有效。救援随车装备配备齐全：警示标志、反光锥捅、枕木、拖车辅助轮等。</w:t>
            </w:r>
          </w:p>
        </w:tc>
      </w:tr>
    </w:tbl>
    <w:p w14:paraId="4B1D39B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注：车型分类如下</w:t>
      </w:r>
    </w:p>
    <w:p w14:paraId="1167DAF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（1）大中小型专项作业车可清障小（微）型车：小轿车，吉普车，核定乘客人数小于等于9人或车长小于6米的小（微）型客车，总质量小于4.5吨或车长小于6米的轻（微）型货车；</w:t>
      </w:r>
    </w:p>
    <w:p w14:paraId="1EE5374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（2）大中型专项作业车可清障中型车：核定乘客人数为10—19人或车长大于等于6米小于9米的中型客车，总质量大于等于4.5吨小于12吨或车长大于等于6米小于9米的中型货车；</w:t>
      </w:r>
    </w:p>
    <w:p w14:paraId="0A9061D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（3）大型专项作业车可清障大型车：核定乘客人数为20—45人或车长不小于9米的大型客车，总质量不小于12吨或车长不小于9米的货车。</w:t>
      </w:r>
    </w:p>
    <w:p w14:paraId="47C4789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4、清障车及相关配置要求</w:t>
      </w:r>
    </w:p>
    <w:p w14:paraId="6CE1B1E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bCs/>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4.1中标供应商提供的车辆必须具有合法、完备的证照，不得提供报废、非法车辆参与清障作业，保证车况良好并配备足够、完好的交通清障辅助设备（包括枕木、反光椎筒、警示带等反光标志、拖车辅助轮、磅秤、千斤顶、1000万像素以上具有夜间拍摄和摄录功能的相机等）及通讯工具。大中型专项作业车（含）以上车型还需增配消防器材、破拆工具等设备，以确保清障能力与通信畅通。救援车辆应当安装标志灯具并喷涂明显的标志，执行救援任务时，应当开启标志灯具和危险报警闪光灯，并设置必要的安全警戒区。</w:t>
      </w:r>
      <w:r>
        <w:rPr>
          <w:rFonts w:hint="eastAsia" w:ascii="宋体" w:hAnsi="宋体" w:eastAsia="宋体" w:cs="宋体"/>
          <w:b/>
          <w:bCs/>
          <w:color w:val="auto"/>
          <w:kern w:val="0"/>
          <w:sz w:val="24"/>
          <w:szCs w:val="24"/>
          <w:lang w:val="en-US" w:eastAsia="zh-CN" w:bidi="ar"/>
        </w:rPr>
        <w:t>（注：需提供承诺书原件彩色扫描件并加盖单位公章，格式自拟，承诺书须体现上述内容）</w:t>
      </w:r>
    </w:p>
    <w:p w14:paraId="4DC37F0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bCs/>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4.2中标供应商提供的车辆必须购买相应的保险，除交强险外，还应购买保险理赔金额不少于300万的第三者责任险、不少于100万的货物险，且保险理赔时限在本项目服务期限内持续有效。</w:t>
      </w:r>
      <w:r>
        <w:rPr>
          <w:rFonts w:hint="eastAsia" w:ascii="宋体" w:hAnsi="宋体" w:eastAsia="宋体" w:cs="宋体"/>
          <w:b/>
          <w:bCs/>
          <w:color w:val="auto"/>
          <w:kern w:val="0"/>
          <w:sz w:val="24"/>
          <w:szCs w:val="24"/>
          <w:lang w:val="en-US" w:eastAsia="zh-CN" w:bidi="ar"/>
        </w:rPr>
        <w:t>（注：需提供承诺书原件彩色扫描件并加盖单位公章，格式自拟，承诺书须体现上述内容，以上材料不提供视为符合性审查不通过）</w:t>
      </w:r>
    </w:p>
    <w:p w14:paraId="047F2C9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bCs/>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4.3中标供应商提供的车辆必须安装全球卫星定位系统（GPS ）车载终端，车辆定位数据须保存3个月，并实时提供给采购人。中标供应商提供的车辆必须安装行车记录仪，行车记录仪必须配备三个摄像头（前一后二），满足日间、夜晚的记录要求，能清晰摄录将暂扣车辆拖移至停车场并移交完毕的整个过程，具体安装要求由采购人指定，摄录数据至少保存45天。</w:t>
      </w:r>
      <w:r>
        <w:rPr>
          <w:rFonts w:hint="eastAsia" w:ascii="宋体" w:hAnsi="宋体" w:eastAsia="宋体" w:cs="宋体"/>
          <w:b/>
          <w:bCs/>
          <w:color w:val="auto"/>
          <w:kern w:val="0"/>
          <w:sz w:val="24"/>
          <w:szCs w:val="24"/>
          <w:lang w:val="en-US" w:eastAsia="zh-CN" w:bidi="ar"/>
        </w:rPr>
        <w:t>（注：需提供承诺书原件彩色扫描件并加盖单位公章，格式自拟，承诺书须体现上述内容，以上材料不提供视为符合性审查不通过）</w:t>
      </w:r>
    </w:p>
    <w:p w14:paraId="077277F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4.4中标供应商提供的车辆必须统一喷涂中标供应商单位名称及投诉电话。</w:t>
      </w:r>
    </w:p>
    <w:p w14:paraId="271279D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4.5服务期内，中标供应商投入的车辆必须在有效期内，对提供服务的车辆进行维修保养、年检等，在原服务车辆不能按时到场服务的情况下，中标供应商须提供同车型、同吨位的备用车辆（具有合格、完备证照）替代服务，并事前征得采购人同意。</w:t>
      </w:r>
    </w:p>
    <w:p w14:paraId="5B44786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4.6到达现场清障作业的车辆必须能够承担并完成采购人指定的清障任务。</w:t>
      </w:r>
    </w:p>
    <w:p w14:paraId="2C60F32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5、清障作业人员要求</w:t>
      </w:r>
    </w:p>
    <w:p w14:paraId="5A52C84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5.1中标供应商应加强作业人员交通清障操作技能的培训，并应为参加作业人员投保工伤保险或相应的人身意外伤害保险。</w:t>
      </w:r>
    </w:p>
    <w:p w14:paraId="40AE0913">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5.2实施清障作业的每辆车，除合格驾驶员外，应配备1 名熟悉业务的作业人员（参与交通整治时，如采购人要求每台作业车辆配备2 名熟悉业务作业人员的，供应商应予以满足)，保证交通清障顺利完成。</w:t>
      </w:r>
    </w:p>
    <w:p w14:paraId="40C0D2B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5.3清障作业人员必须统一着装，作业时应着“清障救援”字样反光服（背心），不得着警服或类似制式服装，在对不同作业对象过程中需严格按国家有关规范流程操作，同时必须听从交警的指挥。</w:t>
      </w:r>
    </w:p>
    <w:p w14:paraId="6E15B89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5.4清障作业人员应报采购人备案，中标供应商不得录用有违法犯罪记录或被采购人认定为在清障作业工作中违规的人员，对已录用的违规人员，则中标供应商应根据采购人（单位）要求予以更换。</w:t>
      </w:r>
    </w:p>
    <w:p w14:paraId="06BBCCD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3"/>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5.5清障作业人员应遵守相关保密规定并承担相应法律责任。</w:t>
      </w:r>
    </w:p>
    <w:p w14:paraId="30FDEC2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6、现场作业要求</w:t>
      </w:r>
    </w:p>
    <w:p w14:paraId="7344E17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6.1中标供应商应按照拖吊车作业规范实施作业，应当配备消防器材、破拆工具以及清扫工具等设备，对被拖吊车辆及相关物品进行检查和清点，按规范流程进行作业等。</w:t>
      </w:r>
    </w:p>
    <w:p w14:paraId="64F300F5">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3"/>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6.2拖车作业人员应服从现场交警的指挥。</w:t>
      </w:r>
    </w:p>
    <w:p w14:paraId="5B8C9735">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6.3中标供应商实施清障作业时，必须有交通警察在场或取得委托，并应使用清拖方式，而非驾驶涉事车辆方式清障。</w:t>
      </w:r>
    </w:p>
    <w:p w14:paraId="568D73BF">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6.4中标供应商作业时必须严格遵守道路交通管理规定，不得因作业而影响交通、造成交通堵塞或损坏市政设施。</w:t>
      </w:r>
    </w:p>
    <w:p w14:paraId="0E873EF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7、车上物品处理要求</w:t>
      </w:r>
    </w:p>
    <w:p w14:paraId="1D4B569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7.1中标供应商应按照采购人规定的程序及规范处置被拖吊车辆的随车物品，未经采购人或当事人同意，作业人员不得进入被拖吊车辆的车辆内部（包括驾驶乘坐仓以及车尾箱等）。</w:t>
      </w:r>
    </w:p>
    <w:p w14:paraId="19BAAFD9">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7.2如现场民警要求将涉案货车拖移至称重点或治超点进行称重的，中标供应商应予以免费服务，并在完成称重后，再将车辆拖移至停车场。</w:t>
      </w:r>
    </w:p>
    <w:p w14:paraId="55BB239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7.3进入停车保管场的车辆必须凭采购方单位签发的相关手续入场，否则采购方拒付服务费用，并对中标供应商违反该项规定收留保管车辆的视为违规情形并承担相应法律责任。 </w:t>
      </w:r>
    </w:p>
    <w:p w14:paraId="7FF6B68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7.4因当事人个人原因而超过法定或约定的保管期限，所产生的停车保管费用供应商可按政府主管部门相关规定公示的收费范围及标准向车辆所有人或相关责任人收取，未按规定公示不得收取停车保管费用。</w:t>
      </w:r>
    </w:p>
    <w:p w14:paraId="51E9D90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8、相关安全责任</w:t>
      </w:r>
    </w:p>
    <w:p w14:paraId="5A1961A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在整个清拖清障吊运作业以及车辆保管过程中（包括场地安全），造成的所有人身伤亡、财产损失等相关法律责任和经济赔偿责任均由中标供应商方自行承担并依法妥善处置，与采购方无关。</w:t>
      </w:r>
    </w:p>
    <w:p w14:paraId="3C6ECCD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9、交通违法车辆的拖吊服务</w:t>
      </w:r>
    </w:p>
    <w:p w14:paraId="02AB320F">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9.1采购人开展交通整治时，中标供应商应按采购人要求提供拖、吊车服务。</w:t>
      </w:r>
    </w:p>
    <w:p w14:paraId="53325735">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9.2中标供应商应根据采购人要求将被拖吊车辆的停放地点及联系方式等，通过文字标示或者其它方式告知当事人。</w:t>
      </w:r>
    </w:p>
    <w:p w14:paraId="26B05359">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9.3中标供应商作业过程中应遵守有关法律法规、部门规章关于拖吊交通违法车辆的规定。</w:t>
      </w:r>
    </w:p>
    <w:p w14:paraId="33CCA19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10、交通保障服务</w:t>
      </w:r>
    </w:p>
    <w:p w14:paraId="54AA133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10.1交通保障服务指各项交通警卫、大型群体性活动以及中心城区重点路段的清障车应急清障准备，以及在此过程中按采购人要求的巡逻、摆放交通安保设施、拖移车辆的服务。</w:t>
      </w:r>
    </w:p>
    <w:p w14:paraId="34A3937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10.2中标供应商提供备勤服务的清障车应按采购人指定时间及地点进行备勤，并按采购人要求进行巡逻或拖移车辆。备勤保障车必须在采购人发出结束指令后方可撤离。</w:t>
      </w:r>
    </w:p>
    <w:p w14:paraId="1C870E1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10.3中标供应商应优先确保交通保障服务，经采购人同意，可以调配正在执行采购人其他服务指令的清障车参与交通保障工作。</w:t>
      </w:r>
    </w:p>
    <w:p w14:paraId="27EEE1E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3"/>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10.4交通保障服务按照60元/车/小时计算。</w:t>
      </w:r>
    </w:p>
    <w:p w14:paraId="53522AD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2"/>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11、其他清障工作</w:t>
      </w:r>
    </w:p>
    <w:p w14:paraId="16DC94C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中标供应商按采购人指令提供其他清障服务，包括事故现场处置后即对路面淤泥、油污、血迹、散落物等常见清理和带离。</w:t>
      </w:r>
    </w:p>
    <w:p w14:paraId="740F253F">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auto"/>
        <w:outlineLvl w:val="1"/>
        <w:rPr>
          <w:rFonts w:hint="default"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四、供应商要求</w:t>
      </w:r>
    </w:p>
    <w:p w14:paraId="1F3FB75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2"/>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1、清障设备</w:t>
      </w:r>
    </w:p>
    <w:p w14:paraId="6D60713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供应商需具有大、中、小型清障车，相关手续有效齐全的供应商优先。</w:t>
      </w:r>
    </w:p>
    <w:p w14:paraId="0A43C0BA">
      <w:pPr>
        <w:keepNext w:val="0"/>
        <w:keepLines w:val="0"/>
        <w:pageBreakBefore w:val="0"/>
        <w:widowControl w:val="0"/>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2"/>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2、服务人员配备</w:t>
      </w:r>
    </w:p>
    <w:p w14:paraId="4BEC4F2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服务人员需具有A证和B证的驾驶员的供应商优先。</w:t>
      </w:r>
    </w:p>
    <w:p w14:paraId="05F032B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注：服务人员须是供应商本单位的正式员工。</w:t>
      </w:r>
    </w:p>
    <w:p w14:paraId="13BE2E6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2"/>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3、企业实力 </w:t>
      </w:r>
    </w:p>
    <w:p w14:paraId="4D059CB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供应商需具有停车场地外围设置指路引导牌及出入口安装照明设备等、提供停车场场地硬化情况、停放车辆区域面积满足25亩、场地区域划分情况、监控设备的供应商优先。</w:t>
      </w:r>
    </w:p>
    <w:p w14:paraId="7933EA4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2"/>
        <w:rPr>
          <w:rFonts w:hint="eastAsia"/>
          <w:color w:val="auto"/>
          <w:lang w:val="en-US" w:eastAsia="zh-CN"/>
        </w:rPr>
      </w:pPr>
      <w:r>
        <w:rPr>
          <w:rFonts w:hint="eastAsia" w:ascii="宋体" w:hAnsi="宋体" w:eastAsia="宋体" w:cs="宋体"/>
          <w:color w:val="auto"/>
          <w:kern w:val="0"/>
          <w:sz w:val="24"/>
          <w:szCs w:val="24"/>
          <w:lang w:val="en-US" w:eastAsia="zh-CN" w:bidi="ar"/>
        </w:rPr>
        <w:t>4、项目方案</w:t>
      </w:r>
    </w:p>
    <w:p w14:paraId="60CC9E95">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3"/>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4.1停车场服务方案</w:t>
      </w:r>
    </w:p>
    <w:p w14:paraId="7913C41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应针对本项目的实际情况，编制完善、合理、科学，切实可行的方案，内容包括但不限于人员安排（人员名单及联系电话等）、队伍管理（管理人员名单及联系电话、办公设备等）、规章制度（考勤管理制度、岗位管理制度、档案管理制度等）、工作措施（进场、出场、登记、审批、管理等工作流程，并实行对涉案车辆的电子化、信息化管理等）、服务承诺（车辆进场导引、保管等承诺）等方面。</w:t>
      </w:r>
    </w:p>
    <w:p w14:paraId="7255A443">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3"/>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4.2拖车服务方案</w:t>
      </w:r>
    </w:p>
    <w:p w14:paraId="2B684609">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应针对本项目的实际情况，编制完善、合理、科学，切实可行的方案，内容包括但不限于人员安排（拖车外勤人员名单及联系电话等）、规章制度（现场拖车制度等）、工作措施（现场拖车、登记车辆信息等工作流程）等方面。</w:t>
      </w:r>
    </w:p>
    <w:p w14:paraId="208A85E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3"/>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4.3应急事件处理预案</w:t>
      </w:r>
    </w:p>
    <w:p w14:paraId="7320ACA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应针对本项目的实际情况，编制对可能发生的应急情况分析深入，见解到位、全面、完善、防范及应对措施精细、准确，有整体针对性的方案，内容包括但不限于突发事件、安全管控或特殊状况下的管理预案（包括各环节流程及规范及操作要求；对于简易、一般、重大交通事故分别有合理的救援流程预案、突发紧急情况的应急预案等）等方面。要求有充足的应急事件配合处理措施。</w:t>
      </w:r>
    </w:p>
    <w:p w14:paraId="6B8595BB">
      <w:pPr>
        <w:keepNext w:val="0"/>
        <w:keepLines w:val="0"/>
        <w:pageBreakBefore w:val="0"/>
        <w:widowControl w:val="0"/>
        <w:suppressLineNumbers w:val="0"/>
        <w:kinsoku/>
        <w:wordWrap/>
        <w:overflowPunct/>
        <w:topLinePunct w:val="0"/>
        <w:autoSpaceDE/>
        <w:autoSpaceDN/>
        <w:bidi w:val="0"/>
        <w:adjustRightInd/>
        <w:snapToGrid/>
        <w:spacing w:line="440" w:lineRule="exact"/>
        <w:ind w:left="0" w:leftChars="0" w:firstLine="480" w:firstLineChars="200"/>
        <w:jc w:val="left"/>
        <w:textAlignment w:val="auto"/>
        <w:outlineLvl w:val="3"/>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4.4后续服务保障</w:t>
      </w:r>
    </w:p>
    <w:p w14:paraId="007B297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供应商应针对本项目的实际情况，结合项目实际需求，制订后续服务方案，内容包括但不限于项目服务范围、服务体系，服务保障等方面。</w:t>
      </w:r>
    </w:p>
    <w:p w14:paraId="5D89AB6E">
      <w:pPr>
        <w:keepNext w:val="0"/>
        <w:keepLines w:val="0"/>
        <w:pageBreakBefore w:val="0"/>
        <w:kinsoku/>
        <w:overflowPunct/>
        <w:topLinePunct w:val="0"/>
        <w:autoSpaceDE/>
        <w:autoSpaceDN/>
        <w:bidi w:val="0"/>
        <w:adjustRightInd/>
        <w:snapToGrid w:val="0"/>
        <w:spacing w:line="440" w:lineRule="exact"/>
        <w:ind w:left="0" w:leftChars="0" w:firstLine="482" w:firstLineChars="200"/>
        <w:textAlignment w:val="auto"/>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特别</w:t>
      </w:r>
      <w:r>
        <w:rPr>
          <w:rFonts w:hint="eastAsia" w:ascii="宋体" w:hAnsi="宋体" w:eastAsia="宋体" w:cs="宋体"/>
          <w:b/>
          <w:bCs/>
          <w:color w:val="auto"/>
          <w:sz w:val="24"/>
          <w:szCs w:val="24"/>
        </w:rPr>
        <w:t>说明</w:t>
      </w:r>
    </w:p>
    <w:p w14:paraId="1CE4FBFB">
      <w:pPr>
        <w:keepNext w:val="0"/>
        <w:keepLines w:val="0"/>
        <w:pageBreakBefore w:val="0"/>
        <w:kinsoku/>
        <w:overflowPunct/>
        <w:topLinePunct w:val="0"/>
        <w:autoSpaceDE/>
        <w:autoSpaceDN/>
        <w:bidi w:val="0"/>
        <w:adjustRightInd/>
        <w:spacing w:line="440" w:lineRule="exact"/>
        <w:ind w:left="0" w:leftChars="0" w:firstLine="480" w:firstLineChars="200"/>
        <w:textAlignment w:val="auto"/>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1、报价含交付使用前一切费用。不接受选择性报价。</w:t>
      </w:r>
    </w:p>
    <w:p w14:paraId="2C7B35E6">
      <w:pPr>
        <w:keepNext w:val="0"/>
        <w:keepLines w:val="0"/>
        <w:pageBreakBefore w:val="0"/>
        <w:kinsoku/>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、对本项目投标人资格要求、项目需求、评分标准等的质疑由采购单位负责答复；采购单位具有项目的解释权，质疑函和答复由采购代理机构备案。</w:t>
      </w:r>
    </w:p>
    <w:p w14:paraId="43B4CE03">
      <w:pPr>
        <w:keepNext w:val="0"/>
        <w:keepLines w:val="0"/>
        <w:pageBreakBefore w:val="0"/>
        <w:kinsoku/>
        <w:overflowPunct/>
        <w:topLinePunct w:val="0"/>
        <w:autoSpaceDE/>
        <w:autoSpaceDN/>
        <w:bidi w:val="0"/>
        <w:adjustRightInd/>
        <w:spacing w:line="440" w:lineRule="exact"/>
        <w:ind w:left="0" w:leftChars="0" w:firstLine="480" w:firstLineChars="200"/>
        <w:textAlignment w:val="auto"/>
        <w:outlineLvl w:val="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3、服务标准、财务管理、值班备勤等制度健全。</w:t>
      </w:r>
    </w:p>
    <w:p w14:paraId="3C9167EB">
      <w:pPr>
        <w:keepNext w:val="0"/>
        <w:keepLines w:val="0"/>
        <w:pageBreakBefore w:val="0"/>
        <w:kinsoku/>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4、从业人员分岗位统一着装、佩戴标志、工作证（包含相片、姓名、职务、工号），行为规范，服务主动、细致、周到，用语文明。</w:t>
      </w:r>
    </w:p>
    <w:p w14:paraId="724FB8CC">
      <w:pPr>
        <w:keepNext w:val="0"/>
        <w:keepLines w:val="0"/>
        <w:pageBreakBefore w:val="0"/>
        <w:kinsoku/>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有完善的车辆移交登记手续（车辆逐辆移交登记台账），按采购人要求使用现场执法系统软件，移交时要对每辆进行拍照存档，要做好车况检查、核对工作，详细记录拖车数量拖车信息等数据，及时归档。在服务期间产生的系统软件维护费用由供应商自行考虑包含在投标报价中，采购人不再另行支付。</w:t>
      </w:r>
    </w:p>
    <w:p w14:paraId="1F5B9F29">
      <w:pPr>
        <w:keepNext w:val="0"/>
        <w:keepLines w:val="0"/>
        <w:pageBreakBefore w:val="0"/>
        <w:kinsoku/>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在拖车队办公地点醒目位置悬挂（或张贴）资质证书（复印件）、负责人资料（姓名、相片、职务、工号）、工作人员资料（姓名、相片、职务、工号），公示服务标准、收费依据、收费标准、投诉电话、咨询电话。</w:t>
      </w:r>
    </w:p>
    <w:p w14:paraId="72F93B2B">
      <w:pPr>
        <w:keepNext w:val="0"/>
        <w:keepLines w:val="0"/>
        <w:pageBreakBefore w:val="0"/>
        <w:kinsoku/>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7、中标供应商不得再向被清拖（吊）车辆所有人收取任何停车费、保管费、吊车费。若存在违规行为，采购人有权要求中标供应商立即整改，对于拒绝整改或多次发生违规行为的，采购人有权终止合同。</w:t>
      </w:r>
    </w:p>
    <w:p w14:paraId="35C06F5D">
      <w:pPr>
        <w:keepNext w:val="0"/>
        <w:keepLines w:val="0"/>
        <w:pageBreakBefore w:val="0"/>
        <w:kinsoku/>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8、中标供应商办公地点附近主要路口要有明显的、统一的指示拖车队办公位置标志，指示标志上要标注拖车队联系电话。</w:t>
      </w:r>
    </w:p>
    <w:p w14:paraId="52418D71">
      <w:pPr>
        <w:snapToGrid w:val="0"/>
        <w:spacing w:line="520" w:lineRule="exact"/>
        <w:ind w:firstLine="480" w:firstLineChars="200"/>
        <w:outlineLvl w:val="1"/>
        <w:rPr>
          <w:rFonts w:hint="eastAsia" w:ascii="宋体" w:hAnsi="宋体" w:cs="宋体"/>
          <w:b/>
          <w:bCs/>
          <w:color w:val="auto"/>
          <w:sz w:val="24"/>
        </w:rPr>
      </w:pPr>
      <w:r>
        <w:rPr>
          <w:rFonts w:hint="eastAsia" w:ascii="宋体" w:hAnsi="宋体" w:cs="宋体"/>
          <w:b/>
          <w:bCs/>
          <w:color w:val="auto"/>
          <w:sz w:val="24"/>
          <w:lang w:val="en-US" w:eastAsia="zh-CN"/>
        </w:rPr>
        <w:t>六</w:t>
      </w:r>
      <w:r>
        <w:rPr>
          <w:rFonts w:hint="eastAsia" w:ascii="宋体" w:hAnsi="宋体" w:cs="宋体"/>
          <w:b/>
          <w:bCs/>
          <w:color w:val="auto"/>
          <w:sz w:val="24"/>
        </w:rPr>
        <w:t>、采购标的对应的中小企业划分标准所属行业一览表</w:t>
      </w:r>
    </w:p>
    <w:tbl>
      <w:tblPr>
        <w:tblStyle w:val="35"/>
        <w:tblW w:w="8318" w:type="dxa"/>
        <w:jc w:val="center"/>
        <w:tblCellSpacing w:w="0" w:type="dxa"/>
        <w:tblLayout w:type="fixed"/>
        <w:tblCellMar>
          <w:top w:w="0" w:type="dxa"/>
          <w:left w:w="108" w:type="dxa"/>
          <w:bottom w:w="0" w:type="dxa"/>
          <w:right w:w="108" w:type="dxa"/>
        </w:tblCellMar>
      </w:tblPr>
      <w:tblGrid>
        <w:gridCol w:w="796"/>
        <w:gridCol w:w="4756"/>
        <w:gridCol w:w="2766"/>
      </w:tblGrid>
      <w:tr w14:paraId="0AA68784">
        <w:tblPrEx>
          <w:tblCellMar>
            <w:top w:w="0" w:type="dxa"/>
            <w:left w:w="108" w:type="dxa"/>
            <w:bottom w:w="0" w:type="dxa"/>
            <w:right w:w="108" w:type="dxa"/>
          </w:tblCellMar>
        </w:tblPrEx>
        <w:trPr>
          <w:trHeight w:val="1460"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14:paraId="537C6A15">
            <w:pPr>
              <w:pStyle w:val="32"/>
              <w:jc w:val="center"/>
              <w:rPr>
                <w:rFonts w:hint="eastAsia" w:ascii="宋体" w:hAnsi="宋体" w:cs="宋体"/>
                <w:color w:val="auto"/>
              </w:rPr>
            </w:pPr>
            <w:r>
              <w:rPr>
                <w:rFonts w:hint="eastAsia" w:ascii="宋体" w:hAnsi="宋体" w:cs="宋体"/>
                <w:color w:val="auto"/>
              </w:rPr>
              <w:t>序号</w:t>
            </w:r>
          </w:p>
        </w:tc>
        <w:tc>
          <w:tcPr>
            <w:tcW w:w="4756" w:type="dxa"/>
            <w:tcBorders>
              <w:top w:val="single" w:color="auto" w:sz="4" w:space="0"/>
              <w:left w:val="single" w:color="auto" w:sz="4" w:space="0"/>
              <w:bottom w:val="single" w:color="auto" w:sz="4" w:space="0"/>
              <w:right w:val="single" w:color="auto" w:sz="4" w:space="0"/>
            </w:tcBorders>
            <w:noWrap w:val="0"/>
            <w:vAlign w:val="center"/>
          </w:tcPr>
          <w:p w14:paraId="36490F3A">
            <w:pPr>
              <w:pStyle w:val="32"/>
              <w:jc w:val="center"/>
              <w:rPr>
                <w:rFonts w:hint="eastAsia" w:ascii="宋体" w:hAnsi="宋体" w:cs="宋体"/>
                <w:color w:val="auto"/>
              </w:rPr>
            </w:pPr>
            <w:r>
              <w:rPr>
                <w:rFonts w:hint="eastAsia" w:ascii="宋体" w:hAnsi="宋体" w:cs="宋体"/>
                <w:color w:val="auto"/>
              </w:rPr>
              <w:t>采购标的</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43269BAB">
            <w:pPr>
              <w:pStyle w:val="32"/>
              <w:jc w:val="center"/>
              <w:rPr>
                <w:rFonts w:hint="eastAsia" w:ascii="宋体" w:hAnsi="宋体" w:cs="宋体"/>
                <w:color w:val="auto"/>
              </w:rPr>
            </w:pPr>
            <w:r>
              <w:rPr>
                <w:rFonts w:hint="eastAsia" w:ascii="宋体" w:hAnsi="宋体" w:cs="宋体"/>
                <w:color w:val="auto"/>
              </w:rPr>
              <w:t>对应中小企业划分标准所属行业</w:t>
            </w:r>
          </w:p>
        </w:tc>
      </w:tr>
      <w:tr w14:paraId="5F0E69AB">
        <w:tblPrEx>
          <w:tblCellMar>
            <w:top w:w="0" w:type="dxa"/>
            <w:left w:w="108" w:type="dxa"/>
            <w:bottom w:w="0" w:type="dxa"/>
            <w:right w:w="108" w:type="dxa"/>
          </w:tblCellMar>
        </w:tblPrEx>
        <w:trPr>
          <w:trHeight w:val="1265"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14:paraId="09709C23">
            <w:pPr>
              <w:pStyle w:val="32"/>
              <w:jc w:val="center"/>
              <w:rPr>
                <w:rFonts w:hint="eastAsia" w:ascii="宋体" w:hAnsi="宋体" w:cs="宋体"/>
                <w:color w:val="auto"/>
              </w:rPr>
            </w:pPr>
            <w:r>
              <w:rPr>
                <w:rFonts w:hint="eastAsia" w:ascii="宋体" w:hAnsi="宋体" w:cs="宋体"/>
                <w:color w:val="auto"/>
              </w:rPr>
              <w:t>1</w:t>
            </w:r>
          </w:p>
        </w:tc>
        <w:tc>
          <w:tcPr>
            <w:tcW w:w="4756" w:type="dxa"/>
            <w:tcBorders>
              <w:top w:val="single" w:color="auto" w:sz="4" w:space="0"/>
              <w:left w:val="single" w:color="auto" w:sz="4" w:space="0"/>
              <w:bottom w:val="single" w:color="auto" w:sz="4" w:space="0"/>
              <w:right w:val="single" w:color="auto" w:sz="4" w:space="0"/>
            </w:tcBorders>
            <w:noWrap w:val="0"/>
            <w:vAlign w:val="center"/>
          </w:tcPr>
          <w:p w14:paraId="2C0299A6">
            <w:pPr>
              <w:pStyle w:val="32"/>
              <w:jc w:val="center"/>
              <w:rPr>
                <w:rFonts w:hint="eastAsia" w:ascii="宋体" w:hAnsi="宋体" w:cs="宋体"/>
                <w:color w:val="auto"/>
              </w:rPr>
            </w:pPr>
            <w:r>
              <w:rPr>
                <w:rFonts w:hint="eastAsia" w:ascii="宋体" w:hAnsi="宋体" w:cs="宋体"/>
                <w:color w:val="auto"/>
                <w:lang w:val="en-US" w:eastAsia="zh-CN"/>
              </w:rPr>
              <w:t>射阳县公安局交通管理大队涉案车辆清拖及保管服务项目</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53D7516E">
            <w:pPr>
              <w:pStyle w:val="32"/>
              <w:jc w:val="center"/>
              <w:rPr>
                <w:rFonts w:ascii="宋体" w:hAnsi="宋体" w:cs="宋体"/>
                <w:color w:val="auto"/>
              </w:rPr>
            </w:pPr>
            <w:r>
              <w:rPr>
                <w:rFonts w:ascii="宋体" w:hAnsi="宋体" w:cs="宋体"/>
                <w:color w:val="auto"/>
                <w:lang w:val="en-US" w:eastAsia="zh-CN"/>
              </w:rPr>
              <w:t>交通运输、仓储和邮政业</w:t>
            </w:r>
          </w:p>
        </w:tc>
      </w:tr>
    </w:tbl>
    <w:p w14:paraId="0610E2B4">
      <w:pPr>
        <w:widowControl/>
        <w:jc w:val="left"/>
        <w:rPr>
          <w:rFonts w:hint="eastAsia" w:ascii="宋体" w:hAnsi="宋体" w:eastAsia="宋体"/>
          <w:color w:val="auto"/>
        </w:rPr>
      </w:pPr>
      <w:r>
        <w:rPr>
          <w:rFonts w:hint="eastAsia" w:ascii="宋体" w:hAnsi="宋体" w:eastAsia="宋体"/>
          <w:color w:val="auto"/>
        </w:rPr>
        <w:br w:type="page" w:clear="all"/>
      </w:r>
    </w:p>
    <w:p w14:paraId="05D22BC6">
      <w:pPr>
        <w:pStyle w:val="5"/>
        <w:keepNext w:val="0"/>
        <w:keepLines w:val="0"/>
        <w:pageBreakBefore w:val="0"/>
        <w:widowControl w:val="0"/>
        <w:numPr>
          <w:ilvl w:val="0"/>
          <w:numId w:val="1"/>
        </w:numPr>
        <w:kinsoku/>
        <w:wordWrap/>
        <w:overflowPunct/>
        <w:topLinePunct w:val="0"/>
        <w:autoSpaceDE/>
        <w:autoSpaceDN/>
        <w:bidi w:val="0"/>
        <w:adjustRightInd/>
        <w:snapToGrid/>
        <w:spacing w:before="0" w:beforeAutospacing="1" w:after="0" w:afterAutospacing="1" w:line="360" w:lineRule="auto"/>
        <w:ind w:left="0" w:firstLine="0"/>
        <w:jc w:val="center"/>
        <w:textAlignment w:val="auto"/>
        <w:outlineLvl w:val="0"/>
        <w:rPr>
          <w:rFonts w:hint="eastAsia" w:ascii="宋体" w:hAnsi="宋体" w:eastAsia="宋体" w:cs="Times New Roman"/>
          <w:b/>
          <w:bCs/>
          <w:color w:val="auto"/>
          <w:sz w:val="32"/>
          <w:szCs w:val="32"/>
          <w14:ligatures w14:val="none"/>
        </w:rPr>
      </w:pPr>
      <w:bookmarkStart w:id="101" w:name="_Toc197644575"/>
      <w:r>
        <w:rPr>
          <w:rFonts w:hint="eastAsia" w:ascii="宋体" w:hAnsi="宋体" w:eastAsia="宋体" w:cs="Times New Roman"/>
          <w:b/>
          <w:bCs/>
          <w:color w:val="auto"/>
          <w:sz w:val="32"/>
          <w:szCs w:val="32"/>
          <w14:ligatures w14:val="none"/>
        </w:rPr>
        <w:t>评标方法与评标标准</w:t>
      </w:r>
      <w:bookmarkEnd w:id="101"/>
    </w:p>
    <w:p w14:paraId="0D676799">
      <w:pPr>
        <w:pStyle w:val="198"/>
        <w:keepNext w:val="0"/>
        <w:keepLines w:val="0"/>
        <w:pageBreakBefore w:val="0"/>
        <w:widowControl w:val="0"/>
        <w:numPr>
          <w:ilvl w:val="0"/>
          <w:numId w:val="14"/>
        </w:numPr>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color w:val="auto"/>
          <w:sz w:val="24"/>
          <w:szCs w:val="24"/>
        </w:rPr>
      </w:pPr>
      <w:bookmarkStart w:id="102" w:name="_Toc197644576"/>
      <w:r>
        <w:rPr>
          <w:rFonts w:hint="eastAsia" w:ascii="宋体" w:hAnsi="宋体" w:eastAsia="宋体" w:cs="宋体"/>
          <w:b/>
          <w:color w:val="auto"/>
          <w:sz w:val="24"/>
          <w:szCs w:val="24"/>
        </w:rPr>
        <w:t>定标原则</w:t>
      </w:r>
      <w:bookmarkEnd w:id="102"/>
    </w:p>
    <w:p w14:paraId="33BBCBF8">
      <w:pPr>
        <w:tabs>
          <w:tab w:val="left" w:pos="900"/>
        </w:tabs>
        <w:spacing w:line="500" w:lineRule="exact"/>
        <w:ind w:firstLine="477" w:firstLineChars="199"/>
        <w:rPr>
          <w:rFonts w:hint="eastAsia"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本项目采用</w:t>
      </w:r>
      <w:r>
        <w:rPr>
          <w:rFonts w:hint="eastAsia" w:ascii="宋体" w:hAnsi="宋体" w:eastAsia="宋体" w:cs="宋体"/>
          <w:color w:val="auto"/>
          <w:sz w:val="24"/>
          <w:szCs w:val="24"/>
          <w:u w:val="single"/>
          <w:lang w:val="en-US" w:eastAsia="zh-CN" w:bidi="ar-SA"/>
          <w14:ligatures w14:val="none"/>
        </w:rPr>
        <w:t xml:space="preserve"> 综合评分 </w:t>
      </w:r>
      <w:r>
        <w:rPr>
          <w:rFonts w:hint="eastAsia" w:ascii="宋体" w:hAnsi="宋体" w:eastAsia="宋体" w:cs="宋体"/>
          <w:color w:val="auto"/>
          <w:sz w:val="24"/>
          <w:szCs w:val="24"/>
          <w:lang w:val="en-US" w:eastAsia="zh-CN" w:bidi="ar-SA"/>
          <w14:ligatures w14:val="none"/>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35D568A6">
      <w:pPr>
        <w:tabs>
          <w:tab w:val="left" w:pos="900"/>
        </w:tabs>
        <w:spacing w:line="500" w:lineRule="exact"/>
        <w:ind w:firstLine="477" w:firstLineChars="199"/>
        <w:rPr>
          <w:rFonts w:hint="eastAsia" w:ascii="宋体" w:hAnsi="宋体" w:eastAsia="宋体" w:cs="宋体"/>
          <w:color w:val="auto"/>
          <w:sz w:val="24"/>
          <w:szCs w:val="24"/>
          <w:lang w:val="zh-CN" w:eastAsia="zh-CN" w:bidi="ar-SA"/>
          <w14:ligatures w14:val="none"/>
        </w:rPr>
      </w:pPr>
      <w:r>
        <w:rPr>
          <w:rFonts w:hint="eastAsia" w:ascii="宋体" w:hAnsi="宋体" w:eastAsia="宋体" w:cs="宋体"/>
          <w:color w:val="auto"/>
          <w:sz w:val="24"/>
          <w:szCs w:val="24"/>
          <w:lang w:val="zh-CN" w:eastAsia="zh-CN" w:bidi="ar-SA"/>
          <w14:ligatures w14:val="none"/>
        </w:rPr>
        <w:t>评标委员会根据最终排名向采购人推荐中标候选人，</w:t>
      </w:r>
      <w:r>
        <w:rPr>
          <w:rFonts w:hint="eastAsia" w:ascii="宋体" w:hAnsi="宋体" w:eastAsia="宋体" w:cs="宋体"/>
          <w:color w:val="auto"/>
          <w:sz w:val="24"/>
          <w:szCs w:val="24"/>
          <w:lang w:val="en-US" w:eastAsia="zh-CN" w:bidi="ar-SA"/>
          <w14:ligatures w14:val="none"/>
        </w:rPr>
        <w:t>本项目选取3名中标候选人</w:t>
      </w:r>
      <w:r>
        <w:rPr>
          <w:rFonts w:hint="eastAsia" w:ascii="宋体" w:hAnsi="宋体" w:eastAsia="宋体" w:cs="宋体"/>
          <w:color w:val="auto"/>
          <w:sz w:val="24"/>
          <w:szCs w:val="24"/>
          <w:lang w:val="zh-CN" w:eastAsia="zh-CN" w:bidi="ar-SA"/>
          <w14:ligatures w14:val="none"/>
        </w:rPr>
        <w:t>。</w:t>
      </w:r>
    </w:p>
    <w:p w14:paraId="793E7C79">
      <w:pPr>
        <w:tabs>
          <w:tab w:val="left" w:pos="900"/>
        </w:tabs>
        <w:spacing w:line="500" w:lineRule="exact"/>
        <w:ind w:firstLine="479" w:firstLineChars="199"/>
        <w:rPr>
          <w:rFonts w:hint="eastAsia" w:ascii="宋体" w:hAnsi="宋体" w:eastAsia="宋体" w:cs="宋体"/>
          <w:b/>
          <w:bCs/>
          <w:color w:val="auto"/>
          <w:sz w:val="24"/>
          <w:szCs w:val="24"/>
          <w:lang w:val="en-US" w:eastAsia="zh-CN" w:bidi="ar-SA"/>
          <w14:ligatures w14:val="none"/>
        </w:rPr>
      </w:pPr>
      <w:r>
        <w:rPr>
          <w:rFonts w:hint="eastAsia" w:ascii="宋体" w:hAnsi="宋体" w:eastAsia="宋体" w:cs="宋体"/>
          <w:b/>
          <w:bCs/>
          <w:color w:val="auto"/>
          <w:sz w:val="24"/>
          <w:szCs w:val="24"/>
          <w:lang w:val="en-US" w:eastAsia="zh-CN" w:bidi="ar-SA"/>
          <w14:ligatures w14:val="none"/>
        </w:rPr>
        <w:t>采购人根据评标委员会提供的评标报告，对综合评审得分最高的中标候选人按招标文件及响应文件相应的内容进行实地勘察，假如实地现状如与其提交的响应文件描述一致，则推荐为中标候选人并公示，假如实地现状如与其提交的响应文件描述相差甚远，采购人有权利向监管单位射阳县财政局进行反馈，取消该供应商的中标候选人资格并向县财政局备案；随即对综合评审得分第二的中标候选人进行实地勘察，符合招标文件及响应文件要求的推荐为中标候选人并公示，不符合招标文件及响应文件要求的按上述程序取消中标候选人资格并向县财政局备案；随即对综合评审得分第三的中标候选人进行实地勘察，符合招标文件及响应文件要求的推荐为中标候选人并公示，不符合招标文件及响应文件要求的按上述程序取消中标候选人资格并重新组织招标且向县财政局备案。</w:t>
      </w:r>
    </w:p>
    <w:p w14:paraId="4CC14A17">
      <w:pPr>
        <w:pStyle w:val="198"/>
        <w:keepNext w:val="0"/>
        <w:keepLines w:val="0"/>
        <w:pageBreakBefore w:val="0"/>
        <w:widowControl w:val="0"/>
        <w:numPr>
          <w:ilvl w:val="0"/>
          <w:numId w:val="14"/>
        </w:numPr>
        <w:kinsoku/>
        <w:wordWrap/>
        <w:overflowPunct/>
        <w:topLinePunct w:val="0"/>
        <w:autoSpaceDE/>
        <w:autoSpaceDN/>
        <w:bidi w:val="0"/>
        <w:adjustRightInd/>
        <w:snapToGrid/>
        <w:spacing w:line="500" w:lineRule="exact"/>
        <w:jc w:val="left"/>
        <w:textAlignment w:val="auto"/>
        <w:outlineLvl w:val="1"/>
        <w:rPr>
          <w:rFonts w:hint="eastAsia" w:ascii="宋体" w:hAnsi="宋体" w:eastAsia="宋体" w:cs="宋体"/>
          <w:b/>
          <w:color w:val="auto"/>
          <w:sz w:val="24"/>
          <w:szCs w:val="24"/>
        </w:rPr>
      </w:pPr>
      <w:bookmarkStart w:id="103" w:name="_Toc197644577"/>
      <w:r>
        <w:rPr>
          <w:rFonts w:hint="eastAsia" w:ascii="宋体" w:hAnsi="宋体" w:eastAsia="宋体" w:cs="宋体"/>
          <w:b/>
          <w:color w:val="auto"/>
          <w:sz w:val="24"/>
          <w:szCs w:val="24"/>
        </w:rPr>
        <w:t>政府采购政策功能落实</w:t>
      </w:r>
      <w:bookmarkEnd w:id="103"/>
    </w:p>
    <w:p w14:paraId="566C9769">
      <w:pPr>
        <w:keepNext w:val="0"/>
        <w:keepLines w:val="0"/>
        <w:pageBreakBefore w:val="0"/>
        <w:widowControl w:val="0"/>
        <w:tabs>
          <w:tab w:val="left" w:pos="900"/>
        </w:tabs>
        <w:kinsoku/>
        <w:wordWrap/>
        <w:overflowPunct/>
        <w:topLinePunct w:val="0"/>
        <w:autoSpaceDE/>
        <w:autoSpaceDN/>
        <w:bidi w:val="0"/>
        <w:adjustRightInd/>
        <w:snapToGrid/>
        <w:spacing w:line="500" w:lineRule="exact"/>
        <w:ind w:firstLine="477" w:firstLineChars="199"/>
        <w:textAlignment w:val="auto"/>
        <w:rPr>
          <w:rFonts w:ascii="宋体" w:hAnsi="宋体" w:cs="宋体"/>
          <w:color w:val="auto"/>
          <w:sz w:val="24"/>
        </w:rPr>
      </w:pPr>
      <w:bookmarkStart w:id="104" w:name="_Toc197644578"/>
      <w:r>
        <w:rPr>
          <w:rFonts w:hint="eastAsia" w:ascii="宋体" w:hAnsi="宋体" w:cs="宋体"/>
          <w:color w:val="auto"/>
          <w:sz w:val="24"/>
        </w:rPr>
        <w:t>1、中小微型企业</w:t>
      </w:r>
    </w:p>
    <w:p w14:paraId="6DB4601B">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（1）本项目专门面向中小企业采购，不再对小型和微型企业服务给予价格扣除。</w:t>
      </w:r>
    </w:p>
    <w:p w14:paraId="4D32B54E">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（2）供应商需按照采购文件的要求提供相应的《中小微企业声明函》。</w:t>
      </w:r>
    </w:p>
    <w:p w14:paraId="1048E932">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（3）企业标准请参照《关于印发中小企业划型标准规定的通知》（工信部联企业[2011]300号）文件规定自行填写。</w:t>
      </w:r>
    </w:p>
    <w:p w14:paraId="0297003D">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2、残疾人福利单位</w:t>
      </w:r>
    </w:p>
    <w:p w14:paraId="1F02E8D2">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（1）本项目对残疾人福利性单位视同小型、微型企业。</w:t>
      </w:r>
    </w:p>
    <w:p w14:paraId="1F009722">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（2）残疾人福利单位需按照采购文件的要求提供《残疾人福利性单位声明函》。</w:t>
      </w:r>
    </w:p>
    <w:p w14:paraId="37A20207">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（3）残疾人福利单位标准请参照《关于促进残疾人就业政府采购政策的通知》（财库〔2017〕141号）。</w:t>
      </w:r>
    </w:p>
    <w:p w14:paraId="412C1E26">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3、监狱和戒毒企业</w:t>
      </w:r>
    </w:p>
    <w:p w14:paraId="7139654D">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（1）本项目对监狱和戒毒企业（简称监狱企业）视同小型、微型企业。</w:t>
      </w:r>
    </w:p>
    <w:p w14:paraId="6C64EDB7">
      <w:pPr>
        <w:tabs>
          <w:tab w:val="left" w:pos="900"/>
        </w:tabs>
        <w:spacing w:line="500" w:lineRule="exact"/>
        <w:ind w:firstLine="477" w:firstLineChars="199"/>
        <w:rPr>
          <w:rFonts w:ascii="宋体" w:hAnsi="宋体" w:cs="宋体"/>
          <w:color w:val="auto"/>
          <w:sz w:val="24"/>
        </w:rPr>
      </w:pPr>
      <w:r>
        <w:rPr>
          <w:rFonts w:hint="eastAsia" w:ascii="宋体" w:hAnsi="宋体" w:cs="宋体"/>
          <w:color w:val="auto"/>
          <w:sz w:val="24"/>
        </w:rPr>
        <w:t>（2）监狱企业参加政府采购活动时，需提供由省级以上监狱管理局、戒毒管理局(含新疆生产建设兵团)出具的属于监狱企业的证明文件。供应商如不提供上述证明文件，价格将不做相应扣除。</w:t>
      </w:r>
    </w:p>
    <w:p w14:paraId="26E48ADF">
      <w:pPr>
        <w:tabs>
          <w:tab w:val="left" w:pos="900"/>
        </w:tabs>
        <w:spacing w:line="500" w:lineRule="exact"/>
        <w:ind w:firstLine="477" w:firstLineChars="199"/>
        <w:rPr>
          <w:rFonts w:hint="eastAsia" w:ascii="宋体" w:hAnsi="宋体" w:cs="宋体"/>
          <w:color w:val="auto"/>
          <w:sz w:val="24"/>
        </w:rPr>
      </w:pPr>
      <w:r>
        <w:rPr>
          <w:rFonts w:hint="eastAsia" w:ascii="宋体" w:hAnsi="宋体" w:cs="宋体"/>
          <w:color w:val="auto"/>
          <w:sz w:val="24"/>
        </w:rPr>
        <w:t>（3）监狱企业标准请参照《关于政府采购支持监狱企业发展有关问题的通知》（财库[2014]68号）。</w:t>
      </w:r>
    </w:p>
    <w:p w14:paraId="7C289D2E">
      <w:pPr>
        <w:tabs>
          <w:tab w:val="left" w:pos="900"/>
        </w:tabs>
        <w:spacing w:line="500" w:lineRule="exact"/>
        <w:ind w:firstLine="477" w:firstLineChars="199"/>
        <w:rPr>
          <w:rFonts w:hint="eastAsia" w:ascii="宋体" w:hAnsi="宋体" w:cs="宋体"/>
          <w:color w:val="auto"/>
          <w:sz w:val="24"/>
        </w:rPr>
      </w:pPr>
      <w:r>
        <w:rPr>
          <w:rFonts w:hint="eastAsia" w:ascii="宋体" w:hAnsi="宋体" w:cs="宋体"/>
          <w:color w:val="auto"/>
          <w:sz w:val="24"/>
        </w:rPr>
        <w:t>4、残疾人福利单位、监狱企业属于小型、微型企业的，不重复享受政策。</w:t>
      </w:r>
    </w:p>
    <w:p w14:paraId="6379FED9">
      <w:pPr>
        <w:tabs>
          <w:tab w:val="left" w:pos="900"/>
        </w:tabs>
        <w:spacing w:line="500" w:lineRule="exact"/>
        <w:ind w:firstLine="477" w:firstLineChars="199"/>
        <w:rPr>
          <w:rFonts w:hint="eastAsia" w:ascii="宋体" w:hAnsi="宋体" w:cs="宋体"/>
          <w:color w:val="auto"/>
          <w:sz w:val="24"/>
        </w:rPr>
      </w:pPr>
      <w:r>
        <w:rPr>
          <w:rFonts w:hint="eastAsia" w:ascii="宋体" w:hAnsi="宋体" w:cs="宋体"/>
          <w:color w:val="auto"/>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00D610C">
      <w:pPr>
        <w:pStyle w:val="198"/>
        <w:keepNext w:val="0"/>
        <w:keepLines w:val="0"/>
        <w:pageBreakBefore w:val="0"/>
        <w:widowControl w:val="0"/>
        <w:numPr>
          <w:ilvl w:val="0"/>
          <w:numId w:val="14"/>
        </w:numPr>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评标方法与评标标准</w:t>
      </w:r>
      <w:bookmarkEnd w:id="104"/>
    </w:p>
    <w:tbl>
      <w:tblPr>
        <w:tblStyle w:val="35"/>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96" w:type="dxa"/>
          <w:bottom w:w="45" w:type="dxa"/>
          <w:right w:w="96" w:type="dxa"/>
        </w:tblCellMar>
      </w:tblPr>
      <w:tblGrid>
        <w:gridCol w:w="1199"/>
        <w:gridCol w:w="1112"/>
        <w:gridCol w:w="7335"/>
      </w:tblGrid>
      <w:tr w14:paraId="08C1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487" w:hRule="atLeast"/>
          <w:tblHeader/>
          <w:jc w:val="center"/>
        </w:trPr>
        <w:tc>
          <w:tcPr>
            <w:tcW w:w="1199" w:type="dxa"/>
            <w:noWrap w:val="0"/>
            <w:vAlign w:val="center"/>
          </w:tcPr>
          <w:p w14:paraId="20BEA028">
            <w:pPr>
              <w:keepNext w:val="0"/>
              <w:keepLines w:val="0"/>
              <w:pageBreakBefore w:val="0"/>
              <w:kinsoku/>
              <w:wordWrap/>
              <w:overflowPunct/>
              <w:topLinePunct w:val="0"/>
              <w:autoSpaceDE/>
              <w:autoSpaceDN/>
              <w:bidi w:val="0"/>
              <w:adjustRightInd/>
              <w:snapToGrid w:val="0"/>
              <w:spacing w:line="460" w:lineRule="exact"/>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评分因素</w:t>
            </w:r>
          </w:p>
        </w:tc>
        <w:tc>
          <w:tcPr>
            <w:tcW w:w="1112" w:type="dxa"/>
            <w:noWrap w:val="0"/>
            <w:vAlign w:val="center"/>
          </w:tcPr>
          <w:p w14:paraId="7B1B88DE">
            <w:pPr>
              <w:keepNext w:val="0"/>
              <w:keepLines w:val="0"/>
              <w:pageBreakBefore w:val="0"/>
              <w:kinsoku/>
              <w:wordWrap/>
              <w:overflowPunct/>
              <w:topLinePunct w:val="0"/>
              <w:autoSpaceDE/>
              <w:autoSpaceDN/>
              <w:bidi w:val="0"/>
              <w:adjustRightInd/>
              <w:snapToGrid w:val="0"/>
              <w:spacing w:line="460" w:lineRule="exact"/>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分值</w:t>
            </w:r>
          </w:p>
        </w:tc>
        <w:tc>
          <w:tcPr>
            <w:tcW w:w="7335" w:type="dxa"/>
            <w:noWrap w:val="0"/>
            <w:vAlign w:val="center"/>
          </w:tcPr>
          <w:p w14:paraId="0F739F56">
            <w:pPr>
              <w:keepNext w:val="0"/>
              <w:keepLines w:val="0"/>
              <w:pageBreakBefore w:val="0"/>
              <w:kinsoku/>
              <w:wordWrap/>
              <w:overflowPunct/>
              <w:topLinePunct w:val="0"/>
              <w:autoSpaceDE/>
              <w:autoSpaceDN/>
              <w:bidi w:val="0"/>
              <w:adjustRightInd/>
              <w:snapToGrid w:val="0"/>
              <w:spacing w:line="460" w:lineRule="exact"/>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评分标准</w:t>
            </w:r>
          </w:p>
        </w:tc>
      </w:tr>
      <w:tr w14:paraId="57BD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noWrap w:val="0"/>
            <w:vAlign w:val="center"/>
          </w:tcPr>
          <w:p w14:paraId="3610F59B">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olor w:val="auto"/>
                <w:sz w:val="21"/>
                <w:szCs w:val="21"/>
                <w:lang w:eastAsia="en-US"/>
              </w:rPr>
            </w:pPr>
            <w:r>
              <w:rPr>
                <w:rFonts w:ascii="宋体" w:hAnsi="宋体" w:eastAsia="宋体" w:cs="宋体"/>
                <w:color w:val="auto"/>
                <w:sz w:val="21"/>
                <w:szCs w:val="21"/>
                <w:lang w:eastAsia="en-US"/>
              </w:rPr>
              <w:t>投标报价</w:t>
            </w:r>
          </w:p>
        </w:tc>
        <w:tc>
          <w:tcPr>
            <w:tcW w:w="1112" w:type="dxa"/>
            <w:noWrap w:val="0"/>
            <w:vAlign w:val="center"/>
          </w:tcPr>
          <w:p w14:paraId="41606CC7">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olor w:val="auto"/>
                <w:sz w:val="21"/>
                <w:szCs w:val="21"/>
                <w:lang w:eastAsia="en-US"/>
              </w:rPr>
            </w:pPr>
            <w:r>
              <w:rPr>
                <w:rFonts w:hint="eastAsia" w:ascii="宋体" w:hAnsi="宋体" w:eastAsia="宋体" w:cs="宋体"/>
                <w:color w:val="auto"/>
                <w:sz w:val="21"/>
                <w:szCs w:val="21"/>
              </w:rPr>
              <w:t>1</w:t>
            </w:r>
            <w:r>
              <w:rPr>
                <w:rFonts w:ascii="宋体" w:hAnsi="宋体" w:eastAsia="宋体" w:cs="宋体"/>
                <w:color w:val="auto"/>
                <w:sz w:val="21"/>
                <w:szCs w:val="21"/>
                <w:lang w:eastAsia="en-US"/>
              </w:rPr>
              <w:t>0分</w:t>
            </w:r>
          </w:p>
        </w:tc>
        <w:tc>
          <w:tcPr>
            <w:tcW w:w="7335" w:type="dxa"/>
            <w:noWrap w:val="0"/>
            <w:vAlign w:val="center"/>
          </w:tcPr>
          <w:p w14:paraId="2599581D">
            <w:pPr>
              <w:keepNext w:val="0"/>
              <w:keepLines w:val="0"/>
              <w:pageBreakBefore w:val="0"/>
              <w:widowControl/>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zh-CN"/>
              </w:rPr>
              <w:t>价格分采用低价优先法计算，即满足招标文件要求且投标价格最低的投标报价为评标基准价，其价格分为满分。其他供应商的价格分统一按照下列公式计算：投标报价得分=（评标基准价／投标报价）×10。（四舍五入保留两位小数）</w:t>
            </w:r>
          </w:p>
        </w:tc>
      </w:tr>
      <w:tr w14:paraId="779B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noWrap w:val="0"/>
            <w:vAlign w:val="center"/>
          </w:tcPr>
          <w:p w14:paraId="1C4E9163">
            <w:pPr>
              <w:keepNext w:val="0"/>
              <w:keepLines w:val="0"/>
              <w:pageBreakBefore w:val="0"/>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highlight w:val="red"/>
                <w:lang w:val="zh-CN"/>
              </w:rPr>
            </w:pPr>
            <w:r>
              <w:rPr>
                <w:rFonts w:hint="eastAsia" w:ascii="宋体" w:hAnsi="宋体" w:eastAsia="宋体" w:cs="宋体"/>
                <w:color w:val="auto"/>
                <w:sz w:val="21"/>
                <w:szCs w:val="21"/>
                <w:highlight w:val="none"/>
                <w:lang w:val="en-US" w:eastAsia="zh-CN"/>
              </w:rPr>
              <w:t>清障</w:t>
            </w:r>
            <w:r>
              <w:rPr>
                <w:rFonts w:hint="eastAsia" w:ascii="宋体" w:hAnsi="宋体" w:eastAsia="宋体" w:cs="宋体"/>
                <w:color w:val="auto"/>
                <w:sz w:val="21"/>
                <w:szCs w:val="21"/>
                <w:highlight w:val="none"/>
                <w:lang w:val="zh-CN"/>
              </w:rPr>
              <w:t>设备</w:t>
            </w:r>
          </w:p>
        </w:tc>
        <w:tc>
          <w:tcPr>
            <w:tcW w:w="1112" w:type="dxa"/>
            <w:noWrap w:val="0"/>
            <w:vAlign w:val="center"/>
          </w:tcPr>
          <w:p w14:paraId="3A2D1D16">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highlight w:val="red"/>
              </w:rPr>
            </w:pPr>
            <w:r>
              <w:rPr>
                <w:rFonts w:hint="eastAsia" w:ascii="宋体" w:hAnsi="宋体" w:eastAsia="宋体" w:cs="宋体"/>
                <w:color w:val="auto"/>
                <w:sz w:val="21"/>
                <w:szCs w:val="21"/>
                <w:lang w:val="en-US" w:eastAsia="zh-CN"/>
              </w:rPr>
              <w:t>16</w:t>
            </w:r>
            <w:r>
              <w:rPr>
                <w:rFonts w:hint="eastAsia" w:ascii="宋体" w:hAnsi="宋体" w:eastAsia="宋体" w:cs="宋体"/>
                <w:color w:val="auto"/>
                <w:sz w:val="21"/>
                <w:szCs w:val="21"/>
              </w:rPr>
              <w:t>分</w:t>
            </w:r>
          </w:p>
        </w:tc>
        <w:tc>
          <w:tcPr>
            <w:tcW w:w="7335" w:type="dxa"/>
            <w:noWrap w:val="0"/>
            <w:vAlign w:val="center"/>
          </w:tcPr>
          <w:p w14:paraId="6E0761F7">
            <w:pPr>
              <w:keepNext w:val="0"/>
              <w:keepLines w:val="0"/>
              <w:pageBreakBefore w:val="0"/>
              <w:widowControl/>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供应商每有2辆小型清障车得基本分2分，在此基础上每增加一辆自有小型清障车加1分，本项</w:t>
            </w:r>
            <w:r>
              <w:rPr>
                <w:rFonts w:hint="eastAsia" w:ascii="宋体" w:hAnsi="宋体" w:eastAsia="宋体" w:cs="宋体"/>
                <w:color w:val="auto"/>
                <w:sz w:val="21"/>
                <w:szCs w:val="21"/>
                <w:lang w:val="zh-CN"/>
              </w:rPr>
              <w:t>最多得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分。</w:t>
            </w:r>
          </w:p>
          <w:p w14:paraId="4612E315">
            <w:pPr>
              <w:keepNext w:val="0"/>
              <w:keepLines w:val="0"/>
              <w:pageBreakBefore w:val="0"/>
              <w:widowControl/>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供应商每有1辆中型清障车得基本分2分，在此基础上每增加一辆自有中型清障车加2分，本项</w:t>
            </w:r>
            <w:r>
              <w:rPr>
                <w:rFonts w:hint="eastAsia" w:ascii="宋体" w:hAnsi="宋体" w:eastAsia="宋体" w:cs="宋体"/>
                <w:color w:val="auto"/>
                <w:sz w:val="21"/>
                <w:szCs w:val="21"/>
                <w:lang w:val="zh-CN"/>
              </w:rPr>
              <w:t>最多得</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val="zh-CN"/>
              </w:rPr>
              <w:t>分。</w:t>
            </w:r>
          </w:p>
          <w:p w14:paraId="0AA54C52">
            <w:pPr>
              <w:keepNext w:val="0"/>
              <w:keepLines w:val="0"/>
              <w:pageBreakBefore w:val="0"/>
              <w:widowControl/>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供应商每有1辆大型清障车得基本分2分，在此基础上每增加一辆自有大型清障车加2分，本项</w:t>
            </w:r>
            <w:r>
              <w:rPr>
                <w:rFonts w:hint="eastAsia" w:ascii="宋体" w:hAnsi="宋体" w:eastAsia="宋体" w:cs="宋体"/>
                <w:color w:val="auto"/>
                <w:sz w:val="21"/>
                <w:szCs w:val="21"/>
                <w:lang w:val="zh-CN"/>
              </w:rPr>
              <w:t>最多得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分。</w:t>
            </w:r>
          </w:p>
          <w:p w14:paraId="12303062">
            <w:pPr>
              <w:keepNext w:val="0"/>
              <w:keepLines w:val="0"/>
              <w:pageBreakBefore w:val="0"/>
              <w:widowControl/>
              <w:kinsoku/>
              <w:wordWrap/>
              <w:overflowPunct/>
              <w:topLinePunct w:val="0"/>
              <w:autoSpaceDE/>
              <w:autoSpaceDN/>
              <w:bidi w:val="0"/>
              <w:adjustRightInd/>
              <w:snapToGrid w:val="0"/>
              <w:spacing w:line="460" w:lineRule="exact"/>
              <w:ind w:firstLine="422" w:firstLineChars="200"/>
              <w:jc w:val="left"/>
              <w:textAlignment w:val="auto"/>
              <w:rPr>
                <w:rFonts w:hint="eastAsia" w:ascii="宋体" w:hAnsi="宋体" w:eastAsia="宋体" w:cs="宋体"/>
                <w:color w:val="auto"/>
                <w:sz w:val="21"/>
                <w:szCs w:val="21"/>
                <w:highlight w:val="red"/>
                <w:lang w:val="zh-CN"/>
              </w:rPr>
            </w:pPr>
            <w:r>
              <w:rPr>
                <w:rFonts w:hint="eastAsia" w:ascii="宋体" w:hAnsi="宋体" w:eastAsia="宋体" w:cs="宋体"/>
                <w:b/>
                <w:bCs/>
                <w:color w:val="auto"/>
                <w:sz w:val="21"/>
                <w:szCs w:val="21"/>
                <w:lang w:val="en-US" w:eastAsia="zh-CN"/>
              </w:rPr>
              <w:t>注：得基本分的车辆可以为自有或租赁，加分项的车辆为自有，以上清障车辆设备</w:t>
            </w:r>
            <w:r>
              <w:rPr>
                <w:rFonts w:hint="eastAsia" w:ascii="宋体" w:hAnsi="宋体" w:eastAsia="宋体" w:cs="宋体"/>
                <w:b/>
                <w:bCs/>
                <w:color w:val="auto"/>
                <w:sz w:val="21"/>
                <w:szCs w:val="21"/>
                <w:lang w:val="zh-CN"/>
              </w:rPr>
              <w:t>自有的提</w:t>
            </w:r>
            <w:r>
              <w:rPr>
                <w:rFonts w:hint="eastAsia" w:ascii="宋体" w:hAnsi="宋体" w:eastAsia="宋体" w:cs="宋体"/>
                <w:b/>
                <w:bCs/>
                <w:color w:val="auto"/>
                <w:sz w:val="21"/>
                <w:szCs w:val="21"/>
                <w:lang w:val="en-US" w:eastAsia="zh-CN"/>
              </w:rPr>
              <w:t>供有效期内</w:t>
            </w:r>
            <w:r>
              <w:rPr>
                <w:rFonts w:hint="eastAsia" w:ascii="宋体" w:hAnsi="宋体" w:eastAsia="宋体" w:cs="宋体"/>
                <w:b/>
                <w:bCs/>
                <w:color w:val="auto"/>
                <w:sz w:val="21"/>
                <w:szCs w:val="21"/>
                <w:lang w:val="zh-CN"/>
              </w:rPr>
              <w:t>行驶证原件</w:t>
            </w:r>
            <w:r>
              <w:rPr>
                <w:rFonts w:hint="eastAsia" w:ascii="宋体" w:hAnsi="宋体" w:eastAsia="宋体" w:cs="宋体"/>
                <w:b/>
                <w:bCs/>
                <w:color w:val="auto"/>
                <w:sz w:val="21"/>
                <w:szCs w:val="21"/>
                <w:lang w:val="zh-CN" w:eastAsia="zh-CN"/>
              </w:rPr>
              <w:t>彩色</w:t>
            </w:r>
            <w:r>
              <w:rPr>
                <w:rFonts w:hint="eastAsia" w:ascii="宋体" w:hAnsi="宋体" w:eastAsia="宋体" w:cs="宋体"/>
                <w:b/>
                <w:bCs/>
                <w:color w:val="auto"/>
                <w:sz w:val="21"/>
                <w:szCs w:val="21"/>
                <w:lang w:val="zh-CN"/>
              </w:rPr>
              <w:t>扫描</w:t>
            </w:r>
            <w:r>
              <w:rPr>
                <w:rFonts w:hint="eastAsia" w:ascii="宋体" w:hAnsi="宋体" w:eastAsia="宋体" w:cs="宋体"/>
                <w:b/>
                <w:bCs/>
                <w:color w:val="auto"/>
                <w:sz w:val="21"/>
                <w:szCs w:val="21"/>
                <w:lang w:val="en-US" w:eastAsia="zh-CN"/>
              </w:rPr>
              <w:t>件</w:t>
            </w:r>
            <w:r>
              <w:rPr>
                <w:rFonts w:hint="eastAsia" w:ascii="宋体" w:hAnsi="宋体" w:eastAsia="宋体" w:cs="宋体"/>
                <w:b/>
                <w:bCs/>
                <w:color w:val="auto"/>
                <w:sz w:val="21"/>
                <w:szCs w:val="21"/>
                <w:lang w:val="zh-CN"/>
              </w:rPr>
              <w:t>，租赁的提供租赁协议及</w:t>
            </w:r>
            <w:r>
              <w:rPr>
                <w:rFonts w:hint="eastAsia" w:ascii="宋体" w:hAnsi="宋体" w:eastAsia="宋体" w:cs="宋体"/>
                <w:b/>
                <w:bCs/>
                <w:color w:val="auto"/>
                <w:sz w:val="21"/>
                <w:szCs w:val="21"/>
                <w:lang w:val="en-US" w:eastAsia="zh-CN"/>
              </w:rPr>
              <w:t>有效期内</w:t>
            </w:r>
            <w:r>
              <w:rPr>
                <w:rFonts w:hint="eastAsia" w:ascii="宋体" w:hAnsi="宋体" w:eastAsia="宋体" w:cs="宋体"/>
                <w:b/>
                <w:bCs/>
                <w:color w:val="auto"/>
                <w:sz w:val="21"/>
                <w:szCs w:val="21"/>
                <w:lang w:val="zh-CN"/>
              </w:rPr>
              <w:t>行驶证原件</w:t>
            </w:r>
            <w:r>
              <w:rPr>
                <w:rFonts w:hint="eastAsia" w:ascii="宋体" w:hAnsi="宋体" w:eastAsia="宋体" w:cs="宋体"/>
                <w:b/>
                <w:bCs/>
                <w:color w:val="auto"/>
                <w:sz w:val="21"/>
                <w:szCs w:val="21"/>
                <w:lang w:val="zh-CN" w:eastAsia="zh-CN"/>
              </w:rPr>
              <w:t>彩色</w:t>
            </w:r>
            <w:r>
              <w:rPr>
                <w:rFonts w:hint="eastAsia" w:ascii="宋体" w:hAnsi="宋体" w:eastAsia="宋体" w:cs="宋体"/>
                <w:b/>
                <w:bCs/>
                <w:color w:val="auto"/>
                <w:sz w:val="21"/>
                <w:szCs w:val="21"/>
                <w:lang w:val="zh-CN"/>
              </w:rPr>
              <w:t>扫描</w:t>
            </w:r>
            <w:r>
              <w:rPr>
                <w:rFonts w:hint="eastAsia" w:ascii="宋体" w:hAnsi="宋体" w:eastAsia="宋体" w:cs="宋体"/>
                <w:b/>
                <w:bCs/>
                <w:color w:val="auto"/>
                <w:sz w:val="21"/>
                <w:szCs w:val="21"/>
                <w:lang w:val="en-US" w:eastAsia="zh-CN"/>
              </w:rPr>
              <w:t>件</w:t>
            </w:r>
            <w:r>
              <w:rPr>
                <w:rFonts w:hint="eastAsia" w:ascii="宋体" w:hAnsi="宋体" w:eastAsia="宋体" w:cs="宋体"/>
                <w:b/>
                <w:bCs/>
                <w:color w:val="auto"/>
                <w:sz w:val="21"/>
                <w:szCs w:val="21"/>
                <w:lang w:val="zh-CN"/>
              </w:rPr>
              <w:t>，并且手续有效齐全，并加盖供应商公章</w:t>
            </w:r>
            <w:r>
              <w:rPr>
                <w:rFonts w:hint="eastAsia" w:ascii="宋体" w:hAnsi="宋体" w:eastAsia="宋体" w:cs="宋体"/>
                <w:b/>
                <w:bCs/>
                <w:color w:val="auto"/>
                <w:sz w:val="21"/>
                <w:szCs w:val="21"/>
                <w:lang w:val="zh-CN" w:eastAsia="zh-CN"/>
              </w:rPr>
              <w:t>，</w:t>
            </w:r>
            <w:r>
              <w:rPr>
                <w:rFonts w:hint="eastAsia" w:ascii="宋体" w:hAnsi="宋体" w:eastAsia="宋体" w:cs="宋体"/>
                <w:b/>
                <w:bCs/>
                <w:color w:val="auto"/>
                <w:sz w:val="21"/>
                <w:szCs w:val="21"/>
                <w:lang w:val="zh-CN"/>
              </w:rPr>
              <w:t>否则不得分。</w:t>
            </w:r>
          </w:p>
        </w:tc>
      </w:tr>
      <w:tr w14:paraId="6781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noWrap w:val="0"/>
            <w:vAlign w:val="center"/>
          </w:tcPr>
          <w:p w14:paraId="0FC7CEE4">
            <w:pPr>
              <w:pStyle w:val="34"/>
              <w:keepNext w:val="0"/>
              <w:keepLines w:val="0"/>
              <w:pageBreakBefore w:val="0"/>
              <w:kinsoku/>
              <w:wordWrap/>
              <w:overflowPunct/>
              <w:topLinePunct w:val="0"/>
              <w:autoSpaceDE/>
              <w:autoSpaceDN/>
              <w:bidi w:val="0"/>
              <w:adjustRightInd/>
              <w:snapToGrid w:val="0"/>
              <w:spacing w:after="0" w:line="460" w:lineRule="exact"/>
              <w:ind w:firstLine="0"/>
              <w:jc w:val="center"/>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服务人员配备</w:t>
            </w:r>
          </w:p>
        </w:tc>
        <w:tc>
          <w:tcPr>
            <w:tcW w:w="1112" w:type="dxa"/>
            <w:noWrap w:val="0"/>
            <w:vAlign w:val="center"/>
          </w:tcPr>
          <w:p w14:paraId="33128573">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bookmarkStart w:id="105" w:name="OLE_LINK34"/>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bookmarkEnd w:id="105"/>
          </w:p>
        </w:tc>
        <w:tc>
          <w:tcPr>
            <w:tcW w:w="7335" w:type="dxa"/>
            <w:noWrap w:val="0"/>
            <w:vAlign w:val="center"/>
          </w:tcPr>
          <w:p w14:paraId="24521D09">
            <w:pPr>
              <w:keepNext w:val="0"/>
              <w:keepLines w:val="0"/>
              <w:pageBreakBefore w:val="0"/>
              <w:widowControl/>
              <w:numPr>
                <w:ilvl w:val="0"/>
                <w:numId w:val="0"/>
              </w:numPr>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供应商服务人员</w:t>
            </w:r>
            <w:r>
              <w:rPr>
                <w:rFonts w:hint="eastAsia" w:ascii="宋体" w:hAnsi="宋体" w:eastAsia="宋体" w:cs="宋体"/>
                <w:color w:val="auto"/>
                <w:sz w:val="21"/>
                <w:szCs w:val="21"/>
                <w:lang w:val="zh-CN" w:eastAsia="zh-CN"/>
              </w:rPr>
              <w:t>每</w:t>
            </w:r>
            <w:r>
              <w:rPr>
                <w:rFonts w:hint="eastAsia" w:ascii="宋体" w:hAnsi="宋体" w:eastAsia="宋体" w:cs="宋体"/>
                <w:color w:val="auto"/>
                <w:sz w:val="21"/>
                <w:szCs w:val="21"/>
                <w:lang w:val="zh-CN"/>
              </w:rPr>
              <w:t>具有</w:t>
            </w:r>
            <w:r>
              <w:rPr>
                <w:rFonts w:hint="eastAsia" w:ascii="宋体" w:hAnsi="宋体" w:eastAsia="宋体" w:cs="宋体"/>
                <w:color w:val="auto"/>
                <w:sz w:val="21"/>
                <w:szCs w:val="21"/>
                <w:lang w:val="zh-CN" w:eastAsia="zh-CN"/>
              </w:rPr>
              <w:t>1名A</w:t>
            </w:r>
            <w:r>
              <w:rPr>
                <w:rFonts w:hint="eastAsia" w:ascii="宋体" w:hAnsi="宋体" w:eastAsia="宋体" w:cs="宋体"/>
                <w:color w:val="auto"/>
                <w:sz w:val="21"/>
                <w:szCs w:val="21"/>
                <w:lang w:val="zh-CN"/>
              </w:rPr>
              <w:t>证驾驶员</w:t>
            </w:r>
            <w:r>
              <w:rPr>
                <w:rFonts w:hint="eastAsia" w:ascii="宋体" w:hAnsi="宋体" w:eastAsia="宋体" w:cs="宋体"/>
                <w:color w:val="auto"/>
                <w:sz w:val="21"/>
                <w:szCs w:val="21"/>
                <w:lang w:val="zh-CN" w:eastAsia="zh-CN"/>
              </w:rPr>
              <w:t>的</w:t>
            </w:r>
            <w:r>
              <w:rPr>
                <w:rFonts w:hint="eastAsia" w:ascii="宋体" w:hAnsi="宋体" w:eastAsia="宋体" w:cs="宋体"/>
                <w:color w:val="auto"/>
                <w:sz w:val="21"/>
                <w:szCs w:val="21"/>
                <w:lang w:val="zh-CN"/>
              </w:rPr>
              <w:t>得</w:t>
            </w:r>
            <w:r>
              <w:rPr>
                <w:rFonts w:hint="eastAsia" w:ascii="宋体" w:hAnsi="宋体" w:eastAsia="宋体" w:cs="宋体"/>
                <w:color w:val="auto"/>
                <w:sz w:val="21"/>
                <w:szCs w:val="21"/>
                <w:lang w:val="zh-CN" w:eastAsia="zh-CN"/>
              </w:rPr>
              <w:t>基本分2</w:t>
            </w:r>
            <w:r>
              <w:rPr>
                <w:rFonts w:hint="eastAsia" w:ascii="宋体" w:hAnsi="宋体" w:eastAsia="宋体" w:cs="宋体"/>
                <w:color w:val="auto"/>
                <w:sz w:val="21"/>
                <w:szCs w:val="21"/>
                <w:lang w:val="zh-CN"/>
              </w:rPr>
              <w:t>分，</w:t>
            </w:r>
            <w:r>
              <w:rPr>
                <w:rFonts w:hint="eastAsia" w:ascii="宋体" w:hAnsi="宋体" w:eastAsia="宋体" w:cs="宋体"/>
                <w:color w:val="auto"/>
                <w:sz w:val="21"/>
                <w:szCs w:val="21"/>
                <w:lang w:val="zh-CN" w:eastAsia="zh-CN"/>
              </w:rPr>
              <w:t>每增加1名加2 分，本项</w:t>
            </w:r>
            <w:r>
              <w:rPr>
                <w:rFonts w:hint="eastAsia" w:ascii="宋体" w:hAnsi="宋体" w:eastAsia="宋体" w:cs="宋体"/>
                <w:color w:val="auto"/>
                <w:sz w:val="21"/>
                <w:szCs w:val="21"/>
                <w:lang w:val="zh-CN"/>
              </w:rPr>
              <w:t>最高得</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zh-CN"/>
              </w:rPr>
              <w:t>分；</w:t>
            </w:r>
            <w:r>
              <w:rPr>
                <w:rFonts w:hint="eastAsia" w:ascii="宋体" w:hAnsi="宋体" w:eastAsia="宋体" w:cs="宋体"/>
                <w:color w:val="auto"/>
                <w:sz w:val="21"/>
                <w:szCs w:val="21"/>
                <w:lang w:val="zh-CN" w:eastAsia="zh-CN"/>
              </w:rPr>
              <w:t>每</w:t>
            </w:r>
            <w:r>
              <w:rPr>
                <w:rFonts w:hint="eastAsia" w:ascii="宋体" w:hAnsi="宋体" w:eastAsia="宋体" w:cs="宋体"/>
                <w:color w:val="auto"/>
                <w:sz w:val="21"/>
                <w:szCs w:val="21"/>
                <w:lang w:val="zh-CN"/>
              </w:rPr>
              <w:t>具有</w:t>
            </w:r>
            <w:r>
              <w:rPr>
                <w:rFonts w:hint="eastAsia" w:ascii="宋体" w:hAnsi="宋体" w:eastAsia="宋体" w:cs="宋体"/>
                <w:color w:val="auto"/>
                <w:sz w:val="21"/>
                <w:szCs w:val="21"/>
                <w:lang w:val="zh-CN" w:eastAsia="zh-CN"/>
              </w:rPr>
              <w:t>1名B</w:t>
            </w:r>
            <w:r>
              <w:rPr>
                <w:rFonts w:hint="eastAsia" w:ascii="宋体" w:hAnsi="宋体" w:eastAsia="宋体" w:cs="宋体"/>
                <w:color w:val="auto"/>
                <w:sz w:val="21"/>
                <w:szCs w:val="21"/>
                <w:lang w:val="zh-CN"/>
              </w:rPr>
              <w:t>证驾驶员</w:t>
            </w:r>
            <w:r>
              <w:rPr>
                <w:rFonts w:hint="eastAsia" w:ascii="宋体" w:hAnsi="宋体" w:eastAsia="宋体" w:cs="宋体"/>
                <w:color w:val="auto"/>
                <w:sz w:val="21"/>
                <w:szCs w:val="21"/>
                <w:lang w:val="zh-CN" w:eastAsia="zh-CN"/>
              </w:rPr>
              <w:t>的</w:t>
            </w:r>
            <w:r>
              <w:rPr>
                <w:rFonts w:hint="eastAsia" w:ascii="宋体" w:hAnsi="宋体" w:eastAsia="宋体" w:cs="宋体"/>
                <w:color w:val="auto"/>
                <w:sz w:val="21"/>
                <w:szCs w:val="21"/>
                <w:lang w:val="zh-CN"/>
              </w:rPr>
              <w:t>得</w:t>
            </w:r>
            <w:r>
              <w:rPr>
                <w:rFonts w:hint="eastAsia" w:ascii="宋体" w:hAnsi="宋体" w:eastAsia="宋体" w:cs="宋体"/>
                <w:color w:val="auto"/>
                <w:sz w:val="21"/>
                <w:szCs w:val="21"/>
                <w:lang w:val="zh-CN" w:eastAsia="zh-CN"/>
              </w:rPr>
              <w:t>基本分2</w:t>
            </w:r>
            <w:r>
              <w:rPr>
                <w:rFonts w:hint="eastAsia" w:ascii="宋体" w:hAnsi="宋体" w:eastAsia="宋体" w:cs="宋体"/>
                <w:color w:val="auto"/>
                <w:sz w:val="21"/>
                <w:szCs w:val="21"/>
                <w:lang w:val="zh-CN"/>
              </w:rPr>
              <w:t>分，</w:t>
            </w:r>
            <w:r>
              <w:rPr>
                <w:rFonts w:hint="eastAsia" w:ascii="宋体" w:hAnsi="宋体" w:eastAsia="宋体" w:cs="宋体"/>
                <w:color w:val="auto"/>
                <w:sz w:val="21"/>
                <w:szCs w:val="21"/>
                <w:lang w:val="zh-CN" w:eastAsia="zh-CN"/>
              </w:rPr>
              <w:t>每增加1名加2 分</w:t>
            </w:r>
            <w:r>
              <w:rPr>
                <w:rFonts w:hint="eastAsia" w:ascii="宋体" w:hAnsi="宋体" w:eastAsia="宋体" w:cs="宋体"/>
                <w:color w:val="auto"/>
                <w:sz w:val="21"/>
                <w:szCs w:val="21"/>
                <w:lang w:val="zh-CN"/>
              </w:rPr>
              <w:t>最高得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分。</w:t>
            </w:r>
          </w:p>
          <w:p w14:paraId="1B3ECDE2">
            <w:pPr>
              <w:keepNext w:val="0"/>
              <w:keepLines w:val="0"/>
              <w:pageBreakBefore w:val="0"/>
              <w:widowControl/>
              <w:numPr>
                <w:ilvl w:val="0"/>
                <w:numId w:val="0"/>
              </w:numPr>
              <w:kinsoku/>
              <w:wordWrap/>
              <w:overflowPunct/>
              <w:topLinePunct w:val="0"/>
              <w:autoSpaceDE/>
              <w:autoSpaceDN/>
              <w:bidi w:val="0"/>
              <w:adjustRightInd/>
              <w:snapToGrid w:val="0"/>
              <w:spacing w:line="460" w:lineRule="exact"/>
              <w:ind w:firstLine="211" w:firstLineChars="100"/>
              <w:jc w:val="left"/>
              <w:textAlignment w:val="auto"/>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en-US" w:eastAsia="zh-CN"/>
              </w:rPr>
              <w:t>注：</w:t>
            </w:r>
            <w:r>
              <w:rPr>
                <w:rFonts w:hint="eastAsia" w:ascii="宋体" w:hAnsi="宋体" w:eastAsia="宋体" w:cs="宋体"/>
                <w:b/>
                <w:bCs/>
                <w:color w:val="auto"/>
                <w:sz w:val="21"/>
                <w:szCs w:val="21"/>
                <w:lang w:val="zh-CN"/>
              </w:rPr>
              <w:t>供应商提供驾驶证</w:t>
            </w:r>
            <w:r>
              <w:rPr>
                <w:rFonts w:hint="eastAsia" w:ascii="宋体" w:hAnsi="宋体" w:eastAsia="宋体" w:cs="宋体"/>
                <w:b/>
                <w:bCs/>
                <w:color w:val="auto"/>
                <w:sz w:val="21"/>
                <w:szCs w:val="21"/>
                <w:lang w:val="zh-CN" w:eastAsia="zh-CN"/>
              </w:rPr>
              <w:t>彩色</w:t>
            </w:r>
            <w:r>
              <w:rPr>
                <w:rFonts w:hint="eastAsia" w:ascii="宋体" w:hAnsi="宋体" w:eastAsia="宋体" w:cs="宋体"/>
                <w:b/>
                <w:bCs/>
                <w:color w:val="auto"/>
                <w:sz w:val="21"/>
                <w:szCs w:val="21"/>
                <w:lang w:val="zh-CN"/>
              </w:rPr>
              <w:t>原件</w:t>
            </w:r>
            <w:r>
              <w:rPr>
                <w:rFonts w:hint="eastAsia" w:ascii="宋体" w:hAnsi="宋体" w:eastAsia="宋体" w:cs="宋体"/>
                <w:b/>
                <w:bCs/>
                <w:color w:val="auto"/>
                <w:sz w:val="21"/>
                <w:szCs w:val="21"/>
                <w:lang w:val="zh-CN" w:eastAsia="zh-CN"/>
              </w:rPr>
              <w:t>扫描件</w:t>
            </w:r>
            <w:r>
              <w:rPr>
                <w:rFonts w:hint="eastAsia" w:ascii="宋体" w:hAnsi="宋体" w:eastAsia="宋体" w:cs="宋体"/>
                <w:b/>
                <w:bCs/>
                <w:color w:val="auto"/>
                <w:sz w:val="21"/>
                <w:szCs w:val="21"/>
                <w:lang w:val="en-US" w:eastAsia="zh-CN"/>
              </w:rPr>
              <w:t>和</w:t>
            </w:r>
            <w:r>
              <w:rPr>
                <w:rFonts w:hint="eastAsia" w:ascii="宋体" w:hAnsi="宋体" w:eastAsia="宋体" w:cs="宋体"/>
                <w:b/>
                <w:bCs/>
                <w:color w:val="auto"/>
                <w:sz w:val="21"/>
                <w:szCs w:val="21"/>
                <w:lang w:val="zh-CN"/>
              </w:rPr>
              <w:t>为其缴纳近</w:t>
            </w:r>
            <w:r>
              <w:rPr>
                <w:rFonts w:hint="eastAsia" w:ascii="宋体" w:hAnsi="宋体" w:eastAsia="宋体" w:cs="宋体"/>
                <w:b/>
                <w:bCs/>
                <w:color w:val="auto"/>
                <w:sz w:val="21"/>
                <w:szCs w:val="21"/>
                <w:lang w:val="en-US" w:eastAsia="zh-CN"/>
              </w:rPr>
              <w:t>三个月中</w:t>
            </w:r>
            <w:r>
              <w:rPr>
                <w:rFonts w:hint="eastAsia" w:ascii="宋体" w:hAnsi="宋体" w:eastAsia="宋体" w:cs="宋体"/>
                <w:b/>
                <w:bCs/>
                <w:color w:val="auto"/>
                <w:sz w:val="21"/>
                <w:szCs w:val="21"/>
                <w:lang w:val="zh-CN"/>
              </w:rPr>
              <w:t>任意1个月</w:t>
            </w:r>
            <w:r>
              <w:rPr>
                <w:rFonts w:hint="eastAsia" w:ascii="宋体" w:hAnsi="宋体" w:eastAsia="宋体" w:cs="宋体"/>
                <w:b/>
                <w:bCs/>
                <w:color w:val="auto"/>
                <w:sz w:val="21"/>
                <w:szCs w:val="21"/>
                <w:lang w:val="en-US" w:eastAsia="zh-CN"/>
              </w:rPr>
              <w:t>的</w:t>
            </w:r>
            <w:r>
              <w:rPr>
                <w:rFonts w:hint="eastAsia" w:ascii="宋体" w:hAnsi="宋体" w:eastAsia="宋体" w:cs="宋体"/>
                <w:b/>
                <w:bCs/>
                <w:color w:val="auto"/>
                <w:sz w:val="21"/>
                <w:szCs w:val="21"/>
                <w:lang w:val="zh-CN"/>
              </w:rPr>
              <w:t>社保证明</w:t>
            </w:r>
            <w:r>
              <w:rPr>
                <w:rFonts w:hint="eastAsia" w:ascii="宋体" w:hAnsi="宋体" w:eastAsia="宋体" w:cs="宋体"/>
                <w:b/>
                <w:bCs/>
                <w:color w:val="auto"/>
                <w:sz w:val="21"/>
                <w:szCs w:val="21"/>
                <w:lang w:val="en-US" w:eastAsia="zh-CN"/>
              </w:rPr>
              <w:t>并</w:t>
            </w:r>
            <w:r>
              <w:rPr>
                <w:rFonts w:hint="eastAsia" w:ascii="宋体" w:hAnsi="宋体" w:eastAsia="宋体" w:cs="宋体"/>
                <w:b/>
                <w:bCs/>
                <w:color w:val="auto"/>
                <w:sz w:val="21"/>
                <w:szCs w:val="21"/>
                <w:lang w:val="zh-CN"/>
              </w:rPr>
              <w:t>加盖供应商公章，否则不得分。</w:t>
            </w:r>
          </w:p>
        </w:tc>
      </w:tr>
      <w:tr w14:paraId="3A4EB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restart"/>
            <w:noWrap w:val="0"/>
            <w:vAlign w:val="center"/>
          </w:tcPr>
          <w:p w14:paraId="16195BBA">
            <w:pPr>
              <w:pStyle w:val="34"/>
              <w:keepNext w:val="0"/>
              <w:keepLines w:val="0"/>
              <w:pageBreakBefore w:val="0"/>
              <w:kinsoku/>
              <w:wordWrap/>
              <w:overflowPunct/>
              <w:topLinePunct w:val="0"/>
              <w:autoSpaceDE/>
              <w:autoSpaceDN/>
              <w:bidi w:val="0"/>
              <w:adjustRightInd/>
              <w:snapToGrid w:val="0"/>
              <w:spacing w:after="0" w:line="460" w:lineRule="exact"/>
              <w:ind w:firstLine="0"/>
              <w:jc w:val="center"/>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企业实力</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31</w:t>
            </w:r>
            <w:r>
              <w:rPr>
                <w:rFonts w:hint="eastAsia" w:ascii="宋体" w:hAnsi="宋体" w:eastAsia="宋体" w:cs="宋体"/>
                <w:color w:val="auto"/>
                <w:sz w:val="21"/>
                <w:szCs w:val="21"/>
                <w:lang w:val="zh-CN"/>
              </w:rPr>
              <w:t>分）</w:t>
            </w:r>
          </w:p>
        </w:tc>
        <w:tc>
          <w:tcPr>
            <w:tcW w:w="1112" w:type="dxa"/>
            <w:noWrap w:val="0"/>
            <w:vAlign w:val="center"/>
          </w:tcPr>
          <w:p w14:paraId="481090F5">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bookmarkStart w:id="106" w:name="OLE_LINK31"/>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分</w:t>
            </w:r>
            <w:bookmarkEnd w:id="106"/>
          </w:p>
        </w:tc>
        <w:tc>
          <w:tcPr>
            <w:tcW w:w="7335" w:type="dxa"/>
            <w:noWrap w:val="0"/>
            <w:vAlign w:val="center"/>
          </w:tcPr>
          <w:p w14:paraId="7DF93C24">
            <w:pPr>
              <w:keepNext w:val="0"/>
              <w:keepLines w:val="0"/>
              <w:pageBreakBefore w:val="0"/>
              <w:widowControl/>
              <w:numPr>
                <w:ilvl w:val="0"/>
                <w:numId w:val="0"/>
              </w:numPr>
              <w:kinsoku/>
              <w:wordWrap/>
              <w:overflowPunct/>
              <w:topLinePunct w:val="0"/>
              <w:autoSpaceDE/>
              <w:autoSpaceDN/>
              <w:bidi w:val="0"/>
              <w:adjustRightInd/>
              <w:snapToGrid w:val="0"/>
              <w:spacing w:line="460" w:lineRule="exact"/>
              <w:ind w:firstLine="420" w:firstLineChars="200"/>
              <w:jc w:val="left"/>
              <w:textAlignment w:val="auto"/>
              <w:rPr>
                <w:rFonts w:hint="eastAsia" w:ascii="宋体" w:eastAsia="宋体"/>
                <w:color w:val="auto"/>
                <w:sz w:val="21"/>
                <w:szCs w:val="20"/>
                <w:lang w:val="zh-CN"/>
              </w:rPr>
            </w:pPr>
            <w:r>
              <w:rPr>
                <w:rFonts w:hint="eastAsia" w:ascii="宋体" w:hAnsi="宋体" w:eastAsia="宋体" w:cs="宋体"/>
                <w:color w:val="auto"/>
                <w:sz w:val="21"/>
                <w:szCs w:val="21"/>
                <w:lang w:val="en-US" w:eastAsia="zh-CN"/>
              </w:rPr>
              <w:t>停车场地外围设置指路引导牌及出入口安装照明设备等：根据停车场地外围设置指路引导牌及出入口安装照明等设备情况进行评审。引导牌及设备设置全面、完善、合理得5分；设置较为完善、合理得3分；设置一般、设备配备粗略得1分；不进行设置或设置配备存在前后矛盾，或存在违反现行相关规范的，该项不得分。</w:t>
            </w:r>
            <w:r>
              <w:rPr>
                <w:rFonts w:hint="eastAsia" w:ascii="宋体" w:hAnsi="宋体" w:eastAsia="宋体" w:cs="宋体"/>
                <w:b/>
                <w:bCs/>
                <w:color w:val="auto"/>
                <w:sz w:val="21"/>
                <w:szCs w:val="21"/>
                <w:lang w:val="en-US" w:eastAsia="zh-CN"/>
              </w:rPr>
              <w:t>以彩色照片配合文字解释形式提交本单位场地相关情况，供评委打分。</w:t>
            </w:r>
          </w:p>
        </w:tc>
      </w:tr>
      <w:tr w14:paraId="6A9E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continue"/>
            <w:noWrap w:val="0"/>
            <w:vAlign w:val="center"/>
          </w:tcPr>
          <w:p w14:paraId="311E0A7C">
            <w:pPr>
              <w:pStyle w:val="34"/>
              <w:keepNext w:val="0"/>
              <w:keepLines w:val="0"/>
              <w:pageBreakBefore w:val="0"/>
              <w:kinsoku/>
              <w:wordWrap/>
              <w:overflowPunct/>
              <w:topLinePunct w:val="0"/>
              <w:autoSpaceDE/>
              <w:autoSpaceDN/>
              <w:bidi w:val="0"/>
              <w:adjustRightInd/>
              <w:snapToGrid w:val="0"/>
              <w:spacing w:after="0" w:line="460" w:lineRule="exact"/>
              <w:ind w:firstLine="0"/>
              <w:jc w:val="center"/>
              <w:textAlignment w:val="auto"/>
              <w:rPr>
                <w:rFonts w:hint="eastAsia" w:ascii="宋体" w:hAnsi="宋体" w:eastAsia="宋体" w:cs="宋体"/>
                <w:color w:val="auto"/>
                <w:sz w:val="21"/>
                <w:szCs w:val="21"/>
                <w:lang w:val="zh-CN"/>
              </w:rPr>
            </w:pPr>
          </w:p>
        </w:tc>
        <w:tc>
          <w:tcPr>
            <w:tcW w:w="1112" w:type="dxa"/>
            <w:noWrap w:val="0"/>
            <w:vAlign w:val="center"/>
          </w:tcPr>
          <w:p w14:paraId="349C87A6">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分</w:t>
            </w:r>
          </w:p>
        </w:tc>
        <w:tc>
          <w:tcPr>
            <w:tcW w:w="7335" w:type="dxa"/>
            <w:noWrap w:val="0"/>
            <w:vAlign w:val="center"/>
          </w:tcPr>
          <w:p w14:paraId="26469870">
            <w:pPr>
              <w:keepNext w:val="0"/>
              <w:keepLines w:val="0"/>
              <w:pageBreakBefore w:val="0"/>
              <w:widowControl/>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eastAsia="zh-CN"/>
              </w:rPr>
              <w:t>停车场场地硬化情况：根据</w:t>
            </w:r>
            <w:r>
              <w:rPr>
                <w:rFonts w:hint="eastAsia" w:ascii="宋体" w:hAnsi="宋体" w:eastAsia="宋体" w:cs="宋体"/>
                <w:color w:val="auto"/>
                <w:sz w:val="21"/>
                <w:szCs w:val="21"/>
                <w:lang w:val="en-US" w:eastAsia="zh-CN"/>
              </w:rPr>
              <w:t>项目需求，</w:t>
            </w:r>
            <w:r>
              <w:rPr>
                <w:rFonts w:hint="eastAsia" w:ascii="宋体" w:hAnsi="宋体" w:eastAsia="宋体" w:cs="宋体"/>
                <w:color w:val="auto"/>
                <w:sz w:val="21"/>
                <w:szCs w:val="21"/>
                <w:lang w:val="zh-CN" w:eastAsia="zh-CN"/>
              </w:rPr>
              <w:t>停车</w:t>
            </w:r>
            <w:r>
              <w:rPr>
                <w:rFonts w:hint="eastAsia" w:ascii="宋体" w:hAnsi="宋体" w:eastAsia="宋体" w:cs="宋体"/>
                <w:color w:val="auto"/>
                <w:sz w:val="21"/>
                <w:szCs w:val="21"/>
                <w:lang w:val="en-US" w:eastAsia="zh-CN"/>
              </w:rPr>
              <w:t>区域不少于25亩，</w:t>
            </w:r>
            <w:r>
              <w:rPr>
                <w:rFonts w:hint="eastAsia" w:ascii="宋体" w:hAnsi="宋体" w:eastAsia="宋体" w:cs="宋体"/>
                <w:color w:val="auto"/>
                <w:sz w:val="21"/>
                <w:szCs w:val="21"/>
                <w:lang w:val="zh-CN" w:eastAsia="zh-CN"/>
              </w:rPr>
              <w:t>硬化</w:t>
            </w:r>
            <w:r>
              <w:rPr>
                <w:rFonts w:hint="eastAsia" w:ascii="宋体" w:hAnsi="宋体" w:eastAsia="宋体" w:cs="宋体"/>
                <w:color w:val="auto"/>
                <w:sz w:val="21"/>
                <w:szCs w:val="21"/>
                <w:lang w:val="en-US" w:eastAsia="zh-CN"/>
              </w:rPr>
              <w:t>面积不少于停车区域的50%</w:t>
            </w:r>
            <w:r>
              <w:rPr>
                <w:rFonts w:hint="eastAsia" w:ascii="宋体" w:hAnsi="宋体" w:eastAsia="宋体" w:cs="宋体"/>
                <w:color w:val="auto"/>
                <w:sz w:val="21"/>
                <w:szCs w:val="21"/>
                <w:lang w:val="zh-CN" w:eastAsia="zh-CN"/>
              </w:rPr>
              <w:t>，</w:t>
            </w:r>
            <w:r>
              <w:rPr>
                <w:rFonts w:hint="eastAsia" w:ascii="宋体" w:hAnsi="宋体" w:eastAsia="宋体" w:cs="宋体"/>
                <w:color w:val="auto"/>
                <w:sz w:val="21"/>
                <w:szCs w:val="21"/>
                <w:lang w:val="en-US" w:eastAsia="zh-CN"/>
              </w:rPr>
              <w:t>如硬化面积为</w:t>
            </w:r>
            <w:r>
              <w:rPr>
                <w:rFonts w:hint="eastAsia" w:ascii="宋体" w:hAnsi="宋体" w:eastAsia="宋体" w:cs="宋体"/>
                <w:color w:val="auto"/>
                <w:sz w:val="21"/>
                <w:szCs w:val="21"/>
                <w:lang w:val="zh-CN" w:eastAsia="zh-CN"/>
              </w:rPr>
              <w:t>水泥场地得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eastAsia="zh-CN"/>
              </w:rPr>
              <w:t>分，</w:t>
            </w:r>
            <w:r>
              <w:rPr>
                <w:rFonts w:hint="eastAsia" w:ascii="宋体" w:hAnsi="宋体" w:eastAsia="宋体" w:cs="宋体"/>
                <w:color w:val="auto"/>
                <w:sz w:val="21"/>
                <w:szCs w:val="21"/>
                <w:lang w:val="en-US" w:eastAsia="zh-CN"/>
              </w:rPr>
              <w:t>如硬化面积为</w:t>
            </w:r>
            <w:r>
              <w:rPr>
                <w:rFonts w:hint="eastAsia" w:ascii="宋体" w:hAnsi="宋体" w:eastAsia="宋体" w:cs="宋体"/>
                <w:color w:val="auto"/>
                <w:sz w:val="21"/>
                <w:szCs w:val="21"/>
                <w:lang w:val="zh-CN" w:eastAsia="zh-CN"/>
              </w:rPr>
              <w:t>沥青场地得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eastAsia="zh-CN"/>
              </w:rPr>
              <w:t>分，</w:t>
            </w:r>
            <w:r>
              <w:rPr>
                <w:rFonts w:hint="eastAsia" w:ascii="宋体" w:hAnsi="宋体" w:eastAsia="宋体" w:cs="宋体"/>
                <w:color w:val="auto"/>
                <w:sz w:val="21"/>
                <w:szCs w:val="21"/>
                <w:lang w:val="en-US" w:eastAsia="zh-CN"/>
              </w:rPr>
              <w:t>如硬化面积为</w:t>
            </w:r>
            <w:r>
              <w:rPr>
                <w:rFonts w:hint="eastAsia" w:ascii="宋体" w:hAnsi="宋体" w:eastAsia="宋体" w:cs="宋体"/>
                <w:color w:val="auto"/>
                <w:sz w:val="21"/>
                <w:szCs w:val="21"/>
                <w:lang w:val="zh-CN" w:eastAsia="zh-CN"/>
              </w:rPr>
              <w:t>其他</w:t>
            </w:r>
            <w:r>
              <w:rPr>
                <w:rFonts w:hint="eastAsia" w:ascii="宋体" w:hAnsi="宋体" w:eastAsia="宋体" w:cs="宋体"/>
                <w:color w:val="auto"/>
                <w:sz w:val="21"/>
                <w:szCs w:val="21"/>
                <w:lang w:val="en-US" w:eastAsia="zh-CN"/>
              </w:rPr>
              <w:t>材质</w:t>
            </w:r>
            <w:r>
              <w:rPr>
                <w:rFonts w:hint="eastAsia" w:ascii="宋体" w:hAnsi="宋体" w:eastAsia="宋体" w:cs="宋体"/>
                <w:color w:val="auto"/>
                <w:sz w:val="21"/>
                <w:szCs w:val="21"/>
                <w:lang w:val="zh-CN" w:eastAsia="zh-CN"/>
              </w:rPr>
              <w:t>得1分。硬化情况未提供或内容存在不能满足采购需求，或存在逻辑错误、前后矛盾，或存在违反现行相关规范的，该项不得分。</w:t>
            </w:r>
            <w:r>
              <w:rPr>
                <w:rFonts w:hint="eastAsia" w:ascii="宋体" w:hAnsi="宋体" w:eastAsia="宋体" w:cs="宋体"/>
                <w:b/>
                <w:bCs/>
                <w:color w:val="auto"/>
                <w:sz w:val="21"/>
                <w:szCs w:val="21"/>
                <w:lang w:val="en-US" w:eastAsia="zh-CN"/>
              </w:rPr>
              <w:t>以彩色照片配合文字解释形式提交本单位场地相关情况，供评委打分。</w:t>
            </w:r>
          </w:p>
        </w:tc>
      </w:tr>
      <w:tr w14:paraId="4288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continue"/>
            <w:noWrap w:val="0"/>
            <w:vAlign w:val="center"/>
          </w:tcPr>
          <w:p w14:paraId="5C1C15E3">
            <w:pPr>
              <w:pStyle w:val="34"/>
              <w:keepNext w:val="0"/>
              <w:keepLines w:val="0"/>
              <w:pageBreakBefore w:val="0"/>
              <w:kinsoku/>
              <w:wordWrap/>
              <w:overflowPunct/>
              <w:topLinePunct w:val="0"/>
              <w:autoSpaceDE/>
              <w:autoSpaceDN/>
              <w:bidi w:val="0"/>
              <w:adjustRightInd/>
              <w:snapToGrid w:val="0"/>
              <w:spacing w:after="0" w:line="460" w:lineRule="exact"/>
              <w:ind w:firstLine="0"/>
              <w:jc w:val="center"/>
              <w:textAlignment w:val="auto"/>
              <w:rPr>
                <w:rFonts w:hint="eastAsia" w:ascii="宋体" w:hAnsi="宋体" w:eastAsia="宋体" w:cs="宋体"/>
                <w:color w:val="auto"/>
                <w:sz w:val="21"/>
                <w:szCs w:val="21"/>
                <w:lang w:val="zh-CN"/>
              </w:rPr>
            </w:pPr>
          </w:p>
        </w:tc>
        <w:tc>
          <w:tcPr>
            <w:tcW w:w="1112" w:type="dxa"/>
            <w:noWrap w:val="0"/>
            <w:vAlign w:val="center"/>
          </w:tcPr>
          <w:p w14:paraId="7DD6EFE1">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分</w:t>
            </w:r>
          </w:p>
        </w:tc>
        <w:tc>
          <w:tcPr>
            <w:tcW w:w="7335" w:type="dxa"/>
            <w:noWrap w:val="0"/>
            <w:vAlign w:val="center"/>
          </w:tcPr>
          <w:p w14:paraId="6A5D6446">
            <w:pPr>
              <w:pStyle w:val="34"/>
              <w:keepNext w:val="0"/>
              <w:keepLines w:val="0"/>
              <w:pageBreakBefore w:val="0"/>
              <w:kinsoku/>
              <w:wordWrap/>
              <w:overflowPunct/>
              <w:topLinePunct w:val="0"/>
              <w:autoSpaceDE/>
              <w:autoSpaceDN/>
              <w:bidi w:val="0"/>
              <w:adjustRightInd/>
              <w:snapToGrid w:val="0"/>
              <w:spacing w:after="0" w:line="460" w:lineRule="exact"/>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eastAsia="zh-CN"/>
              </w:rPr>
              <w:t>停放车辆区域场地面积满足</w:t>
            </w:r>
            <w:r>
              <w:rPr>
                <w:rFonts w:hint="eastAsia" w:ascii="宋体" w:hAnsi="宋体" w:eastAsia="宋体" w:cs="宋体"/>
                <w:color w:val="auto"/>
                <w:sz w:val="21"/>
                <w:szCs w:val="21"/>
                <w:lang w:val="en-US" w:eastAsia="zh-CN"/>
              </w:rPr>
              <w:t>25</w:t>
            </w:r>
            <w:r>
              <w:rPr>
                <w:rFonts w:hint="eastAsia" w:ascii="宋体" w:hAnsi="宋体" w:eastAsia="宋体" w:cs="宋体"/>
                <w:color w:val="auto"/>
                <w:sz w:val="21"/>
                <w:szCs w:val="21"/>
                <w:lang w:val="zh-CN" w:eastAsia="zh-CN"/>
              </w:rPr>
              <w:t>亩的得基本分</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eastAsia="zh-CN"/>
              </w:rPr>
              <w:t>分，</w:t>
            </w:r>
            <w:r>
              <w:rPr>
                <w:rFonts w:hint="eastAsia" w:ascii="宋体" w:hAnsi="宋体" w:eastAsia="宋体" w:cs="宋体"/>
                <w:color w:val="auto"/>
                <w:sz w:val="21"/>
                <w:szCs w:val="21"/>
                <w:lang w:val="en-US" w:eastAsia="zh-CN"/>
              </w:rPr>
              <w:t>提供上述场地如为供应商自有或控股50%以上加3分，本项最高得5分，</w:t>
            </w:r>
            <w:r>
              <w:rPr>
                <w:rFonts w:hint="eastAsia" w:ascii="宋体" w:hAnsi="宋体" w:eastAsia="宋体" w:cs="宋体"/>
                <w:color w:val="auto"/>
                <w:sz w:val="21"/>
                <w:szCs w:val="21"/>
                <w:lang w:val="zh-CN" w:eastAsia="zh-CN"/>
              </w:rPr>
              <w:t>提供承诺用于采购人实际使用的场地承诺书（格式自拟）、标有尺寸的平面示意图、标明场地具体位置及现场照片、租赁的提供租赁协议及场地产权证明材料、自有的提供场地产权证明材料</w:t>
            </w:r>
            <w:r>
              <w:rPr>
                <w:rFonts w:hint="eastAsia" w:ascii="宋体" w:hAnsi="宋体" w:eastAsia="宋体" w:cs="宋体"/>
                <w:color w:val="auto"/>
                <w:sz w:val="21"/>
                <w:szCs w:val="21"/>
                <w:lang w:val="en-US" w:eastAsia="zh-CN"/>
              </w:rPr>
              <w:t>或控股材料</w:t>
            </w:r>
            <w:r>
              <w:rPr>
                <w:rFonts w:hint="eastAsia" w:ascii="宋体" w:hAnsi="宋体" w:eastAsia="宋体" w:cs="宋体"/>
                <w:color w:val="auto"/>
                <w:sz w:val="21"/>
                <w:szCs w:val="21"/>
                <w:lang w:val="zh-CN" w:eastAsia="zh-CN"/>
              </w:rPr>
              <w:t>（如：土地证等）彩色扫描件并加盖供应商公章，以上缺一不可，否则不得分。</w:t>
            </w:r>
            <w:r>
              <w:rPr>
                <w:rFonts w:hint="eastAsia" w:ascii="宋体" w:hAnsi="宋体" w:eastAsia="宋体" w:cs="宋体"/>
                <w:b/>
                <w:bCs/>
                <w:color w:val="auto"/>
                <w:sz w:val="21"/>
                <w:szCs w:val="21"/>
                <w:lang w:val="zh-CN" w:eastAsia="zh-CN"/>
              </w:rPr>
              <w:t>（面积只统计承诺用于采购人实际使用的</w:t>
            </w:r>
            <w:r>
              <w:rPr>
                <w:rFonts w:hint="eastAsia" w:ascii="宋体" w:hAnsi="宋体" w:eastAsia="宋体" w:cs="宋体"/>
                <w:b/>
                <w:bCs/>
                <w:color w:val="auto"/>
                <w:sz w:val="21"/>
                <w:szCs w:val="21"/>
                <w:lang w:val="en-US" w:eastAsia="zh-CN"/>
              </w:rPr>
              <w:t>停车</w:t>
            </w:r>
            <w:r>
              <w:rPr>
                <w:rFonts w:hint="eastAsia" w:ascii="宋体" w:hAnsi="宋体" w:eastAsia="宋体" w:cs="宋体"/>
                <w:b/>
                <w:bCs/>
                <w:color w:val="auto"/>
                <w:sz w:val="21"/>
                <w:szCs w:val="21"/>
                <w:lang w:val="zh-CN" w:eastAsia="zh-CN"/>
              </w:rPr>
              <w:t>场地。）</w:t>
            </w:r>
          </w:p>
        </w:tc>
      </w:tr>
      <w:tr w14:paraId="69E3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continue"/>
            <w:noWrap w:val="0"/>
            <w:vAlign w:val="center"/>
          </w:tcPr>
          <w:p w14:paraId="054CFC6A">
            <w:pPr>
              <w:pStyle w:val="34"/>
              <w:keepNext w:val="0"/>
              <w:keepLines w:val="0"/>
              <w:pageBreakBefore w:val="0"/>
              <w:kinsoku/>
              <w:wordWrap/>
              <w:overflowPunct/>
              <w:topLinePunct w:val="0"/>
              <w:autoSpaceDE/>
              <w:autoSpaceDN/>
              <w:bidi w:val="0"/>
              <w:adjustRightInd/>
              <w:snapToGrid w:val="0"/>
              <w:spacing w:after="0" w:line="460" w:lineRule="exact"/>
              <w:ind w:firstLine="0"/>
              <w:jc w:val="center"/>
              <w:textAlignment w:val="auto"/>
              <w:rPr>
                <w:rFonts w:hint="eastAsia" w:ascii="宋体" w:hAnsi="宋体" w:eastAsia="宋体" w:cs="宋体"/>
                <w:color w:val="auto"/>
                <w:sz w:val="21"/>
                <w:szCs w:val="21"/>
                <w:lang w:val="zh-CN"/>
              </w:rPr>
            </w:pPr>
          </w:p>
        </w:tc>
        <w:tc>
          <w:tcPr>
            <w:tcW w:w="1112" w:type="dxa"/>
            <w:noWrap w:val="0"/>
            <w:vAlign w:val="center"/>
          </w:tcPr>
          <w:p w14:paraId="7221A7F6">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分</w:t>
            </w:r>
          </w:p>
        </w:tc>
        <w:tc>
          <w:tcPr>
            <w:tcW w:w="7335" w:type="dxa"/>
            <w:noWrap w:val="0"/>
            <w:vAlign w:val="center"/>
          </w:tcPr>
          <w:p w14:paraId="06C1FB4A">
            <w:pPr>
              <w:pStyle w:val="34"/>
              <w:keepNext w:val="0"/>
              <w:keepLines w:val="0"/>
              <w:pageBreakBefore w:val="0"/>
              <w:kinsoku/>
              <w:wordWrap/>
              <w:overflowPunct/>
              <w:topLinePunct w:val="0"/>
              <w:autoSpaceDE/>
              <w:autoSpaceDN/>
              <w:bidi w:val="0"/>
              <w:adjustRightInd/>
              <w:snapToGrid w:val="0"/>
              <w:spacing w:after="0" w:line="460" w:lineRule="exact"/>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eastAsia="zh-CN"/>
              </w:rPr>
              <w:t>场地区域划分情况：根据使用方不同对场地区域进行划分进行评审，保证做到专场专用（停车场地应划分为：大型车、小型车、摩托车、非机动车区域，施划交通标线和停车泊位）。划分合理、科学，切实可行得5分；划分较为合理、科学，具有可行性得3分；划分情况不严谨、科学性一般得1分；未进行划分或划分情况存在前后矛盾，或存在违反现行相关规范的，该项不得分。</w:t>
            </w:r>
            <w:r>
              <w:rPr>
                <w:rFonts w:hint="eastAsia" w:ascii="宋体" w:hAnsi="宋体" w:eastAsia="宋体" w:cs="宋体"/>
                <w:b/>
                <w:bCs/>
                <w:color w:val="auto"/>
                <w:sz w:val="21"/>
                <w:szCs w:val="21"/>
                <w:lang w:val="en-US" w:eastAsia="zh-CN"/>
              </w:rPr>
              <w:t>以彩色照片配合文字解释形式提交本单位场地相关情况，供评委打分。</w:t>
            </w:r>
          </w:p>
        </w:tc>
      </w:tr>
      <w:tr w14:paraId="0ED7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continue"/>
            <w:noWrap w:val="0"/>
            <w:vAlign w:val="center"/>
          </w:tcPr>
          <w:p w14:paraId="35E6DE80">
            <w:pPr>
              <w:pStyle w:val="34"/>
              <w:keepNext w:val="0"/>
              <w:keepLines w:val="0"/>
              <w:pageBreakBefore w:val="0"/>
              <w:kinsoku/>
              <w:wordWrap/>
              <w:overflowPunct/>
              <w:topLinePunct w:val="0"/>
              <w:autoSpaceDE/>
              <w:autoSpaceDN/>
              <w:bidi w:val="0"/>
              <w:adjustRightInd/>
              <w:snapToGrid w:val="0"/>
              <w:spacing w:after="0" w:line="460" w:lineRule="exact"/>
              <w:ind w:firstLine="0"/>
              <w:jc w:val="center"/>
              <w:textAlignment w:val="auto"/>
              <w:rPr>
                <w:rFonts w:hint="eastAsia" w:ascii="宋体" w:hAnsi="宋体" w:eastAsia="宋体" w:cs="宋体"/>
                <w:color w:val="auto"/>
                <w:sz w:val="21"/>
                <w:szCs w:val="21"/>
                <w:lang w:val="zh-CN"/>
              </w:rPr>
            </w:pPr>
          </w:p>
        </w:tc>
        <w:tc>
          <w:tcPr>
            <w:tcW w:w="1112" w:type="dxa"/>
            <w:noWrap w:val="0"/>
            <w:vAlign w:val="center"/>
          </w:tcPr>
          <w:p w14:paraId="6C086C9C">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8分</w:t>
            </w:r>
          </w:p>
        </w:tc>
        <w:tc>
          <w:tcPr>
            <w:tcW w:w="7335" w:type="dxa"/>
            <w:noWrap w:val="0"/>
            <w:vAlign w:val="center"/>
          </w:tcPr>
          <w:p w14:paraId="46D8BC02">
            <w:pPr>
              <w:pStyle w:val="34"/>
              <w:keepNext w:val="0"/>
              <w:keepLines w:val="0"/>
              <w:pageBreakBefore w:val="0"/>
              <w:kinsoku/>
              <w:wordWrap/>
              <w:overflowPunct/>
              <w:topLinePunct w:val="0"/>
              <w:autoSpaceDE/>
              <w:autoSpaceDN/>
              <w:bidi w:val="0"/>
              <w:adjustRightInd/>
              <w:snapToGrid w:val="0"/>
              <w:spacing w:after="0" w:line="460" w:lineRule="exact"/>
              <w:jc w:val="left"/>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监控设备：要求在停车区域的进、出口、停放区、接待区（收费窗口），安装并使用的不少于7个24小时全方位高清摄像头，监控视频能通过互联网与交警部门共享，并保持各项设施正常运转。所有监控视频资料保存不少于180天，能进行回放。</w:t>
            </w:r>
          </w:p>
          <w:p w14:paraId="02878E4B">
            <w:pPr>
              <w:pStyle w:val="34"/>
              <w:keepNext w:val="0"/>
              <w:keepLines w:val="0"/>
              <w:pageBreakBefore w:val="0"/>
              <w:kinsoku/>
              <w:wordWrap/>
              <w:overflowPunct/>
              <w:topLinePunct w:val="0"/>
              <w:autoSpaceDE/>
              <w:autoSpaceDN/>
              <w:bidi w:val="0"/>
              <w:adjustRightInd/>
              <w:snapToGrid w:val="0"/>
              <w:spacing w:after="0" w:line="460" w:lineRule="exact"/>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eastAsia="zh-CN"/>
              </w:rPr>
              <w:t>注：进、出口各1个，停放区不少于4个，接待区（收费窗口）不少于1个且要求提供同步录音录像设备，设置的监控探头拍摄角度要能反映区域情况，提供监控视频截图并文字标注说明，设置不合理的不得分；每有1个符合要求的高清摄像头得1分，最高得7分；具有同步录音录像设备的，得1分。</w:t>
            </w:r>
            <w:r>
              <w:rPr>
                <w:rFonts w:hint="eastAsia" w:ascii="宋体" w:hAnsi="宋体" w:eastAsia="宋体" w:cs="宋体"/>
                <w:b/>
                <w:bCs/>
                <w:color w:val="auto"/>
                <w:sz w:val="21"/>
                <w:szCs w:val="21"/>
                <w:lang w:val="zh-CN" w:eastAsia="zh-CN"/>
              </w:rPr>
              <w:t>（提供必要照片、截图等的佐证材料上传，否则不得分。）</w:t>
            </w:r>
          </w:p>
        </w:tc>
      </w:tr>
      <w:tr w14:paraId="5980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continue"/>
            <w:noWrap w:val="0"/>
            <w:vAlign w:val="center"/>
          </w:tcPr>
          <w:p w14:paraId="6DAA05F0">
            <w:pPr>
              <w:pStyle w:val="34"/>
              <w:keepNext w:val="0"/>
              <w:keepLines w:val="0"/>
              <w:pageBreakBefore w:val="0"/>
              <w:kinsoku/>
              <w:wordWrap/>
              <w:overflowPunct/>
              <w:topLinePunct w:val="0"/>
              <w:autoSpaceDE/>
              <w:autoSpaceDN/>
              <w:bidi w:val="0"/>
              <w:adjustRightInd/>
              <w:snapToGrid w:val="0"/>
              <w:spacing w:after="0" w:line="460" w:lineRule="exact"/>
              <w:ind w:firstLine="0"/>
              <w:jc w:val="center"/>
              <w:textAlignment w:val="auto"/>
              <w:rPr>
                <w:rFonts w:hint="eastAsia" w:ascii="宋体" w:hAnsi="宋体" w:eastAsia="宋体" w:cs="宋体"/>
                <w:color w:val="auto"/>
                <w:sz w:val="21"/>
                <w:szCs w:val="21"/>
                <w:lang w:val="zh-CN"/>
              </w:rPr>
            </w:pPr>
          </w:p>
        </w:tc>
        <w:tc>
          <w:tcPr>
            <w:tcW w:w="1112" w:type="dxa"/>
            <w:noWrap w:val="0"/>
            <w:vAlign w:val="center"/>
          </w:tcPr>
          <w:p w14:paraId="6E159AEE">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5分</w:t>
            </w:r>
          </w:p>
        </w:tc>
        <w:tc>
          <w:tcPr>
            <w:tcW w:w="7335" w:type="dxa"/>
            <w:noWrap w:val="0"/>
            <w:vAlign w:val="center"/>
          </w:tcPr>
          <w:p w14:paraId="3DA7744A">
            <w:pPr>
              <w:pStyle w:val="34"/>
              <w:keepNext w:val="0"/>
              <w:keepLines w:val="0"/>
              <w:pageBreakBefore w:val="0"/>
              <w:kinsoku/>
              <w:wordWrap/>
              <w:overflowPunct/>
              <w:topLinePunct w:val="0"/>
              <w:autoSpaceDE/>
              <w:autoSpaceDN/>
              <w:bidi w:val="0"/>
              <w:adjustRightInd/>
              <w:snapToGrid w:val="0"/>
              <w:spacing w:after="0" w:line="46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为方便采购人在线查询涉案车辆信息，自建有在线涉案车辆信息管理系统，系统软件含有涉案车辆进场、出场、登记、管理等工作痕迹，提供相关材料证明得5分，不提供不得分。</w:t>
            </w:r>
            <w:r>
              <w:rPr>
                <w:rFonts w:hint="eastAsia" w:ascii="宋体" w:hAnsi="宋体" w:eastAsia="宋体" w:cs="宋体"/>
                <w:b/>
                <w:bCs/>
                <w:color w:val="auto"/>
                <w:sz w:val="21"/>
                <w:szCs w:val="21"/>
                <w:lang w:val="en-US" w:eastAsia="zh-CN"/>
              </w:rPr>
              <w:t>提供相关软件功能截图配合文字解释，提供评委打分。</w:t>
            </w:r>
          </w:p>
        </w:tc>
      </w:tr>
      <w:tr w14:paraId="5C4A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5009" w:hRule="atLeast"/>
          <w:jc w:val="center"/>
        </w:trPr>
        <w:tc>
          <w:tcPr>
            <w:tcW w:w="1199" w:type="dxa"/>
            <w:vMerge w:val="restart"/>
            <w:noWrap w:val="0"/>
            <w:vAlign w:val="center"/>
          </w:tcPr>
          <w:p w14:paraId="2DC92FCC">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16038010">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42A5CDFB">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51C4A860">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4E19B783">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2B2DC289">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5764AC97">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63326D26">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581E009A">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0197D496">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74EE82FE">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1E2773A5">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1C774C71">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6A193DAF">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00CF7E0E">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75D0884C">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p>
          <w:p w14:paraId="498D32D2">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项目</w:t>
            </w:r>
            <w:r>
              <w:rPr>
                <w:rFonts w:hint="eastAsia" w:ascii="宋体" w:hAnsi="宋体" w:eastAsia="宋体" w:cs="宋体"/>
                <w:color w:val="auto"/>
                <w:sz w:val="21"/>
                <w:szCs w:val="21"/>
                <w:lang w:eastAsia="en-US"/>
              </w:rPr>
              <w:t>方案</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29</w:t>
            </w:r>
            <w:r>
              <w:rPr>
                <w:rFonts w:hint="eastAsia" w:ascii="宋体" w:hAnsi="宋体" w:eastAsia="宋体" w:cs="宋体"/>
                <w:color w:val="auto"/>
                <w:sz w:val="21"/>
                <w:szCs w:val="21"/>
              </w:rPr>
              <w:t>分）</w:t>
            </w:r>
          </w:p>
        </w:tc>
        <w:tc>
          <w:tcPr>
            <w:tcW w:w="1112" w:type="dxa"/>
            <w:noWrap w:val="0"/>
            <w:vAlign w:val="center"/>
          </w:tcPr>
          <w:p w14:paraId="658E25F7">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停车场服务方案</w:t>
            </w:r>
          </w:p>
          <w:p w14:paraId="27AC86F7">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7335" w:type="dxa"/>
            <w:noWrap w:val="0"/>
            <w:vAlign w:val="center"/>
          </w:tcPr>
          <w:p w14:paraId="04168080">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rPr>
              <w:t>供应商根据第四章第</w:t>
            </w:r>
            <w:r>
              <w:rPr>
                <w:rFonts w:hint="eastAsia" w:ascii="宋体" w:hAnsi="宋体" w:eastAsia="宋体" w:cs="宋体"/>
                <w:color w:val="auto"/>
                <w:sz w:val="21"/>
                <w:szCs w:val="21"/>
                <w:lang w:val="zh-CN" w:eastAsia="zh-CN"/>
              </w:rPr>
              <w:t>三</w:t>
            </w:r>
            <w:r>
              <w:rPr>
                <w:rFonts w:hint="eastAsia" w:ascii="宋体" w:hAnsi="宋体" w:eastAsia="宋体" w:cs="宋体"/>
                <w:color w:val="auto"/>
                <w:sz w:val="21"/>
                <w:szCs w:val="21"/>
                <w:lang w:val="zh-CN"/>
              </w:rPr>
              <w:t>条</w:t>
            </w:r>
            <w:r>
              <w:rPr>
                <w:rFonts w:hint="eastAsia" w:ascii="宋体" w:hAnsi="宋体" w:eastAsia="宋体" w:cs="宋体"/>
                <w:color w:val="auto"/>
                <w:sz w:val="21"/>
                <w:szCs w:val="21"/>
                <w:lang w:val="zh-CN" w:eastAsia="zh-CN"/>
              </w:rPr>
              <w:t>4</w:t>
            </w:r>
            <w:r>
              <w:rPr>
                <w:rFonts w:hint="eastAsia" w:ascii="宋体" w:hAnsi="宋体" w:eastAsia="宋体" w:cs="宋体"/>
                <w:color w:val="auto"/>
                <w:sz w:val="21"/>
                <w:szCs w:val="21"/>
                <w:lang w:val="zh-CN"/>
              </w:rPr>
              <w:t>.1项“</w:t>
            </w:r>
            <w:r>
              <w:rPr>
                <w:rFonts w:hint="eastAsia" w:ascii="宋体" w:hAnsi="宋体" w:eastAsia="宋体" w:cs="宋体"/>
                <w:color w:val="auto"/>
                <w:sz w:val="21"/>
                <w:szCs w:val="21"/>
                <w:lang w:val="zh-CN" w:eastAsia="zh-CN"/>
              </w:rPr>
              <w:t>停车场服务方案</w:t>
            </w:r>
            <w:r>
              <w:rPr>
                <w:rFonts w:hint="eastAsia" w:ascii="宋体" w:hAnsi="宋体" w:eastAsia="宋体" w:cs="宋体"/>
                <w:color w:val="auto"/>
                <w:sz w:val="21"/>
                <w:szCs w:val="21"/>
                <w:lang w:val="zh-CN"/>
              </w:rPr>
              <w:t>”要求，提供</w:t>
            </w:r>
            <w:r>
              <w:rPr>
                <w:rFonts w:hint="eastAsia" w:ascii="宋体" w:hAnsi="宋体" w:eastAsia="宋体" w:cs="宋体"/>
                <w:color w:val="auto"/>
                <w:sz w:val="21"/>
                <w:szCs w:val="21"/>
                <w:lang w:val="zh-CN" w:eastAsia="zh-CN"/>
              </w:rPr>
              <w:t>完善、合理、科学，切实可行的方案</w:t>
            </w:r>
            <w:r>
              <w:rPr>
                <w:rFonts w:hint="eastAsia" w:ascii="宋体" w:hAnsi="宋体" w:eastAsia="宋体" w:cs="宋体"/>
                <w:color w:val="auto"/>
                <w:sz w:val="21"/>
                <w:szCs w:val="21"/>
                <w:lang w:val="zh-CN"/>
              </w:rPr>
              <w:t>，内容包括但不限于</w:t>
            </w:r>
            <w:r>
              <w:rPr>
                <w:rFonts w:hint="eastAsia" w:ascii="宋体" w:hAnsi="宋体" w:eastAsia="宋体" w:cs="宋体"/>
                <w:color w:val="auto"/>
                <w:sz w:val="21"/>
                <w:szCs w:val="21"/>
                <w:lang w:val="zh-CN" w:eastAsia="zh-CN"/>
              </w:rPr>
              <w:t>人员安排（人员名单及联系电话等）、队伍管理（管理人员名单及联系电话、办公设备等）、规章制度（考勤管理制度、岗位管理制度、档案管理制度等）、工作措施（进场、出场、登记、审批、管理等工作流程，并实行对涉案车辆的电子化、信息化管理等）、服务承诺（车辆进场导引、保管等承诺）等方面。</w:t>
            </w:r>
          </w:p>
          <w:p w14:paraId="6A3A943F">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根据以上内容进行综合评审，上述内容描述全面合理符合采购需求的得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val="zh-CN"/>
              </w:rPr>
              <w:t>分；每有一项内容缺失的扣</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分；每有一处内容存在缺陷或不满足要求的扣</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72E1B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2804" w:hRule="atLeast"/>
          <w:jc w:val="center"/>
        </w:trPr>
        <w:tc>
          <w:tcPr>
            <w:tcW w:w="1199" w:type="dxa"/>
            <w:vMerge w:val="continue"/>
            <w:noWrap w:val="0"/>
            <w:vAlign w:val="center"/>
          </w:tcPr>
          <w:p w14:paraId="406D7C57">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p>
        </w:tc>
        <w:tc>
          <w:tcPr>
            <w:tcW w:w="1112" w:type="dxa"/>
            <w:noWrap w:val="0"/>
            <w:vAlign w:val="center"/>
          </w:tcPr>
          <w:p w14:paraId="02DD5727">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拖车服务方案</w:t>
            </w:r>
          </w:p>
          <w:p w14:paraId="098FD616">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val="zh-CN"/>
              </w:rPr>
              <w:t>分)</w:t>
            </w:r>
          </w:p>
        </w:tc>
        <w:tc>
          <w:tcPr>
            <w:tcW w:w="7335" w:type="dxa"/>
            <w:noWrap w:val="0"/>
            <w:vAlign w:val="center"/>
          </w:tcPr>
          <w:p w14:paraId="14681EFA">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rPr>
              <w:t>供应商根据第四章第</w:t>
            </w:r>
            <w:r>
              <w:rPr>
                <w:rFonts w:hint="eastAsia" w:ascii="宋体" w:hAnsi="宋体" w:eastAsia="宋体" w:cs="宋体"/>
                <w:color w:val="auto"/>
                <w:sz w:val="21"/>
                <w:szCs w:val="21"/>
                <w:lang w:val="zh-CN" w:eastAsia="zh-CN"/>
              </w:rPr>
              <w:t>三</w:t>
            </w:r>
            <w:r>
              <w:rPr>
                <w:rFonts w:hint="eastAsia" w:ascii="宋体" w:hAnsi="宋体" w:eastAsia="宋体" w:cs="宋体"/>
                <w:color w:val="auto"/>
                <w:sz w:val="21"/>
                <w:szCs w:val="21"/>
                <w:lang w:val="zh-CN"/>
              </w:rPr>
              <w:t>条</w:t>
            </w:r>
            <w:r>
              <w:rPr>
                <w:rFonts w:hint="eastAsia" w:ascii="宋体" w:hAnsi="宋体" w:eastAsia="宋体" w:cs="宋体"/>
                <w:color w:val="auto"/>
                <w:sz w:val="21"/>
                <w:szCs w:val="21"/>
                <w:lang w:val="zh-CN" w:eastAsia="zh-CN"/>
              </w:rPr>
              <w:t>4</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项“</w:t>
            </w:r>
            <w:r>
              <w:rPr>
                <w:rFonts w:hint="eastAsia" w:ascii="宋体" w:hAnsi="宋体" w:eastAsia="宋体" w:cs="宋体"/>
                <w:color w:val="auto"/>
                <w:sz w:val="21"/>
                <w:szCs w:val="21"/>
                <w:lang w:val="zh-CN" w:eastAsia="zh-CN"/>
              </w:rPr>
              <w:t>拖车服务方案</w:t>
            </w:r>
            <w:r>
              <w:rPr>
                <w:rFonts w:hint="eastAsia" w:ascii="宋体" w:hAnsi="宋体" w:eastAsia="宋体" w:cs="宋体"/>
                <w:color w:val="auto"/>
                <w:sz w:val="21"/>
                <w:szCs w:val="21"/>
                <w:lang w:val="zh-CN"/>
              </w:rPr>
              <w:t>”要求，提供</w:t>
            </w:r>
            <w:r>
              <w:rPr>
                <w:rFonts w:hint="eastAsia" w:ascii="宋体" w:hAnsi="宋体" w:eastAsia="宋体" w:cs="宋体"/>
                <w:color w:val="auto"/>
                <w:sz w:val="21"/>
                <w:szCs w:val="21"/>
                <w:lang w:val="zh-CN" w:eastAsia="zh-CN"/>
              </w:rPr>
              <w:t>完善、合理、科学，切实可行的方案</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zh-CN" w:eastAsia="zh-CN"/>
              </w:rPr>
              <w:t>内容包括但不限于人员安排（拖车外勤人员名单及联系电话等）、规章制度（现场拖车制度等）、工作措施（现场拖车、登记车辆信息等工作流程）等方面。</w:t>
            </w:r>
          </w:p>
          <w:p w14:paraId="405AF82E">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根据以上内容进行综合评审，上述内容描述全面合理符合采购需求的得</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val="zh-CN"/>
              </w:rPr>
              <w:t>分；每有一项内容缺失的扣</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05B7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continue"/>
            <w:noWrap w:val="0"/>
            <w:vAlign w:val="center"/>
          </w:tcPr>
          <w:p w14:paraId="703C7D52">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p>
        </w:tc>
        <w:tc>
          <w:tcPr>
            <w:tcW w:w="1112" w:type="dxa"/>
            <w:noWrap w:val="0"/>
            <w:vAlign w:val="center"/>
          </w:tcPr>
          <w:p w14:paraId="2DFC6762">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eastAsia="en-US"/>
              </w:rPr>
            </w:pPr>
            <w:r>
              <w:rPr>
                <w:rFonts w:hint="eastAsia" w:ascii="宋体" w:hAnsi="宋体" w:eastAsia="宋体" w:cs="宋体"/>
                <w:color w:val="auto"/>
                <w:sz w:val="21"/>
                <w:szCs w:val="21"/>
                <w:lang w:val="zh-CN" w:eastAsia="zh-CN"/>
              </w:rPr>
              <w:t>应急事件处理预案</w:t>
            </w:r>
            <w:r>
              <w:rPr>
                <w:rFonts w:hint="eastAsia" w:ascii="宋体" w:hAnsi="宋体" w:eastAsia="宋体" w:cs="宋体"/>
                <w:color w:val="auto"/>
                <w:sz w:val="21"/>
                <w:szCs w:val="21"/>
                <w:lang w:val="zh-CN"/>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ascii="宋体" w:hAnsi="宋体" w:eastAsia="宋体" w:cs="宋体"/>
                <w:color w:val="auto"/>
                <w:sz w:val="21"/>
                <w:szCs w:val="21"/>
                <w:lang w:eastAsia="en-US"/>
              </w:rPr>
              <w:t>分</w:t>
            </w:r>
            <w:r>
              <w:rPr>
                <w:rFonts w:hint="eastAsia" w:ascii="宋体" w:hAnsi="宋体" w:eastAsia="宋体" w:cs="宋体"/>
                <w:color w:val="auto"/>
                <w:sz w:val="21"/>
                <w:szCs w:val="21"/>
              </w:rPr>
              <w:t>）</w:t>
            </w:r>
          </w:p>
        </w:tc>
        <w:tc>
          <w:tcPr>
            <w:tcW w:w="7335" w:type="dxa"/>
            <w:noWrap w:val="0"/>
            <w:vAlign w:val="center"/>
          </w:tcPr>
          <w:p w14:paraId="500B74AA">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rPr>
              <w:t>供应商根据第四章第</w:t>
            </w:r>
            <w:r>
              <w:rPr>
                <w:rFonts w:hint="eastAsia" w:ascii="宋体" w:hAnsi="宋体" w:eastAsia="宋体" w:cs="宋体"/>
                <w:color w:val="auto"/>
                <w:sz w:val="21"/>
                <w:szCs w:val="21"/>
                <w:lang w:val="zh-CN" w:eastAsia="zh-CN"/>
              </w:rPr>
              <w:t>三</w:t>
            </w:r>
            <w:r>
              <w:rPr>
                <w:rFonts w:hint="eastAsia" w:ascii="宋体" w:hAnsi="宋体" w:eastAsia="宋体" w:cs="宋体"/>
                <w:color w:val="auto"/>
                <w:sz w:val="21"/>
                <w:szCs w:val="21"/>
                <w:lang w:val="zh-CN"/>
              </w:rPr>
              <w:t>条</w:t>
            </w:r>
            <w:r>
              <w:rPr>
                <w:rFonts w:hint="eastAsia" w:ascii="宋体" w:hAnsi="宋体" w:eastAsia="宋体" w:cs="宋体"/>
                <w:color w:val="auto"/>
                <w:sz w:val="21"/>
                <w:szCs w:val="21"/>
                <w:lang w:val="zh-CN" w:eastAsia="zh-CN"/>
              </w:rPr>
              <w:t>4</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项“</w:t>
            </w:r>
            <w:r>
              <w:rPr>
                <w:rFonts w:hint="eastAsia" w:ascii="宋体" w:hAnsi="宋体" w:eastAsia="宋体" w:cs="宋体"/>
                <w:color w:val="auto"/>
                <w:sz w:val="21"/>
                <w:szCs w:val="21"/>
                <w:lang w:val="zh-CN" w:eastAsia="zh-CN"/>
              </w:rPr>
              <w:t>应急事件处理预案</w:t>
            </w:r>
            <w:r>
              <w:rPr>
                <w:rFonts w:hint="eastAsia" w:ascii="宋体" w:hAnsi="宋体" w:eastAsia="宋体" w:cs="宋体"/>
                <w:color w:val="auto"/>
                <w:sz w:val="21"/>
                <w:szCs w:val="21"/>
                <w:lang w:val="zh-CN"/>
              </w:rPr>
              <w:t>”要求，</w:t>
            </w:r>
            <w:r>
              <w:rPr>
                <w:rFonts w:hint="eastAsia" w:ascii="宋体" w:hAnsi="宋体" w:eastAsia="宋体" w:cs="宋体"/>
                <w:color w:val="auto"/>
                <w:sz w:val="21"/>
                <w:szCs w:val="21"/>
                <w:lang w:val="zh-CN" w:eastAsia="zh-CN"/>
              </w:rPr>
              <w:t>对可能发生的应急情况分析深入，见解到位、全面、完善、防范及应对措施精细、准确，有整体针对性的方案</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zh-CN" w:eastAsia="zh-CN"/>
              </w:rPr>
              <w:t>内容包括但不限于突发事件、安全管控或特殊状况下的管理预案（包括各环节流程及规范及操作要求；对于简易、一般、重大交通事故分别有合理的救援流程预案、突发紧急情况的应急预案等）等方面。</w:t>
            </w:r>
          </w:p>
          <w:p w14:paraId="0D40E4D7">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zh-CN"/>
              </w:rPr>
              <w:t>根据以上内容进行综合评审，上述内容描述全面合理符合采购需求的得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分；每有一项内容缺失的扣</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分；每有一处内容存在缺陷或不满足要求的扣</w:t>
            </w: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lang w:val="zh-CN"/>
              </w:rPr>
              <w:t>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334F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vMerge w:val="continue"/>
            <w:noWrap w:val="0"/>
            <w:vAlign w:val="center"/>
          </w:tcPr>
          <w:p w14:paraId="32E991C0">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rPr>
            </w:pPr>
          </w:p>
        </w:tc>
        <w:tc>
          <w:tcPr>
            <w:tcW w:w="1112" w:type="dxa"/>
            <w:noWrap w:val="0"/>
            <w:vAlign w:val="center"/>
          </w:tcPr>
          <w:p w14:paraId="051C20B2">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后续服务保障</w:t>
            </w:r>
          </w:p>
          <w:p w14:paraId="7308E336">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3</w:t>
            </w:r>
            <w:r>
              <w:rPr>
                <w:rFonts w:ascii="宋体" w:hAnsi="宋体" w:eastAsia="宋体" w:cs="宋体"/>
                <w:color w:val="auto"/>
                <w:sz w:val="21"/>
                <w:szCs w:val="21"/>
                <w:lang w:val="zh-CN"/>
              </w:rPr>
              <w:t>分</w:t>
            </w:r>
            <w:r>
              <w:rPr>
                <w:rFonts w:hint="eastAsia" w:ascii="宋体" w:hAnsi="宋体" w:eastAsia="宋体" w:cs="宋体"/>
                <w:color w:val="auto"/>
                <w:sz w:val="21"/>
                <w:szCs w:val="21"/>
                <w:lang w:val="zh-CN"/>
              </w:rPr>
              <w:t xml:space="preserve">） </w:t>
            </w:r>
          </w:p>
        </w:tc>
        <w:tc>
          <w:tcPr>
            <w:tcW w:w="7335" w:type="dxa"/>
            <w:noWrap w:val="0"/>
            <w:vAlign w:val="center"/>
          </w:tcPr>
          <w:p w14:paraId="72E34BC8">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rPr>
              <w:t>供应商根据第四章第</w:t>
            </w:r>
            <w:r>
              <w:rPr>
                <w:rFonts w:hint="eastAsia" w:ascii="宋体" w:hAnsi="宋体" w:eastAsia="宋体" w:cs="宋体"/>
                <w:color w:val="auto"/>
                <w:sz w:val="21"/>
                <w:szCs w:val="21"/>
                <w:lang w:val="zh-CN" w:eastAsia="zh-CN"/>
              </w:rPr>
              <w:t>三</w:t>
            </w:r>
            <w:r>
              <w:rPr>
                <w:rFonts w:hint="eastAsia" w:ascii="宋体" w:hAnsi="宋体" w:eastAsia="宋体" w:cs="宋体"/>
                <w:color w:val="auto"/>
                <w:sz w:val="21"/>
                <w:szCs w:val="21"/>
                <w:lang w:val="zh-CN"/>
              </w:rPr>
              <w:t>条</w:t>
            </w:r>
            <w:r>
              <w:rPr>
                <w:rFonts w:hint="eastAsia" w:ascii="宋体" w:hAnsi="宋体" w:eastAsia="宋体" w:cs="宋体"/>
                <w:color w:val="auto"/>
                <w:sz w:val="21"/>
                <w:szCs w:val="21"/>
                <w:lang w:val="zh-CN" w:eastAsia="zh-CN"/>
              </w:rPr>
              <w:t>4</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项“</w:t>
            </w:r>
            <w:r>
              <w:rPr>
                <w:rFonts w:hint="eastAsia" w:ascii="宋体" w:hAnsi="宋体" w:eastAsia="宋体" w:cs="宋体"/>
                <w:color w:val="auto"/>
                <w:sz w:val="21"/>
                <w:szCs w:val="21"/>
                <w:lang w:val="zh-CN" w:eastAsia="zh-CN"/>
              </w:rPr>
              <w:t>后续服务保障</w:t>
            </w:r>
            <w:r>
              <w:rPr>
                <w:rFonts w:hint="eastAsia" w:ascii="宋体" w:hAnsi="宋体" w:eastAsia="宋体" w:cs="宋体"/>
                <w:color w:val="auto"/>
                <w:sz w:val="21"/>
                <w:szCs w:val="21"/>
                <w:lang w:val="zh-CN"/>
              </w:rPr>
              <w:t>”要求，</w:t>
            </w:r>
            <w:r>
              <w:rPr>
                <w:rFonts w:hint="eastAsia" w:ascii="宋体" w:hAnsi="宋体" w:eastAsia="宋体" w:cs="宋体"/>
                <w:color w:val="auto"/>
                <w:sz w:val="21"/>
                <w:szCs w:val="21"/>
                <w:lang w:val="zh-CN" w:eastAsia="zh-CN"/>
              </w:rPr>
              <w:t>结合项目实际需求，制订后续服务方案，内容包括但不限于项目后续服务保障服务范围、后续服务保障服务体系，后续服务保障</w:t>
            </w:r>
            <w:r>
              <w:rPr>
                <w:rFonts w:hint="eastAsia" w:ascii="宋体" w:hAnsi="宋体" w:eastAsia="宋体" w:cs="宋体"/>
                <w:color w:val="auto"/>
                <w:sz w:val="21"/>
                <w:szCs w:val="21"/>
                <w:lang w:val="en-US" w:eastAsia="zh-CN"/>
              </w:rPr>
              <w:t>相关内容</w:t>
            </w:r>
            <w:r>
              <w:rPr>
                <w:rFonts w:hint="eastAsia" w:ascii="宋体" w:hAnsi="宋体" w:eastAsia="宋体" w:cs="宋体"/>
                <w:color w:val="auto"/>
                <w:sz w:val="21"/>
                <w:szCs w:val="21"/>
                <w:lang w:val="zh-CN" w:eastAsia="zh-CN"/>
              </w:rPr>
              <w:t>等方面。</w:t>
            </w:r>
          </w:p>
          <w:p w14:paraId="78E0EE31">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zh-CN"/>
              </w:rPr>
              <w:t>根据以上内容进行综合评审，上述内容描述全面合理符合采购需求的得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分；每有一项内容缺失的扣</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分；每有一处内容存在缺陷或不满足要求的扣</w:t>
            </w: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lang w:val="zh-CN"/>
              </w:rPr>
              <w:t>分，扣完为止；未提供不得分。（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rPr>
              <w:t xml:space="preserve"> </w:t>
            </w:r>
          </w:p>
        </w:tc>
      </w:tr>
      <w:tr w14:paraId="19A3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199" w:type="dxa"/>
            <w:noWrap w:val="0"/>
            <w:vAlign w:val="center"/>
          </w:tcPr>
          <w:p w14:paraId="64CFBFBE">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1112" w:type="dxa"/>
            <w:noWrap w:val="0"/>
            <w:vAlign w:val="center"/>
          </w:tcPr>
          <w:p w14:paraId="2BACB7DC">
            <w:pPr>
              <w:keepNext w:val="0"/>
              <w:keepLines w:val="0"/>
              <w:pageBreakBefore w:val="0"/>
              <w:widowControl/>
              <w:kinsoku/>
              <w:wordWrap/>
              <w:overflowPunct/>
              <w:topLinePunct w:val="0"/>
              <w:autoSpaceDE/>
              <w:autoSpaceDN/>
              <w:bidi w:val="0"/>
              <w:adjustRightInd/>
              <w:snapToGrid w:val="0"/>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4分</w:t>
            </w:r>
          </w:p>
        </w:tc>
        <w:tc>
          <w:tcPr>
            <w:tcW w:w="7335" w:type="dxa"/>
            <w:noWrap w:val="0"/>
            <w:vAlign w:val="center"/>
          </w:tcPr>
          <w:p w14:paraId="53F33D29">
            <w:pPr>
              <w:keepNext w:val="0"/>
              <w:keepLines w:val="0"/>
              <w:pageBreakBefore w:val="0"/>
              <w:kinsoku/>
              <w:wordWrap/>
              <w:overflowPunct/>
              <w:topLinePunct w:val="0"/>
              <w:autoSpaceDE/>
              <w:autoSpaceDN/>
              <w:bidi w:val="0"/>
              <w:adjustRightInd/>
              <w:snapToGrid w:val="0"/>
              <w:spacing w:line="460" w:lineRule="exact"/>
              <w:ind w:firstLine="420" w:firstLineChars="20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eastAsia="zh-CN"/>
              </w:rPr>
              <w:t>投标供应商自202</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eastAsia="zh-CN"/>
              </w:rPr>
              <w:t>年</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eastAsia="zh-CN"/>
              </w:rPr>
              <w:t>月1日以来，承担过类似涉案车辆清拖及保管服务项目，有一项得2分，最高得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eastAsia="zh-CN"/>
              </w:rPr>
              <w:t>分；（须提供业绩合同，签订时间以业绩合同</w:t>
            </w:r>
            <w:r>
              <w:rPr>
                <w:rFonts w:hint="eastAsia" w:ascii="宋体" w:hAnsi="宋体" w:eastAsia="宋体" w:cs="宋体"/>
                <w:color w:val="auto"/>
                <w:sz w:val="21"/>
                <w:szCs w:val="21"/>
                <w:lang w:val="en-US" w:eastAsia="zh-CN"/>
              </w:rPr>
              <w:t>签订</w:t>
            </w:r>
            <w:r>
              <w:rPr>
                <w:rFonts w:hint="eastAsia" w:ascii="宋体" w:hAnsi="宋体" w:eastAsia="宋体" w:cs="宋体"/>
                <w:color w:val="auto"/>
                <w:sz w:val="21"/>
                <w:szCs w:val="21"/>
                <w:lang w:val="zh-CN" w:eastAsia="zh-CN"/>
              </w:rPr>
              <w:t>为准，原件材料扫描件应能辨识买卖双方公章、签订时间，并加盖投标供应商公章；如业绩合同不能体现以上全部内容，可提供业绩合同甲方加盖公章的证明材料原件彩色扫描件。否则，不得分）</w:t>
            </w:r>
          </w:p>
        </w:tc>
      </w:tr>
    </w:tbl>
    <w:p w14:paraId="6FDF1EA7">
      <w:pPr>
        <w:pStyle w:val="32"/>
        <w:rPr>
          <w:rFonts w:hint="eastAsia"/>
          <w:color w:val="auto"/>
        </w:rPr>
      </w:pPr>
      <w:r>
        <w:rPr>
          <w:rFonts w:hint="eastAsia"/>
          <w:color w:val="auto"/>
        </w:rPr>
        <w:t>备注：</w:t>
      </w:r>
    </w:p>
    <w:p w14:paraId="0D770CF3">
      <w:pPr>
        <w:pStyle w:val="198"/>
        <w:numPr>
          <w:ilvl w:val="0"/>
          <w:numId w:val="15"/>
        </w:numPr>
        <w:spacing w:line="360" w:lineRule="auto"/>
        <w:ind w:left="0" w:firstLine="425"/>
        <w:rPr>
          <w:rFonts w:hint="eastAsia" w:ascii="宋体" w:hAnsi="宋体" w:eastAsia="宋体" w:cs="宋体"/>
          <w:color w:val="auto"/>
        </w:rPr>
      </w:pPr>
      <w:r>
        <w:rPr>
          <w:rFonts w:hint="eastAsia" w:ascii="宋体" w:hAnsi="宋体" w:eastAsia="宋体" w:cs="宋体"/>
          <w:color w:val="auto"/>
        </w:rPr>
        <w:t>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p>
    <w:p w14:paraId="52081FF9">
      <w:pPr>
        <w:pStyle w:val="198"/>
        <w:numPr>
          <w:ilvl w:val="0"/>
          <w:numId w:val="15"/>
        </w:numPr>
        <w:spacing w:line="360" w:lineRule="auto"/>
        <w:ind w:left="0" w:firstLine="425"/>
        <w:rPr>
          <w:rFonts w:hint="eastAsia" w:ascii="宋体" w:hAnsi="宋体" w:eastAsia="宋体" w:cs="宋体"/>
          <w:color w:val="auto"/>
        </w:rPr>
      </w:pPr>
      <w:r>
        <w:rPr>
          <w:rFonts w:hint="eastAsia" w:ascii="宋体" w:hAnsi="宋体" w:eastAsia="宋体" w:cs="宋体"/>
          <w:color w:val="auto"/>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11C89EFE">
      <w:pPr>
        <w:pStyle w:val="198"/>
        <w:numPr>
          <w:ilvl w:val="0"/>
          <w:numId w:val="15"/>
        </w:numPr>
        <w:spacing w:line="360" w:lineRule="auto"/>
        <w:ind w:left="0" w:firstLine="425"/>
        <w:rPr>
          <w:rFonts w:hint="eastAsia" w:ascii="宋体" w:hAnsi="宋体" w:eastAsia="宋体"/>
          <w:color w:val="auto"/>
        </w:rPr>
      </w:pPr>
      <w:r>
        <w:rPr>
          <w:rFonts w:hint="eastAsia" w:ascii="宋体" w:hAnsi="宋体" w:eastAsia="宋体" w:cs="宋体"/>
          <w:b/>
          <w:bCs/>
          <w:color w:val="auto"/>
        </w:rPr>
        <w:t>中标人须在合同签订前向采购人提供其投标文件中书面承诺的支撑资料，否则采购人有权取消其中标资格。</w:t>
      </w:r>
      <w:r>
        <w:rPr>
          <w:rFonts w:hint="eastAsia" w:ascii="宋体" w:hAnsi="宋体" w:eastAsia="宋体"/>
          <w:color w:val="auto"/>
        </w:rPr>
        <w:br w:type="page" w:clear="all"/>
      </w:r>
    </w:p>
    <w:p w14:paraId="5A1CD0A7">
      <w:pPr>
        <w:pStyle w:val="5"/>
        <w:keepNext w:val="0"/>
        <w:keepLines w:val="0"/>
        <w:numPr>
          <w:ilvl w:val="0"/>
          <w:numId w:val="1"/>
        </w:numPr>
        <w:spacing w:before="0" w:beforeAutospacing="1" w:after="0" w:afterAutospacing="1" w:line="360" w:lineRule="auto"/>
        <w:ind w:left="0" w:firstLine="0"/>
        <w:jc w:val="center"/>
        <w:outlineLvl w:val="0"/>
        <w:rPr>
          <w:rFonts w:hint="eastAsia" w:ascii="宋体" w:hAnsi="宋体" w:eastAsia="宋体" w:cs="Times New Roman"/>
          <w:b/>
          <w:bCs/>
          <w:color w:val="auto"/>
          <w:sz w:val="36"/>
          <w:szCs w:val="36"/>
          <w14:ligatures w14:val="none"/>
        </w:rPr>
      </w:pPr>
      <w:bookmarkStart w:id="107" w:name="_Toc197644579"/>
      <w:r>
        <w:rPr>
          <w:rFonts w:hint="eastAsia" w:ascii="宋体" w:hAnsi="宋体" w:eastAsia="宋体" w:cs="Times New Roman"/>
          <w:b/>
          <w:bCs/>
          <w:color w:val="auto"/>
          <w:sz w:val="36"/>
          <w:szCs w:val="36"/>
          <w14:ligatures w14:val="none"/>
        </w:rPr>
        <w:t>投标文件格式</w:t>
      </w:r>
      <w:bookmarkEnd w:id="107"/>
    </w:p>
    <w:p w14:paraId="6D3CB6DA">
      <w:pPr>
        <w:spacing w:line="360" w:lineRule="auto"/>
        <w:rPr>
          <w:rFonts w:hint="eastAsia" w:ascii="宋体" w:hAnsi="宋体" w:eastAsia="宋体"/>
          <w:color w:val="auto"/>
        </w:rPr>
      </w:pPr>
    </w:p>
    <w:p w14:paraId="7BD13A1F">
      <w:pPr>
        <w:spacing w:line="360" w:lineRule="auto"/>
        <w:rPr>
          <w:rFonts w:hint="eastAsia" w:ascii="宋体" w:hAnsi="宋体" w:eastAsia="宋体"/>
          <w:color w:val="auto"/>
        </w:rPr>
      </w:pPr>
    </w:p>
    <w:p w14:paraId="5CE745B1">
      <w:pPr>
        <w:spacing w:line="360" w:lineRule="auto"/>
        <w:jc w:val="center"/>
        <w:rPr>
          <w:rFonts w:hint="eastAsia" w:ascii="宋体" w:hAnsi="宋体" w:eastAsia="宋体"/>
          <w:color w:val="auto"/>
          <w:sz w:val="84"/>
          <w:szCs w:val="84"/>
        </w:rPr>
      </w:pPr>
      <w:r>
        <w:rPr>
          <w:rFonts w:hint="eastAsia" w:ascii="宋体" w:hAnsi="宋体" w:eastAsia="宋体" w:cs="宋体"/>
          <w:b/>
          <w:color w:val="auto"/>
          <w:sz w:val="84"/>
          <w:szCs w:val="84"/>
        </w:rPr>
        <w:t>投 标 文 件</w:t>
      </w:r>
    </w:p>
    <w:p w14:paraId="24B1CE48">
      <w:pPr>
        <w:spacing w:line="360" w:lineRule="auto"/>
        <w:rPr>
          <w:rFonts w:hint="eastAsia" w:ascii="宋体" w:hAnsi="宋体" w:eastAsia="宋体"/>
          <w:color w:val="auto"/>
        </w:rPr>
      </w:pPr>
    </w:p>
    <w:p w14:paraId="4D25BB7B">
      <w:pPr>
        <w:spacing w:line="360" w:lineRule="auto"/>
        <w:rPr>
          <w:rFonts w:hint="eastAsia" w:ascii="宋体" w:hAnsi="宋体" w:eastAsia="宋体"/>
          <w:color w:val="auto"/>
        </w:rPr>
      </w:pPr>
    </w:p>
    <w:p w14:paraId="6FD40D9A">
      <w:pPr>
        <w:spacing w:line="360" w:lineRule="auto"/>
        <w:rPr>
          <w:rFonts w:hint="eastAsia" w:ascii="宋体" w:hAnsi="宋体" w:eastAsia="宋体"/>
          <w:color w:val="auto"/>
        </w:rPr>
      </w:pPr>
    </w:p>
    <w:p w14:paraId="6F8A6692">
      <w:pPr>
        <w:spacing w:line="360" w:lineRule="auto"/>
        <w:rPr>
          <w:rFonts w:hint="eastAsia" w:ascii="宋体" w:hAnsi="宋体" w:eastAsia="宋体" w:cs="宋体"/>
          <w:b/>
          <w:color w:val="auto"/>
          <w:sz w:val="36"/>
          <w:szCs w:val="36"/>
          <w:u w:val="single"/>
        </w:rPr>
      </w:pPr>
      <w:r>
        <w:rPr>
          <w:rFonts w:hint="eastAsia" w:ascii="宋体" w:hAnsi="宋体" w:eastAsia="宋体" w:cs="宋体"/>
          <w:b/>
          <w:color w:val="auto"/>
          <w:sz w:val="36"/>
          <w:szCs w:val="36"/>
        </w:rPr>
        <w:t>项目 名 称：</w:t>
      </w:r>
      <w:r>
        <w:rPr>
          <w:rFonts w:hint="eastAsia" w:ascii="宋体" w:hAnsi="宋体" w:eastAsia="宋体" w:cs="宋体"/>
          <w:b/>
          <w:color w:val="auto"/>
          <w:sz w:val="36"/>
          <w:szCs w:val="36"/>
          <w:u w:val="single"/>
        </w:rPr>
        <w:t>              </w:t>
      </w:r>
    </w:p>
    <w:p w14:paraId="0F8B3A04">
      <w:pPr>
        <w:spacing w:line="360" w:lineRule="auto"/>
        <w:rPr>
          <w:rFonts w:hint="eastAsia" w:ascii="宋体" w:hAnsi="宋体" w:eastAsia="宋体" w:cs="宋体"/>
          <w:b/>
          <w:color w:val="auto"/>
          <w:sz w:val="36"/>
          <w:szCs w:val="36"/>
          <w:u w:val="single"/>
        </w:rPr>
      </w:pPr>
      <w:r>
        <w:rPr>
          <w:rFonts w:hint="eastAsia" w:ascii="宋体" w:hAnsi="宋体" w:eastAsia="宋体" w:cs="宋体"/>
          <w:b/>
          <w:color w:val="auto"/>
          <w:sz w:val="36"/>
          <w:szCs w:val="36"/>
        </w:rPr>
        <w:t>项目 编 号：</w:t>
      </w:r>
      <w:r>
        <w:rPr>
          <w:rFonts w:hint="eastAsia" w:ascii="宋体" w:hAnsi="宋体" w:eastAsia="宋体" w:cs="宋体"/>
          <w:b/>
          <w:color w:val="auto"/>
          <w:sz w:val="36"/>
          <w:szCs w:val="36"/>
          <w:u w:val="single"/>
        </w:rPr>
        <w:t>              </w:t>
      </w:r>
    </w:p>
    <w:p w14:paraId="6A4EFAD5">
      <w:pPr>
        <w:spacing w:line="360" w:lineRule="auto"/>
        <w:outlineLvl w:val="1"/>
        <w:rPr>
          <w:rFonts w:hint="eastAsia" w:ascii="宋体" w:hAnsi="宋体" w:eastAsia="宋体" w:cs="宋体"/>
          <w:b/>
          <w:color w:val="auto"/>
          <w:sz w:val="36"/>
          <w:szCs w:val="36"/>
          <w:u w:val="single"/>
        </w:rPr>
      </w:pPr>
      <w:r>
        <w:rPr>
          <w:rFonts w:hint="eastAsia" w:ascii="宋体" w:hAnsi="宋体" w:eastAsia="宋体" w:cs="宋体"/>
          <w:b/>
          <w:color w:val="auto"/>
          <w:sz w:val="36"/>
          <w:szCs w:val="36"/>
        </w:rPr>
        <w:t>投标人名称：</w:t>
      </w:r>
      <w:r>
        <w:rPr>
          <w:rFonts w:hint="eastAsia" w:ascii="宋体" w:hAnsi="宋体" w:eastAsia="宋体" w:cs="宋体"/>
          <w:b/>
          <w:color w:val="auto"/>
          <w:sz w:val="36"/>
          <w:szCs w:val="36"/>
          <w:u w:val="single"/>
        </w:rPr>
        <w:t xml:space="preserve">（加盖CA电子公章）          </w:t>
      </w:r>
    </w:p>
    <w:p w14:paraId="3BEF6A32">
      <w:pPr>
        <w:spacing w:line="360" w:lineRule="auto"/>
        <w:rPr>
          <w:rFonts w:hint="eastAsia" w:ascii="宋体" w:hAnsi="宋体" w:eastAsia="宋体"/>
          <w:color w:val="auto"/>
        </w:rPr>
      </w:pPr>
      <w:r>
        <w:rPr>
          <w:rFonts w:hint="eastAsia" w:ascii="宋体" w:hAnsi="宋体" w:eastAsia="宋体" w:cs="宋体"/>
          <w:b/>
          <w:color w:val="auto"/>
          <w:sz w:val="36"/>
          <w:szCs w:val="36"/>
        </w:rPr>
        <w:t>日   期：</w:t>
      </w:r>
      <w:r>
        <w:rPr>
          <w:rFonts w:hint="eastAsia" w:ascii="宋体" w:hAnsi="宋体" w:eastAsia="宋体" w:cs="宋体"/>
          <w:b/>
          <w:color w:val="auto"/>
          <w:sz w:val="36"/>
          <w:szCs w:val="36"/>
          <w:u w:val="single"/>
        </w:rPr>
        <w:t>                       </w:t>
      </w:r>
    </w:p>
    <w:p w14:paraId="2CD741CD">
      <w:pPr>
        <w:spacing w:line="360" w:lineRule="auto"/>
        <w:rPr>
          <w:rFonts w:hint="eastAsia" w:ascii="宋体" w:hAnsi="宋体" w:eastAsia="宋体"/>
          <w:color w:val="auto"/>
        </w:rPr>
      </w:pPr>
    </w:p>
    <w:p w14:paraId="3F69F71D">
      <w:pPr>
        <w:spacing w:line="360" w:lineRule="auto"/>
        <w:rPr>
          <w:rFonts w:hint="eastAsia" w:ascii="宋体" w:hAnsi="宋体" w:eastAsia="宋体"/>
          <w:color w:val="auto"/>
        </w:rPr>
      </w:pPr>
    </w:p>
    <w:p w14:paraId="6A51A15E">
      <w:pPr>
        <w:widowControl/>
        <w:jc w:val="left"/>
        <w:rPr>
          <w:rFonts w:hint="eastAsia" w:ascii="宋体" w:hAnsi="宋体" w:eastAsia="宋体"/>
          <w:color w:val="auto"/>
        </w:rPr>
      </w:pPr>
      <w:r>
        <w:rPr>
          <w:rFonts w:hint="eastAsia" w:ascii="宋体" w:hAnsi="宋体" w:eastAsia="宋体"/>
          <w:color w:val="auto"/>
        </w:rPr>
        <w:br w:type="page" w:clear="all"/>
      </w:r>
    </w:p>
    <w:p w14:paraId="173872E8">
      <w:pPr>
        <w:spacing w:line="0" w:lineRule="atLeast"/>
        <w:jc w:val="center"/>
        <w:rPr>
          <w:rFonts w:hint="eastAsia" w:ascii="宋体" w:hAnsi="宋体" w:eastAsia="宋体" w:cs="Times New Roman"/>
          <w:color w:val="auto"/>
          <w:sz w:val="30"/>
          <w:szCs w:val="30"/>
          <w14:ligatures w14:val="none"/>
        </w:rPr>
      </w:pPr>
      <w:r>
        <w:rPr>
          <w:rFonts w:hint="eastAsia" w:ascii="宋体" w:hAnsi="宋体" w:eastAsia="宋体" w:cs="宋体"/>
          <w:b/>
          <w:color w:val="auto"/>
          <w:sz w:val="30"/>
          <w:szCs w:val="30"/>
          <w14:ligatures w14:val="none"/>
        </w:rPr>
        <w:t>投标文件目录</w:t>
      </w:r>
    </w:p>
    <w:p w14:paraId="5673706F">
      <w:pPr>
        <w:spacing w:line="360" w:lineRule="auto"/>
        <w:rPr>
          <w:rFonts w:hint="eastAsia" w:ascii="宋体" w:hAnsi="宋体" w:eastAsia="宋体" w:cs="Times New Roman"/>
          <w:color w:val="auto"/>
          <w:szCs w:val="21"/>
          <w14:ligatures w14:val="none"/>
        </w:rPr>
      </w:pPr>
    </w:p>
    <w:p w14:paraId="56F8AE04">
      <w:pPr>
        <w:spacing w:line="360" w:lineRule="auto"/>
        <w:ind w:firstLine="420"/>
        <w:outlineLvl w:val="1"/>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一、法人或者其他组织的营业执照等证明文件，自然人的身份证明</w:t>
      </w:r>
    </w:p>
    <w:p w14:paraId="529A5FB1">
      <w:pPr>
        <w:tabs>
          <w:tab w:val="left" w:pos="1331"/>
        </w:tabs>
        <w:spacing w:line="360" w:lineRule="auto"/>
        <w:ind w:firstLine="420"/>
        <w:jc w:val="left"/>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二、上一年度的财务状况报表（至少提供资产负债表、利润表、现金流量表，投标人成立不满一年无需提供）</w:t>
      </w:r>
    </w:p>
    <w:p w14:paraId="6D77BB27">
      <w:pPr>
        <w:spacing w:line="360" w:lineRule="auto"/>
        <w:ind w:firstLine="420"/>
        <w:outlineLvl w:val="1"/>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三、具备履行合同所必需的设备和专业技术能力的书面声明</w:t>
      </w:r>
    </w:p>
    <w:p w14:paraId="1DEAB632">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FB5A131">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五、参加政府采购活动前 3 年内在经营活动中没有重大违法记录的书面声明</w:t>
      </w:r>
    </w:p>
    <w:p w14:paraId="45F31C98">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六、特定资格要求的证明文件（如果本项目设置特定资格要求，则需要提供）</w:t>
      </w:r>
    </w:p>
    <w:p w14:paraId="7F4B7916">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七、法人授权书</w:t>
      </w:r>
    </w:p>
    <w:p w14:paraId="1BCC85AB">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八、投标函</w:t>
      </w:r>
    </w:p>
    <w:p w14:paraId="05275EB3">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九、中小企业声明函</w:t>
      </w:r>
    </w:p>
    <w:p w14:paraId="5F15EAAD">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十、残疾人福利性单位声明函</w:t>
      </w:r>
    </w:p>
    <w:p w14:paraId="1536C758">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十一、技术要求响应及偏离表</w:t>
      </w:r>
    </w:p>
    <w:p w14:paraId="7C09B1B8">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十</w:t>
      </w:r>
      <w:r>
        <w:rPr>
          <w:rFonts w:hint="eastAsia" w:ascii="宋体" w:hAnsi="宋体" w:eastAsia="宋体" w:cs="宋体"/>
          <w:iCs/>
          <w:color w:val="auto"/>
          <w:szCs w:val="21"/>
          <w:lang w:val="en-US" w:eastAsia="zh-CN"/>
          <w14:ligatures w14:val="none"/>
        </w:rPr>
        <w:t>二</w:t>
      </w:r>
      <w:r>
        <w:rPr>
          <w:rFonts w:hint="eastAsia" w:ascii="宋体" w:hAnsi="宋体" w:eastAsia="宋体" w:cs="宋体"/>
          <w:iCs/>
          <w:color w:val="auto"/>
          <w:szCs w:val="21"/>
          <w14:ligatures w14:val="none"/>
        </w:rPr>
        <w:t>、商务要求响应及偏离表</w:t>
      </w:r>
    </w:p>
    <w:p w14:paraId="11613644">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十</w:t>
      </w:r>
      <w:r>
        <w:rPr>
          <w:rFonts w:hint="eastAsia" w:ascii="宋体" w:hAnsi="宋体" w:eastAsia="宋体" w:cs="宋体"/>
          <w:iCs/>
          <w:color w:val="auto"/>
          <w:szCs w:val="21"/>
          <w:lang w:val="en-US" w:eastAsia="zh-CN"/>
          <w14:ligatures w14:val="none"/>
        </w:rPr>
        <w:t>三</w:t>
      </w:r>
      <w:r>
        <w:rPr>
          <w:rFonts w:hint="eastAsia" w:ascii="宋体" w:hAnsi="宋体" w:eastAsia="宋体" w:cs="宋体"/>
          <w:iCs/>
          <w:color w:val="auto"/>
          <w:szCs w:val="21"/>
          <w14:ligatures w14:val="none"/>
        </w:rPr>
        <w:t>、开标一览表</w:t>
      </w:r>
    </w:p>
    <w:p w14:paraId="59DC8E54">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十四、评分标准要求提供的材料等</w:t>
      </w:r>
    </w:p>
    <w:p w14:paraId="579A36FA">
      <w:pPr>
        <w:spacing w:line="360" w:lineRule="auto"/>
        <w:ind w:firstLine="420"/>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t>十五、其他材料</w:t>
      </w:r>
    </w:p>
    <w:p w14:paraId="629AF986">
      <w:pPr>
        <w:spacing w:line="360" w:lineRule="auto"/>
        <w:ind w:firstLine="420"/>
        <w:rPr>
          <w:rFonts w:ascii="宋体" w:hAnsi="宋体" w:cs="宋体"/>
          <w:color w:val="auto"/>
        </w:rPr>
      </w:pPr>
      <w:r>
        <w:rPr>
          <w:rFonts w:hint="eastAsia" w:ascii="宋体" w:hAnsi="宋体" w:eastAsia="宋体" w:cs="宋体"/>
          <w:iCs/>
          <w:color w:val="auto"/>
          <w:szCs w:val="21"/>
          <w14:ligatures w14:val="none"/>
        </w:rPr>
        <w:t>十六、盐城市政府采购事前信用承诺书</w:t>
      </w:r>
    </w:p>
    <w:p w14:paraId="374EEB94">
      <w:pPr>
        <w:spacing w:line="360" w:lineRule="auto"/>
        <w:ind w:firstLine="420"/>
        <w:rPr>
          <w:rFonts w:hint="eastAsia" w:ascii="宋体" w:hAnsi="宋体" w:eastAsia="宋体" w:cs="宋体"/>
          <w:iCs/>
          <w:color w:val="auto"/>
          <w:szCs w:val="21"/>
          <w14:ligatures w14:val="none"/>
        </w:rPr>
      </w:pPr>
    </w:p>
    <w:p w14:paraId="58B77FDA">
      <w:pPr>
        <w:spacing w:line="360" w:lineRule="auto"/>
        <w:rPr>
          <w:rFonts w:hint="eastAsia" w:ascii="宋体" w:hAnsi="宋体" w:eastAsia="宋体"/>
          <w:color w:val="auto"/>
          <w:szCs w:val="21"/>
        </w:rPr>
      </w:pPr>
    </w:p>
    <w:p w14:paraId="7C894972">
      <w:pPr>
        <w:widowControl/>
        <w:spacing w:line="360" w:lineRule="auto"/>
        <w:jc w:val="left"/>
        <w:rPr>
          <w:rFonts w:hint="eastAsia" w:ascii="宋体" w:hAnsi="宋体" w:eastAsia="宋体"/>
          <w:color w:val="auto"/>
          <w:szCs w:val="21"/>
        </w:rPr>
      </w:pPr>
      <w:r>
        <w:rPr>
          <w:rFonts w:hint="eastAsia" w:ascii="宋体" w:hAnsi="宋体" w:eastAsia="宋体"/>
          <w:color w:val="auto"/>
          <w:szCs w:val="21"/>
        </w:rPr>
        <w:br w:type="page" w:clear="all"/>
      </w:r>
    </w:p>
    <w:p w14:paraId="23672D1B">
      <w:pPr>
        <w:pStyle w:val="32"/>
        <w:jc w:val="center"/>
        <w:outlineLvl w:val="1"/>
        <w:rPr>
          <w:rFonts w:hint="eastAsia" w:ascii="宋体" w:hAnsi="宋体" w:cs="宋体"/>
          <w:b/>
          <w:color w:val="auto"/>
          <w:sz w:val="28"/>
          <w:szCs w:val="28"/>
        </w:rPr>
      </w:pPr>
      <w:r>
        <w:rPr>
          <w:rFonts w:hint="eastAsia" w:ascii="宋体" w:hAnsi="宋体" w:cs="宋体"/>
          <w:b/>
          <w:color w:val="auto"/>
          <w:sz w:val="28"/>
          <w:szCs w:val="28"/>
        </w:rPr>
        <w:t>一、法人或者其他组织的营业执照等证明文件，自然人的身份证明</w:t>
      </w:r>
    </w:p>
    <w:p w14:paraId="779765B0">
      <w:pPr>
        <w:pStyle w:val="32"/>
        <w:rPr>
          <w:rFonts w:hint="eastAsia" w:ascii="宋体" w:hAnsi="宋体" w:cs="宋体"/>
          <w:i/>
          <w:color w:val="auto"/>
          <w:sz w:val="28"/>
          <w:szCs w:val="28"/>
          <w:u w:val="single"/>
        </w:rPr>
      </w:pPr>
    </w:p>
    <w:p w14:paraId="3B377AB6">
      <w:pPr>
        <w:pStyle w:val="32"/>
        <w:rPr>
          <w:rFonts w:hint="eastAsia" w:ascii="宋体" w:hAnsi="宋体" w:cs="宋体"/>
          <w:i/>
          <w:color w:val="auto"/>
          <w:sz w:val="28"/>
          <w:szCs w:val="28"/>
          <w:u w:val="single"/>
        </w:rPr>
      </w:pPr>
    </w:p>
    <w:p w14:paraId="4A90D386">
      <w:pPr>
        <w:pStyle w:val="32"/>
        <w:rPr>
          <w:rFonts w:hint="eastAsia" w:ascii="宋体" w:hAnsi="宋体" w:cs="宋体"/>
          <w:i/>
          <w:color w:val="auto"/>
          <w:sz w:val="28"/>
          <w:szCs w:val="28"/>
          <w:u w:val="single"/>
        </w:rPr>
      </w:pPr>
    </w:p>
    <w:p w14:paraId="510FC462">
      <w:pPr>
        <w:pStyle w:val="32"/>
        <w:rPr>
          <w:rFonts w:hint="eastAsia" w:ascii="宋体" w:hAnsi="宋体" w:cs="宋体"/>
          <w:i/>
          <w:color w:val="auto"/>
          <w:sz w:val="28"/>
          <w:szCs w:val="28"/>
          <w:u w:val="single"/>
        </w:rPr>
      </w:pPr>
    </w:p>
    <w:p w14:paraId="114C3F8F">
      <w:pPr>
        <w:pStyle w:val="32"/>
        <w:rPr>
          <w:rFonts w:hint="eastAsia" w:ascii="宋体" w:hAnsi="宋体" w:cs="宋体"/>
          <w:i/>
          <w:color w:val="auto"/>
          <w:sz w:val="28"/>
          <w:szCs w:val="28"/>
          <w:u w:val="single"/>
        </w:rPr>
      </w:pPr>
    </w:p>
    <w:p w14:paraId="673E37C2">
      <w:pPr>
        <w:pStyle w:val="32"/>
        <w:rPr>
          <w:rFonts w:hint="eastAsia" w:ascii="宋体" w:hAnsi="宋体" w:cs="宋体"/>
          <w:i/>
          <w:color w:val="auto"/>
          <w:sz w:val="28"/>
          <w:szCs w:val="28"/>
          <w:u w:val="single"/>
        </w:rPr>
      </w:pPr>
    </w:p>
    <w:p w14:paraId="73B77A2D">
      <w:pPr>
        <w:pStyle w:val="32"/>
        <w:rPr>
          <w:rFonts w:hint="eastAsia" w:ascii="宋体" w:hAnsi="宋体" w:cs="宋体"/>
          <w:i/>
          <w:color w:val="auto"/>
          <w:sz w:val="28"/>
          <w:szCs w:val="28"/>
          <w:u w:val="single"/>
        </w:rPr>
      </w:pPr>
    </w:p>
    <w:p w14:paraId="0965D69B">
      <w:pPr>
        <w:pStyle w:val="32"/>
        <w:rPr>
          <w:rFonts w:hint="eastAsia" w:ascii="宋体" w:hAnsi="宋体" w:cs="宋体"/>
          <w:i/>
          <w:color w:val="auto"/>
          <w:sz w:val="28"/>
          <w:szCs w:val="28"/>
          <w:u w:val="single"/>
        </w:rPr>
      </w:pPr>
    </w:p>
    <w:p w14:paraId="7EBFBD8E">
      <w:pPr>
        <w:pStyle w:val="32"/>
        <w:rPr>
          <w:rFonts w:hint="eastAsia" w:ascii="宋体" w:hAnsi="宋体" w:cs="宋体"/>
          <w:i/>
          <w:color w:val="auto"/>
          <w:sz w:val="28"/>
          <w:szCs w:val="28"/>
          <w:u w:val="single"/>
        </w:rPr>
      </w:pPr>
    </w:p>
    <w:p w14:paraId="3D1D6CC0">
      <w:pPr>
        <w:pStyle w:val="32"/>
        <w:rPr>
          <w:rFonts w:hint="eastAsia" w:ascii="宋体" w:hAnsi="宋体" w:cs="宋体"/>
          <w:i/>
          <w:color w:val="auto"/>
          <w:sz w:val="28"/>
          <w:szCs w:val="28"/>
          <w:u w:val="single"/>
        </w:rPr>
      </w:pPr>
    </w:p>
    <w:p w14:paraId="0C891D95">
      <w:pPr>
        <w:pStyle w:val="32"/>
        <w:rPr>
          <w:rFonts w:hint="eastAsia" w:ascii="宋体" w:hAnsi="宋体" w:cs="宋体"/>
          <w:i/>
          <w:color w:val="auto"/>
          <w:sz w:val="28"/>
          <w:szCs w:val="28"/>
          <w:u w:val="single"/>
        </w:rPr>
      </w:pPr>
    </w:p>
    <w:p w14:paraId="591CDF5C">
      <w:pPr>
        <w:pStyle w:val="32"/>
        <w:rPr>
          <w:rFonts w:hint="eastAsia" w:ascii="宋体" w:hAnsi="宋体" w:cs="宋体"/>
          <w:i/>
          <w:color w:val="auto"/>
          <w:sz w:val="28"/>
          <w:szCs w:val="28"/>
          <w:u w:val="single"/>
        </w:rPr>
      </w:pPr>
    </w:p>
    <w:p w14:paraId="43ABB3C7">
      <w:pPr>
        <w:pStyle w:val="32"/>
        <w:rPr>
          <w:rFonts w:hint="eastAsia" w:ascii="宋体" w:hAnsi="宋体" w:cs="宋体"/>
          <w:i/>
          <w:color w:val="auto"/>
          <w:sz w:val="28"/>
          <w:szCs w:val="28"/>
          <w:u w:val="single"/>
        </w:rPr>
      </w:pPr>
    </w:p>
    <w:p w14:paraId="2A17223C">
      <w:pPr>
        <w:pStyle w:val="32"/>
        <w:rPr>
          <w:rFonts w:hint="eastAsia" w:ascii="宋体" w:hAnsi="宋体" w:cs="宋体"/>
          <w:i/>
          <w:color w:val="auto"/>
          <w:sz w:val="28"/>
          <w:szCs w:val="28"/>
          <w:u w:val="single"/>
        </w:rPr>
      </w:pPr>
    </w:p>
    <w:p w14:paraId="0427EE5E">
      <w:pPr>
        <w:pStyle w:val="32"/>
        <w:rPr>
          <w:rFonts w:hint="eastAsia" w:ascii="宋体" w:hAnsi="宋体" w:cs="宋体"/>
          <w:i/>
          <w:color w:val="auto"/>
          <w:sz w:val="28"/>
          <w:szCs w:val="28"/>
          <w:u w:val="single"/>
        </w:rPr>
      </w:pPr>
    </w:p>
    <w:p w14:paraId="590645F7">
      <w:pPr>
        <w:pStyle w:val="32"/>
        <w:rPr>
          <w:rFonts w:hint="eastAsia" w:ascii="宋体" w:hAnsi="宋体" w:cs="宋体"/>
          <w:i/>
          <w:color w:val="auto"/>
          <w:sz w:val="28"/>
          <w:szCs w:val="28"/>
          <w:u w:val="single"/>
        </w:rPr>
      </w:pPr>
    </w:p>
    <w:p w14:paraId="4763386B">
      <w:pPr>
        <w:pStyle w:val="32"/>
        <w:rPr>
          <w:rFonts w:hint="eastAsia" w:ascii="宋体" w:hAnsi="宋体" w:cs="宋体"/>
          <w:i/>
          <w:color w:val="auto"/>
          <w:sz w:val="28"/>
          <w:szCs w:val="28"/>
          <w:u w:val="single"/>
        </w:rPr>
      </w:pPr>
    </w:p>
    <w:p w14:paraId="6DFE86A6">
      <w:pPr>
        <w:pStyle w:val="32"/>
        <w:rPr>
          <w:rFonts w:hint="eastAsia" w:ascii="宋体" w:hAnsi="宋体" w:cs="宋体"/>
          <w:i/>
          <w:color w:val="auto"/>
          <w:sz w:val="28"/>
          <w:szCs w:val="28"/>
          <w:u w:val="single"/>
        </w:rPr>
      </w:pPr>
    </w:p>
    <w:p w14:paraId="695ADB8C">
      <w:pPr>
        <w:pStyle w:val="32"/>
        <w:rPr>
          <w:rFonts w:hint="eastAsia" w:ascii="宋体" w:hAnsi="宋体" w:cs="宋体"/>
          <w:i/>
          <w:color w:val="auto"/>
          <w:sz w:val="28"/>
          <w:szCs w:val="28"/>
          <w:u w:val="single"/>
        </w:rPr>
      </w:pPr>
    </w:p>
    <w:p w14:paraId="65AB3C27">
      <w:pPr>
        <w:pStyle w:val="32"/>
        <w:rPr>
          <w:rFonts w:hint="eastAsia" w:ascii="宋体" w:hAnsi="宋体" w:cs="宋体"/>
          <w:i/>
          <w:color w:val="auto"/>
          <w:sz w:val="28"/>
          <w:szCs w:val="28"/>
          <w:u w:val="single"/>
        </w:rPr>
      </w:pPr>
    </w:p>
    <w:p w14:paraId="48D2A222">
      <w:pPr>
        <w:pStyle w:val="32"/>
        <w:rPr>
          <w:rFonts w:hint="eastAsia" w:ascii="宋体" w:hAnsi="宋体" w:cs="宋体"/>
          <w:i/>
          <w:color w:val="auto"/>
          <w:sz w:val="28"/>
          <w:szCs w:val="28"/>
          <w:u w:val="single"/>
        </w:rPr>
      </w:pPr>
    </w:p>
    <w:p w14:paraId="40173626">
      <w:pPr>
        <w:pStyle w:val="32"/>
        <w:rPr>
          <w:rFonts w:hint="eastAsia" w:ascii="宋体" w:hAnsi="宋体" w:cs="宋体"/>
          <w:i/>
          <w:color w:val="auto"/>
          <w:sz w:val="28"/>
          <w:szCs w:val="28"/>
          <w:u w:val="single"/>
        </w:rPr>
      </w:pPr>
    </w:p>
    <w:p w14:paraId="4A859C2A">
      <w:pPr>
        <w:pStyle w:val="32"/>
        <w:rPr>
          <w:rFonts w:hint="eastAsia" w:ascii="宋体" w:hAnsi="宋体" w:cs="宋体"/>
          <w:i/>
          <w:color w:val="auto"/>
          <w:sz w:val="28"/>
          <w:szCs w:val="28"/>
          <w:u w:val="single"/>
        </w:rPr>
      </w:pPr>
    </w:p>
    <w:p w14:paraId="7D709CCA">
      <w:pPr>
        <w:pStyle w:val="32"/>
        <w:rPr>
          <w:rFonts w:hint="eastAsia" w:ascii="宋体" w:hAnsi="宋体" w:cs="宋体"/>
          <w:i/>
          <w:color w:val="auto"/>
          <w:sz w:val="28"/>
          <w:szCs w:val="28"/>
          <w:u w:val="single"/>
        </w:rPr>
      </w:pPr>
    </w:p>
    <w:p w14:paraId="763A6D08">
      <w:pPr>
        <w:pStyle w:val="32"/>
        <w:rPr>
          <w:rFonts w:hint="eastAsia" w:ascii="宋体" w:hAnsi="宋体" w:cs="宋体"/>
          <w:i/>
          <w:color w:val="auto"/>
          <w:sz w:val="28"/>
          <w:szCs w:val="28"/>
          <w:u w:val="single"/>
        </w:rPr>
      </w:pPr>
    </w:p>
    <w:p w14:paraId="6706B253">
      <w:pPr>
        <w:pStyle w:val="32"/>
        <w:rPr>
          <w:rFonts w:hint="eastAsia" w:ascii="宋体" w:hAnsi="宋体" w:cs="宋体"/>
          <w:i/>
          <w:color w:val="auto"/>
          <w:sz w:val="28"/>
          <w:szCs w:val="28"/>
          <w:u w:val="single"/>
        </w:rPr>
      </w:pPr>
    </w:p>
    <w:p w14:paraId="66C71662">
      <w:pPr>
        <w:pStyle w:val="32"/>
        <w:rPr>
          <w:rFonts w:hint="eastAsia" w:ascii="宋体" w:hAnsi="宋体" w:cs="宋体"/>
          <w:i/>
          <w:color w:val="auto"/>
          <w:sz w:val="28"/>
          <w:szCs w:val="28"/>
          <w:u w:val="single"/>
        </w:rPr>
      </w:pPr>
    </w:p>
    <w:p w14:paraId="25ACC120">
      <w:pPr>
        <w:pStyle w:val="32"/>
        <w:rPr>
          <w:rFonts w:hint="eastAsia" w:ascii="宋体" w:hAnsi="宋体" w:cs="宋体"/>
          <w:i/>
          <w:color w:val="auto"/>
          <w:sz w:val="28"/>
          <w:szCs w:val="28"/>
          <w:u w:val="single"/>
        </w:rPr>
      </w:pPr>
    </w:p>
    <w:p w14:paraId="18D0810C">
      <w:pPr>
        <w:pStyle w:val="32"/>
        <w:rPr>
          <w:rFonts w:hint="eastAsia" w:ascii="宋体" w:hAnsi="宋体" w:cs="宋体"/>
          <w:i/>
          <w:color w:val="auto"/>
          <w:sz w:val="28"/>
          <w:szCs w:val="28"/>
          <w:u w:val="single"/>
        </w:rPr>
      </w:pPr>
    </w:p>
    <w:p w14:paraId="250E0D98">
      <w:pPr>
        <w:pStyle w:val="32"/>
        <w:rPr>
          <w:rFonts w:hint="eastAsia" w:ascii="宋体" w:hAnsi="宋体" w:cs="宋体"/>
          <w:i/>
          <w:color w:val="auto"/>
          <w:sz w:val="28"/>
          <w:szCs w:val="28"/>
          <w:u w:val="single"/>
        </w:rPr>
      </w:pPr>
    </w:p>
    <w:p w14:paraId="6083438C">
      <w:pPr>
        <w:pStyle w:val="32"/>
        <w:rPr>
          <w:rFonts w:hint="eastAsia" w:ascii="宋体" w:hAnsi="宋体" w:cs="宋体"/>
          <w:i/>
          <w:color w:val="auto"/>
          <w:sz w:val="28"/>
          <w:szCs w:val="28"/>
          <w:u w:val="single"/>
        </w:rPr>
      </w:pPr>
    </w:p>
    <w:p w14:paraId="03525EE5">
      <w:pPr>
        <w:pStyle w:val="32"/>
        <w:rPr>
          <w:rFonts w:hint="eastAsia" w:ascii="宋体" w:hAnsi="宋体" w:cs="宋体"/>
          <w:i/>
          <w:color w:val="auto"/>
          <w:sz w:val="28"/>
          <w:szCs w:val="28"/>
          <w:u w:val="single"/>
        </w:rPr>
      </w:pPr>
    </w:p>
    <w:p w14:paraId="1883487C">
      <w:pPr>
        <w:pStyle w:val="32"/>
        <w:jc w:val="center"/>
        <w:outlineLvl w:val="1"/>
        <w:rPr>
          <w:rFonts w:hint="eastAsia" w:ascii="宋体" w:hAnsi="宋体" w:cs="宋体"/>
          <w:b/>
          <w:color w:val="auto"/>
          <w:sz w:val="28"/>
          <w:szCs w:val="28"/>
        </w:rPr>
      </w:pPr>
      <w:r>
        <w:rPr>
          <w:rFonts w:hint="eastAsia" w:ascii="宋体" w:hAnsi="宋体" w:cs="宋体"/>
          <w:b/>
          <w:color w:val="auto"/>
          <w:sz w:val="28"/>
          <w:szCs w:val="28"/>
        </w:rPr>
        <w:t>二、上一年度的财务状况报表</w:t>
      </w:r>
    </w:p>
    <w:p w14:paraId="2C40EB69">
      <w:pPr>
        <w:tabs>
          <w:tab w:val="left" w:pos="1331"/>
        </w:tabs>
        <w:spacing w:line="440" w:lineRule="exact"/>
        <w:ind w:firstLine="480" w:firstLineChars="200"/>
        <w:jc w:val="left"/>
        <w:rPr>
          <w:rFonts w:hint="eastAsia" w:ascii="宋体" w:hAnsi="宋体" w:cs="宋体"/>
          <w:color w:val="auto"/>
        </w:rPr>
      </w:pPr>
      <w:r>
        <w:rPr>
          <w:rFonts w:hint="eastAsia" w:ascii="宋体" w:hAnsi="宋体" w:cs="宋体"/>
          <w:i/>
          <w:color w:val="auto"/>
          <w:sz w:val="24"/>
          <w:u w:val="single"/>
        </w:rPr>
        <w:t>（至少提供资产负债表、利润表、现金流量表，供应商成立不满一年无需提供）</w:t>
      </w:r>
      <w:r>
        <w:rPr>
          <w:rFonts w:hint="eastAsia" w:ascii="宋体" w:hAnsi="宋体" w:cs="宋体"/>
          <w:color w:val="auto"/>
        </w:rPr>
        <w:t> </w:t>
      </w:r>
    </w:p>
    <w:p w14:paraId="7DC85871">
      <w:pPr>
        <w:tabs>
          <w:tab w:val="left" w:pos="1331"/>
        </w:tabs>
        <w:spacing w:line="440" w:lineRule="exact"/>
        <w:ind w:firstLine="420" w:firstLineChars="200"/>
        <w:jc w:val="left"/>
        <w:rPr>
          <w:rFonts w:hint="eastAsia" w:ascii="宋体" w:hAnsi="宋体" w:cs="宋体"/>
          <w:color w:val="auto"/>
        </w:rPr>
      </w:pPr>
    </w:p>
    <w:p w14:paraId="33E4A6E0">
      <w:pPr>
        <w:tabs>
          <w:tab w:val="left" w:pos="1331"/>
        </w:tabs>
        <w:spacing w:line="440" w:lineRule="exact"/>
        <w:ind w:firstLine="420" w:firstLineChars="200"/>
        <w:jc w:val="left"/>
        <w:rPr>
          <w:rFonts w:hint="eastAsia" w:ascii="宋体" w:hAnsi="宋体" w:cs="宋体"/>
          <w:color w:val="auto"/>
        </w:rPr>
      </w:pPr>
    </w:p>
    <w:p w14:paraId="33C1E5E8">
      <w:pPr>
        <w:tabs>
          <w:tab w:val="left" w:pos="1331"/>
        </w:tabs>
        <w:spacing w:line="440" w:lineRule="exact"/>
        <w:ind w:firstLine="420" w:firstLineChars="200"/>
        <w:jc w:val="left"/>
        <w:rPr>
          <w:rFonts w:hint="eastAsia" w:ascii="宋体" w:hAnsi="宋体" w:cs="宋体"/>
          <w:color w:val="auto"/>
        </w:rPr>
      </w:pPr>
    </w:p>
    <w:p w14:paraId="2F17DA92">
      <w:pPr>
        <w:tabs>
          <w:tab w:val="left" w:pos="1331"/>
        </w:tabs>
        <w:spacing w:line="440" w:lineRule="exact"/>
        <w:ind w:firstLine="420" w:firstLineChars="200"/>
        <w:jc w:val="left"/>
        <w:rPr>
          <w:rFonts w:hint="eastAsia" w:ascii="宋体" w:hAnsi="宋体" w:cs="宋体"/>
          <w:color w:val="auto"/>
        </w:rPr>
      </w:pPr>
    </w:p>
    <w:p w14:paraId="564D5C22">
      <w:pPr>
        <w:tabs>
          <w:tab w:val="left" w:pos="1331"/>
        </w:tabs>
        <w:spacing w:line="440" w:lineRule="exact"/>
        <w:ind w:firstLine="420" w:firstLineChars="200"/>
        <w:jc w:val="left"/>
        <w:rPr>
          <w:rFonts w:hint="eastAsia" w:ascii="宋体" w:hAnsi="宋体" w:cs="宋体"/>
          <w:color w:val="auto"/>
        </w:rPr>
      </w:pPr>
    </w:p>
    <w:p w14:paraId="60B23C7C">
      <w:pPr>
        <w:tabs>
          <w:tab w:val="left" w:pos="1331"/>
        </w:tabs>
        <w:spacing w:line="440" w:lineRule="exact"/>
        <w:ind w:firstLine="420" w:firstLineChars="200"/>
        <w:jc w:val="left"/>
        <w:rPr>
          <w:rFonts w:hint="eastAsia" w:ascii="宋体" w:hAnsi="宋体" w:cs="宋体"/>
          <w:color w:val="auto"/>
        </w:rPr>
      </w:pPr>
    </w:p>
    <w:p w14:paraId="6E85B362">
      <w:pPr>
        <w:tabs>
          <w:tab w:val="left" w:pos="1331"/>
        </w:tabs>
        <w:spacing w:line="440" w:lineRule="exact"/>
        <w:ind w:firstLine="420" w:firstLineChars="200"/>
        <w:jc w:val="left"/>
        <w:rPr>
          <w:rFonts w:hint="eastAsia" w:ascii="宋体" w:hAnsi="宋体" w:cs="宋体"/>
          <w:color w:val="auto"/>
        </w:rPr>
      </w:pPr>
    </w:p>
    <w:p w14:paraId="493DCD41">
      <w:pPr>
        <w:tabs>
          <w:tab w:val="left" w:pos="1331"/>
        </w:tabs>
        <w:spacing w:line="440" w:lineRule="exact"/>
        <w:ind w:firstLine="420" w:firstLineChars="200"/>
        <w:jc w:val="left"/>
        <w:rPr>
          <w:rFonts w:hint="eastAsia" w:ascii="宋体" w:hAnsi="宋体" w:cs="宋体"/>
          <w:color w:val="auto"/>
        </w:rPr>
      </w:pPr>
    </w:p>
    <w:p w14:paraId="07AA3C62">
      <w:pPr>
        <w:tabs>
          <w:tab w:val="left" w:pos="1331"/>
        </w:tabs>
        <w:spacing w:line="440" w:lineRule="exact"/>
        <w:ind w:firstLine="420" w:firstLineChars="200"/>
        <w:jc w:val="left"/>
        <w:rPr>
          <w:rFonts w:hint="eastAsia" w:ascii="宋体" w:hAnsi="宋体" w:cs="宋体"/>
          <w:color w:val="auto"/>
        </w:rPr>
      </w:pPr>
    </w:p>
    <w:p w14:paraId="70A9CE4B">
      <w:pPr>
        <w:tabs>
          <w:tab w:val="left" w:pos="1331"/>
        </w:tabs>
        <w:spacing w:line="440" w:lineRule="exact"/>
        <w:ind w:firstLine="420" w:firstLineChars="200"/>
        <w:jc w:val="left"/>
        <w:rPr>
          <w:rFonts w:hint="eastAsia" w:ascii="宋体" w:hAnsi="宋体" w:cs="宋体"/>
          <w:color w:val="auto"/>
        </w:rPr>
      </w:pPr>
    </w:p>
    <w:p w14:paraId="384F816E">
      <w:pPr>
        <w:tabs>
          <w:tab w:val="left" w:pos="1331"/>
        </w:tabs>
        <w:spacing w:line="440" w:lineRule="exact"/>
        <w:ind w:firstLine="420" w:firstLineChars="200"/>
        <w:jc w:val="left"/>
        <w:rPr>
          <w:rFonts w:hint="eastAsia" w:ascii="宋体" w:hAnsi="宋体" w:cs="宋体"/>
          <w:color w:val="auto"/>
        </w:rPr>
      </w:pPr>
    </w:p>
    <w:p w14:paraId="1BFD33AB">
      <w:pPr>
        <w:tabs>
          <w:tab w:val="left" w:pos="1331"/>
        </w:tabs>
        <w:spacing w:line="440" w:lineRule="exact"/>
        <w:ind w:firstLine="420" w:firstLineChars="200"/>
        <w:jc w:val="left"/>
        <w:rPr>
          <w:rFonts w:hint="eastAsia" w:ascii="宋体" w:hAnsi="宋体" w:cs="宋体"/>
          <w:color w:val="auto"/>
        </w:rPr>
      </w:pPr>
    </w:p>
    <w:p w14:paraId="4A2F9724">
      <w:pPr>
        <w:tabs>
          <w:tab w:val="left" w:pos="1331"/>
        </w:tabs>
        <w:spacing w:line="440" w:lineRule="exact"/>
        <w:ind w:firstLine="420" w:firstLineChars="200"/>
        <w:jc w:val="left"/>
        <w:rPr>
          <w:rFonts w:hint="eastAsia" w:ascii="宋体" w:hAnsi="宋体" w:cs="宋体"/>
          <w:color w:val="auto"/>
        </w:rPr>
      </w:pPr>
    </w:p>
    <w:p w14:paraId="525E7008">
      <w:pPr>
        <w:tabs>
          <w:tab w:val="left" w:pos="1331"/>
        </w:tabs>
        <w:spacing w:line="440" w:lineRule="exact"/>
        <w:ind w:firstLine="420" w:firstLineChars="200"/>
        <w:jc w:val="left"/>
        <w:rPr>
          <w:rFonts w:hint="eastAsia" w:ascii="宋体" w:hAnsi="宋体" w:cs="宋体"/>
          <w:color w:val="auto"/>
        </w:rPr>
      </w:pPr>
    </w:p>
    <w:p w14:paraId="24222C7D">
      <w:pPr>
        <w:tabs>
          <w:tab w:val="left" w:pos="1331"/>
        </w:tabs>
        <w:spacing w:line="440" w:lineRule="exact"/>
        <w:ind w:firstLine="420" w:firstLineChars="200"/>
        <w:jc w:val="left"/>
        <w:rPr>
          <w:rFonts w:hint="eastAsia" w:ascii="宋体" w:hAnsi="宋体" w:cs="宋体"/>
          <w:color w:val="auto"/>
        </w:rPr>
      </w:pPr>
    </w:p>
    <w:p w14:paraId="31743AC5">
      <w:pPr>
        <w:tabs>
          <w:tab w:val="left" w:pos="1331"/>
        </w:tabs>
        <w:spacing w:line="440" w:lineRule="exact"/>
        <w:ind w:firstLine="420" w:firstLineChars="200"/>
        <w:jc w:val="left"/>
        <w:rPr>
          <w:rFonts w:hint="eastAsia" w:ascii="宋体" w:hAnsi="宋体" w:cs="宋体"/>
          <w:color w:val="auto"/>
        </w:rPr>
      </w:pPr>
    </w:p>
    <w:p w14:paraId="09A4FF26">
      <w:pPr>
        <w:tabs>
          <w:tab w:val="left" w:pos="1331"/>
        </w:tabs>
        <w:spacing w:line="440" w:lineRule="exact"/>
        <w:ind w:firstLine="420" w:firstLineChars="200"/>
        <w:jc w:val="left"/>
        <w:rPr>
          <w:rFonts w:hint="eastAsia" w:ascii="宋体" w:hAnsi="宋体" w:cs="宋体"/>
          <w:color w:val="auto"/>
        </w:rPr>
      </w:pPr>
    </w:p>
    <w:p w14:paraId="37E2A02D">
      <w:pPr>
        <w:tabs>
          <w:tab w:val="left" w:pos="1331"/>
        </w:tabs>
        <w:spacing w:line="440" w:lineRule="exact"/>
        <w:ind w:firstLine="420" w:firstLineChars="200"/>
        <w:jc w:val="left"/>
        <w:rPr>
          <w:rFonts w:hint="eastAsia" w:ascii="宋体" w:hAnsi="宋体" w:cs="宋体"/>
          <w:color w:val="auto"/>
        </w:rPr>
      </w:pPr>
    </w:p>
    <w:p w14:paraId="481436E9">
      <w:pPr>
        <w:tabs>
          <w:tab w:val="left" w:pos="1331"/>
        </w:tabs>
        <w:spacing w:line="440" w:lineRule="exact"/>
        <w:ind w:firstLine="420" w:firstLineChars="200"/>
        <w:jc w:val="left"/>
        <w:rPr>
          <w:rFonts w:hint="eastAsia" w:ascii="宋体" w:hAnsi="宋体" w:cs="宋体"/>
          <w:color w:val="auto"/>
        </w:rPr>
      </w:pPr>
    </w:p>
    <w:p w14:paraId="0CD34847">
      <w:pPr>
        <w:tabs>
          <w:tab w:val="left" w:pos="1331"/>
        </w:tabs>
        <w:spacing w:line="440" w:lineRule="exact"/>
        <w:ind w:firstLine="420" w:firstLineChars="200"/>
        <w:jc w:val="left"/>
        <w:rPr>
          <w:rFonts w:hint="eastAsia" w:ascii="宋体" w:hAnsi="宋体" w:cs="宋体"/>
          <w:color w:val="auto"/>
        </w:rPr>
      </w:pPr>
    </w:p>
    <w:p w14:paraId="683875AB">
      <w:pPr>
        <w:tabs>
          <w:tab w:val="left" w:pos="1331"/>
        </w:tabs>
        <w:spacing w:line="440" w:lineRule="exact"/>
        <w:ind w:firstLine="420" w:firstLineChars="200"/>
        <w:jc w:val="left"/>
        <w:rPr>
          <w:rFonts w:hint="eastAsia" w:ascii="宋体" w:hAnsi="宋体" w:cs="宋体"/>
          <w:color w:val="auto"/>
        </w:rPr>
      </w:pPr>
    </w:p>
    <w:p w14:paraId="25EE4C3D">
      <w:pPr>
        <w:tabs>
          <w:tab w:val="left" w:pos="1331"/>
        </w:tabs>
        <w:spacing w:line="440" w:lineRule="exact"/>
        <w:ind w:firstLine="420" w:firstLineChars="200"/>
        <w:jc w:val="left"/>
        <w:rPr>
          <w:rFonts w:hint="eastAsia" w:ascii="宋体" w:hAnsi="宋体" w:cs="宋体"/>
          <w:color w:val="auto"/>
        </w:rPr>
      </w:pPr>
    </w:p>
    <w:p w14:paraId="3EEC5669">
      <w:pPr>
        <w:tabs>
          <w:tab w:val="left" w:pos="1331"/>
        </w:tabs>
        <w:spacing w:line="440" w:lineRule="exact"/>
        <w:ind w:firstLine="420" w:firstLineChars="200"/>
        <w:jc w:val="left"/>
        <w:rPr>
          <w:rFonts w:hint="eastAsia" w:ascii="宋体" w:hAnsi="宋体" w:cs="宋体"/>
          <w:color w:val="auto"/>
        </w:rPr>
      </w:pPr>
    </w:p>
    <w:p w14:paraId="0A3BCE76">
      <w:pPr>
        <w:tabs>
          <w:tab w:val="left" w:pos="1331"/>
        </w:tabs>
        <w:spacing w:line="440" w:lineRule="exact"/>
        <w:ind w:firstLine="420" w:firstLineChars="200"/>
        <w:jc w:val="left"/>
        <w:rPr>
          <w:rFonts w:hint="eastAsia" w:ascii="宋体" w:hAnsi="宋体" w:cs="宋体"/>
          <w:color w:val="auto"/>
        </w:rPr>
      </w:pPr>
    </w:p>
    <w:p w14:paraId="01DF8F71">
      <w:pPr>
        <w:tabs>
          <w:tab w:val="left" w:pos="1331"/>
        </w:tabs>
        <w:spacing w:line="440" w:lineRule="exact"/>
        <w:ind w:firstLine="420" w:firstLineChars="200"/>
        <w:jc w:val="left"/>
        <w:rPr>
          <w:rFonts w:hint="eastAsia" w:ascii="宋体" w:hAnsi="宋体" w:cs="宋体"/>
          <w:color w:val="auto"/>
        </w:rPr>
      </w:pPr>
    </w:p>
    <w:p w14:paraId="534AB8B3">
      <w:pPr>
        <w:tabs>
          <w:tab w:val="left" w:pos="1331"/>
        </w:tabs>
        <w:spacing w:line="440" w:lineRule="exact"/>
        <w:ind w:firstLine="420" w:firstLineChars="200"/>
        <w:jc w:val="left"/>
        <w:rPr>
          <w:rFonts w:hint="eastAsia" w:ascii="宋体" w:hAnsi="宋体" w:cs="宋体"/>
          <w:color w:val="auto"/>
        </w:rPr>
      </w:pPr>
    </w:p>
    <w:p w14:paraId="6052AD4B">
      <w:pPr>
        <w:tabs>
          <w:tab w:val="left" w:pos="1331"/>
        </w:tabs>
        <w:spacing w:line="440" w:lineRule="exact"/>
        <w:ind w:firstLine="420" w:firstLineChars="200"/>
        <w:jc w:val="left"/>
        <w:rPr>
          <w:rFonts w:hint="eastAsia" w:ascii="宋体" w:hAnsi="宋体" w:cs="宋体"/>
          <w:color w:val="auto"/>
        </w:rPr>
      </w:pPr>
    </w:p>
    <w:p w14:paraId="4C59DA9B">
      <w:pPr>
        <w:tabs>
          <w:tab w:val="left" w:pos="1331"/>
        </w:tabs>
        <w:spacing w:line="440" w:lineRule="exact"/>
        <w:ind w:firstLine="420" w:firstLineChars="200"/>
        <w:jc w:val="left"/>
        <w:rPr>
          <w:rFonts w:hint="eastAsia" w:ascii="宋体" w:hAnsi="宋体" w:cs="宋体"/>
          <w:color w:val="auto"/>
        </w:rPr>
      </w:pPr>
    </w:p>
    <w:p w14:paraId="62772930">
      <w:pPr>
        <w:pStyle w:val="32"/>
        <w:jc w:val="center"/>
        <w:outlineLvl w:val="9"/>
        <w:rPr>
          <w:rFonts w:hint="eastAsia" w:ascii="宋体" w:hAnsi="宋体" w:cs="宋体"/>
          <w:b/>
          <w:color w:val="auto"/>
          <w:sz w:val="28"/>
          <w:szCs w:val="28"/>
        </w:rPr>
      </w:pPr>
    </w:p>
    <w:p w14:paraId="554F416A">
      <w:pPr>
        <w:pStyle w:val="32"/>
        <w:jc w:val="center"/>
        <w:outlineLvl w:val="1"/>
        <w:rPr>
          <w:rFonts w:hint="eastAsia" w:ascii="宋体" w:hAnsi="宋体" w:cs="宋体"/>
          <w:b/>
          <w:color w:val="auto"/>
          <w:sz w:val="28"/>
          <w:szCs w:val="28"/>
        </w:rPr>
      </w:pPr>
      <w:r>
        <w:rPr>
          <w:rFonts w:hint="eastAsia" w:ascii="宋体" w:hAnsi="宋体" w:cs="宋体"/>
          <w:b/>
          <w:color w:val="auto"/>
          <w:sz w:val="28"/>
          <w:szCs w:val="28"/>
        </w:rPr>
        <w:t>三、具备履行合同所必需的设备和专业技术能力的书面声明</w:t>
      </w:r>
    </w:p>
    <w:p w14:paraId="137809AA">
      <w:pPr>
        <w:pStyle w:val="32"/>
        <w:spacing w:line="0" w:lineRule="atLeast"/>
        <w:ind w:firstLine="492"/>
        <w:rPr>
          <w:rFonts w:ascii="宋体" w:hAnsi="宋体" w:cs="宋体"/>
          <w:color w:val="auto"/>
        </w:rPr>
      </w:pPr>
    </w:p>
    <w:p w14:paraId="62946C71">
      <w:pPr>
        <w:pStyle w:val="32"/>
        <w:spacing w:line="520" w:lineRule="exact"/>
        <w:ind w:firstLine="480" w:firstLineChars="200"/>
        <w:rPr>
          <w:rFonts w:hint="eastAsia" w:ascii="宋体" w:hAnsi="宋体" w:cs="宋体"/>
          <w:bCs/>
          <w:color w:val="auto"/>
          <w:sz w:val="24"/>
        </w:rPr>
      </w:pPr>
      <w:r>
        <w:rPr>
          <w:rFonts w:hint="eastAsia" w:ascii="宋体" w:hAnsi="宋体" w:cs="宋体"/>
          <w:bCs/>
          <w:color w:val="auto"/>
          <w:sz w:val="24"/>
        </w:rPr>
        <w:t>我单位郑重声明：我单位具备履行本项采购合同所必需的设备和专业技术能力，为履行本项采购合同我公司具备如下主要设备和主要专业技术能力：</w:t>
      </w:r>
    </w:p>
    <w:p w14:paraId="7917876F">
      <w:pPr>
        <w:pStyle w:val="32"/>
        <w:spacing w:line="520" w:lineRule="exact"/>
        <w:ind w:firstLine="480" w:firstLineChars="200"/>
        <w:rPr>
          <w:rFonts w:ascii="宋体" w:hAnsi="宋体" w:cs="宋体"/>
          <w:color w:val="auto"/>
        </w:rPr>
      </w:pPr>
      <w:r>
        <w:rPr>
          <w:rFonts w:hint="eastAsia" w:ascii="宋体" w:hAnsi="宋体" w:cs="宋体"/>
          <w:bCs/>
          <w:color w:val="auto"/>
          <w:sz w:val="24"/>
        </w:rPr>
        <w:t>主要设备有：</w:t>
      </w:r>
      <w:r>
        <w:rPr>
          <w:rFonts w:hint="eastAsia" w:ascii="宋体" w:hAnsi="宋体" w:cs="宋体"/>
          <w:color w:val="auto"/>
          <w:u w:val="single"/>
        </w:rPr>
        <w:t xml:space="preserve">  </w:t>
      </w:r>
      <w:r>
        <w:rPr>
          <w:rFonts w:hint="eastAsia" w:ascii="宋体" w:hAnsi="宋体" w:cs="宋体"/>
          <w:color w:val="auto"/>
        </w:rPr>
        <w:t>。</w:t>
      </w:r>
    </w:p>
    <w:p w14:paraId="6C5E4000">
      <w:pPr>
        <w:pStyle w:val="32"/>
        <w:spacing w:line="520" w:lineRule="exact"/>
        <w:ind w:firstLine="480" w:firstLineChars="200"/>
        <w:rPr>
          <w:rFonts w:hint="eastAsia" w:ascii="宋体" w:hAnsi="宋体" w:cs="宋体"/>
          <w:color w:val="auto"/>
        </w:rPr>
      </w:pPr>
      <w:r>
        <w:rPr>
          <w:rFonts w:hint="eastAsia" w:ascii="宋体" w:hAnsi="宋体" w:cs="宋体"/>
          <w:bCs/>
          <w:color w:val="auto"/>
          <w:sz w:val="24"/>
        </w:rPr>
        <w:t>主要专业技术能力有：</w:t>
      </w:r>
      <w:r>
        <w:rPr>
          <w:rFonts w:hint="eastAsia" w:ascii="宋体" w:hAnsi="宋体" w:cs="宋体"/>
          <w:color w:val="auto"/>
          <w:u w:val="single"/>
        </w:rPr>
        <w:t xml:space="preserve">   </w:t>
      </w:r>
      <w:r>
        <w:rPr>
          <w:rFonts w:hint="eastAsia" w:ascii="宋体" w:hAnsi="宋体" w:cs="宋体"/>
          <w:color w:val="auto"/>
        </w:rPr>
        <w:t>。</w:t>
      </w:r>
    </w:p>
    <w:p w14:paraId="01C68F77">
      <w:pPr>
        <w:pStyle w:val="32"/>
        <w:spacing w:line="520" w:lineRule="exact"/>
        <w:ind w:firstLine="420" w:firstLineChars="200"/>
        <w:rPr>
          <w:rFonts w:hint="eastAsia" w:ascii="宋体" w:hAnsi="宋体" w:cs="宋体"/>
          <w:color w:val="auto"/>
        </w:rPr>
      </w:pPr>
    </w:p>
    <w:p w14:paraId="12435B99">
      <w:pPr>
        <w:wordWrap w:val="0"/>
        <w:spacing w:line="460" w:lineRule="exact"/>
        <w:ind w:firstLine="480"/>
        <w:jc w:val="right"/>
        <w:rPr>
          <w:rFonts w:ascii="宋体" w:hAnsi="宋体" w:cs="宋体"/>
          <w:bCs/>
          <w:color w:val="auto"/>
          <w:sz w:val="24"/>
        </w:rPr>
      </w:pPr>
      <w:r>
        <w:rPr>
          <w:rFonts w:hint="eastAsia" w:ascii="宋体" w:hAnsi="宋体" w:cs="宋体"/>
          <w:bCs/>
          <w:color w:val="auto"/>
          <w:sz w:val="24"/>
        </w:rPr>
        <w:t xml:space="preserve">供应商名称（公章）：             </w:t>
      </w:r>
    </w:p>
    <w:p w14:paraId="23981D17">
      <w:pPr>
        <w:spacing w:line="460" w:lineRule="exact"/>
        <w:ind w:firstLine="480"/>
        <w:rPr>
          <w:rFonts w:ascii="宋体" w:hAnsi="宋体" w:cs="宋体"/>
          <w:bCs/>
          <w:color w:val="auto"/>
          <w:sz w:val="24"/>
        </w:rPr>
      </w:pPr>
      <w:r>
        <w:rPr>
          <w:rFonts w:hint="eastAsia" w:ascii="宋体" w:hAnsi="宋体" w:cs="宋体"/>
          <w:bCs/>
          <w:color w:val="auto"/>
          <w:sz w:val="24"/>
        </w:rPr>
        <w:t xml:space="preserve">                                    </w:t>
      </w:r>
    </w:p>
    <w:p w14:paraId="50F6A057">
      <w:pPr>
        <w:pStyle w:val="32"/>
        <w:spacing w:line="520" w:lineRule="exact"/>
        <w:ind w:firstLine="480" w:firstLineChars="200"/>
        <w:rPr>
          <w:rFonts w:hint="eastAsia" w:ascii="宋体" w:hAnsi="宋体" w:cs="宋体"/>
          <w:bCs/>
          <w:color w:val="auto"/>
          <w:sz w:val="24"/>
        </w:rPr>
      </w:pPr>
      <w:r>
        <w:rPr>
          <w:rFonts w:hint="eastAsia" w:ascii="宋体" w:hAnsi="宋体" w:cs="宋体"/>
          <w:bCs/>
          <w:color w:val="auto"/>
          <w:sz w:val="24"/>
        </w:rPr>
        <w:t xml:space="preserve">                                     日期：</w:t>
      </w:r>
      <w:r>
        <w:rPr>
          <w:rFonts w:hint="eastAsia" w:ascii="宋体" w:hAnsi="宋体" w:cs="宋体"/>
          <w:bCs/>
          <w:color w:val="auto"/>
          <w:sz w:val="24"/>
          <w:u w:val="single"/>
        </w:rPr>
        <w:t xml:space="preserve">      </w:t>
      </w:r>
      <w:r>
        <w:rPr>
          <w:rFonts w:hint="eastAsia" w:ascii="宋体" w:hAnsi="宋体" w:cs="宋体"/>
          <w:bCs/>
          <w:color w:val="auto"/>
          <w:sz w:val="24"/>
        </w:rPr>
        <w:t>年</w:t>
      </w:r>
      <w:r>
        <w:rPr>
          <w:rFonts w:hint="eastAsia" w:ascii="宋体" w:hAnsi="宋体" w:cs="宋体"/>
          <w:bCs/>
          <w:color w:val="auto"/>
          <w:sz w:val="24"/>
          <w:u w:val="single"/>
        </w:rPr>
        <w:t xml:space="preserve">    </w:t>
      </w:r>
      <w:r>
        <w:rPr>
          <w:rFonts w:hint="eastAsia" w:ascii="宋体" w:hAnsi="宋体" w:cs="宋体"/>
          <w:bCs/>
          <w:color w:val="auto"/>
          <w:sz w:val="24"/>
        </w:rPr>
        <w:t>月</w:t>
      </w:r>
      <w:r>
        <w:rPr>
          <w:rFonts w:hint="eastAsia" w:ascii="宋体" w:hAnsi="宋体" w:cs="宋体"/>
          <w:bCs/>
          <w:color w:val="auto"/>
          <w:sz w:val="24"/>
          <w:u w:val="single"/>
        </w:rPr>
        <w:t xml:space="preserve">    </w:t>
      </w:r>
      <w:r>
        <w:rPr>
          <w:rFonts w:hint="eastAsia" w:ascii="宋体" w:hAnsi="宋体" w:cs="宋体"/>
          <w:bCs/>
          <w:color w:val="auto"/>
          <w:sz w:val="24"/>
        </w:rPr>
        <w:t>日</w:t>
      </w:r>
    </w:p>
    <w:p w14:paraId="77076F40">
      <w:pPr>
        <w:pStyle w:val="32"/>
        <w:spacing w:line="520" w:lineRule="exact"/>
        <w:ind w:firstLine="480" w:firstLineChars="200"/>
        <w:rPr>
          <w:rFonts w:hint="eastAsia" w:ascii="宋体" w:hAnsi="宋体" w:cs="宋体"/>
          <w:bCs/>
          <w:color w:val="auto"/>
          <w:sz w:val="24"/>
        </w:rPr>
      </w:pPr>
    </w:p>
    <w:p w14:paraId="1A3F751B">
      <w:pPr>
        <w:pStyle w:val="32"/>
        <w:spacing w:line="520" w:lineRule="exact"/>
        <w:ind w:firstLine="480" w:firstLineChars="200"/>
        <w:rPr>
          <w:rFonts w:hint="eastAsia" w:ascii="宋体" w:hAnsi="宋体" w:cs="宋体"/>
          <w:bCs/>
          <w:color w:val="auto"/>
          <w:sz w:val="24"/>
        </w:rPr>
      </w:pPr>
    </w:p>
    <w:p w14:paraId="46D89096">
      <w:pPr>
        <w:pStyle w:val="32"/>
        <w:spacing w:line="520" w:lineRule="exact"/>
        <w:ind w:firstLine="480" w:firstLineChars="200"/>
        <w:rPr>
          <w:rFonts w:hint="eastAsia" w:ascii="宋体" w:hAnsi="宋体" w:cs="宋体"/>
          <w:bCs/>
          <w:color w:val="auto"/>
          <w:sz w:val="24"/>
        </w:rPr>
      </w:pPr>
    </w:p>
    <w:p w14:paraId="61D47CE3">
      <w:pPr>
        <w:pStyle w:val="32"/>
        <w:spacing w:line="520" w:lineRule="exact"/>
        <w:ind w:firstLine="480" w:firstLineChars="200"/>
        <w:rPr>
          <w:rFonts w:hint="eastAsia" w:ascii="宋体" w:hAnsi="宋体" w:cs="宋体"/>
          <w:bCs/>
          <w:color w:val="auto"/>
          <w:sz w:val="24"/>
        </w:rPr>
      </w:pPr>
    </w:p>
    <w:p w14:paraId="5EED78B7">
      <w:pPr>
        <w:pStyle w:val="32"/>
        <w:spacing w:line="520" w:lineRule="exact"/>
        <w:ind w:firstLine="480" w:firstLineChars="200"/>
        <w:rPr>
          <w:rFonts w:hint="eastAsia" w:ascii="宋体" w:hAnsi="宋体" w:cs="宋体"/>
          <w:bCs/>
          <w:color w:val="auto"/>
          <w:sz w:val="24"/>
        </w:rPr>
      </w:pPr>
    </w:p>
    <w:p w14:paraId="353CB656">
      <w:pPr>
        <w:pStyle w:val="32"/>
        <w:spacing w:line="520" w:lineRule="exact"/>
        <w:ind w:firstLine="480" w:firstLineChars="200"/>
        <w:rPr>
          <w:rFonts w:hint="eastAsia" w:ascii="宋体" w:hAnsi="宋体" w:cs="宋体"/>
          <w:bCs/>
          <w:color w:val="auto"/>
          <w:sz w:val="24"/>
        </w:rPr>
      </w:pPr>
    </w:p>
    <w:p w14:paraId="206F3CD1">
      <w:pPr>
        <w:pStyle w:val="32"/>
        <w:spacing w:line="520" w:lineRule="exact"/>
        <w:ind w:firstLine="480" w:firstLineChars="200"/>
        <w:rPr>
          <w:rFonts w:hint="eastAsia" w:ascii="宋体" w:hAnsi="宋体" w:cs="宋体"/>
          <w:bCs/>
          <w:color w:val="auto"/>
          <w:sz w:val="24"/>
        </w:rPr>
      </w:pPr>
    </w:p>
    <w:p w14:paraId="2A8E5B2A">
      <w:pPr>
        <w:pStyle w:val="32"/>
        <w:spacing w:line="520" w:lineRule="exact"/>
        <w:ind w:firstLine="480" w:firstLineChars="200"/>
        <w:rPr>
          <w:rFonts w:hint="eastAsia" w:ascii="宋体" w:hAnsi="宋体" w:cs="宋体"/>
          <w:bCs/>
          <w:color w:val="auto"/>
          <w:sz w:val="24"/>
        </w:rPr>
      </w:pPr>
    </w:p>
    <w:p w14:paraId="5410B4BA">
      <w:pPr>
        <w:pStyle w:val="32"/>
        <w:spacing w:line="520" w:lineRule="exact"/>
        <w:ind w:firstLine="480" w:firstLineChars="200"/>
        <w:rPr>
          <w:rFonts w:hint="eastAsia" w:ascii="宋体" w:hAnsi="宋体" w:cs="宋体"/>
          <w:bCs/>
          <w:color w:val="auto"/>
          <w:sz w:val="24"/>
        </w:rPr>
      </w:pPr>
    </w:p>
    <w:p w14:paraId="2E9C6DAF">
      <w:pPr>
        <w:pStyle w:val="32"/>
        <w:spacing w:line="520" w:lineRule="exact"/>
        <w:ind w:firstLine="480" w:firstLineChars="200"/>
        <w:rPr>
          <w:rFonts w:hint="eastAsia" w:ascii="宋体" w:hAnsi="宋体" w:cs="宋体"/>
          <w:bCs/>
          <w:color w:val="auto"/>
          <w:sz w:val="24"/>
        </w:rPr>
      </w:pPr>
    </w:p>
    <w:p w14:paraId="6A907663">
      <w:pPr>
        <w:pStyle w:val="32"/>
        <w:spacing w:line="520" w:lineRule="exact"/>
        <w:ind w:firstLine="480" w:firstLineChars="200"/>
        <w:rPr>
          <w:rFonts w:hint="eastAsia" w:ascii="宋体" w:hAnsi="宋体" w:cs="宋体"/>
          <w:bCs/>
          <w:color w:val="auto"/>
          <w:sz w:val="24"/>
        </w:rPr>
      </w:pPr>
    </w:p>
    <w:p w14:paraId="5B38132E">
      <w:pPr>
        <w:pStyle w:val="32"/>
        <w:spacing w:line="520" w:lineRule="exact"/>
        <w:ind w:firstLine="480" w:firstLineChars="200"/>
        <w:rPr>
          <w:rFonts w:hint="eastAsia" w:ascii="宋体" w:hAnsi="宋体" w:cs="宋体"/>
          <w:bCs/>
          <w:color w:val="auto"/>
          <w:sz w:val="24"/>
        </w:rPr>
      </w:pPr>
    </w:p>
    <w:p w14:paraId="7EAAA64B">
      <w:pPr>
        <w:pStyle w:val="32"/>
        <w:spacing w:line="520" w:lineRule="exact"/>
        <w:ind w:firstLine="480" w:firstLineChars="200"/>
        <w:rPr>
          <w:rFonts w:hint="eastAsia" w:ascii="宋体" w:hAnsi="宋体" w:cs="宋体"/>
          <w:bCs/>
          <w:color w:val="auto"/>
          <w:sz w:val="24"/>
        </w:rPr>
      </w:pPr>
    </w:p>
    <w:p w14:paraId="4CE115E2">
      <w:pPr>
        <w:pStyle w:val="32"/>
        <w:spacing w:line="520" w:lineRule="exact"/>
        <w:ind w:firstLine="480" w:firstLineChars="200"/>
        <w:rPr>
          <w:rFonts w:hint="eastAsia" w:ascii="宋体" w:hAnsi="宋体" w:cs="宋体"/>
          <w:bCs/>
          <w:color w:val="auto"/>
          <w:sz w:val="24"/>
        </w:rPr>
      </w:pPr>
    </w:p>
    <w:p w14:paraId="2A8FC687">
      <w:pPr>
        <w:pStyle w:val="32"/>
        <w:spacing w:line="520" w:lineRule="exact"/>
        <w:ind w:firstLine="480" w:firstLineChars="200"/>
        <w:rPr>
          <w:rFonts w:hint="eastAsia" w:ascii="宋体" w:hAnsi="宋体" w:cs="宋体"/>
          <w:bCs/>
          <w:color w:val="auto"/>
          <w:sz w:val="24"/>
        </w:rPr>
      </w:pPr>
    </w:p>
    <w:p w14:paraId="10387394">
      <w:pPr>
        <w:pStyle w:val="32"/>
        <w:spacing w:line="520" w:lineRule="exact"/>
        <w:rPr>
          <w:rFonts w:hint="eastAsia" w:ascii="宋体" w:hAnsi="宋体" w:cs="宋体"/>
          <w:bCs/>
          <w:color w:val="auto"/>
          <w:sz w:val="24"/>
        </w:rPr>
      </w:pPr>
    </w:p>
    <w:p w14:paraId="443391F0">
      <w:pPr>
        <w:pStyle w:val="32"/>
        <w:jc w:val="center"/>
        <w:rPr>
          <w:rFonts w:ascii="宋体" w:hAnsi="宋体" w:cs="宋体"/>
          <w:i/>
          <w:color w:val="auto"/>
          <w:sz w:val="28"/>
          <w:szCs w:val="28"/>
          <w:u w:val="single"/>
        </w:rPr>
      </w:pPr>
    </w:p>
    <w:p w14:paraId="5F7C274A">
      <w:pPr>
        <w:pStyle w:val="32"/>
        <w:rPr>
          <w:rFonts w:hint="eastAsia" w:ascii="宋体" w:hAnsi="宋体" w:cs="宋体"/>
          <w:i/>
          <w:color w:val="auto"/>
          <w:sz w:val="28"/>
          <w:szCs w:val="28"/>
          <w:u w:val="single"/>
        </w:rPr>
      </w:pPr>
    </w:p>
    <w:p w14:paraId="0B700DC3">
      <w:pPr>
        <w:pStyle w:val="32"/>
        <w:jc w:val="center"/>
        <w:outlineLvl w:val="1"/>
        <w:rPr>
          <w:rFonts w:hint="eastAsia" w:ascii="宋体" w:hAnsi="宋体" w:cs="宋体"/>
          <w:b/>
          <w:color w:val="auto"/>
          <w:sz w:val="28"/>
          <w:szCs w:val="28"/>
        </w:rPr>
      </w:pPr>
      <w:r>
        <w:rPr>
          <w:rFonts w:hint="eastAsia" w:ascii="宋体" w:hAnsi="宋体" w:cs="宋体"/>
          <w:b/>
          <w:color w:val="auto"/>
          <w:sz w:val="28"/>
          <w:szCs w:val="28"/>
        </w:rPr>
        <w:t>四、依法缴纳税收和社会保障资金的相关材料</w:t>
      </w:r>
    </w:p>
    <w:p w14:paraId="2595E930">
      <w:pPr>
        <w:pStyle w:val="32"/>
        <w:ind w:firstLine="480"/>
        <w:rPr>
          <w:rFonts w:hint="eastAsia" w:ascii="宋体" w:hAnsi="宋体" w:cs="宋体"/>
          <w:color w:val="auto"/>
        </w:rPr>
      </w:pPr>
      <w:bookmarkStart w:id="108" w:name="_Toc120614284"/>
      <w:r>
        <w:rPr>
          <w:rFonts w:hint="eastAsia" w:ascii="宋体" w:hAnsi="宋体" w:cs="宋体"/>
          <w:color w:val="auto"/>
        </w:rPr>
        <w:t>提供提交响应文件截止时间前一年内至少一个月依法缴纳税收及缴纳社会保障资金的证明材料。供应商依法享受缓缴、免缴税收、社会保障资金的提供证明材料。</w:t>
      </w:r>
      <w:bookmarkEnd w:id="108"/>
    </w:p>
    <w:p w14:paraId="075FF5D2">
      <w:pPr>
        <w:pStyle w:val="32"/>
        <w:ind w:firstLine="480"/>
        <w:rPr>
          <w:rFonts w:hint="eastAsia" w:ascii="宋体" w:hAnsi="宋体" w:cs="宋体"/>
          <w:color w:val="auto"/>
        </w:rPr>
      </w:pPr>
    </w:p>
    <w:p w14:paraId="290D889B">
      <w:pPr>
        <w:pStyle w:val="32"/>
        <w:ind w:firstLine="480"/>
        <w:rPr>
          <w:rFonts w:hint="eastAsia" w:ascii="宋体" w:hAnsi="宋体" w:cs="宋体"/>
          <w:color w:val="auto"/>
        </w:rPr>
      </w:pPr>
    </w:p>
    <w:p w14:paraId="605AFEE9">
      <w:pPr>
        <w:pStyle w:val="32"/>
        <w:ind w:firstLine="480"/>
        <w:rPr>
          <w:rFonts w:hint="eastAsia" w:ascii="宋体" w:hAnsi="宋体" w:cs="宋体"/>
          <w:color w:val="auto"/>
        </w:rPr>
      </w:pPr>
    </w:p>
    <w:p w14:paraId="5760B5F2">
      <w:pPr>
        <w:pStyle w:val="32"/>
        <w:ind w:firstLine="480"/>
        <w:rPr>
          <w:rFonts w:hint="eastAsia" w:ascii="宋体" w:hAnsi="宋体" w:cs="宋体"/>
          <w:color w:val="auto"/>
        </w:rPr>
      </w:pPr>
    </w:p>
    <w:p w14:paraId="269F522D">
      <w:pPr>
        <w:pStyle w:val="32"/>
        <w:ind w:firstLine="480"/>
        <w:rPr>
          <w:rFonts w:hint="eastAsia" w:ascii="宋体" w:hAnsi="宋体" w:cs="宋体"/>
          <w:color w:val="auto"/>
        </w:rPr>
      </w:pPr>
    </w:p>
    <w:p w14:paraId="76DB0294">
      <w:pPr>
        <w:pStyle w:val="32"/>
        <w:ind w:firstLine="480"/>
        <w:rPr>
          <w:rFonts w:hint="eastAsia" w:ascii="宋体" w:hAnsi="宋体" w:cs="宋体"/>
          <w:color w:val="auto"/>
        </w:rPr>
      </w:pPr>
    </w:p>
    <w:p w14:paraId="46B3285E">
      <w:pPr>
        <w:pStyle w:val="32"/>
        <w:ind w:firstLine="480"/>
        <w:rPr>
          <w:rFonts w:hint="eastAsia" w:ascii="宋体" w:hAnsi="宋体" w:cs="宋体"/>
          <w:color w:val="auto"/>
        </w:rPr>
      </w:pPr>
    </w:p>
    <w:p w14:paraId="546F13BF">
      <w:pPr>
        <w:pStyle w:val="32"/>
        <w:ind w:firstLine="480"/>
        <w:rPr>
          <w:rFonts w:hint="eastAsia" w:ascii="宋体" w:hAnsi="宋体" w:cs="宋体"/>
          <w:color w:val="auto"/>
        </w:rPr>
      </w:pPr>
    </w:p>
    <w:p w14:paraId="2CBA6ACB">
      <w:pPr>
        <w:pStyle w:val="32"/>
        <w:ind w:firstLine="480"/>
        <w:rPr>
          <w:rFonts w:hint="eastAsia" w:ascii="宋体" w:hAnsi="宋体" w:cs="宋体"/>
          <w:color w:val="auto"/>
        </w:rPr>
      </w:pPr>
    </w:p>
    <w:p w14:paraId="563F3E0C">
      <w:pPr>
        <w:pStyle w:val="32"/>
        <w:ind w:firstLine="480"/>
        <w:rPr>
          <w:rFonts w:hint="eastAsia" w:ascii="宋体" w:hAnsi="宋体" w:cs="宋体"/>
          <w:color w:val="auto"/>
        </w:rPr>
      </w:pPr>
    </w:p>
    <w:p w14:paraId="5D5CA2E9">
      <w:pPr>
        <w:pStyle w:val="32"/>
        <w:ind w:firstLine="480"/>
        <w:rPr>
          <w:rFonts w:hint="eastAsia" w:ascii="宋体" w:hAnsi="宋体" w:cs="宋体"/>
          <w:color w:val="auto"/>
        </w:rPr>
      </w:pPr>
    </w:p>
    <w:p w14:paraId="157C5C1F">
      <w:pPr>
        <w:pStyle w:val="32"/>
        <w:ind w:firstLine="480"/>
        <w:rPr>
          <w:rFonts w:hint="eastAsia" w:ascii="宋体" w:hAnsi="宋体" w:cs="宋体"/>
          <w:color w:val="auto"/>
        </w:rPr>
      </w:pPr>
    </w:p>
    <w:p w14:paraId="43C37EE4">
      <w:pPr>
        <w:pStyle w:val="32"/>
        <w:ind w:firstLine="480"/>
        <w:rPr>
          <w:rFonts w:hint="eastAsia" w:ascii="宋体" w:hAnsi="宋体" w:cs="宋体"/>
          <w:color w:val="auto"/>
        </w:rPr>
      </w:pPr>
    </w:p>
    <w:p w14:paraId="5D64FB73">
      <w:pPr>
        <w:pStyle w:val="32"/>
        <w:ind w:firstLine="480"/>
        <w:rPr>
          <w:rFonts w:hint="eastAsia" w:ascii="宋体" w:hAnsi="宋体" w:cs="宋体"/>
          <w:color w:val="auto"/>
        </w:rPr>
      </w:pPr>
    </w:p>
    <w:p w14:paraId="1A533492">
      <w:pPr>
        <w:pStyle w:val="32"/>
        <w:ind w:firstLine="480"/>
        <w:rPr>
          <w:rFonts w:hint="eastAsia" w:ascii="宋体" w:hAnsi="宋体" w:cs="宋体"/>
          <w:color w:val="auto"/>
        </w:rPr>
      </w:pPr>
    </w:p>
    <w:p w14:paraId="0536DC8F">
      <w:pPr>
        <w:pStyle w:val="32"/>
        <w:ind w:firstLine="480"/>
        <w:rPr>
          <w:rFonts w:hint="eastAsia" w:ascii="宋体" w:hAnsi="宋体" w:cs="宋体"/>
          <w:color w:val="auto"/>
        </w:rPr>
      </w:pPr>
    </w:p>
    <w:p w14:paraId="186147E9">
      <w:pPr>
        <w:pStyle w:val="32"/>
        <w:ind w:firstLine="480"/>
        <w:rPr>
          <w:rFonts w:hint="eastAsia" w:ascii="宋体" w:hAnsi="宋体" w:cs="宋体"/>
          <w:color w:val="auto"/>
        </w:rPr>
      </w:pPr>
    </w:p>
    <w:p w14:paraId="041DA1A9">
      <w:pPr>
        <w:pStyle w:val="32"/>
        <w:ind w:firstLine="480"/>
        <w:rPr>
          <w:rFonts w:hint="eastAsia" w:ascii="宋体" w:hAnsi="宋体" w:cs="宋体"/>
          <w:color w:val="auto"/>
        </w:rPr>
      </w:pPr>
    </w:p>
    <w:p w14:paraId="708241A1">
      <w:pPr>
        <w:pStyle w:val="32"/>
        <w:ind w:firstLine="480"/>
        <w:rPr>
          <w:rFonts w:hint="eastAsia" w:ascii="宋体" w:hAnsi="宋体" w:cs="宋体"/>
          <w:color w:val="auto"/>
        </w:rPr>
      </w:pPr>
    </w:p>
    <w:p w14:paraId="72201DB0">
      <w:pPr>
        <w:pStyle w:val="32"/>
        <w:ind w:firstLine="480"/>
        <w:rPr>
          <w:rFonts w:hint="eastAsia" w:ascii="宋体" w:hAnsi="宋体" w:cs="宋体"/>
          <w:color w:val="auto"/>
        </w:rPr>
      </w:pPr>
    </w:p>
    <w:p w14:paraId="200D6538">
      <w:pPr>
        <w:pStyle w:val="32"/>
        <w:ind w:firstLine="480"/>
        <w:rPr>
          <w:rFonts w:hint="eastAsia" w:ascii="宋体" w:hAnsi="宋体" w:cs="宋体"/>
          <w:color w:val="auto"/>
        </w:rPr>
      </w:pPr>
    </w:p>
    <w:p w14:paraId="3CE30657">
      <w:pPr>
        <w:pStyle w:val="32"/>
        <w:ind w:firstLine="480"/>
        <w:rPr>
          <w:rFonts w:hint="eastAsia" w:ascii="宋体" w:hAnsi="宋体" w:cs="宋体"/>
          <w:color w:val="auto"/>
        </w:rPr>
      </w:pPr>
    </w:p>
    <w:p w14:paraId="0218990D">
      <w:pPr>
        <w:pStyle w:val="32"/>
        <w:ind w:firstLine="480"/>
        <w:rPr>
          <w:rFonts w:hint="eastAsia" w:ascii="宋体" w:hAnsi="宋体" w:cs="宋体"/>
          <w:color w:val="auto"/>
        </w:rPr>
      </w:pPr>
    </w:p>
    <w:p w14:paraId="3F1D95BC">
      <w:pPr>
        <w:pStyle w:val="32"/>
        <w:ind w:firstLine="480"/>
        <w:rPr>
          <w:rFonts w:hint="eastAsia" w:ascii="宋体" w:hAnsi="宋体" w:cs="宋体"/>
          <w:color w:val="auto"/>
        </w:rPr>
      </w:pPr>
    </w:p>
    <w:p w14:paraId="2614732F">
      <w:pPr>
        <w:pStyle w:val="32"/>
        <w:ind w:firstLine="480"/>
        <w:rPr>
          <w:rFonts w:hint="eastAsia" w:ascii="宋体" w:hAnsi="宋体" w:cs="宋体"/>
          <w:color w:val="auto"/>
        </w:rPr>
      </w:pPr>
    </w:p>
    <w:p w14:paraId="33BACF2E">
      <w:pPr>
        <w:pStyle w:val="32"/>
        <w:ind w:firstLine="480"/>
        <w:rPr>
          <w:rFonts w:hint="eastAsia" w:ascii="宋体" w:hAnsi="宋体" w:cs="宋体"/>
          <w:color w:val="auto"/>
        </w:rPr>
      </w:pPr>
    </w:p>
    <w:p w14:paraId="297A9AE3">
      <w:pPr>
        <w:pStyle w:val="32"/>
        <w:ind w:firstLine="480"/>
        <w:rPr>
          <w:rFonts w:hint="eastAsia" w:ascii="宋体" w:hAnsi="宋体" w:cs="宋体"/>
          <w:color w:val="auto"/>
        </w:rPr>
      </w:pPr>
    </w:p>
    <w:p w14:paraId="5CC7159C">
      <w:pPr>
        <w:pStyle w:val="32"/>
        <w:ind w:firstLine="480"/>
        <w:rPr>
          <w:rFonts w:hint="eastAsia" w:ascii="宋体" w:hAnsi="宋体" w:cs="宋体"/>
          <w:color w:val="auto"/>
        </w:rPr>
      </w:pPr>
    </w:p>
    <w:p w14:paraId="40C8EC8E">
      <w:pPr>
        <w:pStyle w:val="32"/>
        <w:ind w:firstLine="480"/>
        <w:rPr>
          <w:rFonts w:hint="eastAsia" w:ascii="宋体" w:hAnsi="宋体" w:cs="宋体"/>
          <w:color w:val="auto"/>
        </w:rPr>
      </w:pPr>
    </w:p>
    <w:p w14:paraId="735DC8A9">
      <w:pPr>
        <w:pStyle w:val="32"/>
        <w:ind w:firstLine="480"/>
        <w:rPr>
          <w:rFonts w:hint="eastAsia" w:ascii="宋体" w:hAnsi="宋体" w:cs="宋体"/>
          <w:color w:val="auto"/>
        </w:rPr>
      </w:pPr>
    </w:p>
    <w:p w14:paraId="00ACCCC4">
      <w:pPr>
        <w:pStyle w:val="32"/>
        <w:ind w:firstLine="480"/>
        <w:rPr>
          <w:rFonts w:hint="eastAsia" w:ascii="宋体" w:hAnsi="宋体" w:cs="宋体"/>
          <w:color w:val="auto"/>
        </w:rPr>
      </w:pPr>
    </w:p>
    <w:p w14:paraId="06D01EA7">
      <w:pPr>
        <w:pStyle w:val="32"/>
        <w:ind w:firstLine="480"/>
        <w:rPr>
          <w:rFonts w:hint="eastAsia" w:ascii="宋体" w:hAnsi="宋体" w:cs="宋体"/>
          <w:color w:val="auto"/>
        </w:rPr>
      </w:pPr>
    </w:p>
    <w:p w14:paraId="320E212F">
      <w:pPr>
        <w:pStyle w:val="32"/>
        <w:ind w:firstLine="480"/>
        <w:rPr>
          <w:rFonts w:hint="eastAsia" w:ascii="宋体" w:hAnsi="宋体" w:cs="宋体"/>
          <w:color w:val="auto"/>
        </w:rPr>
      </w:pPr>
    </w:p>
    <w:p w14:paraId="7666E319">
      <w:pPr>
        <w:pStyle w:val="32"/>
        <w:ind w:firstLine="480"/>
        <w:rPr>
          <w:rFonts w:hint="eastAsia" w:ascii="宋体" w:hAnsi="宋体" w:cs="宋体"/>
          <w:color w:val="auto"/>
        </w:rPr>
      </w:pPr>
    </w:p>
    <w:p w14:paraId="768256B7">
      <w:pPr>
        <w:pStyle w:val="32"/>
        <w:ind w:firstLine="480"/>
        <w:rPr>
          <w:rFonts w:hint="eastAsia" w:ascii="宋体" w:hAnsi="宋体" w:cs="宋体"/>
          <w:color w:val="auto"/>
        </w:rPr>
      </w:pPr>
    </w:p>
    <w:p w14:paraId="43DC93E9">
      <w:pPr>
        <w:pStyle w:val="32"/>
        <w:ind w:firstLine="480"/>
        <w:rPr>
          <w:rFonts w:hint="eastAsia" w:ascii="宋体" w:hAnsi="宋体" w:cs="宋体"/>
          <w:color w:val="auto"/>
        </w:rPr>
      </w:pPr>
    </w:p>
    <w:p w14:paraId="1C34E3AD">
      <w:pPr>
        <w:pStyle w:val="32"/>
        <w:ind w:firstLine="480"/>
        <w:rPr>
          <w:rFonts w:hint="eastAsia" w:ascii="宋体" w:hAnsi="宋体" w:cs="宋体"/>
          <w:color w:val="auto"/>
        </w:rPr>
      </w:pPr>
    </w:p>
    <w:p w14:paraId="2882D0EF">
      <w:pPr>
        <w:pStyle w:val="32"/>
        <w:ind w:firstLine="480"/>
        <w:rPr>
          <w:rFonts w:hint="eastAsia" w:ascii="宋体" w:hAnsi="宋体" w:cs="宋体"/>
          <w:color w:val="auto"/>
        </w:rPr>
      </w:pPr>
    </w:p>
    <w:p w14:paraId="7F8FB699">
      <w:pPr>
        <w:pStyle w:val="32"/>
        <w:ind w:firstLine="480"/>
        <w:rPr>
          <w:rFonts w:hint="eastAsia" w:ascii="宋体" w:hAnsi="宋体" w:cs="宋体"/>
          <w:color w:val="auto"/>
        </w:rPr>
      </w:pPr>
    </w:p>
    <w:p w14:paraId="3D9E4B3D">
      <w:pPr>
        <w:pStyle w:val="32"/>
        <w:ind w:firstLine="480"/>
        <w:rPr>
          <w:rFonts w:hint="eastAsia" w:ascii="宋体" w:hAnsi="宋体" w:cs="宋体"/>
          <w:color w:val="auto"/>
        </w:rPr>
      </w:pPr>
    </w:p>
    <w:p w14:paraId="3737C4D2">
      <w:pPr>
        <w:pStyle w:val="32"/>
        <w:ind w:firstLine="480"/>
        <w:rPr>
          <w:rFonts w:hint="eastAsia" w:ascii="宋体" w:hAnsi="宋体" w:cs="宋体"/>
          <w:color w:val="auto"/>
        </w:rPr>
      </w:pPr>
    </w:p>
    <w:p w14:paraId="1AB98E9B">
      <w:pPr>
        <w:pStyle w:val="32"/>
        <w:jc w:val="center"/>
        <w:outlineLvl w:val="1"/>
        <w:rPr>
          <w:rFonts w:hint="eastAsia" w:ascii="宋体" w:hAnsi="宋体" w:cs="宋体"/>
          <w:b/>
          <w:color w:val="auto"/>
          <w:sz w:val="28"/>
          <w:szCs w:val="28"/>
        </w:rPr>
      </w:pPr>
      <w:r>
        <w:rPr>
          <w:rFonts w:hint="eastAsia" w:ascii="宋体" w:hAnsi="宋体" w:cs="宋体"/>
          <w:b/>
          <w:color w:val="auto"/>
          <w:sz w:val="28"/>
          <w:szCs w:val="28"/>
        </w:rPr>
        <w:t>五、参加政府采购活动前 3 年内在经营活动中没有重大违法记录的书面声明</w:t>
      </w:r>
    </w:p>
    <w:p w14:paraId="0DA85F0B">
      <w:pPr>
        <w:pStyle w:val="32"/>
        <w:spacing w:line="0" w:lineRule="atLeast"/>
        <w:jc w:val="center"/>
        <w:rPr>
          <w:rFonts w:ascii="宋体" w:hAnsi="宋体" w:cs="宋体"/>
          <w:color w:val="auto"/>
        </w:rPr>
      </w:pPr>
      <w:r>
        <w:rPr>
          <w:rFonts w:hint="eastAsia" w:ascii="宋体" w:hAnsi="宋体" w:cs="宋体"/>
          <w:b/>
          <w:color w:val="auto"/>
          <w:sz w:val="44"/>
          <w:szCs w:val="44"/>
        </w:rPr>
        <w:t>声  明</w:t>
      </w:r>
    </w:p>
    <w:p w14:paraId="0D1B9514">
      <w:pPr>
        <w:spacing w:line="460" w:lineRule="exact"/>
        <w:ind w:firstLine="480" w:firstLineChars="200"/>
        <w:rPr>
          <w:rFonts w:ascii="宋体" w:hAnsi="宋体" w:cs="宋体"/>
          <w:bCs/>
          <w:color w:val="auto"/>
          <w:sz w:val="24"/>
        </w:rPr>
      </w:pPr>
      <w:r>
        <w:rPr>
          <w:rFonts w:hint="eastAsia" w:ascii="宋体" w:hAnsi="宋体" w:cs="宋体"/>
          <w:bCs/>
          <w:color w:val="auto"/>
          <w:sz w:val="24"/>
        </w:rPr>
        <w:t>我公司郑重声明：参加本次政府采购活动前3年内，我公司在经营活动中没有因违法经营受到刑事处罚或者责令停产停业、吊销许可证或者执照、较大数额罚款等行政处罚。</w:t>
      </w:r>
    </w:p>
    <w:p w14:paraId="78EA39A0">
      <w:pPr>
        <w:spacing w:line="460" w:lineRule="exact"/>
        <w:ind w:firstLine="480" w:firstLineChars="200"/>
        <w:rPr>
          <w:rFonts w:ascii="宋体" w:hAnsi="宋体" w:cs="宋体"/>
          <w:bCs/>
          <w:color w:val="auto"/>
          <w:sz w:val="24"/>
        </w:rPr>
      </w:pPr>
      <w:r>
        <w:rPr>
          <w:rFonts w:hint="eastAsia" w:ascii="宋体" w:hAnsi="宋体" w:cs="宋体"/>
          <w:bCs/>
          <w:color w:val="auto"/>
          <w:sz w:val="24"/>
        </w:rPr>
        <w:t>我单位负责人为同一人或存在控股、管理关系的不同单位，不同时参加本项目投标，否则相关投标均无效。</w:t>
      </w:r>
    </w:p>
    <w:p w14:paraId="5989CBEE">
      <w:pPr>
        <w:spacing w:line="460" w:lineRule="exact"/>
        <w:ind w:firstLine="480" w:firstLineChars="200"/>
        <w:rPr>
          <w:rFonts w:ascii="宋体" w:hAnsi="宋体" w:cs="宋体"/>
          <w:bCs/>
          <w:color w:val="auto"/>
          <w:sz w:val="24"/>
        </w:rPr>
      </w:pPr>
      <w:r>
        <w:rPr>
          <w:rFonts w:hint="eastAsia" w:ascii="宋体" w:hAnsi="宋体" w:cs="宋体"/>
          <w:bCs/>
          <w:color w:val="auto"/>
          <w:sz w:val="24"/>
        </w:rPr>
        <w:t>我单位承诺未被列入“信用中国”网(www.creditchina.gov.cn)、中国政府采购网(www.ccgp.gov.cn)渠道信用记录失信被执行人、重大税收违法案件当事人名单、政府采购严重违法失信行为记录名单。</w:t>
      </w:r>
    </w:p>
    <w:p w14:paraId="2429F140">
      <w:pPr>
        <w:pStyle w:val="32"/>
        <w:rPr>
          <w:rFonts w:hint="eastAsia" w:ascii="宋体" w:hAnsi="宋体" w:cs="宋体"/>
          <w:color w:val="auto"/>
        </w:rPr>
      </w:pPr>
      <w:r>
        <w:rPr>
          <w:rFonts w:hint="eastAsia" w:ascii="宋体" w:hAnsi="宋体" w:cs="宋体"/>
          <w:color w:val="auto"/>
        </w:rPr>
        <w:t> </w:t>
      </w:r>
    </w:p>
    <w:p w14:paraId="32ABE4D1">
      <w:pPr>
        <w:pStyle w:val="32"/>
        <w:rPr>
          <w:rFonts w:hint="eastAsia" w:ascii="宋体" w:hAnsi="宋体" w:cs="宋体"/>
          <w:color w:val="auto"/>
        </w:rPr>
      </w:pPr>
    </w:p>
    <w:p w14:paraId="08981FC4">
      <w:pPr>
        <w:spacing w:line="460" w:lineRule="exact"/>
        <w:ind w:firstLine="480"/>
        <w:rPr>
          <w:rFonts w:ascii="宋体" w:hAnsi="宋体" w:cs="宋体"/>
          <w:bCs/>
          <w:color w:val="auto"/>
          <w:sz w:val="24"/>
        </w:rPr>
      </w:pPr>
      <w:r>
        <w:rPr>
          <w:rFonts w:hint="eastAsia" w:ascii="宋体" w:hAnsi="宋体" w:cs="宋体"/>
          <w:bCs/>
          <w:color w:val="auto"/>
          <w:sz w:val="24"/>
        </w:rPr>
        <w:t xml:space="preserve">                                       供应商名称（公章）：</w:t>
      </w:r>
    </w:p>
    <w:p w14:paraId="4DBC731A">
      <w:pPr>
        <w:spacing w:line="460" w:lineRule="exact"/>
        <w:ind w:firstLine="480"/>
        <w:rPr>
          <w:rFonts w:ascii="宋体" w:hAnsi="宋体" w:cs="宋体"/>
          <w:bCs/>
          <w:color w:val="auto"/>
          <w:sz w:val="24"/>
        </w:rPr>
      </w:pPr>
      <w:r>
        <w:rPr>
          <w:rFonts w:hint="eastAsia" w:ascii="宋体" w:hAnsi="宋体" w:cs="宋体"/>
          <w:bCs/>
          <w:color w:val="auto"/>
          <w:sz w:val="24"/>
        </w:rPr>
        <w:t xml:space="preserve">                     法定代表人或授权委托人（签字或盖章）：</w:t>
      </w:r>
    </w:p>
    <w:p w14:paraId="7C997273">
      <w:pPr>
        <w:spacing w:line="460" w:lineRule="exact"/>
        <w:ind w:firstLine="480"/>
        <w:rPr>
          <w:rFonts w:ascii="宋体" w:hAnsi="宋体" w:cs="宋体"/>
          <w:bCs/>
          <w:color w:val="auto"/>
          <w:sz w:val="24"/>
        </w:rPr>
      </w:pPr>
      <w:r>
        <w:rPr>
          <w:rFonts w:hint="eastAsia" w:ascii="宋体" w:hAnsi="宋体" w:cs="宋体"/>
          <w:bCs/>
          <w:color w:val="auto"/>
          <w:sz w:val="24"/>
        </w:rPr>
        <w:t xml:space="preserve">                              日期：______年</w:t>
      </w:r>
      <w:r>
        <w:rPr>
          <w:rFonts w:hint="eastAsia" w:ascii="宋体" w:hAnsi="宋体" w:cs="宋体"/>
          <w:bCs/>
          <w:color w:val="auto"/>
          <w:sz w:val="24"/>
          <w:u w:val="single"/>
        </w:rPr>
        <w:t xml:space="preserve">    </w:t>
      </w:r>
      <w:r>
        <w:rPr>
          <w:rFonts w:hint="eastAsia" w:ascii="宋体" w:hAnsi="宋体" w:cs="宋体"/>
          <w:bCs/>
          <w:color w:val="auto"/>
          <w:sz w:val="24"/>
        </w:rPr>
        <w:t>月</w:t>
      </w:r>
      <w:r>
        <w:rPr>
          <w:rFonts w:hint="eastAsia" w:ascii="宋体" w:hAnsi="宋体" w:cs="宋体"/>
          <w:bCs/>
          <w:color w:val="auto"/>
          <w:sz w:val="24"/>
          <w:u w:val="single"/>
        </w:rPr>
        <w:t xml:space="preserve">    </w:t>
      </w:r>
      <w:r>
        <w:rPr>
          <w:rFonts w:hint="eastAsia" w:ascii="宋体" w:hAnsi="宋体" w:cs="宋体"/>
          <w:bCs/>
          <w:color w:val="auto"/>
          <w:sz w:val="24"/>
        </w:rPr>
        <w:t>日</w:t>
      </w:r>
    </w:p>
    <w:p w14:paraId="49A716BD">
      <w:pPr>
        <w:pStyle w:val="32"/>
        <w:rPr>
          <w:rFonts w:hint="eastAsia" w:ascii="宋体" w:hAnsi="宋体" w:cs="宋体"/>
          <w:color w:val="auto"/>
        </w:rPr>
      </w:pPr>
    </w:p>
    <w:p w14:paraId="67D66E89">
      <w:pPr>
        <w:pStyle w:val="32"/>
        <w:rPr>
          <w:rFonts w:hint="eastAsia" w:ascii="宋体" w:hAnsi="宋体" w:cs="宋体"/>
          <w:i/>
          <w:color w:val="auto"/>
          <w:sz w:val="32"/>
          <w:szCs w:val="32"/>
          <w:u w:val="single"/>
        </w:rPr>
      </w:pPr>
    </w:p>
    <w:p w14:paraId="2333EF82">
      <w:pPr>
        <w:pStyle w:val="32"/>
        <w:rPr>
          <w:rFonts w:hint="eastAsia" w:ascii="宋体" w:hAnsi="宋体" w:cs="宋体"/>
          <w:i/>
          <w:color w:val="auto"/>
          <w:sz w:val="32"/>
          <w:szCs w:val="32"/>
          <w:u w:val="single"/>
        </w:rPr>
      </w:pPr>
    </w:p>
    <w:p w14:paraId="0AF221FE">
      <w:pPr>
        <w:pStyle w:val="32"/>
        <w:rPr>
          <w:rFonts w:hint="eastAsia" w:ascii="宋体" w:hAnsi="宋体" w:cs="宋体"/>
          <w:i/>
          <w:color w:val="auto"/>
          <w:sz w:val="32"/>
          <w:szCs w:val="32"/>
          <w:u w:val="single"/>
        </w:rPr>
      </w:pPr>
    </w:p>
    <w:p w14:paraId="7B9346AE">
      <w:pPr>
        <w:pStyle w:val="32"/>
        <w:rPr>
          <w:rFonts w:hint="eastAsia" w:ascii="宋体" w:hAnsi="宋体" w:cs="宋体"/>
          <w:i/>
          <w:color w:val="auto"/>
          <w:sz w:val="32"/>
          <w:szCs w:val="32"/>
          <w:u w:val="single"/>
        </w:rPr>
      </w:pPr>
    </w:p>
    <w:p w14:paraId="0A134555">
      <w:pPr>
        <w:pStyle w:val="32"/>
        <w:rPr>
          <w:rFonts w:hint="eastAsia" w:ascii="宋体" w:hAnsi="宋体" w:cs="宋体"/>
          <w:i/>
          <w:color w:val="auto"/>
          <w:sz w:val="32"/>
          <w:szCs w:val="32"/>
          <w:u w:val="single"/>
        </w:rPr>
      </w:pPr>
    </w:p>
    <w:p w14:paraId="2A5AF500">
      <w:pPr>
        <w:pStyle w:val="32"/>
        <w:rPr>
          <w:rFonts w:hint="eastAsia" w:ascii="宋体" w:hAnsi="宋体" w:cs="宋体"/>
          <w:i/>
          <w:color w:val="auto"/>
          <w:sz w:val="32"/>
          <w:szCs w:val="32"/>
          <w:u w:val="single"/>
        </w:rPr>
      </w:pPr>
    </w:p>
    <w:p w14:paraId="0238D324">
      <w:pPr>
        <w:pStyle w:val="32"/>
        <w:rPr>
          <w:rFonts w:hint="eastAsia" w:ascii="宋体" w:hAnsi="宋体" w:cs="宋体"/>
          <w:i/>
          <w:color w:val="auto"/>
          <w:sz w:val="32"/>
          <w:szCs w:val="32"/>
          <w:u w:val="single"/>
        </w:rPr>
      </w:pPr>
    </w:p>
    <w:p w14:paraId="616FE4BA">
      <w:pPr>
        <w:pStyle w:val="32"/>
        <w:rPr>
          <w:rFonts w:hint="eastAsia" w:ascii="宋体" w:hAnsi="宋体" w:cs="宋体"/>
          <w:i/>
          <w:color w:val="auto"/>
          <w:sz w:val="32"/>
          <w:szCs w:val="32"/>
          <w:u w:val="single"/>
        </w:rPr>
      </w:pPr>
    </w:p>
    <w:p w14:paraId="72EA3C91">
      <w:pPr>
        <w:pStyle w:val="32"/>
        <w:rPr>
          <w:rFonts w:hint="eastAsia" w:ascii="宋体" w:hAnsi="宋体" w:cs="宋体"/>
          <w:i/>
          <w:color w:val="auto"/>
          <w:sz w:val="32"/>
          <w:szCs w:val="32"/>
          <w:u w:val="single"/>
        </w:rPr>
      </w:pPr>
    </w:p>
    <w:p w14:paraId="0152C970">
      <w:pPr>
        <w:pStyle w:val="32"/>
        <w:rPr>
          <w:rFonts w:hint="eastAsia" w:ascii="宋体" w:hAnsi="宋体" w:cs="宋体"/>
          <w:i/>
          <w:color w:val="auto"/>
          <w:sz w:val="32"/>
          <w:szCs w:val="32"/>
          <w:u w:val="single"/>
        </w:rPr>
      </w:pPr>
    </w:p>
    <w:p w14:paraId="229B9400">
      <w:pPr>
        <w:pStyle w:val="32"/>
        <w:rPr>
          <w:rFonts w:hint="eastAsia" w:ascii="宋体" w:hAnsi="宋体" w:cs="宋体"/>
          <w:i/>
          <w:color w:val="auto"/>
          <w:sz w:val="32"/>
          <w:szCs w:val="32"/>
          <w:u w:val="single"/>
        </w:rPr>
      </w:pPr>
    </w:p>
    <w:p w14:paraId="1869CE44">
      <w:pPr>
        <w:pStyle w:val="32"/>
        <w:rPr>
          <w:rFonts w:hint="eastAsia" w:ascii="宋体" w:hAnsi="宋体" w:cs="宋体"/>
          <w:i/>
          <w:color w:val="auto"/>
          <w:sz w:val="32"/>
          <w:szCs w:val="32"/>
          <w:u w:val="single"/>
        </w:rPr>
      </w:pPr>
    </w:p>
    <w:p w14:paraId="4608DA97">
      <w:pPr>
        <w:pStyle w:val="32"/>
        <w:rPr>
          <w:rFonts w:hint="eastAsia" w:ascii="宋体" w:hAnsi="宋体" w:cs="宋体"/>
          <w:i/>
          <w:color w:val="auto"/>
          <w:sz w:val="32"/>
          <w:szCs w:val="32"/>
          <w:u w:val="single"/>
        </w:rPr>
      </w:pPr>
    </w:p>
    <w:p w14:paraId="7EFBE7CE">
      <w:pPr>
        <w:pStyle w:val="32"/>
        <w:jc w:val="center"/>
        <w:outlineLvl w:val="9"/>
        <w:rPr>
          <w:rFonts w:hint="eastAsia" w:ascii="宋体" w:hAnsi="宋体" w:cs="宋体"/>
          <w:b/>
          <w:color w:val="auto"/>
          <w:sz w:val="28"/>
          <w:szCs w:val="28"/>
        </w:rPr>
      </w:pPr>
    </w:p>
    <w:p w14:paraId="511E7464">
      <w:pPr>
        <w:pStyle w:val="32"/>
        <w:jc w:val="center"/>
        <w:outlineLvl w:val="1"/>
        <w:rPr>
          <w:rFonts w:hint="eastAsia" w:ascii="宋体" w:hAnsi="宋体" w:cs="宋体"/>
          <w:b/>
          <w:color w:val="auto"/>
          <w:sz w:val="28"/>
          <w:szCs w:val="28"/>
        </w:rPr>
      </w:pPr>
      <w:r>
        <w:rPr>
          <w:rFonts w:hint="eastAsia" w:ascii="宋体" w:hAnsi="宋体" w:cs="宋体"/>
          <w:b/>
          <w:color w:val="auto"/>
          <w:sz w:val="28"/>
          <w:szCs w:val="28"/>
        </w:rPr>
        <w:t>六、特定资格要求的证明文件</w:t>
      </w:r>
    </w:p>
    <w:p w14:paraId="59819D05">
      <w:pPr>
        <w:tabs>
          <w:tab w:val="left" w:pos="669"/>
        </w:tabs>
        <w:ind w:firstLine="420" w:firstLineChars="200"/>
        <w:jc w:val="left"/>
        <w:rPr>
          <w:rFonts w:ascii="宋体" w:hAnsi="宋体" w:cs="宋体"/>
          <w:color w:val="auto"/>
        </w:rPr>
      </w:pPr>
      <w:r>
        <w:rPr>
          <w:rFonts w:hint="eastAsia" w:ascii="宋体" w:hAnsi="宋体" w:cs="宋体"/>
          <w:color w:val="auto"/>
        </w:rPr>
        <w:t>如果本项目申请人的特定资格要求中要求提供的，必须提供。</w:t>
      </w:r>
    </w:p>
    <w:p w14:paraId="09206838">
      <w:pPr>
        <w:spacing w:line="360" w:lineRule="auto"/>
        <w:rPr>
          <w:rFonts w:hint="eastAsia" w:ascii="宋体" w:hAnsi="宋体" w:eastAsia="宋体"/>
          <w:color w:val="auto"/>
        </w:rPr>
      </w:pPr>
    </w:p>
    <w:p w14:paraId="60F29414">
      <w:pPr>
        <w:widowControl/>
        <w:spacing w:line="360" w:lineRule="auto"/>
        <w:jc w:val="left"/>
        <w:rPr>
          <w:rFonts w:hint="eastAsia" w:ascii="宋体" w:hAnsi="宋体" w:eastAsia="宋体"/>
          <w:color w:val="auto"/>
        </w:rPr>
      </w:pPr>
      <w:r>
        <w:rPr>
          <w:rFonts w:hint="eastAsia" w:ascii="宋体" w:hAnsi="宋体" w:eastAsia="宋体"/>
          <w:color w:val="auto"/>
        </w:rPr>
        <w:br w:type="page" w:clear="all"/>
      </w:r>
    </w:p>
    <w:p w14:paraId="79B31A3E">
      <w:pPr>
        <w:jc w:val="center"/>
        <w:outlineLvl w:val="1"/>
        <w:rPr>
          <w:rFonts w:hint="eastAsia" w:ascii="宋体" w:hAnsi="宋体" w:eastAsia="宋体" w:cs="Times New Roman"/>
          <w:b/>
          <w:bCs/>
          <w:color w:val="auto"/>
          <w:sz w:val="30"/>
          <w:szCs w:val="30"/>
          <w14:ligatures w14:val="none"/>
        </w:rPr>
      </w:pPr>
      <w:bookmarkStart w:id="109" w:name="_Toc197644586"/>
      <w:bookmarkStart w:id="110" w:name="OLE_LINK6"/>
      <w:r>
        <w:rPr>
          <w:rFonts w:hint="eastAsia" w:ascii="宋体" w:hAnsi="宋体" w:eastAsia="宋体" w:cs="黑体"/>
          <w:b/>
          <w:bCs/>
          <w:i/>
          <w:color w:val="auto"/>
          <w:sz w:val="30"/>
          <w:szCs w:val="30"/>
          <w:u w:val="single"/>
          <w14:ligatures w14:val="none"/>
        </w:rPr>
        <w:t>七、法人授权书</w:t>
      </w:r>
      <w:bookmarkEnd w:id="109"/>
    </w:p>
    <w:p w14:paraId="4A1FF49D">
      <w:pPr>
        <w:tabs>
          <w:tab w:val="left" w:pos="360"/>
        </w:tabs>
        <w:spacing w:line="360" w:lineRule="auto"/>
        <w:rPr>
          <w:rFonts w:hint="eastAsia" w:ascii="宋体" w:hAnsi="宋体" w:eastAsia="宋体" w:cs="Times New Roman"/>
          <w:color w:val="auto"/>
          <w:sz w:val="24"/>
          <w:szCs w:val="24"/>
          <w14:ligatures w14:val="none"/>
        </w:rPr>
      </w:pPr>
    </w:p>
    <w:p w14:paraId="4B3F7956">
      <w:pPr>
        <w:tabs>
          <w:tab w:val="left" w:pos="360"/>
        </w:tabs>
        <w:spacing w:line="360" w:lineRule="auto"/>
        <w:ind w:firstLine="420"/>
        <w:rPr>
          <w:rFonts w:hint="eastAsia" w:ascii="宋体" w:hAnsi="宋体" w:eastAsia="宋体" w:cs="Times New Roman"/>
          <w:color w:val="auto"/>
          <w:szCs w:val="21"/>
          <w14:ligatures w14:val="none"/>
        </w:rPr>
      </w:pPr>
      <w:r>
        <w:rPr>
          <w:rFonts w:ascii="宋体" w:hAnsi="宋体" w:eastAsia="宋体" w:cs="Times New Roman"/>
          <w:color w:val="auto"/>
          <w:szCs w:val="21"/>
          <w14:ligatures w14:val="none"/>
        </w:rPr>
        <w:t>本授权书声明：____________（投标人名称）授权________________（被授权人的姓名）为我方就</w:t>
      </w:r>
      <w:r>
        <w:rPr>
          <w:rFonts w:hint="eastAsia" w:ascii="宋体" w:hAnsi="宋体" w:eastAsia="宋体" w:cs="宋体"/>
          <w:color w:val="auto"/>
          <w:szCs w:val="21"/>
          <w:u w:val="single"/>
          <w:lang w:val="en-US" w:eastAsia="zh-CN"/>
        </w:rPr>
        <w:t xml:space="preserve">            </w:t>
      </w:r>
      <w:r>
        <w:rPr>
          <w:rFonts w:ascii="宋体" w:hAnsi="宋体" w:eastAsia="宋体" w:cs="Times New Roman"/>
          <w:color w:val="auto"/>
          <w:szCs w:val="21"/>
          <w14:ligatures w14:val="none"/>
        </w:rPr>
        <w:t>号项目采购活动的合法代理人，以本单位名义全权处理一切与该项目采购有关的事务。</w:t>
      </w:r>
    </w:p>
    <w:p w14:paraId="18F479F6">
      <w:pPr>
        <w:tabs>
          <w:tab w:val="left" w:pos="360"/>
        </w:tabs>
        <w:spacing w:line="360" w:lineRule="auto"/>
        <w:ind w:firstLine="480"/>
        <w:rPr>
          <w:rFonts w:hint="eastAsia" w:ascii="宋体" w:hAnsi="宋体" w:eastAsia="宋体" w:cs="Times New Roman"/>
          <w:color w:val="auto"/>
          <w:szCs w:val="21"/>
          <w14:ligatures w14:val="none"/>
        </w:rPr>
      </w:pPr>
      <w:r>
        <w:rPr>
          <w:rFonts w:ascii="宋体" w:hAnsi="宋体" w:eastAsia="宋体" w:cs="Times New Roman"/>
          <w:color w:val="auto"/>
          <w:szCs w:val="21"/>
          <w14:ligatures w14:val="none"/>
        </w:rPr>
        <w:t>本授权书于______年____月____日起生效，特此声明。</w:t>
      </w:r>
    </w:p>
    <w:p w14:paraId="03AD3C08">
      <w:pPr>
        <w:tabs>
          <w:tab w:val="left" w:pos="360"/>
        </w:tabs>
        <w:spacing w:line="360" w:lineRule="auto"/>
        <w:ind w:firstLine="420" w:firstLineChars="200"/>
        <w:rPr>
          <w:rFonts w:hint="eastAsia" w:ascii="宋体" w:hAnsi="宋体" w:eastAsia="宋体" w:cs="Times New Roman"/>
          <w:color w:val="auto"/>
          <w:szCs w:val="21"/>
          <w14:ligatures w14:val="none"/>
        </w:rPr>
      </w:pPr>
      <w:r>
        <w:rPr>
          <w:rFonts w:ascii="宋体" w:hAnsi="宋体" w:eastAsia="宋体" w:cs="Times New Roman"/>
          <w:color w:val="auto"/>
          <w:szCs w:val="21"/>
          <w14:ligatures w14:val="none"/>
        </w:rPr>
        <w:t>被授权人身份证号码：</w:t>
      </w:r>
      <w:r>
        <w:rPr>
          <w:rFonts w:ascii="宋体" w:hAnsi="宋体" w:eastAsia="宋体" w:cs="Times New Roman"/>
          <w:color w:val="auto"/>
          <w:szCs w:val="21"/>
          <w:u w:val="single"/>
          <w14:ligatures w14:val="none"/>
        </w:rPr>
        <w:t>                 </w:t>
      </w:r>
    </w:p>
    <w:p w14:paraId="5FDC8629">
      <w:pPr>
        <w:tabs>
          <w:tab w:val="left" w:pos="360"/>
        </w:tabs>
        <w:spacing w:line="360" w:lineRule="auto"/>
        <w:ind w:firstLine="420" w:firstLineChars="200"/>
        <w:rPr>
          <w:rFonts w:hint="eastAsia" w:ascii="宋体" w:hAnsi="宋体" w:eastAsia="宋体" w:cs="Times New Roman"/>
          <w:color w:val="auto"/>
          <w:szCs w:val="21"/>
          <w14:ligatures w14:val="none"/>
        </w:rPr>
      </w:pPr>
      <w:r>
        <w:rPr>
          <w:rFonts w:ascii="宋体" w:hAnsi="宋体" w:eastAsia="宋体" w:cs="Times New Roman"/>
          <w:color w:val="auto"/>
          <w:szCs w:val="21"/>
          <w14:ligatures w14:val="none"/>
        </w:rPr>
        <w:t>被授权人联系电话：（手机）</w:t>
      </w:r>
      <w:r>
        <w:rPr>
          <w:rFonts w:ascii="宋体" w:hAnsi="宋体" w:eastAsia="宋体" w:cs="Times New Roman"/>
          <w:color w:val="auto"/>
          <w:szCs w:val="21"/>
          <w:u w:val="single"/>
          <w14:ligatures w14:val="none"/>
        </w:rPr>
        <w:t>              </w:t>
      </w:r>
    </w:p>
    <w:p w14:paraId="576DB505">
      <w:pPr>
        <w:tabs>
          <w:tab w:val="left" w:pos="360"/>
        </w:tabs>
        <w:spacing w:line="360" w:lineRule="auto"/>
        <w:ind w:firstLine="420" w:firstLineChars="200"/>
        <w:rPr>
          <w:rFonts w:hint="eastAsia" w:ascii="宋体" w:hAnsi="宋体" w:eastAsia="宋体" w:cs="Times New Roman"/>
          <w:color w:val="auto"/>
          <w:szCs w:val="21"/>
          <w:u w:val="single"/>
          <w14:ligatures w14:val="none"/>
        </w:rPr>
      </w:pPr>
      <w:r>
        <w:rPr>
          <w:rFonts w:ascii="宋体" w:hAnsi="宋体" w:eastAsia="宋体" w:cs="Times New Roman"/>
          <w:color w:val="auto"/>
          <w:szCs w:val="21"/>
          <w14:ligatures w14:val="none"/>
        </w:rPr>
        <w:t>授权单位名称：</w:t>
      </w:r>
      <w:r>
        <w:rPr>
          <w:rFonts w:ascii="宋体" w:hAnsi="宋体" w:eastAsia="宋体" w:cs="Times New Roman"/>
          <w:color w:val="auto"/>
          <w:szCs w:val="21"/>
          <w:u w:val="single"/>
          <w14:ligatures w14:val="none"/>
        </w:rPr>
        <w:t>（加盖CA电子公章）</w:t>
      </w:r>
    </w:p>
    <w:p w14:paraId="78B49E1D">
      <w:pPr>
        <w:tabs>
          <w:tab w:val="left" w:pos="360"/>
        </w:tabs>
        <w:spacing w:line="360" w:lineRule="auto"/>
        <w:ind w:firstLine="420" w:firstLineChars="200"/>
        <w:rPr>
          <w:rFonts w:hint="eastAsia" w:ascii="宋体" w:hAnsi="宋体" w:eastAsia="宋体" w:cs="Times New Roman"/>
          <w:color w:val="auto"/>
          <w:szCs w:val="21"/>
          <w:u w:val="single"/>
          <w14:ligatures w14:val="none"/>
        </w:rPr>
      </w:pPr>
      <w:r>
        <w:rPr>
          <w:rFonts w:ascii="宋体" w:hAnsi="宋体" w:eastAsia="宋体" w:cs="Times New Roman"/>
          <w:color w:val="auto"/>
          <w:szCs w:val="21"/>
          <w14:ligatures w14:val="none"/>
        </w:rPr>
        <w:t>单位地址：</w:t>
      </w:r>
      <w:r>
        <w:rPr>
          <w:rFonts w:ascii="宋体" w:hAnsi="宋体" w:eastAsia="宋体" w:cs="Times New Roman"/>
          <w:color w:val="auto"/>
          <w:szCs w:val="21"/>
          <w:u w:val="single"/>
          <w14:ligatures w14:val="none"/>
        </w:rPr>
        <w:t>                      </w:t>
      </w:r>
    </w:p>
    <w:p w14:paraId="47EF5118">
      <w:pPr>
        <w:tabs>
          <w:tab w:val="left" w:pos="360"/>
        </w:tabs>
        <w:spacing w:line="360" w:lineRule="auto"/>
        <w:ind w:firstLine="420" w:firstLineChars="200"/>
        <w:rPr>
          <w:rFonts w:hint="eastAsia" w:ascii="宋体" w:hAnsi="宋体" w:eastAsia="宋体" w:cs="Times New Roman"/>
          <w:color w:val="auto"/>
          <w:szCs w:val="21"/>
          <w14:ligatures w14:val="none"/>
        </w:rPr>
      </w:pPr>
      <w:r>
        <w:rPr>
          <w:rFonts w:ascii="宋体" w:hAnsi="宋体" w:eastAsia="宋体" w:cs="Times New Roman"/>
          <w:color w:val="auto"/>
          <w:szCs w:val="21"/>
          <w14:ligatures w14:val="none"/>
        </w:rPr>
        <w:t>日期：</w:t>
      </w:r>
      <w:r>
        <w:rPr>
          <w:rFonts w:ascii="宋体" w:hAnsi="宋体" w:eastAsia="宋体" w:cs="Times New Roman"/>
          <w:color w:val="auto"/>
          <w:szCs w:val="21"/>
          <w:u w:val="single"/>
          <w14:ligatures w14:val="none"/>
        </w:rPr>
        <w:t>                        </w:t>
      </w:r>
      <w:bookmarkEnd w:id="110"/>
    </w:p>
    <w:p w14:paraId="28FA2C83">
      <w:pPr>
        <w:rPr>
          <w:rFonts w:hint="eastAsia" w:ascii="宋体" w:hAnsi="宋体" w:eastAsia="宋体" w:cs="Times New Roman"/>
          <w:color w:val="auto"/>
          <w:sz w:val="24"/>
          <w:szCs w:val="24"/>
          <w14:ligatures w14:val="none"/>
        </w:rPr>
      </w:pPr>
    </w:p>
    <w:p w14:paraId="2364868F">
      <w:pPr>
        <w:widowControl/>
        <w:jc w:val="left"/>
        <w:rPr>
          <w:rFonts w:hint="eastAsia" w:ascii="宋体" w:hAnsi="宋体" w:eastAsia="宋体"/>
          <w:color w:val="auto"/>
        </w:rPr>
      </w:pPr>
    </w:p>
    <w:p w14:paraId="1801ED42">
      <w:pPr>
        <w:pStyle w:val="16"/>
        <w:rPr>
          <w:rFonts w:hint="eastAsia"/>
          <w:color w:val="auto"/>
        </w:rPr>
      </w:pPr>
    </w:p>
    <w:tbl>
      <w:tblPr>
        <w:tblStyle w:val="35"/>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2"/>
        <w:gridCol w:w="4478"/>
      </w:tblGrid>
      <w:tr w14:paraId="29D7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4172" w:type="dxa"/>
            <w:noWrap w:val="0"/>
            <w:vAlign w:val="top"/>
          </w:tcPr>
          <w:p w14:paraId="24417851">
            <w:pPr>
              <w:spacing w:line="460" w:lineRule="exact"/>
              <w:ind w:firstLine="480"/>
              <w:jc w:val="center"/>
              <w:rPr>
                <w:rFonts w:ascii="宋体" w:hAnsi="宋体" w:cs="宋体"/>
                <w:bCs/>
                <w:color w:val="auto"/>
                <w:sz w:val="24"/>
              </w:rPr>
            </w:pPr>
            <w:r>
              <w:rPr>
                <w:rFonts w:hint="eastAsia" w:ascii="宋体" w:hAnsi="宋体" w:cs="宋体"/>
                <w:bCs/>
                <w:color w:val="auto"/>
                <w:sz w:val="24"/>
              </w:rPr>
              <w:t>法人身份证复印件</w:t>
            </w:r>
          </w:p>
          <w:p w14:paraId="7CBDC984">
            <w:pPr>
              <w:pStyle w:val="209"/>
              <w:ind w:firstLine="480"/>
              <w:jc w:val="center"/>
              <w:rPr>
                <w:rFonts w:ascii="宋体" w:hAnsi="宋体" w:cs="宋体"/>
                <w:color w:val="auto"/>
              </w:rPr>
            </w:pPr>
            <w:r>
              <w:rPr>
                <w:rFonts w:hint="eastAsia" w:ascii="宋体" w:hAnsi="宋体" w:cs="宋体"/>
                <w:bCs/>
                <w:color w:val="auto"/>
              </w:rPr>
              <w:t>粘贴区</w:t>
            </w:r>
          </w:p>
        </w:tc>
        <w:tc>
          <w:tcPr>
            <w:tcW w:w="4478" w:type="dxa"/>
            <w:noWrap w:val="0"/>
            <w:vAlign w:val="top"/>
          </w:tcPr>
          <w:p w14:paraId="707BB426">
            <w:pPr>
              <w:spacing w:line="460" w:lineRule="exact"/>
              <w:ind w:firstLine="480"/>
              <w:jc w:val="center"/>
              <w:rPr>
                <w:rFonts w:ascii="宋体" w:hAnsi="宋体" w:cs="宋体"/>
                <w:bCs/>
                <w:color w:val="auto"/>
                <w:sz w:val="24"/>
              </w:rPr>
            </w:pPr>
            <w:r>
              <w:rPr>
                <w:rFonts w:hint="eastAsia" w:ascii="宋体" w:hAnsi="宋体" w:cs="宋体"/>
                <w:bCs/>
                <w:color w:val="auto"/>
                <w:sz w:val="24"/>
              </w:rPr>
              <w:t>被授权人身份证复印件</w:t>
            </w:r>
          </w:p>
          <w:p w14:paraId="20D2CBC6">
            <w:pPr>
              <w:pStyle w:val="209"/>
              <w:ind w:firstLine="480"/>
              <w:jc w:val="center"/>
              <w:rPr>
                <w:rFonts w:ascii="宋体" w:hAnsi="宋体" w:cs="宋体"/>
                <w:bCs/>
                <w:color w:val="auto"/>
              </w:rPr>
            </w:pPr>
            <w:r>
              <w:rPr>
                <w:rFonts w:hint="eastAsia" w:ascii="宋体" w:hAnsi="宋体" w:cs="宋体"/>
                <w:bCs/>
                <w:color w:val="auto"/>
              </w:rPr>
              <w:t>粘贴区</w:t>
            </w:r>
          </w:p>
        </w:tc>
      </w:tr>
    </w:tbl>
    <w:p w14:paraId="400A06A6">
      <w:pPr>
        <w:widowControl/>
        <w:jc w:val="left"/>
        <w:rPr>
          <w:rFonts w:hint="eastAsia" w:ascii="宋体" w:hAnsi="宋体" w:eastAsia="宋体"/>
          <w:color w:val="auto"/>
        </w:rPr>
      </w:pPr>
    </w:p>
    <w:p w14:paraId="40EF4744">
      <w:pPr>
        <w:spacing w:line="360" w:lineRule="auto"/>
        <w:jc w:val="center"/>
        <w:outlineLvl w:val="9"/>
        <w:rPr>
          <w:rFonts w:hint="eastAsia" w:ascii="宋体" w:hAnsi="宋体" w:eastAsia="宋体" w:cs="黑体"/>
          <w:b/>
          <w:bCs/>
          <w:i/>
          <w:color w:val="auto"/>
          <w:sz w:val="30"/>
          <w:szCs w:val="30"/>
          <w:u w:val="single"/>
        </w:rPr>
      </w:pPr>
      <w:bookmarkStart w:id="111" w:name="_Toc197644587"/>
    </w:p>
    <w:p w14:paraId="2BAF06D5">
      <w:pPr>
        <w:spacing w:line="360" w:lineRule="auto"/>
        <w:jc w:val="center"/>
        <w:outlineLvl w:val="9"/>
        <w:rPr>
          <w:rFonts w:hint="eastAsia" w:ascii="宋体" w:hAnsi="宋体" w:eastAsia="宋体" w:cs="黑体"/>
          <w:b/>
          <w:bCs/>
          <w:i/>
          <w:color w:val="auto"/>
          <w:sz w:val="30"/>
          <w:szCs w:val="30"/>
          <w:u w:val="single"/>
        </w:rPr>
        <w:sectPr>
          <w:footerReference r:id="rId3" w:type="default"/>
          <w:pgSz w:w="11906" w:h="16838"/>
          <w:pgMar w:top="1417" w:right="1701" w:bottom="1417" w:left="1701" w:header="851" w:footer="680" w:gutter="0"/>
          <w:pgNumType w:fmt="decimal" w:start="1"/>
          <w:cols w:space="0" w:num="1"/>
          <w:rtlGutter w:val="0"/>
          <w:docGrid w:linePitch="360" w:charSpace="0"/>
        </w:sectPr>
      </w:pPr>
    </w:p>
    <w:p w14:paraId="14C02987">
      <w:pPr>
        <w:spacing w:line="360" w:lineRule="auto"/>
        <w:jc w:val="center"/>
        <w:outlineLvl w:val="1"/>
        <w:rPr>
          <w:rFonts w:hint="eastAsia" w:ascii="宋体" w:hAnsi="宋体" w:eastAsia="宋体"/>
          <w:b/>
          <w:bCs/>
          <w:i/>
          <w:color w:val="auto"/>
          <w:sz w:val="30"/>
          <w:szCs w:val="30"/>
          <w:u w:val="single"/>
        </w:rPr>
      </w:pPr>
      <w:r>
        <w:rPr>
          <w:rFonts w:hint="eastAsia" w:ascii="宋体" w:hAnsi="宋体" w:eastAsia="宋体" w:cs="黑体"/>
          <w:b/>
          <w:bCs/>
          <w:i/>
          <w:color w:val="auto"/>
          <w:sz w:val="30"/>
          <w:szCs w:val="30"/>
          <w:u w:val="single"/>
        </w:rPr>
        <w:t>八、投标函</w:t>
      </w:r>
      <w:bookmarkEnd w:id="111"/>
    </w:p>
    <w:p w14:paraId="4B8F6061">
      <w:pPr>
        <w:spacing w:line="360" w:lineRule="auto"/>
        <w:rPr>
          <w:rFonts w:hint="eastAsia" w:ascii="宋体" w:hAnsi="宋体" w:eastAsia="宋体"/>
          <w:color w:val="auto"/>
        </w:rPr>
      </w:pPr>
    </w:p>
    <w:p w14:paraId="415BAB4F">
      <w:pPr>
        <w:spacing w:line="360" w:lineRule="auto"/>
        <w:jc w:val="left"/>
        <w:rPr>
          <w:rFonts w:hint="eastAsia" w:ascii="宋体" w:hAnsi="宋体" w:eastAsia="宋体" w:cs="宋体"/>
          <w:b/>
          <w:bCs/>
          <w:color w:val="auto"/>
          <w:szCs w:val="21"/>
          <w14:ligatures w14:val="none"/>
        </w:rPr>
      </w:pPr>
      <w:r>
        <w:rPr>
          <w:rFonts w:hint="eastAsia" w:ascii="宋体" w:hAnsi="宋体" w:eastAsia="宋体" w:cs="宋体"/>
          <w:b/>
          <w:bCs/>
          <w:color w:val="auto"/>
          <w:szCs w:val="21"/>
          <w14:ligatures w14:val="none"/>
        </w:rPr>
        <w:t xml:space="preserve">致： </w:t>
      </w:r>
      <w:r>
        <w:rPr>
          <w:rFonts w:hint="eastAsia" w:ascii="宋体" w:hAnsi="宋体" w:eastAsia="宋体" w:cs="宋体"/>
          <w:b/>
          <w:bCs/>
          <w:color w:val="auto"/>
          <w:szCs w:val="21"/>
          <w:lang w:eastAsia="zh-CN"/>
          <w14:ligatures w14:val="none"/>
        </w:rPr>
        <w:t>射阳县公安局</w:t>
      </w:r>
    </w:p>
    <w:p w14:paraId="7F0193EE">
      <w:pPr>
        <w:spacing w:line="360" w:lineRule="auto"/>
        <w:ind w:firstLine="480"/>
        <w:jc w:val="left"/>
        <w:rPr>
          <w:rFonts w:hint="eastAsia" w:ascii="宋体" w:hAnsi="宋体" w:eastAsia="宋体" w:cs="Times New Roman"/>
          <w:color w:val="auto"/>
          <w:szCs w:val="21"/>
          <w14:ligatures w14:val="none"/>
        </w:rPr>
      </w:pPr>
      <w:bookmarkStart w:id="112" w:name="_Hlk195802303"/>
      <w:r>
        <w:rPr>
          <w:rFonts w:hint="eastAsia" w:ascii="宋体" w:hAnsi="宋体" w:eastAsia="宋体" w:cs="宋体"/>
          <w:color w:val="auto"/>
          <w:szCs w:val="21"/>
          <w14:ligatures w14:val="none"/>
        </w:rPr>
        <w:t>根据贵方的</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14:ligatures w14:val="none"/>
        </w:rPr>
        <w:t>号招标文件，正式授权下述签字人______(姓名)代表我方______________（投标人的名称），全权处理本次项目投标的有关事宜。</w:t>
      </w:r>
    </w:p>
    <w:bookmarkEnd w:id="112"/>
    <w:p w14:paraId="7A5D42CF">
      <w:pPr>
        <w:spacing w:line="360" w:lineRule="auto"/>
        <w:ind w:firstLine="480"/>
        <w:jc w:val="left"/>
        <w:rPr>
          <w:rFonts w:hint="eastAsia" w:ascii="宋体" w:hAnsi="宋体" w:eastAsia="宋体" w:cs="Times New Roman"/>
          <w:color w:val="auto"/>
          <w:szCs w:val="21"/>
          <w14:ligatures w14:val="none"/>
        </w:rPr>
      </w:pPr>
      <w:bookmarkStart w:id="113" w:name="_Hlk195802286"/>
      <w:r>
        <w:rPr>
          <w:rFonts w:hint="eastAsia" w:ascii="宋体" w:hAnsi="宋体" w:eastAsia="宋体" w:cs="宋体"/>
          <w:color w:val="auto"/>
          <w:szCs w:val="21"/>
          <w14:ligatures w14:val="none"/>
        </w:rPr>
        <w:t>据此函，__________签字人兹宣布同意如下：</w:t>
      </w:r>
    </w:p>
    <w:p w14:paraId="6C51A47D">
      <w:pPr>
        <w:spacing w:line="360" w:lineRule="auto"/>
        <w:ind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1.按招标文件规定的各项要求，向买方提供所需服务（包含与服务相关的货物）。</w:t>
      </w:r>
    </w:p>
    <w:p w14:paraId="506391E6">
      <w:pPr>
        <w:spacing w:line="360" w:lineRule="auto"/>
        <w:ind w:firstLine="480"/>
        <w:jc w:val="left"/>
        <w:outlineLvl w:val="2"/>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2.我们完全理解贵方不一定将合同授予最低报价的投标人。</w:t>
      </w:r>
    </w:p>
    <w:p w14:paraId="3EACBECF">
      <w:pPr>
        <w:spacing w:line="360" w:lineRule="auto"/>
        <w:ind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3.我们已详细审核全部招标文件及其有效补充文件，我们知道必须放弃提出含糊不清或误解问题的权利。</w:t>
      </w:r>
    </w:p>
    <w:p w14:paraId="7A4DC32C">
      <w:pPr>
        <w:spacing w:line="360" w:lineRule="auto"/>
        <w:ind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4.我们同意从规定的开标日期起遵循本投标文件，并在规定的投标有效期期满之前均具有约束力。</w:t>
      </w:r>
    </w:p>
    <w:p w14:paraId="17A2AE6E">
      <w:pPr>
        <w:spacing w:line="360" w:lineRule="auto"/>
        <w:ind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5.同意向贵方提供贵方可能另外要求的与投标有关的任何证据或资料，并保证我方已提供和将要提供的文件是真实的、准确的。</w:t>
      </w:r>
    </w:p>
    <w:p w14:paraId="6B121CF0">
      <w:pPr>
        <w:spacing w:line="360" w:lineRule="auto"/>
        <w:ind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6.一旦我方中标,我方将根据招标文件的规定，严格履行合同的责任和义务,并保证在招标文件规定的时间完成项目，交付买方验收、使用。</w:t>
      </w:r>
    </w:p>
    <w:p w14:paraId="0164FC20">
      <w:pPr>
        <w:spacing w:line="360" w:lineRule="auto"/>
        <w:ind w:firstLine="480"/>
        <w:jc w:val="left"/>
        <w:outlineLvl w:val="2"/>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7.与本投标有关的正式通讯地址为：</w:t>
      </w:r>
    </w:p>
    <w:p w14:paraId="2430227B">
      <w:pPr>
        <w:spacing w:line="360" w:lineRule="auto"/>
        <w:ind w:left="420"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地    址：</w:t>
      </w:r>
    </w:p>
    <w:p w14:paraId="3E59151A">
      <w:pPr>
        <w:spacing w:line="360" w:lineRule="auto"/>
        <w:ind w:left="420"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邮    编：</w:t>
      </w:r>
    </w:p>
    <w:p w14:paraId="3579693B">
      <w:pPr>
        <w:spacing w:line="360" w:lineRule="auto"/>
        <w:ind w:left="420"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电    话：</w:t>
      </w:r>
    </w:p>
    <w:p w14:paraId="23C6F6E0">
      <w:pPr>
        <w:spacing w:line="360" w:lineRule="auto"/>
        <w:ind w:left="420"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传    真：</w:t>
      </w:r>
    </w:p>
    <w:p w14:paraId="4678E1A7">
      <w:pPr>
        <w:spacing w:line="360" w:lineRule="auto"/>
        <w:ind w:left="420"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投标人开户行：</w:t>
      </w:r>
    </w:p>
    <w:p w14:paraId="73E9EC28">
      <w:pPr>
        <w:spacing w:line="360" w:lineRule="auto"/>
        <w:ind w:left="420"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账    号： </w:t>
      </w:r>
    </w:p>
    <w:p w14:paraId="01E4C5C9">
      <w:pPr>
        <w:spacing w:line="360" w:lineRule="auto"/>
        <w:ind w:left="420" w:firstLine="480"/>
        <w:jc w:val="left"/>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日    期：________年____月____日</w:t>
      </w:r>
      <w:bookmarkEnd w:id="113"/>
    </w:p>
    <w:p w14:paraId="56EF246F">
      <w:pPr>
        <w:spacing w:line="360" w:lineRule="auto"/>
        <w:rPr>
          <w:rFonts w:hint="eastAsia" w:ascii="宋体" w:hAnsi="宋体" w:eastAsia="宋体"/>
          <w:color w:val="auto"/>
        </w:rPr>
      </w:pPr>
    </w:p>
    <w:p w14:paraId="09D5B7D4">
      <w:pPr>
        <w:widowControl/>
        <w:jc w:val="left"/>
        <w:rPr>
          <w:rFonts w:hint="eastAsia" w:ascii="宋体" w:hAnsi="宋体" w:eastAsia="宋体"/>
          <w:color w:val="auto"/>
        </w:rPr>
      </w:pPr>
      <w:r>
        <w:rPr>
          <w:rFonts w:hint="eastAsia" w:ascii="宋体" w:hAnsi="宋体" w:eastAsia="宋体"/>
          <w:color w:val="auto"/>
        </w:rPr>
        <w:br w:type="page" w:clear="all"/>
      </w:r>
    </w:p>
    <w:p w14:paraId="1FD5D6E9">
      <w:pPr>
        <w:spacing w:line="360" w:lineRule="auto"/>
        <w:jc w:val="center"/>
        <w:outlineLvl w:val="1"/>
        <w:rPr>
          <w:rFonts w:hint="eastAsia" w:ascii="宋体" w:hAnsi="宋体" w:eastAsia="宋体"/>
          <w:b/>
          <w:bCs/>
          <w:iCs/>
          <w:color w:val="auto"/>
          <w:sz w:val="30"/>
          <w:szCs w:val="30"/>
        </w:rPr>
      </w:pPr>
      <w:bookmarkStart w:id="114" w:name="_Toc197644588"/>
      <w:r>
        <w:rPr>
          <w:rFonts w:hint="eastAsia" w:ascii="宋体" w:hAnsi="宋体" w:eastAsia="宋体" w:cs="黑体"/>
          <w:b/>
          <w:bCs/>
          <w:iCs/>
          <w:color w:val="auto"/>
          <w:sz w:val="30"/>
          <w:szCs w:val="30"/>
        </w:rPr>
        <w:t>九、</w:t>
      </w:r>
      <w:r>
        <w:rPr>
          <w:rFonts w:hint="eastAsia" w:ascii="宋体" w:hAnsi="宋体" w:eastAsia="宋体" w:cs="黑体"/>
          <w:b/>
          <w:bCs/>
          <w:color w:val="auto"/>
          <w:sz w:val="30"/>
          <w:szCs w:val="30"/>
        </w:rPr>
        <w:t>中</w:t>
      </w:r>
      <w:bookmarkStart w:id="115" w:name="OLE_LINK1"/>
      <w:r>
        <w:rPr>
          <w:rFonts w:hint="eastAsia" w:ascii="宋体" w:hAnsi="宋体" w:eastAsia="宋体" w:cs="黑体"/>
          <w:b/>
          <w:bCs/>
          <w:color w:val="auto"/>
          <w:sz w:val="30"/>
          <w:szCs w:val="30"/>
        </w:rPr>
        <w:t>小企业声明</w:t>
      </w:r>
      <w:bookmarkEnd w:id="115"/>
      <w:r>
        <w:rPr>
          <w:rFonts w:hint="eastAsia" w:ascii="宋体" w:hAnsi="宋体" w:eastAsia="宋体" w:cs="黑体"/>
          <w:b/>
          <w:bCs/>
          <w:color w:val="auto"/>
          <w:sz w:val="30"/>
          <w:szCs w:val="30"/>
        </w:rPr>
        <w:t>函（服务）</w:t>
      </w:r>
      <w:bookmarkEnd w:id="114"/>
    </w:p>
    <w:p w14:paraId="12B2988D">
      <w:pPr>
        <w:spacing w:line="360" w:lineRule="auto"/>
        <w:rPr>
          <w:rFonts w:hint="eastAsia" w:ascii="宋体" w:hAnsi="宋体" w:eastAsia="宋体"/>
          <w:color w:val="auto"/>
          <w:szCs w:val="21"/>
        </w:rPr>
      </w:pPr>
    </w:p>
    <w:p w14:paraId="65CC5F05">
      <w:pPr>
        <w:spacing w:line="360" w:lineRule="auto"/>
        <w:ind w:firstLine="372"/>
        <w:rPr>
          <w:rFonts w:hint="eastAsia" w:ascii="宋体" w:hAnsi="宋体" w:eastAsia="宋体"/>
          <w:color w:val="auto"/>
          <w:szCs w:val="21"/>
        </w:rPr>
      </w:pPr>
      <w:r>
        <w:rPr>
          <w:rFonts w:hint="eastAsia" w:ascii="宋体" w:hAnsi="宋体" w:eastAsia="宋体"/>
          <w:color w:val="auto"/>
          <w:szCs w:val="21"/>
        </w:rPr>
        <w:t>本公司郑重声明，根据《政府采购促进中小企业发展管理办法》（财库﹝2020﹞46 号）的规定，本公司参加</w:t>
      </w:r>
      <w:r>
        <w:rPr>
          <w:rFonts w:hint="eastAsia" w:ascii="宋体" w:hAnsi="宋体" w:eastAsia="宋体"/>
          <w:color w:val="auto"/>
          <w:szCs w:val="21"/>
          <w:u w:val="single"/>
          <w:lang w:eastAsia="zh-CN"/>
        </w:rPr>
        <w:t>射阳县公安局</w:t>
      </w:r>
      <w:r>
        <w:rPr>
          <w:rFonts w:hint="eastAsia" w:ascii="宋体" w:hAnsi="宋体" w:eastAsia="宋体"/>
          <w:color w:val="auto"/>
          <w:szCs w:val="21"/>
        </w:rPr>
        <w:t>，项目编号为</w:t>
      </w:r>
      <w:r>
        <w:rPr>
          <w:rFonts w:hint="eastAsia" w:ascii="宋体" w:hAnsi="宋体" w:eastAsia="宋体" w:cs="宋体"/>
          <w:color w:val="auto"/>
          <w:szCs w:val="21"/>
          <w:u w:val="single"/>
          <w:lang w:val="en-US" w:eastAsia="zh-CN"/>
        </w:rPr>
        <w:t xml:space="preserve">            </w:t>
      </w:r>
      <w:r>
        <w:rPr>
          <w:rFonts w:hint="eastAsia" w:ascii="宋体" w:hAnsi="宋体" w:eastAsia="宋体"/>
          <w:color w:val="auto"/>
          <w:szCs w:val="21"/>
        </w:rPr>
        <w:t>的</w:t>
      </w:r>
      <w:r>
        <w:rPr>
          <w:rFonts w:hint="eastAsia" w:ascii="宋体" w:hAnsi="宋体" w:eastAsia="宋体"/>
          <w:color w:val="auto"/>
          <w:szCs w:val="21"/>
          <w:u w:val="single"/>
          <w:lang w:val="en-US" w:eastAsia="zh-CN"/>
        </w:rPr>
        <w:t xml:space="preserve">  </w:t>
      </w:r>
      <w:r>
        <w:rPr>
          <w:rFonts w:hint="eastAsia" w:ascii="宋体" w:hAnsi="宋体" w:eastAsia="宋体" w:cs="Arial"/>
          <w:bCs/>
          <w:color w:val="auto"/>
          <w:szCs w:val="21"/>
          <w:u w:val="single"/>
          <w:lang w:val="en-US" w:eastAsia="zh-CN"/>
        </w:rPr>
        <w:t xml:space="preserve">        </w:t>
      </w:r>
      <w:r>
        <w:rPr>
          <w:rFonts w:hint="eastAsia" w:ascii="宋体" w:hAnsi="宋体" w:eastAsia="宋体" w:cs="Arial"/>
          <w:bCs/>
          <w:color w:val="auto"/>
          <w:szCs w:val="21"/>
          <w:u w:val="single"/>
        </w:rPr>
        <w:t>项目</w:t>
      </w:r>
      <w:r>
        <w:rPr>
          <w:rFonts w:hint="eastAsia" w:ascii="宋体" w:hAnsi="宋体" w:eastAsia="宋体"/>
          <w:color w:val="auto"/>
          <w:szCs w:val="21"/>
        </w:rPr>
        <w:t>的采购活动，服务全部由符合政策要求的中小企业承接。相关企业的具体情况如下：</w:t>
      </w:r>
    </w:p>
    <w:p w14:paraId="182244E5">
      <w:pPr>
        <w:spacing w:line="360" w:lineRule="auto"/>
        <w:ind w:firstLine="424"/>
        <w:rPr>
          <w:rFonts w:hint="eastAsia" w:ascii="宋体" w:hAnsi="宋体" w:eastAsia="宋体"/>
          <w:color w:val="auto"/>
          <w:szCs w:val="21"/>
        </w:rPr>
      </w:pPr>
      <w:r>
        <w:rPr>
          <w:rFonts w:hint="eastAsia" w:ascii="宋体" w:hAnsi="宋体" w:eastAsia="宋体"/>
          <w:color w:val="auto"/>
          <w:szCs w:val="21"/>
        </w:rPr>
        <w:t>1.</w:t>
      </w:r>
      <w:r>
        <w:rPr>
          <w:rFonts w:hint="eastAsia"/>
          <w:color w:val="auto"/>
        </w:rPr>
        <w:t xml:space="preserve"> </w:t>
      </w:r>
      <w:r>
        <w:rPr>
          <w:rFonts w:hint="eastAsia" w:ascii="宋体" w:hAnsi="宋体" w:eastAsia="宋体"/>
          <w:b/>
          <w:bCs/>
          <w:color w:val="auto"/>
          <w:szCs w:val="21"/>
          <w:u w:val="single"/>
          <w:lang w:val="en-US" w:eastAsia="zh-CN"/>
        </w:rPr>
        <w:t xml:space="preserve">             </w:t>
      </w:r>
      <w:r>
        <w:rPr>
          <w:rFonts w:hint="eastAsia" w:ascii="宋体" w:hAnsi="宋体" w:eastAsia="宋体"/>
          <w:color w:val="auto"/>
          <w:szCs w:val="21"/>
        </w:rPr>
        <w:t>，属于</w:t>
      </w:r>
      <w:r>
        <w:rPr>
          <w:rFonts w:hint="eastAsia" w:ascii="宋体" w:hAnsi="宋体" w:eastAsia="宋体" w:cs="宋体"/>
          <w:b/>
          <w:bCs/>
          <w:color w:val="auto"/>
          <w:u w:val="single"/>
          <w:lang w:val="en-US" w:eastAsia="zh-CN"/>
        </w:rPr>
        <w:t xml:space="preserve">         </w:t>
      </w:r>
      <w:r>
        <w:rPr>
          <w:rFonts w:hint="eastAsia" w:ascii="宋体" w:hAnsi="宋体" w:eastAsia="宋体"/>
          <w:color w:val="auto"/>
          <w:szCs w:val="21"/>
        </w:rPr>
        <w:t>；承接企业为</w:t>
      </w:r>
      <w:r>
        <w:rPr>
          <w:rFonts w:hint="eastAsia" w:ascii="宋体" w:hAnsi="宋体" w:eastAsia="宋体"/>
          <w:color w:val="auto"/>
          <w:szCs w:val="21"/>
          <w:u w:val="single"/>
        </w:rPr>
        <w:t>（企业名称）</w:t>
      </w:r>
      <w:r>
        <w:rPr>
          <w:rFonts w:hint="eastAsia" w:ascii="宋体" w:hAnsi="宋体" w:eastAsia="宋体"/>
          <w:color w:val="auto"/>
          <w:szCs w:val="21"/>
        </w:rPr>
        <w:t>，从业人员</w:t>
      </w:r>
      <w:r>
        <w:rPr>
          <w:rFonts w:hint="eastAsia" w:ascii="宋体" w:hAnsi="宋体" w:eastAsia="宋体"/>
          <w:color w:val="auto"/>
          <w:szCs w:val="21"/>
          <w:u w:val="single"/>
        </w:rPr>
        <w:t xml:space="preserve">    </w:t>
      </w:r>
      <w:r>
        <w:rPr>
          <w:rFonts w:hint="eastAsia" w:ascii="宋体" w:hAnsi="宋体" w:eastAsia="宋体"/>
          <w:color w:val="auto"/>
          <w:szCs w:val="21"/>
        </w:rPr>
        <w:t>人，营业收入为</w:t>
      </w:r>
      <w:r>
        <w:rPr>
          <w:rFonts w:hint="eastAsia" w:ascii="宋体" w:hAnsi="宋体" w:eastAsia="宋体"/>
          <w:color w:val="auto"/>
          <w:szCs w:val="21"/>
          <w:u w:val="single"/>
        </w:rPr>
        <w:t xml:space="preserve">    </w:t>
      </w:r>
      <w:r>
        <w:rPr>
          <w:rFonts w:hint="eastAsia" w:ascii="宋体" w:hAnsi="宋体" w:eastAsia="宋体"/>
          <w:color w:val="auto"/>
          <w:szCs w:val="21"/>
        </w:rPr>
        <w:t>万元，资产总额为</w:t>
      </w:r>
      <w:r>
        <w:rPr>
          <w:rFonts w:hint="eastAsia" w:ascii="宋体" w:hAnsi="宋体" w:eastAsia="宋体"/>
          <w:color w:val="auto"/>
          <w:szCs w:val="21"/>
          <w:u w:val="single"/>
        </w:rPr>
        <w:t xml:space="preserve">    </w:t>
      </w:r>
      <w:r>
        <w:rPr>
          <w:rFonts w:hint="eastAsia" w:ascii="宋体" w:hAnsi="宋体" w:eastAsia="宋体"/>
          <w:color w:val="auto"/>
          <w:szCs w:val="21"/>
        </w:rPr>
        <w:t>万元，属于（</w:t>
      </w:r>
      <w:r>
        <w:rPr>
          <w:rFonts w:hint="eastAsia" w:ascii="宋体" w:hAnsi="宋体" w:eastAsia="宋体"/>
          <w:color w:val="auto"/>
          <w:szCs w:val="21"/>
          <w:u w:val="single"/>
        </w:rPr>
        <w:t>中型企业、小型企业、微型企业</w:t>
      </w:r>
      <w:r>
        <w:rPr>
          <w:rFonts w:hint="eastAsia" w:ascii="宋体" w:hAnsi="宋体" w:eastAsia="宋体"/>
          <w:color w:val="auto"/>
          <w:szCs w:val="21"/>
        </w:rPr>
        <w:t>）</w:t>
      </w:r>
    </w:p>
    <w:p w14:paraId="28A1E9F1">
      <w:pPr>
        <w:spacing w:line="360" w:lineRule="auto"/>
        <w:ind w:firstLine="424"/>
        <w:rPr>
          <w:rFonts w:hint="eastAsia" w:ascii="宋体" w:hAnsi="宋体" w:eastAsia="宋体"/>
          <w:color w:val="auto"/>
          <w:szCs w:val="21"/>
        </w:rPr>
      </w:pPr>
      <w:r>
        <w:rPr>
          <w:rFonts w:hint="eastAsia" w:ascii="宋体" w:hAnsi="宋体" w:eastAsia="宋体"/>
          <w:color w:val="auto"/>
          <w:szCs w:val="21"/>
        </w:rPr>
        <w:t>以上企业，不属于大企业的分支机构，不存在控股股东为大企业的情形，也不存在与大企业的负责人为同一人的情形。</w:t>
      </w:r>
    </w:p>
    <w:p w14:paraId="4BE1CC63">
      <w:pPr>
        <w:spacing w:line="360" w:lineRule="auto"/>
        <w:ind w:firstLine="424"/>
        <w:rPr>
          <w:rFonts w:hint="eastAsia" w:ascii="宋体" w:hAnsi="宋体" w:eastAsia="宋体"/>
          <w:color w:val="auto"/>
          <w:szCs w:val="21"/>
        </w:rPr>
      </w:pPr>
      <w:r>
        <w:rPr>
          <w:rFonts w:hint="eastAsia" w:ascii="宋体" w:hAnsi="宋体" w:eastAsia="宋体"/>
          <w:color w:val="auto"/>
          <w:szCs w:val="21"/>
        </w:rPr>
        <w:t>本企业对上述声明内容的真实性负责。如有虚假，将依法承担相应责任。</w:t>
      </w:r>
    </w:p>
    <w:p w14:paraId="184BA6BF">
      <w:pPr>
        <w:spacing w:line="360" w:lineRule="auto"/>
        <w:ind w:firstLine="424"/>
        <w:rPr>
          <w:rFonts w:hint="eastAsia" w:ascii="宋体" w:hAnsi="宋体" w:eastAsia="宋体"/>
          <w:color w:val="auto"/>
          <w:szCs w:val="21"/>
        </w:rPr>
      </w:pPr>
    </w:p>
    <w:p w14:paraId="1B3FE6B0">
      <w:pPr>
        <w:spacing w:line="360" w:lineRule="auto"/>
        <w:ind w:firstLine="424"/>
        <w:rPr>
          <w:rFonts w:hint="eastAsia" w:ascii="宋体" w:hAnsi="宋体" w:eastAsia="宋体"/>
          <w:color w:val="auto"/>
          <w:szCs w:val="21"/>
        </w:rPr>
      </w:pPr>
    </w:p>
    <w:p w14:paraId="1E0AFCAA">
      <w:pPr>
        <w:spacing w:line="360" w:lineRule="auto"/>
        <w:ind w:left="3570" w:firstLine="424"/>
        <w:rPr>
          <w:rFonts w:hint="eastAsia" w:ascii="宋体" w:hAnsi="宋体" w:eastAsia="宋体"/>
          <w:color w:val="auto"/>
          <w:szCs w:val="21"/>
        </w:rPr>
      </w:pPr>
      <w:r>
        <w:rPr>
          <w:rFonts w:hint="eastAsia" w:ascii="宋体" w:hAnsi="宋体" w:eastAsia="宋体" w:cs="宋体"/>
          <w:color w:val="auto"/>
          <w:szCs w:val="21"/>
        </w:rPr>
        <w:t>企业名称（加盖CA电子公章）：</w:t>
      </w:r>
    </w:p>
    <w:p w14:paraId="1F7A8783">
      <w:pPr>
        <w:spacing w:line="360" w:lineRule="auto"/>
        <w:ind w:left="3570" w:firstLine="424"/>
        <w:rPr>
          <w:rFonts w:hint="eastAsia" w:ascii="宋体" w:hAnsi="宋体" w:eastAsia="宋体"/>
          <w:color w:val="auto"/>
          <w:szCs w:val="21"/>
        </w:rPr>
      </w:pPr>
      <w:r>
        <w:rPr>
          <w:rFonts w:hint="eastAsia" w:ascii="宋体" w:hAnsi="宋体" w:eastAsia="宋体" w:cs="宋体"/>
          <w:color w:val="auto"/>
          <w:szCs w:val="21"/>
        </w:rPr>
        <w:t>日  期：</w:t>
      </w:r>
    </w:p>
    <w:p w14:paraId="4625B155">
      <w:pPr>
        <w:spacing w:line="360" w:lineRule="auto"/>
        <w:ind w:firstLine="424"/>
        <w:rPr>
          <w:rFonts w:hint="eastAsia" w:ascii="宋体" w:hAnsi="宋体" w:eastAsia="宋体"/>
          <w:color w:val="auto"/>
          <w:szCs w:val="21"/>
        </w:rPr>
      </w:pPr>
    </w:p>
    <w:p w14:paraId="057E4949">
      <w:pPr>
        <w:spacing w:line="360" w:lineRule="auto"/>
        <w:ind w:firstLine="424"/>
        <w:rPr>
          <w:rFonts w:hint="eastAsia" w:ascii="宋体" w:hAnsi="宋体" w:eastAsia="宋体" w:cs="宋体"/>
          <w:color w:val="auto"/>
          <w:szCs w:val="21"/>
        </w:rPr>
      </w:pPr>
      <w:r>
        <w:rPr>
          <w:rFonts w:hint="eastAsia" w:ascii="宋体" w:hAnsi="宋体" w:eastAsia="宋体" w:cs="宋体"/>
          <w:color w:val="auto"/>
          <w:szCs w:val="21"/>
        </w:rPr>
        <w:t>备注1：从业人员、营业收入、资产总额填报上一年度数据，无上一年度数据的新成立企业可不填报。</w:t>
      </w:r>
    </w:p>
    <w:p w14:paraId="0F84A118">
      <w:pPr>
        <w:spacing w:line="360" w:lineRule="auto"/>
        <w:ind w:firstLine="424"/>
        <w:rPr>
          <w:rFonts w:hint="eastAsia" w:ascii="宋体" w:hAnsi="宋体" w:eastAsia="宋体"/>
          <w:color w:val="auto"/>
          <w:szCs w:val="21"/>
        </w:rPr>
      </w:pPr>
      <w:r>
        <w:rPr>
          <w:rFonts w:hint="eastAsia" w:ascii="宋体" w:hAnsi="宋体" w:eastAsia="宋体" w:cs="宋体"/>
          <w:color w:val="auto"/>
          <w:szCs w:val="21"/>
        </w:rPr>
        <w:t>备注2：投标人如不提供此声明函，价格将不做相应扣除。</w:t>
      </w:r>
    </w:p>
    <w:p w14:paraId="65F03774">
      <w:pPr>
        <w:widowControl/>
        <w:jc w:val="left"/>
        <w:rPr>
          <w:rFonts w:hint="eastAsia" w:ascii="宋体" w:hAnsi="宋体" w:eastAsia="宋体"/>
          <w:color w:val="auto"/>
          <w:szCs w:val="21"/>
        </w:rPr>
      </w:pPr>
      <w:r>
        <w:rPr>
          <w:rFonts w:hint="eastAsia" w:ascii="宋体" w:hAnsi="宋体" w:eastAsia="宋体"/>
          <w:color w:val="auto"/>
          <w:szCs w:val="21"/>
        </w:rPr>
        <w:br w:type="page" w:clear="all"/>
      </w:r>
    </w:p>
    <w:p w14:paraId="1CDBA22A">
      <w:pPr>
        <w:spacing w:line="276" w:lineRule="auto"/>
        <w:jc w:val="center"/>
        <w:outlineLvl w:val="1"/>
        <w:rPr>
          <w:rFonts w:hint="eastAsia" w:ascii="宋体" w:hAnsi="宋体" w:eastAsia="宋体" w:cs="Times New Roman"/>
          <w:color w:val="auto"/>
          <w:sz w:val="30"/>
          <w:szCs w:val="30"/>
          <w14:ligatures w14:val="none"/>
        </w:rPr>
      </w:pPr>
      <w:r>
        <w:rPr>
          <w:rFonts w:hint="eastAsia" w:ascii="宋体" w:hAnsi="宋体" w:eastAsia="宋体" w:cs="黑体"/>
          <w:b/>
          <w:color w:val="auto"/>
          <w:sz w:val="30"/>
          <w:szCs w:val="30"/>
          <w14:ligatures w14:val="none"/>
        </w:rPr>
        <w:t> </w:t>
      </w:r>
      <w:bookmarkStart w:id="116" w:name="_Toc197644589"/>
      <w:r>
        <w:rPr>
          <w:rFonts w:hint="eastAsia" w:ascii="宋体" w:hAnsi="宋体" w:eastAsia="宋体" w:cs="黑体"/>
          <w:b/>
          <w:color w:val="auto"/>
          <w:sz w:val="30"/>
          <w:szCs w:val="30"/>
          <w14:ligatures w14:val="none"/>
        </w:rPr>
        <w:t>十、残疾人福利性单位声明函</w:t>
      </w:r>
      <w:bookmarkEnd w:id="116"/>
    </w:p>
    <w:p w14:paraId="67EA575B">
      <w:pPr>
        <w:spacing w:line="360" w:lineRule="auto"/>
        <w:rPr>
          <w:rFonts w:hint="eastAsia" w:ascii="宋体" w:hAnsi="宋体" w:eastAsia="宋体" w:cs="宋体"/>
          <w:color w:val="auto"/>
          <w:szCs w:val="21"/>
          <w14:ligatures w14:val="none"/>
        </w:rPr>
      </w:pPr>
    </w:p>
    <w:p w14:paraId="6B6F3A58">
      <w:pPr>
        <w:spacing w:line="360" w:lineRule="auto"/>
        <w:ind w:firstLine="420"/>
        <w:rPr>
          <w:rFonts w:hint="eastAsia" w:ascii="宋体" w:hAnsi="宋体" w:eastAsia="宋体" w:cs="Times New Roman"/>
          <w:color w:val="auto"/>
          <w:szCs w:val="21"/>
          <w14:ligatures w14:val="none"/>
        </w:rPr>
      </w:pPr>
      <w:bookmarkStart w:id="117" w:name="_Hlk195801533"/>
      <w:r>
        <w:rPr>
          <w:rFonts w:hint="eastAsia" w:ascii="宋体" w:hAnsi="宋体" w:eastAsia="宋体" w:cs="宋体"/>
          <w:color w:val="auto"/>
          <w:szCs w:val="21"/>
          <w14:ligatures w14: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u w:val="single"/>
          <w14:ligatures w14:val="none"/>
        </w:rPr>
        <w:t xml:space="preserve">       </w:t>
      </w:r>
      <w:r>
        <w:rPr>
          <w:rFonts w:hint="eastAsia" w:ascii="宋体" w:hAnsi="宋体" w:eastAsia="宋体" w:cs="宋体"/>
          <w:color w:val="auto"/>
          <w:szCs w:val="21"/>
          <w14:ligatures w14:val="none"/>
        </w:rPr>
        <w:t>项目（分包号：**）采购活动由本单位提供服务。</w:t>
      </w:r>
      <w:bookmarkEnd w:id="117"/>
    </w:p>
    <w:p w14:paraId="698EC511">
      <w:pPr>
        <w:spacing w:line="360" w:lineRule="auto"/>
        <w:ind w:firstLine="480"/>
        <w:rPr>
          <w:rFonts w:hint="eastAsia" w:ascii="宋体" w:hAnsi="宋体" w:eastAsia="宋体" w:cs="Times New Roman"/>
          <w:color w:val="auto"/>
          <w:szCs w:val="21"/>
          <w14:ligatures w14:val="none"/>
        </w:rPr>
      </w:pPr>
      <w:bookmarkStart w:id="118" w:name="_Hlk195801544"/>
      <w:r>
        <w:rPr>
          <w:rFonts w:hint="eastAsia" w:ascii="宋体" w:hAnsi="宋体" w:eastAsia="宋体" w:cs="宋体"/>
          <w:color w:val="auto"/>
          <w:szCs w:val="21"/>
          <w14:ligatures w14:val="none"/>
        </w:rPr>
        <w:t>本单位对上述声明的真实性负责。如有虚假，将依法承担相应责任。</w:t>
      </w:r>
      <w:bookmarkEnd w:id="118"/>
    </w:p>
    <w:p w14:paraId="72EDC4BC">
      <w:pPr>
        <w:spacing w:line="360" w:lineRule="auto"/>
        <w:rPr>
          <w:rFonts w:hint="eastAsia" w:ascii="宋体" w:hAnsi="宋体" w:eastAsia="宋体" w:cs="Times New Roman"/>
          <w:color w:val="auto"/>
          <w:szCs w:val="21"/>
          <w14:ligatures w14:val="none"/>
        </w:rPr>
      </w:pPr>
    </w:p>
    <w:p w14:paraId="366FA55C">
      <w:pPr>
        <w:spacing w:line="360" w:lineRule="auto"/>
        <w:ind w:firstLine="480"/>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备注：1、供应商如不提供此声明函，价格将不做相应扣除（如项目全面面向中小企业，则资格审查不通过）。</w:t>
      </w:r>
    </w:p>
    <w:p w14:paraId="33ADF51B">
      <w:pPr>
        <w:spacing w:line="360" w:lineRule="auto"/>
        <w:ind w:firstLine="480"/>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2、中标人为残疾人福利单位的，此声明函将随中标结果同时公告，接受社会监督</w:t>
      </w:r>
    </w:p>
    <w:p w14:paraId="1C7CF0BC">
      <w:pPr>
        <w:spacing w:line="360" w:lineRule="auto"/>
        <w:rPr>
          <w:rFonts w:hint="eastAsia" w:ascii="宋体" w:hAnsi="宋体" w:eastAsia="宋体" w:cs="Times New Roman"/>
          <w:color w:val="auto"/>
          <w:szCs w:val="21"/>
          <w14:ligatures w14:val="none"/>
        </w:rPr>
      </w:pPr>
    </w:p>
    <w:p w14:paraId="20F4739B">
      <w:pPr>
        <w:tabs>
          <w:tab w:val="left" w:pos="4864"/>
        </w:tabs>
        <w:spacing w:line="360" w:lineRule="auto"/>
        <w:ind w:right="1560" w:firstLine="624"/>
        <w:jc w:val="center"/>
        <w:rPr>
          <w:rFonts w:hint="eastAsia" w:ascii="宋体" w:hAnsi="宋体" w:eastAsia="宋体" w:cs="Times New Roman"/>
          <w:color w:val="auto"/>
          <w:szCs w:val="21"/>
          <w14:ligatures w14:val="none"/>
        </w:rPr>
      </w:pPr>
      <w:r>
        <w:rPr>
          <w:rFonts w:ascii="宋体" w:hAnsi="宋体" w:eastAsia="宋体" w:cs="仿宋_GB2312"/>
          <w:color w:val="auto"/>
          <w:szCs w:val="21"/>
          <w14:ligatures w14:val="none"/>
        </w:rPr>
        <w:t xml:space="preserve">             </w:t>
      </w:r>
      <w:r>
        <w:rPr>
          <w:rFonts w:hint="eastAsia" w:ascii="宋体" w:hAnsi="宋体" w:eastAsia="宋体" w:cs="宋体"/>
          <w:color w:val="auto"/>
          <w:szCs w:val="21"/>
          <w14:ligatures w14:val="none"/>
        </w:rPr>
        <w:t>  供应商全称（加盖CA电子公章）：</w:t>
      </w:r>
    </w:p>
    <w:p w14:paraId="1D2485D3">
      <w:pPr>
        <w:tabs>
          <w:tab w:val="left" w:pos="4864"/>
        </w:tabs>
        <w:spacing w:line="360" w:lineRule="auto"/>
        <w:ind w:right="1560" w:firstLine="480"/>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         日  期：</w:t>
      </w:r>
    </w:p>
    <w:p w14:paraId="2BEDA9D3">
      <w:pPr>
        <w:spacing w:line="360" w:lineRule="auto"/>
        <w:rPr>
          <w:rFonts w:hint="eastAsia" w:ascii="宋体" w:hAnsi="宋体" w:eastAsia="宋体"/>
          <w:color w:val="auto"/>
          <w:szCs w:val="21"/>
        </w:rPr>
      </w:pPr>
    </w:p>
    <w:p w14:paraId="109F9C84">
      <w:pPr>
        <w:widowControl/>
        <w:jc w:val="left"/>
        <w:rPr>
          <w:rFonts w:hint="eastAsia" w:ascii="宋体" w:hAnsi="宋体" w:eastAsia="宋体"/>
          <w:color w:val="auto"/>
          <w:szCs w:val="21"/>
        </w:rPr>
      </w:pPr>
      <w:r>
        <w:rPr>
          <w:rFonts w:hint="eastAsia" w:ascii="宋体" w:hAnsi="宋体" w:eastAsia="宋体"/>
          <w:color w:val="auto"/>
          <w:szCs w:val="21"/>
        </w:rPr>
        <w:br w:type="page" w:clear="all"/>
      </w:r>
    </w:p>
    <w:p w14:paraId="68F84AD9">
      <w:pPr>
        <w:spacing w:line="276" w:lineRule="auto"/>
        <w:jc w:val="center"/>
        <w:outlineLvl w:val="1"/>
        <w:rPr>
          <w:rFonts w:hint="eastAsia" w:ascii="宋体" w:hAnsi="宋体" w:eastAsia="宋体" w:cs="黑体"/>
          <w:b/>
          <w:color w:val="auto"/>
          <w:sz w:val="30"/>
          <w:szCs w:val="30"/>
          <w14:ligatures w14:val="none"/>
        </w:rPr>
      </w:pPr>
      <w:bookmarkStart w:id="119" w:name="_Toc197644591"/>
      <w:r>
        <w:rPr>
          <w:rFonts w:hint="eastAsia" w:ascii="宋体" w:hAnsi="宋体" w:eastAsia="宋体" w:cs="黑体"/>
          <w:b/>
          <w:color w:val="auto"/>
          <w:sz w:val="30"/>
          <w:szCs w:val="30"/>
          <w14:ligatures w14:val="none"/>
        </w:rPr>
        <w:t>十</w:t>
      </w:r>
      <w:r>
        <w:rPr>
          <w:rFonts w:hint="eastAsia" w:ascii="宋体" w:hAnsi="宋体" w:eastAsia="宋体" w:cs="黑体"/>
          <w:b/>
          <w:color w:val="auto"/>
          <w:sz w:val="30"/>
          <w:szCs w:val="30"/>
          <w:lang w:val="en-US" w:eastAsia="zh-CN"/>
          <w14:ligatures w14:val="none"/>
        </w:rPr>
        <w:t>一</w:t>
      </w:r>
      <w:bookmarkEnd w:id="119"/>
      <w:bookmarkStart w:id="120" w:name="_Toc197644592"/>
      <w:r>
        <w:rPr>
          <w:rFonts w:hint="eastAsia" w:ascii="宋体" w:hAnsi="宋体" w:eastAsia="宋体" w:cs="黑体"/>
          <w:b/>
          <w:color w:val="auto"/>
          <w:sz w:val="30"/>
          <w:szCs w:val="30"/>
          <w14:ligatures w14:val="none"/>
        </w:rPr>
        <w:t>、技术要求响应及偏离表</w:t>
      </w:r>
      <w:bookmarkEnd w:id="120"/>
    </w:p>
    <w:p w14:paraId="3A22F2BF">
      <w:pPr>
        <w:spacing w:line="360" w:lineRule="auto"/>
        <w:rPr>
          <w:rFonts w:hint="eastAsia" w:ascii="宋体" w:hAnsi="宋体" w:eastAsia="宋体" w:cs="Times New Roman"/>
          <w:color w:val="auto"/>
          <w:szCs w:val="21"/>
          <w14:ligatures w14:val="none"/>
        </w:rPr>
      </w:pPr>
    </w:p>
    <w:tbl>
      <w:tblPr>
        <w:tblStyle w:val="35"/>
        <w:tblW w:w="8692" w:type="dxa"/>
        <w:tblCellSpacing w:w="0" w:type="dxa"/>
        <w:tblInd w:w="-162" w:type="dxa"/>
        <w:tblLayout w:type="fixed"/>
        <w:tblCellMar>
          <w:top w:w="0" w:type="dxa"/>
          <w:left w:w="108" w:type="dxa"/>
          <w:bottom w:w="0" w:type="dxa"/>
          <w:right w:w="108" w:type="dxa"/>
        </w:tblCellMar>
      </w:tblPr>
      <w:tblGrid>
        <w:gridCol w:w="710"/>
        <w:gridCol w:w="3026"/>
        <w:gridCol w:w="2608"/>
        <w:gridCol w:w="1247"/>
        <w:gridCol w:w="1101"/>
      </w:tblGrid>
      <w:tr w14:paraId="690A369E">
        <w:tblPrEx>
          <w:tblCellMar>
            <w:top w:w="0" w:type="dxa"/>
            <w:left w:w="108" w:type="dxa"/>
            <w:bottom w:w="0" w:type="dxa"/>
            <w:right w:w="108" w:type="dxa"/>
          </w:tblCellMar>
        </w:tblPrEx>
        <w:trPr>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096AA">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95F3B">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D2413C">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E55AF0">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D6DFD">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证明</w:t>
            </w:r>
          </w:p>
          <w:p w14:paraId="5ABA88EB">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材料</w:t>
            </w:r>
          </w:p>
        </w:tc>
      </w:tr>
      <w:tr w14:paraId="51989368">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88623">
            <w:pPr>
              <w:pStyle w:val="32"/>
              <w:jc w:val="center"/>
              <w:rPr>
                <w:rFonts w:hint="eastAsia" w:ascii="宋体" w:hAnsi="宋体" w:eastAsia="宋体" w:cs="Times New Roman"/>
                <w:color w:val="auto"/>
                <w:szCs w:val="21"/>
                <w14:ligatures w14:val="none"/>
              </w:rPr>
            </w:pPr>
            <w:r>
              <w:rPr>
                <w:rFonts w:hint="eastAsia" w:ascii="宋体" w:hAnsi="宋体" w:cs="宋体"/>
                <w:color w:val="auto"/>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26C00">
            <w:pPr>
              <w:pStyle w:val="32"/>
              <w:jc w:val="left"/>
              <w:rPr>
                <w:rFonts w:hint="eastAsia" w:ascii="宋体" w:hAnsi="宋体" w:eastAsia="宋体" w:cs="Times New Roman"/>
                <w:color w:val="auto"/>
                <w:szCs w:val="21"/>
                <w14:ligatures w14:val="none"/>
              </w:rPr>
            </w:pPr>
            <w:r>
              <w:rPr>
                <w:rFonts w:hint="eastAsia" w:ascii="宋体" w:hAnsi="宋体" w:cs="宋体"/>
                <w:color w:val="auto"/>
                <w:lang w:val="en-US" w:eastAsia="zh-CN"/>
              </w:rPr>
              <w:t>招标</w:t>
            </w:r>
            <w:r>
              <w:rPr>
                <w:rFonts w:hint="eastAsia" w:ascii="宋体" w:hAnsi="宋体" w:cs="宋体"/>
                <w:color w:val="auto"/>
              </w:rPr>
              <w:t>文件第四章项目需求中技术要求的内容</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FDC87">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7DC57">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35865">
            <w:pPr>
              <w:spacing w:line="276" w:lineRule="auto"/>
              <w:rPr>
                <w:rFonts w:hint="eastAsia" w:ascii="宋体" w:hAnsi="宋体" w:eastAsia="宋体" w:cs="Times New Roman"/>
                <w:color w:val="auto"/>
                <w:szCs w:val="21"/>
                <w14:ligatures w14:val="none"/>
              </w:rPr>
            </w:pPr>
          </w:p>
        </w:tc>
      </w:tr>
      <w:tr w14:paraId="3E3AB16C">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7E755">
            <w:pPr>
              <w:pStyle w:val="32"/>
              <w:jc w:val="center"/>
              <w:rPr>
                <w:rFonts w:hint="eastAsia" w:ascii="宋体" w:hAnsi="宋体" w:eastAsia="宋体" w:cs="Times New Roman"/>
                <w:color w:val="auto"/>
                <w:szCs w:val="21"/>
                <w14:ligatures w14:val="none"/>
              </w:rPr>
            </w:pPr>
            <w:r>
              <w:rPr>
                <w:rFonts w:hint="eastAsia" w:ascii="宋体" w:hAnsi="宋体" w:cs="宋体"/>
                <w:color w:val="auto"/>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4FEA4">
            <w:pPr>
              <w:pStyle w:val="32"/>
              <w:jc w:val="left"/>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C0D77">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81B91">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176C2">
            <w:pPr>
              <w:spacing w:line="276" w:lineRule="auto"/>
              <w:rPr>
                <w:rFonts w:hint="eastAsia" w:ascii="宋体" w:hAnsi="宋体" w:eastAsia="宋体" w:cs="Times New Roman"/>
                <w:color w:val="auto"/>
                <w:szCs w:val="21"/>
                <w14:ligatures w14:val="none"/>
              </w:rPr>
            </w:pPr>
          </w:p>
        </w:tc>
      </w:tr>
      <w:tr w14:paraId="773C2C78">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D67C0">
            <w:pPr>
              <w:pStyle w:val="32"/>
              <w:jc w:val="center"/>
              <w:rPr>
                <w:rFonts w:hint="eastAsia" w:ascii="宋体" w:hAnsi="宋体" w:eastAsia="宋体" w:cs="Times New Roman"/>
                <w:color w:val="auto"/>
                <w:szCs w:val="21"/>
                <w14:ligatures w14:val="none"/>
              </w:rPr>
            </w:pPr>
            <w:r>
              <w:rPr>
                <w:rFonts w:hint="eastAsia" w:ascii="宋体" w:hAnsi="宋体" w:cs="宋体"/>
                <w:color w:val="auto"/>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0C3EB2">
            <w:pPr>
              <w:pStyle w:val="32"/>
              <w:jc w:val="center"/>
              <w:rPr>
                <w:rFonts w:hint="eastAsia" w:ascii="宋体" w:hAnsi="宋体" w:eastAsia="宋体" w:cs="Times New Roman"/>
                <w:color w:val="auto"/>
                <w:szCs w:val="21"/>
                <w14:ligatures w14:val="none"/>
              </w:rPr>
            </w:pPr>
            <w:r>
              <w:rPr>
                <w:rFonts w:hint="eastAsia" w:ascii="宋体" w:hAnsi="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6644B">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8CC9B">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3B256">
            <w:pPr>
              <w:spacing w:line="276" w:lineRule="auto"/>
              <w:rPr>
                <w:rFonts w:hint="eastAsia" w:ascii="宋体" w:hAnsi="宋体" w:eastAsia="宋体" w:cs="Times New Roman"/>
                <w:color w:val="auto"/>
                <w:szCs w:val="21"/>
                <w14:ligatures w14:val="none"/>
              </w:rPr>
            </w:pPr>
          </w:p>
        </w:tc>
      </w:tr>
      <w:tr w14:paraId="1801C6C0">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2CB78">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E41D9">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5203E">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468D9">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E9D74">
            <w:pPr>
              <w:spacing w:line="276" w:lineRule="auto"/>
              <w:rPr>
                <w:rFonts w:hint="eastAsia" w:ascii="宋体" w:hAnsi="宋体" w:eastAsia="宋体" w:cs="Times New Roman"/>
                <w:color w:val="auto"/>
                <w:szCs w:val="21"/>
                <w14:ligatures w14:val="none"/>
              </w:rPr>
            </w:pPr>
          </w:p>
        </w:tc>
      </w:tr>
      <w:tr w14:paraId="5CC96C72">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02ACF">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A0326">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2E2AD">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75172">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88B03">
            <w:pPr>
              <w:spacing w:line="276" w:lineRule="auto"/>
              <w:rPr>
                <w:rFonts w:hint="eastAsia" w:ascii="宋体" w:hAnsi="宋体" w:eastAsia="宋体" w:cs="Times New Roman"/>
                <w:color w:val="auto"/>
                <w:szCs w:val="21"/>
                <w14:ligatures w14:val="none"/>
              </w:rPr>
            </w:pPr>
          </w:p>
        </w:tc>
      </w:tr>
      <w:tr w14:paraId="6B4F257A">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94AEEE">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8AB4A">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02423">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64F47">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38371">
            <w:pPr>
              <w:spacing w:line="276" w:lineRule="auto"/>
              <w:rPr>
                <w:rFonts w:hint="eastAsia" w:ascii="宋体" w:hAnsi="宋体" w:eastAsia="宋体" w:cs="Times New Roman"/>
                <w:color w:val="auto"/>
                <w:szCs w:val="21"/>
                <w14:ligatures w14:val="none"/>
              </w:rPr>
            </w:pPr>
          </w:p>
        </w:tc>
      </w:tr>
      <w:tr w14:paraId="170AEB38">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9BDF1">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D41D8">
            <w:pPr>
              <w:spacing w:line="276" w:lineRule="auto"/>
              <w:rPr>
                <w:rFonts w:hint="eastAsia" w:ascii="宋体" w:hAnsi="宋体" w:eastAsia="宋体" w:cs="Times New Roman"/>
                <w:color w:val="auto"/>
                <w:szCs w:val="21"/>
                <w14:ligatures w14: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DDC92">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FC575">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554A8">
            <w:pPr>
              <w:spacing w:line="276" w:lineRule="auto"/>
              <w:rPr>
                <w:rFonts w:hint="eastAsia" w:ascii="宋体" w:hAnsi="宋体" w:eastAsia="宋体" w:cs="Times New Roman"/>
                <w:color w:val="auto"/>
                <w:szCs w:val="21"/>
                <w14:ligatures w14:val="none"/>
              </w:rPr>
            </w:pPr>
          </w:p>
        </w:tc>
      </w:tr>
      <w:tr w14:paraId="7725FC00">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4182D">
            <w:pPr>
              <w:spacing w:line="276" w:lineRule="auto"/>
              <w:rPr>
                <w:rFonts w:hint="eastAsia" w:ascii="宋体" w:hAnsi="宋体" w:eastAsia="宋体" w:cs="Times New Roman"/>
                <w:color w:val="auto"/>
                <w:szCs w:val="21"/>
                <w14:ligatures w14: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28645">
            <w:pP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E0FDA">
            <w:pPr>
              <w:spacing w:line="276" w:lineRule="auto"/>
              <w:rPr>
                <w:rFonts w:hint="eastAsia" w:ascii="宋体" w:hAnsi="宋体" w:eastAsia="宋体" w:cs="Times New Roman"/>
                <w:color w:val="auto"/>
                <w:szCs w:val="21"/>
                <w14:ligatures w14: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E534C">
            <w:pPr>
              <w:spacing w:line="276" w:lineRule="auto"/>
              <w:rPr>
                <w:rFonts w:hint="eastAsia" w:ascii="宋体" w:hAnsi="宋体" w:eastAsia="宋体" w:cs="Times New Roman"/>
                <w:color w:val="auto"/>
                <w:szCs w:val="21"/>
                <w14:ligatures w14: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95F43">
            <w:pPr>
              <w:spacing w:line="276" w:lineRule="auto"/>
              <w:rPr>
                <w:rFonts w:hint="eastAsia" w:ascii="宋体" w:hAnsi="宋体" w:eastAsia="宋体" w:cs="Times New Roman"/>
                <w:color w:val="auto"/>
                <w:szCs w:val="21"/>
                <w14:ligatures w14:val="none"/>
              </w:rPr>
            </w:pPr>
          </w:p>
        </w:tc>
      </w:tr>
    </w:tbl>
    <w:p w14:paraId="67A0B75A">
      <w:pPr>
        <w:spacing w:line="360" w:lineRule="auto"/>
        <w:outlineLvl w:val="2"/>
        <w:rPr>
          <w:rFonts w:hint="eastAsia" w:ascii="宋体" w:hAnsi="宋体" w:eastAsia="宋体" w:cs="宋体"/>
          <w:color w:val="auto"/>
          <w:szCs w:val="21"/>
          <w14:ligatures w14:val="none"/>
        </w:rPr>
      </w:pPr>
    </w:p>
    <w:p w14:paraId="3C7E3444">
      <w:pPr>
        <w:spacing w:line="360" w:lineRule="auto"/>
        <w:outlineLvl w:val="2"/>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注：行数不够，可自行添加。</w:t>
      </w:r>
    </w:p>
    <w:p w14:paraId="693F7091">
      <w:pPr>
        <w:spacing w:line="360" w:lineRule="auto"/>
        <w:rPr>
          <w:rFonts w:hint="eastAsia" w:ascii="宋体" w:hAnsi="宋体" w:eastAsia="宋体" w:cs="Times New Roman"/>
          <w:color w:val="auto"/>
          <w:szCs w:val="21"/>
          <w14:ligatures w14:val="none"/>
        </w:rPr>
      </w:pPr>
    </w:p>
    <w:p w14:paraId="2B81D147">
      <w:pPr>
        <w:widowControl/>
        <w:jc w:val="left"/>
        <w:rPr>
          <w:rFonts w:hint="eastAsia" w:ascii="宋体" w:hAnsi="宋体" w:eastAsia="宋体"/>
          <w:color w:val="auto"/>
          <w:szCs w:val="21"/>
        </w:rPr>
      </w:pPr>
      <w:r>
        <w:rPr>
          <w:rFonts w:hint="eastAsia" w:ascii="宋体" w:hAnsi="宋体" w:eastAsia="宋体"/>
          <w:color w:val="auto"/>
          <w:szCs w:val="21"/>
        </w:rPr>
        <w:br w:type="page" w:clear="all"/>
      </w:r>
    </w:p>
    <w:p w14:paraId="3392B5CF">
      <w:pPr>
        <w:spacing w:line="276" w:lineRule="auto"/>
        <w:jc w:val="center"/>
        <w:outlineLvl w:val="1"/>
        <w:rPr>
          <w:rFonts w:hint="eastAsia" w:ascii="宋体" w:hAnsi="宋体" w:eastAsia="宋体" w:cs="黑体"/>
          <w:b/>
          <w:color w:val="auto"/>
          <w:sz w:val="30"/>
          <w:szCs w:val="30"/>
          <w14:ligatures w14:val="none"/>
        </w:rPr>
      </w:pPr>
      <w:bookmarkStart w:id="121" w:name="_Toc197644593"/>
      <w:r>
        <w:rPr>
          <w:rFonts w:hint="eastAsia" w:ascii="宋体" w:hAnsi="宋体" w:eastAsia="宋体" w:cs="黑体"/>
          <w:b/>
          <w:color w:val="auto"/>
          <w:sz w:val="30"/>
          <w:szCs w:val="30"/>
          <w14:ligatures w14:val="none"/>
        </w:rPr>
        <w:t>十</w:t>
      </w:r>
      <w:r>
        <w:rPr>
          <w:rFonts w:hint="eastAsia" w:ascii="宋体" w:hAnsi="宋体" w:eastAsia="宋体" w:cs="黑体"/>
          <w:b/>
          <w:color w:val="auto"/>
          <w:sz w:val="30"/>
          <w:szCs w:val="30"/>
          <w:lang w:val="en-US" w:eastAsia="zh-CN"/>
          <w14:ligatures w14:val="none"/>
        </w:rPr>
        <w:t>二</w:t>
      </w:r>
      <w:r>
        <w:rPr>
          <w:rFonts w:hint="eastAsia" w:ascii="宋体" w:hAnsi="宋体" w:eastAsia="宋体" w:cs="黑体"/>
          <w:b/>
          <w:color w:val="auto"/>
          <w:sz w:val="30"/>
          <w:szCs w:val="30"/>
          <w14:ligatures w14:val="none"/>
        </w:rPr>
        <w:t>、商务要求响应及偏离表</w:t>
      </w:r>
      <w:bookmarkEnd w:id="121"/>
    </w:p>
    <w:p w14:paraId="62D90F0D">
      <w:pPr>
        <w:spacing w:line="360" w:lineRule="auto"/>
        <w:rPr>
          <w:rFonts w:hint="eastAsia" w:ascii="宋体" w:hAnsi="宋体" w:eastAsia="宋体" w:cs="Times New Roman"/>
          <w:color w:val="auto"/>
          <w:szCs w:val="21"/>
          <w14:ligatures w14:val="none"/>
        </w:rPr>
      </w:pPr>
    </w:p>
    <w:tbl>
      <w:tblPr>
        <w:tblStyle w:val="3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169059CC">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BA8A7">
            <w:pPr>
              <w:spacing w:line="276" w:lineRule="auto"/>
              <w:jc w:val="center"/>
              <w:rPr>
                <w:rFonts w:hint="eastAsia" w:ascii="宋体" w:hAnsi="宋体" w:eastAsia="宋体" w:cs="Times New Roman"/>
                <w:color w:val="auto"/>
                <w:szCs w:val="21"/>
                <w14:ligatures w14:val="none"/>
              </w:rPr>
            </w:pPr>
            <w:bookmarkStart w:id="122" w:name="_Hlt26782999"/>
            <w:bookmarkStart w:id="123" w:name="_Hlt26580838"/>
            <w:bookmarkStart w:id="124" w:name="_Hlt26609391"/>
            <w:bookmarkStart w:id="125" w:name="_Hlt26671372"/>
            <w:bookmarkStart w:id="126" w:name="_Hlt26671343"/>
            <w:bookmarkStart w:id="127" w:name="_Hlt26955064"/>
            <w:bookmarkStart w:id="128" w:name="_Hlt26955056"/>
            <w:bookmarkStart w:id="129" w:name="_Hlt24879081"/>
            <w:r>
              <w:rPr>
                <w:rFonts w:hint="eastAsia" w:ascii="宋体" w:hAnsi="宋体" w:eastAsia="宋体" w:cs="宋体"/>
                <w:color w:val="auto"/>
                <w:szCs w:val="21"/>
                <w14:ligatures w14:val="none"/>
              </w:rPr>
              <w:t>序号</w:t>
            </w:r>
            <w:bookmarkEnd w:id="122"/>
            <w:bookmarkEnd w:id="123"/>
            <w:bookmarkEnd w:id="124"/>
            <w:bookmarkEnd w:id="125"/>
            <w:bookmarkEnd w:id="126"/>
            <w:bookmarkEnd w:id="127"/>
            <w:bookmarkEnd w:id="128"/>
            <w:bookmarkEnd w:id="129"/>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63BB9">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AD47A">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F7999">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88C8A">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证明</w:t>
            </w:r>
          </w:p>
          <w:p w14:paraId="2B5483C7">
            <w:pPr>
              <w:spacing w:line="276" w:lineRule="auto"/>
              <w:jc w:val="center"/>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材料</w:t>
            </w:r>
          </w:p>
        </w:tc>
      </w:tr>
      <w:tr w14:paraId="08577BC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5697A">
            <w:pPr>
              <w:spacing w:line="276" w:lineRule="auto"/>
              <w:jc w:val="center"/>
              <w:rPr>
                <w:rFonts w:hint="default"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1</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575B5">
            <w:pP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lang w:val="en-US" w:eastAsia="zh-CN"/>
              </w:rPr>
              <w:t>招标</w:t>
            </w:r>
            <w:r>
              <w:rPr>
                <w:rFonts w:hint="eastAsia" w:ascii="宋体" w:hAnsi="宋体" w:cs="宋体"/>
                <w:color w:val="auto"/>
              </w:rPr>
              <w:t>文件第四章项目需求中</w:t>
            </w:r>
            <w:r>
              <w:rPr>
                <w:rFonts w:hint="eastAsia" w:ascii="宋体" w:hAnsi="宋体" w:cs="宋体"/>
                <w:color w:val="auto"/>
                <w:lang w:val="en-US" w:eastAsia="zh-CN"/>
              </w:rPr>
              <w:t>商务</w:t>
            </w:r>
            <w:r>
              <w:rPr>
                <w:rFonts w:hint="eastAsia" w:ascii="宋体" w:hAnsi="宋体" w:cs="宋体"/>
                <w:color w:val="auto"/>
              </w:rPr>
              <w:t>要求的内容</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4FC7E">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3A945">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7B5FB">
            <w:pPr>
              <w:spacing w:line="276" w:lineRule="auto"/>
              <w:rPr>
                <w:rFonts w:hint="eastAsia" w:ascii="宋体" w:hAnsi="宋体" w:eastAsia="宋体" w:cs="Times New Roman"/>
                <w:color w:val="auto"/>
                <w:szCs w:val="21"/>
                <w14:ligatures w14:val="none"/>
              </w:rPr>
            </w:pPr>
          </w:p>
        </w:tc>
      </w:tr>
      <w:tr w14:paraId="1C6D3A1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78FEB">
            <w:pPr>
              <w:spacing w:line="276" w:lineRule="auto"/>
              <w:jc w:val="center"/>
              <w:rPr>
                <w:rFonts w:hint="eastAsia"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F2268">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E4270">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03EEE">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D5991">
            <w:pPr>
              <w:spacing w:line="276" w:lineRule="auto"/>
              <w:rPr>
                <w:rFonts w:hint="eastAsia" w:ascii="宋体" w:hAnsi="宋体" w:eastAsia="宋体" w:cs="Times New Roman"/>
                <w:color w:val="auto"/>
                <w:szCs w:val="21"/>
                <w14:ligatures w14:val="none"/>
              </w:rPr>
            </w:pPr>
          </w:p>
        </w:tc>
      </w:tr>
      <w:tr w14:paraId="7F6657B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8E3F5">
            <w:pPr>
              <w:spacing w:line="276" w:lineRule="auto"/>
              <w:jc w:val="center"/>
              <w:rPr>
                <w:rFonts w:hint="default"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49B99">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5FBE3A">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C5600">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05422">
            <w:pPr>
              <w:spacing w:line="276" w:lineRule="auto"/>
              <w:rPr>
                <w:rFonts w:hint="eastAsia" w:ascii="宋体" w:hAnsi="宋体" w:eastAsia="宋体" w:cs="Times New Roman"/>
                <w:color w:val="auto"/>
                <w:szCs w:val="21"/>
                <w14:ligatures w14:val="none"/>
              </w:rPr>
            </w:pPr>
          </w:p>
        </w:tc>
      </w:tr>
      <w:tr w14:paraId="663BDF7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067EF">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AE75B">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94E96">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B84B6">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38EFA">
            <w:pPr>
              <w:spacing w:line="276" w:lineRule="auto"/>
              <w:rPr>
                <w:rFonts w:hint="eastAsia" w:ascii="宋体" w:hAnsi="宋体" w:eastAsia="宋体" w:cs="Times New Roman"/>
                <w:color w:val="auto"/>
                <w:szCs w:val="21"/>
                <w14:ligatures w14:val="none"/>
              </w:rPr>
            </w:pPr>
          </w:p>
        </w:tc>
      </w:tr>
      <w:tr w14:paraId="5C4FF8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C5565">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363BB">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18731">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A47BC">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1A3CC">
            <w:pPr>
              <w:spacing w:line="276" w:lineRule="auto"/>
              <w:rPr>
                <w:rFonts w:hint="eastAsia" w:ascii="宋体" w:hAnsi="宋体" w:eastAsia="宋体" w:cs="Times New Roman"/>
                <w:color w:val="auto"/>
                <w:szCs w:val="21"/>
                <w14:ligatures w14:val="none"/>
              </w:rPr>
            </w:pPr>
          </w:p>
        </w:tc>
      </w:tr>
      <w:tr w14:paraId="4543FB2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747F8">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C081C">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96ECA">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149FE">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2E46B">
            <w:pPr>
              <w:spacing w:line="276" w:lineRule="auto"/>
              <w:rPr>
                <w:rFonts w:hint="eastAsia" w:ascii="宋体" w:hAnsi="宋体" w:eastAsia="宋体" w:cs="Times New Roman"/>
                <w:color w:val="auto"/>
                <w:szCs w:val="21"/>
                <w14:ligatures w14:val="none"/>
              </w:rPr>
            </w:pPr>
          </w:p>
        </w:tc>
      </w:tr>
      <w:tr w14:paraId="3590C3F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109180">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56B9A">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5EA72">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2DC05">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23511">
            <w:pPr>
              <w:spacing w:line="276" w:lineRule="auto"/>
              <w:rPr>
                <w:rFonts w:hint="eastAsia" w:ascii="宋体" w:hAnsi="宋体" w:eastAsia="宋体" w:cs="Times New Roman"/>
                <w:color w:val="auto"/>
                <w:szCs w:val="21"/>
                <w14:ligatures w14:val="none"/>
              </w:rPr>
            </w:pPr>
          </w:p>
        </w:tc>
      </w:tr>
      <w:tr w14:paraId="4BD57E2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562BD">
            <w:pPr>
              <w:spacing w:line="276" w:lineRule="auto"/>
              <w:rPr>
                <w:rFonts w:hint="eastAsia" w:ascii="宋体" w:hAnsi="宋体" w:eastAsia="宋体" w:cs="Times New Roman"/>
                <w:color w:val="auto"/>
                <w:szCs w:val="21"/>
                <w14:ligatures w14:val="none"/>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91408">
            <w:pPr>
              <w:spacing w:line="276" w:lineRule="auto"/>
              <w:rPr>
                <w:rFonts w:hint="eastAsia" w:ascii="宋体" w:hAnsi="宋体" w:eastAsia="宋体" w:cs="Times New Roman"/>
                <w:color w:val="auto"/>
                <w:szCs w:val="21"/>
                <w14:ligatures w14:val="none"/>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BFC6C">
            <w:pPr>
              <w:spacing w:line="276" w:lineRule="auto"/>
              <w:rPr>
                <w:rFonts w:hint="eastAsia" w:ascii="宋体" w:hAnsi="宋体" w:eastAsia="宋体" w:cs="Times New Roman"/>
                <w:color w:val="auto"/>
                <w:szCs w:val="21"/>
                <w14:ligatures w14: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08700">
            <w:pPr>
              <w:spacing w:line="276" w:lineRule="auto"/>
              <w:rPr>
                <w:rFonts w:hint="eastAsia" w:ascii="宋体" w:hAnsi="宋体" w:eastAsia="宋体" w:cs="Times New Roman"/>
                <w:color w:val="auto"/>
                <w:szCs w:val="21"/>
                <w14:ligatures w14: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CFC25">
            <w:pPr>
              <w:spacing w:line="276" w:lineRule="auto"/>
              <w:rPr>
                <w:rFonts w:hint="eastAsia" w:ascii="宋体" w:hAnsi="宋体" w:eastAsia="宋体" w:cs="Times New Roman"/>
                <w:color w:val="auto"/>
                <w:szCs w:val="21"/>
                <w14:ligatures w14:val="none"/>
              </w:rPr>
            </w:pPr>
          </w:p>
        </w:tc>
      </w:tr>
    </w:tbl>
    <w:p w14:paraId="258B7687">
      <w:pPr>
        <w:spacing w:line="360" w:lineRule="auto"/>
        <w:rPr>
          <w:rFonts w:hint="eastAsia" w:ascii="宋体" w:hAnsi="宋体" w:eastAsia="宋体" w:cs="宋体"/>
          <w:color w:val="auto"/>
          <w:szCs w:val="21"/>
          <w14:ligatures w14:val="none"/>
        </w:rPr>
      </w:pPr>
    </w:p>
    <w:p w14:paraId="338BA42C">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注：行数不够，可自行添加。</w:t>
      </w:r>
    </w:p>
    <w:p w14:paraId="5B3A599B">
      <w:pPr>
        <w:spacing w:line="360" w:lineRule="auto"/>
        <w:rPr>
          <w:rFonts w:hint="eastAsia" w:ascii="宋体" w:hAnsi="宋体" w:eastAsia="宋体" w:cs="宋体"/>
          <w:color w:val="auto"/>
          <w:szCs w:val="21"/>
          <w14:ligatures w14:val="none"/>
        </w:rPr>
      </w:pPr>
    </w:p>
    <w:p w14:paraId="5159CD88">
      <w:pPr>
        <w:widowControl/>
        <w:jc w:val="left"/>
        <w:rPr>
          <w:rFonts w:hint="eastAsia" w:ascii="宋体" w:hAnsi="宋体" w:eastAsia="宋体"/>
          <w:color w:val="auto"/>
        </w:rPr>
      </w:pPr>
      <w:r>
        <w:rPr>
          <w:rFonts w:hint="eastAsia" w:ascii="宋体" w:hAnsi="宋体" w:eastAsia="宋体"/>
          <w:color w:val="auto"/>
        </w:rPr>
        <w:br w:type="page" w:clear="all"/>
      </w:r>
    </w:p>
    <w:p w14:paraId="5819B4F2">
      <w:pPr>
        <w:spacing w:line="276" w:lineRule="auto"/>
        <w:jc w:val="center"/>
        <w:outlineLvl w:val="1"/>
        <w:rPr>
          <w:rFonts w:hint="eastAsia" w:ascii="宋体" w:hAnsi="宋体" w:eastAsia="宋体" w:cs="Times New Roman"/>
          <w:color w:val="auto"/>
          <w:sz w:val="30"/>
          <w:szCs w:val="30"/>
          <w14:ligatures w14:val="none"/>
        </w:rPr>
      </w:pPr>
      <w:bookmarkStart w:id="130" w:name="_Toc197644594"/>
      <w:r>
        <w:rPr>
          <w:rFonts w:hint="eastAsia" w:ascii="宋体" w:hAnsi="宋体" w:eastAsia="宋体" w:cs="黑体"/>
          <w:b/>
          <w:i/>
          <w:color w:val="auto"/>
          <w:sz w:val="30"/>
          <w:szCs w:val="30"/>
          <w:u w:val="single"/>
          <w14:ligatures w14:val="none"/>
        </w:rPr>
        <w:t>十</w:t>
      </w:r>
      <w:r>
        <w:rPr>
          <w:rFonts w:hint="eastAsia" w:ascii="宋体" w:hAnsi="宋体" w:eastAsia="宋体" w:cs="黑体"/>
          <w:b/>
          <w:i/>
          <w:color w:val="auto"/>
          <w:sz w:val="30"/>
          <w:szCs w:val="30"/>
          <w:u w:val="single"/>
          <w:lang w:val="en-US" w:eastAsia="zh-CN"/>
          <w14:ligatures w14:val="none"/>
        </w:rPr>
        <w:t>三</w:t>
      </w:r>
      <w:r>
        <w:rPr>
          <w:rFonts w:hint="eastAsia" w:ascii="宋体" w:hAnsi="宋体" w:eastAsia="宋体" w:cs="黑体"/>
          <w:b/>
          <w:i/>
          <w:color w:val="auto"/>
          <w:sz w:val="30"/>
          <w:szCs w:val="30"/>
          <w:u w:val="single"/>
          <w14:ligatures w14:val="none"/>
        </w:rPr>
        <w:t>、开标一览表</w:t>
      </w:r>
      <w:bookmarkEnd w:id="130"/>
    </w:p>
    <w:p w14:paraId="72B6C654">
      <w:pPr>
        <w:spacing w:line="276" w:lineRule="auto"/>
        <w:rPr>
          <w:rFonts w:hint="eastAsia" w:ascii="宋体" w:hAnsi="宋体" w:eastAsia="宋体" w:cs="宋体"/>
          <w:color w:val="auto"/>
          <w:szCs w:val="21"/>
          <w14:ligatures w14:val="none"/>
        </w:rPr>
      </w:pPr>
    </w:p>
    <w:p w14:paraId="6AB48A41">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投标人全称（加盖CA电子签章）：</w:t>
      </w:r>
    </w:p>
    <w:p w14:paraId="210C7F40">
      <w:pPr>
        <w:spacing w:line="360"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项目名称：</w:t>
      </w:r>
    </w:p>
    <w:p w14:paraId="0604DB97">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项目编号：</w:t>
      </w:r>
    </w:p>
    <w:tbl>
      <w:tblPr>
        <w:tblStyle w:val="35"/>
        <w:tblW w:w="8220" w:type="dxa"/>
        <w:tblCellSpacing w:w="0" w:type="dxa"/>
        <w:tblInd w:w="118" w:type="dxa"/>
        <w:tblLayout w:type="fixed"/>
        <w:tblCellMar>
          <w:top w:w="0" w:type="dxa"/>
          <w:left w:w="108" w:type="dxa"/>
          <w:bottom w:w="0" w:type="dxa"/>
          <w:right w:w="108" w:type="dxa"/>
        </w:tblCellMar>
      </w:tblPr>
      <w:tblGrid>
        <w:gridCol w:w="8220"/>
      </w:tblGrid>
      <w:tr w14:paraId="32441D89">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C13AF">
            <w:pPr>
              <w:pStyle w:val="32"/>
              <w:spacing w:beforeAutospacing="0" w:afterAutospacing="0"/>
              <w:jc w:val="center"/>
              <w:rPr>
                <w:color w:val="auto"/>
                <w:highlight w:val="none"/>
              </w:rPr>
            </w:pPr>
            <w:r>
              <w:rPr>
                <w:rFonts w:hint="eastAsia" w:ascii="宋体" w:hAnsi="宋体" w:eastAsia="宋体" w:cs="宋体"/>
                <w:color w:val="auto"/>
                <w:highlight w:val="none"/>
                <w:lang w:val="en-US" w:eastAsia="zh-CN"/>
              </w:rPr>
              <w:t>投标优惠率</w:t>
            </w:r>
          </w:p>
        </w:tc>
      </w:tr>
      <w:tr w14:paraId="6615FFA0">
        <w:tblPrEx>
          <w:tblCellMar>
            <w:top w:w="0" w:type="dxa"/>
            <w:left w:w="108" w:type="dxa"/>
            <w:bottom w:w="0" w:type="dxa"/>
            <w:right w:w="108" w:type="dxa"/>
          </w:tblCellMar>
        </w:tblPrEx>
        <w:trPr>
          <w:trHeight w:val="612" w:hRule="atLeast"/>
          <w:tblCellSpacing w:w="0" w:type="dxa"/>
        </w:trPr>
        <w:tc>
          <w:tcPr>
            <w:tcW w:w="8220" w:type="dxa"/>
            <w:tcBorders>
              <w:top w:val="single" w:color="auto" w:sz="4" w:space="0"/>
              <w:left w:val="single" w:color="auto" w:sz="4" w:space="0"/>
              <w:bottom w:val="single" w:color="000000" w:sz="4" w:space="0"/>
              <w:right w:val="single" w:color="auto" w:sz="4" w:space="0"/>
            </w:tcBorders>
            <w:shd w:val="clear" w:color="auto" w:fill="auto"/>
            <w:vAlign w:val="center"/>
          </w:tcPr>
          <w:p w14:paraId="5667FB97">
            <w:pPr>
              <w:pStyle w:val="32"/>
              <w:spacing w:line="0" w:lineRule="atLeast"/>
              <w:rPr>
                <w:rFonts w:hint="default" w:ascii="宋体" w:hAnsi="宋体" w:eastAsia="宋体" w:cs="宋体"/>
                <w:color w:val="auto"/>
                <w:sz w:val="21"/>
                <w:szCs w:val="21"/>
                <w14:ligatures w14:val="standardContextual"/>
              </w:rPr>
            </w:pPr>
            <w:r>
              <w:rPr>
                <w:rFonts w:hint="eastAsia" w:ascii="Times New Roman" w:hAnsi="宋体" w:eastAsia="宋体" w:cs="Times New Roman"/>
                <w:color w:val="auto"/>
                <w:sz w:val="21"/>
                <w:szCs w:val="21"/>
                <w:lang w:val="en-US" w:eastAsia="zh-CN"/>
              </w:rPr>
              <w:t>投标报价（下浮率）：</w:t>
            </w:r>
            <w:r>
              <w:rPr>
                <w:rFonts w:hint="eastAsia" w:ascii="Times New Roman" w:hAnsi="宋体" w:eastAsia="宋体" w:cs="Times New Roman"/>
                <w:color w:val="auto"/>
                <w:sz w:val="21"/>
                <w:szCs w:val="21"/>
                <w:u w:val="single"/>
              </w:rPr>
              <w:t xml:space="preserve">        </w:t>
            </w:r>
            <w:r>
              <w:rPr>
                <w:rFonts w:hint="eastAsia" w:ascii="Times New Roman" w:hAnsi="宋体" w:eastAsia="宋体" w:cs="Times New Roman"/>
                <w:color w:val="auto"/>
                <w:sz w:val="21"/>
                <w:szCs w:val="21"/>
                <w:u w:val="none"/>
              </w:rPr>
              <w:t xml:space="preserve"> </w:t>
            </w:r>
            <w:r>
              <w:rPr>
                <w:rFonts w:hint="eastAsia" w:ascii="Times New Roman" w:hAnsi="宋体" w:eastAsia="宋体" w:cs="Times New Roman"/>
                <w:color w:val="auto"/>
                <w:sz w:val="21"/>
                <w:szCs w:val="21"/>
                <w:u w:val="none"/>
                <w:lang w:val="en-US" w:eastAsia="zh-CN"/>
              </w:rPr>
              <w:t>%</w:t>
            </w:r>
            <w:r>
              <w:rPr>
                <w:rFonts w:hint="eastAsia" w:ascii="Times New Roman" w:hAnsi="宋体" w:eastAsia="宋体" w:cs="Times New Roman"/>
                <w:color w:val="auto"/>
                <w:sz w:val="21"/>
                <w:szCs w:val="21"/>
                <w:u w:val="none"/>
              </w:rPr>
              <w:t xml:space="preserve"> </w:t>
            </w:r>
            <w:r>
              <w:rPr>
                <w:rFonts w:hint="eastAsia" w:ascii="Times New Roman" w:hAnsi="宋体" w:eastAsia="宋体" w:cs="Times New Roman"/>
                <w:color w:val="auto"/>
                <w:sz w:val="24"/>
                <w:szCs w:val="24"/>
                <w:u w:val="none"/>
                <w:lang w:eastAsia="zh-CN"/>
              </w:rPr>
              <w:t>（</w:t>
            </w:r>
            <w:r>
              <w:rPr>
                <w:rFonts w:hint="eastAsia" w:ascii="宋体" w:hAnsi="宋体" w:eastAsia="宋体" w:cs="宋体"/>
                <w:b/>
                <w:bCs/>
                <w:color w:val="auto"/>
                <w:lang w:val="en-US" w:eastAsia="zh-CN"/>
              </w:rPr>
              <w:t>0＜下浮率＜100，可保留小数点后两位</w:t>
            </w:r>
            <w:r>
              <w:rPr>
                <w:rFonts w:hint="eastAsia" w:ascii="Times New Roman" w:hAnsi="宋体" w:eastAsia="宋体" w:cs="Times New Roman"/>
                <w:color w:val="auto"/>
                <w:sz w:val="24"/>
                <w:szCs w:val="24"/>
                <w:u w:val="none"/>
                <w:lang w:eastAsia="zh-CN"/>
              </w:rPr>
              <w:t>）</w:t>
            </w:r>
            <w:r>
              <w:rPr>
                <w:rFonts w:hint="eastAsia" w:ascii="Times New Roman" w:hAnsi="宋体" w:eastAsia="宋体" w:cs="Times New Roman"/>
                <w:color w:val="auto"/>
                <w:sz w:val="24"/>
                <w:szCs w:val="24"/>
                <w:u w:val="none"/>
              </w:rPr>
              <w:t xml:space="preserve"> </w:t>
            </w:r>
          </w:p>
        </w:tc>
      </w:tr>
      <w:tr w14:paraId="57A68242">
        <w:tblPrEx>
          <w:tblCellMar>
            <w:top w:w="0" w:type="dxa"/>
            <w:left w:w="108" w:type="dxa"/>
            <w:bottom w:w="0" w:type="dxa"/>
            <w:right w:w="108" w:type="dxa"/>
          </w:tblCellMar>
        </w:tblPrEx>
        <w:trPr>
          <w:trHeight w:val="612" w:hRule="atLeast"/>
          <w:tblCellSpacing w:w="0" w:type="dxa"/>
        </w:trPr>
        <w:tc>
          <w:tcPr>
            <w:tcW w:w="0" w:type="auto"/>
            <w:tcBorders>
              <w:left w:val="single" w:color="auto" w:sz="4" w:space="0"/>
              <w:bottom w:val="single" w:color="auto" w:sz="4" w:space="0"/>
              <w:right w:val="single" w:color="auto" w:sz="4" w:space="0"/>
            </w:tcBorders>
            <w:shd w:val="clear" w:color="auto" w:fill="auto"/>
            <w:vAlign w:val="center"/>
          </w:tcPr>
          <w:p w14:paraId="36E3946E">
            <w:pPr>
              <w:pStyle w:val="32"/>
              <w:spacing w:line="0" w:lineRule="atLeast"/>
              <w:rPr>
                <w:rFonts w:hint="eastAsia" w:ascii="宋体" w:hAnsi="宋体" w:eastAsia="宋体" w:cs="宋体"/>
                <w:color w:val="auto"/>
                <w:sz w:val="21"/>
                <w:szCs w:val="21"/>
                <w14:ligatures w14:val="standardContextual"/>
              </w:rPr>
            </w:pPr>
            <w:r>
              <w:rPr>
                <w:rFonts w:hint="eastAsia" w:ascii="宋体" w:hAnsi="宋体" w:cs="宋体"/>
                <w:color w:val="auto"/>
              </w:rPr>
              <w:t>合同履行期限：</w:t>
            </w:r>
            <w:r>
              <w:rPr>
                <w:rFonts w:hint="eastAsia" w:ascii="宋体" w:hAnsi="宋体" w:cs="宋体"/>
                <w:color w:val="auto"/>
                <w:lang w:val="en-US" w:eastAsia="zh-CN"/>
              </w:rPr>
              <w:t>一年（自合同签订之日起）</w:t>
            </w:r>
          </w:p>
        </w:tc>
      </w:tr>
    </w:tbl>
    <w:p w14:paraId="11FA6876">
      <w:pPr>
        <w:spacing w:line="276" w:lineRule="auto"/>
        <w:rPr>
          <w:rFonts w:hint="eastAsia" w:ascii="宋体" w:hAnsi="宋体" w:eastAsia="宋体" w:cs="Times New Roman"/>
          <w:color w:val="auto"/>
          <w:szCs w:val="21"/>
          <w14:ligatures w14:val="none"/>
        </w:rPr>
      </w:pPr>
    </w:p>
    <w:p w14:paraId="2EA37764">
      <w:pPr>
        <w:spacing w:line="276" w:lineRule="auto"/>
        <w:rPr>
          <w:rFonts w:hint="eastAsia" w:ascii="宋体" w:hAnsi="宋体" w:eastAsia="宋体" w:cs="Times New Roman"/>
          <w:color w:val="auto"/>
          <w:szCs w:val="21"/>
          <w14:ligatures w14:val="none"/>
        </w:rPr>
      </w:pPr>
    </w:p>
    <w:p w14:paraId="62F0821B">
      <w:pPr>
        <w:spacing w:line="276" w:lineRule="auto"/>
        <w:ind w:firstLine="480"/>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                                              日期：  </w:t>
      </w:r>
      <w:r>
        <w:rPr>
          <w:rFonts w:hint="eastAsia" w:ascii="宋体" w:hAnsi="宋体" w:eastAsia="宋体" w:cs="宋体"/>
          <w:color w:val="auto"/>
          <w:szCs w:val="21"/>
          <w:u w:val="single"/>
          <w14:ligatures w14:val="none"/>
        </w:rPr>
        <w:t xml:space="preserve">     </w:t>
      </w:r>
      <w:r>
        <w:rPr>
          <w:rFonts w:hint="eastAsia" w:ascii="宋体" w:hAnsi="宋体" w:eastAsia="宋体" w:cs="宋体"/>
          <w:color w:val="auto"/>
          <w:szCs w:val="21"/>
          <w14:ligatures w14:val="none"/>
        </w:rPr>
        <w:t>年</w:t>
      </w:r>
      <w:r>
        <w:rPr>
          <w:rFonts w:hint="eastAsia" w:ascii="宋体" w:hAnsi="宋体" w:eastAsia="宋体" w:cs="宋体"/>
          <w:color w:val="auto"/>
          <w:szCs w:val="21"/>
          <w:u w:val="single"/>
          <w14:ligatures w14:val="none"/>
        </w:rPr>
        <w:t xml:space="preserve">   </w:t>
      </w:r>
      <w:r>
        <w:rPr>
          <w:rFonts w:hint="eastAsia" w:ascii="宋体" w:hAnsi="宋体" w:eastAsia="宋体" w:cs="宋体"/>
          <w:color w:val="auto"/>
          <w:szCs w:val="21"/>
          <w14:ligatures w14:val="none"/>
        </w:rPr>
        <w:t>月</w:t>
      </w:r>
      <w:r>
        <w:rPr>
          <w:rFonts w:hint="eastAsia" w:ascii="宋体" w:hAnsi="宋体" w:eastAsia="宋体" w:cs="宋体"/>
          <w:color w:val="auto"/>
          <w:szCs w:val="21"/>
          <w:u w:val="single"/>
          <w14:ligatures w14:val="none"/>
        </w:rPr>
        <w:t xml:space="preserve">   </w:t>
      </w:r>
      <w:r>
        <w:rPr>
          <w:rFonts w:hint="eastAsia" w:ascii="宋体" w:hAnsi="宋体" w:eastAsia="宋体" w:cs="宋体"/>
          <w:color w:val="auto"/>
          <w:szCs w:val="21"/>
          <w14:ligatures w14:val="none"/>
        </w:rPr>
        <w:t>日</w:t>
      </w:r>
    </w:p>
    <w:p w14:paraId="64CE1214">
      <w:pPr>
        <w:spacing w:line="276" w:lineRule="auto"/>
        <w:rPr>
          <w:rFonts w:hint="eastAsia" w:ascii="宋体" w:hAnsi="宋体" w:eastAsia="宋体" w:cs="Times New Roman"/>
          <w:color w:val="auto"/>
          <w:szCs w:val="21"/>
          <w14:ligatures w14:val="none"/>
        </w:rPr>
      </w:pPr>
    </w:p>
    <w:p w14:paraId="760D10D3">
      <w:pPr>
        <w:widowControl/>
        <w:jc w:val="left"/>
        <w:rPr>
          <w:rFonts w:hint="eastAsia" w:ascii="宋体" w:hAnsi="宋体" w:eastAsia="宋体"/>
          <w:color w:val="auto"/>
          <w:szCs w:val="21"/>
        </w:rPr>
      </w:pPr>
      <w:r>
        <w:rPr>
          <w:rFonts w:hint="eastAsia" w:ascii="宋体" w:hAnsi="宋体" w:eastAsia="宋体"/>
          <w:color w:val="auto"/>
          <w:szCs w:val="21"/>
        </w:rPr>
        <w:br w:type="page" w:clear="all"/>
      </w:r>
    </w:p>
    <w:p w14:paraId="42A8247F">
      <w:pPr>
        <w:pStyle w:val="210"/>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ascii="宋体" w:hAnsi="宋体" w:cs="宋体"/>
          <w:color w:val="auto"/>
          <w:sz w:val="28"/>
          <w:szCs w:val="28"/>
        </w:rPr>
      </w:pPr>
      <w:bookmarkStart w:id="131" w:name="_Toc197644596"/>
      <w:r>
        <w:rPr>
          <w:rFonts w:hint="eastAsia" w:ascii="宋体" w:hAnsi="宋体" w:cs="宋体"/>
          <w:color w:val="auto"/>
          <w:sz w:val="28"/>
          <w:szCs w:val="28"/>
        </w:rPr>
        <w:t>十四、评分标准要求提供的材料等</w:t>
      </w:r>
    </w:p>
    <w:p w14:paraId="0FF2FF59">
      <w:pPr>
        <w:pStyle w:val="32"/>
        <w:tabs>
          <w:tab w:val="left" w:pos="2160"/>
        </w:tabs>
        <w:rPr>
          <w:rFonts w:ascii="宋体" w:hAnsi="宋体" w:cs="宋体"/>
          <w:color w:val="auto"/>
        </w:rPr>
      </w:pPr>
    </w:p>
    <w:p w14:paraId="41089CAB">
      <w:pPr>
        <w:widowControl/>
        <w:spacing w:line="499" w:lineRule="atLeast"/>
        <w:ind w:firstLine="1600"/>
        <w:rPr>
          <w:rFonts w:ascii="宋体" w:hAnsi="宋体" w:cs="宋体"/>
          <w:color w:val="auto"/>
          <w:sz w:val="32"/>
          <w:szCs w:val="32"/>
        </w:rPr>
      </w:pPr>
    </w:p>
    <w:p w14:paraId="39B1DFB1">
      <w:pPr>
        <w:widowControl/>
        <w:spacing w:line="499" w:lineRule="atLeast"/>
        <w:ind w:firstLine="1600"/>
        <w:rPr>
          <w:rFonts w:ascii="宋体" w:hAnsi="宋体" w:cs="宋体"/>
          <w:color w:val="auto"/>
          <w:sz w:val="32"/>
          <w:szCs w:val="32"/>
        </w:rPr>
      </w:pPr>
    </w:p>
    <w:p w14:paraId="0F243D27">
      <w:pPr>
        <w:widowControl/>
        <w:spacing w:line="499" w:lineRule="atLeast"/>
        <w:ind w:firstLine="1600"/>
        <w:rPr>
          <w:rFonts w:ascii="宋体" w:hAnsi="宋体" w:cs="宋体"/>
          <w:color w:val="auto"/>
          <w:sz w:val="32"/>
          <w:szCs w:val="32"/>
        </w:rPr>
      </w:pPr>
    </w:p>
    <w:p w14:paraId="04BF0BC0">
      <w:pPr>
        <w:widowControl/>
        <w:spacing w:line="499" w:lineRule="atLeast"/>
        <w:ind w:firstLine="1600"/>
        <w:rPr>
          <w:rFonts w:ascii="宋体" w:hAnsi="宋体" w:cs="宋体"/>
          <w:color w:val="auto"/>
          <w:sz w:val="32"/>
          <w:szCs w:val="32"/>
        </w:rPr>
      </w:pPr>
    </w:p>
    <w:p w14:paraId="3C1DDC1B">
      <w:pPr>
        <w:widowControl/>
        <w:spacing w:line="499" w:lineRule="atLeast"/>
        <w:ind w:firstLine="1600"/>
        <w:rPr>
          <w:rFonts w:ascii="宋体" w:hAnsi="宋体" w:cs="宋体"/>
          <w:color w:val="auto"/>
          <w:sz w:val="32"/>
          <w:szCs w:val="32"/>
        </w:rPr>
      </w:pPr>
    </w:p>
    <w:p w14:paraId="60C81852">
      <w:pPr>
        <w:widowControl/>
        <w:spacing w:line="499" w:lineRule="atLeast"/>
        <w:ind w:firstLine="1600"/>
        <w:rPr>
          <w:rFonts w:ascii="宋体" w:hAnsi="宋体" w:cs="宋体"/>
          <w:color w:val="auto"/>
          <w:sz w:val="32"/>
          <w:szCs w:val="32"/>
        </w:rPr>
      </w:pPr>
    </w:p>
    <w:p w14:paraId="22DEE4A6">
      <w:pPr>
        <w:widowControl/>
        <w:spacing w:line="499" w:lineRule="atLeast"/>
        <w:ind w:firstLine="1600"/>
        <w:rPr>
          <w:rFonts w:ascii="宋体" w:hAnsi="宋体" w:cs="宋体"/>
          <w:color w:val="auto"/>
          <w:sz w:val="32"/>
          <w:szCs w:val="32"/>
        </w:rPr>
      </w:pPr>
    </w:p>
    <w:p w14:paraId="725816DF">
      <w:pPr>
        <w:widowControl/>
        <w:spacing w:line="499" w:lineRule="atLeast"/>
        <w:ind w:firstLine="1600"/>
        <w:rPr>
          <w:rFonts w:ascii="宋体" w:hAnsi="宋体" w:cs="宋体"/>
          <w:color w:val="auto"/>
          <w:sz w:val="32"/>
          <w:szCs w:val="32"/>
        </w:rPr>
      </w:pPr>
    </w:p>
    <w:p w14:paraId="6D02F6CA">
      <w:pPr>
        <w:widowControl/>
        <w:spacing w:line="499" w:lineRule="atLeast"/>
        <w:ind w:firstLine="1600"/>
        <w:rPr>
          <w:rFonts w:ascii="宋体" w:hAnsi="宋体" w:cs="宋体"/>
          <w:color w:val="auto"/>
          <w:sz w:val="32"/>
          <w:szCs w:val="32"/>
        </w:rPr>
      </w:pPr>
    </w:p>
    <w:p w14:paraId="14877862">
      <w:pPr>
        <w:widowControl/>
        <w:spacing w:line="499" w:lineRule="atLeast"/>
        <w:ind w:firstLine="1600"/>
        <w:rPr>
          <w:rFonts w:ascii="宋体" w:hAnsi="宋体" w:cs="宋体"/>
          <w:color w:val="auto"/>
          <w:sz w:val="32"/>
          <w:szCs w:val="32"/>
        </w:rPr>
      </w:pPr>
    </w:p>
    <w:p w14:paraId="4D9B640F">
      <w:pPr>
        <w:widowControl/>
        <w:spacing w:line="499" w:lineRule="atLeast"/>
        <w:ind w:firstLine="1600"/>
        <w:rPr>
          <w:rFonts w:ascii="宋体" w:hAnsi="宋体" w:cs="宋体"/>
          <w:color w:val="auto"/>
          <w:sz w:val="32"/>
          <w:szCs w:val="32"/>
        </w:rPr>
      </w:pPr>
    </w:p>
    <w:p w14:paraId="596A1D76">
      <w:pPr>
        <w:widowControl/>
        <w:spacing w:line="499" w:lineRule="atLeast"/>
        <w:ind w:firstLine="1600"/>
        <w:rPr>
          <w:rFonts w:ascii="宋体" w:hAnsi="宋体" w:cs="宋体"/>
          <w:color w:val="auto"/>
          <w:sz w:val="32"/>
          <w:szCs w:val="32"/>
        </w:rPr>
      </w:pPr>
    </w:p>
    <w:p w14:paraId="61FC60BA">
      <w:pPr>
        <w:widowControl/>
        <w:spacing w:line="499" w:lineRule="atLeast"/>
        <w:ind w:firstLine="1600"/>
        <w:rPr>
          <w:rFonts w:ascii="宋体" w:hAnsi="宋体" w:cs="宋体"/>
          <w:color w:val="auto"/>
          <w:sz w:val="32"/>
          <w:szCs w:val="32"/>
        </w:rPr>
      </w:pPr>
    </w:p>
    <w:p w14:paraId="7AC3D71F">
      <w:pPr>
        <w:widowControl/>
        <w:spacing w:line="499" w:lineRule="atLeast"/>
        <w:ind w:firstLine="1600"/>
        <w:rPr>
          <w:rFonts w:ascii="宋体" w:hAnsi="宋体" w:cs="宋体"/>
          <w:color w:val="auto"/>
          <w:sz w:val="32"/>
          <w:szCs w:val="32"/>
        </w:rPr>
      </w:pPr>
    </w:p>
    <w:p w14:paraId="57605190">
      <w:pPr>
        <w:widowControl/>
        <w:spacing w:line="499" w:lineRule="atLeast"/>
        <w:ind w:firstLine="1600"/>
        <w:rPr>
          <w:rFonts w:ascii="宋体" w:hAnsi="宋体" w:cs="宋体"/>
          <w:color w:val="auto"/>
          <w:sz w:val="32"/>
          <w:szCs w:val="32"/>
        </w:rPr>
      </w:pPr>
    </w:p>
    <w:p w14:paraId="0A663617">
      <w:pPr>
        <w:widowControl/>
        <w:spacing w:line="499" w:lineRule="atLeast"/>
        <w:ind w:firstLine="1600"/>
        <w:rPr>
          <w:rFonts w:ascii="宋体" w:hAnsi="宋体" w:cs="宋体"/>
          <w:color w:val="auto"/>
          <w:sz w:val="32"/>
          <w:szCs w:val="32"/>
        </w:rPr>
      </w:pPr>
    </w:p>
    <w:p w14:paraId="5985F4EF">
      <w:pPr>
        <w:widowControl/>
        <w:spacing w:line="499" w:lineRule="atLeast"/>
        <w:ind w:firstLine="1600"/>
        <w:rPr>
          <w:rFonts w:ascii="宋体" w:hAnsi="宋体" w:cs="宋体"/>
          <w:color w:val="auto"/>
          <w:sz w:val="32"/>
          <w:szCs w:val="32"/>
        </w:rPr>
      </w:pPr>
    </w:p>
    <w:p w14:paraId="4969A618">
      <w:pPr>
        <w:widowControl/>
        <w:spacing w:line="499" w:lineRule="atLeast"/>
        <w:ind w:firstLine="1600"/>
        <w:rPr>
          <w:rFonts w:ascii="宋体" w:hAnsi="宋体" w:cs="宋体"/>
          <w:color w:val="auto"/>
          <w:sz w:val="32"/>
          <w:szCs w:val="32"/>
        </w:rPr>
      </w:pPr>
    </w:p>
    <w:p w14:paraId="2ED65D78">
      <w:pPr>
        <w:widowControl/>
        <w:spacing w:line="499" w:lineRule="atLeast"/>
        <w:ind w:firstLine="1600"/>
        <w:rPr>
          <w:rFonts w:ascii="宋体" w:hAnsi="宋体" w:cs="宋体"/>
          <w:color w:val="auto"/>
          <w:sz w:val="32"/>
          <w:szCs w:val="32"/>
        </w:rPr>
      </w:pPr>
    </w:p>
    <w:p w14:paraId="78226972">
      <w:pPr>
        <w:pStyle w:val="34"/>
        <w:ind w:firstLine="210"/>
        <w:rPr>
          <w:color w:val="auto"/>
        </w:rPr>
      </w:pPr>
    </w:p>
    <w:p w14:paraId="349C9B3C">
      <w:pPr>
        <w:widowControl/>
        <w:spacing w:line="499" w:lineRule="atLeast"/>
        <w:ind w:firstLine="1600"/>
        <w:rPr>
          <w:rFonts w:ascii="宋体" w:hAnsi="宋体" w:cs="宋体"/>
          <w:color w:val="auto"/>
          <w:sz w:val="32"/>
          <w:szCs w:val="32"/>
        </w:rPr>
      </w:pPr>
    </w:p>
    <w:p w14:paraId="6A46B7B2">
      <w:pPr>
        <w:pStyle w:val="2"/>
        <w:rPr>
          <w:rFonts w:ascii="宋体" w:hAnsi="宋体" w:eastAsia="宋体" w:cs="宋体"/>
          <w:color w:val="auto"/>
          <w:sz w:val="32"/>
          <w:szCs w:val="32"/>
        </w:rPr>
      </w:pPr>
    </w:p>
    <w:p w14:paraId="4F4054D2">
      <w:pPr>
        <w:pStyle w:val="3"/>
        <w:rPr>
          <w:rFonts w:ascii="宋体" w:hAnsi="宋体" w:cs="宋体"/>
          <w:color w:val="auto"/>
          <w:sz w:val="32"/>
          <w:szCs w:val="32"/>
        </w:rPr>
      </w:pPr>
    </w:p>
    <w:p w14:paraId="4F78627F">
      <w:pPr>
        <w:pStyle w:val="3"/>
        <w:rPr>
          <w:rFonts w:ascii="宋体" w:hAnsi="宋体" w:cs="宋体"/>
          <w:color w:val="auto"/>
          <w:sz w:val="32"/>
          <w:szCs w:val="32"/>
        </w:rPr>
      </w:pPr>
    </w:p>
    <w:p w14:paraId="2BB4F0CD">
      <w:pPr>
        <w:pStyle w:val="3"/>
        <w:rPr>
          <w:rFonts w:ascii="宋体" w:hAnsi="宋体" w:cs="宋体"/>
          <w:color w:val="auto"/>
          <w:sz w:val="32"/>
          <w:szCs w:val="32"/>
        </w:rPr>
      </w:pPr>
    </w:p>
    <w:p w14:paraId="0366B628">
      <w:pPr>
        <w:pStyle w:val="210"/>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hint="eastAsia" w:ascii="宋体" w:hAnsi="宋体" w:cs="宋体"/>
          <w:color w:val="auto"/>
          <w:sz w:val="28"/>
          <w:szCs w:val="28"/>
        </w:rPr>
        <w:sectPr>
          <w:pgSz w:w="11906" w:h="16838"/>
          <w:pgMar w:top="1417" w:right="1701" w:bottom="1417" w:left="1701" w:header="851" w:footer="680" w:gutter="0"/>
          <w:pgNumType w:fmt="decimal"/>
          <w:cols w:space="0" w:num="1"/>
          <w:rtlGutter w:val="0"/>
          <w:docGrid w:linePitch="360" w:charSpace="0"/>
        </w:sectPr>
      </w:pPr>
      <w:r>
        <w:rPr>
          <w:rFonts w:hint="eastAsia" w:ascii="宋体" w:hAnsi="宋体" w:cs="宋体"/>
          <w:color w:val="auto"/>
          <w:sz w:val="28"/>
          <w:szCs w:val="28"/>
        </w:rPr>
        <w:t>十五、其他材料</w:t>
      </w:r>
    </w:p>
    <w:p w14:paraId="4A7CCD27">
      <w:pPr>
        <w:widowControl/>
        <w:spacing w:line="499" w:lineRule="atLeast"/>
        <w:jc w:val="center"/>
        <w:outlineLvl w:val="1"/>
        <w:rPr>
          <w:rFonts w:hint="eastAsia" w:ascii="宋体" w:hAnsi="宋体" w:eastAsia="宋体" w:cs="宋体"/>
          <w:b/>
          <w:bCs/>
          <w:color w:val="auto"/>
          <w:sz w:val="30"/>
          <w:szCs w:val="30"/>
          <w14:ligatures w14:val="none"/>
        </w:rPr>
      </w:pPr>
      <w:r>
        <w:rPr>
          <w:rFonts w:hint="eastAsia" w:ascii="宋体" w:hAnsi="宋体" w:eastAsia="宋体" w:cs="宋体"/>
          <w:b/>
          <w:bCs/>
          <w:color w:val="auto"/>
          <w:sz w:val="30"/>
          <w:szCs w:val="30"/>
          <w14:ligatures w14:val="none"/>
        </w:rPr>
        <w:t>十</w:t>
      </w:r>
      <w:r>
        <w:rPr>
          <w:rFonts w:hint="eastAsia" w:ascii="宋体" w:hAnsi="宋体" w:eastAsia="宋体" w:cs="宋体"/>
          <w:b/>
          <w:bCs/>
          <w:color w:val="auto"/>
          <w:sz w:val="30"/>
          <w:szCs w:val="30"/>
          <w:lang w:val="en-US" w:eastAsia="zh-CN"/>
          <w14:ligatures w14:val="none"/>
        </w:rPr>
        <w:t>六</w:t>
      </w:r>
      <w:r>
        <w:rPr>
          <w:rFonts w:hint="eastAsia" w:ascii="宋体" w:hAnsi="宋体" w:eastAsia="宋体" w:cs="宋体"/>
          <w:b/>
          <w:bCs/>
          <w:color w:val="auto"/>
          <w:sz w:val="30"/>
          <w:szCs w:val="30"/>
          <w14:ligatures w14:val="none"/>
        </w:rPr>
        <w:t>、盐城市政府采购事前信用承诺书</w:t>
      </w:r>
      <w:bookmarkEnd w:id="131"/>
    </w:p>
    <w:p w14:paraId="54EFA0FF">
      <w:pPr>
        <w:widowControl/>
        <w:spacing w:line="499" w:lineRule="atLeast"/>
        <w:ind w:firstLine="480"/>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为营造我市公开、公平、公正、诚实守信的政府采购交易环境，树立诚信守法的投标人形象，本人代表本单位作出以下承诺：</w:t>
      </w:r>
    </w:p>
    <w:p w14:paraId="57D4EC8F">
      <w:pPr>
        <w:widowControl/>
        <w:spacing w:line="499" w:lineRule="atLeast"/>
        <w:ind w:firstLine="372"/>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1F1CC7C">
      <w:pPr>
        <w:widowControl/>
        <w:spacing w:line="499" w:lineRule="atLeast"/>
        <w:ind w:firstLine="372"/>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71E3FC8">
      <w:pPr>
        <w:widowControl/>
        <w:spacing w:line="499" w:lineRule="atLeast"/>
        <w:ind w:firstLine="372"/>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 xml:space="preserve">（三）严格依照国家和省、市关于政府采购的法律、法规、规章、规范性文件，参加政府采购投标活动；积极履行社会责任，促进廉政建设； </w:t>
      </w:r>
    </w:p>
    <w:p w14:paraId="39DD511C">
      <w:pPr>
        <w:widowControl/>
        <w:spacing w:line="499" w:lineRule="atLeast"/>
        <w:ind w:firstLine="372"/>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（四）严格遵守即时信息公示规定，及时维护和更新维护和更新盐城市政府采购网中与本单位相关的信息；</w:t>
      </w:r>
    </w:p>
    <w:p w14:paraId="445F45C5">
      <w:pPr>
        <w:widowControl/>
        <w:spacing w:line="499" w:lineRule="atLeast"/>
        <w:ind w:firstLine="372"/>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F175F75">
      <w:pPr>
        <w:widowControl/>
        <w:spacing w:line="499" w:lineRule="atLeast"/>
        <w:ind w:firstLine="372"/>
        <w:jc w:val="left"/>
        <w:outlineLvl w:val="2"/>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（六）自觉接受政府、行业组织、社会公众、新闻舆论的监督；</w:t>
      </w:r>
    </w:p>
    <w:p w14:paraId="28DF4171">
      <w:pPr>
        <w:widowControl/>
        <w:spacing w:line="499" w:lineRule="atLeast"/>
        <w:ind w:firstLine="372"/>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DAB3699">
      <w:pPr>
        <w:widowControl/>
        <w:spacing w:line="499" w:lineRule="atLeast"/>
        <w:ind w:firstLine="372"/>
        <w:jc w:val="left"/>
        <w:outlineLvl w:val="2"/>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（八）本人已认真阅读了上述承诺，并向本单位员工作了宣传教育。</w:t>
      </w:r>
    </w:p>
    <w:p w14:paraId="550C4CC1">
      <w:pPr>
        <w:widowControl/>
        <w:spacing w:line="499" w:lineRule="atLeast"/>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                  法定代表人签名：</w:t>
      </w:r>
    </w:p>
    <w:p w14:paraId="0C111A5D">
      <w:pPr>
        <w:widowControl/>
        <w:spacing w:line="499" w:lineRule="atLeast"/>
        <w:jc w:val="center"/>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     单位名称（盖章）：</w:t>
      </w:r>
    </w:p>
    <w:p w14:paraId="67BE9900">
      <w:pPr>
        <w:widowControl/>
        <w:spacing w:line="499" w:lineRule="atLeast"/>
        <w:ind w:firstLine="3780"/>
        <w:rPr>
          <w:rFonts w:hint="eastAsia" w:ascii="宋体" w:hAnsi="宋体" w:eastAsia="宋体" w:cs="宋体"/>
          <w:color w:val="auto"/>
          <w:szCs w:val="21"/>
          <w14:ligatures w14:val="none"/>
        </w:rPr>
      </w:pPr>
      <w:r>
        <w:rPr>
          <w:rFonts w:hint="eastAsia" w:ascii="宋体" w:hAnsi="宋体" w:eastAsia="宋体" w:cs="宋体"/>
          <w:color w:val="auto"/>
          <w:szCs w:val="21"/>
          <w:lang w:val="en-US" w:eastAsia="zh-CN"/>
          <w14:ligatures w14:val="none"/>
        </w:rPr>
        <w:t xml:space="preserve">        </w:t>
      </w:r>
      <w:r>
        <w:rPr>
          <w:rFonts w:hint="eastAsia" w:ascii="宋体" w:hAnsi="宋体" w:eastAsia="宋体" w:cs="宋体"/>
          <w:color w:val="auto"/>
          <w:szCs w:val="21"/>
          <w14:ligatures w14:val="none"/>
        </w:rPr>
        <w:t>年    月     日</w:t>
      </w:r>
    </w:p>
    <w:p w14:paraId="56389F5E">
      <w:pPr>
        <w:widowControl/>
        <w:jc w:val="left"/>
        <w:rPr>
          <w:rFonts w:hint="eastAsia" w:ascii="宋体" w:hAnsi="宋体" w:eastAsia="宋体"/>
          <w:color w:val="auto"/>
          <w:szCs w:val="21"/>
        </w:rPr>
      </w:pPr>
      <w:r>
        <w:rPr>
          <w:rFonts w:hint="eastAsia" w:ascii="宋体" w:hAnsi="宋体" w:eastAsia="宋体"/>
          <w:color w:val="auto"/>
          <w:szCs w:val="21"/>
        </w:rPr>
        <w:br w:type="page" w:clear="all"/>
      </w:r>
    </w:p>
    <w:p w14:paraId="3B6DA645">
      <w:pPr>
        <w:spacing w:line="276" w:lineRule="auto"/>
        <w:jc w:val="center"/>
        <w:outlineLvl w:val="1"/>
        <w:rPr>
          <w:rFonts w:hint="eastAsia" w:ascii="宋体" w:hAnsi="宋体" w:eastAsia="宋体" w:cs="宋体"/>
          <w:b/>
          <w:color w:val="auto"/>
          <w:sz w:val="30"/>
          <w:szCs w:val="30"/>
          <w14:ligatures w14:val="none"/>
        </w:rPr>
      </w:pPr>
      <w:bookmarkStart w:id="132" w:name="_Toc197644597"/>
      <w:r>
        <w:rPr>
          <w:rFonts w:hint="eastAsia" w:ascii="宋体" w:hAnsi="宋体" w:eastAsia="宋体" w:cs="宋体"/>
          <w:b/>
          <w:color w:val="auto"/>
          <w:sz w:val="30"/>
          <w:szCs w:val="30"/>
          <w14:ligatures w14:val="none"/>
        </w:rPr>
        <w:t>质疑函范本</w:t>
      </w:r>
      <w:bookmarkEnd w:id="132"/>
    </w:p>
    <w:p w14:paraId="37D92D6B">
      <w:pPr>
        <w:spacing w:before="290" w:line="276" w:lineRule="auto"/>
        <w:outlineLvl w:val="1"/>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一、质疑供应商基本信息</w:t>
      </w:r>
    </w:p>
    <w:p w14:paraId="005D15ED">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质疑供应商：</w:t>
      </w:r>
      <w:r>
        <w:rPr>
          <w:rFonts w:hint="eastAsia" w:ascii="宋体" w:hAnsi="宋体" w:eastAsia="宋体" w:cs="宋体"/>
          <w:color w:val="auto"/>
          <w:szCs w:val="21"/>
          <w:u w:val="single"/>
          <w14:ligatures w14:val="none"/>
        </w:rPr>
        <w:t>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xml:space="preserve">          </w:t>
      </w:r>
    </w:p>
    <w:p w14:paraId="35495782">
      <w:pPr>
        <w:spacing w:line="276" w:lineRule="auto"/>
        <w:rPr>
          <w:rFonts w:hint="eastAsia" w:ascii="宋体" w:hAnsi="宋体" w:eastAsia="宋体" w:cs="宋体"/>
          <w:color w:val="auto"/>
          <w:szCs w:val="21"/>
          <w:u w:val="single"/>
          <w14:ligatures w14:val="none"/>
        </w:rPr>
      </w:pPr>
      <w:r>
        <w:rPr>
          <w:rFonts w:hint="eastAsia" w:ascii="宋体" w:hAnsi="宋体" w:eastAsia="宋体" w:cs="宋体"/>
          <w:color w:val="auto"/>
          <w:szCs w:val="21"/>
          <w14:ligatures w14:val="none"/>
        </w:rPr>
        <w:t>地址：</w:t>
      </w:r>
      <w:r>
        <w:rPr>
          <w:rFonts w:hint="eastAsia" w:ascii="宋体" w:hAnsi="宋体" w:eastAsia="宋体" w:cs="宋体"/>
          <w:color w:val="auto"/>
          <w:szCs w:val="21"/>
          <w:u w:val="single"/>
          <w14:ligatures w14:val="none"/>
        </w:rPr>
        <w:t xml:space="preserve">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w:t>
      </w:r>
    </w:p>
    <w:p w14:paraId="7D9450E1">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邮编：</w:t>
      </w:r>
      <w:r>
        <w:rPr>
          <w:rFonts w:hint="eastAsia" w:ascii="宋体" w:hAnsi="宋体" w:eastAsia="宋体" w:cs="宋体"/>
          <w:color w:val="auto"/>
          <w:szCs w:val="21"/>
          <w:u w:val="single"/>
          <w14:ligatures w14:val="none"/>
        </w:rPr>
        <w:t>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xml:space="preserve">  </w:t>
      </w:r>
    </w:p>
    <w:p w14:paraId="34EAC6AF">
      <w:pPr>
        <w:spacing w:line="276" w:lineRule="auto"/>
        <w:rPr>
          <w:rFonts w:hint="eastAsia" w:ascii="宋体" w:hAnsi="宋体" w:eastAsia="宋体" w:cs="宋体"/>
          <w:color w:val="auto"/>
          <w:szCs w:val="21"/>
          <w:u w:val="single"/>
          <w14:ligatures w14:val="none"/>
        </w:rPr>
      </w:pPr>
      <w:r>
        <w:rPr>
          <w:rFonts w:hint="eastAsia" w:ascii="宋体" w:hAnsi="宋体" w:eastAsia="宋体" w:cs="宋体"/>
          <w:color w:val="auto"/>
          <w:szCs w:val="21"/>
          <w14:ligatures w14:val="none"/>
        </w:rPr>
        <w:t>联系人：</w:t>
      </w:r>
      <w:r>
        <w:rPr>
          <w:rFonts w:hint="eastAsia" w:ascii="宋体" w:hAnsi="宋体" w:eastAsia="宋体" w:cs="宋体"/>
          <w:color w:val="auto"/>
          <w:szCs w:val="21"/>
          <w:u w:val="single"/>
          <w14:ligatures w14:val="none"/>
        </w:rPr>
        <w:t>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w:t>
      </w:r>
    </w:p>
    <w:p w14:paraId="7DC5964B">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联系电话：</w:t>
      </w:r>
      <w:r>
        <w:rPr>
          <w:rFonts w:hint="eastAsia" w:ascii="宋体" w:hAnsi="宋体" w:eastAsia="宋体" w:cs="宋体"/>
          <w:color w:val="auto"/>
          <w:szCs w:val="21"/>
          <w:u w:val="single"/>
          <w14:ligatures w14:val="none"/>
        </w:rPr>
        <w:t xml:space="preserve">                                      </w:t>
      </w:r>
    </w:p>
    <w:p w14:paraId="2614A92E">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授权代表：</w:t>
      </w:r>
      <w:r>
        <w:rPr>
          <w:rFonts w:hint="eastAsia" w:ascii="宋体" w:hAnsi="宋体" w:eastAsia="宋体" w:cs="宋体"/>
          <w:color w:val="auto"/>
          <w:szCs w:val="21"/>
          <w:u w:val="single"/>
          <w14:ligatures w14:val="none"/>
        </w:rPr>
        <w:t>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w:t>
      </w:r>
    </w:p>
    <w:p w14:paraId="74A3F771">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联系电话：</w:t>
      </w:r>
      <w:r>
        <w:rPr>
          <w:rFonts w:hint="eastAsia" w:ascii="宋体" w:hAnsi="宋体" w:eastAsia="宋体" w:cs="宋体"/>
          <w:color w:val="auto"/>
          <w:szCs w:val="21"/>
          <w:u w:val="single"/>
          <w14:ligatures w14:val="none"/>
        </w:rPr>
        <w:t>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w:t>
      </w:r>
    </w:p>
    <w:p w14:paraId="3C1A8CE2">
      <w:pPr>
        <w:spacing w:line="276" w:lineRule="auto"/>
        <w:rPr>
          <w:rFonts w:hint="eastAsia" w:ascii="宋体" w:hAnsi="宋体" w:eastAsia="宋体" w:cs="宋体"/>
          <w:color w:val="auto"/>
          <w:szCs w:val="21"/>
          <w:u w:val="single"/>
          <w14:ligatures w14:val="none"/>
        </w:rPr>
      </w:pPr>
      <w:r>
        <w:rPr>
          <w:rFonts w:hint="eastAsia" w:ascii="宋体" w:hAnsi="宋体" w:eastAsia="宋体" w:cs="宋体"/>
          <w:color w:val="auto"/>
          <w:szCs w:val="21"/>
          <w14:ligatures w14:val="none"/>
        </w:rPr>
        <w:t>地址： </w:t>
      </w:r>
      <w:r>
        <w:rPr>
          <w:rFonts w:hint="eastAsia" w:ascii="宋体" w:hAnsi="宋体" w:eastAsia="宋体" w:cs="宋体"/>
          <w:color w:val="auto"/>
          <w:szCs w:val="21"/>
          <w:u w:val="single"/>
          <w14:ligatures w14:val="none"/>
        </w:rPr>
        <w:t>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xml:space="preserve">  </w:t>
      </w:r>
    </w:p>
    <w:p w14:paraId="64FC251B">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邮编：</w:t>
      </w:r>
      <w:r>
        <w:rPr>
          <w:rFonts w:hint="eastAsia" w:ascii="宋体" w:hAnsi="宋体" w:eastAsia="宋体" w:cs="宋体"/>
          <w:color w:val="auto"/>
          <w:szCs w:val="21"/>
          <w:u w:val="single"/>
          <w14:ligatures w14:val="none"/>
        </w:rPr>
        <w:t>                            </w:t>
      </w:r>
    </w:p>
    <w:p w14:paraId="41959D13">
      <w:pPr>
        <w:spacing w:line="276" w:lineRule="auto"/>
        <w:outlineLvl w:val="1"/>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二、质疑项目基本情况</w:t>
      </w:r>
    </w:p>
    <w:p w14:paraId="32D7EB48">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质疑项目的名称：</w:t>
      </w:r>
      <w:r>
        <w:rPr>
          <w:rFonts w:hint="eastAsia" w:ascii="宋体" w:hAnsi="宋体" w:eastAsia="宋体" w:cs="宋体"/>
          <w:color w:val="auto"/>
          <w:szCs w:val="21"/>
          <w:u w:val="single"/>
          <w14:ligatures w14:val="none"/>
        </w:rPr>
        <w:t xml:space="preserve">                             </w:t>
      </w:r>
    </w:p>
    <w:p w14:paraId="79EC207D">
      <w:pPr>
        <w:spacing w:line="276" w:lineRule="auto"/>
        <w:rPr>
          <w:rFonts w:hint="eastAsia" w:ascii="宋体" w:hAnsi="宋体" w:eastAsia="宋体" w:cs="宋体"/>
          <w:color w:val="auto"/>
          <w:szCs w:val="21"/>
          <w:u w:val="single"/>
          <w14:ligatures w14:val="none"/>
        </w:rPr>
      </w:pPr>
      <w:r>
        <w:rPr>
          <w:rFonts w:hint="eastAsia" w:ascii="宋体" w:hAnsi="宋体" w:eastAsia="宋体" w:cs="宋体"/>
          <w:color w:val="auto"/>
          <w:szCs w:val="21"/>
          <w14:ligatures w14:val="none"/>
        </w:rPr>
        <w:t>质疑项目的编号：</w:t>
      </w:r>
      <w:r>
        <w:rPr>
          <w:rFonts w:hint="eastAsia" w:ascii="宋体" w:hAnsi="宋体" w:eastAsia="宋体" w:cs="宋体"/>
          <w:color w:val="auto"/>
          <w:szCs w:val="21"/>
          <w:u w:val="single"/>
          <w14:ligatures w14:val="none"/>
        </w:rPr>
        <w:t xml:space="preserve">                            </w:t>
      </w:r>
    </w:p>
    <w:p w14:paraId="77EF8662">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包号：</w:t>
      </w:r>
      <w:r>
        <w:rPr>
          <w:rFonts w:hint="eastAsia" w:ascii="宋体" w:hAnsi="宋体" w:eastAsia="宋体" w:cs="宋体"/>
          <w:color w:val="auto"/>
          <w:szCs w:val="21"/>
          <w:u w:val="single"/>
          <w14:ligatures w14:val="none"/>
        </w:rPr>
        <w:t xml:space="preserve">                       </w:t>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ab/>
      </w:r>
      <w:r>
        <w:rPr>
          <w:rFonts w:hint="eastAsia" w:ascii="宋体" w:hAnsi="宋体" w:eastAsia="宋体" w:cs="宋体"/>
          <w:color w:val="auto"/>
          <w:szCs w:val="21"/>
          <w:u w:val="single"/>
          <w14:ligatures w14:val="none"/>
        </w:rPr>
        <w:t>  </w:t>
      </w:r>
    </w:p>
    <w:p w14:paraId="347B1CB5">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采购人名称：</w:t>
      </w:r>
      <w:r>
        <w:rPr>
          <w:rFonts w:hint="eastAsia" w:ascii="宋体" w:hAnsi="宋体" w:eastAsia="宋体" w:cs="宋体"/>
          <w:color w:val="auto"/>
          <w:szCs w:val="21"/>
          <w:u w:val="single"/>
          <w14:ligatures w14:val="none"/>
        </w:rPr>
        <w:t>                         </w:t>
      </w:r>
    </w:p>
    <w:p w14:paraId="017CDDA6">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采购文件获取日期：</w:t>
      </w:r>
      <w:r>
        <w:rPr>
          <w:rFonts w:hint="eastAsia" w:ascii="宋体" w:hAnsi="宋体" w:eastAsia="宋体" w:cs="宋体"/>
          <w:color w:val="auto"/>
          <w:szCs w:val="21"/>
          <w:u w:val="single"/>
          <w14:ligatures w14:val="none"/>
        </w:rPr>
        <w:t xml:space="preserve">                              </w:t>
      </w:r>
    </w:p>
    <w:p w14:paraId="43ED099D">
      <w:pPr>
        <w:spacing w:line="276" w:lineRule="auto"/>
        <w:outlineLvl w:val="1"/>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三、质疑事项具体内容</w:t>
      </w:r>
    </w:p>
    <w:p w14:paraId="20F152AD">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质疑事项1：</w:t>
      </w:r>
      <w:r>
        <w:rPr>
          <w:rFonts w:hint="eastAsia" w:ascii="宋体" w:hAnsi="宋体" w:eastAsia="宋体" w:cs="宋体"/>
          <w:color w:val="auto"/>
          <w:szCs w:val="21"/>
          <w:u w:val="single"/>
          <w14:ligatures w14:val="none"/>
        </w:rPr>
        <w:t>                         </w:t>
      </w:r>
    </w:p>
    <w:p w14:paraId="109B1586">
      <w:pPr>
        <w:spacing w:line="276" w:lineRule="auto"/>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事实依据：</w:t>
      </w:r>
      <w:r>
        <w:rPr>
          <w:rFonts w:hint="eastAsia" w:ascii="宋体" w:hAnsi="宋体" w:eastAsia="宋体" w:cs="宋体"/>
          <w:color w:val="auto"/>
          <w:szCs w:val="21"/>
          <w:u w:val="single"/>
          <w14:ligatures w14:val="none"/>
        </w:rPr>
        <w:t xml:space="preserve">                                              </w:t>
      </w:r>
    </w:p>
    <w:p w14:paraId="591738F1">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法律依据：</w:t>
      </w:r>
      <w:r>
        <w:rPr>
          <w:rFonts w:hint="eastAsia" w:ascii="宋体" w:hAnsi="宋体" w:eastAsia="宋体" w:cs="宋体"/>
          <w:color w:val="auto"/>
          <w:szCs w:val="21"/>
          <w:u w:val="single"/>
          <w14:ligatures w14:val="none"/>
        </w:rPr>
        <w:t xml:space="preserve">                                                </w:t>
      </w:r>
    </w:p>
    <w:p w14:paraId="1FDA132C">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质疑事项2</w:t>
      </w:r>
    </w:p>
    <w:p w14:paraId="223BC880">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w:t>
      </w:r>
    </w:p>
    <w:p w14:paraId="4DEED350">
      <w:pPr>
        <w:spacing w:line="276" w:lineRule="auto"/>
        <w:outlineLvl w:val="1"/>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四、与质疑事项相关的质疑请求</w:t>
      </w:r>
    </w:p>
    <w:p w14:paraId="52CACB0E">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请求：</w:t>
      </w:r>
      <w:r>
        <w:rPr>
          <w:rFonts w:hint="eastAsia" w:ascii="宋体" w:hAnsi="宋体" w:eastAsia="宋体" w:cs="宋体"/>
          <w:color w:val="auto"/>
          <w:szCs w:val="21"/>
          <w:u w:val="single"/>
          <w14:ligatures w14:val="none"/>
        </w:rPr>
        <w:t xml:space="preserve">                                                    </w:t>
      </w:r>
    </w:p>
    <w:p w14:paraId="5286744C">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签字(签章)：                 公章：               日期：</w:t>
      </w:r>
    </w:p>
    <w:p w14:paraId="725F0997">
      <w:pPr>
        <w:spacing w:line="276" w:lineRule="auto"/>
        <w:rPr>
          <w:rFonts w:hint="eastAsia" w:ascii="宋体" w:hAnsi="宋体" w:eastAsia="宋体" w:cs="宋体"/>
          <w:color w:val="auto"/>
          <w:szCs w:val="21"/>
          <w14:ligatures w14:val="none"/>
        </w:rPr>
      </w:pPr>
      <w:r>
        <w:rPr>
          <w:rFonts w:hint="eastAsia" w:ascii="宋体" w:hAnsi="宋体" w:eastAsia="宋体" w:cs="宋体"/>
          <w:b/>
          <w:color w:val="auto"/>
          <w:szCs w:val="21"/>
          <w14:ligatures w14:val="none"/>
        </w:rPr>
        <w:t>质疑函制作说明：</w:t>
      </w:r>
    </w:p>
    <w:p w14:paraId="353B3AC3">
      <w:pPr>
        <w:widowControl/>
        <w:spacing w:line="276" w:lineRule="auto"/>
        <w:ind w:firstLine="480"/>
        <w:jc w:val="left"/>
        <w:outlineLvl w:val="2"/>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1.供应商提出质疑时，应提交质疑函和必要的证明材料。</w:t>
      </w:r>
    </w:p>
    <w:p w14:paraId="0C93FDDB">
      <w:pPr>
        <w:widowControl/>
        <w:spacing w:line="276" w:lineRule="auto"/>
        <w:ind w:firstLine="480"/>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36BF965">
      <w:pPr>
        <w:widowControl/>
        <w:spacing w:line="276" w:lineRule="auto"/>
        <w:ind w:firstLine="480"/>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3.质疑供应商若对项目的某一分包进行质疑，质疑函中应列明具体分包号。</w:t>
      </w:r>
    </w:p>
    <w:p w14:paraId="5D329EA2">
      <w:pPr>
        <w:widowControl/>
        <w:spacing w:line="276" w:lineRule="auto"/>
        <w:ind w:firstLine="480"/>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4.质疑函的质疑事项应具体、明确，并有必要的事实依据和法律依据。</w:t>
      </w:r>
    </w:p>
    <w:p w14:paraId="09665B93">
      <w:pPr>
        <w:widowControl/>
        <w:spacing w:line="276" w:lineRule="auto"/>
        <w:ind w:firstLine="480"/>
        <w:jc w:val="left"/>
        <w:outlineLvl w:val="2"/>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5.质疑函的质疑请求应与质疑事项相关。</w:t>
      </w:r>
    </w:p>
    <w:p w14:paraId="6395CE3A">
      <w:pPr>
        <w:widowControl/>
        <w:spacing w:line="276" w:lineRule="auto"/>
        <w:ind w:firstLine="480"/>
        <w:jc w:val="left"/>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6.质疑供应商为自然人的，质疑函应由本人签字；质疑供应商为法人或者其他组织的，质疑函应由法定代表人、主要负责人，或者其授权代表签字或者盖章，并加盖公章。</w:t>
      </w:r>
    </w:p>
    <w:sectPr>
      <w:pgSz w:w="11906" w:h="16838"/>
      <w:pgMar w:top="1417" w:right="1701" w:bottom="1417" w:left="1701" w:header="851" w:footer="680"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_x000B__x000C_">
    <w:altName w:val="DejaVu Math TeX Gyre"/>
    <w:panose1 w:val="020B0503020202020204"/>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5383F">
    <w:pPr>
      <w:pStyle w:val="22"/>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D2AC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4ED2AC9">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A6B7E1"/>
    <w:multiLevelType w:val="multilevel"/>
    <w:tmpl w:val="89A6B7E1"/>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1">
    <w:nsid w:val="93F26C8E"/>
    <w:multiLevelType w:val="multilevel"/>
    <w:tmpl w:val="93F26C8E"/>
    <w:lvl w:ilvl="0" w:tentative="0">
      <w:start w:val="1"/>
      <w:numFmt w:val="decimal"/>
      <w:suff w:val="space"/>
      <w:lvlText w:val="%1、"/>
      <w:lvlJc w:val="left"/>
      <w:pPr>
        <w:ind w:left="1008" w:hanging="440"/>
      </w:pPr>
      <w:rPr>
        <w:rFonts w:hint="eastAsia"/>
      </w:rPr>
    </w:lvl>
    <w:lvl w:ilvl="1" w:tentative="0">
      <w:start w:val="1"/>
      <w:numFmt w:val="decimal"/>
      <w:isLgl/>
      <w:suff w:val="space"/>
      <w:lvlText w:val="%1.%2"/>
      <w:lvlJc w:val="left"/>
      <w:pPr>
        <w:ind w:left="844" w:hanging="420"/>
      </w:pPr>
      <w:rPr>
        <w:rFonts w:hint="default"/>
      </w:rPr>
    </w:lvl>
    <w:lvl w:ilvl="2" w:tentative="0">
      <w:start w:val="1"/>
      <w:numFmt w:val="decimal"/>
      <w:isLgl/>
      <w:suff w:val="space"/>
      <w:lvlText w:val="%1.%2.%3"/>
      <w:lvlJc w:val="left"/>
      <w:pPr>
        <w:ind w:left="1568" w:hanging="720"/>
      </w:pPr>
      <w:rPr>
        <w:rFonts w:hint="default"/>
      </w:rPr>
    </w:lvl>
    <w:lvl w:ilvl="3" w:tentative="0">
      <w:start w:val="1"/>
      <w:numFmt w:val="decimal"/>
      <w:isLgl/>
      <w:suff w:val="space"/>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2">
    <w:nsid w:val="A146C3DF"/>
    <w:multiLevelType w:val="multilevel"/>
    <w:tmpl w:val="A146C3DF"/>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3">
    <w:nsid w:val="A83D4413"/>
    <w:multiLevelType w:val="multilevel"/>
    <w:tmpl w:val="A83D4413"/>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4">
    <w:nsid w:val="B1898A7C"/>
    <w:multiLevelType w:val="multilevel"/>
    <w:tmpl w:val="B1898A7C"/>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CCE23EAA"/>
    <w:multiLevelType w:val="multilevel"/>
    <w:tmpl w:val="CCE23EAA"/>
    <w:lvl w:ilvl="0" w:tentative="0">
      <w:start w:val="1"/>
      <w:numFmt w:val="japaneseCounting"/>
      <w:lvlText w:val="第%1章"/>
      <w:lvlJc w:val="left"/>
      <w:pPr>
        <w:ind w:left="750" w:hanging="75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E3228D6C"/>
    <w:multiLevelType w:val="singleLevel"/>
    <w:tmpl w:val="E3228D6C"/>
    <w:lvl w:ilvl="0" w:tentative="0">
      <w:start w:val="1"/>
      <w:numFmt w:val="decimal"/>
      <w:suff w:val="space"/>
      <w:lvlText w:val="%1."/>
      <w:lvlJc w:val="left"/>
    </w:lvl>
  </w:abstractNum>
  <w:abstractNum w:abstractNumId="7">
    <w:nsid w:val="F5D428B8"/>
    <w:multiLevelType w:val="multilevel"/>
    <w:tmpl w:val="F5D428B8"/>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8">
    <w:nsid w:val="0B6E1606"/>
    <w:multiLevelType w:val="multilevel"/>
    <w:tmpl w:val="0B6E1606"/>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9">
    <w:nsid w:val="2E9F4B34"/>
    <w:multiLevelType w:val="singleLevel"/>
    <w:tmpl w:val="2E9F4B34"/>
    <w:lvl w:ilvl="0" w:tentative="0">
      <w:start w:val="1"/>
      <w:numFmt w:val="chineseCounting"/>
      <w:suff w:val="nothing"/>
      <w:lvlText w:val="%1、"/>
      <w:lvlJc w:val="left"/>
      <w:rPr>
        <w:rFonts w:hint="eastAsia"/>
      </w:rPr>
    </w:lvl>
  </w:abstractNum>
  <w:abstractNum w:abstractNumId="10">
    <w:nsid w:val="42139AC2"/>
    <w:multiLevelType w:val="singleLevel"/>
    <w:tmpl w:val="42139AC2"/>
    <w:lvl w:ilvl="0" w:tentative="0">
      <w:start w:val="5"/>
      <w:numFmt w:val="chineseCounting"/>
      <w:suff w:val="nothing"/>
      <w:lvlText w:val="%1、"/>
      <w:lvlJc w:val="left"/>
      <w:rPr>
        <w:rFonts w:hint="eastAsia"/>
      </w:rPr>
    </w:lvl>
  </w:abstractNum>
  <w:abstractNum w:abstractNumId="11">
    <w:nsid w:val="50EADAB3"/>
    <w:multiLevelType w:val="multilevel"/>
    <w:tmpl w:val="50EADAB3"/>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70436913"/>
    <w:multiLevelType w:val="multilevel"/>
    <w:tmpl w:val="70436913"/>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753050D8"/>
    <w:multiLevelType w:val="multilevel"/>
    <w:tmpl w:val="753050D8"/>
    <w:lvl w:ilvl="0" w:tentative="0">
      <w:start w:val="1"/>
      <w:numFmt w:val="decimal"/>
      <w:suff w:val="space"/>
      <w:lvlText w:val="%1."/>
      <w:lvlJc w:val="left"/>
      <w:pPr>
        <w:ind w:left="440" w:hanging="440"/>
      </w:pPr>
      <w:rPr>
        <w:rFonts w:hint="eastAsia"/>
      </w:rPr>
    </w:lvl>
    <w:lvl w:ilvl="1" w:tentative="0">
      <w:start w:val="1"/>
      <w:numFmt w:val="decimal"/>
      <w:isLgl/>
      <w:suff w:val="space"/>
      <w:lvlText w:val="%1.%2"/>
      <w:lvlJc w:val="left"/>
      <w:pPr>
        <w:ind w:left="844" w:hanging="420"/>
      </w:pPr>
      <w:rPr>
        <w:rFonts w:hint="default"/>
      </w:rPr>
    </w:lvl>
    <w:lvl w:ilvl="2" w:tentative="0">
      <w:start w:val="1"/>
      <w:numFmt w:val="decimal"/>
      <w:isLgl/>
      <w:suff w:val="space"/>
      <w:lvlText w:val="%1.%2.%3"/>
      <w:lvlJc w:val="left"/>
      <w:pPr>
        <w:ind w:left="1568" w:hanging="720"/>
      </w:pPr>
      <w:rPr>
        <w:rFonts w:hint="default"/>
      </w:rPr>
    </w:lvl>
    <w:lvl w:ilvl="3" w:tentative="0">
      <w:start w:val="1"/>
      <w:numFmt w:val="decimal"/>
      <w:isLgl/>
      <w:suff w:val="space"/>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14">
    <w:nsid w:val="7DC71B4E"/>
    <w:multiLevelType w:val="multilevel"/>
    <w:tmpl w:val="7DC71B4E"/>
    <w:lvl w:ilvl="0" w:tentative="0">
      <w:start w:val="1"/>
      <w:numFmt w:val="decimal"/>
      <w:suff w:val="space"/>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5"/>
  </w:num>
  <w:num w:numId="2">
    <w:abstractNumId w:val="12"/>
  </w:num>
  <w:num w:numId="3">
    <w:abstractNumId w:val="14"/>
  </w:num>
  <w:num w:numId="4">
    <w:abstractNumId w:val="3"/>
  </w:num>
  <w:num w:numId="5">
    <w:abstractNumId w:val="8"/>
  </w:num>
  <w:num w:numId="6">
    <w:abstractNumId w:val="7"/>
  </w:num>
  <w:num w:numId="7">
    <w:abstractNumId w:val="6"/>
  </w:num>
  <w:num w:numId="8">
    <w:abstractNumId w:val="4"/>
  </w:num>
  <w:num w:numId="9">
    <w:abstractNumId w:val="1"/>
  </w:num>
  <w:num w:numId="10">
    <w:abstractNumId w:val="2"/>
  </w:num>
  <w:num w:numId="11">
    <w:abstractNumId w:val="0"/>
  </w:num>
  <w:num w:numId="12">
    <w:abstractNumId w:val="9"/>
  </w:num>
  <w:num w:numId="13">
    <w:abstractNumId w:val="10"/>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7F7E"/>
    <w:rsid w:val="00661709"/>
    <w:rsid w:val="00F22F9D"/>
    <w:rsid w:val="00FB4547"/>
    <w:rsid w:val="0112363F"/>
    <w:rsid w:val="01341807"/>
    <w:rsid w:val="014063FE"/>
    <w:rsid w:val="017B2ECF"/>
    <w:rsid w:val="018A58CB"/>
    <w:rsid w:val="018F4C90"/>
    <w:rsid w:val="019254AB"/>
    <w:rsid w:val="019E3125"/>
    <w:rsid w:val="01C52373"/>
    <w:rsid w:val="01D6143D"/>
    <w:rsid w:val="020E3E06"/>
    <w:rsid w:val="024F5D64"/>
    <w:rsid w:val="02746393"/>
    <w:rsid w:val="027A149C"/>
    <w:rsid w:val="02B2279A"/>
    <w:rsid w:val="02B674E4"/>
    <w:rsid w:val="02E15F84"/>
    <w:rsid w:val="0337738D"/>
    <w:rsid w:val="03595555"/>
    <w:rsid w:val="037830CE"/>
    <w:rsid w:val="039C1C53"/>
    <w:rsid w:val="03EA43FF"/>
    <w:rsid w:val="03F15456"/>
    <w:rsid w:val="040B458F"/>
    <w:rsid w:val="04135973"/>
    <w:rsid w:val="04180F6C"/>
    <w:rsid w:val="0424789D"/>
    <w:rsid w:val="042836ED"/>
    <w:rsid w:val="04471852"/>
    <w:rsid w:val="046E6C32"/>
    <w:rsid w:val="0482451E"/>
    <w:rsid w:val="04D70E27"/>
    <w:rsid w:val="05502988"/>
    <w:rsid w:val="056C5A14"/>
    <w:rsid w:val="05777F14"/>
    <w:rsid w:val="05AD48C9"/>
    <w:rsid w:val="05CA098C"/>
    <w:rsid w:val="05D62E8D"/>
    <w:rsid w:val="061E4834"/>
    <w:rsid w:val="065663FB"/>
    <w:rsid w:val="066C0621"/>
    <w:rsid w:val="06750467"/>
    <w:rsid w:val="06972193"/>
    <w:rsid w:val="06CC603E"/>
    <w:rsid w:val="06D3433D"/>
    <w:rsid w:val="07637CE1"/>
    <w:rsid w:val="076D15CF"/>
    <w:rsid w:val="07854470"/>
    <w:rsid w:val="07AA2823"/>
    <w:rsid w:val="07CD3E58"/>
    <w:rsid w:val="08030185"/>
    <w:rsid w:val="08043AEA"/>
    <w:rsid w:val="081E4FBF"/>
    <w:rsid w:val="083C3D2C"/>
    <w:rsid w:val="086F6467"/>
    <w:rsid w:val="088A61B1"/>
    <w:rsid w:val="08B3253E"/>
    <w:rsid w:val="08BF5E5A"/>
    <w:rsid w:val="08DD2A98"/>
    <w:rsid w:val="08E431D9"/>
    <w:rsid w:val="095E1B17"/>
    <w:rsid w:val="096D1D5A"/>
    <w:rsid w:val="09EA5159"/>
    <w:rsid w:val="09F935EE"/>
    <w:rsid w:val="0A702E51"/>
    <w:rsid w:val="0A8C7FBE"/>
    <w:rsid w:val="0B00324F"/>
    <w:rsid w:val="0B3349BC"/>
    <w:rsid w:val="0B3F3282"/>
    <w:rsid w:val="0B5E5DFE"/>
    <w:rsid w:val="0B756CA4"/>
    <w:rsid w:val="0BBF6171"/>
    <w:rsid w:val="0BD953F2"/>
    <w:rsid w:val="0C3D3FF4"/>
    <w:rsid w:val="0C434FF4"/>
    <w:rsid w:val="0C935725"/>
    <w:rsid w:val="0C971EDD"/>
    <w:rsid w:val="0C9C5862"/>
    <w:rsid w:val="0CC31C91"/>
    <w:rsid w:val="0D0B3D64"/>
    <w:rsid w:val="0D2A3ABE"/>
    <w:rsid w:val="0D9A50E8"/>
    <w:rsid w:val="0DA07FC9"/>
    <w:rsid w:val="0DED070F"/>
    <w:rsid w:val="0DEE2D3E"/>
    <w:rsid w:val="0E072D4F"/>
    <w:rsid w:val="0E5E7EC3"/>
    <w:rsid w:val="0E721BC1"/>
    <w:rsid w:val="0EA33B28"/>
    <w:rsid w:val="0EA87391"/>
    <w:rsid w:val="0ED46221"/>
    <w:rsid w:val="0EF600FC"/>
    <w:rsid w:val="0F2F1860"/>
    <w:rsid w:val="0F4075C9"/>
    <w:rsid w:val="0F5372FC"/>
    <w:rsid w:val="0FFF7484"/>
    <w:rsid w:val="104B091B"/>
    <w:rsid w:val="109824D4"/>
    <w:rsid w:val="10AF4A06"/>
    <w:rsid w:val="10B71B0D"/>
    <w:rsid w:val="10DB3A4D"/>
    <w:rsid w:val="10E2678A"/>
    <w:rsid w:val="11145782"/>
    <w:rsid w:val="113E3FDC"/>
    <w:rsid w:val="117F4F8B"/>
    <w:rsid w:val="11A55E09"/>
    <w:rsid w:val="11CC783A"/>
    <w:rsid w:val="11E76422"/>
    <w:rsid w:val="120F7B72"/>
    <w:rsid w:val="123D053D"/>
    <w:rsid w:val="126E0945"/>
    <w:rsid w:val="12791770"/>
    <w:rsid w:val="1298041D"/>
    <w:rsid w:val="12A32349"/>
    <w:rsid w:val="12E11700"/>
    <w:rsid w:val="132F62D2"/>
    <w:rsid w:val="13675A6C"/>
    <w:rsid w:val="13AA5959"/>
    <w:rsid w:val="13CA1B57"/>
    <w:rsid w:val="144E4536"/>
    <w:rsid w:val="14A648E4"/>
    <w:rsid w:val="14C173FE"/>
    <w:rsid w:val="14ED3D4F"/>
    <w:rsid w:val="15396F94"/>
    <w:rsid w:val="155344FA"/>
    <w:rsid w:val="159D5775"/>
    <w:rsid w:val="16087E70"/>
    <w:rsid w:val="162437A1"/>
    <w:rsid w:val="168B3820"/>
    <w:rsid w:val="16A4694B"/>
    <w:rsid w:val="16BA5EB3"/>
    <w:rsid w:val="16BB783F"/>
    <w:rsid w:val="16DA0303"/>
    <w:rsid w:val="16F5338F"/>
    <w:rsid w:val="17052CF3"/>
    <w:rsid w:val="171E496F"/>
    <w:rsid w:val="175E5BA2"/>
    <w:rsid w:val="17914E66"/>
    <w:rsid w:val="17CE7E68"/>
    <w:rsid w:val="184A4CE2"/>
    <w:rsid w:val="186D0371"/>
    <w:rsid w:val="18712B12"/>
    <w:rsid w:val="187C78C4"/>
    <w:rsid w:val="189664AC"/>
    <w:rsid w:val="18B707EF"/>
    <w:rsid w:val="18FA4C8D"/>
    <w:rsid w:val="19921369"/>
    <w:rsid w:val="1997703B"/>
    <w:rsid w:val="19AC242B"/>
    <w:rsid w:val="19B94B48"/>
    <w:rsid w:val="19C474E8"/>
    <w:rsid w:val="19E26F1C"/>
    <w:rsid w:val="1A135C0D"/>
    <w:rsid w:val="1A2577BE"/>
    <w:rsid w:val="1A313997"/>
    <w:rsid w:val="1A351C20"/>
    <w:rsid w:val="1A3B555D"/>
    <w:rsid w:val="1A46462D"/>
    <w:rsid w:val="1A5A3F08"/>
    <w:rsid w:val="1A815666"/>
    <w:rsid w:val="1A8B64E4"/>
    <w:rsid w:val="1A9C0B0E"/>
    <w:rsid w:val="1AC60952"/>
    <w:rsid w:val="1ACE63D1"/>
    <w:rsid w:val="1B045F93"/>
    <w:rsid w:val="1B481CDF"/>
    <w:rsid w:val="1B6B1E72"/>
    <w:rsid w:val="1BF260EF"/>
    <w:rsid w:val="1BFD23BD"/>
    <w:rsid w:val="1C025FE1"/>
    <w:rsid w:val="1C5A616E"/>
    <w:rsid w:val="1C696D75"/>
    <w:rsid w:val="1C8651B5"/>
    <w:rsid w:val="1CAF2D13"/>
    <w:rsid w:val="1CC405EB"/>
    <w:rsid w:val="1CFA16FF"/>
    <w:rsid w:val="1D623FD6"/>
    <w:rsid w:val="1D750F3C"/>
    <w:rsid w:val="1DB25B36"/>
    <w:rsid w:val="1DCE27D1"/>
    <w:rsid w:val="1DE53F4E"/>
    <w:rsid w:val="1E5507DD"/>
    <w:rsid w:val="1E675DD5"/>
    <w:rsid w:val="1ECA6EAF"/>
    <w:rsid w:val="1ED146E2"/>
    <w:rsid w:val="1EE2244B"/>
    <w:rsid w:val="1F010B23"/>
    <w:rsid w:val="1F1D7927"/>
    <w:rsid w:val="1F1F544D"/>
    <w:rsid w:val="1F264A2D"/>
    <w:rsid w:val="1F5B7EF1"/>
    <w:rsid w:val="1F843502"/>
    <w:rsid w:val="1FA06007"/>
    <w:rsid w:val="1FB65DB1"/>
    <w:rsid w:val="1FEA4675"/>
    <w:rsid w:val="202A40A9"/>
    <w:rsid w:val="2031368A"/>
    <w:rsid w:val="205E6558"/>
    <w:rsid w:val="20B120D5"/>
    <w:rsid w:val="20C036CA"/>
    <w:rsid w:val="20DC5F04"/>
    <w:rsid w:val="20EA55E7"/>
    <w:rsid w:val="20F621DE"/>
    <w:rsid w:val="20F93026"/>
    <w:rsid w:val="210E6D86"/>
    <w:rsid w:val="213A47C0"/>
    <w:rsid w:val="214D4F46"/>
    <w:rsid w:val="21FE57EE"/>
    <w:rsid w:val="2204328F"/>
    <w:rsid w:val="221C3EC6"/>
    <w:rsid w:val="22433200"/>
    <w:rsid w:val="225278E7"/>
    <w:rsid w:val="226A5C9D"/>
    <w:rsid w:val="22DB78DD"/>
    <w:rsid w:val="234C2589"/>
    <w:rsid w:val="236F6BEA"/>
    <w:rsid w:val="237B69CA"/>
    <w:rsid w:val="23A83C63"/>
    <w:rsid w:val="23B45558"/>
    <w:rsid w:val="23C24E9A"/>
    <w:rsid w:val="23FE3883"/>
    <w:rsid w:val="245600BC"/>
    <w:rsid w:val="24762CA2"/>
    <w:rsid w:val="2491511F"/>
    <w:rsid w:val="24E46F1D"/>
    <w:rsid w:val="24FD1697"/>
    <w:rsid w:val="25253091"/>
    <w:rsid w:val="254C2D14"/>
    <w:rsid w:val="25733DFD"/>
    <w:rsid w:val="25E44CFA"/>
    <w:rsid w:val="2610789E"/>
    <w:rsid w:val="261750D0"/>
    <w:rsid w:val="26630315"/>
    <w:rsid w:val="27035654"/>
    <w:rsid w:val="271F7531"/>
    <w:rsid w:val="279462AC"/>
    <w:rsid w:val="27B7152B"/>
    <w:rsid w:val="27C80F70"/>
    <w:rsid w:val="27E56B08"/>
    <w:rsid w:val="27F03E2A"/>
    <w:rsid w:val="28416434"/>
    <w:rsid w:val="28461C9C"/>
    <w:rsid w:val="28754330"/>
    <w:rsid w:val="28C56F3A"/>
    <w:rsid w:val="28FE4325"/>
    <w:rsid w:val="290B0DAB"/>
    <w:rsid w:val="290D6316"/>
    <w:rsid w:val="296A5517"/>
    <w:rsid w:val="298E38FB"/>
    <w:rsid w:val="299771AB"/>
    <w:rsid w:val="299A2B9D"/>
    <w:rsid w:val="29CC4423"/>
    <w:rsid w:val="29DF199C"/>
    <w:rsid w:val="29F85E43"/>
    <w:rsid w:val="2A3328A2"/>
    <w:rsid w:val="2A613AB5"/>
    <w:rsid w:val="2A7725E1"/>
    <w:rsid w:val="2AE9690F"/>
    <w:rsid w:val="2AEC1E9B"/>
    <w:rsid w:val="2B6C5576"/>
    <w:rsid w:val="2BD73868"/>
    <w:rsid w:val="2BFA7026"/>
    <w:rsid w:val="2C097269"/>
    <w:rsid w:val="2C5B2A2B"/>
    <w:rsid w:val="2C6D55AF"/>
    <w:rsid w:val="2CBE06F7"/>
    <w:rsid w:val="2CBF5B79"/>
    <w:rsid w:val="2CE028C6"/>
    <w:rsid w:val="2CFD2A7A"/>
    <w:rsid w:val="2D084C8A"/>
    <w:rsid w:val="2D16415F"/>
    <w:rsid w:val="2D297497"/>
    <w:rsid w:val="2D3E1194"/>
    <w:rsid w:val="2D546C0A"/>
    <w:rsid w:val="2D732856"/>
    <w:rsid w:val="2DAC4350"/>
    <w:rsid w:val="2DD90EBD"/>
    <w:rsid w:val="2E24038A"/>
    <w:rsid w:val="2E254102"/>
    <w:rsid w:val="2E560BBA"/>
    <w:rsid w:val="2E627104"/>
    <w:rsid w:val="2E9A689E"/>
    <w:rsid w:val="2EB03F9E"/>
    <w:rsid w:val="2F0E58D1"/>
    <w:rsid w:val="2FFF240D"/>
    <w:rsid w:val="30274161"/>
    <w:rsid w:val="302C79CA"/>
    <w:rsid w:val="304F36B8"/>
    <w:rsid w:val="306E3B3E"/>
    <w:rsid w:val="307849BD"/>
    <w:rsid w:val="307B44AD"/>
    <w:rsid w:val="30940170"/>
    <w:rsid w:val="30A240B7"/>
    <w:rsid w:val="30A43A04"/>
    <w:rsid w:val="30C61BCC"/>
    <w:rsid w:val="30E738F1"/>
    <w:rsid w:val="30EA1DB8"/>
    <w:rsid w:val="31501496"/>
    <w:rsid w:val="31687BA1"/>
    <w:rsid w:val="31BE4652"/>
    <w:rsid w:val="31DF34BF"/>
    <w:rsid w:val="320A7897"/>
    <w:rsid w:val="32180206"/>
    <w:rsid w:val="3260395B"/>
    <w:rsid w:val="32786EF6"/>
    <w:rsid w:val="329F3D86"/>
    <w:rsid w:val="32BA306B"/>
    <w:rsid w:val="32DD4FAB"/>
    <w:rsid w:val="32F551B5"/>
    <w:rsid w:val="333D5A4A"/>
    <w:rsid w:val="3341553A"/>
    <w:rsid w:val="335675F5"/>
    <w:rsid w:val="33574D5E"/>
    <w:rsid w:val="33883B0D"/>
    <w:rsid w:val="33B95A18"/>
    <w:rsid w:val="33DC1707"/>
    <w:rsid w:val="33F26834"/>
    <w:rsid w:val="34701C83"/>
    <w:rsid w:val="34881841"/>
    <w:rsid w:val="348C0A37"/>
    <w:rsid w:val="349873DC"/>
    <w:rsid w:val="349A13A6"/>
    <w:rsid w:val="349D2C44"/>
    <w:rsid w:val="34A044E2"/>
    <w:rsid w:val="34C80E04"/>
    <w:rsid w:val="354457B6"/>
    <w:rsid w:val="35911543"/>
    <w:rsid w:val="35927BA6"/>
    <w:rsid w:val="3597364B"/>
    <w:rsid w:val="35CE5984"/>
    <w:rsid w:val="35DF103A"/>
    <w:rsid w:val="35E14DB3"/>
    <w:rsid w:val="36405F7D"/>
    <w:rsid w:val="36A27FE9"/>
    <w:rsid w:val="36A77DAA"/>
    <w:rsid w:val="371A0990"/>
    <w:rsid w:val="37214898"/>
    <w:rsid w:val="372316FF"/>
    <w:rsid w:val="37384EA6"/>
    <w:rsid w:val="373D6C81"/>
    <w:rsid w:val="377C2FE5"/>
    <w:rsid w:val="37F27B20"/>
    <w:rsid w:val="37FC2378"/>
    <w:rsid w:val="382D399B"/>
    <w:rsid w:val="389772BD"/>
    <w:rsid w:val="38A81BB8"/>
    <w:rsid w:val="38AC5B4C"/>
    <w:rsid w:val="38B36EDA"/>
    <w:rsid w:val="38CE7904"/>
    <w:rsid w:val="38E452E6"/>
    <w:rsid w:val="38EF77E6"/>
    <w:rsid w:val="38F27A29"/>
    <w:rsid w:val="390A2872"/>
    <w:rsid w:val="390B0AC4"/>
    <w:rsid w:val="390C0398"/>
    <w:rsid w:val="393F076E"/>
    <w:rsid w:val="394C60E5"/>
    <w:rsid w:val="39543E64"/>
    <w:rsid w:val="3982065B"/>
    <w:rsid w:val="39972358"/>
    <w:rsid w:val="39AF06CE"/>
    <w:rsid w:val="39DE7F87"/>
    <w:rsid w:val="3A0A3805"/>
    <w:rsid w:val="3A5506D0"/>
    <w:rsid w:val="3A8328DC"/>
    <w:rsid w:val="3A964329"/>
    <w:rsid w:val="3AA33A31"/>
    <w:rsid w:val="3ACE1B27"/>
    <w:rsid w:val="3ACE7FFB"/>
    <w:rsid w:val="3B043A1D"/>
    <w:rsid w:val="3B1D688D"/>
    <w:rsid w:val="3B36794F"/>
    <w:rsid w:val="3B4309FB"/>
    <w:rsid w:val="3BBA232E"/>
    <w:rsid w:val="3BC4387E"/>
    <w:rsid w:val="3BE1449A"/>
    <w:rsid w:val="3C1732DC"/>
    <w:rsid w:val="3C480ACF"/>
    <w:rsid w:val="3C8C3269"/>
    <w:rsid w:val="3CBE18E2"/>
    <w:rsid w:val="3D2E2FD3"/>
    <w:rsid w:val="3D820C29"/>
    <w:rsid w:val="3D8F218D"/>
    <w:rsid w:val="3DDE764D"/>
    <w:rsid w:val="3ED628BD"/>
    <w:rsid w:val="3EF56019"/>
    <w:rsid w:val="3F20694C"/>
    <w:rsid w:val="3F4C395F"/>
    <w:rsid w:val="3F61509F"/>
    <w:rsid w:val="3F902B34"/>
    <w:rsid w:val="40061FE5"/>
    <w:rsid w:val="40085AC1"/>
    <w:rsid w:val="40181D19"/>
    <w:rsid w:val="403B7942"/>
    <w:rsid w:val="40464190"/>
    <w:rsid w:val="405C40EC"/>
    <w:rsid w:val="40B50A3F"/>
    <w:rsid w:val="40DC5503"/>
    <w:rsid w:val="40E91CAF"/>
    <w:rsid w:val="413946DC"/>
    <w:rsid w:val="416C5BEB"/>
    <w:rsid w:val="419C12FF"/>
    <w:rsid w:val="41AB2F2C"/>
    <w:rsid w:val="41D3780C"/>
    <w:rsid w:val="41FE60C2"/>
    <w:rsid w:val="4208360A"/>
    <w:rsid w:val="420936C7"/>
    <w:rsid w:val="42274495"/>
    <w:rsid w:val="424741EF"/>
    <w:rsid w:val="42500858"/>
    <w:rsid w:val="427003C2"/>
    <w:rsid w:val="42805758"/>
    <w:rsid w:val="431140F9"/>
    <w:rsid w:val="43483F0E"/>
    <w:rsid w:val="4359067E"/>
    <w:rsid w:val="435B61A4"/>
    <w:rsid w:val="43D534D0"/>
    <w:rsid w:val="43E22422"/>
    <w:rsid w:val="44003598"/>
    <w:rsid w:val="441E71D2"/>
    <w:rsid w:val="44254A04"/>
    <w:rsid w:val="442A5B77"/>
    <w:rsid w:val="44501A81"/>
    <w:rsid w:val="4469669F"/>
    <w:rsid w:val="448259B3"/>
    <w:rsid w:val="44A26055"/>
    <w:rsid w:val="44AB6CB7"/>
    <w:rsid w:val="44BF2763"/>
    <w:rsid w:val="44CA2237"/>
    <w:rsid w:val="44CE7C32"/>
    <w:rsid w:val="44E16B7D"/>
    <w:rsid w:val="44FC76A3"/>
    <w:rsid w:val="453942C3"/>
    <w:rsid w:val="453F38A4"/>
    <w:rsid w:val="454A7102"/>
    <w:rsid w:val="4565155C"/>
    <w:rsid w:val="457059EE"/>
    <w:rsid w:val="46153D90"/>
    <w:rsid w:val="464078D3"/>
    <w:rsid w:val="466C06C8"/>
    <w:rsid w:val="4671226F"/>
    <w:rsid w:val="46A72843"/>
    <w:rsid w:val="46B75DE7"/>
    <w:rsid w:val="47060B1D"/>
    <w:rsid w:val="474B29D4"/>
    <w:rsid w:val="477261B2"/>
    <w:rsid w:val="47A53E92"/>
    <w:rsid w:val="47C84024"/>
    <w:rsid w:val="48221986"/>
    <w:rsid w:val="48AE25EE"/>
    <w:rsid w:val="48EB7FCA"/>
    <w:rsid w:val="492139EC"/>
    <w:rsid w:val="492B6619"/>
    <w:rsid w:val="493C06FE"/>
    <w:rsid w:val="496C55AD"/>
    <w:rsid w:val="497634DD"/>
    <w:rsid w:val="49900B72"/>
    <w:rsid w:val="4A01737A"/>
    <w:rsid w:val="4A7144FF"/>
    <w:rsid w:val="4A77763C"/>
    <w:rsid w:val="4A817DD7"/>
    <w:rsid w:val="4A9F5C76"/>
    <w:rsid w:val="4AA46683"/>
    <w:rsid w:val="4AD54A8E"/>
    <w:rsid w:val="4ADF03CE"/>
    <w:rsid w:val="4ADF118C"/>
    <w:rsid w:val="4AE516A0"/>
    <w:rsid w:val="4B19575B"/>
    <w:rsid w:val="4B343AE3"/>
    <w:rsid w:val="4B3C2D5F"/>
    <w:rsid w:val="4B524331"/>
    <w:rsid w:val="4B911AE1"/>
    <w:rsid w:val="4B983D0E"/>
    <w:rsid w:val="4B9F6E4A"/>
    <w:rsid w:val="4BAD77B9"/>
    <w:rsid w:val="4C4768E9"/>
    <w:rsid w:val="4C5365B2"/>
    <w:rsid w:val="4C774E9C"/>
    <w:rsid w:val="4C83051A"/>
    <w:rsid w:val="4CB66B41"/>
    <w:rsid w:val="4CD3324F"/>
    <w:rsid w:val="4D047738"/>
    <w:rsid w:val="4D834C75"/>
    <w:rsid w:val="4DA22C22"/>
    <w:rsid w:val="4DC25072"/>
    <w:rsid w:val="4E37780E"/>
    <w:rsid w:val="4E45518A"/>
    <w:rsid w:val="4E455A14"/>
    <w:rsid w:val="4E866206"/>
    <w:rsid w:val="4E8C0649"/>
    <w:rsid w:val="4F324324"/>
    <w:rsid w:val="4F440434"/>
    <w:rsid w:val="4F580B6C"/>
    <w:rsid w:val="4F6F1BB2"/>
    <w:rsid w:val="4F797711"/>
    <w:rsid w:val="4F7C788F"/>
    <w:rsid w:val="4FA233AD"/>
    <w:rsid w:val="501E0C85"/>
    <w:rsid w:val="50210776"/>
    <w:rsid w:val="502D0EC8"/>
    <w:rsid w:val="50483F54"/>
    <w:rsid w:val="505C355C"/>
    <w:rsid w:val="5075461D"/>
    <w:rsid w:val="50875D00"/>
    <w:rsid w:val="50B4059F"/>
    <w:rsid w:val="50C317B4"/>
    <w:rsid w:val="50E06AA3"/>
    <w:rsid w:val="50F934A0"/>
    <w:rsid w:val="51390E07"/>
    <w:rsid w:val="51516E38"/>
    <w:rsid w:val="51736DAF"/>
    <w:rsid w:val="517D7C2E"/>
    <w:rsid w:val="5181771E"/>
    <w:rsid w:val="518C60C3"/>
    <w:rsid w:val="518C7E71"/>
    <w:rsid w:val="51BB4A04"/>
    <w:rsid w:val="51F003FF"/>
    <w:rsid w:val="5262253D"/>
    <w:rsid w:val="52A66D10"/>
    <w:rsid w:val="52DE46FC"/>
    <w:rsid w:val="52E53CDC"/>
    <w:rsid w:val="53192AD0"/>
    <w:rsid w:val="531B0100"/>
    <w:rsid w:val="535F3A8F"/>
    <w:rsid w:val="53755060"/>
    <w:rsid w:val="53A35B51"/>
    <w:rsid w:val="53BF62DB"/>
    <w:rsid w:val="53D75C59"/>
    <w:rsid w:val="544215DC"/>
    <w:rsid w:val="545C1D7C"/>
    <w:rsid w:val="54603F5B"/>
    <w:rsid w:val="5475533D"/>
    <w:rsid w:val="54C47921"/>
    <w:rsid w:val="54F05B76"/>
    <w:rsid w:val="554051FA"/>
    <w:rsid w:val="55522584"/>
    <w:rsid w:val="55651104"/>
    <w:rsid w:val="557F55FF"/>
    <w:rsid w:val="55E262B1"/>
    <w:rsid w:val="55F66200"/>
    <w:rsid w:val="56004989"/>
    <w:rsid w:val="56173088"/>
    <w:rsid w:val="561A5A4B"/>
    <w:rsid w:val="563034C0"/>
    <w:rsid w:val="56503B63"/>
    <w:rsid w:val="56BC4D54"/>
    <w:rsid w:val="56D204A9"/>
    <w:rsid w:val="56D5019B"/>
    <w:rsid w:val="56F97D56"/>
    <w:rsid w:val="572A2AE0"/>
    <w:rsid w:val="573E39BB"/>
    <w:rsid w:val="577D34F8"/>
    <w:rsid w:val="57F56770"/>
    <w:rsid w:val="58150567"/>
    <w:rsid w:val="584A6390"/>
    <w:rsid w:val="5851771E"/>
    <w:rsid w:val="585F7ED3"/>
    <w:rsid w:val="587F072F"/>
    <w:rsid w:val="58DA7713"/>
    <w:rsid w:val="58F00CE5"/>
    <w:rsid w:val="59364E3E"/>
    <w:rsid w:val="5943175D"/>
    <w:rsid w:val="59613991"/>
    <w:rsid w:val="59C73629"/>
    <w:rsid w:val="59CD5AF3"/>
    <w:rsid w:val="5A063E3B"/>
    <w:rsid w:val="5A3F1F24"/>
    <w:rsid w:val="5A4F5EDF"/>
    <w:rsid w:val="5A655703"/>
    <w:rsid w:val="5A7B74D4"/>
    <w:rsid w:val="5A8B5169"/>
    <w:rsid w:val="5AE62A9E"/>
    <w:rsid w:val="5B067C5C"/>
    <w:rsid w:val="5B0B62AA"/>
    <w:rsid w:val="5B1213E7"/>
    <w:rsid w:val="5B1452F7"/>
    <w:rsid w:val="5B434F44"/>
    <w:rsid w:val="5B454AE0"/>
    <w:rsid w:val="5B4B2B4A"/>
    <w:rsid w:val="5B4F3BE2"/>
    <w:rsid w:val="5B546982"/>
    <w:rsid w:val="5B995B73"/>
    <w:rsid w:val="5BC70423"/>
    <w:rsid w:val="5BC76B13"/>
    <w:rsid w:val="5C001B87"/>
    <w:rsid w:val="5C2E2250"/>
    <w:rsid w:val="5C593045"/>
    <w:rsid w:val="5CA05217"/>
    <w:rsid w:val="5D2673CB"/>
    <w:rsid w:val="5D610403"/>
    <w:rsid w:val="5D6D6DA8"/>
    <w:rsid w:val="5D782CF5"/>
    <w:rsid w:val="5D881E34"/>
    <w:rsid w:val="5DA36667"/>
    <w:rsid w:val="5DDE1A54"/>
    <w:rsid w:val="5E207A91"/>
    <w:rsid w:val="5E2233F5"/>
    <w:rsid w:val="5E543AC4"/>
    <w:rsid w:val="5E5E4943"/>
    <w:rsid w:val="5E68756F"/>
    <w:rsid w:val="5E8425FB"/>
    <w:rsid w:val="5ED66BCF"/>
    <w:rsid w:val="5ED91F23"/>
    <w:rsid w:val="5EDA221B"/>
    <w:rsid w:val="5EEC63F2"/>
    <w:rsid w:val="5EFD0600"/>
    <w:rsid w:val="5F434264"/>
    <w:rsid w:val="5F944AC0"/>
    <w:rsid w:val="5F9D689F"/>
    <w:rsid w:val="5FB45A42"/>
    <w:rsid w:val="5FC130D7"/>
    <w:rsid w:val="601C17B2"/>
    <w:rsid w:val="6020564F"/>
    <w:rsid w:val="60343BAD"/>
    <w:rsid w:val="603E67DA"/>
    <w:rsid w:val="6045400C"/>
    <w:rsid w:val="60624BBE"/>
    <w:rsid w:val="60791F08"/>
    <w:rsid w:val="60793CB6"/>
    <w:rsid w:val="60AE3960"/>
    <w:rsid w:val="60F34522"/>
    <w:rsid w:val="60FD48E7"/>
    <w:rsid w:val="60FF065F"/>
    <w:rsid w:val="612956DC"/>
    <w:rsid w:val="615269E1"/>
    <w:rsid w:val="6182528F"/>
    <w:rsid w:val="618A0ACD"/>
    <w:rsid w:val="61A22D98"/>
    <w:rsid w:val="61B431F8"/>
    <w:rsid w:val="61CB22EF"/>
    <w:rsid w:val="62083543"/>
    <w:rsid w:val="62261C1B"/>
    <w:rsid w:val="62554129"/>
    <w:rsid w:val="62571DD5"/>
    <w:rsid w:val="629479B2"/>
    <w:rsid w:val="62A25746"/>
    <w:rsid w:val="62BD2580"/>
    <w:rsid w:val="62C751AC"/>
    <w:rsid w:val="62D07AFC"/>
    <w:rsid w:val="62E936F7"/>
    <w:rsid w:val="62F7566A"/>
    <w:rsid w:val="631D18BC"/>
    <w:rsid w:val="631F6D97"/>
    <w:rsid w:val="63343EC4"/>
    <w:rsid w:val="634C3904"/>
    <w:rsid w:val="63C30E73"/>
    <w:rsid w:val="63D04214"/>
    <w:rsid w:val="63E73FB0"/>
    <w:rsid w:val="64125C60"/>
    <w:rsid w:val="646A384E"/>
    <w:rsid w:val="648D7D30"/>
    <w:rsid w:val="6493697C"/>
    <w:rsid w:val="64BA4F13"/>
    <w:rsid w:val="65DC7171"/>
    <w:rsid w:val="6609788A"/>
    <w:rsid w:val="66E77BCB"/>
    <w:rsid w:val="66E95DA1"/>
    <w:rsid w:val="671B0FD5"/>
    <w:rsid w:val="671B1623"/>
    <w:rsid w:val="67362747"/>
    <w:rsid w:val="676F7BC1"/>
    <w:rsid w:val="67771251"/>
    <w:rsid w:val="67B72296"/>
    <w:rsid w:val="67E660D5"/>
    <w:rsid w:val="68786659"/>
    <w:rsid w:val="689C6793"/>
    <w:rsid w:val="689E250C"/>
    <w:rsid w:val="68CF4DBB"/>
    <w:rsid w:val="69B47B0D"/>
    <w:rsid w:val="69C06F77"/>
    <w:rsid w:val="69D81A4D"/>
    <w:rsid w:val="69D87C9F"/>
    <w:rsid w:val="6A351FBE"/>
    <w:rsid w:val="6A3E5F67"/>
    <w:rsid w:val="6A436A18"/>
    <w:rsid w:val="6A845028"/>
    <w:rsid w:val="6A892D47"/>
    <w:rsid w:val="6A8F4802"/>
    <w:rsid w:val="6A9C0CCD"/>
    <w:rsid w:val="6ACD0E86"/>
    <w:rsid w:val="6AE6019A"/>
    <w:rsid w:val="6AEA1A38"/>
    <w:rsid w:val="6AF40B09"/>
    <w:rsid w:val="6B0C143B"/>
    <w:rsid w:val="6B113AD9"/>
    <w:rsid w:val="6B1E2ACC"/>
    <w:rsid w:val="6B362ECF"/>
    <w:rsid w:val="6B482C03"/>
    <w:rsid w:val="6B5A1B25"/>
    <w:rsid w:val="6B680BAF"/>
    <w:rsid w:val="6B6E799E"/>
    <w:rsid w:val="6B851761"/>
    <w:rsid w:val="6BB81B36"/>
    <w:rsid w:val="6BE921DA"/>
    <w:rsid w:val="6BF80185"/>
    <w:rsid w:val="6C027255"/>
    <w:rsid w:val="6C1575DA"/>
    <w:rsid w:val="6C2C7E2E"/>
    <w:rsid w:val="6C523D39"/>
    <w:rsid w:val="6C7041BF"/>
    <w:rsid w:val="6C937EAD"/>
    <w:rsid w:val="6C9F2CF6"/>
    <w:rsid w:val="6CB05B0C"/>
    <w:rsid w:val="6CC87B57"/>
    <w:rsid w:val="6CF14F27"/>
    <w:rsid w:val="6D0A2952"/>
    <w:rsid w:val="6D1C7EA3"/>
    <w:rsid w:val="6D30394E"/>
    <w:rsid w:val="6D3451EC"/>
    <w:rsid w:val="6D3B2A1F"/>
    <w:rsid w:val="6D657A9C"/>
    <w:rsid w:val="6D837F22"/>
    <w:rsid w:val="6D962293"/>
    <w:rsid w:val="6D9E3E83"/>
    <w:rsid w:val="6DCF760B"/>
    <w:rsid w:val="6DF66946"/>
    <w:rsid w:val="6E0D337F"/>
    <w:rsid w:val="6E2434B3"/>
    <w:rsid w:val="6E2A4841"/>
    <w:rsid w:val="6E2B2A93"/>
    <w:rsid w:val="6E566519"/>
    <w:rsid w:val="6EE3336E"/>
    <w:rsid w:val="6F1B2B08"/>
    <w:rsid w:val="6F291614"/>
    <w:rsid w:val="6F9401C4"/>
    <w:rsid w:val="6FAA5C3A"/>
    <w:rsid w:val="6FF7562A"/>
    <w:rsid w:val="6FF930B8"/>
    <w:rsid w:val="70812E3F"/>
    <w:rsid w:val="70DF7B65"/>
    <w:rsid w:val="71185E1A"/>
    <w:rsid w:val="714A2D63"/>
    <w:rsid w:val="715A71EC"/>
    <w:rsid w:val="716360A0"/>
    <w:rsid w:val="718B55F7"/>
    <w:rsid w:val="71AC5D09"/>
    <w:rsid w:val="71B2527A"/>
    <w:rsid w:val="71FA110A"/>
    <w:rsid w:val="71FC1E3D"/>
    <w:rsid w:val="72227D09"/>
    <w:rsid w:val="72530DBE"/>
    <w:rsid w:val="72834520"/>
    <w:rsid w:val="7298446F"/>
    <w:rsid w:val="72A615BC"/>
    <w:rsid w:val="72CB7276"/>
    <w:rsid w:val="72DF5BFA"/>
    <w:rsid w:val="72F35B4A"/>
    <w:rsid w:val="738606FD"/>
    <w:rsid w:val="73B21561"/>
    <w:rsid w:val="73DB2866"/>
    <w:rsid w:val="747B1113"/>
    <w:rsid w:val="747B190B"/>
    <w:rsid w:val="748A7DE8"/>
    <w:rsid w:val="749D3AA7"/>
    <w:rsid w:val="74C07CAE"/>
    <w:rsid w:val="74D82A70"/>
    <w:rsid w:val="754C6A0F"/>
    <w:rsid w:val="754D1541"/>
    <w:rsid w:val="75510906"/>
    <w:rsid w:val="75640639"/>
    <w:rsid w:val="764861AD"/>
    <w:rsid w:val="767D5E56"/>
    <w:rsid w:val="76A74C81"/>
    <w:rsid w:val="76AA29A9"/>
    <w:rsid w:val="76F964AF"/>
    <w:rsid w:val="772E53A2"/>
    <w:rsid w:val="775F730A"/>
    <w:rsid w:val="77996CC0"/>
    <w:rsid w:val="77D0645A"/>
    <w:rsid w:val="783F55C7"/>
    <w:rsid w:val="78825504"/>
    <w:rsid w:val="788F1E71"/>
    <w:rsid w:val="78FE478C"/>
    <w:rsid w:val="790E2D96"/>
    <w:rsid w:val="79142376"/>
    <w:rsid w:val="799E680F"/>
    <w:rsid w:val="79FE3DB9"/>
    <w:rsid w:val="7A1A1C0E"/>
    <w:rsid w:val="7A2465E9"/>
    <w:rsid w:val="7A3C315C"/>
    <w:rsid w:val="7AB60418"/>
    <w:rsid w:val="7AE878D3"/>
    <w:rsid w:val="7AFD1D8F"/>
    <w:rsid w:val="7B1204FB"/>
    <w:rsid w:val="7B18613A"/>
    <w:rsid w:val="7BBE36B7"/>
    <w:rsid w:val="7C0C5586"/>
    <w:rsid w:val="7C5A2796"/>
    <w:rsid w:val="7C684EB3"/>
    <w:rsid w:val="7CAD0B17"/>
    <w:rsid w:val="7CBE322D"/>
    <w:rsid w:val="7CCA16C9"/>
    <w:rsid w:val="7D485520"/>
    <w:rsid w:val="7D586CD5"/>
    <w:rsid w:val="7D691C4E"/>
    <w:rsid w:val="7D775061"/>
    <w:rsid w:val="7DE53E24"/>
    <w:rsid w:val="7DF8089D"/>
    <w:rsid w:val="7DFF594D"/>
    <w:rsid w:val="7E156974"/>
    <w:rsid w:val="7E2C3CBE"/>
    <w:rsid w:val="7E3810BF"/>
    <w:rsid w:val="7E4731C0"/>
    <w:rsid w:val="7E521976"/>
    <w:rsid w:val="7E7538B7"/>
    <w:rsid w:val="7ECA3C03"/>
    <w:rsid w:val="7F06310B"/>
    <w:rsid w:val="7F0C5FC9"/>
    <w:rsid w:val="7F21143C"/>
    <w:rsid w:val="7F2257ED"/>
    <w:rsid w:val="7F2A7936"/>
    <w:rsid w:val="7F3E639F"/>
    <w:rsid w:val="7F6D458E"/>
    <w:rsid w:val="7FE34822"/>
    <w:rsid w:val="7FE37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14:ligatures w14:val="standardContextual"/>
    </w:rPr>
  </w:style>
  <w:style w:type="paragraph" w:styleId="4">
    <w:name w:val="heading 1"/>
    <w:basedOn w:val="1"/>
    <w:next w:val="1"/>
    <w:link w:val="185"/>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5">
    <w:name w:val="heading 2"/>
    <w:basedOn w:val="1"/>
    <w:next w:val="1"/>
    <w:link w:val="186"/>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6">
    <w:name w:val="heading 3"/>
    <w:basedOn w:val="1"/>
    <w:next w:val="1"/>
    <w:link w:val="187"/>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7">
    <w:name w:val="heading 4"/>
    <w:basedOn w:val="1"/>
    <w:next w:val="1"/>
    <w:link w:val="188"/>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8">
    <w:name w:val="heading 5"/>
    <w:basedOn w:val="1"/>
    <w:next w:val="1"/>
    <w:link w:val="189"/>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9">
    <w:name w:val="heading 6"/>
    <w:basedOn w:val="1"/>
    <w:next w:val="1"/>
    <w:link w:val="190"/>
    <w:semiHidden/>
    <w:unhideWhenUsed/>
    <w:qFormat/>
    <w:uiPriority w:val="9"/>
    <w:pPr>
      <w:keepNext/>
      <w:keepLines/>
      <w:spacing w:before="40"/>
      <w:outlineLvl w:val="5"/>
    </w:pPr>
    <w:rPr>
      <w:rFonts w:cstheme="majorBidi"/>
      <w:b/>
      <w:bCs/>
      <w:color w:val="2F5597" w:themeColor="accent1" w:themeShade="BF"/>
    </w:rPr>
  </w:style>
  <w:style w:type="paragraph" w:styleId="10">
    <w:name w:val="heading 7"/>
    <w:basedOn w:val="1"/>
    <w:next w:val="1"/>
    <w:link w:val="19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19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19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600"/>
    </w:pPr>
    <w:rPr>
      <w:rFonts w:ascii="仿宋_GB2312" w:eastAsia="仿宋_GB2312"/>
      <w:sz w:val="30"/>
    </w:rPr>
  </w:style>
  <w:style w:type="paragraph" w:styleId="3">
    <w:name w:val="envelope return"/>
    <w:basedOn w:val="1"/>
    <w:qFormat/>
    <w:uiPriority w:val="0"/>
    <w:rPr>
      <w:rFonts w:ascii="Arial" w:hAnsi="Arial"/>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Body Text"/>
    <w:basedOn w:val="1"/>
    <w:next w:val="1"/>
    <w:qFormat/>
    <w:uiPriority w:val="0"/>
    <w:rPr>
      <w:rFonts w:ascii="楷体_GB2312" w:hAnsi="Arial" w:eastAsia="楷体_GB2312"/>
      <w:sz w:val="28"/>
      <w:szCs w:val="20"/>
    </w:rPr>
  </w:style>
  <w:style w:type="paragraph" w:styleId="16">
    <w:name w:val="index 4"/>
    <w:basedOn w:val="1"/>
    <w:next w:val="1"/>
    <w:qFormat/>
    <w:uiPriority w:val="0"/>
    <w:pPr>
      <w:widowControl w:val="0"/>
      <w:spacing w:before="0" w:beforeAutospacing="0" w:after="0" w:afterAutospacing="0"/>
      <w:ind w:left="600" w:leftChars="600" w:right="0"/>
      <w:jc w:val="both"/>
    </w:pPr>
    <w:rPr>
      <w:rFonts w:hint="default" w:ascii="Times New Roman" w:hAnsi="Times New Roman" w:eastAsia="宋体" w:cs="Times New Roman"/>
      <w:kern w:val="2"/>
      <w:sz w:val="21"/>
      <w:szCs w:val="24"/>
      <w:lang w:val="en-US" w:eastAsia="zh-CN"/>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ind w:left="840"/>
    </w:pPr>
  </w:style>
  <w:style w:type="paragraph" w:styleId="19">
    <w:name w:val="Plain Text"/>
    <w:basedOn w:val="1"/>
    <w:qFormat/>
    <w:uiPriority w:val="0"/>
    <w:rPr>
      <w:rFonts w:hint="eastAsia" w:hAnsi="Courier New" w:eastAsia="宋体"/>
      <w:sz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4"/>
    <w:semiHidden/>
    <w:unhideWhenUsed/>
    <w:qFormat/>
    <w:uiPriority w:val="99"/>
    <w:pPr>
      <w:spacing w:after="0" w:line="240" w:lineRule="auto"/>
    </w:pPr>
    <w:rPr>
      <w:sz w:val="20"/>
    </w:rPr>
  </w:style>
  <w:style w:type="paragraph" w:styleId="22">
    <w:name w:val="footer"/>
    <w:basedOn w:val="1"/>
    <w:link w:val="204"/>
    <w:unhideWhenUsed/>
    <w:qFormat/>
    <w:uiPriority w:val="99"/>
    <w:pPr>
      <w:tabs>
        <w:tab w:val="center" w:pos="4153"/>
        <w:tab w:val="right" w:pos="8306"/>
      </w:tabs>
      <w:jc w:val="left"/>
    </w:pPr>
    <w:rPr>
      <w:sz w:val="18"/>
      <w:szCs w:val="18"/>
    </w:rPr>
  </w:style>
  <w:style w:type="paragraph" w:styleId="23">
    <w:name w:val="header"/>
    <w:basedOn w:val="1"/>
    <w:link w:val="203"/>
    <w:unhideWhenUsed/>
    <w:qFormat/>
    <w:uiPriority w:val="99"/>
    <w:pP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ind w:left="1260"/>
    </w:pPr>
  </w:style>
  <w:style w:type="paragraph" w:styleId="26">
    <w:name w:val="Subtitle"/>
    <w:basedOn w:val="1"/>
    <w:next w:val="1"/>
    <w:link w:val="195"/>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footnote text"/>
    <w:basedOn w:val="1"/>
    <w:link w:val="183"/>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ind w:left="42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line="276" w:lineRule="auto"/>
      <w:jc w:val="left"/>
    </w:pPr>
    <w:rPr>
      <w:rFonts w:ascii="宋体" w:hAnsi="宋体" w:eastAsia="宋体" w:cs="宋体"/>
      <w:color w:val="000000"/>
      <w:szCs w:val="21"/>
    </w:rPr>
  </w:style>
  <w:style w:type="paragraph" w:styleId="33">
    <w:name w:val="Title"/>
    <w:basedOn w:val="1"/>
    <w:next w:val="1"/>
    <w:link w:val="194"/>
    <w:qFormat/>
    <w:uiPriority w:val="10"/>
    <w:pPr>
      <w:spacing w:after="80"/>
      <w:contextualSpacing/>
      <w:jc w:val="center"/>
    </w:pPr>
    <w:rPr>
      <w:rFonts w:asciiTheme="majorHAnsi" w:hAnsiTheme="majorHAnsi" w:eastAsiaTheme="majorEastAsia" w:cstheme="majorBidi"/>
      <w:spacing w:val="-10"/>
      <w:sz w:val="56"/>
      <w:szCs w:val="56"/>
    </w:rPr>
  </w:style>
  <w:style w:type="paragraph" w:styleId="34">
    <w:name w:val="Body Text First Indent"/>
    <w:basedOn w:val="15"/>
    <w:next w:val="1"/>
    <w:qFormat/>
    <w:uiPriority w:val="0"/>
    <w:pPr>
      <w:ind w:firstLine="420"/>
    </w:pPr>
    <w:rPr>
      <w:sz w:val="24"/>
    </w:rPr>
  </w:style>
  <w:style w:type="table" w:styleId="36">
    <w:name w:val="Table Grid"/>
    <w:basedOn w:val="3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endnote reference"/>
    <w:basedOn w:val="37"/>
    <w:semiHidden/>
    <w:unhideWhenUsed/>
    <w:qFormat/>
    <w:uiPriority w:val="99"/>
    <w:rPr>
      <w:vertAlign w:val="superscript"/>
    </w:rPr>
  </w:style>
  <w:style w:type="character" w:styleId="39">
    <w:name w:val="Hyperlink"/>
    <w:basedOn w:val="37"/>
    <w:unhideWhenUsed/>
    <w:qFormat/>
    <w:uiPriority w:val="99"/>
    <w:rPr>
      <w:color w:val="0563C1" w:themeColor="hyperlink"/>
      <w:u w:val="single"/>
      <w14:textFill>
        <w14:solidFill>
          <w14:schemeClr w14:val="hlink"/>
        </w14:solidFill>
      </w14:textFill>
    </w:rPr>
  </w:style>
  <w:style w:type="character" w:styleId="40">
    <w:name w:val="footnote reference"/>
    <w:basedOn w:val="37"/>
    <w:unhideWhenUsed/>
    <w:qFormat/>
    <w:uiPriority w:val="99"/>
    <w:rPr>
      <w:vertAlign w:val="superscript"/>
    </w:rPr>
  </w:style>
  <w:style w:type="character" w:customStyle="1" w:styleId="41">
    <w:name w:val="Heading 1 Char"/>
    <w:basedOn w:val="37"/>
    <w:qFormat/>
    <w:uiPriority w:val="9"/>
    <w:rPr>
      <w:rFonts w:ascii="Arial" w:hAnsi="Arial" w:eastAsia="Arial" w:cs="Arial"/>
      <w:sz w:val="40"/>
      <w:szCs w:val="40"/>
    </w:rPr>
  </w:style>
  <w:style w:type="character" w:customStyle="1" w:styleId="42">
    <w:name w:val="Heading 2 Char"/>
    <w:basedOn w:val="37"/>
    <w:qFormat/>
    <w:uiPriority w:val="9"/>
    <w:rPr>
      <w:rFonts w:ascii="Arial" w:hAnsi="Arial" w:eastAsia="Arial" w:cs="Arial"/>
      <w:sz w:val="34"/>
    </w:rPr>
  </w:style>
  <w:style w:type="character" w:customStyle="1" w:styleId="43">
    <w:name w:val="Heading 3 Char"/>
    <w:basedOn w:val="37"/>
    <w:qFormat/>
    <w:uiPriority w:val="9"/>
    <w:rPr>
      <w:rFonts w:ascii="Arial" w:hAnsi="Arial" w:eastAsia="Arial" w:cs="Arial"/>
      <w:sz w:val="30"/>
      <w:szCs w:val="30"/>
    </w:rPr>
  </w:style>
  <w:style w:type="character" w:customStyle="1" w:styleId="44">
    <w:name w:val="Heading 4 Char"/>
    <w:basedOn w:val="37"/>
    <w:qFormat/>
    <w:uiPriority w:val="9"/>
    <w:rPr>
      <w:rFonts w:ascii="Arial" w:hAnsi="Arial" w:eastAsia="Arial" w:cs="Arial"/>
      <w:b/>
      <w:bCs/>
      <w:sz w:val="26"/>
      <w:szCs w:val="26"/>
    </w:rPr>
  </w:style>
  <w:style w:type="character" w:customStyle="1" w:styleId="45">
    <w:name w:val="Heading 5 Char"/>
    <w:basedOn w:val="37"/>
    <w:qFormat/>
    <w:uiPriority w:val="9"/>
    <w:rPr>
      <w:rFonts w:ascii="Arial" w:hAnsi="Arial" w:eastAsia="Arial" w:cs="Arial"/>
      <w:b/>
      <w:bCs/>
      <w:sz w:val="24"/>
      <w:szCs w:val="24"/>
    </w:rPr>
  </w:style>
  <w:style w:type="character" w:customStyle="1" w:styleId="46">
    <w:name w:val="Heading 6 Char"/>
    <w:basedOn w:val="37"/>
    <w:qFormat/>
    <w:uiPriority w:val="9"/>
    <w:rPr>
      <w:rFonts w:ascii="Arial" w:hAnsi="Arial" w:eastAsia="Arial" w:cs="Arial"/>
      <w:b/>
      <w:bCs/>
      <w:sz w:val="22"/>
      <w:szCs w:val="22"/>
    </w:rPr>
  </w:style>
  <w:style w:type="character" w:customStyle="1" w:styleId="47">
    <w:name w:val="Heading 7 Char"/>
    <w:basedOn w:val="37"/>
    <w:qFormat/>
    <w:uiPriority w:val="9"/>
    <w:rPr>
      <w:rFonts w:ascii="Arial" w:hAnsi="Arial" w:eastAsia="Arial" w:cs="Arial"/>
      <w:b/>
      <w:bCs/>
      <w:i/>
      <w:iCs/>
      <w:sz w:val="22"/>
      <w:szCs w:val="22"/>
    </w:rPr>
  </w:style>
  <w:style w:type="character" w:customStyle="1" w:styleId="48">
    <w:name w:val="Heading 8 Char"/>
    <w:basedOn w:val="37"/>
    <w:qFormat/>
    <w:uiPriority w:val="9"/>
    <w:rPr>
      <w:rFonts w:ascii="Arial" w:hAnsi="Arial" w:eastAsia="Arial" w:cs="Arial"/>
      <w:i/>
      <w:iCs/>
      <w:sz w:val="22"/>
      <w:szCs w:val="22"/>
    </w:rPr>
  </w:style>
  <w:style w:type="character" w:customStyle="1" w:styleId="49">
    <w:name w:val="Heading 9 Char"/>
    <w:basedOn w:val="37"/>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heme="minorHAnsi" w:hAnsiTheme="minorHAnsi" w:eastAsiaTheme="minorEastAsia" w:cstheme="minorBidi"/>
      <w:sz w:val="21"/>
      <w:szCs w:val="22"/>
      <w14:ligatures w14:val="standardContextual"/>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7"/>
    <w:qFormat/>
    <w:uiPriority w:val="99"/>
  </w:style>
  <w:style w:type="character" w:customStyle="1" w:styleId="56">
    <w:name w:val="Footer Char"/>
    <w:basedOn w:val="37"/>
    <w:qFormat/>
    <w:uiPriority w:val="99"/>
  </w:style>
  <w:style w:type="character" w:customStyle="1" w:styleId="57">
    <w:name w:val="Caption Char"/>
    <w:qFormat/>
    <w:uiPriority w:val="99"/>
  </w:style>
  <w:style w:type="table" w:customStyle="1" w:styleId="58">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basedOn w:val="35"/>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66">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7">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8">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9">
    <w:name w:val="Grid Table 1 Light - Accent 5"/>
    <w:basedOn w:val="35"/>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0">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1">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basedOn w:val="35"/>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3">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4">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5">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6">
    <w:name w:val="Grid Table 2 - Accent 5"/>
    <w:basedOn w:val="35"/>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7">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8">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basedOn w:val="35"/>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0">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3 - Accent 5"/>
    <w:basedOn w:val="35"/>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4">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basedOn w:val="35"/>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87">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4 - Accent 5"/>
    <w:basedOn w:val="35"/>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1">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94">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5">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6">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7">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98">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9">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basedOn w:val="35"/>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basedOn w:val="35"/>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05">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06">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basedOn w:val="35"/>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basedOn w:val="35"/>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2">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3">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basedOn w:val="35"/>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15">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6">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7">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8">
    <w:name w:val="List Table 1 Light - Accent 5"/>
    <w:basedOn w:val="35"/>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19">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0">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basedOn w:val="35"/>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2">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3">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4">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5">
    <w:name w:val="List Table 2 - Accent 5"/>
    <w:basedOn w:val="35"/>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6">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7">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basedOn w:val="35"/>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29">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0">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1">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2">
    <w:name w:val="List Table 3 - Accent 5"/>
    <w:basedOn w:val="35"/>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3">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4">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basedOn w:val="35"/>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6">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4 - Accent 5"/>
    <w:basedOn w:val="35"/>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0">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basedOn w:val="35"/>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3">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4">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5">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6">
    <w:name w:val="List Table 5 Dark - Accent 5"/>
    <w:basedOn w:val="35"/>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47">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8">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basedOn w:val="35"/>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0">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basedOn w:val="35"/>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5">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basedOn w:val="35"/>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7">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basedOn w:val="35"/>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2">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basedOn w:val="35"/>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64">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5">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6">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7">
    <w:name w:val="Lined - Accent 5"/>
    <w:basedOn w:val="35"/>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68">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9">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basedOn w:val="35"/>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1">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Bordered &amp; Lined - Accent 5"/>
    <w:basedOn w:val="35"/>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5">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basedOn w:val="35"/>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78">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9">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0">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1">
    <w:name w:val="Bordered - Accent 5"/>
    <w:basedOn w:val="35"/>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2">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3">
    <w:name w:val="Footnote Text Char"/>
    <w:link w:val="27"/>
    <w:qFormat/>
    <w:uiPriority w:val="99"/>
    <w:rPr>
      <w:sz w:val="18"/>
    </w:rPr>
  </w:style>
  <w:style w:type="character" w:customStyle="1" w:styleId="184">
    <w:name w:val="Endnote Text Char"/>
    <w:link w:val="21"/>
    <w:qFormat/>
    <w:uiPriority w:val="99"/>
    <w:rPr>
      <w:sz w:val="20"/>
    </w:rPr>
  </w:style>
  <w:style w:type="character" w:customStyle="1" w:styleId="185">
    <w:name w:val="标题 1 字符"/>
    <w:basedOn w:val="37"/>
    <w:link w:val="4"/>
    <w:qFormat/>
    <w:uiPriority w:val="9"/>
    <w:rPr>
      <w:rFonts w:asciiTheme="majorHAnsi" w:hAnsiTheme="majorHAnsi" w:eastAsiaTheme="majorEastAsia" w:cstheme="majorBidi"/>
      <w:color w:val="2F5597" w:themeColor="accent1" w:themeShade="BF"/>
      <w:sz w:val="48"/>
      <w:szCs w:val="48"/>
    </w:rPr>
  </w:style>
  <w:style w:type="character" w:customStyle="1" w:styleId="186">
    <w:name w:val="标题 2 字符"/>
    <w:basedOn w:val="37"/>
    <w:link w:val="5"/>
    <w:qFormat/>
    <w:uiPriority w:val="0"/>
    <w:rPr>
      <w:rFonts w:asciiTheme="majorHAnsi" w:hAnsiTheme="majorHAnsi" w:eastAsiaTheme="majorEastAsia" w:cstheme="majorBidi"/>
      <w:color w:val="2F5597" w:themeColor="accent1" w:themeShade="BF"/>
      <w:sz w:val="40"/>
      <w:szCs w:val="40"/>
    </w:rPr>
  </w:style>
  <w:style w:type="character" w:customStyle="1" w:styleId="187">
    <w:name w:val="标题 3 字符"/>
    <w:basedOn w:val="37"/>
    <w:link w:val="6"/>
    <w:semiHidden/>
    <w:qFormat/>
    <w:uiPriority w:val="9"/>
    <w:rPr>
      <w:rFonts w:asciiTheme="majorHAnsi" w:hAnsiTheme="majorHAnsi" w:eastAsiaTheme="majorEastAsia" w:cstheme="majorBidi"/>
      <w:color w:val="2F5597" w:themeColor="accent1" w:themeShade="BF"/>
      <w:sz w:val="32"/>
      <w:szCs w:val="32"/>
    </w:rPr>
  </w:style>
  <w:style w:type="character" w:customStyle="1" w:styleId="188">
    <w:name w:val="标题 4 字符"/>
    <w:basedOn w:val="37"/>
    <w:link w:val="7"/>
    <w:semiHidden/>
    <w:qFormat/>
    <w:uiPriority w:val="9"/>
    <w:rPr>
      <w:rFonts w:cstheme="majorBidi"/>
      <w:color w:val="2F5597" w:themeColor="accent1" w:themeShade="BF"/>
      <w:sz w:val="28"/>
      <w:szCs w:val="28"/>
    </w:rPr>
  </w:style>
  <w:style w:type="character" w:customStyle="1" w:styleId="189">
    <w:name w:val="标题 5 字符"/>
    <w:basedOn w:val="37"/>
    <w:link w:val="8"/>
    <w:semiHidden/>
    <w:qFormat/>
    <w:uiPriority w:val="9"/>
    <w:rPr>
      <w:rFonts w:cstheme="majorBidi"/>
      <w:color w:val="2F5597" w:themeColor="accent1" w:themeShade="BF"/>
      <w:sz w:val="24"/>
      <w:szCs w:val="24"/>
    </w:rPr>
  </w:style>
  <w:style w:type="character" w:customStyle="1" w:styleId="190">
    <w:name w:val="标题 6 字符"/>
    <w:basedOn w:val="37"/>
    <w:link w:val="9"/>
    <w:semiHidden/>
    <w:qFormat/>
    <w:uiPriority w:val="9"/>
    <w:rPr>
      <w:rFonts w:cstheme="majorBidi"/>
      <w:b/>
      <w:bCs/>
      <w:color w:val="2F5597" w:themeColor="accent1" w:themeShade="BF"/>
    </w:rPr>
  </w:style>
  <w:style w:type="character" w:customStyle="1" w:styleId="191">
    <w:name w:val="标题 7 字符"/>
    <w:basedOn w:val="37"/>
    <w:link w:val="10"/>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192">
    <w:name w:val="标题 8 字符"/>
    <w:basedOn w:val="37"/>
    <w:link w:val="11"/>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193">
    <w:name w:val="标题 9 字符"/>
    <w:basedOn w:val="37"/>
    <w:link w:val="12"/>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194">
    <w:name w:val="标题 字符"/>
    <w:basedOn w:val="37"/>
    <w:link w:val="33"/>
    <w:qFormat/>
    <w:uiPriority w:val="10"/>
    <w:rPr>
      <w:rFonts w:asciiTheme="majorHAnsi" w:hAnsiTheme="majorHAnsi" w:eastAsiaTheme="majorEastAsia" w:cstheme="majorBidi"/>
      <w:spacing w:val="-10"/>
      <w:sz w:val="56"/>
      <w:szCs w:val="56"/>
    </w:rPr>
  </w:style>
  <w:style w:type="character" w:customStyle="1" w:styleId="195">
    <w:name w:val="副标题 字符"/>
    <w:basedOn w:val="37"/>
    <w:link w:val="2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6">
    <w:name w:val="Quote"/>
    <w:basedOn w:val="1"/>
    <w:next w:val="1"/>
    <w:link w:val="19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197">
    <w:name w:val="引用 字符"/>
    <w:basedOn w:val="37"/>
    <w:link w:val="196"/>
    <w:qFormat/>
    <w:uiPriority w:val="29"/>
    <w:rPr>
      <w:i/>
      <w:iCs/>
      <w:color w:val="404040" w:themeColor="text1" w:themeTint="BF"/>
      <w14:textFill>
        <w14:solidFill>
          <w14:schemeClr w14:val="tx1">
            <w14:lumMod w14:val="75000"/>
            <w14:lumOff w14:val="25000"/>
          </w14:schemeClr>
        </w14:solidFill>
      </w14:textFill>
    </w:rPr>
  </w:style>
  <w:style w:type="paragraph" w:styleId="198">
    <w:name w:val="List Paragraph"/>
    <w:basedOn w:val="1"/>
    <w:qFormat/>
    <w:uiPriority w:val="34"/>
    <w:pPr>
      <w:ind w:left="720"/>
      <w:contextualSpacing/>
    </w:pPr>
  </w:style>
  <w:style w:type="character" w:customStyle="1" w:styleId="199">
    <w:name w:val="Intense Emphasis"/>
    <w:basedOn w:val="37"/>
    <w:qFormat/>
    <w:uiPriority w:val="21"/>
    <w:rPr>
      <w:i/>
      <w:iCs/>
      <w:color w:val="2F5597" w:themeColor="accent1" w:themeShade="BF"/>
    </w:rPr>
  </w:style>
  <w:style w:type="paragraph" w:styleId="200">
    <w:name w:val="Intense Quote"/>
    <w:basedOn w:val="1"/>
    <w:next w:val="1"/>
    <w:link w:val="20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201">
    <w:name w:val="明显引用 字符"/>
    <w:basedOn w:val="37"/>
    <w:link w:val="200"/>
    <w:qFormat/>
    <w:uiPriority w:val="30"/>
    <w:rPr>
      <w:i/>
      <w:iCs/>
      <w:color w:val="2F5597" w:themeColor="accent1" w:themeShade="BF"/>
    </w:rPr>
  </w:style>
  <w:style w:type="character" w:customStyle="1" w:styleId="202">
    <w:name w:val="Intense Reference"/>
    <w:basedOn w:val="37"/>
    <w:qFormat/>
    <w:uiPriority w:val="32"/>
    <w:rPr>
      <w:b/>
      <w:bCs/>
      <w:smallCaps/>
      <w:color w:val="2F5597" w:themeColor="accent1" w:themeShade="BF"/>
      <w:spacing w:val="5"/>
    </w:rPr>
  </w:style>
  <w:style w:type="character" w:customStyle="1" w:styleId="203">
    <w:name w:val="页眉 字符"/>
    <w:basedOn w:val="37"/>
    <w:link w:val="23"/>
    <w:qFormat/>
    <w:uiPriority w:val="99"/>
    <w:rPr>
      <w:sz w:val="18"/>
      <w:szCs w:val="18"/>
    </w:rPr>
  </w:style>
  <w:style w:type="character" w:customStyle="1" w:styleId="204">
    <w:name w:val="页脚 字符"/>
    <w:basedOn w:val="37"/>
    <w:link w:val="22"/>
    <w:qFormat/>
    <w:uiPriority w:val="99"/>
    <w:rPr>
      <w:sz w:val="18"/>
      <w:szCs w:val="18"/>
    </w:rPr>
  </w:style>
  <w:style w:type="paragraph" w:customStyle="1" w:styleId="205">
    <w:name w:val="普通正文"/>
    <w:basedOn w:val="1"/>
    <w:qFormat/>
    <w:uiPriority w:val="0"/>
    <w:pPr>
      <w:spacing w:before="120" w:after="120" w:line="360" w:lineRule="auto"/>
      <w:ind w:firstLine="360"/>
      <w:jc w:val="left"/>
    </w:pPr>
    <w:rPr>
      <w:rFonts w:ascii="宋体" w:hAnsi="宋体" w:eastAsia="宋体" w:cs="宋体"/>
      <w:sz w:val="24"/>
      <w:szCs w:val="24"/>
    </w:rPr>
  </w:style>
  <w:style w:type="paragraph" w:customStyle="1" w:styleId="206">
    <w:name w:val="Default"/>
    <w:basedOn w:val="1"/>
    <w:semiHidden/>
    <w:qFormat/>
    <w:uiPriority w:val="0"/>
    <w:pPr>
      <w:jc w:val="left"/>
    </w:pPr>
    <w:rPr>
      <w:rFonts w:ascii="宋体" w:hAnsi="Calibri" w:cs="宋体"/>
      <w:color w:val="000000"/>
      <w:sz w:val="24"/>
      <w:szCs w:val="24"/>
    </w:rPr>
  </w:style>
  <w:style w:type="paragraph" w:customStyle="1" w:styleId="207">
    <w:name w:val="TOC Heading"/>
    <w:basedOn w:val="4"/>
    <w:next w:val="1"/>
    <w:unhideWhenUsed/>
    <w:qFormat/>
    <w:uiPriority w:val="39"/>
    <w:pPr>
      <w:widowControl/>
      <w:spacing w:before="240" w:after="0" w:line="259" w:lineRule="auto"/>
      <w:jc w:val="left"/>
      <w:outlineLvl w:val="9"/>
    </w:pPr>
    <w:rPr>
      <w:sz w:val="32"/>
      <w:szCs w:val="32"/>
    </w:rPr>
  </w:style>
  <w:style w:type="paragraph" w:customStyle="1" w:styleId="208">
    <w:name w:val="Table Paragraph"/>
    <w:basedOn w:val="1"/>
    <w:qFormat/>
    <w:uiPriority w:val="1"/>
    <w:rPr>
      <w:rFonts w:ascii="宋体" w:hAnsi="宋体" w:eastAsia="宋体" w:cs="宋体"/>
      <w:lang w:val="zh-CN" w:eastAsia="zh-CN" w:bidi="zh-CN"/>
    </w:rPr>
  </w:style>
  <w:style w:type="paragraph" w:customStyle="1" w:styleId="209">
    <w:name w:val="Char"/>
    <w:basedOn w:val="1"/>
    <w:qFormat/>
    <w:uiPriority w:val="0"/>
    <w:pPr>
      <w:tabs>
        <w:tab w:val="left" w:pos="360"/>
      </w:tabs>
    </w:pPr>
    <w:rPr>
      <w:sz w:val="24"/>
    </w:rPr>
  </w:style>
  <w:style w:type="paragraph" w:customStyle="1" w:styleId="210">
    <w:name w:val="标题 31"/>
    <w:basedOn w:val="1"/>
    <w:next w:val="1"/>
    <w:qFormat/>
    <w:uiPriority w:val="0"/>
    <w:pPr>
      <w:widowControl/>
      <w:spacing w:before="100" w:beforeAutospacing="1" w:after="100" w:afterAutospacing="1"/>
      <w:jc w:val="left"/>
      <w:outlineLvl w:val="2"/>
    </w:pPr>
    <w:rPr>
      <w:rFonts w:ascii="_x000B__x000C_" w:hAnsi="_x000B__x000C_"/>
      <w:b/>
      <w:color w:val="999999"/>
      <w:sz w:val="19"/>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A4788-646D-4B70-B131-A78063D0608C}">
  <ds:schemaRefs/>
</ds:datastoreItem>
</file>

<file path=docProps/app.xml><?xml version="1.0" encoding="utf-8"?>
<Properties xmlns="http://schemas.openxmlformats.org/officeDocument/2006/extended-properties" xmlns:vt="http://schemas.openxmlformats.org/officeDocument/2006/docPropsVTypes">
  <Template>Normal.dotm</Template>
  <Company>江苏汉唐国际贸易集团有限公司</Company>
  <Pages>61</Pages>
  <Words>9970</Words>
  <Characters>10274</Characters>
  <TotalTime>57</TotalTime>
  <ScaleCrop>false</ScaleCrop>
  <LinksUpToDate>false</LinksUpToDate>
  <CharactersWithSpaces>10429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2025-04-17T02:54:00Z</dcterms:created>
  <dc:creator>孙桂林</dc:creator>
  <cp:lastModifiedBy>王长华</cp:lastModifiedBy>
  <cp:lastPrinted>2026-02-09T00:51:00Z</cp:lastPrinted>
  <dcterms:modified xsi:type="dcterms:W3CDTF">2026-04-22T01:20:33Z</dcterms:modified>
  <cp:revision>1019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eyJoZGlkIjoiZThlNTYyMTQxNWE2Zjc4NzA4NzI2NzFlMjZlNTAyNjgiLCJ1c2VySWQiOiIxMzAwMDg0ODAifQ==</vt:lpwstr>
  </property>
  <property fmtid="{D5CDD505-2E9C-101B-9397-08002B2CF9AE}" pid="3" name="KSOProductBuildVer">
    <vt:lpwstr>2052-12.1.0.25865</vt:lpwstr>
  </property>
  <property fmtid="{D5CDD505-2E9C-101B-9397-08002B2CF9AE}" pid="4" name="ICV">
    <vt:lpwstr>B78B884F2A4F4C26B61E991952B760CD_13</vt:lpwstr>
  </property>
</Properties>
</file>