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0"/>
        <w:ind w:left="-206"/>
        <w:spacing w:before="120" w:beforeAutospacing="0" w:after="120" w:afterAutospacing="0" w:line="360" w:lineRule="auto"/>
      </w:pPr>
      <w:r/>
      <w:bookmarkStart w:id="0" w:name="OLE_LINK3"/>
      <w:r>
        <w:t xml:space="preserve"> </w:t>
      </w:r>
      <w:r/>
    </w:p>
    <w:p>
      <w:pPr>
        <w:pStyle w:val="850"/>
        <w:ind w:left="-206" w:firstLine="2530"/>
        <w:spacing w:before="120" w:beforeAutospacing="0" w:after="120" w:afterAutospacing="0" w:line="360" w:lineRule="auto"/>
      </w:pPr>
      <w:r>
        <w:rPr>
          <w:rFonts w:ascii="Arial" w:hAnsi="Arial" w:cs="Arial"/>
          <w:b/>
          <w:sz w:val="84"/>
          <w:szCs w:val="84"/>
        </w:rPr>
        <w:t xml:space="preserve">招 标 文 件</w:t>
      </w:r>
      <w:r/>
    </w:p>
    <w:p>
      <w:pPr>
        <w:pStyle w:val="850"/>
        <w:ind w:left="-206" w:firstLine="546"/>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850"/>
        <w:ind w:left="-206" w:firstLine="546"/>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850"/>
        <w:ind w:left="-206" w:firstLine="600"/>
        <w:spacing w:before="120" w:beforeAutospacing="0" w:after="120" w:afterAutospacing="0" w:line="360" w:lineRule="auto"/>
        <w:rPr>
          <w:rFonts w:ascii="Arial" w:hAnsi="Arial" w:cs="Arial"/>
          <w:bCs/>
          <w:sz w:val="30"/>
          <w:szCs w:val="30"/>
        </w:rPr>
      </w:pPr>
      <w:r>
        <w:rPr>
          <w:rFonts w:ascii="Arial" w:hAnsi="Arial" w:cs="Arial"/>
          <w:bCs/>
          <w:sz w:val="30"/>
          <w:szCs w:val="30"/>
        </w:rPr>
        <w:t xml:space="preserve">项目名称：</w:t>
      </w:r>
      <w:r>
        <w:rPr>
          <w:rFonts w:hint="eastAsia" w:ascii="Arial" w:hAnsi="Arial" w:cs="Arial"/>
          <w:bCs/>
          <w:sz w:val="30"/>
          <w:szCs w:val="30"/>
        </w:rPr>
        <w:t xml:space="preserve">盐城市大丰区电子政务外网二级等保建设项目</w:t>
      </w:r>
      <w:r/>
    </w:p>
    <w:p>
      <w:pPr>
        <w:pStyle w:val="850"/>
        <w:ind w:left="-206" w:firstLine="600"/>
        <w:jc w:val="both"/>
        <w:spacing w:before="120" w:beforeAutospacing="0" w:after="120" w:afterAutospacing="0" w:line="360" w:lineRule="auto"/>
        <w:rPr>
          <w:sz w:val="22"/>
          <w:szCs w:val="22"/>
        </w:rPr>
      </w:pPr>
      <w:r>
        <w:rPr>
          <w:rFonts w:ascii="Arial" w:hAnsi="Arial" w:cs="Arial"/>
          <w:bCs/>
          <w:sz w:val="30"/>
          <w:szCs w:val="30"/>
        </w:rPr>
        <w:t xml:space="preserve">项目编号：</w:t>
      </w:r>
      <w:r>
        <w:rPr>
          <w:rFonts w:hint="eastAsia" w:ascii="Arial" w:hAnsi="Arial" w:cs="Arial"/>
          <w:bCs/>
          <w:sz w:val="30"/>
          <w:szCs w:val="30"/>
        </w:rPr>
        <w:t xml:space="preserve">JSZC-320904-JSJY-G2026-0023  </w:t>
      </w:r>
      <w:r/>
    </w:p>
    <w:p>
      <w:pPr>
        <w:pStyle w:val="850"/>
        <w:ind w:left="-206"/>
        <w:spacing w:beforeAutospacing="0" w:afterAutospacing="0" w:line="360" w:lineRule="auto"/>
      </w:pPr>
      <w:r>
        <w:t xml:space="preserve"> </w:t>
      </w:r>
      <w:r/>
    </w:p>
    <w:p>
      <w:pPr>
        <w:pStyle w:val="850"/>
        <w:ind w:left="-206"/>
        <w:spacing w:beforeAutospacing="0" w:afterAutospacing="0" w:line="360" w:lineRule="auto"/>
      </w:pPr>
      <w:r>
        <w:t xml:space="preserve"> </w:t>
      </w:r>
      <w:r/>
    </w:p>
    <w:p>
      <w:pPr>
        <w:pStyle w:val="850"/>
        <w:ind w:left="-206"/>
        <w:spacing w:beforeAutospacing="0" w:afterAutospacing="0" w:line="360" w:lineRule="auto"/>
      </w:pPr>
      <w:r>
        <w:t xml:space="preserve"> </w:t>
      </w:r>
      <w:r/>
    </w:p>
    <w:p>
      <w:pPr>
        <w:pStyle w:val="850"/>
        <w:ind w:left="-206"/>
        <w:spacing w:beforeAutospacing="0" w:afterAutospacing="0" w:line="360" w:lineRule="auto"/>
      </w:pPr>
      <w:r>
        <w:t xml:space="preserve"> </w:t>
      </w:r>
      <w:r/>
    </w:p>
    <w:p>
      <w:pPr>
        <w:pStyle w:val="850"/>
        <w:ind w:left="-206"/>
        <w:spacing w:beforeAutospacing="0" w:afterAutospacing="0" w:line="360" w:lineRule="auto"/>
      </w:pPr>
      <w:r>
        <w:t xml:space="preserve"> </w:t>
      </w:r>
      <w:r/>
    </w:p>
    <w:p>
      <w:pPr>
        <w:pStyle w:val="850"/>
        <w:ind w:left="-206"/>
        <w:spacing w:beforeAutospacing="0" w:afterAutospacing="0" w:line="360" w:lineRule="auto"/>
      </w:pPr>
      <w:r>
        <w:t xml:space="preserve"> </w:t>
      </w:r>
      <w:r/>
    </w:p>
    <w:p>
      <w:pPr>
        <w:pStyle w:val="850"/>
        <w:ind w:left="-206"/>
        <w:spacing w:beforeAutospacing="0" w:afterAutospacing="0" w:line="360" w:lineRule="auto"/>
      </w:pPr>
      <w:r>
        <w:t xml:space="preserve"> </w:t>
      </w:r>
      <w:r/>
    </w:p>
    <w:p>
      <w:pPr>
        <w:pStyle w:val="850"/>
        <w:ind w:left="-206"/>
        <w:spacing w:beforeAutospacing="0" w:afterAutospacing="0" w:line="360" w:lineRule="auto"/>
      </w:pPr>
      <w:r/>
      <w:r/>
    </w:p>
    <w:p>
      <w:pPr>
        <w:pStyle w:val="850"/>
        <w:ind w:left="-206"/>
        <w:spacing w:beforeAutospacing="0" w:afterAutospacing="0" w:line="360" w:lineRule="auto"/>
      </w:pPr>
      <w:r/>
      <w:r/>
    </w:p>
    <w:p>
      <w:pPr>
        <w:pStyle w:val="850"/>
        <w:ind w:left="-206"/>
        <w:spacing w:beforeAutospacing="0" w:afterAutospacing="0" w:line="360" w:lineRule="auto"/>
      </w:pPr>
      <w:r/>
      <w:r/>
    </w:p>
    <w:p>
      <w:pPr>
        <w:pStyle w:val="850"/>
        <w:ind w:left="-206"/>
        <w:spacing w:beforeAutospacing="0" w:afterAutospacing="0" w:line="360" w:lineRule="auto"/>
      </w:pPr>
      <w:r/>
      <w:r/>
    </w:p>
    <w:p>
      <w:pPr>
        <w:pStyle w:val="850"/>
        <w:ind w:left="-206"/>
        <w:spacing w:beforeAutospacing="0" w:afterAutospacing="0" w:line="360" w:lineRule="auto"/>
      </w:pPr>
      <w:r/>
      <w:r/>
    </w:p>
    <w:p>
      <w:pPr>
        <w:pStyle w:val="850"/>
        <w:ind w:left="-206"/>
        <w:spacing w:beforeAutospacing="0" w:afterAutospacing="0" w:line="360" w:lineRule="auto"/>
      </w:pPr>
      <w:r/>
      <w:r/>
    </w:p>
    <w:p>
      <w:pPr>
        <w:pStyle w:val="850"/>
        <w:ind w:left="-206"/>
        <w:spacing w:beforeAutospacing="0" w:afterAutospacing="0" w:line="360" w:lineRule="auto"/>
      </w:pPr>
      <w:r/>
      <w:r/>
    </w:p>
    <w:p>
      <w:pPr>
        <w:pStyle w:val="857"/>
        <w:ind w:left="-206" w:firstLine="640"/>
        <w:spacing w:line="500" w:lineRule="exact"/>
        <w:rPr>
          <w:rFonts w:hint="eastAsia" w:cs="宋体" w:asciiTheme="minorEastAsia" w:hAnsiTheme="minorEastAsia" w:eastAsiaTheme="minorEastAsia"/>
          <w:sz w:val="32"/>
        </w:rPr>
      </w:pPr>
      <w:r>
        <w:rPr>
          <w:rFonts w:hint="eastAsia" w:cs="宋体" w:asciiTheme="minorEastAsia" w:hAnsiTheme="minorEastAsia" w:eastAsiaTheme="minorEastAsia"/>
          <w:sz w:val="32"/>
        </w:rPr>
        <w:t xml:space="preserve">招   标   人：</w:t>
      </w:r>
      <w:r>
        <w:rPr>
          <w:rFonts w:hint="eastAsia" w:cs="宋体" w:asciiTheme="minorEastAsia" w:hAnsiTheme="minorEastAsia" w:eastAsiaTheme="minorEastAsia"/>
          <w:sz w:val="32"/>
          <w:u w:val="single"/>
        </w:rPr>
        <w:t xml:space="preserve">盐城市大丰区数据局</w:t>
      </w:r>
      <w:r/>
    </w:p>
    <w:p>
      <w:pPr>
        <w:pStyle w:val="857"/>
        <w:ind w:left="-206" w:firstLine="640"/>
        <w:spacing w:line="500" w:lineRule="exact"/>
        <w:rPr>
          <w:rFonts w:hint="eastAsia" w:cs="宋体" w:asciiTheme="minorEastAsia" w:hAnsiTheme="minorEastAsia" w:eastAsiaTheme="minorEastAsia"/>
          <w:sz w:val="32"/>
        </w:rPr>
      </w:pPr>
      <w:r>
        <w:rPr>
          <w:rFonts w:hint="eastAsia" w:cs="宋体" w:asciiTheme="minorEastAsia" w:hAnsiTheme="minorEastAsia" w:eastAsiaTheme="minorEastAsia"/>
          <w:sz w:val="32"/>
        </w:rPr>
        <w:t xml:space="preserve">招标代理机构：</w:t>
      </w:r>
      <w:r>
        <w:rPr>
          <w:rFonts w:hint="eastAsia" w:cs="宋体" w:asciiTheme="minorEastAsia" w:hAnsiTheme="minorEastAsia" w:eastAsiaTheme="minorEastAsia"/>
          <w:sz w:val="32"/>
          <w:u w:val="single"/>
        </w:rPr>
        <w:t xml:space="preserve">江苏建友兴业工程项目管理有限公司</w:t>
      </w:r>
      <w:r/>
    </w:p>
    <w:p>
      <w:pPr>
        <w:pStyle w:val="857"/>
        <w:ind w:left="-206" w:firstLine="544"/>
        <w:jc w:val="center"/>
        <w:spacing w:line="500" w:lineRule="exact"/>
        <w:rPr>
          <w:rFonts w:hint="eastAsia" w:asciiTheme="minorEastAsia" w:hAnsiTheme="minorEastAsia" w:eastAsiaTheme="minorEastAsia"/>
          <w:sz w:val="32"/>
        </w:rPr>
      </w:pPr>
      <w:r>
        <w:rPr>
          <w:rFonts w:hint="eastAsia" w:cs="宋体" w:asciiTheme="minorEastAsia" w:hAnsiTheme="minorEastAsia" w:eastAsiaTheme="minorEastAsia"/>
          <w:sz w:val="32"/>
        </w:rPr>
        <w:t xml:space="preserve">2026年</w:t>
      </w:r>
      <w:r>
        <w:rPr>
          <w:rFonts w:hint="eastAsia" w:cs="宋体" w:asciiTheme="minorEastAsia" w:hAnsiTheme="minorEastAsia" w:eastAsiaTheme="minorEastAsia"/>
          <w:sz w:val="32"/>
          <w:lang w:val="en-US" w:eastAsia="zh-CN"/>
        </w:rPr>
        <w:t xml:space="preserve">6</w:t>
      </w:r>
      <w:r>
        <w:rPr>
          <w:rFonts w:hint="eastAsia" w:cs="宋体" w:asciiTheme="minorEastAsia" w:hAnsiTheme="minorEastAsia" w:eastAsiaTheme="minorEastAsia"/>
          <w:sz w:val="32"/>
        </w:rPr>
        <w:t xml:space="preserve">月</w:t>
      </w:r>
      <w:r/>
    </w:p>
    <w:p>
      <w:pPr>
        <w:pStyle w:val="850"/>
        <w:ind w:left="-206" w:firstLine="748"/>
        <w:jc w:val="center"/>
        <w:spacing w:before="120" w:beforeAutospacing="0" w:after="120" w:afterAutospacing="0" w:line="360" w:lineRule="auto"/>
        <w:rPr>
          <w:rFonts w:eastAsia="黑体"/>
        </w:rPr>
      </w:pPr>
      <w:r>
        <w:rPr>
          <w:rFonts w:hint="eastAsia" w:ascii="黑体" w:hAnsi="宋体" w:eastAsia="黑体" w:cs="黑体"/>
          <w:sz w:val="44"/>
          <w:szCs w:val="44"/>
          <w:highlight w:val="none"/>
        </w:rPr>
      </w:r>
      <w:r>
        <w:rPr>
          <w:rFonts w:hint="eastAsia" w:ascii="黑体" w:hAnsi="宋体" w:eastAsia="黑体" w:cs="黑体"/>
          <w:sz w:val="44"/>
          <w:szCs w:val="44"/>
          <w:highlight w:val="none"/>
        </w:rPr>
      </w:r>
      <w:r/>
    </w:p>
    <w:p>
      <w:pPr>
        <w:pStyle w:val="850"/>
        <w:ind w:left="-206" w:firstLine="748"/>
        <w:jc w:val="center"/>
        <w:spacing w:before="120" w:beforeAutospacing="0" w:after="120" w:afterAutospacing="0" w:line="360" w:lineRule="auto"/>
        <w:rPr>
          <w:rFonts w:hint="eastAsia" w:ascii="黑体" w:hAnsi="宋体" w:eastAsia="黑体" w:cs="黑体"/>
          <w:sz w:val="44"/>
          <w:szCs w:val="44"/>
          <w:highlight w:val="none"/>
        </w:rPr>
      </w:pPr>
      <w:r/>
      <w:bookmarkStart w:id="1" w:name="_Toc28359086"/>
      <w:r>
        <w:rPr>
          <w:rFonts w:hint="eastAsia" w:ascii="黑体" w:hAnsi="宋体" w:eastAsia="黑体" w:cs="黑体"/>
          <w:sz w:val="44"/>
          <w:szCs w:val="44"/>
        </w:rPr>
        <w:t xml:space="preserve">第一章 </w:t>
      </w:r>
      <w:bookmarkStart w:id="2" w:name="_Hlk181114888"/>
      <w:r/>
      <w:bookmarkStart w:id="3" w:name="_Hlk202108596"/>
      <w:r>
        <w:rPr>
          <w:rFonts w:hint="eastAsia" w:ascii="黑体" w:hAnsi="宋体" w:eastAsia="黑体" w:cs="黑体"/>
          <w:sz w:val="44"/>
          <w:szCs w:val="44"/>
        </w:rPr>
        <w:t xml:space="preserve">招标公告</w:t>
      </w:r>
      <w:r/>
    </w:p>
    <w:p>
      <w:pPr>
        <w:contextualSpacing/>
        <w:ind w:left="-206"/>
        <w:spacing w:line="500" w:lineRule="exact"/>
        <w:widowControl/>
        <w:rPr>
          <w:rFonts w:hint="eastAsia" w:ascii="宋体" w:hAnsi="宋体" w:eastAsia="宋体" w:cs="宋体"/>
          <w:sz w:val="24"/>
          <w:szCs w:val="20"/>
        </w:rPr>
        <w:pBdr>
          <w:top w:val="single" w:color="auto" w:sz="4" w:space="1"/>
          <w:left w:val="single" w:color="auto" w:sz="4" w:space="4"/>
          <w:bottom w:val="single" w:color="auto" w:sz="4" w:space="1"/>
          <w:right w:val="single" w:color="auto" w:sz="4" w:space="0"/>
        </w:pBdr>
      </w:pPr>
      <w:r/>
      <w:bookmarkStart w:id="4" w:name="_Toc35393621"/>
      <w:r/>
      <w:bookmarkStart w:id="5" w:name="_Toc38985263"/>
      <w:r/>
      <w:bookmarkStart w:id="6" w:name="_Hlk24379207"/>
      <w:r/>
      <w:bookmarkStart w:id="7" w:name="_Toc28359079"/>
      <w:r/>
      <w:bookmarkStart w:id="8" w:name="_Toc28359002"/>
      <w:r/>
      <w:bookmarkStart w:id="9" w:name="_Toc35393790"/>
      <w:r>
        <w:rPr>
          <w:rFonts w:hint="eastAsia" w:ascii="宋体" w:hAnsi="宋体" w:eastAsia="宋体" w:cs="宋体"/>
          <w:sz w:val="24"/>
          <w:szCs w:val="20"/>
        </w:rPr>
        <w:t xml:space="preserve">项目概况：</w:t>
      </w:r>
      <w:r/>
    </w:p>
    <w:p>
      <w:pPr>
        <w:contextualSpacing/>
        <w:ind w:left="-206" w:firstLine="480"/>
        <w:jc w:val="left"/>
        <w:spacing w:line="500" w:lineRule="exact"/>
        <w:widowControl/>
        <w:rPr>
          <w:rFonts w:ascii="Times New Roman" w:hAnsi="Times New Roman" w:eastAsia="宋体" w:cs="Times New Roman"/>
          <w:sz w:val="20"/>
          <w:szCs w:val="20"/>
        </w:rPr>
        <w:pBdr>
          <w:top w:val="single" w:color="auto" w:sz="4" w:space="1"/>
          <w:left w:val="single" w:color="auto" w:sz="4" w:space="4"/>
          <w:bottom w:val="single" w:color="auto" w:sz="4" w:space="1"/>
          <w:right w:val="single" w:color="auto" w:sz="4" w:space="0"/>
        </w:pBdr>
      </w:pPr>
      <w:r>
        <w:rPr>
          <w:rFonts w:hint="eastAsia" w:ascii="宋体" w:hAnsi="宋体" w:eastAsia="宋体" w:cs="宋体"/>
          <w:sz w:val="24"/>
          <w:szCs w:val="20"/>
          <w:u w:val="single"/>
        </w:rPr>
        <w:t xml:space="preserve">盐城市大丰区电子政务外网二级等保建设项目</w:t>
      </w:r>
      <w:r>
        <w:rPr>
          <w:rFonts w:ascii="宋体" w:hAnsi="宋体" w:eastAsia="宋体" w:cs="宋体"/>
          <w:sz w:val="24"/>
          <w:szCs w:val="20"/>
          <w:u w:val="single"/>
        </w:rPr>
        <w:t xml:space="preserve">JSZC-320904-JSJY-G20</w:t>
      </w:r>
      <w:r>
        <w:rPr>
          <w:rFonts w:hint="eastAsia" w:ascii="宋体" w:hAnsi="宋体" w:eastAsia="宋体" w:cs="宋体"/>
          <w:sz w:val="24"/>
          <w:szCs w:val="20"/>
          <w:u w:val="single"/>
        </w:rPr>
        <w:t xml:space="preserve">26</w:t>
      </w:r>
      <w:r>
        <w:rPr>
          <w:rFonts w:ascii="宋体" w:hAnsi="宋体" w:eastAsia="宋体" w:cs="宋体"/>
          <w:sz w:val="24"/>
          <w:szCs w:val="20"/>
          <w:u w:val="single"/>
        </w:rPr>
        <w:t xml:space="preserve">-</w:t>
      </w:r>
      <w:r>
        <w:rPr>
          <w:rFonts w:hint="eastAsia" w:ascii="宋体" w:hAnsi="宋体" w:eastAsia="宋体" w:cs="宋体"/>
          <w:sz w:val="24"/>
          <w:szCs w:val="20"/>
          <w:u w:val="single"/>
        </w:rPr>
        <w:t xml:space="preserve">0023</w:t>
      </w:r>
      <w:r>
        <w:rPr>
          <w:rFonts w:ascii="宋体" w:hAnsi="宋体" w:eastAsia="宋体" w:cs="宋体"/>
          <w:sz w:val="24"/>
          <w:szCs w:val="20"/>
        </w:rPr>
        <w:t xml:space="preserve">招标项目的潜在投标人</w:t>
      </w:r>
      <w:r>
        <w:rPr>
          <w:rFonts w:hint="eastAsia" w:ascii="宋体" w:hAnsi="宋体" w:eastAsia="宋体" w:cs="宋体"/>
          <w:sz w:val="24"/>
          <w:szCs w:val="20"/>
        </w:rPr>
        <w:t xml:space="preserve">应</w:t>
      </w:r>
      <w:r>
        <w:rPr>
          <w:rFonts w:ascii="宋体" w:hAnsi="宋体" w:eastAsia="宋体" w:cs="宋体"/>
          <w:sz w:val="24"/>
          <w:szCs w:val="20"/>
        </w:rPr>
        <w:t xml:space="preserve">在“苏采云”系统内免费下载（投标人必须在苏采云系统中获取采购文件，方能参与政府采购项目）</w:t>
      </w:r>
      <w:r>
        <w:rPr>
          <w:rFonts w:hint="eastAsia" w:ascii="宋体" w:hAnsi="宋体" w:eastAsia="宋体" w:cs="宋体"/>
          <w:sz w:val="24"/>
          <w:szCs w:val="20"/>
        </w:rPr>
        <w:t xml:space="preserve">获取招标文件</w:t>
      </w:r>
      <w:r>
        <w:rPr>
          <w:rFonts w:ascii="宋体" w:hAnsi="宋体" w:eastAsia="宋体" w:cs="宋体"/>
          <w:sz w:val="24"/>
          <w:szCs w:val="20"/>
        </w:rPr>
        <w:t xml:space="preserve">，并于</w:t>
      </w:r>
      <w:r>
        <w:rPr>
          <w:rFonts w:hint="eastAsia" w:ascii="宋体" w:hAnsi="宋体" w:eastAsia="宋体" w:cs="宋体"/>
          <w:sz w:val="24"/>
          <w:szCs w:val="20"/>
          <w:u w:val="single"/>
        </w:rPr>
        <w:t xml:space="preserve">2026-6-</w:t>
      </w:r>
      <w:r>
        <w:rPr>
          <w:rFonts w:hint="eastAsia" w:ascii="宋体" w:hAnsi="宋体" w:eastAsia="宋体" w:cs="宋体"/>
          <w:sz w:val="24"/>
          <w:szCs w:val="20"/>
          <w:u w:val="single"/>
          <w:lang w:val="en-US" w:eastAsia="zh-CN"/>
        </w:rPr>
        <w:t xml:space="preserve">23 9:00</w:t>
      </w:r>
      <w:r>
        <w:rPr>
          <w:rFonts w:hint="eastAsia" w:ascii="宋体" w:hAnsi="宋体" w:eastAsia="宋体" w:cs="宋体"/>
          <w:sz w:val="24"/>
          <w:szCs w:val="20"/>
          <w:u w:val="single"/>
        </w:rPr>
        <w:t xml:space="preserve"> </w:t>
      </w:r>
      <w:r>
        <w:rPr>
          <w:rFonts w:ascii="宋体" w:hAnsi="宋体" w:eastAsia="宋体" w:cs="宋体"/>
          <w:sz w:val="24"/>
          <w:szCs w:val="20"/>
        </w:rPr>
        <w:t xml:space="preserve">（北京时间）前递交投标文件。</w:t>
      </w:r>
      <w:r/>
    </w:p>
    <w:p>
      <w:pPr>
        <w:pStyle w:val="850"/>
        <w:contextualSpacing/>
        <w:ind w:left="-206" w:firstLine="482"/>
        <w:jc w:val="both"/>
        <w:keepLines/>
        <w:keepNext/>
        <w:spacing w:beforeAutospacing="0" w:afterAutospacing="0" w:line="500" w:lineRule="exact"/>
        <w:rPr>
          <w:rFonts w:hint="eastAsia" w:asciiTheme="minorEastAsia" w:hAnsiTheme="minorEastAsia"/>
        </w:rPr>
      </w:pPr>
      <w:r>
        <w:rPr>
          <w:rFonts w:asciiTheme="minorEastAsia" w:hAnsiTheme="minorEastAsia"/>
          <w:b/>
        </w:rPr>
        <w:t xml:space="preserve">一、项目基本情况</w:t>
      </w:r>
      <w:bookmarkEnd w:id="4"/>
      <w:r/>
      <w:bookmarkEnd w:id="5"/>
      <w:r/>
      <w:bookmarkEnd w:id="6"/>
      <w:r/>
      <w:bookmarkEnd w:id="7"/>
      <w:r/>
      <w:bookmarkEnd w:id="8"/>
      <w:r/>
      <w:bookmarkEnd w:id="9"/>
      <w:r/>
      <w:r/>
    </w:p>
    <w:p>
      <w:pPr>
        <w:pStyle w:val="850"/>
        <w:contextualSpacing/>
        <w:ind w:left="-206" w:firstLine="480"/>
        <w:jc w:val="both"/>
        <w:spacing w:beforeAutospacing="0" w:afterAutospacing="0" w:line="500" w:lineRule="exact"/>
        <w:rPr>
          <w:rFonts w:hint="eastAsia" w:cs="宋体" w:asciiTheme="minorEastAsia" w:hAnsiTheme="minorEastAsia"/>
          <w:u w:val="single"/>
        </w:rPr>
      </w:pPr>
      <w:r>
        <w:rPr>
          <w:rFonts w:hint="eastAsia" w:cs="宋体" w:asciiTheme="minorEastAsia" w:hAnsiTheme="minorEastAsia"/>
        </w:rPr>
        <w:t xml:space="preserve">项目编号：</w:t>
      </w:r>
      <w:r>
        <w:rPr>
          <w:rFonts w:hint="eastAsia" w:cs="仿宋" w:asciiTheme="minorEastAsia" w:hAnsiTheme="minorEastAsia"/>
          <w:u w:val="single"/>
        </w:rPr>
        <w:t xml:space="preserve">JSZC-320904-JSJY-G2026-0023</w:t>
      </w:r>
      <w:r/>
    </w:p>
    <w:p>
      <w:pPr>
        <w:pStyle w:val="850"/>
        <w:contextualSpacing/>
        <w:ind w:left="-206" w:firstLine="480"/>
        <w:jc w:val="both"/>
        <w:spacing w:beforeAutospacing="0" w:afterAutospacing="0" w:line="500" w:lineRule="exact"/>
        <w:rPr>
          <w:rFonts w:hint="eastAsia" w:cs="仿宋" w:asciiTheme="minorEastAsia" w:hAnsiTheme="minorEastAsia"/>
          <w:u w:val="single"/>
        </w:rPr>
      </w:pPr>
      <w:r>
        <w:rPr>
          <w:rFonts w:hint="eastAsia" w:cs="仿宋" w:asciiTheme="minorEastAsia" w:hAnsiTheme="minorEastAsia"/>
        </w:rPr>
        <w:t xml:space="preserve">项目名称：</w:t>
      </w:r>
      <w:r>
        <w:rPr>
          <w:rFonts w:hint="eastAsia" w:cs="宋体" w:asciiTheme="minorEastAsia" w:hAnsiTheme="minorEastAsia"/>
          <w:u w:val="single"/>
        </w:rPr>
        <w:t xml:space="preserve">盐城市大丰区电子政务外网二级等保建设项目</w:t>
      </w:r>
      <w:r/>
    </w:p>
    <w:p>
      <w:pPr>
        <w:pStyle w:val="850"/>
        <w:contextualSpacing/>
        <w:ind w:left="-206" w:firstLine="480"/>
        <w:jc w:val="both"/>
        <w:spacing w:beforeAutospacing="0" w:afterAutospacing="0" w:line="500" w:lineRule="exact"/>
        <w:rPr>
          <w:rFonts w:hint="eastAsia" w:cs="仿宋" w:asciiTheme="minorEastAsia" w:hAnsiTheme="minorEastAsia"/>
          <w:shd w:val="clear" w:color="auto" w:fill="ffff00"/>
        </w:rPr>
      </w:pPr>
      <w:r>
        <w:rPr>
          <w:rFonts w:hint="eastAsia" w:cs="仿宋" w:asciiTheme="minorEastAsia" w:hAnsiTheme="minorEastAsia"/>
        </w:rPr>
        <w:t xml:space="preserve">预算金额：</w:t>
      </w:r>
      <w:r>
        <w:rPr>
          <w:rFonts w:cs="仿宋" w:asciiTheme="minorEastAsia" w:hAnsiTheme="minorEastAsia"/>
          <w:u w:val="single"/>
        </w:rPr>
        <w:t xml:space="preserve">150.00</w:t>
      </w:r>
      <w:r>
        <w:rPr>
          <w:rFonts w:hint="eastAsia" w:cs="仿宋" w:asciiTheme="minorEastAsia" w:hAnsiTheme="minorEastAsia"/>
          <w:u w:val="single"/>
        </w:rPr>
        <w:t xml:space="preserve">万元</w:t>
      </w:r>
      <w:r/>
    </w:p>
    <w:p>
      <w:pPr>
        <w:pStyle w:val="850"/>
        <w:contextualSpacing/>
        <w:ind w:left="-206" w:firstLine="480"/>
        <w:jc w:val="both"/>
        <w:spacing w:beforeAutospacing="0" w:afterAutospacing="0" w:line="500" w:lineRule="exact"/>
        <w:rPr>
          <w:rFonts w:hint="eastAsia" w:cs="仿宋" w:asciiTheme="minorEastAsia" w:hAnsiTheme="minorEastAsia"/>
          <w:shd w:val="clear" w:color="auto" w:fill="ffff00"/>
        </w:rPr>
      </w:pPr>
      <w:r>
        <w:rPr>
          <w:rFonts w:hint="eastAsia" w:cs="仿宋" w:asciiTheme="minorEastAsia" w:hAnsiTheme="minorEastAsia"/>
          <w:shd w:val="clear" w:color="auto" w:fill="ffffff"/>
        </w:rPr>
        <w:t xml:space="preserve">最高限价：</w:t>
      </w:r>
      <w:r>
        <w:rPr>
          <w:rFonts w:cs="仿宋" w:asciiTheme="minorEastAsia" w:hAnsiTheme="minorEastAsia"/>
          <w:u w:val="single"/>
        </w:rPr>
        <w:t xml:space="preserve">143.85</w:t>
      </w:r>
      <w:r>
        <w:rPr>
          <w:rFonts w:hint="eastAsia" w:cs="仿宋" w:asciiTheme="minorEastAsia" w:hAnsiTheme="minorEastAsia"/>
          <w:u w:val="single"/>
        </w:rPr>
        <w:t xml:space="preserve">万元</w:t>
      </w:r>
      <w:r/>
    </w:p>
    <w:p>
      <w:pPr>
        <w:pStyle w:val="850"/>
        <w:contextualSpacing/>
        <w:ind w:left="-206" w:firstLine="480"/>
        <w:spacing w:line="500" w:lineRule="exact"/>
        <w:rPr>
          <w:rFonts w:hint="eastAsia" w:cs="仿宋" w:asciiTheme="minorEastAsia" w:hAnsiTheme="minorEastAsia"/>
          <w:u w:val="single"/>
        </w:rPr>
      </w:pPr>
      <w:r>
        <w:rPr>
          <w:rFonts w:hint="eastAsia" w:cs="仿宋" w:asciiTheme="minorEastAsia" w:hAnsiTheme="minorEastAsia"/>
        </w:rPr>
        <w:t xml:space="preserve">采购需求：</w:t>
      </w:r>
      <w:r>
        <w:rPr>
          <w:rFonts w:hint="eastAsia" w:cs="仿宋" w:asciiTheme="minorEastAsia" w:hAnsiTheme="minorEastAsia"/>
          <w:u w:val="single"/>
        </w:rPr>
        <w:t xml:space="preserve">本次项目为盐城市大丰区电子政务外网二级等保建设项目，主要建设内容包含（1）完成电子政务外网二级等保建设；（2）部署网络安全设备，提升大丰区电子政务外网的安全防护能力；（3）通过专业技术服务团队，提升电子政务外网安全运维能力。本项目质保期：3年。具体内容详见本项目招标文件第四章招标需求。</w:t>
      </w:r>
      <w:r/>
    </w:p>
    <w:p>
      <w:pPr>
        <w:pStyle w:val="850"/>
        <w:contextualSpacing/>
        <w:ind w:left="-206" w:firstLine="480"/>
        <w:jc w:val="both"/>
        <w:spacing w:beforeAutospacing="0" w:afterAutospacing="0" w:line="500" w:lineRule="exact"/>
        <w:rPr>
          <w:rFonts w:hint="eastAsia" w:cs="仿宋" w:asciiTheme="minorEastAsia" w:hAnsiTheme="minorEastAsia"/>
        </w:rPr>
      </w:pPr>
      <w:r>
        <w:rPr>
          <w:rFonts w:hint="eastAsia" w:cs="仿宋" w:asciiTheme="minorEastAsia" w:hAnsiTheme="minorEastAsia"/>
        </w:rPr>
        <w:t xml:space="preserve">合同履行期限：</w:t>
      </w:r>
      <w:r>
        <w:rPr>
          <w:rFonts w:hint="eastAsia" w:cs="仿宋" w:asciiTheme="minorEastAsia" w:hAnsiTheme="minorEastAsia"/>
          <w:u w:val="single"/>
        </w:rPr>
        <w:t xml:space="preserve">自合同签订之日起</w:t>
      </w:r>
      <w:r>
        <w:rPr>
          <w:rFonts w:cs="仿宋" w:asciiTheme="minorEastAsia" w:hAnsiTheme="minorEastAsia"/>
          <w:u w:val="single"/>
        </w:rPr>
        <w:t xml:space="preserve">90</w:t>
      </w:r>
      <w:r>
        <w:rPr>
          <w:rFonts w:hint="eastAsia" w:cs="仿宋" w:asciiTheme="minorEastAsia" w:hAnsiTheme="minorEastAsia"/>
          <w:u w:val="single"/>
        </w:rPr>
        <w:t xml:space="preserve">日历天全部安装调试完成并经甲方验收合格。</w:t>
      </w:r>
      <w:r/>
    </w:p>
    <w:p>
      <w:pPr>
        <w:pStyle w:val="850"/>
        <w:contextualSpacing/>
        <w:ind w:left="-206" w:firstLine="480"/>
        <w:jc w:val="both"/>
        <w:spacing w:beforeAutospacing="0" w:afterAutospacing="0" w:line="500" w:lineRule="exact"/>
        <w:rPr>
          <w:rFonts w:hint="eastAsia" w:cs="仿宋" w:asciiTheme="minorEastAsia" w:hAnsiTheme="minorEastAsia"/>
          <w:shd w:val="clear" w:color="auto" w:fill="ffff00"/>
        </w:rPr>
      </w:pPr>
      <w:r>
        <w:rPr>
          <w:rFonts w:hint="eastAsia" w:ascii="宋体" w:hAnsi="宋体" w:eastAsia="宋体" w:cs="宋体"/>
        </w:rPr>
        <w:t xml:space="preserve">本项目（是/否）接受联合体投标：</w:t>
      </w:r>
      <w:r>
        <w:rPr>
          <w:rFonts w:hint="eastAsia" w:ascii="宋体" w:hAnsi="宋体" w:eastAsia="宋体" w:cs="宋体"/>
          <w:u w:val="single"/>
        </w:rPr>
        <w:t xml:space="preserve">否</w:t>
      </w:r>
      <w:r>
        <w:rPr>
          <w:rFonts w:hint="eastAsia" w:cs="仿宋" w:asciiTheme="minorEastAsia" w:hAnsiTheme="minorEastAsia"/>
        </w:rPr>
        <w:t xml:space="preserve">。</w:t>
      </w:r>
      <w:r/>
    </w:p>
    <w:p>
      <w:pPr>
        <w:pStyle w:val="850"/>
        <w:contextualSpacing/>
        <w:ind w:left="-206" w:firstLine="482"/>
        <w:jc w:val="both"/>
        <w:keepLines/>
        <w:keepNext/>
        <w:spacing w:beforeAutospacing="0" w:afterAutospacing="0" w:line="500" w:lineRule="exact"/>
        <w:rPr>
          <w:rFonts w:hint="eastAsia" w:asciiTheme="minorEastAsia" w:hAnsiTheme="minorEastAsia"/>
        </w:rPr>
      </w:pPr>
      <w:r/>
      <w:bookmarkStart w:id="10" w:name="_Toc38985264"/>
      <w:r/>
      <w:bookmarkStart w:id="11" w:name="_Toc35393622"/>
      <w:r/>
      <w:bookmarkStart w:id="12" w:name="_Toc28359003"/>
      <w:r/>
      <w:bookmarkStart w:id="13" w:name="_Toc35393791"/>
      <w:r/>
      <w:bookmarkStart w:id="14" w:name="_Toc28359080"/>
      <w:r>
        <w:rPr>
          <w:rFonts w:asciiTheme="minorEastAsia" w:hAnsiTheme="minorEastAsia"/>
          <w:b/>
        </w:rPr>
        <w:t xml:space="preserve">二、申请人的资格要求：</w:t>
      </w:r>
      <w:bookmarkEnd w:id="10"/>
      <w:r/>
      <w:bookmarkEnd w:id="11"/>
      <w:r/>
      <w:bookmarkEnd w:id="12"/>
      <w:r/>
      <w:bookmarkEnd w:id="13"/>
      <w:r/>
      <w:bookmarkEnd w:id="14"/>
      <w:r/>
      <w:r/>
    </w:p>
    <w:p>
      <w:pPr>
        <w:contextualSpacing/>
        <w:ind w:left="-206" w:firstLine="480"/>
        <w:spacing w:line="500" w:lineRule="exac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bookmarkStart w:id="15" w:name="_Toc28359018"/>
      <w:r>
        <w:rPr>
          <w:rFonts w:ascii="宋体" w:hAnsi="宋体" w:eastAsia="宋体" w:cs="宋体"/>
          <w:sz w:val="24"/>
          <w:szCs w:val="20"/>
        </w:rPr>
        <w:t xml:space="preserve">（一）满足《中华人民共和国政府采购法》第二十二条规定：</w:t>
      </w:r>
      <w:r/>
    </w:p>
    <w:p>
      <w:pPr>
        <w:contextualSpacing/>
        <w:ind w:left="-206" w:firstLine="480"/>
        <w:spacing w:line="500" w:lineRule="exac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1.法人或者其他组织的营业执照等证明文件，自然人的身份证明；</w:t>
      </w:r>
      <w:r/>
    </w:p>
    <w:p>
      <w:pPr>
        <w:contextualSpacing/>
        <w:ind w:left="-206" w:firstLine="480"/>
        <w:spacing w:line="500" w:lineRule="exac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2.上一年度的财务状况报表（成立不满一年无需提供）；</w:t>
      </w:r>
      <w:r/>
    </w:p>
    <w:p>
      <w:pPr>
        <w:contextualSpacing/>
        <w:ind w:left="-206" w:firstLine="480"/>
        <w:spacing w:line="500" w:lineRule="exac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3.</w:t>
      </w:r>
      <w:bookmarkStart w:id="16" w:name="OLE_LINK4"/>
      <w:r>
        <w:rPr>
          <w:rFonts w:ascii="宋体" w:hAnsi="宋体" w:eastAsia="宋体" w:cs="宋体"/>
          <w:sz w:val="24"/>
          <w:szCs w:val="20"/>
        </w:rPr>
        <w:t xml:space="preserve">具备履行合同所必需的设备和专业技术能力的书面声明</w:t>
      </w:r>
      <w:bookmarkEnd w:id="16"/>
      <w:r>
        <w:rPr>
          <w:rFonts w:ascii="宋体" w:hAnsi="宋体" w:eastAsia="宋体" w:cs="宋体"/>
          <w:sz w:val="24"/>
          <w:szCs w:val="20"/>
        </w:rPr>
        <w:t xml:space="preserve">；</w:t>
      </w:r>
      <w:r/>
    </w:p>
    <w:p>
      <w:pPr>
        <w:contextualSpacing/>
        <w:ind w:left="-206" w:firstLine="480"/>
        <w:spacing w:line="500" w:lineRule="exac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4.</w:t>
      </w:r>
      <w:bookmarkStart w:id="17" w:name="OLE_LINK5"/>
      <w:r>
        <w:rPr>
          <w:rFonts w:ascii="宋体" w:hAnsi="宋体" w:eastAsia="宋体" w:cs="宋体"/>
          <w:sz w:val="24"/>
          <w:szCs w:val="20"/>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bookmarkEnd w:id="17"/>
      <w:r>
        <w:rPr>
          <w:rFonts w:ascii="宋体" w:hAnsi="宋体" w:eastAsia="宋体" w:cs="宋体"/>
          <w:sz w:val="24"/>
          <w:szCs w:val="20"/>
        </w:rPr>
        <w:t xml:space="preserve">；</w:t>
      </w:r>
      <w:r/>
    </w:p>
    <w:p>
      <w:pPr>
        <w:contextualSpacing/>
        <w:ind w:left="-206" w:firstLine="480"/>
        <w:spacing w:line="500" w:lineRule="exac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5.参加政府采购活动前3年内在经营活动中没有重大违法记录的书面声明。</w:t>
      </w:r>
      <w:r/>
    </w:p>
    <w:p>
      <w:pPr>
        <w:contextualSpacing/>
        <w:ind w:left="-206" w:firstLine="480"/>
        <w:spacing w:line="500" w:lineRule="exac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6.法律、行政法规规定的其他条件。</w:t>
      </w:r>
      <w:r/>
    </w:p>
    <w:p>
      <w:pPr>
        <w:contextualSpacing/>
        <w:ind w:left="-206" w:firstLine="480"/>
        <w:spacing w:line="500" w:lineRule="exac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contextualSpacing/>
        <w:ind w:left="-206" w:firstLine="480"/>
        <w:spacing w:line="500" w:lineRule="exac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8.单位负责人为同一人或者存在直接控股、管理关系的不同供应商，不得参加同一合同项下的政府采购活动。</w:t>
      </w:r>
      <w:r/>
    </w:p>
    <w:p>
      <w:pPr>
        <w:contextualSpacing/>
        <w:ind w:left="-206" w:firstLine="480"/>
        <w:spacing w:line="500" w:lineRule="exac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（二）落实政府采购政策需满足的资格要求：</w:t>
      </w:r>
      <w:r/>
    </w:p>
    <w:p>
      <w:pPr>
        <w:contextualSpacing/>
        <w:ind w:left="-206" w:firstLine="480"/>
        <w:spacing w:line="500" w:lineRule="exac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1.落实政府采购政策需满足的资格要求：无。</w:t>
      </w:r>
      <w:r/>
    </w:p>
    <w:p>
      <w:pPr>
        <w:contextualSpacing/>
        <w:ind w:left="-206" w:firstLine="480"/>
        <w:spacing w:line="500" w:lineRule="exact"/>
        <w:shd w:val="clear" w:color="ffffff" w:fill="ffffff"/>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（三）本项目的特定资格要求：</w:t>
      </w:r>
      <w:r/>
    </w:p>
    <w:p>
      <w:pPr>
        <w:contextualSpacing/>
        <w:ind w:left="-206" w:firstLine="480"/>
        <w:spacing w:line="500" w:lineRule="exact"/>
        <w:shd w:val="clear" w:color="ffffff" w:fill="ffffff"/>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1.本项目的特定资格要求：无。</w:t>
      </w:r>
      <w:r/>
    </w:p>
    <w:p>
      <w:pPr>
        <w:contextualSpacing/>
        <w:ind w:left="-206" w:firstLine="482"/>
        <w:spacing w:line="500" w:lineRule="exac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0"/>
        </w:rPr>
        <w:t xml:space="preserve">三、获取招标文件</w:t>
      </w:r>
      <w:r/>
    </w:p>
    <w:p>
      <w:pPr>
        <w:contextualSpacing/>
        <w:ind w:firstLine="480"/>
        <w:spacing w:line="500" w:lineRule="exact"/>
        <w:shd w:val="clear" w:color="ffffff" w:fill="ffffff"/>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时间：</w:t>
      </w:r>
      <w:r>
        <w:rPr>
          <w:rFonts w:ascii="宋体" w:hAnsi="宋体" w:eastAsia="宋体" w:cs="宋体"/>
          <w:sz w:val="24"/>
          <w:szCs w:val="20"/>
          <w:u w:val="single"/>
        </w:rPr>
        <w:t xml:space="preserve">自招标文件公告发布之日起5个工作日</w:t>
      </w:r>
      <w:r>
        <w:rPr>
          <w:rFonts w:ascii="宋体" w:hAnsi="宋体" w:eastAsia="宋体" w:cs="宋体"/>
          <w:sz w:val="24"/>
          <w:szCs w:val="20"/>
        </w:rPr>
        <w:t xml:space="preserve">。</w:t>
      </w:r>
      <w:r/>
    </w:p>
    <w:p>
      <w:pPr>
        <w:contextualSpacing/>
        <w:ind w:firstLine="480"/>
        <w:jc w:val="left"/>
        <w:spacing w:line="500" w:lineRule="exac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地点：“苏采云”系统内免费下载（投标人必须在苏采云系统中获取采购文件，方能参与政府采购项目）</w:t>
      </w:r>
      <w:r>
        <w:rPr>
          <w:rFonts w:hint="eastAsia" w:ascii="宋体" w:hAnsi="宋体" w:eastAsia="宋体" w:cs="宋体"/>
          <w:sz w:val="24"/>
          <w:szCs w:val="20"/>
        </w:rPr>
        <w:t xml:space="preserve">。</w:t>
      </w:r>
      <w:r/>
    </w:p>
    <w:p>
      <w:pPr>
        <w:contextualSpacing/>
        <w:ind w:firstLine="480"/>
        <w:spacing w:line="500" w:lineRule="exact"/>
        <w:shd w:val="clear" w:color="ffffff" w:fill="ffffff"/>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方式：本项目采用网上注册登记方式。 </w:t>
      </w:r>
      <w:r/>
    </w:p>
    <w:p>
      <w:pPr>
        <w:contextualSpacing/>
        <w:ind w:firstLine="480"/>
        <w:jc w:val="left"/>
        <w:spacing w:line="500" w:lineRule="exac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售价：0元</w:t>
      </w:r>
      <w:r>
        <w:rPr>
          <w:rFonts w:hint="eastAsia" w:ascii="宋体" w:hAnsi="宋体" w:eastAsia="宋体" w:cs="宋体"/>
          <w:sz w:val="24"/>
          <w:szCs w:val="20"/>
        </w:rPr>
        <w:t xml:space="preserve">。</w:t>
      </w:r>
      <w:r/>
    </w:p>
    <w:p>
      <w:pPr>
        <w:contextualSpacing/>
        <w:ind w:left="-206" w:firstLine="482"/>
        <w:spacing w:line="500" w:lineRule="exac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0"/>
        </w:rPr>
        <w:t xml:space="preserve">四、提交投标文件截止时间、开标时间和地点</w:t>
      </w:r>
      <w:r/>
    </w:p>
    <w:p>
      <w:pPr>
        <w:contextualSpacing/>
        <w:ind w:left="-206" w:firstLine="720"/>
        <w:spacing w:line="500" w:lineRule="exact"/>
        <w:shd w:val="clear" w:color="ffffff" w:fill="ffffff"/>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2026-6-</w:t>
      </w:r>
      <w:r>
        <w:rPr>
          <w:rFonts w:hint="eastAsia" w:ascii="宋体" w:hAnsi="宋体" w:eastAsia="宋体" w:cs="宋体"/>
          <w:sz w:val="24"/>
          <w:szCs w:val="20"/>
          <w:lang w:val="en-US" w:eastAsia="zh-CN"/>
        </w:rPr>
        <w:t xml:space="preserve">23 9:00</w:t>
      </w:r>
      <w:r>
        <w:rPr>
          <w:rFonts w:hint="eastAsia" w:ascii="宋体" w:hAnsi="宋体" w:eastAsia="宋体" w:cs="宋体"/>
          <w:sz w:val="24"/>
          <w:szCs w:val="20"/>
        </w:rPr>
        <w:t xml:space="preserve">（北京时间）。</w:t>
      </w:r>
      <w:r/>
    </w:p>
    <w:p>
      <w:pPr>
        <w:contextualSpacing/>
        <w:ind w:left="-206" w:firstLine="720"/>
        <w:spacing w:line="500" w:lineRule="exac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地点：“苏采云”政府采购交易系统网上开标大厅。</w:t>
      </w:r>
      <w:r/>
    </w:p>
    <w:p>
      <w:pPr>
        <w:contextualSpacing/>
        <w:ind w:left="-206" w:firstLine="482"/>
        <w:spacing w:line="500" w:lineRule="exac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0"/>
        </w:rPr>
        <w:t xml:space="preserve">五、公告期限</w:t>
      </w:r>
      <w:r/>
    </w:p>
    <w:p>
      <w:pPr>
        <w:contextualSpacing/>
        <w:ind w:left="-206" w:firstLine="480"/>
        <w:spacing w:line="500" w:lineRule="exact"/>
        <w:shd w:val="clear" w:color="ffffff" w:fill="ffffff"/>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自本公告发布之日起5个工作日。</w:t>
      </w:r>
      <w:r/>
    </w:p>
    <w:p>
      <w:pPr>
        <w:contextualSpacing/>
        <w:ind w:left="-206" w:firstLine="482"/>
        <w:spacing w:line="500" w:lineRule="exact"/>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0"/>
        </w:rPr>
        <w:t xml:space="preserve">六、其他补充事宜</w:t>
      </w:r>
      <w:r/>
    </w:p>
    <w:p>
      <w:pPr>
        <w:contextualSpacing/>
        <w:ind w:left="-206" w:firstLine="480"/>
        <w:spacing w:line="500" w:lineRule="exact"/>
        <w:shd w:val="clear" w:color="ffffff" w:fill="ffffff"/>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bookmarkStart w:id="18" w:name="OLE_LINK10"/>
      <w:r>
        <w:rPr>
          <w:rFonts w:hint="eastAsia" w:ascii="宋体" w:hAnsi="宋体" w:eastAsia="宋体" w:cs="宋体"/>
          <w:sz w:val="24"/>
          <w:szCs w:val="20"/>
        </w:rPr>
        <w:t xml:space="preserve">1.本项目采购方式：公开招标。</w:t>
      </w:r>
      <w:r/>
    </w:p>
    <w:p>
      <w:pPr>
        <w:contextualSpacing/>
        <w:ind w:left="-206" w:firstLine="480"/>
        <w:spacing w:line="500" w:lineRule="exact"/>
        <w:shd w:val="clear" w:color="ffffff" w:fill="ffffff"/>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2.本项目评标办法：综合评分法。</w:t>
      </w:r>
      <w:bookmarkEnd w:id="18"/>
      <w:r/>
      <w:r/>
    </w:p>
    <w:p>
      <w:pPr>
        <w:contextualSpacing/>
        <w:ind w:left="-206" w:firstLine="480"/>
        <w:spacing w:line="500" w:lineRule="exact"/>
        <w:shd w:val="clear" w:color="ffffff" w:fill="ffffff"/>
        <w:widowControl/>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3.</w:t>
      </w:r>
      <w:r>
        <w:rPr>
          <w:rFonts w:ascii="宋体" w:hAnsi="宋体" w:eastAsia="宋体" w:cs="宋体"/>
          <w:sz w:val="24"/>
          <w:szCs w:val="20"/>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spacing w:line="499" w:lineRule="atLeast"/>
        <w:shd w:val="clear" w:color="ffffff" w:fill="ffffff"/>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领取CA和办理电子签章（</w:t>
      </w:r>
      <w:r>
        <w:rPr>
          <w:rFonts w:hint="eastAsia" w:ascii="宋体" w:hAnsi="宋体" w:eastAsia="宋体" w:cs="宋体"/>
          <w:sz w:val="24"/>
          <w:szCs w:val="20"/>
        </w:rPr>
        <w:t xml:space="preserve">请至盐城市府西路1号盐城市公共资源交易中心四楼大厅10号，11号窗口办理，联系电话：15051556883，办理邮箱：yancheng@ideabank.net.cn，具体系统操作见《苏采云系统供应商操作手册》（以下简称《操作手册》）</w:t>
      </w:r>
      <w:r>
        <w:rPr>
          <w:rFonts w:ascii="宋体" w:hAnsi="宋体" w:eastAsia="宋体" w:cs="宋体"/>
          <w:sz w:val="24"/>
          <w:szCs w:val="20"/>
        </w:rPr>
        <w:t xml:space="preserve">）、进行注册并按《操作手册》要求制作、上传电子投标文件,《苏采云系统供应商操作手册》：在盐城市政府采购网点击【办事指南】-【供应商参与政府采购活动相关资料】。</w:t>
      </w:r>
      <w:r/>
    </w:p>
    <w:p>
      <w:pPr>
        <w:ind w:firstLine="480"/>
        <w:jc w:val="left"/>
        <w:spacing w:line="499" w:lineRule="atLeast"/>
        <w:shd w:val="clear" w:color="ffffff" w:fill="ffffff"/>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4</w:t>
      </w:r>
      <w:r>
        <w:rPr>
          <w:rFonts w:ascii="宋体" w:hAnsi="宋体" w:eastAsia="宋体" w:cs="宋体"/>
          <w:sz w:val="24"/>
          <w:szCs w:val="20"/>
        </w:rPr>
        <w:t xml:space="preserve">.方式：本项目采用网上注册登记方式。</w:t>
      </w:r>
      <w:r/>
    </w:p>
    <w:p>
      <w:pPr>
        <w:ind w:firstLine="480"/>
        <w:jc w:val="left"/>
        <w:spacing w:line="499" w:lineRule="atLeast"/>
        <w:shd w:val="clear" w:color="ffffff" w:fill="ffffff"/>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4</w:t>
      </w:r>
      <w:r>
        <w:rPr>
          <w:rFonts w:ascii="宋体" w:hAnsi="宋体" w:eastAsia="宋体" w:cs="宋体"/>
          <w:sz w:val="24"/>
          <w:szCs w:val="20"/>
        </w:rPr>
        <w:t xml:space="preserve">.1 潜在供应商访问电子招标响应交易平台的网络地址和方法：</w:t>
      </w:r>
      <w:r/>
    </w:p>
    <w:p>
      <w:pPr>
        <w:ind w:firstLine="480"/>
        <w:jc w:val="left"/>
        <w:spacing w:line="499" w:lineRule="atLeast"/>
        <w:shd w:val="clear" w:color="ffffff" w:fill="ffffff"/>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499" w:lineRule="atLeast"/>
        <w:shd w:val="clear" w:color="ffffff" w:fill="ffffff"/>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4</w:t>
      </w:r>
      <w:r>
        <w:rPr>
          <w:rFonts w:ascii="宋体" w:hAnsi="宋体" w:eastAsia="宋体" w:cs="宋体"/>
          <w:sz w:val="24"/>
          <w:szCs w:val="20"/>
        </w:rPr>
        <w:t xml:space="preserve">.2 潜在投标人访问“苏采云”系统方法：江苏省政府采购网首页-“苏采云”链接</w:t>
      </w:r>
      <w:r>
        <w:rPr>
          <w:rFonts w:ascii="仿宋" w:hAnsi="仿宋" w:eastAsia="仿宋" w:cs="仿宋"/>
          <w:szCs w:val="20"/>
        </w:rPr>
        <w:t xml:space="preserve">（http://jszfcg.jsczt.cn/jszc/login）</w:t>
      </w:r>
      <w:r>
        <w:rPr>
          <w:rFonts w:ascii="宋体" w:hAnsi="宋体" w:eastAsia="宋体" w:cs="宋体"/>
          <w:sz w:val="24"/>
          <w:szCs w:val="20"/>
        </w:rPr>
        <w:t xml:space="preserve">。</w:t>
      </w:r>
      <w:r/>
    </w:p>
    <w:p>
      <w:pPr>
        <w:ind w:firstLine="480"/>
        <w:jc w:val="left"/>
        <w:spacing w:line="499" w:lineRule="atLeast"/>
        <w:shd w:val="clear" w:color="ffffff" w:fill="ffffff"/>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4</w:t>
      </w:r>
      <w:r>
        <w:rPr>
          <w:rFonts w:ascii="宋体" w:hAnsi="宋体" w:eastAsia="宋体" w:cs="宋体"/>
          <w:sz w:val="24"/>
          <w:szCs w:val="20"/>
        </w:rPr>
        <w:t xml:space="preserve">.3 采购文件（后缀名为“.kedt”）、供应商操作手册及政府采购客户端 工具可通过“苏采云”系统相应链接进行下载。 </w:t>
      </w:r>
      <w:r/>
    </w:p>
    <w:p>
      <w:pPr>
        <w:ind w:firstLine="480"/>
        <w:jc w:val="left"/>
        <w:spacing w:line="499" w:lineRule="atLeast"/>
        <w:shd w:val="clear" w:color="ffffff" w:fill="ffffff"/>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4</w:t>
      </w:r>
      <w:r>
        <w:rPr>
          <w:rFonts w:ascii="宋体" w:hAnsi="宋体" w:eastAsia="宋体" w:cs="宋体"/>
          <w:sz w:val="24"/>
          <w:szCs w:val="20"/>
        </w:rPr>
        <w:t xml:space="preserve">.4 采购代理机构将数据电文形式的采购文件加载至“苏采云”系统，供潜在供应商下载或者查阅。</w:t>
      </w:r>
      <w:r/>
    </w:p>
    <w:p>
      <w:pPr>
        <w:ind w:firstLine="480"/>
        <w:jc w:val="left"/>
        <w:spacing w:line="499" w:lineRule="atLeast"/>
        <w:shd w:val="clear" w:color="ffffff" w:fill="ffffff"/>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4</w:t>
      </w:r>
      <w:r>
        <w:rPr>
          <w:rFonts w:ascii="宋体" w:hAnsi="宋体" w:eastAsia="宋体" w:cs="宋体"/>
          <w:sz w:val="24"/>
          <w:szCs w:val="20"/>
        </w:rPr>
        <w:t xml:space="preserve">.5 请潜在投标单位提前安装相应的控件（详见《“苏采云”系统供应商操作手册》）并使用谷歌浏览器登录“苏采云”系统参与不见面开评标。</w:t>
      </w:r>
      <w:r/>
    </w:p>
    <w:p>
      <w:pPr>
        <w:ind w:firstLine="480"/>
        <w:spacing w:line="499" w:lineRule="atLeast"/>
        <w:shd w:val="clear" w:color="ffffff" w:fill="ffffff"/>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sz w:val="24"/>
          <w:szCs w:val="20"/>
        </w:rPr>
        <w:t xml:space="preserve">如潜在投标人未按上述要求操作，将自行承担所产生的风险。</w:t>
      </w:r>
      <w:r/>
    </w:p>
    <w:p>
      <w:pPr>
        <w:ind w:firstLine="480"/>
        <w:spacing w:line="499" w:lineRule="atLeast"/>
        <w:shd w:val="clear" w:color="ffffff" w:fill="ffffff"/>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5</w:t>
      </w:r>
      <w:r>
        <w:rPr>
          <w:rFonts w:ascii="宋体" w:hAnsi="宋体" w:eastAsia="宋体" w:cs="宋体"/>
          <w:sz w:val="24"/>
          <w:szCs w:val="20"/>
        </w:rPr>
        <w:t xml:space="preserve">.有关本次招标的事项若存在变动或修改，敬请及时关注盐城市政府采购中心在“中国政府采购网”、“江苏政府采购网”、“盐城市政府采购网”发布的更正公告。</w:t>
      </w:r>
      <w:r/>
    </w:p>
    <w:p>
      <w:pPr>
        <w:ind w:firstLine="480"/>
        <w:spacing w:line="499" w:lineRule="atLeast"/>
        <w:shd w:val="clear" w:color="ffffff" w:fill="ffffff"/>
        <w:widowControl/>
        <w:rPr>
          <w:rFonts w:ascii="Times New Roman" w:hAnsi="Times New Roman" w:eastAsia="宋体" w:cs="Times New Roman"/>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t xml:space="preserve">6</w:t>
      </w:r>
      <w:r>
        <w:rPr>
          <w:rFonts w:ascii="宋体" w:hAnsi="宋体" w:eastAsia="宋体" w:cs="宋体"/>
          <w:sz w:val="24"/>
          <w:szCs w:val="20"/>
        </w:rPr>
        <w:t xml:space="preserve">.本次招标不收取投标保证金，不收取质量保证金。</w:t>
      </w:r>
      <w:r/>
    </w:p>
    <w:p>
      <w:pPr>
        <w:pStyle w:val="841"/>
        <w:ind w:left="-206"/>
        <w:rPr>
          <w:rFonts w:hint="eastAsia" w:cs="微软雅黑"/>
          <w:color w:val="auto"/>
        </w:rPr>
      </w:pPr>
      <w:r>
        <w:rPr>
          <w:rFonts w:hint="eastAsia"/>
          <w:color w:val="auto"/>
        </w:rPr>
        <w:t xml:space="preserve">七、对本次招标提出询问，请按以下方式联系。</w:t>
      </w:r>
      <w:bookmarkEnd w:id="15"/>
      <w:r/>
      <w:r/>
    </w:p>
    <w:p>
      <w:pPr>
        <w:pStyle w:val="850"/>
        <w:contextualSpacing/>
        <w:ind w:left="-206" w:firstLine="480"/>
        <w:jc w:val="both"/>
        <w:spacing w:beforeAutospacing="0" w:afterAutospacing="0" w:line="500" w:lineRule="exact"/>
        <w:shd w:val="clear" w:color="auto" w:fill="ffffff"/>
        <w:widowControl/>
        <w:rPr>
          <w:rFonts w:hint="eastAsia" w:cs="仿宋" w:asciiTheme="minorEastAsia" w:hAnsiTheme="minorEastAsia"/>
          <w:shd w:val="clear" w:color="auto" w:fill="ffffff"/>
        </w:rPr>
      </w:pPr>
      <w:r>
        <w:rPr>
          <w:rFonts w:hint="eastAsia" w:cs="仿宋" w:asciiTheme="minorEastAsia" w:hAnsiTheme="minorEastAsia"/>
          <w:shd w:val="clear" w:color="auto" w:fill="ffffff"/>
        </w:rPr>
        <w:t xml:space="preserve">1.采购人信息</w:t>
      </w:r>
      <w:r/>
    </w:p>
    <w:p>
      <w:pPr>
        <w:pStyle w:val="850"/>
        <w:contextualSpacing/>
        <w:ind w:left="-206" w:firstLine="480"/>
        <w:jc w:val="both"/>
        <w:spacing w:beforeAutospacing="0" w:afterAutospacing="0" w:line="500" w:lineRule="exact"/>
        <w:shd w:val="clear" w:color="auto" w:fill="ffffff"/>
        <w:widowControl/>
        <w:rPr>
          <w:rFonts w:hint="eastAsia" w:cs="仿宋" w:asciiTheme="minorEastAsia" w:hAnsiTheme="minorEastAsia"/>
          <w:shd w:val="clear" w:color="auto" w:fill="ffffff"/>
        </w:rPr>
      </w:pPr>
      <w:r>
        <w:rPr>
          <w:rFonts w:hint="eastAsia" w:cs="仿宋" w:asciiTheme="minorEastAsia" w:hAnsiTheme="minorEastAsia"/>
          <w:shd w:val="clear" w:color="auto" w:fill="ffffff"/>
        </w:rPr>
        <w:t xml:space="preserve">名  称：盐城市大丰区数据局  </w:t>
      </w:r>
      <w:r/>
    </w:p>
    <w:p>
      <w:pPr>
        <w:pStyle w:val="850"/>
        <w:contextualSpacing/>
        <w:ind w:left="-206" w:firstLine="480"/>
        <w:jc w:val="both"/>
        <w:spacing w:beforeAutospacing="0" w:afterAutospacing="0" w:line="500" w:lineRule="exact"/>
        <w:shd w:val="clear" w:color="auto" w:fill="ffffff"/>
        <w:widowControl/>
        <w:rPr>
          <w:rFonts w:hint="eastAsia" w:cs="仿宋" w:asciiTheme="minorEastAsia" w:hAnsiTheme="minorEastAsia"/>
          <w:shd w:val="clear" w:color="auto" w:fill="ffffff"/>
        </w:rPr>
      </w:pPr>
      <w:r>
        <w:rPr>
          <w:rFonts w:hint="eastAsia" w:cs="仿宋" w:asciiTheme="minorEastAsia" w:hAnsiTheme="minorEastAsia"/>
          <w:shd w:val="clear" w:color="auto" w:fill="ffffff"/>
        </w:rPr>
        <w:t xml:space="preserve">地  址：盐城市大丰区丰华国际大厦6楼（飞达东路100号）  </w:t>
      </w:r>
      <w:r/>
    </w:p>
    <w:p>
      <w:pPr>
        <w:pStyle w:val="850"/>
        <w:contextualSpacing/>
        <w:ind w:left="-206" w:firstLine="480"/>
        <w:jc w:val="both"/>
        <w:spacing w:beforeAutospacing="0" w:afterAutospacing="0" w:line="500" w:lineRule="exact"/>
        <w:shd w:val="clear" w:color="auto" w:fill="ffffff"/>
        <w:widowControl/>
        <w:rPr>
          <w:rFonts w:hint="eastAsia" w:cs="仿宋" w:asciiTheme="minorEastAsia" w:hAnsiTheme="minorEastAsia"/>
          <w:shd w:val="clear" w:color="auto" w:fill="ffffff"/>
        </w:rPr>
      </w:pPr>
      <w:r>
        <w:rPr>
          <w:rFonts w:hint="eastAsia" w:cs="仿宋" w:asciiTheme="minorEastAsia" w:hAnsiTheme="minorEastAsia"/>
          <w:shd w:val="clear" w:color="auto" w:fill="ffffff"/>
        </w:rPr>
        <w:t xml:space="preserve">联系人：张成              </w:t>
      </w:r>
      <w:r/>
    </w:p>
    <w:p>
      <w:pPr>
        <w:pStyle w:val="850"/>
        <w:contextualSpacing/>
        <w:ind w:left="-206" w:firstLine="480"/>
        <w:jc w:val="both"/>
        <w:spacing w:beforeAutospacing="0" w:afterAutospacing="0" w:line="500" w:lineRule="exact"/>
        <w:shd w:val="clear" w:color="auto" w:fill="ffffff"/>
        <w:widowControl/>
        <w:rPr>
          <w:rFonts w:hint="eastAsia" w:cs="仿宋" w:asciiTheme="minorEastAsia" w:hAnsiTheme="minorEastAsia"/>
          <w:shd w:val="clear" w:color="auto" w:fill="ffffff"/>
        </w:rPr>
      </w:pPr>
      <w:r>
        <w:rPr>
          <w:rFonts w:hint="eastAsia" w:cs="仿宋" w:asciiTheme="minorEastAsia" w:hAnsiTheme="minorEastAsia"/>
          <w:shd w:val="clear" w:color="auto" w:fill="ffffff"/>
        </w:rPr>
        <w:t xml:space="preserve">联系方式：18068858577 </w:t>
      </w:r>
      <w:r/>
    </w:p>
    <w:p>
      <w:pPr>
        <w:pStyle w:val="850"/>
        <w:contextualSpacing/>
        <w:ind w:left="-206" w:firstLine="480"/>
        <w:jc w:val="both"/>
        <w:spacing w:beforeAutospacing="0" w:afterAutospacing="0" w:line="500" w:lineRule="exact"/>
        <w:shd w:val="clear" w:color="auto" w:fill="ffffff"/>
        <w:widowControl/>
        <w:rPr>
          <w:rFonts w:hint="eastAsia" w:cs="仿宋" w:asciiTheme="minorEastAsia" w:hAnsiTheme="minorEastAsia"/>
          <w:shd w:val="clear" w:color="auto" w:fill="ffffff"/>
        </w:rPr>
      </w:pPr>
      <w:r>
        <w:rPr>
          <w:rFonts w:hint="eastAsia" w:cs="仿宋" w:asciiTheme="minorEastAsia" w:hAnsiTheme="minorEastAsia"/>
          <w:shd w:val="clear" w:color="auto" w:fill="ffffff"/>
        </w:rPr>
        <w:t xml:space="preserve">2.采购代理机构信息</w:t>
      </w:r>
      <w:r/>
    </w:p>
    <w:p>
      <w:pPr>
        <w:pStyle w:val="850"/>
        <w:contextualSpacing/>
        <w:ind w:left="-206" w:firstLine="480"/>
        <w:jc w:val="both"/>
        <w:spacing w:beforeAutospacing="0" w:afterAutospacing="0" w:line="500" w:lineRule="exact"/>
        <w:shd w:val="clear" w:color="auto" w:fill="ffffff"/>
        <w:widowControl/>
        <w:rPr>
          <w:rFonts w:hint="eastAsia" w:cs="仿宋" w:asciiTheme="minorEastAsia" w:hAnsiTheme="minorEastAsia"/>
          <w:shd w:val="clear" w:color="auto" w:fill="ffffff"/>
        </w:rPr>
      </w:pPr>
      <w:r>
        <w:rPr>
          <w:rFonts w:hint="eastAsia" w:cs="仿宋" w:asciiTheme="minorEastAsia" w:hAnsiTheme="minorEastAsia"/>
          <w:shd w:val="clear" w:color="auto" w:fill="ffffff"/>
        </w:rPr>
        <w:t xml:space="preserve">名  称：江苏建友兴业工程项目管理有限公司</w:t>
      </w:r>
      <w:r/>
    </w:p>
    <w:p>
      <w:pPr>
        <w:pStyle w:val="850"/>
        <w:contextualSpacing/>
        <w:ind w:left="-206" w:firstLine="480"/>
        <w:jc w:val="both"/>
        <w:spacing w:beforeAutospacing="0" w:afterAutospacing="0" w:line="500" w:lineRule="exact"/>
        <w:shd w:val="clear" w:color="auto" w:fill="ffffff"/>
        <w:widowControl/>
        <w:rPr>
          <w:rFonts w:hint="eastAsia" w:cs="仿宋" w:asciiTheme="minorEastAsia" w:hAnsiTheme="minorEastAsia"/>
          <w:shd w:val="clear" w:color="auto" w:fill="ffffff"/>
        </w:rPr>
      </w:pPr>
      <w:r>
        <w:rPr>
          <w:rFonts w:hint="eastAsia" w:cs="仿宋" w:asciiTheme="minorEastAsia" w:hAnsiTheme="minorEastAsia"/>
          <w:shd w:val="clear" w:color="auto" w:fill="ffffff"/>
        </w:rPr>
        <w:t xml:space="preserve">地  址：盐城市大丰区黄海东路28号（恒达世纪新城18幢4楼）</w:t>
      </w:r>
      <w:r/>
    </w:p>
    <w:p>
      <w:pPr>
        <w:pStyle w:val="850"/>
        <w:contextualSpacing/>
        <w:ind w:left="-206" w:firstLine="480"/>
        <w:jc w:val="both"/>
        <w:spacing w:beforeAutospacing="0" w:afterAutospacing="0" w:line="500" w:lineRule="exact"/>
        <w:shd w:val="clear" w:color="auto" w:fill="ffffff"/>
        <w:widowControl/>
        <w:rPr>
          <w:rFonts w:hint="eastAsia" w:cs="仿宋" w:asciiTheme="minorEastAsia" w:hAnsiTheme="minorEastAsia"/>
          <w:shd w:val="clear" w:color="auto" w:fill="ffffff"/>
        </w:rPr>
      </w:pPr>
      <w:r>
        <w:rPr>
          <w:rFonts w:hint="eastAsia" w:cs="仿宋" w:asciiTheme="minorEastAsia" w:hAnsiTheme="minorEastAsia"/>
          <w:shd w:val="clear" w:color="auto" w:fill="ffffff"/>
        </w:rPr>
        <w:t xml:space="preserve">联系人：单钰锋                     </w:t>
      </w:r>
      <w:r/>
    </w:p>
    <w:p>
      <w:pPr>
        <w:pStyle w:val="850"/>
        <w:contextualSpacing/>
        <w:ind w:left="-206" w:firstLine="480"/>
        <w:jc w:val="both"/>
        <w:spacing w:beforeAutospacing="0" w:afterAutospacing="0" w:line="500" w:lineRule="exact"/>
        <w:shd w:val="clear" w:color="auto" w:fill="ffffff"/>
        <w:widowControl/>
        <w:rPr>
          <w:rFonts w:hint="eastAsia" w:cs="仿宋" w:asciiTheme="minorEastAsia" w:hAnsiTheme="minorEastAsia"/>
          <w:shd w:val="clear" w:color="auto" w:fill="ffffff"/>
        </w:rPr>
      </w:pPr>
      <w:r>
        <w:rPr>
          <w:rFonts w:hint="eastAsia" w:cs="仿宋" w:asciiTheme="minorEastAsia" w:hAnsiTheme="minorEastAsia"/>
          <w:shd w:val="clear" w:color="auto" w:fill="ffffff"/>
        </w:rPr>
        <w:t xml:space="preserve">联系方式：</w:t>
      </w:r>
      <w:bookmarkStart w:id="19" w:name="_Toc28359087"/>
      <w:r/>
      <w:bookmarkStart w:id="20" w:name="_Toc28359010"/>
      <w:r>
        <w:rPr>
          <w:rFonts w:hint="eastAsia" w:cs="仿宋" w:asciiTheme="minorEastAsia" w:hAnsiTheme="minorEastAsia"/>
          <w:shd w:val="clear" w:color="auto" w:fill="ffffff"/>
        </w:rPr>
        <w:t xml:space="preserve">18761249196       </w:t>
      </w:r>
      <w:bookmarkEnd w:id="19"/>
      <w:r/>
      <w:bookmarkEnd w:id="20"/>
      <w:r>
        <w:rPr>
          <w:rFonts w:hint="eastAsia" w:cs="仿宋" w:asciiTheme="minorEastAsia" w:hAnsiTheme="minorEastAsia"/>
          <w:shd w:val="clear" w:color="auto" w:fill="ffffff"/>
        </w:rPr>
        <w:t xml:space="preserve">            </w:t>
      </w:r>
      <w:r/>
    </w:p>
    <w:p>
      <w:pPr>
        <w:pStyle w:val="850"/>
        <w:contextualSpacing/>
        <w:ind w:left="-206" w:firstLine="480"/>
        <w:jc w:val="both"/>
        <w:spacing w:beforeAutospacing="0" w:afterAutospacing="0" w:line="500" w:lineRule="exact"/>
        <w:shd w:val="clear" w:color="auto" w:fill="ffffff"/>
        <w:widowControl/>
        <w:rPr>
          <w:rFonts w:hint="eastAsia" w:cs="仿宋" w:asciiTheme="minorEastAsia" w:hAnsiTheme="minorEastAsia"/>
          <w:shd w:val="clear" w:color="auto" w:fill="ffffff"/>
        </w:rPr>
      </w:pPr>
      <w:r/>
      <w:bookmarkStart w:id="21" w:name="_Toc28359021"/>
      <w:r>
        <w:rPr>
          <w:rFonts w:hint="eastAsia" w:cs="仿宋" w:asciiTheme="minorEastAsia" w:hAnsiTheme="minorEastAsia"/>
          <w:shd w:val="clear" w:color="auto" w:fill="ffffff"/>
        </w:rPr>
        <w:t xml:space="preserve">3.</w:t>
      </w:r>
      <w:bookmarkEnd w:id="21"/>
      <w:r>
        <w:rPr>
          <w:rFonts w:hint="eastAsia" w:cs="仿宋" w:asciiTheme="minorEastAsia" w:hAnsiTheme="minorEastAsia"/>
          <w:shd w:val="clear" w:color="auto" w:fill="ffffff"/>
        </w:rPr>
        <w:t xml:space="preserve">项目联系方式</w:t>
      </w:r>
      <w:r/>
    </w:p>
    <w:p>
      <w:pPr>
        <w:pStyle w:val="850"/>
        <w:contextualSpacing/>
        <w:ind w:left="-206" w:firstLine="480"/>
        <w:jc w:val="both"/>
        <w:spacing w:beforeAutospacing="0" w:afterAutospacing="0" w:line="500" w:lineRule="exact"/>
        <w:shd w:val="clear" w:color="auto" w:fill="ffffff"/>
        <w:widowControl/>
        <w:rPr>
          <w:rFonts w:hint="eastAsia" w:cs="仿宋" w:asciiTheme="minorEastAsia" w:hAnsiTheme="minorEastAsia"/>
          <w:shd w:val="clear" w:color="auto" w:fill="ffffff"/>
        </w:rPr>
      </w:pPr>
      <w:r>
        <w:rPr>
          <w:rFonts w:hint="eastAsia" w:cs="仿宋" w:asciiTheme="minorEastAsia" w:hAnsiTheme="minorEastAsia"/>
          <w:shd w:val="clear" w:color="auto" w:fill="ffffff"/>
        </w:rPr>
        <w:t xml:space="preserve">项目联系人：单钰锋</w:t>
      </w:r>
      <w:r/>
    </w:p>
    <w:p>
      <w:pPr>
        <w:pStyle w:val="850"/>
        <w:contextualSpacing/>
        <w:ind w:left="-206" w:firstLine="480"/>
        <w:jc w:val="both"/>
        <w:spacing w:beforeAutospacing="0" w:afterAutospacing="0" w:line="500" w:lineRule="exact"/>
        <w:shd w:val="clear" w:color="auto" w:fill="ffffff"/>
        <w:widowControl/>
        <w:rPr>
          <w:rFonts w:hint="eastAsia" w:ascii="仿宋" w:hAnsi="仿宋" w:eastAsia="仿宋" w:cs="仿宋"/>
          <w:sz w:val="28"/>
          <w:szCs w:val="28"/>
          <w:shd w:val="clear" w:color="auto" w:fill="ffffff"/>
        </w:rPr>
      </w:pPr>
      <w:r>
        <w:rPr>
          <w:rFonts w:hint="eastAsia" w:cs="仿宋" w:asciiTheme="minorEastAsia" w:hAnsiTheme="minorEastAsia"/>
          <w:shd w:val="clear" w:color="auto" w:fill="ffffff"/>
        </w:rPr>
        <w:t xml:space="preserve">电　　  话：18761249196　</w:t>
      </w:r>
      <w:r>
        <w:rPr>
          <w:rFonts w:hint="eastAsia" w:ascii="仿宋" w:hAnsi="仿宋" w:eastAsia="仿宋" w:cs="仿宋"/>
          <w:sz w:val="28"/>
          <w:szCs w:val="28"/>
          <w:shd w:val="clear" w:color="auto" w:fill="ffffff"/>
        </w:rPr>
        <w:t xml:space="preserve">　</w:t>
      </w:r>
      <w:bookmarkEnd w:id="2"/>
      <w:r>
        <w:rPr>
          <w:rFonts w:hint="eastAsia" w:ascii="仿宋" w:hAnsi="仿宋" w:eastAsia="仿宋" w:cs="仿宋"/>
          <w:sz w:val="28"/>
          <w:szCs w:val="28"/>
          <w:shd w:val="clear" w:color="auto" w:fill="ffffff"/>
        </w:rPr>
        <w:t xml:space="preserve">　　</w:t>
      </w:r>
      <w:bookmarkEnd w:id="3"/>
      <w:r>
        <w:rPr>
          <w:rFonts w:hint="eastAsia" w:ascii="仿宋" w:hAnsi="仿宋" w:eastAsia="仿宋" w:cs="仿宋"/>
          <w:sz w:val="28"/>
          <w:szCs w:val="28"/>
          <w:shd w:val="clear" w:color="auto" w:fill="ffffff"/>
        </w:rPr>
        <w:t xml:space="preserve">　　　　　　　　</w:t>
      </w:r>
      <w:r/>
    </w:p>
    <w:p>
      <w:pPr>
        <w:ind w:left="-206"/>
      </w:pPr>
      <w:r>
        <w:t xml:space="preserve"> </w:t>
      </w:r>
      <w:r/>
    </w:p>
    <w:p>
      <w:pPr>
        <w:ind w:left="-206"/>
        <w:rPr>
          <w:rFonts w:hint="eastAsia" w:ascii="黑体" w:hAnsi="宋体" w:eastAsia="黑体" w:cs="黑体"/>
          <w:b/>
          <w:sz w:val="44"/>
          <w:szCs w:val="44"/>
        </w:rPr>
      </w:pPr>
      <w:r>
        <w:rPr>
          <w:rFonts w:hint="eastAsia" w:ascii="宋体" w:hAnsi="宋体" w:eastAsia="宋体" w:cs="宋体"/>
        </w:rPr>
        <w:br w:type="page" w:clear="all"/>
      </w:r>
      <w:bookmarkStart w:id="22" w:name="_Toc120614211"/>
      <w:r/>
      <w:r/>
    </w:p>
    <w:p>
      <w:pPr>
        <w:pStyle w:val="850"/>
        <w:ind w:left="-206" w:firstLine="1767"/>
        <w:keepLines/>
        <w:keepNext/>
        <w:spacing w:before="260" w:beforeAutospacing="0" w:after="260" w:afterAutospacing="0" w:line="415" w:lineRule="auto"/>
      </w:pPr>
      <w:r>
        <w:rPr>
          <w:rFonts w:hint="eastAsia" w:ascii="黑体" w:hAnsi="宋体" w:eastAsia="黑体" w:cs="黑体"/>
          <w:b/>
          <w:sz w:val="44"/>
          <w:szCs w:val="44"/>
        </w:rPr>
        <w:t xml:space="preserve">第二章  </w:t>
      </w:r>
      <w:bookmarkEnd w:id="22"/>
      <w:r/>
      <w:bookmarkStart w:id="23" w:name="_Toc120614213"/>
      <w:r/>
      <w:bookmarkStart w:id="24" w:name="_Toc513029202"/>
      <w:r/>
      <w:bookmarkStart w:id="25" w:name="_Toc20823274"/>
      <w:r/>
      <w:bookmarkStart w:id="26" w:name="_Toc16938518"/>
      <w:r>
        <w:rPr>
          <w:rFonts w:hint="eastAsia" w:ascii="黑体" w:hAnsi="宋体" w:eastAsia="黑体" w:cs="黑体"/>
          <w:b/>
          <w:sz w:val="44"/>
          <w:szCs w:val="44"/>
        </w:rPr>
        <w:t xml:space="preserve">投标人须知</w:t>
      </w:r>
      <w:bookmarkEnd w:id="23"/>
      <w:r/>
      <w:bookmarkEnd w:id="24"/>
      <w:r/>
      <w:bookmarkEnd w:id="25"/>
      <w:r/>
      <w:bookmarkEnd w:id="26"/>
      <w:r/>
      <w:r/>
    </w:p>
    <w:p>
      <w:pPr>
        <w:pStyle w:val="850"/>
        <w:contextualSpacing/>
        <w:ind w:left="-206" w:firstLine="643"/>
        <w:jc w:val="both"/>
        <w:keepLines/>
        <w:keepNext/>
        <w:spacing w:beforeAutospacing="0" w:afterAutospacing="0" w:line="500" w:lineRule="exact"/>
        <w:rPr>
          <w:rFonts w:hint="eastAsia" w:asciiTheme="minorEastAsia" w:hAnsiTheme="minorEastAsia"/>
        </w:rPr>
      </w:pPr>
      <w:r/>
      <w:bookmarkStart w:id="27" w:name="_Toc16938519"/>
      <w:r/>
      <w:bookmarkStart w:id="28" w:name="_Toc120614214"/>
      <w:r/>
      <w:bookmarkStart w:id="29" w:name="_Toc513029203"/>
      <w:r/>
      <w:bookmarkStart w:id="30" w:name="_Toc20823275"/>
      <w:r>
        <w:rPr>
          <w:rFonts w:asciiTheme="minorEastAsia" w:hAnsiTheme="minorEastAsia"/>
          <w:b/>
          <w:sz w:val="32"/>
          <w:szCs w:val="32"/>
        </w:rPr>
        <w:t xml:space="preserve">一、总则</w:t>
      </w:r>
      <w:bookmarkEnd w:id="27"/>
      <w:r/>
      <w:bookmarkEnd w:id="28"/>
      <w:r/>
      <w:bookmarkEnd w:id="29"/>
      <w:r/>
      <w:bookmarkEnd w:id="30"/>
      <w:r/>
      <w:r/>
    </w:p>
    <w:p>
      <w:pPr>
        <w:pStyle w:val="850"/>
        <w:contextualSpacing/>
        <w:ind w:left="-206" w:firstLine="560"/>
        <w:jc w:val="both"/>
        <w:keepLines/>
        <w:keepNext/>
        <w:spacing w:beforeAutospacing="0" w:afterAutospacing="0" w:line="500" w:lineRule="exact"/>
        <w:rPr>
          <w:rFonts w:hint="eastAsia" w:asciiTheme="minorEastAsia" w:hAnsiTheme="minorEastAsia"/>
        </w:rPr>
      </w:pPr>
      <w:r/>
      <w:bookmarkStart w:id="31" w:name="_Toc20823276"/>
      <w:r/>
      <w:bookmarkStart w:id="32" w:name="_Toc458694821"/>
      <w:r/>
      <w:bookmarkStart w:id="33" w:name="_Toc513029204"/>
      <w:r/>
      <w:bookmarkStart w:id="34" w:name="_Toc16938520"/>
      <w:r/>
      <w:bookmarkStart w:id="35" w:name="_Hlt16619475"/>
      <w:r>
        <w:rPr>
          <w:rFonts w:cs="Arial" w:asciiTheme="minorEastAsia" w:hAnsiTheme="minorEastAsia"/>
          <w:sz w:val="28"/>
          <w:szCs w:val="28"/>
        </w:rPr>
        <w:t xml:space="preserve">1</w:t>
      </w:r>
      <w:bookmarkEnd w:id="31"/>
      <w:r>
        <w:rPr>
          <w:rFonts w:cs="Arial" w:asciiTheme="minorEastAsia" w:hAnsiTheme="minorEastAsia"/>
          <w:sz w:val="28"/>
          <w:szCs w:val="28"/>
        </w:rPr>
        <w:t xml:space="preserve">、招标方式</w:t>
      </w:r>
      <w:bookmarkEnd w:id="32"/>
      <w:r/>
      <w:bookmarkEnd w:id="33"/>
      <w:r/>
      <w:bookmarkEnd w:id="34"/>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1.1本次招标采取公开招标方式，本招标文件仅适用于招标公告中所述项目。</w:t>
      </w:r>
      <w:r/>
    </w:p>
    <w:p>
      <w:pPr>
        <w:pStyle w:val="850"/>
        <w:contextualSpacing/>
        <w:ind w:left="-206" w:firstLine="560"/>
        <w:jc w:val="both"/>
        <w:keepLines/>
        <w:keepNext/>
        <w:spacing w:beforeAutospacing="0" w:afterAutospacing="0" w:line="500" w:lineRule="exact"/>
        <w:rPr>
          <w:rFonts w:hint="eastAsia" w:asciiTheme="minorEastAsia" w:hAnsiTheme="minorEastAsia"/>
        </w:rPr>
      </w:pPr>
      <w:r/>
      <w:bookmarkStart w:id="36" w:name="_Toc513029205"/>
      <w:r/>
      <w:bookmarkStart w:id="37" w:name="_Toc20823277"/>
      <w:r/>
      <w:bookmarkStart w:id="38" w:name="_Toc16938521"/>
      <w:r>
        <w:rPr>
          <w:rFonts w:cs="Arial" w:asciiTheme="minorEastAsia" w:hAnsiTheme="minorEastAsia"/>
          <w:sz w:val="28"/>
          <w:szCs w:val="28"/>
        </w:rPr>
        <w:t xml:space="preserve">2、合格的投标人</w:t>
      </w:r>
      <w:bookmarkEnd w:id="36"/>
      <w:r/>
      <w:bookmarkEnd w:id="37"/>
      <w:r/>
      <w:bookmarkEnd w:id="38"/>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2.1满足招标公告中供应商的资格要求的规定。</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2.2满足本文件实质性要求和条件的规定。</w:t>
      </w:r>
      <w:r/>
    </w:p>
    <w:p>
      <w:pPr>
        <w:pStyle w:val="850"/>
        <w:contextualSpacing/>
        <w:ind w:left="-206" w:firstLine="560"/>
        <w:jc w:val="both"/>
        <w:keepLines/>
        <w:keepNext/>
        <w:spacing w:beforeAutospacing="0" w:afterAutospacing="0" w:line="500" w:lineRule="exact"/>
        <w:rPr>
          <w:rFonts w:hint="eastAsia" w:asciiTheme="minorEastAsia" w:hAnsiTheme="minorEastAsia"/>
        </w:rPr>
      </w:pPr>
      <w:r/>
      <w:bookmarkStart w:id="39" w:name="_Toc513029206"/>
      <w:r/>
      <w:bookmarkStart w:id="40" w:name="_Toc20823278"/>
      <w:r/>
      <w:bookmarkStart w:id="41" w:name="_Toc16938522"/>
      <w:r>
        <w:rPr>
          <w:rFonts w:cs="Arial" w:asciiTheme="minorEastAsia" w:hAnsiTheme="minorEastAsia"/>
          <w:sz w:val="28"/>
          <w:szCs w:val="28"/>
        </w:rPr>
        <w:t xml:space="preserve">3、适用法律</w:t>
      </w:r>
      <w:bookmarkEnd w:id="39"/>
      <w:r/>
      <w:bookmarkEnd w:id="40"/>
      <w:r/>
      <w:bookmarkEnd w:id="41"/>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3.1本次招标及由此产生的合同受中华人民共和国有关的法律法规制约和保护。</w:t>
      </w:r>
      <w:r/>
    </w:p>
    <w:p>
      <w:pPr>
        <w:pStyle w:val="850"/>
        <w:contextualSpacing/>
        <w:ind w:left="-206" w:firstLine="560"/>
        <w:jc w:val="both"/>
        <w:keepLines/>
        <w:keepNext/>
        <w:spacing w:beforeAutospacing="0" w:afterAutospacing="0" w:line="500" w:lineRule="exact"/>
        <w:rPr>
          <w:rFonts w:hint="eastAsia" w:asciiTheme="minorEastAsia" w:hAnsiTheme="minorEastAsia"/>
        </w:rPr>
      </w:pPr>
      <w:r/>
      <w:bookmarkStart w:id="42" w:name="_Toc20823279"/>
      <w:r/>
      <w:bookmarkStart w:id="43" w:name="_Toc462564067"/>
      <w:r/>
      <w:bookmarkStart w:id="44" w:name="_Toc513029207"/>
      <w:r/>
      <w:bookmarkStart w:id="45" w:name="_Toc16938523"/>
      <w:r>
        <w:rPr>
          <w:rFonts w:cs="Arial" w:asciiTheme="minorEastAsia" w:hAnsiTheme="minorEastAsia"/>
          <w:sz w:val="28"/>
          <w:szCs w:val="28"/>
        </w:rPr>
        <w:t xml:space="preserve">4、投标费用</w:t>
      </w:r>
      <w:bookmarkEnd w:id="42"/>
      <w:r/>
      <w:bookmarkEnd w:id="43"/>
      <w:r/>
      <w:bookmarkEnd w:id="44"/>
      <w:r/>
      <w:bookmarkEnd w:id="45"/>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4.1投标人应自行承担所有与参加投标有关的费用，无论投标过程中的做法和结果如何，</w:t>
      </w:r>
      <w:r>
        <w:rPr>
          <w:rFonts w:hint="eastAsia"/>
        </w:rPr>
        <w:t xml:space="preserve">采购人和江苏建友兴业工程项目管理有限公司</w:t>
      </w:r>
      <w:r>
        <w:rPr>
          <w:rFonts w:hint="eastAsia" w:cs="宋体" w:asciiTheme="minorEastAsia" w:hAnsiTheme="minorEastAsia"/>
        </w:rPr>
        <w:t xml:space="preserve">在任何情况下均无义务和责任承担这些费用。</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4.2本次招标代理机构和采购人不收取标书工本费。</w:t>
      </w:r>
      <w:r/>
    </w:p>
    <w:p>
      <w:pPr>
        <w:pStyle w:val="850"/>
        <w:contextualSpacing/>
        <w:ind w:left="-206" w:firstLine="602"/>
        <w:jc w:val="both"/>
        <w:keepLines/>
        <w:keepNext/>
        <w:spacing w:beforeAutospacing="0" w:afterAutospacing="0" w:line="500" w:lineRule="exact"/>
        <w:rPr>
          <w:rFonts w:hint="eastAsia" w:asciiTheme="minorEastAsia" w:hAnsiTheme="minorEastAsia"/>
        </w:rPr>
      </w:pPr>
      <w:r>
        <w:rPr>
          <w:rFonts w:hint="eastAsia" w:cs="宋体" w:asciiTheme="minorEastAsia" w:hAnsiTheme="minorEastAsia"/>
          <w:b/>
          <w:sz w:val="30"/>
          <w:szCs w:val="30"/>
        </w:rPr>
        <w:t xml:space="preserve">5、</w:t>
      </w:r>
      <w:r>
        <w:rPr>
          <w:rFonts w:hint="eastAsia" w:cs="黑体" w:asciiTheme="minorEastAsia" w:hAnsiTheme="minorEastAsia"/>
          <w:sz w:val="28"/>
          <w:szCs w:val="28"/>
        </w:rPr>
        <w:t xml:space="preserve">招标文件的约束力</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5.1 投标人一旦参加本项目采购活动，即被认为接受了本招标文件的规定和约束。</w:t>
      </w:r>
      <w:r/>
    </w:p>
    <w:p>
      <w:pPr>
        <w:pStyle w:val="850"/>
        <w:contextualSpacing/>
        <w:ind w:left="-206" w:firstLine="643"/>
        <w:jc w:val="both"/>
        <w:keepLines/>
        <w:keepNext/>
        <w:spacing w:beforeAutospacing="0" w:afterAutospacing="0" w:line="500" w:lineRule="exact"/>
        <w:rPr>
          <w:rFonts w:hint="eastAsia" w:asciiTheme="minorEastAsia" w:hAnsiTheme="minorEastAsia"/>
        </w:rPr>
      </w:pPr>
      <w:r/>
      <w:bookmarkStart w:id="46" w:name="_Toc513029209"/>
      <w:r/>
      <w:bookmarkStart w:id="47" w:name="_Toc16938525"/>
      <w:r/>
      <w:bookmarkStart w:id="48" w:name="_Toc20823281"/>
      <w:r/>
      <w:bookmarkStart w:id="49" w:name="_Toc120614215"/>
      <w:r>
        <w:rPr>
          <w:rFonts w:asciiTheme="minorEastAsia" w:hAnsiTheme="minorEastAsia"/>
          <w:b/>
          <w:sz w:val="32"/>
          <w:szCs w:val="32"/>
        </w:rPr>
        <w:t xml:space="preserve">二、招标文件</w:t>
      </w:r>
      <w:bookmarkEnd w:id="46"/>
      <w:r/>
      <w:bookmarkEnd w:id="47"/>
      <w:r/>
      <w:bookmarkEnd w:id="48"/>
      <w:r/>
      <w:bookmarkEnd w:id="49"/>
      <w:r/>
      <w:r/>
    </w:p>
    <w:p>
      <w:pPr>
        <w:pStyle w:val="850"/>
        <w:contextualSpacing/>
        <w:ind w:left="-206" w:firstLine="560"/>
        <w:jc w:val="both"/>
        <w:keepLines/>
        <w:keepNext/>
        <w:spacing w:beforeAutospacing="0" w:afterAutospacing="0" w:line="500" w:lineRule="exact"/>
        <w:rPr>
          <w:rFonts w:hint="eastAsia" w:asciiTheme="minorEastAsia" w:hAnsiTheme="minorEastAsia"/>
        </w:rPr>
      </w:pPr>
      <w:r/>
      <w:bookmarkStart w:id="50" w:name="_Toc513029210"/>
      <w:r/>
      <w:bookmarkStart w:id="51" w:name="_Toc16938526"/>
      <w:r/>
      <w:bookmarkStart w:id="52" w:name="_Toc20823282"/>
      <w:r>
        <w:rPr>
          <w:rFonts w:cs="Arial" w:asciiTheme="minorEastAsia" w:hAnsiTheme="minorEastAsia"/>
          <w:sz w:val="28"/>
          <w:szCs w:val="28"/>
        </w:rPr>
        <w:t xml:space="preserve">6、招标文件构成</w:t>
      </w:r>
      <w:bookmarkEnd w:id="50"/>
      <w:r/>
      <w:bookmarkEnd w:id="51"/>
      <w:r/>
      <w:bookmarkEnd w:id="52"/>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6.1 招标文件由以下部分组成：</w:t>
      </w:r>
      <w:r/>
    </w:p>
    <w:p>
      <w:pPr>
        <w:pStyle w:val="850"/>
        <w:contextualSpacing/>
        <w:ind w:left="-206"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（1）招标公告</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（2）投标人须知</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（3）合同文本</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（4）采购需求</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（5）</w:t>
      </w:r>
      <w:r>
        <w:rPr>
          <w:rFonts w:asciiTheme="minorEastAsia" w:hAnsiTheme="minorEastAsia"/>
        </w:rPr>
        <w:t xml:space="preserve">评标方法与评标标准</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（6）投标文件格式</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请仔细检查招标文件是否齐全，如有缺漏请立即与招标人（或招标代理机构）联系解决。</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0"/>
        <w:contextualSpacing/>
        <w:ind w:left="-206" w:firstLine="560"/>
        <w:jc w:val="both"/>
        <w:keepLines/>
        <w:keepNext/>
        <w:spacing w:beforeAutospacing="0" w:afterAutospacing="0" w:line="500" w:lineRule="exact"/>
        <w:rPr>
          <w:rFonts w:hint="eastAsia" w:asciiTheme="minorEastAsia" w:hAnsiTheme="minorEastAsia"/>
        </w:rPr>
      </w:pPr>
      <w:r/>
      <w:bookmarkStart w:id="53" w:name="_Toc16938527"/>
      <w:r/>
      <w:bookmarkStart w:id="54" w:name="_Toc20823283"/>
      <w:r/>
      <w:bookmarkStart w:id="55" w:name="_Toc462564070"/>
      <w:r/>
      <w:bookmarkStart w:id="56" w:name="_Toc513029211"/>
      <w:r>
        <w:rPr>
          <w:rFonts w:cs="Arial" w:asciiTheme="minorEastAsia" w:hAnsiTheme="minorEastAsia"/>
          <w:sz w:val="28"/>
          <w:szCs w:val="28"/>
        </w:rPr>
        <w:t xml:space="preserve">7、招标文件的澄清</w:t>
      </w:r>
      <w:bookmarkEnd w:id="53"/>
      <w:r/>
      <w:bookmarkEnd w:id="54"/>
      <w:r/>
      <w:bookmarkEnd w:id="55"/>
      <w:r/>
      <w:bookmarkEnd w:id="56"/>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7.1任何要求对招标文件进行澄清的投标人，应在投标截止期</w:t>
      </w:r>
      <w:r>
        <w:rPr>
          <w:rFonts w:cs="仿宋_GB2312" w:asciiTheme="minorEastAsia" w:hAnsiTheme="minorEastAsia"/>
          <w:b/>
        </w:rPr>
        <w:t xml:space="preserve">十日</w:t>
      </w:r>
      <w:r>
        <w:rPr>
          <w:rFonts w:cs="仿宋_GB2312" w:asciiTheme="minorEastAsia" w:hAnsiTheme="minorEastAsia"/>
        </w:rPr>
        <w:t xml:space="preserve">前</w:t>
      </w:r>
      <w:r>
        <w:rPr>
          <w:rFonts w:hint="eastAsia" w:cs="宋体" w:asciiTheme="minorEastAsia" w:hAnsiTheme="minorEastAsia"/>
        </w:rPr>
        <w:t xml:space="preserve">按招标公告中的通讯地址，以书面形式通知招标代理机构。</w:t>
      </w:r>
      <w:r/>
    </w:p>
    <w:p>
      <w:pPr>
        <w:pStyle w:val="850"/>
        <w:contextualSpacing/>
        <w:ind w:left="-206" w:firstLine="560"/>
        <w:jc w:val="both"/>
        <w:keepLines/>
        <w:keepNext/>
        <w:spacing w:beforeAutospacing="0" w:afterAutospacing="0" w:line="500" w:lineRule="exact"/>
        <w:rPr>
          <w:rFonts w:hint="eastAsia" w:asciiTheme="minorEastAsia" w:hAnsiTheme="minorEastAsia"/>
        </w:rPr>
      </w:pPr>
      <w:r/>
      <w:bookmarkStart w:id="57" w:name="_Toc513029212"/>
      <w:r/>
      <w:bookmarkStart w:id="58" w:name="_Toc16938528"/>
      <w:r/>
      <w:bookmarkStart w:id="59" w:name="_Toc462564071"/>
      <w:r/>
      <w:bookmarkStart w:id="60" w:name="_Toc20823284"/>
      <w:r>
        <w:rPr>
          <w:rFonts w:cs="Arial" w:asciiTheme="minorEastAsia" w:hAnsiTheme="minorEastAsia"/>
          <w:sz w:val="28"/>
          <w:szCs w:val="28"/>
        </w:rPr>
        <w:t xml:space="preserve">8、招标文件的修改</w:t>
      </w:r>
      <w:bookmarkEnd w:id="57"/>
      <w:r/>
      <w:bookmarkEnd w:id="58"/>
      <w:r/>
      <w:bookmarkEnd w:id="59"/>
      <w:r/>
      <w:bookmarkEnd w:id="60"/>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8.1 在投标截止时间</w:t>
      </w:r>
      <w:r>
        <w:rPr>
          <w:rFonts w:cs="仿宋_GB2312" w:asciiTheme="minorEastAsia" w:hAnsiTheme="minorEastAsia"/>
        </w:rPr>
        <w:t xml:space="preserve">前</w:t>
      </w:r>
      <w:r>
        <w:rPr>
          <w:rFonts w:hint="eastAsia" w:cs="宋体" w:asciiTheme="minorEastAsia" w:hAnsiTheme="minorEastAsia"/>
        </w:rPr>
        <w:t xml:space="preserve">，招标人可以对招标文件进行修改。</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8.2 招标人有权按照法定的要求推迟投标截止日期和开标日期。</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8.3 招标文件的修改将在中国政府采购网、江苏政府采购网、盐城市政府采购网公布，补充文件将作为招标文件的组成部分，并对投标人具有约束力。</w:t>
      </w:r>
      <w:r/>
    </w:p>
    <w:p>
      <w:pPr>
        <w:pStyle w:val="850"/>
        <w:contextualSpacing/>
        <w:ind w:left="-206" w:firstLine="643"/>
        <w:jc w:val="both"/>
        <w:keepLines/>
        <w:keepNext/>
        <w:spacing w:beforeAutospacing="0" w:afterAutospacing="0" w:line="500" w:lineRule="exact"/>
        <w:rPr>
          <w:rFonts w:hint="eastAsia" w:asciiTheme="minorEastAsia" w:hAnsiTheme="minorEastAsia"/>
        </w:rPr>
      </w:pPr>
      <w:r/>
      <w:bookmarkStart w:id="61" w:name="_Toc120614216"/>
      <w:r/>
      <w:bookmarkStart w:id="62" w:name="_Toc462564072"/>
      <w:r/>
      <w:bookmarkStart w:id="63" w:name="_Toc513029213"/>
      <w:r/>
      <w:bookmarkStart w:id="64" w:name="_Toc16938529"/>
      <w:r/>
      <w:bookmarkStart w:id="65" w:name="_Toc20823285"/>
      <w:r>
        <w:rPr>
          <w:rFonts w:asciiTheme="minorEastAsia" w:hAnsiTheme="minorEastAsia"/>
          <w:b/>
          <w:sz w:val="32"/>
          <w:szCs w:val="32"/>
        </w:rPr>
        <w:t xml:space="preserve">三、投标文件的编制</w:t>
      </w:r>
      <w:bookmarkEnd w:id="61"/>
      <w:r/>
      <w:bookmarkEnd w:id="62"/>
      <w:r/>
      <w:bookmarkEnd w:id="63"/>
      <w:r/>
      <w:bookmarkEnd w:id="64"/>
      <w:r/>
      <w:bookmarkEnd w:id="65"/>
      <w:r/>
      <w:r/>
    </w:p>
    <w:p>
      <w:pPr>
        <w:pStyle w:val="850"/>
        <w:contextualSpacing/>
        <w:ind w:left="-206" w:firstLine="560"/>
        <w:jc w:val="both"/>
        <w:keepLines/>
        <w:keepNext/>
        <w:spacing w:beforeAutospacing="0" w:afterAutospacing="0" w:line="500" w:lineRule="exact"/>
        <w:rPr>
          <w:rFonts w:hint="eastAsia" w:asciiTheme="minorEastAsia" w:hAnsiTheme="minorEastAsia"/>
        </w:rPr>
      </w:pPr>
      <w:r/>
      <w:bookmarkStart w:id="66" w:name="_Toc513029214"/>
      <w:r/>
      <w:bookmarkStart w:id="67" w:name="_Toc20823286"/>
      <w:r/>
      <w:bookmarkStart w:id="68" w:name="_Toc16938530"/>
      <w:r/>
      <w:bookmarkStart w:id="69" w:name="_Toc462564073"/>
      <w:r>
        <w:rPr>
          <w:rFonts w:cs="Arial" w:asciiTheme="minorEastAsia" w:hAnsiTheme="minorEastAsia"/>
          <w:sz w:val="28"/>
          <w:szCs w:val="28"/>
        </w:rPr>
        <w:t xml:space="preserve">9、投标文件的语言及度量衡单位</w:t>
      </w:r>
      <w:bookmarkEnd w:id="66"/>
      <w:r/>
      <w:bookmarkEnd w:id="67"/>
      <w:r/>
      <w:bookmarkEnd w:id="68"/>
      <w:r/>
      <w:bookmarkEnd w:id="69"/>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9.1投标人提交的投标文件以及投标人与招标人就有关投标的所有来往通知、函件和文件均应使用</w:t>
      </w:r>
      <w:r>
        <w:rPr>
          <w:rFonts w:hint="eastAsia" w:cs="宋体" w:asciiTheme="minorEastAsia" w:hAnsiTheme="minorEastAsia"/>
          <w:b/>
        </w:rPr>
        <w:t xml:space="preserve">简体中文</w:t>
      </w:r>
      <w:r>
        <w:rPr>
          <w:rFonts w:hint="eastAsia" w:cs="宋体" w:asciiTheme="minorEastAsia" w:hAnsiTheme="minorEastAsia"/>
        </w:rPr>
        <w:t xml:space="preserve">。</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9.2 除技术性能另有规定外，投标文件所使用的度量衡单位，均须采用国家法定计量单位。</w:t>
      </w:r>
      <w:r/>
    </w:p>
    <w:p>
      <w:pPr>
        <w:pStyle w:val="850"/>
        <w:contextualSpacing/>
        <w:ind w:left="-206" w:firstLine="560"/>
        <w:jc w:val="both"/>
        <w:keepLines/>
        <w:keepNext/>
        <w:spacing w:beforeAutospacing="0" w:afterAutospacing="0" w:line="500" w:lineRule="exact"/>
        <w:rPr>
          <w:rFonts w:hint="eastAsia" w:asciiTheme="minorEastAsia" w:hAnsiTheme="minorEastAsia"/>
        </w:rPr>
      </w:pPr>
      <w:r/>
      <w:bookmarkStart w:id="70" w:name="_Toc16938531"/>
      <w:r/>
      <w:bookmarkStart w:id="71" w:name="_Toc513029215"/>
      <w:r/>
      <w:bookmarkStart w:id="72" w:name="_Toc462564074"/>
      <w:r/>
      <w:bookmarkStart w:id="73" w:name="_Toc20823287"/>
      <w:r>
        <w:rPr>
          <w:rFonts w:cs="Arial" w:asciiTheme="minorEastAsia" w:hAnsiTheme="minorEastAsia"/>
          <w:sz w:val="28"/>
          <w:szCs w:val="28"/>
        </w:rPr>
        <w:t xml:space="preserve">10、投标文件构成</w:t>
      </w:r>
      <w:bookmarkEnd w:id="70"/>
      <w:r/>
      <w:bookmarkEnd w:id="71"/>
      <w:r/>
      <w:bookmarkEnd w:id="72"/>
      <w:r/>
      <w:bookmarkEnd w:id="73"/>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10.1 投标人编写的投标文件应包括资格证明文件、符合性证明文件、投标分项报价表、技术要求响应及偏离表、商务要求响应及偏离表、其他证明文件、投标函、开标一览表等部分。</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10.2 如标书制作工具中格式和内容与“中国政府采购网”、“江苏政府采购网”、“盐城市政府采购网</w:t>
      </w:r>
      <w:r>
        <w:rPr>
          <w:rFonts w:hint="eastAsia" w:cs="仿宋" w:asciiTheme="minorEastAsia" w:hAnsiTheme="minorEastAsia"/>
          <w:sz w:val="28"/>
          <w:szCs w:val="28"/>
          <w:shd w:val="clear" w:color="auto" w:fill="ffffff"/>
        </w:rPr>
        <w:t xml:space="preserve">”</w:t>
      </w:r>
      <w:r>
        <w:rPr>
          <w:rFonts w:hint="eastAsia" w:cs="宋体" w:asciiTheme="minorEastAsia" w:hAnsiTheme="minorEastAsia"/>
        </w:rPr>
        <w:t xml:space="preserve">发布的招标文件不一致，请以中国政府采购网”、“江苏政府采购网”、“盐城市政府采购网</w:t>
      </w:r>
      <w:r>
        <w:rPr>
          <w:rFonts w:hint="eastAsia" w:cs="仿宋" w:asciiTheme="minorEastAsia" w:hAnsiTheme="minorEastAsia"/>
          <w:sz w:val="28"/>
          <w:szCs w:val="28"/>
          <w:shd w:val="clear" w:color="auto" w:fill="ffffff"/>
        </w:rPr>
        <w:t xml:space="preserve">”</w:t>
      </w:r>
      <w:r>
        <w:rPr>
          <w:rFonts w:hint="eastAsia" w:cs="宋体" w:asciiTheme="minorEastAsia" w:hAnsiTheme="minorEastAsia"/>
        </w:rPr>
        <w:t xml:space="preserve">发布的招标文件为准。</w:t>
      </w:r>
      <w:r/>
    </w:p>
    <w:p>
      <w:pPr>
        <w:pStyle w:val="850"/>
        <w:contextualSpacing/>
        <w:ind w:left="-206" w:firstLine="560"/>
        <w:jc w:val="both"/>
        <w:keepLines/>
        <w:keepNext/>
        <w:spacing w:beforeAutospacing="0" w:afterAutospacing="0" w:line="500" w:lineRule="exact"/>
        <w:rPr>
          <w:rFonts w:hint="eastAsia" w:asciiTheme="minorEastAsia" w:hAnsiTheme="minorEastAsia"/>
        </w:rPr>
      </w:pPr>
      <w:r/>
      <w:bookmarkStart w:id="74" w:name="_Toc49090509"/>
      <w:r/>
      <w:bookmarkStart w:id="75" w:name="_Toc49090507"/>
      <w:r/>
      <w:bookmarkStart w:id="76" w:name="_Toc513029216"/>
      <w:r/>
      <w:bookmarkStart w:id="77" w:name="_Toc14577355"/>
      <w:r/>
      <w:bookmarkStart w:id="78" w:name="_Toc14577354"/>
      <w:r/>
      <w:bookmarkStart w:id="79" w:name="_Toc14577357"/>
      <w:r/>
      <w:bookmarkStart w:id="80" w:name="_Toc513029219"/>
      <w:r/>
      <w:bookmarkStart w:id="81" w:name="_Toc49090508"/>
      <w:r/>
      <w:bookmarkStart w:id="82" w:name="_Hlt26670360"/>
      <w:r/>
      <w:bookmarkStart w:id="83" w:name="_Hlt26954838"/>
      <w:r/>
      <w:bookmarkStart w:id="84" w:name="_Hlt26668975"/>
      <w:r>
        <w:rPr>
          <w:rFonts w:cs="Arial" w:asciiTheme="minorEastAsia" w:hAnsiTheme="minorEastAsia"/>
          <w:sz w:val="28"/>
          <w:szCs w:val="28"/>
        </w:rPr>
        <w:t xml:space="preserve">11、证明投标人及投标标的符合招标文件规定的文件</w:t>
      </w:r>
      <w:bookmarkEnd w:id="74"/>
      <w:r/>
      <w:bookmarkEnd w:id="75"/>
      <w:r/>
      <w:bookmarkEnd w:id="76"/>
      <w:r/>
      <w:bookmarkEnd w:id="77"/>
      <w:r/>
      <w:bookmarkEnd w:id="78"/>
      <w:r/>
      <w:bookmarkEnd w:id="79"/>
      <w:r/>
      <w:bookmarkEnd w:id="80"/>
      <w:r/>
      <w:bookmarkEnd w:id="81"/>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11.1 投标人应按照招标文件要求提交证明文件，证明其及投标标的符合招标文件规定。</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11.2招标文件对证明文件无明确形式要求的，证明文件可以以文字资料、图纸和数据等形式提交。</w:t>
      </w:r>
      <w:r/>
    </w:p>
    <w:p>
      <w:pPr>
        <w:pStyle w:val="850"/>
        <w:contextualSpacing/>
        <w:ind w:left="-206" w:firstLine="560"/>
        <w:jc w:val="both"/>
        <w:keepLines/>
        <w:keepNext/>
        <w:spacing w:beforeAutospacing="0" w:afterAutospacing="0" w:line="500" w:lineRule="exact"/>
        <w:rPr>
          <w:rFonts w:hint="eastAsia" w:asciiTheme="minorEastAsia" w:hAnsiTheme="minorEastAsia"/>
        </w:rPr>
      </w:pPr>
      <w:r>
        <w:rPr>
          <w:rFonts w:cs="Arial" w:asciiTheme="minorEastAsia" w:hAnsiTheme="minorEastAsia"/>
          <w:sz w:val="28"/>
          <w:szCs w:val="28"/>
        </w:rPr>
        <w:t xml:space="preserve">12、投标分项报价表</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12.1 投标人应按照招标文件规定格式填报投标分项报价表。</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12.2投标货币。投标文件中的单价和总价无特殊规定的采用人民币报价，以元为单位标注。招标文件中另有规定的按规定执行。</w:t>
      </w:r>
      <w:r/>
    </w:p>
    <w:p>
      <w:pPr>
        <w:pStyle w:val="850"/>
        <w:contextualSpacing/>
        <w:ind w:left="-206" w:firstLine="560"/>
        <w:jc w:val="both"/>
        <w:keepLines/>
        <w:keepNext/>
        <w:spacing w:beforeAutospacing="0" w:afterAutospacing="0" w:line="500" w:lineRule="exact"/>
        <w:rPr>
          <w:rFonts w:hint="eastAsia" w:asciiTheme="minorEastAsia" w:hAnsiTheme="minorEastAsia"/>
        </w:rPr>
      </w:pPr>
      <w:r/>
      <w:bookmarkStart w:id="85" w:name="_Hlt26954848"/>
      <w:r/>
      <w:bookmarkStart w:id="86" w:name="_Hlt26954846"/>
      <w:r/>
      <w:bookmarkStart w:id="87" w:name="_Hlt26954731"/>
      <w:r/>
      <w:bookmarkStart w:id="88" w:name="_Hlt26670486"/>
      <w:r/>
      <w:bookmarkStart w:id="89" w:name="_Hlt26670482"/>
      <w:r>
        <w:rPr>
          <w:rFonts w:cs="Arial" w:asciiTheme="minorEastAsia" w:hAnsiTheme="minorEastAsia"/>
          <w:sz w:val="28"/>
          <w:szCs w:val="28"/>
        </w:rPr>
        <w:t xml:space="preserve">13、技术要求响应及偏离表、商务要求响应及偏离表</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13.1 投标人需对招标文件中的技术要求与商务要求逐项作出响应或偏离，并说明原因。</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13.2 投标人可在投标文件中提供认为需要的其他技术文件或说明。</w:t>
      </w:r>
      <w:r/>
    </w:p>
    <w:p>
      <w:pPr>
        <w:pStyle w:val="850"/>
        <w:contextualSpacing/>
        <w:ind w:left="-206" w:firstLine="560"/>
        <w:jc w:val="both"/>
        <w:keepLines/>
        <w:keepNext/>
        <w:spacing w:beforeAutospacing="0" w:afterAutospacing="0" w:line="500" w:lineRule="exact"/>
        <w:rPr>
          <w:rFonts w:hint="eastAsia" w:asciiTheme="minorEastAsia" w:hAnsiTheme="minorEastAsia"/>
        </w:rPr>
      </w:pPr>
      <w:r>
        <w:rPr>
          <w:rFonts w:cs="Arial" w:asciiTheme="minorEastAsia" w:hAnsiTheme="minorEastAsia"/>
          <w:sz w:val="28"/>
          <w:szCs w:val="28"/>
        </w:rPr>
        <w:t xml:space="preserve">14、</w:t>
      </w:r>
      <w:r>
        <w:rPr>
          <w:rFonts w:hint="eastAsia" w:cs="Arial" w:asciiTheme="minorEastAsia" w:hAnsiTheme="minorEastAsia"/>
          <w:sz w:val="28"/>
          <w:szCs w:val="28"/>
        </w:rPr>
        <w:t xml:space="preserve">系统集成方案、项目实施方案、运维服务方案</w:t>
      </w:r>
      <w:r>
        <w:rPr>
          <w:rFonts w:cs="Arial" w:asciiTheme="minorEastAsia" w:hAnsiTheme="minorEastAsia"/>
          <w:sz w:val="28"/>
          <w:szCs w:val="28"/>
        </w:rPr>
        <w:t xml:space="preserve">及其他</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14.1 投标人需根据招标文件要求提供系统集成方案、项目实施方案、运维服务方案等。</w:t>
      </w:r>
      <w:r/>
    </w:p>
    <w:p>
      <w:pPr>
        <w:pStyle w:val="850"/>
        <w:contextualSpacing/>
        <w:ind w:left="-206" w:firstLine="560"/>
        <w:jc w:val="both"/>
        <w:keepLines/>
        <w:keepNext/>
        <w:spacing w:beforeAutospacing="0" w:afterAutospacing="0" w:line="500" w:lineRule="exact"/>
        <w:rPr>
          <w:rFonts w:hint="eastAsia" w:asciiTheme="minorEastAsia" w:hAnsiTheme="minorEastAsia"/>
        </w:rPr>
      </w:pPr>
      <w:r/>
      <w:bookmarkStart w:id="90" w:name="_Toc49090510"/>
      <w:r/>
      <w:bookmarkStart w:id="91" w:name="_Toc14577359"/>
      <w:r>
        <w:rPr>
          <w:rFonts w:cs="Arial" w:asciiTheme="minorEastAsia" w:hAnsiTheme="minorEastAsia"/>
          <w:sz w:val="28"/>
          <w:szCs w:val="28"/>
        </w:rPr>
        <w:t xml:space="preserve">15、投标函和开标一览表</w:t>
      </w:r>
      <w:bookmarkEnd w:id="90"/>
      <w:r/>
      <w:bookmarkEnd w:id="91"/>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15.1 投标人应按照招标文件中提供的格式完整、正确填写投标函、开标一览表。</w:t>
      </w:r>
      <w:r/>
    </w:p>
    <w:p>
      <w:pPr>
        <w:pStyle w:val="850"/>
        <w:contextualSpacing/>
        <w:ind w:left="-206"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15.2 对于采用货币报价的项目，开标一览表中的投标总报价应与投标分项报价表中的投标总报价一致，如不一致，不作为无效投标处理，但评标时按开标一览表中价格为准。</w:t>
      </w:r>
      <w:r/>
    </w:p>
    <w:p>
      <w:pPr>
        <w:pStyle w:val="850"/>
        <w:contextualSpacing/>
        <w:ind w:left="-206" w:firstLine="560"/>
        <w:jc w:val="both"/>
        <w:keepLines/>
        <w:keepNext/>
        <w:spacing w:beforeAutospacing="0" w:afterAutospacing="0" w:line="500" w:lineRule="exact"/>
        <w:rPr>
          <w:rFonts w:hint="eastAsia" w:asciiTheme="minorEastAsia" w:hAnsiTheme="minorEastAsia"/>
        </w:rPr>
      </w:pPr>
      <w:r/>
      <w:bookmarkStart w:id="92" w:name="_Toc49090511"/>
      <w:r/>
      <w:bookmarkStart w:id="93" w:name="_Toc14577360"/>
      <w:r>
        <w:rPr>
          <w:rFonts w:cs="Arial" w:asciiTheme="minorEastAsia" w:hAnsiTheme="minorEastAsia"/>
          <w:sz w:val="28"/>
          <w:szCs w:val="28"/>
        </w:rPr>
        <w:t xml:space="preserve">16、投标有效期</w:t>
      </w:r>
      <w:bookmarkEnd w:id="92"/>
      <w:r/>
      <w:bookmarkEnd w:id="93"/>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16.1投标有效期为采购人规定的开标之日后</w:t>
      </w:r>
      <w:r>
        <w:rPr>
          <w:rFonts w:hint="eastAsia" w:cs="仿宋_GB2312" w:asciiTheme="minorEastAsia" w:hAnsiTheme="minorEastAsia"/>
          <w:b/>
          <w:u w:val="single"/>
        </w:rPr>
        <w:t xml:space="preserve">九</w:t>
      </w:r>
      <w:r>
        <w:rPr>
          <w:rFonts w:cs="仿宋_GB2312" w:asciiTheme="minorEastAsia" w:hAnsiTheme="minorEastAsia"/>
          <w:b/>
          <w:u w:val="single"/>
        </w:rPr>
        <w:t xml:space="preserve">十（</w:t>
      </w:r>
      <w:r>
        <w:rPr>
          <w:rFonts w:hint="eastAsia" w:cs="仿宋_GB2312" w:asciiTheme="minorEastAsia" w:hAnsiTheme="minorEastAsia"/>
          <w:b/>
          <w:u w:val="single"/>
        </w:rPr>
        <w:t xml:space="preserve">9</w:t>
      </w:r>
      <w:r>
        <w:rPr>
          <w:rFonts w:cs="仿宋_GB2312" w:asciiTheme="minorEastAsia" w:hAnsiTheme="minorEastAsia"/>
          <w:b/>
          <w:u w:val="single"/>
        </w:rPr>
        <w:t xml:space="preserve">0）天</w:t>
      </w:r>
      <w:r>
        <w:rPr>
          <w:rFonts w:hint="eastAsia" w:cs="宋体" w:asciiTheme="minorEastAsia" w:hAnsiTheme="minorEastAsia"/>
        </w:rPr>
        <w:t xml:space="preserve">。投标有效期比规定短的将被视为未实质性响应招标文件而予以拒绝。</w:t>
      </w:r>
      <w:r/>
    </w:p>
    <w:p>
      <w:pPr>
        <w:pStyle w:val="850"/>
        <w:contextualSpacing/>
        <w:ind w:left="-206" w:firstLine="560"/>
        <w:jc w:val="both"/>
        <w:keepLines/>
        <w:keepNext/>
        <w:spacing w:beforeAutospacing="0" w:afterAutospacing="0" w:line="500" w:lineRule="exact"/>
        <w:rPr>
          <w:rFonts w:hint="eastAsia" w:asciiTheme="minorEastAsia" w:hAnsiTheme="minorEastAsia"/>
        </w:rPr>
      </w:pPr>
      <w:r>
        <w:rPr>
          <w:rFonts w:cs="Arial" w:asciiTheme="minorEastAsia" w:hAnsiTheme="minorEastAsia"/>
          <w:sz w:val="28"/>
          <w:szCs w:val="28"/>
        </w:rPr>
        <w:t xml:space="preserve">17、投标有效期的延长</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17.1在特殊情况下，招标人于原投标有效期满之前，可向投标人提出延长投标有效期的要求。这种要求与答复均应采用书面形式。投标人可以拒绝招标人的这一要求而放弃投标，同意延长投标有效期的投标人既不能要求也不允许修改其投标文件。受投标有效期约束的所有权利与义务均延长至新的有效期。</w:t>
      </w:r>
      <w:r/>
    </w:p>
    <w:p>
      <w:pPr>
        <w:pStyle w:val="850"/>
        <w:contextualSpacing/>
        <w:ind w:left="-206" w:firstLine="643"/>
        <w:jc w:val="both"/>
        <w:keepLines/>
        <w:keepNext/>
        <w:spacing w:beforeAutospacing="0" w:afterAutospacing="0" w:line="500" w:lineRule="exact"/>
        <w:rPr>
          <w:rFonts w:hint="eastAsia" w:asciiTheme="minorEastAsia" w:hAnsiTheme="minorEastAsia"/>
        </w:rPr>
      </w:pPr>
      <w:r/>
      <w:bookmarkStart w:id="94" w:name="_Toc120614217"/>
      <w:r/>
      <w:bookmarkStart w:id="95" w:name="_Toc513029224"/>
      <w:r/>
      <w:bookmarkStart w:id="96" w:name="_Toc20823296"/>
      <w:r/>
      <w:bookmarkStart w:id="97" w:name="_Toc16938540"/>
      <w:r/>
      <w:bookmarkStart w:id="98" w:name="_Hlt26954852"/>
      <w:r/>
      <w:bookmarkStart w:id="99" w:name="_Hlt26954739"/>
      <w:r>
        <w:rPr>
          <w:rFonts w:asciiTheme="minorEastAsia" w:hAnsiTheme="minorEastAsia"/>
          <w:b/>
          <w:sz w:val="32"/>
          <w:szCs w:val="32"/>
        </w:rPr>
        <w:t xml:space="preserve">四、投标文件的递交</w:t>
      </w:r>
      <w:bookmarkEnd w:id="94"/>
      <w:r/>
      <w:bookmarkEnd w:id="95"/>
      <w:r/>
      <w:bookmarkEnd w:id="96"/>
      <w:r/>
      <w:bookmarkEnd w:id="97"/>
      <w:r/>
      <w:r/>
    </w:p>
    <w:p>
      <w:pPr>
        <w:pStyle w:val="850"/>
        <w:contextualSpacing/>
        <w:ind w:left="-206" w:firstLine="560"/>
        <w:jc w:val="both"/>
        <w:keepLines/>
        <w:keepNext/>
        <w:spacing w:beforeAutospacing="0" w:afterAutospacing="0" w:line="500" w:lineRule="exact"/>
        <w:rPr>
          <w:rFonts w:hint="eastAsia" w:asciiTheme="minorEastAsia" w:hAnsiTheme="minorEastAsia"/>
        </w:rPr>
      </w:pPr>
      <w:r/>
      <w:bookmarkStart w:id="100" w:name="_Toc16938541"/>
      <w:r/>
      <w:bookmarkStart w:id="101" w:name="_Toc20823297"/>
      <w:r/>
      <w:bookmarkStart w:id="102" w:name="_Toc513029225"/>
      <w:r/>
      <w:bookmarkStart w:id="103" w:name="_Toc462564084"/>
      <w:r>
        <w:rPr>
          <w:rFonts w:cs="Arial" w:asciiTheme="minorEastAsia" w:hAnsiTheme="minorEastAsia"/>
          <w:sz w:val="28"/>
          <w:szCs w:val="28"/>
        </w:rPr>
        <w:t xml:space="preserve">18、电子</w:t>
      </w:r>
      <w:r>
        <w:rPr>
          <w:rFonts w:hint="eastAsia" w:cs="黑体" w:asciiTheme="minorEastAsia" w:hAnsiTheme="minorEastAsia"/>
          <w:sz w:val="28"/>
          <w:szCs w:val="28"/>
        </w:rPr>
        <w:t xml:space="preserve">投标文件</w:t>
      </w:r>
      <w:bookmarkEnd w:id="100"/>
      <w:r/>
      <w:bookmarkEnd w:id="101"/>
      <w:r/>
      <w:bookmarkEnd w:id="102"/>
      <w:r/>
      <w:bookmarkEnd w:id="103"/>
      <w:r>
        <w:rPr>
          <w:rFonts w:hint="eastAsia" w:cs="黑体" w:asciiTheme="minorEastAsia" w:hAnsiTheme="minorEastAsia"/>
          <w:sz w:val="28"/>
          <w:szCs w:val="28"/>
        </w:rPr>
        <w:t xml:space="preserve">的递交</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18.1投标人应当按照《操作手册》规定，在投标截止时间前制作并上传电子投标文件。</w:t>
      </w:r>
      <w:bookmarkStart w:id="104" w:name="_Toc16938542"/>
      <w:r/>
      <w:bookmarkEnd w:id="104"/>
      <w:r/>
      <w:bookmarkStart w:id="105" w:name="_Toc20823298"/>
      <w:r/>
      <w:bookmarkEnd w:id="105"/>
      <w:r/>
      <w:bookmarkStart w:id="106" w:name="_Toc513029226"/>
      <w:r/>
      <w:r/>
    </w:p>
    <w:p>
      <w:pPr>
        <w:pStyle w:val="850"/>
        <w:contextualSpacing/>
        <w:ind w:left="-206" w:firstLine="560"/>
        <w:jc w:val="both"/>
        <w:keepLines/>
        <w:keepNext/>
        <w:spacing w:beforeAutospacing="0" w:afterAutospacing="0" w:line="500" w:lineRule="exact"/>
        <w:rPr>
          <w:rFonts w:hint="eastAsia" w:asciiTheme="minorEastAsia" w:hAnsiTheme="minorEastAsia"/>
        </w:rPr>
      </w:pPr>
      <w:r>
        <w:rPr>
          <w:rFonts w:cs="Arial" w:asciiTheme="minorEastAsia" w:hAnsiTheme="minorEastAsia"/>
          <w:sz w:val="28"/>
          <w:szCs w:val="28"/>
        </w:rPr>
        <w:t xml:space="preserve">19、投标截止日期</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i/>
          <w:u w:val="single"/>
        </w:rPr>
        <w:t xml:space="preserve">19.1 投标人上传电子投标文件的时间不得迟于招标公告中规定的投标截止时间。</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投标人应充分考虑到网络环境、网络带宽等风险因素，如因投标人自身原因造成的电子投标文件上传不成功的按照本招标文件第二章第27.1.2条规定做无效投标处理。</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19.2 招标人可以按照规定，通过修改招标文件酌情延长投标截止日期，在此情况下，投标人的所有权利和义务以及投标人受制的截止日期均应以延长后新的截止日期为准。</w:t>
      </w:r>
      <w:r/>
    </w:p>
    <w:p>
      <w:pPr>
        <w:pStyle w:val="850"/>
        <w:contextualSpacing/>
        <w:ind w:left="-206" w:firstLine="560"/>
        <w:jc w:val="both"/>
        <w:keepLines/>
        <w:keepNext/>
        <w:spacing w:beforeAutospacing="0" w:afterAutospacing="0" w:line="500" w:lineRule="exact"/>
        <w:rPr>
          <w:rFonts w:hint="eastAsia" w:asciiTheme="minorEastAsia" w:hAnsiTheme="minorEastAsia"/>
        </w:rPr>
      </w:pPr>
      <w:r/>
      <w:bookmarkStart w:id="107" w:name="_Toc513029227"/>
      <w:r/>
      <w:bookmarkStart w:id="108" w:name="_Toc16938543"/>
      <w:r/>
      <w:bookmarkStart w:id="109" w:name="_Toc20823299"/>
      <w:r>
        <w:rPr>
          <w:rFonts w:cs="Arial" w:asciiTheme="minorEastAsia" w:hAnsiTheme="minorEastAsia"/>
          <w:sz w:val="28"/>
          <w:szCs w:val="28"/>
        </w:rPr>
        <w:t xml:space="preserve">20、投标文件</w:t>
      </w:r>
      <w:bookmarkEnd w:id="107"/>
      <w:r/>
      <w:bookmarkEnd w:id="108"/>
      <w:r/>
      <w:bookmarkEnd w:id="109"/>
      <w:r>
        <w:rPr>
          <w:rFonts w:cs="Arial" w:asciiTheme="minorEastAsia" w:hAnsiTheme="minorEastAsia"/>
          <w:sz w:val="28"/>
          <w:szCs w:val="28"/>
        </w:rPr>
        <w:t xml:space="preserve">的拒收</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20.1 招标人拒绝接收在其规定的投标截止时间后上传的任何投标文件。</w:t>
      </w:r>
      <w:r/>
    </w:p>
    <w:p>
      <w:pPr>
        <w:pStyle w:val="850"/>
        <w:contextualSpacing/>
        <w:ind w:left="-206" w:firstLine="560"/>
        <w:jc w:val="both"/>
        <w:keepLines/>
        <w:keepNext/>
        <w:spacing w:beforeAutospacing="0" w:afterAutospacing="0" w:line="500" w:lineRule="exact"/>
        <w:rPr>
          <w:rFonts w:hint="eastAsia" w:asciiTheme="minorEastAsia" w:hAnsiTheme="minorEastAsia"/>
        </w:rPr>
      </w:pPr>
      <w:r/>
      <w:bookmarkStart w:id="110" w:name="_Toc16938544"/>
      <w:r/>
      <w:bookmarkStart w:id="111" w:name="_Toc513029228"/>
      <w:r/>
      <w:bookmarkStart w:id="112" w:name="_Toc20823300"/>
      <w:r>
        <w:rPr>
          <w:rFonts w:cs="Arial" w:asciiTheme="minorEastAsia" w:hAnsiTheme="minorEastAsia"/>
          <w:sz w:val="28"/>
          <w:szCs w:val="28"/>
        </w:rPr>
        <w:t xml:space="preserve">21、投标文件的撤回和修改</w:t>
      </w:r>
      <w:bookmarkEnd w:id="110"/>
      <w:r/>
      <w:bookmarkEnd w:id="111"/>
      <w:r/>
      <w:bookmarkEnd w:id="112"/>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21.1 投标文件的撤回</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21.1.1 电子投标文件的撤回</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投标人可在投标截止时间前，撤回其电子投标文件，具体操作方法见《操作手册》。</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21.1.2 投标人撤回电子投标文件，则认为其不再参与本项目投标活动。</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21.2 投标文件的修改</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21.2.1投标人可在投标截止时间前，对其电子投标文件进行修改，具体操作方法见《操作手册》。</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21.2.2 在投标截止时间之后，投标人不得对其电子投标文件作任何修改。</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21.3 在投标截止时间至招标文件中规定的投标有效期满之间的这段时间内，投标人不得撤回其投标。</w:t>
      </w:r>
      <w:r/>
    </w:p>
    <w:p>
      <w:pPr>
        <w:pStyle w:val="850"/>
        <w:contextualSpacing/>
        <w:ind w:left="-206" w:firstLine="643"/>
        <w:jc w:val="both"/>
        <w:keepLines/>
        <w:keepNext/>
        <w:spacing w:beforeAutospacing="0" w:afterAutospacing="0" w:line="500" w:lineRule="exact"/>
        <w:rPr>
          <w:rFonts w:hint="eastAsia" w:asciiTheme="minorEastAsia" w:hAnsiTheme="minorEastAsia"/>
        </w:rPr>
      </w:pPr>
      <w:r/>
      <w:bookmarkStart w:id="113" w:name="_Toc20823301"/>
      <w:r/>
      <w:bookmarkStart w:id="114" w:name="_Toc513029229"/>
      <w:r/>
      <w:bookmarkStart w:id="115" w:name="_Toc16938545"/>
      <w:r/>
      <w:bookmarkStart w:id="116" w:name="_Toc120614218"/>
      <w:r>
        <w:rPr>
          <w:rFonts w:asciiTheme="minorEastAsia" w:hAnsiTheme="minorEastAsia"/>
          <w:b/>
          <w:sz w:val="32"/>
          <w:szCs w:val="32"/>
        </w:rPr>
        <w:t xml:space="preserve">五、开标与评标</w:t>
      </w:r>
      <w:bookmarkEnd w:id="113"/>
      <w:r/>
      <w:bookmarkEnd w:id="114"/>
      <w:r/>
      <w:bookmarkEnd w:id="115"/>
      <w:r/>
      <w:bookmarkEnd w:id="116"/>
      <w:r/>
      <w:r/>
    </w:p>
    <w:p>
      <w:pPr>
        <w:pStyle w:val="850"/>
        <w:contextualSpacing/>
        <w:ind w:left="-206" w:firstLine="560"/>
        <w:jc w:val="both"/>
        <w:keepLines/>
        <w:keepNext/>
        <w:spacing w:beforeAutospacing="0" w:afterAutospacing="0" w:line="500" w:lineRule="exact"/>
        <w:rPr>
          <w:rFonts w:hint="eastAsia" w:asciiTheme="minorEastAsia" w:hAnsiTheme="minorEastAsia"/>
        </w:rPr>
      </w:pPr>
      <w:r/>
      <w:bookmarkStart w:id="117" w:name="_Toc16938546"/>
      <w:r/>
      <w:bookmarkStart w:id="118" w:name="_Toc20823302"/>
      <w:r/>
      <w:bookmarkStart w:id="119" w:name="_Toc513029230"/>
      <w:r>
        <w:rPr>
          <w:rFonts w:cs="Arial" w:asciiTheme="minorEastAsia" w:hAnsiTheme="minorEastAsia"/>
          <w:sz w:val="28"/>
          <w:szCs w:val="28"/>
        </w:rPr>
        <w:t xml:space="preserve">22、开标</w:t>
      </w:r>
      <w:bookmarkEnd w:id="117"/>
      <w:r/>
      <w:bookmarkEnd w:id="118"/>
      <w:r/>
      <w:bookmarkEnd w:id="119"/>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22.1 招标人将在招标公告中规定的时间和地点组织公开开标。投标人应当按照《操作手册》规定，参加开标活动和在苏采云系统规定的时间内对投标文件进行解密。</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22.2开标仪式由招标人或招标代理机构组织。苏采云系统将自动对项目进行开标，并宣布各投标人名称和投标价格。</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22.3投标人在开标过程中涉及到的投标文件解密、开标结果确认等工作，应按照《操作手册》规定执行。</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22.4投标人如果对开标过程和开标记录有疑义，应当根据《操作手册》规定提出，如苏采云系统中《开标记录表》宣布后5分钟内未提出的，视同认可开标结果。</w:t>
      </w:r>
      <w:r/>
    </w:p>
    <w:p>
      <w:pPr>
        <w:pStyle w:val="850"/>
        <w:contextualSpacing/>
        <w:ind w:left="-206" w:firstLine="560"/>
        <w:jc w:val="both"/>
        <w:keepLines/>
        <w:keepNext/>
        <w:spacing w:beforeAutospacing="0" w:afterAutospacing="0" w:line="500" w:lineRule="exact"/>
        <w:rPr>
          <w:rFonts w:hint="eastAsia" w:asciiTheme="minorEastAsia" w:hAnsiTheme="minorEastAsia"/>
        </w:rPr>
      </w:pPr>
      <w:r/>
      <w:bookmarkStart w:id="120" w:name="_Toc513029231"/>
      <w:r/>
      <w:bookmarkStart w:id="121" w:name="_Toc20823303"/>
      <w:r/>
      <w:bookmarkStart w:id="122" w:name="_Toc16938547"/>
      <w:r>
        <w:rPr>
          <w:rFonts w:cs="Arial" w:asciiTheme="minorEastAsia" w:hAnsiTheme="minorEastAsia"/>
          <w:sz w:val="28"/>
          <w:szCs w:val="28"/>
        </w:rPr>
        <w:t xml:space="preserve">23、评标委员会</w:t>
      </w:r>
      <w:bookmarkEnd w:id="120"/>
      <w:r/>
      <w:bookmarkEnd w:id="121"/>
      <w:r/>
      <w:bookmarkEnd w:id="122"/>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23.1开标后，招标人将立即组织评标委员会（以下简称评委会）进行评标。</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23.2 评委会由采购人代表和有关技术、经济等方面的专家组成，且人员构成符合政府采购有关规定。</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23.3评委会独立工作，负责评审所有投标文件并确定中标候选人。</w:t>
      </w:r>
      <w:r/>
    </w:p>
    <w:p>
      <w:pPr>
        <w:pStyle w:val="850"/>
        <w:contextualSpacing/>
        <w:ind w:left="-206" w:firstLine="560"/>
        <w:jc w:val="both"/>
        <w:keepLines/>
        <w:keepNext/>
        <w:spacing w:beforeAutospacing="0" w:afterAutospacing="0" w:line="500" w:lineRule="exact"/>
        <w:rPr>
          <w:rFonts w:hint="eastAsia" w:asciiTheme="minorEastAsia" w:hAnsiTheme="minorEastAsia"/>
        </w:rPr>
      </w:pPr>
      <w:r>
        <w:rPr>
          <w:rFonts w:hint="eastAsia" w:cs="黑体" w:asciiTheme="minorEastAsia" w:hAnsiTheme="minorEastAsia"/>
          <w:sz w:val="28"/>
          <w:szCs w:val="28"/>
        </w:rPr>
        <w:t xml:space="preserve">24．评标过程的保密与公正</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24.1凡是与审查、澄清、评价和比较投标的有关资料以及授标建议等，采购人、评委、招标代理机构均不得向投标人或与评标无关的其他人员透露。</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24.2在评标过程中，投标人不得以任何行为影响评标过程，否则其投标文件将被作为无效投标文件。</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24.3 招标人和评标委员会不向未中标的投标人解释未中标原因，也不公布评标过程中的相关细节。</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24.4 采用综合评分法的项目，未中标的投标人可于中标结果公告期限届满之日起通过苏采云系统查看自己的评审得分及排序情况。</w:t>
      </w:r>
      <w:r/>
    </w:p>
    <w:p>
      <w:pPr>
        <w:pStyle w:val="850"/>
        <w:contextualSpacing/>
        <w:ind w:left="-206" w:firstLine="560"/>
        <w:jc w:val="both"/>
        <w:keepLines/>
        <w:keepNext/>
        <w:spacing w:beforeAutospacing="0" w:afterAutospacing="0" w:line="500" w:lineRule="exact"/>
        <w:rPr>
          <w:rFonts w:hint="eastAsia" w:asciiTheme="minorEastAsia" w:hAnsiTheme="minorEastAsia"/>
        </w:rPr>
      </w:pPr>
      <w:r/>
      <w:bookmarkStart w:id="123" w:name="_Toc513029232"/>
      <w:r/>
      <w:bookmarkStart w:id="124" w:name="_Toc20823304"/>
      <w:r/>
      <w:bookmarkStart w:id="125" w:name="_Toc16938548"/>
      <w:r>
        <w:rPr>
          <w:rFonts w:cs="Arial" w:asciiTheme="minorEastAsia" w:hAnsiTheme="minorEastAsia"/>
          <w:sz w:val="28"/>
          <w:szCs w:val="28"/>
        </w:rPr>
        <w:t xml:space="preserve">25．投标文件的澄清</w:t>
      </w:r>
      <w:bookmarkEnd w:id="123"/>
      <w:r/>
      <w:bookmarkEnd w:id="124"/>
      <w:r/>
      <w:bookmarkEnd w:id="125"/>
      <w:r/>
      <w:r/>
    </w:p>
    <w:p>
      <w:pPr>
        <w:pStyle w:val="850"/>
        <w:contextualSpacing/>
        <w:ind w:left="-206" w:firstLine="480"/>
        <w:jc w:val="both"/>
        <w:spacing w:beforeAutospacing="0" w:afterAutospacing="0" w:line="500" w:lineRule="exact"/>
        <w:rPr>
          <w:rFonts w:hint="eastAsia" w:asciiTheme="minorEastAsia" w:hAnsiTheme="minorEastAsia"/>
        </w:rPr>
      </w:pPr>
      <w:r/>
      <w:bookmarkStart w:id="126" w:name="_Toc20823305"/>
      <w:r/>
      <w:bookmarkStart w:id="127" w:name="_Toc16938549"/>
      <w:r/>
      <w:bookmarkStart w:id="128" w:name="_Toc513029233"/>
      <w:r>
        <w:rPr>
          <w:rFonts w:hint="eastAsia" w:cs="宋体" w:asciiTheme="minorEastAsia" w:hAnsiTheme="minorEastAsia"/>
        </w:rPr>
        <w:t xml:space="preserve">25.1评标期间，评委会对投标文件中含义不明确、同类问题表述不一致或者有明显文字和计算错误的内容，有权要求投标人作出必要的澄清、说明或者补正。</w:t>
      </w:r>
      <w:bookmarkEnd w:id="126"/>
      <w:r/>
      <w:bookmarkEnd w:id="127"/>
      <w:r/>
      <w:bookmarkEnd w:id="128"/>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投标人的澄清、说明或者补正不得超出投标文件的范围或者改变投标文件的实质性内容。</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评标委员会并非对每个投标人都做澄清要求。</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25.3 接到评委会澄清、说明和补正要求的投标人如未按规定做出澄清、说明和补正，其风险由投标人自行承担。</w:t>
      </w:r>
      <w:r/>
    </w:p>
    <w:p>
      <w:pPr>
        <w:pStyle w:val="850"/>
        <w:contextualSpacing/>
        <w:ind w:left="-206" w:firstLine="560"/>
        <w:jc w:val="both"/>
        <w:keepLines/>
        <w:keepNext/>
        <w:spacing w:beforeAutospacing="0" w:afterAutospacing="0" w:line="500" w:lineRule="exact"/>
        <w:rPr>
          <w:rFonts w:hint="eastAsia" w:asciiTheme="minorEastAsia" w:hAnsiTheme="minorEastAsia"/>
        </w:rPr>
      </w:pPr>
      <w:r>
        <w:rPr>
          <w:rFonts w:cs="Arial" w:asciiTheme="minorEastAsia" w:hAnsiTheme="minorEastAsia"/>
          <w:sz w:val="28"/>
          <w:szCs w:val="28"/>
        </w:rPr>
        <w:t xml:space="preserve">26、对投标文件的初审</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26.1投标文件初审分为资格审查和符合性审查。</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26.1.1 资格审查：依据法律法规和招标文件的规定，由采购人对投标文件中的资格证明文件进行审查。资格审查的结论，采购人以书面形式向评委会进行反馈。</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采购人在进行资格性审查的同时，将在“信用中国”网站（www.creditchina.gov.cn）查询投标人的信用记录，以确定投标人是否具备投标资格,查询结果留存并归档。</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26.1.2 符合性审查：依据招标文件的规定，由评委会从投标文件的有效性、完整性和对招标文件的响应程度进行审查，以确定是否对招标文件的实质性要求作出响应。</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26.1.3 未通过资格审查或符合性审查的投标人，</w:t>
      </w:r>
      <w:bookmarkStart w:id="129" w:name="_Hlk181093569"/>
      <w:r>
        <w:rPr>
          <w:rFonts w:hint="eastAsia" w:cs="宋体" w:asciiTheme="minorEastAsia" w:hAnsiTheme="minorEastAsia"/>
        </w:rPr>
        <w:t xml:space="preserve">招标代理</w:t>
      </w:r>
      <w:bookmarkEnd w:id="129"/>
      <w:r>
        <w:rPr>
          <w:rFonts w:hint="eastAsia" w:cs="宋体" w:asciiTheme="minorEastAsia" w:hAnsiTheme="minorEastAsia"/>
        </w:rPr>
        <w:t xml:space="preserve">将在苏采云系统中告知未通过资格审查或符合性审查的原因，评审结束后，招标代理将不再告知未通过资格审查或符合性审查的原因。</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26.3如果投标文件实质上没有响应招标文件的要求，评委会将予以拒绝，投标人不得通过修改或撤销不合要求的偏离或保留而使其投标成为实质性响应的投标。</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26.4评委会将对确定为实质性响应的投标进行进一步审核，看其是否有计算上或累加上的算术错误，修正错误的原则如下：</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（1）投标文件中开标一览表内容与投标文件中相应内容不一致的，以开标一览表为准。</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（2）大写金额和小写金额不一致的，以大写金额为准。</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（3）单价金额小数点或者百分比有明显错位的，以开标一览表的总价为准，并修改单价。</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（4）总价金额与按单价汇总金额不一致的，以单价金额计算结果为准。</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同时出现两种以上错误的，按照前款规定的顺序修正。</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50"/>
        <w:contextualSpacing/>
        <w:ind w:left="-206" w:firstLine="480"/>
        <w:jc w:val="both"/>
        <w:spacing w:beforeAutospacing="0" w:afterAutospacing="0" w:line="500" w:lineRule="exact"/>
        <w:rPr>
          <w:rFonts w:hint="eastAsia" w:asciiTheme="minorEastAsia" w:hAnsiTheme="minorEastAsia"/>
        </w:rPr>
      </w:pPr>
      <w:r/>
      <w:bookmarkStart w:id="130" w:name="_Toc16938550"/>
      <w:r/>
      <w:bookmarkStart w:id="131" w:name="_Toc513029234"/>
      <w:r/>
      <w:bookmarkStart w:id="132" w:name="_Toc20823306"/>
      <w:r>
        <w:rPr>
          <w:rFonts w:hint="eastAsia" w:cs="宋体" w:asciiTheme="minorEastAsia" w:hAnsiTheme="minorEastAsia"/>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0"/>
      <w:r/>
      <w:bookmarkEnd w:id="131"/>
      <w:r/>
      <w:bookmarkEnd w:id="132"/>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非单一产品采购项目，招标文件中将载明其中的核心产品。多家投标人提供的核心产品品牌相同的，按前两款规定处理。</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26.7投标人在开、评标全过程中应保持通讯畅通，及时登录苏采云系统查阅、答复相关信息，并安排专人与招标代理机构及评标委员会联系。</w:t>
      </w:r>
      <w:r/>
    </w:p>
    <w:p>
      <w:pPr>
        <w:pStyle w:val="850"/>
        <w:contextualSpacing/>
        <w:ind w:left="-206" w:firstLine="560"/>
        <w:jc w:val="both"/>
        <w:keepLines/>
        <w:keepNext/>
        <w:spacing w:beforeAutospacing="0" w:afterAutospacing="0" w:line="500" w:lineRule="exact"/>
        <w:rPr>
          <w:rFonts w:hint="eastAsia" w:asciiTheme="minorEastAsia" w:hAnsiTheme="minorEastAsia"/>
        </w:rPr>
      </w:pPr>
      <w:r>
        <w:rPr>
          <w:rFonts w:cs="Arial" w:asciiTheme="minorEastAsia" w:hAnsiTheme="minorEastAsia"/>
          <w:sz w:val="28"/>
          <w:szCs w:val="28"/>
        </w:rPr>
        <w:t xml:space="preserve">27、无效投标条款和废标条款</w:t>
      </w:r>
      <w:r/>
    </w:p>
    <w:p>
      <w:pPr>
        <w:pStyle w:val="850"/>
        <w:contextualSpacing/>
        <w:ind w:left="-206" w:firstLine="480"/>
        <w:jc w:val="both"/>
        <w:spacing w:beforeAutospacing="0" w:afterAutospacing="0" w:line="500" w:lineRule="exact"/>
        <w:rPr>
          <w:rFonts w:hint="eastAsia" w:asciiTheme="minorEastAsia" w:hAnsiTheme="minorEastAsia"/>
        </w:rPr>
      </w:pPr>
      <w:r/>
      <w:bookmarkStart w:id="133" w:name="_Toc16938551"/>
      <w:r/>
      <w:bookmarkStart w:id="134" w:name="_Toc513029235"/>
      <w:r/>
      <w:bookmarkStart w:id="135" w:name="_Toc20823307"/>
      <w:r>
        <w:rPr>
          <w:rFonts w:hint="eastAsia" w:cs="宋体" w:asciiTheme="minorEastAsia" w:hAnsiTheme="minorEastAsia"/>
        </w:rPr>
        <w:t xml:space="preserve">27.1无效投标条款</w:t>
      </w:r>
      <w:bookmarkEnd w:id="133"/>
      <w:r/>
      <w:bookmarkEnd w:id="134"/>
      <w:r/>
      <w:bookmarkEnd w:id="135"/>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27.1.1 投标人在苏采云系统规定的时间内未成功解密电子投标文件的。</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27.1.2 投标人未按照招标文件要求上传电子投标文件的。</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27.1.3同一投标人提交两个（含两个）以上不同的投标报价的。</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27.1.4投标人不具备招标文件中规定资格要求的。</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27.1.5投标人的报价超过了采购预算或最高限价的。</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27.1.6未通过符合性审查的。</w:t>
      </w:r>
      <w:r/>
    </w:p>
    <w:p>
      <w:pPr>
        <w:pStyle w:val="850"/>
        <w:contextualSpacing/>
        <w:ind w:left="-206" w:firstLine="480"/>
        <w:jc w:val="both"/>
        <w:spacing w:beforeAutospacing="0" w:afterAutospacing="0" w:line="500" w:lineRule="exact"/>
        <w:rPr>
          <w:rFonts w:hint="eastAsia" w:asciiTheme="minorEastAsia" w:hAnsiTheme="minorEastAsia"/>
          <w:i/>
          <w:iCs/>
          <w:u w:val="single"/>
        </w:rPr>
      </w:pPr>
      <w:r>
        <w:rPr>
          <w:rFonts w:hint="eastAsia" w:cs="宋体" w:asciiTheme="minorEastAsia" w:hAnsiTheme="minorEastAsia"/>
        </w:rPr>
        <w:t xml:space="preserve">27.1.7不符合招标文件中规定的实质性要求和条件的</w:t>
      </w:r>
      <w:r>
        <w:rPr>
          <w:rFonts w:hint="eastAsia" w:cs="宋体" w:asciiTheme="minorEastAsia" w:hAnsiTheme="minorEastAsia"/>
          <w:i/>
          <w:iCs/>
          <w:u w:val="single"/>
        </w:rPr>
        <w:t xml:space="preserve">（本招标文件中斜体且有下划线部分为实质性要求和条件）。</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27.1.9 投标文件含有采购人不能接受的附加条件的。</w:t>
      </w:r>
      <w:r/>
    </w:p>
    <w:p>
      <w:pPr>
        <w:pStyle w:val="850"/>
        <w:contextualSpacing/>
        <w:ind w:left="-206" w:firstLine="480"/>
        <w:spacing w:line="500" w:lineRule="exact"/>
        <w:rPr>
          <w:rFonts w:hint="eastAsia" w:cs="宋体" w:asciiTheme="minorEastAsia" w:hAnsiTheme="minorEastAsia"/>
        </w:rPr>
      </w:pPr>
      <w:r>
        <w:rPr>
          <w:rFonts w:hint="eastAsia" w:cs="宋体" w:asciiTheme="minorEastAsia" w:hAnsiTheme="minorEastAsia"/>
        </w:rPr>
        <w:t xml:space="preserve">27.1.10投标人不能证明其报价合理性的，评标委员会应当将其作为无效投标处理。</w:t>
      </w:r>
      <w:r/>
    </w:p>
    <w:p>
      <w:pPr>
        <w:pStyle w:val="850"/>
        <w:contextualSpacing/>
        <w:ind w:left="-206" w:firstLine="480"/>
        <w:spacing w:line="500" w:lineRule="exact"/>
        <w:rPr>
          <w:rFonts w:hint="eastAsia" w:cs="宋体" w:asciiTheme="minorEastAsia" w:hAnsiTheme="minorEastAsia"/>
        </w:rPr>
      </w:pPr>
      <w:r>
        <w:rPr>
          <w:rFonts w:hint="eastAsia" w:cs="宋体" w:asciiTheme="minorEastAsia" w:hAnsiTheme="minorEastAsia"/>
        </w:rPr>
        <w:t xml:space="preserve">（一）评审过程中出现下列情形之一的，评标委员会应当启动异常低价投标审查程序：</w:t>
      </w:r>
      <w:r/>
    </w:p>
    <w:p>
      <w:pPr>
        <w:pStyle w:val="850"/>
        <w:contextualSpacing/>
        <w:ind w:left="-206" w:firstLine="480"/>
        <w:spacing w:line="500" w:lineRule="exact"/>
        <w:rPr>
          <w:rFonts w:hint="eastAsia" w:cs="宋体" w:asciiTheme="minorEastAsia" w:hAnsiTheme="minorEastAsia"/>
        </w:rPr>
      </w:pPr>
      <w:r>
        <w:rPr>
          <w:rFonts w:hint="eastAsia" w:cs="宋体" w:asciiTheme="minorEastAsia" w:hAnsiTheme="minorEastAsia"/>
        </w:rPr>
        <w:t xml:space="preserve">1.投标（响应）报价低于全部通过符合性审查供应商投标（响应）报价平均值50%的，即投标（响应）报价&lt;全部通过符合性审查供应商投标（响应）报价平均值×50%；</w:t>
      </w:r>
      <w:r/>
    </w:p>
    <w:p>
      <w:pPr>
        <w:pStyle w:val="850"/>
        <w:contextualSpacing/>
        <w:ind w:left="-206" w:firstLine="480"/>
        <w:spacing w:line="500" w:lineRule="exact"/>
        <w:rPr>
          <w:rFonts w:hint="eastAsia" w:cs="宋体" w:asciiTheme="minorEastAsia" w:hAnsiTheme="minorEastAsia"/>
        </w:rPr>
      </w:pPr>
      <w:r>
        <w:rPr>
          <w:rFonts w:hint="eastAsia" w:cs="宋体" w:asciiTheme="minorEastAsia" w:hAnsiTheme="minorEastAsia"/>
        </w:rPr>
        <w:t xml:space="preserve">2.投标（响应）报价低于通过符合性审查的次低报价供应商投标（响应）报价50%的，即投标（响应）报价&lt;通过符合性审查的次低报价供应商投标（响应）报价×50%；</w:t>
      </w:r>
      <w:r/>
    </w:p>
    <w:p>
      <w:pPr>
        <w:pStyle w:val="850"/>
        <w:contextualSpacing/>
        <w:ind w:left="-206" w:firstLine="480"/>
        <w:spacing w:line="500" w:lineRule="exact"/>
        <w:rPr>
          <w:rFonts w:hint="eastAsia" w:cs="宋体" w:asciiTheme="minorEastAsia" w:hAnsiTheme="minorEastAsia"/>
        </w:rPr>
      </w:pPr>
      <w:r>
        <w:rPr>
          <w:rFonts w:hint="eastAsia" w:cs="宋体" w:asciiTheme="minorEastAsia" w:hAnsiTheme="minorEastAsia"/>
        </w:rPr>
        <w:t xml:space="preserve">3.投标（响应）报价低于采购项目最高限价45%的，即投标（响应）报价&lt;采购项目最高限价×45%；</w:t>
      </w:r>
      <w:r/>
    </w:p>
    <w:p>
      <w:pPr>
        <w:pStyle w:val="850"/>
        <w:contextualSpacing/>
        <w:ind w:left="-206" w:firstLine="480"/>
        <w:spacing w:line="500" w:lineRule="exact"/>
        <w:rPr>
          <w:rFonts w:hint="eastAsia" w:cs="宋体" w:asciiTheme="minorEastAsia" w:hAnsiTheme="minorEastAsia"/>
        </w:rPr>
      </w:pPr>
      <w:r>
        <w:rPr>
          <w:rFonts w:hint="eastAsia" w:cs="宋体" w:asciiTheme="minorEastAsia" w:hAnsiTheme="minorEastAsia"/>
        </w:rPr>
        <w:t xml:space="preserve">4.评审委员会基于专业判断，认为供应商报价过低，有可能影响产品质量或者不能诚信履约的其他情形。</w:t>
      </w:r>
      <w:r/>
    </w:p>
    <w:p>
      <w:pPr>
        <w:pStyle w:val="850"/>
        <w:contextualSpacing/>
        <w:ind w:left="-206" w:firstLine="480"/>
        <w:spacing w:line="500" w:lineRule="exact"/>
        <w:rPr>
          <w:rFonts w:hint="eastAsia" w:cs="宋体" w:asciiTheme="minorEastAsia" w:hAnsiTheme="minorEastAsia"/>
        </w:rPr>
      </w:pPr>
      <w:r>
        <w:rPr>
          <w:rFonts w:hint="eastAsia" w:cs="宋体" w:asciiTheme="minorEastAsia" w:hAnsiTheme="minorEastAsia"/>
        </w:rPr>
        <w:t xml:space="preserve">相关法律法规对供应商报价有规定的，从其规定。</w:t>
      </w:r>
      <w:r/>
    </w:p>
    <w:p>
      <w:pPr>
        <w:pStyle w:val="850"/>
        <w:contextualSpacing/>
        <w:ind w:left="-206" w:firstLine="480"/>
        <w:spacing w:line="500" w:lineRule="exact"/>
        <w:rPr>
          <w:rFonts w:hint="eastAsia" w:cs="宋体" w:asciiTheme="minorEastAsia" w:hAnsiTheme="minorEastAsia"/>
        </w:rPr>
      </w:pPr>
      <w:r>
        <w:rPr>
          <w:rFonts w:hint="eastAsia" w:cs="宋体" w:asciiTheme="minorEastAsia" w:hAnsiTheme="minorEastAsi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50"/>
        <w:contextualSpacing/>
        <w:ind w:left="-206" w:firstLine="480"/>
        <w:spacing w:line="500" w:lineRule="exact"/>
        <w:rPr>
          <w:rFonts w:hint="eastAsia" w:cs="宋体" w:asciiTheme="minorEastAsia" w:hAnsiTheme="minorEastAsia"/>
        </w:rPr>
      </w:pPr>
      <w:r>
        <w:rPr>
          <w:rFonts w:hint="eastAsia" w:cs="宋体" w:asciiTheme="minorEastAsia" w:hAnsiTheme="minorEastAsi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50"/>
        <w:contextualSpacing/>
        <w:ind w:left="-206" w:firstLine="480"/>
        <w:spacing w:line="500" w:lineRule="exact"/>
        <w:rPr>
          <w:rFonts w:hint="eastAsia" w:cs="宋体" w:asciiTheme="minorEastAsia" w:hAnsiTheme="minorEastAsia"/>
        </w:rPr>
      </w:pPr>
      <w:r>
        <w:rPr>
          <w:rFonts w:hint="eastAsia" w:cs="宋体" w:asciiTheme="minorEastAsia" w:hAnsiTheme="minorEastAsi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50"/>
        <w:contextualSpacing/>
        <w:ind w:left="-206"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27.1.12 投标文件未按照招标文件要求加盖CA电子公章的。</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27.1.13其他法律、法规及本招标文件规定的属无效投标的情形。</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27.2废标条款</w:t>
      </w:r>
      <w:r/>
    </w:p>
    <w:p>
      <w:pPr>
        <w:pStyle w:val="850"/>
        <w:contextualSpacing/>
        <w:ind w:left="-206"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27.2.1符合专业条件的供应商或者对招标文件作实质响应的供应商不足三家的。</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27.2.2出现影响采购公正的违法、违规行为的。</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27.2.3因重大变故，采购任务取消的。</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27.2.4评标委员会认定招标文件存在歧义、重大缺陷导致评审工作无法进行。</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27.2.5 因苏采云系统系统故障原因造成开标不成功的。</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27.3 投标截止时间结束后参加投标的供应商不足三家的处理：</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27.3.1如出现投标截止时间结束后参加投标的供应商或者在评标期间对招标文件做出实质响应的供应商不足三家情况，按政府采购相关规定执行。</w:t>
      </w:r>
      <w:r/>
    </w:p>
    <w:p>
      <w:pPr>
        <w:pStyle w:val="850"/>
        <w:contextualSpacing/>
        <w:ind w:left="-206" w:firstLine="643"/>
        <w:jc w:val="both"/>
        <w:keepLines/>
        <w:keepNext/>
        <w:spacing w:beforeAutospacing="0" w:afterAutospacing="0" w:line="500" w:lineRule="exact"/>
        <w:rPr>
          <w:rFonts w:hint="eastAsia" w:asciiTheme="minorEastAsia" w:hAnsiTheme="minorEastAsia"/>
        </w:rPr>
      </w:pPr>
      <w:r/>
      <w:bookmarkStart w:id="136" w:name="_Toc120614219"/>
      <w:r>
        <w:rPr>
          <w:rFonts w:asciiTheme="minorEastAsia" w:hAnsiTheme="minorEastAsia"/>
          <w:b/>
          <w:sz w:val="32"/>
          <w:szCs w:val="32"/>
        </w:rPr>
        <w:t xml:space="preserve">六、定标</w:t>
      </w:r>
      <w:bookmarkEnd w:id="136"/>
      <w:r/>
      <w:r/>
    </w:p>
    <w:p>
      <w:pPr>
        <w:pStyle w:val="850"/>
        <w:contextualSpacing/>
        <w:ind w:left="-206" w:firstLine="600"/>
        <w:jc w:val="both"/>
        <w:keepLines/>
        <w:keepNext/>
        <w:spacing w:beforeAutospacing="0" w:afterAutospacing="0" w:line="500" w:lineRule="exact"/>
        <w:rPr>
          <w:rFonts w:hint="eastAsia" w:asciiTheme="minorEastAsia" w:hAnsiTheme="minorEastAsia"/>
        </w:rPr>
      </w:pPr>
      <w:r/>
      <w:bookmarkStart w:id="137" w:name="_Toc20823310"/>
      <w:r/>
      <w:bookmarkStart w:id="138" w:name="_Toc16938554"/>
      <w:r/>
      <w:bookmarkStart w:id="139" w:name="_Toc513029238"/>
      <w:r>
        <w:rPr>
          <w:rFonts w:hint="eastAsia" w:cs="黑体" w:asciiTheme="minorEastAsia" w:hAnsiTheme="minorEastAsia"/>
          <w:sz w:val="30"/>
          <w:szCs w:val="30"/>
        </w:rPr>
        <w:t xml:space="preserve">28、</w:t>
      </w:r>
      <w:bookmarkEnd w:id="137"/>
      <w:r>
        <w:rPr>
          <w:rFonts w:hint="eastAsia" w:cs="黑体" w:asciiTheme="minorEastAsia" w:hAnsiTheme="minorEastAsia"/>
          <w:sz w:val="30"/>
          <w:szCs w:val="30"/>
        </w:rPr>
        <w:t xml:space="preserve">确定</w:t>
      </w:r>
      <w:bookmarkEnd w:id="138"/>
      <w:r/>
      <w:bookmarkEnd w:id="139"/>
      <w:r>
        <w:rPr>
          <w:rFonts w:hint="eastAsia" w:cs="黑体" w:asciiTheme="minorEastAsia" w:hAnsiTheme="minorEastAsia"/>
          <w:sz w:val="30"/>
          <w:szCs w:val="30"/>
        </w:rPr>
        <w:t xml:space="preserve">中标单位</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28.1中标候选人的选取原则和数量见招标文件第五章规定。 </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28.2 采购人应根据评委会推荐的中标候选人确定中标人。</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28.3 招标代理机构将在中国政府采购网”、“江苏政府采购网”、“盐城市政府采购网</w:t>
      </w:r>
      <w:r>
        <w:rPr>
          <w:rFonts w:hint="eastAsia" w:cs="仿宋" w:asciiTheme="minorEastAsia" w:hAnsiTheme="minorEastAsia"/>
          <w:sz w:val="28"/>
          <w:szCs w:val="28"/>
          <w:shd w:val="clear" w:color="auto" w:fill="ffffff"/>
        </w:rPr>
        <w:t xml:space="preserve">”</w:t>
      </w:r>
      <w:r>
        <w:rPr>
          <w:rFonts w:hint="eastAsia" w:cs="宋体" w:asciiTheme="minorEastAsia" w:hAnsiTheme="minorEastAsia"/>
        </w:rPr>
        <w:t xml:space="preserve">发布中标公告，公告期限为1个工作日。</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28.4若有充分证据证明，中标人出现下列情况之一的，一经查实，将被取消中标资格：</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28.4.1提供虚假材料谋取中标的。</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28.4.2向采购人、招标代理机构行贿或者提供其他不正当利益的。</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28.4.3属于本文件规定的无效条件，但在评标过程中又未被评委会发现的。</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28.4.4与采购人或者其他供应商恶意串通的。</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28.4.5采取不正当手段诋毁、排挤其他供应商的。</w:t>
      </w:r>
      <w:r/>
    </w:p>
    <w:p>
      <w:pPr>
        <w:pStyle w:val="850"/>
        <w:contextualSpacing/>
        <w:ind w:left="-206" w:firstLine="480"/>
        <w:jc w:val="both"/>
        <w:spacing w:beforeAutospacing="0" w:afterAutospacing="0" w:line="500" w:lineRule="exact"/>
        <w:rPr>
          <w:rFonts w:hint="eastAsia" w:asciiTheme="minorEastAsia" w:hAnsiTheme="minorEastAsia"/>
        </w:rPr>
      </w:pPr>
      <w:r/>
      <w:bookmarkStart w:id="140" w:name="_Toc200451960"/>
      <w:r>
        <w:rPr>
          <w:rFonts w:hint="eastAsia" w:cs="宋体" w:asciiTheme="minorEastAsia" w:hAnsiTheme="minorEastAsia"/>
        </w:rPr>
        <w:t xml:space="preserve">28.5.</w:t>
      </w:r>
      <w:r>
        <w:rPr>
          <w:rFonts w:asciiTheme="minorEastAsia" w:hAnsiTheme="minorEastAsia"/>
        </w:rPr>
        <w:t xml:space="preserve">有下列情形之一的，视为投标人串通投标，投标无效：</w:t>
      </w:r>
      <w:bookmarkEnd w:id="140"/>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28.5.1不同投标人的投标文件由同一单位或者个人编制；</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28.5.2不同投标人委托同一单位或者个人办理投标事宜；</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28.5.3 不同投标人的投标文件载明的项目管理成员或者联系人员为同一人；</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28.5.4不同投标人的投标文件异常一致或者投标报价呈规律性差异；</w:t>
      </w:r>
      <w:r/>
    </w:p>
    <w:p>
      <w:pPr>
        <w:pStyle w:val="850"/>
        <w:contextualSpacing/>
        <w:ind w:left="-206" w:firstLine="600"/>
        <w:jc w:val="both"/>
        <w:keepLines/>
        <w:keepNext/>
        <w:spacing w:beforeAutospacing="0" w:afterAutospacing="0" w:line="500" w:lineRule="exact"/>
        <w:rPr>
          <w:rFonts w:hint="eastAsia" w:asciiTheme="minorEastAsia" w:hAnsiTheme="minorEastAsia"/>
        </w:rPr>
      </w:pPr>
      <w:r>
        <w:rPr>
          <w:rFonts w:hint="eastAsia" w:cs="黑体" w:asciiTheme="minorEastAsia" w:hAnsiTheme="minorEastAsia"/>
          <w:sz w:val="30"/>
          <w:szCs w:val="30"/>
        </w:rPr>
        <w:t xml:space="preserve">29、质疑处理</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29.1 提出质疑的供应商应当是参与所质疑项目采购活动的供应商。潜在供应商依法获取其可质疑的采购文件的，可以对采购文件提出质疑。</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29.2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29.2.1</w:t>
      </w:r>
      <w:r>
        <w:rPr>
          <w:rFonts w:asciiTheme="minorEastAsia" w:hAnsiTheme="minorEastAsia"/>
        </w:rPr>
        <w:t xml:space="preserve">对可以质疑的采购文件提出质疑的，为收到采购文件之日或者采购文件公告期限届满之日；</w:t>
      </w:r>
      <w:r>
        <w:rPr>
          <w:rFonts w:asciiTheme="minorEastAsia" w:hAnsiTheme="minorEastAsia"/>
        </w:rPr>
        <w:br/>
      </w:r>
      <w:r>
        <w:rPr>
          <w:rFonts w:asciiTheme="minorEastAsia" w:hAnsiTheme="minorEastAsia"/>
        </w:rPr>
        <w:t xml:space="preserve">   </w:t>
      </w:r>
      <w:r>
        <w:rPr>
          <w:rFonts w:hint="eastAsia" w:cs="宋体" w:asciiTheme="minorEastAsia" w:hAnsiTheme="minorEastAsia"/>
        </w:rPr>
        <w:t xml:space="preserve">29.2.2</w:t>
      </w:r>
      <w:r>
        <w:rPr>
          <w:rFonts w:asciiTheme="minorEastAsia" w:hAnsiTheme="minorEastAsia"/>
        </w:rPr>
        <w:t xml:space="preserve">对采购过程提出质疑的，为各采购程序环节结束之日；</w:t>
      </w:r>
      <w:r>
        <w:rPr>
          <w:rFonts w:asciiTheme="minorEastAsia" w:hAnsiTheme="minorEastAsia"/>
        </w:rPr>
        <w:br/>
      </w:r>
      <w:r>
        <w:rPr>
          <w:rFonts w:asciiTheme="minorEastAsia" w:hAnsiTheme="minorEastAsia"/>
        </w:rPr>
        <w:t xml:space="preserve">   </w:t>
      </w:r>
      <w:r>
        <w:rPr>
          <w:rFonts w:hint="eastAsia" w:cs="宋体" w:asciiTheme="minorEastAsia" w:hAnsiTheme="minorEastAsia"/>
        </w:rPr>
        <w:t xml:space="preserve">29.2.3</w:t>
      </w:r>
      <w:r>
        <w:rPr>
          <w:rFonts w:asciiTheme="minorEastAsia" w:hAnsiTheme="minorEastAsia"/>
        </w:rPr>
        <w:t xml:space="preserve">对中标或者成交结果提出质疑的，为中标或者成交结果公告期限届满之日。</w:t>
      </w:r>
      <w:r/>
    </w:p>
    <w:p>
      <w:pPr>
        <w:pStyle w:val="850"/>
        <w:contextualSpacing/>
        <w:ind w:left="-206" w:firstLine="480"/>
        <w:jc w:val="both"/>
        <w:spacing w:beforeAutospacing="0" w:afterAutospacing="0" w:line="500" w:lineRule="exact"/>
        <w:rPr>
          <w:rFonts w:hint="eastAsia" w:asciiTheme="minorEastAsia" w:hAnsiTheme="minorEastAsia"/>
        </w:rPr>
      </w:pPr>
      <w:r>
        <w:rPr>
          <w:rFonts w:asciiTheme="minorEastAsia" w:hAnsiTheme="minorEastAsia"/>
        </w:rPr>
        <w:t xml:space="preserve">供应商应当在法定质疑期内一次性提出针对同一采购程序环节的质疑。供应商如在法定期限内对同一采购程序环节提出多次质疑的，</w:t>
      </w:r>
      <w:r>
        <w:rPr>
          <w:rFonts w:hint="eastAsia" w:asciiTheme="minorEastAsia" w:hAnsiTheme="minorEastAsia"/>
        </w:rPr>
        <w:t xml:space="preserve">招标代理机构</w:t>
      </w:r>
      <w:r>
        <w:rPr>
          <w:rFonts w:asciiTheme="minorEastAsia" w:hAnsiTheme="minorEastAsia"/>
        </w:rPr>
        <w:t xml:space="preserve">、采购人将只对供应商第一次质疑作出答复。</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50"/>
        <w:contextualSpacing/>
        <w:ind w:left="-206"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招标代理机构提出，由招标代理机构负责答复。</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采购人及招标代理机构只接收以纸质原件形式送达的质疑,采购人和招标代理机构不接受未填写快递运单的快件。</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29.5 以下情形的质疑不予受理</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29.5.1 内容不符合《政府采购质疑和投诉办法》第十二条规定的质疑。</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29.5.2 超出政府采购法定期限的质疑。</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29.5.3 以传真、电子邮件等方式递交的非原件形式的质疑。</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29.5.4 未参加投标活动的供应商或在投标活动中自身权益未受到损害的供应商所提出的质疑。</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29.5.5供应商组成联合体参加投标，联合体中任何一方或多方未按要求签字、盖章、加盖公章的质疑。</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50"/>
        <w:contextualSpacing/>
        <w:ind w:left="-206" w:firstLine="600"/>
        <w:jc w:val="both"/>
        <w:keepLines/>
        <w:keepNext/>
        <w:spacing w:beforeAutospacing="0" w:afterAutospacing="0" w:line="500" w:lineRule="exact"/>
        <w:rPr>
          <w:rFonts w:hint="eastAsia" w:asciiTheme="minorEastAsia" w:hAnsiTheme="minorEastAsia"/>
        </w:rPr>
      </w:pPr>
      <w:r>
        <w:rPr>
          <w:rFonts w:hint="eastAsia" w:cs="黑体" w:asciiTheme="minorEastAsia" w:hAnsiTheme="minorEastAsia"/>
          <w:sz w:val="30"/>
          <w:szCs w:val="30"/>
        </w:rPr>
        <w:t xml:space="preserve">30、中标通知书</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50"/>
        <w:contextualSpacing/>
        <w:ind w:left="-206" w:firstLine="643"/>
        <w:jc w:val="both"/>
        <w:keepLines/>
        <w:keepNext/>
        <w:spacing w:beforeAutospacing="0" w:afterAutospacing="0" w:line="500" w:lineRule="exact"/>
        <w:rPr>
          <w:rFonts w:hint="eastAsia" w:asciiTheme="minorEastAsia" w:hAnsiTheme="minorEastAsia"/>
        </w:rPr>
      </w:pPr>
      <w:r/>
      <w:bookmarkStart w:id="141" w:name="_Toc513029236"/>
      <w:r/>
      <w:bookmarkStart w:id="142" w:name="_Toc16938552"/>
      <w:r/>
      <w:bookmarkStart w:id="143" w:name="_Toc20823308"/>
      <w:r/>
      <w:bookmarkStart w:id="144" w:name="_Toc120614220"/>
      <w:r>
        <w:rPr>
          <w:rFonts w:asciiTheme="minorEastAsia" w:hAnsiTheme="minorEastAsia"/>
          <w:b/>
          <w:sz w:val="32"/>
          <w:szCs w:val="32"/>
        </w:rPr>
        <w:t xml:space="preserve">七、授予合同</w:t>
      </w:r>
      <w:bookmarkEnd w:id="141"/>
      <w:r/>
      <w:bookmarkEnd w:id="142"/>
      <w:r/>
      <w:bookmarkEnd w:id="143"/>
      <w:r/>
      <w:bookmarkEnd w:id="144"/>
      <w:r/>
      <w:r/>
    </w:p>
    <w:p>
      <w:pPr>
        <w:pStyle w:val="850"/>
        <w:contextualSpacing/>
        <w:ind w:left="-206" w:firstLine="600"/>
        <w:jc w:val="both"/>
        <w:keepLines/>
        <w:keepNext/>
        <w:spacing w:beforeAutospacing="0" w:afterAutospacing="0" w:line="500" w:lineRule="exact"/>
        <w:rPr>
          <w:rFonts w:hint="eastAsia" w:asciiTheme="minorEastAsia" w:hAnsiTheme="minorEastAsia"/>
        </w:rPr>
      </w:pPr>
      <w:r/>
      <w:bookmarkStart w:id="145" w:name="_Toc513029237"/>
      <w:r/>
      <w:bookmarkStart w:id="146" w:name="_Toc20823309"/>
      <w:r/>
      <w:bookmarkStart w:id="147" w:name="_Toc16938553"/>
      <w:r>
        <w:rPr>
          <w:rFonts w:hint="eastAsia" w:cs="黑体" w:asciiTheme="minorEastAsia" w:hAnsiTheme="minorEastAsia"/>
          <w:sz w:val="30"/>
          <w:szCs w:val="30"/>
        </w:rPr>
        <w:t xml:space="preserve">31. 签订合同</w:t>
      </w:r>
      <w:bookmarkEnd w:id="145"/>
      <w:r/>
      <w:bookmarkEnd w:id="146"/>
      <w:r/>
      <w:bookmarkEnd w:id="147"/>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31.l中标人应当在中标通知书发出之日起三十日内，按照招标文件确定的事项与采购人签订政府采购合同。</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31.2</w:t>
      </w:r>
      <w:r>
        <w:rPr>
          <w:rFonts w:hint="eastAsia" w:cs="宋体" w:asciiTheme="minorEastAsia" w:hAnsiTheme="minorEastAsia"/>
          <w:b/>
        </w:rPr>
        <w:t xml:space="preserve"> </w:t>
      </w:r>
      <w:r>
        <w:rPr>
          <w:rFonts w:hint="eastAsia" w:cs="宋体" w:asciiTheme="minorEastAsia" w:hAnsiTheme="minorEastAsia"/>
        </w:rPr>
        <w:t xml:space="preserve">招标文件、中标人的投标文件及招标过程中有关澄清、承诺文件均应作为合同附件。</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31.3 签订合同后，</w:t>
      </w:r>
      <w:r>
        <w:rPr>
          <w:rFonts w:hint="eastAsia" w:cs="宋体" w:asciiTheme="minorEastAsia" w:hAnsiTheme="minorEastAsia"/>
          <w:i/>
          <w:u w:val="single"/>
        </w:rPr>
        <w:t xml:space="preserve">中标人不得将合同标的进行转包</w:t>
      </w:r>
      <w:r>
        <w:rPr>
          <w:rFonts w:hint="eastAsia" w:cs="宋体" w:asciiTheme="minorEastAsia" w:hAnsiTheme="minorEastAsia"/>
        </w:rPr>
        <w:t xml:space="preserve">。未经采购人同意，中标人也不得采用分包的形式履行合同，否则采购人有权终止合同。转包或分包造成采购人损失的，中标人应承担相应赔偿责任。</w:t>
      </w:r>
      <w:r/>
    </w:p>
    <w:p>
      <w:pPr>
        <w:pStyle w:val="850"/>
        <w:contextualSpacing/>
        <w:ind w:left="-206" w:firstLine="600"/>
        <w:jc w:val="both"/>
        <w:keepLines/>
        <w:keepNext/>
        <w:spacing w:beforeAutospacing="0" w:afterAutospacing="0" w:line="500" w:lineRule="exact"/>
        <w:rPr>
          <w:rFonts w:hint="eastAsia" w:asciiTheme="minorEastAsia" w:hAnsiTheme="minorEastAsia"/>
        </w:rPr>
      </w:pPr>
      <w:r>
        <w:rPr>
          <w:rFonts w:hint="eastAsia" w:cs="黑体" w:asciiTheme="minorEastAsia" w:hAnsiTheme="minorEastAsia"/>
          <w:sz w:val="30"/>
          <w:szCs w:val="30"/>
        </w:rPr>
        <w:t xml:space="preserve">32、货物（包含与货物相关的服务）的追加</w:t>
      </w:r>
      <w:r/>
    </w:p>
    <w:p>
      <w:pPr>
        <w:pStyle w:val="850"/>
        <w:contextualSpacing/>
        <w:ind w:left="-206" w:firstLine="480"/>
        <w:jc w:val="both"/>
        <w:spacing w:beforeAutospacing="0" w:afterAutospacing="0" w:line="500" w:lineRule="exact"/>
        <w:rPr>
          <w:rFonts w:hint="eastAsia" w:asciiTheme="minorEastAsia" w:hAnsiTheme="minorEastAsia"/>
        </w:rPr>
      </w:pPr>
      <w:r>
        <w:rPr>
          <w:rFonts w:hint="eastAsia" w:cs="宋体" w:asciiTheme="minorEastAsia" w:hAnsiTheme="minorEastAsia"/>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50"/>
        <w:contextualSpacing/>
        <w:ind w:left="-206" w:firstLine="600"/>
        <w:jc w:val="both"/>
        <w:keepLines/>
        <w:keepNext/>
        <w:spacing w:beforeAutospacing="0" w:afterAutospacing="0" w:line="500" w:lineRule="exact"/>
        <w:rPr>
          <w:rFonts w:hint="eastAsia" w:asciiTheme="minorEastAsia" w:hAnsiTheme="minorEastAsia"/>
        </w:rPr>
      </w:pPr>
      <w:r/>
      <w:bookmarkStart w:id="148" w:name="_Toc479757207"/>
      <w:r/>
      <w:bookmarkStart w:id="149" w:name="_Toc20823314"/>
      <w:r/>
      <w:bookmarkStart w:id="150" w:name="_Toc513029242"/>
      <w:r/>
      <w:bookmarkStart w:id="151" w:name="_Toc120614221"/>
      <w:r/>
      <w:bookmarkStart w:id="152" w:name="_Toc16938558"/>
      <w:r>
        <w:rPr>
          <w:rFonts w:hint="eastAsia" w:cs="黑体" w:asciiTheme="minorEastAsia" w:hAnsiTheme="minorEastAsia"/>
          <w:sz w:val="30"/>
          <w:szCs w:val="30"/>
        </w:rPr>
        <w:t xml:space="preserve">33、</w:t>
      </w:r>
      <w:bookmarkEnd w:id="148"/>
      <w:r/>
      <w:bookmarkEnd w:id="149"/>
      <w:r/>
      <w:bookmarkEnd w:id="150"/>
      <w:r/>
      <w:bookmarkEnd w:id="151"/>
      <w:r/>
      <w:bookmarkEnd w:id="152"/>
      <w:r>
        <w:rPr>
          <w:rFonts w:hint="eastAsia" w:cs="黑体" w:asciiTheme="minorEastAsia" w:hAnsiTheme="minorEastAsia"/>
          <w:sz w:val="30"/>
          <w:szCs w:val="30"/>
        </w:rPr>
        <w:t xml:space="preserve">政府采购政策功能落实</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33.1政府采购线上合同信用融资政策</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33.2进口产品</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33.3中小企业、监狱企业及残疾人福利性单位</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33.3.1中小企业定义：</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中小企业</w:t>
      </w:r>
      <w:r>
        <w:rPr>
          <w:rFonts w:hint="eastAsia" w:cs="宋体" w:asciiTheme="minorEastAsia" w:hAnsiTheme="minorEastAsia"/>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33.3.2供应商提供的货物符合下列情形的，享受中小企业扶持政策：</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33.3.2.1在货物采购项目中，货物由中小企业制造，即货物由中小企业生产且使用该中小企业商号或者注册商标；</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33.3.3在货物采购项目中，供应商提供的货物既有中小企业制造货物，也有大型企业制造货物的，不享受中小企业扶持政策。</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33.3.4以联合体形式参加政府采购活动，联合体各方均为中小企业的，联合体视同中小企业。其中，联合体各方均为小微企业的，联合体视同小微企业。</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33.3.6残疾人福利单位定义：享受政府采购支持政策的残疾人福利性单位应当同时满足以下条件：</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33.3.6.1安置的残疾人占本单位在职职工人数的比例不低于25%（含25%），并且安置的残疾人人数不少于10 人（含10 人）；</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33.3.6.2依法与安置的每位残疾人签订了一年以上（含一年）的劳动合同或服务协议；</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33.3.6.3为安置的每位残疾人按月足额缴纳了基本养老保险、基本医疗保险、失业保险、工伤保险和生育保险等社会保险费；</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33.3.6.4通过银行等金融机构向安置的每位残疾人，按月支付了不低于单位所在区县适用的经省级人民政府批准的月最低工资标准的工资；</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33.3.6.5提供本单位制造的货物、承担的工程或者服务（以下简称产品），或者提供其他残疾人福利性单位制造的货物（不包括使用非残疾人福利性单位注册商标的货物）；</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33.3.7本项目是否专门面向中小企业预留采购份额见第一章《招标公告》。</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33.3.8采购标的对应的中小企业划分标准所属行业见第四章《采购需求》。</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33.3.9小微企业价格评审优惠的政策：见第五章《评标方法和评标标准》。</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33.4政府采购节能产品、环境标志产品</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33.4.1严格执行政府采购关于支持节</w:t>
      </w:r>
      <w:r>
        <w:rPr>
          <w:rFonts w:hint="eastAsia" w:cs="宋体" w:asciiTheme="minorEastAsia" w:hAnsiTheme="minorEastAsia"/>
        </w:rPr>
        <w:t xml:space="preserve">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33.5绿色包装</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33.6政府采购创新产品</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采购人优先采购各级政府部门公开发布的有效期内的创新产品、创新服务、首台套、首购首用等《目录》的创新产品。</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33.7绿色数据中心政策 </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本文件中若涉及到数据中心采购，采购人应依据《绿色数据中心政府采购需求标准（试行）》（财办库〔2023〕7号）文件精神</w:t>
      </w:r>
      <w:r>
        <w:rPr>
          <w:rFonts w:hint="eastAsia" w:cs="宋体" w:asciiTheme="minorEastAsia" w:hAnsiTheme="minorEastAsi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33.8实施本国产品标准及相关政策</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1.本项目对采购本国产品给予政策支持，具体内容见招标文件“第五章 评标方法与评标标准”。</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33.9履约保证金政策</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确需收取履约保证金的，履约保证金的缴纳形式：</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 如以履约保函（保险）形式缴纳履约保证金，供应商可通过政府采购电子履约保函（保险）平台（www.jsdzbh.com）在线申请履约保函（保险）。</w:t>
      </w:r>
      <w:r/>
    </w:p>
    <w:p>
      <w:pPr>
        <w:pStyle w:val="850"/>
        <w:contextualSpacing/>
        <w:ind w:left="-206" w:firstLine="480"/>
        <w:keepNext/>
        <w:spacing w:line="500" w:lineRule="exact"/>
        <w:rPr>
          <w:rFonts w:hint="eastAsia" w:cs="宋体" w:asciiTheme="minorEastAsia" w:hAnsiTheme="minorEastAsia"/>
        </w:rPr>
      </w:pPr>
      <w:r>
        <w:rPr>
          <w:rFonts w:hint="eastAsia" w:cs="宋体" w:asciiTheme="minorEastAsia" w:hAnsiTheme="minorEastAsi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部门备案的第三方信用报告，且信用报告通过“信用盐城网”可查实），免收履约保证金或降低履约保证金缴纳比例（具体要求详见本项目招标文件三章合同条款）。</w:t>
      </w:r>
      <w:r/>
    </w:p>
    <w:p>
      <w:pPr>
        <w:pStyle w:val="850"/>
        <w:contextualSpacing/>
        <w:ind w:left="-206" w:firstLine="600"/>
        <w:jc w:val="both"/>
        <w:keepLines/>
        <w:keepNext/>
        <w:spacing w:beforeAutospacing="0" w:afterAutospacing="0" w:line="500" w:lineRule="exact"/>
        <w:rPr>
          <w:rFonts w:hint="eastAsia" w:cs="黑体" w:asciiTheme="minorEastAsia" w:hAnsiTheme="minorEastAsia"/>
          <w:sz w:val="30"/>
          <w:szCs w:val="30"/>
        </w:rPr>
      </w:pPr>
      <w:r>
        <w:rPr>
          <w:rFonts w:hint="eastAsia" w:cs="黑体" w:asciiTheme="minorEastAsia" w:hAnsiTheme="minorEastAsia"/>
          <w:sz w:val="30"/>
          <w:szCs w:val="30"/>
        </w:rPr>
        <w:t xml:space="preserve">34. 预付款制度</w:t>
      </w:r>
      <w:r/>
    </w:p>
    <w:p>
      <w:pPr>
        <w:pStyle w:val="850"/>
        <w:contextualSpacing/>
        <w:ind w:left="-206" w:firstLine="480"/>
        <w:keepNext/>
        <w:spacing w:beforeAutospacing="0" w:afterAutospacing="0" w:line="500" w:lineRule="exact"/>
        <w:rPr>
          <w:rFonts w:hint="eastAsia" w:asciiTheme="minorEastAsia" w:hAnsiTheme="minorEastAsia"/>
        </w:rPr>
      </w:pPr>
      <w:r>
        <w:rPr>
          <w:rFonts w:hint="eastAsia" w:cs="宋体" w:asciiTheme="minorEastAsia" w:hAnsiTheme="minorEastAsia"/>
        </w:rPr>
        <w:t xml:space="preserve">本项目落实预付款制度，预付款比例为30%。在签订合同时，中标、成交供应商明确书面表示无需预付款或者主动要求降低预付款比例的，采购人可就预付款比例作相应调整。</w:t>
      </w:r>
      <w:r>
        <w:rPr>
          <w:rFonts w:asciiTheme="minorEastAsia" w:hAnsiTheme="minorEastAsia"/>
        </w:rPr>
        <w:t xml:space="preserve"> </w:t>
      </w:r>
      <w:r/>
    </w:p>
    <w:p>
      <w:pPr>
        <w:pStyle w:val="850"/>
        <w:contextualSpacing/>
        <w:ind w:left="-206" w:firstLine="600"/>
        <w:jc w:val="both"/>
        <w:keepLines/>
        <w:keepNext/>
        <w:spacing w:beforeAutospacing="0" w:afterAutospacing="0" w:line="500" w:lineRule="exact"/>
        <w:rPr>
          <w:rFonts w:hint="eastAsia" w:ascii="宋体" w:hAnsi="宋体" w:cs="宋体"/>
          <w:b/>
        </w:rPr>
      </w:pPr>
      <w:r>
        <w:rPr>
          <w:rFonts w:hint="eastAsia" w:cs="黑体" w:asciiTheme="minorEastAsia" w:hAnsiTheme="minorEastAsia"/>
          <w:sz w:val="30"/>
          <w:szCs w:val="30"/>
        </w:rPr>
        <w:t xml:space="preserve">35、招标代理报酬</w:t>
      </w:r>
      <w:r/>
    </w:p>
    <w:p>
      <w:pPr>
        <w:ind w:left="-206" w:firstLine="480"/>
        <w:spacing w:line="500" w:lineRule="exact"/>
        <w:rPr>
          <w:rStyle w:val="858"/>
          <w:rFonts w:hint="eastAsia" w:ascii="宋体" w:hAnsi="宋体" w:cs="宋体"/>
          <w:bCs/>
          <w:sz w:val="24"/>
        </w:rPr>
      </w:pPr>
      <w:r>
        <w:rPr>
          <w:rFonts w:hint="eastAsia" w:ascii="宋体" w:hAnsi="宋体" w:cs="宋体"/>
          <w:bCs/>
          <w:sz w:val="24"/>
        </w:rPr>
        <w:t xml:space="preserve">35.1.</w:t>
      </w:r>
      <w:r>
        <w:rPr>
          <w:rFonts w:hint="eastAsia" w:ascii="宋体" w:hAnsi="宋体" w:cs="宋体"/>
          <w:bCs/>
          <w:sz w:val="24"/>
        </w:rPr>
        <w:t xml:space="preserve">本项目招标代理报酬参照苏招协【2022】002号规定收费标准的40%计取。招标完成后，由中标供应商在领取中标通知书前一次性向代理机构支付，请各投标人投标报价时综合考虑到报价中，不得单列。</w:t>
      </w:r>
      <w:r/>
    </w:p>
    <w:p>
      <w:pPr>
        <w:pStyle w:val="850"/>
        <w:ind w:left="-206" w:firstLine="408"/>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850"/>
        <w:ind w:left="-206"/>
        <w:jc w:val="both"/>
        <w:spacing w:beforeAutospacing="0" w:afterAutospacing="0"/>
      </w:pPr>
      <w:r>
        <w:t xml:space="preserve"> </w:t>
      </w:r>
      <w:r/>
    </w:p>
    <w:p>
      <w:pPr>
        <w:pStyle w:val="850"/>
        <w:ind w:left="-206"/>
        <w:jc w:val="both"/>
        <w:spacing w:beforeAutospacing="0" w:afterAutospacing="0"/>
      </w:pPr>
      <w:r>
        <w:t xml:space="preserve"> </w:t>
      </w:r>
      <w:r/>
    </w:p>
    <w:p>
      <w:pPr>
        <w:pStyle w:val="850"/>
        <w:ind w:left="-206"/>
        <w:jc w:val="both"/>
        <w:spacing w:beforeAutospacing="0" w:afterAutospacing="0"/>
      </w:pPr>
      <w:r/>
      <w:r/>
    </w:p>
    <w:p>
      <w:pPr>
        <w:pStyle w:val="850"/>
        <w:ind w:left="-206"/>
        <w:jc w:val="both"/>
        <w:spacing w:beforeAutospacing="0" w:afterAutospacing="0"/>
      </w:pPr>
      <w:r/>
      <w:r/>
    </w:p>
    <w:p>
      <w:pPr>
        <w:pStyle w:val="850"/>
        <w:ind w:left="-206"/>
        <w:jc w:val="both"/>
        <w:spacing w:beforeAutospacing="0" w:afterAutospacing="0"/>
      </w:pPr>
      <w:r/>
      <w:r/>
    </w:p>
    <w:p>
      <w:pPr>
        <w:jc w:val="left"/>
        <w:widowControl/>
        <w:rPr>
          <w:rFonts w:cs="Times New Roman"/>
          <w:sz w:val="24"/>
        </w:rPr>
      </w:pPr>
      <w:r>
        <w:br w:type="page" w:clear="all"/>
      </w:r>
      <w:r/>
    </w:p>
    <w:p>
      <w:pPr>
        <w:pStyle w:val="850"/>
        <w:ind w:left="-206"/>
        <w:jc w:val="both"/>
        <w:spacing w:beforeAutospacing="0" w:afterAutospacing="0"/>
        <w:tabs>
          <w:tab w:val="left" w:pos="2304" w:leader="none"/>
        </w:tabs>
        <w:rPr>
          <w:rFonts w:hint="eastAsia" w:ascii="宋体" w:hAnsi="宋体" w:cs="宋体"/>
          <w:b/>
          <w:sz w:val="30"/>
        </w:rPr>
      </w:pPr>
      <w:r>
        <w:tab/>
      </w:r>
      <w:r>
        <w:t xml:space="preserve"> </w:t>
      </w:r>
      <w:bookmarkStart w:id="153" w:name="_Toc479757211"/>
      <w:r/>
      <w:bookmarkStart w:id="154" w:name="_Toc120614244"/>
      <w:r/>
      <w:bookmarkStart w:id="155" w:name="_Toc20823346"/>
      <w:r/>
      <w:bookmarkStart w:id="156" w:name="_Hlt16619350"/>
      <w:r/>
      <w:bookmarkStart w:id="157" w:name="_Toc16938590"/>
      <w:r/>
      <w:bookmarkStart w:id="158" w:name="_Toc462564139"/>
      <w:r/>
      <w:bookmarkStart w:id="159" w:name="_Hlt16619369"/>
      <w:r>
        <w:rPr>
          <w:rFonts w:hint="eastAsia" w:ascii="宋体" w:hAnsi="宋体" w:cs="宋体"/>
          <w:b/>
          <w:sz w:val="30"/>
        </w:rPr>
        <w:t xml:space="preserve">第三章  合同条款</w:t>
      </w:r>
      <w:r/>
    </w:p>
    <w:p>
      <w:pPr>
        <w:ind w:left="-181" w:firstLine="408"/>
        <w:spacing w:before="120" w:after="120" w:line="360" w:lineRule="auto"/>
        <w:tabs>
          <w:tab w:val="left" w:pos="2472" w:leader="none"/>
        </w:tabs>
        <w:rPr>
          <w:rFonts w:hint="eastAsia" w:ascii="宋体" w:hAnsi="宋体" w:eastAsia="宋体" w:cs="Courier New"/>
          <w:sz w:val="24"/>
          <w:u w:val="single"/>
        </w:rPr>
      </w:pPr>
      <w:r/>
      <w:bookmarkStart w:id="160" w:name="MOFFICE_OUTDOC_NTDOC__TITLE"/>
      <w:r>
        <w:rPr>
          <w:rFonts w:hint="eastAsia" w:ascii="宋体" w:hAnsi="宋体" w:eastAsia="宋体" w:cs="Courier New"/>
          <w:sz w:val="24"/>
        </w:rPr>
        <w:t xml:space="preserve">采购</w:t>
      </w:r>
      <w:r>
        <w:rPr>
          <w:rFonts w:ascii="宋体" w:hAnsi="宋体" w:eastAsia="宋体" w:cs="Courier New"/>
          <w:sz w:val="24"/>
        </w:rPr>
        <w:t xml:space="preserve">方(以下简称甲方)：</w:t>
      </w:r>
      <w:r>
        <w:rPr>
          <w:rFonts w:hint="eastAsia" w:ascii="宋体" w:hAnsi="宋体" w:eastAsia="宋体" w:cs="Courier New"/>
          <w:sz w:val="24"/>
          <w:u w:val="single"/>
        </w:rPr>
        <w:t xml:space="preserve">盐城市大丰区数据局</w:t>
      </w:r>
      <w:r/>
    </w:p>
    <w:p>
      <w:pPr>
        <w:ind w:left="-181" w:firstLine="408"/>
        <w:spacing w:before="120" w:after="120" w:line="360" w:lineRule="auto"/>
        <w:tabs>
          <w:tab w:val="left" w:pos="2472" w:leader="none"/>
        </w:tabs>
        <w:rPr>
          <w:rFonts w:hint="eastAsia" w:ascii="宋体" w:hAnsi="宋体" w:eastAsia="宋体" w:cs="Courier New"/>
          <w:sz w:val="24"/>
        </w:rPr>
      </w:pPr>
      <w:r>
        <w:rPr>
          <w:rFonts w:hint="eastAsia" w:ascii="宋体" w:hAnsi="宋体" w:eastAsia="宋体" w:cs="Courier New"/>
          <w:sz w:val="24"/>
        </w:rPr>
        <w:t xml:space="preserve">供应商</w:t>
      </w:r>
      <w:r>
        <w:rPr>
          <w:rFonts w:ascii="宋体" w:hAnsi="宋体" w:eastAsia="宋体" w:cs="Courier New"/>
          <w:sz w:val="24"/>
        </w:rPr>
        <w:t xml:space="preserve">(以下简称乙方)：</w:t>
      </w:r>
      <w:r>
        <w:rPr>
          <w:rFonts w:ascii="宋体" w:hAnsi="宋体" w:eastAsia="宋体" w:cs="Courier New"/>
          <w:sz w:val="24"/>
          <w:u w:val="single"/>
        </w:rPr>
        <w:t xml:space="preserve">                  </w:t>
      </w:r>
      <w:r>
        <w:rPr>
          <w:rFonts w:ascii="宋体" w:hAnsi="宋体" w:eastAsia="宋体" w:cs="Courier New"/>
          <w:sz w:val="24"/>
        </w:rPr>
        <w:t xml:space="preserve">  </w:t>
      </w:r>
      <w:r/>
    </w:p>
    <w:p>
      <w:pPr>
        <w:ind w:left="-181" w:firstLine="408"/>
        <w:jc w:val="left"/>
        <w:spacing w:line="360" w:lineRule="auto"/>
        <w:widowControl/>
        <w:rPr>
          <w:rFonts w:hint="eastAsia" w:ascii="宋体" w:hAnsi="宋体" w:eastAsia="宋体" w:cs="宋体"/>
          <w:sz w:val="24"/>
        </w:rPr>
      </w:pPr>
      <w:r>
        <w:rPr>
          <w:rFonts w:hint="eastAsia" w:ascii="宋体" w:hAnsi="宋体" w:eastAsia="宋体" w:cs="宋体"/>
          <w:sz w:val="24"/>
          <w:lang w:val="zh-CN"/>
        </w:rPr>
        <w:t xml:space="preserve">根据《中华人民共和国民法典》等法律法规的规定，甲乙双方</w:t>
      </w:r>
      <w:r>
        <w:rPr>
          <w:rFonts w:hint="eastAsia" w:ascii="宋体" w:hAnsi="宋体" w:eastAsia="宋体" w:cs="宋体"/>
          <w:sz w:val="24"/>
        </w:rPr>
        <w:t xml:space="preserve">就</w:t>
      </w:r>
      <w:r>
        <w:rPr>
          <w:rFonts w:hint="eastAsia" w:ascii="宋体" w:hAnsi="宋体" w:eastAsia="宋体" w:cs="宋体"/>
          <w:sz w:val="24"/>
          <w:u w:val="single"/>
        </w:rPr>
        <w:t xml:space="preserve">盐城市大丰区电子政务外网二级等保建设项目</w:t>
      </w:r>
      <w:r>
        <w:rPr>
          <w:rFonts w:hint="eastAsia" w:ascii="宋体" w:hAnsi="宋体" w:eastAsia="宋体" w:cs="宋体"/>
          <w:sz w:val="24"/>
          <w:lang w:val="zh-CN"/>
        </w:rPr>
        <w:t xml:space="preserve">按照招标结果签订本合同。</w:t>
      </w:r>
      <w:r/>
    </w:p>
    <w:p>
      <w:pPr>
        <w:ind w:left="-181" w:firstLine="408"/>
        <w:spacing w:line="360" w:lineRule="auto"/>
        <w:rPr>
          <w:rFonts w:hint="eastAsia" w:ascii="宋体" w:hAnsi="宋体" w:eastAsia="宋体" w:cs="宋体"/>
          <w:sz w:val="24"/>
          <w:u w:val="single"/>
        </w:rPr>
      </w:pPr>
      <w:r>
        <w:rPr>
          <w:rFonts w:hint="eastAsia" w:ascii="宋体" w:hAnsi="宋体" w:eastAsia="宋体" w:cs="Times New Roman"/>
          <w:sz w:val="24"/>
        </w:rPr>
        <w:t xml:space="preserve">第一条合同内容</w:t>
      </w:r>
      <w:r>
        <w:rPr>
          <w:rFonts w:hint="eastAsia" w:ascii="宋体" w:hAnsi="宋体" w:eastAsia="宋体" w:cs="Times New Roman"/>
          <w:sz w:val="24"/>
          <w:lang w:val="zh-CN"/>
        </w:rPr>
        <w:t xml:space="preserve">：</w:t>
      </w:r>
      <w:r>
        <w:rPr>
          <w:rFonts w:hint="eastAsia" w:ascii="宋体" w:hAnsi="宋体" w:eastAsia="宋体" w:cs="宋体"/>
          <w:sz w:val="24"/>
          <w:u w:val="single"/>
        </w:rPr>
        <w:t xml:space="preserve">本次项目为盐城市大丰区电子政务外网二级等保建设项目，主要建设内容包含（1）完成电子政务外网二级等保建设；（2）部署网络安全设备，提升大丰区电子政务外网的安全防护能力；（3）通过专业技术服务团队，提升电子政务外网安全运维能力。具体内容详见本项目招标文件第四章招标需求。</w:t>
      </w:r>
      <w:r/>
    </w:p>
    <w:p>
      <w:pPr>
        <w:ind w:left="-181" w:firstLine="408"/>
        <w:jc w:val="left"/>
        <w:spacing w:line="360" w:lineRule="auto"/>
        <w:rPr>
          <w:rFonts w:hint="eastAsia" w:ascii="宋体" w:hAnsi="宋体" w:eastAsia="宋体" w:cs="Times New Roman"/>
          <w:sz w:val="24"/>
          <w:lang w:val="zh-CN"/>
        </w:rPr>
      </w:pPr>
      <w:r>
        <w:rPr>
          <w:rFonts w:hint="eastAsia" w:ascii="宋体" w:hAnsi="宋体" w:eastAsia="宋体" w:cs="Times New Roman"/>
          <w:sz w:val="24"/>
        </w:rPr>
        <w:t xml:space="preserve">第二条</w:t>
      </w:r>
      <w:r>
        <w:rPr>
          <w:rFonts w:hint="eastAsia" w:ascii="宋体" w:hAnsi="宋体" w:eastAsia="宋体" w:cs="Times New Roman"/>
          <w:sz w:val="24"/>
          <w:lang w:val="zh-CN"/>
        </w:rPr>
        <w:t xml:space="preserve">本合同项下合同</w:t>
      </w:r>
      <w:r>
        <w:rPr>
          <w:rFonts w:hint="eastAsia" w:ascii="宋体" w:hAnsi="宋体" w:eastAsia="宋体" w:cs="Times New Roman"/>
          <w:sz w:val="24"/>
        </w:rPr>
        <w:t xml:space="preserve">含税</w:t>
      </w:r>
      <w:r>
        <w:rPr>
          <w:rFonts w:hint="eastAsia" w:ascii="宋体" w:hAnsi="宋体" w:eastAsia="宋体" w:cs="Times New Roman"/>
          <w:sz w:val="24"/>
          <w:lang w:val="zh-CN"/>
        </w:rPr>
        <w:t xml:space="preserve">总价</w:t>
      </w:r>
      <w:r>
        <w:rPr>
          <w:rFonts w:hint="eastAsia" w:ascii="宋体" w:hAnsi="宋体" w:eastAsia="宋体" w:cs="Times New Roman"/>
          <w:sz w:val="24"/>
        </w:rPr>
        <w:t xml:space="preserve">款</w:t>
      </w:r>
      <w:r>
        <w:rPr>
          <w:rFonts w:hint="eastAsia" w:ascii="宋体" w:hAnsi="宋体" w:eastAsia="宋体" w:cs="Times New Roman"/>
          <w:sz w:val="24"/>
          <w:lang w:val="zh-CN"/>
        </w:rPr>
        <w:t xml:space="preserve">：（大写）</w:t>
      </w:r>
      <w:r>
        <w:rPr>
          <w:rFonts w:hint="eastAsia" w:ascii="宋体" w:hAnsi="宋体" w:eastAsia="宋体" w:cs="Times New Roman"/>
          <w:sz w:val="24"/>
          <w:u w:val="single"/>
          <w:lang w:val="zh-CN"/>
        </w:rPr>
        <w:t xml:space="preserve">             </w:t>
      </w:r>
      <w:r>
        <w:rPr>
          <w:rFonts w:hint="eastAsia" w:ascii="宋体" w:hAnsi="宋体" w:eastAsia="宋体" w:cs="Times New Roman"/>
          <w:sz w:val="24"/>
          <w:lang w:val="zh-CN"/>
        </w:rPr>
        <w:t xml:space="preserve">（小写）</w:t>
      </w:r>
      <w:r>
        <w:rPr>
          <w:rFonts w:hint="eastAsia" w:ascii="宋体" w:hAnsi="宋体" w:eastAsia="宋体" w:cs="Times New Roman"/>
          <w:sz w:val="24"/>
          <w:u w:val="single"/>
          <w:lang w:val="zh-CN"/>
        </w:rPr>
        <w:t xml:space="preserve">          </w:t>
      </w:r>
      <w:r>
        <w:rPr>
          <w:rFonts w:hint="eastAsia" w:ascii="宋体" w:hAnsi="宋体" w:eastAsia="宋体" w:cs="Times New Roman"/>
          <w:sz w:val="24"/>
          <w:lang w:val="zh-CN"/>
        </w:rPr>
        <w:t xml:space="preserve">。 </w:t>
      </w:r>
      <w:r/>
    </w:p>
    <w:p>
      <w:pPr>
        <w:ind w:left="-181" w:firstLine="408"/>
        <w:spacing w:line="360" w:lineRule="auto"/>
        <w:rPr>
          <w:rFonts w:hint="eastAsia" w:ascii="宋体" w:hAnsi="宋体" w:eastAsia="宋体" w:cs="Times New Roman"/>
          <w:bCs/>
          <w:sz w:val="24"/>
          <w:lang w:val="zh-CN"/>
        </w:rPr>
      </w:pPr>
      <w:r>
        <w:rPr>
          <w:rFonts w:hint="eastAsia" w:ascii="宋体" w:hAnsi="宋体" w:eastAsia="宋体" w:cs="Times New Roman"/>
          <w:bCs/>
          <w:sz w:val="24"/>
          <w:lang w:val="zh-CN"/>
        </w:rPr>
        <w:t xml:space="preserve">第三条组成本合同的有关文件   </w:t>
      </w:r>
      <w:r/>
    </w:p>
    <w:p>
      <w:pPr>
        <w:ind w:left="-181" w:firstLine="408"/>
        <w:spacing w:line="360" w:lineRule="auto"/>
        <w:tabs>
          <w:tab w:val="left" w:pos="180" w:leader="none"/>
        </w:tabs>
        <w:rPr>
          <w:rFonts w:hint="eastAsia" w:ascii="宋体" w:hAnsi="宋体" w:eastAsia="宋体" w:cs="Times New Roman"/>
          <w:sz w:val="24"/>
          <w:lang w:val="zh-CN"/>
        </w:rPr>
      </w:pPr>
      <w:r>
        <w:rPr>
          <w:rFonts w:hint="eastAsia" w:ascii="宋体" w:hAnsi="宋体" w:eastAsia="宋体" w:cs="Times New Roman"/>
          <w:sz w:val="24"/>
          <w:lang w:val="zh-CN"/>
        </w:rPr>
        <w:t xml:space="preserve">本项目招标、</w:t>
      </w:r>
      <w:r>
        <w:rPr>
          <w:rFonts w:hint="eastAsia" w:ascii="宋体" w:hAnsi="宋体" w:eastAsia="宋体" w:cs="Times New Roman"/>
          <w:sz w:val="24"/>
        </w:rPr>
        <w:t xml:space="preserve">投标</w:t>
      </w:r>
      <w:r>
        <w:rPr>
          <w:rFonts w:hint="eastAsia" w:ascii="宋体" w:hAnsi="宋体" w:eastAsia="宋体" w:cs="Times New Roman"/>
          <w:sz w:val="24"/>
          <w:lang w:val="zh-CN"/>
        </w:rPr>
        <w:t xml:space="preserve">文件和有关附件是本合同不可分割的组成部分，与本合同具有同等法律效力。</w:t>
      </w:r>
      <w:r/>
    </w:p>
    <w:p>
      <w:pPr>
        <w:ind w:left="-181" w:firstLine="408"/>
        <w:jc w:val="left"/>
        <w:spacing w:line="360" w:lineRule="auto"/>
        <w:rPr>
          <w:rFonts w:hint="eastAsia" w:ascii="宋体" w:hAnsi="宋体" w:eastAsia="宋体" w:cs="Times New Roman"/>
          <w:bCs/>
          <w:sz w:val="24"/>
          <w:lang w:val="zh-CN"/>
        </w:rPr>
      </w:pPr>
      <w:r>
        <w:rPr>
          <w:rFonts w:hint="eastAsia" w:ascii="宋体" w:hAnsi="宋体" w:eastAsia="宋体" w:cs="Times New Roman"/>
          <w:bCs/>
          <w:sz w:val="24"/>
          <w:lang w:val="zh-CN"/>
        </w:rPr>
        <w:t xml:space="preserve">第四条权利保证</w:t>
      </w:r>
      <w:r/>
    </w:p>
    <w:p>
      <w:pPr>
        <w:ind w:left="-181" w:firstLine="408"/>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乙方应保证所提供的货物、服务任何一部分均不会侵犯任何第三方的知识产权，乙方对甲方提供的业务资料、技术资料应严格保密，不得扩散。乙方应保证甲方在使用、接受本合同采购货物、服务任何一部分时不受乙方及第三方提出侵犯其专利权、版权、商标权和工业设计权等知识产权的起诉。一旦出现侵权，由乙方负全部责任和损失。同时消除对甲方产生的不利影响，如造成甲方损失的，乙方应承担赔偿责任。</w:t>
      </w:r>
      <w:r/>
    </w:p>
    <w:p>
      <w:pPr>
        <w:ind w:left="-181" w:firstLine="408"/>
        <w:jc w:val="left"/>
        <w:spacing w:line="360" w:lineRule="auto"/>
        <w:rPr>
          <w:rFonts w:hint="eastAsia" w:ascii="宋体" w:hAnsi="宋体" w:eastAsia="宋体" w:cs="Times New Roman"/>
          <w:bCs/>
          <w:sz w:val="24"/>
        </w:rPr>
      </w:pPr>
      <w:r>
        <w:rPr>
          <w:rFonts w:hint="eastAsia" w:ascii="宋体" w:hAnsi="宋体" w:eastAsia="宋体" w:cs="Times New Roman"/>
          <w:bCs/>
          <w:sz w:val="24"/>
          <w:lang w:val="zh-CN"/>
        </w:rPr>
        <w:t xml:space="preserve">第五条</w:t>
      </w:r>
      <w:r>
        <w:rPr>
          <w:rFonts w:hint="eastAsia" w:ascii="宋体" w:hAnsi="宋体" w:eastAsia="宋体" w:cs="Times New Roman"/>
          <w:bCs/>
          <w:sz w:val="24"/>
        </w:rPr>
        <w:t xml:space="preserve">合同履行期限</w:t>
      </w:r>
      <w:r/>
    </w:p>
    <w:p>
      <w:pPr>
        <w:ind w:left="-181" w:firstLine="408"/>
        <w:jc w:val="left"/>
        <w:spacing w:line="360" w:lineRule="auto"/>
        <w:rPr>
          <w:rFonts w:hint="eastAsia" w:ascii="宋体" w:hAnsi="宋体" w:eastAsia="宋体" w:cs="Times New Roman"/>
          <w:sz w:val="24"/>
          <w:lang w:val="zh-CN"/>
        </w:rPr>
      </w:pPr>
      <w:r>
        <w:rPr>
          <w:rFonts w:hint="eastAsia" w:ascii="宋体" w:hAnsi="宋体" w:eastAsia="宋体" w:cs="Times New Roman"/>
          <w:sz w:val="24"/>
          <w:lang w:val="zh-CN"/>
        </w:rPr>
        <w:t xml:space="preserve">合同履行期限：</w:t>
      </w:r>
      <w:r>
        <w:rPr>
          <w:rFonts w:hint="eastAsia" w:ascii="宋体" w:hAnsi="宋体" w:eastAsia="宋体" w:cs="Times New Roman"/>
          <w:sz w:val="24"/>
          <w:u w:val="single"/>
        </w:rPr>
        <w:t xml:space="preserve">              </w:t>
      </w:r>
      <w:r>
        <w:rPr>
          <w:rFonts w:hint="eastAsia" w:ascii="宋体" w:hAnsi="宋体" w:eastAsia="宋体" w:cs="Times New Roman"/>
          <w:sz w:val="24"/>
          <w:lang w:val="zh-CN"/>
        </w:rPr>
        <w:t xml:space="preserve">。</w:t>
      </w:r>
      <w:r/>
    </w:p>
    <w:p>
      <w:pPr>
        <w:ind w:left="-181" w:firstLine="408"/>
        <w:jc w:val="left"/>
        <w:spacing w:line="360" w:lineRule="auto"/>
        <w:rPr>
          <w:rFonts w:hint="eastAsia" w:ascii="宋体" w:hAnsi="宋体" w:eastAsia="宋体" w:cs="Times New Roman"/>
          <w:sz w:val="24"/>
        </w:rPr>
      </w:pPr>
      <w:r>
        <w:rPr>
          <w:rFonts w:hint="eastAsia" w:ascii="宋体" w:hAnsi="宋体" w:eastAsia="宋体" w:cs="Times New Roman"/>
          <w:bCs/>
          <w:sz w:val="24"/>
          <w:lang w:val="zh-CN"/>
        </w:rPr>
        <w:t xml:space="preserve">第六条</w:t>
      </w:r>
      <w:r>
        <w:rPr>
          <w:rFonts w:hint="eastAsia" w:ascii="宋体" w:hAnsi="宋体" w:eastAsia="宋体" w:cs="Times New Roman"/>
          <w:sz w:val="24"/>
        </w:rPr>
        <w:t xml:space="preserve">实施要求：</w:t>
      </w:r>
      <w:r/>
    </w:p>
    <w:p>
      <w:pPr>
        <w:numPr>
          <w:ilvl w:val="0"/>
          <w:numId w:val="1"/>
        </w:numPr>
        <w:ind w:left="-181" w:firstLine="408"/>
        <w:jc w:val="left"/>
        <w:spacing w:line="360" w:lineRule="auto"/>
        <w:rPr>
          <w:rFonts w:hint="eastAsia" w:ascii="仿宋" w:hAnsi="仿宋" w:eastAsia="仿宋" w:cs="仿宋"/>
          <w:sz w:val="24"/>
        </w:rPr>
      </w:pPr>
      <w:r>
        <w:rPr>
          <w:rFonts w:hint="eastAsia" w:ascii="宋体" w:hAnsi="宋体" w:eastAsia="宋体" w:cs="Times New Roman"/>
          <w:sz w:val="24"/>
        </w:rPr>
        <w:t xml:space="preserve">质量标准：相关质量验收规范合格标准。</w:t>
      </w:r>
      <w:r/>
    </w:p>
    <w:p>
      <w:pPr>
        <w:numPr>
          <w:ilvl w:val="0"/>
          <w:numId w:val="1"/>
        </w:numPr>
        <w:ind w:left="-181" w:firstLine="408"/>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验收标准：验收执行国家或行业最新标准、招标文件各项技术参数指标、投标文件投标承诺所达到的各项技术参数指标（招标文件、投标文件、国家或行业标准不一致处以最高标准执行）。</w:t>
      </w:r>
      <w:r/>
    </w:p>
    <w:p>
      <w:pPr>
        <w:numPr>
          <w:ilvl w:val="0"/>
          <w:numId w:val="1"/>
        </w:numPr>
        <w:ind w:left="-181" w:firstLine="408"/>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质保期：</w:t>
      </w:r>
      <w:r>
        <w:rPr>
          <w:rFonts w:hint="eastAsia" w:ascii="宋体" w:hAnsi="宋体" w:eastAsia="宋体" w:cs="Times New Roman"/>
          <w:sz w:val="24"/>
          <w:u w:val="single"/>
        </w:rPr>
        <w:t xml:space="preserve">  </w:t>
      </w:r>
      <w:r>
        <w:rPr>
          <w:rFonts w:hint="eastAsia" w:ascii="宋体" w:hAnsi="宋体" w:eastAsia="宋体" w:cs="Times New Roman"/>
          <w:sz w:val="24"/>
        </w:rPr>
        <w:t xml:space="preserve">年 </w:t>
      </w:r>
      <w:r/>
    </w:p>
    <w:p>
      <w:pPr>
        <w:ind w:left="-181" w:firstLine="408"/>
        <w:jc w:val="left"/>
        <w:spacing w:line="360" w:lineRule="auto"/>
        <w:rPr>
          <w:rFonts w:hint="eastAsia" w:ascii="宋体" w:hAnsi="宋体" w:eastAsia="宋体" w:cs="Times New Roman"/>
          <w:bCs/>
          <w:i/>
          <w:iCs/>
          <w:sz w:val="24"/>
        </w:rPr>
      </w:pPr>
      <w:r>
        <w:rPr>
          <w:rFonts w:hint="eastAsia" w:ascii="宋体" w:hAnsi="宋体" w:eastAsia="宋体" w:cs="Times New Roman"/>
          <w:bCs/>
          <w:sz w:val="24"/>
          <w:lang w:val="zh-CN"/>
        </w:rPr>
        <w:t xml:space="preserve">第七条合同</w:t>
      </w:r>
      <w:r>
        <w:rPr>
          <w:rFonts w:hint="eastAsia" w:ascii="宋体" w:hAnsi="宋体" w:eastAsia="宋体" w:cs="Times New Roman"/>
          <w:bCs/>
          <w:sz w:val="24"/>
        </w:rPr>
        <w:t xml:space="preserve">价</w:t>
      </w:r>
      <w:r>
        <w:rPr>
          <w:rFonts w:hint="eastAsia" w:ascii="宋体" w:hAnsi="宋体" w:eastAsia="宋体" w:cs="Times New Roman"/>
          <w:bCs/>
          <w:sz w:val="24"/>
          <w:lang w:val="zh-CN"/>
        </w:rPr>
        <w:t xml:space="preserve">款支付</w:t>
      </w:r>
      <w:r>
        <w:rPr>
          <w:rFonts w:hint="eastAsia" w:ascii="宋体" w:hAnsi="宋体" w:eastAsia="宋体" w:cs="Times New Roman"/>
          <w:bCs/>
          <w:sz w:val="24"/>
        </w:rPr>
        <w:t xml:space="preserve">与履约担保</w:t>
      </w:r>
      <w:r/>
    </w:p>
    <w:p>
      <w:pPr>
        <w:ind w:left="-181" w:firstLine="408"/>
        <w:jc w:val="left"/>
        <w:spacing w:line="360" w:lineRule="auto"/>
        <w:rPr>
          <w:rFonts w:hint="eastAsia" w:ascii="宋体" w:hAnsi="宋体" w:eastAsia="宋体" w:cs="Times New Roman"/>
          <w:sz w:val="24"/>
          <w:lang w:val="zh-CN"/>
        </w:rPr>
      </w:pPr>
      <w:r>
        <w:rPr>
          <w:rFonts w:hint="eastAsia" w:ascii="宋体" w:hAnsi="宋体" w:eastAsia="宋体" w:cs="Times New Roman"/>
          <w:sz w:val="24"/>
          <w:lang w:val="zh-CN"/>
        </w:rPr>
        <w:t xml:space="preserve">1、本合同项下所有款项均以人民币支付。</w:t>
      </w:r>
      <w:r/>
    </w:p>
    <w:p>
      <w:pPr>
        <w:ind w:left="-181" w:firstLine="408"/>
        <w:jc w:val="left"/>
        <w:spacing w:line="360" w:lineRule="auto"/>
        <w:rPr>
          <w:rFonts w:hint="eastAsia" w:ascii="宋体" w:hAnsi="宋体" w:eastAsia="宋体" w:cs="Times New Roman"/>
          <w:sz w:val="24"/>
          <w:lang w:val="zh-CN"/>
        </w:rPr>
      </w:pPr>
      <w:r>
        <w:rPr>
          <w:rFonts w:hint="eastAsia" w:ascii="宋体" w:hAnsi="宋体" w:eastAsia="宋体" w:cs="Times New Roman"/>
          <w:sz w:val="24"/>
          <w:lang w:val="zh-CN"/>
        </w:rPr>
        <w:t xml:space="preserve">2、本项目价款一律通过银行非现金结算，</w:t>
      </w:r>
      <w:r>
        <w:rPr>
          <w:rFonts w:hint="eastAsia" w:ascii="宋体" w:hAnsi="宋体" w:eastAsia="宋体" w:cs="Times New Roman"/>
          <w:sz w:val="24"/>
        </w:rPr>
        <w:t xml:space="preserve">每次付款前</w:t>
      </w:r>
      <w:r>
        <w:rPr>
          <w:rFonts w:hint="eastAsia" w:ascii="宋体" w:hAnsi="宋体" w:eastAsia="宋体" w:cs="Times New Roman"/>
          <w:sz w:val="24"/>
          <w:lang w:val="zh-CN"/>
        </w:rPr>
        <w:t xml:space="preserve">乙方须</w:t>
      </w:r>
      <w:r>
        <w:rPr>
          <w:rFonts w:hint="eastAsia" w:ascii="宋体" w:hAnsi="宋体" w:eastAsia="宋体" w:cs="Times New Roman"/>
          <w:sz w:val="24"/>
        </w:rPr>
        <w:t xml:space="preserve">按照甲方财务要求</w:t>
      </w:r>
      <w:r>
        <w:rPr>
          <w:rFonts w:hint="eastAsia" w:ascii="宋体" w:hAnsi="宋体" w:eastAsia="宋体" w:cs="Times New Roman"/>
          <w:sz w:val="24"/>
          <w:lang w:val="zh-CN"/>
        </w:rPr>
        <w:t xml:space="preserve">提供相应的增值税发票，</w:t>
      </w:r>
      <w:r>
        <w:rPr>
          <w:rFonts w:hint="eastAsia" w:ascii="宋体" w:hAnsi="宋体" w:eastAsia="宋体" w:cs="Times New Roman"/>
          <w:sz w:val="24"/>
        </w:rPr>
        <w:t xml:space="preserve">否则甲方有权拒绝付款，并不产生违约责任</w:t>
      </w:r>
      <w:r>
        <w:rPr>
          <w:rFonts w:hint="eastAsia" w:ascii="宋体" w:hAnsi="宋体" w:eastAsia="宋体" w:cs="Times New Roman"/>
          <w:sz w:val="24"/>
          <w:lang w:val="zh-CN"/>
        </w:rPr>
        <w:t xml:space="preserve">。</w:t>
      </w:r>
      <w:r/>
    </w:p>
    <w:p>
      <w:pPr>
        <w:ind w:left="-181" w:firstLine="408"/>
        <w:spacing w:line="360" w:lineRule="auto"/>
        <w:rPr>
          <w:rFonts w:hint="eastAsia" w:ascii="宋体" w:hAnsi="宋体" w:eastAsia="宋体" w:cs="Times New Roman"/>
          <w:sz w:val="24"/>
        </w:rPr>
      </w:pPr>
      <w:r>
        <w:rPr>
          <w:rFonts w:hint="eastAsia" w:ascii="宋体" w:hAnsi="宋体" w:eastAsia="宋体" w:cs="Times New Roman"/>
          <w:sz w:val="24"/>
          <w:lang w:val="zh-CN"/>
        </w:rPr>
        <w:t xml:space="preserve">3、付款方式：</w:t>
      </w:r>
      <w:bookmarkStart w:id="161" w:name="OLE_LINK7"/>
      <w:r>
        <w:rPr>
          <w:rFonts w:hint="eastAsia" w:ascii="宋体" w:hAnsi="宋体" w:eastAsia="宋体" w:cs="Times New Roman"/>
          <w:sz w:val="24"/>
          <w:szCs w:val="20"/>
          <w:lang w:val="zh-CN"/>
        </w:rPr>
        <w:t xml:space="preserve">签订合同后支付合同价款的30%作为预付款，设备安装调试验收合格后付至合同总价的33%（同时扣回预付款），项目验收合格满一年并经审核后付至最终结算价的66%，余款于项目验收合格满二年后结清（无息）</w:t>
      </w:r>
      <w:r>
        <w:rPr>
          <w:rFonts w:hint="eastAsia" w:ascii="宋体" w:hAnsi="宋体" w:eastAsia="宋体" w:cs="Times New Roman"/>
          <w:sz w:val="24"/>
          <w:lang w:val="zh-CN"/>
        </w:rPr>
        <w:t xml:space="preserve">。</w:t>
      </w:r>
      <w:bookmarkEnd w:id="161"/>
      <w:r/>
      <w:r/>
    </w:p>
    <w:p>
      <w:pPr>
        <w:ind w:left="-181" w:firstLine="408"/>
        <w:spacing w:line="360" w:lineRule="auto"/>
        <w:rPr>
          <w:rFonts w:hint="eastAsia" w:ascii="宋体" w:hAnsi="宋体" w:eastAsia="宋体" w:cs="Times New Roman"/>
          <w:sz w:val="24"/>
        </w:rPr>
      </w:pPr>
      <w:r/>
      <w:bookmarkStart w:id="162" w:name="OLE_LINK8"/>
      <w:r>
        <w:rPr>
          <w:rFonts w:hint="eastAsia" w:ascii="宋体" w:hAnsi="宋体" w:eastAsia="宋体" w:cs="Times New Roman"/>
          <w:sz w:val="24"/>
        </w:rPr>
        <w:t xml:space="preserve">4、乙方交纳人民币_</w:t>
      </w:r>
      <w:r>
        <w:rPr>
          <w:rFonts w:hint="eastAsia" w:ascii="宋体" w:hAnsi="宋体" w:eastAsia="宋体" w:cs="Times New Roman"/>
          <w:sz w:val="24"/>
          <w:u w:val="single"/>
        </w:rPr>
        <w:t xml:space="preserve">（中标价的10%）</w:t>
      </w:r>
      <w:r>
        <w:rPr>
          <w:rFonts w:hint="eastAsia" w:ascii="宋体" w:hAnsi="宋体" w:eastAsia="宋体" w:cs="Times New Roman"/>
          <w:sz w:val="24"/>
        </w:rPr>
        <w:t xml:space="preserve">_元作为本合同的履约保证金。</w:t>
      </w:r>
      <w:r/>
    </w:p>
    <w:p>
      <w:pPr>
        <w:ind w:left="-181" w:firstLine="408"/>
        <w:spacing w:line="360" w:lineRule="auto"/>
        <w:rPr>
          <w:rFonts w:hint="eastAsia" w:ascii="宋体" w:hAnsi="宋体" w:eastAsia="宋体" w:cs="Times New Roman"/>
          <w:sz w:val="24"/>
        </w:rPr>
      </w:pPr>
      <w:r>
        <w:rPr>
          <w:rFonts w:hint="eastAsia" w:ascii="宋体" w:hAnsi="宋体" w:eastAsia="宋体" w:cs="Times New Roman"/>
          <w:sz w:val="24"/>
        </w:rPr>
        <w:t xml:space="preserve">备注：采购人应当对AA评级及以上政府采购供应商（需提供信用管理部门备案的第三方信用报告）免收履约保证金。</w:t>
      </w:r>
      <w:r/>
    </w:p>
    <w:p>
      <w:pPr>
        <w:ind w:left="-181" w:firstLine="408"/>
        <w:spacing w:line="360" w:lineRule="auto"/>
        <w:rPr>
          <w:rFonts w:hint="eastAsia" w:ascii="宋体" w:hAnsi="宋体" w:eastAsia="宋体" w:cs="Times New Roman"/>
          <w:sz w:val="24"/>
        </w:rPr>
      </w:pPr>
      <w:r>
        <w:rPr>
          <w:rFonts w:hint="eastAsia" w:ascii="宋体" w:hAnsi="宋体" w:eastAsia="宋体" w:cs="Times New Roman"/>
          <w:sz w:val="24"/>
        </w:rPr>
        <w:t xml:space="preserve">4.1履约保证金的缴纳形式：</w:t>
      </w:r>
      <w:r/>
    </w:p>
    <w:p>
      <w:pPr>
        <w:ind w:left="-181" w:firstLine="408"/>
        <w:spacing w:line="360" w:lineRule="auto"/>
        <w:rPr>
          <w:rFonts w:hint="eastAsia" w:ascii="宋体" w:hAnsi="宋体" w:eastAsia="宋体" w:cs="Times New Roman"/>
          <w:sz w:val="24"/>
        </w:rPr>
      </w:pPr>
      <w:r>
        <w:rPr>
          <w:rFonts w:hint="eastAsia" w:ascii="宋体" w:hAnsi="宋体" w:eastAsia="宋体" w:cs="Times New Roman"/>
          <w:sz w:val="24"/>
        </w:rPr>
        <w:t xml:space="preserve">4.1.1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181" w:firstLine="408"/>
        <w:spacing w:line="360" w:lineRule="auto"/>
        <w:rPr>
          <w:rFonts w:hint="eastAsia" w:ascii="宋体" w:hAnsi="宋体" w:eastAsia="宋体" w:cs="Times New Roman"/>
          <w:sz w:val="24"/>
        </w:rPr>
      </w:pPr>
      <w:r>
        <w:rPr>
          <w:rFonts w:hint="eastAsia" w:ascii="宋体" w:hAnsi="宋体" w:eastAsia="宋体" w:cs="Times New Roman"/>
          <w:sz w:val="24"/>
        </w:rPr>
        <w:t xml:space="preserve">4.1.2 如以履约保函（保险）形式缴纳履约保证金，供应商可通过政府采购电子履约保函（保险）平台（www.jsdzbh.com）在线申请履约保函（保险）。</w:t>
      </w:r>
      <w:r/>
    </w:p>
    <w:p>
      <w:pPr>
        <w:ind w:left="-181" w:firstLine="408"/>
        <w:spacing w:line="360" w:lineRule="auto"/>
        <w:rPr>
          <w:rFonts w:hint="eastAsia" w:ascii="宋体" w:hAnsi="宋体" w:eastAsia="宋体" w:cs="Times New Roman"/>
          <w:sz w:val="24"/>
        </w:rPr>
      </w:pPr>
      <w:r>
        <w:rPr>
          <w:rFonts w:hint="eastAsia" w:ascii="宋体" w:hAnsi="宋体" w:eastAsia="宋体" w:cs="Times New Roman"/>
          <w:sz w:val="24"/>
        </w:rPr>
        <w:t xml:space="preserve">4.2履约保证金的退还：</w:t>
      </w:r>
      <w:r/>
    </w:p>
    <w:p>
      <w:pPr>
        <w:ind w:left="-181" w:firstLine="408"/>
        <w:spacing w:line="360" w:lineRule="auto"/>
        <w:rPr>
          <w:rFonts w:hint="eastAsia" w:ascii="宋体" w:hAnsi="宋体" w:eastAsia="宋体" w:cs="Times New Roman"/>
          <w:sz w:val="24"/>
        </w:rPr>
      </w:pPr>
      <w:r>
        <w:rPr>
          <w:rFonts w:hint="eastAsia" w:ascii="宋体" w:hAnsi="宋体" w:eastAsia="宋体" w:cs="Times New Roman"/>
          <w:sz w:val="24"/>
        </w:rPr>
        <w:t xml:space="preserve">4.2.1方式：无息退还至乙方缴纳履约保证金的账户。如为保函，在到期时自行失效。</w:t>
      </w:r>
      <w:r/>
    </w:p>
    <w:p>
      <w:pPr>
        <w:ind w:left="-181" w:firstLine="408"/>
        <w:spacing w:line="360" w:lineRule="auto"/>
        <w:rPr>
          <w:rFonts w:hint="eastAsia" w:ascii="宋体" w:hAnsi="宋体" w:eastAsia="宋体" w:cs="Times New Roman"/>
          <w:sz w:val="24"/>
        </w:rPr>
      </w:pPr>
      <w:r>
        <w:rPr>
          <w:rFonts w:hint="eastAsia" w:ascii="宋体" w:hAnsi="宋体" w:eastAsia="宋体" w:cs="Times New Roman"/>
          <w:sz w:val="24"/>
        </w:rPr>
        <w:t xml:space="preserve">4.2.2时间：验收合格且甲方收到发票后30日内。</w:t>
      </w:r>
      <w:r/>
    </w:p>
    <w:p>
      <w:pPr>
        <w:ind w:left="-181" w:firstLine="408"/>
        <w:spacing w:line="360" w:lineRule="auto"/>
        <w:rPr>
          <w:rFonts w:hint="eastAsia" w:ascii="宋体" w:hAnsi="宋体" w:eastAsia="宋体" w:cs="Times New Roman"/>
          <w:sz w:val="24"/>
        </w:rPr>
      </w:pPr>
      <w:r>
        <w:rPr>
          <w:rFonts w:hint="eastAsia" w:ascii="宋体" w:hAnsi="宋体" w:eastAsia="宋体" w:cs="Times New Roman"/>
          <w:sz w:val="24"/>
        </w:rPr>
        <w:t xml:space="preserve">4.3.3条件：按合同要求全部履约完成并经甲方验收合格无违约情形，且甲方收到乙方出具的发票。</w:t>
      </w:r>
      <w:bookmarkEnd w:id="162"/>
      <w:r/>
      <w:r/>
    </w:p>
    <w:p>
      <w:pPr>
        <w:ind w:left="-181" w:firstLine="408"/>
        <w:spacing w:line="360" w:lineRule="auto"/>
        <w:rPr>
          <w:rFonts w:hint="eastAsia" w:ascii="宋体" w:hAnsi="宋体" w:eastAsia="宋体" w:cs="Times New Roman"/>
          <w:bCs/>
          <w:sz w:val="24"/>
          <w:lang w:val="zh-CN"/>
        </w:rPr>
      </w:pPr>
      <w:r>
        <w:rPr>
          <w:rFonts w:hint="eastAsia" w:ascii="宋体" w:hAnsi="宋体" w:eastAsia="宋体" w:cs="Times New Roman"/>
          <w:bCs/>
          <w:sz w:val="24"/>
          <w:lang w:val="zh-CN"/>
        </w:rPr>
        <w:t xml:space="preserve">5、本项目采用固定单价合同，结算时按照中标单价执行，不调整（甲方同意调整除外）。合同价</w:t>
      </w:r>
      <w:r>
        <w:rPr>
          <w:rFonts w:hint="eastAsia" w:ascii="宋体" w:hAnsi="宋体" w:eastAsia="宋体" w:cs="Times New Roman"/>
          <w:bCs/>
          <w:sz w:val="24"/>
        </w:rPr>
        <w:t xml:space="preserve">款</w:t>
      </w:r>
      <w:r>
        <w:rPr>
          <w:rFonts w:hint="eastAsia" w:ascii="宋体" w:hAnsi="宋体" w:eastAsia="宋体" w:cs="Times New Roman"/>
          <w:bCs/>
          <w:sz w:val="24"/>
          <w:lang w:val="zh-CN"/>
        </w:rPr>
        <w:t xml:space="preserve">包括但不限于人工费、材料费、施工费、调试费、垃圾清运费、场地恢复费、测试费、检测费、验收费、评审费、培训费、维保费、管理费、税费、企业管理费、利润等以及所有不可预见的全部相关费用（应充分考虑所有风险、责任等），招标文件和合同未列明，而乙方认为必需的费用投标时已自行综合考虑到合同价款中。</w:t>
      </w:r>
      <w:r/>
    </w:p>
    <w:p>
      <w:pPr>
        <w:ind w:left="-181" w:firstLine="408"/>
        <w:spacing w:line="360" w:lineRule="auto"/>
        <w:rPr>
          <w:rFonts w:hint="eastAsia" w:ascii="宋体" w:hAnsi="宋体" w:eastAsia="宋体" w:cs="Times New Roman"/>
          <w:bCs/>
          <w:sz w:val="24"/>
          <w:lang w:val="zh-CN"/>
        </w:rPr>
      </w:pPr>
      <w:r>
        <w:rPr>
          <w:rFonts w:hint="eastAsia" w:ascii="宋体" w:hAnsi="宋体" w:eastAsia="宋体" w:cs="Times New Roman"/>
          <w:bCs/>
          <w:sz w:val="24"/>
          <w:lang w:val="zh-CN"/>
        </w:rPr>
        <w:t xml:space="preserve">第八条违约责任</w:t>
      </w:r>
      <w:r>
        <w:rPr>
          <w:rFonts w:hint="eastAsia" w:ascii="宋体" w:hAnsi="宋体" w:eastAsia="宋体" w:cs="Times New Roman"/>
          <w:bCs/>
          <w:sz w:val="24"/>
          <w:lang w:val="zh-CN"/>
        </w:rPr>
        <w:tab/>
      </w:r>
      <w:r/>
    </w:p>
    <w:p>
      <w:pPr>
        <w:ind w:left="-206" w:firstLine="240"/>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1.合同签订后，甲方无故中止或解除合同，甲方按乙方实际完成的工作量支付乙方合同价款。</w:t>
      </w:r>
      <w:r/>
    </w:p>
    <w:p>
      <w:pPr>
        <w:ind w:left="-181" w:firstLine="408"/>
        <w:spacing w:line="360" w:lineRule="auto"/>
        <w:rPr>
          <w:rFonts w:hint="eastAsia" w:ascii="宋体" w:hAnsi="宋体" w:eastAsia="宋体" w:cs="Times New Roman"/>
          <w:sz w:val="24"/>
        </w:rPr>
      </w:pPr>
      <w:r>
        <w:rPr>
          <w:rFonts w:hint="eastAsia" w:ascii="宋体" w:hAnsi="宋体" w:eastAsia="宋体" w:cs="Times New Roman"/>
          <w:sz w:val="24"/>
        </w:rPr>
        <w:t xml:space="preserve">2．甲方应按照本合同约定按期支付合同价款。非因甲方原因导致未按期支付乙方合同价款的，甲方应积极协调费用支付事宜。</w:t>
      </w:r>
      <w:r/>
    </w:p>
    <w:p>
      <w:pPr>
        <w:ind w:left="-181" w:firstLine="408"/>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3.合同签订后，如乙方擅自中止或解除合同，乙方向甲方支付合同价款的3</w:t>
      </w:r>
      <w:r>
        <w:rPr>
          <w:rFonts w:ascii="宋体" w:hAnsi="宋体" w:eastAsia="宋体" w:cs="Times New Roman"/>
          <w:sz w:val="24"/>
        </w:rPr>
        <w:t xml:space="preserve">0</w:t>
      </w:r>
      <w:r>
        <w:rPr>
          <w:rFonts w:hint="eastAsia" w:ascii="宋体" w:hAnsi="宋体" w:eastAsia="宋体" w:cs="Times New Roman"/>
          <w:sz w:val="24"/>
        </w:rPr>
        <w:t xml:space="preserve">％违约金，如造成甲方损失的，乙方还应赔偿损失。</w:t>
      </w:r>
      <w:r/>
    </w:p>
    <w:p>
      <w:pPr>
        <w:ind w:left="-181" w:firstLine="408"/>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4.实施过程中，乙方逾期交付货物、完成安装调试的，每延误一天承担1000元的违约金，逾期超过10天的，甲方有权解除合同，乙方除返还甲方已支付的合同价款外，应向甲方支付合同价款30％的违约金。如造成甲方损失的，乙方还应赔偿损失。</w:t>
      </w:r>
      <w:r/>
    </w:p>
    <w:p>
      <w:pPr>
        <w:ind w:left="-181" w:firstLine="408"/>
        <w:jc w:val="left"/>
        <w:spacing w:line="360" w:lineRule="auto"/>
        <w:rPr>
          <w:rFonts w:hint="eastAsia" w:ascii="宋体" w:hAnsi="宋体" w:eastAsia="宋体" w:cs="Times New Roman"/>
          <w:sz w:val="24"/>
          <w:lang w:val="zh-CN"/>
        </w:rPr>
      </w:pPr>
      <w:r>
        <w:rPr>
          <w:rFonts w:hint="eastAsia" w:ascii="宋体" w:hAnsi="宋体" w:eastAsia="宋体" w:cs="Times New Roman"/>
          <w:sz w:val="24"/>
        </w:rPr>
        <w:t xml:space="preserve">5.</w:t>
      </w:r>
      <w:r>
        <w:rPr>
          <w:rFonts w:hint="eastAsia" w:ascii="宋体" w:hAnsi="宋体" w:eastAsia="宋体" w:cs="Times New Roman"/>
          <w:sz w:val="24"/>
          <w:lang w:val="zh-CN"/>
        </w:rPr>
        <w:t xml:space="preserve">乙方在承担违约责任后，仍应继续履行合同</w:t>
      </w:r>
      <w:r>
        <w:rPr>
          <w:rFonts w:hint="eastAsia" w:ascii="宋体" w:hAnsi="宋体" w:eastAsia="宋体" w:cs="Times New Roman"/>
          <w:sz w:val="24"/>
        </w:rPr>
        <w:t xml:space="preserve">约</w:t>
      </w:r>
      <w:r>
        <w:rPr>
          <w:rFonts w:hint="eastAsia" w:ascii="宋体" w:hAnsi="宋体" w:eastAsia="宋体" w:cs="Times New Roman"/>
          <w:sz w:val="24"/>
          <w:lang w:val="zh-CN"/>
        </w:rPr>
        <w:t xml:space="preserve">定的义务（甲方解除合同的除外）。甲方未能及时追究乙方的任何一项违约责任并不表明甲方放弃追究乙方该项或其他违约责任。</w:t>
      </w:r>
      <w:r/>
    </w:p>
    <w:p>
      <w:pPr>
        <w:ind w:left="-181" w:firstLine="408"/>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6.对于甲方提供的有关资料，乙方有保密义务，不得向第三人以任何方式泄漏。</w:t>
      </w:r>
      <w:r/>
    </w:p>
    <w:p>
      <w:pPr>
        <w:ind w:left="-181" w:firstLine="408"/>
        <w:jc w:val="left"/>
        <w:spacing w:line="360" w:lineRule="auto"/>
        <w:rPr>
          <w:rFonts w:hint="eastAsia" w:ascii="宋体" w:hAnsi="宋体" w:eastAsia="宋体" w:cs="Times New Roman"/>
          <w:bCs/>
          <w:sz w:val="24"/>
          <w:lang w:val="zh-CN"/>
        </w:rPr>
      </w:pPr>
      <w:r>
        <w:rPr>
          <w:rFonts w:hint="eastAsia" w:ascii="宋体" w:hAnsi="宋体" w:eastAsia="宋体" w:cs="Times New Roman"/>
          <w:bCs/>
          <w:sz w:val="24"/>
          <w:lang w:val="zh-CN"/>
        </w:rPr>
        <w:t xml:space="preserve">第九条合同的变更和终止</w:t>
      </w:r>
      <w:r/>
    </w:p>
    <w:p>
      <w:pPr>
        <w:ind w:left="-181" w:firstLine="408"/>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除发生法律规定的不能预见、不能避免并不能克服的客观情况外，甲乙双方不得放弃或拒绝履行合同。</w:t>
      </w:r>
      <w:r/>
    </w:p>
    <w:p>
      <w:pPr>
        <w:ind w:left="-181" w:firstLine="408"/>
        <w:jc w:val="left"/>
        <w:spacing w:line="360" w:lineRule="auto"/>
        <w:rPr>
          <w:rFonts w:hint="eastAsia" w:ascii="宋体" w:hAnsi="宋体" w:eastAsia="宋体" w:cs="Times New Roman"/>
          <w:bCs/>
          <w:sz w:val="24"/>
          <w:lang w:val="zh-CN"/>
        </w:rPr>
      </w:pPr>
      <w:r>
        <w:rPr>
          <w:rFonts w:hint="eastAsia" w:ascii="宋体" w:hAnsi="宋体" w:eastAsia="宋体" w:cs="Times New Roman"/>
          <w:bCs/>
          <w:sz w:val="24"/>
          <w:lang w:val="zh-CN"/>
        </w:rPr>
        <w:t xml:space="preserve">第十条合同的转让</w:t>
      </w:r>
      <w:r/>
    </w:p>
    <w:p>
      <w:pPr>
        <w:ind w:firstLine="480"/>
        <w:jc w:val="left"/>
        <w:spacing w:line="480" w:lineRule="exact"/>
        <w:rPr>
          <w:rFonts w:hint="eastAsia" w:ascii="宋体" w:hAnsi="宋体" w:eastAsia="宋体" w:cs="Times New Roman"/>
          <w:sz w:val="24"/>
          <w:lang w:val="zh-CN"/>
        </w:rPr>
      </w:pPr>
      <w:r>
        <w:rPr>
          <w:rFonts w:hint="eastAsia" w:ascii="宋体" w:hAnsi="宋体" w:eastAsia="宋体" w:cs="Times New Roman"/>
          <w:sz w:val="24"/>
          <w:lang w:val="zh-CN"/>
        </w:rPr>
        <w:t xml:space="preserve">乙方不得擅自部分或全部转让其应履行的合同义务，如出现此行为，甲方有权</w:t>
      </w:r>
      <w:r>
        <w:rPr>
          <w:rFonts w:hint="eastAsia" w:ascii="宋体" w:hAnsi="宋体" w:eastAsia="宋体" w:cs="Times New Roman"/>
          <w:sz w:val="24"/>
        </w:rPr>
        <w:t xml:space="preserve">解除</w:t>
      </w:r>
      <w:r>
        <w:rPr>
          <w:rFonts w:hint="eastAsia" w:ascii="宋体" w:hAnsi="宋体" w:eastAsia="宋体" w:cs="Times New Roman"/>
          <w:sz w:val="24"/>
          <w:lang w:val="zh-CN"/>
        </w:rPr>
        <w:t xml:space="preserve">合同，同时乙方应承担合同</w:t>
      </w:r>
      <w:r>
        <w:rPr>
          <w:rFonts w:hint="eastAsia" w:ascii="宋体" w:hAnsi="宋体" w:eastAsia="宋体" w:cs="Times New Roman"/>
          <w:sz w:val="24"/>
        </w:rPr>
        <w:t xml:space="preserve">价款</w:t>
      </w:r>
      <w:r>
        <w:rPr>
          <w:rFonts w:hint="eastAsia" w:ascii="宋体" w:hAnsi="宋体" w:eastAsia="宋体" w:cs="Times New Roman"/>
          <w:sz w:val="24"/>
          <w:lang w:val="zh-CN"/>
        </w:rPr>
        <w:t xml:space="preserve">30%的违约金。</w:t>
      </w:r>
      <w:r>
        <w:rPr>
          <w:rFonts w:hint="eastAsia" w:ascii="宋体" w:hAnsi="宋体" w:eastAsia="宋体" w:cs="Times New Roman"/>
          <w:sz w:val="24"/>
        </w:rPr>
        <w:t xml:space="preserve">如造成甲方损失的，乙方应赔偿损失。</w:t>
      </w:r>
      <w:r/>
    </w:p>
    <w:p>
      <w:pPr>
        <w:ind w:left="-181" w:firstLine="408"/>
        <w:jc w:val="left"/>
        <w:spacing w:line="360" w:lineRule="auto"/>
        <w:rPr>
          <w:rFonts w:hint="eastAsia" w:ascii="宋体" w:hAnsi="宋体" w:eastAsia="宋体" w:cs="Times New Roman"/>
          <w:bCs/>
          <w:sz w:val="24"/>
          <w:lang w:val="zh-CN"/>
        </w:rPr>
      </w:pPr>
      <w:r>
        <w:rPr>
          <w:rFonts w:hint="eastAsia" w:ascii="宋体" w:hAnsi="宋体" w:eastAsia="宋体" w:cs="Times New Roman"/>
          <w:bCs/>
          <w:sz w:val="24"/>
          <w:lang w:val="zh-CN"/>
        </w:rPr>
        <w:t xml:space="preserve">第十一条争议的解决</w:t>
      </w:r>
      <w:r/>
    </w:p>
    <w:p>
      <w:pPr>
        <w:ind w:left="-181" w:firstLine="408"/>
        <w:jc w:val="left"/>
        <w:spacing w:line="360" w:lineRule="auto"/>
        <w:rPr>
          <w:rFonts w:hint="eastAsia" w:ascii="宋体" w:hAnsi="宋体" w:eastAsia="宋体" w:cs="Times New Roman"/>
          <w:sz w:val="24"/>
          <w:lang w:val="zh-CN"/>
        </w:rPr>
      </w:pPr>
      <w:r>
        <w:rPr>
          <w:rFonts w:hint="eastAsia" w:ascii="宋体" w:hAnsi="宋体" w:eastAsia="宋体" w:cs="Times New Roman"/>
          <w:sz w:val="24"/>
          <w:lang w:val="zh-CN"/>
        </w:rPr>
        <w:t xml:space="preserve">因履行本合同引起的或与本合同有关的争议，甲、乙双方应首先通过友好协商解决，如果协商不能解决争议，则向甲方</w:t>
      </w:r>
      <w:r>
        <w:rPr>
          <w:rFonts w:hint="eastAsia" w:ascii="宋体" w:hAnsi="宋体" w:eastAsia="宋体" w:cs="Times New Roman"/>
          <w:sz w:val="24"/>
        </w:rPr>
        <w:t xml:space="preserve">住所</w:t>
      </w:r>
      <w:r>
        <w:rPr>
          <w:rFonts w:hint="eastAsia" w:ascii="宋体" w:hAnsi="宋体" w:eastAsia="宋体" w:cs="Times New Roman"/>
          <w:sz w:val="24"/>
          <w:lang w:val="zh-CN"/>
        </w:rPr>
        <w:t xml:space="preserve">地有管辖权的人民法院提起诉讼。</w:t>
      </w:r>
      <w:r/>
    </w:p>
    <w:p>
      <w:pPr>
        <w:ind w:left="-181" w:firstLine="408"/>
        <w:jc w:val="left"/>
        <w:spacing w:line="360" w:lineRule="auto"/>
        <w:rPr>
          <w:rFonts w:hint="eastAsia" w:ascii="宋体" w:hAnsi="宋体" w:eastAsia="宋体" w:cs="Times New Roman"/>
          <w:bCs/>
          <w:sz w:val="24"/>
          <w:lang w:val="zh-CN"/>
        </w:rPr>
      </w:pPr>
      <w:r>
        <w:rPr>
          <w:rFonts w:hint="eastAsia" w:ascii="宋体" w:hAnsi="宋体" w:eastAsia="宋体" w:cs="Times New Roman"/>
          <w:bCs/>
          <w:sz w:val="24"/>
          <w:lang w:val="zh-CN"/>
        </w:rPr>
        <w:t xml:space="preserve">第十二条诚实信用</w:t>
      </w:r>
      <w:r/>
    </w:p>
    <w:p>
      <w:pPr>
        <w:ind w:left="-181" w:firstLine="408"/>
        <w:jc w:val="left"/>
        <w:spacing w:line="360" w:lineRule="auto"/>
        <w:rPr>
          <w:rFonts w:hint="eastAsia" w:ascii="宋体" w:hAnsi="宋体" w:eastAsia="宋体" w:cs="Times New Roman"/>
          <w:sz w:val="24"/>
          <w:lang w:val="zh-CN"/>
        </w:rPr>
      </w:pPr>
      <w:r>
        <w:rPr>
          <w:rFonts w:hint="eastAsia" w:ascii="宋体" w:hAnsi="宋体" w:eastAsia="宋体" w:cs="Times New Roman"/>
          <w:sz w:val="24"/>
          <w:lang w:val="zh-CN"/>
        </w:rPr>
        <w:t xml:space="preserve">乙方应诚实信用，严格按照</w:t>
      </w:r>
      <w:r>
        <w:rPr>
          <w:rFonts w:hint="eastAsia" w:ascii="宋体" w:hAnsi="宋体" w:eastAsia="宋体" w:cs="Times New Roman"/>
          <w:sz w:val="24"/>
        </w:rPr>
        <w:t xml:space="preserve">招标</w:t>
      </w:r>
      <w:r>
        <w:rPr>
          <w:rFonts w:hint="eastAsia" w:ascii="宋体" w:hAnsi="宋体" w:eastAsia="宋体" w:cs="Times New Roman"/>
          <w:sz w:val="24"/>
          <w:lang w:val="zh-CN"/>
        </w:rPr>
        <w:t xml:space="preserve">文件要求和承诺履行合同，不向甲方进行商业贿赂或者提供不正当利益。</w:t>
      </w:r>
      <w:r/>
    </w:p>
    <w:p>
      <w:pPr>
        <w:ind w:left="-181" w:firstLine="408"/>
        <w:jc w:val="left"/>
        <w:spacing w:line="360" w:lineRule="auto"/>
        <w:rPr>
          <w:rFonts w:hint="eastAsia" w:ascii="宋体" w:hAnsi="宋体" w:eastAsia="宋体" w:cs="Times New Roman"/>
          <w:bCs/>
          <w:sz w:val="24"/>
          <w:lang w:val="zh-CN"/>
        </w:rPr>
      </w:pPr>
      <w:r>
        <w:rPr>
          <w:rFonts w:hint="eastAsia" w:ascii="宋体" w:hAnsi="宋体" w:eastAsia="宋体" w:cs="Times New Roman"/>
          <w:bCs/>
          <w:sz w:val="24"/>
          <w:lang w:val="zh-CN"/>
        </w:rPr>
        <w:t xml:space="preserve">第十三条合同生效及其他</w:t>
      </w:r>
      <w:r/>
    </w:p>
    <w:p>
      <w:pPr>
        <w:ind w:left="-181" w:firstLine="408"/>
        <w:jc w:val="left"/>
        <w:spacing w:line="360" w:lineRule="auto"/>
        <w:rPr>
          <w:rFonts w:hint="eastAsia" w:ascii="宋体" w:hAnsi="宋体" w:eastAsia="宋体" w:cs="Times New Roman"/>
          <w:sz w:val="24"/>
          <w:lang w:val="zh-CN"/>
        </w:rPr>
      </w:pPr>
      <w:r>
        <w:rPr>
          <w:rFonts w:hint="eastAsia" w:ascii="宋体" w:hAnsi="宋体" w:eastAsia="宋体" w:cs="Times New Roman"/>
          <w:sz w:val="24"/>
          <w:lang w:val="zh-CN"/>
        </w:rPr>
        <w:t xml:space="preserve">1、本合同自</w:t>
      </w:r>
      <w:r>
        <w:rPr>
          <w:rFonts w:hint="eastAsia" w:ascii="宋体" w:hAnsi="宋体" w:eastAsia="宋体" w:cs="Times New Roman"/>
          <w:sz w:val="24"/>
        </w:rPr>
        <w:t xml:space="preserve">双方盖章、法定代表人或授权代理人签名</w:t>
      </w:r>
      <w:r>
        <w:rPr>
          <w:rFonts w:hint="eastAsia" w:ascii="宋体" w:hAnsi="宋体" w:eastAsia="宋体" w:cs="Times New Roman"/>
          <w:sz w:val="24"/>
          <w:lang w:val="zh-CN"/>
        </w:rPr>
        <w:t xml:space="preserve">之日起生效。</w:t>
      </w:r>
      <w:r/>
    </w:p>
    <w:p>
      <w:pPr>
        <w:ind w:left="-181" w:firstLine="408"/>
        <w:jc w:val="left"/>
        <w:spacing w:line="360" w:lineRule="auto"/>
        <w:rPr>
          <w:rFonts w:hint="eastAsia" w:ascii="宋体" w:hAnsi="宋体" w:eastAsia="宋体" w:cs="Times New Roman"/>
          <w:sz w:val="24"/>
          <w:lang w:val="zh-CN"/>
        </w:rPr>
      </w:pPr>
      <w:r>
        <w:rPr>
          <w:rFonts w:hint="eastAsia" w:ascii="宋体" w:hAnsi="宋体" w:eastAsia="宋体" w:cs="Times New Roman"/>
          <w:sz w:val="24"/>
          <w:lang w:val="zh-CN"/>
        </w:rPr>
        <w:t xml:space="preserve">2、本合同一式</w:t>
      </w:r>
      <w:r>
        <w:rPr>
          <w:rFonts w:hint="eastAsia" w:ascii="宋体" w:hAnsi="宋体" w:eastAsia="宋体" w:cs="Times New Roman"/>
          <w:sz w:val="24"/>
        </w:rPr>
        <w:t xml:space="preserve">捌</w:t>
      </w:r>
      <w:r>
        <w:rPr>
          <w:rFonts w:hint="eastAsia" w:ascii="宋体" w:hAnsi="宋体" w:eastAsia="宋体" w:cs="Times New Roman"/>
          <w:sz w:val="24"/>
          <w:lang w:val="zh-CN"/>
        </w:rPr>
        <w:t xml:space="preserve">份，甲乙双方各执</w:t>
      </w:r>
      <w:r>
        <w:rPr>
          <w:rFonts w:hint="eastAsia" w:ascii="宋体" w:hAnsi="宋体" w:eastAsia="宋体" w:cs="Times New Roman"/>
          <w:sz w:val="24"/>
        </w:rPr>
        <w:t xml:space="preserve">肆</w:t>
      </w:r>
      <w:r>
        <w:rPr>
          <w:rFonts w:hint="eastAsia" w:ascii="宋体" w:hAnsi="宋体" w:eastAsia="宋体" w:cs="Times New Roman"/>
          <w:sz w:val="24"/>
          <w:lang w:val="zh-CN"/>
        </w:rPr>
        <w:t xml:space="preserve">份，</w:t>
      </w:r>
      <w:r>
        <w:rPr>
          <w:rFonts w:hint="eastAsia" w:ascii="宋体" w:hAnsi="宋体" w:eastAsia="宋体" w:cs="Times New Roman"/>
          <w:sz w:val="24"/>
        </w:rPr>
        <w:t xml:space="preserve">具有同等法律效力</w:t>
      </w:r>
      <w:r>
        <w:rPr>
          <w:rFonts w:hint="eastAsia" w:ascii="宋体" w:hAnsi="宋体" w:eastAsia="宋体" w:cs="Times New Roman"/>
          <w:sz w:val="24"/>
          <w:lang w:val="zh-CN"/>
        </w:rPr>
        <w:t xml:space="preserve">。</w:t>
      </w:r>
      <w:r/>
    </w:p>
    <w:p>
      <w:pPr>
        <w:ind w:left="-181" w:firstLine="408"/>
        <w:jc w:val="left"/>
        <w:spacing w:line="360" w:lineRule="auto"/>
        <w:rPr>
          <w:rFonts w:hint="eastAsia" w:ascii="宋体" w:hAnsi="宋体" w:eastAsia="宋体" w:cs="Times New Roman"/>
          <w:sz w:val="24"/>
          <w:lang w:val="zh-CN"/>
        </w:rPr>
      </w:pPr>
      <w:r>
        <w:rPr>
          <w:rFonts w:hint="eastAsia" w:ascii="宋体" w:hAnsi="宋体" w:eastAsia="宋体" w:cs="Times New Roman"/>
          <w:sz w:val="24"/>
          <w:lang w:val="zh-CN"/>
        </w:rPr>
        <w:t xml:space="preserve">3、本合同应按照中华人民共和国的现行法律进行解释。</w:t>
      </w:r>
      <w:r/>
    </w:p>
    <w:p>
      <w:pPr>
        <w:ind w:left="-181" w:firstLine="408"/>
        <w:jc w:val="left"/>
        <w:spacing w:line="360" w:lineRule="auto"/>
        <w:rPr>
          <w:rFonts w:hint="eastAsia" w:ascii="宋体" w:hAnsi="宋体" w:eastAsia="宋体" w:cs="Times New Roman"/>
          <w:sz w:val="24"/>
          <w:lang w:val="zh-CN"/>
        </w:rPr>
      </w:pPr>
      <w:r>
        <w:rPr>
          <w:rFonts w:hint="eastAsia" w:ascii="宋体" w:hAnsi="宋体" w:eastAsia="宋体" w:cs="Times New Roman"/>
          <w:sz w:val="24"/>
          <w:lang w:val="zh-CN"/>
        </w:rPr>
        <w:t xml:space="preserve">4、本项目工程款债权不得转让和质押。</w:t>
      </w:r>
      <w:r/>
    </w:p>
    <w:p>
      <w:pPr>
        <w:ind w:left="-206"/>
        <w:spacing w:before="120" w:after="120" w:line="480" w:lineRule="exact"/>
        <w:tabs>
          <w:tab w:val="left" w:pos="2472" w:leader="none"/>
        </w:tabs>
        <w:rPr>
          <w:rFonts w:hint="eastAsia" w:ascii="仿宋" w:hAnsi="仿宋" w:eastAsia="仿宋" w:cs="Courier New"/>
          <w:szCs w:val="21"/>
        </w:rPr>
      </w:pPr>
      <w:r>
        <w:rPr>
          <w:rFonts w:ascii="仿宋" w:hAnsi="仿宋" w:eastAsia="仿宋" w:cs="Courier New"/>
          <w:szCs w:val="21"/>
        </w:rPr>
        <w:t xml:space="preserve">甲方(盖章)：_________　　　　　　　 乙方(盖章)：_________</w:t>
      </w:r>
      <w:r/>
    </w:p>
    <w:p>
      <w:pPr>
        <w:ind w:left="-206"/>
        <w:spacing w:before="120" w:after="120" w:line="480" w:lineRule="exact"/>
        <w:tabs>
          <w:tab w:val="left" w:pos="2472" w:leader="none"/>
        </w:tabs>
        <w:rPr>
          <w:rFonts w:hint="eastAsia" w:ascii="仿宋" w:hAnsi="仿宋" w:eastAsia="仿宋" w:cs="Courier New"/>
          <w:szCs w:val="21"/>
        </w:rPr>
      </w:pPr>
      <w:r>
        <w:rPr>
          <w:rFonts w:ascii="仿宋" w:hAnsi="仿宋" w:eastAsia="仿宋" w:cs="Courier New"/>
          <w:szCs w:val="21"/>
        </w:rPr>
        <w:t xml:space="preserve">法定代表人或授权</w:t>
      </w:r>
      <w:r>
        <w:rPr>
          <w:rFonts w:hint="eastAsia" w:ascii="仿宋" w:hAnsi="仿宋" w:eastAsia="仿宋" w:cs="Courier New"/>
          <w:szCs w:val="21"/>
        </w:rPr>
        <w:t xml:space="preserve">代理</w:t>
      </w:r>
      <w:r>
        <w:rPr>
          <w:rFonts w:ascii="仿宋" w:hAnsi="仿宋" w:eastAsia="仿宋" w:cs="Courier New"/>
          <w:szCs w:val="21"/>
        </w:rPr>
        <w:t xml:space="preserve">人(签</w:t>
      </w:r>
      <w:r>
        <w:rPr>
          <w:rFonts w:hint="eastAsia" w:ascii="仿宋" w:hAnsi="仿宋" w:eastAsia="仿宋" w:cs="Courier New"/>
          <w:szCs w:val="21"/>
        </w:rPr>
        <w:t xml:space="preserve">名</w:t>
      </w:r>
      <w:r>
        <w:rPr>
          <w:rFonts w:ascii="仿宋" w:hAnsi="仿宋" w:eastAsia="仿宋" w:cs="Courier New"/>
          <w:szCs w:val="21"/>
        </w:rPr>
        <w:t xml:space="preserve">)：      法定代表人或授权</w:t>
      </w:r>
      <w:r>
        <w:rPr>
          <w:rFonts w:hint="eastAsia" w:ascii="仿宋" w:hAnsi="仿宋" w:eastAsia="仿宋" w:cs="Courier New"/>
          <w:szCs w:val="21"/>
        </w:rPr>
        <w:t xml:space="preserve">代理</w:t>
      </w:r>
      <w:r>
        <w:rPr>
          <w:rFonts w:ascii="仿宋" w:hAnsi="仿宋" w:eastAsia="仿宋" w:cs="Courier New"/>
          <w:szCs w:val="21"/>
        </w:rPr>
        <w:t xml:space="preserve">人(签</w:t>
      </w:r>
      <w:r>
        <w:rPr>
          <w:rFonts w:hint="eastAsia" w:ascii="仿宋" w:hAnsi="仿宋" w:eastAsia="仿宋" w:cs="Courier New"/>
          <w:szCs w:val="21"/>
        </w:rPr>
        <w:t xml:space="preserve">名</w:t>
      </w:r>
      <w:r>
        <w:rPr>
          <w:rFonts w:ascii="仿宋" w:hAnsi="仿宋" w:eastAsia="仿宋" w:cs="Courier New"/>
          <w:szCs w:val="21"/>
        </w:rPr>
        <w:t xml:space="preserve">)： </w:t>
      </w:r>
      <w:r/>
    </w:p>
    <w:p>
      <w:pPr>
        <w:ind w:left="-181" w:firstLine="357"/>
        <w:spacing w:before="120" w:after="120" w:line="480" w:lineRule="exact"/>
        <w:tabs>
          <w:tab w:val="left" w:pos="2472" w:leader="none"/>
        </w:tabs>
        <w:rPr>
          <w:rFonts w:hint="eastAsia" w:ascii="仿宋" w:hAnsi="仿宋" w:eastAsia="仿宋" w:cs="Courier New"/>
          <w:szCs w:val="21"/>
        </w:rPr>
      </w:pPr>
      <w:r>
        <w:rPr>
          <w:rFonts w:ascii="仿宋" w:hAnsi="仿宋" w:eastAsia="仿宋" w:cs="Courier New"/>
          <w:szCs w:val="21"/>
        </w:rPr>
        <w:t xml:space="preserve">　　_________年____月____日　　　　　　　　_________年____月____日</w:t>
      </w:r>
      <w:r/>
    </w:p>
    <w:p>
      <w:pPr>
        <w:rPr>
          <w:rFonts w:ascii="Times New Roman" w:hAnsi="Times New Roman" w:eastAsia="宋体" w:cs="Times New Roman"/>
          <w:sz w:val="20"/>
          <w:szCs w:val="20"/>
        </w:rPr>
      </w:pPr>
      <w:r>
        <w:rPr>
          <w:rFonts w:ascii="Times New Roman" w:hAnsi="Times New Roman" w:eastAsia="宋体" w:cs="Times New Roman"/>
          <w:sz w:val="20"/>
          <w:szCs w:val="20"/>
        </w:rPr>
      </w:r>
      <w:r/>
    </w:p>
    <w:p>
      <w:pPr>
        <w:ind w:left="-206"/>
        <w:jc w:val="center"/>
        <w:spacing w:line="360" w:lineRule="auto"/>
      </w:pPr>
      <w:r/>
      <w:r/>
    </w:p>
    <w:p>
      <w:pPr>
        <w:ind w:left="-206"/>
        <w:jc w:val="center"/>
        <w:spacing w:line="360" w:lineRule="auto"/>
      </w:pPr>
      <w:r/>
      <w:r/>
    </w:p>
    <w:p>
      <w:pPr>
        <w:ind w:left="-206"/>
        <w:jc w:val="center"/>
        <w:spacing w:line="360" w:lineRule="auto"/>
      </w:pPr>
      <w:r/>
      <w:r/>
    </w:p>
    <w:p>
      <w:pPr>
        <w:ind w:left="-206"/>
        <w:jc w:val="center"/>
        <w:spacing w:line="360" w:lineRule="auto"/>
      </w:pPr>
      <w:r/>
      <w:r/>
    </w:p>
    <w:p>
      <w:pPr>
        <w:ind w:left="-206"/>
        <w:jc w:val="center"/>
        <w:spacing w:line="360" w:lineRule="auto"/>
      </w:pPr>
      <w:r/>
      <w:r/>
    </w:p>
    <w:p>
      <w:pPr>
        <w:ind w:left="-206"/>
        <w:jc w:val="center"/>
        <w:spacing w:line="360" w:lineRule="auto"/>
      </w:pPr>
      <w:r/>
      <w:r/>
    </w:p>
    <w:p>
      <w:pPr>
        <w:ind w:left="-206"/>
        <w:jc w:val="center"/>
        <w:spacing w:line="360" w:lineRule="auto"/>
      </w:pPr>
      <w:r/>
      <w:r/>
    </w:p>
    <w:p>
      <w:pPr>
        <w:ind w:left="-206"/>
        <w:jc w:val="center"/>
        <w:spacing w:line="360" w:lineRule="auto"/>
      </w:pPr>
      <w:r/>
      <w:r/>
    </w:p>
    <w:p>
      <w:pPr>
        <w:ind w:left="-206"/>
        <w:jc w:val="center"/>
        <w:spacing w:line="360" w:lineRule="auto"/>
      </w:pPr>
      <w:r/>
      <w:r/>
    </w:p>
    <w:p>
      <w:pPr>
        <w:ind w:left="-206"/>
        <w:jc w:val="center"/>
        <w:spacing w:line="360" w:lineRule="auto"/>
      </w:pPr>
      <w:r/>
      <w:r/>
    </w:p>
    <w:p>
      <w:pPr>
        <w:ind w:left="-206"/>
        <w:jc w:val="center"/>
        <w:spacing w:line="360" w:lineRule="auto"/>
      </w:pPr>
      <w:r/>
      <w:r/>
    </w:p>
    <w:p>
      <w:pPr>
        <w:ind w:left="-206"/>
        <w:jc w:val="center"/>
        <w:spacing w:line="360" w:lineRule="auto"/>
      </w:pPr>
      <w:r/>
      <w:r/>
    </w:p>
    <w:p>
      <w:pPr>
        <w:ind w:left="-206"/>
        <w:jc w:val="center"/>
        <w:spacing w:line="360" w:lineRule="auto"/>
      </w:pPr>
      <w:r/>
      <w:r/>
    </w:p>
    <w:p>
      <w:pPr>
        <w:ind w:left="-206"/>
        <w:jc w:val="center"/>
        <w:spacing w:line="360" w:lineRule="auto"/>
      </w:pPr>
      <w:r/>
      <w:r/>
    </w:p>
    <w:p>
      <w:pPr>
        <w:ind w:left="-206"/>
        <w:jc w:val="center"/>
        <w:spacing w:line="360" w:lineRule="auto"/>
      </w:pPr>
      <w:r/>
      <w:r/>
    </w:p>
    <w:p>
      <w:pPr>
        <w:ind w:left="-206"/>
        <w:jc w:val="center"/>
        <w:spacing w:line="360" w:lineRule="auto"/>
      </w:pPr>
      <w:r/>
      <w:r/>
    </w:p>
    <w:p>
      <w:pPr>
        <w:ind w:left="-206"/>
        <w:jc w:val="center"/>
        <w:spacing w:line="360" w:lineRule="auto"/>
      </w:pPr>
      <w:r/>
      <w:r/>
    </w:p>
    <w:p>
      <w:pPr>
        <w:ind w:left="-206"/>
        <w:jc w:val="center"/>
        <w:spacing w:line="360" w:lineRule="auto"/>
      </w:pPr>
      <w:r/>
      <w:r/>
    </w:p>
    <w:p>
      <w:pPr>
        <w:ind w:left="-206"/>
        <w:jc w:val="center"/>
        <w:spacing w:line="360" w:lineRule="auto"/>
      </w:pPr>
      <w:r/>
      <w:r/>
    </w:p>
    <w:p>
      <w:pPr>
        <w:ind w:left="-206"/>
        <w:jc w:val="center"/>
        <w:spacing w:line="360" w:lineRule="auto"/>
      </w:pPr>
      <w:r/>
      <w:r/>
    </w:p>
    <w:p>
      <w:pPr>
        <w:ind w:left="-206"/>
        <w:jc w:val="center"/>
        <w:spacing w:line="360" w:lineRule="auto"/>
      </w:pPr>
      <w:r/>
      <w:r/>
    </w:p>
    <w:p>
      <w:pPr>
        <w:ind w:left="-206"/>
        <w:jc w:val="center"/>
        <w:spacing w:line="360" w:lineRule="auto"/>
      </w:pPr>
      <w:r/>
      <w:r/>
    </w:p>
    <w:p>
      <w:pPr>
        <w:ind w:left="-206"/>
        <w:jc w:val="center"/>
        <w:spacing w:line="360" w:lineRule="auto"/>
      </w:pPr>
      <w:r/>
      <w:r/>
    </w:p>
    <w:p>
      <w:pPr>
        <w:ind w:left="-206"/>
        <w:jc w:val="center"/>
        <w:spacing w:line="360" w:lineRule="auto"/>
      </w:pPr>
      <w:r/>
      <w:r/>
    </w:p>
    <w:p>
      <w:pPr>
        <w:ind w:left="-206"/>
        <w:jc w:val="center"/>
        <w:spacing w:line="360" w:lineRule="auto"/>
      </w:pPr>
      <w:r/>
      <w:r/>
    </w:p>
    <w:p>
      <w:pPr>
        <w:ind w:left="-206"/>
        <w:jc w:val="center"/>
        <w:spacing w:line="360" w:lineRule="auto"/>
      </w:pPr>
      <w:r>
        <w:rPr>
          <w:rFonts w:hint="eastAsia"/>
        </w:rPr>
        <w:t xml:space="preserve">政府采购合同履约验收书（参考格式）</w:t>
      </w:r>
      <w:r/>
    </w:p>
    <w:p>
      <w:pPr>
        <w:ind w:left="-206" w:firstLine="210"/>
        <w:spacing w:line="360" w:lineRule="auto"/>
      </w:pPr>
      <w:r>
        <w:rPr>
          <w:rFonts w:hint="eastAsia"/>
        </w:rPr>
        <w:t xml:space="preserve">根据政府采购合同（编号：</w:t>
      </w:r>
      <w:r>
        <w:rPr>
          <w:rFonts w:hint="eastAsia"/>
          <w:u w:val="single"/>
        </w:rPr>
        <w:t xml:space="preserve">          </w:t>
      </w:r>
      <w:r>
        <w:rPr>
          <w:rFonts w:hint="eastAsia"/>
        </w:rPr>
        <w:t xml:space="preserve">）的约定，我单位组织对</w:t>
      </w:r>
      <w:r>
        <w:rPr>
          <w:rFonts w:hint="eastAsia"/>
          <w:u w:val="single"/>
        </w:rPr>
        <w:t xml:space="preserve">（项目名称）</w:t>
      </w:r>
      <w:r>
        <w:rPr>
          <w:rFonts w:hint="eastAsia"/>
        </w:rPr>
        <w:t xml:space="preserve">项目中标（成交）供应商</w:t>
      </w:r>
      <w:r>
        <w:rPr>
          <w:rFonts w:hint="eastAsia"/>
          <w:u w:val="single"/>
        </w:rPr>
        <w:t xml:space="preserve">（公司名称）</w:t>
      </w:r>
      <w:r>
        <w:rPr>
          <w:rFonts w:hint="eastAsia"/>
        </w:rPr>
        <w:t xml:space="preserve">提供的货物（工程、服务）进行了履约验收，验收情况如下：</w:t>
      </w:r>
      <w:bookmarkEnd w:id="160"/>
      <w:r/>
      <w:r/>
    </w:p>
    <w:tbl>
      <w:tblPr>
        <w:tblStyle w:val="844"/>
        <w:tblW w:w="9135" w:type="dxa"/>
        <w:jc w:val="center"/>
        <w:tblLayout w:type="fixed"/>
        <w:tblCellMar>
          <w:left w:w="108" w:type="dxa"/>
          <w:top w:w="0" w:type="dxa"/>
          <w:right w:w="108" w:type="dxa"/>
          <w:bottom w:w="0" w:type="dxa"/>
        </w:tblCellMar>
        <w:tblLook w:val="04A0" w:firstRow="1" w:lastRow="0" w:firstColumn="1" w:lastColumn="0" w:noHBand="0" w:noVBand="1"/>
      </w:tblPr>
      <w:tblGrid>
        <w:gridCol w:w="1708"/>
        <w:gridCol w:w="3031"/>
        <w:gridCol w:w="1751"/>
        <w:gridCol w:w="2645"/>
      </w:tblGrid>
      <w:tr>
        <w:trPr>
          <w:jc w:val="center"/>
          <w:trHeight w:val="855"/>
        </w:trPr>
        <w:tc>
          <w:tcPr>
            <w:tcBorders>
              <w:top w:val="single" w:color="auto" w:sz="8" w:space="0"/>
              <w:left w:val="single" w:color="auto" w:sz="8" w:space="0"/>
              <w:bottom w:val="single" w:color="auto" w:sz="4" w:space="0"/>
              <w:right w:val="single" w:color="auto" w:sz="4" w:space="0"/>
            </w:tcBorders>
            <w:tcW w:w="1708" w:type="dxa"/>
            <w:vAlign w:val="center"/>
            <w:textDirection w:val="lrTb"/>
            <w:noWrap w:val="false"/>
          </w:tcPr>
          <w:p>
            <w:pPr>
              <w:ind w:left="-206" w:firstLine="210"/>
            </w:pPr>
            <w:r>
              <w:rPr>
                <w:rFonts w:hint="eastAsia"/>
              </w:rPr>
              <w:t xml:space="preserve">项目名称</w:t>
            </w:r>
            <w:r/>
          </w:p>
        </w:tc>
        <w:tc>
          <w:tcPr>
            <w:tcBorders>
              <w:top w:val="single" w:color="auto" w:sz="8" w:space="0"/>
              <w:left w:val="none" w:color="000000" w:sz="4" w:space="0"/>
              <w:bottom w:val="single" w:color="auto" w:sz="4" w:space="0"/>
              <w:right w:val="single" w:color="auto" w:sz="4" w:space="0"/>
            </w:tcBorders>
            <w:tcW w:w="3030" w:type="dxa"/>
            <w:vAlign w:val="center"/>
            <w:textDirection w:val="lrTb"/>
            <w:noWrap w:val="false"/>
          </w:tcPr>
          <w:p>
            <w:pPr>
              <w:ind w:left="-206"/>
            </w:pPr>
            <w:r/>
            <w:r/>
          </w:p>
        </w:tc>
        <w:tc>
          <w:tcPr>
            <w:tcBorders>
              <w:top w:val="single" w:color="auto" w:sz="8" w:space="0"/>
              <w:left w:val="none" w:color="000000" w:sz="4" w:space="0"/>
              <w:bottom w:val="single" w:color="auto" w:sz="4" w:space="0"/>
              <w:right w:val="single" w:color="auto" w:sz="4" w:space="0"/>
            </w:tcBorders>
            <w:tcW w:w="1750" w:type="dxa"/>
            <w:vAlign w:val="center"/>
            <w:textDirection w:val="lrTb"/>
            <w:noWrap w:val="false"/>
          </w:tcPr>
          <w:p>
            <w:pPr>
              <w:ind w:left="-206" w:firstLine="210"/>
            </w:pPr>
            <w:r>
              <w:rPr>
                <w:rFonts w:hint="eastAsia"/>
              </w:rPr>
              <w:t xml:space="preserve">项目地点</w:t>
            </w:r>
            <w:r/>
          </w:p>
        </w:tc>
        <w:tc>
          <w:tcPr>
            <w:tcBorders>
              <w:top w:val="single" w:color="auto" w:sz="8" w:space="0"/>
              <w:left w:val="none" w:color="000000" w:sz="4" w:space="0"/>
              <w:bottom w:val="single" w:color="auto" w:sz="4" w:space="0"/>
              <w:right w:val="single" w:color="auto" w:sz="8" w:space="0"/>
            </w:tcBorders>
            <w:tcW w:w="2644" w:type="dxa"/>
            <w:vAlign w:val="center"/>
            <w:textDirection w:val="lrTb"/>
            <w:noWrap w:val="false"/>
          </w:tcPr>
          <w:p>
            <w:pPr>
              <w:ind w:left="-206"/>
            </w:p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left="-206" w:firstLine="210"/>
            </w:pPr>
            <w:r>
              <w:rPr>
                <w:rFonts w:hint="eastAsia"/>
              </w:rPr>
              <w:t xml:space="preserve">预算金额</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left="-206"/>
            </w:pPr>
            <w:r/>
            <w:r/>
          </w:p>
        </w:tc>
        <w:tc>
          <w:tcPr>
            <w:tcW w:w="1750" w:type="dxa"/>
            <w:vAlign w:val="center"/>
            <w:textDirection w:val="lrTb"/>
            <w:noWrap w:val="false"/>
          </w:tcPr>
          <w:p>
            <w:pPr>
              <w:ind w:left="-206" w:firstLine="210"/>
            </w:pPr>
            <w:r>
              <w:rPr>
                <w:rFonts w:hint="eastAsia"/>
              </w:rPr>
              <w:t xml:space="preserve">承接单位</w:t>
            </w:r>
            <w:r/>
          </w:p>
        </w:tc>
        <w:tc>
          <w:tcPr>
            <w:tcBorders>
              <w:top w:val="none" w:color="000000" w:sz="4" w:space="0"/>
              <w:left w:val="single" w:color="auto" w:sz="4" w:space="0"/>
              <w:bottom w:val="single" w:color="auto" w:sz="4" w:space="0"/>
              <w:right w:val="single" w:color="auto" w:sz="8" w:space="0"/>
            </w:tcBorders>
            <w:tcW w:w="2644" w:type="dxa"/>
            <w:vAlign w:val="center"/>
            <w:textDirection w:val="lrTb"/>
            <w:noWrap w:val="false"/>
          </w:tcPr>
          <w:p>
            <w:pPr>
              <w:ind w:left="-206"/>
            </w:p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left="-206" w:firstLine="210"/>
            </w:pPr>
            <w:r>
              <w:rPr>
                <w:rFonts w:hint="eastAsia"/>
              </w:rPr>
              <w:t xml:space="preserve">合同时间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left="-206"/>
            </w:pPr>
            <w:r/>
            <w:r/>
          </w:p>
        </w:tc>
        <w:tc>
          <w:tcPr>
            <w:tcBorders>
              <w:top w:val="single" w:color="auto" w:sz="4" w:space="0"/>
              <w:left w:val="none" w:color="000000" w:sz="4" w:space="0"/>
              <w:bottom w:val="single" w:color="auto" w:sz="4" w:space="0"/>
              <w:right w:val="single" w:color="auto" w:sz="4" w:space="0"/>
            </w:tcBorders>
            <w:tcW w:w="1750" w:type="dxa"/>
            <w:vAlign w:val="center"/>
            <w:textDirection w:val="lrTb"/>
            <w:noWrap w:val="false"/>
          </w:tcPr>
          <w:p>
            <w:pPr>
              <w:ind w:left="-206" w:firstLine="210"/>
            </w:pPr>
            <w:r>
              <w:rPr>
                <w:rFonts w:hint="eastAsia"/>
              </w:rPr>
              <w:t xml:space="preserve">项目开始时间</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ind w:left="-206"/>
            </w:p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left="-206" w:firstLine="210"/>
            </w:pPr>
            <w:r>
              <w:rPr>
                <w:rFonts w:hint="eastAsia"/>
              </w:rPr>
              <w:t xml:space="preserve">项目结束时间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left="-206"/>
            </w:pPr>
            <w:r/>
            <w:r/>
          </w:p>
        </w:tc>
        <w:tc>
          <w:tcPr>
            <w:tcBorders>
              <w:top w:val="none" w:color="000000" w:sz="4" w:space="0"/>
              <w:left w:val="none" w:color="000000" w:sz="4" w:space="0"/>
              <w:bottom w:val="single" w:color="auto" w:sz="4" w:space="0"/>
              <w:right w:val="single" w:color="auto" w:sz="4" w:space="0"/>
            </w:tcBorders>
            <w:tcW w:w="1750" w:type="dxa"/>
            <w:vAlign w:val="center"/>
            <w:textDirection w:val="lrTb"/>
            <w:noWrap w:val="false"/>
          </w:tcPr>
          <w:p>
            <w:pPr>
              <w:ind w:left="-206" w:firstLine="210"/>
            </w:pPr>
            <w:r>
              <w:rPr>
                <w:rFonts w:hint="eastAsia"/>
              </w:rPr>
              <w:t xml:space="preserve">项目联系人</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ind w:left="-206"/>
            </w:pPr>
            <w:r/>
            <w:r/>
          </w:p>
        </w:tc>
      </w:tr>
      <w:tr>
        <w:trPr>
          <w:jc w:val="center"/>
        </w:trPr>
        <w:tc>
          <w:tcPr>
            <w:gridSpan w:val="4"/>
            <w:tcBorders>
              <w:top w:val="single" w:color="auto" w:sz="4" w:space="0"/>
              <w:left w:val="single" w:color="auto" w:sz="8" w:space="0"/>
              <w:bottom w:val="single" w:color="auto" w:sz="4" w:space="0"/>
              <w:right w:val="single" w:color="000000" w:sz="8" w:space="0"/>
            </w:tcBorders>
            <w:tcW w:w="9132" w:type="dxa"/>
            <w:textDirection w:val="lrTb"/>
            <w:noWrap w:val="false"/>
          </w:tcPr>
          <w:p>
            <w:pPr>
              <w:ind w:left="-206" w:firstLine="210"/>
            </w:pPr>
            <w:r>
              <w:rPr>
                <w:rFonts w:hint="eastAsia"/>
              </w:rPr>
              <w:t xml:space="preserve">验收情况和验收意见</w:t>
            </w:r>
            <w:r/>
          </w:p>
          <w:p>
            <w:pPr>
              <w:ind w:left="-206"/>
            </w:pPr>
            <w:r>
              <w:rPr>
                <w:rFonts w:hint="eastAsia"/>
              </w:rPr>
              <w:t xml:space="preserve">（可另附）</w:t>
            </w:r>
            <w:r/>
          </w:p>
          <w:p>
            <w:pPr>
              <w:ind w:left="-206"/>
            </w:pPr>
            <w:r/>
            <w:r/>
          </w:p>
          <w:p>
            <w:pPr>
              <w:ind w:left="-206"/>
            </w:pPr>
            <w:r/>
            <w:r/>
          </w:p>
          <w:p>
            <w:pPr>
              <w:ind w:left="-206"/>
            </w:pPr>
            <w:r/>
            <w:r/>
          </w:p>
          <w:p>
            <w:pPr>
              <w:ind w:left="-206"/>
            </w:pPr>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textDirection w:val="lrTb"/>
            <w:noWrap w:val="false"/>
          </w:tcPr>
          <w:p>
            <w:pPr>
              <w:ind w:left="-206" w:firstLine="210"/>
            </w:pPr>
            <w:r>
              <w:rPr>
                <w:rFonts w:hint="eastAsia"/>
              </w:rPr>
              <w:t xml:space="preserve">验收小组（签字）：</w:t>
            </w:r>
            <w:r/>
          </w:p>
          <w:p>
            <w:pPr>
              <w:ind w:left="-206"/>
            </w:pPr>
            <w:r/>
            <w:r/>
          </w:p>
          <w:p>
            <w:pPr>
              <w:ind w:left="-206"/>
            </w:pPr>
            <w:r/>
            <w:r/>
          </w:p>
          <w:p>
            <w:pPr>
              <w:ind w:left="-206"/>
            </w:pPr>
            <w:r/>
            <w:r/>
          </w:p>
          <w:p>
            <w:pPr>
              <w:ind w:left="-206"/>
            </w:pPr>
            <w:r>
              <w:rPr>
                <w:rFonts w:hint="eastAsia"/>
              </w:rPr>
              <w:t xml:space="preserve">　　</w:t>
            </w:r>
            <w:r>
              <w:rPr>
                <w:rFonts w:hint="eastAsia"/>
              </w:rPr>
              <w:br/>
            </w:r>
            <w:r>
              <w:rPr>
                <w:rFonts w:hint="eastAsia"/>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textDirection w:val="lrTb"/>
            <w:noWrap w:val="false"/>
          </w:tcPr>
          <w:p>
            <w:pPr>
              <w:ind w:left="-206" w:firstLine="210"/>
            </w:pPr>
            <w:r>
              <w:rPr>
                <w:rFonts w:hint="eastAsia"/>
              </w:rPr>
              <w:t xml:space="preserve">供应商确认意见（签章）：</w:t>
            </w:r>
            <w:r/>
          </w:p>
          <w:p>
            <w:pPr>
              <w:ind w:left="-206"/>
            </w:pPr>
            <w:r/>
            <w:r/>
          </w:p>
          <w:p>
            <w:pPr>
              <w:ind w:left="-206"/>
            </w:pPr>
            <w:r/>
            <w:r/>
          </w:p>
          <w:p>
            <w:pPr>
              <w:ind w:left="-206"/>
            </w:pPr>
            <w:r/>
            <w:r/>
          </w:p>
          <w:p>
            <w:pPr>
              <w:ind w:left="-206"/>
            </w:pPr>
            <w:r>
              <w:rPr>
                <w:rFonts w:hint="eastAsia"/>
              </w:rPr>
              <w:t xml:space="preserve">　　</w:t>
            </w:r>
            <w:r>
              <w:rPr>
                <w:rFonts w:hint="eastAsia"/>
              </w:rPr>
              <w:br/>
            </w:r>
            <w:r>
              <w:rPr>
                <w:rFonts w:hint="eastAsia"/>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textDirection w:val="lrTb"/>
            <w:noWrap w:val="false"/>
          </w:tcPr>
          <w:p>
            <w:pPr>
              <w:ind w:left="-206" w:firstLine="210"/>
            </w:pPr>
            <w:r>
              <w:rPr>
                <w:rFonts w:hint="eastAsia"/>
              </w:rPr>
              <w:t xml:space="preserve">采购人确认意见（签章）：</w:t>
            </w:r>
            <w:r/>
          </w:p>
          <w:p>
            <w:pPr>
              <w:ind w:left="-206"/>
            </w:pPr>
            <w:r/>
            <w:r/>
          </w:p>
          <w:p>
            <w:pPr>
              <w:ind w:left="-206"/>
            </w:pPr>
            <w:r/>
            <w:r/>
          </w:p>
          <w:p>
            <w:pPr>
              <w:ind w:left="-206"/>
            </w:pPr>
            <w:r/>
            <w:r/>
          </w:p>
          <w:p>
            <w:pPr>
              <w:ind w:left="-206"/>
            </w:pPr>
            <w:r>
              <w:rPr>
                <w:rFonts w:hint="eastAsia"/>
              </w:rPr>
              <w:t xml:space="preserve">　　</w:t>
            </w:r>
            <w:r>
              <w:rPr>
                <w:rFonts w:hint="eastAsia"/>
              </w:rPr>
              <w:br/>
            </w:r>
            <w:r>
              <w:rPr>
                <w:rFonts w:hint="eastAsia"/>
              </w:rPr>
              <w:t xml:space="preserve">　　　　　                              年    月    日</w:t>
            </w:r>
            <w:bookmarkEnd w:id="153"/>
            <w:r/>
            <w:bookmarkEnd w:id="154"/>
            <w:r/>
            <w:bookmarkEnd w:id="155"/>
            <w:r/>
            <w:bookmarkEnd w:id="156"/>
            <w:r/>
            <w:bookmarkEnd w:id="157"/>
            <w:r/>
            <w:bookmarkEnd w:id="158"/>
            <w:r/>
            <w:r/>
          </w:p>
        </w:tc>
      </w:tr>
    </w:tbl>
    <w:p>
      <w:pPr>
        <w:pStyle w:val="850"/>
        <w:ind w:left="-206" w:firstLine="748"/>
        <w:jc w:val="center"/>
        <w:spacing w:before="120" w:beforeAutospacing="0" w:after="120" w:afterAutospacing="0" w:line="0" w:lineRule="atLeast"/>
        <w:rPr>
          <w:rFonts w:hint="eastAsia" w:ascii="黑体" w:hAnsi="宋体" w:eastAsia="黑体" w:cs="黑体"/>
          <w:sz w:val="44"/>
          <w:szCs w:val="44"/>
        </w:rPr>
      </w:pPr>
      <w:r/>
      <w:bookmarkStart w:id="163" w:name="_Toc120614281"/>
      <w:r/>
      <w:r/>
    </w:p>
    <w:p>
      <w:pPr>
        <w:pStyle w:val="850"/>
        <w:ind w:left="-206" w:firstLine="748"/>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rPr>
          <w:rFonts w:hint="eastAsia" w:ascii="黑体" w:hAnsi="宋体" w:eastAsia="黑体" w:cs="黑体"/>
          <w:sz w:val="44"/>
          <w:szCs w:val="44"/>
        </w:rPr>
      </w:r>
      <w:r/>
    </w:p>
    <w:p>
      <w:pPr>
        <w:pStyle w:val="850"/>
        <w:ind w:left="-206" w:firstLine="748"/>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rPr>
          <w:rFonts w:hint="eastAsia" w:ascii="黑体" w:hAnsi="宋体" w:eastAsia="黑体" w:cs="黑体"/>
          <w:sz w:val="44"/>
          <w:szCs w:val="44"/>
        </w:rPr>
      </w:r>
      <w:r/>
    </w:p>
    <w:p>
      <w:pPr>
        <w:pStyle w:val="850"/>
        <w:ind w:left="-206" w:firstLine="748"/>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850"/>
        <w:ind w:left="-206" w:firstLine="748"/>
        <w:jc w:val="center"/>
        <w:spacing w:before="120" w:beforeAutospacing="0" w:after="120" w:afterAutospacing="0" w:line="0" w:lineRule="atLeast"/>
      </w:pPr>
      <w:r>
        <w:rPr>
          <w:rFonts w:hint="eastAsia" w:ascii="黑体" w:hAnsi="宋体" w:eastAsia="黑体" w:cs="黑体"/>
          <w:sz w:val="44"/>
          <w:szCs w:val="44"/>
        </w:rPr>
        <w:t xml:space="preserve">第四章 采购需求</w:t>
      </w:r>
      <w:r/>
    </w:p>
    <w:p>
      <w:pPr>
        <w:pStyle w:val="850"/>
        <w:contextualSpacing/>
        <w:jc w:val="both"/>
        <w:spacing w:beforeAutospacing="0" w:afterAutospacing="0" w:line="400" w:lineRule="exact"/>
        <w:rPr>
          <w:rFonts w:hint="eastAsia" w:asciiTheme="minorEastAsia" w:hAnsiTheme="minorEastAsia"/>
        </w:rPr>
      </w:pPr>
      <w:r/>
      <w:bookmarkStart w:id="164" w:name="_Toc49090575"/>
      <w:r/>
      <w:bookmarkStart w:id="165" w:name="_Toc26554093"/>
      <w:r>
        <w:rPr>
          <w:rFonts w:hint="eastAsia" w:cs="宋体" w:asciiTheme="minorEastAsia" w:hAnsiTheme="minorEastAsia"/>
        </w:rPr>
        <w:t xml:space="preserve">一、项目属性:货物类项目。</w:t>
      </w:r>
      <w:bookmarkEnd w:id="164"/>
      <w:r/>
      <w:bookmarkEnd w:id="165"/>
      <w:r/>
      <w:r/>
    </w:p>
    <w:p>
      <w:pPr>
        <w:pStyle w:val="850"/>
        <w:contextualSpacing/>
        <w:spacing w:beforeAutospacing="0" w:afterAutospacing="0" w:line="400" w:lineRule="exact"/>
        <w:rPr>
          <w:rFonts w:hint="eastAsia" w:asciiTheme="minorEastAsia" w:hAnsiTheme="minorEastAsia"/>
        </w:rPr>
      </w:pPr>
      <w:r>
        <w:rPr>
          <w:rFonts w:hint="eastAsia" w:asciiTheme="minorEastAsia" w:hAnsiTheme="minorEastAsia"/>
        </w:rPr>
        <w:t xml:space="preserve">二、本项目核心产品：安全管理平台 </w:t>
      </w:r>
      <w:r/>
    </w:p>
    <w:p>
      <w:pPr>
        <w:pStyle w:val="850"/>
        <w:contextualSpacing/>
        <w:spacing w:beforeAutospacing="0" w:afterAutospacing="0" w:line="400" w:lineRule="exact"/>
        <w:rPr>
          <w:rFonts w:hint="eastAsia" w:asciiTheme="minorEastAsia" w:hAnsiTheme="minorEastAsia"/>
        </w:rPr>
      </w:pPr>
      <w:r>
        <w:rPr>
          <w:rFonts w:hint="eastAsia" w:asciiTheme="minorEastAsia" w:hAnsiTheme="minorEastAsia"/>
        </w:rPr>
        <w:t xml:space="preserve">三、采购标的对应的中小企业划分标准所属行业一览表</w:t>
      </w:r>
      <w:r/>
    </w:p>
    <w:tbl>
      <w:tblPr>
        <w:tblStyle w:val="844"/>
        <w:tblW w:w="8048"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969"/>
        <w:gridCol w:w="3370"/>
      </w:tblGrid>
      <w:tr>
        <w:trPr>
          <w:jc w:val="center"/>
          <w:tblCellSpacing w:w="0" w:type="dxa"/>
        </w:trPr>
        <w:tc>
          <w:tcPr>
            <w:tcW w:w="709" w:type="dxa"/>
            <w:vAlign w:val="center"/>
            <w:textDirection w:val="lrTb"/>
            <w:noWrap w:val="false"/>
          </w:tcPr>
          <w:p>
            <w:r>
              <w:rPr>
                <w:rFonts w:hint="eastAsia"/>
              </w:rPr>
              <w:t xml:space="preserve">序号</w:t>
            </w:r>
            <w:r/>
          </w:p>
        </w:tc>
        <w:tc>
          <w:tcPr>
            <w:tcW w:w="3969" w:type="dxa"/>
            <w:vAlign w:val="center"/>
            <w:textDirection w:val="lrTb"/>
            <w:noWrap w:val="false"/>
          </w:tcPr>
          <w:p>
            <w:r>
              <w:rPr>
                <w:rFonts w:hint="eastAsia"/>
              </w:rPr>
              <w:t xml:space="preserve">采购标的</w:t>
            </w:r>
            <w:r/>
          </w:p>
        </w:tc>
        <w:tc>
          <w:tcPr>
            <w:tcW w:w="3370" w:type="dxa"/>
            <w:vAlign w:val="center"/>
            <w:textDirection w:val="lrTb"/>
            <w:noWrap w:val="false"/>
          </w:tcPr>
          <w:p>
            <w:r>
              <w:rPr>
                <w:rFonts w:hint="eastAsia"/>
              </w:rPr>
              <w:t xml:space="preserve">对应中小企业划分标准所属行业</w:t>
            </w:r>
            <w:r/>
          </w:p>
        </w:tc>
      </w:tr>
      <w:tr>
        <w:trPr>
          <w:jc w:val="center"/>
          <w:tblCellSpacing w:w="0" w:type="dxa"/>
          <w:trHeight w:val="291"/>
        </w:trPr>
        <w:tc>
          <w:tcPr>
            <w:tcW w:w="709" w:type="dxa"/>
            <w:vAlign w:val="center"/>
            <w:textDirection w:val="lrTb"/>
            <w:noWrap w:val="false"/>
          </w:tcPr>
          <w:p>
            <w:r>
              <w:rPr>
                <w:rFonts w:hint="eastAsia" w:ascii="微软雅黑" w:hAnsi="微软雅黑" w:eastAsia="微软雅黑" w:cs="宋体"/>
                <w:sz w:val="18"/>
                <w:szCs w:val="18"/>
              </w:rPr>
              <w:t xml:space="preserve">1</w:t>
            </w:r>
            <w:r/>
          </w:p>
        </w:tc>
        <w:tc>
          <w:tcPr>
            <w:tcW w:w="3969" w:type="dxa"/>
            <w:vAlign w:val="center"/>
            <w:textDirection w:val="lrTb"/>
            <w:noWrap w:val="false"/>
          </w:tcPr>
          <w:p>
            <w:r>
              <w:rPr>
                <w:rFonts w:hint="eastAsia"/>
              </w:rPr>
              <w:t xml:space="preserve">日志审计</w:t>
            </w:r>
            <w:r/>
          </w:p>
        </w:tc>
        <w:tc>
          <w:tcPr>
            <w:tcW w:w="3370" w:type="dxa"/>
            <w:vAlign w:val="center"/>
            <w:textDirection w:val="lrTb"/>
            <w:noWrap w:val="false"/>
          </w:tcPr>
          <w:p>
            <w:r>
              <w:rPr>
                <w:rFonts w:hint="eastAsia"/>
              </w:rPr>
              <w:t xml:space="preserve">工业</w:t>
            </w:r>
            <w:r/>
          </w:p>
        </w:tc>
      </w:tr>
      <w:tr>
        <w:trPr>
          <w:jc w:val="center"/>
          <w:tblCellSpacing w:w="0" w:type="dxa"/>
          <w:trHeight w:val="291"/>
        </w:trPr>
        <w:tc>
          <w:tcPr>
            <w:tcW w:w="709" w:type="dxa"/>
            <w:vAlign w:val="center"/>
            <w:textDirection w:val="lrTb"/>
            <w:noWrap w:val="false"/>
          </w:tcPr>
          <w:p>
            <w:r>
              <w:rPr>
                <w:rFonts w:hint="eastAsia" w:ascii="微软雅黑" w:hAnsi="微软雅黑" w:eastAsia="微软雅黑" w:cs="宋体"/>
                <w:sz w:val="18"/>
                <w:szCs w:val="18"/>
              </w:rPr>
              <w:t xml:space="preserve">2</w:t>
            </w:r>
            <w:r/>
          </w:p>
        </w:tc>
        <w:tc>
          <w:tcPr>
            <w:tcW w:w="3969" w:type="dxa"/>
            <w:vAlign w:val="center"/>
            <w:textDirection w:val="lrTb"/>
            <w:noWrap w:val="false"/>
          </w:tcPr>
          <w:p>
            <w:r>
              <w:rPr>
                <w:rFonts w:hint="eastAsia"/>
              </w:rPr>
              <w:t xml:space="preserve">堡垒机</w:t>
            </w:r>
            <w:r/>
          </w:p>
        </w:tc>
        <w:tc>
          <w:tcPr>
            <w:tcW w:w="3370" w:type="dxa"/>
            <w:vAlign w:val="center"/>
            <w:textDirection w:val="lrTb"/>
            <w:noWrap w:val="false"/>
          </w:tcPr>
          <w:p>
            <w:r>
              <w:rPr>
                <w:rFonts w:hint="eastAsia"/>
              </w:rPr>
              <w:t xml:space="preserve">工业</w:t>
            </w:r>
            <w:r/>
          </w:p>
        </w:tc>
      </w:tr>
      <w:tr>
        <w:trPr>
          <w:jc w:val="center"/>
          <w:tblCellSpacing w:w="0" w:type="dxa"/>
          <w:trHeight w:val="291"/>
        </w:trPr>
        <w:tc>
          <w:tcPr>
            <w:tcW w:w="709" w:type="dxa"/>
            <w:vAlign w:val="center"/>
            <w:textDirection w:val="lrTb"/>
            <w:noWrap w:val="false"/>
          </w:tcPr>
          <w:p>
            <w:r>
              <w:rPr>
                <w:rFonts w:hint="eastAsia" w:ascii="微软雅黑" w:hAnsi="微软雅黑" w:eastAsia="微软雅黑" w:cs="宋体"/>
                <w:sz w:val="18"/>
                <w:szCs w:val="18"/>
              </w:rPr>
              <w:t xml:space="preserve">3</w:t>
            </w:r>
            <w:r/>
          </w:p>
        </w:tc>
        <w:tc>
          <w:tcPr>
            <w:tcW w:w="3969" w:type="dxa"/>
            <w:vAlign w:val="center"/>
            <w:textDirection w:val="lrTb"/>
            <w:noWrap w:val="false"/>
          </w:tcPr>
          <w:p>
            <w:r>
              <w:rPr>
                <w:rFonts w:hint="eastAsia"/>
              </w:rPr>
              <w:t xml:space="preserve">零信任网关</w:t>
            </w:r>
            <w:r/>
          </w:p>
        </w:tc>
        <w:tc>
          <w:tcPr>
            <w:tcW w:w="3370" w:type="dxa"/>
            <w:vAlign w:val="center"/>
            <w:textDirection w:val="lrTb"/>
            <w:noWrap w:val="false"/>
          </w:tcPr>
          <w:p>
            <w:r>
              <w:rPr>
                <w:rFonts w:hint="eastAsia"/>
              </w:rPr>
              <w:t xml:space="preserve">工业</w:t>
            </w:r>
            <w:r/>
          </w:p>
        </w:tc>
      </w:tr>
      <w:tr>
        <w:trPr>
          <w:jc w:val="center"/>
          <w:tblCellSpacing w:w="0" w:type="dxa"/>
          <w:trHeight w:val="291"/>
        </w:trPr>
        <w:tc>
          <w:tcPr>
            <w:tcW w:w="709" w:type="dxa"/>
            <w:vAlign w:val="center"/>
            <w:textDirection w:val="lrTb"/>
            <w:noWrap w:val="false"/>
          </w:tcPr>
          <w:p>
            <w:r>
              <w:rPr>
                <w:rFonts w:ascii="微软雅黑" w:hAnsi="微软雅黑" w:eastAsia="微软雅黑" w:cs="宋体"/>
                <w:sz w:val="18"/>
                <w:szCs w:val="18"/>
              </w:rPr>
              <w:t xml:space="preserve">4</w:t>
            </w:r>
            <w:r/>
          </w:p>
        </w:tc>
        <w:tc>
          <w:tcPr>
            <w:tcW w:w="3969" w:type="dxa"/>
            <w:vAlign w:val="center"/>
            <w:textDirection w:val="lrTb"/>
            <w:noWrap w:val="false"/>
          </w:tcPr>
          <w:p>
            <w:r>
              <w:rPr>
                <w:rFonts w:hint="eastAsia"/>
              </w:rPr>
              <w:t xml:space="preserve">安全管理平台</w:t>
            </w:r>
            <w:r/>
          </w:p>
        </w:tc>
        <w:tc>
          <w:tcPr>
            <w:tcW w:w="3370" w:type="dxa"/>
            <w:vAlign w:val="center"/>
            <w:textDirection w:val="lrTb"/>
            <w:noWrap w:val="false"/>
          </w:tcPr>
          <w:p>
            <w:r>
              <w:rPr>
                <w:rFonts w:hint="eastAsia"/>
              </w:rPr>
              <w:t xml:space="preserve">工业</w:t>
            </w:r>
            <w:r/>
          </w:p>
        </w:tc>
      </w:tr>
      <w:tr>
        <w:trPr>
          <w:jc w:val="center"/>
          <w:tblCellSpacing w:w="0" w:type="dxa"/>
          <w:trHeight w:val="235"/>
        </w:trPr>
        <w:tc>
          <w:tcPr>
            <w:tcW w:w="709" w:type="dxa"/>
            <w:vAlign w:val="center"/>
            <w:textDirection w:val="lrTb"/>
            <w:noWrap w:val="false"/>
          </w:tcPr>
          <w:p>
            <w:r>
              <w:rPr>
                <w:rFonts w:ascii="微软雅黑" w:hAnsi="微软雅黑" w:eastAsia="微软雅黑" w:cs="宋体"/>
                <w:sz w:val="18"/>
                <w:szCs w:val="18"/>
              </w:rPr>
              <w:t xml:space="preserve">5</w:t>
            </w:r>
            <w:r/>
          </w:p>
        </w:tc>
        <w:tc>
          <w:tcPr>
            <w:tcW w:w="3969" w:type="dxa"/>
            <w:vAlign w:val="center"/>
            <w:textDirection w:val="lrTb"/>
            <w:noWrap w:val="false"/>
          </w:tcPr>
          <w:p>
            <w:r>
              <w:rPr>
                <w:rFonts w:hint="eastAsia"/>
              </w:rPr>
              <w:t xml:space="preserve">流量探针</w:t>
            </w:r>
            <w:r/>
          </w:p>
        </w:tc>
        <w:tc>
          <w:tcPr>
            <w:tcW w:w="3370" w:type="dxa"/>
            <w:vAlign w:val="center"/>
            <w:textDirection w:val="lrTb"/>
            <w:noWrap w:val="false"/>
          </w:tcPr>
          <w:p>
            <w:r>
              <w:rPr>
                <w:rFonts w:hint="eastAsia"/>
              </w:rPr>
              <w:t xml:space="preserve">工业</w:t>
            </w:r>
            <w:r>
              <w:t xml:space="preserve"> </w:t>
            </w:r>
            <w:r/>
          </w:p>
        </w:tc>
      </w:tr>
      <w:tr>
        <w:trPr>
          <w:jc w:val="center"/>
          <w:tblCellSpacing w:w="0" w:type="dxa"/>
          <w:trHeight w:val="222"/>
        </w:trPr>
        <w:tc>
          <w:tcPr>
            <w:tcW w:w="709" w:type="dxa"/>
            <w:vAlign w:val="center"/>
            <w:textDirection w:val="lrTb"/>
            <w:noWrap w:val="false"/>
          </w:tcPr>
          <w:p>
            <w:r>
              <w:rPr>
                <w:rFonts w:ascii="微软雅黑" w:hAnsi="微软雅黑" w:eastAsia="微软雅黑" w:cs="宋体"/>
                <w:sz w:val="18"/>
                <w:szCs w:val="18"/>
              </w:rPr>
              <w:t xml:space="preserve">6</w:t>
            </w:r>
            <w:r/>
          </w:p>
        </w:tc>
        <w:tc>
          <w:tcPr>
            <w:tcW w:w="3969" w:type="dxa"/>
            <w:vAlign w:val="center"/>
            <w:textDirection w:val="lrTb"/>
            <w:noWrap w:val="false"/>
          </w:tcPr>
          <w:p>
            <w:r>
              <w:rPr>
                <w:rFonts w:hint="eastAsia"/>
              </w:rPr>
              <w:t xml:space="preserve">终端准入系统</w:t>
            </w:r>
            <w:r/>
          </w:p>
        </w:tc>
        <w:tc>
          <w:tcPr>
            <w:tcW w:w="3370" w:type="dxa"/>
            <w:vAlign w:val="center"/>
            <w:textDirection w:val="lrTb"/>
            <w:noWrap w:val="false"/>
          </w:tcPr>
          <w:p>
            <w:r>
              <w:rPr>
                <w:rFonts w:hint="eastAsia"/>
              </w:rPr>
              <w:t xml:space="preserve">工业</w:t>
            </w:r>
            <w:r>
              <w:t xml:space="preserve"> </w:t>
            </w:r>
            <w:r/>
          </w:p>
        </w:tc>
      </w:tr>
    </w:tbl>
    <w:p>
      <w:pPr>
        <w:jc w:val="left"/>
        <w:spacing w:line="360" w:lineRule="auto"/>
        <w:rPr>
          <w:rFonts w:hint="eastAsia" w:cs="Times New Roman" w:asciiTheme="minorEastAsia" w:hAnsiTheme="minorEastAsia"/>
          <w:sz w:val="24"/>
        </w:rPr>
      </w:pPr>
      <w:r>
        <w:rPr>
          <w:rFonts w:hint="eastAsia" w:asciiTheme="minorEastAsia" w:hAnsiTheme="minorEastAsia"/>
          <w:sz w:val="24"/>
        </w:rPr>
        <w:t xml:space="preserve">四、</w:t>
      </w:r>
      <w:r>
        <w:rPr>
          <w:rFonts w:hint="eastAsia" w:cs="Times New Roman" w:asciiTheme="minorEastAsia" w:hAnsiTheme="minorEastAsia"/>
          <w:sz w:val="24"/>
        </w:rPr>
        <w:t xml:space="preserve">项目概况</w:t>
      </w:r>
      <w:r/>
    </w:p>
    <w:p>
      <w:pPr>
        <w:pStyle w:val="850"/>
        <w:contextualSpacing/>
        <w:ind w:firstLine="480"/>
        <w:jc w:val="both"/>
        <w:spacing w:beforeAutospacing="0" w:afterAutospacing="0" w:line="400" w:lineRule="exact"/>
        <w:rPr>
          <w:rFonts w:hint="eastAsia" w:cs="宋体" w:asciiTheme="minorEastAsia" w:hAnsiTheme="minorEastAsia"/>
        </w:rPr>
      </w:pPr>
      <w:r>
        <w:rPr>
          <w:rFonts w:hint="eastAsia" w:cs="宋体" w:asciiTheme="minorEastAsia" w:hAnsiTheme="minorEastAsia"/>
        </w:rPr>
        <w:t xml:space="preserve">随着数字政府建设的不断深化，电子政务“一张网、一朵云”建设持续推进，电子政务外网已成为承载政务办公、行政审批、公共服务、数据共享交换等核心业务的关键基础设施，是连接各级政务部门、服务企业群众的重要网络载体，其安全稳定运行直接关系到政务服务效率、公共利益及数据安全，更是保障数字政府建设有序推进的重要前提。</w:t>
      </w:r>
      <w:r/>
    </w:p>
    <w:p>
      <w:pPr>
        <w:pStyle w:val="850"/>
        <w:contextualSpacing/>
        <w:ind w:firstLine="480"/>
        <w:jc w:val="both"/>
        <w:spacing w:beforeAutospacing="0" w:afterAutospacing="0" w:line="400" w:lineRule="exact"/>
        <w:rPr>
          <w:rFonts w:hint="eastAsia" w:cs="宋体" w:asciiTheme="minorEastAsia" w:hAnsiTheme="minorEastAsia"/>
        </w:rPr>
      </w:pPr>
      <w:r>
        <w:rPr>
          <w:rFonts w:hint="eastAsia" w:cs="宋体" w:asciiTheme="minorEastAsia" w:hAnsiTheme="minorEastAsia"/>
        </w:rPr>
        <w:t xml:space="preserve">我区电子政务外网安全体系自2017年建成以来，经过长期运行，现有安全设备已出现严重老化、性能衰减等问题，安全防护技术与策略滞后于当前网络安全威胁发展态势，基本丧失有效安全防护能力，难以抵御病毒入侵、网络攻击、数据泄露等各类安全风险，无法满足当前政务业务高质量运行的安全需求，存在明显的安全隐患。</w:t>
      </w:r>
      <w:r/>
    </w:p>
    <w:p>
      <w:pPr>
        <w:pStyle w:val="850"/>
        <w:contextualSpacing/>
        <w:ind w:firstLine="480"/>
        <w:jc w:val="both"/>
        <w:spacing w:beforeAutospacing="0" w:afterAutospacing="0" w:line="400" w:lineRule="exact"/>
        <w:rPr>
          <w:rFonts w:hint="eastAsia" w:cs="宋体" w:asciiTheme="minorEastAsia" w:hAnsiTheme="minorEastAsia"/>
        </w:rPr>
      </w:pPr>
      <w:r>
        <w:rPr>
          <w:rFonts w:hint="eastAsia" w:cs="宋体" w:asciiTheme="minorEastAsia" w:hAnsiTheme="minorEastAsia"/>
        </w:rPr>
        <w:t xml:space="preserve">按照省市关于电子政务新“一张网”建设的统一部署，明确要求加快加强</w:t>
      </w:r>
      <w:bookmarkStart w:id="166" w:name="OLE_LINK9"/>
      <w:r>
        <w:rPr>
          <w:rFonts w:hint="eastAsia" w:cs="宋体" w:asciiTheme="minorEastAsia" w:hAnsiTheme="minorEastAsia"/>
        </w:rPr>
        <w:t xml:space="preserve">电子政务外网安全建设</w:t>
      </w:r>
      <w:bookmarkEnd w:id="166"/>
      <w:r>
        <w:rPr>
          <w:rFonts w:hint="eastAsia" w:cs="宋体" w:asciiTheme="minorEastAsia" w:hAnsiTheme="minorEastAsia"/>
        </w:rPr>
        <w:t xml:space="preserve">，推动网络安全防护从传统被动防御向智能主动防御转型，全面提升安全监测、预警、处置和协同防护能力。目前，盐城市及下辖其它区县已基本完成电子政务外网安全提升建设，形成了全域协同的网络安全防护格局，我区电子政务外网</w:t>
      </w:r>
      <w:r>
        <w:rPr>
          <w:rFonts w:hint="eastAsia" w:cs="宋体" w:asciiTheme="minorEastAsia" w:hAnsiTheme="minorEastAsia"/>
        </w:rPr>
        <w:t xml:space="preserve">安全建设已处于滞后状态，亟需补齐安全短板，实现与省市安全建设的协同联动。同时，依据《网络安全法》《网络安全等级保护条例》等相关法律法规及政策要求，电子政务外网作为重要政务基础设施，必须严格落实网络安全等级保护二级建设标准，完成合规整改、测评备案等相关工作，确保政务网络、业务系统及数据资源的安全可控、合规运行。为有效消除现有网络安全隐患，落实上级部门建设要求，补齐安全短板，适配电子政务业务发展新形势，保障政务数据安全和业务稳定运行，推动数字政府建设提质增效，启动本次电子政务外网安全建设项目势在必行、刻不容缓。</w:t>
      </w:r>
      <w:r/>
    </w:p>
    <w:p>
      <w:pPr>
        <w:pStyle w:val="850"/>
        <w:numPr>
          <w:ilvl w:val="0"/>
          <w:numId w:val="2"/>
        </w:numPr>
        <w:contextualSpacing/>
        <w:jc w:val="both"/>
        <w:spacing w:beforeAutospacing="0" w:afterAutospacing="0" w:line="400" w:lineRule="exact"/>
        <w:rPr>
          <w:rFonts w:hint="eastAsia" w:cs="宋体" w:asciiTheme="minorEastAsia" w:hAnsiTheme="minorEastAsia"/>
        </w:rPr>
      </w:pPr>
      <w:r>
        <w:rPr>
          <w:rFonts w:hint="eastAsia" w:cs="宋体" w:asciiTheme="minorEastAsia" w:hAnsiTheme="minorEastAsia"/>
        </w:rPr>
        <w:t xml:space="preserve">建设目标</w:t>
      </w:r>
      <w:r/>
    </w:p>
    <w:p>
      <w:pPr>
        <w:pStyle w:val="850"/>
        <w:contextualSpacing/>
        <w:ind w:firstLine="480"/>
        <w:spacing w:beforeAutospacing="0" w:afterAutospacing="0" w:line="400" w:lineRule="exact"/>
        <w:rPr>
          <w:rFonts w:hint="eastAsia" w:cs="宋体" w:asciiTheme="minorEastAsia" w:hAnsiTheme="minorEastAsia"/>
        </w:rPr>
      </w:pPr>
      <w:r>
        <w:rPr>
          <w:rFonts w:hint="eastAsia" w:cs="宋体" w:asciiTheme="minorEastAsia" w:hAnsiTheme="minorEastAsia"/>
        </w:rPr>
        <w:t xml:space="preserve">1.完成电子政务外网二级等保建设；</w:t>
      </w:r>
      <w:r/>
    </w:p>
    <w:p>
      <w:pPr>
        <w:pStyle w:val="850"/>
        <w:contextualSpacing/>
        <w:ind w:firstLine="480"/>
        <w:spacing w:beforeAutospacing="0" w:afterAutospacing="0" w:line="400" w:lineRule="exact"/>
        <w:rPr>
          <w:rFonts w:hint="eastAsia" w:cs="宋体" w:asciiTheme="minorEastAsia" w:hAnsiTheme="minorEastAsia"/>
        </w:rPr>
      </w:pPr>
      <w:r>
        <w:rPr>
          <w:rFonts w:hint="eastAsia" w:cs="宋体" w:asciiTheme="minorEastAsia" w:hAnsiTheme="minorEastAsia"/>
        </w:rPr>
        <w:t xml:space="preserve">2.实现大丰区电子政务外网从被动防御向主动防御、智能防御转型；</w:t>
      </w:r>
      <w:r/>
    </w:p>
    <w:p>
      <w:pPr>
        <w:pStyle w:val="850"/>
        <w:contextualSpacing/>
        <w:ind w:firstLine="480"/>
        <w:jc w:val="both"/>
        <w:spacing w:beforeAutospacing="0" w:afterAutospacing="0" w:line="400" w:lineRule="exact"/>
        <w:rPr>
          <w:rFonts w:hint="eastAsia" w:cs="宋体" w:asciiTheme="minorEastAsia" w:hAnsiTheme="minorEastAsia"/>
        </w:rPr>
      </w:pPr>
      <w:r>
        <w:rPr>
          <w:rFonts w:hint="eastAsia" w:cs="宋体" w:asciiTheme="minorEastAsia" w:hAnsiTheme="minorEastAsia"/>
        </w:rPr>
        <w:t xml:space="preserve">3.通过专业技术服务团队，提升电子政务外网安全运维能力；</w:t>
      </w:r>
      <w:r/>
    </w:p>
    <w:p>
      <w:pPr>
        <w:pStyle w:val="850"/>
        <w:contextualSpacing/>
        <w:jc w:val="both"/>
        <w:spacing w:beforeAutospacing="0" w:afterAutospacing="0" w:line="400" w:lineRule="exact"/>
        <w:rPr>
          <w:rFonts w:hint="eastAsia" w:cs="宋体" w:asciiTheme="minorEastAsia" w:hAnsiTheme="minorEastAsia"/>
        </w:rPr>
      </w:pPr>
      <w:r>
        <w:rPr>
          <w:rFonts w:hint="eastAsia" w:cs="宋体" w:asciiTheme="minorEastAsia" w:hAnsiTheme="minorEastAsia"/>
        </w:rPr>
        <w:t xml:space="preserve">六、投标及实施要求</w:t>
      </w:r>
      <w:r/>
    </w:p>
    <w:p>
      <w:pPr>
        <w:pStyle w:val="850"/>
        <w:contextualSpacing/>
        <w:ind w:firstLine="480"/>
        <w:jc w:val="both"/>
        <w:spacing w:beforeAutospacing="0" w:afterAutospacing="0" w:line="400" w:lineRule="exact"/>
        <w:rPr>
          <w:rFonts w:hint="eastAsia" w:cs="宋体" w:asciiTheme="minorEastAsia" w:hAnsiTheme="minorEastAsia"/>
        </w:rPr>
      </w:pPr>
      <w:r>
        <w:rPr>
          <w:rFonts w:hint="eastAsia" w:cs="宋体" w:asciiTheme="minorEastAsia" w:hAnsiTheme="minorEastAsia"/>
        </w:rPr>
        <w:t xml:space="preserve">1.投标人投标前须充分了解大丰区电子政务外网网络安全现状，投标时须提供完整的系统集成方案、项目实施方案和运维服务方案；</w:t>
      </w:r>
      <w:r/>
    </w:p>
    <w:p>
      <w:pPr>
        <w:pStyle w:val="850"/>
        <w:contextualSpacing/>
        <w:ind w:firstLine="480"/>
        <w:jc w:val="both"/>
        <w:spacing w:beforeAutospacing="0" w:afterAutospacing="0" w:line="400" w:lineRule="exact"/>
        <w:rPr>
          <w:rFonts w:hint="eastAsia" w:cs="宋体" w:asciiTheme="minorEastAsia" w:hAnsiTheme="minorEastAsia"/>
        </w:rPr>
      </w:pPr>
      <w:r>
        <w:rPr>
          <w:rFonts w:hint="eastAsia" w:cs="宋体" w:asciiTheme="minorEastAsia" w:hAnsiTheme="minorEastAsia"/>
        </w:rPr>
        <w:t xml:space="preserve">2.本项目包含系统集成及运维服务，投标人针对本项目应组建专业的技术服务团队，保证大丰区电子政务外网安全运行；</w:t>
      </w:r>
      <w:r/>
    </w:p>
    <w:p>
      <w:pPr>
        <w:pStyle w:val="850"/>
        <w:contextualSpacing/>
        <w:ind w:firstLine="480"/>
        <w:jc w:val="both"/>
        <w:spacing w:beforeAutospacing="0" w:afterAutospacing="0" w:line="400" w:lineRule="exact"/>
        <w:rPr>
          <w:rFonts w:hint="eastAsia" w:cs="宋体" w:asciiTheme="minorEastAsia" w:hAnsiTheme="minorEastAsia"/>
        </w:rPr>
      </w:pPr>
      <w:r>
        <w:rPr>
          <w:rFonts w:hint="eastAsia" w:cs="宋体" w:asciiTheme="minorEastAsia" w:hAnsiTheme="minorEastAsia"/>
        </w:rPr>
        <w:t xml:space="preserve">3.流量探针将采集的全流量数据发送至安全管理平台进行威胁研判，攻击溯源和态势分析，安全管理将分析结果通过图形化界面进行展示；</w:t>
      </w:r>
      <w:r/>
    </w:p>
    <w:p>
      <w:pPr>
        <w:pStyle w:val="850"/>
        <w:contextualSpacing/>
        <w:ind w:firstLine="480"/>
        <w:jc w:val="both"/>
        <w:spacing w:beforeAutospacing="0" w:afterAutospacing="0" w:line="400" w:lineRule="exact"/>
        <w:rPr>
          <w:rFonts w:hint="eastAsia" w:cs="宋体" w:asciiTheme="minorEastAsia" w:hAnsiTheme="minorEastAsia"/>
        </w:rPr>
      </w:pPr>
      <w:r>
        <w:rPr>
          <w:rFonts w:hint="eastAsia" w:cs="宋体" w:asciiTheme="minorEastAsia" w:hAnsiTheme="minorEastAsia"/>
        </w:rPr>
        <w:t xml:space="preserve">4.安全管理平台须将电子政务外网发生的各类的威胁事件通过工单方式发送至各相关单位，各单位整改后，可通过安全管理平台进行反馈，实现安全事件处理的闭环，后期无条件实现与省、市安全管理平台进行对接(投标时提供承诺函，格式自拟</w:t>
      </w:r>
      <w:r>
        <w:rPr>
          <w:rFonts w:cs="宋体" w:asciiTheme="minorEastAsia" w:hAnsiTheme="minorEastAsia"/>
        </w:rPr>
        <w:t xml:space="preserve">)</w:t>
      </w:r>
      <w:r>
        <w:rPr>
          <w:rFonts w:hint="eastAsia" w:cs="宋体" w:asciiTheme="minorEastAsia" w:hAnsiTheme="minorEastAsia"/>
        </w:rPr>
        <w:t xml:space="preserve">；</w:t>
      </w:r>
      <w:r/>
    </w:p>
    <w:p>
      <w:pPr>
        <w:pStyle w:val="850"/>
        <w:contextualSpacing/>
        <w:ind w:firstLine="480"/>
        <w:jc w:val="both"/>
        <w:spacing w:beforeAutospacing="0" w:afterAutospacing="0" w:line="400" w:lineRule="exact"/>
        <w:rPr>
          <w:rFonts w:hint="eastAsia" w:cs="宋体" w:asciiTheme="minorEastAsia" w:hAnsiTheme="minorEastAsia"/>
        </w:rPr>
      </w:pPr>
      <w:r>
        <w:rPr>
          <w:rFonts w:hint="eastAsia" w:cs="宋体" w:asciiTheme="minorEastAsia" w:hAnsiTheme="minorEastAsia"/>
        </w:rPr>
        <w:t xml:space="preserve">5.终端准入系统须与终端防病毒系统联动，终端准入系统支持无客户端方式部署，即终端在未安装准入客户端的情况下也可以实现对终端是否安装杀毒软件进行检测，对于未安装防病毒软件的终端，终端准入系统可禁止其终端接入电子政务外网；</w:t>
      </w:r>
      <w:r/>
    </w:p>
    <w:p>
      <w:pPr>
        <w:pStyle w:val="850"/>
        <w:contextualSpacing/>
        <w:ind w:firstLine="480"/>
        <w:jc w:val="both"/>
        <w:spacing w:beforeAutospacing="0" w:afterAutospacing="0" w:line="400" w:lineRule="exact"/>
        <w:rPr>
          <w:rFonts w:hint="eastAsia" w:cs="宋体" w:asciiTheme="minorEastAsia" w:hAnsiTheme="minorEastAsia"/>
        </w:rPr>
      </w:pPr>
      <w:r>
        <w:rPr>
          <w:rFonts w:hint="eastAsia" w:cs="宋体" w:asciiTheme="minorEastAsia" w:hAnsiTheme="minorEastAsia"/>
        </w:rPr>
        <w:t xml:space="preserve">6.本次项目旨在构建一套完整的安全防御体系，流量探针、安全管理平台须与电子政务外网出口防火墙之间能够无条件对接，形成一套完整联动防御体系，流量探针负责总体流量采集、安全管理平台负责收集、分析，安全管理平台一旦发现威胁事件后，可自动向电子政务外网出口防火墙发送能够识别的指令，通知防火墙进行阻断和记录，实现完整的闭环；</w:t>
      </w:r>
      <w:r/>
    </w:p>
    <w:p>
      <w:pPr>
        <w:pStyle w:val="850"/>
        <w:contextualSpacing/>
        <w:ind w:firstLine="480"/>
        <w:jc w:val="both"/>
        <w:spacing w:beforeAutospacing="0" w:afterAutospacing="0" w:line="400" w:lineRule="exact"/>
        <w:rPr>
          <w:rFonts w:hint="eastAsia" w:cs="宋体" w:asciiTheme="minorEastAsia" w:hAnsiTheme="minorEastAsia"/>
        </w:rPr>
      </w:pPr>
      <w:r>
        <w:rPr>
          <w:rFonts w:hint="eastAsia" w:cs="宋体" w:asciiTheme="minorEastAsia" w:hAnsiTheme="minorEastAsia"/>
        </w:rPr>
        <w:t xml:space="preserve">7.安全管理平台须无条件实现与终端防病毒系统联动，安全管理平台发现威胁事件后，可联动终端防病毒系统，对于已安装防病毒软件的终端，针对该威胁事件进行查杀和隔离；</w:t>
      </w:r>
      <w:r/>
    </w:p>
    <w:p>
      <w:pPr>
        <w:pStyle w:val="850"/>
        <w:contextualSpacing/>
        <w:ind w:firstLine="480"/>
        <w:jc w:val="both"/>
        <w:spacing w:beforeAutospacing="0" w:afterAutospacing="0" w:line="400" w:lineRule="exact"/>
        <w:rPr>
          <w:rFonts w:hint="eastAsia" w:cs="宋体" w:asciiTheme="minorEastAsia" w:hAnsiTheme="minorEastAsia"/>
        </w:rPr>
      </w:pPr>
      <w:r>
        <w:rPr>
          <w:rFonts w:hint="eastAsia" w:cs="宋体" w:asciiTheme="minorEastAsia" w:hAnsiTheme="minorEastAsia"/>
        </w:rPr>
        <w:t xml:space="preserve">8.零信任网关支持可扩展系统架构，可按需增加资源，通过集群方式满足不断增加的电子政务外网接入需求；</w:t>
      </w:r>
      <w:r/>
    </w:p>
    <w:p>
      <w:pPr>
        <w:pStyle w:val="850"/>
        <w:contextualSpacing/>
        <w:ind w:firstLine="480"/>
        <w:jc w:val="both"/>
        <w:spacing w:beforeAutospacing="0" w:afterAutospacing="0" w:line="400" w:lineRule="exact"/>
        <w:rPr>
          <w:rFonts w:hint="eastAsia" w:cs="宋体" w:asciiTheme="minorEastAsia" w:hAnsiTheme="minorEastAsia"/>
        </w:rPr>
      </w:pPr>
      <w:r>
        <w:rPr>
          <w:rFonts w:hint="eastAsia" w:cs="宋体" w:asciiTheme="minorEastAsia" w:hAnsiTheme="minorEastAsia"/>
        </w:rPr>
        <w:t xml:space="preserve">9.大丰区电子政务外网核心节点目前部署于城东大数据据机房，为实现集中管理和联动防御，本次采购的硬件设备要求部署于城东大数据机房，城东大数据机房由运营商建设并负责运营，针对本次新增的硬件设备，投标报价时须考虑设备机房托管所包含的费用；</w:t>
      </w:r>
      <w:r/>
    </w:p>
    <w:p>
      <w:pPr>
        <w:pStyle w:val="850"/>
        <w:contextualSpacing/>
        <w:ind w:firstLine="482"/>
        <w:jc w:val="both"/>
        <w:spacing w:beforeAutospacing="0" w:afterAutospacing="0" w:line="400" w:lineRule="exact"/>
        <w:rPr>
          <w:rFonts w:hint="eastAsia" w:cs="宋体" w:asciiTheme="minorEastAsia" w:hAnsiTheme="minorEastAsia"/>
          <w:strike/>
        </w:rPr>
      </w:pPr>
      <w:r>
        <w:rPr>
          <w:rFonts w:hint="eastAsia" w:cs="宋体" w:asciiTheme="minorEastAsia" w:hAnsiTheme="minorEastAsia"/>
          <w:b/>
          <w:bCs/>
          <w:i/>
          <w:iCs/>
          <w:u w:val="single"/>
        </w:rPr>
        <w:t xml:space="preserve">注：以上要求投标人投标时须逐条响应，不允许出现负偏离，否则视为未实质性响应招标文件要求</w:t>
      </w:r>
      <w:r>
        <w:rPr>
          <w:rFonts w:hint="eastAsia" w:cs="宋体" w:asciiTheme="minorEastAsia" w:hAnsiTheme="minorEastAsia"/>
        </w:rPr>
        <w:t xml:space="preserve">。</w:t>
      </w:r>
      <w:r/>
    </w:p>
    <w:p>
      <w:pPr>
        <w:pStyle w:val="850"/>
        <w:contextualSpacing/>
        <w:jc w:val="both"/>
        <w:spacing w:beforeAutospacing="0" w:afterAutospacing="0" w:line="400" w:lineRule="exact"/>
        <w:rPr>
          <w:rFonts w:hint="eastAsia" w:cs="宋体" w:asciiTheme="minorEastAsia" w:hAnsiTheme="minorEastAsia"/>
        </w:rPr>
      </w:pPr>
      <w:r>
        <w:rPr>
          <w:rFonts w:hint="eastAsia" w:cs="宋体" w:asciiTheme="minorEastAsia" w:hAnsiTheme="minorEastAsia"/>
        </w:rPr>
        <w:t xml:space="preserve">七、设备及服务清单</w:t>
      </w:r>
      <w:r/>
    </w:p>
    <w:tbl>
      <w:tblPr>
        <w:tblStyle w:val="844"/>
        <w:tblW w:w="8647" w:type="dxa"/>
        <w:tblInd w:w="-147" w:type="dxa"/>
        <w:tblLayout w:type="autofit"/>
        <w:tblCellMar>
          <w:left w:w="108" w:type="dxa"/>
          <w:top w:w="0" w:type="dxa"/>
          <w:right w:w="108" w:type="dxa"/>
          <w:bottom w:w="0" w:type="dxa"/>
        </w:tblCellMar>
        <w:tblLook w:val="04A0" w:firstRow="1" w:lastRow="0" w:firstColumn="1" w:lastColumn="0" w:noHBand="0" w:noVBand="1"/>
      </w:tblPr>
      <w:tblGrid>
        <w:gridCol w:w="709"/>
        <w:gridCol w:w="3544"/>
        <w:gridCol w:w="1276"/>
        <w:gridCol w:w="850"/>
        <w:gridCol w:w="2268"/>
      </w:tblGrid>
      <w:tr>
        <w:trPr>
          <w:trHeight w:val="288"/>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ascii="微软雅黑" w:hAnsi="微软雅黑" w:eastAsia="微软雅黑" w:cs="宋体"/>
                <w:b/>
                <w:bCs/>
                <w:sz w:val="18"/>
                <w:szCs w:val="18"/>
              </w:rPr>
            </w:pPr>
            <w:r>
              <w:rPr>
                <w:rFonts w:hint="eastAsia" w:ascii="微软雅黑" w:hAnsi="微软雅黑" w:eastAsia="微软雅黑" w:cs="宋体"/>
                <w:b/>
                <w:bCs/>
                <w:sz w:val="18"/>
                <w:szCs w:val="18"/>
              </w:rPr>
              <w:t xml:space="preserve">序号</w:t>
            </w:r>
            <w:r/>
          </w:p>
        </w:tc>
        <w:tc>
          <w:tcPr>
            <w:tcBorders>
              <w:top w:val="single" w:color="auto" w:sz="4" w:space="0"/>
              <w:left w:val="none" w:color="000000" w:sz="4" w:space="0"/>
              <w:bottom w:val="single" w:color="auto" w:sz="4" w:space="0"/>
              <w:right w:val="single" w:color="auto" w:sz="4" w:space="0"/>
            </w:tcBorders>
            <w:tcW w:w="3544" w:type="dxa"/>
            <w:vAlign w:val="center"/>
            <w:textDirection w:val="lrTb"/>
            <w:noWrap/>
          </w:tcPr>
          <w:p>
            <w:pPr>
              <w:jc w:val="center"/>
              <w:widowControl/>
              <w:rPr>
                <w:rFonts w:hint="eastAsia" w:ascii="微软雅黑" w:hAnsi="微软雅黑" w:eastAsia="微软雅黑" w:cs="宋体"/>
                <w:b/>
                <w:bCs/>
                <w:sz w:val="18"/>
                <w:szCs w:val="18"/>
              </w:rPr>
            </w:pPr>
            <w:r>
              <w:rPr>
                <w:rFonts w:hint="eastAsia" w:ascii="微软雅黑" w:hAnsi="微软雅黑" w:eastAsia="微软雅黑" w:cs="宋体"/>
                <w:b/>
                <w:bCs/>
                <w:sz w:val="18"/>
                <w:szCs w:val="18"/>
              </w:rPr>
              <w:t xml:space="preserve">名称</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微软雅黑" w:hAnsi="微软雅黑" w:eastAsia="微软雅黑" w:cs="宋体"/>
                <w:b/>
                <w:bCs/>
                <w:sz w:val="18"/>
                <w:szCs w:val="18"/>
              </w:rPr>
            </w:pPr>
            <w:r>
              <w:rPr>
                <w:rFonts w:hint="eastAsia" w:ascii="微软雅黑" w:hAnsi="微软雅黑" w:eastAsia="微软雅黑" w:cs="宋体"/>
                <w:b/>
                <w:bCs/>
                <w:sz w:val="18"/>
                <w:szCs w:val="18"/>
              </w:rPr>
              <w:t xml:space="preserve">数量</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微软雅黑" w:hAnsi="微软雅黑" w:eastAsia="微软雅黑" w:cs="宋体"/>
                <w:b/>
                <w:bCs/>
                <w:sz w:val="18"/>
                <w:szCs w:val="18"/>
              </w:rPr>
            </w:pPr>
            <w:r>
              <w:rPr>
                <w:rFonts w:hint="eastAsia" w:ascii="微软雅黑" w:hAnsi="微软雅黑" w:eastAsia="微软雅黑" w:cs="宋体"/>
                <w:b/>
                <w:bCs/>
                <w:sz w:val="18"/>
                <w:szCs w:val="18"/>
              </w:rPr>
              <w:t xml:space="preserve">单位</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微软雅黑" w:hAnsi="微软雅黑" w:eastAsia="微软雅黑" w:cs="宋体"/>
                <w:b/>
                <w:bCs/>
                <w:sz w:val="18"/>
                <w:szCs w:val="18"/>
              </w:rPr>
            </w:pPr>
            <w:r>
              <w:rPr>
                <w:rFonts w:ascii="微软雅黑" w:hAnsi="微软雅黑" w:eastAsia="微软雅黑" w:cs="宋体"/>
                <w:b/>
                <w:bCs/>
                <w:sz w:val="18"/>
                <w:szCs w:val="18"/>
              </w:rPr>
              <w:t xml:space="preserve">备注</w:t>
            </w:r>
            <w:r/>
          </w:p>
        </w:tc>
      </w:tr>
      <w:tr>
        <w:trPr>
          <w:trHeight w:val="213"/>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jc w:val="left"/>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日志审计</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台</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详见“详细技术参数”</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jc w:val="left"/>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堡垒机</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台</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详见“详细技术参数”</w:t>
            </w:r>
            <w:r/>
          </w:p>
        </w:tc>
      </w:tr>
      <w:tr>
        <w:trPr>
          <w:trHeight w:val="141"/>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3</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jc w:val="left"/>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零信任网关</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台</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详见“详细技术参数”</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ascii="微软雅黑" w:hAnsi="微软雅黑" w:eastAsia="微软雅黑" w:cs="宋体"/>
                <w:sz w:val="18"/>
                <w:szCs w:val="18"/>
              </w:rPr>
            </w:pPr>
            <w:r>
              <w:rPr>
                <w:rFonts w:ascii="微软雅黑" w:hAnsi="微软雅黑" w:eastAsia="微软雅黑" w:cs="宋体"/>
                <w:sz w:val="18"/>
                <w:szCs w:val="18"/>
              </w:rPr>
              <w:t xml:space="preserve">4</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jc w:val="left"/>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安全管理平台</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台</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详见“详细技术参数”</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ascii="微软雅黑" w:hAnsi="微软雅黑" w:eastAsia="微软雅黑" w:cs="宋体"/>
                <w:sz w:val="18"/>
                <w:szCs w:val="18"/>
              </w:rPr>
            </w:pPr>
            <w:r>
              <w:rPr>
                <w:rFonts w:ascii="微软雅黑" w:hAnsi="微软雅黑" w:eastAsia="微软雅黑" w:cs="宋体"/>
                <w:sz w:val="18"/>
                <w:szCs w:val="18"/>
              </w:rPr>
              <w:t xml:space="preserve">5</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jc w:val="left"/>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流量探针</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台</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详见“详细技术参数”</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ascii="微软雅黑" w:hAnsi="微软雅黑" w:eastAsia="微软雅黑" w:cs="宋体"/>
                <w:sz w:val="18"/>
                <w:szCs w:val="18"/>
              </w:rPr>
            </w:pPr>
            <w:r>
              <w:rPr>
                <w:rFonts w:ascii="微软雅黑" w:hAnsi="微软雅黑" w:eastAsia="微软雅黑" w:cs="宋体"/>
                <w:sz w:val="18"/>
                <w:szCs w:val="18"/>
              </w:rPr>
              <w:t xml:space="preserve">6</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jc w:val="left"/>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终端准入系统</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微软雅黑" w:hAnsi="微软雅黑" w:eastAsia="微软雅黑" w:cs="宋体"/>
                <w:sz w:val="18"/>
                <w:szCs w:val="18"/>
              </w:rPr>
            </w:pPr>
            <w:r>
              <w:rPr>
                <w:rFonts w:ascii="微软雅黑" w:hAnsi="微软雅黑" w:eastAsia="微软雅黑" w:cs="宋体"/>
                <w:sz w:val="18"/>
                <w:szCs w:val="18"/>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套</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详见“详细技术参数”</w:t>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ascii="微软雅黑" w:hAnsi="微软雅黑" w:eastAsia="微软雅黑" w:cs="宋体"/>
                <w:sz w:val="18"/>
                <w:szCs w:val="18"/>
              </w:rPr>
            </w:pPr>
            <w:r/>
            <w:bookmarkStart w:id="167" w:name="_Hlk230793190"/>
            <w:r/>
            <w:bookmarkStart w:id="168" w:name="_Hlk230795768"/>
            <w:r>
              <w:rPr>
                <w:rFonts w:ascii="微软雅黑" w:hAnsi="微软雅黑" w:eastAsia="微软雅黑" w:cs="宋体"/>
                <w:sz w:val="18"/>
                <w:szCs w:val="18"/>
              </w:rPr>
              <w:t xml:space="preserve">7</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jc w:val="left"/>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终端防病毒系统维保服务</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微软雅黑" w:hAnsi="微软雅黑" w:eastAsia="微软雅黑" w:cs="宋体"/>
                <w:sz w:val="18"/>
                <w:szCs w:val="18"/>
              </w:rPr>
            </w:pPr>
            <w:r>
              <w:rPr>
                <w:rFonts w:ascii="微软雅黑" w:hAnsi="微软雅黑" w:eastAsia="微软雅黑" w:cs="宋体"/>
                <w:sz w:val="18"/>
                <w:szCs w:val="18"/>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项</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详见“详细技术参数”</w:t>
            </w:r>
            <w:r/>
          </w:p>
        </w:tc>
      </w:tr>
      <w:tr>
        <w:trPr>
          <w:trHeight w:val="255"/>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ascii="微软雅黑" w:hAnsi="微软雅黑" w:eastAsia="微软雅黑" w:cs="宋体"/>
                <w:sz w:val="18"/>
                <w:szCs w:val="18"/>
              </w:rPr>
            </w:pPr>
            <w:r>
              <w:rPr>
                <w:rFonts w:ascii="微软雅黑" w:hAnsi="微软雅黑" w:eastAsia="微软雅黑"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jc w:val="left"/>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电子政务外网出口防火墙维保服务</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微软雅黑" w:hAnsi="微软雅黑" w:eastAsia="微软雅黑" w:cs="宋体"/>
                <w:sz w:val="18"/>
                <w:szCs w:val="18"/>
              </w:rPr>
            </w:pPr>
            <w:r>
              <w:rPr>
                <w:rFonts w:ascii="微软雅黑" w:hAnsi="微软雅黑" w:eastAsia="微软雅黑" w:cs="宋体"/>
                <w:sz w:val="18"/>
                <w:szCs w:val="18"/>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项</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详见“详细技术参数”</w:t>
            </w:r>
            <w:bookmarkEnd w:id="167"/>
            <w:r/>
            <w:r/>
          </w:p>
        </w:tc>
      </w:tr>
      <w:tr>
        <w:trPr>
          <w:trHeight w:val="288"/>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jc w:val="left"/>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二级等保</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项</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widowControl/>
              <w:rPr>
                <w:rFonts w:hint="eastAsia" w:ascii="微软雅黑" w:hAnsi="微软雅黑" w:eastAsia="微软雅黑" w:cs="宋体"/>
                <w:sz w:val="18"/>
                <w:szCs w:val="18"/>
              </w:rPr>
            </w:pPr>
            <w:r/>
            <w:bookmarkStart w:id="169" w:name="OLE_LINK6"/>
            <w:r>
              <w:rPr>
                <w:rFonts w:hint="eastAsia" w:ascii="微软雅黑" w:hAnsi="微软雅黑" w:eastAsia="微软雅黑" w:cs="宋体"/>
                <w:sz w:val="18"/>
                <w:szCs w:val="18"/>
              </w:rPr>
              <w:t xml:space="preserve">详见“详细技术参数</w:t>
            </w:r>
            <w:bookmarkEnd w:id="169"/>
            <w:r>
              <w:rPr>
                <w:rFonts w:hint="eastAsia" w:ascii="微软雅黑" w:hAnsi="微软雅黑" w:eastAsia="微软雅黑" w:cs="宋体"/>
                <w:sz w:val="18"/>
                <w:szCs w:val="18"/>
              </w:rPr>
              <w:t xml:space="preserve">”</w:t>
            </w:r>
            <w:r/>
          </w:p>
        </w:tc>
      </w:tr>
      <w:tr>
        <w:trPr>
          <w:trHeight w:val="218"/>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ascii="微软雅黑" w:hAnsi="微软雅黑" w:eastAsia="微软雅黑" w:cs="宋体"/>
                <w:sz w:val="18"/>
                <w:szCs w:val="18"/>
              </w:rPr>
            </w:pPr>
            <w:r>
              <w:rPr>
                <w:rFonts w:ascii="微软雅黑" w:hAnsi="微软雅黑" w:eastAsia="微软雅黑"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jc w:val="left"/>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安全运维服务</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hint="eastAsia" w:ascii="微软雅黑" w:hAnsi="微软雅黑" w:eastAsia="微软雅黑" w:cs="宋体"/>
                <w:sz w:val="18"/>
                <w:szCs w:val="18"/>
              </w:rPr>
            </w:pPr>
            <w:r>
              <w:rPr>
                <w:rFonts w:ascii="微软雅黑" w:hAnsi="微软雅黑" w:eastAsia="微软雅黑" w:cs="宋体"/>
                <w:sz w:val="18"/>
                <w:szCs w:val="18"/>
              </w:rPr>
              <w:t xml:space="preserve">3</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年</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详见“详细技术参数</w:t>
            </w:r>
            <w:bookmarkEnd w:id="168"/>
            <w:r/>
            <w:r/>
          </w:p>
        </w:tc>
      </w:tr>
    </w:tbl>
    <w:p>
      <w:pPr>
        <w:pStyle w:val="850"/>
        <w:contextualSpacing/>
        <w:jc w:val="both"/>
        <w:spacing w:beforeAutospacing="0" w:afterAutospacing="0" w:line="400" w:lineRule="exact"/>
        <w:rPr>
          <w:rFonts w:hint="eastAsia" w:cs="宋体" w:asciiTheme="minorEastAsia" w:hAnsiTheme="minorEastAsia"/>
        </w:rPr>
      </w:pPr>
      <w:r>
        <w:rPr>
          <w:rFonts w:hint="eastAsia" w:cs="宋体" w:asciiTheme="minorEastAsia" w:hAnsiTheme="minorEastAsia"/>
        </w:rPr>
        <w:t xml:space="preserve">八、详细技术参数</w:t>
      </w:r>
      <w:r/>
    </w:p>
    <w:tbl>
      <w:tblPr>
        <w:tblStyle w:val="844"/>
        <w:tblW w:w="8647"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134"/>
        <w:gridCol w:w="6804"/>
      </w:tblGrid>
      <w:tr>
        <w:trPr>
          <w:trHeight w:val="288"/>
        </w:trPr>
        <w:tc>
          <w:tcPr>
            <w:tcW w:w="709" w:type="dxa"/>
            <w:vAlign w:val="center"/>
            <w:textDirection w:val="lrTb"/>
            <w:noWrap/>
          </w:tcPr>
          <w:p>
            <w:pPr>
              <w:jc w:val="center"/>
              <w:spacing w:line="480" w:lineRule="exact"/>
              <w:rPr>
                <w:rFonts w:hint="eastAsia" w:ascii="微软雅黑" w:hAnsi="微软雅黑" w:eastAsia="微软雅黑" w:cs="Times New Roman"/>
                <w:b/>
                <w:bCs/>
                <w:szCs w:val="21"/>
              </w:rPr>
            </w:pPr>
            <w:r>
              <w:rPr>
                <w:rFonts w:hint="eastAsia" w:ascii="微软雅黑" w:hAnsi="微软雅黑" w:eastAsia="微软雅黑" w:cs="Times New Roman"/>
                <w:b/>
                <w:bCs/>
                <w:szCs w:val="21"/>
              </w:rPr>
              <w:t xml:space="preserve">序号</w:t>
            </w:r>
            <w:r/>
          </w:p>
        </w:tc>
        <w:tc>
          <w:tcPr>
            <w:tcW w:w="1134" w:type="dxa"/>
            <w:vAlign w:val="center"/>
            <w:textDirection w:val="lrTb"/>
            <w:noWrap/>
          </w:tcPr>
          <w:p>
            <w:pPr>
              <w:jc w:val="center"/>
              <w:spacing w:line="480" w:lineRule="exact"/>
              <w:rPr>
                <w:rFonts w:hint="eastAsia" w:ascii="微软雅黑" w:hAnsi="微软雅黑" w:eastAsia="微软雅黑" w:cs="Times New Roman"/>
                <w:b/>
                <w:bCs/>
                <w:szCs w:val="21"/>
              </w:rPr>
            </w:pPr>
            <w:r>
              <w:rPr>
                <w:rFonts w:hint="eastAsia" w:ascii="微软雅黑" w:hAnsi="微软雅黑" w:eastAsia="微软雅黑" w:cs="Times New Roman"/>
                <w:b/>
                <w:bCs/>
                <w:szCs w:val="21"/>
              </w:rPr>
              <w:t xml:space="preserve">名称</w:t>
            </w:r>
            <w:r/>
          </w:p>
        </w:tc>
        <w:tc>
          <w:tcPr>
            <w:tcW w:w="6804" w:type="dxa"/>
            <w:vAlign w:val="center"/>
            <w:textDirection w:val="lrTb"/>
            <w:noWrap/>
          </w:tcPr>
          <w:p>
            <w:pPr>
              <w:jc w:val="center"/>
              <w:spacing w:line="480" w:lineRule="exact"/>
              <w:rPr>
                <w:rFonts w:hint="eastAsia" w:ascii="微软雅黑" w:hAnsi="微软雅黑" w:eastAsia="微软雅黑" w:cs="Times New Roman"/>
                <w:b/>
                <w:bCs/>
                <w:szCs w:val="21"/>
              </w:rPr>
            </w:pPr>
            <w:r>
              <w:rPr>
                <w:rFonts w:hint="eastAsia" w:ascii="微软雅黑" w:hAnsi="微软雅黑" w:eastAsia="微软雅黑" w:cs="Times New Roman"/>
                <w:b/>
                <w:bCs/>
                <w:szCs w:val="21"/>
              </w:rPr>
              <w:t xml:space="preserve">技术参数</w:t>
            </w:r>
            <w:r/>
          </w:p>
        </w:tc>
      </w:tr>
      <w:tr>
        <w:trPr>
          <w:trHeight w:val="213"/>
        </w:trPr>
        <w:tc>
          <w:tcPr>
            <w:tcW w:w="709" w:type="dxa"/>
            <w:vAlign w:val="center"/>
            <w:textDirection w:val="lrTb"/>
            <w:noWrap/>
          </w:tcPr>
          <w:p>
            <w:pPr>
              <w:jc w:val="cente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1</w:t>
            </w:r>
            <w:r/>
          </w:p>
        </w:tc>
        <w:tc>
          <w:tcPr>
            <w:tcW w:w="1134" w:type="dxa"/>
            <w:vAlign w:val="center"/>
            <w:textDirection w:val="lrTb"/>
            <w:noWrap/>
          </w:tcPr>
          <w:p>
            <w:pPr>
              <w:jc w:val="cente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日志审计</w:t>
            </w:r>
            <w:r/>
          </w:p>
        </w:tc>
        <w:tc>
          <w:tcPr>
            <w:tcW w:w="6804" w:type="dxa"/>
            <w:vAlign w:val="center"/>
            <w:textDirection w:val="lrTb"/>
            <w:noWrap/>
          </w:tcPr>
          <w:p>
            <w:pPr>
              <w:spacing w:line="480" w:lineRule="exact"/>
              <w:rPr>
                <w:rFonts w:hint="eastAsia" w:ascii="微软雅黑" w:hAnsi="微软雅黑" w:eastAsia="微软雅黑" w:cs="Times New Roman"/>
                <w:b/>
                <w:bCs/>
                <w:szCs w:val="21"/>
              </w:rPr>
            </w:pPr>
            <w:r/>
            <w:bookmarkStart w:id="170" w:name="OLE_LINK2"/>
            <w:r>
              <w:rPr>
                <w:rFonts w:hint="eastAsia" w:ascii="微软雅黑" w:hAnsi="微软雅黑" w:eastAsia="微软雅黑" w:cs="Times New Roman"/>
                <w:b/>
                <w:bCs/>
                <w:szCs w:val="21"/>
              </w:rPr>
              <w:t xml:space="preserve">一、基础配置要求</w:t>
            </w:r>
            <w:bookmarkEnd w:id="170"/>
            <w:r/>
            <w:r/>
          </w:p>
          <w:p>
            <w:pP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采用国产化处理器和操作系统，≥</w:t>
            </w:r>
            <w:r>
              <w:rPr>
                <w:rFonts w:ascii="微软雅黑" w:hAnsi="微软雅黑" w:eastAsia="微软雅黑" w:cs="Times New Roman"/>
                <w:szCs w:val="21"/>
              </w:rPr>
              <w:t xml:space="preserve">1U标准机架式设备,≥6个千兆电口，≥4个千兆光插槽,单电源,≥2个扩展槽位,≥1个console口，≥16G内存，系统盘≥256G，数据盘≥4T。日志采集处理均值≥1000EPS，≥30日志源</w:t>
            </w:r>
            <w:r>
              <w:rPr>
                <w:rFonts w:hint="eastAsia" w:ascii="微软雅黑" w:hAnsi="微软雅黑" w:eastAsia="微软雅黑" w:cs="Times New Roman"/>
                <w:szCs w:val="21"/>
              </w:rPr>
              <w:t xml:space="preserve">，设备</w:t>
            </w:r>
            <w:r>
              <w:rPr>
                <w:rFonts w:ascii="微软雅黑" w:hAnsi="微软雅黑" w:eastAsia="微软雅黑" w:cs="Times New Roman"/>
                <w:szCs w:val="21"/>
              </w:rPr>
              <w:t xml:space="preserve">支持不同品牌厂商的安全设备、网络设备、中间件、服务器、数据库、操作系统、业务系统等日志数据采集；整机三年原厂质保；</w:t>
            </w:r>
            <w:r/>
          </w:p>
          <w:p>
            <w:pPr>
              <w:spacing w:line="480" w:lineRule="exact"/>
              <w:rPr>
                <w:rFonts w:hint="eastAsia" w:ascii="微软雅黑" w:hAnsi="微软雅黑" w:eastAsia="微软雅黑" w:cs="Times New Roman"/>
                <w:b/>
                <w:bCs/>
                <w:szCs w:val="21"/>
              </w:rPr>
            </w:pPr>
            <w:r>
              <w:rPr>
                <w:rFonts w:hint="eastAsia" w:ascii="微软雅黑" w:hAnsi="微软雅黑" w:eastAsia="微软雅黑" w:cs="Times New Roman"/>
                <w:b/>
                <w:bCs/>
                <w:szCs w:val="21"/>
              </w:rPr>
              <w:t xml:space="preserve">二、功能要求</w:t>
            </w:r>
            <w:r/>
          </w:p>
          <w:p>
            <w:pPr>
              <w:spacing w:line="480" w:lineRule="exact"/>
              <w:rPr>
                <w:rFonts w:hint="eastAsia" w:ascii="微软雅黑" w:hAnsi="微软雅黑" w:eastAsia="微软雅黑" w:cs="Times New Roman"/>
                <w:szCs w:val="21"/>
              </w:rPr>
            </w:pPr>
            <w:r>
              <w:rPr>
                <w:rFonts w:ascii="微软雅黑" w:hAnsi="微软雅黑" w:eastAsia="微软雅黑" w:cs="Times New Roman"/>
                <w:szCs w:val="21"/>
              </w:rPr>
              <w:t xml:space="preserve">1、支持对日志流量非常大但是日志重要程度低的syslog类型日志源进行限制接收速率，降低对系统资源的占用，保障重要日志的收集； </w:t>
            </w:r>
            <w:r/>
          </w:p>
          <w:p>
            <w:pPr>
              <w:spacing w:line="480" w:lineRule="exact"/>
              <w:rPr>
                <w:rFonts w:hint="eastAsia" w:ascii="微软雅黑" w:hAnsi="微软雅黑" w:eastAsia="微软雅黑" w:cs="Times New Roman"/>
                <w:szCs w:val="21"/>
              </w:rPr>
            </w:pPr>
            <w:r>
              <w:rPr>
                <w:rFonts w:ascii="微软雅黑" w:hAnsi="微软雅黑" w:eastAsia="微软雅黑" w:cs="Times New Roman"/>
                <w:szCs w:val="21"/>
              </w:rPr>
              <w:t xml:space="preserve">2、支持根据设备重要程度设置独立设置每个被采集源的日志、报表数据存储时间</w:t>
            </w:r>
            <w:r>
              <w:rPr>
                <w:rFonts w:hint="eastAsia" w:ascii="微软雅黑" w:hAnsi="微软雅黑" w:eastAsia="微软雅黑" w:cs="Times New Roman"/>
                <w:szCs w:val="21"/>
              </w:rPr>
              <w:t xml:space="preserve">可以自定义</w:t>
            </w:r>
            <w:r>
              <w:rPr>
                <w:rFonts w:ascii="微软雅黑" w:hAnsi="微软雅黑" w:eastAsia="微软雅黑" w:cs="Times New Roman"/>
                <w:szCs w:val="21"/>
              </w:rPr>
              <w:t xml:space="preserve">和永久保存等参数； </w:t>
            </w:r>
            <w:r/>
          </w:p>
          <w:p>
            <w:pPr>
              <w:spacing w:line="480" w:lineRule="exact"/>
              <w:rPr>
                <w:rFonts w:hint="eastAsia" w:ascii="微软雅黑" w:hAnsi="微软雅黑" w:eastAsia="微软雅黑" w:cs="Times New Roman"/>
                <w:szCs w:val="21"/>
              </w:rPr>
            </w:pPr>
            <w:r>
              <w:rPr>
                <w:rFonts w:ascii="微软雅黑" w:hAnsi="微软雅黑" w:eastAsia="微软雅黑" w:cs="Times New Roman"/>
                <w:szCs w:val="21"/>
              </w:rPr>
              <w:t xml:space="preserve">3、支持对常用查询条件进行保存，可重复使用；支持查询条件缓存，通过快速调用系统右侧隐藏栏中缓存的查询条件，提升常用条件的检索速度；支持为不同类型日志设置不同的查询条件和显示条件</w:t>
            </w:r>
            <w:r>
              <w:rPr>
                <w:rFonts w:hint="eastAsia" w:ascii="微软雅黑" w:hAnsi="微软雅黑" w:eastAsia="微软雅黑" w:cs="Times New Roman"/>
                <w:szCs w:val="21"/>
              </w:rPr>
              <w:t xml:space="preserve">，</w:t>
            </w:r>
            <w:r>
              <w:rPr>
                <w:rFonts w:ascii="微软雅黑" w:hAnsi="微软雅黑" w:eastAsia="微软雅黑" w:cs="Times New Roman"/>
                <w:szCs w:val="21"/>
              </w:rPr>
              <w:t xml:space="preserve">支持基于时间轴展示日志数据分布，能够通过时间轴进行查询分析； </w:t>
            </w:r>
            <w:r/>
          </w:p>
          <w:p>
            <w:pPr>
              <w:spacing w:line="480" w:lineRule="exact"/>
              <w:rPr>
                <w:rFonts w:hint="eastAsia" w:ascii="微软雅黑" w:hAnsi="微软雅黑" w:eastAsia="微软雅黑" w:cs="Times New Roman"/>
                <w:szCs w:val="21"/>
              </w:rPr>
            </w:pPr>
            <w:r>
              <w:rPr>
                <w:rFonts w:ascii="微软雅黑" w:hAnsi="微软雅黑" w:eastAsia="微软雅黑" w:cs="Times New Roman"/>
                <w:szCs w:val="21"/>
              </w:rPr>
              <w:t xml:space="preserve">4、支持对重点日志源的关注设置，并可通过关注列表快速查看重点日志源的状态、当日日志量、采集日志总量、最近接收时间、业务组等基础信息；</w:t>
            </w:r>
            <w:r/>
          </w:p>
          <w:p>
            <w:pPr>
              <w:spacing w:line="480" w:lineRule="exact"/>
              <w:rPr>
                <w:rFonts w:hint="eastAsia" w:ascii="微软雅黑" w:hAnsi="微软雅黑" w:eastAsia="微软雅黑" w:cs="Times New Roman"/>
                <w:b/>
                <w:bCs/>
                <w:szCs w:val="21"/>
              </w:rPr>
            </w:pPr>
            <w:r>
              <w:rPr>
                <w:rFonts w:hint="eastAsia" w:ascii="微软雅黑" w:hAnsi="微软雅黑" w:eastAsia="微软雅黑" w:cs="Times New Roman"/>
                <w:b/>
                <w:bCs/>
                <w:szCs w:val="21"/>
              </w:rPr>
              <w:t xml:space="preserve">注：以上每项功能要求，投标时按照功能要求描述提供真实产品截图或Demo截图并加盖投标人公章，且截图能够体现完整功能。</w:t>
            </w:r>
            <w:r/>
          </w:p>
        </w:tc>
      </w:tr>
      <w:tr>
        <w:trPr>
          <w:trHeight w:val="213"/>
        </w:trPr>
        <w:tc>
          <w:tcPr>
            <w:tcW w:w="709" w:type="dxa"/>
            <w:vAlign w:val="center"/>
            <w:textDirection w:val="lrTb"/>
            <w:noWrap/>
          </w:tcPr>
          <w:p>
            <w:pPr>
              <w:jc w:val="cente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2</w:t>
            </w:r>
            <w:r/>
          </w:p>
        </w:tc>
        <w:tc>
          <w:tcPr>
            <w:tcW w:w="1134" w:type="dxa"/>
            <w:vAlign w:val="center"/>
            <w:textDirection w:val="lrTb"/>
            <w:noWrap/>
          </w:tcPr>
          <w:p>
            <w:pPr>
              <w:jc w:val="cente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堡垒机</w:t>
            </w:r>
            <w:r/>
          </w:p>
        </w:tc>
        <w:tc>
          <w:tcPr>
            <w:tcW w:w="6804" w:type="dxa"/>
            <w:vAlign w:val="center"/>
            <w:textDirection w:val="lrTb"/>
            <w:noWrap/>
          </w:tcPr>
          <w:p>
            <w:pPr>
              <w:spacing w:line="480" w:lineRule="exact"/>
              <w:rPr>
                <w:rFonts w:hint="eastAsia" w:ascii="微软雅黑" w:hAnsi="微软雅黑" w:eastAsia="微软雅黑" w:cs="Times New Roman"/>
                <w:b/>
                <w:bCs/>
                <w:szCs w:val="21"/>
              </w:rPr>
            </w:pPr>
            <w:r>
              <w:rPr>
                <w:rFonts w:hint="eastAsia" w:ascii="微软雅黑" w:hAnsi="微软雅黑" w:eastAsia="微软雅黑" w:cs="Times New Roman"/>
                <w:b/>
                <w:bCs/>
                <w:szCs w:val="21"/>
              </w:rPr>
              <w:t xml:space="preserve">一、基础配置要求</w:t>
            </w:r>
            <w:r/>
          </w:p>
          <w:p>
            <w:pPr>
              <w:spacing w:line="480" w:lineRule="exact"/>
              <w:rPr>
                <w:rFonts w:hint="eastAsia" w:ascii="微软雅黑" w:hAnsi="微软雅黑" w:eastAsia="微软雅黑" w:cs="Times New Roman"/>
                <w:szCs w:val="21"/>
              </w:rPr>
            </w:pPr>
            <w:r>
              <w:rPr>
                <w:rFonts w:ascii="微软雅黑" w:hAnsi="微软雅黑" w:eastAsia="微软雅黑" w:cs="Times New Roman"/>
                <w:szCs w:val="21"/>
              </w:rPr>
              <w:t xml:space="preserve">≥1</w:t>
            </w:r>
            <w:r>
              <w:rPr>
                <w:rFonts w:hint="eastAsia" w:ascii="微软雅黑" w:hAnsi="微软雅黑" w:eastAsia="微软雅黑" w:cs="Times New Roman"/>
                <w:szCs w:val="21"/>
              </w:rPr>
              <w:t xml:space="preserve">U机架式设备，</w:t>
            </w:r>
            <w:r>
              <w:rPr>
                <w:rFonts w:ascii="微软雅黑" w:hAnsi="微软雅黑" w:eastAsia="微软雅黑" w:cs="Times New Roman"/>
                <w:szCs w:val="21"/>
              </w:rPr>
              <w:t xml:space="preserve">≥2</w:t>
            </w:r>
            <w:r>
              <w:rPr>
                <w:rFonts w:hint="eastAsia" w:ascii="微软雅黑" w:hAnsi="微软雅黑" w:eastAsia="微软雅黑" w:cs="Times New Roman"/>
                <w:szCs w:val="21"/>
              </w:rPr>
              <w:t xml:space="preserve">个电源，≥</w:t>
            </w:r>
            <w:r>
              <w:rPr>
                <w:rFonts w:ascii="微软雅黑" w:hAnsi="微软雅黑" w:eastAsia="微软雅黑" w:cs="Times New Roman"/>
                <w:szCs w:val="21"/>
              </w:rPr>
              <w:t xml:space="preserve">1个管理口，配置≥10个千兆电口，≥4个千兆光电复用口，≥2个扩展槽，内存≥16G、本地存储容量≥4TB，内置硬件加密卡；采用国产化处理器和操作系统；字符并发会话数≥1000，图形并发会话数≥500，最大可管理设备数≥200，本次配置≥50授权许可、≥3个SDP远程接入授权。整机三年原厂质保；</w:t>
            </w:r>
            <w:r/>
          </w:p>
          <w:p>
            <w:pPr>
              <w:spacing w:line="480" w:lineRule="exact"/>
              <w:rPr>
                <w:rFonts w:hint="eastAsia" w:ascii="微软雅黑" w:hAnsi="微软雅黑" w:eastAsia="微软雅黑" w:cs="Times New Roman"/>
                <w:b/>
                <w:bCs/>
                <w:szCs w:val="21"/>
              </w:rPr>
            </w:pPr>
            <w:r>
              <w:rPr>
                <w:rFonts w:hint="eastAsia" w:ascii="微软雅黑" w:hAnsi="微软雅黑" w:eastAsia="微软雅黑" w:cs="Times New Roman"/>
                <w:b/>
                <w:bCs/>
                <w:szCs w:val="21"/>
              </w:rPr>
              <w:t xml:space="preserve">二、功能要求</w:t>
            </w:r>
            <w:r/>
          </w:p>
          <w:p>
            <w:pPr>
              <w:spacing w:line="480" w:lineRule="exact"/>
              <w:rPr>
                <w:rFonts w:hint="eastAsia" w:ascii="微软雅黑" w:hAnsi="微软雅黑" w:eastAsia="微软雅黑" w:cs="Times New Roman"/>
                <w:szCs w:val="21"/>
              </w:rPr>
            </w:pPr>
            <w:r>
              <w:rPr>
                <w:rFonts w:ascii="微软雅黑" w:hAnsi="微软雅黑" w:eastAsia="微软雅黑" w:cs="Times New Roman"/>
                <w:szCs w:val="21"/>
              </w:rPr>
              <w:t xml:space="preserve">1、设备支持基于UDP协议的单包授权机制，在未完成认证情况下，默认隐藏所有资源，服务开启后，服务端口对外不可见，攻击者无法扫描或探测，仅在身份、设备均通过验证后才动态开放访问；</w:t>
            </w:r>
            <w:r/>
          </w:p>
          <w:p>
            <w:pPr>
              <w:spacing w:line="480" w:lineRule="exact"/>
              <w:rPr>
                <w:rFonts w:hint="eastAsia" w:ascii="微软雅黑" w:hAnsi="微软雅黑" w:eastAsia="微软雅黑" w:cs="Times New Roman"/>
                <w:szCs w:val="21"/>
              </w:rPr>
            </w:pPr>
            <w:r>
              <w:rPr>
                <w:rFonts w:ascii="微软雅黑" w:hAnsi="微软雅黑" w:eastAsia="微软雅黑" w:cs="Times New Roman"/>
                <w:szCs w:val="21"/>
              </w:rPr>
              <w:t xml:space="preserve">2、设备应支持划分多级组织架构，可划分层级≥10个层级，针对不同层级用户支持批量操作，实现账户的停用、启用和删除；不同层级的用户可灵活设置账户的权限角色，实现用户管理、角色管理、资产管理、策略管理、审计管理等功能，并针对不同账户、账户所在分组（部门），账户属于角色进行不同组合，实现账户的精细化权限管理。</w:t>
            </w:r>
            <w:r/>
          </w:p>
          <w:p>
            <w:pPr>
              <w:spacing w:line="480" w:lineRule="exact"/>
              <w:rPr>
                <w:rFonts w:hint="eastAsia" w:ascii="微软雅黑" w:hAnsi="微软雅黑" w:eastAsia="微软雅黑" w:cs="Times New Roman"/>
                <w:szCs w:val="21"/>
              </w:rPr>
            </w:pPr>
            <w:r>
              <w:rPr>
                <w:rFonts w:ascii="微软雅黑" w:hAnsi="微软雅黑" w:eastAsia="微软雅黑" w:cs="Times New Roman"/>
                <w:szCs w:val="21"/>
              </w:rPr>
              <w:t xml:space="preserve">3、能够对管理的资产进行弱口令检查，通过弱密码库检查，弱密码字典等检查资产的口令强度、口令最小长度等内容，并将检查结果生成</w:t>
            </w:r>
            <w:r>
              <w:rPr>
                <w:rFonts w:hint="eastAsia" w:ascii="微软雅黑" w:hAnsi="微软雅黑" w:eastAsia="微软雅黑" w:cs="Times New Roman"/>
                <w:szCs w:val="21"/>
              </w:rPr>
              <w:t xml:space="preserve">报</w:t>
            </w:r>
            <w:r>
              <w:rPr>
                <w:rFonts w:ascii="微软雅黑" w:hAnsi="微软雅黑" w:eastAsia="微软雅黑" w:cs="Times New Roman"/>
                <w:szCs w:val="21"/>
              </w:rPr>
              <w:t xml:space="preserve">表展示；</w:t>
            </w:r>
            <w:r/>
          </w:p>
          <w:p>
            <w:pPr>
              <w:spacing w:line="480" w:lineRule="exact"/>
              <w:rPr>
                <w:rFonts w:hint="eastAsia" w:ascii="微软雅黑" w:hAnsi="微软雅黑" w:eastAsia="微软雅黑" w:cs="Times New Roman"/>
                <w:szCs w:val="21"/>
              </w:rPr>
            </w:pPr>
            <w:r>
              <w:rPr>
                <w:rFonts w:ascii="微软雅黑" w:hAnsi="微软雅黑" w:eastAsia="微软雅黑" w:cs="Times New Roman"/>
                <w:szCs w:val="21"/>
              </w:rPr>
              <w:t xml:space="preserve">4、针对远程终端连接堡垒机，为确保终端的安全性，堡垒机能够对终端进行安全检查，包含终端操作系统补丁检测，终端操作系统版本检测、终端通信端口检测、终端进程检测、终端安装应用检测，堡垒机可根据检查项、告警等级、扣分标准等自定义合规策略；</w:t>
            </w:r>
            <w:r/>
          </w:p>
          <w:p>
            <w:pPr>
              <w:spacing w:line="480" w:lineRule="exact"/>
              <w:rPr>
                <w:rFonts w:hint="eastAsia" w:ascii="微软雅黑" w:hAnsi="微软雅黑" w:eastAsia="微软雅黑" w:cs="Times New Roman"/>
                <w:szCs w:val="21"/>
              </w:rPr>
            </w:pPr>
            <w:r>
              <w:rPr>
                <w:rFonts w:ascii="微软雅黑" w:hAnsi="微软雅黑" w:eastAsia="微软雅黑" w:cs="Times New Roman"/>
                <w:szCs w:val="21"/>
              </w:rPr>
              <w:t xml:space="preserve">5、为提升堡垒机的安全访问能力，针对远程终端连接堡垒机，可根据终端的</w:t>
            </w:r>
            <w:r>
              <w:rPr>
                <w:rFonts w:hint="eastAsia" w:ascii="微软雅黑" w:hAnsi="微软雅黑" w:eastAsia="微软雅黑" w:cs="Times New Roman"/>
                <w:szCs w:val="21"/>
              </w:rPr>
              <w:t xml:space="preserve">IP地址</w:t>
            </w:r>
            <w:r>
              <w:rPr>
                <w:rFonts w:ascii="微软雅黑" w:hAnsi="微软雅黑" w:eastAsia="微软雅黑" w:cs="Times New Roman"/>
                <w:szCs w:val="21"/>
              </w:rPr>
              <w:t xml:space="preserve">、</w:t>
            </w:r>
            <w:r>
              <w:rPr>
                <w:rFonts w:hint="eastAsia" w:ascii="微软雅黑" w:hAnsi="微软雅黑" w:eastAsia="微软雅黑" w:cs="Times New Roman"/>
                <w:szCs w:val="21"/>
              </w:rPr>
              <w:t xml:space="preserve">IP地址所属物理位置</w:t>
            </w:r>
            <w:r>
              <w:rPr>
                <w:rFonts w:ascii="微软雅黑" w:hAnsi="微软雅黑" w:eastAsia="微软雅黑" w:cs="Times New Roman"/>
                <w:szCs w:val="21"/>
              </w:rPr>
              <w:t xml:space="preserve">、访问时间进行动态授权，并支持二次认证，堡垒机管理员可以进行授权审批和授权管理。</w:t>
            </w:r>
            <w:r/>
          </w:p>
          <w:p>
            <w:pPr>
              <w:spacing w:line="480" w:lineRule="exact"/>
              <w:rPr>
                <w:rFonts w:hint="eastAsia" w:ascii="微软雅黑" w:hAnsi="微软雅黑" w:eastAsia="微软雅黑" w:cs="Times New Roman"/>
                <w:b/>
                <w:bCs/>
                <w:szCs w:val="21"/>
              </w:rPr>
            </w:pPr>
            <w:r>
              <w:rPr>
                <w:rFonts w:hint="eastAsia" w:ascii="微软雅黑" w:hAnsi="微软雅黑" w:eastAsia="微软雅黑" w:cs="Times New Roman"/>
                <w:b/>
                <w:bCs/>
                <w:szCs w:val="21"/>
              </w:rPr>
              <w:t xml:space="preserve">注：以上每项功能要求，投标时按照功能要求描述提供真实产品截图或Demo截图并加盖投标人公章，且截图能够体现完整功能。</w:t>
            </w:r>
            <w:r/>
          </w:p>
        </w:tc>
      </w:tr>
      <w:tr>
        <w:trPr>
          <w:trHeight w:val="213"/>
        </w:trPr>
        <w:tc>
          <w:tcPr>
            <w:tcW w:w="709" w:type="dxa"/>
            <w:vAlign w:val="center"/>
            <w:textDirection w:val="lrTb"/>
            <w:noWrap/>
          </w:tcPr>
          <w:p>
            <w:pPr>
              <w:jc w:val="center"/>
              <w:spacing w:line="480" w:lineRule="exact"/>
              <w:rPr>
                <w:rFonts w:hint="eastAsia" w:ascii="微软雅黑" w:hAnsi="微软雅黑" w:eastAsia="微软雅黑" w:cs="Times New Roman"/>
                <w:szCs w:val="21"/>
              </w:rPr>
            </w:pPr>
            <w:r>
              <w:rPr>
                <w:rFonts w:ascii="微软雅黑" w:hAnsi="微软雅黑" w:eastAsia="微软雅黑" w:cs="Times New Roman"/>
                <w:szCs w:val="21"/>
              </w:rPr>
              <w:t xml:space="preserve">3</w:t>
            </w:r>
            <w:r/>
          </w:p>
        </w:tc>
        <w:tc>
          <w:tcPr>
            <w:tcW w:w="1134" w:type="dxa"/>
            <w:vAlign w:val="center"/>
            <w:textDirection w:val="lrTb"/>
            <w:noWrap/>
          </w:tcPr>
          <w:p>
            <w:pPr>
              <w:jc w:val="cente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零信任网关</w:t>
            </w:r>
            <w:r/>
          </w:p>
        </w:tc>
        <w:tc>
          <w:tcPr>
            <w:tcW w:w="6804" w:type="dxa"/>
            <w:vAlign w:val="center"/>
            <w:textDirection w:val="lrTb"/>
            <w:noWrap/>
          </w:tcPr>
          <w:p>
            <w:pPr>
              <w:numPr>
                <w:ilvl w:val="0"/>
                <w:numId w:val="3"/>
              </w:numPr>
              <w:spacing w:line="480" w:lineRule="exact"/>
              <w:rPr>
                <w:rFonts w:hint="eastAsia" w:ascii="微软雅黑" w:hAnsi="微软雅黑" w:eastAsia="微软雅黑" w:cs="Times New Roman"/>
                <w:b/>
                <w:bCs/>
                <w:szCs w:val="21"/>
              </w:rPr>
            </w:pPr>
            <w:r>
              <w:rPr>
                <w:rFonts w:hint="eastAsia" w:ascii="微软雅黑" w:hAnsi="微软雅黑" w:eastAsia="微软雅黑" w:cs="Times New Roman"/>
                <w:b/>
                <w:bCs/>
                <w:szCs w:val="21"/>
              </w:rPr>
              <w:t xml:space="preserve">基础配置要求</w:t>
            </w:r>
            <w:r/>
          </w:p>
          <w:p>
            <w:pP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国产化服务器，</w:t>
            </w:r>
            <w:r>
              <w:rPr>
                <w:rFonts w:ascii="微软雅黑" w:hAnsi="微软雅黑" w:eastAsia="微软雅黑" w:cs="Times New Roman"/>
                <w:szCs w:val="21"/>
              </w:rPr>
              <w:t xml:space="preserve">≥8</w:t>
            </w:r>
            <w:r>
              <w:rPr>
                <w:rFonts w:hint="eastAsia" w:ascii="微软雅黑" w:hAnsi="微软雅黑" w:eastAsia="微软雅黑" w:cs="Times New Roman"/>
                <w:szCs w:val="21"/>
              </w:rPr>
              <w:t xml:space="preserve">核，主频</w:t>
            </w:r>
            <w:r>
              <w:rPr>
                <w:rFonts w:ascii="微软雅黑" w:hAnsi="微软雅黑" w:eastAsia="微软雅黑" w:cs="Times New Roman"/>
                <w:szCs w:val="21"/>
              </w:rPr>
              <w:t xml:space="preserve">≥2.7</w:t>
            </w:r>
            <w:r>
              <w:rPr>
                <w:rFonts w:hint="eastAsia" w:ascii="微软雅黑" w:hAnsi="微软雅黑" w:eastAsia="微软雅黑" w:cs="Times New Roman"/>
                <w:szCs w:val="21"/>
              </w:rPr>
              <w:t xml:space="preserve">GHz，</w:t>
            </w:r>
            <w:r>
              <w:rPr>
                <w:rFonts w:ascii="微软雅黑" w:hAnsi="微软雅黑" w:eastAsia="微软雅黑" w:cs="Times New Roman"/>
                <w:szCs w:val="21"/>
              </w:rPr>
              <w:t xml:space="preserve">内存≥16G</w:t>
            </w:r>
            <w:r>
              <w:rPr>
                <w:rFonts w:hint="eastAsia" w:ascii="微软雅黑" w:hAnsi="微软雅黑" w:eastAsia="微软雅黑" w:cs="Times New Roman"/>
                <w:szCs w:val="21"/>
              </w:rPr>
              <w:t xml:space="preserve">，系统盘</w:t>
            </w:r>
            <w:r>
              <w:rPr>
                <w:rFonts w:ascii="微软雅黑" w:hAnsi="微软雅黑" w:eastAsia="微软雅黑" w:cs="Times New Roman"/>
                <w:szCs w:val="21"/>
              </w:rPr>
              <w:t xml:space="preserve">≥128G SSD</w:t>
            </w:r>
            <w:r>
              <w:rPr>
                <w:rFonts w:hint="eastAsia" w:ascii="微软雅黑" w:hAnsi="微软雅黑" w:eastAsia="微软雅黑" w:cs="Times New Roman"/>
                <w:szCs w:val="21"/>
              </w:rPr>
              <w:t xml:space="preserve">，部署国产化操作系统，</w:t>
            </w:r>
            <w:r>
              <w:rPr>
                <w:rFonts w:ascii="微软雅黑" w:hAnsi="微软雅黑" w:eastAsia="微软雅黑" w:cs="Times New Roman"/>
                <w:szCs w:val="21"/>
              </w:rPr>
              <w:t xml:space="preserve">配置≥4个千兆电口</w:t>
            </w:r>
            <w:r>
              <w:rPr>
                <w:rFonts w:hint="eastAsia" w:ascii="微软雅黑" w:hAnsi="微软雅黑" w:eastAsia="微软雅黑" w:cs="Times New Roman"/>
                <w:szCs w:val="21"/>
              </w:rPr>
              <w:t xml:space="preserve">，</w:t>
            </w:r>
            <w:r>
              <w:rPr>
                <w:rFonts w:ascii="微软雅黑" w:hAnsi="微软雅黑" w:eastAsia="微软雅黑" w:cs="Times New Roman"/>
                <w:szCs w:val="21"/>
              </w:rPr>
              <w:t xml:space="preserve">≥4个千兆光口</w:t>
            </w:r>
            <w:r>
              <w:rPr>
                <w:rFonts w:hint="eastAsia" w:ascii="微软雅黑" w:hAnsi="微软雅黑" w:eastAsia="微软雅黑" w:cs="Times New Roman"/>
                <w:szCs w:val="21"/>
              </w:rPr>
              <w:t xml:space="preserve">；</w:t>
            </w:r>
            <w:r/>
          </w:p>
          <w:p>
            <w:pP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支持集群化部署模式，通过扩展，最大支持3</w:t>
            </w:r>
            <w:r>
              <w:rPr>
                <w:rFonts w:ascii="微软雅黑" w:hAnsi="微软雅黑" w:eastAsia="微软雅黑" w:cs="Times New Roman"/>
                <w:szCs w:val="21"/>
              </w:rPr>
              <w:t xml:space="preserve">000</w:t>
            </w:r>
            <w:r>
              <w:rPr>
                <w:rFonts w:hint="eastAsia" w:ascii="微软雅黑" w:hAnsi="微软雅黑" w:eastAsia="微软雅黑" w:cs="Times New Roman"/>
                <w:szCs w:val="21"/>
              </w:rPr>
              <w:t xml:space="preserve">个用户并发接入</w:t>
            </w:r>
            <w:r>
              <w:rPr>
                <w:rFonts w:ascii="微软雅黑" w:hAnsi="微软雅黑" w:eastAsia="微软雅黑" w:cs="Times New Roman"/>
                <w:szCs w:val="21"/>
              </w:rPr>
              <w:t xml:space="preserve">,本次配置≥200</w:t>
            </w:r>
            <w:r>
              <w:rPr>
                <w:rFonts w:hint="eastAsia" w:ascii="微软雅黑" w:hAnsi="微软雅黑" w:eastAsia="微软雅黑" w:cs="Times New Roman"/>
                <w:szCs w:val="21"/>
              </w:rPr>
              <w:t xml:space="preserve">个</w:t>
            </w:r>
            <w:r>
              <w:rPr>
                <w:rFonts w:ascii="微软雅黑" w:hAnsi="微软雅黑" w:eastAsia="微软雅黑" w:cs="Times New Roman"/>
                <w:szCs w:val="21"/>
              </w:rPr>
              <w:t xml:space="preserve">零信任接入授权</w:t>
            </w:r>
            <w:r>
              <w:rPr>
                <w:rFonts w:hint="eastAsia" w:ascii="微软雅黑" w:hAnsi="微软雅黑" w:eastAsia="微软雅黑" w:cs="Times New Roman"/>
                <w:szCs w:val="21"/>
              </w:rPr>
              <w:t xml:space="preserve">, 整机三年原厂质保；</w:t>
            </w:r>
            <w:r/>
          </w:p>
          <w:p>
            <w:pPr>
              <w:spacing w:line="480" w:lineRule="exact"/>
              <w:rPr>
                <w:rFonts w:hint="eastAsia" w:ascii="微软雅黑" w:hAnsi="微软雅黑" w:eastAsia="微软雅黑" w:cs="Times New Roman"/>
                <w:b/>
                <w:bCs/>
                <w:szCs w:val="21"/>
              </w:rPr>
            </w:pPr>
            <w:r>
              <w:rPr>
                <w:rFonts w:hint="eastAsia" w:ascii="微软雅黑" w:hAnsi="微软雅黑" w:eastAsia="微软雅黑" w:cs="Times New Roman"/>
                <w:b/>
                <w:bCs/>
                <w:szCs w:val="21"/>
              </w:rPr>
              <w:t xml:space="preserve">二、功能要求</w:t>
            </w:r>
            <w:r/>
          </w:p>
          <w:p>
            <w:pPr>
              <w:spacing w:line="480" w:lineRule="exact"/>
              <w:rPr>
                <w:rFonts w:hint="eastAsia" w:ascii="微软雅黑" w:hAnsi="微软雅黑" w:eastAsia="微软雅黑" w:cs="Times New Roman"/>
                <w:szCs w:val="21"/>
              </w:rPr>
            </w:pPr>
            <w:r>
              <w:rPr>
                <w:rFonts w:ascii="微软雅黑" w:hAnsi="微软雅黑" w:eastAsia="微软雅黑" w:cs="Times New Roman"/>
                <w:szCs w:val="21"/>
              </w:rPr>
              <w:t xml:space="preserve">1、支持跨平台免插件访问，无需安装浏览器插件即可实现安全接入，兼容 HTTP/HTTPS/WebSocket 等多种应用资源协议，提供免客户端统一接入能力。</w:t>
            </w:r>
            <w:r/>
          </w:p>
          <w:p>
            <w:pPr>
              <w:spacing w:line="480" w:lineRule="exact"/>
              <w:rPr>
                <w:rFonts w:hint="eastAsia" w:ascii="微软雅黑" w:hAnsi="微软雅黑" w:eastAsia="微软雅黑" w:cs="Times New Roman"/>
                <w:szCs w:val="21"/>
              </w:rPr>
            </w:pPr>
            <w:r>
              <w:rPr>
                <w:rFonts w:ascii="微软雅黑" w:hAnsi="微软雅黑" w:eastAsia="微软雅黑" w:cs="Times New Roman"/>
                <w:szCs w:val="21"/>
              </w:rPr>
              <w:t xml:space="preserve">2、支持通过管理平台配置，用户在统一工作台点击业务应用，可直接拉起对应 C/S 客户端程序访问，包括但不限于浏览器、远程桌面及其他指定业务应用，实现一键直达。</w:t>
            </w:r>
            <w:r/>
          </w:p>
          <w:p>
            <w:pPr>
              <w:spacing w:line="480" w:lineRule="exact"/>
              <w:rPr>
                <w:rFonts w:hint="eastAsia" w:ascii="微软雅黑" w:hAnsi="微软雅黑" w:eastAsia="微软雅黑" w:cs="Times New Roman"/>
                <w:szCs w:val="21"/>
              </w:rPr>
            </w:pPr>
            <w:r>
              <w:rPr>
                <w:rFonts w:ascii="微软雅黑" w:hAnsi="微软雅黑" w:eastAsia="微软雅黑" w:cs="Times New Roman"/>
                <w:szCs w:val="21"/>
              </w:rPr>
              <w:t xml:space="preserve">3、兼容主流操作系统，包括 Windows、macOS、统信 UOS、银河麒麟、中科方德、Ubuntu 等，满足政务终端异构环境、国产化环境统一接入需求。针对 Windows 终端，支持C/S 应用启动参数自定义下发，可由管理员预设访问地址与启动参数，实现应用自动寻址、一键登录，提升政务办公便捷性与安全性。</w:t>
            </w:r>
            <w:r/>
          </w:p>
          <w:p>
            <w:pPr>
              <w:spacing w:line="480" w:lineRule="exact"/>
              <w:rPr>
                <w:rFonts w:hint="eastAsia" w:ascii="微软雅黑" w:hAnsi="微软雅黑" w:eastAsia="微软雅黑" w:cs="Times New Roman"/>
                <w:szCs w:val="21"/>
              </w:rPr>
            </w:pPr>
            <w:r>
              <w:rPr>
                <w:rFonts w:ascii="微软雅黑" w:hAnsi="微软雅黑" w:eastAsia="微软雅黑" w:cs="Times New Roman"/>
                <w:szCs w:val="21"/>
              </w:rPr>
              <w:t xml:space="preserve">4、支持以文件为单位对业务应用产生的数据进行加密存储，文件加密采用一文一密机制，每个文件使用独立加密密钥，确保政务数据安全可控、隔离防护，符合数据安全管理相关规范</w:t>
            </w:r>
            <w:r/>
          </w:p>
          <w:p>
            <w:pPr>
              <w:spacing w:line="480" w:lineRule="exact"/>
              <w:rPr>
                <w:rFonts w:hint="eastAsia" w:ascii="微软雅黑" w:hAnsi="微软雅黑" w:eastAsia="微软雅黑" w:cs="Times New Roman"/>
                <w:szCs w:val="21"/>
              </w:rPr>
            </w:pPr>
            <w:r>
              <w:rPr>
                <w:rFonts w:ascii="微软雅黑" w:hAnsi="微软雅黑" w:eastAsia="微软雅黑" w:cs="Times New Roman"/>
                <w:szCs w:val="21"/>
              </w:rPr>
              <w:t xml:space="preserve">5、支持用户密码自助找回功能，支持管理员通过配置开启用户短信验证码自助找回密码策略。零信任客户端用户可在 PC 端与移动端登录页面，通过“忘记密码”入口，采用短信验证码方式完成密码自助重置。</w:t>
            </w:r>
            <w:r/>
          </w:p>
          <w:p>
            <w:pPr>
              <w:spacing w:line="480" w:lineRule="exact"/>
              <w:rPr>
                <w:rFonts w:hint="eastAsia" w:ascii="微软雅黑" w:hAnsi="微软雅黑" w:eastAsia="微软雅黑" w:cs="Times New Roman"/>
                <w:szCs w:val="21"/>
              </w:rPr>
            </w:pPr>
            <w:r>
              <w:rPr>
                <w:rFonts w:ascii="微软雅黑" w:hAnsi="微软雅黑" w:eastAsia="微软雅黑" w:cs="Times New Roman"/>
                <w:szCs w:val="21"/>
              </w:rPr>
              <w:t xml:space="preserve">6、支持对存在异常登录行为的用户日志自动标识为安全日志。安全日志类型应包含账号安全、中间人攻击、SPA安全、Cookie劫持等类别，账号安全包含但不限于：账号首次登录、异常时间登录、非常用地点登录、弱密码登录、爆破登录、闲置账号登录、账号在该终端首次登录等行为；SPA安全包含但不限于：SPA端口扫描、SPA爆破攻击、SPA敲门伪造、SPA 重放攻击、SPA 安全码泄漏等行为。</w:t>
            </w:r>
            <w:r/>
          </w:p>
          <w:p>
            <w:pPr>
              <w:spacing w:line="480" w:lineRule="exact"/>
              <w:rPr>
                <w:rFonts w:hint="eastAsia" w:ascii="微软雅黑" w:hAnsi="微软雅黑" w:eastAsia="微软雅黑" w:cs="Times New Roman"/>
                <w:b/>
                <w:bCs/>
                <w:szCs w:val="21"/>
              </w:rPr>
            </w:pPr>
            <w:r>
              <w:rPr>
                <w:rFonts w:hint="eastAsia" w:ascii="微软雅黑" w:hAnsi="微软雅黑" w:eastAsia="微软雅黑" w:cs="Times New Roman"/>
                <w:b/>
                <w:bCs/>
                <w:szCs w:val="21"/>
              </w:rPr>
              <w:t xml:space="preserve">注：以上每项功能要求，投标时按照功能要求描述提供真实产品截图或Demo截图并加盖投标人公章，且截图能够体现完整功能。</w:t>
            </w:r>
            <w:r/>
          </w:p>
        </w:tc>
      </w:tr>
      <w:tr>
        <w:trPr>
          <w:trHeight w:val="213"/>
        </w:trPr>
        <w:tc>
          <w:tcPr>
            <w:tcW w:w="709" w:type="dxa"/>
            <w:vAlign w:val="center"/>
            <w:textDirection w:val="lrTb"/>
            <w:noWrap/>
          </w:tcPr>
          <w:p>
            <w:pPr>
              <w:jc w:val="center"/>
              <w:spacing w:line="480" w:lineRule="exact"/>
              <w:rPr>
                <w:rFonts w:hint="eastAsia" w:ascii="微软雅黑" w:hAnsi="微软雅黑" w:eastAsia="微软雅黑" w:cs="Times New Roman"/>
                <w:szCs w:val="21"/>
              </w:rPr>
            </w:pPr>
            <w:r>
              <w:rPr>
                <w:rFonts w:ascii="微软雅黑" w:hAnsi="微软雅黑" w:eastAsia="微软雅黑" w:cs="Times New Roman"/>
                <w:szCs w:val="21"/>
              </w:rPr>
              <w:t xml:space="preserve">4</w:t>
            </w:r>
            <w:r/>
          </w:p>
        </w:tc>
        <w:tc>
          <w:tcPr>
            <w:tcW w:w="1134" w:type="dxa"/>
            <w:vAlign w:val="center"/>
            <w:textDirection w:val="lrTb"/>
            <w:noWrap/>
          </w:tcPr>
          <w:p>
            <w:pPr>
              <w:jc w:val="cente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安全管理平台</w:t>
            </w:r>
            <w:r/>
          </w:p>
        </w:tc>
        <w:tc>
          <w:tcPr>
            <w:tcW w:w="6804" w:type="dxa"/>
            <w:vAlign w:val="center"/>
            <w:textDirection w:val="lrTb"/>
            <w:noWrap/>
          </w:tcPr>
          <w:p>
            <w:pPr>
              <w:numPr>
                <w:ilvl w:val="0"/>
                <w:numId w:val="3"/>
              </w:numPr>
              <w:spacing w:line="480" w:lineRule="exact"/>
              <w:rPr>
                <w:rFonts w:hint="eastAsia" w:ascii="微软雅黑" w:hAnsi="微软雅黑" w:eastAsia="微软雅黑" w:cs="Times New Roman"/>
                <w:b/>
                <w:bCs/>
                <w:szCs w:val="21"/>
              </w:rPr>
            </w:pPr>
            <w:r>
              <w:rPr>
                <w:rFonts w:hint="eastAsia" w:ascii="微软雅黑" w:hAnsi="微软雅黑" w:eastAsia="微软雅黑" w:cs="Times New Roman"/>
                <w:b/>
                <w:bCs/>
                <w:szCs w:val="21"/>
              </w:rPr>
              <w:t xml:space="preserve">基础配置</w:t>
            </w:r>
            <w:r>
              <w:rPr>
                <w:rFonts w:ascii="微软雅黑" w:hAnsi="微软雅黑" w:eastAsia="微软雅黑" w:cs="Times New Roman"/>
                <w:b/>
                <w:bCs/>
                <w:szCs w:val="21"/>
              </w:rPr>
              <w:t xml:space="preserve">要求</w:t>
            </w:r>
            <w:r/>
          </w:p>
          <w:p>
            <w:pPr>
              <w:spacing w:line="480" w:lineRule="exact"/>
              <w:rPr>
                <w:rFonts w:hint="eastAsia" w:ascii="微软雅黑" w:hAnsi="微软雅黑" w:eastAsia="微软雅黑" w:cs="Times New Roman"/>
                <w:szCs w:val="21"/>
              </w:rPr>
            </w:pPr>
            <w:r>
              <w:rPr>
                <w:rFonts w:ascii="微软雅黑" w:hAnsi="微软雅黑" w:eastAsia="微软雅黑" w:cs="Times New Roman"/>
                <w:szCs w:val="21"/>
              </w:rPr>
              <w:t xml:space="preserve">≥2U标准上架设备</w:t>
            </w:r>
            <w:r>
              <w:rPr>
                <w:rFonts w:hint="eastAsia" w:ascii="微软雅黑" w:hAnsi="微软雅黑" w:eastAsia="微软雅黑" w:cs="Times New Roman"/>
                <w:szCs w:val="21"/>
              </w:rPr>
              <w:t xml:space="preserve">，</w:t>
            </w:r>
            <w:r>
              <w:rPr>
                <w:rFonts w:ascii="微软雅黑" w:hAnsi="微软雅黑" w:eastAsia="微软雅黑" w:cs="Times New Roman"/>
                <w:szCs w:val="21"/>
              </w:rPr>
              <w:t xml:space="preserve">≥4个千兆电口</w:t>
            </w:r>
            <w:r>
              <w:rPr>
                <w:rFonts w:hint="eastAsia" w:ascii="微软雅黑" w:hAnsi="微软雅黑" w:eastAsia="微软雅黑" w:cs="Times New Roman"/>
                <w:szCs w:val="21"/>
              </w:rPr>
              <w:t xml:space="preserve">，</w:t>
            </w:r>
            <w:r>
              <w:rPr>
                <w:rFonts w:ascii="微软雅黑" w:hAnsi="微软雅黑" w:eastAsia="微软雅黑" w:cs="Times New Roman"/>
                <w:szCs w:val="21"/>
              </w:rPr>
              <w:t xml:space="preserve">≥2个万兆光口（含光模块）；≥内存256G</w:t>
            </w:r>
            <w:r>
              <w:rPr>
                <w:rFonts w:hint="eastAsia" w:ascii="微软雅黑" w:hAnsi="微软雅黑" w:eastAsia="微软雅黑" w:cs="Times New Roman"/>
                <w:szCs w:val="21"/>
              </w:rPr>
              <w:t xml:space="preserve">，</w:t>
            </w:r>
            <w:r>
              <w:rPr>
                <w:rFonts w:ascii="微软雅黑" w:hAnsi="微软雅黑" w:eastAsia="微软雅黑" w:cs="Times New Roman"/>
                <w:szCs w:val="21"/>
              </w:rPr>
              <w:t xml:space="preserve">≥960G SSD固态系统硬盘</w:t>
            </w:r>
            <w:r>
              <w:rPr>
                <w:rFonts w:hint="eastAsia" w:ascii="微软雅黑" w:hAnsi="微软雅黑" w:eastAsia="微软雅黑" w:cs="Times New Roman"/>
                <w:szCs w:val="21"/>
              </w:rPr>
              <w:t xml:space="preserve">*</w:t>
            </w:r>
            <w:r>
              <w:rPr>
                <w:rFonts w:ascii="微软雅黑" w:hAnsi="微软雅黑" w:eastAsia="微软雅黑" w:cs="Times New Roman"/>
                <w:szCs w:val="21"/>
              </w:rPr>
              <w:t xml:space="preserve">2</w:t>
            </w:r>
            <w:r>
              <w:rPr>
                <w:rFonts w:hint="eastAsia" w:ascii="微软雅黑" w:hAnsi="微软雅黑" w:eastAsia="微软雅黑" w:cs="Times New Roman"/>
                <w:szCs w:val="21"/>
              </w:rPr>
              <w:t xml:space="preserve">，</w:t>
            </w:r>
            <w:r>
              <w:rPr>
                <w:rFonts w:ascii="微软雅黑" w:hAnsi="微软雅黑" w:eastAsia="微软雅黑" w:cs="Times New Roman"/>
                <w:szCs w:val="21"/>
              </w:rPr>
              <w:t xml:space="preserve">≥4TB SATA日志存储硬盘</w:t>
            </w:r>
            <w:r>
              <w:rPr>
                <w:rFonts w:hint="eastAsia" w:ascii="微软雅黑" w:hAnsi="微软雅黑" w:eastAsia="微软雅黑" w:cs="Times New Roman"/>
                <w:szCs w:val="21"/>
              </w:rPr>
              <w:t xml:space="preserve">*</w:t>
            </w:r>
            <w:r>
              <w:rPr>
                <w:rFonts w:ascii="微软雅黑" w:hAnsi="微软雅黑" w:eastAsia="微软雅黑" w:cs="Times New Roman"/>
                <w:szCs w:val="21"/>
              </w:rPr>
              <w:t xml:space="preserve">12</w:t>
            </w:r>
            <w:r>
              <w:rPr>
                <w:rFonts w:hint="eastAsia" w:ascii="微软雅黑" w:hAnsi="微软雅黑" w:eastAsia="微软雅黑" w:cs="Times New Roman"/>
                <w:szCs w:val="21"/>
              </w:rPr>
              <w:t xml:space="preserve">块</w:t>
            </w:r>
            <w:r>
              <w:rPr>
                <w:rFonts w:ascii="微软雅黑" w:hAnsi="微软雅黑" w:eastAsia="微软雅黑" w:cs="Times New Roman"/>
                <w:szCs w:val="21"/>
              </w:rPr>
              <w:t xml:space="preserve">；≥2</w:t>
            </w:r>
            <w:r>
              <w:rPr>
                <w:rFonts w:hint="eastAsia" w:ascii="微软雅黑" w:hAnsi="微软雅黑" w:eastAsia="微软雅黑" w:cs="Times New Roman"/>
                <w:szCs w:val="21"/>
              </w:rPr>
              <w:t xml:space="preserve">个电源；</w:t>
            </w:r>
            <w:r>
              <w:rPr>
                <w:rFonts w:ascii="微软雅黑" w:hAnsi="微软雅黑" w:eastAsia="微软雅黑" w:cs="Times New Roman"/>
                <w:szCs w:val="21"/>
              </w:rPr>
              <w:t xml:space="preserve">≥2</w:t>
            </w:r>
            <w:r>
              <w:rPr>
                <w:rFonts w:hint="eastAsia" w:ascii="微软雅黑" w:hAnsi="微软雅黑" w:eastAsia="微软雅黑" w:cs="Times New Roman"/>
                <w:szCs w:val="21"/>
              </w:rPr>
              <w:t xml:space="preserve">颗</w:t>
            </w:r>
            <w:r>
              <w:rPr>
                <w:rFonts w:ascii="微软雅黑" w:hAnsi="微软雅黑" w:eastAsia="微软雅黑" w:cs="Times New Roman"/>
                <w:szCs w:val="21"/>
              </w:rPr>
              <w:t xml:space="preserve">国产化处理器</w:t>
            </w:r>
            <w:r>
              <w:rPr>
                <w:rFonts w:hint="eastAsia" w:ascii="微软雅黑" w:hAnsi="微软雅黑" w:eastAsia="微软雅黑" w:cs="Times New Roman"/>
                <w:szCs w:val="21"/>
              </w:rPr>
              <w:t xml:space="preserve">（单颗处理器：</w:t>
            </w:r>
            <w:r>
              <w:rPr>
                <w:rFonts w:ascii="微软雅黑" w:hAnsi="微软雅黑" w:eastAsia="微软雅黑" w:cs="Times New Roman"/>
                <w:szCs w:val="21"/>
              </w:rPr>
              <w:t xml:space="preserve">≥16</w:t>
            </w:r>
            <w:r>
              <w:rPr>
                <w:rFonts w:hint="eastAsia" w:ascii="微软雅黑" w:hAnsi="微软雅黑" w:eastAsia="微软雅黑" w:cs="Times New Roman"/>
                <w:szCs w:val="21"/>
              </w:rPr>
              <w:t xml:space="preserve">核、</w:t>
            </w:r>
            <w:r>
              <w:rPr>
                <w:rFonts w:ascii="微软雅黑" w:hAnsi="微软雅黑" w:eastAsia="微软雅黑" w:cs="Times New Roman"/>
                <w:szCs w:val="21"/>
              </w:rPr>
              <w:t xml:space="preserve">≥</w:t>
            </w:r>
            <w:r>
              <w:rPr>
                <w:rFonts w:hint="eastAsia" w:ascii="微软雅黑" w:hAnsi="微软雅黑" w:eastAsia="微软雅黑" w:cs="Times New Roman"/>
                <w:szCs w:val="21"/>
              </w:rPr>
              <w:t xml:space="preserve">3</w:t>
            </w:r>
            <w:r>
              <w:rPr>
                <w:rFonts w:ascii="微软雅黑" w:hAnsi="微软雅黑" w:eastAsia="微软雅黑" w:cs="Times New Roman"/>
                <w:szCs w:val="21"/>
              </w:rPr>
              <w:t xml:space="preserve">2</w:t>
            </w:r>
            <w:r>
              <w:rPr>
                <w:rFonts w:hint="eastAsia" w:ascii="微软雅黑" w:hAnsi="微软雅黑" w:eastAsia="微软雅黑" w:cs="Times New Roman"/>
                <w:szCs w:val="21"/>
              </w:rPr>
              <w:t xml:space="preserve">线程，</w:t>
            </w:r>
            <w:r>
              <w:rPr>
                <w:rFonts w:ascii="微软雅黑" w:hAnsi="微软雅黑" w:eastAsia="微软雅黑" w:cs="Times New Roman"/>
                <w:szCs w:val="21"/>
              </w:rPr>
              <w:t xml:space="preserve">≥2.5</w:t>
            </w:r>
            <w:r>
              <w:rPr>
                <w:rFonts w:hint="eastAsia" w:ascii="微软雅黑" w:hAnsi="微软雅黑" w:eastAsia="微软雅黑" w:cs="Times New Roman"/>
                <w:szCs w:val="21"/>
              </w:rPr>
              <w:t xml:space="preserve">Hz主频），国产化</w:t>
            </w:r>
            <w:r>
              <w:rPr>
                <w:rFonts w:ascii="微软雅黑" w:hAnsi="微软雅黑" w:eastAsia="微软雅黑" w:cs="Times New Roman"/>
                <w:szCs w:val="21"/>
              </w:rPr>
              <w:t xml:space="preserve">操作系统</w:t>
            </w:r>
            <w:r>
              <w:rPr>
                <w:rFonts w:hint="eastAsia" w:ascii="微软雅黑" w:hAnsi="微软雅黑" w:eastAsia="微软雅黑" w:cs="Times New Roman"/>
                <w:szCs w:val="21"/>
              </w:rPr>
              <w:t xml:space="preserve">，可采集</w:t>
            </w:r>
            <w:r>
              <w:rPr>
                <w:rFonts w:ascii="微软雅黑" w:hAnsi="微软雅黑" w:eastAsia="微软雅黑" w:cs="Times New Roman"/>
                <w:szCs w:val="21"/>
              </w:rPr>
              <w:t xml:space="preserve">数据源数量</w:t>
            </w:r>
            <w:r>
              <w:rPr>
                <w:rFonts w:hint="eastAsia" w:ascii="微软雅黑" w:hAnsi="微软雅黑" w:eastAsia="微软雅黑" w:cs="Times New Roman"/>
                <w:szCs w:val="21"/>
              </w:rPr>
              <w:t xml:space="preserve">授权</w:t>
            </w:r>
            <w:r>
              <w:rPr>
                <w:rFonts w:ascii="微软雅黑" w:hAnsi="微软雅黑" w:eastAsia="微软雅黑" w:cs="Times New Roman"/>
                <w:szCs w:val="21"/>
              </w:rPr>
              <w:t xml:space="preserve">≥50个、</w:t>
            </w:r>
            <w:r>
              <w:rPr>
                <w:rFonts w:hint="eastAsia" w:ascii="微软雅黑" w:hAnsi="微软雅黑" w:eastAsia="微软雅黑" w:cs="Times New Roman"/>
                <w:szCs w:val="21"/>
              </w:rPr>
              <w:t xml:space="preserve">可联动的第三方设备数量授权</w:t>
            </w:r>
            <w:r>
              <w:rPr>
                <w:rFonts w:ascii="微软雅黑" w:hAnsi="微软雅黑" w:eastAsia="微软雅黑" w:cs="Times New Roman"/>
                <w:szCs w:val="21"/>
              </w:rPr>
              <w:t xml:space="preserve">≥10个</w:t>
            </w:r>
            <w:r>
              <w:rPr>
                <w:rFonts w:hint="eastAsia" w:ascii="微软雅黑" w:hAnsi="微软雅黑" w:eastAsia="微软雅黑" w:cs="Times New Roman"/>
                <w:szCs w:val="21"/>
              </w:rPr>
              <w:t xml:space="preserve">，设备须提供但不限于以下功能：态势感知、安全概况总览、安全概况仪表展示、日志收集、日志检索、日志告警分析、威胁检测告警、威胁事件管理、威胁自动化响应、威胁预警、工单管理、资产管理、报表统计、系统管理；</w:t>
            </w:r>
            <w:r>
              <w:rPr>
                <w:rFonts w:hint="eastAsia" w:ascii="微软雅黑" w:hAnsi="微软雅黑" w:eastAsia="微软雅黑" w:cs="Times New Roman"/>
                <w:szCs w:val="21"/>
              </w:rPr>
              <w:t xml:space="preserve">三</w:t>
            </w:r>
            <w:r>
              <w:rPr>
                <w:rFonts w:ascii="微软雅黑" w:hAnsi="微软雅黑" w:eastAsia="微软雅黑" w:cs="Times New Roman"/>
                <w:szCs w:val="21"/>
              </w:rPr>
              <w:t xml:space="preserve">年威胁情报库授权</w:t>
            </w:r>
            <w:r>
              <w:rPr>
                <w:rFonts w:hint="eastAsia" w:ascii="微软雅黑" w:hAnsi="微软雅黑" w:eastAsia="微软雅黑" w:cs="Times New Roman"/>
                <w:szCs w:val="21"/>
              </w:rPr>
              <w:t xml:space="preserve">，三</w:t>
            </w:r>
            <w:r>
              <w:rPr>
                <w:rFonts w:ascii="微软雅黑" w:hAnsi="微软雅黑" w:eastAsia="微软雅黑" w:cs="Times New Roman"/>
                <w:szCs w:val="21"/>
              </w:rPr>
              <w:t xml:space="preserve">年漏洞情报库授权</w:t>
            </w:r>
            <w:r>
              <w:rPr>
                <w:rFonts w:hint="eastAsia" w:ascii="微软雅黑" w:hAnsi="微软雅黑" w:eastAsia="微软雅黑" w:cs="Times New Roman"/>
                <w:szCs w:val="21"/>
              </w:rPr>
              <w:t xml:space="preserve">，整机三年原厂质保；</w:t>
            </w:r>
            <w:r/>
          </w:p>
          <w:p>
            <w:pPr>
              <w:ind w:firstLine="420"/>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安全管理平台实时监控大丰区电子政务外网的安全态势，平台通过收集、整合和分析来自不同设备的安全数据，提供实时的网络安全态势分析和展示，使得运维人员能够及时发现潜在的威胁和风险，并采取相应的应对措施；</w:t>
            </w:r>
            <w:r/>
          </w:p>
          <w:p>
            <w:pPr>
              <w:ind w:firstLine="420"/>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平台能够与其他安全系统和设备进行联动，构建一体化的安全防御体系，实现信息的共享和资源的互通。在发生安全事件时，平台能够快速启动应急响应机制，协调各方资源共同应对威胁，减少损失并恢复业务正常运行；</w:t>
            </w:r>
            <w:r/>
          </w:p>
          <w:p>
            <w:pPr>
              <w:ind w:firstLine="420"/>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平台可以通过工单对安全事件进行跟踪处理、以邮件、短信等方式通知到各委办局单位</w:t>
            </w:r>
            <w:r>
              <w:rPr>
                <w:rFonts w:ascii="微软雅黑" w:hAnsi="微软雅黑" w:eastAsia="微软雅黑" w:cs="Times New Roman"/>
                <w:szCs w:val="21"/>
              </w:rPr>
              <w:t xml:space="preserve">, 并通过平台反馈整改信息；</w:t>
            </w:r>
            <w:r/>
          </w:p>
          <w:p>
            <w:pPr>
              <w:ind w:firstLine="420"/>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平台提供丰富的可视化展示功能，将复杂的网络安全数据以直观、易懂的方式呈现出来。这使得运维人员能够更清晰地了解网络的安全状况、威胁趋势和风险分布，为决策提供有力的支持；</w:t>
            </w:r>
            <w:r/>
          </w:p>
          <w:p>
            <w:pPr>
              <w:ind w:firstLine="420"/>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平台可以实现资产管理功能，对于大丰区电子政务外网的主要资产（网络设备、安全设备）进行资产的集中管理，并通过平台，可实时查看资产的运行状态；</w:t>
            </w:r>
            <w:r/>
          </w:p>
          <w:p>
            <w:pPr>
              <w:spacing w:line="480" w:lineRule="exact"/>
              <w:rPr>
                <w:rFonts w:hint="eastAsia" w:ascii="微软雅黑" w:hAnsi="微软雅黑" w:eastAsia="微软雅黑" w:cs="Times New Roman"/>
                <w:b/>
                <w:bCs/>
                <w:szCs w:val="21"/>
              </w:rPr>
            </w:pPr>
            <w:r>
              <w:rPr>
                <w:rFonts w:hint="eastAsia" w:ascii="微软雅黑" w:hAnsi="微软雅黑" w:eastAsia="微软雅黑" w:cs="Times New Roman"/>
                <w:b/>
                <w:bCs/>
                <w:szCs w:val="21"/>
              </w:rPr>
              <w:t xml:space="preserve">二、功能要求</w:t>
            </w:r>
            <w:r/>
          </w:p>
          <w:p>
            <w:pP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1、支持对未解析日志一键自动生成解析策略，自动生成内容包含解析方式、日志字段结构化提取、字段映射规则、解析后字段名称等。支持的解析方式包括但不限于</w:t>
            </w:r>
            <w:r>
              <w:rPr>
                <w:rFonts w:ascii="微软雅黑" w:hAnsi="微软雅黑" w:eastAsia="微软雅黑" w:cs="Times New Roman"/>
                <w:szCs w:val="21"/>
              </w:rPr>
              <w:t xml:space="preserve">JSON、CSV、CEF、Grok、插件解析。</w:t>
            </w:r>
            <w:r/>
          </w:p>
          <w:p>
            <w:pPr>
              <w:spacing w:line="480" w:lineRule="exact"/>
              <w:rPr>
                <w:rFonts w:hint="eastAsia" w:ascii="微软雅黑" w:hAnsi="微软雅黑" w:eastAsia="微软雅黑" w:cs="Times New Roman"/>
                <w:szCs w:val="21"/>
              </w:rPr>
            </w:pPr>
            <w:r>
              <w:rPr>
                <w:rFonts w:ascii="微软雅黑" w:hAnsi="微软雅黑" w:eastAsia="微软雅黑" w:cs="Times New Roman"/>
                <w:szCs w:val="21"/>
              </w:rPr>
              <w:t xml:space="preserve">2</w:t>
            </w:r>
            <w:r>
              <w:rPr>
                <w:rFonts w:hint="eastAsia" w:ascii="微软雅黑" w:hAnsi="微软雅黑" w:eastAsia="微软雅黑" w:cs="Times New Roman"/>
                <w:szCs w:val="21"/>
              </w:rPr>
              <w:t xml:space="preserve">、</w:t>
            </w:r>
            <w:r>
              <w:rPr>
                <w:rFonts w:ascii="微软雅黑" w:hAnsi="微软雅黑" w:eastAsia="微软雅黑" w:cs="Times New Roman"/>
                <w:szCs w:val="21"/>
              </w:rPr>
              <w:t xml:space="preserve">支持资产风险值自定义计算及风险计算周期配置，计算范围包括但不限于威胁告警、脆弱性危害等级、时间范围、处置状态等；内置威胁情报可基于文件动态检测发现有外联行为的IP和域名</w:t>
            </w:r>
            <w:r>
              <w:rPr>
                <w:rFonts w:hint="eastAsia" w:ascii="微软雅黑" w:hAnsi="微软雅黑" w:eastAsia="微软雅黑" w:cs="Times New Roman"/>
                <w:szCs w:val="21"/>
              </w:rPr>
              <w:t xml:space="preserve">，</w:t>
            </w:r>
            <w:r>
              <w:rPr>
                <w:rFonts w:ascii="微软雅黑" w:hAnsi="微软雅黑" w:eastAsia="微软雅黑" w:cs="Times New Roman"/>
                <w:szCs w:val="21"/>
              </w:rPr>
              <w:t xml:space="preserve">生成可疑的</w:t>
            </w:r>
            <w:r>
              <w:rPr>
                <w:rFonts w:hint="eastAsia" w:ascii="微软雅黑" w:hAnsi="微软雅黑" w:eastAsia="微软雅黑" w:cs="Times New Roman"/>
                <w:szCs w:val="21"/>
              </w:rPr>
              <w:t xml:space="preserve">证据</w:t>
            </w:r>
            <w:r>
              <w:rPr>
                <w:rFonts w:ascii="微软雅黑" w:hAnsi="微软雅黑" w:eastAsia="微软雅黑" w:cs="Times New Roman"/>
                <w:szCs w:val="21"/>
              </w:rPr>
              <w:t xml:space="preserve">列表</w:t>
            </w:r>
            <w:r>
              <w:rPr>
                <w:rFonts w:hint="eastAsia" w:ascii="微软雅黑" w:hAnsi="微软雅黑" w:eastAsia="微软雅黑" w:cs="Times New Roman"/>
                <w:szCs w:val="21"/>
              </w:rPr>
              <w:t xml:space="preserve">；</w:t>
            </w:r>
            <w:r/>
          </w:p>
          <w:p>
            <w:pP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3、支持对勒索告警进行专项分析，可识别各类被勒索受害资产，并进行受害资产数的分布统计，勒索受害资产的排名，勒索告警趋势等</w:t>
            </w:r>
            <w:r/>
          </w:p>
          <w:p>
            <w:pPr>
              <w:spacing w:line="480" w:lineRule="exact"/>
              <w:rPr>
                <w:rFonts w:hint="eastAsia" w:ascii="微软雅黑" w:hAnsi="微软雅黑" w:eastAsia="微软雅黑" w:cs="Times New Roman"/>
                <w:szCs w:val="21"/>
              </w:rPr>
            </w:pPr>
            <w:r>
              <w:rPr>
                <w:rFonts w:ascii="微软雅黑" w:hAnsi="微软雅黑" w:eastAsia="微软雅黑" w:cs="Times New Roman"/>
                <w:szCs w:val="21"/>
              </w:rPr>
              <w:t xml:space="preserve">4</w:t>
            </w:r>
            <w:r>
              <w:rPr>
                <w:rFonts w:hint="eastAsia" w:ascii="微软雅黑" w:hAnsi="微软雅黑" w:eastAsia="微软雅黑" w:cs="Times New Roman"/>
                <w:szCs w:val="21"/>
              </w:rPr>
              <w:t xml:space="preserve">、支持设置全量告警和精选告警两种模式。精选告警的配置包括：告警置信度、告警攻击结果、告警危害等级，其中告警置信度包括：高、中、低，告警攻击结果包括：成功、企图、失败，告警危害等级包括：危急、高危、中危、低危。</w:t>
            </w:r>
            <w:r/>
          </w:p>
          <w:p>
            <w:pP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5、设备与防火墙联动时，可实现丰富的联动处置动作，至少应包括但不限于</w:t>
            </w:r>
            <w:r>
              <w:rPr>
                <w:rFonts w:ascii="微软雅黑" w:hAnsi="微软雅黑" w:eastAsia="微软雅黑" w:cs="Times New Roman"/>
                <w:szCs w:val="21"/>
              </w:rPr>
              <w:t xml:space="preserve">:阻断IP、阻断IP+端口、阻断URL、基于五元组、时间、动作的任意组合处置策略、全网封禁高危端口、审计对制定IP/域名儿RL的访问、撤销命令等。</w:t>
            </w:r>
            <w:r/>
          </w:p>
          <w:p>
            <w:pPr>
              <w:spacing w:line="480" w:lineRule="exact"/>
              <w:rPr>
                <w:rFonts w:hint="eastAsia" w:ascii="微软雅黑" w:hAnsi="微软雅黑" w:eastAsia="微软雅黑" w:cs="Times New Roman"/>
                <w:szCs w:val="21"/>
              </w:rPr>
            </w:pPr>
            <w:r>
              <w:rPr>
                <w:rFonts w:ascii="微软雅黑" w:hAnsi="微软雅黑" w:eastAsia="微软雅黑" w:cs="Times New Roman"/>
                <w:szCs w:val="21"/>
              </w:rPr>
              <w:t xml:space="preserve">6、</w:t>
            </w:r>
            <w:r>
              <w:rPr>
                <w:rFonts w:hint="eastAsia" w:ascii="微软雅黑" w:hAnsi="微软雅黑" w:eastAsia="微软雅黑" w:cs="Times New Roman"/>
                <w:szCs w:val="21"/>
              </w:rPr>
              <w:t xml:space="preserve">支持与多种系统对接实现联动防御功能</w:t>
            </w:r>
            <w:r>
              <w:rPr>
                <w:rFonts w:ascii="微软雅黑" w:hAnsi="微软雅黑" w:eastAsia="微软雅黑" w:cs="Times New Roman"/>
                <w:szCs w:val="21"/>
              </w:rPr>
              <w:t xml:space="preserve">，联动的类型包括且不限于以下类型:</w:t>
            </w:r>
            <w:r>
              <w:rPr>
                <w:rFonts w:hint="eastAsia" w:ascii="微软雅黑" w:hAnsi="微软雅黑" w:eastAsia="微软雅黑" w:cs="Times New Roman"/>
                <w:szCs w:val="21"/>
              </w:rPr>
              <w:t xml:space="preserve">AI</w:t>
            </w:r>
            <w:r>
              <w:rPr>
                <w:rFonts w:ascii="微软雅黑" w:hAnsi="微软雅黑" w:eastAsia="微软雅黑" w:cs="Times New Roman"/>
                <w:szCs w:val="21"/>
              </w:rPr>
              <w:t xml:space="preserve">大模型、安全设备（防火墙、WAF日志审计等）</w:t>
            </w:r>
            <w:r>
              <w:rPr>
                <w:rFonts w:hint="eastAsia" w:ascii="微软雅黑" w:hAnsi="微软雅黑" w:eastAsia="微软雅黑" w:cs="Times New Roman"/>
                <w:szCs w:val="21"/>
              </w:rPr>
              <w:t xml:space="preserve">、</w:t>
            </w:r>
            <w:r>
              <w:rPr>
                <w:rFonts w:ascii="微软雅黑" w:hAnsi="微软雅黑" w:eastAsia="微软雅黑" w:cs="Times New Roman"/>
                <w:szCs w:val="21"/>
              </w:rPr>
              <w:t xml:space="preserve">EDR、安全管理平台、沙箱、威胁情报、资产类对接、脆弱性对接、消息通知系统、大数据组件、通用工具等.</w:t>
            </w:r>
            <w:r/>
          </w:p>
          <w:p>
            <w:pPr>
              <w:spacing w:line="480" w:lineRule="exact"/>
              <w:rPr>
                <w:rFonts w:hint="eastAsia" w:ascii="微软雅黑" w:hAnsi="微软雅黑" w:eastAsia="微软雅黑" w:cs="Times New Roman"/>
                <w:szCs w:val="21"/>
              </w:rPr>
            </w:pPr>
            <w:r>
              <w:rPr>
                <w:rFonts w:ascii="微软雅黑" w:hAnsi="微软雅黑" w:eastAsia="微软雅黑" w:cs="Times New Roman"/>
                <w:szCs w:val="21"/>
              </w:rPr>
              <w:t xml:space="preserve">7</w:t>
            </w:r>
            <w:r>
              <w:rPr>
                <w:rFonts w:hint="eastAsia" w:ascii="微软雅黑" w:hAnsi="微软雅黑" w:eastAsia="微软雅黑" w:cs="Times New Roman"/>
                <w:szCs w:val="21"/>
              </w:rPr>
              <w:t xml:space="preserve">、支持针对运营成果进行展示和汇报；支持对威胁和事件的统计至少包括成功发现的威胁的数量，成功阻断的威胁数量，已发生的安全事件数量，已处理的安全事件数量；支持针对安全运营工作的量化包括：安全运营团队人数、团队人员明细信息、团队日均工作量、平均威胁检出时间、平均事件调查时间、平均事件响应时间等信息。支持对运营指标进行修改和拖拽和跳转。</w:t>
            </w:r>
            <w:r/>
          </w:p>
          <w:p>
            <w:pPr>
              <w:spacing w:line="480" w:lineRule="exact"/>
              <w:rPr>
                <w:rFonts w:hint="eastAsia" w:ascii="微软雅黑" w:hAnsi="微软雅黑" w:eastAsia="微软雅黑" w:cs="Times New Roman"/>
                <w:b/>
                <w:bCs/>
                <w:szCs w:val="21"/>
              </w:rPr>
            </w:pPr>
            <w:r>
              <w:rPr>
                <w:rFonts w:hint="eastAsia" w:ascii="微软雅黑" w:hAnsi="微软雅黑" w:eastAsia="微软雅黑" w:cs="Times New Roman"/>
                <w:b/>
                <w:bCs/>
                <w:szCs w:val="21"/>
              </w:rPr>
              <w:t xml:space="preserve">注：以上每项功能要求，投标时按照功能要求描述提供真实产品截图或Demo截图并加盖投标人公章，且截图能够体现完整功能。</w:t>
            </w:r>
            <w:r/>
          </w:p>
        </w:tc>
      </w:tr>
      <w:tr>
        <w:trPr>
          <w:trHeight w:val="213"/>
        </w:trPr>
        <w:tc>
          <w:tcPr>
            <w:tcW w:w="709" w:type="dxa"/>
            <w:vAlign w:val="center"/>
            <w:textDirection w:val="lrTb"/>
            <w:noWrap/>
          </w:tcPr>
          <w:p>
            <w:pPr>
              <w:jc w:val="center"/>
              <w:spacing w:line="480" w:lineRule="exact"/>
              <w:rPr>
                <w:rFonts w:hint="eastAsia" w:ascii="微软雅黑" w:hAnsi="微软雅黑" w:eastAsia="微软雅黑" w:cs="Times New Roman"/>
                <w:szCs w:val="21"/>
              </w:rPr>
            </w:pPr>
            <w:r>
              <w:rPr>
                <w:rFonts w:ascii="微软雅黑" w:hAnsi="微软雅黑" w:eastAsia="微软雅黑" w:cs="Times New Roman"/>
                <w:szCs w:val="21"/>
              </w:rPr>
              <w:t xml:space="preserve">5</w:t>
            </w:r>
            <w:r/>
          </w:p>
        </w:tc>
        <w:tc>
          <w:tcPr>
            <w:tcW w:w="1134" w:type="dxa"/>
            <w:vAlign w:val="center"/>
            <w:textDirection w:val="lrTb"/>
            <w:noWrap/>
          </w:tcPr>
          <w:p>
            <w:pPr>
              <w:jc w:val="cente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流量探针</w:t>
            </w:r>
            <w:r/>
          </w:p>
        </w:tc>
        <w:tc>
          <w:tcPr>
            <w:tcW w:w="6804" w:type="dxa"/>
            <w:vAlign w:val="center"/>
            <w:textDirection w:val="lrTb"/>
            <w:noWrap/>
          </w:tcPr>
          <w:p>
            <w:pPr>
              <w:numPr>
                <w:ilvl w:val="0"/>
                <w:numId w:val="3"/>
              </w:numPr>
              <w:spacing w:line="480" w:lineRule="exact"/>
              <w:rPr>
                <w:rFonts w:hint="eastAsia" w:ascii="微软雅黑" w:hAnsi="微软雅黑" w:eastAsia="微软雅黑" w:cs="Times New Roman"/>
                <w:b/>
                <w:bCs/>
                <w:szCs w:val="21"/>
              </w:rPr>
            </w:pPr>
            <w:r>
              <w:rPr>
                <w:rFonts w:hint="eastAsia" w:ascii="微软雅黑" w:hAnsi="微软雅黑" w:eastAsia="微软雅黑" w:cs="Times New Roman"/>
                <w:b/>
                <w:bCs/>
                <w:szCs w:val="21"/>
              </w:rPr>
              <w:t xml:space="preserve">基础配置</w:t>
            </w:r>
            <w:r>
              <w:rPr>
                <w:rFonts w:ascii="微软雅黑" w:hAnsi="微软雅黑" w:eastAsia="微软雅黑" w:cs="Times New Roman"/>
                <w:b/>
                <w:bCs/>
                <w:szCs w:val="21"/>
              </w:rPr>
              <w:t xml:space="preserve">要求</w:t>
            </w:r>
            <w:r/>
          </w:p>
          <w:p>
            <w:pPr>
              <w:spacing w:line="480" w:lineRule="exact"/>
              <w:rPr>
                <w:rFonts w:hint="eastAsia" w:ascii="微软雅黑" w:hAnsi="微软雅黑" w:eastAsia="微软雅黑" w:cs="Times New Roman"/>
                <w:szCs w:val="21"/>
              </w:rPr>
            </w:pPr>
            <w:r>
              <w:rPr>
                <w:rFonts w:ascii="微软雅黑" w:hAnsi="微软雅黑" w:eastAsia="微软雅黑" w:cs="Times New Roman"/>
                <w:szCs w:val="21"/>
              </w:rPr>
              <w:t xml:space="preserve">≥2U标准上架设备</w:t>
            </w:r>
            <w:r>
              <w:rPr>
                <w:rFonts w:hint="eastAsia" w:ascii="微软雅黑" w:hAnsi="微软雅黑" w:eastAsia="微软雅黑" w:cs="Times New Roman"/>
                <w:szCs w:val="21"/>
              </w:rPr>
              <w:t xml:space="preserve">，</w:t>
            </w:r>
            <w:r>
              <w:rPr>
                <w:rFonts w:ascii="微软雅黑" w:hAnsi="微软雅黑" w:eastAsia="微软雅黑" w:cs="Times New Roman"/>
                <w:szCs w:val="21"/>
              </w:rPr>
              <w:t xml:space="preserve">≥2</w:t>
            </w:r>
            <w:r>
              <w:rPr>
                <w:rFonts w:hint="eastAsia" w:ascii="微软雅黑" w:hAnsi="微软雅黑" w:eastAsia="微软雅黑" w:cs="Times New Roman"/>
                <w:szCs w:val="21"/>
              </w:rPr>
              <w:t xml:space="preserve">个电源，接口≥</w:t>
            </w:r>
            <w:r>
              <w:rPr>
                <w:rFonts w:ascii="微软雅黑" w:hAnsi="微软雅黑" w:eastAsia="微软雅黑" w:cs="Times New Roman"/>
                <w:szCs w:val="21"/>
              </w:rPr>
              <w:t xml:space="preserve">6个</w:t>
            </w:r>
            <w:r>
              <w:rPr>
                <w:rFonts w:hint="eastAsia" w:ascii="微软雅黑" w:hAnsi="微软雅黑" w:eastAsia="微软雅黑" w:cs="Times New Roman"/>
                <w:szCs w:val="21"/>
              </w:rPr>
              <w:t xml:space="preserve">GE</w:t>
            </w:r>
            <w:r>
              <w:rPr>
                <w:rFonts w:ascii="微软雅黑" w:hAnsi="微软雅黑" w:eastAsia="微软雅黑" w:cs="Times New Roman"/>
                <w:szCs w:val="21"/>
              </w:rPr>
              <w:t xml:space="preserve">电口，</w:t>
            </w:r>
            <w:r>
              <w:rPr>
                <w:rFonts w:hint="eastAsia" w:ascii="微软雅黑" w:hAnsi="微软雅黑" w:eastAsia="微软雅黑" w:cs="Times New Roman"/>
                <w:szCs w:val="21"/>
              </w:rPr>
              <w:t xml:space="preserve">≥</w:t>
            </w:r>
            <w:r>
              <w:rPr>
                <w:rFonts w:ascii="微软雅黑" w:hAnsi="微软雅黑" w:eastAsia="微软雅黑" w:cs="Times New Roman"/>
                <w:szCs w:val="21"/>
              </w:rPr>
              <w:t xml:space="preserve">2个</w:t>
            </w:r>
            <w:r>
              <w:rPr>
                <w:rFonts w:hint="eastAsia" w:ascii="微软雅黑" w:hAnsi="微软雅黑" w:eastAsia="微软雅黑" w:cs="Times New Roman"/>
                <w:szCs w:val="21"/>
              </w:rPr>
              <w:t xml:space="preserve">1</w:t>
            </w:r>
            <w:r>
              <w:rPr>
                <w:rFonts w:ascii="微软雅黑" w:hAnsi="微软雅黑" w:eastAsia="微软雅黑" w:cs="Times New Roman"/>
                <w:szCs w:val="21"/>
              </w:rPr>
              <w:t xml:space="preserve">0</w:t>
            </w:r>
            <w:r>
              <w:rPr>
                <w:rFonts w:hint="eastAsia" w:ascii="微软雅黑" w:hAnsi="微软雅黑" w:eastAsia="微软雅黑" w:cs="Times New Roman"/>
                <w:szCs w:val="21"/>
              </w:rPr>
              <w:t xml:space="preserve">GE光</w:t>
            </w:r>
            <w:r>
              <w:rPr>
                <w:rFonts w:ascii="微软雅黑" w:hAnsi="微软雅黑" w:eastAsia="微软雅黑" w:cs="Times New Roman"/>
                <w:szCs w:val="21"/>
              </w:rPr>
              <w:t xml:space="preserve">口≥4TB硬盘、流量处理能力≥5Gbps、≥2</w:t>
            </w:r>
            <w:r>
              <w:rPr>
                <w:rFonts w:hint="eastAsia" w:ascii="微软雅黑" w:hAnsi="微软雅黑" w:eastAsia="微软雅黑" w:cs="Times New Roman"/>
                <w:szCs w:val="21"/>
              </w:rPr>
              <w:t xml:space="preserve">个扩展槽（支持扩展万兆接口），</w:t>
            </w:r>
            <w:r>
              <w:rPr>
                <w:rFonts w:ascii="微软雅黑" w:hAnsi="微软雅黑" w:eastAsia="微软雅黑" w:cs="Times New Roman"/>
                <w:szCs w:val="21"/>
              </w:rPr>
              <w:t xml:space="preserve">≥32</w:t>
            </w:r>
            <w:r>
              <w:rPr>
                <w:rFonts w:hint="eastAsia" w:ascii="微软雅黑" w:hAnsi="微软雅黑" w:eastAsia="微软雅黑" w:cs="Times New Roman"/>
                <w:szCs w:val="21"/>
              </w:rPr>
              <w:t xml:space="preserve">G内存，</w:t>
            </w:r>
            <w:r>
              <w:rPr>
                <w:rFonts w:ascii="微软雅黑" w:hAnsi="微软雅黑" w:eastAsia="微软雅黑" w:cs="Times New Roman"/>
                <w:szCs w:val="21"/>
              </w:rPr>
              <w:t xml:space="preserve">采用国产化处理器</w:t>
            </w:r>
            <w:r>
              <w:rPr>
                <w:rFonts w:hint="eastAsia" w:ascii="微软雅黑" w:hAnsi="微软雅黑" w:eastAsia="微软雅黑" w:cs="Times New Roman"/>
                <w:szCs w:val="21"/>
              </w:rPr>
              <w:t xml:space="preserve">和</w:t>
            </w:r>
            <w:r>
              <w:rPr>
                <w:rFonts w:ascii="微软雅黑" w:hAnsi="微软雅黑" w:eastAsia="微软雅黑" w:cs="Times New Roman"/>
                <w:szCs w:val="21"/>
              </w:rPr>
              <w:t xml:space="preserve">操作系统</w:t>
            </w:r>
            <w:r>
              <w:rPr>
                <w:rFonts w:hint="eastAsia" w:ascii="微软雅黑" w:hAnsi="微软雅黑" w:eastAsia="微软雅黑" w:cs="Times New Roman"/>
                <w:szCs w:val="21"/>
              </w:rPr>
              <w:t xml:space="preserve">，支持包含但不限于网页漏洞检测、</w:t>
            </w:r>
            <w:r>
              <w:rPr>
                <w:rFonts w:ascii="微软雅黑" w:hAnsi="微软雅黑" w:eastAsia="微软雅黑" w:cs="Times New Roman"/>
                <w:szCs w:val="21"/>
              </w:rPr>
              <w:t xml:space="preserve">webshell上传检测</w:t>
            </w:r>
            <w:r>
              <w:rPr>
                <w:rFonts w:hint="eastAsia" w:ascii="微软雅黑" w:hAnsi="微软雅黑" w:eastAsia="微软雅黑" w:cs="Times New Roman"/>
                <w:szCs w:val="21"/>
              </w:rPr>
              <w:t xml:space="preserve">、网络攻击检测、威胁情报检测，</w:t>
            </w:r>
            <w:r>
              <w:rPr>
                <w:rFonts w:hint="eastAsia" w:ascii="微软雅黑" w:hAnsi="微软雅黑" w:eastAsia="微软雅黑" w:cs="Times New Roman"/>
                <w:b/>
                <w:bCs/>
                <w:szCs w:val="21"/>
              </w:rPr>
              <w:t xml:space="preserve">设备采用旁路部署模式，可基于威胁</w:t>
            </w:r>
            <w:r>
              <w:rPr>
                <w:rFonts w:ascii="微软雅黑" w:hAnsi="微软雅黑" w:eastAsia="微软雅黑" w:cs="Times New Roman"/>
                <w:b/>
                <w:bCs/>
                <w:szCs w:val="21"/>
              </w:rPr>
              <w:t xml:space="preserve">情报</w:t>
            </w:r>
            <w:r>
              <w:rPr>
                <w:rFonts w:hint="eastAsia" w:ascii="微软雅黑" w:hAnsi="微软雅黑" w:eastAsia="微软雅黑" w:cs="Times New Roman"/>
                <w:b/>
                <w:bCs/>
                <w:szCs w:val="21"/>
              </w:rPr>
              <w:t xml:space="preserve">和入侵</w:t>
            </w:r>
            <w:r>
              <w:rPr>
                <w:rFonts w:ascii="微软雅黑" w:hAnsi="微软雅黑" w:eastAsia="微软雅黑" w:cs="Times New Roman"/>
                <w:b/>
                <w:bCs/>
                <w:szCs w:val="21"/>
              </w:rPr>
              <w:t xml:space="preserve">检测</w:t>
            </w:r>
            <w:r>
              <w:rPr>
                <w:rFonts w:hint="eastAsia" w:ascii="微软雅黑" w:hAnsi="微软雅黑" w:eastAsia="微软雅黑" w:cs="Times New Roman"/>
                <w:b/>
                <w:bCs/>
                <w:szCs w:val="21"/>
              </w:rPr>
              <w:t xml:space="preserve">特征库实现通信事件的阻断功能，</w:t>
            </w:r>
            <w:r>
              <w:rPr>
                <w:rFonts w:hint="eastAsia" w:ascii="微软雅黑" w:hAnsi="微软雅黑" w:eastAsia="微软雅黑" w:cs="Times New Roman"/>
                <w:szCs w:val="21"/>
              </w:rPr>
              <w:t xml:space="preserve">三</w:t>
            </w:r>
            <w:r>
              <w:rPr>
                <w:rFonts w:ascii="微软雅黑" w:hAnsi="微软雅黑" w:eastAsia="微软雅黑" w:cs="Times New Roman"/>
                <w:szCs w:val="21"/>
              </w:rPr>
              <w:t xml:space="preserve">年威胁情报</w:t>
            </w:r>
            <w:r>
              <w:rPr>
                <w:rFonts w:hint="eastAsia" w:ascii="微软雅黑" w:hAnsi="微软雅黑" w:eastAsia="微软雅黑" w:cs="Times New Roman"/>
                <w:szCs w:val="21"/>
              </w:rPr>
              <w:t xml:space="preserve">和入侵</w:t>
            </w:r>
            <w:r>
              <w:rPr>
                <w:rFonts w:ascii="微软雅黑" w:hAnsi="微软雅黑" w:eastAsia="微软雅黑" w:cs="Times New Roman"/>
                <w:szCs w:val="21"/>
              </w:rPr>
              <w:t xml:space="preserve">检测</w:t>
            </w:r>
            <w:r>
              <w:rPr>
                <w:rFonts w:hint="eastAsia" w:ascii="微软雅黑" w:hAnsi="微软雅黑" w:eastAsia="微软雅黑" w:cs="Times New Roman"/>
                <w:szCs w:val="21"/>
              </w:rPr>
              <w:t xml:space="preserve">特征库升级，</w:t>
            </w:r>
            <w:bookmarkStart w:id="171" w:name="OLE_LINK14"/>
            <w:r>
              <w:rPr>
                <w:rFonts w:hint="eastAsia" w:ascii="微软雅黑" w:hAnsi="微软雅黑" w:eastAsia="微软雅黑" w:cs="Times New Roman"/>
                <w:szCs w:val="21"/>
              </w:rPr>
              <w:t xml:space="preserve">整机三年原厂质保</w:t>
            </w:r>
            <w:bookmarkEnd w:id="171"/>
            <w:r>
              <w:rPr>
                <w:rFonts w:hint="eastAsia" w:ascii="微软雅黑" w:hAnsi="微软雅黑" w:eastAsia="微软雅黑" w:cs="Times New Roman"/>
                <w:szCs w:val="21"/>
              </w:rPr>
              <w:t xml:space="preserve">；</w:t>
            </w:r>
            <w:r/>
          </w:p>
          <w:p>
            <w:pPr>
              <w:spacing w:line="480" w:lineRule="exact"/>
              <w:rPr>
                <w:rFonts w:hint="eastAsia" w:ascii="微软雅黑" w:hAnsi="微软雅黑" w:eastAsia="微软雅黑" w:cs="Times New Roman"/>
                <w:b/>
                <w:bCs/>
                <w:szCs w:val="21"/>
              </w:rPr>
            </w:pPr>
            <w:r>
              <w:rPr>
                <w:rFonts w:hint="eastAsia" w:ascii="微软雅黑" w:hAnsi="微软雅黑" w:eastAsia="微软雅黑" w:cs="Times New Roman"/>
                <w:b/>
                <w:bCs/>
                <w:szCs w:val="21"/>
              </w:rPr>
              <w:t xml:space="preserve">二、功能要求</w:t>
            </w:r>
            <w:r/>
          </w:p>
          <w:p>
            <w:pP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1、支持人工智能机器学习模型，以便增强大丰区电子政务网中的威胁检测精度，模型包括但不限于：</w:t>
            </w:r>
            <w:r>
              <w:rPr>
                <w:rFonts w:ascii="微软雅黑" w:hAnsi="微软雅黑" w:eastAsia="微软雅黑" w:cs="Times New Roman"/>
                <w:szCs w:val="21"/>
              </w:rPr>
              <w:t xml:space="preserve">ICMP隧道、DNS隧道检测、HTTP隧道、CS流量、MSF、挖矿、代理、暗网、弱口令、SSH爆破登录等检测。</w:t>
            </w:r>
            <w:r/>
          </w:p>
          <w:p>
            <w:pP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2、支持标准和精简两种检测模式、可以自由切检索默认；支持手动配置各类检测引擎、机器学习模型的开关。</w:t>
            </w:r>
            <w:r/>
          </w:p>
          <w:p>
            <w:pP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3、支持多协议融合分析能力，结合协议特征和算法，实现对恶意攻击级隐蔽通信的精准检测、检测类型包括但不限于：</w:t>
            </w:r>
            <w:r>
              <w:rPr>
                <w:rFonts w:ascii="微软雅黑" w:hAnsi="微软雅黑" w:eastAsia="微软雅黑" w:cs="Times New Roman"/>
                <w:szCs w:val="21"/>
              </w:rPr>
              <w:t xml:space="preserve">ICMP、DNS协议等隐蔽隧道攻击检测，恶意软件和非法应用加密通信的检测，加密web应用的流量检测，SSL加密协议相关的漏洞与攻击的检测，加密通道攻击行为检测，支持JA3指纹检测。</w:t>
            </w:r>
            <w:r/>
          </w:p>
          <w:p>
            <w:pP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4、支持新增规则，在规则列表进行标签标记展示，新增规则产生的威胁告警、通过威胁告警详情进行标签标记展示。便于直观查看新增规则告警内容。</w:t>
            </w:r>
            <w:r/>
          </w:p>
          <w:p>
            <w:pPr>
              <w:spacing w:line="480" w:lineRule="exact"/>
              <w:rPr>
                <w:rFonts w:hint="eastAsia" w:ascii="微软雅黑" w:hAnsi="微软雅黑" w:eastAsia="微软雅黑" w:cs="Times New Roman"/>
                <w:szCs w:val="21"/>
              </w:rPr>
            </w:pPr>
            <w:r>
              <w:rPr>
                <w:rFonts w:ascii="微软雅黑" w:hAnsi="微软雅黑" w:eastAsia="微软雅黑" w:cs="Times New Roman"/>
                <w:szCs w:val="21"/>
              </w:rPr>
              <w:t xml:space="preserve">5</w:t>
            </w:r>
            <w:r>
              <w:rPr>
                <w:rFonts w:hint="eastAsia" w:ascii="微软雅黑" w:hAnsi="微软雅黑" w:eastAsia="微软雅黑" w:cs="Times New Roman"/>
                <w:szCs w:val="21"/>
              </w:rPr>
              <w:t xml:space="preserve">、支持自定义漏洞检测规则，可自定义检测规则的四元组、以及检测规则的协议类型，</w:t>
            </w:r>
            <w:r>
              <w:rPr>
                <w:rFonts w:ascii="微软雅黑" w:hAnsi="微软雅黑" w:eastAsia="微软雅黑" w:cs="Times New Roman"/>
                <w:szCs w:val="21"/>
              </w:rPr>
              <w:t xml:space="preserve">并且单条规则可指定多个检查项，同时可定义漏洞威胁级别、威胁分类、攻击结果、CVE编号、CNNVD编号、漏洞描述、漏洞危害、解决方案。</w:t>
            </w:r>
            <w:r/>
          </w:p>
          <w:p>
            <w:pP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6、支持内置弱口令检测规则，弱口令检测规则不低于</w:t>
            </w:r>
            <w:r>
              <w:rPr>
                <w:rFonts w:ascii="微软雅黑" w:hAnsi="微软雅黑" w:eastAsia="微软雅黑" w:cs="Times New Roman"/>
                <w:szCs w:val="21"/>
              </w:rPr>
              <w:t xml:space="preserve">120条。</w:t>
            </w:r>
            <w:r>
              <w:rPr>
                <w:rFonts w:hint="eastAsia" w:ascii="微软雅黑" w:hAnsi="微软雅黑" w:eastAsia="微软雅黑" w:cs="Times New Roman"/>
                <w:szCs w:val="21"/>
              </w:rPr>
              <w:t xml:space="preserve">支持</w:t>
            </w:r>
            <w:r>
              <w:rPr>
                <w:rFonts w:ascii="微软雅黑" w:hAnsi="微软雅黑" w:eastAsia="微软雅黑" w:cs="Times New Roman"/>
                <w:szCs w:val="21"/>
              </w:rPr>
              <w:t xml:space="preserve">挖矿检测</w:t>
            </w:r>
            <w:r>
              <w:rPr>
                <w:rFonts w:hint="eastAsia" w:ascii="微软雅黑" w:hAnsi="微软雅黑" w:eastAsia="微软雅黑" w:cs="Times New Roman"/>
                <w:szCs w:val="21"/>
              </w:rPr>
              <w:t xml:space="preserve">，可实现2</w:t>
            </w:r>
            <w:r>
              <w:rPr>
                <w:rFonts w:ascii="微软雅黑" w:hAnsi="微软雅黑" w:eastAsia="微软雅黑" w:cs="Times New Roman"/>
                <w:szCs w:val="21"/>
              </w:rPr>
              <w:t xml:space="preserve">0</w:t>
            </w:r>
            <w:r>
              <w:rPr>
                <w:rFonts w:hint="eastAsia" w:ascii="微软雅黑" w:hAnsi="微软雅黑" w:eastAsia="微软雅黑" w:cs="Times New Roman"/>
                <w:szCs w:val="21"/>
              </w:rPr>
              <w:t xml:space="preserve">种以上数字货币的检测能力，具备不少于5种以上远控工具的检测能力。</w:t>
            </w:r>
            <w:r/>
          </w:p>
          <w:p>
            <w:pPr>
              <w:spacing w:line="480" w:lineRule="exact"/>
              <w:rPr>
                <w:rFonts w:hint="eastAsia" w:ascii="微软雅黑" w:hAnsi="微软雅黑" w:eastAsia="微软雅黑" w:cs="Times New Roman"/>
                <w:b/>
                <w:bCs/>
                <w:szCs w:val="21"/>
              </w:rPr>
            </w:pPr>
            <w:r>
              <w:rPr>
                <w:rFonts w:hint="eastAsia" w:ascii="微软雅黑" w:hAnsi="微软雅黑" w:eastAsia="微软雅黑" w:cs="Times New Roman"/>
                <w:b/>
                <w:bCs/>
                <w:szCs w:val="21"/>
              </w:rPr>
              <w:t xml:space="preserve">注：以上每项功能要求，投标时按照功能要求描述提供真实产品截图或Demo截图并加盖投标人公章，且截图能够体现完整功能</w:t>
            </w:r>
            <w:r>
              <w:rPr>
                <w:rFonts w:ascii="微软雅黑" w:hAnsi="微软雅黑" w:eastAsia="微软雅黑" w:cs="Times New Roman"/>
                <w:b/>
                <w:bCs/>
                <w:szCs w:val="21"/>
              </w:rPr>
              <w:t xml:space="preserve">。</w:t>
            </w:r>
            <w:r/>
          </w:p>
        </w:tc>
      </w:tr>
      <w:tr>
        <w:trPr>
          <w:trHeight w:val="213"/>
        </w:trPr>
        <w:tc>
          <w:tcPr>
            <w:tcW w:w="709" w:type="dxa"/>
            <w:vAlign w:val="center"/>
            <w:textDirection w:val="lrTb"/>
            <w:noWrap/>
          </w:tcPr>
          <w:p>
            <w:pPr>
              <w:jc w:val="center"/>
              <w:spacing w:line="480" w:lineRule="exact"/>
              <w:rPr>
                <w:rFonts w:hint="eastAsia" w:ascii="微软雅黑" w:hAnsi="微软雅黑" w:eastAsia="微软雅黑" w:cs="Times New Roman"/>
                <w:szCs w:val="21"/>
              </w:rPr>
            </w:pPr>
            <w:r>
              <w:rPr>
                <w:rFonts w:ascii="微软雅黑" w:hAnsi="微软雅黑" w:eastAsia="微软雅黑" w:cs="Times New Roman"/>
                <w:szCs w:val="21"/>
              </w:rPr>
              <w:t xml:space="preserve">6</w:t>
            </w:r>
            <w:r/>
          </w:p>
        </w:tc>
        <w:tc>
          <w:tcPr>
            <w:tcW w:w="1134" w:type="dxa"/>
            <w:vAlign w:val="center"/>
            <w:textDirection w:val="lrTb"/>
            <w:noWrap/>
          </w:tcPr>
          <w:p>
            <w:pPr>
              <w:jc w:val="center"/>
              <w:spacing w:line="480" w:lineRule="exact"/>
              <w:rPr>
                <w:rFonts w:hint="eastAsia" w:ascii="微软雅黑" w:hAnsi="微软雅黑" w:eastAsia="微软雅黑" w:cs="Times New Roman"/>
                <w:szCs w:val="21"/>
              </w:rPr>
            </w:pPr>
            <w:r>
              <w:rPr>
                <w:rFonts w:hint="eastAsia" w:ascii="微软雅黑" w:hAnsi="微软雅黑" w:eastAsia="微软雅黑" w:cs="宋体"/>
                <w:szCs w:val="21"/>
              </w:rPr>
              <w:t xml:space="preserve">终端准入系统</w:t>
            </w:r>
            <w:r/>
          </w:p>
        </w:tc>
        <w:tc>
          <w:tcPr>
            <w:tcW w:w="6804" w:type="dxa"/>
            <w:vAlign w:val="center"/>
            <w:textDirection w:val="lrTb"/>
            <w:noWrap/>
          </w:tcPr>
          <w:p>
            <w:pPr>
              <w:numPr>
                <w:ilvl w:val="0"/>
                <w:numId w:val="3"/>
              </w:numPr>
              <w:spacing w:line="480" w:lineRule="exact"/>
              <w:rPr>
                <w:rFonts w:hint="eastAsia" w:ascii="微软雅黑" w:hAnsi="微软雅黑" w:eastAsia="微软雅黑" w:cs="Times New Roman"/>
                <w:b/>
                <w:bCs/>
                <w:szCs w:val="21"/>
              </w:rPr>
            </w:pPr>
            <w:r>
              <w:rPr>
                <w:rFonts w:hint="eastAsia" w:ascii="微软雅黑" w:hAnsi="微软雅黑" w:eastAsia="微软雅黑" w:cs="Times New Roman"/>
                <w:b/>
                <w:bCs/>
                <w:szCs w:val="21"/>
              </w:rPr>
              <w:t xml:space="preserve">基础配置</w:t>
            </w:r>
            <w:r>
              <w:rPr>
                <w:rFonts w:ascii="微软雅黑" w:hAnsi="微软雅黑" w:eastAsia="微软雅黑" w:cs="Times New Roman"/>
                <w:b/>
                <w:bCs/>
                <w:szCs w:val="21"/>
              </w:rPr>
              <w:t xml:space="preserve">要求</w:t>
            </w:r>
            <w:r/>
          </w:p>
          <w:p>
            <w:pPr>
              <w:spacing w:line="480" w:lineRule="exact"/>
              <w:rPr>
                <w:rFonts w:hint="eastAsia" w:ascii="微软雅黑" w:hAnsi="微软雅黑" w:eastAsia="微软雅黑" w:cs="Times New Roman"/>
                <w:szCs w:val="21"/>
              </w:rPr>
            </w:pPr>
            <w:r>
              <w:rPr>
                <w:rFonts w:ascii="微软雅黑" w:hAnsi="微软雅黑" w:eastAsia="微软雅黑" w:cs="Times New Roman"/>
                <w:szCs w:val="21"/>
              </w:rPr>
              <w:t xml:space="preserve">≥2U标准上架设备</w:t>
            </w:r>
            <w:r>
              <w:rPr>
                <w:rFonts w:hint="eastAsia" w:ascii="微软雅黑" w:hAnsi="微软雅黑" w:eastAsia="微软雅黑" w:cs="Times New Roman"/>
                <w:szCs w:val="21"/>
              </w:rPr>
              <w:t xml:space="preserve">，</w:t>
            </w:r>
            <w:r>
              <w:rPr>
                <w:rFonts w:ascii="微软雅黑" w:hAnsi="微软雅黑" w:eastAsia="微软雅黑" w:cs="Times New Roman"/>
                <w:szCs w:val="21"/>
              </w:rPr>
              <w:t xml:space="preserve">≥2</w:t>
            </w:r>
            <w:r>
              <w:rPr>
                <w:rFonts w:hint="eastAsia" w:ascii="微软雅黑" w:hAnsi="微软雅黑" w:eastAsia="微软雅黑" w:cs="Times New Roman"/>
                <w:szCs w:val="21"/>
              </w:rPr>
              <w:t xml:space="preserve">个电源，≥</w:t>
            </w:r>
            <w:r>
              <w:rPr>
                <w:rFonts w:ascii="微软雅黑" w:hAnsi="微软雅黑" w:eastAsia="微软雅黑" w:cs="Times New Roman"/>
                <w:szCs w:val="21"/>
              </w:rPr>
              <w:t xml:space="preserve">6个千兆电口，≥3个扩展槽，≥4TB 硬盘</w:t>
            </w:r>
            <w:r>
              <w:rPr>
                <w:rFonts w:hint="eastAsia" w:ascii="微软雅黑" w:hAnsi="微软雅黑" w:eastAsia="微软雅黑" w:cs="Times New Roman"/>
                <w:szCs w:val="21"/>
              </w:rPr>
              <w:t xml:space="preserve">，内存</w:t>
            </w:r>
            <w:r>
              <w:rPr>
                <w:rFonts w:ascii="微软雅黑" w:hAnsi="微软雅黑" w:eastAsia="微软雅黑" w:cs="Times New Roman"/>
                <w:szCs w:val="21"/>
              </w:rPr>
              <w:t xml:space="preserve">≥16</w:t>
            </w:r>
            <w:r>
              <w:rPr>
                <w:rFonts w:hint="eastAsia" w:ascii="微软雅黑" w:hAnsi="微软雅黑" w:eastAsia="微软雅黑" w:cs="Times New Roman"/>
                <w:szCs w:val="21"/>
              </w:rPr>
              <w:t xml:space="preserve">G，</w:t>
            </w:r>
            <w:r>
              <w:rPr>
                <w:rFonts w:ascii="微软雅黑" w:hAnsi="微软雅黑" w:eastAsia="微软雅黑" w:cs="Times New Roman"/>
                <w:szCs w:val="21"/>
              </w:rPr>
              <w:t xml:space="preserve">采用国产化处理器</w:t>
            </w:r>
            <w:r>
              <w:rPr>
                <w:rFonts w:hint="eastAsia" w:ascii="微软雅黑" w:hAnsi="微软雅黑" w:eastAsia="微软雅黑" w:cs="Times New Roman"/>
                <w:szCs w:val="21"/>
              </w:rPr>
              <w:t xml:space="preserve">（</w:t>
            </w:r>
            <w:r>
              <w:rPr>
                <w:rFonts w:ascii="微软雅黑" w:hAnsi="微软雅黑" w:eastAsia="微软雅黑" w:cs="Times New Roman"/>
                <w:szCs w:val="21"/>
              </w:rPr>
              <w:t xml:space="preserve">≥8</w:t>
            </w:r>
            <w:r>
              <w:rPr>
                <w:rFonts w:hint="eastAsia" w:ascii="微软雅黑" w:hAnsi="微软雅黑" w:eastAsia="微软雅黑" w:cs="Times New Roman"/>
                <w:szCs w:val="21"/>
              </w:rPr>
              <w:t xml:space="preserve">核，</w:t>
            </w:r>
            <w:r>
              <w:rPr>
                <w:rFonts w:ascii="微软雅黑" w:hAnsi="微软雅黑" w:eastAsia="微软雅黑" w:cs="Times New Roman"/>
                <w:szCs w:val="21"/>
              </w:rPr>
              <w:t xml:space="preserve">≥16</w:t>
            </w:r>
            <w:r>
              <w:rPr>
                <w:rFonts w:hint="eastAsia" w:ascii="微软雅黑" w:hAnsi="微软雅黑" w:eastAsia="微软雅黑" w:cs="Times New Roman"/>
                <w:szCs w:val="21"/>
              </w:rPr>
              <w:t xml:space="preserve">线程，</w:t>
            </w:r>
            <w:r>
              <w:rPr>
                <w:rFonts w:ascii="微软雅黑" w:hAnsi="微软雅黑" w:eastAsia="微软雅黑" w:cs="Times New Roman"/>
                <w:szCs w:val="21"/>
              </w:rPr>
              <w:t xml:space="preserve">≥2.8</w:t>
            </w:r>
            <w:r>
              <w:rPr>
                <w:rFonts w:hint="eastAsia" w:ascii="微软雅黑" w:hAnsi="微软雅黑" w:eastAsia="微软雅黑" w:cs="Times New Roman"/>
                <w:szCs w:val="21"/>
              </w:rPr>
              <w:t xml:space="preserve">GH</w:t>
            </w:r>
            <w:r>
              <w:rPr>
                <w:rFonts w:ascii="微软雅黑" w:hAnsi="微软雅黑" w:eastAsia="微软雅黑" w:cs="Times New Roman"/>
                <w:szCs w:val="21"/>
              </w:rPr>
              <w:t xml:space="preserve">z</w:t>
            </w:r>
            <w:r>
              <w:rPr>
                <w:rFonts w:hint="eastAsia" w:ascii="微软雅黑" w:hAnsi="微软雅黑" w:eastAsia="微软雅黑" w:cs="Times New Roman"/>
                <w:szCs w:val="21"/>
              </w:rPr>
              <w:t xml:space="preserve">主频），</w:t>
            </w:r>
            <w:r>
              <w:rPr>
                <w:rFonts w:ascii="微软雅黑" w:hAnsi="微软雅黑" w:eastAsia="微软雅黑" w:cs="Times New Roman"/>
                <w:szCs w:val="21"/>
              </w:rPr>
              <w:t xml:space="preserve">国产化操作系统</w:t>
            </w:r>
            <w:r>
              <w:rPr>
                <w:rFonts w:hint="eastAsia" w:ascii="微软雅黑" w:hAnsi="微软雅黑" w:eastAsia="微软雅黑" w:cs="Times New Roman"/>
                <w:szCs w:val="21"/>
              </w:rPr>
              <w:t xml:space="preserve">，</w:t>
            </w:r>
            <w:r>
              <w:rPr>
                <w:rFonts w:ascii="微软雅黑" w:hAnsi="微软雅黑" w:eastAsia="微软雅黑" w:cs="Times New Roman"/>
                <w:szCs w:val="21"/>
              </w:rPr>
              <w:t xml:space="preserve">本次配置≥2300个点的准入授权</w:t>
            </w:r>
            <w:r>
              <w:rPr>
                <w:rFonts w:hint="eastAsia" w:ascii="微软雅黑" w:hAnsi="微软雅黑" w:eastAsia="微软雅黑" w:cs="Times New Roman"/>
                <w:szCs w:val="21"/>
              </w:rPr>
              <w:t xml:space="preserve">，功能支持包括但不限于：</w:t>
            </w:r>
            <w:r>
              <w:rPr>
                <w:rFonts w:ascii="微软雅黑" w:hAnsi="微软雅黑" w:eastAsia="微软雅黑" w:cs="Times New Roman"/>
                <w:szCs w:val="21"/>
              </w:rPr>
              <w:t xml:space="preserve">802.1X、IP控制、合规评估、身份认证及入网控制</w:t>
            </w:r>
            <w:r>
              <w:rPr>
                <w:rFonts w:hint="eastAsia" w:ascii="微软雅黑" w:hAnsi="微软雅黑" w:eastAsia="微软雅黑" w:cs="Times New Roman"/>
                <w:szCs w:val="21"/>
              </w:rPr>
              <w:t xml:space="preserve">，</w:t>
            </w:r>
            <w:r>
              <w:rPr>
                <w:rFonts w:ascii="微软雅黑" w:hAnsi="微软雅黑" w:eastAsia="微软雅黑" w:cs="Times New Roman"/>
                <w:szCs w:val="21"/>
              </w:rPr>
              <w:t xml:space="preserve">信创终端准入控制管理</w:t>
            </w:r>
            <w:r>
              <w:rPr>
                <w:rFonts w:hint="eastAsia" w:ascii="微软雅黑" w:hAnsi="微软雅黑" w:eastAsia="微软雅黑" w:cs="Times New Roman"/>
                <w:szCs w:val="21"/>
              </w:rPr>
              <w:t xml:space="preserve">，支持</w:t>
            </w:r>
            <w:r>
              <w:rPr>
                <w:rFonts w:ascii="微软雅黑" w:hAnsi="微软雅黑" w:eastAsia="微软雅黑" w:cs="Times New Roman"/>
                <w:szCs w:val="21"/>
              </w:rPr>
              <w:t xml:space="preserve">Windows、信创、Linux、MacOS、Android、IOS</w:t>
            </w:r>
            <w:r>
              <w:rPr>
                <w:rFonts w:hint="eastAsia" w:ascii="微软雅黑" w:hAnsi="微软雅黑" w:eastAsia="微软雅黑" w:cs="Times New Roman"/>
                <w:szCs w:val="21"/>
              </w:rPr>
              <w:t xml:space="preserve">等</w:t>
            </w:r>
            <w:r>
              <w:rPr>
                <w:rFonts w:ascii="微软雅黑" w:hAnsi="微软雅黑" w:eastAsia="微软雅黑" w:cs="Times New Roman"/>
                <w:szCs w:val="21"/>
              </w:rPr>
              <w:t xml:space="preserve">操作系统，</w:t>
            </w:r>
            <w:r>
              <w:rPr>
                <w:rFonts w:hint="eastAsia" w:ascii="微软雅黑" w:hAnsi="微软雅黑" w:eastAsia="微软雅黑" w:cs="Times New Roman"/>
                <w:szCs w:val="21"/>
              </w:rPr>
              <w:t xml:space="preserve">整机三年原厂质保</w:t>
            </w:r>
            <w:r>
              <w:rPr>
                <w:rFonts w:ascii="微软雅黑" w:hAnsi="微软雅黑" w:eastAsia="微软雅黑" w:cs="Times New Roman"/>
                <w:szCs w:val="21"/>
              </w:rPr>
              <w:t xml:space="preserve">。</w:t>
            </w:r>
            <w:r/>
          </w:p>
          <w:p>
            <w:pPr>
              <w:spacing w:line="480" w:lineRule="exact"/>
              <w:rPr>
                <w:rFonts w:hint="eastAsia" w:ascii="微软雅黑" w:hAnsi="微软雅黑" w:eastAsia="微软雅黑" w:cs="Times New Roman"/>
                <w:b/>
                <w:bCs/>
                <w:szCs w:val="21"/>
              </w:rPr>
            </w:pPr>
            <w:r>
              <w:rPr>
                <w:rFonts w:hint="eastAsia" w:ascii="微软雅黑" w:hAnsi="微软雅黑" w:eastAsia="微软雅黑" w:cs="Times New Roman"/>
                <w:b/>
                <w:bCs/>
                <w:szCs w:val="21"/>
              </w:rPr>
              <w:t xml:space="preserve">二、功能要求</w:t>
            </w:r>
            <w:r/>
          </w:p>
          <w:p>
            <w:pP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1、为减少办公终端资源占用，提升硬件平台资源利用率，所提供的管理系统需要在同一平台上支持准入控制资产管理、防病毒检测、准入控制、合规检查等；在一个管控平台，一个客户端的前提下实现以上功能。</w:t>
            </w:r>
            <w:r/>
          </w:p>
          <w:p>
            <w:pP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2、支持</w:t>
            </w:r>
            <w:r>
              <w:rPr>
                <w:rFonts w:ascii="微软雅黑" w:hAnsi="微软雅黑" w:eastAsia="微软雅黑" w:cs="Times New Roman"/>
                <w:szCs w:val="21"/>
              </w:rPr>
              <w:t xml:space="preserve">IPv4、IPv4/IPv6双栈、IPv6 only环境下的系统管理与配置和入网设备进行准入控制。</w:t>
            </w:r>
            <w:r/>
          </w:p>
          <w:p>
            <w:pP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3、支持智能应急逃生方式，当系统检测到异常和故障能够自动逃生：一定时间内连续出现多台终端准入失败自动临时放行且阈值可自定义（分钟级别），确保电子政务网络的可用性</w:t>
            </w:r>
            <w:r/>
          </w:p>
          <w:p>
            <w:pPr>
              <w:spacing w:line="480" w:lineRule="exact"/>
              <w:rPr>
                <w:rFonts w:hint="eastAsia" w:ascii="微软雅黑" w:hAnsi="微软雅黑" w:eastAsia="微软雅黑" w:cs="Times New Roman"/>
                <w:szCs w:val="21"/>
              </w:rPr>
            </w:pPr>
            <w:r>
              <w:rPr>
                <w:rFonts w:ascii="微软雅黑" w:hAnsi="微软雅黑" w:eastAsia="微软雅黑" w:cs="Times New Roman"/>
                <w:szCs w:val="21"/>
              </w:rPr>
              <w:t xml:space="preserve">4</w:t>
            </w:r>
            <w:r>
              <w:rPr>
                <w:rFonts w:hint="eastAsia" w:ascii="微软雅黑" w:hAnsi="微软雅黑" w:eastAsia="微软雅黑" w:cs="Times New Roman"/>
                <w:szCs w:val="21"/>
              </w:rPr>
              <w:t xml:space="preserve">、支持</w:t>
            </w:r>
            <w:r>
              <w:rPr>
                <w:rFonts w:ascii="微软雅黑" w:hAnsi="微软雅黑" w:eastAsia="微软雅黑" w:cs="Times New Roman"/>
                <w:szCs w:val="21"/>
              </w:rPr>
              <w:t xml:space="preserve">802.1x有线无线网络环境下基于用户、角色、设备类型、设备分组、设备标签等属性动态下发VLAN、ACL。</w:t>
            </w:r>
            <w:r>
              <w:rPr>
                <w:rFonts w:hint="eastAsia" w:ascii="微软雅黑" w:hAnsi="微软雅黑" w:eastAsia="微软雅黑" w:cs="Times New Roman"/>
                <w:szCs w:val="21"/>
              </w:rPr>
              <w:t xml:space="preserve">支持</w:t>
            </w:r>
            <w:r>
              <w:rPr>
                <w:rFonts w:ascii="微软雅黑" w:hAnsi="微软雅黑" w:eastAsia="微软雅黑" w:cs="Times New Roman"/>
                <w:szCs w:val="21"/>
              </w:rPr>
              <w:t xml:space="preserve">802.1X方式下的双因子认证，至少支持动态验证码、短信验证码的双因子认证。</w:t>
            </w:r>
            <w:r/>
          </w:p>
          <w:p>
            <w:pPr>
              <w:spacing w:line="480" w:lineRule="exact"/>
              <w:rPr>
                <w:rFonts w:hint="eastAsia" w:ascii="微软雅黑" w:hAnsi="微软雅黑" w:eastAsia="微软雅黑" w:cs="Times New Roman"/>
                <w:szCs w:val="21"/>
              </w:rPr>
            </w:pPr>
            <w:r>
              <w:rPr>
                <w:rFonts w:ascii="微软雅黑" w:hAnsi="微软雅黑" w:eastAsia="微软雅黑" w:cs="Times New Roman"/>
                <w:szCs w:val="21"/>
              </w:rPr>
              <w:t xml:space="preserve">5</w:t>
            </w:r>
            <w:r>
              <w:rPr>
                <w:rFonts w:hint="eastAsia" w:ascii="微软雅黑" w:hAnsi="微软雅黑" w:eastAsia="微软雅黑" w:cs="Times New Roman"/>
                <w:szCs w:val="21"/>
              </w:rPr>
              <w:t xml:space="preserve">、支持全静默的终端身份认证，无需人工参与，终端即可自动完成准入认证，整个过程无弹窗，不影响全屏进程。</w:t>
            </w:r>
            <w:r/>
          </w:p>
          <w:p>
            <w:pPr>
              <w:spacing w:line="480" w:lineRule="exact"/>
              <w:rPr>
                <w:rFonts w:hint="eastAsia" w:ascii="微软雅黑" w:hAnsi="微软雅黑" w:eastAsia="微软雅黑" w:cs="Times New Roman"/>
                <w:szCs w:val="21"/>
              </w:rPr>
            </w:pPr>
            <w:r>
              <w:rPr>
                <w:rFonts w:hint="eastAsia" w:ascii="微软雅黑" w:hAnsi="微软雅黑" w:eastAsia="微软雅黑" w:cs="Times New Roman"/>
                <w:b/>
                <w:bCs/>
                <w:szCs w:val="21"/>
              </w:rPr>
              <w:t xml:space="preserve">注：以上每项功能要求，投标时按照功能要求描述提供真实产品截图或Demo截图并加盖投标人公章，且截图能够体现完整功能。</w:t>
            </w:r>
            <w:r/>
          </w:p>
        </w:tc>
      </w:tr>
      <w:tr>
        <w:trPr>
          <w:trHeight w:val="1611"/>
        </w:trPr>
        <w:tc>
          <w:tcPr>
            <w:tcW w:w="709" w:type="dxa"/>
            <w:vAlign w:val="center"/>
            <w:textDirection w:val="lrTb"/>
            <w:noWrap/>
          </w:tcPr>
          <w:p>
            <w:pPr>
              <w:jc w:val="center"/>
              <w:widowControl/>
              <w:rPr>
                <w:rFonts w:hint="eastAsia" w:ascii="微软雅黑" w:hAnsi="微软雅黑" w:eastAsia="微软雅黑" w:cs="Times New Roman"/>
                <w:szCs w:val="21"/>
              </w:rPr>
            </w:pPr>
            <w:r>
              <w:rPr>
                <w:rFonts w:ascii="微软雅黑" w:hAnsi="微软雅黑" w:eastAsia="微软雅黑" w:cs="Times New Roman"/>
                <w:szCs w:val="21"/>
              </w:rPr>
              <w:t xml:space="preserve">7</w:t>
            </w:r>
            <w:r/>
          </w:p>
        </w:tc>
        <w:tc>
          <w:tcPr>
            <w:tcW w:w="1134" w:type="dxa"/>
            <w:vAlign w:val="center"/>
            <w:textDirection w:val="lrTb"/>
            <w:noWrap/>
          </w:tcPr>
          <w:p>
            <w:pPr>
              <w:jc w:val="center"/>
              <w:spacing w:line="480" w:lineRule="exact"/>
              <w:rPr>
                <w:rFonts w:hint="eastAsia" w:ascii="微软雅黑" w:hAnsi="微软雅黑" w:eastAsia="微软雅黑" w:cs="Times New Roman"/>
                <w:szCs w:val="21"/>
              </w:rPr>
            </w:pPr>
            <w:r>
              <w:rPr>
                <w:rFonts w:hint="eastAsia" w:ascii="微软雅黑" w:hAnsi="微软雅黑" w:eastAsia="微软雅黑" w:cs="宋体"/>
                <w:szCs w:val="21"/>
              </w:rPr>
              <w:t xml:space="preserve">终端防病毒系统维保服务</w:t>
            </w:r>
            <w:r/>
          </w:p>
        </w:tc>
        <w:tc>
          <w:tcPr>
            <w:tcW w:w="6804" w:type="dxa"/>
            <w:vAlign w:val="center"/>
            <w:textDirection w:val="lrTb"/>
            <w:noWrap/>
          </w:tcPr>
          <w:p>
            <w:pP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一、现有产品情况：</w:t>
            </w:r>
            <w:r/>
          </w:p>
          <w:p>
            <w:pP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生产厂商：奇安信</w:t>
            </w:r>
            <w:r/>
          </w:p>
          <w:p>
            <w:pP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型号：天擎终端安全管理系统V10.0</w:t>
            </w:r>
            <w:r/>
          </w:p>
          <w:p>
            <w:pP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数量：1套(含2</w:t>
            </w:r>
            <w:r>
              <w:rPr>
                <w:rFonts w:ascii="微软雅黑" w:hAnsi="微软雅黑" w:eastAsia="微软雅黑" w:cs="Times New Roman"/>
                <w:szCs w:val="21"/>
              </w:rPr>
              <w:t xml:space="preserve">000</w:t>
            </w:r>
            <w:r>
              <w:rPr>
                <w:rFonts w:hint="eastAsia" w:ascii="微软雅黑" w:hAnsi="微软雅黑" w:eastAsia="微软雅黑" w:cs="Times New Roman"/>
                <w:szCs w:val="21"/>
              </w:rPr>
              <w:t xml:space="preserve">个非国产化授权和3</w:t>
            </w:r>
            <w:r>
              <w:rPr>
                <w:rFonts w:ascii="微软雅黑" w:hAnsi="微软雅黑" w:eastAsia="微软雅黑" w:cs="Times New Roman"/>
                <w:szCs w:val="21"/>
              </w:rPr>
              <w:t xml:space="preserve">00</w:t>
            </w:r>
            <w:r>
              <w:rPr>
                <w:rFonts w:hint="eastAsia" w:ascii="微软雅黑" w:hAnsi="微软雅黑" w:eastAsia="微软雅黑" w:cs="Times New Roman"/>
                <w:szCs w:val="21"/>
              </w:rPr>
              <w:t xml:space="preserve">个国产化授权</w:t>
            </w:r>
            <w:r>
              <w:rPr>
                <w:rFonts w:ascii="微软雅黑" w:hAnsi="微软雅黑" w:eastAsia="微软雅黑" w:cs="Times New Roman"/>
                <w:szCs w:val="21"/>
              </w:rPr>
              <w:t xml:space="preserve">)</w:t>
            </w:r>
            <w:r/>
          </w:p>
          <w:p>
            <w:pP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产品能力：基础病毒防护、勒索防护、资产管理、第三方联动响应等功能。</w:t>
            </w:r>
            <w:r/>
          </w:p>
          <w:p>
            <w:pP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二、本次项目要求：</w:t>
            </w:r>
            <w:r/>
          </w:p>
          <w:p>
            <w:pP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对现有终端杀毒系统进行版本升级，升级后支持2</w:t>
            </w:r>
            <w:r>
              <w:rPr>
                <w:rFonts w:ascii="微软雅黑" w:hAnsi="微软雅黑" w:eastAsia="微软雅黑" w:cs="Times New Roman"/>
                <w:szCs w:val="21"/>
              </w:rPr>
              <w:t xml:space="preserve">300</w:t>
            </w:r>
            <w:r>
              <w:rPr>
                <w:rFonts w:hint="eastAsia" w:ascii="微软雅黑" w:hAnsi="微软雅黑" w:eastAsia="微软雅黑" w:cs="Times New Roman"/>
                <w:szCs w:val="21"/>
              </w:rPr>
              <w:t xml:space="preserve">个国产化和非国产化系统杀毒，三年特征库升级服务； </w:t>
            </w:r>
            <w:r/>
          </w:p>
        </w:tc>
      </w:tr>
      <w:tr>
        <w:trPr>
          <w:trHeight w:val="2290"/>
        </w:trPr>
        <w:tc>
          <w:tcPr>
            <w:tcW w:w="709" w:type="dxa"/>
            <w:vAlign w:val="center"/>
            <w:textDirection w:val="lrTb"/>
            <w:noWrap/>
          </w:tcPr>
          <w:p>
            <w:pPr>
              <w:jc w:val="center"/>
              <w:widowControl/>
              <w:rPr>
                <w:rFonts w:hint="eastAsia" w:ascii="微软雅黑" w:hAnsi="微软雅黑" w:eastAsia="微软雅黑" w:cs="Times New Roman"/>
                <w:szCs w:val="21"/>
              </w:rPr>
            </w:pPr>
            <w:r>
              <w:rPr>
                <w:rFonts w:ascii="微软雅黑" w:hAnsi="微软雅黑" w:eastAsia="微软雅黑" w:cs="Times New Roman"/>
                <w:szCs w:val="21"/>
              </w:rPr>
              <w:t xml:space="preserve">8</w:t>
            </w:r>
            <w:r/>
          </w:p>
        </w:tc>
        <w:tc>
          <w:tcPr>
            <w:tcW w:w="1134" w:type="dxa"/>
            <w:vAlign w:val="center"/>
            <w:textDirection w:val="lrTb"/>
            <w:noWrap/>
          </w:tcPr>
          <w:p>
            <w:pP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电子政务外网出口防火墙维保服务</w:t>
            </w:r>
            <w:r/>
          </w:p>
        </w:tc>
        <w:tc>
          <w:tcPr>
            <w:tcW w:w="6804" w:type="dxa"/>
            <w:vAlign w:val="center"/>
            <w:textDirection w:val="lrTb"/>
            <w:noWrap/>
          </w:tcPr>
          <w:p>
            <w:pP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一、现有产品情况：</w:t>
            </w:r>
            <w:r/>
          </w:p>
          <w:p>
            <w:pP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生产厂商：奇安信</w:t>
            </w:r>
            <w:r/>
          </w:p>
          <w:p>
            <w:pP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型号：NSG3300</w:t>
            </w:r>
            <w:r/>
          </w:p>
          <w:p>
            <w:pP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数量：2台</w:t>
            </w:r>
            <w:r/>
          </w:p>
          <w:p>
            <w:pP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产品能力：2U机架式，网络层吞吐量30G；并发连接3000万；每秒新建连接数45万；冗余电源；板载1个HA接口；4个10/100/1000M自适应电口；4个SFP插槽；2个万兆SFP+光口；另外还支持2个接口板卡扩展插槽；含1TB硬盘；IPS特征库，支持IPv6和巨型帧转发，国产化处理器和操作系统。支持集群化部署，实现主备自动切换；</w:t>
            </w:r>
            <w:r/>
          </w:p>
          <w:p>
            <w:pP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二、本次项目要求</w:t>
            </w:r>
            <w:r/>
          </w:p>
          <w:p>
            <w:pP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对现有2台防火墙延长1年维保服务，服务期内针对防火墙硬件提供原厂免费质保服务，针对防火墙软件（系统版本、IPS特征库）提供原厂免费升级服务；</w:t>
            </w:r>
            <w:r/>
          </w:p>
        </w:tc>
      </w:tr>
      <w:tr>
        <w:trPr>
          <w:trHeight w:val="213"/>
        </w:trPr>
        <w:tc>
          <w:tcPr>
            <w:tcW w:w="709" w:type="dxa"/>
            <w:vAlign w:val="center"/>
            <w:textDirection w:val="lrTb"/>
            <w:noWrap/>
          </w:tcPr>
          <w:p>
            <w:pPr>
              <w:jc w:val="center"/>
              <w:widowControl/>
              <w:rPr>
                <w:rFonts w:hint="eastAsia" w:ascii="微软雅黑" w:hAnsi="微软雅黑" w:eastAsia="微软雅黑" w:cs="Times New Roman"/>
                <w:szCs w:val="21"/>
              </w:rPr>
            </w:pPr>
            <w:r>
              <w:rPr>
                <w:rFonts w:ascii="微软雅黑" w:hAnsi="微软雅黑" w:eastAsia="微软雅黑" w:cs="Times New Roman"/>
                <w:szCs w:val="21"/>
              </w:rPr>
              <w:t xml:space="preserve">9</w:t>
            </w:r>
            <w:r/>
          </w:p>
        </w:tc>
        <w:tc>
          <w:tcPr>
            <w:tcW w:w="1134" w:type="dxa"/>
            <w:vAlign w:val="center"/>
            <w:textDirection w:val="lrTb"/>
            <w:noWrap/>
          </w:tcPr>
          <w:p>
            <w:pPr>
              <w:jc w:val="center"/>
              <w:widowControl/>
              <w:rPr>
                <w:rFonts w:hint="eastAsia" w:ascii="微软雅黑" w:hAnsi="微软雅黑" w:eastAsia="微软雅黑" w:cs="Times New Roman"/>
                <w:szCs w:val="21"/>
              </w:rPr>
            </w:pPr>
            <w:r>
              <w:rPr>
                <w:rFonts w:hint="eastAsia" w:ascii="微软雅黑" w:hAnsi="微软雅黑" w:eastAsia="微软雅黑" w:cs="宋体"/>
                <w:szCs w:val="21"/>
              </w:rPr>
              <w:t xml:space="preserve">二级等保</w:t>
            </w:r>
            <w:r/>
          </w:p>
        </w:tc>
        <w:tc>
          <w:tcPr>
            <w:tcW w:w="6804" w:type="dxa"/>
            <w:vAlign w:val="center"/>
            <w:textDirection w:val="lrTb"/>
            <w:noWrap/>
          </w:tcPr>
          <w:p>
            <w:pPr>
              <w:jc w:val="left"/>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针对大丰区电子政务外网进行二级等保测评服务</w:t>
            </w:r>
            <w:r>
              <w:rPr>
                <w:rFonts w:ascii="微软雅黑" w:hAnsi="微软雅黑" w:eastAsia="微软雅黑" w:cs="Times New Roman"/>
                <w:szCs w:val="21"/>
              </w:rPr>
              <w:t xml:space="preserve">2</w:t>
            </w:r>
            <w:r>
              <w:rPr>
                <w:rFonts w:hint="eastAsia" w:ascii="微软雅黑" w:hAnsi="微软雅黑" w:eastAsia="微软雅黑" w:cs="Times New Roman"/>
                <w:szCs w:val="21"/>
              </w:rPr>
              <w:t xml:space="preserve">次（第一年完成1次，第三年完成1次），含等保测评及配套服务；</w:t>
            </w:r>
            <w:r/>
          </w:p>
        </w:tc>
      </w:tr>
      <w:tr>
        <w:trPr>
          <w:trHeight w:val="213"/>
        </w:trPr>
        <w:tc>
          <w:tcPr>
            <w:tcW w:w="709" w:type="dxa"/>
            <w:vAlign w:val="center"/>
            <w:textDirection w:val="lrTb"/>
            <w:noWrap/>
          </w:tcPr>
          <w:p>
            <w:pPr>
              <w:jc w:val="center"/>
              <w:widowControl/>
              <w:rPr>
                <w:rFonts w:hint="eastAsia" w:ascii="微软雅黑" w:hAnsi="微软雅黑" w:eastAsia="微软雅黑" w:cs="Times New Roman"/>
                <w:szCs w:val="21"/>
              </w:rPr>
            </w:pPr>
            <w:r>
              <w:rPr>
                <w:rFonts w:ascii="微软雅黑" w:hAnsi="微软雅黑" w:eastAsia="微软雅黑" w:cs="Times New Roman"/>
                <w:szCs w:val="21"/>
              </w:rPr>
              <w:t xml:space="preserve">10</w:t>
            </w:r>
            <w:r/>
          </w:p>
        </w:tc>
        <w:tc>
          <w:tcPr>
            <w:tcW w:w="1134" w:type="dxa"/>
            <w:vAlign w:val="center"/>
            <w:textDirection w:val="lrTb"/>
            <w:noWrap/>
          </w:tcPr>
          <w:p>
            <w:pPr>
              <w:jc w:val="center"/>
              <w:widowControl/>
              <w:rPr>
                <w:rFonts w:hint="eastAsia" w:ascii="微软雅黑" w:hAnsi="微软雅黑" w:eastAsia="微软雅黑" w:cs="Times New Roman"/>
                <w:szCs w:val="21"/>
              </w:rPr>
            </w:pPr>
            <w:r>
              <w:rPr>
                <w:rFonts w:hint="eastAsia" w:ascii="微软雅黑" w:hAnsi="微软雅黑" w:eastAsia="微软雅黑" w:cs="宋体"/>
                <w:szCs w:val="21"/>
              </w:rPr>
              <w:t xml:space="preserve">运维服务</w:t>
            </w:r>
            <w:r/>
          </w:p>
        </w:tc>
        <w:tc>
          <w:tcPr>
            <w:tcW w:w="6804" w:type="dxa"/>
            <w:vAlign w:val="center"/>
            <w:textDirection w:val="lrTb"/>
            <w:noWrap/>
          </w:tcPr>
          <w:p>
            <w:pP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根据采购人需求，提供三年不限次数上门服务，具体如下：</w:t>
            </w:r>
            <w:r/>
          </w:p>
          <w:p>
            <w:pP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1、每日开展不少于1次网络安全运行监测，通过查看网络安全设备运行数据，形成网络安全监测报告；</w:t>
            </w:r>
            <w:r/>
          </w:p>
          <w:p>
            <w:pP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2、每月开展不少于1次网络安全巡检，检查网络安全设备的运行情况，进行特征库和版本升级，优化安全设备防护策略；</w:t>
            </w:r>
            <w:r/>
          </w:p>
          <w:p>
            <w:pP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3、每个季度开展不少于1次网络漏洞扫描，对电子政务外网终端存在的安全隐患进行全面排查，生成隐患排查报告，并跟踪整改落实情况，提升隐患处置效率。</w:t>
            </w:r>
            <w:r/>
          </w:p>
          <w:p>
            <w:pP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4、每年开展不少于2次安全应急演练，模拟发生各类网络安全事件时的应急处置措施，提升电子政务外网应对突发安全事件的能力；</w:t>
            </w:r>
            <w:r/>
          </w:p>
          <w:p>
            <w:pP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5、每年开展不少于1次的网络安全意识培训，提升工作人员的安全意识；</w:t>
            </w:r>
            <w:r/>
          </w:p>
          <w:p>
            <w:pPr>
              <w:spacing w:line="480" w:lineRule="exact"/>
              <w:rPr>
                <w:rFonts w:hint="eastAsia" w:ascii="微软雅黑" w:hAnsi="微软雅黑" w:eastAsia="微软雅黑" w:cs="Times New Roman"/>
                <w:szCs w:val="21"/>
              </w:rPr>
            </w:pPr>
            <w:r>
              <w:rPr>
                <w:rFonts w:hint="eastAsia" w:ascii="微软雅黑" w:hAnsi="微软雅黑" w:eastAsia="微软雅黑" w:cs="Times New Roman"/>
                <w:szCs w:val="21"/>
              </w:rPr>
              <w:t xml:space="preserve">6、重大活动期间提供7*24小时网络安全保障；</w:t>
            </w:r>
            <w:r/>
          </w:p>
        </w:tc>
      </w:tr>
    </w:tbl>
    <w:p>
      <w:pPr>
        <w:rPr>
          <w:rFonts w:hint="eastAsia" w:ascii="微软雅黑" w:hAnsi="微软雅黑" w:eastAsia="微软雅黑" w:cs="Times New Roman"/>
          <w:b/>
          <w:bCs/>
          <w:szCs w:val="22"/>
        </w:rPr>
      </w:pPr>
      <w:r>
        <w:rPr>
          <w:rFonts w:hint="eastAsia" w:ascii="微软雅黑" w:hAnsi="微软雅黑" w:eastAsia="微软雅黑" w:cs="Times New Roman"/>
          <w:b/>
          <w:bCs/>
          <w:szCs w:val="22"/>
        </w:rPr>
        <w:t xml:space="preserve">注：1、详细技术参数中1</w:t>
      </w:r>
      <w:r>
        <w:rPr>
          <w:rFonts w:ascii="微软雅黑" w:hAnsi="微软雅黑" w:eastAsia="微软雅黑" w:cs="Times New Roman"/>
          <w:b/>
          <w:bCs/>
          <w:szCs w:val="22"/>
        </w:rPr>
        <w:t xml:space="preserve">-6</w:t>
      </w:r>
      <w:r>
        <w:rPr>
          <w:rFonts w:hint="eastAsia" w:ascii="微软雅黑" w:hAnsi="微软雅黑" w:eastAsia="微软雅黑" w:cs="Times New Roman"/>
          <w:b/>
          <w:bCs/>
          <w:szCs w:val="22"/>
        </w:rPr>
        <w:t xml:space="preserve">项涉及的硬件设备必须是正规渠道全新未使用产品；</w:t>
      </w:r>
      <w:r/>
    </w:p>
    <w:p>
      <w:pPr>
        <w:rPr>
          <w:rFonts w:hint="eastAsia" w:ascii="微软雅黑" w:hAnsi="微软雅黑" w:eastAsia="微软雅黑" w:cs="Times New Roman"/>
          <w:b/>
          <w:bCs/>
          <w:i/>
          <w:iCs/>
          <w:szCs w:val="22"/>
          <w:u w:val="single"/>
        </w:rPr>
      </w:pPr>
      <w:r>
        <w:rPr>
          <w:rFonts w:hint="eastAsia" w:ascii="微软雅黑" w:hAnsi="微软雅黑" w:eastAsia="微软雅黑" w:cs="Times New Roman"/>
          <w:b/>
          <w:bCs/>
          <w:szCs w:val="22"/>
        </w:rPr>
        <w:t xml:space="preserve"> </w:t>
      </w:r>
      <w:r>
        <w:rPr>
          <w:rFonts w:ascii="微软雅黑" w:hAnsi="微软雅黑" w:eastAsia="微软雅黑" w:cs="Times New Roman"/>
          <w:b/>
          <w:bCs/>
          <w:szCs w:val="22"/>
        </w:rPr>
        <w:t xml:space="preserve">  </w:t>
      </w:r>
      <w:r>
        <w:rPr>
          <w:rFonts w:ascii="微软雅黑" w:hAnsi="微软雅黑" w:eastAsia="微软雅黑" w:cs="Times New Roman"/>
          <w:b/>
          <w:bCs/>
          <w:i/>
          <w:iCs/>
          <w:szCs w:val="22"/>
          <w:u w:val="single"/>
        </w:rPr>
        <w:t xml:space="preserve"> </w:t>
      </w:r>
      <w:r>
        <w:rPr>
          <w:rFonts w:hint="eastAsia" w:ascii="微软雅黑" w:hAnsi="微软雅黑" w:eastAsia="微软雅黑" w:cs="Times New Roman"/>
          <w:b/>
          <w:bCs/>
          <w:i/>
          <w:iCs/>
          <w:szCs w:val="22"/>
          <w:u w:val="single"/>
        </w:rPr>
        <w:t xml:space="preserve">2、详细技术参数中除1</w:t>
      </w:r>
      <w:r>
        <w:rPr>
          <w:rFonts w:ascii="微软雅黑" w:hAnsi="微软雅黑" w:eastAsia="微软雅黑" w:cs="Times New Roman"/>
          <w:b/>
          <w:bCs/>
          <w:i/>
          <w:iCs/>
          <w:szCs w:val="22"/>
          <w:u w:val="single"/>
        </w:rPr>
        <w:t xml:space="preserve">-6</w:t>
      </w:r>
      <w:r>
        <w:rPr>
          <w:rFonts w:hint="eastAsia" w:ascii="微软雅黑" w:hAnsi="微软雅黑" w:eastAsia="微软雅黑" w:cs="Times New Roman"/>
          <w:b/>
          <w:bCs/>
          <w:i/>
          <w:iCs/>
          <w:szCs w:val="22"/>
          <w:u w:val="single"/>
        </w:rPr>
        <w:t xml:space="preserve">项的“功能要求”外，其余参数均为实质性响应参数，投标人投标时不允许出现负偏离，否则视为未实质性响应招标文件要求。</w:t>
      </w:r>
      <w:r/>
    </w:p>
    <w:p>
      <w:pPr>
        <w:pStyle w:val="850"/>
        <w:contextualSpacing/>
        <w:jc w:val="both"/>
        <w:spacing w:beforeAutospacing="0" w:afterAutospacing="0" w:line="400" w:lineRule="exact"/>
        <w:rPr>
          <w:rFonts w:hint="eastAsia" w:cs="宋体" w:asciiTheme="minorEastAsia" w:hAnsiTheme="minorEastAsia"/>
        </w:rPr>
      </w:pPr>
      <w:r>
        <w:rPr>
          <w:rFonts w:hint="eastAsia" w:cs="宋体" w:asciiTheme="minorEastAsia" w:hAnsiTheme="minorEastAsia"/>
        </w:rPr>
      </w:r>
      <w:r/>
    </w:p>
    <w:p>
      <w:pPr>
        <w:pStyle w:val="850"/>
        <w:contextualSpacing/>
        <w:jc w:val="both"/>
        <w:spacing w:beforeAutospacing="0" w:afterAutospacing="0" w:line="400" w:lineRule="exact"/>
        <w:rPr>
          <w:rFonts w:hint="eastAsia" w:cs="宋体" w:asciiTheme="minorEastAsia" w:hAnsiTheme="minorEastAsia"/>
        </w:rPr>
      </w:pPr>
      <w:r>
        <w:rPr>
          <w:rFonts w:hint="eastAsia" w:cs="宋体" w:asciiTheme="minorEastAsia" w:hAnsiTheme="minorEastAsia"/>
        </w:rPr>
      </w:r>
      <w:r/>
    </w:p>
    <w:p>
      <w:pPr>
        <w:pStyle w:val="850"/>
        <w:contextualSpacing/>
        <w:jc w:val="both"/>
        <w:spacing w:beforeAutospacing="0" w:afterAutospacing="0" w:line="400" w:lineRule="exact"/>
        <w:rPr>
          <w:rFonts w:hint="eastAsia" w:cs="宋体" w:asciiTheme="minorEastAsia" w:hAnsiTheme="minorEastAsia"/>
        </w:rPr>
      </w:pPr>
      <w:r>
        <w:rPr>
          <w:rFonts w:hint="eastAsia" w:cs="宋体" w:asciiTheme="minorEastAsia" w:hAnsiTheme="minorEastAsia"/>
        </w:rPr>
      </w:r>
      <w:r/>
    </w:p>
    <w:p>
      <w:pPr>
        <w:contextualSpacing/>
        <w:jc w:val="left"/>
        <w:spacing w:line="360" w:lineRule="auto"/>
        <w:widowControl/>
        <w:rPr>
          <w:rFonts w:hint="eastAsia" w:cs="Times New Roman" w:asciiTheme="minorEastAsia" w:hAnsiTheme="minorEastAsia"/>
          <w:b/>
          <w:bCs/>
          <w:szCs w:val="21"/>
        </w:rPr>
      </w:pPr>
      <w:r>
        <w:rPr>
          <w:rFonts w:hint="eastAsia" w:cs="Times New Roman" w:asciiTheme="minorEastAsia" w:hAnsiTheme="minorEastAsia"/>
          <w:b/>
          <w:bCs/>
          <w:szCs w:val="21"/>
        </w:rPr>
      </w:r>
      <w:r/>
    </w:p>
    <w:p>
      <w:pPr>
        <w:contextualSpacing/>
        <w:jc w:val="left"/>
        <w:spacing w:line="360" w:lineRule="auto"/>
        <w:widowControl/>
        <w:rPr>
          <w:rFonts w:hint="eastAsia" w:cs="Times New Roman" w:asciiTheme="minorEastAsia" w:hAnsiTheme="minorEastAsia"/>
          <w:b/>
          <w:bCs/>
          <w:szCs w:val="21"/>
        </w:rPr>
      </w:pPr>
      <w:r>
        <w:rPr>
          <w:rFonts w:hint="eastAsia" w:cs="Times New Roman" w:asciiTheme="minorEastAsia" w:hAnsiTheme="minorEastAsia"/>
          <w:b/>
          <w:bCs/>
          <w:szCs w:val="21"/>
        </w:rPr>
      </w:r>
      <w:r/>
    </w:p>
    <w:p>
      <w:pPr>
        <w:contextualSpacing/>
        <w:jc w:val="left"/>
        <w:spacing w:line="360" w:lineRule="auto"/>
        <w:widowControl/>
        <w:rPr>
          <w:rFonts w:hint="eastAsia" w:cs="Times New Roman" w:asciiTheme="minorEastAsia" w:hAnsiTheme="minorEastAsia"/>
          <w:b/>
          <w:bCs/>
          <w:szCs w:val="21"/>
        </w:rPr>
      </w:pPr>
      <w:r>
        <w:rPr>
          <w:rFonts w:hint="eastAsia" w:cs="Times New Roman" w:asciiTheme="minorEastAsia" w:hAnsiTheme="minorEastAsia"/>
          <w:b/>
          <w:bCs/>
          <w:szCs w:val="21"/>
        </w:rPr>
      </w:r>
      <w:r/>
    </w:p>
    <w:p>
      <w:pPr>
        <w:contextualSpacing/>
        <w:jc w:val="left"/>
        <w:spacing w:line="360" w:lineRule="auto"/>
        <w:widowControl/>
        <w:rPr>
          <w:rFonts w:hint="eastAsia" w:cs="Times New Roman" w:asciiTheme="minorEastAsia" w:hAnsiTheme="minorEastAsia"/>
          <w:b/>
          <w:bCs/>
          <w:szCs w:val="21"/>
        </w:rPr>
      </w:pPr>
      <w:r>
        <w:rPr>
          <w:rFonts w:hint="eastAsia" w:cs="Times New Roman" w:asciiTheme="minorEastAsia" w:hAnsiTheme="minorEastAsia"/>
          <w:b/>
          <w:bCs/>
          <w:szCs w:val="21"/>
        </w:rPr>
      </w:r>
      <w:r/>
    </w:p>
    <w:p>
      <w:pPr>
        <w:contextualSpacing/>
        <w:jc w:val="left"/>
        <w:spacing w:line="360" w:lineRule="auto"/>
        <w:widowControl/>
        <w:rPr>
          <w:rFonts w:hint="eastAsia" w:cs="Times New Roman" w:asciiTheme="minorEastAsia" w:hAnsiTheme="minorEastAsia"/>
          <w:b/>
          <w:bCs/>
          <w:szCs w:val="21"/>
        </w:rPr>
      </w:pPr>
      <w:r>
        <w:rPr>
          <w:rFonts w:hint="eastAsia" w:cs="Times New Roman" w:asciiTheme="minorEastAsia" w:hAnsiTheme="minorEastAsia"/>
          <w:b/>
          <w:bCs/>
          <w:szCs w:val="21"/>
        </w:rPr>
      </w:r>
      <w:r/>
    </w:p>
    <w:p>
      <w:pPr>
        <w:contextualSpacing/>
        <w:jc w:val="left"/>
        <w:spacing w:line="360" w:lineRule="auto"/>
        <w:widowControl/>
        <w:rPr>
          <w:rFonts w:hint="eastAsia" w:cs="Times New Roman" w:asciiTheme="minorEastAsia" w:hAnsiTheme="minorEastAsia"/>
          <w:b/>
          <w:bCs/>
          <w:szCs w:val="21"/>
        </w:rPr>
      </w:pPr>
      <w:r>
        <w:rPr>
          <w:rFonts w:hint="eastAsia" w:cs="Times New Roman" w:asciiTheme="minorEastAsia" w:hAnsiTheme="minorEastAsia"/>
          <w:b/>
          <w:bCs/>
          <w:szCs w:val="21"/>
        </w:rPr>
      </w:r>
      <w:r/>
    </w:p>
    <w:p>
      <w:pPr>
        <w:contextualSpacing/>
        <w:jc w:val="left"/>
        <w:spacing w:line="360" w:lineRule="auto"/>
        <w:widowControl/>
        <w:rPr>
          <w:rFonts w:hint="eastAsia" w:cs="Times New Roman" w:asciiTheme="minorEastAsia" w:hAnsiTheme="minorEastAsia"/>
          <w:b/>
          <w:bCs/>
          <w:szCs w:val="21"/>
        </w:rPr>
      </w:pPr>
      <w:r>
        <w:rPr>
          <w:rFonts w:hint="eastAsia" w:cs="Times New Roman" w:asciiTheme="minorEastAsia" w:hAnsiTheme="minorEastAsia"/>
          <w:b/>
          <w:bCs/>
          <w:szCs w:val="21"/>
        </w:rPr>
      </w:r>
      <w:r/>
    </w:p>
    <w:p>
      <w:pPr>
        <w:jc w:val="left"/>
        <w:widowControl/>
        <w:rPr>
          <w:rFonts w:hint="eastAsia" w:cs="Times New Roman" w:asciiTheme="minorEastAsia" w:hAnsiTheme="minorEastAsia"/>
          <w:b/>
          <w:bCs/>
          <w:szCs w:val="21"/>
        </w:rPr>
      </w:pPr>
      <w:r>
        <w:rPr>
          <w:rFonts w:hint="eastAsia" w:cs="Times New Roman" w:asciiTheme="minorEastAsia" w:hAnsiTheme="minorEastAsia"/>
          <w:b/>
          <w:bCs/>
          <w:szCs w:val="21"/>
        </w:rPr>
        <w:br w:type="page" w:clear="all"/>
      </w:r>
      <w:r/>
    </w:p>
    <w:p>
      <w:pPr>
        <w:pStyle w:val="850"/>
        <w:ind w:left="-206" w:firstLine="748"/>
        <w:jc w:val="center"/>
        <w:keepNext/>
        <w:spacing w:beforeAutospacing="0" w:afterAutospacing="0"/>
      </w:pPr>
      <w:r>
        <w:rPr>
          <w:rFonts w:hint="eastAsia" w:ascii="黑体" w:hAnsi="宋体" w:eastAsia="黑体" w:cs="黑体"/>
          <w:sz w:val="44"/>
          <w:szCs w:val="44"/>
        </w:rPr>
        <w:t xml:space="preserve">第五章  </w:t>
      </w:r>
      <w:r>
        <w:rPr>
          <w:rFonts w:hint="eastAsia" w:ascii="黑体" w:hAnsi="宋体" w:eastAsia="黑体" w:cs="黑体"/>
          <w:b/>
          <w:sz w:val="44"/>
          <w:szCs w:val="44"/>
        </w:rPr>
        <w:t xml:space="preserve">评标方法与评标标准</w:t>
      </w:r>
      <w:r/>
    </w:p>
    <w:p>
      <w:pPr>
        <w:pStyle w:val="850"/>
        <w:ind w:left="-206"/>
        <w:jc w:val="both"/>
        <w:spacing w:beforeAutospacing="0" w:afterAutospacing="0"/>
      </w:pPr>
      <w:r>
        <w:t xml:space="preserve"> </w:t>
      </w:r>
      <w:r/>
    </w:p>
    <w:p>
      <w:pPr>
        <w:pStyle w:val="850"/>
        <w:contextualSpacing/>
        <w:ind w:firstLine="480"/>
        <w:spacing w:beforeAutospacing="0" w:afterAutospacing="0" w:line="500" w:lineRule="exact"/>
        <w:rPr>
          <w:rFonts w:ascii="Arial" w:hAnsi="Arial" w:cs="Arial"/>
        </w:rPr>
      </w:pPr>
      <w:r>
        <w:rPr>
          <w:rFonts w:hint="eastAsia" w:ascii="Arial" w:hAnsi="Arial" w:cs="Arial"/>
        </w:rPr>
        <w:t xml:space="preserve">本项目评标办法采用综合评分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850"/>
        <w:contextualSpacing/>
        <w:ind w:left="-206" w:firstLine="482"/>
        <w:spacing w:beforeAutospacing="0" w:afterAutospacing="0" w:line="500" w:lineRule="exact"/>
      </w:pPr>
      <w:r>
        <w:rPr>
          <w:rFonts w:hint="eastAsia" w:ascii="宋体" w:hAnsi="宋体" w:eastAsia="宋体" w:cs="宋体"/>
          <w:b/>
        </w:rPr>
        <w:t xml:space="preserve">政府采购政策功能落实</w:t>
      </w:r>
      <w:r/>
    </w:p>
    <w:p>
      <w:pPr>
        <w:pStyle w:val="850"/>
        <w:contextualSpacing/>
        <w:ind w:left="-206" w:firstLine="480"/>
        <w:spacing w:beforeAutospacing="0" w:afterAutospacing="0" w:line="500" w:lineRule="exact"/>
      </w:pPr>
      <w:r>
        <w:rPr>
          <w:rFonts w:hint="eastAsia" w:ascii="宋体" w:hAnsi="宋体" w:eastAsia="宋体" w:cs="宋体"/>
        </w:rPr>
        <w:t xml:space="preserve">1、小微型企业价格扣除</w:t>
      </w:r>
      <w:r/>
    </w:p>
    <w:p>
      <w:pPr>
        <w:pStyle w:val="857"/>
        <w:contextualSpacing/>
        <w:ind w:left="-206"/>
        <w:spacing w:before="0" w:after="0" w:line="500" w:lineRule="exact"/>
        <w:rPr>
          <w:rFonts w:hint="eastAsia" w:ascii="宋体" w:hAnsi="宋体" w:eastAsia="宋体"/>
        </w:rPr>
      </w:pPr>
      <w:r>
        <w:rPr>
          <w:rFonts w:hint="eastAsia" w:ascii="宋体" w:hAnsi="宋体" w:eastAsia="宋体"/>
        </w:rPr>
        <w:t xml:space="preserve">（1）本项目不专门面向中小企业采购，对符合规定的小型和微型企业报价给予20%的扣除价格，用扣除后的价格参与评审。</w:t>
      </w:r>
      <w:r/>
    </w:p>
    <w:p>
      <w:pPr>
        <w:pStyle w:val="850"/>
        <w:contextualSpacing/>
        <w:ind w:left="-206" w:firstLine="480"/>
        <w:spacing w:beforeAutospacing="0" w:afterAutospacing="0" w:line="500" w:lineRule="exact"/>
      </w:pPr>
      <w:r>
        <w:rPr>
          <w:rFonts w:hint="eastAsia" w:ascii="宋体" w:hAnsi="宋体" w:eastAsia="宋体" w:cs="宋体"/>
        </w:rPr>
        <w:t xml:space="preserve">（2）供应商需按照采购文件的要求提供相应的《小微企业声明函》。</w:t>
      </w:r>
      <w:r/>
    </w:p>
    <w:p>
      <w:pPr>
        <w:pStyle w:val="850"/>
        <w:contextualSpacing/>
        <w:ind w:left="-206" w:firstLine="480"/>
        <w:spacing w:beforeAutospacing="0" w:afterAutospacing="0" w:line="500" w:lineRule="exact"/>
      </w:pPr>
      <w:r>
        <w:rPr>
          <w:rFonts w:hint="eastAsia" w:ascii="宋体" w:hAnsi="宋体" w:eastAsia="宋体" w:cs="宋体"/>
        </w:rPr>
        <w:t xml:space="preserve">（3）企业标准请参照《关于印发中小企业划型标准规定的通知》（工信部联企业[2011]300号）文件规定自行填写。</w:t>
      </w:r>
      <w:r/>
    </w:p>
    <w:p>
      <w:pPr>
        <w:pStyle w:val="850"/>
        <w:contextualSpacing/>
        <w:ind w:left="-206" w:firstLine="480"/>
        <w:spacing w:beforeAutospacing="0" w:afterAutospacing="0" w:line="500" w:lineRule="exact"/>
      </w:pPr>
      <w:r>
        <w:rPr>
          <w:rFonts w:hint="eastAsia" w:ascii="宋体" w:hAnsi="宋体" w:eastAsia="宋体" w:cs="宋体"/>
        </w:rPr>
        <w:t xml:space="preserve">2、残疾人福利单位价格扣除</w:t>
      </w:r>
      <w:r/>
    </w:p>
    <w:p>
      <w:pPr>
        <w:pStyle w:val="850"/>
        <w:contextualSpacing/>
        <w:ind w:left="-206" w:firstLine="480"/>
        <w:spacing w:beforeAutospacing="0" w:afterAutospacing="0" w:line="500" w:lineRule="exact"/>
        <w:rPr>
          <w:rFonts w:hint="eastAsia" w:ascii="宋体" w:hAnsi="宋体" w:eastAsia="宋体" w:cs="宋体"/>
          <w:u w:val="single"/>
        </w:rPr>
      </w:pPr>
      <w:r>
        <w:rPr>
          <w:rFonts w:hint="eastAsia" w:ascii="宋体" w:hAnsi="宋体" w:eastAsia="宋体" w:cs="宋体"/>
        </w:rPr>
        <w:t xml:space="preserve">（1）本项目对残疾人福利性单位视同小型、微型企业，给予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850"/>
        <w:contextualSpacing/>
        <w:ind w:left="-206" w:firstLine="480"/>
        <w:spacing w:beforeAutospacing="0" w:afterAutospacing="0" w:line="500" w:lineRule="exact"/>
      </w:pPr>
      <w:r>
        <w:rPr>
          <w:rFonts w:hint="eastAsia" w:ascii="宋体" w:hAnsi="宋体" w:eastAsia="宋体" w:cs="宋体"/>
        </w:rPr>
        <w:t xml:space="preserve">（2）残疾人福利单位需按照采购文件的要求提供《残疾人福利性单位声明函》。</w:t>
      </w:r>
      <w:r/>
    </w:p>
    <w:p>
      <w:pPr>
        <w:pStyle w:val="850"/>
        <w:contextualSpacing/>
        <w:ind w:left="-206" w:firstLine="480"/>
        <w:spacing w:beforeAutospacing="0" w:afterAutospacing="0" w:line="500" w:lineRule="exact"/>
      </w:pPr>
      <w:r>
        <w:rPr>
          <w:rFonts w:hint="eastAsia" w:ascii="宋体" w:hAnsi="宋体" w:eastAsia="宋体" w:cs="宋体"/>
        </w:rPr>
        <w:t xml:space="preserve">（3）残疾人福利单位标准请参照《关于促进残疾人就业政府采购政策的通知》（财库〔2017〕141号）。</w:t>
      </w:r>
      <w:r/>
    </w:p>
    <w:p>
      <w:pPr>
        <w:pStyle w:val="850"/>
        <w:contextualSpacing/>
        <w:ind w:left="-206" w:firstLine="480"/>
        <w:spacing w:beforeAutospacing="0" w:afterAutospacing="0" w:line="500" w:lineRule="exact"/>
      </w:pPr>
      <w:r>
        <w:rPr>
          <w:rFonts w:hint="eastAsia" w:ascii="宋体" w:hAnsi="宋体" w:eastAsia="宋体" w:cs="宋体"/>
        </w:rPr>
        <w:t xml:space="preserve">3、监狱和戒毒企业价格扣除</w:t>
      </w:r>
      <w:r/>
    </w:p>
    <w:p>
      <w:pPr>
        <w:pStyle w:val="850"/>
        <w:contextualSpacing/>
        <w:ind w:left="-206" w:firstLine="480"/>
        <w:spacing w:beforeAutospacing="0" w:afterAutospacing="0" w:line="500" w:lineRule="exact"/>
        <w:rPr>
          <w:rFonts w:hint="eastAsia" w:ascii="宋体" w:hAnsi="宋体" w:eastAsia="宋体" w:cs="宋体"/>
          <w:u w:val="single"/>
        </w:rPr>
      </w:pPr>
      <w:r>
        <w:rPr>
          <w:rFonts w:hint="eastAsia" w:ascii="宋体" w:hAnsi="宋体" w:eastAsia="宋体" w:cs="宋体"/>
        </w:rPr>
        <w:t xml:space="preserve">（1）本项目对监狱和戒毒企业（简称监狱企业）视同小型、微型企业，给予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850"/>
        <w:contextualSpacing/>
        <w:ind w:left="-206" w:firstLine="480"/>
        <w:spacing w:beforeAutospacing="0" w:afterAutospacing="0" w:line="500" w:lineRule="exact"/>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0"/>
        <w:contextualSpacing/>
        <w:ind w:left="-206" w:firstLine="480"/>
        <w:spacing w:beforeAutospacing="0" w:afterAutospacing="0" w:line="500" w:lineRule="exact"/>
      </w:pPr>
      <w:r>
        <w:rPr>
          <w:rFonts w:hint="eastAsia" w:ascii="宋体" w:hAnsi="宋体" w:eastAsia="宋体" w:cs="宋体"/>
        </w:rPr>
        <w:t xml:space="preserve">（3）监狱企业标准请参照《关于政府采购支持监狱企业发展有关问题的通知》（财库[2014]68号）。</w:t>
      </w:r>
      <w:r/>
    </w:p>
    <w:p>
      <w:pPr>
        <w:pStyle w:val="850"/>
        <w:contextualSpacing/>
        <w:ind w:left="-206" w:firstLine="480"/>
        <w:spacing w:beforeAutospacing="0" w:afterAutospacing="0" w:line="500" w:lineRule="exact"/>
      </w:pPr>
      <w:r>
        <w:rPr>
          <w:rFonts w:hint="eastAsia" w:ascii="宋体" w:hAnsi="宋体" w:eastAsia="宋体" w:cs="宋体"/>
        </w:rPr>
        <w:t xml:space="preserve">4、残疾人福利单位、监狱企业属于小型、微型企业的，不重复享受政策。</w:t>
      </w:r>
      <w:r/>
    </w:p>
    <w:p>
      <w:pPr>
        <w:pStyle w:val="850"/>
        <w:contextualSpacing/>
        <w:ind w:left="-206" w:firstLine="480"/>
        <w:spacing w:line="500" w:lineRule="exact"/>
        <w:rPr>
          <w:rFonts w:hint="eastAsia" w:ascii="宋体" w:hAnsi="宋体" w:eastAsia="宋体" w:cs="宋体"/>
          <w:bCs/>
        </w:rPr>
      </w:pPr>
      <w:r>
        <w:rPr>
          <w:rFonts w:hint="eastAsia" w:ascii="宋体" w:hAnsi="宋体" w:eastAsia="宋体" w:cs="宋体"/>
          <w:bCs/>
        </w:rPr>
        <w:t xml:space="preserve">5、采购本国产品的支持政策</w:t>
      </w:r>
      <w:r/>
    </w:p>
    <w:p>
      <w:pPr>
        <w:pStyle w:val="850"/>
        <w:contextualSpacing/>
        <w:ind w:left="-206" w:firstLine="480"/>
        <w:spacing w:line="500" w:lineRule="exact"/>
        <w:rPr>
          <w:rFonts w:hint="eastAsia" w:ascii="宋体" w:hAnsi="宋体" w:eastAsia="宋体" w:cs="宋体"/>
          <w:bCs/>
        </w:rPr>
      </w:pPr>
      <w:r>
        <w:rPr>
          <w:rFonts w:hint="eastAsia" w:ascii="宋体" w:hAnsi="宋体" w:eastAsia="宋体" w:cs="宋体"/>
          <w:bCs/>
        </w:rPr>
        <w:t xml:space="preserve">5.1 本项目政府采购活动中既有本国产品又有非本国产品参与竞争的，依法对本国产品给予价格评审优惠，对本国产品的报价给予20%的价格扣除，用扣除后的价格参与评审。</w:t>
      </w:r>
      <w:r/>
    </w:p>
    <w:p>
      <w:pPr>
        <w:pStyle w:val="850"/>
        <w:contextualSpacing/>
        <w:ind w:left="-206" w:firstLine="480"/>
        <w:spacing w:line="500" w:lineRule="exact"/>
        <w:rPr>
          <w:rFonts w:hint="eastAsia" w:ascii="宋体" w:hAnsi="宋体" w:eastAsia="宋体" w:cs="宋体"/>
          <w:bCs/>
        </w:rPr>
      </w:pPr>
      <w:r>
        <w:rPr>
          <w:rFonts w:hint="eastAsia" w:ascii="宋体" w:hAnsi="宋体" w:eastAsia="宋体" w:cs="宋体"/>
          <w:bCs/>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50"/>
        <w:contextualSpacing/>
        <w:ind w:left="-206" w:firstLine="480"/>
        <w:spacing w:line="500" w:lineRule="exact"/>
        <w:rPr>
          <w:rFonts w:hint="eastAsia" w:ascii="宋体" w:hAnsi="宋体" w:eastAsia="宋体" w:cs="宋体"/>
          <w:bCs/>
        </w:rPr>
      </w:pPr>
      <w:r>
        <w:rPr>
          <w:rFonts w:hint="eastAsia" w:ascii="宋体" w:hAnsi="宋体" w:eastAsia="宋体" w:cs="宋体"/>
          <w:bCs/>
        </w:rPr>
        <w:t xml:space="preserve">5.3 供应商需按照招标文件的要求提供《关于符合本国产品标准的声明函》（以下简称《声明函》），如不提供将不享受本国产品价格评审优惠。</w:t>
      </w:r>
      <w:r/>
    </w:p>
    <w:p>
      <w:pPr>
        <w:pStyle w:val="850"/>
        <w:contextualSpacing/>
        <w:ind w:left="-206" w:firstLine="480"/>
        <w:spacing w:line="500" w:lineRule="exact"/>
        <w:rPr>
          <w:rFonts w:hint="eastAsia" w:ascii="宋体" w:hAnsi="宋体" w:eastAsia="宋体" w:cs="宋体"/>
          <w:bCs/>
        </w:rPr>
      </w:pPr>
      <w:r>
        <w:rPr>
          <w:rFonts w:hint="eastAsia" w:ascii="宋体" w:hAnsi="宋体" w:eastAsia="宋体" w:cs="宋体"/>
          <w:bCs/>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850"/>
        <w:contextualSpacing/>
        <w:ind w:left="-206" w:firstLine="480"/>
        <w:spacing w:line="500" w:lineRule="exact"/>
        <w:rPr>
          <w:rFonts w:hint="eastAsia" w:ascii="宋体" w:hAnsi="宋体" w:eastAsia="宋体" w:cs="宋体"/>
          <w:bCs/>
        </w:rPr>
      </w:pPr>
      <w:r>
        <w:rPr>
          <w:rFonts w:hint="eastAsia" w:ascii="宋体" w:hAnsi="宋体" w:eastAsia="宋体" w:cs="宋体"/>
          <w:bCs/>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50"/>
        <w:contextualSpacing/>
        <w:ind w:left="-206" w:firstLine="480"/>
        <w:spacing w:beforeAutospacing="0" w:afterAutospacing="0" w:line="500" w:lineRule="exact"/>
        <w:rPr>
          <w:rFonts w:hint="eastAsia" w:ascii="宋体" w:hAnsi="宋体" w:eastAsia="宋体" w:cs="宋体"/>
          <w:bCs/>
        </w:rPr>
      </w:pPr>
      <w:r>
        <w:rPr>
          <w:rFonts w:hint="eastAsia" w:ascii="宋体" w:hAnsi="宋体" w:eastAsia="宋体" w:cs="宋体"/>
          <w:bCs/>
        </w:rPr>
        <w:t xml:space="preserve">6、严格执行政府采购关于支持</w:t>
      </w:r>
      <w:r>
        <w:rPr>
          <w:rFonts w:hint="eastAsia" w:ascii="宋体" w:hAnsi="宋体" w:eastAsia="宋体" w:cs="宋体"/>
          <w:bCs/>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50"/>
        <w:contextualSpacing/>
        <w:ind w:left="-206" w:firstLine="482"/>
        <w:spacing w:beforeAutospacing="0" w:afterAutospacing="0" w:line="500" w:lineRule="exact"/>
      </w:pPr>
      <w:r>
        <w:rPr>
          <w:rFonts w:hint="eastAsia" w:ascii="宋体" w:hAnsi="宋体" w:eastAsia="宋体" w:cs="宋体"/>
          <w:b/>
        </w:rPr>
        <w:t xml:space="preserve">评标方法与评标标准</w:t>
      </w:r>
      <w:r/>
    </w:p>
    <w:tbl>
      <w:tblPr>
        <w:tblStyle w:val="844"/>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709"/>
        <w:gridCol w:w="7371"/>
      </w:tblGrid>
      <w:tr>
        <w:trPr>
          <w:jc w:val="center"/>
          <w:trHeight w:val="518"/>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280" w:lineRule="exact"/>
              <w:rPr>
                <w:rFonts w:hint="eastAsia" w:cs="宋体" w:asciiTheme="minorEastAsia" w:hAnsiTheme="minorEastAsia"/>
                <w:b/>
                <w:sz w:val="24"/>
              </w:rPr>
            </w:pPr>
            <w:r/>
            <w:bookmarkStart w:id="172" w:name="_Hlk149660661"/>
            <w:r>
              <w:rPr>
                <w:rFonts w:hint="eastAsia" w:cs="宋体" w:asciiTheme="minorEastAsia" w:hAnsiTheme="minorEastAsia"/>
                <w:b/>
                <w:sz w:val="24"/>
                <w:lang w:bidi="ar"/>
              </w:rPr>
              <w:t xml:space="preserve">评分项目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80" w:lineRule="exact"/>
              <w:rPr>
                <w:rFonts w:hint="eastAsia" w:cs="宋体" w:asciiTheme="minorEastAsia" w:hAnsiTheme="minorEastAsia"/>
                <w:b/>
                <w:sz w:val="24"/>
              </w:rPr>
            </w:pPr>
            <w:r>
              <w:rPr>
                <w:rFonts w:hint="eastAsia" w:cs="宋体" w:asciiTheme="minorEastAsia" w:hAnsiTheme="minorEastAsia"/>
                <w:b/>
                <w:sz w:val="24"/>
                <w:lang w:bidi="ar"/>
              </w:rPr>
              <w:t xml:space="preserve">分值</w:t>
            </w:r>
            <w:r/>
          </w:p>
        </w:tc>
        <w:tc>
          <w:tcPr>
            <w:tcBorders>
              <w:top w:val="single" w:color="auto" w:sz="4" w:space="0"/>
              <w:left w:val="single" w:color="auto" w:sz="4" w:space="0"/>
              <w:bottom w:val="single" w:color="auto" w:sz="4" w:space="0"/>
              <w:right w:val="single" w:color="auto" w:sz="4" w:space="0"/>
            </w:tcBorders>
            <w:tcW w:w="7371" w:type="dxa"/>
            <w:vAlign w:val="center"/>
            <w:textDirection w:val="lrTb"/>
            <w:noWrap w:val="false"/>
          </w:tcPr>
          <w:p>
            <w:pPr>
              <w:jc w:val="center"/>
              <w:spacing w:line="280" w:lineRule="exact"/>
              <w:rPr>
                <w:rFonts w:hint="eastAsia" w:cs="宋体" w:asciiTheme="minorEastAsia" w:hAnsiTheme="minorEastAsia"/>
                <w:b/>
                <w:sz w:val="24"/>
              </w:rPr>
            </w:pPr>
            <w:r>
              <w:rPr>
                <w:rFonts w:hint="eastAsia" w:cs="宋体" w:asciiTheme="minorEastAsia" w:hAnsiTheme="minorEastAsia"/>
                <w:b/>
                <w:sz w:val="24"/>
                <w:lang w:bidi="ar"/>
              </w:rPr>
              <w:t xml:space="preserve">评分细则</w:t>
            </w:r>
            <w:r/>
          </w:p>
        </w:tc>
      </w:tr>
      <w:tr>
        <w:trPr>
          <w:jc w:val="center"/>
          <w:trHeight w:val="993"/>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60" w:lineRule="auto"/>
              <w:rPr>
                <w:rFonts w:hint="eastAsia" w:cs="宋体" w:asciiTheme="minorEastAsia" w:hAnsiTheme="minorEastAsia"/>
                <w:sz w:val="24"/>
              </w:rPr>
            </w:pPr>
            <w:r>
              <w:rPr>
                <w:rFonts w:hint="eastAsia" w:cs="宋体" w:asciiTheme="minorEastAsia" w:hAnsiTheme="minorEastAsia"/>
                <w:sz w:val="24"/>
              </w:rPr>
              <w:t xml:space="preserve">投标报价</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cs="宋体" w:asciiTheme="minorEastAsia" w:hAnsiTheme="minorEastAsia"/>
                <w:sz w:val="24"/>
                <w:lang w:bidi="ar"/>
              </w:rPr>
            </w:pPr>
            <w:r>
              <w:rPr>
                <w:rFonts w:cs="宋体" w:asciiTheme="minorEastAsia" w:hAnsiTheme="minorEastAsia"/>
                <w:sz w:val="24"/>
                <w:lang w:bidi="ar"/>
              </w:rPr>
              <w:t xml:space="preserve">30</w:t>
            </w:r>
            <w:r/>
          </w:p>
        </w:tc>
        <w:tc>
          <w:tcPr>
            <w:tcBorders>
              <w:top w:val="single" w:color="auto" w:sz="4" w:space="0"/>
              <w:left w:val="single" w:color="auto" w:sz="4" w:space="0"/>
              <w:bottom w:val="single" w:color="auto" w:sz="4" w:space="0"/>
              <w:right w:val="single" w:color="auto" w:sz="4" w:space="0"/>
            </w:tcBorders>
            <w:tcW w:w="7371" w:type="dxa"/>
            <w:vAlign w:val="center"/>
            <w:textDirection w:val="lrTb"/>
            <w:noWrap w:val="false"/>
          </w:tcPr>
          <w:p>
            <w:pPr>
              <w:jc w:val="left"/>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价格分采用低价优先法计算，即满足招标文件要求且投标价格最低的投标报价为评标基准价，报价得分按照下列公式计算：投标报价得分</w:t>
            </w:r>
            <w:r>
              <w:rPr>
                <w:rFonts w:cs="宋体" w:asciiTheme="minorEastAsia" w:hAnsiTheme="minorEastAsia"/>
                <w:sz w:val="24"/>
                <w:lang w:bidi="ar"/>
              </w:rPr>
              <w:t xml:space="preserve">=（评标基准价/投标报价）×30，结果保留两位小数。（有效投标报价为未被评标委员会判定为无效标的投标文件）。</w:t>
            </w:r>
            <w:r/>
          </w:p>
        </w:tc>
      </w:tr>
      <w:tr>
        <w:trPr>
          <w:jc w:val="center"/>
          <w:trHeight w:val="487"/>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60" w:lineRule="auto"/>
              <w:rPr>
                <w:rFonts w:hint="eastAsia" w:cs="宋体" w:asciiTheme="minorEastAsia" w:hAnsiTheme="minorEastAsia"/>
                <w:sz w:val="24"/>
              </w:rPr>
            </w:pPr>
            <w:r>
              <w:rPr>
                <w:rFonts w:hint="eastAsia" w:cs="宋体" w:asciiTheme="minorEastAsia" w:hAnsiTheme="minorEastAsia"/>
                <w:sz w:val="24"/>
                <w:lang w:bidi="ar"/>
              </w:rPr>
              <w:t xml:space="preserve">技术参数响应</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cs="宋体" w:asciiTheme="minorEastAsia" w:hAnsiTheme="minorEastAsia"/>
                <w:sz w:val="24"/>
              </w:rPr>
            </w:pPr>
            <w:r>
              <w:rPr>
                <w:rFonts w:cs="宋体" w:asciiTheme="minorEastAsia" w:hAnsiTheme="minorEastAsia"/>
                <w:sz w:val="24"/>
              </w:rPr>
              <w:t xml:space="preserve">33</w:t>
            </w:r>
            <w:r/>
          </w:p>
        </w:tc>
        <w:tc>
          <w:tcPr>
            <w:tcBorders>
              <w:top w:val="single" w:color="auto" w:sz="4" w:space="0"/>
              <w:left w:val="single" w:color="auto" w:sz="4" w:space="0"/>
              <w:bottom w:val="single" w:color="auto" w:sz="4" w:space="0"/>
              <w:right w:val="single" w:color="auto" w:sz="4" w:space="0"/>
            </w:tcBorders>
            <w:tcW w:w="7371" w:type="dxa"/>
            <w:vAlign w:val="center"/>
            <w:textDirection w:val="lrTb"/>
            <w:noWrap w:val="false"/>
          </w:tcPr>
          <w:p>
            <w:pP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招标文件详细技术参数部分中除“功能要求”以外的参数为实质性响应参数，不参与评分，针对详细技术参数1</w:t>
            </w:r>
            <w:r>
              <w:rPr>
                <w:rFonts w:cs="宋体" w:asciiTheme="minorEastAsia" w:hAnsiTheme="minorEastAsia"/>
                <w:sz w:val="24"/>
                <w:lang w:bidi="ar"/>
              </w:rPr>
              <w:t xml:space="preserve">-6</w:t>
            </w:r>
            <w:r>
              <w:rPr>
                <w:rFonts w:hint="eastAsia" w:cs="宋体" w:asciiTheme="minorEastAsia" w:hAnsiTheme="minorEastAsia"/>
                <w:sz w:val="24"/>
                <w:lang w:bidi="ar"/>
              </w:rPr>
              <w:t xml:space="preserve">项中的“功能要求”参数，投标时按照功能要求描述提供真实产品截图或</w:t>
            </w:r>
            <w:r>
              <w:rPr>
                <w:rFonts w:cs="宋体" w:asciiTheme="minorEastAsia" w:hAnsiTheme="minorEastAsia"/>
                <w:sz w:val="24"/>
                <w:lang w:bidi="ar"/>
              </w:rPr>
              <w:t xml:space="preserve">Demo</w:t>
            </w:r>
            <w:r>
              <w:rPr>
                <w:rFonts w:hint="eastAsia" w:cs="宋体" w:asciiTheme="minorEastAsia" w:hAnsiTheme="minorEastAsia"/>
                <w:sz w:val="24"/>
                <w:lang w:bidi="ar"/>
              </w:rPr>
              <w:t xml:space="preserve">截图并加盖投标人公章，且截图能够体现完整功能，提供1份得</w:t>
            </w:r>
            <w:r>
              <w:rPr>
                <w:rFonts w:cs="宋体" w:asciiTheme="minorEastAsia" w:hAnsiTheme="minorEastAsia"/>
                <w:sz w:val="24"/>
                <w:lang w:bidi="ar"/>
              </w:rPr>
              <w:t xml:space="preserve">1</w:t>
            </w:r>
            <w:r>
              <w:rPr>
                <w:rFonts w:hint="eastAsia" w:cs="宋体" w:asciiTheme="minorEastAsia" w:hAnsiTheme="minorEastAsia"/>
                <w:sz w:val="24"/>
                <w:lang w:bidi="ar"/>
              </w:rPr>
              <w:t xml:space="preserve">分，最高</w:t>
            </w:r>
            <w:r>
              <w:rPr>
                <w:rFonts w:cs="宋体" w:asciiTheme="minorEastAsia" w:hAnsiTheme="minorEastAsia"/>
                <w:sz w:val="24"/>
                <w:lang w:bidi="ar"/>
              </w:rPr>
              <w:t xml:space="preserve">33</w:t>
            </w:r>
            <w:r>
              <w:rPr>
                <w:rFonts w:hint="eastAsia" w:cs="宋体" w:asciiTheme="minorEastAsia" w:hAnsiTheme="minorEastAsia"/>
                <w:sz w:val="24"/>
                <w:lang w:bidi="ar"/>
              </w:rPr>
              <w:t xml:space="preserve">分；</w:t>
            </w:r>
            <w:r/>
          </w:p>
          <w:p>
            <w:pP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说明：提供的功能截图如为真实产品截图，那么产品必须与投标产品品牌型号一致，如为</w:t>
            </w:r>
            <w:r>
              <w:rPr>
                <w:rFonts w:cs="宋体" w:asciiTheme="minorEastAsia" w:hAnsiTheme="minorEastAsia"/>
                <w:sz w:val="24"/>
                <w:lang w:bidi="ar"/>
              </w:rPr>
              <w:t xml:space="preserve">Demo</w:t>
            </w:r>
            <w:r>
              <w:rPr>
                <w:rFonts w:hint="eastAsia" w:cs="宋体" w:asciiTheme="minorEastAsia" w:hAnsiTheme="minorEastAsia"/>
                <w:sz w:val="24"/>
                <w:lang w:bidi="ar"/>
              </w:rPr>
              <w:t xml:space="preserve">截图，截图所示必须与最终交付的产品界面、功能保持一致，公示期间如存在质疑，中标人应无条件提供相关证明材料。</w:t>
            </w:r>
            <w:r/>
          </w:p>
        </w:tc>
      </w:tr>
      <w:tr>
        <w:trPr>
          <w:jc w:val="center"/>
          <w:trHeight w:val="487"/>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技术团队实力</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cs="宋体" w:asciiTheme="minorEastAsia" w:hAnsiTheme="minorEastAsia"/>
                <w:sz w:val="24"/>
              </w:rPr>
            </w:pPr>
            <w:r>
              <w:rPr>
                <w:rFonts w:cs="宋体" w:asciiTheme="minorEastAsia" w:hAnsiTheme="minorEastAsia"/>
                <w:sz w:val="24"/>
              </w:rPr>
              <w:t xml:space="preserve">3</w:t>
            </w:r>
            <w:r/>
          </w:p>
        </w:tc>
        <w:tc>
          <w:tcPr>
            <w:tcBorders>
              <w:top w:val="single" w:color="auto" w:sz="4" w:space="0"/>
              <w:left w:val="single" w:color="auto" w:sz="4" w:space="0"/>
              <w:bottom w:val="single" w:color="auto" w:sz="4" w:space="0"/>
              <w:right w:val="single" w:color="auto" w:sz="4" w:space="0"/>
            </w:tcBorders>
            <w:tcW w:w="7371" w:type="dxa"/>
            <w:vAlign w:val="center"/>
            <w:textDirection w:val="lrTb"/>
            <w:noWrap w:val="false"/>
          </w:tcPr>
          <w:p>
            <w:pP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针对本项目，投标人应组建专业的技术团队，提供专业的集成及售后服务，</w:t>
            </w:r>
            <w:r>
              <w:rPr>
                <w:rFonts w:hint="eastAsia" w:cs="宋体" w:asciiTheme="minorEastAsia" w:hAnsiTheme="minorEastAsia"/>
                <w:sz w:val="24"/>
                <w:lang w:bidi="ar"/>
              </w:rPr>
              <w:t xml:space="preserve">技术团队成员应具备如下能力</w:t>
            </w:r>
            <w:r>
              <w:rPr>
                <w:rFonts w:hint="eastAsia" w:cs="宋体" w:asciiTheme="minorEastAsia" w:hAnsiTheme="minorEastAsia"/>
                <w:sz w:val="24"/>
                <w:lang w:bidi="ar"/>
              </w:rPr>
              <w:t xml:space="preserve">：</w:t>
            </w:r>
            <w:r/>
          </w:p>
          <w:p>
            <w:pP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1、团队成员具备信息安全管理工程师认证证书，得1分；</w:t>
            </w:r>
            <w:r/>
          </w:p>
          <w:p>
            <w:pPr>
              <w:spacing w:line="360" w:lineRule="auto"/>
              <w:rPr>
                <w:rFonts w:hint="eastAsia" w:cs="宋体" w:asciiTheme="minorEastAsia" w:hAnsiTheme="minorEastAsia"/>
                <w:sz w:val="24"/>
                <w:lang w:bidi="ar"/>
              </w:rPr>
            </w:pPr>
            <w:r>
              <w:rPr>
                <w:rFonts w:cs="宋体" w:asciiTheme="minorEastAsia" w:hAnsiTheme="minorEastAsia"/>
                <w:sz w:val="24"/>
                <w:lang w:bidi="ar"/>
              </w:rPr>
              <w:t xml:space="preserve">注：</w:t>
            </w:r>
            <w:r>
              <w:rPr>
                <w:rFonts w:hint="eastAsia" w:cs="宋体" w:asciiTheme="minorEastAsia" w:hAnsiTheme="minorEastAsia"/>
                <w:sz w:val="24"/>
                <w:lang w:bidi="ar"/>
              </w:rPr>
              <w:t xml:space="preserve">项目团队成员须为投标人本单位正式职工，投标时提供</w:t>
            </w:r>
            <w:r>
              <w:rPr>
                <w:rFonts w:cs="宋体" w:asciiTheme="minorEastAsia" w:hAnsiTheme="minorEastAsia"/>
                <w:sz w:val="24"/>
                <w:lang w:bidi="ar"/>
              </w:rPr>
              <w:t xml:space="preserve">项目团队成员证书扫描件和与投标人签订的劳动合同扫描件</w:t>
            </w:r>
            <w:r>
              <w:rPr>
                <w:rFonts w:hint="eastAsia" w:cs="宋体" w:asciiTheme="minorEastAsia" w:hAnsiTheme="minorEastAsia"/>
                <w:sz w:val="24"/>
                <w:lang w:bidi="ar"/>
              </w:rPr>
              <w:t xml:space="preserve">。</w:t>
            </w:r>
            <w:r/>
          </w:p>
          <w:p>
            <w:pP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2、团队成员具备高级网络信息安全工程师认证证书，得1分；</w:t>
            </w:r>
            <w:r/>
          </w:p>
          <w:p>
            <w:pPr>
              <w:spacing w:line="360" w:lineRule="auto"/>
              <w:rPr>
                <w:rFonts w:hint="eastAsia" w:cs="宋体" w:asciiTheme="minorEastAsia" w:hAnsiTheme="minorEastAsia"/>
                <w:sz w:val="24"/>
                <w:lang w:bidi="ar"/>
              </w:rPr>
            </w:pPr>
            <w:r>
              <w:rPr>
                <w:rFonts w:cs="宋体" w:asciiTheme="minorEastAsia" w:hAnsiTheme="minorEastAsia"/>
                <w:sz w:val="24"/>
                <w:lang w:bidi="ar"/>
              </w:rPr>
              <w:t xml:space="preserve">注：</w:t>
            </w:r>
            <w:r>
              <w:rPr>
                <w:rFonts w:hint="eastAsia" w:cs="宋体" w:asciiTheme="minorEastAsia" w:hAnsiTheme="minorEastAsia"/>
                <w:sz w:val="24"/>
                <w:lang w:bidi="ar"/>
              </w:rPr>
              <w:t xml:space="preserve">项目团队成员须为投标人本单位正式职工，投标时提供</w:t>
            </w:r>
            <w:r>
              <w:rPr>
                <w:rFonts w:cs="宋体" w:asciiTheme="minorEastAsia" w:hAnsiTheme="minorEastAsia"/>
                <w:sz w:val="24"/>
                <w:lang w:bidi="ar"/>
              </w:rPr>
              <w:t xml:space="preserve">项目团队成员证书扫描件和与投标人签订的劳动合同扫描件</w:t>
            </w:r>
            <w:r>
              <w:rPr>
                <w:rFonts w:hint="eastAsia" w:cs="宋体" w:asciiTheme="minorEastAsia" w:hAnsiTheme="minorEastAsia"/>
                <w:sz w:val="24"/>
                <w:lang w:bidi="ar"/>
              </w:rPr>
              <w:t xml:space="preserve">。</w:t>
            </w:r>
            <w:r/>
          </w:p>
          <w:p>
            <w:pP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3、团队成员具备信息安全工程师认证证书，得1分；</w:t>
            </w:r>
            <w:r/>
          </w:p>
          <w:p>
            <w:pPr>
              <w:spacing w:line="360" w:lineRule="auto"/>
              <w:rPr>
                <w:rFonts w:hint="eastAsia" w:cs="宋体" w:asciiTheme="minorEastAsia" w:hAnsiTheme="minorEastAsia"/>
                <w:sz w:val="24"/>
                <w:lang w:bidi="ar"/>
              </w:rPr>
            </w:pPr>
            <w:r>
              <w:rPr>
                <w:rFonts w:cs="宋体" w:asciiTheme="minorEastAsia" w:hAnsiTheme="minorEastAsia"/>
                <w:sz w:val="24"/>
                <w:lang w:bidi="ar"/>
              </w:rPr>
              <w:t xml:space="preserve">注：</w:t>
            </w:r>
            <w:r>
              <w:rPr>
                <w:rFonts w:hint="eastAsia" w:cs="宋体" w:asciiTheme="minorEastAsia" w:hAnsiTheme="minorEastAsia"/>
                <w:sz w:val="24"/>
                <w:lang w:bidi="ar"/>
              </w:rPr>
              <w:t xml:space="preserve">项目团队成员须为投标人本单位正式职工，投标时提供</w:t>
            </w:r>
            <w:r>
              <w:rPr>
                <w:rFonts w:cs="宋体" w:asciiTheme="minorEastAsia" w:hAnsiTheme="minorEastAsia"/>
                <w:sz w:val="24"/>
                <w:lang w:bidi="ar"/>
              </w:rPr>
              <w:t xml:space="preserve">项目团队成员证书扫描件和与投标人签订的劳动合同扫描件</w:t>
            </w:r>
            <w:r>
              <w:rPr>
                <w:rFonts w:hint="eastAsia" w:cs="宋体" w:asciiTheme="minorEastAsia" w:hAnsiTheme="minorEastAsia"/>
                <w:sz w:val="24"/>
                <w:lang w:bidi="ar"/>
              </w:rPr>
              <w:t xml:space="preserve">。</w:t>
            </w:r>
            <w:r/>
          </w:p>
        </w:tc>
      </w:tr>
      <w:tr>
        <w:trPr>
          <w:jc w:val="center"/>
          <w:trHeight w:val="487"/>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系统集成方案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cs="宋体" w:asciiTheme="minorEastAsia" w:hAnsiTheme="minorEastAsia"/>
                <w:sz w:val="24"/>
              </w:rPr>
            </w:pPr>
            <w:r>
              <w:rPr>
                <w:rFonts w:cs="宋体" w:asciiTheme="minorEastAsia" w:hAnsiTheme="minorEastAsia"/>
                <w:sz w:val="24"/>
              </w:rPr>
              <w:t xml:space="preserve">19</w:t>
            </w:r>
            <w:r/>
          </w:p>
        </w:tc>
        <w:tc>
          <w:tcPr>
            <w:tcBorders>
              <w:top w:val="single" w:color="auto" w:sz="4" w:space="0"/>
              <w:left w:val="single" w:color="auto" w:sz="4" w:space="0"/>
              <w:bottom w:val="single" w:color="auto" w:sz="4" w:space="0"/>
              <w:right w:val="single" w:color="auto" w:sz="4" w:space="0"/>
            </w:tcBorders>
            <w:tcW w:w="7371" w:type="dxa"/>
            <w:vAlign w:val="center"/>
            <w:textDirection w:val="lrTb"/>
            <w:noWrap w:val="false"/>
          </w:tcPr>
          <w:p>
            <w:pP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投标人投标时提供完整的系统部署方案，根据大丰区电子政务外网现状，结合本次项目采购内容，编制详细的系统部署方案，具体要求如下：</w:t>
            </w:r>
            <w:r/>
          </w:p>
          <w:p>
            <w:pP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1、为制定科学合理的系统集成方案，首先要对大丰区电子政务外网的现状要进行充分了解，投标人可自行组织现场勘察，深入了解电子政务外网的现状，针对现有网络架构、网段划分、业务分布、接入终端进行充分调研和深入分析，并形成现状分析说明，调研详实，精准匹配现有政务外网层级架构，现有网络与安全设备兼容要点、组网衔接难点分析非常明确得</w:t>
            </w:r>
            <w:r>
              <w:rPr>
                <w:rFonts w:cs="宋体" w:asciiTheme="minorEastAsia" w:hAnsiTheme="minorEastAsia"/>
                <w:sz w:val="24"/>
                <w:lang w:bidi="ar"/>
              </w:rPr>
              <w:t xml:space="preserve">5</w:t>
            </w:r>
            <w:r>
              <w:rPr>
                <w:rFonts w:hint="eastAsia" w:cs="宋体" w:asciiTheme="minorEastAsia" w:hAnsiTheme="minorEastAsia"/>
                <w:sz w:val="24"/>
                <w:lang w:bidi="ar"/>
              </w:rPr>
              <w:t xml:space="preserve">分；调研较全面，基本匹配现有网络架构，</w:t>
            </w:r>
            <w:bookmarkStart w:id="173" w:name="OLE_LINK16"/>
            <w:r>
              <w:rPr>
                <w:rFonts w:hint="eastAsia" w:cs="宋体" w:asciiTheme="minorEastAsia" w:hAnsiTheme="minorEastAsia"/>
                <w:sz w:val="24"/>
                <w:lang w:bidi="ar"/>
              </w:rPr>
              <w:t xml:space="preserve">现有网络与安全设备兼容要点、组网衔接难点分析比较明确</w:t>
            </w:r>
            <w:bookmarkEnd w:id="173"/>
            <w:r>
              <w:rPr>
                <w:rFonts w:hint="eastAsia" w:cs="宋体" w:asciiTheme="minorEastAsia" w:hAnsiTheme="minorEastAsia"/>
                <w:sz w:val="24"/>
                <w:lang w:bidi="ar"/>
              </w:rPr>
              <w:t xml:space="preserve">得</w:t>
            </w:r>
            <w:r>
              <w:rPr>
                <w:rFonts w:cs="宋体" w:asciiTheme="minorEastAsia" w:hAnsiTheme="minorEastAsia"/>
                <w:sz w:val="24"/>
                <w:lang w:bidi="ar"/>
              </w:rPr>
              <w:t xml:space="preserve">3</w:t>
            </w:r>
            <w:r>
              <w:rPr>
                <w:rFonts w:hint="eastAsia" w:cs="宋体" w:asciiTheme="minorEastAsia" w:hAnsiTheme="minorEastAsia"/>
                <w:sz w:val="24"/>
                <w:lang w:bidi="ar"/>
              </w:rPr>
              <w:t xml:space="preserve">分；调研简略，未结合现有网络实际，现有网络与安全设备兼容要点、组网衔接难点分析不明确得</w:t>
            </w:r>
            <w:r>
              <w:rPr>
                <w:rFonts w:cs="宋体" w:asciiTheme="minorEastAsia" w:hAnsiTheme="minorEastAsia"/>
                <w:sz w:val="24"/>
                <w:lang w:bidi="ar"/>
              </w:rPr>
              <w:t xml:space="preserve">1</w:t>
            </w:r>
            <w:r>
              <w:rPr>
                <w:rFonts w:hint="eastAsia" w:cs="宋体" w:asciiTheme="minorEastAsia" w:hAnsiTheme="minorEastAsia"/>
                <w:sz w:val="24"/>
                <w:lang w:bidi="ar"/>
              </w:rPr>
              <w:t xml:space="preserve">分，未提供得0分；</w:t>
            </w:r>
            <w:r/>
          </w:p>
          <w:p>
            <w:pPr>
              <w:spacing w:line="360" w:lineRule="auto"/>
              <w:rPr>
                <w:rFonts w:hint="eastAsia" w:cs="宋体" w:asciiTheme="minorEastAsia" w:hAnsiTheme="minorEastAsia"/>
                <w:sz w:val="24"/>
                <w:lang w:bidi="ar"/>
              </w:rPr>
            </w:pPr>
            <w:r>
              <w:rPr>
                <w:rFonts w:cs="宋体" w:asciiTheme="minorEastAsia" w:hAnsiTheme="minorEastAsia"/>
                <w:sz w:val="24"/>
                <w:lang w:bidi="ar"/>
              </w:rPr>
              <w:t xml:space="preserve">2</w:t>
            </w:r>
            <w:r>
              <w:rPr>
                <w:rFonts w:hint="eastAsia" w:cs="宋体" w:asciiTheme="minorEastAsia" w:hAnsiTheme="minorEastAsia"/>
                <w:sz w:val="24"/>
                <w:lang w:bidi="ar"/>
              </w:rPr>
              <w:t xml:space="preserve">、投标人投标时提供完整的系统集成方案，结合大丰区电子政务外网现状、本次项目采购内容、现有网络运行环境，对照二级等保大项检测标准（安全物理环境、安全网络通信、安全区域边界、安全计算环境、安全管理中心、安全管理制度、安全管理机构、安全管理人员、安全建设管理、安全运维管理），提供详细的方案说明，为本次项目二级等保建设提供建设方案依据。</w:t>
            </w:r>
            <w:r/>
          </w:p>
          <w:p>
            <w:pP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方案内容完整、表述详细、逻辑非常清晰且围绕大丰区电子政务外网现状进行方案表述得9分；</w:t>
            </w:r>
            <w:r/>
          </w:p>
          <w:p>
            <w:pP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方案内容基本完整、逻辑基本清晰，但围绕大丰区电子政务外网现状进行方案表述得</w:t>
            </w:r>
            <w:r>
              <w:rPr>
                <w:rFonts w:cs="宋体" w:asciiTheme="minorEastAsia" w:hAnsiTheme="minorEastAsia"/>
                <w:sz w:val="24"/>
                <w:lang w:bidi="ar"/>
              </w:rPr>
              <w:t xml:space="preserve">7</w:t>
            </w:r>
            <w:r>
              <w:rPr>
                <w:rFonts w:hint="eastAsia" w:cs="宋体" w:asciiTheme="minorEastAsia" w:hAnsiTheme="minorEastAsia"/>
                <w:sz w:val="24"/>
                <w:lang w:bidi="ar"/>
              </w:rPr>
              <w:t xml:space="preserve">分；</w:t>
            </w:r>
            <w:r/>
          </w:p>
          <w:p>
            <w:pP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方案内容完整、表述详细、逻辑非常清晰，但方案套用标准模板，脱离现状的 得5分；</w:t>
            </w:r>
            <w:r/>
          </w:p>
          <w:p>
            <w:pP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方案内容基本完整、逻辑基本清晰，方案套用标准模板，脱离现状的 得</w:t>
            </w:r>
            <w:r>
              <w:rPr>
                <w:rFonts w:cs="宋体" w:asciiTheme="minorEastAsia" w:hAnsiTheme="minorEastAsia"/>
                <w:sz w:val="24"/>
                <w:lang w:bidi="ar"/>
              </w:rPr>
              <w:t xml:space="preserve">3</w:t>
            </w:r>
            <w:r>
              <w:rPr>
                <w:rFonts w:hint="eastAsia" w:cs="宋体" w:asciiTheme="minorEastAsia" w:hAnsiTheme="minorEastAsia"/>
                <w:sz w:val="24"/>
                <w:lang w:bidi="ar"/>
              </w:rPr>
              <w:t xml:space="preserve">分；</w:t>
            </w:r>
            <w:r/>
          </w:p>
          <w:p>
            <w:pP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方案不完整，逻辑不清晰，方案套用标准模板，脱离现状的 得</w:t>
            </w:r>
            <w:r>
              <w:rPr>
                <w:rFonts w:cs="宋体" w:asciiTheme="minorEastAsia" w:hAnsiTheme="minorEastAsia"/>
                <w:sz w:val="24"/>
                <w:lang w:bidi="ar"/>
              </w:rPr>
              <w:t xml:space="preserve">1</w:t>
            </w:r>
            <w:r>
              <w:rPr>
                <w:rFonts w:hint="eastAsia" w:cs="宋体" w:asciiTheme="minorEastAsia" w:hAnsiTheme="minorEastAsia"/>
                <w:sz w:val="24"/>
                <w:lang w:bidi="ar"/>
              </w:rPr>
              <w:t xml:space="preserve">分；</w:t>
            </w:r>
            <w:r/>
          </w:p>
          <w:p>
            <w:pP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未提供不得分；</w:t>
            </w:r>
            <w:r/>
          </w:p>
          <w:p>
            <w:pPr>
              <w:spacing w:line="360" w:lineRule="auto"/>
              <w:rPr>
                <w:rFonts w:hint="eastAsia" w:cs="宋体" w:asciiTheme="minorEastAsia" w:hAnsiTheme="minorEastAsia"/>
                <w:sz w:val="24"/>
                <w:lang w:bidi="ar"/>
              </w:rPr>
            </w:pPr>
            <w:r>
              <w:rPr>
                <w:rFonts w:cs="宋体" w:asciiTheme="minorEastAsia" w:hAnsiTheme="minorEastAsia"/>
                <w:sz w:val="24"/>
                <w:lang w:bidi="ar"/>
              </w:rPr>
              <w:t xml:space="preserve">3</w:t>
            </w:r>
            <w:r>
              <w:rPr>
                <w:rFonts w:hint="eastAsia" w:cs="宋体" w:asciiTheme="minorEastAsia" w:hAnsiTheme="minorEastAsia"/>
                <w:sz w:val="24"/>
                <w:lang w:bidi="ar"/>
              </w:rPr>
              <w:t xml:space="preserve">、本次项目的主要目标是通过安全设备实现大丰区电子政务外网网络安全从传统的被动防御向智能防御进行升级，系统集成方案中须详细描述智能防御的设计架构、工作过程和实现效果，系统架构设计合理、过程描述详细、逻辑清晰，实现效果佳得</w:t>
            </w:r>
            <w:r>
              <w:rPr>
                <w:rFonts w:cs="宋体" w:asciiTheme="minorEastAsia" w:hAnsiTheme="minorEastAsia"/>
                <w:sz w:val="24"/>
                <w:lang w:bidi="ar"/>
              </w:rPr>
              <w:t xml:space="preserve">5</w:t>
            </w:r>
            <w:r>
              <w:rPr>
                <w:rFonts w:hint="eastAsia" w:cs="宋体" w:asciiTheme="minorEastAsia" w:hAnsiTheme="minorEastAsia"/>
                <w:sz w:val="24"/>
                <w:lang w:bidi="ar"/>
              </w:rPr>
              <w:t xml:space="preserve">分；系统架构设计一般、过程描述较详细、逻辑较清晰，实现效果一般得</w:t>
            </w:r>
            <w:r>
              <w:rPr>
                <w:rFonts w:cs="宋体" w:asciiTheme="minorEastAsia" w:hAnsiTheme="minorEastAsia"/>
                <w:sz w:val="24"/>
                <w:lang w:bidi="ar"/>
              </w:rPr>
              <w:t xml:space="preserve">3</w:t>
            </w:r>
            <w:r>
              <w:rPr>
                <w:rFonts w:hint="eastAsia" w:cs="宋体" w:asciiTheme="minorEastAsia" w:hAnsiTheme="minorEastAsia"/>
                <w:sz w:val="24"/>
                <w:lang w:bidi="ar"/>
              </w:rPr>
              <w:t xml:space="preserve">分；系统架构设计较差、过程描述较少、逻辑不清晰，实现效果较差得</w:t>
            </w:r>
            <w:r>
              <w:rPr>
                <w:rFonts w:cs="宋体" w:asciiTheme="minorEastAsia" w:hAnsiTheme="minorEastAsia"/>
                <w:sz w:val="24"/>
                <w:lang w:bidi="ar"/>
              </w:rPr>
              <w:t xml:space="preserve">1</w:t>
            </w:r>
            <w:r>
              <w:rPr>
                <w:rFonts w:hint="eastAsia" w:cs="宋体" w:asciiTheme="minorEastAsia" w:hAnsiTheme="minorEastAsia"/>
                <w:sz w:val="24"/>
                <w:lang w:bidi="ar"/>
              </w:rPr>
              <w:t xml:space="preserve">分，未提供得0分；</w:t>
            </w:r>
            <w:r/>
          </w:p>
        </w:tc>
      </w:tr>
      <w:tr>
        <w:trPr>
          <w:jc w:val="center"/>
          <w:trHeight w:val="487"/>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项目实施方案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cs="宋体" w:asciiTheme="minorEastAsia" w:hAnsiTheme="minorEastAsia"/>
                <w:sz w:val="24"/>
              </w:rPr>
            </w:pPr>
            <w:r>
              <w:rPr>
                <w:rFonts w:cs="宋体" w:asciiTheme="minorEastAsia" w:hAnsiTheme="minorEastAsia"/>
                <w:sz w:val="24"/>
              </w:rPr>
              <w:t xml:space="preserve">5</w:t>
            </w:r>
            <w:r/>
          </w:p>
        </w:tc>
        <w:tc>
          <w:tcPr>
            <w:tcBorders>
              <w:top w:val="single" w:color="auto" w:sz="4" w:space="0"/>
              <w:left w:val="single" w:color="auto" w:sz="4" w:space="0"/>
              <w:bottom w:val="single" w:color="auto" w:sz="4" w:space="0"/>
              <w:right w:val="single" w:color="auto" w:sz="4" w:space="0"/>
            </w:tcBorders>
            <w:tcW w:w="7371" w:type="dxa"/>
            <w:vAlign w:val="center"/>
            <w:textDirection w:val="lrTb"/>
            <w:noWrap w:val="false"/>
          </w:tcPr>
          <w:p>
            <w:pP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投标人投标时提供完整的项目实施方案，本次项目主要实施场地为大丰国际软件园7号楼1楼运营商IDC机房，根据本次项目实施要求，结合运营商IDC机房管理制度，制定合理的项目实施方案，方案须包含但不限于以下内容：</w:t>
            </w:r>
            <w:r/>
          </w:p>
          <w:p>
            <w:pPr>
              <w:numPr>
                <w:ilvl w:val="0"/>
                <w:numId w:val="4"/>
              </w:numP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施工队伍组织架构（</w:t>
            </w:r>
            <w:r>
              <w:rPr>
                <w:rFonts w:cs="宋体" w:asciiTheme="minorEastAsia" w:hAnsiTheme="minorEastAsia"/>
                <w:sz w:val="24"/>
                <w:lang w:bidi="ar"/>
              </w:rPr>
              <w:t xml:space="preserve">1</w:t>
            </w:r>
            <w:r>
              <w:rPr>
                <w:rFonts w:hint="eastAsia" w:cs="宋体" w:asciiTheme="minorEastAsia" w:hAnsiTheme="minorEastAsia"/>
                <w:sz w:val="24"/>
                <w:lang w:bidi="ar"/>
              </w:rPr>
              <w:t xml:space="preserve">分）</w:t>
            </w:r>
            <w:r/>
          </w:p>
          <w:p>
            <w:pPr>
              <w:numPr>
                <w:ilvl w:val="0"/>
                <w:numId w:val="4"/>
              </w:numP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施工现场调研（</w:t>
            </w:r>
            <w:r>
              <w:rPr>
                <w:rFonts w:cs="宋体" w:asciiTheme="minorEastAsia" w:hAnsiTheme="minorEastAsia"/>
                <w:sz w:val="24"/>
                <w:lang w:bidi="ar"/>
              </w:rPr>
              <w:t xml:space="preserve">1</w:t>
            </w:r>
            <w:r>
              <w:rPr>
                <w:rFonts w:hint="eastAsia" w:cs="宋体" w:asciiTheme="minorEastAsia" w:hAnsiTheme="minorEastAsia"/>
                <w:sz w:val="24"/>
                <w:lang w:bidi="ar"/>
              </w:rPr>
              <w:t xml:space="preserve">分）</w:t>
            </w:r>
            <w:r/>
          </w:p>
          <w:p>
            <w:pPr>
              <w:numPr>
                <w:ilvl w:val="0"/>
                <w:numId w:val="4"/>
              </w:numP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供货计划（</w:t>
            </w:r>
            <w:r>
              <w:rPr>
                <w:rFonts w:cs="宋体" w:asciiTheme="minorEastAsia" w:hAnsiTheme="minorEastAsia"/>
                <w:sz w:val="24"/>
                <w:lang w:bidi="ar"/>
              </w:rPr>
              <w:t xml:space="preserve">1</w:t>
            </w:r>
            <w:r>
              <w:rPr>
                <w:rFonts w:hint="eastAsia" w:cs="宋体" w:asciiTheme="minorEastAsia" w:hAnsiTheme="minorEastAsia"/>
                <w:sz w:val="24"/>
                <w:lang w:bidi="ar"/>
              </w:rPr>
              <w:t xml:space="preserve">分）</w:t>
            </w:r>
            <w:r/>
          </w:p>
          <w:p>
            <w:pPr>
              <w:numPr>
                <w:ilvl w:val="0"/>
                <w:numId w:val="4"/>
              </w:numP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施工计划（</w:t>
            </w:r>
            <w:r>
              <w:rPr>
                <w:rFonts w:cs="宋体" w:asciiTheme="minorEastAsia" w:hAnsiTheme="minorEastAsia"/>
                <w:sz w:val="24"/>
                <w:lang w:bidi="ar"/>
              </w:rPr>
              <w:t xml:space="preserve">1</w:t>
            </w:r>
            <w:r>
              <w:rPr>
                <w:rFonts w:hint="eastAsia" w:cs="宋体" w:asciiTheme="minorEastAsia" w:hAnsiTheme="minorEastAsia"/>
                <w:sz w:val="24"/>
                <w:lang w:bidi="ar"/>
              </w:rPr>
              <w:t xml:space="preserve">分）</w:t>
            </w:r>
            <w:r/>
          </w:p>
          <w:p>
            <w:pPr>
              <w:numPr>
                <w:ilvl w:val="0"/>
                <w:numId w:val="4"/>
              </w:numP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施工管理（</w:t>
            </w:r>
            <w:r>
              <w:rPr>
                <w:rFonts w:cs="宋体" w:asciiTheme="minorEastAsia" w:hAnsiTheme="minorEastAsia"/>
                <w:sz w:val="24"/>
                <w:lang w:bidi="ar"/>
              </w:rPr>
              <w:t xml:space="preserve">1</w:t>
            </w:r>
            <w:r>
              <w:rPr>
                <w:rFonts w:hint="eastAsia" w:cs="宋体" w:asciiTheme="minorEastAsia" w:hAnsiTheme="minorEastAsia"/>
                <w:sz w:val="24"/>
                <w:lang w:bidi="ar"/>
              </w:rPr>
              <w:t xml:space="preserve">分）</w:t>
            </w:r>
            <w:r/>
          </w:p>
          <w:p>
            <w:pP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方案描述详细，逻辑清晰，且结合大丰国际软件园7号楼1楼运营商IDC机房管理制度，得</w:t>
            </w:r>
            <w:r>
              <w:rPr>
                <w:rFonts w:cs="宋体" w:asciiTheme="minorEastAsia" w:hAnsiTheme="minorEastAsia"/>
                <w:sz w:val="24"/>
                <w:lang w:bidi="ar"/>
              </w:rPr>
              <w:t xml:space="preserve">1</w:t>
            </w:r>
            <w:r>
              <w:rPr>
                <w:rFonts w:hint="eastAsia" w:cs="宋体" w:asciiTheme="minorEastAsia" w:hAnsiTheme="minorEastAsia"/>
                <w:sz w:val="24"/>
                <w:lang w:bidi="ar"/>
              </w:rPr>
              <w:t xml:space="preserve">分，</w:t>
            </w:r>
            <w:r/>
          </w:p>
          <w:p>
            <w:pP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方案描述详细，逻辑清晰，但脱离现场机房运营商管理要求得</w:t>
            </w:r>
            <w:r>
              <w:rPr>
                <w:rFonts w:cs="宋体" w:asciiTheme="minorEastAsia" w:hAnsiTheme="minorEastAsia"/>
                <w:sz w:val="24"/>
                <w:lang w:bidi="ar"/>
              </w:rPr>
              <w:t xml:space="preserve">0.5</w:t>
            </w:r>
            <w:r>
              <w:rPr>
                <w:rFonts w:hint="eastAsia" w:cs="宋体" w:asciiTheme="minorEastAsia" w:hAnsiTheme="minorEastAsia"/>
                <w:sz w:val="24"/>
                <w:lang w:bidi="ar"/>
              </w:rPr>
              <w:t xml:space="preserve">分，未提供不得分；</w:t>
            </w:r>
            <w:r/>
          </w:p>
        </w:tc>
      </w:tr>
      <w:tr>
        <w:trPr>
          <w:jc w:val="center"/>
          <w:trHeight w:val="487"/>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运维服务方案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cs="宋体" w:asciiTheme="minorEastAsia" w:hAnsiTheme="minorEastAsia"/>
                <w:sz w:val="24"/>
              </w:rPr>
            </w:pPr>
            <w:r>
              <w:rPr>
                <w:rFonts w:cs="宋体" w:asciiTheme="minorEastAsia" w:hAnsiTheme="minorEastAsia"/>
                <w:sz w:val="24"/>
              </w:rPr>
              <w:t xml:space="preserve">5</w:t>
            </w:r>
            <w:r/>
          </w:p>
        </w:tc>
        <w:tc>
          <w:tcPr>
            <w:tcBorders>
              <w:top w:val="single" w:color="auto" w:sz="4" w:space="0"/>
              <w:left w:val="single" w:color="auto" w:sz="4" w:space="0"/>
              <w:bottom w:val="single" w:color="auto" w:sz="4" w:space="0"/>
              <w:right w:val="single" w:color="auto" w:sz="4" w:space="0"/>
            </w:tcBorders>
            <w:tcW w:w="7371" w:type="dxa"/>
            <w:vAlign w:val="center"/>
            <w:textDirection w:val="lrTb"/>
            <w:noWrap w:val="false"/>
          </w:tcPr>
          <w:p>
            <w:pP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投标人投标时提供完整的运维服务方案，本次项目采购的设备全部托管于大丰国际软件园7号楼1楼运营商IDC机房，根据本次项目运维要求，结合运营商IDC机房管理制度，制定合理的项目运维方案，方案须包含但不限于以下内容：</w:t>
            </w:r>
            <w:r/>
          </w:p>
          <w:p>
            <w:pPr>
              <w:numPr>
                <w:ilvl w:val="0"/>
                <w:numId w:val="5"/>
              </w:numP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对本次项目运维服务的理解（</w:t>
            </w:r>
            <w:r>
              <w:rPr>
                <w:rFonts w:cs="宋体" w:asciiTheme="minorEastAsia" w:hAnsiTheme="minorEastAsia"/>
                <w:sz w:val="24"/>
                <w:lang w:bidi="ar"/>
              </w:rPr>
              <w:t xml:space="preserve">1</w:t>
            </w:r>
            <w:r>
              <w:rPr>
                <w:rFonts w:hint="eastAsia" w:cs="宋体" w:asciiTheme="minorEastAsia" w:hAnsiTheme="minorEastAsia"/>
                <w:sz w:val="24"/>
                <w:lang w:bidi="ar"/>
              </w:rPr>
              <w:t xml:space="preserve">分）</w:t>
            </w:r>
            <w:r/>
          </w:p>
          <w:p>
            <w:pPr>
              <w:numPr>
                <w:ilvl w:val="0"/>
                <w:numId w:val="5"/>
              </w:numP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运维团队组织架构（</w:t>
            </w:r>
            <w:r>
              <w:rPr>
                <w:rFonts w:cs="宋体" w:asciiTheme="minorEastAsia" w:hAnsiTheme="minorEastAsia"/>
                <w:sz w:val="24"/>
                <w:lang w:bidi="ar"/>
              </w:rPr>
              <w:t xml:space="preserve">1</w:t>
            </w:r>
            <w:r>
              <w:rPr>
                <w:rFonts w:hint="eastAsia" w:cs="宋体" w:asciiTheme="minorEastAsia" w:hAnsiTheme="minorEastAsia"/>
                <w:sz w:val="24"/>
                <w:lang w:bidi="ar"/>
              </w:rPr>
              <w:t xml:space="preserve">分）</w:t>
            </w:r>
            <w:r/>
          </w:p>
          <w:p>
            <w:pPr>
              <w:numPr>
                <w:ilvl w:val="0"/>
                <w:numId w:val="5"/>
              </w:numP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运维实施计划（</w:t>
            </w:r>
            <w:r>
              <w:rPr>
                <w:rFonts w:cs="宋体" w:asciiTheme="minorEastAsia" w:hAnsiTheme="minorEastAsia"/>
                <w:sz w:val="24"/>
                <w:lang w:bidi="ar"/>
              </w:rPr>
              <w:t xml:space="preserve">1</w:t>
            </w:r>
            <w:r>
              <w:rPr>
                <w:rFonts w:hint="eastAsia" w:cs="宋体" w:asciiTheme="minorEastAsia" w:hAnsiTheme="minorEastAsia"/>
                <w:sz w:val="24"/>
                <w:lang w:bidi="ar"/>
              </w:rPr>
              <w:t xml:space="preserve">分）</w:t>
            </w:r>
            <w:r/>
          </w:p>
          <w:p>
            <w:pPr>
              <w:numPr>
                <w:ilvl w:val="0"/>
                <w:numId w:val="5"/>
              </w:numP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运维考核标准（</w:t>
            </w:r>
            <w:r>
              <w:rPr>
                <w:rFonts w:cs="宋体" w:asciiTheme="minorEastAsia" w:hAnsiTheme="minorEastAsia"/>
                <w:sz w:val="24"/>
                <w:lang w:bidi="ar"/>
              </w:rPr>
              <w:t xml:space="preserve">1</w:t>
            </w:r>
            <w:r>
              <w:rPr>
                <w:rFonts w:hint="eastAsia" w:cs="宋体" w:asciiTheme="minorEastAsia" w:hAnsiTheme="minorEastAsia"/>
                <w:sz w:val="24"/>
                <w:lang w:bidi="ar"/>
              </w:rPr>
              <w:t xml:space="preserve">分）</w:t>
            </w:r>
            <w:r/>
          </w:p>
          <w:p>
            <w:pPr>
              <w:numPr>
                <w:ilvl w:val="0"/>
                <w:numId w:val="5"/>
              </w:numP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运维安全保证措施（</w:t>
            </w:r>
            <w:r>
              <w:rPr>
                <w:rFonts w:cs="宋体" w:asciiTheme="minorEastAsia" w:hAnsiTheme="minorEastAsia"/>
                <w:sz w:val="24"/>
                <w:lang w:bidi="ar"/>
              </w:rPr>
              <w:t xml:space="preserve">1</w:t>
            </w:r>
            <w:r>
              <w:rPr>
                <w:rFonts w:hint="eastAsia" w:cs="宋体" w:asciiTheme="minorEastAsia" w:hAnsiTheme="minorEastAsia"/>
                <w:sz w:val="24"/>
                <w:lang w:bidi="ar"/>
              </w:rPr>
              <w:t xml:space="preserve">分）</w:t>
            </w:r>
            <w:r/>
          </w:p>
          <w:p>
            <w:pP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方案描述详细，逻辑清晰，且结合大丰国际软件园7号楼1楼运营商IDC机房管理制度，得</w:t>
            </w:r>
            <w:r>
              <w:rPr>
                <w:rFonts w:cs="宋体" w:asciiTheme="minorEastAsia" w:hAnsiTheme="minorEastAsia"/>
                <w:sz w:val="24"/>
                <w:lang w:bidi="ar"/>
              </w:rPr>
              <w:t xml:space="preserve">1</w:t>
            </w:r>
            <w:r>
              <w:rPr>
                <w:rFonts w:hint="eastAsia" w:cs="宋体" w:asciiTheme="minorEastAsia" w:hAnsiTheme="minorEastAsia"/>
                <w:sz w:val="24"/>
                <w:lang w:bidi="ar"/>
              </w:rPr>
              <w:t xml:space="preserve">分，</w:t>
            </w:r>
            <w:r/>
          </w:p>
          <w:p>
            <w:pP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方案描述详细，逻辑清晰，但脱离现场机房运营商管理要求得</w:t>
            </w:r>
            <w:r>
              <w:rPr>
                <w:rFonts w:cs="宋体" w:asciiTheme="minorEastAsia" w:hAnsiTheme="minorEastAsia"/>
                <w:sz w:val="24"/>
                <w:lang w:bidi="ar"/>
              </w:rPr>
              <w:t xml:space="preserve">0.5</w:t>
            </w:r>
            <w:r>
              <w:rPr>
                <w:rFonts w:hint="eastAsia" w:cs="宋体" w:asciiTheme="minorEastAsia" w:hAnsiTheme="minorEastAsia"/>
                <w:sz w:val="24"/>
                <w:lang w:bidi="ar"/>
              </w:rPr>
              <w:t xml:space="preserve">分，未提供不得分；</w:t>
            </w:r>
            <w:r/>
          </w:p>
        </w:tc>
      </w:tr>
      <w:tr>
        <w:trPr>
          <w:jc w:val="center"/>
          <w:trHeight w:val="487"/>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类似业绩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cs="宋体" w:asciiTheme="minorEastAsia" w:hAnsiTheme="minorEastAsia"/>
                <w:sz w:val="24"/>
              </w:rPr>
            </w:pPr>
            <w:r>
              <w:rPr>
                <w:rFonts w:cs="宋体" w:asciiTheme="minorEastAsia" w:hAnsiTheme="minorEastAsia"/>
                <w:sz w:val="24"/>
              </w:rPr>
              <w:t xml:space="preserve">2</w:t>
            </w:r>
            <w:r/>
          </w:p>
        </w:tc>
        <w:tc>
          <w:tcPr>
            <w:tcBorders>
              <w:top w:val="single" w:color="auto" w:sz="4" w:space="0"/>
              <w:left w:val="single" w:color="auto" w:sz="4" w:space="0"/>
              <w:bottom w:val="single" w:color="auto" w:sz="4" w:space="0"/>
              <w:right w:val="single" w:color="auto" w:sz="4" w:space="0"/>
            </w:tcBorders>
            <w:tcW w:w="7371" w:type="dxa"/>
            <w:vAlign w:val="center"/>
            <w:textDirection w:val="lrTb"/>
            <w:noWrap w:val="false"/>
          </w:tcPr>
          <w:p>
            <w:pP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投标人自2023年1月1日以来（以合同签订时间为准）具有类似项目业绩的，每个业绩得1分，本项最多得2分。</w:t>
            </w:r>
            <w:r/>
          </w:p>
          <w:p>
            <w:pP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注：</w:t>
            </w:r>
            <w:r/>
          </w:p>
          <w:p>
            <w:pP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1</w:t>
            </w:r>
            <w:r>
              <w:rPr>
                <w:rFonts w:cs="宋体" w:asciiTheme="minorEastAsia" w:hAnsiTheme="minorEastAsia"/>
                <w:sz w:val="24"/>
                <w:lang w:bidi="ar"/>
              </w:rPr>
              <w:t xml:space="preserve">、</w:t>
            </w:r>
            <w:r>
              <w:rPr>
                <w:rFonts w:hint="eastAsia" w:cs="宋体" w:asciiTheme="minorEastAsia" w:hAnsiTheme="minorEastAsia"/>
                <w:sz w:val="24"/>
                <w:lang w:bidi="ar"/>
              </w:rPr>
              <w:t xml:space="preserve">类似项目业绩内容至少包含网络安全设备采购和网络安全运维服务。</w:t>
            </w:r>
            <w:r/>
          </w:p>
          <w:p>
            <w:pP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2</w:t>
            </w:r>
            <w:r>
              <w:rPr>
                <w:rFonts w:cs="宋体" w:asciiTheme="minorEastAsia" w:hAnsiTheme="minorEastAsia"/>
                <w:sz w:val="24"/>
                <w:lang w:bidi="ar"/>
              </w:rPr>
              <w:t xml:space="preserve">、</w:t>
            </w:r>
            <w:r>
              <w:rPr>
                <w:rFonts w:hint="eastAsia" w:cs="宋体" w:asciiTheme="minorEastAsia" w:hAnsiTheme="minorEastAsia"/>
                <w:sz w:val="24"/>
                <w:lang w:bidi="ar"/>
              </w:rPr>
              <w:t xml:space="preserve">投标时需类似项目业绩合同原件扫描件，未提供或提供不符合要求的，不予计分。</w:t>
            </w:r>
            <w:r/>
          </w:p>
        </w:tc>
      </w:tr>
      <w:tr>
        <w:trPr>
          <w:jc w:val="center"/>
          <w:trHeight w:val="487"/>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节能环保</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cs="宋体" w:asciiTheme="minorEastAsia" w:hAnsiTheme="minorEastAsia"/>
                <w:sz w:val="24"/>
              </w:rPr>
            </w:pPr>
            <w:r>
              <w:rPr>
                <w:rFonts w:cs="宋体" w:asciiTheme="minorEastAsia" w:hAnsiTheme="minorEastAsia"/>
                <w:sz w:val="24"/>
              </w:rPr>
              <w:t xml:space="preserve">2</w:t>
            </w:r>
            <w:r/>
          </w:p>
        </w:tc>
        <w:tc>
          <w:tcPr>
            <w:tcBorders>
              <w:top w:val="single" w:color="auto" w:sz="4" w:space="0"/>
              <w:left w:val="single" w:color="auto" w:sz="4" w:space="0"/>
              <w:bottom w:val="single" w:color="auto" w:sz="4" w:space="0"/>
              <w:right w:val="single" w:color="auto" w:sz="4" w:space="0"/>
            </w:tcBorders>
            <w:tcW w:w="7371" w:type="dxa"/>
            <w:vAlign w:val="center"/>
            <w:textDirection w:val="lrTb"/>
            <w:noWrap w:val="false"/>
          </w:tcPr>
          <w:p>
            <w:pP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1、投标产品属于财政部、国家发展改革委公布的“节能产品品目清单”范围内的，投标人提供国家确定的认证机构出具的、处于有效期之内的该节能产品认证证书的，有1个得0.5分，最多得1分。如投标产品均属于政府强制采购节能产品品目清单范围内，本项不得分。</w:t>
            </w:r>
            <w:r/>
          </w:p>
          <w:p>
            <w:pP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2、投标产品属于财政部、生态环境部公布的“环境标志产品品目清单”范围内的，投标人提供国家确定的认证机构出具的、处于有效期内的该环保产品认证证书的，有1个得0.5分，最多得1分。如投标产品均属于政府强制采购环境标志产品品目清单范围内，本项不得分。</w:t>
            </w:r>
            <w:r/>
          </w:p>
        </w:tc>
      </w:tr>
      <w:tr>
        <w:trPr>
          <w:jc w:val="center"/>
          <w:trHeight w:val="487"/>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诚信投标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cs="宋体" w:asciiTheme="minorEastAsia" w:hAnsiTheme="minorEastAsia"/>
                <w:sz w:val="24"/>
              </w:rPr>
            </w:pPr>
            <w:r>
              <w:rPr>
                <w:rFonts w:hint="eastAsia" w:cs="宋体" w:asciiTheme="minorEastAsia" w:hAnsiTheme="minorEastAsia"/>
                <w:sz w:val="24"/>
              </w:rPr>
              <w:t xml:space="preserve">1</w:t>
            </w:r>
            <w:r/>
          </w:p>
        </w:tc>
        <w:tc>
          <w:tcPr>
            <w:tcBorders>
              <w:top w:val="single" w:color="auto" w:sz="4" w:space="0"/>
              <w:left w:val="single" w:color="auto" w:sz="4" w:space="0"/>
              <w:bottom w:val="single" w:color="auto" w:sz="4" w:space="0"/>
              <w:right w:val="single" w:color="auto" w:sz="4" w:space="0"/>
            </w:tcBorders>
            <w:tcW w:w="7371" w:type="dxa"/>
            <w:vAlign w:val="center"/>
            <w:textDirection w:val="lrTb"/>
            <w:noWrap w:val="false"/>
          </w:tcPr>
          <w:p>
            <w:pPr>
              <w:spacing w:line="360" w:lineRule="auto"/>
              <w:rPr>
                <w:rFonts w:hint="eastAsia" w:cs="宋体" w:asciiTheme="minorEastAsia" w:hAnsiTheme="minorEastAsia"/>
                <w:sz w:val="24"/>
                <w:lang w:bidi="ar"/>
              </w:rPr>
            </w:pPr>
            <w:r>
              <w:rPr>
                <w:rFonts w:hint="eastAsia" w:cs="宋体" w:asciiTheme="minorEastAsia" w:hAnsiTheme="minorEastAsia"/>
                <w:sz w:val="24"/>
                <w:lang w:bidi="ar"/>
              </w:rPr>
              <w:t xml:space="preserve">投标人提交签署并盖章《盐城市大丰区政府招标采购供应商承诺书》原件扫描件的得1分；没有提供的不得分。</w:t>
            </w:r>
            <w:bookmarkEnd w:id="172"/>
            <w:r/>
            <w:r/>
          </w:p>
        </w:tc>
      </w:tr>
    </w:tbl>
    <w:p>
      <w:pPr>
        <w:ind w:left="-206"/>
      </w:pPr>
      <w:r/>
      <w:r/>
    </w:p>
    <w:p>
      <w:pPr>
        <w:ind w:left="-206"/>
      </w:pPr>
      <w:r/>
      <w:r/>
    </w:p>
    <w:p>
      <w:pPr>
        <w:rPr>
          <w:rFonts w:hint="eastAsia" w:ascii="黑体" w:hAnsi="宋体" w:eastAsia="黑体" w:cs="黑体"/>
          <w:sz w:val="44"/>
          <w:szCs w:val="44"/>
        </w:rPr>
      </w:pPr>
      <w:r>
        <w:rPr>
          <w:rFonts w:hint="eastAsia" w:ascii="黑体" w:hAnsi="宋体" w:eastAsia="黑体" w:cs="黑体"/>
          <w:sz w:val="44"/>
          <w:szCs w:val="44"/>
        </w:rPr>
        <w:br w:type="page" w:clear="all"/>
      </w:r>
      <w:r/>
    </w:p>
    <w:p>
      <w:pPr>
        <w:pStyle w:val="850"/>
        <w:ind w:left="-206" w:firstLine="748"/>
        <w:jc w:val="center"/>
        <w:keepNext/>
        <w:spacing w:beforeAutospacing="0" w:afterAutospacing="0"/>
      </w:pPr>
      <w:r>
        <w:rPr>
          <w:rFonts w:hint="eastAsia" w:ascii="黑体" w:hAnsi="宋体" w:eastAsia="黑体" w:cs="黑体"/>
          <w:sz w:val="44"/>
          <w:szCs w:val="44"/>
        </w:rPr>
        <w:t xml:space="preserve">第六章  投标文件格式 </w:t>
      </w:r>
      <w:r/>
    </w:p>
    <w:p>
      <w:pPr>
        <w:pStyle w:val="850"/>
        <w:ind w:left="-206" w:firstLine="1229"/>
        <w:jc w:val="center"/>
        <w:spacing w:beforeAutospacing="0" w:afterAutospacing="0"/>
        <w:rPr>
          <w:rFonts w:hint="eastAsia" w:ascii="宋体" w:hAnsi="宋体" w:eastAsia="宋体" w:cs="宋体"/>
          <w:b/>
          <w:sz w:val="72"/>
          <w:szCs w:val="72"/>
        </w:rPr>
      </w:pPr>
      <w:r/>
      <w:bookmarkStart w:id="174" w:name="_Toc49090576"/>
      <w:r/>
      <w:bookmarkEnd w:id="174"/>
      <w:r/>
      <w:bookmarkStart w:id="175" w:name="_Toc120614282"/>
      <w:r/>
      <w:bookmarkEnd w:id="175"/>
      <w:r/>
      <w:bookmarkStart w:id="176" w:name="_Toc26554094"/>
      <w:r/>
      <w:bookmarkStart w:id="177" w:name="_Hlt26671244"/>
      <w:r/>
      <w:bookmarkStart w:id="178" w:name="_Hlt26955039"/>
      <w:r/>
      <w:r/>
    </w:p>
    <w:p>
      <w:pPr>
        <w:pStyle w:val="850"/>
        <w:ind w:left="-206" w:firstLine="1229"/>
        <w:jc w:val="center"/>
        <w:spacing w:beforeAutospacing="0" w:afterAutospacing="0"/>
      </w:pPr>
      <w:r>
        <w:rPr>
          <w:rFonts w:hint="eastAsia" w:ascii="宋体" w:hAnsi="宋体" w:eastAsia="宋体" w:cs="宋体"/>
          <w:b/>
          <w:sz w:val="72"/>
          <w:szCs w:val="72"/>
        </w:rPr>
        <w:t xml:space="preserve">投  标  文  件</w:t>
      </w:r>
      <w:r/>
    </w:p>
    <w:p>
      <w:pPr>
        <w:pStyle w:val="850"/>
        <w:ind w:left="-206"/>
        <w:jc w:val="center"/>
        <w:spacing w:beforeAutospacing="0" w:afterAutospacing="0"/>
      </w:pPr>
      <w:r>
        <w:t xml:space="preserve"> </w:t>
      </w:r>
      <w:r/>
    </w:p>
    <w:p>
      <w:pPr>
        <w:pStyle w:val="850"/>
        <w:ind w:left="-206"/>
        <w:jc w:val="center"/>
        <w:spacing w:beforeAutospacing="0" w:afterAutospacing="0"/>
      </w:pPr>
      <w:r>
        <w:t xml:space="preserve"> </w:t>
      </w:r>
      <w:r/>
    </w:p>
    <w:p>
      <w:pPr>
        <w:pStyle w:val="850"/>
        <w:ind w:left="-206"/>
        <w:jc w:val="center"/>
        <w:spacing w:beforeAutospacing="0" w:afterAutospacing="0"/>
      </w:pPr>
      <w:r/>
      <w:r/>
    </w:p>
    <w:p>
      <w:pPr>
        <w:pStyle w:val="850"/>
        <w:ind w:left="-206"/>
        <w:jc w:val="center"/>
        <w:spacing w:beforeAutospacing="0" w:afterAutospacing="0"/>
      </w:pPr>
      <w:r/>
      <w:r/>
    </w:p>
    <w:p>
      <w:pPr>
        <w:pStyle w:val="850"/>
        <w:ind w:left="-206"/>
        <w:jc w:val="center"/>
        <w:spacing w:beforeAutospacing="0" w:afterAutospacing="0"/>
      </w:pPr>
      <w:r/>
      <w:r/>
    </w:p>
    <w:p>
      <w:pPr>
        <w:pStyle w:val="850"/>
        <w:ind w:left="-206"/>
        <w:jc w:val="center"/>
        <w:spacing w:beforeAutospacing="0" w:afterAutospacing="0"/>
      </w:pPr>
      <w:r/>
      <w:r/>
    </w:p>
    <w:p>
      <w:pPr>
        <w:pStyle w:val="850"/>
        <w:ind w:left="-206"/>
        <w:jc w:val="center"/>
        <w:spacing w:beforeAutospacing="0" w:afterAutospacing="0"/>
      </w:pPr>
      <w:r/>
      <w:r/>
    </w:p>
    <w:p>
      <w:pPr>
        <w:pStyle w:val="850"/>
        <w:ind w:left="-206"/>
        <w:jc w:val="center"/>
        <w:spacing w:beforeAutospacing="0" w:afterAutospacing="0"/>
      </w:pPr>
      <w:r/>
      <w:r/>
    </w:p>
    <w:p>
      <w:pPr>
        <w:pStyle w:val="850"/>
        <w:ind w:left="-206"/>
        <w:jc w:val="center"/>
        <w:spacing w:beforeAutospacing="0" w:afterAutospacing="0"/>
      </w:pPr>
      <w:r/>
      <w:r/>
    </w:p>
    <w:p>
      <w:pPr>
        <w:pStyle w:val="850"/>
        <w:ind w:left="-206"/>
        <w:jc w:val="center"/>
        <w:spacing w:beforeAutospacing="0" w:afterAutospacing="0"/>
      </w:pPr>
      <w:r/>
      <w:r/>
    </w:p>
    <w:p>
      <w:pPr>
        <w:pStyle w:val="850"/>
        <w:ind w:left="-206"/>
        <w:jc w:val="center"/>
        <w:spacing w:beforeAutospacing="0" w:afterAutospacing="0"/>
      </w:pPr>
      <w:r/>
      <w:r/>
    </w:p>
    <w:p>
      <w:pPr>
        <w:pStyle w:val="850"/>
        <w:ind w:left="-206"/>
        <w:jc w:val="center"/>
        <w:spacing w:beforeAutospacing="0" w:afterAutospacing="0"/>
      </w:pPr>
      <w:r/>
      <w:r/>
    </w:p>
    <w:p>
      <w:pPr>
        <w:pStyle w:val="850"/>
        <w:ind w:left="-206"/>
        <w:jc w:val="center"/>
        <w:spacing w:beforeAutospacing="0" w:afterAutospacing="0"/>
      </w:pPr>
      <w:r/>
      <w:r/>
    </w:p>
    <w:p>
      <w:pPr>
        <w:pStyle w:val="850"/>
        <w:ind w:left="-206"/>
        <w:jc w:val="center"/>
        <w:spacing w:beforeAutospacing="0" w:afterAutospacing="0"/>
      </w:pPr>
      <w:r/>
      <w:r/>
    </w:p>
    <w:p>
      <w:pPr>
        <w:pStyle w:val="850"/>
        <w:ind w:left="-206"/>
        <w:jc w:val="center"/>
        <w:spacing w:beforeAutospacing="0" w:afterAutospacing="0"/>
      </w:pPr>
      <w:r/>
      <w:r/>
    </w:p>
    <w:p>
      <w:pPr>
        <w:pStyle w:val="850"/>
        <w:ind w:left="-206"/>
        <w:jc w:val="center"/>
        <w:spacing w:beforeAutospacing="0" w:afterAutospacing="0"/>
      </w:pPr>
      <w:r/>
      <w:r/>
    </w:p>
    <w:p>
      <w:pPr>
        <w:pStyle w:val="850"/>
        <w:ind w:left="-206"/>
        <w:jc w:val="center"/>
        <w:spacing w:beforeAutospacing="0" w:afterAutospacing="0"/>
      </w:pPr>
      <w:r/>
      <w:r/>
    </w:p>
    <w:p>
      <w:pPr>
        <w:pStyle w:val="850"/>
        <w:ind w:left="-206"/>
        <w:jc w:val="center"/>
        <w:spacing w:beforeAutospacing="0" w:afterAutospacing="0"/>
      </w:pPr>
      <w:r/>
      <w:r/>
    </w:p>
    <w:p>
      <w:pPr>
        <w:pStyle w:val="850"/>
        <w:ind w:left="-206"/>
        <w:jc w:val="center"/>
        <w:spacing w:beforeAutospacing="0" w:afterAutospacing="0"/>
      </w:pPr>
      <w:r/>
      <w:r/>
    </w:p>
    <w:p>
      <w:pPr>
        <w:pStyle w:val="850"/>
        <w:ind w:left="-206"/>
        <w:jc w:val="center"/>
        <w:spacing w:beforeAutospacing="0" w:afterAutospacing="0"/>
      </w:pPr>
      <w:r/>
      <w:r/>
    </w:p>
    <w:p>
      <w:pPr>
        <w:pStyle w:val="850"/>
        <w:ind w:left="-206"/>
        <w:jc w:val="center"/>
        <w:spacing w:beforeAutospacing="0" w:afterAutospacing="0"/>
      </w:pPr>
      <w:r/>
      <w:r/>
    </w:p>
    <w:p>
      <w:pPr>
        <w:pStyle w:val="850"/>
        <w:ind w:left="-206"/>
        <w:jc w:val="center"/>
        <w:spacing w:beforeAutospacing="0" w:afterAutospacing="0"/>
      </w:pPr>
      <w:r>
        <w:t xml:space="preserve"> </w:t>
      </w:r>
      <w:r/>
    </w:p>
    <w:p>
      <w:pPr>
        <w:pStyle w:val="850"/>
        <w:ind w:left="-206"/>
        <w:jc w:val="center"/>
        <w:spacing w:beforeAutospacing="0" w:afterAutospacing="0"/>
      </w:pPr>
      <w:r>
        <w:t xml:space="preserve"> </w:t>
      </w:r>
      <w:r/>
    </w:p>
    <w:p>
      <w:pPr>
        <w:pStyle w:val="850"/>
        <w:ind w:left="-206"/>
        <w:jc w:val="center"/>
        <w:spacing w:beforeAutospacing="0" w:afterAutospacing="0"/>
      </w:pPr>
      <w:r>
        <w:t xml:space="preserve"> </w:t>
      </w:r>
      <w:r/>
    </w:p>
    <w:p>
      <w:pPr>
        <w:pStyle w:val="850"/>
        <w:ind w:left="-206" w:firstLine="614"/>
        <w:jc w:val="both"/>
        <w:spacing w:beforeAutospacing="0" w:afterAutospacing="0"/>
      </w:pPr>
      <w:r>
        <w:rPr>
          <w:rFonts w:hint="eastAsia" w:ascii="宋体" w:hAnsi="宋体" w:eastAsia="宋体" w:cs="宋体"/>
          <w:b/>
          <w:sz w:val="36"/>
          <w:szCs w:val="36"/>
        </w:rPr>
        <w:t xml:space="preserve">项 目 名 称：</w:t>
      </w:r>
      <w:r>
        <w:rPr>
          <w:rFonts w:hint="eastAsia" w:ascii="宋体" w:hAnsi="宋体" w:eastAsia="宋体" w:cs="宋体"/>
          <w:b/>
          <w:sz w:val="36"/>
          <w:szCs w:val="36"/>
          <w:u w:val="single"/>
        </w:rPr>
        <w:t xml:space="preserve">             </w:t>
      </w:r>
      <w:r/>
    </w:p>
    <w:p>
      <w:pPr>
        <w:pStyle w:val="850"/>
        <w:ind w:left="-206" w:firstLine="614"/>
        <w:jc w:val="both"/>
        <w:spacing w:beforeAutospacing="0" w:afterAutospacing="0"/>
      </w:pPr>
      <w:r>
        <w:rPr>
          <w:rFonts w:hint="eastAsia" w:ascii="宋体" w:hAnsi="宋体" w:eastAsia="宋体" w:cs="宋体"/>
          <w:b/>
          <w:sz w:val="36"/>
          <w:szCs w:val="36"/>
        </w:rPr>
        <w:t xml:space="preserve">项 目 编 号：</w:t>
      </w:r>
      <w:r>
        <w:rPr>
          <w:rFonts w:hint="eastAsia" w:ascii="宋体" w:hAnsi="宋体" w:eastAsia="宋体" w:cs="宋体"/>
          <w:b/>
          <w:sz w:val="36"/>
          <w:szCs w:val="36"/>
          <w:u w:val="single"/>
        </w:rPr>
        <w:t xml:space="preserve">             </w:t>
      </w:r>
      <w:r/>
    </w:p>
    <w:p>
      <w:pPr>
        <w:pStyle w:val="850"/>
        <w:ind w:left="-206" w:firstLine="614"/>
        <w:jc w:val="both"/>
        <w:spacing w:beforeAutospacing="0" w:afterAutospacing="0"/>
      </w:pPr>
      <w:r>
        <w:rPr>
          <w:rFonts w:hint="eastAsia" w:ascii="宋体" w:hAnsi="宋体" w:eastAsia="宋体" w:cs="宋体"/>
          <w:b/>
          <w:sz w:val="36"/>
          <w:szCs w:val="36"/>
        </w:rPr>
        <w:t xml:space="preserve">投标人名称 ：</w:t>
      </w:r>
      <w:r>
        <w:rPr>
          <w:rFonts w:hint="eastAsia" w:ascii="宋体" w:hAnsi="宋体" w:eastAsia="宋体" w:cs="宋体"/>
          <w:b/>
          <w:sz w:val="36"/>
          <w:szCs w:val="36"/>
          <w:u w:val="single"/>
        </w:rPr>
        <w:t xml:space="preserve">（加盖CA电子公章）</w:t>
      </w:r>
      <w:r/>
    </w:p>
    <w:p>
      <w:pPr>
        <w:pStyle w:val="850"/>
        <w:ind w:left="-206" w:firstLine="614"/>
        <w:jc w:val="both"/>
        <w:spacing w:beforeAutospacing="0" w:afterAutospacing="0"/>
      </w:pPr>
      <w:r>
        <w:rPr>
          <w:rFonts w:hint="eastAsia" w:ascii="宋体" w:hAnsi="宋体" w:eastAsia="宋体" w:cs="宋体"/>
          <w:b/>
          <w:sz w:val="36"/>
          <w:szCs w:val="36"/>
        </w:rPr>
        <w:t xml:space="preserve">日   期 ：</w:t>
      </w:r>
      <w:r>
        <w:rPr>
          <w:rFonts w:hint="eastAsia" w:ascii="宋体" w:hAnsi="宋体" w:eastAsia="宋体" w:cs="宋体"/>
          <w:b/>
          <w:sz w:val="36"/>
          <w:szCs w:val="36"/>
          <w:u w:val="single"/>
        </w:rPr>
        <w:t xml:space="preserve">             </w:t>
      </w:r>
      <w:r/>
    </w:p>
    <w:p>
      <w:pPr>
        <w:pStyle w:val="850"/>
        <w:ind w:left="-206"/>
        <w:jc w:val="center"/>
        <w:spacing w:beforeAutospacing="0" w:afterAutospacing="0" w:line="0" w:lineRule="atLeast"/>
      </w:pPr>
      <w:r/>
      <w:r/>
    </w:p>
    <w:p>
      <w:pPr>
        <w:pStyle w:val="850"/>
        <w:ind w:left="-206" w:firstLine="546"/>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pStyle w:val="850"/>
        <w:ind w:left="-206" w:firstLine="546"/>
        <w:jc w:val="center"/>
        <w:spacing w:beforeAutospacing="0" w:afterAutospacing="0" w:line="0" w:lineRule="atLeast"/>
        <w:rPr>
          <w:rFonts w:hint="eastAsia" w:ascii="宋体" w:hAnsi="宋体" w:eastAsia="宋体" w:cs="宋体"/>
          <w:b/>
          <w:bCs/>
          <w:sz w:val="32"/>
          <w:szCs w:val="32"/>
        </w:rPr>
      </w:pPr>
      <w:r>
        <w:rPr>
          <w:rFonts w:hint="eastAsia" w:ascii="宋体" w:hAnsi="宋体" w:eastAsia="宋体" w:cs="宋体"/>
          <w:b/>
          <w:sz w:val="32"/>
          <w:szCs w:val="32"/>
        </w:rPr>
      </w:r>
      <w:r>
        <w:rPr>
          <w:rFonts w:hint="eastAsia" w:ascii="宋体" w:hAnsi="宋体" w:eastAsia="宋体" w:cs="宋体"/>
          <w:b/>
          <w:sz w:val="32"/>
          <w:szCs w:val="32"/>
        </w:rPr>
      </w:r>
      <w:r/>
    </w:p>
    <w:p>
      <w:pPr>
        <w:pStyle w:val="850"/>
        <w:ind w:left="-206" w:firstLine="546"/>
        <w:jc w:val="center"/>
        <w:spacing w:beforeAutospacing="0" w:afterAutospacing="0" w:line="0" w:lineRule="atLeast"/>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pStyle w:val="850"/>
        <w:ind w:left="-206" w:firstLine="546"/>
        <w:jc w:val="center"/>
        <w:spacing w:beforeAutospacing="0" w:afterAutospacing="0" w:line="0" w:lineRule="atLeast"/>
        <w:rPr>
          <w:rFonts w:hint="eastAsia" w:ascii="宋体" w:hAnsi="宋体" w:eastAsia="宋体" w:cs="宋体"/>
          <w:b/>
          <w:bCs/>
          <w:sz w:val="32"/>
          <w:szCs w:val="32"/>
        </w:rPr>
      </w:pPr>
      <w:r>
        <w:rPr>
          <w:rFonts w:hint="eastAsia" w:ascii="宋体" w:hAnsi="宋体" w:eastAsia="宋体" w:cs="宋体"/>
          <w:b/>
          <w:bCs/>
          <w:sz w:val="32"/>
          <w:szCs w:val="32"/>
        </w:rPr>
      </w:r>
      <w:r>
        <w:rPr>
          <w:rFonts w:hint="eastAsia" w:ascii="宋体" w:hAnsi="宋体" w:eastAsia="宋体" w:cs="宋体"/>
          <w:b/>
          <w:bCs/>
          <w:sz w:val="32"/>
          <w:szCs w:val="32"/>
        </w:rPr>
      </w:r>
      <w:r/>
    </w:p>
    <w:p>
      <w:pPr>
        <w:pStyle w:val="850"/>
        <w:ind w:left="-206" w:firstLine="546"/>
        <w:jc w:val="center"/>
        <w:spacing w:beforeAutospacing="0" w:afterAutospacing="0" w:line="0" w:lineRule="atLeast"/>
        <w:rPr>
          <w:rFonts w:hint="eastAsia" w:ascii="宋体" w:hAnsi="宋体" w:eastAsia="宋体" w:cs="宋体"/>
          <w:b/>
          <w:bCs/>
          <w:sz w:val="32"/>
          <w:szCs w:val="32"/>
        </w:rPr>
      </w:pPr>
      <w:r>
        <w:rPr>
          <w:rFonts w:hint="eastAsia" w:ascii="宋体" w:hAnsi="宋体" w:eastAsia="宋体" w:cs="宋体"/>
          <w:b/>
          <w:sz w:val="32"/>
          <w:szCs w:val="32"/>
        </w:rPr>
      </w:r>
      <w:r/>
    </w:p>
    <w:p>
      <w:pPr>
        <w:pStyle w:val="850"/>
        <w:ind w:left="-206" w:firstLine="546"/>
        <w:jc w:val="center"/>
        <w:spacing w:beforeAutospacing="0" w:afterAutospacing="0" w:line="0" w:lineRule="atLeast"/>
      </w:pPr>
      <w:r>
        <w:rPr>
          <w:rFonts w:hint="eastAsia" w:ascii="宋体" w:hAnsi="宋体" w:eastAsia="宋体" w:cs="宋体"/>
          <w:b/>
          <w:sz w:val="32"/>
          <w:szCs w:val="32"/>
        </w:rPr>
        <w:t xml:space="preserve">投标文件目录</w:t>
      </w:r>
      <w:r/>
    </w:p>
    <w:p>
      <w:pPr>
        <w:pStyle w:val="850"/>
        <w:ind w:left="-206"/>
        <w:jc w:val="center"/>
        <w:spacing w:beforeAutospacing="0" w:afterAutospacing="0" w:line="0" w:lineRule="atLeast"/>
      </w:pPr>
      <w:r>
        <w:t xml:space="preserve"> </w:t>
      </w:r>
      <w:r/>
    </w:p>
    <w:p>
      <w:pPr>
        <w:pStyle w:val="850"/>
        <w:contextualSpacing/>
        <w:ind w:left="-206" w:firstLine="480"/>
        <w:spacing w:beforeAutospacing="0" w:afterAutospacing="0" w:line="500" w:lineRule="exact"/>
        <w:rPr>
          <w:i/>
          <w:u w:val="single"/>
        </w:rPr>
      </w:pPr>
      <w:r>
        <w:rPr>
          <w:rFonts w:hint="eastAsia" w:ascii="宋体" w:hAnsi="宋体" w:eastAsia="宋体" w:cs="宋体"/>
          <w:i/>
          <w:u w:val="single"/>
        </w:rPr>
        <w:t xml:space="preserve">一、法人或者其他组织的营业执照等证明文件，自然人的身份证明</w:t>
      </w:r>
      <w:r/>
    </w:p>
    <w:p>
      <w:pPr>
        <w:contextualSpacing/>
        <w:ind w:left="-206" w:firstLine="480"/>
        <w:jc w:val="left"/>
        <w:spacing w:line="500" w:lineRule="exact"/>
        <w:tabs>
          <w:tab w:val="left" w:pos="1331" w:leader="none"/>
        </w:tabs>
        <w:rPr>
          <w:rFonts w:hint="eastAsia" w:ascii="宋体" w:hAnsi="宋体" w:eastAsia="宋体" w:cs="宋体"/>
          <w:i/>
          <w:sz w:val="24"/>
          <w:u w:val="single"/>
        </w:rPr>
      </w:pPr>
      <w:r>
        <w:rPr>
          <w:rFonts w:hint="eastAsia" w:ascii="宋体" w:hAnsi="宋体" w:eastAsia="宋体" w:cs="宋体"/>
          <w:i/>
          <w:sz w:val="24"/>
          <w:u w:val="single"/>
        </w:rPr>
        <w:t xml:space="preserve">二、上一年度的财务状况报表（至少提供资产负债表、利润表、现金流量表，投标人成立不满一年无需提供</w:t>
      </w:r>
      <w:r>
        <w:rPr>
          <w:rFonts w:hint="eastAsia" w:ascii="宋体" w:hAnsi="宋体" w:eastAsia="宋体" w:cs="宋体"/>
          <w:i/>
          <w:u w:val="single"/>
        </w:rPr>
        <w:t xml:space="preserve">）</w:t>
      </w:r>
      <w:r/>
    </w:p>
    <w:p>
      <w:pPr>
        <w:pStyle w:val="850"/>
        <w:contextualSpacing/>
        <w:ind w:left="-206" w:firstLine="480"/>
        <w:spacing w:beforeAutospacing="0" w:afterAutospacing="0" w:line="500" w:lineRule="exact"/>
        <w:rPr>
          <w:rFonts w:hint="eastAsia" w:ascii="宋体" w:hAnsi="宋体" w:eastAsia="宋体" w:cs="宋体"/>
          <w:i/>
          <w:u w:val="single"/>
        </w:rPr>
      </w:pPr>
      <w:r>
        <w:rPr>
          <w:rFonts w:hint="eastAsia" w:ascii="宋体" w:hAnsi="宋体" w:eastAsia="宋体" w:cs="宋体"/>
          <w:i/>
          <w:u w:val="single"/>
        </w:rPr>
        <w:t xml:space="preserve">三、具备履行合同所必需的设备和专业技术能力的书面声明</w:t>
      </w:r>
      <w:r/>
    </w:p>
    <w:p>
      <w:pPr>
        <w:pStyle w:val="850"/>
        <w:contextualSpacing/>
        <w:ind w:left="-206" w:firstLine="480"/>
        <w:spacing w:beforeAutospacing="0" w:afterAutospacing="0" w:line="500" w:lineRule="exact"/>
        <w:rPr>
          <w:rFonts w:hint="eastAsia" w:ascii="宋体" w:hAnsi="宋体" w:eastAsia="宋体" w:cs="宋体"/>
          <w:i/>
          <w:u w:val="single"/>
        </w:rPr>
      </w:pPr>
      <w:r>
        <w:rPr>
          <w:rFonts w:hint="eastAsia" w:ascii="宋体" w:hAnsi="宋体" w:eastAsia="宋体" w:cs="宋体"/>
          <w:i/>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50"/>
        <w:contextualSpacing/>
        <w:ind w:left="-206" w:firstLine="480"/>
        <w:spacing w:beforeAutospacing="0" w:afterAutospacing="0" w:line="500" w:lineRule="exact"/>
        <w:rPr>
          <w:i/>
          <w:u w:val="single"/>
        </w:rPr>
      </w:pPr>
      <w:r>
        <w:rPr>
          <w:rFonts w:hint="eastAsia" w:ascii="宋体" w:hAnsi="宋体" w:eastAsia="宋体" w:cs="宋体"/>
          <w:i/>
          <w:u w:val="single"/>
        </w:rPr>
        <w:t xml:space="preserve">五、参加政府采购活动前 3 年内在经营活动中没有重大违法记录的书面声明</w:t>
      </w:r>
      <w:r/>
    </w:p>
    <w:p>
      <w:pPr>
        <w:pStyle w:val="850"/>
        <w:contextualSpacing/>
        <w:ind w:left="-206" w:firstLine="480"/>
        <w:spacing w:beforeAutospacing="0" w:afterAutospacing="0" w:line="500" w:lineRule="exact"/>
        <w:rPr>
          <w:i/>
          <w:u w:val="single"/>
        </w:rPr>
      </w:pPr>
      <w:r>
        <w:rPr>
          <w:rFonts w:hint="eastAsia" w:ascii="宋体" w:hAnsi="宋体" w:eastAsia="宋体" w:cs="宋体"/>
          <w:i/>
          <w:u w:val="single"/>
        </w:rPr>
        <w:t xml:space="preserve">六、特定资格要求的证明文件（如果本项目设置特定资格要求，则需要提供）</w:t>
      </w:r>
      <w:r/>
    </w:p>
    <w:p>
      <w:pPr>
        <w:pStyle w:val="850"/>
        <w:contextualSpacing/>
        <w:ind w:left="-206" w:firstLine="480"/>
        <w:spacing w:beforeAutospacing="0" w:afterAutospacing="0" w:line="500" w:lineRule="exact"/>
        <w:rPr>
          <w:i/>
          <w:u w:val="single"/>
        </w:rPr>
      </w:pPr>
      <w:r>
        <w:rPr>
          <w:rFonts w:hint="eastAsia" w:ascii="宋体" w:hAnsi="宋体" w:eastAsia="宋体" w:cs="宋体"/>
          <w:i/>
          <w:u w:val="single"/>
        </w:rPr>
        <w:t xml:space="preserve">七、法人授权书</w:t>
      </w:r>
      <w:r/>
    </w:p>
    <w:p>
      <w:pPr>
        <w:pStyle w:val="850"/>
        <w:contextualSpacing/>
        <w:ind w:left="-206" w:firstLine="480"/>
        <w:spacing w:beforeAutospacing="0" w:afterAutospacing="0" w:line="500" w:lineRule="exact"/>
        <w:rPr>
          <w:i/>
          <w:u w:val="single"/>
        </w:rPr>
      </w:pPr>
      <w:r>
        <w:rPr>
          <w:rFonts w:hint="eastAsia" w:ascii="宋体" w:hAnsi="宋体" w:eastAsia="宋体" w:cs="宋体"/>
          <w:i/>
          <w:u w:val="single"/>
        </w:rPr>
        <w:t xml:space="preserve">八、投标函</w:t>
      </w:r>
      <w:r/>
    </w:p>
    <w:p>
      <w:pPr>
        <w:pStyle w:val="850"/>
        <w:contextualSpacing/>
        <w:ind w:left="-206" w:firstLine="480"/>
        <w:spacing w:beforeAutospacing="0" w:afterAutospacing="0" w:line="500" w:lineRule="exact"/>
        <w:rPr>
          <w:iCs/>
        </w:rPr>
      </w:pPr>
      <w:r>
        <w:rPr>
          <w:rFonts w:hint="eastAsia" w:ascii="宋体" w:hAnsi="宋体" w:eastAsia="宋体" w:cs="宋体"/>
          <w:iCs/>
        </w:rPr>
        <w:t xml:space="preserve">九、中小企业声明函</w:t>
      </w:r>
      <w:r/>
    </w:p>
    <w:p>
      <w:pPr>
        <w:pStyle w:val="850"/>
        <w:contextualSpacing/>
        <w:ind w:left="-206" w:firstLine="480"/>
        <w:spacing w:beforeAutospacing="0" w:afterAutospacing="0" w:line="500" w:lineRule="exact"/>
        <w:rPr>
          <w:iCs/>
        </w:rPr>
      </w:pPr>
      <w:r>
        <w:rPr>
          <w:rFonts w:hint="eastAsia" w:ascii="宋体" w:hAnsi="宋体" w:eastAsia="宋体" w:cs="宋体"/>
          <w:iCs/>
        </w:rPr>
        <w:t xml:space="preserve">十、残疾人福利性单位声明函</w:t>
      </w:r>
      <w:r/>
    </w:p>
    <w:p>
      <w:pPr>
        <w:pStyle w:val="850"/>
        <w:contextualSpacing/>
        <w:ind w:left="-206" w:firstLine="480"/>
        <w:spacing w:beforeAutospacing="0" w:afterAutospacing="0" w:line="500" w:lineRule="exact"/>
        <w:rPr>
          <w:rFonts w:hint="eastAsia" w:ascii="宋体" w:hAnsi="宋体" w:eastAsia="宋体" w:cs="宋体"/>
          <w:iCs/>
        </w:rPr>
      </w:pPr>
      <w:r>
        <w:rPr>
          <w:rFonts w:hint="eastAsia" w:ascii="宋体" w:hAnsi="宋体" w:eastAsia="宋体" w:cs="宋体"/>
          <w:iCs/>
        </w:rPr>
        <w:t xml:space="preserve">十一、关于符合本国产品标准的声明函</w:t>
      </w:r>
      <w:r/>
    </w:p>
    <w:p>
      <w:pPr>
        <w:pStyle w:val="850"/>
        <w:contextualSpacing/>
        <w:ind w:left="-206" w:firstLine="480"/>
        <w:spacing w:beforeAutospacing="0" w:afterAutospacing="0" w:line="500" w:lineRule="exact"/>
        <w:rPr>
          <w:i/>
          <w:u w:val="single"/>
        </w:rPr>
      </w:pPr>
      <w:r>
        <w:rPr>
          <w:rFonts w:hint="eastAsia" w:ascii="宋体" w:hAnsi="宋体" w:eastAsia="宋体" w:cs="宋体"/>
          <w:i/>
          <w:u w:val="single"/>
        </w:rPr>
        <w:t xml:space="preserve">十二、投标分项报价表</w:t>
      </w:r>
      <w:r/>
    </w:p>
    <w:p>
      <w:pPr>
        <w:pStyle w:val="850"/>
        <w:contextualSpacing/>
        <w:ind w:left="-206" w:firstLine="480"/>
        <w:spacing w:beforeAutospacing="0" w:afterAutospacing="0" w:line="500" w:lineRule="exact"/>
        <w:rPr>
          <w:iCs/>
        </w:rPr>
      </w:pPr>
      <w:r>
        <w:rPr>
          <w:rFonts w:hint="eastAsia" w:ascii="宋体" w:hAnsi="宋体" w:eastAsia="宋体" w:cs="宋体"/>
          <w:iCs/>
        </w:rPr>
        <w:t xml:space="preserve">十二、技术要求响应及偏离表</w:t>
      </w:r>
      <w:r/>
    </w:p>
    <w:p>
      <w:pPr>
        <w:pStyle w:val="850"/>
        <w:contextualSpacing/>
        <w:ind w:left="-206" w:firstLine="480"/>
        <w:spacing w:beforeAutospacing="0" w:afterAutospacing="0" w:line="500" w:lineRule="exact"/>
        <w:rPr>
          <w:iCs/>
        </w:rPr>
      </w:pPr>
      <w:r>
        <w:rPr>
          <w:rFonts w:hint="eastAsia" w:ascii="宋体" w:hAnsi="宋体" w:eastAsia="宋体" w:cs="宋体"/>
          <w:iCs/>
        </w:rPr>
        <w:t xml:space="preserve">十三、商务要求响应及偏离表</w:t>
      </w:r>
      <w:r/>
    </w:p>
    <w:p>
      <w:pPr>
        <w:pStyle w:val="850"/>
        <w:contextualSpacing/>
        <w:ind w:left="-206" w:firstLine="480"/>
        <w:spacing w:beforeAutospacing="0" w:afterAutospacing="0" w:line="500" w:lineRule="exact"/>
        <w:rPr>
          <w:rFonts w:hint="eastAsia" w:ascii="宋体" w:hAnsi="宋体" w:eastAsia="宋体" w:cs="宋体"/>
          <w:i/>
          <w:u w:val="single"/>
        </w:rPr>
      </w:pPr>
      <w:r>
        <w:rPr>
          <w:rFonts w:hint="eastAsia" w:ascii="宋体" w:hAnsi="宋体" w:eastAsia="宋体" w:cs="宋体"/>
          <w:i/>
          <w:u w:val="single"/>
        </w:rPr>
        <w:t xml:space="preserve">十四、开标一览表</w:t>
      </w:r>
      <w:r/>
    </w:p>
    <w:p>
      <w:pPr>
        <w:contextualSpacing/>
        <w:ind w:left="-206" w:firstLine="480"/>
        <w:jc w:val="left"/>
        <w:spacing w:line="500" w:lineRule="exact"/>
        <w:widowControl/>
        <w:rPr>
          <w:rFonts w:hint="eastAsia" w:ascii="宋体" w:hAnsi="宋体" w:eastAsia="宋体" w:cs="宋体"/>
          <w:iCs/>
          <w:sz w:val="24"/>
        </w:rPr>
      </w:pPr>
      <w:r>
        <w:rPr>
          <w:rFonts w:hint="eastAsia" w:ascii="宋体" w:hAnsi="宋体" w:eastAsia="宋体" w:cs="宋体"/>
          <w:iCs/>
          <w:sz w:val="24"/>
        </w:rPr>
        <w:t xml:space="preserve">十五、技术方案等</w:t>
      </w:r>
      <w:r/>
    </w:p>
    <w:p>
      <w:pPr>
        <w:pStyle w:val="850"/>
        <w:contextualSpacing/>
        <w:ind w:left="-206" w:firstLine="480"/>
        <w:spacing w:beforeAutospacing="0" w:afterAutospacing="0" w:line="500" w:lineRule="exact"/>
        <w:rPr>
          <w:rFonts w:hint="eastAsia" w:ascii="宋体" w:hAnsi="宋体" w:eastAsia="宋体" w:cs="宋体"/>
          <w:iCs/>
        </w:rPr>
      </w:pPr>
      <w:r>
        <w:rPr>
          <w:rFonts w:hint="eastAsia" w:ascii="宋体" w:hAnsi="宋体" w:eastAsia="宋体" w:cs="宋体"/>
          <w:iCs/>
        </w:rPr>
        <w:t xml:space="preserve">十六、盐城市政府采购事前信用承诺书、盐城市大丰区政府招标采购供应商承诺书</w:t>
      </w:r>
      <w:r/>
    </w:p>
    <w:p>
      <w:pPr>
        <w:pStyle w:val="850"/>
        <w:ind w:left="-206" w:firstLine="408"/>
        <w:jc w:val="both"/>
        <w:spacing w:beforeAutospacing="0" w:afterAutospacing="0" w:line="0" w:lineRule="atLeast"/>
      </w:pPr>
      <w:r>
        <w:t xml:space="preserve"> </w:t>
      </w:r>
      <w:r/>
    </w:p>
    <w:p>
      <w:pPr>
        <w:pStyle w:val="850"/>
        <w:ind w:left="-206" w:firstLine="408"/>
        <w:jc w:val="both"/>
        <w:spacing w:beforeAutospacing="0" w:afterAutospacing="0" w:line="0" w:lineRule="atLeast"/>
      </w:pPr>
      <w:r>
        <w:t xml:space="preserve"> </w:t>
      </w:r>
      <w:r/>
    </w:p>
    <w:p>
      <w:pPr>
        <w:pStyle w:val="850"/>
        <w:ind w:left="-206" w:firstLine="408"/>
        <w:jc w:val="both"/>
        <w:spacing w:beforeAutospacing="0" w:afterAutospacing="0" w:line="0" w:lineRule="atLeast"/>
      </w:pPr>
      <w:r/>
      <w:r/>
    </w:p>
    <w:p>
      <w:pPr>
        <w:pStyle w:val="850"/>
        <w:ind w:left="-206" w:firstLine="408"/>
        <w:jc w:val="both"/>
        <w:spacing w:beforeAutospacing="0" w:afterAutospacing="0" w:line="0" w:lineRule="atLeast"/>
      </w:pPr>
      <w:r/>
      <w:r/>
    </w:p>
    <w:p>
      <w:pPr>
        <w:pStyle w:val="850"/>
        <w:ind w:left="-206" w:firstLine="408"/>
        <w:jc w:val="both"/>
        <w:spacing w:beforeAutospacing="0" w:afterAutospacing="0" w:line="0" w:lineRule="atLeast"/>
      </w:pPr>
      <w:r/>
      <w:r/>
    </w:p>
    <w:p>
      <w:pPr>
        <w:pStyle w:val="850"/>
        <w:ind w:left="-206" w:firstLine="408"/>
        <w:jc w:val="both"/>
        <w:spacing w:beforeAutospacing="0" w:afterAutospacing="0" w:line="0" w:lineRule="atLeast"/>
      </w:pPr>
      <w:r>
        <w:t xml:space="preserve">  </w:t>
      </w:r>
      <w:r>
        <w:t xml:space="preserve"> </w:t>
      </w:r>
      <w:r>
        <w:rPr>
          <w:rFonts w:hint="eastAsia" w:ascii="黑体" w:hAnsi="宋体" w:eastAsia="黑体" w:cs="黑体"/>
          <w:i/>
          <w:sz w:val="32"/>
          <w:szCs w:val="32"/>
          <w:u w:val="single"/>
        </w:rPr>
        <w:t xml:space="preserve">一、法人或者其他组织的营业执照等证明文件，自然人的身份证明</w:t>
      </w:r>
      <w:r/>
    </w:p>
    <w:p>
      <w:pPr>
        <w:pStyle w:val="850"/>
        <w:ind w:left="-206" w:firstLine="408"/>
        <w:jc w:val="both"/>
        <w:spacing w:beforeAutospacing="0" w:afterAutospacing="0" w:line="0" w:lineRule="atLeast"/>
      </w:pPr>
      <w:r>
        <w:t xml:space="preserve"> </w:t>
      </w:r>
      <w:r/>
    </w:p>
    <w:p>
      <w:pPr>
        <w:pStyle w:val="850"/>
        <w:ind w:left="-206" w:firstLine="408"/>
        <w:jc w:val="both"/>
        <w:spacing w:beforeAutospacing="0" w:afterAutospacing="0" w:line="0" w:lineRule="atLeast"/>
        <w:rPr>
          <w:rFonts w:eastAsia="黑体"/>
        </w:rPr>
      </w:pPr>
      <w:r>
        <w:rPr>
          <w:rFonts w:hint="eastAsia" w:ascii="黑体" w:hAnsi="宋体" w:eastAsia="黑体" w:cs="黑体"/>
          <w:i/>
          <w:sz w:val="32"/>
          <w:szCs w:val="32"/>
          <w:u w:val="single"/>
        </w:rPr>
        <w:t xml:space="preserve">二、上一年度的财务状况报表</w:t>
      </w:r>
      <w:r/>
    </w:p>
    <w:p>
      <w:pPr>
        <w:pStyle w:val="850"/>
        <w:ind w:left="-206"/>
        <w:jc w:val="both"/>
        <w:spacing w:beforeAutospacing="0" w:afterAutospacing="0"/>
      </w:pPr>
      <w:r>
        <w:rPr>
          <w:rFonts w:hint="eastAsia" w:ascii="宋体" w:hAnsi="宋体" w:eastAsia="宋体" w:cs="宋体"/>
        </w:rPr>
        <w:t xml:space="preserve">（至少提供资产负债表、利润表、现金流量表，投标人成立不满一年无需提供）</w:t>
      </w:r>
      <w:r>
        <w:t xml:space="preserve"> </w:t>
      </w:r>
      <w:r/>
    </w:p>
    <w:p>
      <w:pPr>
        <w:pStyle w:val="850"/>
        <w:ind w:left="-206" w:firstLine="544"/>
        <w:jc w:val="both"/>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850"/>
        <w:ind w:left="-206" w:firstLine="544"/>
        <w:jc w:val="both"/>
        <w:spacing w:beforeAutospacing="0" w:afterAutospacing="0"/>
      </w:pPr>
      <w:r>
        <w:rPr>
          <w:rFonts w:hint="eastAsia" w:ascii="黑体" w:hAnsi="宋体" w:eastAsia="黑体" w:cs="黑体"/>
          <w:i/>
          <w:sz w:val="32"/>
          <w:szCs w:val="32"/>
          <w:u w:val="single"/>
        </w:rPr>
        <w:t xml:space="preserve">三、具备履行合同所必需的设备和专业技术能力的书面声明</w:t>
      </w:r>
      <w:r/>
    </w:p>
    <w:p>
      <w:pPr>
        <w:pStyle w:val="850"/>
        <w:ind w:left="-206" w:firstLine="408"/>
        <w:jc w:val="both"/>
        <w:spacing w:beforeAutospacing="0" w:afterAutospacing="0" w:line="0" w:lineRule="atLeast"/>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850"/>
        <w:ind w:left="-206" w:firstLine="480"/>
        <w:jc w:val="both"/>
        <w:spacing w:beforeAutospacing="0" w:afterAutospacing="0" w:line="0" w:lineRule="atLeast"/>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850"/>
        <w:ind w:left="-206" w:firstLine="480"/>
        <w:jc w:val="both"/>
        <w:spacing w:beforeAutospacing="0" w:afterAutospacing="0"/>
        <w:rPr>
          <w:rFonts w:hint="eastAsia"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850"/>
        <w:contextualSpacing/>
        <w:ind w:firstLine="240"/>
        <w:spacing w:beforeAutospacing="0" w:afterAutospacing="0" w:line="440" w:lineRule="atLeast"/>
      </w:pPr>
      <w:r>
        <w:rPr>
          <w:rFonts w:hint="eastAsia" w:ascii="宋体" w:hAnsi="宋体" w:eastAsia="宋体" w:cs="宋体"/>
        </w:rPr>
        <w:t xml:space="preserve">企业名称（加盖CA电子公章）：</w:t>
      </w:r>
      <w:r/>
    </w:p>
    <w:p>
      <w:pPr>
        <w:pStyle w:val="850"/>
        <w:contextualSpacing/>
        <w:ind w:firstLine="240"/>
        <w:jc w:val="both"/>
        <w:spacing w:beforeAutospacing="0" w:afterAutospacing="0" w:line="440" w:lineRule="atLeast"/>
      </w:pPr>
      <w:r>
        <w:rPr>
          <w:rFonts w:hint="eastAsia" w:ascii="宋体" w:hAnsi="宋体" w:eastAsia="宋体" w:cs="宋体"/>
        </w:rPr>
        <w:t xml:space="preserve">日  期：</w:t>
      </w:r>
      <w:r/>
    </w:p>
    <w:p>
      <w:pPr>
        <w:pStyle w:val="850"/>
        <w:ind w:left="-206" w:firstLine="544"/>
        <w:jc w:val="both"/>
        <w:spacing w:beforeAutospacing="0" w:afterAutospacing="0"/>
      </w:pPr>
      <w:r>
        <w:rPr>
          <w:rFonts w:hint="eastAsia" w:ascii="黑体" w:hAnsi="宋体" w:eastAsia="黑体" w:cs="黑体"/>
          <w:i/>
          <w:sz w:val="32"/>
          <w:szCs w:val="32"/>
          <w:u w:val="single"/>
        </w:rPr>
        <w:t xml:space="preserve">四、依法缴纳税收和社会保障资金的相关材料</w:t>
      </w:r>
      <w:r/>
    </w:p>
    <w:p>
      <w:pPr>
        <w:pStyle w:val="850"/>
        <w:ind w:left="-206" w:firstLine="408"/>
        <w:jc w:val="both"/>
        <w:spacing w:beforeAutospacing="0" w:afterAutospacing="0"/>
      </w:pPr>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r/>
    </w:p>
    <w:p>
      <w:pPr>
        <w:pStyle w:val="850"/>
        <w:ind w:left="-206"/>
        <w:jc w:val="both"/>
        <w:spacing w:beforeAutospacing="0" w:afterAutospacing="0"/>
      </w:pPr>
      <w:r>
        <w:t xml:space="preserve"> </w:t>
      </w:r>
      <w:r/>
    </w:p>
    <w:p>
      <w:pPr>
        <w:pStyle w:val="850"/>
        <w:ind w:left="-206" w:firstLine="544"/>
        <w:jc w:val="both"/>
        <w:spacing w:beforeAutospacing="0" w:afterAutospacing="0"/>
      </w:pPr>
      <w:r>
        <w:rPr>
          <w:rFonts w:hint="eastAsia" w:ascii="黑体" w:hAnsi="宋体" w:eastAsia="黑体" w:cs="黑体"/>
          <w:i/>
          <w:sz w:val="32"/>
          <w:szCs w:val="32"/>
          <w:u w:val="single"/>
        </w:rPr>
        <w:t xml:space="preserve">五、参加政府采购活动前 3 年内在经营活动中没有重大违法记录的书面声明</w:t>
      </w:r>
      <w:r/>
    </w:p>
    <w:p>
      <w:pPr>
        <w:pStyle w:val="850"/>
        <w:ind w:left="-206" w:firstLine="751"/>
        <w:jc w:val="both"/>
        <w:spacing w:beforeAutospacing="0" w:afterAutospacing="0" w:line="0" w:lineRule="atLeast"/>
        <w:rPr>
          <w:rFonts w:hint="eastAsia" w:ascii="宋体" w:hAnsi="宋体" w:eastAsia="宋体" w:cs="宋体"/>
          <w:b/>
          <w:sz w:val="44"/>
          <w:szCs w:val="44"/>
        </w:rPr>
      </w:pPr>
      <w:r>
        <w:rPr>
          <w:rFonts w:hint="eastAsia" w:ascii="宋体" w:hAnsi="宋体" w:eastAsia="宋体" w:cs="宋体"/>
          <w:b/>
          <w:sz w:val="44"/>
          <w:szCs w:val="44"/>
        </w:rPr>
        <w:t xml:space="preserve">                </w:t>
      </w:r>
      <w:r/>
    </w:p>
    <w:p>
      <w:pPr>
        <w:pStyle w:val="850"/>
        <w:ind w:left="-206" w:firstLine="3092"/>
        <w:jc w:val="both"/>
        <w:spacing w:beforeAutospacing="0" w:afterAutospacing="0" w:line="0" w:lineRule="atLeast"/>
      </w:pPr>
      <w:r>
        <w:rPr>
          <w:rFonts w:hint="eastAsia" w:ascii="宋体" w:hAnsi="宋体" w:eastAsia="宋体" w:cs="宋体"/>
          <w:b/>
          <w:sz w:val="44"/>
          <w:szCs w:val="44"/>
        </w:rPr>
        <w:t xml:space="preserve"> 声  明</w:t>
      </w:r>
      <w:r/>
    </w:p>
    <w:p>
      <w:pPr>
        <w:pStyle w:val="850"/>
        <w:ind w:left="-206" w:firstLine="410"/>
        <w:jc w:val="both"/>
        <w:spacing w:beforeAutospacing="0" w:afterAutospacing="0" w:line="0" w:lineRule="atLeast"/>
      </w:pPr>
      <w:r>
        <w:rPr>
          <w:rFonts w:hint="eastAsia" w:ascii="宋体" w:hAnsi="宋体" w:eastAsia="宋体" w:cs="宋体"/>
          <w:b/>
        </w:rPr>
        <w:t xml:space="preserve"> </w:t>
      </w: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850"/>
        <w:contextualSpacing/>
        <w:ind w:firstLine="240"/>
        <w:spacing w:beforeAutospacing="0" w:afterAutospacing="0" w:line="440" w:lineRule="atLeast"/>
      </w:pPr>
      <w:r>
        <w:t xml:space="preserve"> </w:t>
      </w:r>
      <w:r>
        <w:rPr>
          <w:rFonts w:hint="eastAsia" w:ascii="宋体" w:hAnsi="宋体" w:eastAsia="宋体" w:cs="宋体"/>
        </w:rPr>
        <w:t xml:space="preserve">企业名称（加盖CA电子公章）：</w:t>
      </w:r>
      <w:r/>
    </w:p>
    <w:p>
      <w:pPr>
        <w:pStyle w:val="850"/>
        <w:contextualSpacing/>
        <w:ind w:firstLine="240"/>
        <w:jc w:val="both"/>
        <w:spacing w:beforeAutospacing="0" w:afterAutospacing="0" w:line="440" w:lineRule="atLeast"/>
      </w:pPr>
      <w:r>
        <w:rPr>
          <w:rFonts w:hint="eastAsia" w:ascii="宋体" w:hAnsi="宋体" w:eastAsia="宋体" w:cs="宋体"/>
        </w:rPr>
        <w:t xml:space="preserve">日  期：</w:t>
      </w:r>
      <w:r/>
    </w:p>
    <w:p>
      <w:pPr>
        <w:pStyle w:val="850"/>
        <w:ind w:left="-206"/>
        <w:jc w:val="both"/>
        <w:spacing w:beforeAutospacing="0" w:afterAutospacing="0"/>
      </w:pPr>
      <w:r/>
      <w:r/>
    </w:p>
    <w:p>
      <w:pPr>
        <w:pStyle w:val="850"/>
        <w:ind w:left="-206" w:firstLine="544"/>
        <w:jc w:val="both"/>
        <w:spacing w:beforeAutospacing="0" w:afterAutospacing="0"/>
      </w:pPr>
      <w:r>
        <w:rPr>
          <w:rFonts w:hint="eastAsia" w:ascii="黑体" w:hAnsi="宋体" w:eastAsia="黑体" w:cs="黑体"/>
          <w:i/>
          <w:sz w:val="32"/>
          <w:szCs w:val="32"/>
          <w:u w:val="single"/>
        </w:rPr>
        <w:t xml:space="preserve">六、特定资格要求的证明文件</w:t>
      </w:r>
      <w:r/>
    </w:p>
    <w:p>
      <w:pPr>
        <w:pStyle w:val="850"/>
        <w:ind w:left="-206"/>
        <w:jc w:val="both"/>
        <w:spacing w:beforeAutospacing="0" w:afterAutospacing="0" w:line="0" w:lineRule="atLeast"/>
      </w:pPr>
      <w:r>
        <w:rPr>
          <w:rFonts w:hint="eastAsia" w:ascii="宋体" w:hAnsi="宋体" w:eastAsia="宋体" w:cs="宋体"/>
        </w:rPr>
        <w:t xml:space="preserve">   如果本项目申请人的特定资格要求中要求提供的，必须提供。</w:t>
      </w:r>
      <w:r/>
    </w:p>
    <w:p>
      <w:pPr>
        <w:pStyle w:val="850"/>
        <w:ind w:left="-206" w:firstLine="544"/>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i/>
          <w:sz w:val="32"/>
          <w:szCs w:val="32"/>
          <w:u w:val="single"/>
        </w:rPr>
      </w:r>
      <w:r>
        <w:rPr>
          <w:rFonts w:hint="eastAsia" w:ascii="黑体" w:hAnsi="宋体" w:eastAsia="黑体" w:cs="黑体"/>
          <w:i/>
          <w:sz w:val="32"/>
          <w:szCs w:val="32"/>
          <w:u w:val="single"/>
        </w:rPr>
      </w:r>
      <w:r/>
    </w:p>
    <w:p>
      <w:pPr>
        <w:pStyle w:val="850"/>
        <w:ind w:left="-206" w:firstLine="544"/>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rPr>
          <w:rFonts w:hint="eastAsia" w:ascii="黑体" w:hAnsi="宋体" w:eastAsia="黑体" w:cs="黑体"/>
          <w:bCs/>
          <w:i/>
          <w:sz w:val="32"/>
          <w:szCs w:val="32"/>
          <w:u w:val="single"/>
        </w:rPr>
      </w:r>
      <w:r/>
    </w:p>
    <w:p>
      <w:pPr>
        <w:pStyle w:val="850"/>
        <w:ind w:left="-206" w:firstLine="544"/>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rPr>
          <w:rFonts w:hint="eastAsia" w:ascii="黑体" w:hAnsi="宋体" w:eastAsia="黑体" w:cs="黑体"/>
          <w:bCs/>
          <w:i/>
          <w:sz w:val="32"/>
          <w:szCs w:val="32"/>
          <w:u w:val="single"/>
        </w:rPr>
      </w:r>
      <w:r/>
    </w:p>
    <w:p>
      <w:pPr>
        <w:pStyle w:val="850"/>
        <w:ind w:left="-206" w:firstLine="544"/>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rPr>
          <w:rFonts w:hint="eastAsia" w:ascii="黑体" w:hAnsi="宋体" w:eastAsia="黑体" w:cs="黑体"/>
          <w:bCs/>
          <w:i/>
          <w:sz w:val="32"/>
          <w:szCs w:val="32"/>
          <w:u w:val="single"/>
        </w:rPr>
      </w:r>
      <w:r/>
    </w:p>
    <w:p>
      <w:pPr>
        <w:pStyle w:val="850"/>
        <w:ind w:left="-206" w:firstLine="544"/>
        <w:jc w:val="center"/>
        <w:spacing w:beforeAutospacing="0" w:afterAutospacing="0"/>
        <w:rPr>
          <w:rFonts w:hint="eastAsia" w:ascii="黑体" w:hAnsi="宋体" w:eastAsia="黑体" w:cs="黑体"/>
          <w:bCs/>
          <w:i/>
          <w:sz w:val="32"/>
          <w:szCs w:val="32"/>
          <w:u w:val="single"/>
        </w:rPr>
      </w:pPr>
      <w:r/>
      <w:bookmarkStart w:id="179" w:name="_Toc120614284"/>
      <w:r/>
      <w:r/>
    </w:p>
    <w:p>
      <w:pPr>
        <w:pStyle w:val="850"/>
        <w:ind w:left="-206" w:firstLine="544"/>
        <w:jc w:val="center"/>
        <w:spacing w:beforeAutospacing="0" w:afterAutospacing="0"/>
      </w:pPr>
      <w:r>
        <w:rPr>
          <w:rFonts w:hint="eastAsia" w:ascii="黑体" w:hAnsi="宋体" w:eastAsia="黑体" w:cs="黑体"/>
          <w:i/>
          <w:sz w:val="32"/>
          <w:szCs w:val="32"/>
          <w:u w:val="single"/>
        </w:rPr>
        <w:t xml:space="preserve">七、法人授权书</w:t>
      </w:r>
      <w:r/>
    </w:p>
    <w:p>
      <w:pPr>
        <w:pStyle w:val="850"/>
        <w:ind w:left="-206" w:firstLine="408"/>
        <w:jc w:val="both"/>
        <w:spacing w:beforeAutospacing="0" w:afterAutospacing="0"/>
        <w:tabs>
          <w:tab w:val="left" w:pos="360" w:leader="none"/>
        </w:tabs>
      </w:pPr>
      <w:r>
        <w:rPr>
          <w:rFonts w:ascii="Times New Roman" w:hAnsi="Times New Roman"/>
        </w:rPr>
        <w:t xml:space="preserve">本授权书声明：____________（投标人名称）授权________________（被授权人的姓名）为我方就</w:t>
      </w:r>
      <w:r>
        <w:rPr>
          <w:rFonts w:hint="eastAsia" w:ascii="Times New Roman" w:hAnsi="Times New Roman"/>
          <w:u w:val="single"/>
        </w:rPr>
        <w:t xml:space="preserve">  （</w:t>
      </w:r>
      <w:r>
        <w:rPr>
          <w:rFonts w:hint="eastAsia" w:ascii="Times New Roman" w:hAnsi="Times New Roman"/>
          <w:i/>
          <w:iCs/>
          <w:u w:val="single"/>
        </w:rPr>
        <w:t xml:space="preserve">该处填写项目编号</w:t>
      </w:r>
      <w:r>
        <w:rPr>
          <w:rFonts w:hint="eastAsia" w:ascii="Times New Roman" w:hAnsi="Times New Roman"/>
          <w:u w:val="single"/>
        </w:rPr>
        <w:t xml:space="preserve">）  </w:t>
      </w:r>
      <w:r>
        <w:rPr>
          <w:rFonts w:ascii="Times New Roman" w:hAnsi="Times New Roman"/>
        </w:rPr>
        <w:t xml:space="preserve">项目采购活动的合法代理人，以本单位名义全权处理一切与该项目采购有关的事务。</w:t>
      </w:r>
      <w:r/>
    </w:p>
    <w:p>
      <w:pPr>
        <w:pStyle w:val="850"/>
        <w:ind w:left="-206" w:firstLine="408"/>
        <w:jc w:val="both"/>
        <w:spacing w:beforeAutospacing="0" w:afterAutospacing="0"/>
        <w:tabs>
          <w:tab w:val="left" w:pos="360" w:leader="none"/>
        </w:tabs>
      </w:pPr>
      <w:r>
        <w:rPr>
          <w:rFonts w:ascii="Times New Roman" w:hAnsi="Times New Roman"/>
        </w:rPr>
        <w:t xml:space="preserve">本授权书于______年____月____日起生效，特此声明。</w:t>
      </w:r>
      <w:r/>
    </w:p>
    <w:p>
      <w:pPr>
        <w:pStyle w:val="850"/>
        <w:ind w:left="-206"/>
        <w:jc w:val="both"/>
        <w:spacing w:beforeAutospacing="0" w:afterAutospacing="0"/>
        <w:tabs>
          <w:tab w:val="left" w:pos="360" w:leader="none"/>
        </w:tabs>
      </w:pPr>
      <w:r>
        <w:rPr>
          <w:rFonts w:ascii="Times New Roman" w:hAnsi="Times New Roman"/>
        </w:rPr>
        <w:t xml:space="preserve">          被授权人身份证号码：</w:t>
      </w:r>
      <w:r>
        <w:rPr>
          <w:rFonts w:ascii="Times New Roman" w:hAnsi="Times New Roman"/>
          <w:u w:val="single"/>
        </w:rPr>
        <w:t xml:space="preserve">                              </w:t>
      </w:r>
      <w:r/>
    </w:p>
    <w:p>
      <w:pPr>
        <w:pStyle w:val="850"/>
        <w:ind w:left="-206"/>
        <w:jc w:val="both"/>
        <w:spacing w:beforeAutospacing="0" w:afterAutospacing="0"/>
        <w:tabs>
          <w:tab w:val="left" w:pos="360" w:leader="none"/>
        </w:tabs>
      </w:pPr>
      <w:r>
        <w:rPr>
          <w:rFonts w:ascii="Times New Roman" w:hAnsi="Times New Roman"/>
        </w:rPr>
        <w:t xml:space="preserve">          被授权人联系电话：（手机）</w:t>
      </w:r>
      <w:r>
        <w:rPr>
          <w:rFonts w:ascii="Times New Roman" w:hAnsi="Times New Roman"/>
          <w:u w:val="single"/>
        </w:rPr>
        <w:t xml:space="preserve">                          </w:t>
      </w:r>
      <w:r/>
    </w:p>
    <w:p>
      <w:pPr>
        <w:pStyle w:val="850"/>
        <w:ind w:left="-206" w:firstLine="720"/>
        <w:jc w:val="both"/>
        <w:spacing w:beforeAutospacing="0" w:afterAutospacing="0"/>
        <w:tabs>
          <w:tab w:val="left" w:pos="360" w:leader="none"/>
        </w:tabs>
      </w:pPr>
      <w:r>
        <w:rPr>
          <w:rFonts w:ascii="Times New Roman" w:hAnsi="Times New Roman"/>
        </w:rPr>
        <w:t xml:space="preserve">授权单位名称：</w:t>
      </w:r>
      <w:r>
        <w:rPr>
          <w:rFonts w:ascii="Times New Roman" w:hAnsi="Times New Roman"/>
          <w:u w:val="single"/>
        </w:rPr>
        <w:t xml:space="preserve">（加盖CA电子公章）</w:t>
      </w:r>
      <w:r/>
    </w:p>
    <w:p>
      <w:pPr>
        <w:pStyle w:val="850"/>
        <w:ind w:left="-206" w:firstLine="408"/>
        <w:jc w:val="both"/>
        <w:spacing w:beforeAutospacing="0" w:afterAutospacing="0"/>
        <w:tabs>
          <w:tab w:val="left" w:pos="360" w:leader="none"/>
        </w:tabs>
      </w:pPr>
      <w:r>
        <w:rPr>
          <w:rFonts w:ascii="Times New Roman" w:hAnsi="Times New Roman"/>
        </w:rPr>
        <w:t xml:space="preserve">    单位地址：</w:t>
      </w:r>
      <w:r>
        <w:rPr>
          <w:rFonts w:ascii="Times New Roman" w:hAnsi="Times New Roman"/>
          <w:u w:val="single"/>
        </w:rPr>
        <w:t xml:space="preserve">                                         </w:t>
      </w:r>
      <w:r/>
    </w:p>
    <w:p>
      <w:pPr>
        <w:pStyle w:val="850"/>
        <w:ind w:left="-206" w:firstLine="408"/>
        <w:jc w:val="both"/>
        <w:spacing w:beforeAutospacing="0" w:afterAutospacing="0"/>
        <w:tabs>
          <w:tab w:val="left" w:pos="360" w:leader="none"/>
        </w:tabs>
      </w:pPr>
      <w:r>
        <w:rPr>
          <w:rFonts w:ascii="Times New Roman" w:hAnsi="Times New Roman"/>
        </w:rPr>
        <w:t xml:space="preserve">     日</w:t>
      </w:r>
      <w:r>
        <w:rPr>
          <w:rFonts w:hint="eastAsia" w:ascii="Times New Roman" w:hAnsi="Times New Roman"/>
        </w:rPr>
        <w:t xml:space="preserve">   </w:t>
      </w:r>
      <w:r>
        <w:rPr>
          <w:rFonts w:ascii="Times New Roman" w:hAnsi="Times New Roman"/>
        </w:rPr>
        <w:t xml:space="preserve">期：</w:t>
      </w:r>
      <w:bookmarkStart w:id="180" w:name="_格式3__银行出具的资信证明"/>
      <w:r/>
      <w:bookmarkStart w:id="181" w:name="_Hlt26955070"/>
      <w:r/>
      <w:bookmarkStart w:id="182" w:name="_Hlt26671380"/>
      <w:r>
        <w:rPr>
          <w:rFonts w:ascii="Times New Roman" w:hAnsi="Times New Roman"/>
          <w:u w:val="single"/>
        </w:rPr>
        <w:t xml:space="preserve">                                         </w:t>
      </w:r>
      <w:r/>
    </w:p>
    <w:p>
      <w:pPr>
        <w:pStyle w:val="850"/>
        <w:ind w:left="-206" w:firstLine="408"/>
        <w:jc w:val="both"/>
        <w:spacing w:beforeAutospacing="0" w:afterAutospacing="0"/>
      </w:pPr>
      <w:r>
        <w:t xml:space="preserve"> </w:t>
      </w:r>
      <w:r/>
    </w:p>
    <w:p>
      <w:pPr>
        <w:pStyle w:val="850"/>
        <w:ind w:left="-206"/>
        <w:jc w:val="both"/>
        <w:spacing w:beforeAutospacing="0" w:afterAutospacing="0"/>
      </w:pPr>
      <w:r>
        <w:t xml:space="preserve"> </w:t>
      </w:r>
      <w:r/>
    </w:p>
    <w:p>
      <w:pPr>
        <w:pStyle w:val="850"/>
        <w:ind w:left="-206"/>
        <w:jc w:val="both"/>
        <w:spacing w:beforeAutospacing="0" w:afterAutospacing="0" w:line="0" w:lineRule="atLeast"/>
      </w:pPr>
      <w:r>
        <w:t xml:space="preserve"> </w:t>
      </w:r>
      <w:r/>
    </w:p>
    <w:p>
      <w:pPr>
        <w:pStyle w:val="850"/>
        <w:ind w:left="-206"/>
        <w:jc w:val="both"/>
        <w:spacing w:beforeAutospacing="0" w:afterAutospacing="0" w:line="0" w:lineRule="atLeast"/>
      </w:pPr>
      <w:r/>
      <w:r/>
    </w:p>
    <w:p>
      <w:pPr>
        <w:pStyle w:val="850"/>
        <w:ind w:left="-206"/>
        <w:jc w:val="both"/>
        <w:spacing w:beforeAutospacing="0" w:afterAutospacing="0" w:line="0" w:lineRule="atLeast"/>
      </w:pPr>
      <w:r/>
      <w:r/>
    </w:p>
    <w:p>
      <w:pPr>
        <w:pStyle w:val="850"/>
        <w:ind w:left="-206"/>
        <w:jc w:val="both"/>
        <w:spacing w:beforeAutospacing="0" w:afterAutospacing="0" w:line="0" w:lineRule="atLeast"/>
      </w:pPr>
      <w:r/>
      <w:r/>
    </w:p>
    <w:p>
      <w:pPr>
        <w:pStyle w:val="850"/>
        <w:ind w:left="-206"/>
        <w:jc w:val="both"/>
        <w:spacing w:beforeAutospacing="0" w:afterAutospacing="0" w:line="0" w:lineRule="atLeast"/>
      </w:pPr>
      <w:r/>
      <w:r/>
    </w:p>
    <w:p>
      <w:pPr>
        <w:pStyle w:val="850"/>
        <w:ind w:left="-206"/>
        <w:jc w:val="both"/>
        <w:spacing w:beforeAutospacing="0" w:afterAutospacing="0" w:line="0" w:lineRule="atLeast"/>
      </w:pPr>
      <w:r/>
      <w:r/>
    </w:p>
    <w:p>
      <w:pPr>
        <w:pStyle w:val="850"/>
        <w:ind w:left="-206"/>
        <w:jc w:val="both"/>
        <w:spacing w:beforeAutospacing="0" w:afterAutospacing="0" w:line="0" w:lineRule="atLeast"/>
      </w:pPr>
      <w:r/>
      <w:r/>
    </w:p>
    <w:p>
      <w:pPr>
        <w:pStyle w:val="850"/>
        <w:ind w:left="-206"/>
        <w:jc w:val="both"/>
        <w:spacing w:beforeAutospacing="0" w:afterAutospacing="0" w:line="0" w:lineRule="atLeast"/>
      </w:pPr>
      <w:r/>
      <w:r/>
    </w:p>
    <w:p>
      <w:pPr>
        <w:pStyle w:val="850"/>
        <w:ind w:left="-206"/>
        <w:jc w:val="both"/>
        <w:spacing w:beforeAutospacing="0" w:afterAutospacing="0" w:line="0" w:lineRule="atLeast"/>
      </w:pPr>
      <w:r/>
      <w:r/>
    </w:p>
    <w:p>
      <w:pPr>
        <w:pStyle w:val="850"/>
        <w:ind w:left="-206"/>
        <w:jc w:val="both"/>
        <w:spacing w:beforeAutospacing="0" w:afterAutospacing="0" w:line="0" w:lineRule="atLeast"/>
      </w:pPr>
      <w:r/>
      <w:r/>
    </w:p>
    <w:p>
      <w:pPr>
        <w:pStyle w:val="850"/>
        <w:ind w:left="-206"/>
        <w:jc w:val="both"/>
        <w:spacing w:beforeAutospacing="0" w:afterAutospacing="0" w:line="0" w:lineRule="atLeast"/>
      </w:pPr>
      <w:r/>
      <w:r/>
    </w:p>
    <w:p>
      <w:pPr>
        <w:pStyle w:val="850"/>
        <w:ind w:left="-206"/>
        <w:jc w:val="both"/>
        <w:spacing w:beforeAutospacing="0" w:afterAutospacing="0" w:line="0" w:lineRule="atLeast"/>
      </w:pPr>
      <w:r/>
      <w:r/>
    </w:p>
    <w:p>
      <w:pPr>
        <w:pStyle w:val="850"/>
        <w:ind w:left="-206"/>
        <w:jc w:val="both"/>
        <w:spacing w:beforeAutospacing="0" w:afterAutospacing="0" w:line="0" w:lineRule="atLeast"/>
      </w:pPr>
      <w:r/>
      <w:r/>
    </w:p>
    <w:p>
      <w:pPr>
        <w:pStyle w:val="850"/>
        <w:ind w:left="-206"/>
        <w:jc w:val="both"/>
        <w:spacing w:beforeAutospacing="0" w:afterAutospacing="0" w:line="0" w:lineRule="atLeast"/>
      </w:pPr>
      <w:r/>
      <w:r/>
    </w:p>
    <w:p>
      <w:pPr>
        <w:pStyle w:val="850"/>
        <w:ind w:left="-206"/>
        <w:jc w:val="both"/>
        <w:spacing w:beforeAutospacing="0" w:afterAutospacing="0" w:line="0" w:lineRule="atLeast"/>
      </w:pPr>
      <w:r/>
      <w:r/>
    </w:p>
    <w:p>
      <w:pPr>
        <w:pStyle w:val="850"/>
        <w:ind w:left="-206"/>
        <w:jc w:val="both"/>
        <w:spacing w:beforeAutospacing="0" w:afterAutospacing="0" w:line="0" w:lineRule="atLeast"/>
      </w:pPr>
      <w:r/>
      <w:r/>
    </w:p>
    <w:p>
      <w:pPr>
        <w:pStyle w:val="850"/>
        <w:ind w:left="-206"/>
        <w:jc w:val="both"/>
        <w:spacing w:beforeAutospacing="0" w:afterAutospacing="0" w:line="0" w:lineRule="atLeast"/>
      </w:pPr>
      <w:r/>
      <w:r/>
    </w:p>
    <w:p>
      <w:pPr>
        <w:pStyle w:val="850"/>
        <w:ind w:left="-206"/>
        <w:jc w:val="both"/>
        <w:spacing w:beforeAutospacing="0" w:afterAutospacing="0" w:line="0" w:lineRule="atLeast"/>
      </w:pPr>
      <w:r/>
      <w:r/>
    </w:p>
    <w:p>
      <w:pPr>
        <w:pStyle w:val="850"/>
        <w:ind w:left="-206"/>
        <w:jc w:val="both"/>
        <w:spacing w:beforeAutospacing="0" w:afterAutospacing="0" w:line="0" w:lineRule="atLeast"/>
      </w:pPr>
      <w:r/>
      <w:r/>
    </w:p>
    <w:p>
      <w:pPr>
        <w:pStyle w:val="850"/>
        <w:ind w:left="-206"/>
        <w:jc w:val="both"/>
        <w:spacing w:beforeAutospacing="0" w:afterAutospacing="0" w:line="0" w:lineRule="atLeast"/>
      </w:pPr>
      <w:r/>
      <w:r/>
    </w:p>
    <w:p>
      <w:pPr>
        <w:pStyle w:val="850"/>
        <w:ind w:left="-206"/>
        <w:jc w:val="both"/>
        <w:spacing w:beforeAutospacing="0" w:afterAutospacing="0" w:line="0" w:lineRule="atLeast"/>
      </w:pPr>
      <w:r/>
      <w:r/>
    </w:p>
    <w:p>
      <w:pPr>
        <w:pStyle w:val="850"/>
        <w:ind w:left="-206"/>
        <w:jc w:val="both"/>
        <w:spacing w:beforeAutospacing="0" w:afterAutospacing="0" w:line="0" w:lineRule="atLeast"/>
      </w:pPr>
      <w:r/>
      <w:r/>
    </w:p>
    <w:p>
      <w:pPr>
        <w:pStyle w:val="850"/>
        <w:ind w:left="-206"/>
        <w:jc w:val="both"/>
        <w:spacing w:beforeAutospacing="0" w:afterAutospacing="0" w:line="0" w:lineRule="atLeast"/>
      </w:pPr>
      <w:r/>
      <w:r/>
    </w:p>
    <w:p>
      <w:pPr>
        <w:pStyle w:val="850"/>
        <w:ind w:left="-206"/>
        <w:jc w:val="both"/>
        <w:spacing w:beforeAutospacing="0" w:afterAutospacing="0" w:line="0" w:lineRule="atLeast"/>
      </w:pPr>
      <w:r/>
      <w:r/>
    </w:p>
    <w:p>
      <w:pPr>
        <w:pStyle w:val="850"/>
        <w:ind w:left="-206"/>
        <w:jc w:val="both"/>
        <w:spacing w:beforeAutospacing="0" w:afterAutospacing="0" w:line="0" w:lineRule="atLeast"/>
      </w:pPr>
      <w:r/>
      <w:r/>
    </w:p>
    <w:p>
      <w:pPr>
        <w:pStyle w:val="850"/>
        <w:ind w:left="-206"/>
        <w:jc w:val="both"/>
        <w:spacing w:beforeAutospacing="0" w:afterAutospacing="0" w:line="0" w:lineRule="atLeast"/>
      </w:pPr>
      <w:r/>
      <w:r/>
    </w:p>
    <w:p>
      <w:pPr>
        <w:pStyle w:val="850"/>
        <w:ind w:left="-206"/>
        <w:jc w:val="both"/>
        <w:spacing w:beforeAutospacing="0" w:afterAutospacing="0" w:line="0" w:lineRule="atLeast"/>
      </w:pPr>
      <w:r/>
      <w:r/>
    </w:p>
    <w:p>
      <w:pPr>
        <w:pStyle w:val="850"/>
        <w:ind w:left="-206"/>
        <w:jc w:val="both"/>
        <w:spacing w:beforeAutospacing="0" w:afterAutospacing="0" w:line="0" w:lineRule="atLeast"/>
      </w:pPr>
      <w:r/>
      <w:r/>
    </w:p>
    <w:p>
      <w:pPr>
        <w:pStyle w:val="850"/>
        <w:ind w:left="-206"/>
        <w:jc w:val="both"/>
        <w:spacing w:beforeAutospacing="0" w:afterAutospacing="0" w:line="0" w:lineRule="atLeast"/>
      </w:pPr>
      <w:r/>
      <w:r/>
    </w:p>
    <w:p>
      <w:pPr>
        <w:pStyle w:val="850"/>
        <w:ind w:left="-206"/>
        <w:jc w:val="both"/>
        <w:spacing w:beforeAutospacing="0" w:afterAutospacing="0" w:line="0" w:lineRule="atLeast"/>
      </w:pPr>
      <w:r/>
      <w:r/>
    </w:p>
    <w:p>
      <w:pPr>
        <w:pStyle w:val="850"/>
        <w:ind w:left="-206"/>
        <w:jc w:val="both"/>
        <w:spacing w:beforeAutospacing="0" w:afterAutospacing="0" w:line="0" w:lineRule="atLeast"/>
      </w:pPr>
      <w:r/>
      <w:r/>
    </w:p>
    <w:p>
      <w:pPr>
        <w:pStyle w:val="850"/>
        <w:ind w:left="-206" w:firstLine="546"/>
        <w:jc w:val="center"/>
        <w:keepLines/>
        <w:keepNext/>
        <w:spacing w:before="260" w:beforeAutospacing="0" w:after="260" w:afterAutospacing="0" w:line="415" w:lineRule="auto"/>
      </w:pPr>
      <w:r>
        <w:rPr>
          <w:rFonts w:hint="eastAsia" w:ascii="黑体" w:hAnsi="宋体" w:eastAsia="黑体" w:cs="黑体"/>
          <w:b/>
          <w:i/>
          <w:sz w:val="32"/>
          <w:szCs w:val="32"/>
          <w:u w:val="single"/>
        </w:rPr>
        <w:t xml:space="preserve">八、投标函</w:t>
      </w:r>
      <w:r/>
    </w:p>
    <w:p>
      <w:pPr>
        <w:pStyle w:val="850"/>
        <w:ind w:left="-206"/>
        <w:spacing w:beforeAutospacing="0" w:afterAutospacing="0" w:line="0" w:lineRule="atLeast"/>
      </w:pPr>
      <w:r>
        <w:rPr>
          <w:rFonts w:hint="eastAsia" w:ascii="宋体" w:hAnsi="宋体" w:eastAsia="宋体" w:cs="宋体"/>
        </w:rPr>
        <w:t xml:space="preserve">致：</w:t>
      </w:r>
      <w:r>
        <w:rPr>
          <w:rFonts w:hint="eastAsia" w:ascii="宋体" w:hAnsi="宋体" w:eastAsia="宋体" w:cs="宋体"/>
          <w:u w:val="single"/>
        </w:rPr>
        <w:t xml:space="preserve">盐城市大丰区数据局</w:t>
      </w:r>
      <w:r/>
    </w:p>
    <w:p>
      <w:pPr>
        <w:pStyle w:val="850"/>
        <w:ind w:left="-206" w:firstLine="408"/>
        <w:spacing w:beforeAutospacing="0" w:afterAutospacing="0" w:line="0" w:lineRule="atLeast"/>
      </w:pPr>
      <w:r>
        <w:rPr>
          <w:rFonts w:hint="eastAsia" w:ascii="宋体" w:hAnsi="宋体" w:eastAsia="宋体" w:cs="宋体"/>
        </w:rPr>
        <w:t xml:space="preserve">根据贵方的</w:t>
      </w:r>
      <w:r>
        <w:rPr>
          <w:rFonts w:hint="eastAsia" w:ascii="宋体" w:hAnsi="宋体" w:eastAsia="宋体" w:cs="宋体"/>
          <w:u w:val="single"/>
        </w:rPr>
        <w:t xml:space="preserve">  </w:t>
      </w:r>
      <w:r>
        <w:rPr>
          <w:rFonts w:hint="eastAsia" w:ascii="Times New Roman" w:hAnsi="Times New Roman"/>
          <w:u w:val="single"/>
        </w:rPr>
        <w:t xml:space="preserve">（</w:t>
      </w:r>
      <w:r>
        <w:rPr>
          <w:rFonts w:hint="eastAsia" w:ascii="Times New Roman" w:hAnsi="Times New Roman"/>
          <w:i/>
          <w:iCs/>
          <w:u w:val="single"/>
        </w:rPr>
        <w:t xml:space="preserve">该处填写项目编号</w:t>
      </w:r>
      <w:r>
        <w:rPr>
          <w:rFonts w:hint="eastAsia" w:ascii="Times New Roman" w:hAnsi="Times New Roman"/>
          <w:u w:val="single"/>
        </w:rPr>
        <w:t xml:space="preserve">）</w:t>
      </w:r>
      <w:r>
        <w:rPr>
          <w:rFonts w:hint="eastAsia" w:ascii="宋体" w:hAnsi="宋体" w:eastAsia="宋体" w:cs="宋体"/>
          <w:u w:val="single"/>
        </w:rPr>
        <w:t xml:space="preserve">  </w:t>
      </w:r>
      <w:r>
        <w:rPr>
          <w:rFonts w:hint="eastAsia" w:ascii="宋体" w:hAnsi="宋体" w:eastAsia="宋体" w:cs="宋体"/>
        </w:rPr>
        <w:t xml:space="preserve">号招标文件，正式授权下述签字人_________________(姓名)代表我方______________（投标人的名称），全权处理本次项目投标的有关事宜。</w:t>
      </w:r>
      <w:r/>
    </w:p>
    <w:p>
      <w:pPr>
        <w:pStyle w:val="850"/>
        <w:ind w:left="-206" w:firstLine="408"/>
        <w:spacing w:beforeAutospacing="0" w:afterAutospacing="0" w:line="0" w:lineRule="atLeast"/>
      </w:pPr>
      <w:r>
        <w:rPr>
          <w:rFonts w:hint="eastAsia" w:ascii="宋体" w:hAnsi="宋体" w:eastAsia="宋体" w:cs="宋体"/>
        </w:rPr>
        <w:t xml:space="preserve">据此函，__________签字人兹宣布同意如下：</w:t>
      </w:r>
      <w:r/>
    </w:p>
    <w:p>
      <w:pPr>
        <w:pStyle w:val="850"/>
        <w:ind w:left="-206" w:firstLine="408"/>
        <w:spacing w:beforeAutospacing="0" w:afterAutospacing="0" w:line="0" w:lineRule="atLeast"/>
      </w:pPr>
      <w:r>
        <w:rPr>
          <w:rFonts w:hint="eastAsia" w:ascii="宋体" w:hAnsi="宋体" w:eastAsia="宋体" w:cs="宋体"/>
        </w:rPr>
        <w:t xml:space="preserve">1.按招标文件规定的各项要求，向买方提供所需货物（包含与货物相关的服务）。</w:t>
      </w:r>
      <w:r/>
    </w:p>
    <w:p>
      <w:pPr>
        <w:pStyle w:val="850"/>
        <w:ind w:left="-206" w:firstLine="408"/>
        <w:spacing w:beforeAutospacing="0" w:afterAutospacing="0" w:line="0" w:lineRule="atLeast"/>
      </w:pPr>
      <w:r>
        <w:rPr>
          <w:rFonts w:hint="eastAsia" w:ascii="宋体" w:hAnsi="宋体" w:eastAsia="宋体" w:cs="宋体"/>
        </w:rPr>
        <w:t xml:space="preserve">2.我们完全理解贵方不一定将合同授予最低报价的投标人。</w:t>
      </w:r>
      <w:r/>
    </w:p>
    <w:p>
      <w:pPr>
        <w:pStyle w:val="850"/>
        <w:ind w:left="-206" w:firstLine="408"/>
        <w:spacing w:beforeAutospacing="0" w:afterAutospacing="0" w:line="0" w:lineRule="atLeast"/>
      </w:pPr>
      <w:r>
        <w:rPr>
          <w:rFonts w:hint="eastAsia" w:ascii="宋体" w:hAnsi="宋体" w:eastAsia="宋体" w:cs="宋体"/>
        </w:rPr>
        <w:t xml:space="preserve">3.我们已详细审核全部招标文件及其有效补充文件，我们知道必须放弃提出含糊不清或误解问题的权利。</w:t>
      </w:r>
      <w:r/>
    </w:p>
    <w:p>
      <w:pPr>
        <w:pStyle w:val="850"/>
        <w:ind w:left="-206" w:firstLine="408"/>
        <w:spacing w:beforeAutospacing="0" w:afterAutospacing="0" w:line="0" w:lineRule="atLeast"/>
      </w:pPr>
      <w:r>
        <w:rPr>
          <w:rFonts w:hint="eastAsia" w:ascii="宋体" w:hAnsi="宋体" w:eastAsia="宋体" w:cs="宋体"/>
        </w:rPr>
        <w:t xml:space="preserve">4.我们同意从规定的开标日期起遵循本投标文件，并在规定的投标有效期期满之前均具有约束力。</w:t>
      </w:r>
      <w:r/>
    </w:p>
    <w:p>
      <w:pPr>
        <w:pStyle w:val="850"/>
        <w:ind w:left="-206" w:firstLine="408"/>
        <w:spacing w:beforeAutospacing="0" w:afterAutospacing="0" w:line="0" w:lineRule="atLeast"/>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850"/>
        <w:ind w:left="-206" w:firstLine="408"/>
        <w:spacing w:beforeAutospacing="0" w:afterAutospacing="0" w:line="0" w:lineRule="atLeast"/>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850"/>
        <w:ind w:left="-206" w:firstLine="480"/>
        <w:spacing w:beforeAutospacing="0" w:afterAutospacing="0" w:line="0" w:lineRule="atLeast"/>
      </w:pPr>
      <w:r>
        <w:rPr>
          <w:rFonts w:hint="eastAsia" w:ascii="宋体" w:hAnsi="宋体" w:eastAsia="宋体" w:cs="宋体"/>
        </w:rPr>
        <w:t xml:space="preserve">7.与本投标有关的正式通讯地址为：</w:t>
      </w:r>
      <w:r/>
    </w:p>
    <w:p>
      <w:pPr>
        <w:pStyle w:val="850"/>
        <w:ind w:left="-206" w:firstLine="408"/>
        <w:spacing w:beforeAutospacing="0" w:afterAutospacing="0" w:line="0" w:lineRule="atLeast"/>
      </w:pPr>
      <w:r>
        <w:rPr>
          <w:rFonts w:hint="eastAsia" w:ascii="宋体" w:hAnsi="宋体" w:eastAsia="宋体" w:cs="宋体"/>
        </w:rPr>
        <w:t xml:space="preserve">地         址：</w:t>
      </w:r>
      <w:r/>
    </w:p>
    <w:p>
      <w:pPr>
        <w:pStyle w:val="850"/>
        <w:ind w:left="-206" w:firstLine="408"/>
        <w:spacing w:beforeAutospacing="0" w:afterAutospacing="0" w:line="0" w:lineRule="atLeast"/>
      </w:pPr>
      <w:r>
        <w:rPr>
          <w:rFonts w:hint="eastAsia" w:ascii="宋体" w:hAnsi="宋体" w:eastAsia="宋体" w:cs="宋体"/>
        </w:rPr>
        <w:t xml:space="preserve">邮         编：</w:t>
      </w:r>
      <w:r/>
    </w:p>
    <w:p>
      <w:pPr>
        <w:pStyle w:val="850"/>
        <w:ind w:left="-206" w:firstLine="408"/>
        <w:spacing w:beforeAutospacing="0" w:afterAutospacing="0" w:line="0" w:lineRule="atLeast"/>
      </w:pPr>
      <w:r>
        <w:rPr>
          <w:rFonts w:hint="eastAsia" w:ascii="宋体" w:hAnsi="宋体" w:eastAsia="宋体" w:cs="宋体"/>
        </w:rPr>
        <w:t xml:space="preserve">电         话：</w:t>
      </w:r>
      <w:r/>
    </w:p>
    <w:p>
      <w:pPr>
        <w:pStyle w:val="850"/>
        <w:ind w:left="-206" w:firstLine="408"/>
        <w:spacing w:beforeAutospacing="0" w:afterAutospacing="0" w:line="0" w:lineRule="atLeast"/>
      </w:pPr>
      <w:r>
        <w:rPr>
          <w:rFonts w:hint="eastAsia" w:ascii="宋体" w:hAnsi="宋体" w:eastAsia="宋体" w:cs="宋体"/>
        </w:rPr>
        <w:t xml:space="preserve">传         真：</w:t>
      </w:r>
      <w:r/>
    </w:p>
    <w:p>
      <w:pPr>
        <w:pStyle w:val="850"/>
        <w:ind w:left="-206" w:firstLine="408"/>
        <w:spacing w:beforeAutospacing="0" w:afterAutospacing="0" w:line="0" w:lineRule="atLeast"/>
      </w:pPr>
      <w:r>
        <w:rPr>
          <w:rFonts w:hint="eastAsia" w:ascii="宋体" w:hAnsi="宋体" w:eastAsia="宋体" w:cs="宋体"/>
        </w:rPr>
        <w:t xml:space="preserve">投  标  人  开  户  行：</w:t>
      </w:r>
      <w:r/>
    </w:p>
    <w:p>
      <w:pPr>
        <w:pStyle w:val="850"/>
        <w:ind w:left="-206" w:firstLine="408"/>
        <w:spacing w:beforeAutospacing="0" w:afterAutospacing="0" w:line="0" w:lineRule="atLeast"/>
      </w:pPr>
      <w:r>
        <w:rPr>
          <w:rFonts w:hint="eastAsia" w:ascii="宋体" w:hAnsi="宋体" w:eastAsia="宋体" w:cs="宋体"/>
        </w:rPr>
        <w:t xml:space="preserve">账         号： </w:t>
      </w:r>
      <w:r/>
    </w:p>
    <w:p>
      <w:pPr>
        <w:pStyle w:val="850"/>
        <w:ind w:left="-206" w:firstLine="408"/>
        <w:spacing w:beforeAutospacing="0" w:afterAutospacing="0" w:line="0" w:lineRule="atLeast"/>
      </w:pPr>
      <w:r>
        <w:rPr>
          <w:rFonts w:hint="eastAsia" w:ascii="宋体" w:hAnsi="宋体" w:eastAsia="宋体" w:cs="宋体"/>
        </w:rPr>
        <w:t xml:space="preserve">日         期：________年____月____日</w:t>
      </w:r>
      <w:r/>
    </w:p>
    <w:p>
      <w:pPr>
        <w:pStyle w:val="850"/>
        <w:ind w:left="-206" w:firstLine="408"/>
        <w:jc w:val="center"/>
        <w:spacing w:beforeAutospacing="0" w:afterAutospacing="0" w:line="0" w:lineRule="atLeast"/>
      </w:pPr>
      <w:r>
        <w:t xml:space="preserve"> </w:t>
      </w:r>
      <w:r/>
    </w:p>
    <w:p>
      <w:pPr>
        <w:pStyle w:val="850"/>
        <w:ind w:left="-206" w:firstLine="408"/>
        <w:jc w:val="center"/>
        <w:spacing w:beforeAutospacing="0" w:afterAutospacing="0" w:line="0" w:lineRule="atLeast"/>
      </w:pPr>
      <w:r>
        <w:t xml:space="preserve"> </w:t>
      </w:r>
      <w:r/>
    </w:p>
    <w:p>
      <w:pPr>
        <w:pStyle w:val="850"/>
        <w:ind w:left="-206" w:firstLine="408"/>
        <w:jc w:val="center"/>
        <w:spacing w:beforeAutospacing="0" w:afterAutospacing="0" w:line="0" w:lineRule="atLeast"/>
      </w:pPr>
      <w:r>
        <w:t xml:space="preserve"> </w:t>
      </w:r>
      <w:r/>
    </w:p>
    <w:p>
      <w:pPr>
        <w:pStyle w:val="850"/>
        <w:ind w:left="-206" w:firstLine="408"/>
        <w:jc w:val="center"/>
        <w:spacing w:beforeAutospacing="0" w:afterAutospacing="0" w:line="0" w:lineRule="atLeast"/>
      </w:pPr>
      <w:r>
        <w:t xml:space="preserve"> </w:t>
      </w:r>
      <w:r/>
    </w:p>
    <w:p>
      <w:pPr>
        <w:pStyle w:val="850"/>
        <w:ind w:left="-206" w:firstLine="408"/>
        <w:jc w:val="center"/>
        <w:spacing w:beforeAutospacing="0" w:afterAutospacing="0" w:line="0" w:lineRule="atLeast"/>
      </w:pPr>
      <w:r/>
      <w:r/>
    </w:p>
    <w:p>
      <w:pPr>
        <w:pStyle w:val="850"/>
        <w:ind w:left="-206" w:firstLine="408"/>
        <w:jc w:val="center"/>
        <w:spacing w:beforeAutospacing="0" w:afterAutospacing="0" w:line="0" w:lineRule="atLeast"/>
      </w:pPr>
      <w:r/>
      <w:r/>
    </w:p>
    <w:p>
      <w:pPr>
        <w:pStyle w:val="850"/>
        <w:ind w:left="-206" w:firstLine="408"/>
        <w:jc w:val="center"/>
        <w:spacing w:beforeAutospacing="0" w:afterAutospacing="0" w:line="0" w:lineRule="atLeast"/>
      </w:pPr>
      <w:r/>
      <w:r/>
    </w:p>
    <w:p>
      <w:pPr>
        <w:pStyle w:val="850"/>
        <w:ind w:left="-206" w:firstLine="408"/>
        <w:jc w:val="center"/>
        <w:spacing w:beforeAutospacing="0" w:afterAutospacing="0" w:line="0" w:lineRule="atLeast"/>
      </w:pPr>
      <w:r/>
      <w:r/>
    </w:p>
    <w:p>
      <w:pPr>
        <w:pStyle w:val="850"/>
        <w:ind w:left="-206" w:firstLine="408"/>
        <w:jc w:val="center"/>
        <w:spacing w:beforeAutospacing="0" w:afterAutospacing="0" w:line="0" w:lineRule="atLeast"/>
      </w:pPr>
      <w:r/>
      <w:r/>
    </w:p>
    <w:p>
      <w:pPr>
        <w:pStyle w:val="850"/>
        <w:ind w:left="-206" w:firstLine="408"/>
        <w:jc w:val="center"/>
        <w:spacing w:beforeAutospacing="0" w:afterAutospacing="0" w:line="0" w:lineRule="atLeast"/>
      </w:pPr>
      <w:r/>
      <w:r/>
    </w:p>
    <w:p>
      <w:pPr>
        <w:pStyle w:val="850"/>
        <w:ind w:left="-206" w:firstLine="408"/>
        <w:jc w:val="center"/>
        <w:spacing w:beforeAutospacing="0" w:afterAutospacing="0" w:line="0" w:lineRule="atLeast"/>
      </w:pPr>
      <w:r/>
      <w:r/>
    </w:p>
    <w:p>
      <w:pPr>
        <w:pStyle w:val="850"/>
        <w:ind w:left="-206" w:firstLine="408"/>
        <w:jc w:val="center"/>
        <w:spacing w:beforeAutospacing="0" w:afterAutospacing="0" w:line="0" w:lineRule="atLeast"/>
      </w:pPr>
      <w:r/>
      <w:r/>
    </w:p>
    <w:p>
      <w:pPr>
        <w:pStyle w:val="850"/>
        <w:ind w:left="-206" w:firstLine="408"/>
        <w:jc w:val="center"/>
        <w:spacing w:beforeAutospacing="0" w:afterAutospacing="0" w:line="0" w:lineRule="atLeast"/>
      </w:pPr>
      <w:r/>
      <w:r/>
    </w:p>
    <w:p>
      <w:pPr>
        <w:pStyle w:val="850"/>
        <w:ind w:left="-206" w:firstLine="408"/>
        <w:jc w:val="center"/>
        <w:spacing w:beforeAutospacing="0" w:afterAutospacing="0" w:line="0" w:lineRule="atLeast"/>
      </w:pPr>
      <w:r/>
      <w:r/>
    </w:p>
    <w:p>
      <w:pPr>
        <w:pStyle w:val="850"/>
        <w:ind w:left="-206" w:firstLine="408"/>
        <w:jc w:val="center"/>
        <w:spacing w:beforeAutospacing="0" w:afterAutospacing="0" w:line="0" w:lineRule="atLeast"/>
      </w:pPr>
      <w:r/>
      <w:r/>
    </w:p>
    <w:p>
      <w:pPr>
        <w:pStyle w:val="850"/>
        <w:ind w:left="-206" w:firstLine="408"/>
        <w:jc w:val="center"/>
        <w:spacing w:beforeAutospacing="0" w:afterAutospacing="0" w:line="0" w:lineRule="atLeast"/>
      </w:pPr>
      <w:r/>
      <w:r/>
    </w:p>
    <w:p>
      <w:pPr>
        <w:pStyle w:val="850"/>
        <w:ind w:left="-206" w:firstLine="408"/>
        <w:jc w:val="center"/>
        <w:spacing w:beforeAutospacing="0" w:afterAutospacing="0" w:line="0" w:lineRule="atLeast"/>
      </w:pPr>
      <w:r/>
      <w:r/>
    </w:p>
    <w:p>
      <w:pPr>
        <w:pStyle w:val="850"/>
        <w:ind w:left="-206" w:firstLine="408"/>
        <w:jc w:val="center"/>
        <w:spacing w:beforeAutospacing="0" w:afterAutospacing="0" w:line="0" w:lineRule="atLeast"/>
      </w:pPr>
      <w:r/>
      <w:r/>
    </w:p>
    <w:p>
      <w:pPr>
        <w:pStyle w:val="850"/>
        <w:ind w:left="-206" w:firstLine="408"/>
        <w:jc w:val="center"/>
        <w:spacing w:beforeAutospacing="0" w:afterAutospacing="0" w:line="0" w:lineRule="atLeast"/>
      </w:pPr>
      <w:r>
        <w:t xml:space="preserve"> </w:t>
      </w:r>
      <w:r/>
    </w:p>
    <w:p>
      <w:pPr>
        <w:pStyle w:val="850"/>
        <w:ind w:left="-206" w:firstLine="546"/>
        <w:jc w:val="center"/>
        <w:spacing w:beforeAutospacing="0" w:afterAutospacing="0" w:line="0" w:lineRule="atLeast"/>
      </w:pPr>
      <w:r>
        <w:rPr>
          <w:rFonts w:hint="eastAsia" w:ascii="黑体" w:hAnsi="宋体" w:eastAsia="黑体" w:cs="黑体"/>
          <w:b/>
          <w:sz w:val="32"/>
          <w:szCs w:val="32"/>
        </w:rPr>
        <w:t xml:space="preserve">九、中小企业声明函（货物）</w:t>
      </w:r>
      <w:r/>
    </w:p>
    <w:p>
      <w:pPr>
        <w:pStyle w:val="850"/>
        <w:contextualSpacing/>
        <w:ind w:firstLine="480"/>
        <w:jc w:val="both"/>
        <w:spacing w:beforeAutospacing="0" w:afterAutospacing="0" w:line="440" w:lineRule="exact"/>
      </w:pPr>
      <w:r>
        <w:rPr>
          <w:rFonts w:hint="eastAsia" w:ascii="宋体" w:hAnsi="宋体" w:eastAsia="宋体" w:cs="宋体"/>
        </w:rPr>
        <w:t xml:space="preserve">本公司（联合体）郑重声明，根据《政府采购促进中小企业发展管理办法》(财库[2020]46号)的规定，本公司（联合体）参加</w:t>
      </w:r>
      <w:r>
        <w:rPr>
          <w:rFonts w:hint="eastAsia" w:ascii="宋体" w:hAnsi="宋体" w:eastAsia="宋体" w:cs="宋体"/>
          <w:u w:val="single"/>
        </w:rPr>
        <w:t xml:space="preserve">（招标人名称）</w:t>
      </w:r>
      <w:r>
        <w:rPr>
          <w:rFonts w:hint="eastAsia" w:ascii="宋体" w:hAnsi="宋体" w:eastAsia="宋体" w:cs="宋体"/>
        </w:rPr>
        <w:t xml:space="preserve">采购编号为</w:t>
      </w:r>
      <w:r>
        <w:rPr>
          <w:rFonts w:hint="eastAsia" w:ascii="宋体" w:hAnsi="宋体" w:eastAsia="宋体" w:cs="宋体"/>
          <w:u w:val="single"/>
        </w:rPr>
        <w:t xml:space="preserve">***</w:t>
      </w:r>
      <w:r>
        <w:rPr>
          <w:rFonts w:hint="eastAsia" w:ascii="宋体" w:hAnsi="宋体" w:eastAsia="宋体" w:cs="宋体"/>
        </w:rPr>
        <w:t xml:space="preserve">的</w:t>
      </w:r>
      <w:r>
        <w:rPr>
          <w:rFonts w:hint="eastAsia" w:ascii="宋体" w:hAnsi="宋体" w:eastAsia="宋体" w:cs="宋体"/>
          <w:u w:val="single"/>
        </w:rPr>
        <w:t xml:space="preserve">（项目名称）</w:t>
      </w:r>
      <w:r>
        <w:rPr>
          <w:rFonts w:hint="eastAsia" w:ascii="宋体" w:hAnsi="宋体" w:eastAsia="宋体" w:cs="宋体"/>
        </w:rPr>
        <w:t xml:space="preserve">的采购活动，提供的货物全部由符合政策要求的</w:t>
      </w:r>
      <w:r>
        <w:rPr>
          <w:rFonts w:hint="eastAsia"/>
        </w:rPr>
        <w:t xml:space="preserve">中小企业制造</w:t>
      </w:r>
      <w:r>
        <w:rPr>
          <w:rFonts w:hint="eastAsia" w:ascii="宋体" w:hAnsi="宋体" w:eastAsia="宋体" w:cs="宋体"/>
        </w:rPr>
        <w:t xml:space="preserve">。相关企业（含联合体中的小微企业、签订分包意向协议的小微企业）的具体情况如下：</w:t>
      </w:r>
      <w:r/>
    </w:p>
    <w:p>
      <w:pPr>
        <w:pStyle w:val="850"/>
        <w:contextualSpacing/>
        <w:ind w:firstLine="480"/>
        <w:jc w:val="both"/>
        <w:spacing w:beforeAutospacing="0" w:afterAutospacing="0" w:line="440" w:lineRule="exact"/>
      </w:pPr>
      <w:r>
        <w:rPr>
          <w:rFonts w:hint="eastAsia" w:ascii="宋体" w:hAnsi="宋体" w:eastAsia="宋体" w:cs="宋体"/>
        </w:rPr>
        <w:t xml:space="preserve">1.</w:t>
      </w:r>
      <w:r>
        <w:rPr>
          <w:rFonts w:hint="eastAsia" w:ascii="宋体" w:hAnsi="宋体" w:eastAsia="宋体" w:cs="宋体"/>
          <w:u w:val="single"/>
        </w:rPr>
        <w:t xml:space="preserve">（标的名称）</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(采购文件中明确的所属行业)</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u w:val="single"/>
        </w:rPr>
        <w:t xml:space="preserve">（中型企业、小型企业、微型企业）</w:t>
      </w:r>
      <w:r>
        <w:rPr>
          <w:rFonts w:hint="eastAsia" w:ascii="宋体" w:hAnsi="宋体" w:eastAsia="宋体" w:cs="宋体"/>
          <w:u w:val="single"/>
        </w:rPr>
        <w:t xml:space="preserve">；</w:t>
      </w:r>
      <w:r/>
    </w:p>
    <w:p>
      <w:pPr>
        <w:pStyle w:val="850"/>
        <w:contextualSpacing/>
        <w:ind w:firstLine="480"/>
        <w:jc w:val="both"/>
        <w:spacing w:beforeAutospacing="0" w:afterAutospacing="0" w:line="440" w:lineRule="exact"/>
      </w:pPr>
      <w:r>
        <w:rPr>
          <w:rFonts w:hint="eastAsia" w:ascii="宋体" w:hAnsi="宋体" w:eastAsia="宋体" w:cs="宋体"/>
        </w:rPr>
        <w:t xml:space="preserve">2.</w:t>
      </w:r>
      <w:r>
        <w:rPr>
          <w:rFonts w:hint="eastAsia" w:ascii="宋体" w:hAnsi="宋体" w:eastAsia="宋体" w:cs="宋体"/>
          <w:u w:val="single"/>
        </w:rPr>
        <w:t xml:space="preserve">（标的名称）</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(采购文件中明确的所属行业)</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u w:val="single"/>
        </w:rPr>
        <w:t xml:space="preserve">（中型企业、小型企业、微型企业）</w:t>
      </w:r>
      <w:r>
        <w:rPr>
          <w:rFonts w:hint="eastAsia" w:ascii="宋体" w:hAnsi="宋体" w:eastAsia="宋体" w:cs="宋体"/>
          <w:u w:val="single"/>
        </w:rPr>
        <w:t xml:space="preserve">；</w:t>
      </w:r>
      <w:r/>
    </w:p>
    <w:p>
      <w:pPr>
        <w:pStyle w:val="850"/>
        <w:ind w:left="-206" w:firstLine="408"/>
        <w:jc w:val="both"/>
        <w:spacing w:beforeAutospacing="0" w:afterAutospacing="0" w:line="0" w:lineRule="atLeast"/>
      </w:pPr>
      <w:r>
        <w:rPr>
          <w:rFonts w:hint="eastAsia" w:ascii="宋体" w:hAnsi="宋体" w:eastAsia="宋体" w:cs="宋体"/>
        </w:rPr>
        <w:t xml:space="preserve">……</w:t>
      </w:r>
      <w:r/>
    </w:p>
    <w:p>
      <w:pPr>
        <w:pStyle w:val="850"/>
        <w:contextualSpacing/>
        <w:ind w:firstLine="408"/>
        <w:jc w:val="both"/>
        <w:spacing w:beforeAutospacing="0" w:afterAutospacing="0" w:line="440" w:lineRule="exact"/>
      </w:pPr>
      <w:r>
        <w:rPr>
          <w:rFonts w:hint="eastAsia"/>
        </w:rPr>
        <w:t xml:space="preserve">以上企业，不属于大企业的分支机构，不存在控股股东为大企业的情形，也不存在与大企业的负责人为同一人的情形。</w:t>
      </w:r>
      <w:r/>
    </w:p>
    <w:p>
      <w:pPr>
        <w:pStyle w:val="850"/>
        <w:contextualSpacing/>
        <w:ind w:firstLine="240"/>
        <w:jc w:val="both"/>
        <w:spacing w:beforeAutospacing="0" w:afterAutospacing="0" w:line="440" w:lineRule="exact"/>
      </w:pPr>
      <w:r>
        <w:rPr>
          <w:rFonts w:hint="eastAsia" w:ascii="宋体" w:hAnsi="宋体" w:eastAsia="宋体" w:cs="宋体"/>
        </w:rPr>
        <w:t xml:space="preserve">本企业对上述声明内容的真实性负责。如有虚假，将依法承担相应责任。</w:t>
      </w:r>
      <w:r/>
    </w:p>
    <w:p>
      <w:pPr>
        <w:pStyle w:val="850"/>
        <w:ind w:left="-206" w:right="720"/>
        <w:jc w:val="both"/>
        <w:spacing w:beforeAutospacing="0" w:afterAutospacing="0" w:line="0" w:lineRule="atLeast"/>
      </w:pPr>
      <w:r>
        <w:t xml:space="preserve"> </w:t>
      </w:r>
      <w:r/>
    </w:p>
    <w:p>
      <w:pPr>
        <w:pStyle w:val="850"/>
        <w:contextualSpacing/>
        <w:ind w:firstLine="240"/>
        <w:spacing w:beforeAutospacing="0" w:afterAutospacing="0" w:line="440" w:lineRule="atLeast"/>
      </w:pPr>
      <w:r>
        <w:rPr>
          <w:rFonts w:hint="eastAsia" w:ascii="宋体" w:hAnsi="宋体" w:eastAsia="宋体" w:cs="宋体"/>
        </w:rPr>
        <w:t xml:space="preserve">企业名称（加盖CA电子公章）：</w:t>
      </w:r>
      <w:r/>
    </w:p>
    <w:p>
      <w:pPr>
        <w:pStyle w:val="850"/>
        <w:contextualSpacing/>
        <w:ind w:firstLine="240"/>
        <w:jc w:val="both"/>
        <w:spacing w:beforeAutospacing="0" w:afterAutospacing="0" w:line="440" w:lineRule="atLeast"/>
      </w:pPr>
      <w:r>
        <w:rPr>
          <w:rFonts w:hint="eastAsia" w:ascii="宋体" w:hAnsi="宋体" w:eastAsia="宋体" w:cs="宋体"/>
        </w:rPr>
        <w:t xml:space="preserve">日  期：</w:t>
      </w:r>
      <w:r/>
    </w:p>
    <w:p>
      <w:pPr>
        <w:pStyle w:val="850"/>
        <w:ind w:left="-206" w:firstLine="408"/>
        <w:jc w:val="both"/>
        <w:spacing w:beforeAutospacing="0" w:afterAutospacing="0" w:line="0" w:lineRule="atLeast"/>
      </w:pPr>
      <w:r>
        <w:t xml:space="preserve"> </w:t>
      </w:r>
      <w:r/>
    </w:p>
    <w:p>
      <w:pPr>
        <w:pStyle w:val="850"/>
        <w:ind w:left="-206" w:firstLine="408"/>
        <w:jc w:val="both"/>
        <w:spacing w:beforeAutospacing="0" w:afterAutospacing="0" w:line="0" w:lineRule="atLeast"/>
      </w:pPr>
      <w:r>
        <w:rPr>
          <w:rFonts w:hint="eastAsia" w:ascii="宋体" w:hAnsi="宋体" w:eastAsia="宋体" w:cs="宋体"/>
        </w:rPr>
        <w:t xml:space="preserve">备注1：从业人员、营业收入、资产总额填报上一年度数据，无上一年度数据的新成立企业可不填报。</w:t>
      </w:r>
      <w:r/>
    </w:p>
    <w:p>
      <w:pPr>
        <w:pStyle w:val="850"/>
        <w:ind w:left="-206" w:firstLine="408"/>
        <w:jc w:val="both"/>
        <w:spacing w:beforeAutospacing="0" w:afterAutospacing="0" w:line="0" w:lineRule="atLeast"/>
      </w:pPr>
      <w:r>
        <w:rPr>
          <w:rFonts w:hint="eastAsia" w:ascii="宋体" w:hAnsi="宋体" w:eastAsia="宋体" w:cs="宋体"/>
        </w:rPr>
        <w:t xml:space="preserve">备注2：供应商如不提供此声明函，价格将不做相应扣除。</w:t>
      </w:r>
      <w:r/>
    </w:p>
    <w:p>
      <w:pPr>
        <w:pStyle w:val="850"/>
        <w:ind w:left="-206" w:firstLine="546"/>
        <w:jc w:val="center"/>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sz w:val="32"/>
          <w:szCs w:val="32"/>
        </w:rPr>
        <w:t xml:space="preserve"> 十、残疾人福利性单位声明函 </w:t>
      </w:r>
      <w:r/>
    </w:p>
    <w:p>
      <w:pPr>
        <w:pStyle w:val="850"/>
        <w:ind w:left="-206" w:firstLine="408"/>
        <w:jc w:val="both"/>
        <w:spacing w:beforeAutospacing="0" w:afterAutospacing="0" w:line="0" w:lineRule="atLeast"/>
      </w:pPr>
      <w:r>
        <w:rPr>
          <w:rFonts w:hint="eastAsia" w:ascii="宋体" w:hAnsi="宋体" w:eastAsia="宋体" w:cs="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 xml:space="preserve">项目采购活动提供本单位制造的货物，或者提供其他残疾人福利性单位制造的货物（不包括使用非残疾人福利性单位注册商标的货物）。</w:t>
      </w:r>
      <w:r/>
    </w:p>
    <w:p>
      <w:pPr>
        <w:pStyle w:val="850"/>
        <w:ind w:left="-206" w:firstLine="408"/>
        <w:jc w:val="both"/>
        <w:spacing w:beforeAutospacing="0" w:afterAutospacing="0" w:line="0" w:lineRule="atLeast"/>
      </w:pPr>
      <w:r>
        <w:rPr>
          <w:rFonts w:hint="eastAsia" w:ascii="宋体" w:hAnsi="宋体" w:eastAsia="宋体" w:cs="宋体"/>
        </w:rPr>
        <w:t xml:space="preserve">本单位对上述声明的真实性负责。如有虚假，将依法承担相应责任。</w:t>
      </w:r>
      <w:r/>
    </w:p>
    <w:p>
      <w:pPr>
        <w:pStyle w:val="850"/>
        <w:ind w:left="-206" w:firstLine="408"/>
        <w:jc w:val="both"/>
        <w:spacing w:beforeAutospacing="0" w:afterAutospacing="0" w:line="0" w:lineRule="atLeast"/>
      </w:pPr>
      <w:r>
        <w:t xml:space="preserve"> </w:t>
      </w:r>
      <w:r/>
    </w:p>
    <w:p>
      <w:pPr>
        <w:pStyle w:val="850"/>
        <w:ind w:left="-206" w:firstLine="408"/>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备注：1、供应商如不提供此声明函，价格将不做相应扣除。</w:t>
      </w:r>
      <w:r/>
    </w:p>
    <w:p>
      <w:pPr>
        <w:pStyle w:val="850"/>
        <w:ind w:left="-206" w:firstLine="1200"/>
        <w:jc w:val="both"/>
        <w:spacing w:beforeAutospacing="0" w:afterAutospacing="0" w:line="0" w:lineRule="atLeast"/>
      </w:pPr>
      <w:r>
        <w:rPr>
          <w:rFonts w:hint="eastAsia" w:ascii="宋体" w:hAnsi="宋体" w:eastAsia="宋体" w:cs="宋体"/>
        </w:rPr>
        <w:t xml:space="preserve">2、中标供应商为残疾人福利单位的，此声明函将随中标结果同时公告，接受社会监督。</w:t>
      </w:r>
      <w:r/>
    </w:p>
    <w:p>
      <w:pPr>
        <w:pStyle w:val="850"/>
        <w:ind w:left="-206" w:firstLine="408"/>
        <w:jc w:val="both"/>
        <w:spacing w:beforeAutospacing="0" w:afterAutospacing="0" w:line="0" w:lineRule="atLeast"/>
      </w:pPr>
      <w:r>
        <w:t xml:space="preserve"> </w:t>
      </w:r>
      <w:r/>
    </w:p>
    <w:p>
      <w:pPr>
        <w:pStyle w:val="850"/>
        <w:ind w:left="-206" w:right="1560" w:firstLine="510"/>
        <w:jc w:val="center"/>
        <w:spacing w:beforeAutospacing="0" w:afterAutospacing="0" w:line="0" w:lineRule="atLeast"/>
        <w:tabs>
          <w:tab w:val="left" w:pos="4864" w:leader="none"/>
        </w:tabs>
      </w:pPr>
      <w:r>
        <w:rPr>
          <w:rFonts w:ascii="仿宋_GB2312" w:eastAsia="仿宋_GB2312" w:cs="仿宋_GB2312"/>
          <w:sz w:val="30"/>
          <w:szCs w:val="30"/>
        </w:rPr>
        <w:t xml:space="preserve">             </w:t>
      </w:r>
      <w:r>
        <w:rPr>
          <w:rFonts w:hint="eastAsia" w:ascii="宋体" w:hAnsi="宋体" w:eastAsia="宋体" w:cs="宋体"/>
        </w:rPr>
        <w:t xml:space="preserve">      供应商全称（加盖CA电子公章）：</w:t>
      </w:r>
      <w:r/>
    </w:p>
    <w:p>
      <w:pPr>
        <w:pStyle w:val="850"/>
        <w:ind w:left="-206" w:right="1560" w:firstLine="408"/>
        <w:jc w:val="center"/>
        <w:spacing w:beforeAutospacing="0" w:afterAutospacing="0" w:line="0" w:lineRule="atLeast"/>
        <w:tabs>
          <w:tab w:val="left" w:pos="4864" w:leader="none"/>
        </w:tabs>
      </w:pPr>
      <w:r>
        <w:rPr>
          <w:rFonts w:hint="eastAsia" w:ascii="宋体" w:hAnsi="宋体" w:eastAsia="宋体" w:cs="宋体"/>
        </w:rPr>
        <w:t xml:space="preserve">        日  期：</w:t>
      </w:r>
      <w:r/>
    </w:p>
    <w:p>
      <w:pPr>
        <w:pStyle w:val="850"/>
        <w:ind w:left="-206"/>
        <w:jc w:val="center"/>
        <w:spacing w:beforeAutospacing="0" w:afterAutospacing="0" w:line="0" w:lineRule="atLeast"/>
      </w:pPr>
      <w:r>
        <w:t xml:space="preserve"> </w:t>
      </w:r>
      <w:r/>
    </w:p>
    <w:p>
      <w:pPr>
        <w:pStyle w:val="850"/>
        <w:ind w:left="-206"/>
        <w:jc w:val="center"/>
        <w:spacing w:beforeAutospacing="0" w:afterAutospacing="0" w:line="0" w:lineRule="atLeast"/>
      </w:pPr>
      <w:r>
        <w:t xml:space="preserve"> </w:t>
      </w:r>
      <w:r/>
    </w:p>
    <w:p>
      <w:pPr>
        <w:pStyle w:val="850"/>
        <w:ind w:left="-206"/>
        <w:jc w:val="center"/>
        <w:spacing w:beforeAutospacing="0" w:afterAutospacing="0" w:line="0" w:lineRule="atLeast"/>
      </w:pPr>
      <w:r>
        <w:t xml:space="preserve"> </w:t>
      </w:r>
      <w:r/>
    </w:p>
    <w:p>
      <w:pPr>
        <w:pStyle w:val="850"/>
        <w:ind w:left="-206"/>
        <w:jc w:val="center"/>
        <w:spacing w:beforeAutospacing="0" w:afterAutospacing="0" w:line="0" w:lineRule="atLeast"/>
      </w:pPr>
      <w:r>
        <w:t xml:space="preserve"> </w:t>
      </w:r>
      <w:r/>
    </w:p>
    <w:p>
      <w:pPr>
        <w:pStyle w:val="850"/>
        <w:ind w:left="-206"/>
        <w:jc w:val="center"/>
        <w:spacing w:beforeAutospacing="0" w:afterAutospacing="0" w:line="0" w:lineRule="atLeast"/>
      </w:pPr>
      <w:r>
        <w:t xml:space="preserve"> </w:t>
      </w:r>
      <w:r/>
    </w:p>
    <w:p>
      <w:pPr>
        <w:pStyle w:val="850"/>
        <w:ind w:left="-206"/>
        <w:jc w:val="center"/>
        <w:spacing w:beforeAutospacing="0" w:afterAutospacing="0" w:line="0" w:lineRule="atLeast"/>
      </w:pPr>
      <w:r>
        <w:t xml:space="preserve"> </w:t>
      </w:r>
      <w:r/>
    </w:p>
    <w:p>
      <w:pPr>
        <w:pStyle w:val="850"/>
        <w:ind w:left="-206"/>
        <w:jc w:val="center"/>
        <w:spacing w:beforeAutospacing="0" w:afterAutospacing="0" w:line="0" w:lineRule="atLeast"/>
      </w:pPr>
      <w:r>
        <w:t xml:space="preserve"> </w:t>
      </w:r>
      <w:r/>
    </w:p>
    <w:p>
      <w:pPr>
        <w:pStyle w:val="850"/>
        <w:ind w:left="-206"/>
        <w:jc w:val="center"/>
        <w:spacing w:beforeAutospacing="0" w:afterAutospacing="0" w:line="0" w:lineRule="atLeast"/>
      </w:pPr>
      <w:r>
        <w:t xml:space="preserve"> </w:t>
      </w:r>
      <w:r/>
    </w:p>
    <w:p>
      <w:pPr>
        <w:pStyle w:val="850"/>
        <w:ind w:left="-206"/>
        <w:jc w:val="center"/>
        <w:spacing w:beforeAutospacing="0" w:afterAutospacing="0" w:line="0" w:lineRule="atLeast"/>
      </w:pPr>
      <w:r>
        <w:t xml:space="preserve"> </w:t>
      </w:r>
      <w:r/>
    </w:p>
    <w:p>
      <w:pPr>
        <w:pStyle w:val="850"/>
        <w:ind w:left="-206"/>
        <w:jc w:val="center"/>
        <w:spacing w:beforeAutospacing="0" w:afterAutospacing="0" w:line="0" w:lineRule="atLeast"/>
      </w:pPr>
      <w:r/>
      <w:r/>
    </w:p>
    <w:p>
      <w:pPr>
        <w:pStyle w:val="850"/>
        <w:ind w:left="-206"/>
        <w:jc w:val="center"/>
        <w:spacing w:beforeAutospacing="0" w:afterAutospacing="0" w:line="0" w:lineRule="atLeast"/>
      </w:pPr>
      <w:r/>
      <w:r/>
    </w:p>
    <w:p>
      <w:pPr>
        <w:pStyle w:val="850"/>
        <w:ind w:left="-206"/>
        <w:jc w:val="center"/>
        <w:spacing w:beforeAutospacing="0" w:afterAutospacing="0" w:line="0" w:lineRule="atLeast"/>
      </w:pPr>
      <w:r/>
      <w:r/>
    </w:p>
    <w:p>
      <w:pPr>
        <w:pStyle w:val="850"/>
        <w:ind w:left="-206"/>
        <w:jc w:val="center"/>
        <w:spacing w:beforeAutospacing="0" w:afterAutospacing="0" w:line="0" w:lineRule="atLeast"/>
      </w:pPr>
      <w:r/>
      <w:r/>
    </w:p>
    <w:p>
      <w:pPr>
        <w:pStyle w:val="850"/>
        <w:ind w:left="-206"/>
        <w:jc w:val="center"/>
        <w:spacing w:beforeAutospacing="0" w:afterAutospacing="0" w:line="0" w:lineRule="atLeast"/>
      </w:pPr>
      <w:r/>
      <w:r/>
    </w:p>
    <w:p>
      <w:pPr>
        <w:pStyle w:val="850"/>
        <w:ind w:left="-206"/>
        <w:jc w:val="center"/>
        <w:spacing w:beforeAutospacing="0" w:afterAutospacing="0" w:line="0" w:lineRule="atLeast"/>
      </w:pPr>
      <w:r/>
      <w:r/>
    </w:p>
    <w:p>
      <w:pPr>
        <w:pStyle w:val="850"/>
        <w:ind w:left="-206"/>
        <w:jc w:val="center"/>
        <w:spacing w:beforeAutospacing="0" w:afterAutospacing="0" w:line="0" w:lineRule="atLeast"/>
      </w:pPr>
      <w:r/>
      <w:r/>
    </w:p>
    <w:p>
      <w:pPr>
        <w:pStyle w:val="850"/>
        <w:ind w:left="-206"/>
        <w:jc w:val="center"/>
        <w:spacing w:beforeAutospacing="0" w:afterAutospacing="0" w:line="0" w:lineRule="atLeast"/>
      </w:pPr>
      <w:r/>
      <w:r/>
    </w:p>
    <w:p>
      <w:pPr>
        <w:pStyle w:val="850"/>
        <w:ind w:left="-206"/>
        <w:jc w:val="center"/>
        <w:spacing w:beforeAutospacing="0" w:afterAutospacing="0" w:line="0" w:lineRule="atLeast"/>
      </w:pPr>
      <w:r/>
      <w:r/>
    </w:p>
    <w:p>
      <w:pPr>
        <w:pStyle w:val="850"/>
        <w:ind w:left="-206"/>
        <w:jc w:val="center"/>
        <w:spacing w:beforeAutospacing="0" w:afterAutospacing="0" w:line="0" w:lineRule="atLeast"/>
      </w:pPr>
      <w:r/>
      <w:r/>
    </w:p>
    <w:p>
      <w:pPr>
        <w:pStyle w:val="850"/>
        <w:ind w:left="-206"/>
        <w:jc w:val="center"/>
        <w:spacing w:beforeAutospacing="0" w:afterAutospacing="0" w:line="0" w:lineRule="atLeast"/>
      </w:pPr>
      <w:r/>
      <w:r/>
    </w:p>
    <w:p>
      <w:pPr>
        <w:pStyle w:val="850"/>
        <w:ind w:left="-206"/>
        <w:jc w:val="center"/>
        <w:spacing w:beforeAutospacing="0" w:afterAutospacing="0" w:line="0" w:lineRule="atLeast"/>
      </w:pPr>
      <w:r/>
      <w:r/>
    </w:p>
    <w:p>
      <w:pPr>
        <w:pStyle w:val="850"/>
        <w:ind w:left="-206"/>
        <w:jc w:val="center"/>
        <w:spacing w:beforeAutospacing="0" w:afterAutospacing="0" w:line="0" w:lineRule="atLeast"/>
      </w:pPr>
      <w:r/>
      <w:r/>
    </w:p>
    <w:p>
      <w:pPr>
        <w:pStyle w:val="850"/>
        <w:ind w:left="-206"/>
        <w:jc w:val="center"/>
        <w:spacing w:beforeAutospacing="0" w:afterAutospacing="0" w:line="0" w:lineRule="atLeast"/>
      </w:pPr>
      <w:r/>
      <w:r/>
    </w:p>
    <w:p>
      <w:pPr>
        <w:pStyle w:val="850"/>
        <w:ind w:left="-206"/>
        <w:jc w:val="center"/>
        <w:spacing w:beforeAutospacing="0" w:afterAutospacing="0" w:line="0" w:lineRule="atLeast"/>
      </w:pPr>
      <w:r/>
      <w:r/>
    </w:p>
    <w:p>
      <w:pPr>
        <w:pStyle w:val="850"/>
        <w:ind w:left="-206"/>
        <w:jc w:val="center"/>
        <w:spacing w:beforeAutospacing="0" w:afterAutospacing="0" w:line="0" w:lineRule="atLeast"/>
      </w:pPr>
      <w:r/>
      <w:r/>
    </w:p>
    <w:p>
      <w:pPr>
        <w:pStyle w:val="850"/>
        <w:ind w:left="-206"/>
        <w:jc w:val="center"/>
        <w:spacing w:beforeAutospacing="0" w:afterAutospacing="0" w:line="0" w:lineRule="atLeast"/>
      </w:pPr>
      <w:r/>
      <w:r/>
    </w:p>
    <w:p>
      <w:pPr>
        <w:pStyle w:val="850"/>
        <w:ind w:left="-206"/>
        <w:jc w:val="center"/>
        <w:spacing w:beforeAutospacing="0" w:afterAutospacing="0" w:line="0" w:lineRule="atLeast"/>
      </w:pPr>
      <w:r/>
      <w:r/>
    </w:p>
    <w:p>
      <w:pPr>
        <w:pStyle w:val="850"/>
        <w:ind w:left="-206"/>
        <w:jc w:val="center"/>
        <w:spacing w:beforeAutospacing="0" w:afterAutospacing="0" w:line="0" w:lineRule="atLeast"/>
      </w:pPr>
      <w:r/>
      <w:r/>
    </w:p>
    <w:p>
      <w:pPr>
        <w:pStyle w:val="850"/>
        <w:ind w:left="-206"/>
        <w:jc w:val="center"/>
        <w:spacing w:beforeAutospacing="0" w:afterAutospacing="0" w:line="0" w:lineRule="atLeast"/>
      </w:pPr>
      <w:r>
        <w:t xml:space="preserve"> </w:t>
      </w:r>
      <w:r/>
    </w:p>
    <w:p>
      <w:pPr>
        <w:pStyle w:val="850"/>
        <w:ind w:left="-206"/>
        <w:jc w:val="center"/>
        <w:spacing w:beforeAutospacing="0" w:afterAutospacing="0" w:line="0" w:lineRule="atLeast"/>
      </w:pPr>
      <w:r>
        <w:t xml:space="preserve"> </w:t>
      </w:r>
      <w:r/>
    </w:p>
    <w:p>
      <w:pPr>
        <w:pStyle w:val="850"/>
        <w:ind w:left="-206"/>
        <w:jc w:val="both"/>
        <w:spacing w:beforeAutospacing="0" w:afterAutospacing="0" w:line="0" w:lineRule="atLeast"/>
      </w:pPr>
      <w:r>
        <w:t xml:space="preserve"> </w:t>
      </w:r>
      <w:r/>
    </w:p>
    <w:p>
      <w:pPr>
        <w:pStyle w:val="850"/>
        <w:ind w:left="-206"/>
        <w:jc w:val="both"/>
        <w:spacing w:beforeAutospacing="0" w:afterAutospacing="0" w:line="0" w:lineRule="atLeast"/>
      </w:pPr>
      <w:r>
        <w:t xml:space="preserve"> </w:t>
      </w:r>
      <w:r/>
    </w:p>
    <w:p>
      <w:pPr>
        <w:pStyle w:val="850"/>
        <w:jc w:val="center"/>
        <w:spacing w:beforeAutospacing="0" w:afterAutospacing="0"/>
        <w:rPr>
          <w:b/>
          <w:bCs/>
        </w:rPr>
      </w:pPr>
      <w:r>
        <w:rPr>
          <w:rFonts w:ascii="黑体" w:hAnsi="宋体" w:eastAsia="黑体" w:cs="黑体"/>
          <w:b/>
          <w:bCs/>
          <w:sz w:val="32"/>
          <w:szCs w:val="32"/>
        </w:rPr>
        <w:t xml:space="preserve">十一、关于符合本国产品标准的声明函（</w:t>
      </w:r>
      <w:r>
        <w:rPr>
          <w:rFonts w:hint="eastAsia" w:ascii="黑体" w:hAnsi="宋体" w:eastAsia="黑体" w:cs="黑体"/>
          <w:b/>
          <w:bCs/>
          <w:sz w:val="32"/>
          <w:szCs w:val="32"/>
        </w:rPr>
        <w:t xml:space="preserve">项目编号</w:t>
      </w:r>
      <w:r>
        <w:rPr>
          <w:rFonts w:ascii="黑体" w:hAnsi="宋体" w:eastAsia="黑体" w:cs="黑体"/>
          <w:b/>
          <w:bCs/>
          <w:sz w:val="32"/>
          <w:szCs w:val="32"/>
        </w:rPr>
        <w:t xml:space="preserve">：**）</w:t>
      </w:r>
      <w:r/>
    </w:p>
    <w:p>
      <w:pPr>
        <w:pStyle w:val="850"/>
        <w:ind w:firstLine="420"/>
        <w:jc w:val="both"/>
        <w:spacing w:beforeAutospacing="0" w:afterAutospacing="0"/>
        <w:rPr>
          <w:b/>
          <w:bCs/>
        </w:rPr>
      </w:pPr>
      <w:r>
        <w:rPr>
          <w:rFonts w:ascii="Arial" w:hAnsi="Arial" w:cs="Arial"/>
          <w:b/>
          <w:bCs/>
        </w:rPr>
        <w:t xml:space="preserve"> </w:t>
      </w:r>
      <w:r/>
    </w:p>
    <w:p>
      <w:pPr>
        <w:pStyle w:val="850"/>
        <w:ind w:firstLine="420"/>
        <w:jc w:val="both"/>
        <w:spacing w:beforeAutospacing="0" w:afterAutospacing="0" w:line="480" w:lineRule="auto"/>
        <w:rPr>
          <w:b/>
          <w:bCs/>
        </w:rPr>
      </w:pPr>
      <w:r>
        <w:rPr>
          <w:rFonts w:ascii="宋体" w:hAnsi="宋体" w:eastAsia="宋体" w:cs="宋体"/>
          <w:b/>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0"/>
        <w:ind w:firstLine="420"/>
        <w:jc w:val="both"/>
        <w:spacing w:before="30" w:beforeAutospacing="0" w:after="30" w:afterAutospacing="0" w:line="480" w:lineRule="auto"/>
        <w:rPr>
          <w:b/>
          <w:bCs/>
        </w:rPr>
      </w:pPr>
      <w:r>
        <w:rPr>
          <w:rFonts w:ascii="宋体" w:hAnsi="宋体" w:eastAsia="宋体" w:cs="宋体"/>
          <w:b/>
          <w:bCs/>
          <w:shd w:val="clear" w:color="auto" w:fill="ffffff"/>
        </w:rPr>
        <w:t xml:space="preserve">1.</w:t>
      </w:r>
      <w:r>
        <w:rPr>
          <w:rFonts w:ascii="宋体" w:hAnsi="宋体" w:eastAsia="宋体" w:cs="宋体"/>
          <w:b/>
          <w:bCs/>
          <w:u w:val="single"/>
          <w:shd w:val="clear" w:color="auto" w:fill="ffffff"/>
        </w:rPr>
        <w:t xml:space="preserve">（产品名称1）</w:t>
      </w:r>
      <w:r>
        <w:rPr>
          <w:rFonts w:ascii="宋体" w:hAnsi="宋体" w:eastAsia="宋体" w:cs="宋体"/>
          <w:b/>
          <w:bCs/>
          <w:shd w:val="clear" w:color="auto" w:fill="ffffff"/>
          <w:vertAlign w:val="superscript"/>
        </w:rPr>
        <w:t xml:space="preserve">1</w:t>
      </w:r>
      <w:r>
        <w:rPr>
          <w:rFonts w:ascii="宋体" w:hAnsi="宋体" w:eastAsia="宋体" w:cs="宋体"/>
          <w:b/>
          <w:bCs/>
          <w:shd w:val="clear" w:color="auto" w:fill="ffffff"/>
        </w:rPr>
        <w:t xml:space="preserve">，生产厂为</w:t>
      </w:r>
      <w:r>
        <w:rPr>
          <w:rFonts w:ascii="宋体" w:hAnsi="宋体" w:eastAsia="宋体" w:cs="宋体"/>
          <w:b/>
          <w:bCs/>
          <w:u w:val="single"/>
          <w:shd w:val="clear" w:color="auto" w:fill="ffffff"/>
        </w:rPr>
        <w:t xml:space="preserve">（厂名）</w:t>
      </w:r>
      <w:r>
        <w:rPr>
          <w:rFonts w:ascii="宋体" w:hAnsi="宋体" w:eastAsia="宋体" w:cs="宋体"/>
          <w:b/>
          <w:bCs/>
          <w:shd w:val="clear" w:color="auto" w:fill="ffffff"/>
          <w:vertAlign w:val="superscript"/>
        </w:rPr>
        <w:t xml:space="preserve">2</w:t>
      </w:r>
      <w:r>
        <w:rPr>
          <w:rFonts w:ascii="宋体" w:hAnsi="宋体" w:eastAsia="宋体" w:cs="宋体"/>
          <w:b/>
          <w:bCs/>
          <w:shd w:val="clear" w:color="auto" w:fill="ffffff"/>
        </w:rPr>
        <w:t xml:space="preserve">，厂址为</w:t>
      </w:r>
      <w:r>
        <w:rPr>
          <w:rFonts w:ascii="宋体" w:hAnsi="宋体" w:eastAsia="宋体" w:cs="宋体"/>
          <w:b/>
          <w:bCs/>
          <w:u w:val="single"/>
          <w:shd w:val="clear" w:color="auto" w:fill="ffffff"/>
        </w:rPr>
        <w:t xml:space="preserve">（生产厂址）</w:t>
      </w:r>
      <w:r>
        <w:rPr>
          <w:rFonts w:ascii="宋体" w:hAnsi="宋体" w:eastAsia="宋体" w:cs="宋体"/>
          <w:b/>
          <w:bCs/>
          <w:shd w:val="clear" w:color="auto" w:fill="ffffff"/>
        </w:rPr>
        <w:t xml:space="preserve">。</w:t>
      </w:r>
      <w:r>
        <w:rPr>
          <w:rFonts w:ascii="宋体" w:hAnsi="宋体" w:eastAsia="宋体" w:cs="宋体"/>
          <w:b/>
          <w:bCs/>
          <w:strike/>
          <w:u w:val="single"/>
          <w:shd w:val="clear" w:color="auto" w:fill="ffffff"/>
        </w:rPr>
        <w:t xml:space="preserve"> （产品名称1）</w:t>
      </w:r>
      <w:r>
        <w:rPr>
          <w:rFonts w:ascii="宋体" w:hAnsi="宋体" w:eastAsia="宋体" w:cs="宋体"/>
          <w:b/>
          <w:bCs/>
          <w:u w:val="single"/>
          <w:shd w:val="clear" w:color="auto" w:fill="ffffff"/>
        </w:rPr>
        <w:t xml:space="preserve"> </w:t>
      </w:r>
      <w:r>
        <w:rPr>
          <w:rFonts w:ascii="宋体" w:hAnsi="宋体" w:eastAsia="宋体" w:cs="宋体"/>
          <w:b/>
          <w:bCs/>
          <w:shd w:val="clear" w:color="auto" w:fill="ffffff"/>
        </w:rPr>
        <w:t xml:space="preserve">的中国境内生产的组件成本占比≥</w:t>
      </w:r>
      <w:r>
        <w:rPr>
          <w:rFonts w:ascii="宋体" w:hAnsi="宋体" w:eastAsia="宋体" w:cs="宋体"/>
          <w:b/>
          <w:bCs/>
          <w:strike/>
          <w:u w:val="single"/>
          <w:shd w:val="clear" w:color="auto" w:fill="ffffff"/>
        </w:rPr>
        <w:t xml:space="preserve">（规定比例）</w:t>
      </w:r>
      <w:r>
        <w:rPr>
          <w:rFonts w:ascii="宋体" w:hAnsi="宋体" w:eastAsia="宋体" w:cs="宋体"/>
          <w:b/>
          <w:bCs/>
          <w:strike/>
          <w:shd w:val="clear" w:color="auto" w:fill="ffffff"/>
          <w:vertAlign w:val="superscript"/>
        </w:rPr>
        <w:t xml:space="preserve">3</w:t>
      </w:r>
      <w:r>
        <w:rPr>
          <w:rFonts w:ascii="宋体" w:hAnsi="宋体" w:eastAsia="宋体" w:cs="宋体"/>
          <w:b/>
          <w:bCs/>
          <w:shd w:val="clear" w:color="auto" w:fill="ffffff"/>
        </w:rPr>
        <w:t xml:space="preserve">。</w:t>
      </w:r>
      <w:r>
        <w:rPr>
          <w:rFonts w:ascii="宋体" w:hAnsi="宋体" w:eastAsia="宋体" w:cs="宋体"/>
          <w:b/>
          <w:bCs/>
          <w:strike/>
          <w:u w:val="single"/>
          <w:shd w:val="clear" w:color="auto" w:fill="ffffff"/>
        </w:rPr>
        <w:t xml:space="preserve">（产品名称1）</w:t>
      </w:r>
      <w:r>
        <w:rPr>
          <w:rFonts w:ascii="宋体" w:hAnsi="宋体" w:eastAsia="宋体" w:cs="宋体"/>
          <w:b/>
          <w:bCs/>
          <w:shd w:val="clear" w:color="auto" w:fill="ffffff"/>
        </w:rPr>
        <w:t xml:space="preserve">的</w:t>
      </w:r>
      <w:r>
        <w:rPr>
          <w:rFonts w:ascii="宋体" w:hAnsi="宋体" w:eastAsia="宋体" w:cs="宋体"/>
          <w:b/>
          <w:bCs/>
          <w:strike/>
          <w:u w:val="single"/>
          <w:shd w:val="clear" w:color="auto" w:fill="ffffff"/>
        </w:rPr>
        <w:t xml:space="preserve">（关键组件）</w:t>
      </w:r>
      <w:r>
        <w:rPr>
          <w:rFonts w:ascii="宋体" w:hAnsi="宋体" w:eastAsia="宋体" w:cs="宋体"/>
          <w:b/>
          <w:bCs/>
          <w:strike/>
          <w:shd w:val="clear" w:color="auto" w:fill="ffffff"/>
          <w:vertAlign w:val="superscript"/>
        </w:rPr>
        <w:t xml:space="preserve">4</w:t>
      </w:r>
      <w:r>
        <w:rPr>
          <w:rFonts w:ascii="宋体" w:hAnsi="宋体" w:eastAsia="宋体" w:cs="宋体"/>
          <w:b/>
          <w:bCs/>
          <w:shd w:val="clear" w:color="auto" w:fill="ffffff"/>
        </w:rPr>
        <w:t xml:space="preserve">在中国境内生产。</w:t>
      </w:r>
      <w:r>
        <w:rPr>
          <w:rFonts w:ascii="宋体" w:hAnsi="宋体" w:eastAsia="宋体" w:cs="宋体"/>
          <w:b/>
          <w:bCs/>
          <w:strike/>
          <w:u w:val="single"/>
          <w:shd w:val="clear" w:color="auto" w:fill="ffffff"/>
        </w:rPr>
        <w:t xml:space="preserve">（产品名称1）</w:t>
      </w:r>
      <w:r>
        <w:rPr>
          <w:rFonts w:ascii="宋体" w:hAnsi="宋体" w:eastAsia="宋体" w:cs="宋体"/>
          <w:b/>
          <w:bCs/>
          <w:shd w:val="clear" w:color="auto" w:fill="ffffff"/>
        </w:rPr>
        <w:t xml:space="preserve">的</w:t>
      </w:r>
      <w:r>
        <w:rPr>
          <w:rFonts w:ascii="宋体" w:hAnsi="宋体" w:eastAsia="宋体" w:cs="宋体"/>
          <w:b/>
          <w:bCs/>
          <w:strike/>
          <w:u w:val="single"/>
          <w:shd w:val="clear" w:color="auto" w:fill="ffffff"/>
        </w:rPr>
        <w:t xml:space="preserve">（关键工序）</w:t>
      </w:r>
      <w:r>
        <w:rPr>
          <w:rFonts w:ascii="宋体" w:hAnsi="宋体" w:eastAsia="宋体" w:cs="宋体"/>
          <w:b/>
          <w:bCs/>
          <w:strike/>
          <w:shd w:val="clear" w:color="auto" w:fill="ffffff"/>
          <w:vertAlign w:val="superscript"/>
        </w:rPr>
        <w:t xml:space="preserve">5</w:t>
      </w:r>
      <w:r>
        <w:rPr>
          <w:rFonts w:ascii="宋体" w:hAnsi="宋体" w:eastAsia="宋体" w:cs="宋体"/>
          <w:b/>
          <w:bCs/>
          <w:shd w:val="clear" w:color="auto" w:fill="ffffff"/>
        </w:rPr>
        <w:t xml:space="preserve">在中国境内完成。</w:t>
      </w:r>
      <w:r/>
    </w:p>
    <w:p>
      <w:pPr>
        <w:pStyle w:val="850"/>
        <w:ind w:firstLine="420"/>
        <w:jc w:val="both"/>
        <w:spacing w:before="30" w:beforeAutospacing="0" w:after="30" w:afterAutospacing="0" w:line="480" w:lineRule="auto"/>
        <w:rPr>
          <w:b/>
          <w:bCs/>
        </w:rPr>
      </w:pPr>
      <w:r>
        <w:rPr>
          <w:rFonts w:ascii="宋体" w:hAnsi="宋体" w:eastAsia="宋体" w:cs="宋体"/>
          <w:b/>
          <w:bCs/>
          <w:shd w:val="clear" w:color="auto" w:fill="ffffff"/>
        </w:rPr>
        <w:t xml:space="preserve">2.</w:t>
      </w:r>
      <w:r>
        <w:rPr>
          <w:rFonts w:ascii="宋体" w:hAnsi="宋体" w:eastAsia="宋体" w:cs="宋体"/>
          <w:b/>
          <w:bCs/>
          <w:u w:val="single"/>
          <w:shd w:val="clear" w:color="auto" w:fill="ffffff"/>
        </w:rPr>
        <w:t xml:space="preserve">（产品名称2）</w:t>
      </w:r>
      <w:r>
        <w:rPr>
          <w:rFonts w:ascii="宋体" w:hAnsi="宋体" w:eastAsia="宋体" w:cs="宋体"/>
          <w:b/>
          <w:bCs/>
          <w:shd w:val="clear" w:color="auto" w:fill="ffffff"/>
        </w:rPr>
        <w:t xml:space="preserve">，生产厂为</w:t>
      </w:r>
      <w:r>
        <w:rPr>
          <w:rFonts w:ascii="宋体" w:hAnsi="宋体" w:eastAsia="宋体" w:cs="宋体"/>
          <w:b/>
          <w:bCs/>
          <w:u w:val="single"/>
          <w:shd w:val="clear" w:color="auto" w:fill="ffffff"/>
        </w:rPr>
        <w:t xml:space="preserve">（厂名）</w:t>
      </w:r>
      <w:r>
        <w:rPr>
          <w:rFonts w:ascii="宋体" w:hAnsi="宋体" w:eastAsia="宋体" w:cs="宋体"/>
          <w:b/>
          <w:bCs/>
          <w:shd w:val="clear" w:color="auto" w:fill="ffffff"/>
        </w:rPr>
        <w:t xml:space="preserve">，厂址为</w:t>
      </w:r>
      <w:r>
        <w:rPr>
          <w:rFonts w:ascii="宋体" w:hAnsi="宋体" w:eastAsia="宋体" w:cs="宋体"/>
          <w:b/>
          <w:bCs/>
          <w:u w:val="single"/>
          <w:shd w:val="clear" w:color="auto" w:fill="ffffff"/>
        </w:rPr>
        <w:t xml:space="preserve">（生产厂址）</w:t>
      </w:r>
      <w:r>
        <w:rPr>
          <w:rFonts w:ascii="宋体" w:hAnsi="宋体" w:eastAsia="宋体" w:cs="宋体"/>
          <w:b/>
          <w:bCs/>
          <w:shd w:val="clear" w:color="auto" w:fill="ffffff"/>
        </w:rPr>
        <w:t xml:space="preserve">。</w:t>
      </w:r>
      <w:r>
        <w:rPr>
          <w:rFonts w:ascii="宋体" w:hAnsi="宋体" w:eastAsia="宋体" w:cs="宋体"/>
          <w:b/>
          <w:bCs/>
          <w:strike/>
          <w:u w:val="single"/>
          <w:shd w:val="clear" w:color="auto" w:fill="ffffff"/>
        </w:rPr>
        <w:t xml:space="preserve">（产品名称2）</w:t>
      </w:r>
      <w:r>
        <w:rPr>
          <w:rFonts w:ascii="宋体" w:hAnsi="宋体" w:eastAsia="宋体" w:cs="宋体"/>
          <w:b/>
          <w:bCs/>
          <w:shd w:val="clear" w:color="auto" w:fill="ffffff"/>
        </w:rPr>
        <w:t xml:space="preserve">的中国境内生产的组件成本占比≥</w:t>
      </w:r>
      <w:r>
        <w:rPr>
          <w:rFonts w:ascii="宋体" w:hAnsi="宋体" w:eastAsia="宋体" w:cs="宋体"/>
          <w:b/>
          <w:bCs/>
          <w:strike/>
          <w:u w:val="single"/>
          <w:shd w:val="clear" w:color="auto" w:fill="ffffff"/>
        </w:rPr>
        <w:t xml:space="preserve">（规定比例）</w:t>
      </w:r>
      <w:r>
        <w:rPr>
          <w:rFonts w:ascii="宋体" w:hAnsi="宋体" w:eastAsia="宋体" w:cs="宋体"/>
          <w:b/>
          <w:bCs/>
          <w:shd w:val="clear" w:color="auto" w:fill="ffffff"/>
        </w:rPr>
        <w:t xml:space="preserve">。</w:t>
      </w:r>
      <w:r>
        <w:rPr>
          <w:rFonts w:ascii="宋体" w:hAnsi="宋体" w:eastAsia="宋体" w:cs="宋体"/>
          <w:b/>
          <w:bCs/>
          <w:strike/>
          <w:u w:val="single"/>
          <w:shd w:val="clear" w:color="auto" w:fill="ffffff"/>
        </w:rPr>
        <w:t xml:space="preserve">（产品名称2）</w:t>
      </w:r>
      <w:r>
        <w:rPr>
          <w:rFonts w:ascii="宋体" w:hAnsi="宋体" w:eastAsia="宋体" w:cs="宋体"/>
          <w:b/>
          <w:bCs/>
          <w:shd w:val="clear" w:color="auto" w:fill="ffffff"/>
        </w:rPr>
        <w:t xml:space="preserve">的</w:t>
      </w:r>
      <w:r>
        <w:rPr>
          <w:rFonts w:ascii="宋体" w:hAnsi="宋体" w:eastAsia="宋体" w:cs="宋体"/>
          <w:b/>
          <w:bCs/>
          <w:strike/>
          <w:u w:val="single"/>
          <w:shd w:val="clear" w:color="auto" w:fill="ffffff"/>
        </w:rPr>
        <w:t xml:space="preserve">（关键组件）</w:t>
      </w:r>
      <w:r>
        <w:rPr>
          <w:rFonts w:ascii="宋体" w:hAnsi="宋体" w:eastAsia="宋体" w:cs="宋体"/>
          <w:b/>
          <w:bCs/>
          <w:shd w:val="clear" w:color="auto" w:fill="ffffff"/>
        </w:rPr>
        <w:t xml:space="preserve">在中国境内生产。</w:t>
      </w:r>
      <w:r>
        <w:rPr>
          <w:rFonts w:ascii="宋体" w:hAnsi="宋体" w:eastAsia="宋体" w:cs="宋体"/>
          <w:b/>
          <w:bCs/>
          <w:strike/>
          <w:u w:val="single"/>
          <w:shd w:val="clear" w:color="auto" w:fill="ffffff"/>
        </w:rPr>
        <w:t xml:space="preserve">（产品名称1）</w:t>
      </w:r>
      <w:r>
        <w:rPr>
          <w:rFonts w:ascii="宋体" w:hAnsi="宋体" w:eastAsia="宋体" w:cs="宋体"/>
          <w:b/>
          <w:bCs/>
          <w:shd w:val="clear" w:color="auto" w:fill="ffffff"/>
        </w:rPr>
        <w:t xml:space="preserve">的</w:t>
      </w:r>
      <w:r>
        <w:rPr>
          <w:rFonts w:ascii="宋体" w:hAnsi="宋体" w:eastAsia="宋体" w:cs="宋体"/>
          <w:b/>
          <w:bCs/>
          <w:strike/>
          <w:u w:val="single"/>
          <w:shd w:val="clear" w:color="auto" w:fill="ffffff"/>
        </w:rPr>
        <w:t xml:space="preserve">（关键工序）</w:t>
      </w:r>
      <w:r>
        <w:rPr>
          <w:rFonts w:ascii="宋体" w:hAnsi="宋体" w:eastAsia="宋体" w:cs="宋体"/>
          <w:b/>
          <w:bCs/>
          <w:shd w:val="clear" w:color="auto" w:fill="ffffff"/>
        </w:rPr>
        <w:t xml:space="preserve">在中国境内完成。</w:t>
      </w:r>
      <w:r/>
    </w:p>
    <w:p>
      <w:pPr>
        <w:pStyle w:val="850"/>
        <w:ind w:firstLine="420"/>
        <w:jc w:val="both"/>
        <w:spacing w:before="30" w:beforeAutospacing="0" w:after="30" w:afterAutospacing="0"/>
        <w:rPr>
          <w:b/>
          <w:bCs/>
        </w:rPr>
      </w:pPr>
      <w:r>
        <w:rPr>
          <w:rFonts w:ascii="宋体" w:hAnsi="宋体" w:eastAsia="宋体" w:cs="宋体"/>
          <w:b/>
          <w:bCs/>
          <w:shd w:val="clear" w:color="auto" w:fill="ffffff"/>
        </w:rPr>
        <w:t xml:space="preserve">……</w:t>
      </w:r>
      <w:r/>
    </w:p>
    <w:p>
      <w:pPr>
        <w:pStyle w:val="850"/>
        <w:ind w:firstLine="420"/>
        <w:jc w:val="both"/>
        <w:spacing w:before="30" w:beforeAutospacing="0" w:after="30" w:afterAutospacing="0"/>
        <w:rPr>
          <w:b/>
          <w:bCs/>
        </w:rPr>
      </w:pPr>
      <w:r>
        <w:rPr>
          <w:rFonts w:ascii="宋体" w:hAnsi="宋体" w:eastAsia="宋体" w:cs="宋体"/>
          <w:b/>
          <w:bCs/>
          <w:shd w:val="clear" w:color="auto" w:fill="ffffff"/>
        </w:rPr>
        <w:t xml:space="preserve">本公司（单位）对上述声明内容的真实性负责。如有虚假，愿承担相应法律责任。</w:t>
      </w:r>
      <w:r/>
    </w:p>
    <w:p>
      <w:pPr>
        <w:pStyle w:val="850"/>
        <w:jc w:val="both"/>
        <w:spacing w:before="30" w:beforeAutospacing="0" w:after="30" w:afterAutospacing="0"/>
        <w:rPr>
          <w:b/>
          <w:bCs/>
        </w:rPr>
      </w:pPr>
      <w:r>
        <w:rPr>
          <w:rFonts w:ascii="宋体" w:hAnsi="宋体" w:eastAsia="宋体" w:cs="宋体"/>
          <w:b/>
          <w:bCs/>
        </w:rPr>
        <w:t xml:space="preserve"> </w:t>
      </w:r>
      <w:r/>
    </w:p>
    <w:p>
      <w:pPr>
        <w:pStyle w:val="850"/>
        <w:ind w:right="480" w:firstLine="3720"/>
        <w:jc w:val="both"/>
        <w:spacing w:before="30" w:beforeAutospacing="0" w:after="30" w:afterAutospacing="0"/>
        <w:rPr>
          <w:b/>
          <w:bCs/>
        </w:rPr>
      </w:pPr>
      <w:r>
        <w:rPr>
          <w:rFonts w:ascii="宋体" w:hAnsi="宋体" w:eastAsia="宋体" w:cs="宋体"/>
          <w:b/>
          <w:bCs/>
          <w:shd w:val="clear" w:color="auto" w:fill="ffffff"/>
        </w:rPr>
        <w:t xml:space="preserve">公司（单位）名称（盖章）：　</w:t>
      </w:r>
      <w:r/>
    </w:p>
    <w:p>
      <w:pPr>
        <w:pStyle w:val="850"/>
        <w:jc w:val="center"/>
        <w:spacing w:before="30" w:beforeAutospacing="0" w:after="30" w:afterAutospacing="0"/>
        <w:rPr>
          <w:b/>
          <w:bCs/>
        </w:rPr>
      </w:pPr>
      <w:r>
        <w:rPr>
          <w:rFonts w:ascii="宋体" w:hAnsi="宋体" w:eastAsia="宋体" w:cs="宋体"/>
          <w:b/>
          <w:bCs/>
          <w:shd w:val="clear" w:color="auto" w:fill="ffffff"/>
        </w:rPr>
        <w:t xml:space="preserve">         日期：　   年　  月　  日         </w:t>
      </w:r>
      <w:r/>
    </w:p>
    <w:p>
      <w:pPr>
        <w:pStyle w:val="850"/>
        <w:jc w:val="both"/>
        <w:spacing w:before="30" w:beforeAutospacing="0" w:after="30" w:afterAutospacing="0"/>
        <w:rPr>
          <w:rFonts w:hint="eastAsia" w:ascii="宋体" w:hAnsi="宋体" w:eastAsia="宋体" w:cs="宋体"/>
          <w:b/>
          <w:bCs/>
          <w:shd w:val="clear" w:color="auto" w:fill="ffffff"/>
        </w:rPr>
      </w:pPr>
      <w:r>
        <w:rPr>
          <w:rFonts w:hint="eastAsia" w:ascii="宋体" w:hAnsi="宋体" w:eastAsia="宋体" w:cs="宋体"/>
          <w:b/>
          <w:bCs/>
          <w:shd w:val="clear" w:color="auto" w:fill="ffffff"/>
        </w:rPr>
      </w:r>
      <w:r/>
    </w:p>
    <w:p>
      <w:pPr>
        <w:pStyle w:val="850"/>
        <w:jc w:val="both"/>
        <w:spacing w:before="30" w:beforeAutospacing="0" w:after="30" w:afterAutospacing="0"/>
        <w:rPr>
          <w:b/>
          <w:bCs/>
        </w:rPr>
      </w:pPr>
      <w:r>
        <w:rPr>
          <w:rFonts w:ascii="宋体" w:hAnsi="宋体" w:eastAsia="宋体" w:cs="宋体"/>
          <w:b/>
          <w:bCs/>
          <w:shd w:val="clear" w:color="auto" w:fill="ffffff"/>
        </w:rPr>
        <w:t xml:space="preserve">1.产品如有型号，请在“产品名称”栏一并填写。</w:t>
      </w:r>
      <w:r/>
    </w:p>
    <w:p>
      <w:pPr>
        <w:pStyle w:val="850"/>
        <w:jc w:val="both"/>
        <w:spacing w:before="30" w:beforeAutospacing="0" w:after="30" w:afterAutospacing="0"/>
        <w:rPr>
          <w:b/>
          <w:bCs/>
        </w:rPr>
      </w:pPr>
      <w:r>
        <w:rPr>
          <w:rFonts w:ascii="宋体" w:hAnsi="宋体" w:eastAsia="宋体" w:cs="宋体"/>
          <w:b/>
          <w:bCs/>
          <w:shd w:val="clear" w:color="auto" w:fill="ffffff"/>
        </w:rPr>
        <w:t xml:space="preserve">2.生产厂名与厂址应与生产厂营业执照载明的相关信息保持一致。</w:t>
      </w:r>
      <w:r/>
    </w:p>
    <w:p>
      <w:pPr>
        <w:pStyle w:val="850"/>
        <w:jc w:val="both"/>
        <w:spacing w:before="30" w:beforeAutospacing="0" w:after="30" w:afterAutospacing="0"/>
        <w:rPr>
          <w:b/>
          <w:bCs/>
        </w:rPr>
      </w:pPr>
      <w:r>
        <w:rPr>
          <w:rFonts w:ascii="宋体" w:hAnsi="宋体" w:eastAsia="宋体" w:cs="宋体"/>
          <w:b/>
          <w:bCs/>
          <w:shd w:val="clear" w:color="auto" w:fill="ffffff"/>
        </w:rPr>
        <w:t xml:space="preserve">3.该产品的中国境内生产的组件成本占比相关要求实施前，“规定比例”栏可不填，下同。</w:t>
      </w:r>
      <w:r/>
    </w:p>
    <w:p>
      <w:pPr>
        <w:pStyle w:val="850"/>
        <w:jc w:val="both"/>
        <w:spacing w:before="30" w:beforeAutospacing="0" w:after="30" w:afterAutospacing="0"/>
        <w:rPr>
          <w:b/>
          <w:bCs/>
        </w:rPr>
      </w:pPr>
      <w:r>
        <w:rPr>
          <w:rFonts w:ascii="宋体" w:hAnsi="宋体" w:eastAsia="宋体" w:cs="宋体"/>
          <w:b/>
          <w:bCs/>
          <w:shd w:val="clear" w:color="auto" w:fill="ffffff"/>
        </w:rPr>
        <w:t xml:space="preserve">4.该产品的关键组件要求实施前，“关键组件”栏可不填，下同。</w:t>
      </w:r>
      <w:r/>
    </w:p>
    <w:p>
      <w:pPr>
        <w:pStyle w:val="850"/>
        <w:jc w:val="both"/>
        <w:spacing w:before="30" w:beforeAutospacing="0" w:after="30" w:afterAutospacing="0"/>
        <w:rPr>
          <w:b/>
          <w:bCs/>
        </w:rPr>
      </w:pPr>
      <w:r>
        <w:rPr>
          <w:rFonts w:ascii="宋体" w:hAnsi="宋体" w:eastAsia="宋体" w:cs="宋体"/>
          <w:b/>
          <w:bCs/>
          <w:shd w:val="clear" w:color="auto" w:fill="ffffff"/>
        </w:rPr>
        <w:t xml:space="preserve">5.该产品的关键工序要求实施前，“关键工序”栏可不填，下同。</w:t>
      </w:r>
      <w:r/>
    </w:p>
    <w:p>
      <w:pPr>
        <w:pStyle w:val="850"/>
        <w:jc w:val="both"/>
        <w:spacing w:before="30" w:beforeAutospacing="0" w:after="30" w:afterAutospacing="0"/>
        <w:rPr>
          <w:rFonts w:hint="eastAsia" w:ascii="宋体" w:hAnsi="宋体" w:eastAsia="宋体" w:cs="宋体"/>
          <w:b/>
          <w:bCs/>
          <w:shd w:val="clear" w:color="auto" w:fill="ffffff"/>
        </w:rPr>
      </w:pPr>
      <w:r>
        <w:rPr>
          <w:rFonts w:ascii="宋体" w:hAnsi="宋体" w:eastAsia="宋体" w:cs="宋体"/>
          <w:b/>
          <w:bCs/>
          <w:shd w:val="clear" w:color="auto" w:fill="ffffff"/>
        </w:rPr>
        <w:t xml:space="preserve">6.用</w:t>
      </w:r>
      <w:r>
        <w:rPr>
          <w:rFonts w:hint="eastAsia" w:ascii="宋体" w:hAnsi="宋体" w:eastAsia="宋体" w:cs="宋体"/>
          <w:b/>
          <w:bCs/>
          <w:shd w:val="clear" w:color="auto" w:fill="ffffff"/>
        </w:rPr>
        <w:t xml:space="preserve">横</w:t>
      </w:r>
      <w:r>
        <w:rPr>
          <w:rFonts w:ascii="宋体" w:hAnsi="宋体" w:eastAsia="宋体" w:cs="宋体"/>
          <w:b/>
          <w:bCs/>
          <w:shd w:val="clear" w:color="auto" w:fill="ffffff"/>
        </w:rPr>
        <w:t xml:space="preserve">线划除的地方无需填写。</w:t>
      </w:r>
      <w:r/>
    </w:p>
    <w:p>
      <w:pPr>
        <w:rPr>
          <w:rFonts w:hint="eastAsia" w:ascii="宋体" w:hAnsi="宋体" w:eastAsia="宋体" w:cs="宋体"/>
          <w:b/>
          <w:bCs/>
          <w:sz w:val="24"/>
          <w:u w:val="single"/>
        </w:rPr>
      </w:pPr>
      <w:r>
        <w:rPr>
          <w:rFonts w:hint="eastAsia" w:ascii="宋体" w:hAnsi="宋体" w:eastAsia="宋体" w:cs="宋体"/>
          <w:b/>
          <w:bCs/>
          <w:sz w:val="24"/>
          <w:shd w:val="clear" w:color="auto" w:fill="ffffff"/>
        </w:rPr>
        <w:t xml:space="preserve">备注：</w:t>
      </w:r>
      <w:r>
        <w:rPr>
          <w:rFonts w:hint="eastAsia" w:ascii="宋体" w:hAnsi="宋体" w:eastAsia="宋体" w:cs="宋体"/>
          <w:b/>
          <w:bCs/>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850"/>
        <w:jc w:val="both"/>
        <w:spacing w:before="30" w:beforeAutospacing="0" w:after="30" w:afterAutospacing="0"/>
        <w:rPr>
          <w:rFonts w:hint="eastAsia" w:ascii="宋体" w:hAnsi="宋体" w:eastAsia="宋体" w:cs="宋体"/>
          <w:b/>
          <w:bCs/>
          <w:shd w:val="clear" w:color="auto" w:fill="ffffff"/>
        </w:rPr>
      </w:pPr>
      <w:r>
        <w:rPr>
          <w:rFonts w:hint="eastAsia" w:ascii="宋体" w:hAnsi="宋体" w:eastAsia="宋体" w:cs="宋体"/>
          <w:b/>
          <w:bCs/>
          <w:shd w:val="clear" w:color="auto" w:fill="ffffff"/>
        </w:rPr>
      </w:r>
      <w:r/>
    </w:p>
    <w:p>
      <w:pPr>
        <w:pStyle w:val="850"/>
        <w:ind w:left="-206"/>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850"/>
        <w:ind w:left="-206"/>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850"/>
        <w:ind w:left="-206"/>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850"/>
        <w:ind w:left="-206"/>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t xml:space="preserve">十二、投标分项报价表（项目编号：      ）</w:t>
      </w:r>
      <w:r/>
    </w:p>
    <w:p>
      <w:pPr>
        <w:pStyle w:val="850"/>
        <w:ind w:left="-206" w:firstLine="546"/>
        <w:jc w:val="center"/>
        <w:spacing w:beforeAutospacing="0" w:afterAutospacing="0"/>
      </w:pPr>
      <w:r/>
      <w:r/>
    </w:p>
    <w:tbl>
      <w:tblPr>
        <w:tblStyle w:val="844"/>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0"/>
              <w:jc w:val="center"/>
              <w:spacing w:beforeAutospacing="0" w:afterAutospacing="0" w:line="0" w:lineRule="atLeast"/>
            </w:pPr>
            <w:r>
              <w:rPr>
                <w:rFonts w:hint="eastAsia" w:ascii="宋体" w:hAnsi="宋体" w:eastAsia="宋体" w:cs="宋体"/>
              </w:rPr>
              <w:t xml:space="preserve">序号</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0"/>
              <w:jc w:val="center"/>
              <w:spacing w:beforeAutospacing="0" w:afterAutospacing="0" w:line="0" w:lineRule="atLeast"/>
            </w:pPr>
            <w:r>
              <w:rPr>
                <w:rFonts w:hint="eastAsia" w:ascii="宋体" w:hAnsi="宋体" w:eastAsia="宋体" w:cs="宋体"/>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50"/>
              <w:jc w:val="center"/>
              <w:spacing w:beforeAutospacing="0" w:afterAutospacing="0" w:line="0" w:lineRule="atLeast"/>
            </w:pPr>
            <w:r>
              <w:rPr>
                <w:rFonts w:hint="eastAsia" w:ascii="宋体" w:hAnsi="宋体" w:eastAsia="宋体" w:cs="宋体"/>
              </w:rPr>
              <w:t xml:space="preserve">2</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50"/>
              <w:jc w:val="center"/>
              <w:spacing w:beforeAutospacing="0" w:afterAutospacing="0" w:line="0" w:lineRule="atLeast"/>
            </w:pPr>
            <w:r>
              <w:rPr>
                <w:rFonts w:hint="eastAsia" w:ascii="宋体" w:hAnsi="宋体" w:eastAsia="宋体" w:cs="宋体"/>
              </w:rPr>
              <w:t xml:space="preserve">3</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50"/>
              <w:jc w:val="center"/>
              <w:spacing w:beforeAutospacing="0" w:afterAutospacing="0" w:line="0" w:lineRule="atLeast"/>
            </w:pPr>
            <w:r>
              <w:rPr>
                <w:rFonts w:hint="eastAsia" w:ascii="宋体" w:hAnsi="宋体" w:eastAsia="宋体" w:cs="宋体"/>
              </w:rPr>
              <w:t xml:space="preserve">4</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50"/>
              <w:jc w:val="center"/>
              <w:spacing w:beforeAutospacing="0" w:afterAutospacing="0" w:line="0" w:lineRule="atLeast"/>
            </w:pPr>
            <w:r>
              <w:rPr>
                <w:rFonts w:hint="eastAsia" w:ascii="宋体" w:hAnsi="宋体" w:eastAsia="宋体" w:cs="宋体"/>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50"/>
              <w:jc w:val="center"/>
              <w:spacing w:beforeAutospacing="0" w:afterAutospacing="0" w:line="0" w:lineRule="atLeast"/>
            </w:pPr>
            <w:r>
              <w:rPr>
                <w:rFonts w:hint="eastAsia" w:ascii="宋体" w:hAnsi="宋体" w:eastAsia="宋体" w:cs="宋体"/>
              </w:rPr>
              <w:t xml:space="preserve">6</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50"/>
              <w:jc w:val="center"/>
              <w:spacing w:beforeAutospacing="0" w:afterAutospacing="0" w:line="0" w:lineRule="atLeast"/>
            </w:pPr>
            <w:r>
              <w:rPr>
                <w:rFonts w:hint="eastAsia" w:ascii="宋体" w:hAnsi="宋体" w:eastAsia="宋体" w:cs="宋体"/>
              </w:rPr>
              <w:t xml:space="preserve">7</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0"/>
              <w:jc w:val="center"/>
              <w:spacing w:beforeAutospacing="0" w:afterAutospacing="0" w:line="0" w:lineRule="atLeast"/>
            </w:pPr>
            <w:r>
              <w:rPr>
                <w:rFonts w:hint="eastAsia" w:ascii="宋体" w:hAnsi="宋体" w:eastAsia="宋体" w:cs="宋体"/>
              </w:rPr>
              <w:t xml:space="preserve">8</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0"/>
              <w:jc w:val="center"/>
              <w:spacing w:beforeAutospacing="0" w:afterAutospacing="0" w:line="0" w:lineRule="atLeast"/>
            </w:pPr>
            <w:r>
              <w:rPr>
                <w:rFonts w:hint="eastAsia" w:ascii="宋体" w:hAnsi="宋体" w:eastAsia="宋体" w:cs="宋体"/>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0"/>
              <w:jc w:val="center"/>
              <w:spacing w:beforeAutospacing="0" w:afterAutospacing="0" w:line="0" w:lineRule="atLeast"/>
            </w:pPr>
            <w:r>
              <w:rPr>
                <w:rFonts w:hint="eastAsia" w:ascii="宋体" w:hAnsi="宋体" w:eastAsia="宋体" w:cs="宋体"/>
              </w:rPr>
              <w:t xml:space="preserve">产品</w:t>
            </w:r>
            <w:r/>
          </w:p>
          <w:p>
            <w:pPr>
              <w:pStyle w:val="850"/>
              <w:jc w:val="center"/>
              <w:spacing w:beforeAutospacing="0" w:afterAutospacing="0" w:line="0" w:lineRule="atLeast"/>
            </w:pPr>
            <w:r>
              <w:rPr>
                <w:rFonts w:hint="eastAsia" w:ascii="宋体" w:hAnsi="宋体" w:eastAsia="宋体" w:cs="宋体"/>
              </w:rPr>
              <w:t xml:space="preserve">名称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50"/>
              <w:jc w:val="center"/>
              <w:spacing w:beforeAutospacing="0" w:afterAutospacing="0" w:line="0" w:lineRule="atLeast"/>
            </w:pPr>
            <w:r>
              <w:rPr>
                <w:rFonts w:hint="eastAsia" w:ascii="宋体" w:hAnsi="宋体" w:eastAsia="宋体" w:cs="宋体"/>
              </w:rPr>
              <w:t xml:space="preserve">品牌</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50"/>
              <w:jc w:val="center"/>
              <w:spacing w:beforeAutospacing="0" w:afterAutospacing="0" w:line="0" w:lineRule="atLeast"/>
            </w:pPr>
            <w:r>
              <w:rPr>
                <w:rFonts w:hint="eastAsia" w:ascii="宋体" w:hAnsi="宋体" w:eastAsia="宋体" w:cs="宋体"/>
              </w:rPr>
              <w:t xml:space="preserve">规格</w:t>
            </w:r>
            <w:r/>
          </w:p>
          <w:p>
            <w:pPr>
              <w:pStyle w:val="850"/>
              <w:jc w:val="center"/>
              <w:spacing w:beforeAutospacing="0" w:afterAutospacing="0" w:line="0" w:lineRule="atLeast"/>
            </w:pPr>
            <w:r>
              <w:rPr>
                <w:rFonts w:hint="eastAsia" w:ascii="宋体" w:hAnsi="宋体" w:eastAsia="宋体" w:cs="宋体"/>
              </w:rPr>
              <w:t xml:space="preserve">型号</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50"/>
              <w:jc w:val="center"/>
              <w:spacing w:beforeAutospacing="0" w:afterAutospacing="0" w:line="0" w:lineRule="atLeast"/>
            </w:pPr>
            <w:r>
              <w:rPr>
                <w:rFonts w:hint="eastAsia" w:ascii="宋体" w:hAnsi="宋体" w:eastAsia="宋体" w:cs="宋体"/>
              </w:rPr>
              <w:t xml:space="preserve">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50"/>
              <w:jc w:val="center"/>
              <w:spacing w:beforeAutospacing="0" w:afterAutospacing="0" w:line="0" w:lineRule="atLeast"/>
            </w:pPr>
            <w:r>
              <w:rPr>
                <w:rFonts w:hint="eastAsia" w:ascii="宋体" w:hAnsi="宋体" w:eastAsia="宋体" w:cs="宋体"/>
              </w:rPr>
              <w:t xml:space="preserve">交付期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50"/>
              <w:jc w:val="center"/>
              <w:spacing w:beforeAutospacing="0" w:afterAutospacing="0" w:line="0" w:lineRule="atLeast"/>
            </w:pPr>
            <w:r>
              <w:rPr>
                <w:rFonts w:hint="eastAsia" w:ascii="宋体" w:hAnsi="宋体" w:eastAsia="宋体" w:cs="宋体"/>
              </w:rPr>
              <w:t xml:space="preserve">数量</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50"/>
              <w:jc w:val="center"/>
              <w:spacing w:beforeAutospacing="0" w:afterAutospacing="0" w:line="0" w:lineRule="atLeast"/>
            </w:pPr>
            <w:r>
              <w:rPr>
                <w:rFonts w:hint="eastAsia" w:ascii="宋体" w:hAnsi="宋体" w:eastAsia="宋体" w:cs="宋体"/>
              </w:rPr>
              <w:t xml:space="preserve">分项单价</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0"/>
              <w:jc w:val="center"/>
              <w:spacing w:beforeAutospacing="0" w:afterAutospacing="0" w:line="0" w:lineRule="atLeast"/>
            </w:pPr>
            <w:r>
              <w:rPr>
                <w:rFonts w:hint="eastAsia" w:ascii="宋体" w:hAnsi="宋体" w:eastAsia="宋体" w:cs="宋体"/>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0"/>
              <w:jc w:val="center"/>
              <w:spacing w:beforeAutospacing="0" w:afterAutospacing="0" w:line="0" w:lineRule="atLeast"/>
            </w:pPr>
            <w:r>
              <w:rPr>
                <w:rFonts w:hint="eastAsia" w:ascii="宋体" w:hAnsi="宋体" w:eastAsia="宋体" w:cs="宋体"/>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5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5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5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5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5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5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0"/>
              <w:jc w:val="both"/>
              <w:spacing w:beforeAutospacing="0" w:afterAutospacing="0" w:line="0" w:lineRule="atLeast"/>
            </w:pPr>
            <w: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0"/>
              <w:jc w:val="center"/>
              <w:spacing w:beforeAutospacing="0" w:afterAutospacing="0" w:line="0" w:lineRule="atLeast"/>
            </w:pPr>
            <w:r>
              <w:rPr>
                <w:rFonts w:hint="eastAsia" w:ascii="宋体" w:hAnsi="宋体" w:eastAsia="宋体" w:cs="宋体"/>
              </w:rPr>
              <w:t xml:space="preserve">3</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5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5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5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5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5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5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0"/>
              <w:jc w:val="both"/>
              <w:spacing w:beforeAutospacing="0" w:afterAutospacing="0" w:line="0" w:lineRule="atLeast"/>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0"/>
              <w:jc w:val="center"/>
              <w:spacing w:beforeAutospacing="0" w:afterAutospacing="0" w:line="0" w:lineRule="atLeast"/>
            </w:pPr>
            <w:r>
              <w:rPr>
                <w:rFonts w:hint="eastAsia" w:ascii="宋体" w:hAnsi="宋体" w:eastAsia="宋体" w:cs="宋体"/>
              </w:rPr>
              <w:t xml:space="preserve">4</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5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5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5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5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5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5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0"/>
              <w:jc w:val="both"/>
              <w:spacing w:beforeAutospacing="0" w:afterAutospacing="0" w:line="0" w:lineRule="atLeast"/>
            </w:pPr>
            <w:r>
              <w:t xml:space="preserve"> </w:t>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0"/>
              <w:jc w:val="center"/>
              <w:spacing w:beforeAutospacing="0" w:afterAutospacing="0" w:line="0" w:lineRule="atLeast"/>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0"/>
              <w:jc w:val="both"/>
              <w:spacing w:beforeAutospacing="0" w:afterAutospacing="0" w:line="0" w:lineRule="atLeast"/>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5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5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5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5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5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5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0"/>
              <w:jc w:val="both"/>
              <w:spacing w:beforeAutospacing="0" w:afterAutospacing="0" w:line="0" w:lineRule="atLeast"/>
            </w:pPr>
            <w:r>
              <w:t xml:space="preserve"> </w:t>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50"/>
              <w:jc w:val="center"/>
              <w:spacing w:beforeAutospacing="0" w:afterAutospacing="0"/>
            </w:pPr>
            <w:r>
              <w:rPr>
                <w:rFonts w:hint="eastAsia" w:ascii="宋体" w:hAnsi="宋体" w:eastAsia="宋体" w:cs="宋体"/>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0"/>
              <w:jc w:val="both"/>
              <w:spacing w:beforeAutospacing="0" w:afterAutospacing="0"/>
            </w:pPr>
            <w:r>
              <w:t xml:space="preserve"> </w:t>
            </w:r>
            <w:r/>
          </w:p>
        </w:tc>
      </w:tr>
      <w:tr>
        <w:trPr>
          <w:tblCellSpacing w:w="0" w:type="dxa"/>
          <w:trHeight w:val="1030"/>
        </w:trPr>
        <w:tc>
          <w:tcPr>
            <w:gridSpan w:val="9"/>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850"/>
              <w:jc w:val="both"/>
              <w:spacing w:beforeAutospacing="0" w:afterAutospacing="0"/>
            </w:pPr>
            <w:r>
              <w:rPr>
                <w:rFonts w:hint="eastAsia" w:asciiTheme="minorEastAsia" w:hAnsiTheme="minorEastAsia" w:cstheme="minorEastAsia"/>
              </w:rPr>
              <w:t xml:space="preserve">本采购包中提供的符合本国产品标准的产品成本之和占该采购包提供的全部产品成本之和的比例为</w:t>
            </w:r>
            <w:r>
              <w:rPr>
                <w:rFonts w:hint="eastAsia" w:asciiTheme="minorEastAsia" w:hAnsiTheme="minorEastAsia" w:cstheme="minorEastAsia"/>
                <w:u w:val="single"/>
              </w:rPr>
              <w:t xml:space="preserve">***</w:t>
            </w:r>
            <w:r>
              <w:rPr>
                <w:rFonts w:hint="eastAsia" w:asciiTheme="minorEastAsia" w:hAnsiTheme="minorEastAsia" w:cstheme="minorEastAsia"/>
              </w:rPr>
              <w:t xml:space="preserve">%。</w:t>
            </w:r>
            <w:r/>
          </w:p>
        </w:tc>
      </w:tr>
    </w:tbl>
    <w:p>
      <w:pPr>
        <w:pStyle w:val="850"/>
        <w:ind w:left="-206"/>
        <w:jc w:val="both"/>
        <w:spacing w:beforeAutospacing="0" w:afterAutospacing="0"/>
      </w:pPr>
      <w:r/>
      <w:r/>
    </w:p>
    <w:p>
      <w:pPr>
        <w:pStyle w:val="850"/>
        <w:jc w:val="both"/>
        <w:spacing w:beforeAutospacing="0" w:afterAutospacing="0"/>
        <w:rPr>
          <w:rFonts w:hint="eastAsia" w:ascii="宋体" w:hAnsi="宋体" w:eastAsia="宋体" w:cs="宋体"/>
        </w:rPr>
      </w:pPr>
      <w:r>
        <w:t xml:space="preserve"> </w:t>
      </w:r>
      <w:r>
        <w:rPr>
          <w:rFonts w:hint="eastAsia" w:ascii="宋体" w:hAnsi="宋体" w:eastAsia="宋体" w:cs="宋体"/>
        </w:rPr>
        <w:t xml:space="preserve">备注：</w:t>
      </w:r>
      <w:r/>
    </w:p>
    <w:p>
      <w:pPr>
        <w:pStyle w:val="850"/>
        <w:numPr>
          <w:ilvl w:val="0"/>
          <w:numId w:val="6"/>
        </w:numPr>
        <w:jc w:val="both"/>
        <w:spacing w:beforeAutospacing="0" w:afterAutospacing="0"/>
        <w:rPr>
          <w:rFonts w:hint="eastAsia" w:ascii="宋体" w:hAnsi="宋体" w:eastAsia="宋体" w:cs="宋体"/>
        </w:rPr>
      </w:pPr>
      <w:r>
        <w:rPr>
          <w:rFonts w:hint="eastAsia" w:ascii="宋体" w:hAnsi="宋体" w:eastAsia="宋体" w:cs="宋体"/>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50"/>
        <w:jc w:val="both"/>
        <w:spacing w:beforeAutospacing="0" w:afterAutospacing="0"/>
        <w:rPr>
          <w:rFonts w:hint="eastAsia" w:ascii="宋体" w:hAnsi="宋体" w:eastAsia="宋体" w:cs="宋体"/>
        </w:rPr>
      </w:pPr>
      <w:r>
        <w:rPr>
          <w:rFonts w:hint="eastAsia" w:ascii="宋体" w:hAnsi="宋体" w:eastAsia="宋体" w:cs="宋体"/>
        </w:rPr>
        <w:t xml:space="preserve">2.</w:t>
      </w:r>
      <w:r>
        <w:rPr>
          <w:rFonts w:ascii="Times New Roman" w:hAnsi="Times New Roman"/>
          <w:sz w:val="21"/>
          <w:szCs w:val="21"/>
        </w:rPr>
        <w:t xml:space="preserve"> “</w:t>
      </w:r>
      <w:r>
        <w:rPr>
          <w:rFonts w:hint="eastAsia" w:ascii="宋体" w:hAnsi="宋体" w:eastAsia="宋体" w:cs="宋体"/>
        </w:rPr>
        <w:t xml:space="preserve">投标分项报价表</w:t>
      </w:r>
      <w:r>
        <w:rPr>
          <w:rFonts w:ascii="Times New Roman" w:hAnsi="Times New Roman"/>
          <w:sz w:val="21"/>
          <w:szCs w:val="21"/>
        </w:rPr>
        <w:t xml:space="preserve">”</w:t>
      </w:r>
      <w:r>
        <w:rPr>
          <w:rFonts w:hint="eastAsia" w:ascii="宋体" w:hAnsi="宋体" w:eastAsia="宋体" w:cs="宋体"/>
        </w:rPr>
        <w:t xml:space="preserve">中“投标总报价”数额应当与“开标一览表”中“投标总报价”数额一致。</w:t>
      </w:r>
      <w:r/>
    </w:p>
    <w:p>
      <w:pPr>
        <w:spacing w:line="400" w:lineRule="exact"/>
        <w:rPr>
          <w:rFonts w:hint="eastAsia" w:ascii="宋体" w:hAnsi="宋体" w:eastAsia="宋体" w:cs="宋体"/>
        </w:rPr>
      </w:pPr>
      <w:r>
        <w:rPr>
          <w:rFonts w:hint="eastAsia" w:asciiTheme="minorEastAsia" w:hAnsiTheme="minorEastAsia" w:cstheme="minorEastAsia"/>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50"/>
        <w:ind w:left="-206"/>
        <w:jc w:val="both"/>
        <w:spacing w:beforeAutospacing="0" w:afterAutospacing="0"/>
      </w:pPr>
      <w:r/>
      <w:r/>
    </w:p>
    <w:p>
      <w:pPr>
        <w:pStyle w:val="850"/>
        <w:ind w:left="-206"/>
        <w:jc w:val="both"/>
        <w:spacing w:beforeAutospacing="0" w:afterAutospacing="0"/>
      </w:pPr>
      <w:r>
        <w:t xml:space="preserve"> </w:t>
      </w:r>
      <w:r/>
    </w:p>
    <w:p>
      <w:pPr>
        <w:pStyle w:val="850"/>
        <w:ind w:left="-206"/>
        <w:jc w:val="both"/>
        <w:spacing w:beforeAutospacing="0" w:afterAutospacing="0"/>
      </w:pPr>
      <w:r/>
      <w:r/>
    </w:p>
    <w:p>
      <w:pPr>
        <w:pStyle w:val="850"/>
        <w:ind w:left="-206"/>
        <w:jc w:val="both"/>
        <w:spacing w:beforeAutospacing="0" w:afterAutospacing="0"/>
      </w:pPr>
      <w:r/>
      <w:r/>
    </w:p>
    <w:p>
      <w:pPr>
        <w:pStyle w:val="850"/>
        <w:ind w:left="-206"/>
        <w:jc w:val="both"/>
        <w:spacing w:beforeAutospacing="0" w:afterAutospacing="0"/>
      </w:pPr>
      <w:r/>
      <w:r/>
    </w:p>
    <w:p>
      <w:pPr>
        <w:pStyle w:val="850"/>
        <w:ind w:left="-206"/>
        <w:jc w:val="both"/>
        <w:spacing w:beforeAutospacing="0" w:afterAutospacing="0"/>
      </w:pPr>
      <w:r/>
      <w:r/>
    </w:p>
    <w:p>
      <w:pPr>
        <w:pStyle w:val="850"/>
        <w:ind w:left="-206"/>
        <w:jc w:val="both"/>
        <w:spacing w:beforeAutospacing="0" w:afterAutospacing="0"/>
      </w:pPr>
      <w:r/>
      <w:r/>
    </w:p>
    <w:p>
      <w:pPr>
        <w:pStyle w:val="850"/>
        <w:ind w:left="-206"/>
        <w:jc w:val="both"/>
        <w:spacing w:beforeAutospacing="0" w:afterAutospacing="0"/>
      </w:pPr>
      <w:r>
        <w:rPr>
          <w:rFonts w:hint="eastAsia" w:ascii="黑体" w:hAnsi="宋体" w:eastAsia="黑体" w:cs="黑体"/>
          <w:b/>
          <w:sz w:val="32"/>
          <w:szCs w:val="32"/>
        </w:rPr>
        <w:t xml:space="preserve">十三、技术要求响应及偏离表（项目编号：      ）</w:t>
      </w:r>
      <w:r/>
    </w:p>
    <w:tbl>
      <w:tblPr>
        <w:tblStyle w:val="84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0"/>
              <w:jc w:val="center"/>
              <w:spacing w:beforeAutospacing="0" w:afterAutospacing="0"/>
            </w:pPr>
            <w:r>
              <w:rPr>
                <w:rFonts w:hint="eastAsia" w:ascii="宋体" w:hAnsi="宋体" w:eastAsia="宋体" w:cs="宋体"/>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0"/>
              <w:jc w:val="center"/>
              <w:spacing w:beforeAutospacing="0" w:afterAutospacing="0"/>
            </w:pPr>
            <w:r>
              <w:rPr>
                <w:rFonts w:hint="eastAsia" w:ascii="宋体" w:hAnsi="宋体" w:eastAsia="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Autospacing="0" w:afterAutospacing="0"/>
            </w:pPr>
            <w:r>
              <w:rPr>
                <w:rFonts w:hint="eastAsia" w:ascii="宋体" w:hAnsi="宋体" w:eastAsia="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Autospacing="0" w:afterAutospacing="0"/>
            </w:pPr>
            <w:r>
              <w:rPr>
                <w:rFonts w:hint="eastAsia" w:ascii="宋体" w:hAnsi="宋体" w:eastAsia="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0"/>
              <w:jc w:val="center"/>
              <w:spacing w:beforeAutospacing="0" w:afterAutospacing="0"/>
            </w:pPr>
            <w:r>
              <w:rPr>
                <w:rFonts w:hint="eastAsia" w:ascii="宋体" w:hAnsi="宋体" w:eastAsia="宋体" w:cs="宋体"/>
              </w:rPr>
              <w:t xml:space="preserve">证明</w:t>
            </w:r>
            <w:r/>
          </w:p>
          <w:p>
            <w:pPr>
              <w:pStyle w:val="850"/>
              <w:jc w:val="center"/>
              <w:spacing w:beforeAutospacing="0" w:afterAutospacing="0"/>
            </w:pPr>
            <w:r>
              <w:rPr>
                <w:rFonts w:hint="eastAsia" w:ascii="宋体" w:hAnsi="宋体" w:eastAsia="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0"/>
              <w:jc w:val="center"/>
              <w:spacing w:beforeAutospacing="0" w:afterAutospacing="0"/>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0"/>
              <w:jc w:val="center"/>
              <w:spacing w:beforeAutospacing="0" w:afterAutospacing="0"/>
            </w:pPr>
            <w:r>
              <w:t xml:space="preserve"> </w:t>
            </w:r>
            <w:r/>
          </w:p>
        </w:tc>
      </w:tr>
    </w:tbl>
    <w:p>
      <w:pPr>
        <w:pStyle w:val="850"/>
        <w:ind w:left="-206"/>
        <w:jc w:val="both"/>
        <w:spacing w:beforeAutospacing="0" w:afterAutospacing="0"/>
        <w:rPr>
          <w:rFonts w:hint="eastAsia" w:ascii="宋体" w:hAnsi="宋体" w:eastAsia="宋体" w:cs="宋体"/>
        </w:rPr>
      </w:pPr>
      <w:r>
        <w:rPr>
          <w:rFonts w:hint="eastAsia" w:ascii="宋体" w:hAnsi="宋体" w:eastAsia="宋体" w:cs="宋体"/>
        </w:rPr>
      </w:r>
      <w:r/>
    </w:p>
    <w:p>
      <w:pPr>
        <w:pStyle w:val="850"/>
        <w:ind w:left="-206"/>
        <w:jc w:val="both"/>
        <w:spacing w:beforeAutospacing="0" w:afterAutospacing="0"/>
      </w:pPr>
      <w:r>
        <w:rPr>
          <w:rFonts w:hint="eastAsia" w:ascii="宋体" w:hAnsi="宋体" w:eastAsia="宋体" w:cs="宋体"/>
        </w:rPr>
        <w:t xml:space="preserve">注：行数不够，可自行添加。</w:t>
      </w:r>
      <w:r/>
    </w:p>
    <w:p>
      <w:pPr>
        <w:pStyle w:val="850"/>
        <w:ind w:left="-206"/>
        <w:jc w:val="center"/>
        <w:spacing w:beforeAutospacing="0" w:afterAutospacing="0"/>
      </w:pPr>
      <w:r>
        <w:t xml:space="preserve"> </w:t>
      </w:r>
      <w:r/>
    </w:p>
    <w:p>
      <w:pPr>
        <w:pStyle w:val="850"/>
        <w:ind w:left="-206"/>
        <w:jc w:val="center"/>
        <w:spacing w:beforeAutospacing="0" w:afterAutospacing="0"/>
      </w:pPr>
      <w:r>
        <w:t xml:space="preserve"> </w:t>
      </w:r>
      <w:r/>
    </w:p>
    <w:p>
      <w:pPr>
        <w:pStyle w:val="850"/>
        <w:contextualSpacing/>
        <w:ind w:firstLine="240"/>
        <w:spacing w:beforeAutospacing="0" w:afterAutospacing="0" w:line="440" w:lineRule="atLeast"/>
      </w:pPr>
      <w:r>
        <w:rPr>
          <w:rFonts w:hint="eastAsia" w:ascii="宋体" w:hAnsi="宋体" w:eastAsia="宋体" w:cs="宋体"/>
        </w:rPr>
        <w:t xml:space="preserve">企业名称（加盖CA电子公章）：</w:t>
      </w:r>
      <w:r/>
    </w:p>
    <w:p>
      <w:pPr>
        <w:pStyle w:val="850"/>
        <w:contextualSpacing/>
        <w:ind w:firstLine="240"/>
        <w:jc w:val="both"/>
        <w:spacing w:beforeAutospacing="0" w:afterAutospacing="0" w:line="440" w:lineRule="atLeast"/>
      </w:pPr>
      <w:r>
        <w:rPr>
          <w:rFonts w:hint="eastAsia" w:ascii="宋体" w:hAnsi="宋体" w:eastAsia="宋体" w:cs="宋体"/>
        </w:rPr>
        <w:t xml:space="preserve">日  期：</w:t>
      </w:r>
      <w:r/>
    </w:p>
    <w:p>
      <w:pPr>
        <w:pStyle w:val="850"/>
        <w:ind w:left="-206"/>
        <w:jc w:val="center"/>
        <w:spacing w:beforeAutospacing="0" w:afterAutospacing="0"/>
      </w:pPr>
      <w:r>
        <w:t xml:space="preserve"> </w:t>
      </w:r>
      <w:r/>
    </w:p>
    <w:p>
      <w:pPr>
        <w:pStyle w:val="850"/>
        <w:ind w:left="-206"/>
        <w:jc w:val="center"/>
        <w:spacing w:beforeAutospacing="0" w:afterAutospacing="0"/>
      </w:pPr>
      <w:r>
        <w:t xml:space="preserve"> </w:t>
      </w:r>
      <w:r/>
    </w:p>
    <w:p>
      <w:pPr>
        <w:pStyle w:val="850"/>
        <w:ind w:left="-206"/>
        <w:jc w:val="both"/>
        <w:spacing w:beforeAutospacing="0" w:afterAutospacing="0"/>
      </w:pPr>
      <w:r>
        <w:t xml:space="preserve"> </w:t>
      </w:r>
      <w:r/>
    </w:p>
    <w:p>
      <w:pPr>
        <w:pStyle w:val="850"/>
        <w:ind w:left="-206"/>
        <w:jc w:val="both"/>
        <w:spacing w:beforeAutospacing="0" w:afterAutospacing="0"/>
      </w:pPr>
      <w:r>
        <w:t xml:space="preserve"> </w:t>
      </w:r>
      <w:r/>
    </w:p>
    <w:p>
      <w:pPr>
        <w:pStyle w:val="850"/>
        <w:ind w:left="-206"/>
        <w:jc w:val="both"/>
        <w:spacing w:beforeAutospacing="0" w:afterAutospacing="0"/>
      </w:pPr>
      <w:r>
        <w:t xml:space="preserve"> </w:t>
      </w:r>
      <w:r/>
    </w:p>
    <w:p>
      <w:pPr>
        <w:pStyle w:val="850"/>
        <w:ind w:left="-206"/>
        <w:jc w:val="both"/>
        <w:spacing w:beforeAutospacing="0" w:afterAutospacing="0"/>
      </w:pPr>
      <w:r>
        <w:t xml:space="preserve"> </w:t>
      </w:r>
      <w:r/>
    </w:p>
    <w:p>
      <w:pPr>
        <w:pStyle w:val="850"/>
        <w:ind w:left="-206"/>
        <w:jc w:val="both"/>
        <w:spacing w:beforeAutospacing="0" w:afterAutospacing="0"/>
      </w:pPr>
      <w:r>
        <w:t xml:space="preserve"> </w:t>
      </w:r>
      <w:r/>
    </w:p>
    <w:p>
      <w:pPr>
        <w:pStyle w:val="850"/>
        <w:ind w:left="-206"/>
        <w:jc w:val="both"/>
        <w:spacing w:beforeAutospacing="0" w:afterAutospacing="0"/>
      </w:pPr>
      <w:r/>
      <w:r/>
    </w:p>
    <w:p>
      <w:pPr>
        <w:pStyle w:val="850"/>
        <w:ind w:left="-206"/>
        <w:jc w:val="both"/>
        <w:spacing w:beforeAutospacing="0" w:afterAutospacing="0"/>
      </w:pPr>
      <w:r/>
      <w:r/>
    </w:p>
    <w:p>
      <w:pPr>
        <w:pStyle w:val="850"/>
        <w:ind w:left="-206"/>
        <w:jc w:val="both"/>
        <w:spacing w:beforeAutospacing="0" w:afterAutospacing="0"/>
      </w:pPr>
      <w:r/>
      <w:r/>
    </w:p>
    <w:p>
      <w:pPr>
        <w:pStyle w:val="850"/>
        <w:ind w:left="-206"/>
        <w:jc w:val="both"/>
        <w:spacing w:beforeAutospacing="0" w:afterAutospacing="0"/>
      </w:pPr>
      <w:r/>
      <w:r/>
    </w:p>
    <w:p>
      <w:pPr>
        <w:pStyle w:val="850"/>
        <w:ind w:left="-206"/>
        <w:jc w:val="both"/>
        <w:spacing w:beforeAutospacing="0" w:afterAutospacing="0"/>
      </w:pPr>
      <w:r/>
      <w:r/>
    </w:p>
    <w:p>
      <w:pPr>
        <w:pStyle w:val="850"/>
        <w:ind w:left="-206"/>
        <w:jc w:val="both"/>
        <w:spacing w:beforeAutospacing="0" w:afterAutospacing="0"/>
      </w:pPr>
      <w:r/>
      <w:r/>
    </w:p>
    <w:p>
      <w:pPr>
        <w:pStyle w:val="850"/>
        <w:ind w:left="-206"/>
        <w:jc w:val="both"/>
        <w:spacing w:beforeAutospacing="0" w:afterAutospacing="0"/>
      </w:pPr>
      <w:r/>
      <w:r/>
    </w:p>
    <w:p>
      <w:pPr>
        <w:pStyle w:val="850"/>
        <w:ind w:left="-206"/>
        <w:jc w:val="both"/>
        <w:spacing w:beforeAutospacing="0" w:afterAutospacing="0"/>
      </w:pPr>
      <w:r>
        <w:t xml:space="preserve"> </w:t>
      </w:r>
      <w:r/>
    </w:p>
    <w:p>
      <w:pPr>
        <w:pStyle w:val="850"/>
        <w:ind w:left="-206" w:firstLine="546"/>
        <w:jc w:val="center"/>
        <w:spacing w:beforeAutospacing="0" w:afterAutospacing="0"/>
        <w:rPr>
          <w:rFonts w:hint="eastAsia" w:ascii="黑体" w:hAnsi="宋体" w:eastAsia="黑体" w:cs="黑体"/>
          <w:b/>
          <w:bCs/>
          <w:sz w:val="32"/>
          <w:szCs w:val="32"/>
        </w:rPr>
      </w:pPr>
      <w:r>
        <w:rPr>
          <w:rFonts w:hint="eastAsia" w:ascii="黑体" w:hAnsi="宋体" w:eastAsia="黑体" w:cs="黑体"/>
          <w:b/>
          <w:sz w:val="32"/>
          <w:szCs w:val="32"/>
        </w:rPr>
      </w:r>
      <w:r>
        <w:rPr>
          <w:rFonts w:hint="eastAsia" w:ascii="黑体" w:hAnsi="宋体" w:eastAsia="黑体" w:cs="黑体"/>
          <w:b/>
          <w:sz w:val="32"/>
          <w:szCs w:val="32"/>
        </w:rPr>
      </w:r>
      <w:r/>
    </w:p>
    <w:p>
      <w:pPr>
        <w:pStyle w:val="850"/>
        <w:ind w:left="-206" w:firstLine="546"/>
        <w:jc w:val="center"/>
        <w:spacing w:beforeAutospacing="0" w:afterAutospacing="0"/>
        <w:rPr>
          <w:rFonts w:hint="eastAsia" w:ascii="黑体" w:hAnsi="宋体" w:eastAsia="黑体" w:cs="黑体"/>
          <w:b/>
          <w:bCs/>
          <w:sz w:val="32"/>
          <w:szCs w:val="32"/>
        </w:rPr>
      </w:pPr>
      <w:r/>
      <w:bookmarkStart w:id="183" w:name="_Hlt26955054"/>
      <w:r/>
      <w:r/>
    </w:p>
    <w:p>
      <w:pPr>
        <w:pStyle w:val="850"/>
        <w:ind w:left="-206" w:firstLine="546"/>
        <w:jc w:val="center"/>
        <w:spacing w:beforeAutospacing="0" w:afterAutospacing="0"/>
      </w:pPr>
      <w:r>
        <w:rPr>
          <w:rFonts w:hint="eastAsia" w:ascii="黑体" w:hAnsi="宋体" w:eastAsia="黑体" w:cs="黑体"/>
          <w:b/>
          <w:sz w:val="32"/>
          <w:szCs w:val="32"/>
        </w:rPr>
        <w:t xml:space="preserve">十四、商务要求响应及偏离表（项目编号：      ）</w:t>
      </w:r>
      <w:r/>
    </w:p>
    <w:tbl>
      <w:tblPr>
        <w:tblStyle w:val="844"/>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2126"/>
        <w:gridCol w:w="1985"/>
        <w:gridCol w:w="2472"/>
        <w:gridCol w:w="1101"/>
      </w:tblGrid>
      <w:tr>
        <w:trPr>
          <w:tblCellSpacing w:w="0" w:type="dxa"/>
        </w:trPr>
        <w:tc>
          <w:tcPr>
            <w:tcW w:w="836" w:type="dxa"/>
            <w:vAlign w:val="center"/>
            <w:textDirection w:val="lrTb"/>
            <w:noWrap w:val="false"/>
          </w:tcPr>
          <w:p>
            <w:pPr>
              <w:pStyle w:val="850"/>
              <w:ind w:left="-206"/>
              <w:jc w:val="center"/>
              <w:spacing w:beforeAutospacing="0" w:afterAutospacing="0"/>
            </w:pPr>
            <w:r/>
            <w:bookmarkStart w:id="184" w:name="_Hlt26782999"/>
            <w:r/>
            <w:bookmarkStart w:id="185" w:name="_Hlt24879081"/>
            <w:r/>
            <w:bookmarkStart w:id="186" w:name="_Hlt26580838"/>
            <w:r/>
            <w:bookmarkStart w:id="187" w:name="_Hlt26955064"/>
            <w:r/>
            <w:bookmarkStart w:id="188" w:name="_Hlt26671343"/>
            <w:r/>
            <w:bookmarkStart w:id="189" w:name="_Hlt26955056"/>
            <w:r/>
            <w:bookmarkStart w:id="190" w:name="_Hlt26609391"/>
            <w:r/>
            <w:bookmarkStart w:id="191" w:name="_Hlt26671372"/>
            <w:r>
              <w:rPr>
                <w:rFonts w:hint="eastAsia" w:ascii="宋体" w:hAnsi="宋体" w:eastAsia="宋体" w:cs="宋体"/>
              </w:rPr>
              <w:t xml:space="preserve">序号</w:t>
            </w:r>
            <w:bookmarkEnd w:id="184"/>
            <w:r/>
            <w:bookmarkEnd w:id="185"/>
            <w:r/>
            <w:bookmarkEnd w:id="186"/>
            <w:r/>
            <w:bookmarkEnd w:id="187"/>
            <w:r/>
            <w:bookmarkEnd w:id="188"/>
            <w:r/>
            <w:bookmarkEnd w:id="189"/>
            <w:r/>
            <w:bookmarkEnd w:id="190"/>
            <w:r/>
            <w:bookmarkEnd w:id="191"/>
            <w:r/>
            <w:r/>
          </w:p>
        </w:tc>
        <w:tc>
          <w:tcPr>
            <w:tcW w:w="2126" w:type="dxa"/>
            <w:vAlign w:val="center"/>
            <w:textDirection w:val="lrTb"/>
            <w:noWrap w:val="false"/>
          </w:tcPr>
          <w:p>
            <w:pPr>
              <w:pStyle w:val="850"/>
              <w:ind w:left="-206"/>
              <w:jc w:val="center"/>
              <w:spacing w:beforeAutospacing="0" w:afterAutospacing="0"/>
            </w:pPr>
            <w:r>
              <w:rPr>
                <w:rFonts w:hint="eastAsia" w:ascii="宋体" w:hAnsi="宋体" w:eastAsia="宋体" w:cs="宋体"/>
              </w:rPr>
              <w:t xml:space="preserve">招标文件要求</w:t>
            </w:r>
            <w:r/>
          </w:p>
        </w:tc>
        <w:tc>
          <w:tcPr>
            <w:tcW w:w="1985" w:type="dxa"/>
            <w:vAlign w:val="center"/>
            <w:textDirection w:val="lrTb"/>
            <w:noWrap w:val="false"/>
          </w:tcPr>
          <w:p>
            <w:pPr>
              <w:pStyle w:val="850"/>
              <w:ind w:left="-206"/>
              <w:jc w:val="center"/>
              <w:spacing w:beforeAutospacing="0" w:afterAutospacing="0"/>
            </w:pPr>
            <w:r>
              <w:rPr>
                <w:rFonts w:hint="eastAsia" w:ascii="宋体" w:hAnsi="宋体" w:eastAsia="宋体" w:cs="宋体"/>
              </w:rPr>
              <w:t xml:space="preserve">投标响应情况</w:t>
            </w:r>
            <w:r/>
          </w:p>
        </w:tc>
        <w:tc>
          <w:tcPr>
            <w:tcW w:w="2472" w:type="dxa"/>
            <w:vAlign w:val="center"/>
            <w:textDirection w:val="lrTb"/>
            <w:noWrap w:val="false"/>
          </w:tcPr>
          <w:p>
            <w:pPr>
              <w:pStyle w:val="850"/>
              <w:ind w:left="-206"/>
              <w:jc w:val="center"/>
              <w:spacing w:beforeAutospacing="0" w:afterAutospacing="0"/>
            </w:pPr>
            <w:r>
              <w:rPr>
                <w:rFonts w:hint="eastAsia" w:ascii="宋体" w:hAnsi="宋体" w:eastAsia="宋体" w:cs="宋体"/>
              </w:rPr>
              <w:t xml:space="preserve">超出、符合或偏离</w:t>
            </w:r>
            <w:r/>
          </w:p>
        </w:tc>
        <w:tc>
          <w:tcPr>
            <w:tcW w:w="1101" w:type="dxa"/>
            <w:vAlign w:val="center"/>
            <w:textDirection w:val="lrTb"/>
            <w:noWrap w:val="false"/>
          </w:tcPr>
          <w:p>
            <w:pPr>
              <w:pStyle w:val="850"/>
              <w:ind w:left="-206"/>
              <w:jc w:val="center"/>
              <w:spacing w:beforeAutospacing="0" w:afterAutospacing="0"/>
            </w:pPr>
            <w:r>
              <w:rPr>
                <w:rFonts w:hint="eastAsia" w:ascii="宋体" w:hAnsi="宋体" w:eastAsia="宋体" w:cs="宋体"/>
              </w:rPr>
              <w:t xml:space="preserve">证明</w:t>
            </w:r>
            <w:r/>
          </w:p>
          <w:p>
            <w:pPr>
              <w:pStyle w:val="850"/>
              <w:ind w:left="-206"/>
              <w:jc w:val="center"/>
              <w:spacing w:beforeAutospacing="0" w:afterAutospacing="0"/>
            </w:pPr>
            <w:r>
              <w:rPr>
                <w:rFonts w:hint="eastAsia" w:ascii="宋体" w:hAnsi="宋体" w:eastAsia="宋体" w:cs="宋体"/>
              </w:rPr>
              <w:t xml:space="preserve">材料</w:t>
            </w:r>
            <w:r/>
          </w:p>
        </w:tc>
      </w:tr>
      <w:tr>
        <w:trPr>
          <w:tblCellSpacing w:w="0" w:type="dxa"/>
          <w:trHeight w:val="640"/>
        </w:trPr>
        <w:tc>
          <w:tcPr>
            <w:tcW w:w="836" w:type="dxa"/>
            <w:vAlign w:val="center"/>
            <w:textDirection w:val="lrTb"/>
            <w:noWrap w:val="false"/>
          </w:tcPr>
          <w:p>
            <w:pPr>
              <w:pStyle w:val="850"/>
              <w:ind w:left="-206"/>
              <w:jc w:val="center"/>
              <w:spacing w:beforeAutospacing="0" w:afterAutospacing="0"/>
            </w:pPr>
            <w:r>
              <w:t xml:space="preserve"> </w:t>
            </w:r>
            <w:r/>
          </w:p>
        </w:tc>
        <w:tc>
          <w:tcPr>
            <w:tcW w:w="2126" w:type="dxa"/>
            <w:vAlign w:val="center"/>
            <w:textDirection w:val="lrTb"/>
            <w:noWrap w:val="false"/>
          </w:tcPr>
          <w:p>
            <w:pPr>
              <w:pStyle w:val="850"/>
              <w:ind w:left="-206"/>
              <w:jc w:val="center"/>
              <w:spacing w:beforeAutospacing="0" w:afterAutospacing="0"/>
            </w:pPr>
            <w:r>
              <w:t xml:space="preserve"> </w:t>
            </w:r>
            <w:r/>
          </w:p>
        </w:tc>
        <w:tc>
          <w:tcPr>
            <w:tcW w:w="1985" w:type="dxa"/>
            <w:vAlign w:val="center"/>
            <w:textDirection w:val="lrTb"/>
            <w:noWrap w:val="false"/>
          </w:tcPr>
          <w:p>
            <w:pPr>
              <w:pStyle w:val="850"/>
              <w:ind w:left="-206"/>
              <w:jc w:val="center"/>
              <w:spacing w:beforeAutospacing="0" w:afterAutospacing="0"/>
            </w:pPr>
            <w:r>
              <w:t xml:space="preserve"> </w:t>
            </w:r>
            <w:r/>
          </w:p>
        </w:tc>
        <w:tc>
          <w:tcPr>
            <w:tcW w:w="2472" w:type="dxa"/>
            <w:vAlign w:val="center"/>
            <w:textDirection w:val="lrTb"/>
            <w:noWrap w:val="false"/>
          </w:tcPr>
          <w:p>
            <w:pPr>
              <w:pStyle w:val="850"/>
              <w:ind w:left="-206"/>
              <w:jc w:val="center"/>
              <w:spacing w:beforeAutospacing="0" w:afterAutospacing="0"/>
            </w:pPr>
            <w:r>
              <w:t xml:space="preserve"> </w:t>
            </w:r>
            <w:r/>
          </w:p>
        </w:tc>
        <w:tc>
          <w:tcPr>
            <w:tcW w:w="1101" w:type="dxa"/>
            <w:vAlign w:val="center"/>
            <w:textDirection w:val="lrTb"/>
            <w:noWrap w:val="false"/>
          </w:tcPr>
          <w:p>
            <w:pPr>
              <w:pStyle w:val="850"/>
              <w:ind w:left="-206"/>
              <w:jc w:val="center"/>
              <w:spacing w:beforeAutospacing="0" w:afterAutospacing="0"/>
            </w:pPr>
            <w:r>
              <w:t xml:space="preserve"> </w:t>
            </w:r>
            <w:r/>
          </w:p>
        </w:tc>
      </w:tr>
      <w:tr>
        <w:trPr>
          <w:tblCellSpacing w:w="0" w:type="dxa"/>
          <w:trHeight w:val="640"/>
        </w:trPr>
        <w:tc>
          <w:tcPr>
            <w:tcW w:w="836" w:type="dxa"/>
            <w:vAlign w:val="center"/>
            <w:textDirection w:val="lrTb"/>
            <w:noWrap w:val="false"/>
          </w:tcPr>
          <w:p>
            <w:pPr>
              <w:pStyle w:val="850"/>
              <w:ind w:left="-206"/>
              <w:jc w:val="center"/>
              <w:spacing w:beforeAutospacing="0" w:afterAutospacing="0"/>
            </w:pPr>
            <w:r>
              <w:t xml:space="preserve"> </w:t>
            </w:r>
            <w:r/>
          </w:p>
        </w:tc>
        <w:tc>
          <w:tcPr>
            <w:tcW w:w="2126" w:type="dxa"/>
            <w:vAlign w:val="center"/>
            <w:textDirection w:val="lrTb"/>
            <w:noWrap w:val="false"/>
          </w:tcPr>
          <w:p>
            <w:pPr>
              <w:pStyle w:val="850"/>
              <w:ind w:left="-206"/>
              <w:jc w:val="center"/>
              <w:spacing w:beforeAutospacing="0" w:afterAutospacing="0"/>
            </w:pPr>
            <w:r>
              <w:t xml:space="preserve"> </w:t>
            </w:r>
            <w:r/>
          </w:p>
        </w:tc>
        <w:tc>
          <w:tcPr>
            <w:tcW w:w="1985" w:type="dxa"/>
            <w:vAlign w:val="center"/>
            <w:textDirection w:val="lrTb"/>
            <w:noWrap w:val="false"/>
          </w:tcPr>
          <w:p>
            <w:pPr>
              <w:pStyle w:val="850"/>
              <w:ind w:left="-206"/>
              <w:jc w:val="center"/>
              <w:spacing w:beforeAutospacing="0" w:afterAutospacing="0"/>
            </w:pPr>
            <w:r>
              <w:t xml:space="preserve"> </w:t>
            </w:r>
            <w:r/>
          </w:p>
        </w:tc>
        <w:tc>
          <w:tcPr>
            <w:tcW w:w="2472" w:type="dxa"/>
            <w:vAlign w:val="center"/>
            <w:textDirection w:val="lrTb"/>
            <w:noWrap w:val="false"/>
          </w:tcPr>
          <w:p>
            <w:pPr>
              <w:pStyle w:val="850"/>
              <w:ind w:left="-206"/>
              <w:jc w:val="center"/>
              <w:spacing w:beforeAutospacing="0" w:afterAutospacing="0"/>
            </w:pPr>
            <w:r>
              <w:t xml:space="preserve"> </w:t>
            </w:r>
            <w:r/>
          </w:p>
        </w:tc>
        <w:tc>
          <w:tcPr>
            <w:tcW w:w="1101" w:type="dxa"/>
            <w:vAlign w:val="center"/>
            <w:textDirection w:val="lrTb"/>
            <w:noWrap w:val="false"/>
          </w:tcPr>
          <w:p>
            <w:pPr>
              <w:pStyle w:val="850"/>
              <w:ind w:left="-206"/>
              <w:jc w:val="center"/>
              <w:spacing w:beforeAutospacing="0" w:afterAutospacing="0"/>
            </w:pPr>
            <w:r>
              <w:t xml:space="preserve"> </w:t>
            </w:r>
            <w:r/>
          </w:p>
        </w:tc>
      </w:tr>
      <w:tr>
        <w:trPr>
          <w:tblCellSpacing w:w="0" w:type="dxa"/>
          <w:trHeight w:val="640"/>
        </w:trPr>
        <w:tc>
          <w:tcPr>
            <w:tcW w:w="836" w:type="dxa"/>
            <w:vAlign w:val="center"/>
            <w:textDirection w:val="lrTb"/>
            <w:noWrap w:val="false"/>
          </w:tcPr>
          <w:p>
            <w:pPr>
              <w:pStyle w:val="850"/>
              <w:ind w:left="-206"/>
              <w:jc w:val="center"/>
              <w:spacing w:beforeAutospacing="0" w:afterAutospacing="0"/>
            </w:pPr>
            <w:r>
              <w:t xml:space="preserve"> </w:t>
            </w:r>
            <w:r/>
          </w:p>
        </w:tc>
        <w:tc>
          <w:tcPr>
            <w:tcW w:w="2126" w:type="dxa"/>
            <w:vAlign w:val="center"/>
            <w:textDirection w:val="lrTb"/>
            <w:noWrap w:val="false"/>
          </w:tcPr>
          <w:p>
            <w:pPr>
              <w:pStyle w:val="850"/>
              <w:ind w:left="-206"/>
              <w:jc w:val="center"/>
              <w:spacing w:beforeAutospacing="0" w:afterAutospacing="0"/>
            </w:pPr>
            <w:r>
              <w:t xml:space="preserve"> </w:t>
            </w:r>
            <w:r/>
          </w:p>
        </w:tc>
        <w:tc>
          <w:tcPr>
            <w:tcW w:w="1985" w:type="dxa"/>
            <w:vAlign w:val="center"/>
            <w:textDirection w:val="lrTb"/>
            <w:noWrap w:val="false"/>
          </w:tcPr>
          <w:p>
            <w:pPr>
              <w:pStyle w:val="850"/>
              <w:ind w:left="-206"/>
              <w:jc w:val="center"/>
              <w:spacing w:beforeAutospacing="0" w:afterAutospacing="0"/>
            </w:pPr>
            <w:r>
              <w:t xml:space="preserve"> </w:t>
            </w:r>
            <w:r/>
          </w:p>
        </w:tc>
        <w:tc>
          <w:tcPr>
            <w:tcW w:w="2472" w:type="dxa"/>
            <w:vAlign w:val="center"/>
            <w:textDirection w:val="lrTb"/>
            <w:noWrap w:val="false"/>
          </w:tcPr>
          <w:p>
            <w:pPr>
              <w:pStyle w:val="850"/>
              <w:ind w:left="-206"/>
              <w:jc w:val="center"/>
              <w:spacing w:beforeAutospacing="0" w:afterAutospacing="0"/>
            </w:pPr>
            <w:r>
              <w:t xml:space="preserve"> </w:t>
            </w:r>
            <w:r/>
          </w:p>
        </w:tc>
        <w:tc>
          <w:tcPr>
            <w:tcW w:w="1101" w:type="dxa"/>
            <w:vAlign w:val="center"/>
            <w:textDirection w:val="lrTb"/>
            <w:noWrap w:val="false"/>
          </w:tcPr>
          <w:p>
            <w:pPr>
              <w:pStyle w:val="850"/>
              <w:ind w:left="-206"/>
              <w:jc w:val="center"/>
              <w:spacing w:beforeAutospacing="0" w:afterAutospacing="0"/>
            </w:pPr>
            <w:r>
              <w:t xml:space="preserve"> </w:t>
            </w:r>
            <w:r/>
          </w:p>
        </w:tc>
      </w:tr>
      <w:tr>
        <w:trPr>
          <w:tblCellSpacing w:w="0" w:type="dxa"/>
          <w:trHeight w:val="640"/>
        </w:trPr>
        <w:tc>
          <w:tcPr>
            <w:tcW w:w="836" w:type="dxa"/>
            <w:vAlign w:val="center"/>
            <w:textDirection w:val="lrTb"/>
            <w:noWrap w:val="false"/>
          </w:tcPr>
          <w:p>
            <w:pPr>
              <w:pStyle w:val="850"/>
              <w:ind w:left="-206"/>
              <w:jc w:val="center"/>
              <w:spacing w:beforeAutospacing="0" w:afterAutospacing="0"/>
            </w:pPr>
            <w:r>
              <w:t xml:space="preserve"> </w:t>
            </w:r>
            <w:r/>
          </w:p>
        </w:tc>
        <w:tc>
          <w:tcPr>
            <w:tcW w:w="2126" w:type="dxa"/>
            <w:vAlign w:val="center"/>
            <w:textDirection w:val="lrTb"/>
            <w:noWrap w:val="false"/>
          </w:tcPr>
          <w:p>
            <w:pPr>
              <w:pStyle w:val="850"/>
              <w:ind w:left="-206"/>
              <w:jc w:val="center"/>
              <w:spacing w:beforeAutospacing="0" w:afterAutospacing="0"/>
            </w:pPr>
            <w:r>
              <w:t xml:space="preserve"> </w:t>
            </w:r>
            <w:r/>
          </w:p>
        </w:tc>
        <w:tc>
          <w:tcPr>
            <w:tcW w:w="1985" w:type="dxa"/>
            <w:vAlign w:val="center"/>
            <w:textDirection w:val="lrTb"/>
            <w:noWrap w:val="false"/>
          </w:tcPr>
          <w:p>
            <w:pPr>
              <w:pStyle w:val="850"/>
              <w:ind w:left="-206"/>
              <w:jc w:val="center"/>
              <w:spacing w:beforeAutospacing="0" w:afterAutospacing="0"/>
            </w:pPr>
            <w:r>
              <w:t xml:space="preserve"> </w:t>
            </w:r>
            <w:r/>
          </w:p>
        </w:tc>
        <w:tc>
          <w:tcPr>
            <w:tcW w:w="2472" w:type="dxa"/>
            <w:vAlign w:val="center"/>
            <w:textDirection w:val="lrTb"/>
            <w:noWrap w:val="false"/>
          </w:tcPr>
          <w:p>
            <w:pPr>
              <w:pStyle w:val="850"/>
              <w:ind w:left="-206"/>
              <w:jc w:val="center"/>
              <w:spacing w:beforeAutospacing="0" w:afterAutospacing="0"/>
            </w:pPr>
            <w:r>
              <w:t xml:space="preserve"> </w:t>
            </w:r>
            <w:r/>
          </w:p>
        </w:tc>
        <w:tc>
          <w:tcPr>
            <w:tcW w:w="1101" w:type="dxa"/>
            <w:vAlign w:val="center"/>
            <w:textDirection w:val="lrTb"/>
            <w:noWrap w:val="false"/>
          </w:tcPr>
          <w:p>
            <w:pPr>
              <w:pStyle w:val="850"/>
              <w:ind w:left="-206"/>
              <w:jc w:val="center"/>
              <w:spacing w:beforeAutospacing="0" w:afterAutospacing="0"/>
            </w:pPr>
            <w:r>
              <w:t xml:space="preserve"> </w:t>
            </w:r>
            <w:r/>
          </w:p>
        </w:tc>
      </w:tr>
      <w:tr>
        <w:trPr>
          <w:tblCellSpacing w:w="0" w:type="dxa"/>
          <w:trHeight w:val="640"/>
        </w:trPr>
        <w:tc>
          <w:tcPr>
            <w:tcW w:w="836" w:type="dxa"/>
            <w:vAlign w:val="center"/>
            <w:textDirection w:val="lrTb"/>
            <w:noWrap w:val="false"/>
          </w:tcPr>
          <w:p>
            <w:pPr>
              <w:pStyle w:val="850"/>
              <w:ind w:left="-206"/>
              <w:jc w:val="center"/>
              <w:spacing w:beforeAutospacing="0" w:afterAutospacing="0"/>
            </w:pPr>
            <w:r>
              <w:t xml:space="preserve"> </w:t>
            </w:r>
            <w:r/>
          </w:p>
        </w:tc>
        <w:tc>
          <w:tcPr>
            <w:tcW w:w="2126" w:type="dxa"/>
            <w:vAlign w:val="center"/>
            <w:textDirection w:val="lrTb"/>
            <w:noWrap w:val="false"/>
          </w:tcPr>
          <w:p>
            <w:pPr>
              <w:pStyle w:val="850"/>
              <w:ind w:left="-206"/>
              <w:jc w:val="center"/>
              <w:spacing w:beforeAutospacing="0" w:afterAutospacing="0"/>
            </w:pPr>
            <w:r>
              <w:t xml:space="preserve"> </w:t>
            </w:r>
            <w:r/>
          </w:p>
        </w:tc>
        <w:tc>
          <w:tcPr>
            <w:tcW w:w="1985" w:type="dxa"/>
            <w:vAlign w:val="center"/>
            <w:textDirection w:val="lrTb"/>
            <w:noWrap w:val="false"/>
          </w:tcPr>
          <w:p>
            <w:pPr>
              <w:pStyle w:val="850"/>
              <w:ind w:left="-206"/>
              <w:jc w:val="center"/>
              <w:spacing w:beforeAutospacing="0" w:afterAutospacing="0"/>
            </w:pPr>
            <w:r>
              <w:t xml:space="preserve"> </w:t>
            </w:r>
            <w:r/>
          </w:p>
        </w:tc>
        <w:tc>
          <w:tcPr>
            <w:tcW w:w="2472" w:type="dxa"/>
            <w:vAlign w:val="center"/>
            <w:textDirection w:val="lrTb"/>
            <w:noWrap w:val="false"/>
          </w:tcPr>
          <w:p>
            <w:pPr>
              <w:pStyle w:val="850"/>
              <w:ind w:left="-206"/>
              <w:jc w:val="center"/>
              <w:spacing w:beforeAutospacing="0" w:afterAutospacing="0"/>
            </w:pPr>
            <w:r>
              <w:t xml:space="preserve"> </w:t>
            </w:r>
            <w:r/>
          </w:p>
        </w:tc>
        <w:tc>
          <w:tcPr>
            <w:tcW w:w="1101" w:type="dxa"/>
            <w:vAlign w:val="center"/>
            <w:textDirection w:val="lrTb"/>
            <w:noWrap w:val="false"/>
          </w:tcPr>
          <w:p>
            <w:pPr>
              <w:pStyle w:val="850"/>
              <w:ind w:left="-206"/>
              <w:jc w:val="center"/>
              <w:spacing w:beforeAutospacing="0" w:afterAutospacing="0"/>
            </w:pPr>
            <w:r>
              <w:t xml:space="preserve"> </w:t>
            </w:r>
            <w:r/>
          </w:p>
        </w:tc>
      </w:tr>
      <w:tr>
        <w:trPr>
          <w:tblCellSpacing w:w="0" w:type="dxa"/>
          <w:trHeight w:val="640"/>
        </w:trPr>
        <w:tc>
          <w:tcPr>
            <w:tcW w:w="836" w:type="dxa"/>
            <w:vAlign w:val="center"/>
            <w:textDirection w:val="lrTb"/>
            <w:noWrap w:val="false"/>
          </w:tcPr>
          <w:p>
            <w:pPr>
              <w:pStyle w:val="850"/>
              <w:ind w:left="-206"/>
              <w:jc w:val="center"/>
              <w:spacing w:beforeAutospacing="0" w:afterAutospacing="0"/>
            </w:pPr>
            <w:r>
              <w:t xml:space="preserve"> </w:t>
            </w:r>
            <w:r/>
          </w:p>
        </w:tc>
        <w:tc>
          <w:tcPr>
            <w:tcW w:w="2126" w:type="dxa"/>
            <w:vAlign w:val="center"/>
            <w:textDirection w:val="lrTb"/>
            <w:noWrap w:val="false"/>
          </w:tcPr>
          <w:p>
            <w:pPr>
              <w:pStyle w:val="850"/>
              <w:ind w:left="-206"/>
              <w:jc w:val="center"/>
              <w:spacing w:beforeAutospacing="0" w:afterAutospacing="0"/>
            </w:pPr>
            <w:r>
              <w:t xml:space="preserve"> </w:t>
            </w:r>
            <w:r/>
          </w:p>
        </w:tc>
        <w:tc>
          <w:tcPr>
            <w:tcW w:w="1985" w:type="dxa"/>
            <w:vAlign w:val="center"/>
            <w:textDirection w:val="lrTb"/>
            <w:noWrap w:val="false"/>
          </w:tcPr>
          <w:p>
            <w:pPr>
              <w:pStyle w:val="850"/>
              <w:ind w:left="-206"/>
              <w:jc w:val="center"/>
              <w:spacing w:beforeAutospacing="0" w:afterAutospacing="0"/>
            </w:pPr>
            <w:r>
              <w:t xml:space="preserve"> </w:t>
            </w:r>
            <w:r/>
          </w:p>
        </w:tc>
        <w:tc>
          <w:tcPr>
            <w:tcW w:w="2472" w:type="dxa"/>
            <w:vAlign w:val="center"/>
            <w:textDirection w:val="lrTb"/>
            <w:noWrap w:val="false"/>
          </w:tcPr>
          <w:p>
            <w:pPr>
              <w:pStyle w:val="850"/>
              <w:ind w:left="-206"/>
              <w:jc w:val="center"/>
              <w:spacing w:beforeAutospacing="0" w:afterAutospacing="0"/>
            </w:pPr>
            <w:r>
              <w:t xml:space="preserve"> </w:t>
            </w:r>
            <w:r/>
          </w:p>
        </w:tc>
        <w:tc>
          <w:tcPr>
            <w:tcW w:w="1101" w:type="dxa"/>
            <w:vAlign w:val="center"/>
            <w:textDirection w:val="lrTb"/>
            <w:noWrap w:val="false"/>
          </w:tcPr>
          <w:p>
            <w:pPr>
              <w:pStyle w:val="850"/>
              <w:ind w:left="-206"/>
              <w:jc w:val="center"/>
              <w:spacing w:beforeAutospacing="0" w:afterAutospacing="0"/>
            </w:pPr>
            <w:r>
              <w:t xml:space="preserve"> </w:t>
            </w:r>
            <w:r/>
          </w:p>
        </w:tc>
      </w:tr>
      <w:tr>
        <w:trPr>
          <w:tblCellSpacing w:w="0" w:type="dxa"/>
          <w:trHeight w:val="640"/>
        </w:trPr>
        <w:tc>
          <w:tcPr>
            <w:tcW w:w="836" w:type="dxa"/>
            <w:vAlign w:val="center"/>
            <w:textDirection w:val="lrTb"/>
            <w:noWrap w:val="false"/>
          </w:tcPr>
          <w:p>
            <w:pPr>
              <w:pStyle w:val="850"/>
              <w:ind w:left="-206"/>
              <w:jc w:val="center"/>
              <w:spacing w:beforeAutospacing="0" w:afterAutospacing="0"/>
            </w:pPr>
            <w:r>
              <w:t xml:space="preserve"> </w:t>
            </w:r>
            <w:r/>
          </w:p>
        </w:tc>
        <w:tc>
          <w:tcPr>
            <w:tcW w:w="2126" w:type="dxa"/>
            <w:vAlign w:val="center"/>
            <w:textDirection w:val="lrTb"/>
            <w:noWrap w:val="false"/>
          </w:tcPr>
          <w:p>
            <w:pPr>
              <w:pStyle w:val="850"/>
              <w:ind w:left="-206"/>
              <w:jc w:val="center"/>
              <w:spacing w:beforeAutospacing="0" w:afterAutospacing="0"/>
            </w:pPr>
            <w:r>
              <w:t xml:space="preserve"> </w:t>
            </w:r>
            <w:r/>
          </w:p>
        </w:tc>
        <w:tc>
          <w:tcPr>
            <w:tcW w:w="1985" w:type="dxa"/>
            <w:vAlign w:val="center"/>
            <w:textDirection w:val="lrTb"/>
            <w:noWrap w:val="false"/>
          </w:tcPr>
          <w:p>
            <w:pPr>
              <w:pStyle w:val="850"/>
              <w:ind w:left="-206"/>
              <w:jc w:val="center"/>
              <w:spacing w:beforeAutospacing="0" w:afterAutospacing="0"/>
            </w:pPr>
            <w:r>
              <w:t xml:space="preserve"> </w:t>
            </w:r>
            <w:r/>
          </w:p>
        </w:tc>
        <w:tc>
          <w:tcPr>
            <w:tcW w:w="2472" w:type="dxa"/>
            <w:vAlign w:val="center"/>
            <w:textDirection w:val="lrTb"/>
            <w:noWrap w:val="false"/>
          </w:tcPr>
          <w:p>
            <w:pPr>
              <w:pStyle w:val="850"/>
              <w:ind w:left="-206"/>
              <w:jc w:val="center"/>
              <w:spacing w:beforeAutospacing="0" w:afterAutospacing="0"/>
            </w:pPr>
            <w:r>
              <w:t xml:space="preserve"> </w:t>
            </w:r>
            <w:r/>
          </w:p>
        </w:tc>
        <w:tc>
          <w:tcPr>
            <w:tcW w:w="1101" w:type="dxa"/>
            <w:vAlign w:val="center"/>
            <w:textDirection w:val="lrTb"/>
            <w:noWrap w:val="false"/>
          </w:tcPr>
          <w:p>
            <w:pPr>
              <w:pStyle w:val="850"/>
              <w:ind w:left="-206"/>
              <w:jc w:val="center"/>
              <w:spacing w:beforeAutospacing="0" w:afterAutospacing="0"/>
            </w:pPr>
            <w:r>
              <w:t xml:space="preserve"> </w:t>
            </w:r>
            <w:r/>
          </w:p>
        </w:tc>
      </w:tr>
      <w:tr>
        <w:trPr>
          <w:tblCellSpacing w:w="0" w:type="dxa"/>
          <w:trHeight w:val="640"/>
        </w:trPr>
        <w:tc>
          <w:tcPr>
            <w:tcW w:w="836" w:type="dxa"/>
            <w:vAlign w:val="center"/>
            <w:textDirection w:val="lrTb"/>
            <w:noWrap w:val="false"/>
          </w:tcPr>
          <w:p>
            <w:pPr>
              <w:pStyle w:val="850"/>
              <w:ind w:left="-206"/>
              <w:jc w:val="center"/>
              <w:spacing w:beforeAutospacing="0" w:afterAutospacing="0"/>
            </w:pPr>
            <w:r>
              <w:t xml:space="preserve"> </w:t>
            </w:r>
            <w:r/>
          </w:p>
        </w:tc>
        <w:tc>
          <w:tcPr>
            <w:tcW w:w="2126" w:type="dxa"/>
            <w:vAlign w:val="center"/>
            <w:textDirection w:val="lrTb"/>
            <w:noWrap w:val="false"/>
          </w:tcPr>
          <w:p>
            <w:pPr>
              <w:pStyle w:val="850"/>
              <w:ind w:left="-206"/>
              <w:jc w:val="center"/>
              <w:spacing w:beforeAutospacing="0" w:afterAutospacing="0"/>
            </w:pPr>
            <w:r>
              <w:rPr>
                <w:rFonts w:hint="eastAsia" w:ascii="宋体" w:hAnsi="宋体" w:eastAsia="宋体" w:cs="宋体"/>
              </w:rPr>
              <w:t xml:space="preserve">……</w:t>
            </w:r>
            <w:r/>
          </w:p>
        </w:tc>
        <w:tc>
          <w:tcPr>
            <w:tcW w:w="1985" w:type="dxa"/>
            <w:vAlign w:val="center"/>
            <w:textDirection w:val="lrTb"/>
            <w:noWrap w:val="false"/>
          </w:tcPr>
          <w:p>
            <w:pPr>
              <w:pStyle w:val="850"/>
              <w:ind w:left="-206"/>
              <w:jc w:val="center"/>
              <w:spacing w:beforeAutospacing="0" w:afterAutospacing="0"/>
            </w:pPr>
            <w:r>
              <w:t xml:space="preserve"> </w:t>
            </w:r>
            <w:r/>
          </w:p>
        </w:tc>
        <w:tc>
          <w:tcPr>
            <w:tcW w:w="2472" w:type="dxa"/>
            <w:vAlign w:val="center"/>
            <w:textDirection w:val="lrTb"/>
            <w:noWrap w:val="false"/>
          </w:tcPr>
          <w:p>
            <w:pPr>
              <w:pStyle w:val="850"/>
              <w:ind w:left="-206"/>
              <w:jc w:val="center"/>
              <w:spacing w:beforeAutospacing="0" w:afterAutospacing="0"/>
            </w:pPr>
            <w:r>
              <w:t xml:space="preserve"> </w:t>
            </w:r>
            <w:r/>
          </w:p>
        </w:tc>
        <w:tc>
          <w:tcPr>
            <w:tcW w:w="1101" w:type="dxa"/>
            <w:vAlign w:val="center"/>
            <w:textDirection w:val="lrTb"/>
            <w:noWrap w:val="false"/>
          </w:tcPr>
          <w:p>
            <w:pPr>
              <w:pStyle w:val="850"/>
              <w:ind w:left="-206"/>
              <w:jc w:val="center"/>
              <w:spacing w:beforeAutospacing="0" w:afterAutospacing="0"/>
            </w:pPr>
            <w:r>
              <w:t xml:space="preserve"> </w:t>
            </w:r>
            <w:r/>
          </w:p>
        </w:tc>
      </w:tr>
    </w:tbl>
    <w:p>
      <w:pPr>
        <w:pStyle w:val="850"/>
        <w:ind w:left="-206"/>
        <w:jc w:val="both"/>
        <w:spacing w:beforeAutospacing="0" w:afterAutospacing="0"/>
      </w:pPr>
      <w:r>
        <w:rPr>
          <w:rFonts w:hint="eastAsia" w:ascii="宋体" w:hAnsi="宋体" w:eastAsia="宋体" w:cs="宋体"/>
        </w:rPr>
        <w:t xml:space="preserve">注：行数不够，可自行添加。</w:t>
      </w:r>
      <w:r/>
    </w:p>
    <w:p>
      <w:pPr>
        <w:pStyle w:val="850"/>
        <w:ind w:left="-206"/>
        <w:jc w:val="both"/>
        <w:spacing w:beforeAutospacing="0" w:afterAutospacing="0" w:line="480" w:lineRule="auto"/>
      </w:pPr>
      <w:r>
        <w:t xml:space="preserve"> </w:t>
      </w:r>
      <w:r/>
    </w:p>
    <w:p>
      <w:pPr>
        <w:pStyle w:val="850"/>
        <w:contextualSpacing/>
        <w:ind w:firstLine="240"/>
        <w:spacing w:beforeAutospacing="0" w:afterAutospacing="0" w:line="440" w:lineRule="atLeast"/>
      </w:pPr>
      <w:r>
        <w:t xml:space="preserve"> </w:t>
      </w:r>
      <w:r>
        <w:rPr>
          <w:rFonts w:hint="eastAsia" w:ascii="宋体" w:hAnsi="宋体" w:eastAsia="宋体" w:cs="宋体"/>
        </w:rPr>
        <w:t xml:space="preserve">企业名称（加盖CA电子公章）：</w:t>
      </w:r>
      <w:r/>
    </w:p>
    <w:p>
      <w:pPr>
        <w:pStyle w:val="850"/>
        <w:contextualSpacing/>
        <w:ind w:firstLine="240"/>
        <w:jc w:val="both"/>
        <w:spacing w:beforeAutospacing="0" w:afterAutospacing="0" w:line="440" w:lineRule="atLeast"/>
      </w:pPr>
      <w:r>
        <w:rPr>
          <w:rFonts w:hint="eastAsia" w:ascii="宋体" w:hAnsi="宋体" w:eastAsia="宋体" w:cs="宋体"/>
        </w:rPr>
        <w:t xml:space="preserve">日  期：</w:t>
      </w:r>
      <w:r/>
    </w:p>
    <w:p>
      <w:pPr>
        <w:pStyle w:val="850"/>
        <w:ind w:left="-206"/>
        <w:jc w:val="both"/>
        <w:spacing w:beforeAutospacing="0" w:afterAutospacing="0" w:line="480" w:lineRule="auto"/>
      </w:pPr>
      <w:r/>
      <w:r/>
    </w:p>
    <w:p>
      <w:pPr>
        <w:pStyle w:val="850"/>
        <w:ind w:left="-206"/>
        <w:jc w:val="center"/>
        <w:spacing w:beforeAutospacing="0" w:afterAutospacing="0"/>
      </w:pPr>
      <w:r/>
      <w:bookmarkStart w:id="192" w:name="_Hlt26955066"/>
      <w:r/>
      <w:bookmarkStart w:id="193" w:name="_Hlt26671374"/>
      <w:r/>
      <w:bookmarkStart w:id="194" w:name="_格式2__法定代表人授权书"/>
      <w:r/>
      <w:bookmarkStart w:id="195" w:name="_Hlt26609389"/>
      <w:r/>
      <w:bookmarkStart w:id="196" w:name="_Toc462564146"/>
      <w:r>
        <w:t xml:space="preserve"> </w:t>
      </w:r>
      <w:r/>
    </w:p>
    <w:p>
      <w:pPr>
        <w:pStyle w:val="850"/>
        <w:ind w:left="-206"/>
        <w:jc w:val="center"/>
        <w:spacing w:beforeAutospacing="0" w:afterAutospacing="0"/>
      </w:pPr>
      <w:r>
        <w:t xml:space="preserve"> </w:t>
      </w:r>
      <w:r/>
    </w:p>
    <w:p>
      <w:pPr>
        <w:pStyle w:val="850"/>
        <w:ind w:left="-206"/>
        <w:jc w:val="center"/>
        <w:spacing w:beforeAutospacing="0" w:afterAutospacing="0"/>
      </w:pPr>
      <w:r>
        <w:t xml:space="preserve"> </w:t>
      </w:r>
      <w:r/>
    </w:p>
    <w:p>
      <w:pPr>
        <w:pStyle w:val="850"/>
        <w:ind w:left="-206"/>
        <w:jc w:val="center"/>
        <w:spacing w:beforeAutospacing="0" w:afterAutospacing="0"/>
      </w:pPr>
      <w:r>
        <w:t xml:space="preserve"> </w:t>
      </w:r>
      <w:r/>
    </w:p>
    <w:p>
      <w:pPr>
        <w:pStyle w:val="850"/>
        <w:ind w:left="-206"/>
        <w:jc w:val="center"/>
        <w:spacing w:beforeAutospacing="0" w:afterAutospacing="0"/>
      </w:pPr>
      <w:r>
        <w:t xml:space="preserve"> </w:t>
      </w:r>
      <w:r/>
    </w:p>
    <w:p>
      <w:pPr>
        <w:pStyle w:val="850"/>
        <w:ind w:left="-206"/>
        <w:jc w:val="center"/>
        <w:spacing w:beforeAutospacing="0" w:afterAutospacing="0"/>
      </w:pPr>
      <w:r>
        <w:t xml:space="preserve"> </w:t>
      </w:r>
      <w:r/>
    </w:p>
    <w:p>
      <w:pPr>
        <w:pStyle w:val="850"/>
        <w:ind w:left="-206"/>
        <w:jc w:val="center"/>
        <w:spacing w:beforeAutospacing="0" w:afterAutospacing="0"/>
      </w:pPr>
      <w:r/>
      <w:r/>
    </w:p>
    <w:p>
      <w:pPr>
        <w:pStyle w:val="850"/>
        <w:ind w:left="-206"/>
        <w:jc w:val="center"/>
        <w:spacing w:beforeAutospacing="0" w:afterAutospacing="0"/>
      </w:pPr>
      <w:r/>
      <w:r/>
    </w:p>
    <w:p>
      <w:pPr>
        <w:pStyle w:val="850"/>
        <w:ind w:left="-206"/>
        <w:jc w:val="center"/>
        <w:spacing w:beforeAutospacing="0" w:afterAutospacing="0"/>
      </w:pPr>
      <w:r/>
      <w:r/>
    </w:p>
    <w:p>
      <w:pPr>
        <w:pStyle w:val="850"/>
        <w:ind w:left="-206"/>
        <w:jc w:val="center"/>
        <w:spacing w:beforeAutospacing="0" w:afterAutospacing="0"/>
      </w:pPr>
      <w:r/>
      <w:r/>
    </w:p>
    <w:p>
      <w:pPr>
        <w:pStyle w:val="850"/>
        <w:ind w:left="-206"/>
        <w:jc w:val="center"/>
        <w:spacing w:beforeAutospacing="0" w:afterAutospacing="0"/>
      </w:pPr>
      <w:r/>
      <w:r/>
    </w:p>
    <w:p>
      <w:pPr>
        <w:pStyle w:val="850"/>
        <w:ind w:left="-206"/>
        <w:jc w:val="center"/>
        <w:spacing w:beforeAutospacing="0" w:afterAutospacing="0"/>
      </w:pPr>
      <w:r/>
      <w:r/>
    </w:p>
    <w:p>
      <w:pPr>
        <w:pStyle w:val="850"/>
        <w:ind w:left="-206"/>
        <w:jc w:val="center"/>
        <w:spacing w:beforeAutospacing="0" w:afterAutospacing="0"/>
      </w:pPr>
      <w:r/>
      <w:r/>
    </w:p>
    <w:p>
      <w:pPr>
        <w:pStyle w:val="850"/>
        <w:ind w:left="-206"/>
        <w:jc w:val="center"/>
        <w:spacing w:beforeAutospacing="0" w:afterAutospacing="0"/>
      </w:pPr>
      <w:r/>
      <w:r/>
    </w:p>
    <w:p>
      <w:pPr>
        <w:pStyle w:val="850"/>
        <w:ind w:left="-206"/>
        <w:jc w:val="center"/>
        <w:spacing w:beforeAutospacing="0" w:afterAutospacing="0"/>
      </w:pPr>
      <w:r/>
      <w:r/>
    </w:p>
    <w:p>
      <w:pPr>
        <w:pStyle w:val="850"/>
        <w:ind w:left="-206"/>
        <w:jc w:val="center"/>
        <w:spacing w:beforeAutospacing="0" w:afterAutospacing="0"/>
      </w:pPr>
      <w:r>
        <w:t xml:space="preserve"> </w:t>
      </w:r>
      <w:r/>
    </w:p>
    <w:p>
      <w:pPr>
        <w:pStyle w:val="850"/>
        <w:ind w:left="-206"/>
        <w:jc w:val="center"/>
        <w:spacing w:beforeAutospacing="0" w:afterAutospacing="0"/>
      </w:pPr>
      <w:r>
        <w:t xml:space="preserve"> </w:t>
      </w:r>
      <w:r/>
    </w:p>
    <w:p>
      <w:pPr>
        <w:pStyle w:val="850"/>
        <w:ind w:left="-206"/>
        <w:jc w:val="center"/>
        <w:spacing w:beforeAutospacing="0" w:afterAutospacing="0"/>
      </w:pPr>
      <w:r>
        <w:t xml:space="preserve"> </w:t>
      </w:r>
      <w:r/>
    </w:p>
    <w:p>
      <w:pPr>
        <w:pStyle w:val="850"/>
        <w:ind w:left="-206" w:firstLine="546"/>
        <w:jc w:val="center"/>
        <w:spacing w:beforeAutospacing="0" w:afterAutospacing="0"/>
      </w:pPr>
      <w:r>
        <w:rPr>
          <w:rFonts w:hint="eastAsia" w:ascii="黑体" w:hAnsi="宋体" w:eastAsia="黑体" w:cs="黑体"/>
          <w:b/>
          <w:i/>
          <w:sz w:val="32"/>
          <w:szCs w:val="32"/>
          <w:u w:val="single"/>
        </w:rPr>
        <w:t xml:space="preserve">十五、开标一览表</w:t>
      </w:r>
      <w:r/>
    </w:p>
    <w:p>
      <w:pPr>
        <w:pStyle w:val="850"/>
        <w:ind w:left="-206" w:firstLine="408"/>
        <w:spacing w:beforeAutospacing="0" w:afterAutospacing="0"/>
      </w:pPr>
      <w:r>
        <w:rPr>
          <w:rFonts w:hint="eastAsia" w:ascii="宋体" w:hAnsi="宋体" w:eastAsia="宋体" w:cs="宋体"/>
        </w:rPr>
        <w:t xml:space="preserve">投标人全称（加盖CA电子签章）：</w:t>
      </w:r>
      <w:r/>
    </w:p>
    <w:p>
      <w:pPr>
        <w:pStyle w:val="850"/>
        <w:ind w:left="-206" w:firstLine="408"/>
        <w:spacing w:beforeAutospacing="0" w:afterAutospacing="0"/>
      </w:pPr>
      <w:r>
        <w:rPr>
          <w:rFonts w:hint="eastAsia" w:ascii="宋体" w:hAnsi="宋体" w:eastAsia="宋体" w:cs="宋体"/>
        </w:rPr>
        <w:t xml:space="preserve">项目名称：</w:t>
      </w:r>
      <w:r/>
    </w:p>
    <w:p>
      <w:pPr>
        <w:pStyle w:val="850"/>
        <w:ind w:left="-206" w:firstLine="408"/>
        <w:spacing w:beforeAutospacing="0" w:afterAutospacing="0"/>
      </w:pPr>
      <w:r>
        <w:rPr>
          <w:rFonts w:hint="eastAsia" w:ascii="宋体" w:hAnsi="宋体" w:eastAsia="宋体" w:cs="宋体"/>
        </w:rPr>
        <w:t xml:space="preserve">招标编号：</w:t>
      </w:r>
      <w:r/>
    </w:p>
    <w:tbl>
      <w:tblPr>
        <w:tblStyle w:val="844"/>
        <w:tblW w:w="8413" w:type="dxa"/>
        <w:tblCellSpacing w:w="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tcW w:w="8413" w:type="dxa"/>
            <w:vAlign w:val="center"/>
            <w:textDirection w:val="lrTb"/>
            <w:noWrap w:val="false"/>
          </w:tcPr>
          <w:p>
            <w:pPr>
              <w:pStyle w:val="850"/>
              <w:ind w:left="-206"/>
              <w:jc w:val="both"/>
              <w:spacing w:beforeAutospacing="0" w:afterAutospacing="0"/>
            </w:pPr>
            <w:r>
              <w:rPr>
                <w:rFonts w:hint="eastAsia" w:ascii="宋体" w:hAnsi="宋体" w:eastAsia="宋体" w:cs="宋体"/>
              </w:rPr>
              <w:t xml:space="preserve">              投标总报价</w:t>
            </w:r>
            <w:r/>
          </w:p>
        </w:tc>
      </w:tr>
      <w:tr>
        <w:trPr>
          <w:tblCellSpacing w:w="0" w:type="dxa"/>
          <w:trHeight w:val="612"/>
        </w:trPr>
        <w:tc>
          <w:tcPr>
            <w:gridSpan w:val="2"/>
            <w:tcW w:w="8413" w:type="dxa"/>
            <w:vAlign w:val="center"/>
            <w:textDirection w:val="lrTb"/>
            <w:noWrap w:val="false"/>
          </w:tcPr>
          <w:p>
            <w:pPr>
              <w:pStyle w:val="850"/>
              <w:ind w:left="-206" w:firstLine="240"/>
              <w:spacing w:beforeAutospacing="0" w:afterAutospacing="0" w:line="0" w:lineRule="atLeast"/>
            </w:pPr>
            <w:r>
              <w:rPr>
                <w:rFonts w:hint="eastAsia" w:ascii="宋体" w:hAnsi="宋体" w:eastAsia="宋体" w:cs="宋体"/>
              </w:rPr>
              <w:t xml:space="preserve">小写：         （人民币：元）</w:t>
            </w:r>
            <w:r/>
          </w:p>
        </w:tc>
      </w:tr>
      <w:tr>
        <w:trPr>
          <w:tblCellSpacing w:w="0" w:type="dxa"/>
          <w:trHeight w:val="612"/>
        </w:trPr>
        <w:tc>
          <w:tcPr>
            <w:tcW w:w="2349" w:type="dxa"/>
            <w:vAlign w:val="center"/>
            <w:textDirection w:val="lrTb"/>
            <w:noWrap w:val="false"/>
          </w:tcPr>
          <w:p>
            <w:pPr>
              <w:pStyle w:val="850"/>
              <w:ind w:left="-206"/>
              <w:jc w:val="center"/>
              <w:spacing w:beforeAutospacing="0" w:afterAutospacing="0" w:line="300" w:lineRule="auto"/>
            </w:pPr>
            <w:r>
              <w:rPr>
                <w:rFonts w:hint="eastAsia" w:ascii="宋体" w:hAnsi="宋体" w:eastAsia="宋体" w:cs="宋体"/>
              </w:rPr>
              <w:t xml:space="preserve">核心产品品牌</w:t>
            </w:r>
            <w:r/>
          </w:p>
        </w:tc>
        <w:tc>
          <w:tcPr>
            <w:tcW w:w="6064" w:type="dxa"/>
            <w:vAlign w:val="center"/>
            <w:textDirection w:val="lrTb"/>
            <w:noWrap w:val="false"/>
          </w:tcPr>
          <w:p>
            <w:pPr>
              <w:pStyle w:val="850"/>
              <w:ind w:left="-206"/>
              <w:spacing w:beforeAutospacing="0" w:afterAutospacing="0" w:line="0" w:lineRule="atLeast"/>
            </w:pPr>
            <w:r>
              <w:t xml:space="preserve"> </w:t>
            </w:r>
            <w:r/>
          </w:p>
        </w:tc>
      </w:tr>
    </w:tbl>
    <w:p>
      <w:pPr>
        <w:pStyle w:val="850"/>
        <w:ind w:left="-206"/>
        <w:jc w:val="both"/>
        <w:spacing w:beforeAutospacing="0" w:afterAutospacing="0"/>
      </w:pPr>
      <w:r>
        <w:t xml:space="preserve"> </w:t>
      </w:r>
      <w:r/>
    </w:p>
    <w:p>
      <w:pPr>
        <w:pStyle w:val="850"/>
        <w:ind w:left="-206" w:firstLine="408"/>
        <w:jc w:val="both"/>
        <w:spacing w:beforeAutospacing="0" w:afterAutospacing="0"/>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850"/>
        <w:ind w:left="-206"/>
        <w:jc w:val="both"/>
        <w:spacing w:beforeAutospacing="0" w:afterAutospacing="0"/>
      </w:pPr>
      <w:r>
        <w:t xml:space="preserve"> </w:t>
      </w:r>
      <w:r/>
    </w:p>
    <w:p>
      <w:pPr>
        <w:pStyle w:val="850"/>
        <w:ind w:left="-206" w:firstLine="408"/>
        <w:jc w:val="both"/>
        <w:spacing w:beforeAutospacing="0" w:afterAutospacing="0"/>
      </w:pPr>
      <w:r>
        <w:t xml:space="preserve"> </w:t>
      </w:r>
      <w:r/>
    </w:p>
    <w:p>
      <w:pPr>
        <w:pStyle w:val="850"/>
        <w:ind w:left="-206" w:firstLine="408"/>
        <w:jc w:val="both"/>
        <w:spacing w:beforeAutospacing="0" w:afterAutospacing="0"/>
      </w:pPr>
      <w:r/>
      <w:r/>
    </w:p>
    <w:p>
      <w:pPr>
        <w:pStyle w:val="850"/>
        <w:ind w:left="-206" w:firstLine="408"/>
        <w:jc w:val="both"/>
        <w:spacing w:beforeAutospacing="0" w:afterAutospacing="0"/>
      </w:pPr>
      <w:r/>
      <w:r/>
    </w:p>
    <w:p>
      <w:pPr>
        <w:pStyle w:val="850"/>
        <w:ind w:left="-206" w:firstLine="408"/>
        <w:jc w:val="both"/>
        <w:spacing w:beforeAutospacing="0" w:afterAutospacing="0"/>
      </w:pPr>
      <w:r/>
      <w:r/>
    </w:p>
    <w:p>
      <w:pPr>
        <w:pStyle w:val="850"/>
        <w:ind w:left="-206" w:firstLine="408"/>
        <w:jc w:val="both"/>
        <w:spacing w:beforeAutospacing="0" w:afterAutospacing="0"/>
      </w:pPr>
      <w:r/>
      <w:r/>
    </w:p>
    <w:p>
      <w:pPr>
        <w:pStyle w:val="850"/>
        <w:ind w:left="-206" w:firstLine="546"/>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50"/>
        <w:ind w:left="-206" w:firstLine="546"/>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50"/>
        <w:ind w:left="-206" w:firstLine="546"/>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50"/>
        <w:ind w:left="-206" w:firstLine="546"/>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50"/>
        <w:ind w:left="-206" w:firstLine="546"/>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50"/>
        <w:ind w:left="-206" w:firstLine="546"/>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50"/>
        <w:ind w:left="-206" w:firstLine="546"/>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50"/>
        <w:ind w:left="-206" w:firstLine="546"/>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50"/>
        <w:ind w:left="-206" w:firstLine="546"/>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50"/>
        <w:ind w:left="-206" w:firstLine="546"/>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50"/>
        <w:ind w:left="-206" w:firstLine="546"/>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50"/>
        <w:ind w:left="-206" w:firstLine="546"/>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ind w:left="-206"/>
        <w:jc w:val="center"/>
        <w:spacing w:before="50" w:after="50"/>
        <w:widowControl/>
      </w:pPr>
      <w:r/>
      <w:r/>
    </w:p>
    <w:p>
      <w:pPr>
        <w:ind w:left="-206"/>
        <w:jc w:val="center"/>
        <w:spacing w:before="50" w:after="50"/>
        <w:widowControl/>
        <w:rPr>
          <w:rFonts w:hint="eastAsia" w:ascii="宋体" w:hAnsi="宋体" w:eastAsia="宋体" w:cs="宋体"/>
          <w:sz w:val="24"/>
        </w:rPr>
      </w:pPr>
      <w:r>
        <w:tab/>
      </w:r>
      <w:r>
        <w:rPr>
          <w:rFonts w:hint="eastAsia" w:ascii="宋体" w:hAnsi="宋体" w:eastAsia="宋体" w:cs="宋体"/>
          <w:sz w:val="32"/>
          <w:szCs w:val="32"/>
        </w:rPr>
        <w:t xml:space="preserve">十六、技术方案等</w:t>
      </w:r>
      <w:r/>
    </w:p>
    <w:p>
      <w:pPr>
        <w:pStyle w:val="850"/>
        <w:ind w:left="-206" w:firstLine="54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50"/>
        <w:ind w:left="-206" w:firstLine="54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50"/>
        <w:ind w:left="-206" w:firstLine="54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50"/>
        <w:ind w:left="-206" w:firstLine="54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50"/>
        <w:ind w:left="-206" w:firstLine="54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50"/>
        <w:ind w:left="-206" w:firstLine="54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50"/>
        <w:ind w:left="-206" w:firstLine="54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50"/>
        <w:ind w:left="-206" w:firstLine="54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50"/>
        <w:ind w:left="-206" w:firstLine="54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50"/>
        <w:ind w:left="-206" w:firstLine="54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50"/>
        <w:ind w:left="-206" w:firstLine="54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50"/>
        <w:ind w:left="-206" w:firstLine="54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50"/>
        <w:ind w:left="-206" w:firstLine="54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50"/>
        <w:ind w:left="-206" w:firstLine="54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50"/>
        <w:ind w:left="-206" w:firstLine="54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50"/>
        <w:ind w:left="-206" w:firstLine="54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50"/>
        <w:ind w:left="-206" w:firstLine="54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ind w:left="-206" w:firstLine="544"/>
        <w:jc w:val="left"/>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left="-206" w:firstLine="544"/>
        <w:jc w:val="left"/>
        <w:spacing w:line="499" w:lineRule="atLeast"/>
        <w:widowControl/>
        <w:rPr>
          <w:rFonts w:hint="eastAsia" w:ascii="宋体" w:hAnsi="宋体" w:eastAsia="宋体" w:cs="宋体"/>
          <w:sz w:val="32"/>
          <w:szCs w:val="32"/>
        </w:rPr>
      </w:pPr>
      <w:r>
        <w:rPr>
          <w:rFonts w:hint="eastAsia" w:ascii="宋体" w:hAnsi="宋体" w:eastAsia="宋体" w:cs="宋体"/>
          <w:sz w:val="32"/>
          <w:szCs w:val="32"/>
        </w:rPr>
        <w:t xml:space="preserve">十七、</w:t>
      </w:r>
      <w:r/>
    </w:p>
    <w:p>
      <w:pPr>
        <w:ind w:left="-206" w:firstLine="544"/>
        <w:jc w:val="center"/>
        <w:spacing w:line="499" w:lineRule="atLeast"/>
        <w:widowControl/>
        <w:rPr>
          <w:rFonts w:hint="eastAsia" w:ascii="宋体" w:hAnsi="宋体" w:eastAsia="宋体" w:cs="宋体"/>
          <w:sz w:val="24"/>
        </w:rPr>
      </w:pPr>
      <w:r>
        <w:rPr>
          <w:rFonts w:hint="eastAsia" w:ascii="宋体" w:hAnsi="宋体" w:eastAsia="宋体" w:cs="宋体"/>
          <w:sz w:val="32"/>
          <w:szCs w:val="32"/>
        </w:rPr>
        <w:t xml:space="preserve">盐城市政府采购事前信用承诺书</w:t>
      </w:r>
      <w:r/>
    </w:p>
    <w:p>
      <w:pPr>
        <w:contextualSpacing/>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为营造我市公开、公平、公正、诚实守信的政府采购交易环境，树立诚信守法的投标人形象，本人代表本单位作出以下承诺：</w:t>
      </w:r>
      <w:r/>
    </w:p>
    <w:p>
      <w:pPr>
        <w:contextualSpacing/>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contextualSpacing/>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contextualSpacing/>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（三）严格依照国家和省、市关于政府采购的法律、法规、规章、规范性文件，参加政府采购投标活动；积极履行社会责任，促进廉政建设； </w:t>
      </w:r>
      <w:r/>
    </w:p>
    <w:p>
      <w:pPr>
        <w:contextualSpacing/>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（四）严格遵守即时信息公示规定，及时维护和更新维护和更新盐城市政府采购网中与本单位相关的信息；</w:t>
      </w:r>
      <w:r/>
    </w:p>
    <w:p>
      <w:pPr>
        <w:contextualSpacing/>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contextualSpacing/>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（六）自觉接受政府、行业组织、社会公众、新闻舆论的监督；</w:t>
      </w:r>
      <w:r/>
    </w:p>
    <w:p>
      <w:pPr>
        <w:contextualSpacing/>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contextualSpacing/>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（八）本人已认真阅读了上述承诺，并向本单位员工作了宣传教育。</w:t>
      </w:r>
      <w:r/>
    </w:p>
    <w:p>
      <w:pPr>
        <w:ind w:left="-206"/>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法定代表人（或负责人）签名：</w:t>
      </w:r>
      <w:r/>
    </w:p>
    <w:p>
      <w:pPr>
        <w:ind w:left="-206"/>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单位名称（盖章）：</w:t>
      </w:r>
      <w:r/>
    </w:p>
    <w:p>
      <w:pPr>
        <w:ind w:left="-206"/>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年 月 日</w:t>
      </w:r>
      <w:r/>
    </w:p>
    <w:p>
      <w:pPr>
        <w:pStyle w:val="850"/>
        <w:ind w:left="-206"/>
        <w:jc w:val="center"/>
        <w:spacing w:beforeAutospacing="0" w:afterAutospacing="0"/>
      </w:pPr>
      <w:r/>
      <w:r/>
    </w:p>
    <w:p>
      <w:pPr>
        <w:pStyle w:val="850"/>
        <w:ind w:left="-206"/>
        <w:jc w:val="center"/>
        <w:spacing w:beforeAutospacing="0" w:afterAutospacing="0"/>
      </w:pPr>
      <w:r/>
      <w:r/>
    </w:p>
    <w:p>
      <w:pPr>
        <w:pStyle w:val="850"/>
        <w:ind w:left="-206"/>
        <w:jc w:val="center"/>
        <w:spacing w:beforeAutospacing="0" w:afterAutospacing="0"/>
      </w:pPr>
      <w:r/>
      <w:bookmarkEnd w:id="1"/>
      <w:r/>
      <w:bookmarkEnd w:id="35"/>
      <w:r/>
      <w:bookmarkEnd w:id="82"/>
      <w:r/>
      <w:bookmarkEnd w:id="83"/>
      <w:r/>
      <w:bookmarkEnd w:id="84"/>
      <w:r/>
      <w:bookmarkEnd w:id="85"/>
      <w:r/>
      <w:bookmarkEnd w:id="86"/>
      <w:r/>
      <w:bookmarkEnd w:id="87"/>
      <w:r/>
      <w:bookmarkEnd w:id="88"/>
      <w:r/>
      <w:bookmarkEnd w:id="89"/>
      <w:r/>
      <w:bookmarkEnd w:id="98"/>
      <w:r/>
      <w:bookmarkEnd w:id="99"/>
      <w:r/>
      <w:bookmarkEnd w:id="106"/>
      <w:r/>
      <w:bookmarkEnd w:id="159"/>
      <w:r/>
      <w:bookmarkEnd w:id="163"/>
      <w:r/>
      <w:bookmarkEnd w:id="176"/>
      <w:r/>
      <w:bookmarkEnd w:id="177"/>
      <w:r/>
      <w:bookmarkEnd w:id="178"/>
      <w:r/>
      <w:bookmarkEnd w:id="179"/>
      <w:r/>
      <w:bookmarkEnd w:id="180"/>
      <w:r/>
      <w:bookmarkEnd w:id="181"/>
      <w:r/>
      <w:bookmarkEnd w:id="182"/>
      <w:r/>
      <w:bookmarkEnd w:id="183"/>
      <w:r/>
      <w:bookmarkEnd w:id="192"/>
      <w:r/>
      <w:bookmarkEnd w:id="193"/>
      <w:r/>
      <w:bookmarkEnd w:id="194"/>
      <w:r/>
      <w:bookmarkEnd w:id="195"/>
      <w:r/>
      <w:bookmarkEnd w:id="196"/>
      <w:r/>
      <w:r/>
    </w:p>
    <w:p>
      <w:pPr>
        <w:ind w:left="-206" w:right="-92" w:firstLine="478"/>
        <w:jc w:val="center"/>
        <w:spacing w:before="50" w:after="50" w:line="500" w:lineRule="atLeast"/>
        <w:rPr>
          <w:rFonts w:hint="eastAsia" w:ascii="宋体" w:hAnsi="宋体" w:cs="宋体"/>
          <w:b/>
          <w:sz w:val="28"/>
          <w:szCs w:val="28"/>
        </w:rPr>
      </w:pPr>
      <w:r/>
      <w:bookmarkStart w:id="197" w:name="_Toc19498"/>
      <w:r>
        <w:rPr>
          <w:rFonts w:hint="eastAsia" w:ascii="宋体" w:hAnsi="宋体" w:cs="宋体"/>
          <w:b/>
          <w:sz w:val="28"/>
          <w:szCs w:val="28"/>
        </w:rPr>
        <w:t xml:space="preserve">盐城市大丰区政府招标采购供应商承诺书</w:t>
      </w:r>
      <w:bookmarkEnd w:id="197"/>
      <w:r/>
      <w:r/>
    </w:p>
    <w:p>
      <w:pPr>
        <w:ind w:left="-206" w:right="-92" w:firstLine="408"/>
        <w:jc w:val="left"/>
        <w:spacing w:line="500" w:lineRule="atLeast"/>
        <w:rPr>
          <w:rFonts w:hint="eastAsia" w:ascii="宋体" w:hAnsi="宋体" w:cs="宋体"/>
          <w:sz w:val="24"/>
          <w:u w:val="single"/>
        </w:rPr>
      </w:pPr>
      <w:r>
        <w:rPr>
          <w:rFonts w:hint="eastAsia" w:ascii="宋体" w:hAnsi="宋体" w:cs="宋体"/>
          <w:sz w:val="24"/>
        </w:rPr>
        <w:t xml:space="preserve">为营造公开、公平、公正、诚实守信的政府招标采购交易环境，树立诚信守法的投标人形象，本单位参加政府招标采购项目：</w:t>
      </w:r>
      <w:r>
        <w:rPr>
          <w:rFonts w:hint="eastAsia" w:ascii="宋体" w:hAnsi="宋体" w:cs="宋体"/>
          <w:sz w:val="24"/>
          <w:u w:val="single"/>
        </w:rPr>
        <w:t xml:space="preserve">                                      </w:t>
      </w:r>
      <w:r/>
    </w:p>
    <w:p>
      <w:pPr>
        <w:ind w:left="-206" w:right="-92"/>
        <w:jc w:val="left"/>
        <w:spacing w:line="500" w:lineRule="atLeast"/>
        <w:rPr>
          <w:rFonts w:hint="eastAsia" w:ascii="宋体" w:hAnsi="宋体" w:cs="宋体"/>
          <w:sz w:val="24"/>
        </w:rPr>
      </w:pPr>
      <w:r>
        <w:rPr>
          <w:rFonts w:hint="eastAsia" w:ascii="宋体" w:hAnsi="宋体" w:cs="宋体"/>
          <w:sz w:val="24"/>
        </w:rPr>
        <w:t xml:space="preserve">的招标采购活动，本人代表本单位作出以下承诺：</w:t>
      </w:r>
      <w:r/>
    </w:p>
    <w:p>
      <w:pPr>
        <w:ind w:left="-206" w:right="-92" w:firstLine="408"/>
        <w:jc w:val="left"/>
        <w:spacing w:line="500" w:lineRule="atLeast"/>
        <w:rPr>
          <w:rFonts w:hint="eastAsia" w:ascii="宋体" w:hAnsi="宋体" w:cs="宋体"/>
          <w:sz w:val="24"/>
        </w:rPr>
      </w:pPr>
      <w:r>
        <w:rPr>
          <w:rFonts w:hint="eastAsia" w:ascii="宋体" w:hAnsi="宋体" w:cs="宋体"/>
          <w:sz w:val="24"/>
        </w:rPr>
        <w:t xml:space="preserve">（一）本单位对所提交的企（事）业单位基本信息、企（事）业负责人、项目经理、技术负责人、从业资质和资格、业绩、财务状况、信誉等所有资料，均合法、真实、准确、有效，无任何伪造、修改、虚假成份，并对所提供资料的真实性负责；</w:t>
      </w:r>
      <w:r/>
    </w:p>
    <w:p>
      <w:pPr>
        <w:ind w:left="-206" w:right="-92" w:firstLine="408"/>
        <w:jc w:val="left"/>
        <w:spacing w:line="500" w:lineRule="atLeast"/>
        <w:rPr>
          <w:rFonts w:hint="eastAsia" w:ascii="宋体" w:hAnsi="宋体" w:cs="宋体"/>
          <w:sz w:val="24"/>
        </w:rPr>
      </w:pPr>
      <w:r>
        <w:rPr>
          <w:rFonts w:hint="eastAsia" w:ascii="宋体" w:hAnsi="宋体" w:cs="宋体"/>
          <w:sz w:val="24"/>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left="-206" w:right="-92" w:firstLine="408"/>
        <w:jc w:val="left"/>
        <w:spacing w:line="500" w:lineRule="atLeast"/>
        <w:rPr>
          <w:rFonts w:hint="eastAsia" w:ascii="宋体" w:hAnsi="宋体" w:cs="宋体"/>
          <w:sz w:val="24"/>
        </w:rPr>
      </w:pPr>
      <w:r>
        <w:rPr>
          <w:rFonts w:hint="eastAsia" w:ascii="宋体" w:hAnsi="宋体" w:cs="宋体"/>
          <w:sz w:val="24"/>
        </w:rPr>
        <w:t xml:space="preserve">（三）严格依照国家和省、市关于政府招标采购的法律、法规、规章、规范性文件，参加政府招标采购的投标活动；积极履行社会责任，促进廉政建设； </w:t>
      </w:r>
      <w:r/>
    </w:p>
    <w:p>
      <w:pPr>
        <w:ind w:left="-206" w:right="-92"/>
        <w:jc w:val="left"/>
        <w:spacing w:line="500" w:lineRule="atLeast"/>
        <w:rPr>
          <w:rFonts w:hint="eastAsia" w:ascii="宋体" w:hAnsi="宋体" w:cs="宋体"/>
          <w:sz w:val="24"/>
        </w:rPr>
      </w:pPr>
      <w:r>
        <w:rPr>
          <w:rFonts w:hint="eastAsia" w:ascii="宋体" w:hAnsi="宋体" w:cs="宋体"/>
          <w:sz w:val="24"/>
        </w:rPr>
        <w:t xml:space="preserve">   （四）严格遵守即时信息公示规定，及时维护和更新盐城市政府采购网、公共资源交易平台中与本单位相关的信息；</w:t>
      </w:r>
      <w:r/>
    </w:p>
    <w:p>
      <w:pPr>
        <w:ind w:left="-206" w:right="-92" w:firstLine="408"/>
        <w:jc w:val="left"/>
        <w:spacing w:line="500" w:lineRule="atLeast"/>
        <w:rPr>
          <w:rFonts w:hint="eastAsia" w:ascii="宋体" w:hAnsi="宋体" w:cs="宋体"/>
          <w:sz w:val="24"/>
        </w:rPr>
      </w:pPr>
      <w:r>
        <w:rPr>
          <w:rFonts w:hint="eastAsia" w:ascii="宋体" w:hAnsi="宋体" w:cs="宋体"/>
          <w:sz w:val="24"/>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p>
    <w:p>
      <w:pPr>
        <w:ind w:left="-206" w:right="-92" w:firstLine="408"/>
        <w:jc w:val="left"/>
        <w:spacing w:line="500" w:lineRule="atLeast"/>
        <w:rPr>
          <w:rFonts w:hint="eastAsia" w:ascii="宋体" w:hAnsi="宋体" w:cs="宋体"/>
          <w:sz w:val="24"/>
        </w:rPr>
      </w:pPr>
      <w:r>
        <w:rPr>
          <w:rFonts w:hint="eastAsia" w:ascii="宋体" w:hAnsi="宋体" w:cs="宋体"/>
          <w:sz w:val="24"/>
        </w:rPr>
        <w:t xml:space="preserve">（六）自觉接受政府、行业组织、社会公众、新闻舆论的监督；</w:t>
      </w:r>
      <w:r/>
    </w:p>
    <w:p>
      <w:pPr>
        <w:ind w:left="-206" w:right="-92" w:firstLine="408"/>
        <w:jc w:val="left"/>
        <w:spacing w:line="500" w:lineRule="atLeast"/>
        <w:rPr>
          <w:rFonts w:hint="eastAsia"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206" w:right="-92" w:firstLine="408"/>
        <w:jc w:val="left"/>
        <w:spacing w:line="500" w:lineRule="atLeast"/>
        <w:rPr>
          <w:rFonts w:hint="eastAsia" w:ascii="宋体" w:hAnsi="宋体" w:cs="宋体"/>
          <w:sz w:val="24"/>
        </w:rPr>
      </w:pPr>
      <w:r>
        <w:rPr>
          <w:rFonts w:hint="eastAsia" w:ascii="宋体" w:hAnsi="宋体" w:cs="宋体"/>
          <w:sz w:val="24"/>
        </w:rPr>
        <w:t xml:space="preserve">（八）本人已认真阅读了上述承诺，并向本单位员工作了宣传教育。</w:t>
      </w:r>
      <w:r/>
    </w:p>
    <w:p>
      <w:pPr>
        <w:ind w:left="-206" w:right="-92" w:firstLine="408"/>
        <w:jc w:val="left"/>
        <w:spacing w:line="500" w:lineRule="atLeast"/>
        <w:rPr>
          <w:rFonts w:hint="eastAsia" w:ascii="宋体" w:hAnsi="宋体" w:cs="宋体"/>
          <w:sz w:val="24"/>
        </w:rPr>
      </w:pPr>
      <w:r>
        <w:rPr>
          <w:rFonts w:hint="eastAsia" w:ascii="宋体" w:hAnsi="宋体" w:cs="宋体"/>
          <w:sz w:val="24"/>
        </w:rPr>
        <w:t xml:space="preserve">法定代表人（或负责人）签名：             单位名称（盖章）：</w:t>
      </w:r>
      <w:r/>
    </w:p>
    <w:p>
      <w:pPr>
        <w:ind w:left="-206" w:right="-92" w:firstLine="960"/>
        <w:jc w:val="left"/>
        <w:spacing w:line="500" w:lineRule="atLeast"/>
        <w:rPr>
          <w:rFonts w:hint="eastAsia" w:ascii="宋体" w:hAnsi="宋体"/>
          <w:sz w:val="24"/>
        </w:rPr>
      </w:pPr>
      <w:r>
        <w:rPr>
          <w:rFonts w:hint="eastAsia" w:ascii="宋体" w:hAnsi="宋体" w:cs="宋体"/>
          <w:sz w:val="24"/>
        </w:rPr>
        <w:t xml:space="preserve">年    月    日 </w:t>
      </w:r>
      <w:r>
        <w:rPr>
          <w:rFonts w:ascii="宋体" w:hAnsi="宋体" w:cs="宋体"/>
          <w:sz w:val="24"/>
        </w:rPr>
        <w:t xml:space="preserve">             </w:t>
      </w:r>
      <w:r>
        <w:rPr>
          <w:rFonts w:hint="eastAsia" w:ascii="宋体" w:hAnsi="宋体" w:cs="宋体"/>
          <w:sz w:val="24"/>
        </w:rPr>
        <w:t xml:space="preserve"> 年    月    日</w:t>
      </w:r>
      <w:r/>
    </w:p>
    <w:p>
      <w:pPr>
        <w:pStyle w:val="850"/>
        <w:ind w:left="-206" w:firstLine="54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50"/>
        <w:ind w:left="-206" w:firstLine="54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50"/>
        <w:ind w:left="-206" w:firstLine="546"/>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850"/>
        <w:ind w:left="-206" w:firstLine="546"/>
        <w:jc w:val="center"/>
        <w:spacing w:beforeAutospacing="0" w:afterAutospacing="0"/>
        <w:rPr>
          <w:rFonts w:hint="eastAsia" w:ascii="宋体" w:hAnsi="宋体" w:eastAsia="宋体" w:cs="宋体"/>
          <w:b/>
          <w:sz w:val="32"/>
          <w:szCs w:val="32"/>
        </w:rPr>
      </w:pPr>
      <w:r/>
      <w:bookmarkStart w:id="198" w:name="_GoBack"/>
      <w:r/>
      <w:bookmarkEnd w:id="198"/>
      <w:r>
        <w:rPr>
          <w:rFonts w:hint="eastAsia" w:ascii="宋体" w:hAnsi="宋体" w:eastAsia="宋体" w:cs="宋体"/>
          <w:b/>
          <w:sz w:val="32"/>
          <w:szCs w:val="32"/>
        </w:rPr>
        <w:t xml:space="preserve">质疑函范本</w:t>
      </w:r>
      <w:r/>
    </w:p>
    <w:p>
      <w:pPr>
        <w:pStyle w:val="850"/>
        <w:ind w:left="-206"/>
        <w:jc w:val="both"/>
        <w:spacing w:before="290" w:beforeAutospacing="0" w:afterAutospacing="0" w:line="360" w:lineRule="auto"/>
        <w:rPr>
          <w:rFonts w:hint="eastAsia" w:ascii="宋体" w:hAnsi="宋体" w:eastAsia="宋体" w:cs="宋体"/>
        </w:rPr>
      </w:pPr>
      <w:r>
        <w:rPr>
          <w:rFonts w:hint="eastAsia" w:ascii="宋体" w:hAnsi="宋体" w:eastAsia="宋体" w:cs="宋体"/>
        </w:rPr>
        <w:t xml:space="preserve">一、质疑供应商基本信息</w:t>
      </w:r>
      <w:r/>
    </w:p>
    <w:p>
      <w:pPr>
        <w:pStyle w:val="850"/>
        <w:ind w:left="-20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p>
    <w:p>
      <w:pPr>
        <w:pStyle w:val="850"/>
        <w:ind w:left="-206"/>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850"/>
        <w:ind w:left="-20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850"/>
        <w:ind w:left="-206"/>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850"/>
        <w:ind w:left="-20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850"/>
        <w:ind w:left="-20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850"/>
        <w:ind w:left="-20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850"/>
        <w:ind w:left="-206"/>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850"/>
        <w:ind w:left="-20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850"/>
        <w:ind w:left="-20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二、质疑项目基本情况</w:t>
      </w:r>
      <w:r/>
    </w:p>
    <w:p>
      <w:pPr>
        <w:pStyle w:val="850"/>
        <w:ind w:left="-20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850"/>
        <w:ind w:left="-206"/>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850"/>
        <w:ind w:left="-20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850"/>
        <w:ind w:left="-20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850"/>
        <w:ind w:left="-20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850"/>
        <w:ind w:left="-20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三、质疑事项具体内容</w:t>
      </w:r>
      <w:r/>
    </w:p>
    <w:p>
      <w:pPr>
        <w:pStyle w:val="850"/>
        <w:ind w:left="-20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850"/>
        <w:ind w:left="-206"/>
        <w:spacing w:beforeAutospacing="0" w:afterAutospacing="0" w:line="360" w:lineRule="auto"/>
        <w:rPr>
          <w:rFonts w:hint="eastAsia"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850"/>
        <w:ind w:left="-20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850"/>
        <w:ind w:left="-20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质疑事项2</w:t>
      </w:r>
      <w:r/>
    </w:p>
    <w:p>
      <w:pPr>
        <w:pStyle w:val="850"/>
        <w:ind w:left="-20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w:t>
      </w:r>
      <w:r/>
    </w:p>
    <w:p>
      <w:pPr>
        <w:pStyle w:val="850"/>
        <w:ind w:left="-20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四、与质疑事项相关的质疑请求</w:t>
      </w:r>
      <w:r/>
    </w:p>
    <w:p>
      <w:pPr>
        <w:pStyle w:val="850"/>
        <w:ind w:left="-206"/>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850"/>
        <w:ind w:left="-206"/>
        <w:jc w:val="both"/>
        <w:spacing w:beforeAutospacing="0" w:afterAutospacing="0"/>
        <w:rPr>
          <w:rFonts w:hint="eastAsia" w:ascii="宋体" w:hAnsi="宋体" w:eastAsia="宋体" w:cs="宋体"/>
        </w:rPr>
      </w:pPr>
      <w:r>
        <w:rPr>
          <w:rFonts w:hint="eastAsia" w:ascii="宋体" w:hAnsi="宋体" w:eastAsia="宋体" w:cs="宋体"/>
        </w:rPr>
        <w:t xml:space="preserve">签字(签章)：                 公章：               日期：    </w:t>
      </w:r>
      <w:r/>
    </w:p>
    <w:p>
      <w:pPr>
        <w:pStyle w:val="850"/>
        <w:ind w:left="-206" w:firstLine="410"/>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质疑函制作说明：</w:t>
      </w:r>
      <w:r/>
    </w:p>
    <w:p>
      <w:pPr>
        <w:pStyle w:val="850"/>
        <w:ind w:left="-206" w:firstLine="408"/>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1.供应商提出质疑时，应提交质疑函和必要的证明材料。</w:t>
      </w:r>
      <w:r/>
    </w:p>
    <w:p>
      <w:pPr>
        <w:pStyle w:val="850"/>
        <w:ind w:left="-206" w:firstLine="408"/>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0"/>
        <w:ind w:left="-206" w:firstLine="408"/>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850"/>
        <w:ind w:left="-206" w:firstLine="408"/>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850"/>
        <w:ind w:left="-206" w:firstLine="408"/>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5.质疑函的质疑请求应与质疑事项相关。</w:t>
      </w:r>
      <w:r/>
    </w:p>
    <w:p>
      <w:pPr>
        <w:pStyle w:val="850"/>
        <w:ind w:left="-206" w:firstLine="408"/>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bookmarkEnd w:id="0"/>
      <w:r/>
      <w:r/>
    </w:p>
    <w:p>
      <w:pPr>
        <w:pStyle w:val="850"/>
        <w:ind w:left="-206"/>
        <w:spacing w:beforeAutospacing="0" w:afterAutospacing="0"/>
      </w:p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ind w:left="-206" w:firstLine="306"/>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isLgl w:val="false"/>
      <w:suff w:val="tab"/>
      <w:lvlText w:val="一、"/>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5"/>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2"/>
  </w:num>
  <w:num w:numId="3">
    <w:abstractNumId w:val="0"/>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7">
    <w:name w:val="Heading 1 Char"/>
    <w:basedOn w:val="843"/>
    <w:link w:val="840"/>
    <w:uiPriority w:val="9"/>
    <w:rPr>
      <w:rFonts w:ascii="Arial" w:hAnsi="Arial" w:eastAsia="Arial" w:cs="Arial"/>
      <w:sz w:val="40"/>
      <w:szCs w:val="40"/>
    </w:rPr>
  </w:style>
  <w:style w:type="character" w:styleId="668">
    <w:name w:val="Heading 2 Char"/>
    <w:basedOn w:val="843"/>
    <w:link w:val="841"/>
    <w:uiPriority w:val="9"/>
    <w:rPr>
      <w:rFonts w:ascii="Arial" w:hAnsi="Arial" w:eastAsia="Arial" w:cs="Arial"/>
      <w:sz w:val="34"/>
    </w:rPr>
  </w:style>
  <w:style w:type="character" w:styleId="669">
    <w:name w:val="Heading 3 Char"/>
    <w:basedOn w:val="843"/>
    <w:link w:val="842"/>
    <w:uiPriority w:val="9"/>
    <w:rPr>
      <w:rFonts w:ascii="Arial" w:hAnsi="Arial" w:eastAsia="Arial" w:cs="Arial"/>
      <w:sz w:val="30"/>
      <w:szCs w:val="30"/>
    </w:rPr>
  </w:style>
  <w:style w:type="paragraph" w:styleId="670">
    <w:name w:val="Heading 4"/>
    <w:basedOn w:val="839"/>
    <w:next w:val="839"/>
    <w:link w:val="671"/>
    <w:uiPriority w:val="9"/>
    <w:unhideWhenUsed/>
    <w:qFormat/>
    <w:pPr>
      <w:keepLines/>
      <w:keepNext/>
      <w:spacing w:before="320" w:after="200"/>
      <w:outlineLvl w:val="3"/>
    </w:pPr>
    <w:rPr>
      <w:rFonts w:ascii="Arial" w:hAnsi="Arial" w:eastAsia="Arial" w:cs="Arial"/>
      <w:b/>
      <w:bCs/>
      <w:sz w:val="26"/>
      <w:szCs w:val="26"/>
    </w:rPr>
  </w:style>
  <w:style w:type="character" w:styleId="671">
    <w:name w:val="Heading 4 Char"/>
    <w:basedOn w:val="843"/>
    <w:link w:val="670"/>
    <w:uiPriority w:val="9"/>
    <w:rPr>
      <w:rFonts w:ascii="Arial" w:hAnsi="Arial" w:eastAsia="Arial" w:cs="Arial"/>
      <w:b/>
      <w:bCs/>
      <w:sz w:val="26"/>
      <w:szCs w:val="26"/>
    </w:rPr>
  </w:style>
  <w:style w:type="paragraph" w:styleId="672">
    <w:name w:val="Heading 5"/>
    <w:basedOn w:val="839"/>
    <w:next w:val="839"/>
    <w:link w:val="673"/>
    <w:uiPriority w:val="9"/>
    <w:unhideWhenUsed/>
    <w:qFormat/>
    <w:pPr>
      <w:keepLines/>
      <w:keepNext/>
      <w:spacing w:before="320" w:after="200"/>
      <w:outlineLvl w:val="4"/>
    </w:pPr>
    <w:rPr>
      <w:rFonts w:ascii="Arial" w:hAnsi="Arial" w:eastAsia="Arial" w:cs="Arial"/>
      <w:b/>
      <w:bCs/>
      <w:sz w:val="24"/>
      <w:szCs w:val="24"/>
    </w:rPr>
  </w:style>
  <w:style w:type="character" w:styleId="673">
    <w:name w:val="Heading 5 Char"/>
    <w:basedOn w:val="843"/>
    <w:link w:val="672"/>
    <w:uiPriority w:val="9"/>
    <w:rPr>
      <w:rFonts w:ascii="Arial" w:hAnsi="Arial" w:eastAsia="Arial" w:cs="Arial"/>
      <w:b/>
      <w:bCs/>
      <w:sz w:val="24"/>
      <w:szCs w:val="24"/>
    </w:rPr>
  </w:style>
  <w:style w:type="paragraph" w:styleId="674">
    <w:name w:val="Heading 6"/>
    <w:basedOn w:val="839"/>
    <w:next w:val="839"/>
    <w:link w:val="675"/>
    <w:uiPriority w:val="9"/>
    <w:unhideWhenUsed/>
    <w:qFormat/>
    <w:pPr>
      <w:keepLines/>
      <w:keepNext/>
      <w:spacing w:before="320" w:after="200"/>
      <w:outlineLvl w:val="5"/>
    </w:pPr>
    <w:rPr>
      <w:rFonts w:ascii="Arial" w:hAnsi="Arial" w:eastAsia="Arial" w:cs="Arial"/>
      <w:b/>
      <w:bCs/>
      <w:sz w:val="22"/>
      <w:szCs w:val="22"/>
    </w:rPr>
  </w:style>
  <w:style w:type="character" w:styleId="675">
    <w:name w:val="Heading 6 Char"/>
    <w:basedOn w:val="843"/>
    <w:link w:val="674"/>
    <w:uiPriority w:val="9"/>
    <w:rPr>
      <w:rFonts w:ascii="Arial" w:hAnsi="Arial" w:eastAsia="Arial" w:cs="Arial"/>
      <w:b/>
      <w:bCs/>
      <w:sz w:val="22"/>
      <w:szCs w:val="22"/>
    </w:rPr>
  </w:style>
  <w:style w:type="paragraph" w:styleId="676">
    <w:name w:val="Heading 7"/>
    <w:basedOn w:val="839"/>
    <w:next w:val="839"/>
    <w:link w:val="677"/>
    <w:uiPriority w:val="9"/>
    <w:unhideWhenUsed/>
    <w:qFormat/>
    <w:pPr>
      <w:keepLines/>
      <w:keepNext/>
      <w:spacing w:before="320" w:after="200"/>
      <w:outlineLvl w:val="6"/>
    </w:pPr>
    <w:rPr>
      <w:rFonts w:ascii="Arial" w:hAnsi="Arial" w:eastAsia="Arial" w:cs="Arial"/>
      <w:b/>
      <w:bCs/>
      <w:i/>
      <w:iCs/>
      <w:sz w:val="22"/>
      <w:szCs w:val="22"/>
    </w:rPr>
  </w:style>
  <w:style w:type="character" w:styleId="677">
    <w:name w:val="Heading 7 Char"/>
    <w:basedOn w:val="843"/>
    <w:link w:val="676"/>
    <w:uiPriority w:val="9"/>
    <w:rPr>
      <w:rFonts w:ascii="Arial" w:hAnsi="Arial" w:eastAsia="Arial" w:cs="Arial"/>
      <w:b/>
      <w:bCs/>
      <w:i/>
      <w:iCs/>
      <w:sz w:val="22"/>
      <w:szCs w:val="22"/>
    </w:rPr>
  </w:style>
  <w:style w:type="paragraph" w:styleId="678">
    <w:name w:val="Heading 8"/>
    <w:basedOn w:val="839"/>
    <w:next w:val="839"/>
    <w:link w:val="679"/>
    <w:uiPriority w:val="9"/>
    <w:unhideWhenUsed/>
    <w:qFormat/>
    <w:pPr>
      <w:keepLines/>
      <w:keepNext/>
      <w:spacing w:before="320" w:after="200"/>
      <w:outlineLvl w:val="7"/>
    </w:pPr>
    <w:rPr>
      <w:rFonts w:ascii="Arial" w:hAnsi="Arial" w:eastAsia="Arial" w:cs="Arial"/>
      <w:i/>
      <w:iCs/>
      <w:sz w:val="22"/>
      <w:szCs w:val="22"/>
    </w:rPr>
  </w:style>
  <w:style w:type="character" w:styleId="679">
    <w:name w:val="Heading 8 Char"/>
    <w:basedOn w:val="843"/>
    <w:link w:val="678"/>
    <w:uiPriority w:val="9"/>
    <w:rPr>
      <w:rFonts w:ascii="Arial" w:hAnsi="Arial" w:eastAsia="Arial" w:cs="Arial"/>
      <w:i/>
      <w:iCs/>
      <w:sz w:val="22"/>
      <w:szCs w:val="22"/>
    </w:rPr>
  </w:style>
  <w:style w:type="paragraph" w:styleId="680">
    <w:name w:val="Heading 9"/>
    <w:basedOn w:val="839"/>
    <w:next w:val="839"/>
    <w:link w:val="681"/>
    <w:uiPriority w:val="9"/>
    <w:unhideWhenUsed/>
    <w:qFormat/>
    <w:pPr>
      <w:keepLines/>
      <w:keepNext/>
      <w:spacing w:before="320" w:after="200"/>
      <w:outlineLvl w:val="8"/>
    </w:pPr>
    <w:rPr>
      <w:rFonts w:ascii="Arial" w:hAnsi="Arial" w:eastAsia="Arial" w:cs="Arial"/>
      <w:i/>
      <w:iCs/>
      <w:sz w:val="21"/>
      <w:szCs w:val="21"/>
    </w:rPr>
  </w:style>
  <w:style w:type="character" w:styleId="681">
    <w:name w:val="Heading 9 Char"/>
    <w:basedOn w:val="843"/>
    <w:link w:val="680"/>
    <w:uiPriority w:val="9"/>
    <w:rPr>
      <w:rFonts w:ascii="Arial" w:hAnsi="Arial" w:eastAsia="Arial" w:cs="Arial"/>
      <w:i/>
      <w:iCs/>
      <w:sz w:val="21"/>
      <w:szCs w:val="21"/>
    </w:rPr>
  </w:style>
  <w:style w:type="paragraph" w:styleId="682">
    <w:name w:val="No Spacing"/>
    <w:uiPriority w:val="1"/>
    <w:qFormat/>
    <w:pPr>
      <w:spacing w:before="0" w:after="0" w:line="240" w:lineRule="auto"/>
    </w:pPr>
  </w:style>
  <w:style w:type="paragraph" w:styleId="683">
    <w:name w:val="Title"/>
    <w:basedOn w:val="839"/>
    <w:next w:val="839"/>
    <w:link w:val="684"/>
    <w:uiPriority w:val="10"/>
    <w:qFormat/>
    <w:pPr>
      <w:contextualSpacing/>
      <w:spacing w:before="300" w:after="200"/>
    </w:pPr>
    <w:rPr>
      <w:sz w:val="48"/>
      <w:szCs w:val="48"/>
    </w:rPr>
  </w:style>
  <w:style w:type="character" w:styleId="684">
    <w:name w:val="Title Char"/>
    <w:basedOn w:val="843"/>
    <w:link w:val="683"/>
    <w:uiPriority w:val="10"/>
    <w:rPr>
      <w:sz w:val="48"/>
      <w:szCs w:val="48"/>
    </w:rPr>
  </w:style>
  <w:style w:type="paragraph" w:styleId="685">
    <w:name w:val="Subtitle"/>
    <w:basedOn w:val="839"/>
    <w:next w:val="839"/>
    <w:link w:val="686"/>
    <w:uiPriority w:val="11"/>
    <w:qFormat/>
    <w:pPr>
      <w:spacing w:before="200" w:after="200"/>
    </w:pPr>
    <w:rPr>
      <w:sz w:val="24"/>
      <w:szCs w:val="24"/>
    </w:rPr>
  </w:style>
  <w:style w:type="character" w:styleId="686">
    <w:name w:val="Subtitle Char"/>
    <w:basedOn w:val="843"/>
    <w:link w:val="685"/>
    <w:uiPriority w:val="11"/>
    <w:rPr>
      <w:sz w:val="24"/>
      <w:szCs w:val="24"/>
    </w:rPr>
  </w:style>
  <w:style w:type="paragraph" w:styleId="687">
    <w:name w:val="Quote"/>
    <w:basedOn w:val="839"/>
    <w:next w:val="839"/>
    <w:link w:val="688"/>
    <w:uiPriority w:val="29"/>
    <w:qFormat/>
    <w:pPr>
      <w:ind w:left="720" w:right="720"/>
    </w:pPr>
    <w:rPr>
      <w:i/>
    </w:rPr>
  </w:style>
  <w:style w:type="character" w:styleId="688">
    <w:name w:val="Quote Char"/>
    <w:link w:val="687"/>
    <w:uiPriority w:val="29"/>
    <w:rPr>
      <w:i/>
    </w:rPr>
  </w:style>
  <w:style w:type="paragraph" w:styleId="689">
    <w:name w:val="Intense Quote"/>
    <w:basedOn w:val="839"/>
    <w:next w:val="839"/>
    <w:link w:val="6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0">
    <w:name w:val="Intense Quote Char"/>
    <w:link w:val="689"/>
    <w:uiPriority w:val="30"/>
    <w:rPr>
      <w:i/>
    </w:rPr>
  </w:style>
  <w:style w:type="character" w:styleId="691">
    <w:name w:val="Header Char"/>
    <w:basedOn w:val="843"/>
    <w:link w:val="849"/>
    <w:uiPriority w:val="99"/>
  </w:style>
  <w:style w:type="character" w:styleId="692">
    <w:name w:val="Footer Char"/>
    <w:basedOn w:val="843"/>
    <w:link w:val="848"/>
    <w:uiPriority w:val="99"/>
  </w:style>
  <w:style w:type="paragraph" w:styleId="693">
    <w:name w:val="Caption"/>
    <w:basedOn w:val="839"/>
    <w:next w:val="839"/>
    <w:uiPriority w:val="35"/>
    <w:semiHidden/>
    <w:unhideWhenUsed/>
    <w:qFormat/>
    <w:pPr>
      <w:spacing w:line="276" w:lineRule="auto"/>
    </w:pPr>
    <w:rPr>
      <w:b/>
      <w:bCs/>
      <w:color w:val="4f81bd" w:themeColor="accent1"/>
      <w:sz w:val="18"/>
      <w:szCs w:val="18"/>
    </w:rPr>
  </w:style>
  <w:style w:type="character" w:styleId="694">
    <w:name w:val="Caption Char"/>
    <w:basedOn w:val="693"/>
    <w:link w:val="848"/>
    <w:uiPriority w:val="99"/>
  </w:style>
  <w:style w:type="table" w:styleId="695">
    <w:name w:val="Table Grid"/>
    <w:basedOn w:val="84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6">
    <w:name w:val="Table Grid Light"/>
    <w:basedOn w:val="8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7">
    <w:name w:val="Plain Table 1"/>
    <w:basedOn w:val="8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2"/>
    <w:basedOn w:val="8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3"/>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0">
    <w:name w:val="Plain Table 4"/>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1">
    <w:name w:val="Plain Table 5"/>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2">
    <w:name w:val="Grid Table 1 Light"/>
    <w:basedOn w:val="8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3">
    <w:name w:val="Grid Table 1 Light - Accent 1"/>
    <w:basedOn w:val="8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4">
    <w:name w:val="Grid Table 1 Light - Accent 2"/>
    <w:basedOn w:val="8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5">
    <w:name w:val="Grid Table 1 Light - Accent 3"/>
    <w:basedOn w:val="8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6">
    <w:name w:val="Grid Table 1 Light - Accent 4"/>
    <w:basedOn w:val="8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7">
    <w:name w:val="Grid Table 1 Light - Accent 5"/>
    <w:basedOn w:val="8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8">
    <w:name w:val="Grid Table 1 Light - Accent 6"/>
    <w:basedOn w:val="8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9">
    <w:name w:val="Grid Table 2"/>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0">
    <w:name w:val="Grid Table 2 - Accent 1"/>
    <w:basedOn w:val="8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1">
    <w:name w:val="Grid Table 2 - Accent 2"/>
    <w:basedOn w:val="8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2">
    <w:name w:val="Grid Table 2 - Accent 3"/>
    <w:basedOn w:val="8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3">
    <w:name w:val="Grid Table 2 - Accent 4"/>
    <w:basedOn w:val="8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4">
    <w:name w:val="Grid Table 2 - Accent 5"/>
    <w:basedOn w:val="8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5">
    <w:name w:val="Grid Table 2 - Accent 6"/>
    <w:basedOn w:val="8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6">
    <w:name w:val="Grid Table 3"/>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1"/>
    <w:basedOn w:val="8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2"/>
    <w:basedOn w:val="8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3"/>
    <w:basedOn w:val="8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4"/>
    <w:basedOn w:val="8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5"/>
    <w:basedOn w:val="8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6"/>
    <w:basedOn w:val="8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4"/>
    <w:basedOn w:val="8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4">
    <w:name w:val="Grid Table 4 - Accent 1"/>
    <w:basedOn w:val="84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5">
    <w:name w:val="Grid Table 4 - Accent 2"/>
    <w:basedOn w:val="84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6">
    <w:name w:val="Grid Table 4 - Accent 3"/>
    <w:basedOn w:val="84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7">
    <w:name w:val="Grid Table 4 - Accent 4"/>
    <w:basedOn w:val="84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8">
    <w:name w:val="Grid Table 4 - Accent 5"/>
    <w:basedOn w:val="84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9">
    <w:name w:val="Grid Table 4 - Accent 6"/>
    <w:basedOn w:val="84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0">
    <w:name w:val="Grid Table 5 Dark"/>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1">
    <w:name w:val="Grid Table 5 Dark- Accent 1"/>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2">
    <w:name w:val="Grid Table 5 Dark - Accent 2"/>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3">
    <w:name w:val="Grid Table 5 Dark - Accent 3"/>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4">
    <w:name w:val="Grid Table 5 Dark- Accent 4"/>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5">
    <w:name w:val="Grid Table 5 Dark - Accent 5"/>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36">
    <w:name w:val="Grid Table 5 Dark - Accent 6"/>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7">
    <w:name w:val="Grid Table 6 Colorful"/>
    <w:basedOn w:val="8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8">
    <w:name w:val="Grid Table 6 Colorful - Accent 1"/>
    <w:basedOn w:val="84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39">
    <w:name w:val="Grid Table 6 Colorful - Accent 2"/>
    <w:basedOn w:val="8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0">
    <w:name w:val="Grid Table 6 Colorful - Accent 3"/>
    <w:basedOn w:val="84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1">
    <w:name w:val="Grid Table 6 Colorful - Accent 4"/>
    <w:basedOn w:val="8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2">
    <w:name w:val="Grid Table 6 Colorful - Accent 5"/>
    <w:basedOn w:val="84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3">
    <w:name w:val="Grid Table 6 Colorful - Accent 6"/>
    <w:basedOn w:val="84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4">
    <w:name w:val="Grid Table 7 Colorful"/>
    <w:basedOn w:val="8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5">
    <w:name w:val="Grid Table 7 Colorful - Accent 1"/>
    <w:basedOn w:val="84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6">
    <w:name w:val="Grid Table 7 Colorful - Accent 2"/>
    <w:basedOn w:val="84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7 Colorful - Accent 3"/>
    <w:basedOn w:val="84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7 Colorful - Accent 4"/>
    <w:basedOn w:val="84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7 Colorful - Accent 5"/>
    <w:basedOn w:val="84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0">
    <w:name w:val="Grid Table 7 Colorful - Accent 6"/>
    <w:basedOn w:val="84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1">
    <w:name w:val="List Table 1 Light"/>
    <w:basedOn w:val="8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name w:val="List Table 1 Light - Accent 1"/>
    <w:basedOn w:val="84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3">
    <w:name w:val="List Table 1 Light - Accent 2"/>
    <w:basedOn w:val="84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4">
    <w:name w:val="List Table 1 Light - Accent 3"/>
    <w:basedOn w:val="84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5">
    <w:name w:val="List Table 1 Light - Accent 4"/>
    <w:basedOn w:val="84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6">
    <w:name w:val="List Table 1 Light - Accent 5"/>
    <w:basedOn w:val="84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7">
    <w:name w:val="List Table 1 Light - Accent 6"/>
    <w:basedOn w:val="84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8">
    <w:name w:val="List Table 2"/>
    <w:basedOn w:val="8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9">
    <w:name w:val="List Table 2 - Accent 1"/>
    <w:basedOn w:val="84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0">
    <w:name w:val="List Table 2 - Accent 2"/>
    <w:basedOn w:val="84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1">
    <w:name w:val="List Table 2 - Accent 3"/>
    <w:basedOn w:val="84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2">
    <w:name w:val="List Table 2 - Accent 4"/>
    <w:basedOn w:val="84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3">
    <w:name w:val="List Table 2 - Accent 5"/>
    <w:basedOn w:val="84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4">
    <w:name w:val="List Table 2 - Accent 6"/>
    <w:basedOn w:val="84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5">
    <w:name w:val="List Table 3"/>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3 - Accent 1"/>
    <w:basedOn w:val="84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7">
    <w:name w:val="List Table 3 - Accent 2"/>
    <w:basedOn w:val="8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68">
    <w:name w:val="List Table 3 - Accent 3"/>
    <w:basedOn w:val="84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9">
    <w:name w:val="List Table 3 - Accent 4"/>
    <w:basedOn w:val="8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0">
    <w:name w:val="List Table 3 - Accent 5"/>
    <w:basedOn w:val="84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1">
    <w:name w:val="List Table 3 - Accent 6"/>
    <w:basedOn w:val="84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2">
    <w:name w:val="List Table 4"/>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4 - Accent 1"/>
    <w:basedOn w:val="84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4">
    <w:name w:val="List Table 4 - Accent 2"/>
    <w:basedOn w:val="84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5">
    <w:name w:val="List Table 4 - Accent 3"/>
    <w:basedOn w:val="84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6">
    <w:name w:val="List Table 4 - Accent 4"/>
    <w:basedOn w:val="84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7">
    <w:name w:val="List Table 4 - Accent 5"/>
    <w:basedOn w:val="84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78">
    <w:name w:val="List Table 4 - Accent 6"/>
    <w:basedOn w:val="84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9">
    <w:name w:val="List Table 5 Dark"/>
    <w:basedOn w:val="8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1"/>
    <w:basedOn w:val="84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2"/>
    <w:basedOn w:val="84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3"/>
    <w:basedOn w:val="84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4"/>
    <w:basedOn w:val="84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5"/>
    <w:basedOn w:val="84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6"/>
    <w:basedOn w:val="84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6 Colorful"/>
    <w:basedOn w:val="8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7">
    <w:name w:val="List Table 6 Colorful - Accent 1"/>
    <w:basedOn w:val="84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88">
    <w:name w:val="List Table 6 Colorful - Accent 2"/>
    <w:basedOn w:val="84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9">
    <w:name w:val="List Table 6 Colorful - Accent 3"/>
    <w:basedOn w:val="84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0">
    <w:name w:val="List Table 6 Colorful - Accent 4"/>
    <w:basedOn w:val="84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1">
    <w:name w:val="List Table 6 Colorful - Accent 5"/>
    <w:basedOn w:val="84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2">
    <w:name w:val="List Table 6 Colorful - Accent 6"/>
    <w:basedOn w:val="84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3">
    <w:name w:val="List Table 7 Colorful"/>
    <w:basedOn w:val="8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4">
    <w:name w:val="List Table 7 Colorful - Accent 1"/>
    <w:basedOn w:val="84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5">
    <w:name w:val="List Table 7 Colorful - Accent 2"/>
    <w:basedOn w:val="84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6">
    <w:name w:val="List Table 7 Colorful - Accent 3"/>
    <w:basedOn w:val="84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7">
    <w:name w:val="List Table 7 Colorful - Accent 4"/>
    <w:basedOn w:val="84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98">
    <w:name w:val="List Table 7 Colorful - Accent 5"/>
    <w:basedOn w:val="84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99">
    <w:name w:val="List Table 7 Colorful - Accent 6"/>
    <w:basedOn w:val="84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0">
    <w:name w:val="Lined - Accent"/>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1">
    <w:name w:val="Lined - Accent 1"/>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2">
    <w:name w:val="Lined - Accent 2"/>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3">
    <w:name w:val="Lined - Accent 3"/>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4">
    <w:name w:val="Lined - Accent 4"/>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5">
    <w:name w:val="Lined - Accent 5"/>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6">
    <w:name w:val="Lined - Accent 6"/>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7">
    <w:name w:val="Bordered &amp; Lined - Accent"/>
    <w:basedOn w:val="84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Bordered &amp; Lined - Accent 1"/>
    <w:basedOn w:val="84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9">
    <w:name w:val="Bordered &amp; Lined - Accent 2"/>
    <w:basedOn w:val="84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0">
    <w:name w:val="Bordered &amp; Lined - Accent 3"/>
    <w:basedOn w:val="84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1">
    <w:name w:val="Bordered &amp; Lined - Accent 4"/>
    <w:basedOn w:val="84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2">
    <w:name w:val="Bordered &amp; Lined - Accent 5"/>
    <w:basedOn w:val="84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3">
    <w:name w:val="Bordered &amp; Lined - Accent 6"/>
    <w:basedOn w:val="84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4">
    <w:name w:val="Bordered"/>
    <w:basedOn w:val="84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5">
    <w:name w:val="Bordered - Accent 1"/>
    <w:basedOn w:val="8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6">
    <w:name w:val="Bordered - Accent 2"/>
    <w:basedOn w:val="8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7">
    <w:name w:val="Bordered - Accent 3"/>
    <w:basedOn w:val="8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8">
    <w:name w:val="Bordered - Accent 4"/>
    <w:basedOn w:val="8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9">
    <w:name w:val="Bordered - Accent 5"/>
    <w:basedOn w:val="8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0">
    <w:name w:val="Bordered - Accent 6"/>
    <w:basedOn w:val="8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1">
    <w:name w:val="Hyperlink"/>
    <w:uiPriority w:val="99"/>
    <w:unhideWhenUsed/>
    <w:rPr>
      <w:color w:val="0000ff" w:themeColor="hyperlink"/>
      <w:u w:val="single"/>
    </w:rPr>
  </w:style>
  <w:style w:type="paragraph" w:styleId="822">
    <w:name w:val="footnote text"/>
    <w:basedOn w:val="839"/>
    <w:link w:val="823"/>
    <w:uiPriority w:val="99"/>
    <w:semiHidden/>
    <w:unhideWhenUsed/>
    <w:pPr>
      <w:spacing w:after="40" w:line="240" w:lineRule="auto"/>
    </w:pPr>
    <w:rPr>
      <w:sz w:val="18"/>
    </w:rPr>
  </w:style>
  <w:style w:type="character" w:styleId="823">
    <w:name w:val="Footnote Text Char"/>
    <w:link w:val="822"/>
    <w:uiPriority w:val="99"/>
    <w:rPr>
      <w:sz w:val="18"/>
    </w:rPr>
  </w:style>
  <w:style w:type="character" w:styleId="824">
    <w:name w:val="footnote reference"/>
    <w:basedOn w:val="843"/>
    <w:uiPriority w:val="99"/>
    <w:unhideWhenUsed/>
    <w:rPr>
      <w:vertAlign w:val="superscript"/>
    </w:rPr>
  </w:style>
  <w:style w:type="paragraph" w:styleId="825">
    <w:name w:val="endnote text"/>
    <w:basedOn w:val="839"/>
    <w:link w:val="826"/>
    <w:uiPriority w:val="99"/>
    <w:semiHidden/>
    <w:unhideWhenUsed/>
    <w:pPr>
      <w:spacing w:after="0" w:line="240" w:lineRule="auto"/>
    </w:pPr>
    <w:rPr>
      <w:sz w:val="20"/>
    </w:rPr>
  </w:style>
  <w:style w:type="character" w:styleId="826">
    <w:name w:val="Endnote Text Char"/>
    <w:link w:val="825"/>
    <w:uiPriority w:val="99"/>
    <w:rPr>
      <w:sz w:val="20"/>
    </w:rPr>
  </w:style>
  <w:style w:type="character" w:styleId="827">
    <w:name w:val="endnote reference"/>
    <w:basedOn w:val="843"/>
    <w:uiPriority w:val="99"/>
    <w:semiHidden/>
    <w:unhideWhenUsed/>
    <w:rPr>
      <w:vertAlign w:val="superscript"/>
    </w:rPr>
  </w:style>
  <w:style w:type="paragraph" w:styleId="828">
    <w:name w:val="toc 1"/>
    <w:basedOn w:val="839"/>
    <w:next w:val="839"/>
    <w:uiPriority w:val="39"/>
    <w:unhideWhenUsed/>
    <w:pPr>
      <w:ind w:left="0" w:right="0" w:firstLine="0"/>
      <w:spacing w:after="57"/>
    </w:pPr>
  </w:style>
  <w:style w:type="paragraph" w:styleId="829">
    <w:name w:val="toc 2"/>
    <w:basedOn w:val="839"/>
    <w:next w:val="839"/>
    <w:uiPriority w:val="39"/>
    <w:unhideWhenUsed/>
    <w:pPr>
      <w:ind w:left="283" w:right="0" w:firstLine="0"/>
      <w:spacing w:after="57"/>
    </w:pPr>
  </w:style>
  <w:style w:type="paragraph" w:styleId="830">
    <w:name w:val="toc 3"/>
    <w:basedOn w:val="839"/>
    <w:next w:val="839"/>
    <w:uiPriority w:val="39"/>
    <w:unhideWhenUsed/>
    <w:pPr>
      <w:ind w:left="567" w:right="0" w:firstLine="0"/>
      <w:spacing w:after="57"/>
    </w:pPr>
  </w:style>
  <w:style w:type="paragraph" w:styleId="831">
    <w:name w:val="toc 4"/>
    <w:basedOn w:val="839"/>
    <w:next w:val="839"/>
    <w:uiPriority w:val="39"/>
    <w:unhideWhenUsed/>
    <w:pPr>
      <w:ind w:left="850" w:right="0" w:firstLine="0"/>
      <w:spacing w:after="57"/>
    </w:pPr>
  </w:style>
  <w:style w:type="paragraph" w:styleId="832">
    <w:name w:val="toc 5"/>
    <w:basedOn w:val="839"/>
    <w:next w:val="839"/>
    <w:uiPriority w:val="39"/>
    <w:unhideWhenUsed/>
    <w:pPr>
      <w:ind w:left="1134" w:right="0" w:firstLine="0"/>
      <w:spacing w:after="57"/>
    </w:pPr>
  </w:style>
  <w:style w:type="paragraph" w:styleId="833">
    <w:name w:val="toc 6"/>
    <w:basedOn w:val="839"/>
    <w:next w:val="839"/>
    <w:uiPriority w:val="39"/>
    <w:unhideWhenUsed/>
    <w:pPr>
      <w:ind w:left="1417" w:right="0" w:firstLine="0"/>
      <w:spacing w:after="57"/>
    </w:pPr>
  </w:style>
  <w:style w:type="paragraph" w:styleId="834">
    <w:name w:val="toc 7"/>
    <w:basedOn w:val="839"/>
    <w:next w:val="839"/>
    <w:uiPriority w:val="39"/>
    <w:unhideWhenUsed/>
    <w:pPr>
      <w:ind w:left="1701" w:right="0" w:firstLine="0"/>
      <w:spacing w:after="57"/>
    </w:pPr>
  </w:style>
  <w:style w:type="paragraph" w:styleId="835">
    <w:name w:val="toc 8"/>
    <w:basedOn w:val="839"/>
    <w:next w:val="839"/>
    <w:uiPriority w:val="39"/>
    <w:unhideWhenUsed/>
    <w:pPr>
      <w:ind w:left="1984" w:right="0" w:firstLine="0"/>
      <w:spacing w:after="57"/>
    </w:pPr>
  </w:style>
  <w:style w:type="paragraph" w:styleId="836">
    <w:name w:val="toc 9"/>
    <w:basedOn w:val="839"/>
    <w:next w:val="839"/>
    <w:uiPriority w:val="39"/>
    <w:unhideWhenUsed/>
    <w:pPr>
      <w:ind w:left="2268" w:right="0" w:firstLine="0"/>
      <w:spacing w:after="57"/>
    </w:pPr>
  </w:style>
  <w:style w:type="paragraph" w:styleId="837">
    <w:name w:val="TOC Heading"/>
    <w:uiPriority w:val="39"/>
    <w:unhideWhenUsed/>
  </w:style>
  <w:style w:type="paragraph" w:styleId="838">
    <w:name w:val="table of figures"/>
    <w:basedOn w:val="839"/>
    <w:next w:val="839"/>
    <w:uiPriority w:val="99"/>
    <w:unhideWhenUsed/>
    <w:pPr>
      <w:spacing w:after="0" w:afterAutospacing="0"/>
    </w:pPr>
  </w:style>
  <w:style w:type="paragraph" w:styleId="839"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40">
    <w:name w:val="Heading 1"/>
    <w:basedOn w:val="839"/>
    <w:next w:val="839"/>
    <w:link w:val="859"/>
    <w:uiPriority w:val="0"/>
    <w:qFormat/>
    <w:pPr>
      <w:keepLines/>
      <w:keepNext/>
      <w:spacing w:before="340" w:after="330" w:line="578" w:lineRule="auto"/>
      <w:outlineLvl w:val="0"/>
    </w:pPr>
    <w:rPr>
      <w:b/>
      <w:bCs/>
      <w:sz w:val="44"/>
      <w:szCs w:val="44"/>
    </w:rPr>
  </w:style>
  <w:style w:type="paragraph" w:styleId="841">
    <w:name w:val="Heading 2"/>
    <w:basedOn w:val="839"/>
    <w:next w:val="839"/>
    <w:uiPriority w:val="0"/>
    <w:unhideWhenUsed/>
    <w:qFormat/>
    <w:pPr>
      <w:contextualSpacing/>
      <w:ind w:firstLine="482"/>
      <w:spacing w:line="500" w:lineRule="exact"/>
      <w:shd w:val="clear" w:color="auto" w:fill="ffffff"/>
      <w:widowControl/>
      <w:outlineLvl w:val="1"/>
    </w:pPr>
    <w:rPr>
      <w:rFonts w:cs="黑体" w:asciiTheme="minorEastAsia" w:hAnsiTheme="minorEastAsia"/>
      <w:b/>
      <w:bCs/>
      <w:color w:val="333333"/>
      <w:sz w:val="24"/>
      <w:shd w:val="clear" w:color="auto" w:fill="ffffff"/>
    </w:rPr>
  </w:style>
  <w:style w:type="paragraph" w:styleId="842">
    <w:name w:val="Heading 3"/>
    <w:basedOn w:val="839"/>
    <w:next w:val="839"/>
    <w:link w:val="863"/>
    <w:uiPriority w:val="0"/>
    <w:unhideWhenUsed/>
    <w:qFormat/>
    <w:pPr>
      <w:keepLines/>
      <w:keepNext/>
      <w:spacing w:before="260" w:after="260" w:line="416" w:lineRule="auto"/>
      <w:outlineLvl w:val="2"/>
    </w:pPr>
    <w:rPr>
      <w:b/>
      <w:bCs/>
      <w:sz w:val="32"/>
      <w:szCs w:val="32"/>
    </w:rPr>
  </w:style>
  <w:style w:type="character" w:styleId="843" w:default="1">
    <w:name w:val="Default Paragraph Font"/>
    <w:uiPriority w:val="1"/>
    <w:semiHidden/>
    <w:unhideWhenUsed/>
    <w:qFormat/>
  </w:style>
  <w:style w:type="table" w:styleId="844" w:default="1">
    <w:name w:val="Normal Table"/>
    <w:uiPriority w:val="99"/>
    <w:semiHidden/>
    <w:unhideWhenUsed/>
    <w:qFormat/>
    <w:tblPr>
      <w:tblCellMar>
        <w:left w:w="108" w:type="dxa"/>
        <w:top w:w="0" w:type="dxa"/>
        <w:right w:w="108" w:type="dxa"/>
        <w:bottom w:w="0" w:type="dxa"/>
      </w:tblCellMar>
    </w:tblPr>
  </w:style>
  <w:style w:type="paragraph" w:styleId="845">
    <w:name w:val="annotation text"/>
    <w:basedOn w:val="839"/>
    <w:link w:val="867"/>
    <w:uiPriority w:val="99"/>
    <w:qFormat/>
    <w:pPr>
      <w:jc w:val="left"/>
    </w:pPr>
  </w:style>
  <w:style w:type="paragraph" w:styleId="846">
    <w:name w:val="Body Text"/>
    <w:basedOn w:val="839"/>
    <w:next w:val="839"/>
    <w:uiPriority w:val="0"/>
    <w:unhideWhenUsed/>
    <w:qFormat/>
    <w:pPr>
      <w:spacing w:after="120"/>
    </w:pPr>
    <w:rPr>
      <w:rFonts w:ascii="Calibri" w:hAnsi="Calibri"/>
      <w:szCs w:val="22"/>
    </w:rPr>
  </w:style>
  <w:style w:type="paragraph" w:styleId="847">
    <w:name w:val="Plain Text"/>
    <w:basedOn w:val="839"/>
    <w:link w:val="860"/>
    <w:uiPriority w:val="0"/>
    <w:unhideWhenUsed/>
    <w:qFormat/>
    <w:rPr>
      <w:rFonts w:ascii="宋体" w:hAnsi="Courier New" w:cs="Courier New"/>
      <w:szCs w:val="21"/>
    </w:rPr>
  </w:style>
  <w:style w:type="paragraph" w:styleId="848">
    <w:name w:val="Footer"/>
    <w:basedOn w:val="839"/>
    <w:link w:val="854"/>
    <w:uiPriority w:val="99"/>
    <w:qFormat/>
    <w:pPr>
      <w:jc w:val="left"/>
      <w:tabs>
        <w:tab w:val="center" w:pos="4153" w:leader="none"/>
        <w:tab w:val="right" w:pos="8306" w:leader="none"/>
      </w:tabs>
    </w:pPr>
    <w:rPr>
      <w:sz w:val="18"/>
      <w:szCs w:val="18"/>
    </w:rPr>
  </w:style>
  <w:style w:type="paragraph" w:styleId="849">
    <w:name w:val="Header"/>
    <w:basedOn w:val="839"/>
    <w:link w:val="853"/>
    <w:uiPriority w:val="99"/>
    <w:qFormat/>
    <w:pPr>
      <w:jc w:val="center"/>
      <w:tabs>
        <w:tab w:val="center" w:pos="4153" w:leader="none"/>
        <w:tab w:val="right" w:pos="8306" w:leader="none"/>
      </w:tabs>
      <w:pBdr>
        <w:bottom w:val="single" w:color="auto" w:sz="6" w:space="1"/>
      </w:pBdr>
    </w:pPr>
    <w:rPr>
      <w:sz w:val="18"/>
      <w:szCs w:val="18"/>
    </w:rPr>
  </w:style>
  <w:style w:type="paragraph" w:styleId="850">
    <w:name w:val="Normal (Web)"/>
    <w:basedOn w:val="839"/>
    <w:uiPriority w:val="0"/>
    <w:qFormat/>
    <w:pPr>
      <w:jc w:val="left"/>
      <w:spacing w:beforeAutospacing="1" w:afterAutospacing="1"/>
    </w:pPr>
    <w:rPr>
      <w:rFonts w:cs="Times New Roman"/>
      <w:sz w:val="24"/>
    </w:rPr>
  </w:style>
  <w:style w:type="paragraph" w:styleId="851">
    <w:name w:val="annotation subject"/>
    <w:basedOn w:val="845"/>
    <w:next w:val="845"/>
    <w:link w:val="868"/>
    <w:uiPriority w:val="99"/>
    <w:qFormat/>
    <w:rPr>
      <w:b/>
      <w:bCs/>
    </w:rPr>
  </w:style>
  <w:style w:type="character" w:styleId="852">
    <w:name w:val="annotation reference"/>
    <w:basedOn w:val="843"/>
    <w:uiPriority w:val="99"/>
    <w:rPr>
      <w:sz w:val="21"/>
      <w:szCs w:val="21"/>
    </w:rPr>
  </w:style>
  <w:style w:type="character" w:styleId="853" w:customStyle="1">
    <w:name w:val="页眉 字符"/>
    <w:basedOn w:val="843"/>
    <w:link w:val="849"/>
    <w:uiPriority w:val="99"/>
    <w:qFormat/>
    <w:rPr>
      <w:rFonts w:asciiTheme="minorHAnsi" w:hAnsiTheme="minorHAnsi" w:eastAsiaTheme="minorEastAsia" w:cstheme="minorBidi"/>
      <w:sz w:val="18"/>
      <w:szCs w:val="18"/>
    </w:rPr>
  </w:style>
  <w:style w:type="character" w:styleId="854" w:customStyle="1">
    <w:name w:val="页脚 字符"/>
    <w:basedOn w:val="843"/>
    <w:link w:val="848"/>
    <w:uiPriority w:val="99"/>
    <w:qFormat/>
    <w:rPr>
      <w:rFonts w:asciiTheme="minorHAnsi" w:hAnsiTheme="minorHAnsi" w:eastAsiaTheme="minorEastAsia" w:cstheme="minorBidi"/>
      <w:sz w:val="18"/>
      <w:szCs w:val="18"/>
    </w:rPr>
  </w:style>
  <w:style w:type="paragraph" w:styleId="85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56" w:customStyle="1">
    <w:name w:val="页脚1"/>
    <w:basedOn w:val="839"/>
    <w:uiPriority w:val="99"/>
    <w:unhideWhenUsed/>
    <w:qFormat/>
    <w:pPr>
      <w:jc w:val="left"/>
      <w:tabs>
        <w:tab w:val="center" w:pos="4153" w:leader="none"/>
        <w:tab w:val="right" w:pos="8306" w:leader="none"/>
      </w:tabs>
    </w:pPr>
    <w:rPr>
      <w:sz w:val="18"/>
      <w:szCs w:val="18"/>
    </w:rPr>
  </w:style>
  <w:style w:type="paragraph" w:styleId="857" w:customStyle="1">
    <w:name w:val="普通正文"/>
    <w:basedOn w:val="839"/>
    <w:uiPriority w:val="0"/>
    <w:qFormat/>
    <w:pPr>
      <w:ind w:firstLine="480"/>
      <w:jc w:val="left"/>
      <w:spacing w:before="120" w:after="120" w:line="360" w:lineRule="auto"/>
    </w:pPr>
    <w:rPr>
      <w:rFonts w:ascii="Arial" w:hAnsi="Arial" w:eastAsia="等线" w:cs="Arial"/>
      <w:sz w:val="24"/>
    </w:rPr>
  </w:style>
  <w:style w:type="character" w:styleId="858" w:customStyle="1">
    <w:name w:val="NormalCharacter"/>
    <w:uiPriority w:val="0"/>
    <w:qFormat/>
    <w:rPr>
      <w:sz w:val="21"/>
      <w:szCs w:val="22"/>
      <w:lang w:val="en-US" w:eastAsia="zh-CN" w:bidi="ar-SA"/>
    </w:rPr>
  </w:style>
  <w:style w:type="character" w:styleId="859" w:customStyle="1">
    <w:name w:val="标题 1 字符"/>
    <w:basedOn w:val="843"/>
    <w:link w:val="840"/>
    <w:uiPriority w:val="0"/>
    <w:qFormat/>
    <w:rPr>
      <w:rFonts w:asciiTheme="minorHAnsi" w:hAnsiTheme="minorHAnsi" w:eastAsiaTheme="minorEastAsia" w:cstheme="minorBidi"/>
      <w:b/>
      <w:bCs/>
      <w:sz w:val="44"/>
      <w:szCs w:val="44"/>
    </w:rPr>
  </w:style>
  <w:style w:type="character" w:styleId="860" w:customStyle="1">
    <w:name w:val="纯文本 字符"/>
    <w:link w:val="847"/>
    <w:uiPriority w:val="0"/>
    <w:qFormat/>
    <w:rPr>
      <w:rFonts w:ascii="宋体" w:hAnsi="Courier New" w:cs="Courier New" w:eastAsiaTheme="minorEastAsia"/>
      <w:sz w:val="21"/>
      <w:szCs w:val="21"/>
    </w:rPr>
  </w:style>
  <w:style w:type="paragraph" w:styleId="861">
    <w:name w:val="List Paragraph"/>
    <w:basedOn w:val="839"/>
    <w:uiPriority w:val="34"/>
    <w:qFormat/>
    <w:pPr>
      <w:contextualSpacing/>
      <w:ind w:left="720"/>
    </w:pPr>
    <w:rPr>
      <w:szCs w:val="22"/>
    </w:rPr>
  </w:style>
  <w:style w:type="paragraph" w:styleId="862" w:customStyle="1">
    <w:name w:val="列表段落1"/>
    <w:basedOn w:val="839"/>
    <w:uiPriority w:val="34"/>
    <w:qFormat/>
    <w:pPr>
      <w:ind w:firstLine="420"/>
    </w:pPr>
    <w:rPr>
      <w:rFonts w:ascii="Calibri" w:hAnsi="Calibri" w:eastAsia="宋体" w:cs="Times New Roman"/>
      <w:szCs w:val="22"/>
    </w:rPr>
  </w:style>
  <w:style w:type="character" w:styleId="863" w:customStyle="1">
    <w:name w:val="标题 3 字符"/>
    <w:basedOn w:val="843"/>
    <w:link w:val="842"/>
    <w:uiPriority w:val="0"/>
    <w:qFormat/>
    <w:rPr>
      <w:rFonts w:asciiTheme="minorHAnsi" w:hAnsiTheme="minorHAnsi" w:eastAsiaTheme="minorEastAsia" w:cstheme="minorBidi"/>
      <w:b/>
      <w:bCs/>
      <w:sz w:val="32"/>
      <w:szCs w:val="32"/>
    </w:rPr>
  </w:style>
  <w:style w:type="character" w:styleId="864" w:customStyle="1">
    <w:name w:val="正文（首行缩进2字符） Char"/>
    <w:link w:val="865"/>
    <w:uiPriority w:val="0"/>
    <w:rPr>
      <w:rFonts w:ascii="Calibri" w:hAnsi="Calibri"/>
      <w:bCs/>
      <w:sz w:val="24"/>
      <w:szCs w:val="24"/>
    </w:rPr>
  </w:style>
  <w:style w:type="paragraph" w:styleId="865" w:customStyle="1">
    <w:name w:val="正文（首行缩进2字符）"/>
    <w:basedOn w:val="839"/>
    <w:link w:val="864"/>
    <w:uiPriority w:val="0"/>
    <w:qFormat/>
    <w:pPr>
      <w:ind w:firstLine="200"/>
      <w:spacing w:line="360" w:lineRule="auto"/>
      <w:tabs>
        <w:tab w:val="left" w:pos="425" w:leader="none"/>
      </w:tabs>
    </w:pPr>
    <w:rPr>
      <w:rFonts w:ascii="Calibri" w:hAnsi="Calibri" w:eastAsia="宋体" w:cs="Times New Roman"/>
      <w:bCs/>
      <w:sz w:val="24"/>
    </w:rPr>
  </w:style>
  <w:style w:type="paragraph" w:styleId="866" w:customStyle="1">
    <w:name w:val="null3"/>
    <w:hidden/>
    <w:uiPriority w:val="0"/>
    <w:qFormat/>
    <w:rPr>
      <w:rFonts w:hint="eastAsia" w:asciiTheme="minorHAnsi" w:hAnsiTheme="minorHAnsi" w:eastAsiaTheme="minorEastAsia" w:cstheme="minorBidi"/>
      <w:lang w:val="en-US" w:eastAsia="zh-Hans" w:bidi="ar-SA"/>
    </w:rPr>
  </w:style>
  <w:style w:type="character" w:styleId="867" w:customStyle="1">
    <w:name w:val="批注文字 字符"/>
    <w:basedOn w:val="843"/>
    <w:link w:val="845"/>
    <w:uiPriority w:val="99"/>
    <w:qFormat/>
    <w:rPr>
      <w:rFonts w:asciiTheme="minorHAnsi" w:hAnsiTheme="minorHAnsi" w:eastAsiaTheme="minorEastAsia" w:cstheme="minorBidi"/>
      <w:sz w:val="21"/>
      <w:szCs w:val="24"/>
    </w:rPr>
  </w:style>
  <w:style w:type="character" w:styleId="868" w:customStyle="1">
    <w:name w:val="批注主题 字符"/>
    <w:basedOn w:val="867"/>
    <w:link w:val="851"/>
    <w:uiPriority w:val="99"/>
    <w:rPr>
      <w:rFonts w:asciiTheme="minorHAnsi" w:hAnsiTheme="minorHAnsi" w:eastAsiaTheme="minorEastAsia" w:cstheme="minorBidi"/>
      <w:b/>
      <w:bCs/>
      <w:sz w:val="21"/>
      <w:szCs w:val="24"/>
    </w:rPr>
  </w:style>
  <w:style w:type="paragraph" w:styleId="869" w:customStyle="1">
    <w:name w:val="Revision"/>
    <w:hidden/>
    <w:uiPriority w:val="99"/>
    <w:unhideWhenUsed/>
    <w:qFormat/>
    <w:rPr>
      <w:rFonts w:asciiTheme="minorHAnsi" w:hAnsiTheme="minorHAnsi" w:eastAsiaTheme="minorEastAsia" w:cstheme="minorBidi"/>
      <w:sz w:val="21"/>
      <w:szCs w:val="24"/>
      <w:lang w:val="en-US" w:eastAsia="zh-CN" w:bidi="ar-SA"/>
    </w:rPr>
  </w:style>
  <w:style w:type="character" w:styleId="870" w:customStyle="1">
    <w:name w:val="font11"/>
    <w:basedOn w:val="843"/>
    <w:uiPriority w:val="0"/>
    <w:qFormat/>
    <w:rPr>
      <w:rFonts w:hint="eastAsia" w:ascii="宋体" w:hAnsi="宋体" w:eastAsia="宋体" w:cs="宋体"/>
      <w:b/>
      <w:bCs/>
      <w:color w:val="000000"/>
      <w:sz w:val="18"/>
      <w:szCs w:val="18"/>
      <w:u w:val="none"/>
    </w:rPr>
  </w:style>
  <w:style w:type="numbering" w:styleId="8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1F40C1-2CF9-439E-A761-4635CEC12331}"/>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单钰锋</cp:lastModifiedBy>
  <cp:revision>13</cp:revision>
  <dcterms:created xsi:type="dcterms:W3CDTF">2026-05-27T08:52:00Z</dcterms:created>
  <dcterms:modified xsi:type="dcterms:W3CDTF">2026-06-02T08:09:50Z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2052-12.1.0.26373</vt:lpwstr>
  </property>
  <property fmtid="{D5CDD505-2E9C-101B-9397-08002B2CF9AE}" pid="3" name="ICV">
    <vt:lpwstr>2CE725C660F74BC6B9F9F213959B39C7_13</vt:lpwstr>
  </property>
  <property fmtid="{D5CDD505-2E9C-101B-9397-08002B2CF9AE}" pid="4" name="KSOTemplateDocerSaveRecord">
    <vt:lpwstr>eyJoZGlkIjoiMmIwYWQzN2U1NjJjMzQ1ZTk1MGUwMjU3ZDA5NDM0OWMiLCJ1c2VySWQiOiIxMjc3Nzc2MDE5In0=</vt:lpwstr>
  </property>
</Properties>
</file>