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278CDF">
      <w:pPr>
        <w:pStyle w:val="248"/>
        <w:keepNext/>
        <w:keepLines/>
        <w:widowControl/>
        <w:tabs>
          <w:tab w:val="left" w:pos="7642"/>
        </w:tabs>
        <w:ind w:firstLine="0"/>
        <w:rPr>
          <w:rFonts w:ascii="宋体" w:cs="Times New Roman"/>
          <w:b/>
          <w:bCs/>
          <w:sz w:val="52"/>
          <w:szCs w:val="52"/>
        </w:rPr>
      </w:pPr>
    </w:p>
    <w:p w14:paraId="4142D6E8">
      <w:pPr>
        <w:pStyle w:val="248"/>
        <w:keepNext/>
        <w:keepLines/>
        <w:widowControl/>
        <w:tabs>
          <w:tab w:val="left" w:pos="7642"/>
        </w:tabs>
        <w:ind w:firstLine="0"/>
        <w:rPr>
          <w:rFonts w:ascii="宋体" w:cs="Times New Roman"/>
          <w:b/>
          <w:bCs/>
          <w:sz w:val="52"/>
          <w:szCs w:val="52"/>
        </w:rPr>
      </w:pPr>
    </w:p>
    <w:p w14:paraId="37189116">
      <w:pPr>
        <w:keepNext/>
        <w:keepLines/>
        <w:widowControl/>
        <w:jc w:val="center"/>
        <w:rPr>
          <w:rFonts w:cs="Times New Roman"/>
          <w:b/>
          <w:bCs/>
          <w:sz w:val="84"/>
          <w:szCs w:val="84"/>
        </w:rPr>
      </w:pPr>
      <w:r>
        <w:rPr>
          <w:rFonts w:hint="eastAsia" w:cs="宋体"/>
          <w:b/>
          <w:bCs/>
          <w:sz w:val="84"/>
          <w:szCs w:val="84"/>
        </w:rPr>
        <w:t>招</w:t>
      </w:r>
      <w:r>
        <w:rPr>
          <w:b/>
          <w:bCs/>
          <w:sz w:val="84"/>
          <w:szCs w:val="84"/>
        </w:rPr>
        <w:t xml:space="preserve"> </w:t>
      </w:r>
      <w:r>
        <w:rPr>
          <w:rFonts w:hint="eastAsia" w:cs="宋体"/>
          <w:b/>
          <w:bCs/>
          <w:sz w:val="84"/>
          <w:szCs w:val="84"/>
        </w:rPr>
        <w:t>标</w:t>
      </w:r>
      <w:r>
        <w:rPr>
          <w:b/>
          <w:bCs/>
          <w:sz w:val="84"/>
          <w:szCs w:val="84"/>
        </w:rPr>
        <w:t xml:space="preserve"> </w:t>
      </w:r>
      <w:r>
        <w:rPr>
          <w:rFonts w:hint="eastAsia" w:cs="宋体"/>
          <w:b/>
          <w:bCs/>
          <w:sz w:val="84"/>
          <w:szCs w:val="84"/>
        </w:rPr>
        <w:t>文</w:t>
      </w:r>
      <w:r>
        <w:rPr>
          <w:b/>
          <w:bCs/>
          <w:sz w:val="84"/>
          <w:szCs w:val="84"/>
        </w:rPr>
        <w:t xml:space="preserve"> </w:t>
      </w:r>
      <w:r>
        <w:rPr>
          <w:rFonts w:hint="eastAsia" w:cs="宋体"/>
          <w:b/>
          <w:bCs/>
          <w:sz w:val="84"/>
          <w:szCs w:val="84"/>
        </w:rPr>
        <w:t>件</w:t>
      </w:r>
    </w:p>
    <w:p w14:paraId="73F2A137">
      <w:pPr>
        <w:pStyle w:val="248"/>
        <w:keepNext/>
        <w:keepLines/>
        <w:widowControl/>
        <w:ind w:firstLine="0"/>
        <w:rPr>
          <w:rFonts w:ascii="宋体" w:cs="Times New Roman"/>
          <w:b/>
          <w:bCs/>
          <w:sz w:val="32"/>
          <w:szCs w:val="32"/>
        </w:rPr>
      </w:pPr>
    </w:p>
    <w:p w14:paraId="009606D2">
      <w:pPr>
        <w:pStyle w:val="248"/>
        <w:keepNext/>
        <w:keepLines/>
        <w:widowControl/>
        <w:ind w:firstLine="0"/>
        <w:rPr>
          <w:rFonts w:ascii="宋体" w:cs="Times New Roman"/>
          <w:b/>
          <w:bCs/>
          <w:sz w:val="32"/>
          <w:szCs w:val="32"/>
        </w:rPr>
      </w:pPr>
    </w:p>
    <w:p w14:paraId="7EADFF07">
      <w:pPr>
        <w:pStyle w:val="248"/>
        <w:keepNext/>
        <w:keepLines/>
        <w:widowControl/>
        <w:ind w:firstLine="0"/>
        <w:rPr>
          <w:rFonts w:ascii="宋体" w:cs="Times New Roman"/>
          <w:b/>
          <w:bCs/>
          <w:sz w:val="32"/>
          <w:szCs w:val="32"/>
        </w:rPr>
      </w:pPr>
    </w:p>
    <w:p w14:paraId="158ADD9A">
      <w:pPr>
        <w:pStyle w:val="248"/>
        <w:keepNext/>
        <w:keepLines/>
        <w:widowControl/>
        <w:ind w:firstLine="0"/>
        <w:rPr>
          <w:rFonts w:ascii="宋体" w:cs="Times New Roman"/>
          <w:b/>
          <w:bCs/>
          <w:sz w:val="32"/>
          <w:szCs w:val="32"/>
        </w:rPr>
      </w:pPr>
    </w:p>
    <w:p w14:paraId="4CD98323">
      <w:pPr>
        <w:pStyle w:val="248"/>
        <w:keepNext/>
        <w:keepLines/>
        <w:widowControl/>
        <w:ind w:firstLine="0"/>
        <w:rPr>
          <w:rFonts w:ascii="宋体" w:cs="Times New Roman"/>
          <w:b/>
          <w:bCs/>
          <w:sz w:val="32"/>
          <w:szCs w:val="32"/>
        </w:rPr>
      </w:pPr>
    </w:p>
    <w:p w14:paraId="29203604">
      <w:pPr>
        <w:keepNext/>
        <w:keepLines/>
        <w:widowControl/>
        <w:ind w:left="2165" w:leftChars="515" w:hanging="1084" w:hangingChars="300"/>
        <w:rPr>
          <w:rFonts w:ascii="宋体" w:cs="宋体"/>
          <w:b/>
          <w:bCs/>
          <w:sz w:val="36"/>
          <w:szCs w:val="36"/>
        </w:rPr>
      </w:pPr>
      <w:r>
        <w:rPr>
          <w:rFonts w:hint="eastAsia" w:ascii="宋体" w:cs="宋体"/>
          <w:b/>
          <w:bCs/>
          <w:sz w:val="36"/>
          <w:szCs w:val="36"/>
        </w:rPr>
        <w:t>项目编号：</w:t>
      </w:r>
      <w:r>
        <w:rPr>
          <w:rFonts w:ascii="宋体" w:hAnsi="Calibri" w:eastAsia="宋体" w:cs="宋体"/>
          <w:b/>
          <w:bCs/>
          <w:kern w:val="0"/>
          <w:sz w:val="36"/>
          <w:szCs w:val="36"/>
          <w:lang w:val="en-US" w:eastAsia="zh-CN" w:bidi="ar-SA"/>
        </w:rPr>
        <w:t>JSZC-320900-RHHH-G2026-0029</w:t>
      </w:r>
    </w:p>
    <w:p w14:paraId="59E4B389">
      <w:pPr>
        <w:keepNext/>
        <w:keepLines/>
        <w:widowControl/>
        <w:ind w:firstLine="2891"/>
        <w:rPr>
          <w:rFonts w:ascii="宋体" w:cs="Times New Roman"/>
          <w:b/>
          <w:bCs/>
          <w:sz w:val="36"/>
          <w:szCs w:val="36"/>
        </w:rPr>
      </w:pPr>
    </w:p>
    <w:p w14:paraId="462831A3">
      <w:pPr>
        <w:keepNext/>
        <w:keepLines/>
        <w:widowControl/>
        <w:ind w:firstLine="1084" w:firstLineChars="300"/>
        <w:rPr>
          <w:rFonts w:ascii="宋体" w:cs="Times New Roman"/>
          <w:b/>
          <w:bCs/>
          <w:sz w:val="36"/>
          <w:szCs w:val="36"/>
        </w:rPr>
      </w:pPr>
      <w:r>
        <w:rPr>
          <w:rFonts w:hint="eastAsia" w:ascii="宋体" w:cs="宋体"/>
          <w:b/>
          <w:bCs/>
          <w:sz w:val="36"/>
          <w:szCs w:val="36"/>
        </w:rPr>
        <w:t>项目名称：盐城市详细规划动态更新项目</w:t>
      </w:r>
    </w:p>
    <w:p w14:paraId="6A071BE7">
      <w:pPr>
        <w:pStyle w:val="248"/>
        <w:keepNext/>
        <w:keepLines/>
        <w:widowControl/>
        <w:ind w:firstLine="0"/>
        <w:jc w:val="center"/>
        <w:rPr>
          <w:rFonts w:cs="Times New Roman"/>
          <w:b/>
          <w:bCs/>
          <w:sz w:val="32"/>
          <w:szCs w:val="32"/>
        </w:rPr>
      </w:pPr>
    </w:p>
    <w:p w14:paraId="4F0A63BD">
      <w:pPr>
        <w:pStyle w:val="248"/>
        <w:keepNext/>
        <w:keepLines/>
        <w:widowControl/>
        <w:ind w:firstLine="0"/>
        <w:jc w:val="center"/>
        <w:rPr>
          <w:rFonts w:cs="Times New Roman"/>
          <w:b/>
          <w:bCs/>
          <w:sz w:val="32"/>
          <w:szCs w:val="32"/>
        </w:rPr>
      </w:pPr>
    </w:p>
    <w:p w14:paraId="6F9ABFDC">
      <w:pPr>
        <w:pStyle w:val="248"/>
        <w:keepNext/>
        <w:keepLines/>
        <w:widowControl/>
        <w:ind w:firstLine="0"/>
        <w:rPr>
          <w:rFonts w:cs="Times New Roman"/>
          <w:b/>
          <w:bCs/>
          <w:sz w:val="32"/>
          <w:szCs w:val="32"/>
        </w:rPr>
      </w:pPr>
    </w:p>
    <w:p w14:paraId="4BD8CAB8">
      <w:pPr>
        <w:pStyle w:val="248"/>
        <w:keepNext/>
        <w:keepLines/>
        <w:widowControl/>
        <w:ind w:firstLine="0"/>
        <w:jc w:val="center"/>
        <w:rPr>
          <w:rFonts w:cs="Times New Roman"/>
          <w:b/>
          <w:bCs/>
          <w:sz w:val="32"/>
          <w:szCs w:val="32"/>
        </w:rPr>
      </w:pPr>
      <w:r>
        <w:rPr>
          <w:rFonts w:hint="eastAsia" w:cs="宋体"/>
          <w:b/>
          <w:bCs/>
          <w:sz w:val="32"/>
          <w:szCs w:val="32"/>
        </w:rPr>
        <w:t>盐城市自然资源和规划局</w:t>
      </w:r>
    </w:p>
    <w:p w14:paraId="6C46811E">
      <w:pPr>
        <w:pStyle w:val="248"/>
        <w:keepNext/>
        <w:keepLines/>
        <w:widowControl/>
        <w:ind w:firstLine="0"/>
        <w:jc w:val="center"/>
        <w:rPr>
          <w:b/>
          <w:bCs/>
          <w:sz w:val="32"/>
          <w:szCs w:val="32"/>
        </w:rPr>
      </w:pPr>
      <w:r>
        <w:rPr>
          <w:b/>
          <w:bCs/>
          <w:sz w:val="32"/>
          <w:szCs w:val="32"/>
        </w:rPr>
        <w:t>2026</w:t>
      </w:r>
      <w:r>
        <w:rPr>
          <w:rFonts w:hint="eastAsia" w:cs="宋体"/>
          <w:b/>
          <w:bCs/>
          <w:sz w:val="32"/>
          <w:szCs w:val="32"/>
        </w:rPr>
        <w:t>年</w:t>
      </w:r>
      <w:r>
        <w:rPr>
          <w:rFonts w:hint="eastAsia"/>
          <w:b/>
          <w:bCs/>
          <w:sz w:val="32"/>
          <w:szCs w:val="32"/>
          <w:lang w:val="en-US" w:eastAsia="zh-CN"/>
        </w:rPr>
        <w:t>5</w:t>
      </w:r>
      <w:r>
        <w:rPr>
          <w:rFonts w:hint="eastAsia" w:cs="宋体"/>
          <w:b/>
          <w:bCs/>
          <w:sz w:val="32"/>
          <w:szCs w:val="32"/>
        </w:rPr>
        <w:t>月</w:t>
      </w:r>
      <w:r>
        <w:rPr>
          <w:b/>
          <w:bCs/>
          <w:sz w:val="32"/>
          <w:szCs w:val="32"/>
        </w:rPr>
        <w:t xml:space="preserve">  </w:t>
      </w:r>
    </w:p>
    <w:p w14:paraId="7543A996">
      <w:pPr>
        <w:keepNext/>
        <w:keepLines/>
        <w:widowControl/>
        <w:ind w:firstLine="3313"/>
        <w:rPr>
          <w:rFonts w:ascii="黑体" w:hAnsi="Arial" w:eastAsia="黑体" w:cs="Times New Roman"/>
          <w:b/>
          <w:bCs/>
          <w:sz w:val="44"/>
          <w:szCs w:val="44"/>
        </w:rPr>
        <w:sectPr>
          <w:headerReference r:id="rId3" w:type="first"/>
          <w:footerReference r:id="rId4" w:type="first"/>
          <w:pgSz w:w="11906" w:h="16838"/>
          <w:pgMar w:top="1015" w:right="1196" w:bottom="868" w:left="1259" w:header="851" w:footer="907" w:gutter="0"/>
          <w:cols w:space="720" w:num="1"/>
          <w:titlePg/>
          <w:docGrid w:linePitch="360" w:charSpace="0"/>
        </w:sectPr>
      </w:pPr>
    </w:p>
    <w:p w14:paraId="2DD2B4DF">
      <w:pPr>
        <w:keepNext/>
        <w:keepLines/>
        <w:widowControl/>
        <w:ind w:firstLine="3313"/>
        <w:rPr>
          <w:rFonts w:ascii="宋体" w:cs="Times New Roman"/>
          <w:b/>
          <w:bCs/>
          <w:sz w:val="44"/>
          <w:szCs w:val="44"/>
        </w:rPr>
      </w:pPr>
      <w:r>
        <w:rPr>
          <w:rFonts w:hint="eastAsia" w:ascii="黑体" w:hAnsi="Arial" w:eastAsia="黑体" w:cs="黑体"/>
          <w:b/>
          <w:bCs/>
          <w:sz w:val="44"/>
          <w:szCs w:val="44"/>
        </w:rPr>
        <w:t>总</w:t>
      </w:r>
      <w:r>
        <w:rPr>
          <w:rFonts w:ascii="黑体" w:hAnsi="Arial" w:eastAsia="黑体" w:cs="黑体"/>
          <w:b/>
          <w:bCs/>
          <w:sz w:val="44"/>
          <w:szCs w:val="44"/>
        </w:rPr>
        <w:t xml:space="preserve"> </w:t>
      </w:r>
      <w:r>
        <w:rPr>
          <w:rFonts w:hint="eastAsia" w:ascii="黑体" w:hAnsi="Arial" w:eastAsia="黑体" w:cs="黑体"/>
          <w:b/>
          <w:bCs/>
          <w:sz w:val="44"/>
          <w:szCs w:val="44"/>
        </w:rPr>
        <w:t>目</w:t>
      </w:r>
      <w:r>
        <w:rPr>
          <w:rFonts w:ascii="黑体" w:hAnsi="Arial" w:eastAsia="黑体" w:cs="黑体"/>
          <w:b/>
          <w:bCs/>
          <w:sz w:val="44"/>
          <w:szCs w:val="44"/>
        </w:rPr>
        <w:t xml:space="preserve"> </w:t>
      </w:r>
      <w:r>
        <w:rPr>
          <w:rFonts w:hint="eastAsia" w:ascii="黑体" w:hAnsi="Arial" w:eastAsia="黑体" w:cs="黑体"/>
          <w:b/>
          <w:bCs/>
          <w:sz w:val="44"/>
          <w:szCs w:val="44"/>
        </w:rPr>
        <w:t>录</w:t>
      </w:r>
    </w:p>
    <w:p w14:paraId="7EF2FDC7">
      <w:pPr>
        <w:pStyle w:val="32"/>
        <w:keepNext/>
        <w:keepLines/>
        <w:widowControl/>
        <w:spacing w:line="360" w:lineRule="auto"/>
        <w:rPr>
          <w:rFonts w:ascii="宋体" w:hAnsi="宋体" w:eastAsia="宋体" w:cs="Times New Roman"/>
          <w:b w:val="0"/>
          <w:bCs w:val="0"/>
          <w:sz w:val="24"/>
          <w:szCs w:val="24"/>
        </w:rPr>
      </w:pPr>
    </w:p>
    <w:p w14:paraId="058B495D">
      <w:pPr>
        <w:keepNext/>
        <w:keepLines/>
        <w:widowControl/>
        <w:spacing w:line="720" w:lineRule="auto"/>
        <w:ind w:firstLine="1440"/>
        <w:outlineLvl w:val="0"/>
        <w:rPr>
          <w:rFonts w:ascii="黑体" w:hAnsi="宋体" w:eastAsia="黑体" w:cs="黑体"/>
          <w:sz w:val="36"/>
          <w:szCs w:val="36"/>
        </w:rPr>
      </w:pPr>
      <w:r>
        <w:rPr>
          <w:rFonts w:hint="eastAsia" w:ascii="黑体" w:hAnsi="宋体" w:eastAsia="黑体" w:cs="黑体"/>
          <w:sz w:val="36"/>
          <w:szCs w:val="36"/>
        </w:rPr>
        <w:t>第一章</w:t>
      </w:r>
      <w:r>
        <w:rPr>
          <w:rFonts w:ascii="黑体" w:hAnsi="宋体" w:eastAsia="黑体" w:cs="黑体"/>
          <w:sz w:val="36"/>
          <w:szCs w:val="36"/>
        </w:rPr>
        <w:t xml:space="preserve">    </w:t>
      </w:r>
      <w:r>
        <w:rPr>
          <w:rFonts w:hint="eastAsia" w:ascii="黑体" w:hAnsi="宋体" w:eastAsia="黑体" w:cs="黑体"/>
          <w:sz w:val="36"/>
          <w:szCs w:val="36"/>
        </w:rPr>
        <w:t>招标公告</w:t>
      </w:r>
      <w:r>
        <w:rPr>
          <w:rFonts w:ascii="黑体" w:hAnsi="宋体" w:eastAsia="黑体" w:cs="黑体"/>
          <w:sz w:val="36"/>
          <w:szCs w:val="36"/>
        </w:rPr>
        <w:t xml:space="preserve">                          </w:t>
      </w:r>
    </w:p>
    <w:p w14:paraId="0C03A44D">
      <w:pPr>
        <w:keepNext/>
        <w:keepLines/>
        <w:widowControl/>
        <w:spacing w:line="720" w:lineRule="auto"/>
        <w:ind w:firstLine="1440"/>
        <w:outlineLvl w:val="0"/>
        <w:rPr>
          <w:rFonts w:ascii="黑体" w:hAnsi="宋体" w:eastAsia="黑体" w:cs="黑体"/>
          <w:sz w:val="36"/>
          <w:szCs w:val="36"/>
        </w:rPr>
      </w:pPr>
      <w:r>
        <w:rPr>
          <w:rFonts w:hint="eastAsia" w:ascii="黑体" w:hAnsi="宋体" w:eastAsia="黑体" w:cs="黑体"/>
          <w:sz w:val="36"/>
          <w:szCs w:val="36"/>
        </w:rPr>
        <w:t>第二章</w:t>
      </w:r>
      <w:r>
        <w:rPr>
          <w:rFonts w:ascii="黑体" w:hAnsi="宋体" w:eastAsia="黑体" w:cs="黑体"/>
          <w:sz w:val="36"/>
          <w:szCs w:val="36"/>
        </w:rPr>
        <w:t xml:space="preserve">    </w:t>
      </w:r>
      <w:r>
        <w:rPr>
          <w:rFonts w:hint="eastAsia" w:ascii="黑体" w:hAnsi="宋体" w:eastAsia="黑体" w:cs="黑体"/>
          <w:sz w:val="36"/>
          <w:szCs w:val="36"/>
        </w:rPr>
        <w:t>投标人须知</w:t>
      </w:r>
      <w:r>
        <w:rPr>
          <w:rFonts w:ascii="黑体" w:hAnsi="宋体" w:eastAsia="黑体" w:cs="黑体"/>
          <w:sz w:val="36"/>
          <w:szCs w:val="36"/>
        </w:rPr>
        <w:t xml:space="preserve"> </w:t>
      </w:r>
    </w:p>
    <w:p w14:paraId="54CFAB6A">
      <w:pPr>
        <w:keepNext/>
        <w:keepLines/>
        <w:widowControl/>
        <w:spacing w:line="720" w:lineRule="auto"/>
        <w:ind w:firstLine="1440"/>
        <w:outlineLvl w:val="0"/>
        <w:rPr>
          <w:rFonts w:ascii="黑体" w:hAnsi="宋体" w:eastAsia="黑体" w:cs="黑体"/>
          <w:sz w:val="36"/>
          <w:szCs w:val="36"/>
        </w:rPr>
      </w:pPr>
      <w:r>
        <w:rPr>
          <w:rFonts w:hint="eastAsia" w:ascii="黑体" w:hAnsi="宋体" w:eastAsia="黑体" w:cs="黑体"/>
          <w:sz w:val="36"/>
          <w:szCs w:val="36"/>
        </w:rPr>
        <w:t>第三章</w:t>
      </w:r>
      <w:r>
        <w:rPr>
          <w:rFonts w:ascii="黑体" w:hAnsi="宋体" w:eastAsia="黑体" w:cs="黑体"/>
          <w:sz w:val="36"/>
          <w:szCs w:val="36"/>
        </w:rPr>
        <w:t xml:space="preserve">    </w:t>
      </w:r>
      <w:r>
        <w:rPr>
          <w:rFonts w:hint="eastAsia" w:ascii="黑体" w:hAnsi="宋体" w:eastAsia="黑体" w:cs="黑体"/>
          <w:sz w:val="36"/>
          <w:szCs w:val="36"/>
        </w:rPr>
        <w:t>合同条款及格式</w:t>
      </w:r>
      <w:r>
        <w:rPr>
          <w:rFonts w:ascii="黑体" w:hAnsi="宋体" w:eastAsia="黑体" w:cs="黑体"/>
          <w:sz w:val="36"/>
          <w:szCs w:val="36"/>
        </w:rPr>
        <w:t xml:space="preserve"> </w:t>
      </w:r>
    </w:p>
    <w:p w14:paraId="611BB363">
      <w:pPr>
        <w:keepNext/>
        <w:keepLines/>
        <w:widowControl/>
        <w:spacing w:line="720" w:lineRule="auto"/>
        <w:ind w:firstLine="1440"/>
        <w:outlineLvl w:val="0"/>
        <w:rPr>
          <w:rFonts w:ascii="黑体" w:hAnsi="宋体" w:eastAsia="黑体" w:cs="黑体"/>
          <w:sz w:val="36"/>
          <w:szCs w:val="36"/>
        </w:rPr>
      </w:pPr>
      <w:r>
        <w:rPr>
          <w:rFonts w:hint="eastAsia" w:ascii="黑体" w:hAnsi="宋体" w:eastAsia="黑体" w:cs="黑体"/>
          <w:sz w:val="36"/>
          <w:szCs w:val="36"/>
        </w:rPr>
        <w:t>第四章</w:t>
      </w:r>
      <w:r>
        <w:rPr>
          <w:rFonts w:ascii="黑体" w:hAnsi="宋体" w:eastAsia="黑体" w:cs="黑体"/>
          <w:sz w:val="36"/>
          <w:szCs w:val="36"/>
        </w:rPr>
        <w:t xml:space="preserve">    </w:t>
      </w:r>
      <w:r>
        <w:rPr>
          <w:rFonts w:hint="eastAsia" w:ascii="黑体" w:hAnsi="宋体" w:eastAsia="黑体" w:cs="黑体"/>
          <w:sz w:val="36"/>
          <w:szCs w:val="36"/>
        </w:rPr>
        <w:t>项目需求</w:t>
      </w:r>
      <w:r>
        <w:rPr>
          <w:rFonts w:ascii="黑体" w:hAnsi="宋体" w:eastAsia="黑体" w:cs="黑体"/>
          <w:sz w:val="36"/>
          <w:szCs w:val="36"/>
        </w:rPr>
        <w:t xml:space="preserve"> </w:t>
      </w:r>
    </w:p>
    <w:p w14:paraId="4E4B211F">
      <w:pPr>
        <w:keepNext/>
        <w:keepLines/>
        <w:widowControl/>
        <w:spacing w:line="720" w:lineRule="auto"/>
        <w:ind w:firstLine="1440"/>
        <w:outlineLvl w:val="0"/>
        <w:rPr>
          <w:rFonts w:ascii="黑体" w:hAnsi="宋体" w:eastAsia="黑体" w:cs="黑体"/>
          <w:sz w:val="36"/>
          <w:szCs w:val="36"/>
        </w:rPr>
      </w:pPr>
      <w:r>
        <w:rPr>
          <w:rFonts w:hint="eastAsia" w:ascii="黑体" w:hAnsi="宋体" w:eastAsia="黑体" w:cs="黑体"/>
          <w:sz w:val="36"/>
          <w:szCs w:val="36"/>
        </w:rPr>
        <w:t>第五章</w:t>
      </w:r>
      <w:r>
        <w:rPr>
          <w:rFonts w:ascii="黑体" w:hAnsi="宋体" w:eastAsia="黑体" w:cs="黑体"/>
          <w:sz w:val="36"/>
          <w:szCs w:val="36"/>
        </w:rPr>
        <w:t xml:space="preserve">    </w:t>
      </w:r>
      <w:r>
        <w:rPr>
          <w:rFonts w:hint="eastAsia" w:ascii="黑体" w:hAnsi="宋体" w:eastAsia="黑体" w:cs="黑体"/>
          <w:sz w:val="36"/>
          <w:szCs w:val="36"/>
        </w:rPr>
        <w:t>评审方法和评审标准</w:t>
      </w:r>
      <w:r>
        <w:rPr>
          <w:rFonts w:ascii="黑体" w:hAnsi="宋体" w:eastAsia="黑体" w:cs="黑体"/>
          <w:sz w:val="36"/>
          <w:szCs w:val="36"/>
        </w:rPr>
        <w:t xml:space="preserve"> </w:t>
      </w:r>
    </w:p>
    <w:p w14:paraId="5A453E8D">
      <w:pPr>
        <w:keepNext/>
        <w:keepLines/>
        <w:widowControl/>
        <w:spacing w:line="720" w:lineRule="auto"/>
        <w:ind w:firstLine="1440"/>
        <w:outlineLvl w:val="0"/>
        <w:rPr>
          <w:rFonts w:ascii="黑体" w:hAnsi="宋体" w:eastAsia="黑体" w:cs="Times New Roman"/>
          <w:sz w:val="36"/>
          <w:szCs w:val="36"/>
        </w:rPr>
      </w:pPr>
      <w:r>
        <w:rPr>
          <w:rFonts w:hint="eastAsia" w:ascii="黑体" w:hAnsi="宋体" w:eastAsia="黑体" w:cs="黑体"/>
          <w:sz w:val="36"/>
          <w:szCs w:val="36"/>
        </w:rPr>
        <w:t>第六章</w:t>
      </w:r>
      <w:r>
        <w:rPr>
          <w:rFonts w:ascii="黑体" w:hAnsi="宋体" w:eastAsia="黑体" w:cs="黑体"/>
          <w:sz w:val="36"/>
          <w:szCs w:val="36"/>
        </w:rPr>
        <w:t xml:space="preserve">    </w:t>
      </w:r>
      <w:r>
        <w:rPr>
          <w:rFonts w:hint="eastAsia" w:ascii="黑体" w:hAnsi="宋体" w:eastAsia="黑体" w:cs="黑体"/>
          <w:sz w:val="36"/>
          <w:szCs w:val="36"/>
        </w:rPr>
        <w:t>投标文件格式</w:t>
      </w:r>
    </w:p>
    <w:p w14:paraId="43E8A329">
      <w:pPr>
        <w:keepNext/>
        <w:keepLines/>
        <w:widowControl/>
        <w:rPr>
          <w:rFonts w:ascii="宋体" w:cs="Times New Roman"/>
        </w:rPr>
      </w:pPr>
    </w:p>
    <w:p w14:paraId="4895D35F">
      <w:pPr>
        <w:pStyle w:val="2"/>
        <w:keepLines/>
        <w:widowControl/>
        <w:rPr>
          <w:rFonts w:ascii="宋体" w:eastAsia="宋体" w:cs="Times New Roman"/>
        </w:rPr>
        <w:sectPr>
          <w:footerReference r:id="rId5" w:type="default"/>
          <w:pgSz w:w="11906" w:h="16838"/>
          <w:pgMar w:top="1015" w:right="1196" w:bottom="868" w:left="1259" w:header="851" w:footer="907" w:gutter="0"/>
          <w:pgNumType w:start="1"/>
          <w:cols w:space="720" w:num="1"/>
          <w:docGrid w:linePitch="360" w:charSpace="0"/>
        </w:sectPr>
      </w:pPr>
    </w:p>
    <w:p w14:paraId="54304E7B">
      <w:pPr>
        <w:pStyle w:val="2"/>
        <w:keepLines/>
        <w:widowControl/>
        <w:rPr>
          <w:rFonts w:ascii="华文中宋" w:hAnsi="华文中宋" w:eastAsia="黑体" w:cs="Times New Roman"/>
        </w:rPr>
      </w:pPr>
      <w:r>
        <w:rPr>
          <w:rFonts w:ascii="宋体" w:hAnsi="宋体" w:cs="宋体"/>
        </w:rPr>
        <w:t xml:space="preserve">                   </w:t>
      </w:r>
      <w:r>
        <w:rPr>
          <w:rFonts w:hint="eastAsia" w:ascii="黑体" w:eastAsia="黑体" w:cs="黑体"/>
          <w:sz w:val="44"/>
          <w:szCs w:val="44"/>
        </w:rPr>
        <w:t>第一章</w:t>
      </w:r>
      <w:r>
        <w:rPr>
          <w:rFonts w:ascii="黑体" w:eastAsia="黑体" w:cs="黑体"/>
          <w:sz w:val="44"/>
          <w:szCs w:val="44"/>
        </w:rPr>
        <w:t xml:space="preserve">  </w:t>
      </w:r>
      <w:r>
        <w:rPr>
          <w:rFonts w:hint="eastAsia" w:ascii="黑体" w:eastAsia="黑体" w:cs="黑体"/>
          <w:sz w:val="44"/>
          <w:szCs w:val="44"/>
        </w:rPr>
        <w:t>招标公告</w:t>
      </w:r>
    </w:p>
    <w:p w14:paraId="2E6D1AA2">
      <w:pPr>
        <w:pStyle w:val="2"/>
        <w:keepLines/>
        <w:widowControl/>
        <w:tabs>
          <w:tab w:val="left" w:pos="0"/>
          <w:tab w:val="left" w:pos="3165"/>
          <w:tab w:val="center" w:pos="4153"/>
        </w:tabs>
        <w:spacing w:line="560" w:lineRule="exact"/>
        <w:ind w:firstLine="480"/>
        <w:jc w:val="left"/>
        <w:rPr>
          <w:rFonts w:ascii="宋体" w:hAnsi="宋体" w:eastAsia="宋体" w:cs="Times New Roman"/>
          <w:sz w:val="24"/>
          <w:szCs w:val="24"/>
          <w:shd w:val="clear" w:color="auto" w:fill="FFFFFF"/>
        </w:rPr>
      </w:pPr>
      <w:bookmarkStart w:id="0" w:name="_Toc28359079"/>
      <w:bookmarkStart w:id="1" w:name="_Toc35393790"/>
      <w:bookmarkStart w:id="2" w:name="_Toc28359002"/>
      <w:bookmarkStart w:id="3" w:name="_Toc35393621"/>
      <w:bookmarkStart w:id="4" w:name="_Hlk24379207"/>
    </w:p>
    <w:p w14:paraId="75BB41B6">
      <w:pPr>
        <w:keepNext/>
        <w:keepLines/>
        <w:widowControl/>
        <w:pBdr>
          <w:top w:val="single" w:color="auto" w:sz="4" w:space="1"/>
          <w:left w:val="single" w:color="auto" w:sz="4" w:space="4"/>
          <w:bottom w:val="single" w:color="auto" w:sz="4" w:space="1"/>
          <w:right w:val="single" w:color="auto" w:sz="4" w:space="4"/>
        </w:pBdr>
        <w:spacing w:line="500" w:lineRule="exact"/>
        <w:ind w:firstLine="482"/>
        <w:rPr>
          <w:rFonts w:ascii="宋体" w:cs="Times New Roman"/>
          <w:b/>
          <w:bCs/>
          <w:sz w:val="24"/>
          <w:szCs w:val="24"/>
        </w:rPr>
      </w:pPr>
      <w:r>
        <w:rPr>
          <w:rFonts w:hint="eastAsia" w:ascii="宋体" w:hAnsi="宋体" w:cs="宋体"/>
          <w:b/>
          <w:bCs/>
          <w:sz w:val="24"/>
          <w:szCs w:val="24"/>
        </w:rPr>
        <w:t>项目概况</w:t>
      </w:r>
    </w:p>
    <w:p w14:paraId="257C9C9C">
      <w:pPr>
        <w:keepNext/>
        <w:keepLines/>
        <w:widowControl/>
        <w:pBdr>
          <w:top w:val="single" w:color="auto" w:sz="4" w:space="1"/>
          <w:left w:val="single" w:color="auto" w:sz="4" w:space="4"/>
          <w:bottom w:val="single" w:color="auto" w:sz="4" w:space="1"/>
          <w:right w:val="single" w:color="auto" w:sz="4" w:space="4"/>
        </w:pBdr>
        <w:spacing w:line="500" w:lineRule="exact"/>
        <w:ind w:firstLine="480"/>
        <w:rPr>
          <w:rFonts w:cs="Times New Roman"/>
        </w:rPr>
      </w:pPr>
      <w:r>
        <w:rPr>
          <w:rFonts w:hint="eastAsia" w:ascii="宋体" w:hAnsi="宋体" w:cs="宋体"/>
          <w:sz w:val="24"/>
          <w:szCs w:val="24"/>
        </w:rPr>
        <w:t>盐城市详细规划动态更新项目的潜在投标人可在“苏采云”系统内免费下载（投标人必须在苏采云系统中获取采购文件，方能参与政府采购项目），并于</w:t>
      </w:r>
      <w:r>
        <w:rPr>
          <w:rFonts w:ascii="宋体" w:hAnsi="宋体" w:cs="宋体"/>
          <w:sz w:val="24"/>
          <w:szCs w:val="24"/>
        </w:rPr>
        <w:t>2026</w:t>
      </w:r>
      <w:r>
        <w:rPr>
          <w:rFonts w:hint="eastAsia" w:ascii="宋体" w:hAnsi="宋体" w:cs="宋体"/>
          <w:sz w:val="24"/>
          <w:szCs w:val="24"/>
        </w:rPr>
        <w:t>年</w:t>
      </w:r>
      <w:r>
        <w:rPr>
          <w:rFonts w:hint="eastAsia" w:ascii="宋体" w:hAnsi="宋体" w:cs="宋体"/>
          <w:sz w:val="24"/>
          <w:szCs w:val="24"/>
          <w:lang w:val="en-US" w:eastAsia="zh-CN"/>
        </w:rPr>
        <w:t>6</w:t>
      </w:r>
      <w:r>
        <w:rPr>
          <w:rFonts w:hint="eastAsia" w:ascii="宋体" w:hAnsi="宋体" w:cs="宋体"/>
          <w:sz w:val="24"/>
          <w:szCs w:val="24"/>
        </w:rPr>
        <w:t>月</w:t>
      </w:r>
      <w:r>
        <w:rPr>
          <w:rFonts w:hint="eastAsia" w:ascii="宋体" w:hAnsi="宋体" w:cs="宋体"/>
          <w:sz w:val="24"/>
          <w:szCs w:val="24"/>
          <w:lang w:val="en-US" w:eastAsia="zh-CN"/>
        </w:rPr>
        <w:t>12</w:t>
      </w:r>
      <w:r>
        <w:rPr>
          <w:rFonts w:hint="eastAsia" w:ascii="宋体" w:hAnsi="宋体" w:cs="宋体"/>
          <w:sz w:val="24"/>
          <w:szCs w:val="24"/>
        </w:rPr>
        <w:t>日</w:t>
      </w:r>
      <w:r>
        <w:rPr>
          <w:rFonts w:ascii="宋体" w:hAnsi="宋体" w:cs="宋体"/>
          <w:sz w:val="24"/>
          <w:szCs w:val="24"/>
        </w:rPr>
        <w:t>15:00</w:t>
      </w:r>
      <w:r>
        <w:rPr>
          <w:rFonts w:hint="eastAsia" w:ascii="宋体" w:hAnsi="宋体" w:cs="宋体"/>
          <w:sz w:val="24"/>
          <w:szCs w:val="24"/>
        </w:rPr>
        <w:t>（北京时间）前递交投标文件。</w:t>
      </w:r>
    </w:p>
    <w:p w14:paraId="4D34C437">
      <w:pPr>
        <w:pStyle w:val="2"/>
        <w:keepLines/>
        <w:widowControl/>
        <w:tabs>
          <w:tab w:val="left" w:pos="0"/>
          <w:tab w:val="left" w:pos="3165"/>
          <w:tab w:val="center" w:pos="4153"/>
        </w:tabs>
        <w:spacing w:line="500" w:lineRule="exact"/>
        <w:ind w:firstLine="482"/>
        <w:jc w:val="left"/>
        <w:rPr>
          <w:rFonts w:ascii="宋体" w:hAnsi="宋体" w:eastAsia="宋体" w:cs="Times New Roman"/>
          <w:b/>
          <w:bCs/>
          <w:sz w:val="24"/>
          <w:szCs w:val="24"/>
        </w:rPr>
      </w:pPr>
      <w:r>
        <w:rPr>
          <w:rFonts w:hint="eastAsia" w:ascii="宋体" w:hAnsi="宋体" w:eastAsia="宋体" w:cs="宋体"/>
          <w:b/>
          <w:bCs/>
          <w:sz w:val="24"/>
          <w:szCs w:val="24"/>
        </w:rPr>
        <w:t>一、项目基本情况</w:t>
      </w:r>
      <w:bookmarkEnd w:id="0"/>
      <w:bookmarkEnd w:id="1"/>
      <w:bookmarkEnd w:id="2"/>
      <w:bookmarkEnd w:id="3"/>
    </w:p>
    <w:p w14:paraId="0BBD6E6A">
      <w:pPr>
        <w:keepNext/>
        <w:keepLines/>
        <w:widowControl/>
        <w:spacing w:line="500" w:lineRule="exact"/>
        <w:ind w:firstLine="480"/>
        <w:rPr>
          <w:rFonts w:ascii="宋体" w:cs="Times New Roman"/>
          <w:sz w:val="24"/>
          <w:szCs w:val="24"/>
        </w:rPr>
      </w:pPr>
      <w:r>
        <w:rPr>
          <w:rFonts w:ascii="宋体" w:hAnsi="宋体" w:cs="宋体"/>
          <w:sz w:val="24"/>
          <w:szCs w:val="24"/>
        </w:rPr>
        <w:t>1.</w:t>
      </w:r>
      <w:r>
        <w:rPr>
          <w:rFonts w:hint="eastAsia" w:ascii="宋体" w:hAnsi="宋体" w:cs="宋体"/>
          <w:sz w:val="24"/>
          <w:szCs w:val="24"/>
        </w:rPr>
        <w:t>项目编号：</w:t>
      </w:r>
      <w:r>
        <w:rPr>
          <w:rFonts w:hint="eastAsia" w:ascii="宋体" w:hAnsi="宋体" w:eastAsia="宋体" w:cs="宋体"/>
          <w:kern w:val="0"/>
          <w:sz w:val="24"/>
          <w:szCs w:val="24"/>
          <w:lang w:val="en-US" w:eastAsia="zh-CN" w:bidi="ar-SA"/>
        </w:rPr>
        <w:t>JSZC-320900-RHHH-G2026-0029</w:t>
      </w:r>
      <w:r>
        <w:rPr>
          <w:rFonts w:ascii="宋体" w:hAnsi="宋体" w:cs="宋体"/>
          <w:sz w:val="24"/>
          <w:szCs w:val="24"/>
        </w:rPr>
        <w:t xml:space="preserve">      </w:t>
      </w:r>
    </w:p>
    <w:p w14:paraId="3618AD00">
      <w:pPr>
        <w:keepNext/>
        <w:keepLines/>
        <w:widowControl/>
        <w:spacing w:line="500" w:lineRule="exact"/>
        <w:ind w:firstLine="480"/>
        <w:rPr>
          <w:rFonts w:ascii="宋体" w:cs="Times New Roman"/>
          <w:sz w:val="24"/>
          <w:szCs w:val="24"/>
        </w:rPr>
      </w:pPr>
      <w:r>
        <w:rPr>
          <w:rFonts w:ascii="宋体" w:hAnsi="宋体" w:cs="宋体"/>
          <w:sz w:val="24"/>
          <w:szCs w:val="24"/>
        </w:rPr>
        <w:t>2.</w:t>
      </w:r>
      <w:r>
        <w:rPr>
          <w:rFonts w:hint="eastAsia" w:ascii="宋体" w:hAnsi="宋体" w:cs="宋体"/>
          <w:sz w:val="24"/>
          <w:szCs w:val="24"/>
        </w:rPr>
        <w:t>项目名称：盐城市详细规划动态更新项目</w:t>
      </w:r>
    </w:p>
    <w:p w14:paraId="5440C538">
      <w:pPr>
        <w:keepNext/>
        <w:keepLines/>
        <w:widowControl/>
        <w:spacing w:line="500" w:lineRule="exact"/>
        <w:ind w:firstLine="480"/>
        <w:rPr>
          <w:rFonts w:ascii="宋体" w:cs="Times New Roman"/>
          <w:sz w:val="24"/>
          <w:szCs w:val="24"/>
        </w:rPr>
      </w:pPr>
      <w:r>
        <w:rPr>
          <w:rFonts w:ascii="宋体" w:hAnsi="宋体" w:cs="宋体"/>
          <w:sz w:val="24"/>
          <w:szCs w:val="24"/>
        </w:rPr>
        <w:t>3.</w:t>
      </w:r>
      <w:r>
        <w:rPr>
          <w:rFonts w:hint="eastAsia" w:ascii="宋体" w:hAnsi="宋体" w:cs="宋体"/>
          <w:sz w:val="24"/>
          <w:szCs w:val="24"/>
        </w:rPr>
        <w:t>采购方式：公开招标</w:t>
      </w:r>
    </w:p>
    <w:p w14:paraId="7AD4918E">
      <w:pPr>
        <w:keepNext/>
        <w:keepLines/>
        <w:widowControl/>
        <w:spacing w:line="500" w:lineRule="exact"/>
        <w:ind w:firstLine="480"/>
        <w:rPr>
          <w:rFonts w:ascii="宋体" w:cs="Times New Roman"/>
          <w:sz w:val="24"/>
          <w:szCs w:val="24"/>
        </w:rPr>
      </w:pPr>
      <w:r>
        <w:rPr>
          <w:rFonts w:ascii="宋体" w:hAnsi="宋体" w:cs="宋体"/>
          <w:sz w:val="24"/>
          <w:szCs w:val="24"/>
        </w:rPr>
        <w:t>4.</w:t>
      </w:r>
      <w:r>
        <w:rPr>
          <w:rFonts w:hint="eastAsia" w:ascii="宋体" w:hAnsi="宋体" w:cs="宋体"/>
          <w:sz w:val="24"/>
          <w:szCs w:val="24"/>
        </w:rPr>
        <w:t>预算金额：</w:t>
      </w:r>
      <w:r>
        <w:rPr>
          <w:rFonts w:ascii="宋体" w:hAnsi="宋体" w:cs="宋体"/>
          <w:sz w:val="24"/>
          <w:szCs w:val="24"/>
        </w:rPr>
        <w:t>100</w:t>
      </w:r>
      <w:r>
        <w:rPr>
          <w:rFonts w:hint="eastAsia" w:ascii="宋体" w:hAnsi="宋体" w:cs="宋体"/>
          <w:sz w:val="24"/>
          <w:szCs w:val="24"/>
        </w:rPr>
        <w:t>万元</w:t>
      </w:r>
      <w:bookmarkEnd w:id="4"/>
    </w:p>
    <w:p w14:paraId="0656CA62">
      <w:pPr>
        <w:keepNext/>
        <w:keepLines/>
        <w:widowControl/>
        <w:spacing w:line="500" w:lineRule="exact"/>
        <w:ind w:firstLine="480"/>
        <w:rPr>
          <w:rFonts w:ascii="宋体" w:cs="Times New Roman"/>
          <w:sz w:val="24"/>
          <w:szCs w:val="24"/>
        </w:rPr>
      </w:pPr>
      <w:r>
        <w:rPr>
          <w:rFonts w:ascii="宋体" w:hAnsi="宋体" w:cs="宋体"/>
          <w:sz w:val="24"/>
          <w:szCs w:val="24"/>
        </w:rPr>
        <w:t>5.</w:t>
      </w:r>
      <w:r>
        <w:rPr>
          <w:rFonts w:hint="eastAsia" w:ascii="宋体" w:hAnsi="宋体" w:cs="宋体"/>
          <w:sz w:val="24"/>
          <w:szCs w:val="24"/>
        </w:rPr>
        <w:t>最高限价：</w:t>
      </w:r>
      <w:r>
        <w:rPr>
          <w:rFonts w:ascii="宋体" w:hAnsi="宋体" w:cs="宋体"/>
          <w:sz w:val="24"/>
          <w:szCs w:val="24"/>
        </w:rPr>
        <w:t>100</w:t>
      </w:r>
      <w:r>
        <w:rPr>
          <w:rFonts w:hint="eastAsia" w:ascii="宋体" w:hAnsi="宋体" w:cs="宋体"/>
          <w:sz w:val="24"/>
          <w:szCs w:val="24"/>
        </w:rPr>
        <w:t>万元（投标报价高于最高限价的，采购人将不予接受，视为无效标书）。</w:t>
      </w:r>
    </w:p>
    <w:tbl>
      <w:tblPr>
        <w:tblStyle w:val="50"/>
        <w:tblW w:w="9840" w:type="dxa"/>
        <w:jc w:val="center"/>
        <w:tblLayout w:type="fixed"/>
        <w:tblCellMar>
          <w:top w:w="0" w:type="dxa"/>
          <w:left w:w="108" w:type="dxa"/>
          <w:bottom w:w="0" w:type="dxa"/>
          <w:right w:w="108" w:type="dxa"/>
        </w:tblCellMar>
      </w:tblPr>
      <w:tblGrid>
        <w:gridCol w:w="960"/>
        <w:gridCol w:w="4578"/>
        <w:gridCol w:w="1349"/>
        <w:gridCol w:w="1173"/>
        <w:gridCol w:w="1780"/>
      </w:tblGrid>
      <w:tr w14:paraId="73AFB7AD">
        <w:tblPrEx>
          <w:tblCellMar>
            <w:top w:w="0" w:type="dxa"/>
            <w:left w:w="108" w:type="dxa"/>
            <w:bottom w:w="0" w:type="dxa"/>
            <w:right w:w="108" w:type="dxa"/>
          </w:tblCellMar>
        </w:tblPrEx>
        <w:trPr>
          <w:trHeight w:val="503" w:hRule="atLeast"/>
          <w:jc w:val="center"/>
        </w:trPr>
        <w:tc>
          <w:tcPr>
            <w:tcW w:w="960" w:type="dxa"/>
            <w:tcBorders>
              <w:top w:val="single" w:color="auto" w:sz="4" w:space="0"/>
              <w:left w:val="single" w:color="auto" w:sz="4" w:space="0"/>
              <w:bottom w:val="single" w:color="auto" w:sz="4" w:space="0"/>
              <w:right w:val="single" w:color="auto" w:sz="4" w:space="0"/>
            </w:tcBorders>
            <w:vAlign w:val="center"/>
          </w:tcPr>
          <w:p w14:paraId="31904056">
            <w:pPr>
              <w:keepNext/>
              <w:keepLines/>
              <w:widowControl/>
              <w:jc w:val="center"/>
              <w:rPr>
                <w:rFonts w:ascii="??" w:hAnsi="??" w:cs="??"/>
                <w:b/>
                <w:bCs/>
                <w:color w:val="000000"/>
                <w:sz w:val="22"/>
                <w:szCs w:val="22"/>
              </w:rPr>
            </w:pPr>
            <w:r>
              <w:rPr>
                <w:rFonts w:hint="eastAsia" w:ascii="??" w:hAnsi="??" w:cs="宋体"/>
                <w:b/>
                <w:bCs/>
                <w:color w:val="000000"/>
                <w:sz w:val="22"/>
                <w:szCs w:val="22"/>
              </w:rPr>
              <w:t>序号</w:t>
            </w:r>
          </w:p>
        </w:tc>
        <w:tc>
          <w:tcPr>
            <w:tcW w:w="4578" w:type="dxa"/>
            <w:tcBorders>
              <w:top w:val="single" w:color="auto" w:sz="4" w:space="0"/>
              <w:left w:val="single" w:color="auto" w:sz="4" w:space="0"/>
              <w:bottom w:val="single" w:color="auto" w:sz="4" w:space="0"/>
              <w:right w:val="single" w:color="auto" w:sz="4" w:space="0"/>
            </w:tcBorders>
            <w:vAlign w:val="center"/>
          </w:tcPr>
          <w:p w14:paraId="6E7F661D">
            <w:pPr>
              <w:keepNext/>
              <w:keepLines/>
              <w:widowControl/>
              <w:jc w:val="center"/>
              <w:rPr>
                <w:rFonts w:ascii="??" w:hAnsi="??" w:cs="??"/>
                <w:b/>
                <w:bCs/>
                <w:color w:val="000000"/>
                <w:sz w:val="22"/>
                <w:szCs w:val="22"/>
              </w:rPr>
            </w:pPr>
            <w:r>
              <w:rPr>
                <w:rFonts w:hint="eastAsia" w:ascii="宋体" w:hAnsi="宋体" w:cs="宋体"/>
                <w:b/>
                <w:bCs/>
                <w:color w:val="000000"/>
                <w:sz w:val="22"/>
                <w:szCs w:val="22"/>
              </w:rPr>
              <w:t>项</w:t>
            </w:r>
            <w:r>
              <w:rPr>
                <w:rFonts w:hint="eastAsia" w:ascii="??" w:hAnsi="??" w:cs="宋体"/>
                <w:b/>
                <w:bCs/>
                <w:color w:val="000000"/>
                <w:sz w:val="22"/>
                <w:szCs w:val="22"/>
              </w:rPr>
              <w:t>目名称</w:t>
            </w:r>
          </w:p>
        </w:tc>
        <w:tc>
          <w:tcPr>
            <w:tcW w:w="1349" w:type="dxa"/>
            <w:tcBorders>
              <w:top w:val="single" w:color="auto" w:sz="4" w:space="0"/>
              <w:left w:val="single" w:color="auto" w:sz="4" w:space="0"/>
              <w:bottom w:val="single" w:color="auto" w:sz="4" w:space="0"/>
              <w:right w:val="single" w:color="auto" w:sz="4" w:space="0"/>
            </w:tcBorders>
            <w:vAlign w:val="center"/>
          </w:tcPr>
          <w:p w14:paraId="7DF5A16D">
            <w:pPr>
              <w:keepNext/>
              <w:keepLines/>
              <w:widowControl/>
              <w:jc w:val="center"/>
              <w:rPr>
                <w:rFonts w:ascii="??" w:hAnsi="??" w:cs="??"/>
                <w:b/>
                <w:bCs/>
                <w:color w:val="000000"/>
                <w:sz w:val="22"/>
                <w:szCs w:val="22"/>
              </w:rPr>
            </w:pPr>
            <w:r>
              <w:rPr>
                <w:rFonts w:hint="eastAsia" w:ascii="宋体" w:hAnsi="宋体" w:cs="宋体"/>
                <w:b/>
                <w:bCs/>
                <w:color w:val="000000"/>
                <w:sz w:val="22"/>
                <w:szCs w:val="22"/>
              </w:rPr>
              <w:t>单</w:t>
            </w:r>
            <w:r>
              <w:rPr>
                <w:rFonts w:hint="eastAsia" w:ascii="??" w:hAnsi="??" w:cs="宋体"/>
                <w:b/>
                <w:bCs/>
                <w:color w:val="000000"/>
                <w:sz w:val="22"/>
                <w:szCs w:val="22"/>
              </w:rPr>
              <w:t>价</w:t>
            </w:r>
          </w:p>
        </w:tc>
        <w:tc>
          <w:tcPr>
            <w:tcW w:w="1173" w:type="dxa"/>
            <w:tcBorders>
              <w:top w:val="single" w:color="auto" w:sz="4" w:space="0"/>
              <w:left w:val="single" w:color="auto" w:sz="4" w:space="0"/>
              <w:bottom w:val="single" w:color="auto" w:sz="4" w:space="0"/>
              <w:right w:val="single" w:color="auto" w:sz="4" w:space="0"/>
            </w:tcBorders>
            <w:vAlign w:val="center"/>
          </w:tcPr>
          <w:p w14:paraId="165CDCDE">
            <w:pPr>
              <w:keepNext/>
              <w:keepLines/>
              <w:widowControl/>
              <w:jc w:val="center"/>
              <w:rPr>
                <w:rFonts w:ascii="??" w:hAnsi="??" w:cs="??"/>
                <w:b/>
                <w:bCs/>
                <w:color w:val="000000"/>
                <w:sz w:val="22"/>
                <w:szCs w:val="22"/>
              </w:rPr>
            </w:pPr>
            <w:r>
              <w:rPr>
                <w:rFonts w:hint="eastAsia" w:ascii="??" w:hAnsi="??" w:cs="宋体"/>
                <w:b/>
                <w:bCs/>
                <w:color w:val="000000"/>
                <w:sz w:val="22"/>
                <w:szCs w:val="22"/>
              </w:rPr>
              <w:t>数量</w:t>
            </w:r>
          </w:p>
        </w:tc>
        <w:tc>
          <w:tcPr>
            <w:tcW w:w="1780" w:type="dxa"/>
            <w:tcBorders>
              <w:top w:val="single" w:color="auto" w:sz="4" w:space="0"/>
              <w:left w:val="single" w:color="auto" w:sz="4" w:space="0"/>
              <w:bottom w:val="single" w:color="auto" w:sz="4" w:space="0"/>
              <w:right w:val="single" w:color="auto" w:sz="4" w:space="0"/>
            </w:tcBorders>
            <w:vAlign w:val="center"/>
          </w:tcPr>
          <w:p w14:paraId="673D744B">
            <w:pPr>
              <w:keepNext/>
              <w:keepLines/>
              <w:widowControl/>
              <w:jc w:val="center"/>
              <w:rPr>
                <w:rFonts w:ascii="??" w:hAnsi="??" w:cs="??"/>
                <w:b/>
                <w:bCs/>
                <w:color w:val="000000"/>
                <w:sz w:val="22"/>
                <w:szCs w:val="22"/>
              </w:rPr>
            </w:pPr>
            <w:r>
              <w:rPr>
                <w:rFonts w:hint="eastAsia" w:ascii="宋体" w:hAnsi="宋体" w:cs="宋体"/>
                <w:b/>
                <w:bCs/>
                <w:color w:val="000000"/>
                <w:sz w:val="22"/>
                <w:szCs w:val="22"/>
              </w:rPr>
              <w:t>总</w:t>
            </w:r>
            <w:r>
              <w:rPr>
                <w:rFonts w:hint="eastAsia" w:ascii="??" w:hAnsi="??" w:cs="宋体"/>
                <w:b/>
                <w:bCs/>
                <w:color w:val="000000"/>
                <w:sz w:val="22"/>
                <w:szCs w:val="22"/>
              </w:rPr>
              <w:t>价（元）</w:t>
            </w:r>
          </w:p>
        </w:tc>
      </w:tr>
      <w:tr w14:paraId="10E6D77F">
        <w:tblPrEx>
          <w:tblCellMar>
            <w:top w:w="0" w:type="dxa"/>
            <w:left w:w="108" w:type="dxa"/>
            <w:bottom w:w="0" w:type="dxa"/>
            <w:right w:w="108" w:type="dxa"/>
          </w:tblCellMar>
        </w:tblPrEx>
        <w:trPr>
          <w:trHeight w:val="551" w:hRule="atLeast"/>
          <w:jc w:val="center"/>
        </w:trPr>
        <w:tc>
          <w:tcPr>
            <w:tcW w:w="960" w:type="dxa"/>
            <w:tcBorders>
              <w:top w:val="single" w:color="auto" w:sz="4" w:space="0"/>
              <w:left w:val="single" w:color="auto" w:sz="4" w:space="0"/>
              <w:bottom w:val="single" w:color="auto" w:sz="4" w:space="0"/>
              <w:right w:val="single" w:color="auto" w:sz="4" w:space="0"/>
            </w:tcBorders>
            <w:shd w:val="clear" w:color="000000" w:fill="FFFFFF"/>
            <w:vAlign w:val="center"/>
          </w:tcPr>
          <w:p w14:paraId="053E4051">
            <w:pPr>
              <w:keepNext/>
              <w:keepLines/>
              <w:widowControl/>
              <w:jc w:val="center"/>
              <w:rPr>
                <w:rFonts w:ascii="??" w:hAnsi="??" w:cs="??"/>
                <w:color w:val="000000"/>
                <w:sz w:val="22"/>
                <w:szCs w:val="22"/>
              </w:rPr>
            </w:pPr>
            <w:r>
              <w:rPr>
                <w:rFonts w:ascii="??" w:hAnsi="??" w:cs="??"/>
                <w:color w:val="000000"/>
                <w:sz w:val="22"/>
                <w:szCs w:val="22"/>
              </w:rPr>
              <w:t>1</w:t>
            </w:r>
          </w:p>
        </w:tc>
        <w:tc>
          <w:tcPr>
            <w:tcW w:w="4578" w:type="dxa"/>
            <w:tcBorders>
              <w:top w:val="single" w:color="auto" w:sz="4" w:space="0"/>
              <w:left w:val="single" w:color="auto" w:sz="4" w:space="0"/>
              <w:bottom w:val="single" w:color="auto" w:sz="4" w:space="0"/>
              <w:right w:val="single" w:color="auto" w:sz="4" w:space="0"/>
            </w:tcBorders>
            <w:shd w:val="clear" w:color="000000" w:fill="FFFFFF"/>
            <w:vAlign w:val="center"/>
          </w:tcPr>
          <w:p w14:paraId="46330D03">
            <w:pPr>
              <w:keepNext/>
              <w:keepLines/>
              <w:widowControl/>
              <w:jc w:val="center"/>
              <w:rPr>
                <w:rFonts w:ascii="??" w:hAnsi="??" w:cs="??"/>
                <w:color w:val="000000"/>
                <w:sz w:val="22"/>
                <w:szCs w:val="22"/>
              </w:rPr>
            </w:pPr>
            <w:r>
              <w:rPr>
                <w:rFonts w:hint="eastAsia" w:hAnsi="??" w:cs="宋体"/>
                <w:sz w:val="24"/>
                <w:szCs w:val="24"/>
              </w:rPr>
              <w:t>每个更新或调整地块项目</w:t>
            </w:r>
          </w:p>
        </w:tc>
        <w:tc>
          <w:tcPr>
            <w:tcW w:w="1349" w:type="dxa"/>
            <w:tcBorders>
              <w:top w:val="single" w:color="auto" w:sz="4" w:space="0"/>
              <w:left w:val="single" w:color="auto" w:sz="4" w:space="0"/>
              <w:bottom w:val="single" w:color="auto" w:sz="4" w:space="0"/>
              <w:right w:val="single" w:color="auto" w:sz="4" w:space="0"/>
            </w:tcBorders>
            <w:shd w:val="clear" w:color="000000" w:fill="FFFFFF"/>
            <w:vAlign w:val="center"/>
          </w:tcPr>
          <w:p w14:paraId="47D3B075">
            <w:pPr>
              <w:keepNext/>
              <w:keepLines/>
              <w:widowControl/>
              <w:jc w:val="center"/>
              <w:rPr>
                <w:rFonts w:ascii="??" w:hAnsi="??" w:cs="??"/>
                <w:color w:val="000000"/>
                <w:sz w:val="22"/>
                <w:szCs w:val="22"/>
              </w:rPr>
            </w:pPr>
            <w:r>
              <w:rPr>
                <w:rFonts w:ascii="??" w:hAnsi="??" w:cs="??"/>
                <w:color w:val="000000"/>
                <w:sz w:val="22"/>
                <w:szCs w:val="22"/>
              </w:rPr>
              <w:t>15000</w:t>
            </w:r>
            <w:r>
              <w:rPr>
                <w:rFonts w:hint="eastAsia" w:ascii="??" w:hAnsi="??" w:cs="宋体"/>
                <w:color w:val="000000"/>
                <w:sz w:val="22"/>
                <w:szCs w:val="22"/>
              </w:rPr>
              <w:t>元</w:t>
            </w:r>
            <w:r>
              <w:rPr>
                <w:rFonts w:ascii="??" w:hAnsi="??" w:cs="??"/>
                <w:color w:val="000000"/>
                <w:sz w:val="22"/>
                <w:szCs w:val="22"/>
              </w:rPr>
              <w:t>/</w:t>
            </w:r>
            <w:r>
              <w:rPr>
                <w:rFonts w:hint="eastAsia" w:ascii="??" w:hAnsi="??" w:cs="宋体"/>
                <w:color w:val="000000"/>
                <w:sz w:val="22"/>
                <w:szCs w:val="22"/>
              </w:rPr>
              <w:t>个</w:t>
            </w:r>
          </w:p>
        </w:tc>
        <w:tc>
          <w:tcPr>
            <w:tcW w:w="1173" w:type="dxa"/>
            <w:tcBorders>
              <w:top w:val="single" w:color="auto" w:sz="4" w:space="0"/>
              <w:left w:val="single" w:color="auto" w:sz="4" w:space="0"/>
              <w:bottom w:val="single" w:color="auto" w:sz="4" w:space="0"/>
              <w:right w:val="single" w:color="auto" w:sz="4" w:space="0"/>
            </w:tcBorders>
            <w:shd w:val="clear" w:color="000000" w:fill="FFFFFF"/>
            <w:vAlign w:val="center"/>
          </w:tcPr>
          <w:p w14:paraId="4A3EF6B2">
            <w:pPr>
              <w:keepNext/>
              <w:keepLines/>
              <w:widowControl/>
              <w:jc w:val="center"/>
              <w:rPr>
                <w:rFonts w:ascii="??" w:hAnsi="??" w:cs="??"/>
                <w:color w:val="000000"/>
                <w:sz w:val="22"/>
                <w:szCs w:val="22"/>
              </w:rPr>
            </w:pPr>
            <w:r>
              <w:rPr>
                <w:rFonts w:ascii="??" w:hAnsi="??" w:cs="??"/>
                <w:color w:val="000000"/>
                <w:sz w:val="22"/>
                <w:szCs w:val="22"/>
              </w:rPr>
              <w:t>40</w:t>
            </w:r>
            <w:r>
              <w:rPr>
                <w:rFonts w:hint="eastAsia" w:ascii="??" w:hAnsi="??" w:cs="宋体"/>
                <w:color w:val="000000"/>
                <w:sz w:val="22"/>
                <w:szCs w:val="22"/>
              </w:rPr>
              <w:t>个</w:t>
            </w:r>
          </w:p>
        </w:tc>
        <w:tc>
          <w:tcPr>
            <w:tcW w:w="1780" w:type="dxa"/>
            <w:tcBorders>
              <w:top w:val="single" w:color="auto" w:sz="4" w:space="0"/>
              <w:left w:val="single" w:color="auto" w:sz="4" w:space="0"/>
              <w:bottom w:val="single" w:color="auto" w:sz="4" w:space="0"/>
              <w:right w:val="single" w:color="auto" w:sz="4" w:space="0"/>
            </w:tcBorders>
            <w:shd w:val="clear" w:color="000000" w:fill="FFFFFF"/>
            <w:vAlign w:val="center"/>
          </w:tcPr>
          <w:p w14:paraId="7324259E">
            <w:pPr>
              <w:keepNext/>
              <w:keepLines/>
              <w:widowControl/>
              <w:jc w:val="center"/>
              <w:rPr>
                <w:rFonts w:ascii="??" w:hAnsi="??" w:cs="??"/>
                <w:color w:val="000000"/>
                <w:sz w:val="22"/>
                <w:szCs w:val="22"/>
              </w:rPr>
            </w:pPr>
            <w:r>
              <w:rPr>
                <w:rFonts w:ascii="??" w:hAnsi="??" w:cs="??"/>
                <w:color w:val="000000"/>
                <w:sz w:val="22"/>
                <w:szCs w:val="22"/>
              </w:rPr>
              <w:t>600000</w:t>
            </w:r>
          </w:p>
        </w:tc>
      </w:tr>
      <w:tr w14:paraId="5D1B95D0">
        <w:tblPrEx>
          <w:tblCellMar>
            <w:top w:w="0" w:type="dxa"/>
            <w:left w:w="108" w:type="dxa"/>
            <w:bottom w:w="0" w:type="dxa"/>
            <w:right w:w="108" w:type="dxa"/>
          </w:tblCellMar>
        </w:tblPrEx>
        <w:trPr>
          <w:trHeight w:val="476" w:hRule="atLeast"/>
          <w:jc w:val="center"/>
        </w:trPr>
        <w:tc>
          <w:tcPr>
            <w:tcW w:w="960" w:type="dxa"/>
            <w:tcBorders>
              <w:top w:val="single" w:color="auto" w:sz="4" w:space="0"/>
              <w:left w:val="single" w:color="auto" w:sz="4" w:space="0"/>
              <w:bottom w:val="single" w:color="auto" w:sz="4" w:space="0"/>
              <w:right w:val="single" w:color="auto" w:sz="4" w:space="0"/>
            </w:tcBorders>
            <w:shd w:val="clear" w:color="000000" w:fill="FFFFFF"/>
            <w:vAlign w:val="center"/>
          </w:tcPr>
          <w:p w14:paraId="096E1EE1">
            <w:pPr>
              <w:keepNext/>
              <w:keepLines/>
              <w:widowControl/>
              <w:jc w:val="center"/>
              <w:rPr>
                <w:rFonts w:ascii="??" w:hAnsi="??" w:cs="??"/>
                <w:color w:val="000000"/>
                <w:sz w:val="22"/>
                <w:szCs w:val="22"/>
              </w:rPr>
            </w:pPr>
            <w:r>
              <w:rPr>
                <w:rFonts w:ascii="??" w:hAnsi="??" w:cs="??"/>
                <w:color w:val="000000"/>
                <w:sz w:val="22"/>
                <w:szCs w:val="22"/>
              </w:rPr>
              <w:t>2</w:t>
            </w:r>
          </w:p>
        </w:tc>
        <w:tc>
          <w:tcPr>
            <w:tcW w:w="4578" w:type="dxa"/>
            <w:tcBorders>
              <w:top w:val="single" w:color="auto" w:sz="4" w:space="0"/>
              <w:left w:val="single" w:color="auto" w:sz="4" w:space="0"/>
              <w:bottom w:val="single" w:color="auto" w:sz="4" w:space="0"/>
              <w:right w:val="single" w:color="auto" w:sz="4" w:space="0"/>
            </w:tcBorders>
            <w:shd w:val="clear" w:color="000000" w:fill="FFFFFF"/>
            <w:vAlign w:val="center"/>
          </w:tcPr>
          <w:p w14:paraId="5D0CFEE2">
            <w:pPr>
              <w:keepNext/>
              <w:keepLines/>
              <w:widowControl/>
              <w:jc w:val="center"/>
              <w:rPr>
                <w:rFonts w:ascii="??" w:hAnsi="??" w:cs="??"/>
                <w:color w:val="000000"/>
                <w:sz w:val="22"/>
                <w:szCs w:val="22"/>
              </w:rPr>
            </w:pPr>
            <w:r>
              <w:rPr>
                <w:rFonts w:hint="eastAsia" w:hAnsi="??" w:cs="宋体"/>
                <w:sz w:val="24"/>
                <w:szCs w:val="24"/>
              </w:rPr>
              <w:t>指令性任务</w:t>
            </w:r>
          </w:p>
        </w:tc>
        <w:tc>
          <w:tcPr>
            <w:tcW w:w="1349" w:type="dxa"/>
            <w:tcBorders>
              <w:top w:val="single" w:color="auto" w:sz="4" w:space="0"/>
              <w:left w:val="single" w:color="auto" w:sz="4" w:space="0"/>
              <w:bottom w:val="single" w:color="auto" w:sz="4" w:space="0"/>
              <w:right w:val="single" w:color="auto" w:sz="4" w:space="0"/>
            </w:tcBorders>
            <w:shd w:val="clear" w:color="000000" w:fill="FFFFFF"/>
            <w:vAlign w:val="center"/>
          </w:tcPr>
          <w:p w14:paraId="366B48C7">
            <w:pPr>
              <w:keepNext/>
              <w:keepLines/>
              <w:widowControl/>
              <w:jc w:val="center"/>
              <w:rPr>
                <w:rFonts w:ascii="??" w:hAnsi="??" w:cs="??"/>
                <w:color w:val="000000"/>
                <w:sz w:val="22"/>
                <w:szCs w:val="22"/>
              </w:rPr>
            </w:pPr>
            <w:r>
              <w:rPr>
                <w:rFonts w:ascii="??" w:hAnsi="??" w:cs="??"/>
                <w:color w:val="000000"/>
                <w:sz w:val="22"/>
                <w:szCs w:val="22"/>
              </w:rPr>
              <w:t>100000</w:t>
            </w:r>
            <w:r>
              <w:rPr>
                <w:rFonts w:hint="eastAsia" w:ascii="??" w:hAnsi="??" w:cs="宋体"/>
                <w:color w:val="000000"/>
                <w:sz w:val="22"/>
                <w:szCs w:val="22"/>
              </w:rPr>
              <w:t>元</w:t>
            </w:r>
            <w:r>
              <w:rPr>
                <w:rFonts w:ascii="??" w:hAnsi="??" w:cs="??"/>
                <w:color w:val="000000"/>
                <w:sz w:val="22"/>
                <w:szCs w:val="22"/>
              </w:rPr>
              <w:t>/</w:t>
            </w:r>
            <w:r>
              <w:rPr>
                <w:rFonts w:hint="eastAsia" w:ascii="??" w:hAnsi="??" w:cs="宋体"/>
                <w:color w:val="000000"/>
                <w:sz w:val="22"/>
                <w:szCs w:val="22"/>
              </w:rPr>
              <w:t>个</w:t>
            </w:r>
          </w:p>
        </w:tc>
        <w:tc>
          <w:tcPr>
            <w:tcW w:w="1173" w:type="dxa"/>
            <w:tcBorders>
              <w:top w:val="single" w:color="auto" w:sz="4" w:space="0"/>
              <w:left w:val="single" w:color="auto" w:sz="4" w:space="0"/>
              <w:bottom w:val="single" w:color="auto" w:sz="4" w:space="0"/>
              <w:right w:val="single" w:color="auto" w:sz="4" w:space="0"/>
            </w:tcBorders>
            <w:shd w:val="clear" w:color="000000" w:fill="FFFFFF"/>
            <w:vAlign w:val="center"/>
          </w:tcPr>
          <w:p w14:paraId="340C9979">
            <w:pPr>
              <w:keepNext/>
              <w:keepLines/>
              <w:widowControl/>
              <w:jc w:val="center"/>
              <w:rPr>
                <w:rFonts w:ascii="??" w:hAnsi="??" w:cs="??"/>
                <w:color w:val="000000"/>
                <w:sz w:val="22"/>
                <w:szCs w:val="22"/>
              </w:rPr>
            </w:pPr>
            <w:r>
              <w:rPr>
                <w:rFonts w:ascii="??" w:hAnsi="??" w:cs="??"/>
                <w:color w:val="000000"/>
                <w:sz w:val="22"/>
                <w:szCs w:val="22"/>
              </w:rPr>
              <w:t>3</w:t>
            </w:r>
            <w:r>
              <w:rPr>
                <w:rFonts w:hint="eastAsia" w:ascii="??" w:hAnsi="??" w:cs="宋体"/>
                <w:color w:val="000000"/>
                <w:sz w:val="22"/>
                <w:szCs w:val="22"/>
              </w:rPr>
              <w:t>个</w:t>
            </w:r>
          </w:p>
        </w:tc>
        <w:tc>
          <w:tcPr>
            <w:tcW w:w="1780" w:type="dxa"/>
            <w:tcBorders>
              <w:top w:val="single" w:color="auto" w:sz="4" w:space="0"/>
              <w:left w:val="single" w:color="auto" w:sz="4" w:space="0"/>
              <w:bottom w:val="single" w:color="auto" w:sz="4" w:space="0"/>
              <w:right w:val="single" w:color="auto" w:sz="4" w:space="0"/>
            </w:tcBorders>
            <w:shd w:val="clear" w:color="000000" w:fill="FFFFFF"/>
            <w:vAlign w:val="center"/>
          </w:tcPr>
          <w:p w14:paraId="7BE65205">
            <w:pPr>
              <w:keepNext/>
              <w:keepLines/>
              <w:widowControl/>
              <w:jc w:val="center"/>
              <w:rPr>
                <w:rFonts w:ascii="??" w:hAnsi="??" w:cs="??"/>
                <w:color w:val="000000"/>
                <w:sz w:val="22"/>
                <w:szCs w:val="22"/>
              </w:rPr>
            </w:pPr>
            <w:r>
              <w:rPr>
                <w:rFonts w:ascii="??" w:hAnsi="??" w:cs="??"/>
                <w:color w:val="000000"/>
                <w:sz w:val="22"/>
                <w:szCs w:val="22"/>
              </w:rPr>
              <w:t>300000</w:t>
            </w:r>
          </w:p>
        </w:tc>
      </w:tr>
      <w:tr w14:paraId="3D1E4C6E">
        <w:tblPrEx>
          <w:tblCellMar>
            <w:top w:w="0" w:type="dxa"/>
            <w:left w:w="108" w:type="dxa"/>
            <w:bottom w:w="0" w:type="dxa"/>
            <w:right w:w="108" w:type="dxa"/>
          </w:tblCellMar>
        </w:tblPrEx>
        <w:trPr>
          <w:trHeight w:val="476" w:hRule="atLeast"/>
          <w:jc w:val="center"/>
        </w:trPr>
        <w:tc>
          <w:tcPr>
            <w:tcW w:w="960" w:type="dxa"/>
            <w:tcBorders>
              <w:top w:val="single" w:color="auto" w:sz="4" w:space="0"/>
              <w:left w:val="single" w:color="auto" w:sz="4" w:space="0"/>
              <w:bottom w:val="single" w:color="auto" w:sz="4" w:space="0"/>
              <w:right w:val="single" w:color="auto" w:sz="4" w:space="0"/>
            </w:tcBorders>
            <w:shd w:val="clear" w:color="000000" w:fill="FFFFFF"/>
            <w:vAlign w:val="center"/>
          </w:tcPr>
          <w:p w14:paraId="6F6FE06E">
            <w:pPr>
              <w:keepNext/>
              <w:keepLines/>
              <w:widowControl/>
              <w:jc w:val="center"/>
              <w:rPr>
                <w:rFonts w:ascii="??" w:hAnsi="??" w:cs="??"/>
                <w:color w:val="000000"/>
                <w:sz w:val="22"/>
                <w:szCs w:val="22"/>
              </w:rPr>
            </w:pPr>
            <w:r>
              <w:rPr>
                <w:rFonts w:ascii="??" w:hAnsi="??" w:cs="??"/>
                <w:color w:val="000000"/>
                <w:sz w:val="22"/>
                <w:szCs w:val="22"/>
              </w:rPr>
              <w:t>3</w:t>
            </w:r>
          </w:p>
        </w:tc>
        <w:tc>
          <w:tcPr>
            <w:tcW w:w="4578" w:type="dxa"/>
            <w:tcBorders>
              <w:top w:val="single" w:color="auto" w:sz="4" w:space="0"/>
              <w:left w:val="single" w:color="auto" w:sz="4" w:space="0"/>
              <w:bottom w:val="single" w:color="auto" w:sz="4" w:space="0"/>
              <w:right w:val="single" w:color="auto" w:sz="4" w:space="0"/>
            </w:tcBorders>
            <w:shd w:val="clear" w:color="000000" w:fill="FFFFFF"/>
            <w:vAlign w:val="center"/>
          </w:tcPr>
          <w:p w14:paraId="25C16E3E">
            <w:pPr>
              <w:keepNext/>
              <w:keepLines/>
              <w:widowControl/>
              <w:jc w:val="center"/>
              <w:rPr>
                <w:rFonts w:hAnsi="??" w:cs="Times New Roman"/>
                <w:sz w:val="24"/>
                <w:szCs w:val="24"/>
              </w:rPr>
            </w:pPr>
            <w:bookmarkStart w:id="5" w:name="OLE_LINK13"/>
            <w:r>
              <w:rPr>
                <w:rFonts w:hint="eastAsia" w:hAnsi="??" w:cs="宋体"/>
                <w:sz w:val="24"/>
                <w:szCs w:val="24"/>
              </w:rPr>
              <w:t>其他规划技术支撑、服务类项目</w:t>
            </w:r>
            <w:bookmarkEnd w:id="5"/>
          </w:p>
        </w:tc>
        <w:tc>
          <w:tcPr>
            <w:tcW w:w="1349" w:type="dxa"/>
            <w:tcBorders>
              <w:top w:val="single" w:color="auto" w:sz="4" w:space="0"/>
              <w:left w:val="single" w:color="auto" w:sz="4" w:space="0"/>
              <w:bottom w:val="single" w:color="auto" w:sz="4" w:space="0"/>
              <w:right w:val="single" w:color="auto" w:sz="4" w:space="0"/>
            </w:tcBorders>
            <w:shd w:val="clear" w:color="000000" w:fill="FFFFFF"/>
            <w:vAlign w:val="center"/>
          </w:tcPr>
          <w:p w14:paraId="780C6F5C">
            <w:pPr>
              <w:keepNext/>
              <w:keepLines/>
              <w:widowControl/>
              <w:jc w:val="center"/>
              <w:rPr>
                <w:rFonts w:ascii="??" w:hAnsi="??" w:cs="??"/>
                <w:color w:val="000000"/>
                <w:sz w:val="22"/>
                <w:szCs w:val="22"/>
              </w:rPr>
            </w:pPr>
            <w:r>
              <w:rPr>
                <w:rFonts w:ascii="??" w:hAnsi="??" w:cs="??"/>
                <w:color w:val="000000"/>
                <w:sz w:val="22"/>
                <w:szCs w:val="22"/>
              </w:rPr>
              <w:t>50000</w:t>
            </w:r>
            <w:r>
              <w:rPr>
                <w:rFonts w:hint="eastAsia" w:ascii="??" w:hAnsi="??" w:cs="宋体"/>
                <w:color w:val="000000"/>
                <w:sz w:val="22"/>
                <w:szCs w:val="22"/>
              </w:rPr>
              <w:t>元</w:t>
            </w:r>
            <w:r>
              <w:rPr>
                <w:rFonts w:ascii="??" w:hAnsi="??" w:cs="??"/>
                <w:color w:val="000000"/>
                <w:sz w:val="22"/>
                <w:szCs w:val="22"/>
              </w:rPr>
              <w:t>/</w:t>
            </w:r>
            <w:r>
              <w:rPr>
                <w:rFonts w:hint="eastAsia" w:ascii="??" w:hAnsi="??" w:cs="宋体"/>
                <w:color w:val="000000"/>
                <w:sz w:val="22"/>
                <w:szCs w:val="22"/>
              </w:rPr>
              <w:t>个</w:t>
            </w:r>
          </w:p>
        </w:tc>
        <w:tc>
          <w:tcPr>
            <w:tcW w:w="1173" w:type="dxa"/>
            <w:tcBorders>
              <w:top w:val="single" w:color="auto" w:sz="4" w:space="0"/>
              <w:left w:val="single" w:color="auto" w:sz="4" w:space="0"/>
              <w:bottom w:val="single" w:color="auto" w:sz="4" w:space="0"/>
              <w:right w:val="single" w:color="auto" w:sz="4" w:space="0"/>
            </w:tcBorders>
            <w:shd w:val="clear" w:color="000000" w:fill="FFFFFF"/>
            <w:vAlign w:val="center"/>
          </w:tcPr>
          <w:p w14:paraId="752DD962">
            <w:pPr>
              <w:keepNext/>
              <w:keepLines/>
              <w:widowControl/>
              <w:jc w:val="center"/>
              <w:rPr>
                <w:rFonts w:ascii="??" w:hAnsi="??" w:cs="??"/>
                <w:color w:val="000000"/>
                <w:sz w:val="22"/>
                <w:szCs w:val="22"/>
              </w:rPr>
            </w:pPr>
            <w:r>
              <w:rPr>
                <w:rFonts w:ascii="??" w:hAnsi="??" w:cs="??"/>
                <w:color w:val="000000"/>
                <w:sz w:val="22"/>
                <w:szCs w:val="22"/>
              </w:rPr>
              <w:t>2</w:t>
            </w:r>
            <w:r>
              <w:rPr>
                <w:rFonts w:hint="eastAsia" w:ascii="??" w:hAnsi="??" w:cs="宋体"/>
                <w:color w:val="000000"/>
                <w:sz w:val="22"/>
                <w:szCs w:val="22"/>
              </w:rPr>
              <w:t>个</w:t>
            </w:r>
          </w:p>
        </w:tc>
        <w:tc>
          <w:tcPr>
            <w:tcW w:w="1780" w:type="dxa"/>
            <w:tcBorders>
              <w:top w:val="single" w:color="auto" w:sz="4" w:space="0"/>
              <w:left w:val="single" w:color="auto" w:sz="4" w:space="0"/>
              <w:bottom w:val="single" w:color="auto" w:sz="4" w:space="0"/>
              <w:right w:val="single" w:color="auto" w:sz="4" w:space="0"/>
            </w:tcBorders>
            <w:shd w:val="clear" w:color="000000" w:fill="FFFFFF"/>
            <w:vAlign w:val="center"/>
          </w:tcPr>
          <w:p w14:paraId="527F0F4F">
            <w:pPr>
              <w:keepNext/>
              <w:keepLines/>
              <w:widowControl/>
              <w:jc w:val="center"/>
              <w:rPr>
                <w:rFonts w:ascii="??" w:hAnsi="??" w:cs="??"/>
                <w:color w:val="000000"/>
                <w:sz w:val="22"/>
                <w:szCs w:val="22"/>
              </w:rPr>
            </w:pPr>
            <w:r>
              <w:rPr>
                <w:rFonts w:ascii="??" w:hAnsi="??" w:cs="??"/>
                <w:color w:val="000000"/>
                <w:sz w:val="22"/>
                <w:szCs w:val="22"/>
              </w:rPr>
              <w:t>100000</w:t>
            </w:r>
          </w:p>
        </w:tc>
      </w:tr>
      <w:tr w14:paraId="5080BEF8">
        <w:tblPrEx>
          <w:tblCellMar>
            <w:top w:w="0" w:type="dxa"/>
            <w:left w:w="108" w:type="dxa"/>
            <w:bottom w:w="0" w:type="dxa"/>
            <w:right w:w="108" w:type="dxa"/>
          </w:tblCellMar>
        </w:tblPrEx>
        <w:trPr>
          <w:trHeight w:val="563" w:hRule="atLeast"/>
          <w:jc w:val="center"/>
        </w:trPr>
        <w:tc>
          <w:tcPr>
            <w:tcW w:w="8060" w:type="dxa"/>
            <w:gridSpan w:val="4"/>
            <w:tcBorders>
              <w:top w:val="single" w:color="auto" w:sz="4" w:space="0"/>
              <w:left w:val="single" w:color="auto" w:sz="4" w:space="0"/>
              <w:bottom w:val="single" w:color="auto" w:sz="4" w:space="0"/>
              <w:right w:val="single" w:color="auto" w:sz="4" w:space="0"/>
            </w:tcBorders>
            <w:shd w:val="clear" w:color="000000" w:fill="FFFFFF"/>
            <w:vAlign w:val="center"/>
          </w:tcPr>
          <w:p w14:paraId="68959142">
            <w:pPr>
              <w:keepNext/>
              <w:keepLines/>
              <w:widowControl/>
              <w:jc w:val="center"/>
              <w:rPr>
                <w:rFonts w:ascii="??" w:hAnsi="??" w:cs="??"/>
                <w:b/>
                <w:bCs/>
                <w:color w:val="000000"/>
                <w:sz w:val="22"/>
                <w:szCs w:val="22"/>
              </w:rPr>
            </w:pPr>
            <w:r>
              <w:rPr>
                <w:rFonts w:hint="eastAsia" w:ascii="??" w:hAnsi="??" w:cs="宋体"/>
                <w:b/>
                <w:bCs/>
                <w:color w:val="000000"/>
                <w:sz w:val="22"/>
                <w:szCs w:val="22"/>
              </w:rPr>
              <w:t>合</w:t>
            </w:r>
            <w:r>
              <w:rPr>
                <w:rFonts w:hint="eastAsia" w:ascii="宋体" w:hAnsi="宋体" w:cs="宋体"/>
                <w:b/>
                <w:bCs/>
                <w:color w:val="000000"/>
                <w:sz w:val="22"/>
                <w:szCs w:val="22"/>
              </w:rPr>
              <w:t>计</w:t>
            </w:r>
          </w:p>
        </w:tc>
        <w:tc>
          <w:tcPr>
            <w:tcW w:w="1780" w:type="dxa"/>
            <w:tcBorders>
              <w:top w:val="single" w:color="auto" w:sz="4" w:space="0"/>
              <w:left w:val="single" w:color="auto" w:sz="4" w:space="0"/>
              <w:bottom w:val="single" w:color="auto" w:sz="4" w:space="0"/>
              <w:right w:val="single" w:color="auto" w:sz="4" w:space="0"/>
            </w:tcBorders>
            <w:shd w:val="clear" w:color="000000" w:fill="FFFFFF"/>
            <w:vAlign w:val="center"/>
          </w:tcPr>
          <w:p w14:paraId="47768280">
            <w:pPr>
              <w:keepNext/>
              <w:keepLines/>
              <w:widowControl/>
              <w:jc w:val="center"/>
              <w:rPr>
                <w:rFonts w:ascii="??" w:hAnsi="??" w:cs="??"/>
                <w:b/>
                <w:bCs/>
                <w:color w:val="000000"/>
                <w:sz w:val="22"/>
                <w:szCs w:val="22"/>
              </w:rPr>
            </w:pPr>
            <w:r>
              <w:rPr>
                <w:rFonts w:ascii="??" w:hAnsi="??" w:cs="??"/>
                <w:b/>
                <w:bCs/>
                <w:color w:val="000000"/>
                <w:sz w:val="22"/>
                <w:szCs w:val="22"/>
              </w:rPr>
              <w:t>1000000.00</w:t>
            </w:r>
          </w:p>
        </w:tc>
      </w:tr>
    </w:tbl>
    <w:p w14:paraId="50C18684">
      <w:pPr>
        <w:keepNext/>
        <w:keepLines/>
        <w:widowControl/>
        <w:spacing w:line="500" w:lineRule="exact"/>
        <w:ind w:firstLine="480" w:firstLineChars="200"/>
        <w:rPr>
          <w:rFonts w:ascii="宋体" w:cs="Times New Roman"/>
          <w:sz w:val="24"/>
          <w:szCs w:val="24"/>
        </w:rPr>
      </w:pPr>
      <w:r>
        <w:rPr>
          <w:rFonts w:ascii="宋体" w:hAnsi="宋体" w:cs="宋体"/>
          <w:sz w:val="24"/>
          <w:szCs w:val="24"/>
        </w:rPr>
        <w:t>6.</w:t>
      </w:r>
      <w:r>
        <w:rPr>
          <w:rFonts w:hint="eastAsia" w:ascii="宋体" w:hAnsi="宋体" w:cs="宋体"/>
          <w:sz w:val="24"/>
          <w:szCs w:val="24"/>
        </w:rPr>
        <w:t>采购需求：盐城市详细规划动态更新项目，具体内容及要求详见招标文件采购需求。</w:t>
      </w:r>
      <w:r>
        <w:rPr>
          <w:rFonts w:ascii="宋体" w:hAnsi="宋体" w:cs="宋体"/>
          <w:sz w:val="24"/>
          <w:szCs w:val="24"/>
        </w:rPr>
        <w:t xml:space="preserve"> </w:t>
      </w:r>
    </w:p>
    <w:p w14:paraId="332A49C7">
      <w:pPr>
        <w:keepNext/>
        <w:keepLines/>
        <w:widowControl/>
        <w:spacing w:line="500" w:lineRule="exact"/>
        <w:ind w:firstLine="480"/>
        <w:rPr>
          <w:rFonts w:ascii="宋体" w:cs="Times New Roman"/>
          <w:color w:val="auto"/>
          <w:sz w:val="24"/>
          <w:szCs w:val="24"/>
        </w:rPr>
      </w:pPr>
      <w:r>
        <w:rPr>
          <w:rFonts w:ascii="宋体" w:hAnsi="宋体" w:cs="宋体"/>
          <w:sz w:val="24"/>
          <w:szCs w:val="24"/>
        </w:rPr>
        <w:t>7.</w:t>
      </w:r>
      <w:r>
        <w:rPr>
          <w:rFonts w:hint="eastAsia" w:ascii="宋体" w:hAnsi="宋体" w:cs="宋体"/>
          <w:sz w:val="24"/>
          <w:szCs w:val="24"/>
        </w:rPr>
        <w:t>合同履行期</w:t>
      </w:r>
      <w:r>
        <w:rPr>
          <w:rFonts w:hint="eastAsia" w:ascii="宋体" w:hAnsi="宋体" w:cs="宋体"/>
          <w:color w:val="auto"/>
          <w:sz w:val="24"/>
          <w:szCs w:val="24"/>
        </w:rPr>
        <w:t>限：自合同签订之日起一年内完成。</w:t>
      </w:r>
    </w:p>
    <w:p w14:paraId="35E940B9">
      <w:pPr>
        <w:keepNext/>
        <w:keepLines/>
        <w:widowControl/>
        <w:spacing w:line="500" w:lineRule="exact"/>
        <w:ind w:firstLine="480"/>
        <w:rPr>
          <w:rFonts w:ascii="宋体" w:cs="Times New Roman"/>
          <w:color w:val="auto"/>
          <w:sz w:val="24"/>
          <w:szCs w:val="24"/>
        </w:rPr>
      </w:pPr>
      <w:r>
        <w:rPr>
          <w:rFonts w:ascii="宋体" w:hAnsi="宋体" w:cs="宋体"/>
          <w:color w:val="auto"/>
          <w:sz w:val="24"/>
          <w:szCs w:val="24"/>
        </w:rPr>
        <w:t>8.</w:t>
      </w:r>
      <w:r>
        <w:rPr>
          <w:rFonts w:hint="eastAsia" w:ascii="宋体" w:hAnsi="宋体" w:cs="宋体"/>
          <w:color w:val="auto"/>
          <w:sz w:val="24"/>
          <w:szCs w:val="24"/>
        </w:rPr>
        <w:t>本项目</w:t>
      </w:r>
      <w:r>
        <w:rPr>
          <w:rFonts w:hint="eastAsia" w:ascii="宋体" w:hAnsi="宋体" w:cs="宋体"/>
          <w:color w:val="auto"/>
          <w:sz w:val="24"/>
          <w:szCs w:val="24"/>
          <w:u w:val="single"/>
        </w:rPr>
        <w:t>不接受</w:t>
      </w:r>
      <w:r>
        <w:rPr>
          <w:rFonts w:hint="eastAsia" w:ascii="宋体" w:hAnsi="宋体" w:cs="宋体"/>
          <w:color w:val="auto"/>
          <w:sz w:val="24"/>
          <w:szCs w:val="24"/>
        </w:rPr>
        <w:t>联合体投标。</w:t>
      </w:r>
    </w:p>
    <w:p w14:paraId="5062F401">
      <w:pPr>
        <w:pStyle w:val="2"/>
        <w:keepLines/>
        <w:widowControl/>
        <w:tabs>
          <w:tab w:val="left" w:pos="0"/>
          <w:tab w:val="left" w:pos="3165"/>
          <w:tab w:val="center" w:pos="4153"/>
        </w:tabs>
        <w:spacing w:line="500" w:lineRule="exact"/>
        <w:ind w:firstLine="482"/>
        <w:jc w:val="left"/>
        <w:rPr>
          <w:rFonts w:ascii="宋体" w:hAnsi="宋体" w:eastAsia="宋体" w:cs="Times New Roman"/>
          <w:b/>
          <w:bCs/>
          <w:sz w:val="24"/>
          <w:szCs w:val="24"/>
        </w:rPr>
      </w:pPr>
      <w:bookmarkStart w:id="6" w:name="_Toc28359003"/>
      <w:bookmarkStart w:id="7" w:name="_Toc35393791"/>
      <w:bookmarkStart w:id="8" w:name="_Toc28359080"/>
      <w:bookmarkStart w:id="9" w:name="_Toc35393622"/>
      <w:r>
        <w:rPr>
          <w:rFonts w:hint="eastAsia" w:ascii="宋体" w:hAnsi="宋体" w:eastAsia="宋体" w:cs="宋体"/>
          <w:b/>
          <w:bCs/>
          <w:sz w:val="24"/>
          <w:szCs w:val="24"/>
        </w:rPr>
        <w:t>二、供应商的资格要求：</w:t>
      </w:r>
      <w:bookmarkEnd w:id="6"/>
      <w:bookmarkEnd w:id="7"/>
      <w:bookmarkEnd w:id="8"/>
      <w:bookmarkEnd w:id="9"/>
    </w:p>
    <w:p w14:paraId="250780A8">
      <w:pPr>
        <w:keepNext/>
        <w:keepLines/>
        <w:widowControl/>
        <w:spacing w:line="500" w:lineRule="exact"/>
        <w:ind w:firstLine="480"/>
        <w:rPr>
          <w:rFonts w:ascii="宋体" w:cs="Times New Roman"/>
          <w:sz w:val="24"/>
          <w:szCs w:val="24"/>
        </w:rPr>
      </w:pPr>
      <w:r>
        <w:rPr>
          <w:rFonts w:ascii="宋体" w:hAnsi="宋体" w:cs="宋体"/>
          <w:sz w:val="24"/>
          <w:szCs w:val="24"/>
        </w:rPr>
        <w:t>1.</w:t>
      </w:r>
      <w:r>
        <w:rPr>
          <w:rFonts w:hint="eastAsia" w:ascii="宋体" w:hAnsi="宋体" w:cs="宋体"/>
          <w:sz w:val="24"/>
          <w:szCs w:val="24"/>
        </w:rPr>
        <w:t>满足《中华人民共和国政府采购法》第二十二条规定，并提供下列材料：</w:t>
      </w:r>
    </w:p>
    <w:p w14:paraId="6DA36920">
      <w:pPr>
        <w:keepNext/>
        <w:keepLines/>
        <w:widowControl/>
        <w:spacing w:line="500" w:lineRule="exact"/>
        <w:ind w:firstLine="480"/>
        <w:rPr>
          <w:rFonts w:ascii="宋体" w:cs="Times New Roman"/>
          <w:sz w:val="24"/>
          <w:szCs w:val="24"/>
        </w:rPr>
      </w:pPr>
      <w:r>
        <w:rPr>
          <w:rFonts w:ascii="宋体" w:hAnsi="宋体" w:cs="宋体"/>
          <w:sz w:val="24"/>
          <w:szCs w:val="24"/>
        </w:rPr>
        <w:t xml:space="preserve">1.1 </w:t>
      </w:r>
      <w:r>
        <w:rPr>
          <w:rFonts w:hint="eastAsia" w:ascii="宋体" w:hAnsi="宋体" w:cs="宋体"/>
          <w:sz w:val="24"/>
          <w:szCs w:val="24"/>
        </w:rPr>
        <w:t>法人或者其他组织的营业执照等证明文件，自然人的身份证明；</w:t>
      </w:r>
    </w:p>
    <w:p w14:paraId="317DB765">
      <w:pPr>
        <w:keepNext/>
        <w:keepLines/>
        <w:widowControl/>
        <w:spacing w:line="500" w:lineRule="exact"/>
        <w:ind w:firstLine="480"/>
        <w:rPr>
          <w:rFonts w:ascii="宋体" w:cs="Times New Roman"/>
          <w:sz w:val="24"/>
          <w:szCs w:val="24"/>
        </w:rPr>
      </w:pPr>
      <w:r>
        <w:rPr>
          <w:rFonts w:ascii="宋体" w:hAnsi="宋体" w:cs="宋体"/>
          <w:sz w:val="24"/>
          <w:szCs w:val="24"/>
        </w:rPr>
        <w:t>1.2</w:t>
      </w:r>
      <w:r>
        <w:rPr>
          <w:rFonts w:hint="eastAsia" w:ascii="宋体" w:hAnsi="宋体" w:cs="宋体"/>
          <w:sz w:val="24"/>
          <w:szCs w:val="24"/>
        </w:rPr>
        <w:t>上一年度的财务状况报表</w:t>
      </w:r>
      <w:r>
        <w:rPr>
          <w:rFonts w:ascii="宋体" w:hAnsi="宋体" w:cs="宋体"/>
          <w:sz w:val="24"/>
          <w:szCs w:val="24"/>
        </w:rPr>
        <w:t>(</w:t>
      </w:r>
      <w:r>
        <w:rPr>
          <w:rFonts w:hint="eastAsia" w:ascii="宋体" w:hAnsi="宋体" w:cs="宋体"/>
          <w:sz w:val="24"/>
          <w:szCs w:val="24"/>
        </w:rPr>
        <w:t>上一年度的财务状况报表</w:t>
      </w:r>
      <w:r>
        <w:rPr>
          <w:rFonts w:ascii="宋体" w:hAnsi="宋体" w:cs="宋体"/>
          <w:sz w:val="24"/>
          <w:szCs w:val="24"/>
        </w:rPr>
        <w:t>2025</w:t>
      </w:r>
      <w:r>
        <w:rPr>
          <w:rFonts w:hint="eastAsia" w:ascii="宋体" w:hAnsi="宋体" w:cs="宋体"/>
          <w:sz w:val="24"/>
          <w:szCs w:val="24"/>
        </w:rPr>
        <w:t>年度报表未出的，可使用</w:t>
      </w:r>
      <w:r>
        <w:rPr>
          <w:rFonts w:ascii="宋体" w:hAnsi="宋体" w:cs="宋体"/>
          <w:sz w:val="24"/>
          <w:szCs w:val="24"/>
        </w:rPr>
        <w:t>2024</w:t>
      </w:r>
      <w:r>
        <w:rPr>
          <w:rFonts w:hint="eastAsia" w:ascii="宋体" w:hAnsi="宋体" w:cs="宋体"/>
          <w:sz w:val="24"/>
          <w:szCs w:val="24"/>
        </w:rPr>
        <w:t>年度报表，财务状况报表至少包含利润表、资产负债表、现金流量表，成立不满一年无需提供</w:t>
      </w:r>
      <w:r>
        <w:rPr>
          <w:rFonts w:ascii="宋体" w:hAnsi="宋体" w:cs="宋体"/>
          <w:sz w:val="24"/>
          <w:szCs w:val="24"/>
        </w:rPr>
        <w:t>)</w:t>
      </w:r>
      <w:r>
        <w:rPr>
          <w:rFonts w:hint="eastAsia" w:ascii="宋体" w:hAnsi="宋体" w:cs="宋体"/>
          <w:sz w:val="24"/>
          <w:szCs w:val="24"/>
        </w:rPr>
        <w:t>；</w:t>
      </w:r>
    </w:p>
    <w:p w14:paraId="1EEA47A2">
      <w:pPr>
        <w:keepNext/>
        <w:keepLines/>
        <w:widowControl/>
        <w:spacing w:line="500" w:lineRule="exact"/>
        <w:ind w:firstLine="480"/>
        <w:rPr>
          <w:rFonts w:ascii="宋体" w:cs="Times New Roman"/>
          <w:sz w:val="24"/>
          <w:szCs w:val="24"/>
        </w:rPr>
      </w:pPr>
      <w:r>
        <w:rPr>
          <w:rFonts w:ascii="宋体" w:hAnsi="宋体" w:cs="宋体"/>
          <w:sz w:val="24"/>
          <w:szCs w:val="24"/>
        </w:rPr>
        <w:t>1.3</w:t>
      </w:r>
      <w:r>
        <w:rPr>
          <w:rFonts w:hint="eastAsia" w:ascii="宋体" w:hAnsi="宋体" w:cs="宋体"/>
          <w:sz w:val="24"/>
          <w:szCs w:val="24"/>
        </w:rPr>
        <w:t>具备履行合同所必需的设备和专业技术能力的书面声明；</w:t>
      </w:r>
    </w:p>
    <w:p w14:paraId="026ABA75">
      <w:pPr>
        <w:keepNext/>
        <w:keepLines/>
        <w:widowControl/>
        <w:spacing w:line="500" w:lineRule="exact"/>
        <w:ind w:firstLine="480"/>
        <w:rPr>
          <w:rFonts w:ascii="宋体" w:cs="Times New Roman"/>
          <w:sz w:val="24"/>
          <w:szCs w:val="24"/>
        </w:rPr>
      </w:pPr>
      <w:r>
        <w:rPr>
          <w:rFonts w:ascii="宋体" w:hAnsi="宋体" w:cs="宋体"/>
          <w:sz w:val="24"/>
          <w:szCs w:val="24"/>
        </w:rPr>
        <w:t>1.4</w:t>
      </w:r>
      <w:r>
        <w:rPr>
          <w:rFonts w:hint="eastAsia" w:ascii="宋体" w:hAnsi="宋体" w:cs="宋体"/>
          <w:sz w:val="24"/>
          <w:szCs w:val="24"/>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2F1AC6F6">
      <w:pPr>
        <w:keepNext/>
        <w:keepLines/>
        <w:widowControl/>
        <w:spacing w:line="500" w:lineRule="exact"/>
        <w:ind w:firstLine="480"/>
        <w:rPr>
          <w:rFonts w:ascii="宋体" w:cs="Times New Roman"/>
          <w:sz w:val="24"/>
          <w:szCs w:val="24"/>
        </w:rPr>
      </w:pPr>
      <w:r>
        <w:rPr>
          <w:rFonts w:ascii="宋体" w:hAnsi="宋体" w:cs="宋体"/>
          <w:sz w:val="24"/>
          <w:szCs w:val="24"/>
        </w:rPr>
        <w:t>1.5</w:t>
      </w:r>
      <w:r>
        <w:rPr>
          <w:rFonts w:hint="eastAsia" w:ascii="宋体" w:hAnsi="宋体" w:cs="宋体"/>
          <w:sz w:val="24"/>
          <w:szCs w:val="24"/>
        </w:rPr>
        <w:t>参加政府采购活动前</w:t>
      </w:r>
      <w:r>
        <w:rPr>
          <w:rFonts w:ascii="宋体" w:hAnsi="宋体" w:cs="宋体"/>
          <w:sz w:val="24"/>
          <w:szCs w:val="24"/>
        </w:rPr>
        <w:t>3</w:t>
      </w:r>
      <w:r>
        <w:rPr>
          <w:rFonts w:hint="eastAsia" w:ascii="宋体" w:hAnsi="宋体" w:cs="宋体"/>
          <w:sz w:val="24"/>
          <w:szCs w:val="24"/>
        </w:rPr>
        <w:t>年内在经营活动中没有重大违法记录的书面声明。</w:t>
      </w:r>
    </w:p>
    <w:p w14:paraId="768EE0BB">
      <w:pPr>
        <w:keepNext/>
        <w:keepLines/>
        <w:widowControl/>
        <w:spacing w:line="500" w:lineRule="exact"/>
        <w:ind w:firstLine="480"/>
        <w:rPr>
          <w:rFonts w:ascii="宋体" w:cs="Times New Roman"/>
          <w:sz w:val="24"/>
          <w:szCs w:val="24"/>
        </w:rPr>
      </w:pPr>
      <w:r>
        <w:rPr>
          <w:rFonts w:ascii="宋体" w:hAnsi="宋体" w:cs="宋体"/>
          <w:sz w:val="24"/>
          <w:szCs w:val="24"/>
        </w:rPr>
        <w:t>1.6</w:t>
      </w:r>
      <w:r>
        <w:rPr>
          <w:rFonts w:hint="eastAsia" w:ascii="宋体" w:hAnsi="宋体" w:cs="宋体"/>
          <w:sz w:val="24"/>
          <w:szCs w:val="24"/>
        </w:rPr>
        <w:t>法律、行政法规规定的其他条件。</w:t>
      </w:r>
    </w:p>
    <w:p w14:paraId="522E304B">
      <w:pPr>
        <w:keepNext/>
        <w:keepLines/>
        <w:widowControl/>
        <w:spacing w:line="500" w:lineRule="exact"/>
        <w:ind w:firstLine="480"/>
        <w:rPr>
          <w:rFonts w:ascii="宋体" w:cs="Times New Roman"/>
          <w:sz w:val="24"/>
          <w:szCs w:val="24"/>
        </w:rPr>
      </w:pPr>
      <w:r>
        <w:rPr>
          <w:rFonts w:ascii="宋体" w:hAnsi="宋体" w:cs="宋体"/>
          <w:sz w:val="24"/>
          <w:szCs w:val="24"/>
        </w:rPr>
        <w:t>1.7</w:t>
      </w:r>
      <w:r>
        <w:rPr>
          <w:rFonts w:hint="eastAsia" w:ascii="宋体" w:hAnsi="宋体" w:cs="宋体"/>
          <w:sz w:val="24"/>
          <w:szCs w:val="24"/>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489E9129">
      <w:pPr>
        <w:keepNext/>
        <w:keepLines/>
        <w:widowControl/>
        <w:spacing w:line="500" w:lineRule="exact"/>
        <w:ind w:left="-13" w:firstLine="600"/>
        <w:rPr>
          <w:rFonts w:ascii="宋体" w:cs="Times New Roman"/>
          <w:sz w:val="24"/>
          <w:szCs w:val="24"/>
        </w:rPr>
      </w:pPr>
      <w:r>
        <w:rPr>
          <w:rFonts w:ascii="宋体" w:hAnsi="宋体" w:cs="宋体"/>
          <w:sz w:val="24"/>
          <w:szCs w:val="24"/>
        </w:rPr>
        <w:t>1.8</w:t>
      </w:r>
      <w:r>
        <w:rPr>
          <w:rFonts w:hint="eastAsia" w:ascii="宋体" w:hAnsi="宋体" w:cs="宋体"/>
          <w:sz w:val="24"/>
          <w:szCs w:val="24"/>
        </w:rPr>
        <w:t>单位负责人为同一人或者存在直接控股、管理关系的不同供应商，不得参加同一合同项下的政府采购活动。</w:t>
      </w:r>
    </w:p>
    <w:p w14:paraId="214C3258">
      <w:pPr>
        <w:keepNext/>
        <w:keepLines/>
        <w:widowControl/>
        <w:spacing w:line="500" w:lineRule="exact"/>
        <w:ind w:firstLine="480" w:firstLineChars="200"/>
        <w:rPr>
          <w:rFonts w:ascii="宋体" w:cs="Times New Roman"/>
          <w:sz w:val="24"/>
          <w:szCs w:val="24"/>
          <w:highlight w:val="none"/>
        </w:rPr>
      </w:pPr>
      <w:bookmarkStart w:id="10" w:name="_Toc28359004"/>
      <w:bookmarkStart w:id="11" w:name="_Toc28359081"/>
      <w:r>
        <w:rPr>
          <w:rFonts w:ascii="宋体" w:hAnsi="宋体" w:cs="宋体"/>
          <w:sz w:val="24"/>
          <w:szCs w:val="24"/>
        </w:rPr>
        <w:t>2.</w:t>
      </w:r>
      <w:r>
        <w:rPr>
          <w:rFonts w:hint="eastAsia" w:ascii="宋体" w:hAnsi="宋体" w:cs="宋体"/>
          <w:sz w:val="24"/>
          <w:szCs w:val="24"/>
        </w:rPr>
        <w:t>落实政府采购政策需满</w:t>
      </w:r>
      <w:r>
        <w:rPr>
          <w:rFonts w:hint="eastAsia" w:ascii="宋体" w:hAnsi="宋体" w:cs="宋体"/>
          <w:sz w:val="24"/>
          <w:szCs w:val="24"/>
          <w:highlight w:val="none"/>
        </w:rPr>
        <w:t>足的资格要求：</w:t>
      </w:r>
      <w:r>
        <w:rPr>
          <w:rFonts w:ascii="宋体" w:hAnsi="宋体" w:cs="宋体"/>
          <w:sz w:val="24"/>
          <w:szCs w:val="24"/>
          <w:highlight w:val="none"/>
        </w:rPr>
        <w:t>/</w:t>
      </w:r>
      <w:r>
        <w:rPr>
          <w:rFonts w:hint="eastAsia" w:ascii="宋体" w:hAnsi="宋体" w:cs="宋体"/>
          <w:sz w:val="24"/>
          <w:szCs w:val="24"/>
          <w:highlight w:val="none"/>
        </w:rPr>
        <w:t>。</w:t>
      </w:r>
    </w:p>
    <w:p w14:paraId="1A73B04D">
      <w:pPr>
        <w:keepNext/>
        <w:keepLines/>
        <w:widowControl/>
        <w:spacing w:line="450" w:lineRule="exact"/>
        <w:ind w:firstLine="480" w:firstLineChars="200"/>
        <w:rPr>
          <w:rFonts w:ascii="宋体" w:cs="Times New Roman"/>
          <w:sz w:val="24"/>
          <w:szCs w:val="24"/>
        </w:rPr>
      </w:pPr>
      <w:r>
        <w:rPr>
          <w:rFonts w:ascii="宋体" w:hAnsi="宋体" w:cs="宋体"/>
          <w:sz w:val="24"/>
          <w:szCs w:val="24"/>
          <w:highlight w:val="none"/>
        </w:rPr>
        <w:t>3.</w:t>
      </w:r>
      <w:r>
        <w:rPr>
          <w:rFonts w:hint="eastAsia" w:ascii="宋体" w:hAnsi="宋体" w:cs="宋体"/>
          <w:sz w:val="24"/>
          <w:szCs w:val="24"/>
          <w:highlight w:val="none"/>
        </w:rPr>
        <w:t>本项目的特定资格要求：投标供应商具有规划行业设计甲级资质。</w:t>
      </w:r>
    </w:p>
    <w:p w14:paraId="3484AB21">
      <w:pPr>
        <w:pStyle w:val="2"/>
        <w:keepLines/>
        <w:widowControl/>
        <w:tabs>
          <w:tab w:val="left" w:pos="0"/>
          <w:tab w:val="left" w:pos="3165"/>
          <w:tab w:val="center" w:pos="4153"/>
        </w:tabs>
        <w:spacing w:line="500" w:lineRule="exact"/>
        <w:ind w:firstLine="482"/>
        <w:jc w:val="left"/>
        <w:rPr>
          <w:rFonts w:ascii="宋体" w:hAnsi="宋体" w:eastAsia="宋体" w:cs="Times New Roman"/>
          <w:b/>
          <w:bCs/>
          <w:sz w:val="24"/>
          <w:szCs w:val="24"/>
        </w:rPr>
      </w:pPr>
      <w:bookmarkStart w:id="12" w:name="_Toc35393792"/>
      <w:bookmarkStart w:id="13" w:name="_Toc35393623"/>
      <w:r>
        <w:rPr>
          <w:rFonts w:hint="eastAsia" w:ascii="宋体" w:hAnsi="宋体" w:eastAsia="宋体" w:cs="宋体"/>
          <w:b/>
          <w:bCs/>
          <w:sz w:val="24"/>
          <w:szCs w:val="24"/>
        </w:rPr>
        <w:t>三、获取招标文件</w:t>
      </w:r>
      <w:bookmarkEnd w:id="10"/>
      <w:bookmarkEnd w:id="11"/>
      <w:bookmarkEnd w:id="12"/>
      <w:bookmarkEnd w:id="13"/>
      <w:bookmarkStart w:id="14" w:name="QLCZYSX_1"/>
      <w:bookmarkEnd w:id="14"/>
      <w:bookmarkStart w:id="15" w:name="_Toc42249797"/>
      <w:bookmarkEnd w:id="15"/>
      <w:bookmarkStart w:id="16" w:name="_Toc42249844"/>
      <w:bookmarkEnd w:id="16"/>
    </w:p>
    <w:p w14:paraId="10949560">
      <w:pPr>
        <w:keepNext/>
        <w:keepLines/>
        <w:widowControl/>
        <w:spacing w:line="500" w:lineRule="exact"/>
        <w:ind w:firstLine="480"/>
        <w:rPr>
          <w:rFonts w:ascii="宋体" w:cs="Times New Roman"/>
          <w:sz w:val="24"/>
          <w:szCs w:val="24"/>
        </w:rPr>
      </w:pPr>
      <w:bookmarkStart w:id="17" w:name="_Toc28359005"/>
      <w:bookmarkStart w:id="18" w:name="_Toc28359082"/>
      <w:bookmarkStart w:id="19" w:name="_Toc35393793"/>
      <w:bookmarkStart w:id="20" w:name="_Toc35393624"/>
      <w:r>
        <w:rPr>
          <w:rFonts w:hint="eastAsia" w:ascii="宋体" w:hAnsi="宋体" w:cs="宋体"/>
          <w:sz w:val="24"/>
          <w:szCs w:val="24"/>
        </w:rPr>
        <w:t>时间：自招标文件公告发布之日起</w:t>
      </w:r>
      <w:r>
        <w:rPr>
          <w:rFonts w:ascii="宋体" w:hAnsi="宋体" w:cs="宋体"/>
          <w:sz w:val="24"/>
          <w:szCs w:val="24"/>
        </w:rPr>
        <w:t>5</w:t>
      </w:r>
      <w:r>
        <w:rPr>
          <w:rFonts w:hint="eastAsia" w:ascii="宋体" w:hAnsi="宋体" w:cs="宋体"/>
          <w:sz w:val="24"/>
          <w:szCs w:val="24"/>
        </w:rPr>
        <w:t>个工作日</w:t>
      </w:r>
      <w:r>
        <w:rPr>
          <w:rFonts w:ascii="宋体" w:cs="Times New Roman"/>
          <w:sz w:val="24"/>
          <w:szCs w:val="24"/>
        </w:rPr>
        <w:t> </w:t>
      </w:r>
    </w:p>
    <w:p w14:paraId="4928B57B">
      <w:pPr>
        <w:keepNext/>
        <w:keepLines/>
        <w:widowControl/>
        <w:spacing w:line="500" w:lineRule="exact"/>
        <w:ind w:firstLine="480"/>
        <w:rPr>
          <w:rFonts w:ascii="宋体" w:cs="Times New Roman"/>
          <w:sz w:val="24"/>
          <w:szCs w:val="24"/>
        </w:rPr>
      </w:pPr>
      <w:r>
        <w:rPr>
          <w:rFonts w:hint="eastAsia" w:ascii="宋体" w:hAnsi="宋体" w:cs="宋体"/>
          <w:sz w:val="24"/>
          <w:szCs w:val="24"/>
        </w:rPr>
        <w:t>地点：“苏采云”系统内免费下载（投标人必须在苏采云系统中获取采购文件，方能参与政府采购项目）</w:t>
      </w:r>
    </w:p>
    <w:p w14:paraId="7BBA9E80">
      <w:pPr>
        <w:keepNext/>
        <w:keepLines/>
        <w:widowControl/>
        <w:spacing w:line="500" w:lineRule="exact"/>
        <w:ind w:firstLine="480"/>
        <w:rPr>
          <w:rFonts w:ascii="宋体" w:cs="Times New Roman"/>
          <w:sz w:val="24"/>
          <w:szCs w:val="24"/>
        </w:rPr>
      </w:pPr>
      <w:r>
        <w:rPr>
          <w:rFonts w:hint="eastAsia" w:ascii="宋体" w:hAnsi="宋体" w:cs="宋体"/>
          <w:sz w:val="24"/>
          <w:szCs w:val="24"/>
        </w:rPr>
        <w:t>方式：本项目采用网上注册登记方式。</w:t>
      </w:r>
      <w:r>
        <w:rPr>
          <w:rFonts w:ascii="宋体" w:hAnsi="宋体" w:cs="宋体"/>
          <w:sz w:val="24"/>
          <w:szCs w:val="24"/>
        </w:rPr>
        <w:t xml:space="preserve"> </w:t>
      </w:r>
    </w:p>
    <w:p w14:paraId="4E40138F">
      <w:pPr>
        <w:keepNext/>
        <w:keepLines/>
        <w:widowControl/>
        <w:spacing w:line="500" w:lineRule="exact"/>
        <w:ind w:firstLine="480"/>
        <w:rPr>
          <w:rFonts w:ascii="宋体" w:cs="Times New Roman"/>
          <w:sz w:val="24"/>
          <w:szCs w:val="24"/>
        </w:rPr>
      </w:pPr>
      <w:r>
        <w:rPr>
          <w:rFonts w:hint="eastAsia" w:ascii="宋体" w:hAnsi="宋体" w:cs="宋体"/>
          <w:sz w:val="24"/>
          <w:szCs w:val="24"/>
        </w:rPr>
        <w:t>售价：</w:t>
      </w:r>
      <w:r>
        <w:rPr>
          <w:rFonts w:ascii="宋体" w:cs="宋体"/>
          <w:sz w:val="24"/>
          <w:szCs w:val="24"/>
        </w:rPr>
        <w:t>0.00</w:t>
      </w:r>
      <w:r>
        <w:rPr>
          <w:rFonts w:hint="eastAsia" w:ascii="宋体" w:hAnsi="宋体" w:cs="宋体"/>
          <w:sz w:val="24"/>
          <w:szCs w:val="24"/>
        </w:rPr>
        <w:t>元</w:t>
      </w:r>
      <w:bookmarkEnd w:id="17"/>
      <w:bookmarkEnd w:id="18"/>
      <w:bookmarkEnd w:id="19"/>
      <w:bookmarkEnd w:id="20"/>
    </w:p>
    <w:p w14:paraId="7EFB1EC5">
      <w:pPr>
        <w:keepNext/>
        <w:keepLines/>
        <w:widowControl/>
        <w:spacing w:line="500" w:lineRule="exact"/>
        <w:ind w:firstLine="482"/>
        <w:rPr>
          <w:rFonts w:ascii="宋体" w:cs="Times New Roman"/>
          <w:b/>
          <w:bCs/>
          <w:sz w:val="24"/>
          <w:szCs w:val="24"/>
        </w:rPr>
      </w:pPr>
      <w:bookmarkStart w:id="21" w:name="_Toc28359084"/>
      <w:bookmarkStart w:id="22" w:name="_Toc35393794"/>
      <w:bookmarkStart w:id="23" w:name="_Toc35393625"/>
      <w:bookmarkStart w:id="24" w:name="_Toc28359007"/>
      <w:r>
        <w:rPr>
          <w:rFonts w:hint="eastAsia" w:ascii="宋体" w:hAnsi="宋体" w:cs="宋体"/>
          <w:b/>
          <w:bCs/>
          <w:sz w:val="24"/>
          <w:szCs w:val="24"/>
        </w:rPr>
        <w:t>四、提交投标文件截止时间、开标时间和地点</w:t>
      </w:r>
    </w:p>
    <w:p w14:paraId="0862E8EA">
      <w:pPr>
        <w:keepNext/>
        <w:keepLines/>
        <w:widowControl/>
        <w:spacing w:line="500" w:lineRule="exact"/>
        <w:ind w:firstLine="480"/>
        <w:rPr>
          <w:rFonts w:ascii="宋体" w:cs="Times New Roman"/>
          <w:sz w:val="24"/>
          <w:szCs w:val="24"/>
        </w:rPr>
      </w:pPr>
      <w:r>
        <w:rPr>
          <w:rFonts w:ascii="宋体" w:hAnsi="宋体" w:cs="宋体"/>
          <w:sz w:val="24"/>
          <w:szCs w:val="24"/>
        </w:rPr>
        <w:t>2026-</w:t>
      </w:r>
      <w:r>
        <w:rPr>
          <w:rFonts w:hint="eastAsia" w:ascii="宋体" w:hAnsi="宋体" w:cs="宋体"/>
          <w:sz w:val="24"/>
          <w:szCs w:val="24"/>
          <w:lang w:val="en-US" w:eastAsia="zh-CN"/>
        </w:rPr>
        <w:t>6</w:t>
      </w:r>
      <w:r>
        <w:rPr>
          <w:rFonts w:ascii="宋体" w:hAnsi="宋体" w:cs="宋体"/>
          <w:sz w:val="24"/>
          <w:szCs w:val="24"/>
        </w:rPr>
        <w:t>-</w:t>
      </w:r>
      <w:r>
        <w:rPr>
          <w:rFonts w:hint="eastAsia" w:ascii="宋体" w:hAnsi="宋体" w:cs="宋体"/>
          <w:sz w:val="24"/>
          <w:szCs w:val="24"/>
          <w:lang w:val="en-US" w:eastAsia="zh-CN"/>
        </w:rPr>
        <w:t>12</w:t>
      </w:r>
      <w:r>
        <w:rPr>
          <w:rFonts w:ascii="宋体" w:hAnsi="宋体" w:cs="宋体"/>
          <w:sz w:val="24"/>
          <w:szCs w:val="24"/>
        </w:rPr>
        <w:t xml:space="preserve"> 15:00 </w:t>
      </w:r>
      <w:r>
        <w:rPr>
          <w:rFonts w:hint="eastAsia" w:ascii="宋体" w:hAnsi="宋体" w:cs="宋体"/>
          <w:sz w:val="24"/>
          <w:szCs w:val="24"/>
        </w:rPr>
        <w:t>（北京时间）</w:t>
      </w:r>
    </w:p>
    <w:p w14:paraId="2953C00B">
      <w:pPr>
        <w:keepNext/>
        <w:keepLines/>
        <w:widowControl/>
        <w:spacing w:line="500" w:lineRule="exact"/>
        <w:ind w:firstLine="480"/>
        <w:rPr>
          <w:rFonts w:ascii="宋体" w:cs="Times New Roman"/>
          <w:sz w:val="24"/>
          <w:szCs w:val="24"/>
        </w:rPr>
      </w:pPr>
      <w:r>
        <w:rPr>
          <w:rFonts w:hint="eastAsia" w:ascii="宋体" w:hAnsi="宋体" w:cs="宋体"/>
          <w:sz w:val="24"/>
          <w:szCs w:val="24"/>
        </w:rPr>
        <w:t>地点：苏采云“不见面”开标大厅</w:t>
      </w:r>
    </w:p>
    <w:p w14:paraId="5D1F6B54">
      <w:pPr>
        <w:keepNext/>
        <w:keepLines/>
        <w:widowControl/>
        <w:spacing w:line="500" w:lineRule="exact"/>
        <w:ind w:firstLine="482"/>
        <w:rPr>
          <w:rFonts w:ascii="宋体" w:cs="Times New Roman"/>
          <w:b/>
          <w:bCs/>
          <w:sz w:val="24"/>
          <w:szCs w:val="24"/>
        </w:rPr>
      </w:pPr>
      <w:r>
        <w:rPr>
          <w:rFonts w:hint="eastAsia" w:ascii="宋体" w:hAnsi="宋体" w:cs="宋体"/>
          <w:b/>
          <w:bCs/>
          <w:sz w:val="24"/>
          <w:szCs w:val="24"/>
        </w:rPr>
        <w:t>五、公告期限</w:t>
      </w:r>
      <w:bookmarkEnd w:id="21"/>
      <w:bookmarkEnd w:id="22"/>
      <w:bookmarkEnd w:id="23"/>
      <w:bookmarkEnd w:id="24"/>
    </w:p>
    <w:p w14:paraId="44E7E39E">
      <w:pPr>
        <w:keepNext/>
        <w:keepLines/>
        <w:widowControl/>
        <w:spacing w:line="500" w:lineRule="exact"/>
        <w:ind w:firstLine="480"/>
        <w:rPr>
          <w:rFonts w:ascii="宋体" w:cs="Times New Roman"/>
          <w:sz w:val="24"/>
          <w:szCs w:val="24"/>
        </w:rPr>
      </w:pPr>
      <w:r>
        <w:rPr>
          <w:rFonts w:hint="eastAsia" w:ascii="宋体" w:hAnsi="宋体" w:cs="宋体"/>
          <w:sz w:val="24"/>
          <w:szCs w:val="24"/>
        </w:rPr>
        <w:t>自本公告发布之日起</w:t>
      </w:r>
      <w:r>
        <w:rPr>
          <w:rFonts w:ascii="宋体" w:hAnsi="宋体" w:cs="宋体"/>
          <w:sz w:val="24"/>
          <w:szCs w:val="24"/>
        </w:rPr>
        <w:t>5</w:t>
      </w:r>
      <w:r>
        <w:rPr>
          <w:rFonts w:hint="eastAsia" w:ascii="宋体" w:hAnsi="宋体" w:cs="宋体"/>
          <w:sz w:val="24"/>
          <w:szCs w:val="24"/>
        </w:rPr>
        <w:t>个工作日。</w:t>
      </w:r>
      <w:bookmarkStart w:id="25" w:name="_Toc35393795"/>
      <w:bookmarkEnd w:id="25"/>
      <w:bookmarkStart w:id="26" w:name="_Toc35393626"/>
      <w:bookmarkEnd w:id="26"/>
    </w:p>
    <w:p w14:paraId="37B291A5">
      <w:pPr>
        <w:keepNext/>
        <w:keepLines/>
        <w:widowControl/>
        <w:numPr>
          <w:ilvl w:val="0"/>
          <w:numId w:val="1"/>
        </w:numPr>
        <w:spacing w:line="500" w:lineRule="exact"/>
        <w:ind w:firstLine="482"/>
        <w:rPr>
          <w:rFonts w:ascii="宋体" w:cs="Times New Roman"/>
          <w:b/>
          <w:bCs/>
          <w:sz w:val="24"/>
          <w:szCs w:val="24"/>
        </w:rPr>
      </w:pPr>
      <w:bookmarkStart w:id="27" w:name="_Toc35393796"/>
      <w:bookmarkStart w:id="28" w:name="_Toc28359008"/>
      <w:bookmarkStart w:id="29" w:name="_Toc28359085"/>
      <w:bookmarkStart w:id="30" w:name="_Toc35393627"/>
      <w:r>
        <w:rPr>
          <w:rFonts w:hint="eastAsia" w:ascii="宋体" w:hAnsi="宋体" w:cs="宋体"/>
          <w:b/>
          <w:bCs/>
          <w:sz w:val="24"/>
          <w:szCs w:val="24"/>
        </w:rPr>
        <w:t>其他补充事宜</w:t>
      </w:r>
    </w:p>
    <w:p w14:paraId="3DC3D1BA">
      <w:pPr>
        <w:pStyle w:val="44"/>
        <w:pageBreakBefore w:val="0"/>
        <w:kinsoku/>
        <w:wordWrap/>
        <w:overflowPunct/>
        <w:topLinePunct w:val="0"/>
        <w:autoSpaceDE/>
        <w:autoSpaceDN/>
        <w:bidi w:val="0"/>
        <w:adjustRightInd/>
        <w:snapToGrid/>
        <w:spacing w:before="0" w:beforeAutospacing="0" w:after="0" w:afterAutospacing="0" w:line="440" w:lineRule="exact"/>
        <w:ind w:firstLine="498"/>
        <w:textAlignment w:val="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w:t>
      </w:r>
      <w:r>
        <w:rPr>
          <w:rFonts w:hint="eastAsia"/>
          <w:color w:val="000000" w:themeColor="text1"/>
          <w:highlight w:val="none"/>
          <w14:textFill>
            <w14:solidFill>
              <w14:schemeClr w14:val="tx1"/>
            </w14:solidFill>
          </w14:textFill>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0B125705">
      <w:pPr>
        <w:pStyle w:val="44"/>
        <w:pageBreakBefore w:val="0"/>
        <w:kinsoku/>
        <w:wordWrap/>
        <w:overflowPunct/>
        <w:topLinePunct w:val="0"/>
        <w:autoSpaceDE/>
        <w:autoSpaceDN/>
        <w:bidi w:val="0"/>
        <w:adjustRightInd/>
        <w:snapToGrid/>
        <w:spacing w:before="0" w:beforeAutospacing="0" w:after="0" w:afterAutospacing="0" w:line="440" w:lineRule="exact"/>
        <w:ind w:firstLine="498"/>
        <w:textAlignment w:val="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14:textFill>
            <w14:solidFill>
              <w14:schemeClr w14:val="tx1"/>
            </w14:solidFill>
          </w14:textFill>
        </w:rPr>
        <w:t>领取CA和办理电子签章（请至盐城市盐都区府西路1号盐城市政务服务中心4楼盐城市公共资源交易中心10号、11号窗口，联系电话：15051556883，办理邮箱：yancheng@ideabank.net.cn，具体</w:t>
      </w:r>
      <w:r>
        <w:rPr>
          <w:rFonts w:hint="eastAsia"/>
          <w:color w:val="000000" w:themeColor="text1"/>
          <w:highlight w:val="none"/>
          <w:lang w:val="en-US" w:eastAsia="zh-CN"/>
          <w14:textFill>
            <w14:solidFill>
              <w14:schemeClr w14:val="tx1"/>
            </w14:solidFill>
          </w14:textFill>
        </w:rPr>
        <w:t>系统操作</w:t>
      </w:r>
      <w:r>
        <w:rPr>
          <w:rFonts w:hint="eastAsia"/>
          <w:color w:val="000000" w:themeColor="text1"/>
          <w:highlight w:val="none"/>
          <w14:textFill>
            <w14:solidFill>
              <w14:schemeClr w14:val="tx1"/>
            </w14:solidFill>
          </w14:textFill>
        </w:rPr>
        <w:t>见《苏采云系统供应商操作手册》（以下简称《操作手册》））、进行注册并按《操作手册》要求制作、上传电子</w:t>
      </w:r>
      <w:r>
        <w:rPr>
          <w:rFonts w:hint="eastAsia"/>
          <w:color w:val="000000" w:themeColor="text1"/>
          <w:highlight w:val="none"/>
          <w:lang w:val="en-US" w:eastAsia="zh-CN"/>
          <w14:textFill>
            <w14:solidFill>
              <w14:schemeClr w14:val="tx1"/>
            </w14:solidFill>
          </w14:textFill>
        </w:rPr>
        <w:t>响应</w:t>
      </w:r>
      <w:r>
        <w:rPr>
          <w:rFonts w:hint="eastAsia"/>
          <w:color w:val="000000" w:themeColor="text1"/>
          <w:highlight w:val="none"/>
          <w14:textFill>
            <w14:solidFill>
              <w14:schemeClr w14:val="tx1"/>
            </w14:solidFill>
          </w14:textFill>
        </w:rPr>
        <w:t>文件,《苏采云系统供应商操作手册》</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手册下载地址：苏采云系统-右侧消息通知栏</w:t>
      </w:r>
      <w:r>
        <w:rPr>
          <w:rFonts w:hint="eastAsia"/>
          <w:color w:val="000000" w:themeColor="text1"/>
          <w:highlight w:val="none"/>
          <w14:textFill>
            <w14:solidFill>
              <w14:schemeClr w14:val="tx1"/>
            </w14:solidFill>
          </w14:textFill>
        </w:rPr>
        <w:t>。</w:t>
      </w:r>
    </w:p>
    <w:p w14:paraId="62FBFB29">
      <w:pPr>
        <w:pStyle w:val="44"/>
        <w:pageBreakBefore w:val="0"/>
        <w:kinsoku/>
        <w:wordWrap/>
        <w:overflowPunct/>
        <w:topLinePunct w:val="0"/>
        <w:autoSpaceDE/>
        <w:autoSpaceDN/>
        <w:bidi w:val="0"/>
        <w:adjustRightInd/>
        <w:snapToGrid/>
        <w:spacing w:before="0" w:beforeAutospacing="0" w:after="0" w:afterAutospacing="0" w:line="440" w:lineRule="exact"/>
        <w:ind w:firstLine="498"/>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潜在供应商访问电子招标响应交易平台的网络地址和方法： </w:t>
      </w:r>
    </w:p>
    <w:p w14:paraId="4B1127CC">
      <w:pPr>
        <w:pStyle w:val="44"/>
        <w:pageBreakBefore w:val="0"/>
        <w:kinsoku/>
        <w:wordWrap/>
        <w:overflowPunct/>
        <w:topLinePunct w:val="0"/>
        <w:autoSpaceDE/>
        <w:autoSpaceDN/>
        <w:bidi w:val="0"/>
        <w:adjustRightInd/>
        <w:snapToGrid/>
        <w:spacing w:before="0" w:beforeAutospacing="0" w:after="0" w:afterAutospacing="0" w:line="440" w:lineRule="exact"/>
        <w:ind w:firstLine="498"/>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1E06A891">
      <w:pPr>
        <w:pStyle w:val="44"/>
        <w:pageBreakBefore w:val="0"/>
        <w:kinsoku/>
        <w:wordWrap/>
        <w:overflowPunct/>
        <w:topLinePunct w:val="0"/>
        <w:autoSpaceDE/>
        <w:autoSpaceDN/>
        <w:bidi w:val="0"/>
        <w:adjustRightInd/>
        <w:snapToGrid/>
        <w:spacing w:before="0" w:beforeAutospacing="0" w:after="0" w:afterAutospacing="0" w:line="440" w:lineRule="exact"/>
        <w:ind w:firstLine="498"/>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 潜在投标人访问“苏采云”系统方法：江苏省政府采购网首页-“苏采云”链接。 </w:t>
      </w:r>
    </w:p>
    <w:p w14:paraId="7CCCE52C">
      <w:pPr>
        <w:pStyle w:val="44"/>
        <w:pageBreakBefore w:val="0"/>
        <w:kinsoku/>
        <w:wordWrap/>
        <w:overflowPunct/>
        <w:topLinePunct w:val="0"/>
        <w:autoSpaceDE/>
        <w:autoSpaceDN/>
        <w:bidi w:val="0"/>
        <w:adjustRightInd/>
        <w:snapToGrid/>
        <w:spacing w:before="0" w:beforeAutospacing="0" w:after="0" w:afterAutospacing="0" w:line="440" w:lineRule="exact"/>
        <w:ind w:firstLine="498"/>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2.3 采购文件（后缀名为“.kedt”）、供应商操作手册及政府采购客户端 工具可通过“苏采云”系统相应链接进行下载。 </w:t>
      </w:r>
    </w:p>
    <w:p w14:paraId="28B3E1C3">
      <w:pPr>
        <w:pStyle w:val="44"/>
        <w:pageBreakBefore w:val="0"/>
        <w:kinsoku/>
        <w:wordWrap/>
        <w:overflowPunct/>
        <w:topLinePunct w:val="0"/>
        <w:autoSpaceDE/>
        <w:autoSpaceDN/>
        <w:bidi w:val="0"/>
        <w:adjustRightInd/>
        <w:snapToGrid/>
        <w:spacing w:before="0" w:beforeAutospacing="0" w:after="0" w:afterAutospacing="0" w:line="440" w:lineRule="exact"/>
        <w:ind w:firstLine="498"/>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2.4 采购代理机构将数据电文形式的采购文件加载至“苏采云”系统，供潜在供应商下载或者查阅。 </w:t>
      </w:r>
    </w:p>
    <w:p w14:paraId="75F77AEF">
      <w:pPr>
        <w:pStyle w:val="44"/>
        <w:keepNext/>
        <w:keepLines/>
        <w:pageBreakBefore w:val="0"/>
        <w:kinsoku/>
        <w:wordWrap/>
        <w:overflowPunct/>
        <w:topLinePunct w:val="0"/>
        <w:autoSpaceDE/>
        <w:autoSpaceDN/>
        <w:bidi w:val="0"/>
        <w:adjustRightInd/>
        <w:snapToGrid/>
        <w:spacing w:before="0" w:beforeAutospacing="0" w:after="0" w:afterAutospacing="0" w:line="440" w:lineRule="exact"/>
        <w:ind w:firstLine="498"/>
        <w:jc w:val="both"/>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2.5 请潜在投标单位提前安装相应的控件（详见《“苏采云”系统供应商操作手册》）并使用谷歌浏览器登录“苏采云”系统参与不见面开评标。 </w:t>
      </w:r>
    </w:p>
    <w:p w14:paraId="138068AE">
      <w:pPr>
        <w:pStyle w:val="44"/>
        <w:keepNext/>
        <w:keepLines/>
        <w:pageBreakBefore w:val="0"/>
        <w:kinsoku/>
        <w:wordWrap/>
        <w:overflowPunct/>
        <w:topLinePunct w:val="0"/>
        <w:autoSpaceDE/>
        <w:autoSpaceDN/>
        <w:bidi w:val="0"/>
        <w:adjustRightInd/>
        <w:snapToGrid/>
        <w:spacing w:before="0" w:beforeAutospacing="0" w:after="0" w:afterAutospacing="0" w:line="440" w:lineRule="exact"/>
        <w:ind w:firstLine="498"/>
        <w:jc w:val="both"/>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如潜在投标人未按上述要求操作，将自行承担所产生的风险。</w:t>
      </w:r>
    </w:p>
    <w:p w14:paraId="52340FE7">
      <w:pPr>
        <w:pStyle w:val="44"/>
        <w:keepNext/>
        <w:keepLines/>
        <w:pageBreakBefore w:val="0"/>
        <w:kinsoku/>
        <w:wordWrap/>
        <w:overflowPunct/>
        <w:topLinePunct w:val="0"/>
        <w:autoSpaceDE/>
        <w:autoSpaceDN/>
        <w:bidi w:val="0"/>
        <w:adjustRightInd/>
        <w:snapToGrid/>
        <w:spacing w:before="0" w:beforeAutospacing="0" w:after="0" w:afterAutospacing="0" w:line="440" w:lineRule="exact"/>
        <w:ind w:firstLine="498"/>
        <w:jc w:val="both"/>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3.有关本次招标的事项若存在变动或修改，敬请及时关注采购代理机构在“中国政府采购网”“江苏政府采购网”“盐城市政府采购网”发布的更正公告。</w:t>
      </w:r>
    </w:p>
    <w:p w14:paraId="3342646D">
      <w:pPr>
        <w:pStyle w:val="44"/>
        <w:keepLines w:val="0"/>
        <w:pageBreakBefore w:val="0"/>
        <w:shd w:val="clear" w:color="auto" w:fill="FFFFFF"/>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cs="宋体"/>
          <w:kern w:val="2"/>
          <w:highlight w:val="none"/>
        </w:rPr>
      </w:pPr>
      <w:r>
        <w:rPr>
          <w:rFonts w:hint="eastAsia" w:cs="宋体"/>
          <w:kern w:val="2"/>
          <w:highlight w:val="none"/>
        </w:rPr>
        <w:t>4.本次招标不收取投标保证金，不收取质量保证金。</w:t>
      </w:r>
    </w:p>
    <w:p w14:paraId="4CE396E3">
      <w:pPr>
        <w:pStyle w:val="44"/>
        <w:keepLines w:val="0"/>
        <w:pageBreakBefore w:val="0"/>
        <w:shd w:val="clear" w:color="auto" w:fill="FFFFFF"/>
        <w:kinsoku/>
        <w:wordWrap/>
        <w:overflowPunct/>
        <w:topLinePunct w:val="0"/>
        <w:autoSpaceDE/>
        <w:autoSpaceDN/>
        <w:bidi w:val="0"/>
        <w:adjustRightInd/>
        <w:snapToGrid/>
        <w:spacing w:before="0" w:beforeAutospacing="0" w:after="0" w:afterAutospacing="0" w:line="440" w:lineRule="exact"/>
        <w:ind w:firstLine="482" w:firstLineChars="200"/>
        <w:jc w:val="both"/>
        <w:textAlignment w:val="auto"/>
        <w:rPr>
          <w:rFonts w:hint="eastAsia" w:ascii="宋体" w:hAnsi="宋体" w:cs="宋体"/>
          <w:b/>
          <w:bCs/>
          <w:sz w:val="24"/>
          <w:szCs w:val="24"/>
        </w:rPr>
      </w:pPr>
      <w:r>
        <w:rPr>
          <w:rFonts w:hint="eastAsia" w:hAnsi="宋体" w:cs="宋体"/>
          <w:b/>
          <w:bCs/>
          <w:sz w:val="24"/>
          <w:szCs w:val="24"/>
          <w:lang w:val="en-US" w:eastAsia="zh-CN"/>
        </w:rPr>
        <w:t>七、</w:t>
      </w:r>
      <w:r>
        <w:rPr>
          <w:rFonts w:hint="eastAsia" w:ascii="宋体" w:hAnsi="宋体" w:cs="宋体"/>
          <w:b/>
          <w:bCs/>
          <w:sz w:val="24"/>
          <w:szCs w:val="24"/>
        </w:rPr>
        <w:t>对本次招标提出询问，请按以下方式联系。</w:t>
      </w:r>
      <w:bookmarkEnd w:id="27"/>
      <w:bookmarkEnd w:id="28"/>
      <w:bookmarkEnd w:id="29"/>
      <w:bookmarkEnd w:id="30"/>
      <w:bookmarkStart w:id="31" w:name="_Toc35393806"/>
      <w:bookmarkStart w:id="32" w:name="_Toc28359096"/>
      <w:bookmarkStart w:id="33" w:name="_Toc35393637"/>
      <w:bookmarkStart w:id="34" w:name="_Toc28359019"/>
    </w:p>
    <w:p w14:paraId="4C769839">
      <w:pPr>
        <w:pStyle w:val="44"/>
        <w:keepLines w:val="0"/>
        <w:pageBreakBefore w:val="0"/>
        <w:numPr>
          <w:ilvl w:val="0"/>
          <w:numId w:val="2"/>
        </w:numPr>
        <w:shd w:val="clear" w:color="auto" w:fill="FFFFFF"/>
        <w:kinsoku/>
        <w:wordWrap/>
        <w:overflowPunct/>
        <w:topLinePunct w:val="0"/>
        <w:autoSpaceDE/>
        <w:autoSpaceDN/>
        <w:bidi w:val="0"/>
        <w:adjustRightInd/>
        <w:snapToGrid/>
        <w:spacing w:before="0" w:beforeAutospacing="0" w:after="0" w:afterAutospacing="0" w:line="440" w:lineRule="exact"/>
        <w:ind w:firstLine="482" w:firstLineChars="200"/>
        <w:jc w:val="both"/>
        <w:textAlignment w:val="auto"/>
        <w:rPr>
          <w:rFonts w:hint="eastAsia" w:ascii="宋体" w:hAnsi="宋体" w:cs="宋体"/>
          <w:b/>
          <w:bCs/>
          <w:sz w:val="24"/>
          <w:szCs w:val="24"/>
        </w:rPr>
      </w:pPr>
      <w:r>
        <w:rPr>
          <w:rFonts w:hint="eastAsia" w:ascii="宋体" w:hAnsi="宋体" w:cs="宋体"/>
          <w:b/>
          <w:bCs/>
          <w:sz w:val="24"/>
          <w:szCs w:val="24"/>
        </w:rPr>
        <w:t>采购人信息</w:t>
      </w:r>
      <w:bookmarkEnd w:id="31"/>
      <w:bookmarkEnd w:id="32"/>
      <w:bookmarkEnd w:id="33"/>
      <w:bookmarkEnd w:id="34"/>
    </w:p>
    <w:p w14:paraId="5E2ED080">
      <w:pPr>
        <w:pStyle w:val="44"/>
        <w:keepLines w:val="0"/>
        <w:pageBreakBefore w:val="0"/>
        <w:numPr>
          <w:ilvl w:val="0"/>
          <w:numId w:val="0"/>
        </w:numPr>
        <w:shd w:val="clear" w:color="auto" w:fill="FFFFFF"/>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ascii="宋体" w:hAnsi="宋体" w:cs="宋体"/>
          <w:sz w:val="24"/>
          <w:szCs w:val="24"/>
        </w:rPr>
      </w:pPr>
      <w:r>
        <w:rPr>
          <w:rFonts w:hint="eastAsia" w:ascii="宋体" w:hAnsi="宋体" w:cs="宋体"/>
          <w:sz w:val="24"/>
          <w:szCs w:val="24"/>
        </w:rPr>
        <w:t>名</w:t>
      </w:r>
      <w:r>
        <w:rPr>
          <w:rFonts w:ascii="宋体" w:hAnsi="宋体" w:cs="宋体"/>
          <w:sz w:val="24"/>
          <w:szCs w:val="24"/>
        </w:rPr>
        <w:t xml:space="preserve">    </w:t>
      </w:r>
      <w:r>
        <w:rPr>
          <w:rFonts w:hint="eastAsia" w:ascii="宋体" w:hAnsi="宋体" w:cs="宋体"/>
          <w:sz w:val="24"/>
          <w:szCs w:val="24"/>
        </w:rPr>
        <w:t>称：盐城市自然资源和规划局</w:t>
      </w:r>
    </w:p>
    <w:p w14:paraId="16DE40CA">
      <w:pPr>
        <w:pStyle w:val="44"/>
        <w:keepLines w:val="0"/>
        <w:pageBreakBefore w:val="0"/>
        <w:numPr>
          <w:ilvl w:val="0"/>
          <w:numId w:val="0"/>
        </w:numPr>
        <w:shd w:val="clear" w:color="auto" w:fill="FFFFFF"/>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ascii="宋体" w:hAnsi="宋体" w:cs="宋体"/>
          <w:sz w:val="24"/>
          <w:szCs w:val="24"/>
        </w:rPr>
      </w:pPr>
      <w:r>
        <w:rPr>
          <w:rFonts w:hint="eastAsia" w:ascii="宋体" w:hAnsi="宋体" w:cs="宋体"/>
          <w:sz w:val="24"/>
          <w:szCs w:val="24"/>
        </w:rPr>
        <w:t>地</w:t>
      </w:r>
      <w:r>
        <w:rPr>
          <w:rFonts w:ascii="宋体" w:hAnsi="宋体" w:cs="宋体"/>
          <w:sz w:val="24"/>
          <w:szCs w:val="24"/>
        </w:rPr>
        <w:t xml:space="preserve">    </w:t>
      </w:r>
      <w:r>
        <w:rPr>
          <w:rFonts w:hint="eastAsia" w:ascii="宋体" w:hAnsi="宋体" w:cs="宋体"/>
          <w:sz w:val="24"/>
          <w:szCs w:val="24"/>
        </w:rPr>
        <w:t>址：盐城市亭湖区毓龙东路</w:t>
      </w:r>
      <w:r>
        <w:rPr>
          <w:rFonts w:ascii="宋体" w:hAnsi="宋体" w:cs="宋体"/>
          <w:sz w:val="24"/>
          <w:szCs w:val="24"/>
        </w:rPr>
        <w:t>59</w:t>
      </w:r>
      <w:r>
        <w:rPr>
          <w:rFonts w:hint="eastAsia" w:ascii="宋体" w:hAnsi="宋体" w:cs="宋体"/>
          <w:sz w:val="24"/>
          <w:szCs w:val="24"/>
        </w:rPr>
        <w:t>号</w:t>
      </w:r>
    </w:p>
    <w:p w14:paraId="034FE26B">
      <w:pPr>
        <w:pStyle w:val="44"/>
        <w:keepLines w:val="0"/>
        <w:pageBreakBefore w:val="0"/>
        <w:numPr>
          <w:ilvl w:val="0"/>
          <w:numId w:val="0"/>
        </w:numPr>
        <w:shd w:val="clear" w:color="auto" w:fill="FFFFFF"/>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ascii="宋体" w:hAnsi="宋体" w:cs="宋体"/>
          <w:sz w:val="24"/>
          <w:szCs w:val="24"/>
        </w:rPr>
      </w:pPr>
      <w:r>
        <w:rPr>
          <w:rFonts w:hint="eastAsia" w:ascii="宋体" w:hAnsi="宋体" w:cs="宋体"/>
          <w:sz w:val="24"/>
          <w:szCs w:val="24"/>
        </w:rPr>
        <w:t>联</w:t>
      </w:r>
      <w:r>
        <w:rPr>
          <w:rFonts w:ascii="宋体" w:hAnsi="宋体" w:cs="宋体"/>
          <w:sz w:val="24"/>
          <w:szCs w:val="24"/>
        </w:rPr>
        <w:t xml:space="preserve"> </w:t>
      </w:r>
      <w:r>
        <w:rPr>
          <w:rFonts w:hint="eastAsia" w:ascii="宋体" w:hAnsi="宋体" w:cs="宋体"/>
          <w:sz w:val="24"/>
          <w:szCs w:val="24"/>
        </w:rPr>
        <w:t>系</w:t>
      </w:r>
      <w:r>
        <w:rPr>
          <w:rFonts w:ascii="宋体" w:hAnsi="宋体" w:cs="宋体"/>
          <w:sz w:val="24"/>
          <w:szCs w:val="24"/>
        </w:rPr>
        <w:t xml:space="preserve"> </w:t>
      </w:r>
      <w:r>
        <w:rPr>
          <w:rFonts w:hint="eastAsia" w:ascii="宋体" w:hAnsi="宋体" w:cs="宋体"/>
          <w:sz w:val="24"/>
          <w:szCs w:val="24"/>
        </w:rPr>
        <w:t>人：陶女士</w:t>
      </w:r>
    </w:p>
    <w:p w14:paraId="548F84E9">
      <w:pPr>
        <w:pStyle w:val="44"/>
        <w:keepLines w:val="0"/>
        <w:pageBreakBefore w:val="0"/>
        <w:numPr>
          <w:ilvl w:val="0"/>
          <w:numId w:val="0"/>
        </w:numPr>
        <w:shd w:val="clear" w:color="auto" w:fill="FFFFFF"/>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ascii="宋体" w:cs="Times New Roman"/>
          <w:sz w:val="24"/>
          <w:szCs w:val="24"/>
        </w:rPr>
      </w:pPr>
      <w:r>
        <w:rPr>
          <w:rFonts w:hint="eastAsia" w:ascii="宋体" w:hAnsi="宋体" w:cs="宋体"/>
          <w:sz w:val="24"/>
          <w:szCs w:val="24"/>
        </w:rPr>
        <w:t>联系电话：</w:t>
      </w:r>
      <w:r>
        <w:rPr>
          <w:rFonts w:ascii="宋体" w:hAnsi="宋体" w:cs="宋体"/>
          <w:sz w:val="24"/>
          <w:szCs w:val="24"/>
        </w:rPr>
        <w:t xml:space="preserve">0515-88180293  </w:t>
      </w:r>
    </w:p>
    <w:p w14:paraId="6915A166">
      <w:pPr>
        <w:keepNext/>
        <w:keepLines/>
        <w:widowControl/>
        <w:spacing w:line="500" w:lineRule="exact"/>
        <w:ind w:left="1080" w:hanging="301"/>
        <w:jc w:val="left"/>
        <w:rPr>
          <w:rFonts w:ascii="宋体" w:cs="Times New Roman"/>
          <w:b/>
          <w:bCs/>
          <w:sz w:val="24"/>
          <w:szCs w:val="24"/>
        </w:rPr>
      </w:pPr>
      <w:r>
        <w:rPr>
          <w:rFonts w:ascii="宋体" w:hAnsi="宋体" w:cs="宋体"/>
          <w:b/>
          <w:bCs/>
          <w:sz w:val="24"/>
          <w:szCs w:val="24"/>
        </w:rPr>
        <w:t>2.</w:t>
      </w:r>
      <w:r>
        <w:rPr>
          <w:rFonts w:hint="eastAsia" w:ascii="宋体" w:hAnsi="宋体" w:cs="宋体"/>
          <w:b/>
          <w:bCs/>
          <w:sz w:val="24"/>
          <w:szCs w:val="24"/>
        </w:rPr>
        <w:t>招标代理机构信息</w:t>
      </w:r>
    </w:p>
    <w:p w14:paraId="2BBA5AB8">
      <w:pPr>
        <w:keepNext/>
        <w:keepLines/>
        <w:widowControl/>
        <w:spacing w:line="500" w:lineRule="exact"/>
        <w:ind w:left="989"/>
        <w:jc w:val="left"/>
        <w:rPr>
          <w:rFonts w:ascii="宋体" w:cs="Times New Roman"/>
          <w:sz w:val="24"/>
          <w:szCs w:val="24"/>
        </w:rPr>
      </w:pPr>
      <w:r>
        <w:rPr>
          <w:rFonts w:hint="eastAsia" w:ascii="宋体" w:hAnsi="宋体" w:cs="宋体"/>
          <w:sz w:val="24"/>
          <w:szCs w:val="24"/>
        </w:rPr>
        <w:t>名</w:t>
      </w:r>
      <w:r>
        <w:rPr>
          <w:rFonts w:ascii="宋体" w:hAnsi="宋体" w:cs="宋体"/>
          <w:sz w:val="24"/>
          <w:szCs w:val="24"/>
        </w:rPr>
        <w:t xml:space="preserve">    </w:t>
      </w:r>
      <w:r>
        <w:rPr>
          <w:rFonts w:hint="eastAsia" w:ascii="宋体" w:hAnsi="宋体" w:cs="宋体"/>
          <w:sz w:val="24"/>
          <w:szCs w:val="24"/>
        </w:rPr>
        <w:t>称：</w:t>
      </w:r>
      <w:bookmarkStart w:id="35" w:name="OLE_LINK7"/>
      <w:bookmarkStart w:id="36" w:name="OLE_LINK6"/>
      <w:r>
        <w:rPr>
          <w:rFonts w:hint="eastAsia" w:ascii="宋体" w:hAnsi="宋体" w:cs="宋体"/>
          <w:sz w:val="24"/>
          <w:szCs w:val="24"/>
        </w:rPr>
        <w:t>江苏仁禾中衡工程咨询房地产估价有限公司</w:t>
      </w:r>
      <w:bookmarkEnd w:id="35"/>
      <w:bookmarkEnd w:id="36"/>
    </w:p>
    <w:p w14:paraId="289C4866">
      <w:pPr>
        <w:keepNext/>
        <w:keepLines/>
        <w:widowControl/>
        <w:spacing w:line="500" w:lineRule="exact"/>
        <w:ind w:left="989"/>
        <w:jc w:val="left"/>
        <w:rPr>
          <w:rFonts w:ascii="宋体" w:cs="Times New Roman"/>
          <w:sz w:val="24"/>
          <w:szCs w:val="24"/>
        </w:rPr>
      </w:pPr>
      <w:r>
        <w:rPr>
          <w:rFonts w:hint="eastAsia" w:ascii="宋体" w:hAnsi="宋体" w:cs="宋体"/>
          <w:sz w:val="24"/>
          <w:szCs w:val="24"/>
        </w:rPr>
        <w:t>地　　址：盐城市世纪大道</w:t>
      </w:r>
      <w:r>
        <w:rPr>
          <w:rFonts w:ascii="宋体" w:hAnsi="宋体" w:cs="宋体"/>
          <w:sz w:val="24"/>
          <w:szCs w:val="24"/>
        </w:rPr>
        <w:t>1188</w:t>
      </w:r>
      <w:r>
        <w:rPr>
          <w:rFonts w:hint="eastAsia" w:ascii="宋体" w:hAnsi="宋体" w:cs="宋体"/>
          <w:sz w:val="24"/>
          <w:szCs w:val="24"/>
        </w:rPr>
        <w:t>号服务大厦</w:t>
      </w:r>
      <w:r>
        <w:rPr>
          <w:rFonts w:ascii="宋体" w:hAnsi="宋体" w:cs="宋体"/>
          <w:sz w:val="24"/>
          <w:szCs w:val="24"/>
        </w:rPr>
        <w:t>2007</w:t>
      </w:r>
      <w:r>
        <w:rPr>
          <w:rFonts w:hint="eastAsia" w:ascii="宋体" w:hAnsi="宋体" w:cs="宋体"/>
          <w:sz w:val="24"/>
          <w:szCs w:val="24"/>
        </w:rPr>
        <w:t>室</w:t>
      </w:r>
    </w:p>
    <w:p w14:paraId="3378D4E4">
      <w:pPr>
        <w:keepNext/>
        <w:keepLines/>
        <w:widowControl/>
        <w:spacing w:line="500" w:lineRule="exact"/>
        <w:ind w:left="989"/>
        <w:jc w:val="left"/>
        <w:rPr>
          <w:rFonts w:ascii="宋体" w:cs="Times New Roman"/>
          <w:sz w:val="24"/>
          <w:szCs w:val="24"/>
        </w:rPr>
      </w:pPr>
      <w:r>
        <w:rPr>
          <w:rFonts w:hint="eastAsia" w:ascii="宋体" w:hAnsi="宋体" w:cs="宋体"/>
          <w:sz w:val="24"/>
          <w:szCs w:val="24"/>
        </w:rPr>
        <w:t>联</w:t>
      </w:r>
      <w:r>
        <w:rPr>
          <w:rFonts w:ascii="宋体" w:hAnsi="宋体" w:cs="宋体"/>
          <w:sz w:val="24"/>
          <w:szCs w:val="24"/>
        </w:rPr>
        <w:t xml:space="preserve"> </w:t>
      </w:r>
      <w:r>
        <w:rPr>
          <w:rFonts w:hint="eastAsia" w:ascii="宋体" w:hAnsi="宋体" w:cs="宋体"/>
          <w:sz w:val="24"/>
          <w:szCs w:val="24"/>
        </w:rPr>
        <w:t>系</w:t>
      </w:r>
      <w:r>
        <w:rPr>
          <w:rFonts w:ascii="宋体" w:hAnsi="宋体" w:cs="宋体"/>
          <w:sz w:val="24"/>
          <w:szCs w:val="24"/>
        </w:rPr>
        <w:t xml:space="preserve"> </w:t>
      </w:r>
      <w:r>
        <w:rPr>
          <w:rFonts w:hint="eastAsia" w:ascii="宋体" w:hAnsi="宋体" w:cs="宋体"/>
          <w:sz w:val="24"/>
          <w:szCs w:val="24"/>
        </w:rPr>
        <w:t>人：徐女士、</w:t>
      </w:r>
      <w:r>
        <w:rPr>
          <w:rFonts w:hint="eastAsia" w:ascii="宋体" w:hAnsi="宋体" w:cs="宋体"/>
          <w:sz w:val="24"/>
          <w:szCs w:val="24"/>
          <w:lang w:val="en-US" w:eastAsia="zh-CN"/>
        </w:rPr>
        <w:t>严女士</w:t>
      </w:r>
      <w:r>
        <w:rPr>
          <w:rFonts w:ascii="宋体" w:hAnsi="宋体" w:cs="宋体"/>
          <w:sz w:val="24"/>
          <w:szCs w:val="24"/>
        </w:rPr>
        <w:t xml:space="preserve">      </w:t>
      </w:r>
    </w:p>
    <w:p w14:paraId="11B2261A">
      <w:pPr>
        <w:keepNext/>
        <w:keepLines/>
        <w:widowControl/>
        <w:spacing w:line="500" w:lineRule="exact"/>
        <w:ind w:left="989"/>
        <w:jc w:val="left"/>
        <w:rPr>
          <w:rFonts w:hint="default" w:ascii="宋体" w:cs="Times New Roman"/>
          <w:sz w:val="24"/>
          <w:szCs w:val="24"/>
          <w:lang w:val="en-US"/>
        </w:rPr>
      </w:pPr>
      <w:r>
        <w:rPr>
          <w:rFonts w:hint="eastAsia" w:ascii="宋体" w:hAnsi="宋体" w:cs="宋体"/>
          <w:sz w:val="24"/>
          <w:szCs w:val="24"/>
        </w:rPr>
        <w:t>联系电话：</w:t>
      </w:r>
      <w:r>
        <w:rPr>
          <w:rFonts w:ascii="宋体" w:hAnsi="宋体" w:cs="宋体"/>
          <w:sz w:val="24"/>
          <w:szCs w:val="24"/>
        </w:rPr>
        <w:t>0515-69085191</w:t>
      </w:r>
      <w:r>
        <w:rPr>
          <w:rFonts w:hint="eastAsia" w:ascii="宋体" w:hAnsi="宋体" w:cs="宋体"/>
          <w:sz w:val="24"/>
          <w:szCs w:val="24"/>
        </w:rPr>
        <w:t>、</w:t>
      </w:r>
      <w:r>
        <w:rPr>
          <w:rFonts w:hint="eastAsia" w:ascii="宋体" w:hAnsi="宋体" w:cs="宋体"/>
          <w:sz w:val="24"/>
          <w:szCs w:val="24"/>
          <w:lang w:val="en-US" w:eastAsia="zh-CN"/>
        </w:rPr>
        <w:t>18932292913</w:t>
      </w:r>
    </w:p>
    <w:p w14:paraId="24EC6496">
      <w:pPr>
        <w:keepNext/>
        <w:keepLines/>
        <w:widowControl/>
        <w:shd w:val="clear" w:color="auto" w:fill="FFFFFF"/>
        <w:spacing w:line="500" w:lineRule="exact"/>
        <w:ind w:left="-13" w:firstLine="723"/>
        <w:jc w:val="left"/>
        <w:rPr>
          <w:rFonts w:ascii="宋体" w:cs="Times New Roman"/>
          <w:b/>
          <w:bCs/>
          <w:sz w:val="24"/>
          <w:szCs w:val="24"/>
        </w:rPr>
      </w:pPr>
      <w:bookmarkStart w:id="37" w:name="_Hlt26668836"/>
      <w:bookmarkEnd w:id="37"/>
      <w:bookmarkStart w:id="38" w:name="_Hlt26954810"/>
      <w:bookmarkEnd w:id="38"/>
      <w:bookmarkStart w:id="39" w:name="_Hlt26954824"/>
      <w:bookmarkEnd w:id="39"/>
      <w:bookmarkStart w:id="40" w:name="_Hlt26670330"/>
      <w:bookmarkEnd w:id="40"/>
      <w:bookmarkStart w:id="41" w:name="_Hlt26954907"/>
      <w:bookmarkEnd w:id="41"/>
      <w:bookmarkStart w:id="42" w:name="_Toc120614211"/>
      <w:r>
        <w:rPr>
          <w:rFonts w:ascii="宋体" w:hAnsi="宋体" w:cs="宋体"/>
          <w:b/>
          <w:bCs/>
          <w:sz w:val="24"/>
          <w:szCs w:val="24"/>
        </w:rPr>
        <w:t>3.</w:t>
      </w:r>
      <w:r>
        <w:rPr>
          <w:rFonts w:hint="eastAsia" w:ascii="宋体" w:hAnsi="宋体" w:cs="宋体"/>
          <w:b/>
          <w:bCs/>
          <w:sz w:val="24"/>
          <w:szCs w:val="24"/>
        </w:rPr>
        <w:t>项目联系方式</w:t>
      </w:r>
    </w:p>
    <w:p w14:paraId="4A009071">
      <w:pPr>
        <w:keepNext/>
        <w:keepLines/>
        <w:widowControl/>
        <w:spacing w:line="500" w:lineRule="exact"/>
        <w:ind w:left="1078" w:hanging="60"/>
        <w:jc w:val="left"/>
        <w:rPr>
          <w:rFonts w:ascii="宋体" w:cs="Times New Roman"/>
          <w:sz w:val="24"/>
          <w:szCs w:val="24"/>
        </w:rPr>
      </w:pPr>
      <w:r>
        <w:rPr>
          <w:rFonts w:hint="eastAsia" w:ascii="宋体" w:hAnsi="宋体" w:cs="宋体"/>
          <w:sz w:val="24"/>
          <w:szCs w:val="24"/>
        </w:rPr>
        <w:t>联</w:t>
      </w:r>
      <w:r>
        <w:rPr>
          <w:rFonts w:ascii="宋体" w:hAnsi="宋体" w:cs="宋体"/>
          <w:sz w:val="24"/>
          <w:szCs w:val="24"/>
        </w:rPr>
        <w:t xml:space="preserve"> </w:t>
      </w:r>
      <w:r>
        <w:rPr>
          <w:rFonts w:hint="eastAsia" w:ascii="宋体" w:hAnsi="宋体" w:cs="宋体"/>
          <w:sz w:val="24"/>
          <w:szCs w:val="24"/>
        </w:rPr>
        <w:t>系</w:t>
      </w:r>
      <w:r>
        <w:rPr>
          <w:rFonts w:ascii="宋体" w:hAnsi="宋体" w:cs="宋体"/>
          <w:sz w:val="24"/>
          <w:szCs w:val="24"/>
        </w:rPr>
        <w:t xml:space="preserve"> </w:t>
      </w:r>
      <w:r>
        <w:rPr>
          <w:rFonts w:hint="eastAsia" w:ascii="宋体" w:hAnsi="宋体" w:cs="宋体"/>
          <w:sz w:val="24"/>
          <w:szCs w:val="24"/>
        </w:rPr>
        <w:t>人：陶女士</w:t>
      </w:r>
    </w:p>
    <w:p w14:paraId="20843615">
      <w:pPr>
        <w:keepNext/>
        <w:keepLines/>
        <w:widowControl/>
        <w:spacing w:line="500" w:lineRule="exact"/>
        <w:ind w:left="1078" w:hanging="60"/>
        <w:jc w:val="left"/>
        <w:rPr>
          <w:rFonts w:ascii="宋体" w:cs="Times New Roman"/>
          <w:sz w:val="24"/>
          <w:szCs w:val="24"/>
        </w:rPr>
      </w:pPr>
      <w:r>
        <w:rPr>
          <w:rFonts w:hint="eastAsia" w:ascii="宋体" w:hAnsi="宋体" w:cs="宋体"/>
          <w:sz w:val="24"/>
          <w:szCs w:val="24"/>
        </w:rPr>
        <w:t>联系电话：</w:t>
      </w:r>
      <w:r>
        <w:rPr>
          <w:rFonts w:ascii="宋体" w:hAnsi="宋体" w:cs="宋体"/>
          <w:sz w:val="24"/>
          <w:szCs w:val="24"/>
        </w:rPr>
        <w:t xml:space="preserve">0515-88180293  </w:t>
      </w:r>
    </w:p>
    <w:p w14:paraId="0DEF2000">
      <w:pPr>
        <w:pStyle w:val="24"/>
        <w:keepNext/>
        <w:keepLines/>
        <w:widowControl/>
        <w:spacing w:line="360" w:lineRule="auto"/>
        <w:jc w:val="center"/>
        <w:rPr>
          <w:rFonts w:ascii="黑体" w:hAnsi="Times New Roman" w:eastAsia="黑体" w:cs="Times New Roman"/>
          <w:sz w:val="44"/>
          <w:szCs w:val="44"/>
        </w:rPr>
      </w:pPr>
    </w:p>
    <w:p w14:paraId="0A1A8074">
      <w:pPr>
        <w:pStyle w:val="24"/>
        <w:keepNext/>
        <w:keepLines/>
        <w:widowControl/>
        <w:spacing w:line="360" w:lineRule="auto"/>
        <w:jc w:val="center"/>
        <w:rPr>
          <w:rFonts w:ascii="黑体" w:hAnsi="Times New Roman" w:eastAsia="黑体" w:cs="Times New Roman"/>
          <w:sz w:val="44"/>
          <w:szCs w:val="44"/>
        </w:rPr>
      </w:pPr>
    </w:p>
    <w:p w14:paraId="0CA2116B">
      <w:pPr>
        <w:pStyle w:val="24"/>
        <w:keepNext/>
        <w:keepLines/>
        <w:widowControl/>
        <w:spacing w:line="360" w:lineRule="auto"/>
        <w:jc w:val="center"/>
        <w:rPr>
          <w:rFonts w:ascii="黑体" w:hAnsi="Times New Roman" w:eastAsia="黑体" w:cs="Times New Roman"/>
          <w:sz w:val="44"/>
          <w:szCs w:val="44"/>
        </w:rPr>
      </w:pPr>
    </w:p>
    <w:p w14:paraId="4AFA83F7">
      <w:pPr>
        <w:pStyle w:val="24"/>
        <w:keepNext/>
        <w:keepLines/>
        <w:widowControl/>
        <w:spacing w:line="360" w:lineRule="auto"/>
        <w:jc w:val="center"/>
        <w:rPr>
          <w:rFonts w:ascii="黑体" w:hAnsi="Times New Roman" w:eastAsia="黑体" w:cs="Times New Roman"/>
          <w:sz w:val="44"/>
          <w:szCs w:val="44"/>
        </w:rPr>
      </w:pPr>
    </w:p>
    <w:p w14:paraId="21536209">
      <w:pPr>
        <w:pStyle w:val="24"/>
        <w:keepNext/>
        <w:keepLines/>
        <w:widowControl/>
        <w:spacing w:line="360" w:lineRule="auto"/>
        <w:jc w:val="center"/>
        <w:rPr>
          <w:rFonts w:ascii="黑体" w:hAnsi="Times New Roman" w:eastAsia="黑体" w:cs="Times New Roman"/>
          <w:sz w:val="44"/>
          <w:szCs w:val="44"/>
        </w:rPr>
      </w:pPr>
    </w:p>
    <w:p w14:paraId="36F4C8DF">
      <w:pPr>
        <w:pStyle w:val="24"/>
        <w:keepNext/>
        <w:keepLines/>
        <w:widowControl/>
        <w:spacing w:line="360" w:lineRule="auto"/>
        <w:jc w:val="center"/>
        <w:rPr>
          <w:rFonts w:ascii="黑体" w:hAnsi="Times New Roman" w:eastAsia="黑体" w:cs="Times New Roman"/>
          <w:sz w:val="44"/>
          <w:szCs w:val="44"/>
        </w:rPr>
      </w:pPr>
    </w:p>
    <w:p w14:paraId="224773B9">
      <w:pPr>
        <w:pStyle w:val="24"/>
        <w:keepNext/>
        <w:keepLines/>
        <w:widowControl/>
        <w:spacing w:line="360" w:lineRule="auto"/>
        <w:rPr>
          <w:rFonts w:ascii="黑体" w:hAnsi="Times New Roman" w:eastAsia="黑体" w:cs="Times New Roman"/>
          <w:sz w:val="44"/>
          <w:szCs w:val="44"/>
        </w:rPr>
      </w:pPr>
    </w:p>
    <w:p w14:paraId="2BDF4190">
      <w:pPr>
        <w:pStyle w:val="24"/>
        <w:keepNext/>
        <w:keepLines/>
        <w:widowControl/>
        <w:spacing w:line="360" w:lineRule="auto"/>
        <w:rPr>
          <w:rFonts w:ascii="黑体" w:hAnsi="Times New Roman" w:eastAsia="黑体" w:cs="Times New Roman"/>
          <w:sz w:val="44"/>
          <w:szCs w:val="44"/>
        </w:rPr>
      </w:pPr>
    </w:p>
    <w:p w14:paraId="14F79450">
      <w:pPr>
        <w:pStyle w:val="24"/>
        <w:keepNext/>
        <w:keepLines/>
        <w:widowControl/>
        <w:spacing w:line="360" w:lineRule="auto"/>
        <w:rPr>
          <w:rFonts w:ascii="黑体" w:hAnsi="Times New Roman" w:eastAsia="黑体" w:cs="Times New Roman"/>
          <w:sz w:val="44"/>
          <w:szCs w:val="44"/>
        </w:rPr>
      </w:pPr>
    </w:p>
    <w:p w14:paraId="2E197F70">
      <w:pPr>
        <w:pStyle w:val="24"/>
        <w:keepNext/>
        <w:keepLines/>
        <w:widowControl/>
        <w:spacing w:line="360" w:lineRule="auto"/>
        <w:rPr>
          <w:rFonts w:ascii="黑体" w:hAnsi="Times New Roman" w:eastAsia="黑体" w:cs="Times New Roman"/>
          <w:sz w:val="44"/>
          <w:szCs w:val="44"/>
        </w:rPr>
      </w:pPr>
    </w:p>
    <w:p w14:paraId="7E3D7D86">
      <w:pPr>
        <w:pStyle w:val="24"/>
        <w:keepNext/>
        <w:keepLines/>
        <w:widowControl/>
        <w:spacing w:line="360" w:lineRule="auto"/>
        <w:jc w:val="center"/>
        <w:rPr>
          <w:rFonts w:hint="eastAsia" w:ascii="黑体" w:hAnsi="Times New Roman" w:eastAsia="黑体" w:cs="黑体"/>
          <w:sz w:val="44"/>
          <w:szCs w:val="44"/>
        </w:rPr>
      </w:pPr>
    </w:p>
    <w:p w14:paraId="78F9ED44">
      <w:pPr>
        <w:pStyle w:val="24"/>
        <w:keepNext/>
        <w:keepLines/>
        <w:widowControl/>
        <w:spacing w:line="360" w:lineRule="auto"/>
        <w:jc w:val="center"/>
        <w:rPr>
          <w:rFonts w:hint="eastAsia" w:ascii="黑体" w:hAnsi="Times New Roman" w:eastAsia="黑体" w:cs="黑体"/>
          <w:sz w:val="44"/>
          <w:szCs w:val="44"/>
        </w:rPr>
      </w:pPr>
    </w:p>
    <w:p w14:paraId="195ED33B">
      <w:pPr>
        <w:pStyle w:val="24"/>
        <w:keepNext/>
        <w:keepLines/>
        <w:widowControl/>
        <w:spacing w:line="360" w:lineRule="auto"/>
        <w:jc w:val="center"/>
        <w:rPr>
          <w:rFonts w:ascii="Times New Roman" w:hAnsi="Times New Roman" w:cs="Times New Roman"/>
          <w:b/>
          <w:bCs/>
          <w:sz w:val="32"/>
          <w:szCs w:val="32"/>
        </w:rPr>
      </w:pPr>
      <w:r>
        <w:rPr>
          <w:rFonts w:hint="eastAsia" w:ascii="黑体" w:hAnsi="Times New Roman" w:eastAsia="黑体" w:cs="黑体"/>
          <w:sz w:val="44"/>
          <w:szCs w:val="44"/>
        </w:rPr>
        <w:t>第二章</w:t>
      </w:r>
      <w:r>
        <w:rPr>
          <w:rFonts w:ascii="黑体" w:hAnsi="Times New Roman" w:eastAsia="黑体" w:cs="黑体"/>
          <w:sz w:val="44"/>
          <w:szCs w:val="44"/>
        </w:rPr>
        <w:t xml:space="preserve">  </w:t>
      </w:r>
      <w:bookmarkEnd w:id="42"/>
      <w:bookmarkStart w:id="43" w:name="_Toc120614213"/>
      <w:bookmarkStart w:id="44" w:name="_Toc513029202"/>
      <w:bookmarkStart w:id="45" w:name="_Toc20823274"/>
      <w:bookmarkStart w:id="46" w:name="_Toc16938518"/>
      <w:r>
        <w:rPr>
          <w:rFonts w:hint="eastAsia" w:ascii="黑体" w:hAnsi="Times New Roman" w:eastAsia="黑体" w:cs="黑体"/>
          <w:sz w:val="44"/>
          <w:szCs w:val="44"/>
        </w:rPr>
        <w:t>投标人须知</w:t>
      </w:r>
      <w:bookmarkEnd w:id="43"/>
      <w:bookmarkEnd w:id="44"/>
      <w:bookmarkEnd w:id="45"/>
      <w:bookmarkEnd w:id="46"/>
    </w:p>
    <w:p w14:paraId="3AEEFCBF">
      <w:pPr>
        <w:pStyle w:val="4"/>
        <w:widowControl/>
        <w:spacing w:before="143" w:after="143" w:line="360" w:lineRule="auto"/>
        <w:ind w:firstLine="321"/>
        <w:rPr>
          <w:rFonts w:cs="Times New Roman"/>
        </w:rPr>
      </w:pPr>
      <w:bookmarkStart w:id="47" w:name="_Toc16938519"/>
      <w:bookmarkStart w:id="48" w:name="_Toc120614214"/>
      <w:bookmarkStart w:id="49" w:name="_Toc513029203"/>
      <w:bookmarkStart w:id="50" w:name="_Toc20823275"/>
      <w:r>
        <w:rPr>
          <w:rFonts w:hint="eastAsia" w:cs="宋体"/>
        </w:rPr>
        <w:t>一、总则</w:t>
      </w:r>
      <w:bookmarkEnd w:id="47"/>
      <w:bookmarkEnd w:id="48"/>
      <w:bookmarkEnd w:id="49"/>
      <w:bookmarkEnd w:id="50"/>
    </w:p>
    <w:p w14:paraId="0B7013C1">
      <w:pPr>
        <w:pStyle w:val="5"/>
        <w:widowControl/>
        <w:spacing w:before="0" w:after="0" w:line="360" w:lineRule="auto"/>
        <w:ind w:firstLine="420"/>
        <w:rPr>
          <w:rFonts w:cs="Times New Roman"/>
          <w:b w:val="0"/>
          <w:bCs w:val="0"/>
        </w:rPr>
      </w:pPr>
      <w:bookmarkStart w:id="51" w:name="_Hlt16619475"/>
      <w:bookmarkEnd w:id="51"/>
      <w:bookmarkStart w:id="52" w:name="_Toc458694821"/>
      <w:bookmarkStart w:id="53" w:name="_Toc16938520"/>
      <w:bookmarkStart w:id="54" w:name="_Toc20823276"/>
      <w:bookmarkStart w:id="55" w:name="_Toc513029204"/>
      <w:r>
        <w:rPr>
          <w:b w:val="0"/>
          <w:bCs w:val="0"/>
        </w:rPr>
        <w:t>1</w:t>
      </w:r>
      <w:bookmarkEnd w:id="52"/>
      <w:r>
        <w:rPr>
          <w:rFonts w:hint="eastAsia" w:cs="黑体"/>
          <w:b w:val="0"/>
          <w:bCs w:val="0"/>
        </w:rPr>
        <w:t>、招标方式</w:t>
      </w:r>
      <w:bookmarkEnd w:id="53"/>
      <w:bookmarkEnd w:id="54"/>
      <w:bookmarkEnd w:id="55"/>
    </w:p>
    <w:p w14:paraId="404C6B22">
      <w:pPr>
        <w:keepNext/>
        <w:keepLines/>
        <w:widowControl/>
        <w:spacing w:line="360" w:lineRule="auto"/>
        <w:ind w:firstLine="480"/>
        <w:rPr>
          <w:rFonts w:ascii="宋体" w:cs="Times New Roman"/>
          <w:sz w:val="24"/>
          <w:szCs w:val="24"/>
        </w:rPr>
      </w:pPr>
      <w:r>
        <w:rPr>
          <w:rFonts w:ascii="宋体" w:hAnsi="宋体" w:cs="宋体"/>
          <w:sz w:val="24"/>
          <w:szCs w:val="24"/>
        </w:rPr>
        <w:t xml:space="preserve">1.1 </w:t>
      </w:r>
      <w:r>
        <w:rPr>
          <w:rFonts w:hint="eastAsia" w:ascii="宋体" w:hAnsi="宋体" w:cs="宋体"/>
          <w:sz w:val="24"/>
          <w:szCs w:val="24"/>
        </w:rPr>
        <w:t>本次招标采取公开招标方式，本招标文件仅适用于招标公告中所述项目。</w:t>
      </w:r>
    </w:p>
    <w:p w14:paraId="2D3FF44D">
      <w:pPr>
        <w:pStyle w:val="5"/>
        <w:widowControl/>
        <w:spacing w:before="0" w:after="0" w:line="360" w:lineRule="auto"/>
        <w:ind w:firstLine="420"/>
        <w:rPr>
          <w:rFonts w:cs="Times New Roman"/>
          <w:b w:val="0"/>
          <w:bCs w:val="0"/>
        </w:rPr>
      </w:pPr>
      <w:bookmarkStart w:id="56" w:name="_Toc513029205"/>
      <w:bookmarkStart w:id="57" w:name="_Toc20823277"/>
      <w:bookmarkStart w:id="58" w:name="_Toc16938521"/>
      <w:r>
        <w:rPr>
          <w:b w:val="0"/>
          <w:bCs w:val="0"/>
        </w:rPr>
        <w:t>2</w:t>
      </w:r>
      <w:r>
        <w:rPr>
          <w:rFonts w:hint="eastAsia" w:cs="黑体"/>
          <w:b w:val="0"/>
          <w:bCs w:val="0"/>
        </w:rPr>
        <w:t>、合格的供应商</w:t>
      </w:r>
      <w:bookmarkEnd w:id="56"/>
      <w:bookmarkEnd w:id="57"/>
      <w:bookmarkEnd w:id="58"/>
    </w:p>
    <w:p w14:paraId="014B78F8">
      <w:pPr>
        <w:keepNext/>
        <w:keepLines/>
        <w:widowControl/>
        <w:spacing w:line="360" w:lineRule="auto"/>
        <w:ind w:firstLine="480"/>
        <w:rPr>
          <w:rFonts w:ascii="宋体" w:cs="Times New Roman"/>
          <w:sz w:val="24"/>
          <w:szCs w:val="24"/>
        </w:rPr>
      </w:pPr>
      <w:r>
        <w:rPr>
          <w:rFonts w:ascii="宋体" w:hAnsi="宋体" w:cs="宋体"/>
          <w:sz w:val="24"/>
          <w:szCs w:val="24"/>
        </w:rPr>
        <w:t>2.1</w:t>
      </w:r>
      <w:r>
        <w:rPr>
          <w:rFonts w:hint="eastAsia" w:ascii="宋体" w:hAnsi="宋体" w:cs="宋体"/>
          <w:sz w:val="24"/>
          <w:szCs w:val="24"/>
        </w:rPr>
        <w:t>满足招标公告中供应商的资格要求的规定。</w:t>
      </w:r>
    </w:p>
    <w:p w14:paraId="06A17C01">
      <w:pPr>
        <w:keepNext/>
        <w:keepLines/>
        <w:widowControl/>
        <w:spacing w:line="360" w:lineRule="auto"/>
        <w:ind w:firstLine="480"/>
        <w:rPr>
          <w:rFonts w:ascii="宋体" w:cs="Times New Roman"/>
          <w:sz w:val="24"/>
          <w:szCs w:val="24"/>
        </w:rPr>
      </w:pPr>
      <w:r>
        <w:rPr>
          <w:rFonts w:ascii="宋体" w:hAnsi="宋体" w:cs="宋体"/>
          <w:sz w:val="24"/>
          <w:szCs w:val="24"/>
        </w:rPr>
        <w:t xml:space="preserve">2.2 </w:t>
      </w:r>
      <w:r>
        <w:rPr>
          <w:rFonts w:hint="eastAsia" w:ascii="宋体" w:hAnsi="宋体" w:cs="宋体"/>
          <w:sz w:val="24"/>
          <w:szCs w:val="24"/>
        </w:rPr>
        <w:t>满足本文件实质性条款的规定。</w:t>
      </w:r>
    </w:p>
    <w:p w14:paraId="0A852028">
      <w:pPr>
        <w:pStyle w:val="5"/>
        <w:widowControl/>
        <w:spacing w:before="0" w:after="0" w:line="360" w:lineRule="auto"/>
        <w:ind w:firstLine="420"/>
        <w:rPr>
          <w:rFonts w:cs="Times New Roman"/>
          <w:b w:val="0"/>
          <w:bCs w:val="0"/>
        </w:rPr>
      </w:pPr>
      <w:bookmarkStart w:id="59" w:name="_Toc16938522"/>
      <w:bookmarkStart w:id="60" w:name="_Toc513029206"/>
      <w:bookmarkStart w:id="61" w:name="_Toc20823278"/>
      <w:r>
        <w:rPr>
          <w:b w:val="0"/>
          <w:bCs w:val="0"/>
        </w:rPr>
        <w:t>3</w:t>
      </w:r>
      <w:r>
        <w:rPr>
          <w:rFonts w:hint="eastAsia" w:cs="黑体"/>
          <w:b w:val="0"/>
          <w:bCs w:val="0"/>
        </w:rPr>
        <w:t>、适用法律</w:t>
      </w:r>
      <w:bookmarkEnd w:id="59"/>
      <w:bookmarkEnd w:id="60"/>
      <w:bookmarkEnd w:id="61"/>
    </w:p>
    <w:p w14:paraId="7EBA78AF">
      <w:pPr>
        <w:keepNext/>
        <w:keepLines/>
        <w:widowControl/>
        <w:spacing w:line="360" w:lineRule="auto"/>
        <w:ind w:firstLine="480"/>
        <w:rPr>
          <w:rFonts w:ascii="宋体" w:cs="Times New Roman"/>
          <w:sz w:val="24"/>
          <w:szCs w:val="24"/>
        </w:rPr>
      </w:pPr>
      <w:r>
        <w:rPr>
          <w:rFonts w:ascii="宋体" w:hAnsi="宋体" w:cs="宋体"/>
          <w:sz w:val="24"/>
          <w:szCs w:val="24"/>
        </w:rPr>
        <w:t xml:space="preserve">3.1 </w:t>
      </w:r>
      <w:r>
        <w:rPr>
          <w:rFonts w:hint="eastAsia" w:ascii="宋体" w:hAnsi="宋体" w:cs="宋体"/>
          <w:sz w:val="24"/>
          <w:szCs w:val="24"/>
        </w:rPr>
        <w:t>本次招标及由此产生的合同受中华人民共和国有关的法律法规制约和保护。</w:t>
      </w:r>
    </w:p>
    <w:p w14:paraId="33F30EDC">
      <w:pPr>
        <w:pStyle w:val="5"/>
        <w:widowControl/>
        <w:spacing w:before="0" w:after="0" w:line="360" w:lineRule="auto"/>
        <w:ind w:firstLine="420"/>
        <w:rPr>
          <w:rFonts w:cs="Times New Roman"/>
          <w:b w:val="0"/>
          <w:bCs w:val="0"/>
        </w:rPr>
      </w:pPr>
      <w:bookmarkStart w:id="62" w:name="_Toc513029207"/>
      <w:bookmarkStart w:id="63" w:name="_Toc16938523"/>
      <w:bookmarkStart w:id="64" w:name="_Toc20823279"/>
      <w:bookmarkStart w:id="65" w:name="_Toc462564067"/>
      <w:r>
        <w:rPr>
          <w:b w:val="0"/>
          <w:bCs w:val="0"/>
        </w:rPr>
        <w:t>4</w:t>
      </w:r>
      <w:r>
        <w:rPr>
          <w:rFonts w:hint="eastAsia" w:cs="黑体"/>
          <w:b w:val="0"/>
          <w:bCs w:val="0"/>
        </w:rPr>
        <w:t>、投标费用</w:t>
      </w:r>
      <w:bookmarkEnd w:id="62"/>
      <w:bookmarkEnd w:id="63"/>
      <w:bookmarkEnd w:id="64"/>
      <w:bookmarkEnd w:id="65"/>
    </w:p>
    <w:p w14:paraId="53650A54">
      <w:pPr>
        <w:keepNext/>
        <w:keepLines/>
        <w:widowControl/>
        <w:spacing w:line="360" w:lineRule="auto"/>
        <w:ind w:firstLine="480"/>
        <w:rPr>
          <w:rFonts w:ascii="宋体" w:cs="Times New Roman"/>
          <w:sz w:val="24"/>
          <w:szCs w:val="24"/>
        </w:rPr>
      </w:pPr>
      <w:r>
        <w:rPr>
          <w:rFonts w:ascii="宋体" w:hAnsi="宋体" w:cs="宋体"/>
          <w:sz w:val="24"/>
          <w:szCs w:val="24"/>
        </w:rPr>
        <w:t xml:space="preserve">4.1 </w:t>
      </w:r>
      <w:r>
        <w:rPr>
          <w:rFonts w:hint="eastAsia" w:ascii="宋体" w:hAnsi="宋体" w:cs="宋体"/>
          <w:sz w:val="24"/>
          <w:szCs w:val="24"/>
        </w:rPr>
        <w:t>供应商应自行承担所有与参加投标有关的费用，无论投标过程中的做法和结果如何，采购人在任何情况下均无义务和责任承担这些费用。</w:t>
      </w:r>
    </w:p>
    <w:p w14:paraId="01B795ED">
      <w:pPr>
        <w:keepNext/>
        <w:keepLines/>
        <w:widowControl/>
        <w:tabs>
          <w:tab w:val="left" w:pos="900"/>
        </w:tabs>
        <w:spacing w:line="440" w:lineRule="exact"/>
        <w:ind w:firstLine="480"/>
        <w:rPr>
          <w:rFonts w:ascii="宋体" w:cs="Times New Roman"/>
          <w:sz w:val="24"/>
          <w:szCs w:val="24"/>
        </w:rPr>
      </w:pPr>
      <w:r>
        <w:rPr>
          <w:rFonts w:ascii="宋体" w:hAnsi="宋体" w:cs="宋体"/>
          <w:sz w:val="24"/>
          <w:szCs w:val="24"/>
        </w:rPr>
        <w:t>4.2</w:t>
      </w:r>
      <w:r>
        <w:rPr>
          <w:rFonts w:hint="eastAsia" w:ascii="宋体" w:hAnsi="宋体" w:cs="宋体"/>
          <w:sz w:val="24"/>
          <w:szCs w:val="24"/>
        </w:rPr>
        <w:t>招标代理服务费（中标</w:t>
      </w:r>
      <w:r>
        <w:rPr>
          <w:rFonts w:ascii="宋体" w:hAnsi="宋体" w:cs="宋体"/>
          <w:sz w:val="24"/>
          <w:szCs w:val="24"/>
        </w:rPr>
        <w:t>/</w:t>
      </w:r>
      <w:r>
        <w:rPr>
          <w:rFonts w:hint="eastAsia" w:ascii="宋体" w:hAnsi="宋体" w:cs="宋体"/>
          <w:sz w:val="24"/>
          <w:szCs w:val="24"/>
        </w:rPr>
        <w:t>成交服务费）：根据代理合同约定的收费标准的</w:t>
      </w:r>
      <w:r>
        <w:rPr>
          <w:rFonts w:ascii="宋体" w:hAnsi="宋体" w:cs="宋体"/>
          <w:sz w:val="24"/>
          <w:szCs w:val="24"/>
        </w:rPr>
        <w:t>28%</w:t>
      </w:r>
      <w:r>
        <w:rPr>
          <w:rFonts w:hint="eastAsia" w:ascii="宋体" w:hAnsi="宋体" w:cs="宋体"/>
          <w:sz w:val="24"/>
          <w:szCs w:val="24"/>
        </w:rPr>
        <w:t>收取代理服务费，即</w:t>
      </w:r>
      <w:r>
        <w:rPr>
          <w:rFonts w:ascii="宋体" w:hAnsi="宋体" w:cs="宋体"/>
          <w:sz w:val="24"/>
          <w:szCs w:val="24"/>
        </w:rPr>
        <w:t>50</w:t>
      </w:r>
      <w:r>
        <w:rPr>
          <w:rFonts w:hint="eastAsia" w:ascii="宋体" w:hAnsi="宋体" w:cs="宋体"/>
          <w:sz w:val="24"/>
          <w:szCs w:val="24"/>
        </w:rPr>
        <w:t>万元以内按</w:t>
      </w:r>
      <w:r>
        <w:rPr>
          <w:rFonts w:ascii="宋体" w:hAnsi="宋体" w:cs="宋体"/>
          <w:sz w:val="24"/>
          <w:szCs w:val="24"/>
        </w:rPr>
        <w:t>1</w:t>
      </w:r>
      <w:r>
        <w:rPr>
          <w:rFonts w:hint="eastAsia" w:ascii="宋体" w:hAnsi="宋体" w:cs="宋体"/>
          <w:sz w:val="24"/>
          <w:szCs w:val="24"/>
        </w:rPr>
        <w:t>万元的</w:t>
      </w:r>
      <w:r>
        <w:rPr>
          <w:rFonts w:ascii="宋体" w:hAnsi="宋体" w:cs="宋体"/>
          <w:sz w:val="24"/>
          <w:szCs w:val="24"/>
        </w:rPr>
        <w:t>28%</w:t>
      </w:r>
      <w:r>
        <w:rPr>
          <w:rFonts w:hint="eastAsia" w:ascii="宋体" w:hAnsi="宋体" w:cs="宋体"/>
          <w:sz w:val="24"/>
          <w:szCs w:val="24"/>
        </w:rPr>
        <w:t>计取，</w:t>
      </w:r>
      <w:r>
        <w:rPr>
          <w:rFonts w:ascii="宋体" w:hAnsi="宋体" w:cs="宋体"/>
          <w:sz w:val="24"/>
          <w:szCs w:val="24"/>
        </w:rPr>
        <w:t>50-400</w:t>
      </w:r>
      <w:r>
        <w:rPr>
          <w:rFonts w:hint="eastAsia" w:ascii="宋体" w:hAnsi="宋体" w:cs="宋体"/>
          <w:sz w:val="24"/>
          <w:szCs w:val="24"/>
        </w:rPr>
        <w:t>万元按（中标价</w:t>
      </w:r>
      <w:r>
        <w:rPr>
          <w:rFonts w:ascii="宋体" w:hAnsi="宋体" w:cs="宋体"/>
          <w:sz w:val="24"/>
          <w:szCs w:val="24"/>
        </w:rPr>
        <w:t>-50</w:t>
      </w:r>
      <w:r>
        <w:rPr>
          <w:rFonts w:hint="eastAsia" w:ascii="宋体" w:hAnsi="宋体" w:cs="宋体"/>
          <w:sz w:val="24"/>
          <w:szCs w:val="24"/>
        </w:rPr>
        <w:t>万元）的</w:t>
      </w:r>
      <w:r>
        <w:rPr>
          <w:rFonts w:ascii="宋体" w:hAnsi="宋体" w:cs="宋体"/>
          <w:sz w:val="24"/>
          <w:szCs w:val="24"/>
        </w:rPr>
        <w:t>1.5%</w:t>
      </w:r>
      <w:r>
        <w:rPr>
          <w:rFonts w:hint="eastAsia" w:ascii="宋体" w:hAnsi="宋体" w:cs="宋体"/>
          <w:sz w:val="24"/>
          <w:szCs w:val="24"/>
        </w:rPr>
        <w:t>的</w:t>
      </w:r>
      <w:r>
        <w:rPr>
          <w:rFonts w:ascii="宋体" w:hAnsi="宋体" w:cs="宋体"/>
          <w:sz w:val="24"/>
          <w:szCs w:val="24"/>
        </w:rPr>
        <w:t>28%</w:t>
      </w:r>
      <w:r>
        <w:rPr>
          <w:rFonts w:hint="eastAsia" w:ascii="宋体" w:hAnsi="宋体" w:cs="宋体"/>
          <w:sz w:val="24"/>
          <w:szCs w:val="24"/>
        </w:rPr>
        <w:t>计取。由成交供应商向代理公司支付。供应商投标时综合考虑招标代理服务费进报价中，此项费用不得单列，凡漏项或少计均视为优惠采购人，不另行增加费用。中标后由成交供应商在领取中标（成交）通知书前直接向招标代理公司一次性付清。</w:t>
      </w:r>
    </w:p>
    <w:p w14:paraId="2E493C34">
      <w:pPr>
        <w:pStyle w:val="5"/>
        <w:widowControl/>
        <w:spacing w:before="0" w:after="0" w:line="360" w:lineRule="auto"/>
        <w:ind w:firstLine="452"/>
        <w:rPr>
          <w:rFonts w:ascii="黑体" w:hAnsi="宋体" w:cs="Times New Roman"/>
          <w:b w:val="0"/>
          <w:bCs w:val="0"/>
        </w:rPr>
      </w:pPr>
      <w:bookmarkStart w:id="66" w:name="_Toc26554097"/>
      <w:bookmarkStart w:id="67" w:name="_Toc61149622"/>
      <w:bookmarkStart w:id="68" w:name="_Toc23828480"/>
      <w:r>
        <w:rPr>
          <w:rFonts w:ascii="宋体" w:hAnsi="宋体" w:cs="宋体"/>
          <w:sz w:val="30"/>
          <w:szCs w:val="30"/>
        </w:rPr>
        <w:t>5</w:t>
      </w:r>
      <w:r>
        <w:rPr>
          <w:rFonts w:hint="eastAsia" w:ascii="宋体" w:hAnsi="宋体" w:cs="黑体"/>
          <w:sz w:val="30"/>
          <w:szCs w:val="30"/>
        </w:rPr>
        <w:t>、</w:t>
      </w:r>
      <w:r>
        <w:rPr>
          <w:rFonts w:hint="eastAsia" w:ascii="黑体" w:hAnsi="宋体" w:cs="黑体"/>
          <w:b w:val="0"/>
          <w:bCs w:val="0"/>
        </w:rPr>
        <w:t>招标文件的约束力</w:t>
      </w:r>
    </w:p>
    <w:p w14:paraId="089595D9">
      <w:pPr>
        <w:keepNext/>
        <w:keepLines/>
        <w:widowControl/>
        <w:spacing w:line="360" w:lineRule="auto"/>
        <w:ind w:firstLine="480"/>
        <w:rPr>
          <w:rFonts w:ascii="宋体" w:cs="Times New Roman"/>
          <w:sz w:val="24"/>
          <w:szCs w:val="24"/>
        </w:rPr>
      </w:pPr>
      <w:r>
        <w:rPr>
          <w:rFonts w:ascii="宋体" w:hAnsi="宋体" w:cs="宋体"/>
          <w:sz w:val="24"/>
          <w:szCs w:val="24"/>
        </w:rPr>
        <w:t xml:space="preserve">5.1 </w:t>
      </w:r>
      <w:r>
        <w:rPr>
          <w:rFonts w:hint="eastAsia" w:ascii="宋体" w:hAnsi="宋体" w:cs="宋体"/>
          <w:sz w:val="24"/>
          <w:szCs w:val="24"/>
        </w:rPr>
        <w:t>供应商一旦参加本项目采购活动，即被认为接受了本招标文件的规定和约束。</w:t>
      </w:r>
    </w:p>
    <w:p w14:paraId="2F3030BC">
      <w:pPr>
        <w:pStyle w:val="4"/>
        <w:widowControl/>
        <w:spacing w:before="143" w:after="143" w:line="360" w:lineRule="auto"/>
        <w:ind w:firstLine="321"/>
        <w:rPr>
          <w:rFonts w:cs="Times New Roman"/>
        </w:rPr>
      </w:pPr>
      <w:bookmarkStart w:id="69" w:name="_Toc20823281"/>
      <w:bookmarkStart w:id="70" w:name="_Toc120614215"/>
      <w:bookmarkStart w:id="71" w:name="_Toc16938525"/>
      <w:r>
        <w:rPr>
          <w:rFonts w:hint="eastAsia" w:cs="宋体"/>
        </w:rPr>
        <w:t>二、招标文件</w:t>
      </w:r>
      <w:bookmarkEnd w:id="69"/>
      <w:bookmarkEnd w:id="70"/>
      <w:bookmarkEnd w:id="71"/>
    </w:p>
    <w:p w14:paraId="402F7413">
      <w:pPr>
        <w:pStyle w:val="5"/>
        <w:widowControl/>
        <w:spacing w:before="0" w:after="0" w:line="360" w:lineRule="auto"/>
        <w:ind w:firstLine="420"/>
        <w:rPr>
          <w:rFonts w:cs="Times New Roman"/>
          <w:b w:val="0"/>
          <w:bCs w:val="0"/>
        </w:rPr>
      </w:pPr>
      <w:bookmarkStart w:id="72" w:name="_Toc16938526"/>
      <w:bookmarkStart w:id="73" w:name="_Toc20823282"/>
      <w:bookmarkStart w:id="74" w:name="_Toc513029210"/>
      <w:r>
        <w:rPr>
          <w:b w:val="0"/>
          <w:bCs w:val="0"/>
        </w:rPr>
        <w:t>6</w:t>
      </w:r>
      <w:r>
        <w:rPr>
          <w:rFonts w:hint="eastAsia" w:cs="黑体"/>
          <w:b w:val="0"/>
          <w:bCs w:val="0"/>
        </w:rPr>
        <w:t>、招标文件构成</w:t>
      </w:r>
      <w:bookmarkEnd w:id="72"/>
      <w:bookmarkEnd w:id="73"/>
      <w:bookmarkEnd w:id="74"/>
    </w:p>
    <w:p w14:paraId="09470DA5">
      <w:pPr>
        <w:keepNext/>
        <w:keepLines/>
        <w:widowControl/>
        <w:spacing w:line="360" w:lineRule="auto"/>
        <w:ind w:firstLine="480"/>
        <w:rPr>
          <w:rFonts w:ascii="宋体" w:cs="Times New Roman"/>
          <w:sz w:val="24"/>
          <w:szCs w:val="24"/>
        </w:rPr>
      </w:pPr>
      <w:r>
        <w:rPr>
          <w:rFonts w:ascii="宋体" w:hAnsi="宋体" w:cs="宋体"/>
          <w:sz w:val="24"/>
          <w:szCs w:val="24"/>
        </w:rPr>
        <w:t xml:space="preserve">6.1 </w:t>
      </w:r>
      <w:r>
        <w:rPr>
          <w:rFonts w:hint="eastAsia" w:ascii="宋体" w:hAnsi="宋体" w:cs="宋体"/>
          <w:sz w:val="24"/>
          <w:szCs w:val="24"/>
        </w:rPr>
        <w:t>招标文件由以下部分组成：</w:t>
      </w:r>
    </w:p>
    <w:p w14:paraId="70139138">
      <w:pPr>
        <w:keepNext/>
        <w:keepLines/>
        <w:widowControl/>
        <w:spacing w:line="360" w:lineRule="auto"/>
        <w:ind w:firstLine="360"/>
        <w:rPr>
          <w:rFonts w:ascii="宋体" w:cs="Times New Roman"/>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）招标公告</w:t>
      </w:r>
    </w:p>
    <w:p w14:paraId="79BB01E6">
      <w:pPr>
        <w:keepNext/>
        <w:keepLines/>
        <w:widowControl/>
        <w:spacing w:line="360" w:lineRule="auto"/>
        <w:ind w:firstLine="360"/>
        <w:rPr>
          <w:rFonts w:ascii="宋体" w:cs="Times New Roman"/>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）供应商须知</w:t>
      </w:r>
    </w:p>
    <w:p w14:paraId="09F222DF">
      <w:pPr>
        <w:keepNext/>
        <w:keepLines/>
        <w:widowControl/>
        <w:spacing w:line="360" w:lineRule="auto"/>
        <w:ind w:firstLine="360"/>
        <w:rPr>
          <w:rFonts w:ascii="宋体" w:cs="Times New Roman"/>
          <w:sz w:val="24"/>
          <w:szCs w:val="24"/>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）合同条款及格式</w:t>
      </w:r>
    </w:p>
    <w:p w14:paraId="3F9B2433">
      <w:pPr>
        <w:keepNext/>
        <w:keepLines/>
        <w:widowControl/>
        <w:spacing w:line="360" w:lineRule="auto"/>
        <w:ind w:firstLine="360"/>
        <w:rPr>
          <w:rFonts w:ascii="宋体" w:cs="Times New Roman"/>
          <w:sz w:val="24"/>
          <w:szCs w:val="24"/>
        </w:rPr>
      </w:pPr>
      <w:r>
        <w:rPr>
          <w:rFonts w:hint="eastAsia" w:ascii="宋体" w:hAnsi="宋体" w:cs="宋体"/>
          <w:sz w:val="24"/>
          <w:szCs w:val="24"/>
        </w:rPr>
        <w:t>（</w:t>
      </w:r>
      <w:r>
        <w:rPr>
          <w:rFonts w:ascii="宋体" w:hAnsi="宋体" w:cs="宋体"/>
          <w:sz w:val="24"/>
          <w:szCs w:val="24"/>
        </w:rPr>
        <w:t>4</w:t>
      </w:r>
      <w:r>
        <w:rPr>
          <w:rFonts w:hint="eastAsia" w:ascii="宋体" w:hAnsi="宋体" w:cs="宋体"/>
          <w:sz w:val="24"/>
          <w:szCs w:val="24"/>
        </w:rPr>
        <w:t>）项目需求</w:t>
      </w:r>
    </w:p>
    <w:p w14:paraId="36D71B4C">
      <w:pPr>
        <w:keepNext/>
        <w:keepLines/>
        <w:widowControl/>
        <w:spacing w:line="360" w:lineRule="auto"/>
        <w:ind w:firstLine="360"/>
        <w:rPr>
          <w:rFonts w:cs="Times New Roman"/>
          <w:sz w:val="24"/>
          <w:szCs w:val="24"/>
        </w:rPr>
      </w:pPr>
      <w:r>
        <w:rPr>
          <w:rFonts w:hint="eastAsia" w:ascii="宋体" w:hAnsi="宋体" w:cs="宋体"/>
          <w:sz w:val="24"/>
          <w:szCs w:val="24"/>
        </w:rPr>
        <w:t>（</w:t>
      </w:r>
      <w:r>
        <w:rPr>
          <w:rFonts w:ascii="宋体" w:hAnsi="宋体" w:cs="宋体"/>
          <w:sz w:val="24"/>
          <w:szCs w:val="24"/>
        </w:rPr>
        <w:t>5</w:t>
      </w:r>
      <w:r>
        <w:rPr>
          <w:rFonts w:hint="eastAsia" w:ascii="宋体" w:hAnsi="宋体" w:cs="宋体"/>
          <w:sz w:val="24"/>
          <w:szCs w:val="24"/>
        </w:rPr>
        <w:t>）</w:t>
      </w:r>
      <w:r>
        <w:rPr>
          <w:rFonts w:hint="eastAsia" w:hAnsi="宋体" w:cs="宋体"/>
          <w:sz w:val="24"/>
          <w:szCs w:val="24"/>
        </w:rPr>
        <w:t>评标方法与评标标准</w:t>
      </w:r>
    </w:p>
    <w:p w14:paraId="788E42DA">
      <w:pPr>
        <w:keepNext/>
        <w:keepLines/>
        <w:widowControl/>
        <w:spacing w:line="360" w:lineRule="auto"/>
        <w:ind w:firstLine="360"/>
        <w:rPr>
          <w:rFonts w:ascii="宋体" w:cs="Times New Roman"/>
          <w:sz w:val="24"/>
          <w:szCs w:val="24"/>
        </w:rPr>
      </w:pPr>
      <w:r>
        <w:rPr>
          <w:rFonts w:hint="eastAsia" w:ascii="宋体" w:hAnsi="宋体" w:cs="宋体"/>
          <w:sz w:val="24"/>
          <w:szCs w:val="24"/>
        </w:rPr>
        <w:t>（</w:t>
      </w:r>
      <w:r>
        <w:rPr>
          <w:rFonts w:ascii="宋体" w:hAnsi="宋体" w:cs="宋体"/>
          <w:sz w:val="24"/>
          <w:szCs w:val="24"/>
        </w:rPr>
        <w:t>6</w:t>
      </w:r>
      <w:r>
        <w:rPr>
          <w:rFonts w:hint="eastAsia" w:ascii="宋体" w:hAnsi="宋体" w:cs="宋体"/>
          <w:sz w:val="24"/>
          <w:szCs w:val="24"/>
        </w:rPr>
        <w:t>）投标文件格式</w:t>
      </w:r>
    </w:p>
    <w:p w14:paraId="61DE15F3">
      <w:pPr>
        <w:keepNext/>
        <w:keepLines/>
        <w:widowControl/>
        <w:spacing w:line="360" w:lineRule="auto"/>
        <w:ind w:firstLine="480"/>
        <w:rPr>
          <w:rFonts w:ascii="宋体" w:cs="Times New Roman"/>
          <w:sz w:val="24"/>
          <w:szCs w:val="24"/>
        </w:rPr>
      </w:pPr>
      <w:r>
        <w:rPr>
          <w:rFonts w:hint="eastAsia" w:ascii="宋体" w:hAnsi="宋体" w:cs="宋体"/>
          <w:sz w:val="24"/>
          <w:szCs w:val="24"/>
        </w:rPr>
        <w:t>请仔细检查招标文件是否齐全，如有缺漏请立即与招标代理机构联系解决。</w:t>
      </w:r>
    </w:p>
    <w:p w14:paraId="680735CC">
      <w:pPr>
        <w:keepNext/>
        <w:keepLines/>
        <w:widowControl/>
        <w:spacing w:line="360" w:lineRule="auto"/>
        <w:ind w:firstLine="480"/>
        <w:rPr>
          <w:rFonts w:ascii="宋体" w:cs="Times New Roman"/>
          <w:sz w:val="24"/>
          <w:szCs w:val="24"/>
        </w:rPr>
      </w:pPr>
      <w:r>
        <w:rPr>
          <w:rFonts w:ascii="宋体" w:hAnsi="宋体" w:cs="宋体"/>
          <w:sz w:val="24"/>
          <w:szCs w:val="24"/>
        </w:rPr>
        <w:t xml:space="preserve">6.2 </w:t>
      </w:r>
      <w:r>
        <w:rPr>
          <w:rFonts w:hint="eastAsia" w:ascii="宋体" w:hAnsi="宋体" w:cs="宋体"/>
          <w:sz w:val="24"/>
          <w:szCs w:val="24"/>
        </w:rPr>
        <w:t>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169B0651">
      <w:pPr>
        <w:pStyle w:val="5"/>
        <w:widowControl/>
        <w:spacing w:before="0" w:after="0" w:line="360" w:lineRule="auto"/>
        <w:ind w:firstLine="420"/>
        <w:rPr>
          <w:rFonts w:cs="Times New Roman"/>
          <w:b w:val="0"/>
          <w:bCs w:val="0"/>
        </w:rPr>
      </w:pPr>
      <w:r>
        <w:rPr>
          <w:b w:val="0"/>
          <w:bCs w:val="0"/>
        </w:rPr>
        <w:t>7</w:t>
      </w:r>
      <w:r>
        <w:rPr>
          <w:rFonts w:hint="eastAsia" w:cs="黑体"/>
          <w:b w:val="0"/>
          <w:bCs w:val="0"/>
        </w:rPr>
        <w:t>、招标文件的澄清</w:t>
      </w:r>
    </w:p>
    <w:p w14:paraId="2C520726">
      <w:pPr>
        <w:keepNext/>
        <w:keepLines/>
        <w:widowControl/>
        <w:spacing w:line="360" w:lineRule="auto"/>
        <w:ind w:firstLine="480"/>
        <w:rPr>
          <w:rFonts w:ascii="宋体" w:cs="Times New Roman"/>
          <w:sz w:val="24"/>
          <w:szCs w:val="24"/>
        </w:rPr>
      </w:pPr>
      <w:r>
        <w:rPr>
          <w:rFonts w:ascii="宋体" w:hAnsi="宋体" w:cs="宋体"/>
          <w:sz w:val="24"/>
          <w:szCs w:val="24"/>
        </w:rPr>
        <w:t>7.1</w:t>
      </w:r>
      <w:r>
        <w:rPr>
          <w:rFonts w:hint="eastAsia" w:ascii="宋体" w:hAnsi="宋体" w:cs="宋体"/>
          <w:sz w:val="24"/>
          <w:szCs w:val="24"/>
        </w:rPr>
        <w:t>任何要求对招标文件进行澄清的投标人，应在投标截止期十日前按招标公告中的通讯地址，以书面形式通知采购人。</w:t>
      </w:r>
    </w:p>
    <w:p w14:paraId="62CA12CE">
      <w:pPr>
        <w:pStyle w:val="5"/>
        <w:widowControl/>
        <w:spacing w:before="0" w:after="0" w:line="360" w:lineRule="auto"/>
        <w:ind w:firstLine="420"/>
        <w:rPr>
          <w:rFonts w:cs="Times New Roman"/>
          <w:b w:val="0"/>
          <w:bCs w:val="0"/>
        </w:rPr>
      </w:pPr>
      <w:bookmarkStart w:id="75" w:name="_Toc16938528"/>
      <w:bookmarkStart w:id="76" w:name="_Toc513029212"/>
      <w:bookmarkStart w:id="77" w:name="_Toc20823284"/>
      <w:bookmarkStart w:id="78" w:name="_Toc462564071"/>
      <w:r>
        <w:rPr>
          <w:b w:val="0"/>
          <w:bCs w:val="0"/>
        </w:rPr>
        <w:t>8</w:t>
      </w:r>
      <w:r>
        <w:rPr>
          <w:rFonts w:hint="eastAsia" w:cs="黑体"/>
          <w:b w:val="0"/>
          <w:bCs w:val="0"/>
        </w:rPr>
        <w:t>、招标文件的修改</w:t>
      </w:r>
      <w:bookmarkEnd w:id="75"/>
      <w:bookmarkEnd w:id="76"/>
      <w:bookmarkEnd w:id="77"/>
      <w:bookmarkEnd w:id="78"/>
    </w:p>
    <w:p w14:paraId="67894446">
      <w:pPr>
        <w:keepNext/>
        <w:keepLines/>
        <w:widowControl/>
        <w:spacing w:line="360" w:lineRule="auto"/>
        <w:ind w:firstLine="480"/>
        <w:rPr>
          <w:rFonts w:ascii="宋体" w:cs="Times New Roman"/>
          <w:sz w:val="24"/>
          <w:szCs w:val="24"/>
        </w:rPr>
      </w:pPr>
      <w:r>
        <w:rPr>
          <w:rFonts w:ascii="宋体" w:hAnsi="宋体" w:cs="宋体"/>
          <w:sz w:val="24"/>
          <w:szCs w:val="24"/>
        </w:rPr>
        <w:t xml:space="preserve">8.1 </w:t>
      </w:r>
      <w:r>
        <w:rPr>
          <w:rFonts w:hint="eastAsia" w:ascii="宋体" w:hAnsi="宋体" w:cs="宋体"/>
          <w:sz w:val="24"/>
          <w:szCs w:val="24"/>
        </w:rPr>
        <w:t>在投标截止时间</w:t>
      </w:r>
      <w:r>
        <w:rPr>
          <w:rFonts w:hint="eastAsia" w:ascii="??_GB2312" w:hAnsi="??_GB2312" w:cs="宋体"/>
          <w:sz w:val="24"/>
          <w:szCs w:val="24"/>
        </w:rPr>
        <w:t>前</w:t>
      </w:r>
      <w:r>
        <w:rPr>
          <w:rFonts w:hint="eastAsia" w:ascii="宋体" w:hAnsi="宋体" w:cs="宋体"/>
          <w:sz w:val="24"/>
          <w:szCs w:val="24"/>
        </w:rPr>
        <w:t>，采购人可以对招标文件进行修改。</w:t>
      </w:r>
    </w:p>
    <w:p w14:paraId="7E76F0FE">
      <w:pPr>
        <w:keepNext/>
        <w:keepLines/>
        <w:widowControl/>
        <w:spacing w:line="360" w:lineRule="auto"/>
        <w:ind w:firstLine="480"/>
        <w:rPr>
          <w:rFonts w:ascii="宋体" w:hAnsi="Arial" w:cs="Times New Roman"/>
          <w:sz w:val="28"/>
          <w:szCs w:val="28"/>
        </w:rPr>
      </w:pPr>
      <w:r>
        <w:rPr>
          <w:rFonts w:ascii="宋体" w:hAnsi="宋体" w:cs="宋体"/>
          <w:sz w:val="24"/>
          <w:szCs w:val="24"/>
        </w:rPr>
        <w:t>8.2</w:t>
      </w:r>
      <w:r>
        <w:rPr>
          <w:rFonts w:hint="eastAsia" w:ascii="宋体" w:hAnsi="宋体" w:cs="宋体"/>
          <w:sz w:val="24"/>
          <w:szCs w:val="24"/>
        </w:rPr>
        <w:t>采购人有权按照法定的要求推迟投标截止日期和开标日期。</w:t>
      </w:r>
    </w:p>
    <w:p w14:paraId="63A56CAC">
      <w:pPr>
        <w:keepNext/>
        <w:keepLines/>
        <w:widowControl/>
        <w:spacing w:line="360" w:lineRule="auto"/>
        <w:ind w:firstLine="480"/>
        <w:rPr>
          <w:rFonts w:ascii="宋体" w:cs="Times New Roman"/>
          <w:sz w:val="24"/>
          <w:szCs w:val="24"/>
        </w:rPr>
      </w:pPr>
      <w:r>
        <w:rPr>
          <w:rFonts w:ascii="宋体" w:hAnsi="宋体" w:cs="宋体"/>
          <w:sz w:val="24"/>
          <w:szCs w:val="24"/>
        </w:rPr>
        <w:t>8.3</w:t>
      </w:r>
      <w:r>
        <w:rPr>
          <w:rFonts w:hint="eastAsia" w:ascii="宋体" w:hAnsi="宋体" w:cs="宋体"/>
          <w:sz w:val="24"/>
          <w:szCs w:val="24"/>
        </w:rPr>
        <w:t>招标文件的修改将在江苏政府采购网、盐城市政府采购网公布，补充文件将作为招标文件的组成部分，并对供应商具有约束力。</w:t>
      </w:r>
    </w:p>
    <w:p w14:paraId="545073B4">
      <w:pPr>
        <w:pStyle w:val="4"/>
        <w:widowControl/>
        <w:spacing w:before="143" w:after="143" w:line="360" w:lineRule="auto"/>
        <w:ind w:firstLine="321"/>
        <w:rPr>
          <w:rFonts w:cs="Times New Roman"/>
        </w:rPr>
      </w:pPr>
      <w:bookmarkStart w:id="79" w:name="_Toc20823285"/>
      <w:bookmarkStart w:id="80" w:name="_Toc513029213"/>
      <w:bookmarkStart w:id="81" w:name="_Toc120614216"/>
      <w:bookmarkStart w:id="82" w:name="_Toc462564072"/>
      <w:bookmarkStart w:id="83" w:name="_Toc16938529"/>
      <w:r>
        <w:rPr>
          <w:rFonts w:hint="eastAsia" w:cs="宋体"/>
        </w:rPr>
        <w:t>三、投标文件的编制</w:t>
      </w:r>
      <w:bookmarkEnd w:id="79"/>
      <w:bookmarkEnd w:id="80"/>
      <w:bookmarkEnd w:id="81"/>
      <w:bookmarkEnd w:id="82"/>
      <w:bookmarkEnd w:id="83"/>
    </w:p>
    <w:p w14:paraId="6098C509">
      <w:pPr>
        <w:pStyle w:val="5"/>
        <w:widowControl/>
        <w:spacing w:before="0" w:after="0" w:line="360" w:lineRule="auto"/>
        <w:ind w:firstLine="420"/>
        <w:rPr>
          <w:rFonts w:cs="Times New Roman"/>
        </w:rPr>
      </w:pPr>
      <w:bookmarkStart w:id="84" w:name="_Toc20823286"/>
      <w:bookmarkStart w:id="85" w:name="_Toc513029214"/>
      <w:bookmarkStart w:id="86" w:name="_Toc16938530"/>
      <w:bookmarkStart w:id="87" w:name="_Toc462564073"/>
      <w:r>
        <w:rPr>
          <w:b w:val="0"/>
          <w:bCs w:val="0"/>
        </w:rPr>
        <w:t>9</w:t>
      </w:r>
      <w:r>
        <w:rPr>
          <w:rFonts w:hint="eastAsia" w:cs="黑体"/>
          <w:b w:val="0"/>
          <w:bCs w:val="0"/>
        </w:rPr>
        <w:t>、投标文件的语言及度量衡单位</w:t>
      </w:r>
      <w:bookmarkEnd w:id="84"/>
      <w:bookmarkEnd w:id="85"/>
      <w:bookmarkEnd w:id="86"/>
      <w:bookmarkEnd w:id="87"/>
    </w:p>
    <w:p w14:paraId="3C56220D">
      <w:pPr>
        <w:keepNext/>
        <w:keepLines/>
        <w:widowControl/>
        <w:spacing w:line="360" w:lineRule="auto"/>
        <w:ind w:firstLine="480"/>
        <w:rPr>
          <w:rFonts w:ascii="宋体" w:cs="Times New Roman"/>
          <w:sz w:val="24"/>
          <w:szCs w:val="24"/>
        </w:rPr>
      </w:pPr>
      <w:r>
        <w:rPr>
          <w:rFonts w:ascii="宋体" w:hAnsi="宋体" w:cs="宋体"/>
          <w:sz w:val="24"/>
          <w:szCs w:val="24"/>
        </w:rPr>
        <w:t xml:space="preserve">9.1 </w:t>
      </w:r>
      <w:r>
        <w:rPr>
          <w:rFonts w:hint="eastAsia" w:ascii="宋体" w:hAnsi="宋体" w:cs="宋体"/>
          <w:sz w:val="24"/>
          <w:szCs w:val="24"/>
        </w:rPr>
        <w:t>供应商提交的投标文件以及供应商与采购人就有关投标的所有来往通知、函件和文件均应使用</w:t>
      </w:r>
      <w:r>
        <w:rPr>
          <w:rFonts w:hint="eastAsia" w:ascii="宋体" w:hAnsi="宋体" w:cs="宋体"/>
          <w:b/>
          <w:bCs/>
          <w:sz w:val="24"/>
          <w:szCs w:val="24"/>
        </w:rPr>
        <w:t>简体中文</w:t>
      </w:r>
      <w:r>
        <w:rPr>
          <w:rFonts w:hint="eastAsia" w:ascii="宋体" w:hAnsi="宋体" w:cs="宋体"/>
          <w:sz w:val="24"/>
          <w:szCs w:val="24"/>
        </w:rPr>
        <w:t>。</w:t>
      </w:r>
    </w:p>
    <w:p w14:paraId="37F29AB2">
      <w:pPr>
        <w:keepNext/>
        <w:keepLines/>
        <w:widowControl/>
        <w:spacing w:line="360" w:lineRule="auto"/>
        <w:ind w:firstLine="480"/>
        <w:rPr>
          <w:rFonts w:ascii="宋体" w:cs="Times New Roman"/>
          <w:sz w:val="24"/>
          <w:szCs w:val="24"/>
        </w:rPr>
      </w:pPr>
      <w:r>
        <w:rPr>
          <w:rFonts w:ascii="宋体" w:hAnsi="宋体" w:cs="宋体"/>
          <w:sz w:val="24"/>
          <w:szCs w:val="24"/>
        </w:rPr>
        <w:t xml:space="preserve">9.2 </w:t>
      </w:r>
      <w:r>
        <w:rPr>
          <w:rFonts w:hint="eastAsia" w:ascii="宋体" w:hAnsi="宋体" w:cs="宋体"/>
          <w:sz w:val="24"/>
          <w:szCs w:val="24"/>
        </w:rPr>
        <w:t>除技术性能另有规定外，投标文件所使用的度量衡单位，均须采用国家法定计量单位。</w:t>
      </w:r>
    </w:p>
    <w:p w14:paraId="49BC10AB">
      <w:pPr>
        <w:pStyle w:val="5"/>
        <w:widowControl/>
        <w:spacing w:before="0" w:after="0" w:line="360" w:lineRule="auto"/>
        <w:ind w:firstLine="420"/>
        <w:rPr>
          <w:rFonts w:cs="Times New Roman"/>
          <w:b w:val="0"/>
          <w:bCs w:val="0"/>
        </w:rPr>
      </w:pPr>
      <w:bookmarkStart w:id="88" w:name="_Toc20823287"/>
      <w:bookmarkStart w:id="89" w:name="_Toc16938531"/>
      <w:bookmarkStart w:id="90" w:name="_Toc513029215"/>
      <w:bookmarkStart w:id="91" w:name="_Toc462564074"/>
      <w:r>
        <w:rPr>
          <w:b w:val="0"/>
          <w:bCs w:val="0"/>
        </w:rPr>
        <w:t>10</w:t>
      </w:r>
      <w:r>
        <w:rPr>
          <w:rFonts w:hint="eastAsia" w:cs="黑体"/>
          <w:b w:val="0"/>
          <w:bCs w:val="0"/>
        </w:rPr>
        <w:t>、投标文件构成</w:t>
      </w:r>
      <w:bookmarkEnd w:id="88"/>
      <w:bookmarkEnd w:id="89"/>
      <w:bookmarkEnd w:id="90"/>
      <w:bookmarkEnd w:id="91"/>
    </w:p>
    <w:p w14:paraId="69800A5C">
      <w:pPr>
        <w:keepNext/>
        <w:keepLines/>
        <w:widowControl/>
        <w:spacing w:line="360" w:lineRule="auto"/>
        <w:ind w:firstLine="480"/>
        <w:rPr>
          <w:rFonts w:ascii="宋体" w:cs="Times New Roman"/>
          <w:sz w:val="24"/>
          <w:szCs w:val="24"/>
        </w:rPr>
      </w:pPr>
      <w:r>
        <w:rPr>
          <w:rFonts w:ascii="宋体" w:hAnsi="宋体" w:cs="宋体"/>
          <w:sz w:val="24"/>
          <w:szCs w:val="24"/>
        </w:rPr>
        <w:t>10.1</w:t>
      </w:r>
      <w:r>
        <w:rPr>
          <w:rFonts w:hint="eastAsia" w:ascii="宋体" w:hAnsi="宋体" w:cs="宋体"/>
          <w:sz w:val="24"/>
          <w:szCs w:val="24"/>
        </w:rPr>
        <w:t>投标人编写的投标文件应包括资格证明文件、符合性证明文件、投标分项报价表、技术要求响应及偏离表、商务要求响应及偏离表、其他证明文件、投标函、开标一览表等部分。</w:t>
      </w:r>
    </w:p>
    <w:p w14:paraId="3BB40C29">
      <w:pPr>
        <w:keepNext/>
        <w:keepLines/>
        <w:widowControl/>
        <w:spacing w:line="360" w:lineRule="auto"/>
        <w:ind w:firstLine="480"/>
        <w:rPr>
          <w:rFonts w:ascii="宋体" w:cs="Times New Roman"/>
          <w:sz w:val="24"/>
          <w:szCs w:val="24"/>
        </w:rPr>
      </w:pPr>
      <w:r>
        <w:rPr>
          <w:rFonts w:ascii="宋体" w:hAnsi="宋体" w:cs="宋体"/>
          <w:sz w:val="24"/>
          <w:szCs w:val="24"/>
        </w:rPr>
        <w:t>10.2</w:t>
      </w:r>
      <w:r>
        <w:rPr>
          <w:rFonts w:hint="eastAsia" w:ascii="宋体" w:hAnsi="宋体" w:cs="宋体"/>
          <w:sz w:val="24"/>
          <w:szCs w:val="24"/>
        </w:rPr>
        <w:t>如标书制作工具中格式和内容与“中国政府采购网”、“江苏政府采购网”、“盐城市政府采购网”发布的招标文件不一致，请以“中国政府采购网”、“江苏政府采购网”、“盐城市政府采购网”发布的招标文件为准。</w:t>
      </w:r>
    </w:p>
    <w:p w14:paraId="195AD81C">
      <w:pPr>
        <w:pStyle w:val="5"/>
        <w:widowControl/>
        <w:spacing w:before="0" w:after="0" w:line="360" w:lineRule="auto"/>
        <w:ind w:firstLine="420"/>
        <w:rPr>
          <w:rFonts w:cs="Times New Roman"/>
          <w:b w:val="0"/>
          <w:bCs w:val="0"/>
        </w:rPr>
      </w:pPr>
      <w:bookmarkStart w:id="92" w:name="_Hlt26668975"/>
      <w:bookmarkEnd w:id="92"/>
      <w:bookmarkStart w:id="93" w:name="_Hlt26954838"/>
      <w:bookmarkEnd w:id="93"/>
      <w:bookmarkStart w:id="94" w:name="_Hlt26670360"/>
      <w:bookmarkEnd w:id="94"/>
      <w:bookmarkStart w:id="95" w:name="_Toc14577354"/>
      <w:bookmarkStart w:id="96" w:name="_Toc513029216"/>
      <w:bookmarkStart w:id="97" w:name="_Toc49090507"/>
      <w:bookmarkStart w:id="98" w:name="_Toc14577357"/>
      <w:bookmarkStart w:id="99" w:name="_Toc513029219"/>
      <w:bookmarkStart w:id="100" w:name="_Toc49090509"/>
      <w:r>
        <w:rPr>
          <w:b w:val="0"/>
          <w:bCs w:val="0"/>
        </w:rPr>
        <w:t>11</w:t>
      </w:r>
      <w:r>
        <w:rPr>
          <w:rFonts w:hint="eastAsia" w:cs="黑体"/>
          <w:b w:val="0"/>
          <w:bCs w:val="0"/>
        </w:rPr>
        <w:t>、证明供应商资格及符合招标文件规定的文件</w:t>
      </w:r>
      <w:bookmarkEnd w:id="95"/>
      <w:bookmarkEnd w:id="96"/>
      <w:bookmarkEnd w:id="97"/>
      <w:bookmarkEnd w:id="98"/>
      <w:bookmarkEnd w:id="99"/>
      <w:bookmarkEnd w:id="100"/>
    </w:p>
    <w:p w14:paraId="3CB0DA74">
      <w:pPr>
        <w:keepNext/>
        <w:keepLines/>
        <w:widowControl/>
        <w:spacing w:line="360" w:lineRule="auto"/>
        <w:ind w:firstLine="480"/>
        <w:rPr>
          <w:rFonts w:ascii="宋体" w:cs="Times New Roman"/>
          <w:sz w:val="24"/>
          <w:szCs w:val="24"/>
        </w:rPr>
      </w:pPr>
      <w:bookmarkStart w:id="101" w:name="_Toc14577355"/>
      <w:bookmarkStart w:id="102" w:name="_Toc49090508"/>
      <w:r>
        <w:rPr>
          <w:rFonts w:ascii="宋体" w:hAnsi="宋体" w:cs="宋体"/>
          <w:sz w:val="24"/>
          <w:szCs w:val="24"/>
        </w:rPr>
        <w:t>11.1</w:t>
      </w:r>
      <w:r>
        <w:rPr>
          <w:rFonts w:hint="eastAsia" w:ascii="宋体" w:hAnsi="宋体" w:cs="宋体"/>
          <w:sz w:val="24"/>
          <w:szCs w:val="24"/>
        </w:rPr>
        <w:t>投标人应按照法律、法规、规章和规范性文件以及招标文件要求提交证明文件，证明其及投标标的符合招标文件规定。</w:t>
      </w:r>
    </w:p>
    <w:p w14:paraId="6BDC4266">
      <w:pPr>
        <w:keepNext/>
        <w:keepLines/>
        <w:widowControl/>
        <w:spacing w:line="360" w:lineRule="auto"/>
        <w:ind w:firstLine="480"/>
        <w:rPr>
          <w:rFonts w:ascii="宋体" w:cs="Times New Roman"/>
          <w:sz w:val="24"/>
          <w:szCs w:val="24"/>
        </w:rPr>
      </w:pPr>
      <w:r>
        <w:rPr>
          <w:rFonts w:ascii="宋体" w:hAnsi="宋体" w:cs="宋体"/>
          <w:sz w:val="24"/>
          <w:szCs w:val="24"/>
        </w:rPr>
        <w:t>11.2</w:t>
      </w:r>
      <w:r>
        <w:rPr>
          <w:rFonts w:hint="eastAsia" w:ascii="宋体" w:hAnsi="宋体" w:cs="宋体"/>
          <w:sz w:val="24"/>
          <w:szCs w:val="24"/>
        </w:rPr>
        <w:t>招标文件对证明文件无明确形式要求的，证明文件可以以文字资料、图纸和数据等形式提交。</w:t>
      </w:r>
    </w:p>
    <w:p w14:paraId="4FC7DCC1">
      <w:pPr>
        <w:pStyle w:val="5"/>
        <w:widowControl/>
        <w:spacing w:before="0" w:after="0" w:line="360" w:lineRule="auto"/>
        <w:ind w:firstLine="420"/>
        <w:rPr>
          <w:rFonts w:cs="Times New Roman"/>
          <w:b w:val="0"/>
          <w:bCs w:val="0"/>
        </w:rPr>
      </w:pPr>
      <w:r>
        <w:rPr>
          <w:b w:val="0"/>
          <w:bCs w:val="0"/>
        </w:rPr>
        <w:t>12</w:t>
      </w:r>
      <w:r>
        <w:rPr>
          <w:rFonts w:hint="eastAsia" w:cs="黑体"/>
          <w:b w:val="0"/>
          <w:bCs w:val="0"/>
        </w:rPr>
        <w:t>、投标分项报价表</w:t>
      </w:r>
    </w:p>
    <w:p w14:paraId="51FE4050">
      <w:pPr>
        <w:keepNext/>
        <w:keepLines/>
        <w:widowControl/>
        <w:spacing w:line="360" w:lineRule="auto"/>
        <w:ind w:firstLine="480"/>
        <w:rPr>
          <w:rFonts w:ascii="宋体" w:cs="Times New Roman"/>
          <w:sz w:val="24"/>
          <w:szCs w:val="24"/>
        </w:rPr>
      </w:pPr>
      <w:r>
        <w:rPr>
          <w:rFonts w:ascii="宋体" w:hAnsi="宋体" w:cs="宋体"/>
          <w:sz w:val="24"/>
          <w:szCs w:val="24"/>
        </w:rPr>
        <w:t>12.1</w:t>
      </w:r>
      <w:r>
        <w:rPr>
          <w:rFonts w:hint="eastAsia" w:ascii="宋体" w:hAnsi="宋体" w:cs="宋体"/>
          <w:sz w:val="24"/>
          <w:szCs w:val="24"/>
        </w:rPr>
        <w:t>投标人应按照招标文件规定格式填报投标分项报价表。</w:t>
      </w:r>
    </w:p>
    <w:p w14:paraId="278E7FF9">
      <w:pPr>
        <w:keepNext/>
        <w:keepLines/>
        <w:widowControl/>
        <w:spacing w:line="360" w:lineRule="auto"/>
        <w:ind w:firstLine="480"/>
        <w:rPr>
          <w:rFonts w:ascii="宋体" w:cs="Times New Roman"/>
          <w:sz w:val="24"/>
          <w:szCs w:val="24"/>
        </w:rPr>
      </w:pPr>
      <w:r>
        <w:rPr>
          <w:rFonts w:ascii="宋体" w:hAnsi="宋体" w:cs="宋体"/>
          <w:sz w:val="24"/>
          <w:szCs w:val="24"/>
        </w:rPr>
        <w:t>12.2</w:t>
      </w:r>
      <w:r>
        <w:rPr>
          <w:rFonts w:hint="eastAsia" w:ascii="宋体" w:hAnsi="宋体" w:cs="宋体"/>
          <w:sz w:val="24"/>
          <w:szCs w:val="24"/>
        </w:rPr>
        <w:t>投标货币。投标文件中的单价和总价无特殊规定的采用人民币报价，以元为单位标注。招标文件中另有规定的按规定执行。</w:t>
      </w:r>
      <w:bookmarkEnd w:id="101"/>
      <w:bookmarkEnd w:id="102"/>
    </w:p>
    <w:p w14:paraId="5C3E5BA2">
      <w:pPr>
        <w:keepNext/>
        <w:keepLines/>
        <w:widowControl/>
        <w:spacing w:line="360" w:lineRule="auto"/>
        <w:ind w:firstLine="420"/>
        <w:rPr>
          <w:rFonts w:ascii="宋体" w:cs="Times New Roman"/>
          <w:sz w:val="24"/>
          <w:szCs w:val="24"/>
        </w:rPr>
      </w:pPr>
      <w:r>
        <w:rPr>
          <w:sz w:val="28"/>
          <w:szCs w:val="28"/>
        </w:rPr>
        <w:t>13</w:t>
      </w:r>
      <w:r>
        <w:rPr>
          <w:rFonts w:hint="eastAsia" w:cs="宋体"/>
          <w:b/>
          <w:bCs/>
        </w:rPr>
        <w:t>、</w:t>
      </w:r>
      <w:r>
        <w:rPr>
          <w:rFonts w:hint="eastAsia" w:ascii="黑体" w:hAnsi="宋体" w:eastAsia="黑体" w:cs="黑体"/>
          <w:sz w:val="28"/>
          <w:szCs w:val="28"/>
        </w:rPr>
        <w:t>技术参数响应及偏离表、商务条款响应及偏离表</w:t>
      </w:r>
    </w:p>
    <w:p w14:paraId="0CEAFB53">
      <w:pPr>
        <w:keepNext/>
        <w:keepLines/>
        <w:widowControl/>
        <w:spacing w:line="360" w:lineRule="auto"/>
        <w:ind w:firstLine="480"/>
        <w:rPr>
          <w:rFonts w:ascii="宋体" w:cs="Times New Roman"/>
          <w:sz w:val="24"/>
          <w:szCs w:val="24"/>
        </w:rPr>
      </w:pPr>
      <w:r>
        <w:rPr>
          <w:rFonts w:ascii="宋体" w:hAnsi="宋体" w:cs="宋体"/>
          <w:sz w:val="24"/>
          <w:szCs w:val="24"/>
        </w:rPr>
        <w:t>13.1</w:t>
      </w:r>
      <w:r>
        <w:rPr>
          <w:rFonts w:hint="eastAsia" w:ascii="宋体" w:hAnsi="宋体" w:cs="宋体"/>
          <w:sz w:val="24"/>
          <w:szCs w:val="24"/>
        </w:rPr>
        <w:t>投标人需对招标文件中的技术要求与商务要求逐项作出响应或偏离，并说明原因。</w:t>
      </w:r>
    </w:p>
    <w:p w14:paraId="6478D744">
      <w:pPr>
        <w:keepNext/>
        <w:keepLines/>
        <w:widowControl/>
        <w:spacing w:line="360" w:lineRule="auto"/>
        <w:ind w:firstLine="480"/>
        <w:rPr>
          <w:rFonts w:ascii="宋体" w:cs="Times New Roman"/>
          <w:sz w:val="24"/>
          <w:szCs w:val="24"/>
        </w:rPr>
      </w:pPr>
      <w:r>
        <w:rPr>
          <w:rFonts w:ascii="宋体" w:hAnsi="宋体" w:cs="宋体"/>
          <w:sz w:val="24"/>
          <w:szCs w:val="24"/>
        </w:rPr>
        <w:t>13.2</w:t>
      </w:r>
      <w:r>
        <w:rPr>
          <w:rFonts w:hint="eastAsia" w:ascii="宋体" w:hAnsi="宋体" w:cs="宋体"/>
          <w:sz w:val="24"/>
          <w:szCs w:val="24"/>
        </w:rPr>
        <w:t>投标人可在投标文件中提供认为需要的其他技术文件或说明。</w:t>
      </w:r>
    </w:p>
    <w:p w14:paraId="209F0171">
      <w:pPr>
        <w:pStyle w:val="5"/>
        <w:widowControl/>
        <w:spacing w:before="0" w:after="0" w:line="360" w:lineRule="auto"/>
        <w:ind w:firstLine="420"/>
        <w:rPr>
          <w:rFonts w:cs="Times New Roman"/>
          <w:b w:val="0"/>
          <w:bCs w:val="0"/>
        </w:rPr>
      </w:pPr>
      <w:bookmarkStart w:id="103" w:name="_Toc14577359"/>
      <w:bookmarkStart w:id="104" w:name="_Toc49090510"/>
      <w:r>
        <w:rPr>
          <w:b w:val="0"/>
          <w:bCs w:val="0"/>
        </w:rPr>
        <w:t>14</w:t>
      </w:r>
      <w:r>
        <w:rPr>
          <w:rFonts w:hint="eastAsia" w:cs="黑体"/>
          <w:b w:val="0"/>
          <w:bCs w:val="0"/>
        </w:rPr>
        <w:t>、投标函和开标一览表</w:t>
      </w:r>
    </w:p>
    <w:p w14:paraId="46AF7215">
      <w:pPr>
        <w:keepNext/>
        <w:keepLines/>
        <w:widowControl/>
        <w:spacing w:line="360" w:lineRule="auto"/>
        <w:ind w:firstLine="480"/>
        <w:rPr>
          <w:rFonts w:ascii="宋体" w:cs="Times New Roman"/>
          <w:sz w:val="24"/>
          <w:szCs w:val="24"/>
        </w:rPr>
      </w:pPr>
      <w:r>
        <w:rPr>
          <w:rFonts w:ascii="宋体" w:hAnsi="宋体" w:cs="宋体"/>
          <w:sz w:val="24"/>
          <w:szCs w:val="24"/>
        </w:rPr>
        <w:t>14.1</w:t>
      </w:r>
      <w:r>
        <w:rPr>
          <w:rFonts w:hint="eastAsia" w:ascii="宋体" w:hAnsi="宋体" w:cs="宋体"/>
          <w:sz w:val="24"/>
          <w:szCs w:val="24"/>
        </w:rPr>
        <w:t>投标人应按照招标文件中提供的格式完整、正确填写投标函、开标一览表。</w:t>
      </w:r>
    </w:p>
    <w:p w14:paraId="2C942B72">
      <w:pPr>
        <w:keepNext/>
        <w:keepLines/>
        <w:widowControl/>
        <w:spacing w:line="360" w:lineRule="auto"/>
        <w:ind w:firstLine="480"/>
        <w:rPr>
          <w:rFonts w:ascii="宋体" w:cs="Times New Roman"/>
          <w:sz w:val="24"/>
          <w:szCs w:val="24"/>
        </w:rPr>
      </w:pPr>
      <w:r>
        <w:rPr>
          <w:rFonts w:ascii="宋体" w:hAnsi="宋体" w:cs="宋体"/>
          <w:sz w:val="24"/>
          <w:szCs w:val="24"/>
        </w:rPr>
        <w:t>14.2</w:t>
      </w:r>
      <w:r>
        <w:rPr>
          <w:rFonts w:hint="eastAsia" w:ascii="宋体" w:hAnsi="宋体" w:cs="宋体"/>
          <w:sz w:val="24"/>
          <w:szCs w:val="24"/>
        </w:rPr>
        <w:t>对于采用货币报价的项目，开标一览表中的投标总报价应与投标分项报价表中的投标总报价一致，如不一致，不作为无效投标处理，但评标时按开标一览表中价格为准。</w:t>
      </w:r>
    </w:p>
    <w:p w14:paraId="7FB0D693">
      <w:pPr>
        <w:pStyle w:val="5"/>
        <w:widowControl/>
        <w:spacing w:before="0" w:after="0" w:line="360" w:lineRule="auto"/>
        <w:ind w:firstLine="420"/>
        <w:rPr>
          <w:rFonts w:cs="Times New Roman"/>
          <w:b w:val="0"/>
          <w:bCs w:val="0"/>
        </w:rPr>
      </w:pPr>
      <w:r>
        <w:rPr>
          <w:b w:val="0"/>
          <w:bCs w:val="0"/>
        </w:rPr>
        <w:t>15</w:t>
      </w:r>
      <w:r>
        <w:rPr>
          <w:rFonts w:hint="eastAsia" w:cs="黑体"/>
          <w:b w:val="0"/>
          <w:bCs w:val="0"/>
        </w:rPr>
        <w:t>、</w:t>
      </w:r>
      <w:bookmarkEnd w:id="103"/>
      <w:bookmarkEnd w:id="104"/>
      <w:bookmarkStart w:id="105" w:name="_Toc14577360"/>
      <w:bookmarkStart w:id="106" w:name="_Toc49090511"/>
      <w:r>
        <w:rPr>
          <w:rFonts w:hint="eastAsia" w:cs="黑体"/>
          <w:b w:val="0"/>
          <w:bCs w:val="0"/>
        </w:rPr>
        <w:t>投标有效期</w:t>
      </w:r>
      <w:bookmarkEnd w:id="105"/>
      <w:bookmarkEnd w:id="106"/>
    </w:p>
    <w:p w14:paraId="39054B78">
      <w:pPr>
        <w:keepNext/>
        <w:keepLines/>
        <w:widowControl/>
        <w:spacing w:line="360" w:lineRule="auto"/>
        <w:ind w:firstLine="480"/>
        <w:rPr>
          <w:rFonts w:ascii="宋体" w:cs="Times New Roman"/>
          <w:sz w:val="24"/>
          <w:szCs w:val="24"/>
        </w:rPr>
      </w:pPr>
      <w:r>
        <w:rPr>
          <w:rFonts w:ascii="宋体" w:hAnsi="宋体" w:cs="宋体"/>
          <w:sz w:val="24"/>
          <w:szCs w:val="24"/>
        </w:rPr>
        <w:t xml:space="preserve">15.1 </w:t>
      </w:r>
      <w:r>
        <w:rPr>
          <w:rFonts w:hint="eastAsia" w:ascii="宋体" w:hAnsi="宋体" w:cs="宋体"/>
          <w:sz w:val="24"/>
          <w:szCs w:val="24"/>
        </w:rPr>
        <w:t>投标有效期为采购人规定的开标之日后</w:t>
      </w:r>
      <w:r>
        <w:rPr>
          <w:rFonts w:hint="eastAsia" w:ascii="??_GB2312" w:hAnsi="??_GB2312" w:cs="宋体"/>
          <w:b/>
          <w:bCs/>
          <w:sz w:val="24"/>
          <w:szCs w:val="24"/>
          <w:u w:val="single"/>
        </w:rPr>
        <w:t>六十（</w:t>
      </w:r>
      <w:r>
        <w:rPr>
          <w:rFonts w:ascii="??_GB2312" w:hAnsi="??_GB2312" w:cs="??_GB2312"/>
          <w:b/>
          <w:bCs/>
          <w:sz w:val="24"/>
          <w:szCs w:val="24"/>
          <w:u w:val="single"/>
        </w:rPr>
        <w:t>60</w:t>
      </w:r>
      <w:r>
        <w:rPr>
          <w:rFonts w:hint="eastAsia" w:ascii="??_GB2312" w:hAnsi="??_GB2312" w:cs="宋体"/>
          <w:b/>
          <w:bCs/>
          <w:sz w:val="24"/>
          <w:szCs w:val="24"/>
          <w:u w:val="single"/>
        </w:rPr>
        <w:t>）天</w:t>
      </w:r>
      <w:r>
        <w:rPr>
          <w:rFonts w:hint="eastAsia" w:ascii="宋体" w:hAnsi="宋体" w:cs="宋体"/>
          <w:sz w:val="24"/>
          <w:szCs w:val="24"/>
        </w:rPr>
        <w:t>。投标有效期比规定短的将被视为非响应性投标而予以拒绝。</w:t>
      </w:r>
    </w:p>
    <w:p w14:paraId="34BBDBEA">
      <w:pPr>
        <w:pStyle w:val="5"/>
        <w:widowControl/>
        <w:spacing w:before="0" w:after="0" w:line="360" w:lineRule="auto"/>
        <w:ind w:firstLine="420"/>
        <w:rPr>
          <w:rFonts w:cs="Times New Roman"/>
          <w:b w:val="0"/>
          <w:bCs w:val="0"/>
        </w:rPr>
      </w:pPr>
      <w:bookmarkStart w:id="107" w:name="_Hlt26954852"/>
      <w:bookmarkEnd w:id="107"/>
      <w:bookmarkStart w:id="108" w:name="_Hlt26954739"/>
      <w:bookmarkEnd w:id="108"/>
      <w:bookmarkStart w:id="109" w:name="_Toc120614217"/>
      <w:bookmarkStart w:id="110" w:name="_Toc16938540"/>
      <w:bookmarkStart w:id="111" w:name="_Toc513029224"/>
      <w:bookmarkStart w:id="112" w:name="_Toc20823296"/>
      <w:r>
        <w:rPr>
          <w:b w:val="0"/>
          <w:bCs w:val="0"/>
        </w:rPr>
        <w:t>16</w:t>
      </w:r>
      <w:r>
        <w:rPr>
          <w:rFonts w:hint="eastAsia" w:cs="黑体"/>
          <w:b w:val="0"/>
          <w:bCs w:val="0"/>
        </w:rPr>
        <w:t>、投标有效期的延长</w:t>
      </w:r>
    </w:p>
    <w:p w14:paraId="7644B2E8">
      <w:pPr>
        <w:keepNext/>
        <w:keepLines/>
        <w:widowControl/>
        <w:spacing w:line="360" w:lineRule="auto"/>
        <w:ind w:firstLine="480"/>
        <w:rPr>
          <w:rFonts w:ascii="宋体" w:cs="Times New Roman"/>
          <w:sz w:val="24"/>
          <w:szCs w:val="24"/>
        </w:rPr>
      </w:pPr>
      <w:r>
        <w:rPr>
          <w:rFonts w:ascii="宋体" w:hAnsi="宋体" w:cs="宋体"/>
          <w:sz w:val="24"/>
          <w:szCs w:val="24"/>
        </w:rPr>
        <w:t>16.1</w:t>
      </w:r>
      <w:r>
        <w:rPr>
          <w:rFonts w:hint="eastAsia" w:ascii="宋体" w:hAnsi="宋体" w:cs="宋体"/>
          <w:sz w:val="24"/>
          <w:szCs w:val="24"/>
        </w:rPr>
        <w:t>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p>
    <w:p w14:paraId="63D9BE33">
      <w:pPr>
        <w:pStyle w:val="4"/>
        <w:widowControl/>
        <w:spacing w:before="143" w:after="143" w:line="360" w:lineRule="auto"/>
        <w:ind w:firstLine="321"/>
        <w:rPr>
          <w:rFonts w:cs="Times New Roman"/>
        </w:rPr>
      </w:pPr>
      <w:r>
        <w:rPr>
          <w:rFonts w:hint="eastAsia" w:cs="宋体"/>
        </w:rPr>
        <w:t>四、投标文件的递交</w:t>
      </w:r>
      <w:bookmarkEnd w:id="109"/>
      <w:bookmarkEnd w:id="110"/>
      <w:bookmarkEnd w:id="111"/>
      <w:bookmarkEnd w:id="112"/>
    </w:p>
    <w:p w14:paraId="6B4AC150">
      <w:pPr>
        <w:pStyle w:val="5"/>
        <w:widowControl/>
        <w:spacing w:before="0" w:after="0" w:line="360" w:lineRule="auto"/>
        <w:ind w:firstLine="420"/>
        <w:rPr>
          <w:rFonts w:cs="Times New Roman"/>
          <w:b w:val="0"/>
          <w:bCs w:val="0"/>
        </w:rPr>
      </w:pPr>
      <w:bookmarkStart w:id="113" w:name="_Toc513029225"/>
      <w:bookmarkStart w:id="114" w:name="_Toc20823297"/>
      <w:bookmarkStart w:id="115" w:name="_Toc462564084"/>
      <w:bookmarkStart w:id="116" w:name="_Toc16938541"/>
      <w:bookmarkStart w:id="117" w:name="_Toc20823298"/>
      <w:bookmarkStart w:id="118" w:name="_Toc513029226"/>
      <w:bookmarkStart w:id="119" w:name="_Toc16938542"/>
      <w:r>
        <w:rPr>
          <w:b w:val="0"/>
          <w:bCs w:val="0"/>
        </w:rPr>
        <w:t>17</w:t>
      </w:r>
      <w:r>
        <w:rPr>
          <w:rFonts w:hint="eastAsia" w:cs="黑体"/>
          <w:b w:val="0"/>
          <w:bCs w:val="0"/>
        </w:rPr>
        <w:t>、</w:t>
      </w:r>
      <w:bookmarkEnd w:id="113"/>
      <w:bookmarkEnd w:id="114"/>
      <w:bookmarkEnd w:id="115"/>
      <w:bookmarkEnd w:id="116"/>
      <w:r>
        <w:rPr>
          <w:rFonts w:hint="eastAsia" w:cs="黑体"/>
          <w:b w:val="0"/>
          <w:bCs w:val="0"/>
        </w:rPr>
        <w:t>电子投标文件的递交</w:t>
      </w:r>
    </w:p>
    <w:p w14:paraId="1C86A429">
      <w:pPr>
        <w:pStyle w:val="44"/>
        <w:keepNext/>
        <w:keepLines/>
        <w:spacing w:before="0" w:beforeAutospacing="0" w:after="0" w:afterAutospacing="0" w:line="360" w:lineRule="auto"/>
        <w:ind w:firstLine="480"/>
        <w:rPr>
          <w:rFonts w:cs="Times New Roman"/>
        </w:rPr>
      </w:pPr>
      <w:r>
        <w:t>17.1</w:t>
      </w:r>
      <w:r>
        <w:rPr>
          <w:rFonts w:hint="eastAsia"/>
        </w:rPr>
        <w:t>投标人应当按照《操作手册》规定，在投标截止时间前制作并上传电子投标文件。</w:t>
      </w:r>
    </w:p>
    <w:p w14:paraId="49B71519">
      <w:pPr>
        <w:pStyle w:val="5"/>
        <w:widowControl/>
        <w:spacing w:before="0" w:after="0" w:line="360" w:lineRule="auto"/>
        <w:ind w:firstLine="420"/>
        <w:rPr>
          <w:rFonts w:cs="Times New Roman"/>
          <w:b w:val="0"/>
          <w:bCs w:val="0"/>
        </w:rPr>
      </w:pPr>
      <w:r>
        <w:rPr>
          <w:b w:val="0"/>
          <w:bCs w:val="0"/>
        </w:rPr>
        <w:t>18</w:t>
      </w:r>
      <w:r>
        <w:rPr>
          <w:rFonts w:hint="eastAsia" w:cs="黑体"/>
          <w:b w:val="0"/>
          <w:bCs w:val="0"/>
        </w:rPr>
        <w:t>、投标截止日期</w:t>
      </w:r>
      <w:bookmarkEnd w:id="117"/>
      <w:bookmarkEnd w:id="118"/>
      <w:bookmarkEnd w:id="119"/>
    </w:p>
    <w:p w14:paraId="32C51DDD">
      <w:pPr>
        <w:pStyle w:val="44"/>
        <w:keepNext/>
        <w:keepLines/>
        <w:spacing w:before="0" w:beforeAutospacing="0" w:after="0" w:afterAutospacing="0" w:line="360" w:lineRule="auto"/>
        <w:ind w:firstLine="480"/>
        <w:rPr>
          <w:rFonts w:cs="Times New Roman"/>
          <w:u w:val="single"/>
        </w:rPr>
      </w:pPr>
      <w:bookmarkStart w:id="120" w:name="_Toc20823299"/>
      <w:bookmarkStart w:id="121" w:name="_Toc513029227"/>
      <w:bookmarkStart w:id="122" w:name="_Toc16938543"/>
      <w:r>
        <w:rPr>
          <w:u w:val="single"/>
        </w:rPr>
        <w:t xml:space="preserve">18.1 </w:t>
      </w:r>
      <w:r>
        <w:rPr>
          <w:rFonts w:hint="eastAsia"/>
          <w:u w:val="single"/>
        </w:rPr>
        <w:t>投标人上传电子投标文件的时间不得迟于招标公告中规定的投标截止时间。</w:t>
      </w:r>
    </w:p>
    <w:p w14:paraId="76DD0CFF">
      <w:pPr>
        <w:pStyle w:val="44"/>
        <w:keepNext/>
        <w:keepLines/>
        <w:spacing w:before="0" w:beforeAutospacing="0" w:after="0" w:afterAutospacing="0" w:line="360" w:lineRule="auto"/>
        <w:ind w:firstLine="480"/>
        <w:rPr>
          <w:rFonts w:cs="Times New Roman"/>
        </w:rPr>
      </w:pPr>
      <w:r>
        <w:rPr>
          <w:rFonts w:hint="eastAsia"/>
        </w:rPr>
        <w:t>投标人应充分考虑到网络环境、网络带宽等风险因素，如因投标人自身原因造成的电子投标文件上传不成功的按照本招标文件第二章第</w:t>
      </w:r>
      <w:r>
        <w:t>26.1.2</w:t>
      </w:r>
      <w:r>
        <w:rPr>
          <w:rFonts w:hint="eastAsia"/>
        </w:rPr>
        <w:t>条规定做无效投标处理。</w:t>
      </w:r>
    </w:p>
    <w:p w14:paraId="24E640BA">
      <w:pPr>
        <w:pStyle w:val="44"/>
        <w:keepNext/>
        <w:keepLines/>
        <w:spacing w:before="0" w:beforeAutospacing="0" w:after="0" w:afterAutospacing="0" w:line="360" w:lineRule="auto"/>
        <w:ind w:firstLine="480"/>
        <w:rPr>
          <w:rFonts w:cs="Times New Roman"/>
        </w:rPr>
      </w:pPr>
      <w:r>
        <w:t xml:space="preserve">18.2 </w:t>
      </w:r>
      <w:r>
        <w:rPr>
          <w:rFonts w:hint="eastAsia"/>
        </w:rPr>
        <w:t>采购代理机构可以按照规定，通过修改招标文件酌情延长投标截止日期，在此情况下，投标人的所有权利和义务以及投标人受制的截止日期均应以延长后新的截止日期为准。</w:t>
      </w:r>
    </w:p>
    <w:p w14:paraId="6CFB7C0B">
      <w:pPr>
        <w:pStyle w:val="5"/>
        <w:widowControl/>
        <w:spacing w:before="0" w:after="0" w:line="360" w:lineRule="auto"/>
        <w:ind w:firstLine="420"/>
        <w:rPr>
          <w:rFonts w:cs="Times New Roman"/>
          <w:b w:val="0"/>
          <w:bCs w:val="0"/>
        </w:rPr>
      </w:pPr>
      <w:r>
        <w:rPr>
          <w:b w:val="0"/>
          <w:bCs w:val="0"/>
        </w:rPr>
        <w:t>19</w:t>
      </w:r>
      <w:r>
        <w:rPr>
          <w:rFonts w:hint="eastAsia" w:cs="黑体"/>
          <w:b w:val="0"/>
          <w:bCs w:val="0"/>
        </w:rPr>
        <w:t>、</w:t>
      </w:r>
      <w:bookmarkEnd w:id="120"/>
      <w:bookmarkEnd w:id="121"/>
      <w:bookmarkEnd w:id="122"/>
      <w:bookmarkStart w:id="123" w:name="_Toc513029228"/>
      <w:bookmarkStart w:id="124" w:name="_Toc16938544"/>
      <w:bookmarkStart w:id="125" w:name="_Toc20823300"/>
      <w:r>
        <w:rPr>
          <w:rFonts w:hint="eastAsia" w:cs="黑体"/>
          <w:b w:val="0"/>
          <w:bCs w:val="0"/>
        </w:rPr>
        <w:t>投标文件的拒收</w:t>
      </w:r>
    </w:p>
    <w:p w14:paraId="37EA6FB1">
      <w:pPr>
        <w:pStyle w:val="5"/>
        <w:widowControl/>
        <w:spacing w:before="0" w:after="0" w:line="360" w:lineRule="auto"/>
        <w:ind w:firstLine="360"/>
        <w:rPr>
          <w:rFonts w:ascii="宋体" w:hAnsi="宋体" w:eastAsia="宋体" w:cs="Times New Roman"/>
          <w:b w:val="0"/>
          <w:bCs w:val="0"/>
          <w:sz w:val="24"/>
          <w:szCs w:val="24"/>
        </w:rPr>
      </w:pPr>
      <w:r>
        <w:rPr>
          <w:rFonts w:ascii="宋体" w:hAnsi="宋体" w:eastAsia="宋体" w:cs="宋体"/>
          <w:b w:val="0"/>
          <w:bCs w:val="0"/>
          <w:sz w:val="24"/>
          <w:szCs w:val="24"/>
        </w:rPr>
        <w:t xml:space="preserve">19.1 </w:t>
      </w:r>
      <w:r>
        <w:rPr>
          <w:rFonts w:hint="eastAsia" w:ascii="宋体" w:hAnsi="宋体" w:eastAsia="宋体" w:cs="宋体"/>
          <w:b w:val="0"/>
          <w:bCs w:val="0"/>
          <w:sz w:val="24"/>
          <w:szCs w:val="24"/>
        </w:rPr>
        <w:t>采购代理机构拒绝接收在其规定的投标截止时间后上传的任何投标文件。</w:t>
      </w:r>
    </w:p>
    <w:p w14:paraId="2922833A">
      <w:pPr>
        <w:pStyle w:val="5"/>
        <w:widowControl/>
        <w:spacing w:before="0" w:after="0" w:line="360" w:lineRule="auto"/>
        <w:ind w:firstLine="420"/>
        <w:rPr>
          <w:rFonts w:cs="Times New Roman"/>
          <w:b w:val="0"/>
          <w:bCs w:val="0"/>
        </w:rPr>
      </w:pPr>
      <w:r>
        <w:rPr>
          <w:b w:val="0"/>
          <w:bCs w:val="0"/>
        </w:rPr>
        <w:t>20</w:t>
      </w:r>
      <w:r>
        <w:rPr>
          <w:rFonts w:hint="eastAsia" w:cs="黑体"/>
          <w:b w:val="0"/>
          <w:bCs w:val="0"/>
        </w:rPr>
        <w:t>、投标文件的修改和撤回</w:t>
      </w:r>
      <w:bookmarkEnd w:id="123"/>
      <w:bookmarkEnd w:id="124"/>
      <w:bookmarkEnd w:id="125"/>
    </w:p>
    <w:p w14:paraId="178BE4A4">
      <w:pPr>
        <w:keepNext/>
        <w:keepLines/>
        <w:widowControl/>
        <w:spacing w:line="360" w:lineRule="auto"/>
        <w:ind w:firstLine="480"/>
        <w:rPr>
          <w:rFonts w:ascii="宋体" w:cs="Times New Roman"/>
          <w:sz w:val="24"/>
          <w:szCs w:val="24"/>
        </w:rPr>
      </w:pPr>
      <w:r>
        <w:rPr>
          <w:rFonts w:ascii="宋体" w:hAnsi="宋体" w:cs="宋体"/>
          <w:sz w:val="24"/>
          <w:szCs w:val="24"/>
        </w:rPr>
        <w:t xml:space="preserve">20.1 </w:t>
      </w:r>
      <w:r>
        <w:rPr>
          <w:rFonts w:hint="eastAsia" w:ascii="宋体" w:hAnsi="宋体" w:cs="宋体"/>
          <w:sz w:val="24"/>
          <w:szCs w:val="24"/>
        </w:rPr>
        <w:t>投标文件的撤回</w:t>
      </w:r>
    </w:p>
    <w:p w14:paraId="65BF63F0">
      <w:pPr>
        <w:keepNext/>
        <w:keepLines/>
        <w:widowControl/>
        <w:spacing w:line="360" w:lineRule="auto"/>
        <w:ind w:firstLine="480"/>
        <w:rPr>
          <w:rFonts w:ascii="宋体" w:cs="Times New Roman"/>
          <w:sz w:val="24"/>
          <w:szCs w:val="24"/>
        </w:rPr>
      </w:pPr>
      <w:r>
        <w:rPr>
          <w:rFonts w:ascii="宋体" w:hAnsi="宋体" w:cs="宋体"/>
          <w:sz w:val="24"/>
          <w:szCs w:val="24"/>
        </w:rPr>
        <w:t xml:space="preserve">20.1.1 </w:t>
      </w:r>
      <w:r>
        <w:rPr>
          <w:rFonts w:hint="eastAsia" w:ascii="宋体" w:hAnsi="宋体" w:cs="宋体"/>
          <w:sz w:val="24"/>
          <w:szCs w:val="24"/>
        </w:rPr>
        <w:t>电子投标文件的撤回</w:t>
      </w:r>
    </w:p>
    <w:p w14:paraId="19F3E488">
      <w:pPr>
        <w:keepNext/>
        <w:keepLines/>
        <w:widowControl/>
        <w:spacing w:line="360" w:lineRule="auto"/>
        <w:ind w:firstLine="480"/>
        <w:rPr>
          <w:rFonts w:ascii="宋体" w:cs="Times New Roman"/>
          <w:sz w:val="24"/>
          <w:szCs w:val="24"/>
        </w:rPr>
      </w:pPr>
      <w:r>
        <w:rPr>
          <w:rFonts w:hint="eastAsia" w:ascii="宋体" w:hAnsi="宋体" w:cs="宋体"/>
          <w:sz w:val="24"/>
          <w:szCs w:val="24"/>
        </w:rPr>
        <w:t>投标人可在投标截止时间前，撤回其电子投标文件，具体操作方法见《操作手册》。</w:t>
      </w:r>
    </w:p>
    <w:p w14:paraId="12470DE4">
      <w:pPr>
        <w:keepNext/>
        <w:keepLines/>
        <w:widowControl/>
        <w:spacing w:line="360" w:lineRule="auto"/>
        <w:ind w:firstLine="480"/>
        <w:rPr>
          <w:rFonts w:ascii="宋体" w:cs="Times New Roman"/>
          <w:sz w:val="24"/>
          <w:szCs w:val="24"/>
        </w:rPr>
      </w:pPr>
      <w:r>
        <w:rPr>
          <w:rFonts w:ascii="宋体" w:hAnsi="宋体" w:cs="宋体"/>
          <w:sz w:val="24"/>
          <w:szCs w:val="24"/>
        </w:rPr>
        <w:t xml:space="preserve">20.1.2 </w:t>
      </w:r>
      <w:r>
        <w:rPr>
          <w:rFonts w:hint="eastAsia" w:ascii="宋体" w:hAnsi="宋体" w:cs="宋体"/>
          <w:sz w:val="24"/>
          <w:szCs w:val="24"/>
        </w:rPr>
        <w:t>投标人撤回电子投标文件，则认为其不再参与本项目投标活动。</w:t>
      </w:r>
    </w:p>
    <w:p w14:paraId="19B572E0">
      <w:pPr>
        <w:keepNext/>
        <w:keepLines/>
        <w:widowControl/>
        <w:spacing w:line="360" w:lineRule="auto"/>
        <w:ind w:firstLine="480"/>
        <w:rPr>
          <w:rFonts w:ascii="宋体" w:cs="Times New Roman"/>
          <w:sz w:val="24"/>
          <w:szCs w:val="24"/>
        </w:rPr>
      </w:pPr>
      <w:r>
        <w:rPr>
          <w:rFonts w:ascii="宋体" w:hAnsi="宋体" w:cs="宋体"/>
          <w:sz w:val="24"/>
          <w:szCs w:val="24"/>
        </w:rPr>
        <w:t xml:space="preserve">20.2 </w:t>
      </w:r>
      <w:r>
        <w:rPr>
          <w:rFonts w:hint="eastAsia" w:ascii="宋体" w:hAnsi="宋体" w:cs="宋体"/>
          <w:sz w:val="24"/>
          <w:szCs w:val="24"/>
        </w:rPr>
        <w:t>投标文件的修改</w:t>
      </w:r>
    </w:p>
    <w:p w14:paraId="706A039A">
      <w:pPr>
        <w:keepNext/>
        <w:keepLines/>
        <w:widowControl/>
        <w:spacing w:line="360" w:lineRule="auto"/>
        <w:ind w:firstLine="480"/>
        <w:rPr>
          <w:rFonts w:ascii="宋体" w:cs="Times New Roman"/>
          <w:sz w:val="24"/>
          <w:szCs w:val="24"/>
        </w:rPr>
      </w:pPr>
      <w:r>
        <w:rPr>
          <w:rFonts w:ascii="宋体" w:hAnsi="宋体" w:cs="宋体"/>
          <w:sz w:val="24"/>
          <w:szCs w:val="24"/>
        </w:rPr>
        <w:t>20.2.1</w:t>
      </w:r>
      <w:r>
        <w:rPr>
          <w:rFonts w:hint="eastAsia" w:ascii="宋体" w:hAnsi="宋体" w:cs="宋体"/>
          <w:sz w:val="24"/>
          <w:szCs w:val="24"/>
        </w:rPr>
        <w:t>投标人可在投标截止时间前，对其电子投标文件进行修改，具体操作方法见《操作手册》。</w:t>
      </w:r>
    </w:p>
    <w:p w14:paraId="5E11C8D2">
      <w:pPr>
        <w:keepNext/>
        <w:keepLines/>
        <w:widowControl/>
        <w:spacing w:line="360" w:lineRule="auto"/>
        <w:ind w:firstLine="480"/>
        <w:rPr>
          <w:rFonts w:ascii="宋体" w:cs="Times New Roman"/>
          <w:sz w:val="24"/>
          <w:szCs w:val="24"/>
        </w:rPr>
      </w:pPr>
      <w:r>
        <w:rPr>
          <w:rFonts w:ascii="宋体" w:hAnsi="宋体" w:cs="宋体"/>
          <w:sz w:val="24"/>
          <w:szCs w:val="24"/>
        </w:rPr>
        <w:t xml:space="preserve">20.2.2 </w:t>
      </w:r>
      <w:r>
        <w:rPr>
          <w:rFonts w:hint="eastAsia" w:ascii="宋体" w:hAnsi="宋体" w:cs="宋体"/>
          <w:sz w:val="24"/>
          <w:szCs w:val="24"/>
        </w:rPr>
        <w:t>在投标截止时间之后，投标人不得对其电子投标文件作任何修改。</w:t>
      </w:r>
    </w:p>
    <w:p w14:paraId="703E9AF9">
      <w:pPr>
        <w:keepNext/>
        <w:keepLines/>
        <w:widowControl/>
        <w:spacing w:line="360" w:lineRule="auto"/>
        <w:ind w:firstLine="480"/>
        <w:rPr>
          <w:rFonts w:ascii="宋体" w:cs="Times New Roman"/>
          <w:sz w:val="24"/>
          <w:szCs w:val="24"/>
        </w:rPr>
      </w:pPr>
      <w:r>
        <w:rPr>
          <w:rFonts w:ascii="宋体" w:hAnsi="宋体" w:cs="宋体"/>
          <w:sz w:val="24"/>
          <w:szCs w:val="24"/>
        </w:rPr>
        <w:t xml:space="preserve">20.3 </w:t>
      </w:r>
      <w:r>
        <w:rPr>
          <w:rFonts w:hint="eastAsia" w:ascii="宋体" w:hAnsi="宋体" w:cs="宋体"/>
          <w:sz w:val="24"/>
          <w:szCs w:val="24"/>
        </w:rPr>
        <w:t>在投标截止时间至招标文件中规定的投标有效期满之间的这段时间内，投标人不得撤回其投标。</w:t>
      </w:r>
      <w:bookmarkStart w:id="126" w:name="_Toc20823301"/>
      <w:bookmarkStart w:id="127" w:name="_Toc120614218"/>
      <w:bookmarkStart w:id="128" w:name="_Toc16938545"/>
      <w:bookmarkStart w:id="129" w:name="_Toc513029229"/>
    </w:p>
    <w:p w14:paraId="4EC06539">
      <w:pPr>
        <w:pStyle w:val="4"/>
        <w:widowControl/>
        <w:spacing w:before="143" w:after="143" w:line="360" w:lineRule="auto"/>
        <w:ind w:firstLine="321"/>
        <w:rPr>
          <w:rFonts w:cs="Times New Roman"/>
        </w:rPr>
      </w:pPr>
      <w:r>
        <w:rPr>
          <w:rFonts w:hint="eastAsia" w:cs="宋体"/>
        </w:rPr>
        <w:t>五、开标与评标</w:t>
      </w:r>
      <w:bookmarkEnd w:id="126"/>
      <w:bookmarkEnd w:id="127"/>
      <w:bookmarkEnd w:id="128"/>
      <w:bookmarkEnd w:id="129"/>
    </w:p>
    <w:p w14:paraId="7F5EB9F4">
      <w:pPr>
        <w:pStyle w:val="5"/>
        <w:widowControl/>
        <w:spacing w:before="0" w:after="0" w:line="500" w:lineRule="exact"/>
        <w:ind w:firstLine="560"/>
        <w:rPr>
          <w:rFonts w:cs="Times New Roman"/>
          <w:b w:val="0"/>
          <w:bCs w:val="0"/>
        </w:rPr>
      </w:pPr>
      <w:bookmarkStart w:id="130" w:name="_Toc20823302"/>
      <w:bookmarkStart w:id="131" w:name="_Toc513029230"/>
      <w:bookmarkStart w:id="132" w:name="_Toc16938546"/>
      <w:r>
        <w:rPr>
          <w:b w:val="0"/>
          <w:bCs w:val="0"/>
        </w:rPr>
        <w:t>21</w:t>
      </w:r>
      <w:r>
        <w:rPr>
          <w:rFonts w:hint="eastAsia" w:cs="黑体"/>
          <w:b w:val="0"/>
          <w:bCs w:val="0"/>
        </w:rPr>
        <w:t>、开标</w:t>
      </w:r>
      <w:bookmarkEnd w:id="130"/>
      <w:bookmarkEnd w:id="131"/>
      <w:bookmarkEnd w:id="132"/>
    </w:p>
    <w:p w14:paraId="26368ECC">
      <w:pPr>
        <w:keepNext/>
        <w:keepLines/>
        <w:widowControl/>
        <w:spacing w:line="360" w:lineRule="auto"/>
        <w:ind w:firstLine="480"/>
        <w:rPr>
          <w:rFonts w:ascii="宋体" w:cs="Times New Roman"/>
          <w:sz w:val="24"/>
          <w:szCs w:val="24"/>
        </w:rPr>
      </w:pPr>
      <w:r>
        <w:rPr>
          <w:rFonts w:ascii="宋体" w:hAnsi="宋体" w:cs="宋体"/>
          <w:sz w:val="24"/>
          <w:szCs w:val="24"/>
        </w:rPr>
        <w:t xml:space="preserve">21.1 </w:t>
      </w:r>
      <w:r>
        <w:rPr>
          <w:rFonts w:hint="eastAsia" w:ascii="宋体" w:hAnsi="宋体" w:cs="宋体"/>
          <w:sz w:val="24"/>
          <w:szCs w:val="24"/>
        </w:rPr>
        <w:t>采购代理机构将在招标公告中规定的时间和地点组织公开开标。投标人应当按照《操作手册》规定，参加开标活动和在苏采云系统规定的时间内对投标文件进行解密。</w:t>
      </w:r>
    </w:p>
    <w:p w14:paraId="7066965A">
      <w:pPr>
        <w:keepNext/>
        <w:keepLines/>
        <w:widowControl/>
        <w:spacing w:line="360" w:lineRule="auto"/>
        <w:ind w:firstLine="480"/>
        <w:rPr>
          <w:rFonts w:ascii="宋体" w:cs="Times New Roman"/>
          <w:sz w:val="24"/>
          <w:szCs w:val="24"/>
        </w:rPr>
      </w:pPr>
      <w:r>
        <w:rPr>
          <w:rFonts w:ascii="宋体" w:hAnsi="宋体" w:cs="宋体"/>
          <w:sz w:val="24"/>
          <w:szCs w:val="24"/>
        </w:rPr>
        <w:t>21.2</w:t>
      </w:r>
      <w:r>
        <w:rPr>
          <w:rFonts w:hint="eastAsia" w:ascii="宋体" w:hAnsi="宋体" w:cs="宋体"/>
          <w:sz w:val="24"/>
          <w:szCs w:val="24"/>
        </w:rPr>
        <w:t>开标仪式由采购代理机构组织。苏采云系统将自动对项目进行开标，并宣布各投标人名称和投标价格。</w:t>
      </w:r>
    </w:p>
    <w:p w14:paraId="6877186C">
      <w:pPr>
        <w:keepNext/>
        <w:keepLines/>
        <w:widowControl/>
        <w:spacing w:line="360" w:lineRule="auto"/>
        <w:ind w:firstLine="480"/>
        <w:rPr>
          <w:rFonts w:ascii="宋体" w:cs="Times New Roman"/>
          <w:sz w:val="24"/>
          <w:szCs w:val="24"/>
        </w:rPr>
      </w:pPr>
      <w:r>
        <w:rPr>
          <w:rFonts w:ascii="宋体" w:hAnsi="宋体" w:cs="宋体"/>
          <w:sz w:val="24"/>
          <w:szCs w:val="24"/>
        </w:rPr>
        <w:t>21.3</w:t>
      </w:r>
      <w:r>
        <w:rPr>
          <w:rFonts w:hint="eastAsia" w:ascii="宋体" w:hAnsi="宋体" w:cs="宋体"/>
          <w:sz w:val="24"/>
          <w:szCs w:val="24"/>
        </w:rPr>
        <w:t>投标人在开标过程中涉及到的投标文件解密、开标结果确认等工作，应按照《操作手册》规定执行。</w:t>
      </w:r>
    </w:p>
    <w:p w14:paraId="2B21CEF5">
      <w:pPr>
        <w:keepNext/>
        <w:keepLines/>
        <w:widowControl/>
        <w:spacing w:line="360" w:lineRule="auto"/>
        <w:ind w:firstLine="480"/>
        <w:rPr>
          <w:rFonts w:ascii="宋体" w:cs="Times New Roman"/>
          <w:sz w:val="24"/>
          <w:szCs w:val="24"/>
        </w:rPr>
      </w:pPr>
      <w:r>
        <w:rPr>
          <w:rFonts w:ascii="宋体" w:hAnsi="宋体" w:cs="宋体"/>
          <w:sz w:val="24"/>
          <w:szCs w:val="24"/>
        </w:rPr>
        <w:t>21.4</w:t>
      </w:r>
      <w:r>
        <w:rPr>
          <w:rFonts w:hint="eastAsia" w:ascii="宋体" w:hAnsi="宋体" w:cs="宋体"/>
          <w:sz w:val="24"/>
          <w:szCs w:val="24"/>
        </w:rPr>
        <w:t>投标人如果对开标过程和开标记录有疑义，应当根据《操作手册》规定提出，如苏采云系统中《开标记录表》宣布后</w:t>
      </w:r>
      <w:r>
        <w:rPr>
          <w:rFonts w:ascii="宋体" w:hAnsi="宋体" w:cs="宋体"/>
          <w:sz w:val="24"/>
          <w:szCs w:val="24"/>
        </w:rPr>
        <w:t>5</w:t>
      </w:r>
      <w:r>
        <w:rPr>
          <w:rFonts w:hint="eastAsia" w:ascii="宋体" w:hAnsi="宋体" w:cs="宋体"/>
          <w:sz w:val="24"/>
          <w:szCs w:val="24"/>
        </w:rPr>
        <w:t>分钟内未提出的，视同认可开标结果。</w:t>
      </w:r>
    </w:p>
    <w:p w14:paraId="6FDCB97F">
      <w:pPr>
        <w:keepNext/>
        <w:keepLines/>
        <w:widowControl/>
        <w:spacing w:line="360" w:lineRule="auto"/>
        <w:ind w:firstLine="560"/>
        <w:rPr>
          <w:rFonts w:cs="Times New Roman"/>
        </w:rPr>
      </w:pPr>
      <w:r>
        <w:rPr>
          <w:rFonts w:ascii="Arial" w:hAnsi="Arial" w:eastAsia="黑体" w:cs="Arial"/>
          <w:sz w:val="28"/>
          <w:szCs w:val="28"/>
        </w:rPr>
        <w:t>22</w:t>
      </w:r>
      <w:r>
        <w:rPr>
          <w:rFonts w:hint="eastAsia" w:ascii="Arial" w:hAnsi="Arial" w:eastAsia="黑体" w:cs="黑体"/>
          <w:sz w:val="28"/>
          <w:szCs w:val="28"/>
        </w:rPr>
        <w:t>、评标委员会</w:t>
      </w:r>
    </w:p>
    <w:p w14:paraId="676E183F">
      <w:pPr>
        <w:pStyle w:val="44"/>
        <w:keepNext/>
        <w:keepLines/>
        <w:spacing w:before="0" w:beforeAutospacing="0" w:after="0" w:afterAutospacing="0" w:line="360" w:lineRule="auto"/>
        <w:ind w:firstLine="480"/>
        <w:rPr>
          <w:rFonts w:cs="Times New Roman"/>
        </w:rPr>
      </w:pPr>
      <w:r>
        <w:t xml:space="preserve">22.1 </w:t>
      </w:r>
      <w:r>
        <w:rPr>
          <w:rFonts w:hint="eastAsia"/>
        </w:rPr>
        <w:t>开标后，采购代理机构将立即组织评标委员会（以下简称评委会）进行评标。</w:t>
      </w:r>
    </w:p>
    <w:p w14:paraId="2C9E2DE8">
      <w:pPr>
        <w:pStyle w:val="44"/>
        <w:keepNext/>
        <w:keepLines/>
        <w:spacing w:before="0" w:beforeAutospacing="0" w:after="0" w:afterAutospacing="0" w:line="360" w:lineRule="auto"/>
        <w:ind w:firstLine="480"/>
        <w:rPr>
          <w:rFonts w:cs="Times New Roman"/>
        </w:rPr>
      </w:pPr>
      <w:r>
        <w:t xml:space="preserve">22.2 </w:t>
      </w:r>
      <w:r>
        <w:rPr>
          <w:rFonts w:hint="eastAsia"/>
        </w:rPr>
        <w:t>评委会由采购人代表和有关技术、经济等方面的专家组成，且人员构成符合政府采购有关规定。</w:t>
      </w:r>
    </w:p>
    <w:p w14:paraId="40713BD6">
      <w:pPr>
        <w:pStyle w:val="44"/>
        <w:keepNext/>
        <w:keepLines/>
        <w:spacing w:before="0" w:beforeAutospacing="0" w:after="0" w:afterAutospacing="0" w:line="360" w:lineRule="auto"/>
        <w:ind w:firstLine="480"/>
        <w:rPr>
          <w:rFonts w:cs="Times New Roman"/>
        </w:rPr>
      </w:pPr>
      <w:r>
        <w:t>22.3</w:t>
      </w:r>
      <w:r>
        <w:rPr>
          <w:rFonts w:hint="eastAsia"/>
        </w:rPr>
        <w:t>评委会独立工作，负责评审所有投标文件并确定中标候选人。</w:t>
      </w:r>
    </w:p>
    <w:p w14:paraId="52397BFC">
      <w:pPr>
        <w:pStyle w:val="5"/>
        <w:widowControl/>
        <w:spacing w:before="0" w:after="0" w:line="360" w:lineRule="auto"/>
        <w:ind w:firstLine="420"/>
        <w:rPr>
          <w:rFonts w:cs="Times New Roman"/>
          <w:b w:val="0"/>
          <w:bCs w:val="0"/>
        </w:rPr>
      </w:pPr>
      <w:r>
        <w:rPr>
          <w:b w:val="0"/>
          <w:bCs w:val="0"/>
        </w:rPr>
        <w:t>23</w:t>
      </w:r>
      <w:r>
        <w:rPr>
          <w:rFonts w:hint="eastAsia" w:cs="黑体"/>
          <w:b w:val="0"/>
          <w:bCs w:val="0"/>
        </w:rPr>
        <w:t>、评标过程的保密与公正</w:t>
      </w:r>
    </w:p>
    <w:p w14:paraId="787A3AF3">
      <w:pPr>
        <w:keepNext/>
        <w:keepLines/>
        <w:widowControl/>
        <w:spacing w:line="500" w:lineRule="exact"/>
        <w:ind w:firstLine="480"/>
        <w:rPr>
          <w:rFonts w:ascii="宋体" w:cs="Times New Roman"/>
          <w:sz w:val="24"/>
          <w:szCs w:val="24"/>
        </w:rPr>
      </w:pPr>
      <w:r>
        <w:rPr>
          <w:rFonts w:ascii="宋体" w:hAnsi="宋体" w:cs="宋体"/>
          <w:sz w:val="24"/>
          <w:szCs w:val="24"/>
        </w:rPr>
        <w:t>23.1</w:t>
      </w:r>
      <w:r>
        <w:rPr>
          <w:rFonts w:hint="eastAsia" w:ascii="宋体" w:hAnsi="宋体" w:cs="宋体"/>
          <w:sz w:val="24"/>
          <w:szCs w:val="24"/>
        </w:rPr>
        <w:t>凡是与审查、澄清、评价和比较投标的有关资料以及授标建议等，采购人、评委、采购代理机构均不得向投标人或与评标无关的其他人员透露。</w:t>
      </w:r>
    </w:p>
    <w:p w14:paraId="520DDD58">
      <w:pPr>
        <w:keepNext/>
        <w:keepLines/>
        <w:widowControl/>
        <w:spacing w:line="500" w:lineRule="exact"/>
        <w:ind w:firstLine="480"/>
        <w:rPr>
          <w:rFonts w:ascii="宋体" w:cs="Times New Roman"/>
          <w:sz w:val="24"/>
          <w:szCs w:val="24"/>
        </w:rPr>
      </w:pPr>
      <w:r>
        <w:rPr>
          <w:rFonts w:ascii="宋体" w:hAnsi="宋体" w:cs="宋体"/>
          <w:sz w:val="24"/>
          <w:szCs w:val="24"/>
        </w:rPr>
        <w:t>23.2</w:t>
      </w:r>
      <w:r>
        <w:rPr>
          <w:rFonts w:hint="eastAsia" w:ascii="宋体" w:hAnsi="宋体" w:cs="宋体"/>
          <w:sz w:val="24"/>
          <w:szCs w:val="24"/>
        </w:rPr>
        <w:t>在评标过程中，投标人不得以任何行为影响评标过程，否则其投标文件将被作为无效投标文件。</w:t>
      </w:r>
    </w:p>
    <w:p w14:paraId="34F677E9">
      <w:pPr>
        <w:keepNext/>
        <w:keepLines/>
        <w:widowControl/>
        <w:spacing w:line="500" w:lineRule="exact"/>
        <w:ind w:firstLine="480"/>
        <w:rPr>
          <w:rFonts w:ascii="宋体" w:cs="Times New Roman"/>
          <w:sz w:val="24"/>
          <w:szCs w:val="24"/>
        </w:rPr>
      </w:pPr>
      <w:r>
        <w:rPr>
          <w:rFonts w:ascii="宋体" w:hAnsi="宋体" w:cs="宋体"/>
          <w:sz w:val="24"/>
          <w:szCs w:val="24"/>
        </w:rPr>
        <w:t xml:space="preserve">23.3 </w:t>
      </w:r>
      <w:r>
        <w:rPr>
          <w:rFonts w:hint="eastAsia" w:ascii="宋体" w:hAnsi="宋体" w:cs="宋体"/>
          <w:sz w:val="24"/>
          <w:szCs w:val="24"/>
        </w:rPr>
        <w:t>采购代理机构和评标委员会不向未中标的投标人解释未中标原因，也不公布评标过程中的相关细节。</w:t>
      </w:r>
    </w:p>
    <w:p w14:paraId="77446FF4">
      <w:pPr>
        <w:keepNext/>
        <w:keepLines/>
        <w:widowControl/>
        <w:spacing w:line="360" w:lineRule="auto"/>
        <w:ind w:firstLine="560"/>
        <w:rPr>
          <w:rFonts w:ascii="Arial" w:hAnsi="Arial" w:eastAsia="黑体" w:cs="Times New Roman"/>
          <w:sz w:val="28"/>
          <w:szCs w:val="28"/>
        </w:rPr>
      </w:pPr>
      <w:r>
        <w:rPr>
          <w:rFonts w:ascii="Arial" w:hAnsi="Arial" w:eastAsia="黑体" w:cs="Arial"/>
          <w:sz w:val="28"/>
          <w:szCs w:val="28"/>
        </w:rPr>
        <w:t>24</w:t>
      </w:r>
      <w:r>
        <w:rPr>
          <w:rFonts w:hint="eastAsia" w:ascii="Arial" w:hAnsi="Arial" w:eastAsia="黑体" w:cs="黑体"/>
          <w:sz w:val="28"/>
          <w:szCs w:val="28"/>
        </w:rPr>
        <w:t>．投标文件的澄清</w:t>
      </w:r>
    </w:p>
    <w:p w14:paraId="05A25192">
      <w:pPr>
        <w:keepNext/>
        <w:keepLines/>
        <w:widowControl/>
        <w:spacing w:line="500" w:lineRule="exact"/>
        <w:ind w:firstLine="480"/>
        <w:rPr>
          <w:rFonts w:ascii="宋体" w:cs="Times New Roman"/>
          <w:sz w:val="24"/>
          <w:szCs w:val="24"/>
        </w:rPr>
      </w:pPr>
      <w:r>
        <w:rPr>
          <w:rFonts w:ascii="宋体" w:hAnsi="宋体" w:cs="宋体"/>
          <w:sz w:val="24"/>
          <w:szCs w:val="24"/>
        </w:rPr>
        <w:t>24.1</w:t>
      </w:r>
      <w:r>
        <w:rPr>
          <w:rFonts w:hint="eastAsia" w:ascii="宋体" w:hAnsi="宋体" w:cs="宋体"/>
          <w:sz w:val="24"/>
          <w:szCs w:val="24"/>
        </w:rPr>
        <w:t>评标期间，评委会对投标文件中含义不明确、同类问题表述不一致或者有明显文字和计算错误的内容，有权要求投标人作出必要的澄清、说明或者补正。</w:t>
      </w:r>
    </w:p>
    <w:p w14:paraId="3FA55977">
      <w:pPr>
        <w:keepNext/>
        <w:keepLines/>
        <w:widowControl/>
        <w:spacing w:line="500" w:lineRule="exact"/>
        <w:ind w:firstLine="480"/>
        <w:rPr>
          <w:rFonts w:ascii="宋体" w:cs="Times New Roman"/>
          <w:sz w:val="24"/>
          <w:szCs w:val="24"/>
        </w:rPr>
      </w:pPr>
      <w:r>
        <w:rPr>
          <w:rFonts w:hint="eastAsia" w:ascii="宋体" w:hAnsi="宋体" w:cs="宋体"/>
          <w:sz w:val="24"/>
          <w:szCs w:val="24"/>
        </w:rPr>
        <w:t>投标人的澄清、说明或者补正不得超出投标文件的范围或者改变投标文件的实质性内容。</w:t>
      </w:r>
    </w:p>
    <w:p w14:paraId="7EEC9CE2">
      <w:pPr>
        <w:keepNext/>
        <w:keepLines/>
        <w:widowControl/>
        <w:spacing w:line="500" w:lineRule="exact"/>
        <w:ind w:firstLine="480"/>
        <w:rPr>
          <w:rFonts w:ascii="宋体" w:cs="Times New Roman"/>
          <w:sz w:val="24"/>
          <w:szCs w:val="24"/>
        </w:rPr>
      </w:pPr>
      <w:r>
        <w:rPr>
          <w:rFonts w:hint="eastAsia" w:ascii="宋体" w:hAnsi="宋体" w:cs="宋体"/>
          <w:sz w:val="24"/>
          <w:szCs w:val="24"/>
        </w:rPr>
        <w:t>评标委员会并非对每个投标人都做澄清要求。</w:t>
      </w:r>
    </w:p>
    <w:p w14:paraId="3B3D7881">
      <w:pPr>
        <w:keepNext/>
        <w:keepLines/>
        <w:widowControl/>
        <w:spacing w:line="500" w:lineRule="exact"/>
        <w:ind w:firstLine="480"/>
        <w:rPr>
          <w:rFonts w:ascii="宋体" w:cs="Times New Roman"/>
          <w:sz w:val="24"/>
          <w:szCs w:val="24"/>
        </w:rPr>
      </w:pPr>
      <w:r>
        <w:rPr>
          <w:rFonts w:ascii="宋体" w:hAnsi="宋体" w:cs="宋体"/>
          <w:sz w:val="24"/>
          <w:szCs w:val="24"/>
        </w:rPr>
        <w:t>24.2</w:t>
      </w:r>
      <w:r>
        <w:rPr>
          <w:rFonts w:hint="eastAsia" w:ascii="宋体" w:hAnsi="宋体" w:cs="宋体"/>
          <w:sz w:val="24"/>
          <w:szCs w:val="24"/>
        </w:rPr>
        <w:t>需要供应商进行澄清、说明和补正的，评委会将通过苏采云系统向供应商发出“澄清要求函”，接到“澄清要求函”的投标人应当按照要求在苏采云系统中提交“澄清响应函”并加盖</w:t>
      </w:r>
      <w:r>
        <w:rPr>
          <w:rFonts w:ascii="宋体" w:hAnsi="宋体" w:cs="宋体"/>
          <w:sz w:val="24"/>
          <w:szCs w:val="24"/>
        </w:rPr>
        <w:t>CA</w:t>
      </w:r>
      <w:r>
        <w:rPr>
          <w:rFonts w:hint="eastAsia" w:ascii="宋体" w:hAnsi="宋体" w:cs="宋体"/>
          <w:sz w:val="24"/>
          <w:szCs w:val="24"/>
        </w:rPr>
        <w:t>电子公章。澄清、说明和补正的内容作为投标文件的补充部分，具体操作方式见《操作手册》。</w:t>
      </w:r>
    </w:p>
    <w:p w14:paraId="004476B7">
      <w:pPr>
        <w:keepNext/>
        <w:keepLines/>
        <w:widowControl/>
        <w:spacing w:line="500" w:lineRule="exact"/>
        <w:ind w:firstLine="480"/>
        <w:rPr>
          <w:rFonts w:ascii="宋体" w:cs="Times New Roman"/>
          <w:sz w:val="24"/>
          <w:szCs w:val="24"/>
        </w:rPr>
      </w:pPr>
      <w:r>
        <w:rPr>
          <w:rFonts w:ascii="宋体" w:hAnsi="宋体" w:cs="宋体"/>
          <w:sz w:val="24"/>
          <w:szCs w:val="24"/>
        </w:rPr>
        <w:t xml:space="preserve">24.3 </w:t>
      </w:r>
      <w:r>
        <w:rPr>
          <w:rFonts w:hint="eastAsia" w:ascii="宋体" w:hAnsi="宋体" w:cs="宋体"/>
          <w:sz w:val="24"/>
          <w:szCs w:val="24"/>
        </w:rPr>
        <w:t>接到评委会澄清、说明和补正要求的投标人如未按规定做出澄清、说明和补正，其风险由投标人自行承担。</w:t>
      </w:r>
    </w:p>
    <w:p w14:paraId="7BAA2EA9">
      <w:pPr>
        <w:pStyle w:val="5"/>
        <w:widowControl/>
        <w:spacing w:before="0" w:after="0" w:line="360" w:lineRule="auto"/>
        <w:ind w:firstLine="420"/>
        <w:rPr>
          <w:rFonts w:cs="Times New Roman"/>
          <w:b w:val="0"/>
          <w:bCs w:val="0"/>
        </w:rPr>
      </w:pPr>
      <w:r>
        <w:rPr>
          <w:b w:val="0"/>
          <w:bCs w:val="0"/>
        </w:rPr>
        <w:t>25</w:t>
      </w:r>
      <w:r>
        <w:rPr>
          <w:rFonts w:hint="eastAsia" w:cs="黑体"/>
          <w:b w:val="0"/>
          <w:bCs w:val="0"/>
        </w:rPr>
        <w:t>、对投标文件的初审</w:t>
      </w:r>
    </w:p>
    <w:p w14:paraId="65897733">
      <w:pPr>
        <w:keepNext/>
        <w:keepLines/>
        <w:widowControl/>
        <w:spacing w:line="360" w:lineRule="auto"/>
        <w:ind w:firstLine="480"/>
        <w:rPr>
          <w:rFonts w:ascii="宋体" w:cs="Times New Roman"/>
          <w:sz w:val="24"/>
          <w:szCs w:val="24"/>
        </w:rPr>
      </w:pPr>
      <w:bookmarkStart w:id="133" w:name="_Toc513029235"/>
      <w:bookmarkStart w:id="134" w:name="_Toc16938551"/>
      <w:bookmarkStart w:id="135" w:name="_Toc20823307"/>
      <w:bookmarkStart w:id="136" w:name="_Toc120614219"/>
      <w:r>
        <w:rPr>
          <w:rFonts w:ascii="宋体" w:hAnsi="宋体" w:cs="宋体"/>
          <w:sz w:val="24"/>
          <w:szCs w:val="24"/>
        </w:rPr>
        <w:t>25</w:t>
      </w:r>
      <w:r>
        <w:rPr>
          <w:rFonts w:hint="eastAsia" w:ascii="宋体" w:hAnsi="宋体" w:cs="宋体"/>
          <w:sz w:val="24"/>
          <w:szCs w:val="24"/>
        </w:rPr>
        <w:t>、对投标文件的初审</w:t>
      </w:r>
    </w:p>
    <w:p w14:paraId="62EC9037">
      <w:pPr>
        <w:keepNext/>
        <w:keepLines/>
        <w:widowControl/>
        <w:spacing w:line="360" w:lineRule="auto"/>
        <w:ind w:firstLine="480"/>
        <w:rPr>
          <w:rFonts w:ascii="宋体" w:cs="Times New Roman"/>
          <w:sz w:val="24"/>
          <w:szCs w:val="24"/>
        </w:rPr>
      </w:pPr>
      <w:r>
        <w:rPr>
          <w:rFonts w:ascii="宋体" w:hAnsi="宋体" w:cs="宋体"/>
          <w:sz w:val="24"/>
          <w:szCs w:val="24"/>
        </w:rPr>
        <w:t>25.1</w:t>
      </w:r>
      <w:r>
        <w:rPr>
          <w:rFonts w:hint="eastAsia" w:ascii="宋体" w:hAnsi="宋体" w:cs="宋体"/>
          <w:sz w:val="24"/>
          <w:szCs w:val="24"/>
        </w:rPr>
        <w:t>投标文件初审分为资格审查和符合性审查。</w:t>
      </w:r>
    </w:p>
    <w:p w14:paraId="1907022E">
      <w:pPr>
        <w:keepNext/>
        <w:keepLines/>
        <w:widowControl/>
        <w:spacing w:line="360" w:lineRule="auto"/>
        <w:ind w:firstLine="480"/>
        <w:rPr>
          <w:rFonts w:ascii="宋体" w:cs="Times New Roman"/>
          <w:sz w:val="24"/>
          <w:szCs w:val="24"/>
        </w:rPr>
      </w:pPr>
      <w:r>
        <w:rPr>
          <w:rFonts w:ascii="宋体" w:hAnsi="宋体" w:cs="宋体"/>
          <w:sz w:val="24"/>
          <w:szCs w:val="24"/>
        </w:rPr>
        <w:t xml:space="preserve">25.1.1 </w:t>
      </w:r>
      <w:r>
        <w:rPr>
          <w:rFonts w:hint="eastAsia" w:ascii="宋体" w:hAnsi="宋体" w:cs="宋体"/>
          <w:sz w:val="24"/>
          <w:szCs w:val="24"/>
        </w:rPr>
        <w:t>资格审查：依据法律法规和招标文件的规定，由采购人对投标文件中的资格证明文件进行审查。资格审查的结论，采购人以书面形式向评委会进行反馈。</w:t>
      </w:r>
    </w:p>
    <w:p w14:paraId="241B525A">
      <w:pPr>
        <w:keepNext/>
        <w:keepLines/>
        <w:widowControl/>
        <w:spacing w:line="360" w:lineRule="auto"/>
        <w:ind w:firstLine="480"/>
        <w:rPr>
          <w:rFonts w:ascii="宋体" w:cs="Times New Roman"/>
          <w:sz w:val="24"/>
          <w:szCs w:val="24"/>
        </w:rPr>
      </w:pPr>
      <w:r>
        <w:rPr>
          <w:rFonts w:hint="eastAsia" w:ascii="宋体" w:hAnsi="宋体" w:cs="宋体"/>
          <w:sz w:val="24"/>
          <w:szCs w:val="24"/>
        </w:rPr>
        <w:t>采购人在进行资格性审查的同时，将在“信用中国”网站（</w:t>
      </w:r>
      <w:r>
        <w:rPr>
          <w:rFonts w:ascii="宋体" w:hAnsi="宋体" w:cs="宋体"/>
          <w:sz w:val="24"/>
          <w:szCs w:val="24"/>
        </w:rPr>
        <w:t>www.creditchina.gov.cn</w:t>
      </w:r>
      <w:r>
        <w:rPr>
          <w:rFonts w:hint="eastAsia" w:ascii="宋体" w:hAnsi="宋体" w:cs="宋体"/>
          <w:sz w:val="24"/>
          <w:szCs w:val="24"/>
        </w:rPr>
        <w:t>）查询投标人的信用记录，以确定投标人是否具备投标资格</w:t>
      </w:r>
      <w:r>
        <w:rPr>
          <w:rFonts w:ascii="宋体" w:cs="宋体"/>
          <w:sz w:val="24"/>
          <w:szCs w:val="24"/>
        </w:rPr>
        <w:t>,</w:t>
      </w:r>
      <w:r>
        <w:rPr>
          <w:rFonts w:hint="eastAsia" w:ascii="宋体" w:hAnsi="宋体" w:cs="宋体"/>
          <w:sz w:val="24"/>
          <w:szCs w:val="24"/>
        </w:rPr>
        <w:t>查询结果留存并归档。</w:t>
      </w:r>
    </w:p>
    <w:p w14:paraId="776BCE7B">
      <w:pPr>
        <w:keepNext/>
        <w:keepLines/>
        <w:widowControl/>
        <w:spacing w:line="360" w:lineRule="auto"/>
        <w:ind w:firstLine="480"/>
        <w:rPr>
          <w:rFonts w:ascii="宋体" w:cs="Times New Roman"/>
          <w:sz w:val="24"/>
          <w:szCs w:val="24"/>
        </w:rPr>
      </w:pPr>
      <w:r>
        <w:rPr>
          <w:rFonts w:hint="eastAsia" w:ascii="宋体" w:hAnsi="宋体" w:cs="宋体"/>
          <w:sz w:val="24"/>
          <w:szCs w:val="24"/>
        </w:rPr>
        <w:t>接受联合体的项目，两个以上的自然人、法人或者其他组织组成一个联合体，以一个供应商的身份共同参加政府采购活动的</w:t>
      </w:r>
      <w:r>
        <w:rPr>
          <w:rFonts w:ascii="宋体" w:cs="宋体"/>
          <w:sz w:val="24"/>
          <w:szCs w:val="24"/>
        </w:rPr>
        <w:t>,</w:t>
      </w:r>
      <w:r>
        <w:rPr>
          <w:rFonts w:hint="eastAsia" w:ascii="宋体" w:hAnsi="宋体" w:cs="宋体"/>
          <w:sz w:val="24"/>
          <w:szCs w:val="24"/>
        </w:rPr>
        <w:t>联合体成员中任何一方存在不良信用记录的，视同联合体存在不良应用记录。</w:t>
      </w:r>
    </w:p>
    <w:p w14:paraId="1F30B4DE">
      <w:pPr>
        <w:keepNext/>
        <w:keepLines/>
        <w:widowControl/>
        <w:spacing w:line="360" w:lineRule="auto"/>
        <w:ind w:firstLine="480"/>
        <w:rPr>
          <w:rFonts w:ascii="宋体" w:cs="Times New Roman"/>
          <w:sz w:val="24"/>
          <w:szCs w:val="24"/>
        </w:rPr>
      </w:pPr>
      <w:r>
        <w:rPr>
          <w:rFonts w:ascii="宋体" w:hAnsi="宋体" w:cs="宋体"/>
          <w:sz w:val="24"/>
          <w:szCs w:val="24"/>
        </w:rPr>
        <w:t xml:space="preserve">25.1.2 </w:t>
      </w:r>
      <w:r>
        <w:rPr>
          <w:rFonts w:hint="eastAsia" w:ascii="宋体" w:hAnsi="宋体" w:cs="宋体"/>
          <w:sz w:val="24"/>
          <w:szCs w:val="24"/>
        </w:rPr>
        <w:t>符合性审查：依据招标文件的规定，由评委会从投标文件的有效性、完整性和对招标文件的响应程度进行审查，以确定是否对招标文件的实质性要求作出响应。</w:t>
      </w:r>
    </w:p>
    <w:p w14:paraId="42CE7489">
      <w:pPr>
        <w:keepNext/>
        <w:keepLines/>
        <w:widowControl/>
        <w:spacing w:line="360" w:lineRule="auto"/>
        <w:ind w:firstLine="480"/>
        <w:rPr>
          <w:rFonts w:ascii="宋体" w:cs="Times New Roman"/>
          <w:sz w:val="24"/>
          <w:szCs w:val="24"/>
        </w:rPr>
      </w:pPr>
      <w:r>
        <w:rPr>
          <w:rFonts w:ascii="宋体" w:hAnsi="宋体" w:cs="宋体"/>
          <w:sz w:val="24"/>
          <w:szCs w:val="24"/>
        </w:rPr>
        <w:t xml:space="preserve">25.1.3 </w:t>
      </w:r>
      <w:r>
        <w:rPr>
          <w:rFonts w:hint="eastAsia" w:ascii="宋体" w:hAnsi="宋体" w:cs="宋体"/>
          <w:sz w:val="24"/>
          <w:szCs w:val="24"/>
        </w:rPr>
        <w:t>未通过资格审查或符合性审查的投标人，采购代理机构将在苏采云系统中告知未通过资格审查或符合性审查的原因，评审结束后，采购代理机构将不再告知未通过资格审查或符合性审查的原因。</w:t>
      </w:r>
    </w:p>
    <w:p w14:paraId="4A372CA0">
      <w:pPr>
        <w:keepNext/>
        <w:keepLines/>
        <w:widowControl/>
        <w:spacing w:line="360" w:lineRule="auto"/>
        <w:ind w:firstLine="480"/>
        <w:rPr>
          <w:rFonts w:ascii="宋体" w:cs="Times New Roman"/>
          <w:sz w:val="24"/>
          <w:szCs w:val="24"/>
        </w:rPr>
      </w:pPr>
      <w:r>
        <w:rPr>
          <w:rFonts w:ascii="宋体" w:hAnsi="宋体" w:cs="宋体"/>
          <w:sz w:val="24"/>
          <w:szCs w:val="24"/>
        </w:rPr>
        <w:t>25.2</w:t>
      </w:r>
      <w:r>
        <w:rPr>
          <w:rFonts w:hint="eastAsia" w:ascii="宋体" w:hAnsi="宋体" w:cs="宋体"/>
          <w:sz w:val="24"/>
          <w:szCs w:val="24"/>
        </w:rPr>
        <w:t>在详细评标之前，评委会将首先审查每份投标文件是否实质性响应了招标文件的要求。实质性响应的投标应该是与招标文件要求的全部条款、条件和规格相符，没有重大偏离或保留的投标。</w:t>
      </w:r>
    </w:p>
    <w:p w14:paraId="7076348E">
      <w:pPr>
        <w:keepNext/>
        <w:keepLines/>
        <w:widowControl/>
        <w:spacing w:line="360" w:lineRule="auto"/>
        <w:ind w:firstLine="480"/>
        <w:rPr>
          <w:rFonts w:ascii="宋体" w:cs="Times New Roman"/>
          <w:sz w:val="24"/>
          <w:szCs w:val="24"/>
        </w:rPr>
      </w:pPr>
      <w:r>
        <w:rPr>
          <w:rFonts w:hint="eastAsia" w:ascii="宋体" w:hAnsi="宋体" w:cs="宋体"/>
          <w:sz w:val="24"/>
          <w:szCs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213D0D3">
      <w:pPr>
        <w:keepNext/>
        <w:keepLines/>
        <w:widowControl/>
        <w:spacing w:line="360" w:lineRule="auto"/>
        <w:ind w:firstLine="480"/>
        <w:rPr>
          <w:rFonts w:ascii="宋体" w:cs="Times New Roman"/>
          <w:sz w:val="24"/>
          <w:szCs w:val="24"/>
        </w:rPr>
      </w:pPr>
      <w:r>
        <w:rPr>
          <w:rFonts w:ascii="宋体" w:hAnsi="宋体" w:cs="宋体"/>
          <w:sz w:val="24"/>
          <w:szCs w:val="24"/>
        </w:rPr>
        <w:t>25.3</w:t>
      </w:r>
      <w:r>
        <w:rPr>
          <w:rFonts w:hint="eastAsia" w:ascii="宋体" w:hAnsi="宋体" w:cs="宋体"/>
          <w:sz w:val="24"/>
          <w:szCs w:val="24"/>
        </w:rPr>
        <w:t>如果投标文件实质上没有响应招标文件的要求，评委会将予以拒绝，投标人不得通过修改或撤销不合要求的偏离或保留而使其投标成为实质性响应的投标。</w:t>
      </w:r>
    </w:p>
    <w:p w14:paraId="7B0262DC">
      <w:pPr>
        <w:keepNext/>
        <w:keepLines/>
        <w:widowControl/>
        <w:spacing w:line="360" w:lineRule="auto"/>
        <w:ind w:firstLine="480"/>
        <w:rPr>
          <w:rFonts w:ascii="宋体" w:cs="Times New Roman"/>
          <w:sz w:val="24"/>
          <w:szCs w:val="24"/>
        </w:rPr>
      </w:pPr>
      <w:r>
        <w:rPr>
          <w:rFonts w:ascii="宋体" w:hAnsi="宋体" w:cs="宋体"/>
          <w:sz w:val="24"/>
          <w:szCs w:val="24"/>
        </w:rPr>
        <w:t>25.4</w:t>
      </w:r>
      <w:r>
        <w:rPr>
          <w:rFonts w:hint="eastAsia" w:ascii="宋体" w:hAnsi="宋体" w:cs="宋体"/>
          <w:sz w:val="24"/>
          <w:szCs w:val="24"/>
        </w:rPr>
        <w:t>评委会将对确定为实质性响应的投标进行进一步审核，看其是否有计算上或累加上的算术错误，修正错误的原则如下：</w:t>
      </w:r>
    </w:p>
    <w:p w14:paraId="78EE8124">
      <w:pPr>
        <w:keepNext/>
        <w:keepLines/>
        <w:widowControl/>
        <w:spacing w:line="360" w:lineRule="auto"/>
        <w:ind w:firstLine="480"/>
        <w:rPr>
          <w:rFonts w:ascii="宋体" w:cs="Times New Roman"/>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）投标文件中开标一览表内容与投标文件中相应内容不一致的，以开标一览表为准。</w:t>
      </w:r>
    </w:p>
    <w:p w14:paraId="198488DB">
      <w:pPr>
        <w:keepNext/>
        <w:keepLines/>
        <w:widowControl/>
        <w:spacing w:line="360" w:lineRule="auto"/>
        <w:ind w:firstLine="480"/>
        <w:rPr>
          <w:rFonts w:ascii="宋体" w:cs="Times New Roman"/>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）大写金额和小写金额不一致的，以大写金额为准。</w:t>
      </w:r>
    </w:p>
    <w:p w14:paraId="27F3326C">
      <w:pPr>
        <w:keepNext/>
        <w:keepLines/>
        <w:widowControl/>
        <w:spacing w:line="360" w:lineRule="auto"/>
        <w:ind w:firstLine="480"/>
        <w:rPr>
          <w:rFonts w:ascii="宋体" w:cs="Times New Roman"/>
          <w:sz w:val="24"/>
          <w:szCs w:val="24"/>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）单价金额小数点或者百分比有明显错位的，以开标一览表的总价为准，并修改单价。</w:t>
      </w:r>
    </w:p>
    <w:p w14:paraId="71ECC161">
      <w:pPr>
        <w:keepNext/>
        <w:keepLines/>
        <w:widowControl/>
        <w:spacing w:line="360" w:lineRule="auto"/>
        <w:ind w:firstLine="480"/>
        <w:rPr>
          <w:rFonts w:ascii="宋体" w:cs="Times New Roman"/>
          <w:sz w:val="24"/>
          <w:szCs w:val="24"/>
        </w:rPr>
      </w:pPr>
      <w:r>
        <w:rPr>
          <w:rFonts w:hint="eastAsia" w:ascii="宋体" w:hAnsi="宋体" w:cs="宋体"/>
          <w:sz w:val="24"/>
          <w:szCs w:val="24"/>
        </w:rPr>
        <w:t>（</w:t>
      </w:r>
      <w:r>
        <w:rPr>
          <w:rFonts w:ascii="宋体" w:hAnsi="宋体" w:cs="宋体"/>
          <w:sz w:val="24"/>
          <w:szCs w:val="24"/>
        </w:rPr>
        <w:t>4</w:t>
      </w:r>
      <w:r>
        <w:rPr>
          <w:rFonts w:hint="eastAsia" w:ascii="宋体" w:hAnsi="宋体" w:cs="宋体"/>
          <w:sz w:val="24"/>
          <w:szCs w:val="24"/>
        </w:rPr>
        <w:t>）总价金额与按单价汇总金额不一致的，以单价金额计算结果为准。</w:t>
      </w:r>
    </w:p>
    <w:p w14:paraId="0BDEB710">
      <w:pPr>
        <w:keepNext/>
        <w:keepLines/>
        <w:widowControl/>
        <w:spacing w:line="360" w:lineRule="auto"/>
        <w:ind w:firstLine="480"/>
        <w:rPr>
          <w:rFonts w:ascii="宋体" w:cs="Times New Roman"/>
          <w:sz w:val="24"/>
          <w:szCs w:val="24"/>
        </w:rPr>
      </w:pPr>
      <w:r>
        <w:rPr>
          <w:rFonts w:hint="eastAsia" w:ascii="宋体" w:hAnsi="宋体" w:cs="宋体"/>
          <w:sz w:val="24"/>
          <w:szCs w:val="24"/>
        </w:rPr>
        <w:t>同时出现两种以上错误的，按照前款规定的顺序修正。</w:t>
      </w:r>
    </w:p>
    <w:p w14:paraId="2EF2F363">
      <w:pPr>
        <w:keepNext/>
        <w:keepLines/>
        <w:widowControl/>
        <w:spacing w:line="360" w:lineRule="auto"/>
        <w:ind w:firstLine="480"/>
        <w:rPr>
          <w:rFonts w:ascii="宋体" w:cs="Times New Roman"/>
          <w:sz w:val="24"/>
          <w:szCs w:val="24"/>
        </w:rPr>
      </w:pPr>
      <w:r>
        <w:rPr>
          <w:rFonts w:ascii="宋体" w:hAnsi="宋体" w:cs="宋体"/>
          <w:sz w:val="24"/>
          <w:szCs w:val="24"/>
        </w:rPr>
        <w:t>25.5</w:t>
      </w:r>
      <w:r>
        <w:rPr>
          <w:rFonts w:hint="eastAsia" w:ascii="宋体" w:hAnsi="宋体" w:cs="宋体"/>
          <w:sz w:val="24"/>
          <w:szCs w:val="24"/>
        </w:rPr>
        <w:t>评委会将按上述修正错误的方法调整投标文件中的投标报价，并通过苏采云系统告知投标人，调整后的价格应对投标人具有约束力。如果投标人不接受修正后的价格，则其投标将被拒绝。</w:t>
      </w:r>
    </w:p>
    <w:p w14:paraId="1F861215">
      <w:pPr>
        <w:keepNext/>
        <w:keepLines/>
        <w:widowControl/>
        <w:spacing w:line="360" w:lineRule="auto"/>
        <w:ind w:firstLine="480"/>
        <w:rPr>
          <w:rFonts w:ascii="宋体" w:cs="Times New Roman"/>
          <w:sz w:val="24"/>
          <w:szCs w:val="24"/>
        </w:rPr>
      </w:pPr>
      <w:r>
        <w:rPr>
          <w:rFonts w:ascii="宋体" w:hAnsi="宋体" w:cs="宋体"/>
          <w:sz w:val="24"/>
          <w:szCs w:val="24"/>
        </w:rPr>
        <w:t>25.6</w:t>
      </w:r>
      <w:r>
        <w:rPr>
          <w:rFonts w:hint="eastAsia" w:ascii="宋体" w:hAnsi="宋体" w:cs="宋体"/>
          <w:sz w:val="24"/>
          <w:szCs w:val="24"/>
        </w:rPr>
        <w:t>投标人在开、评标全过程中应保持通讯畅通，及时登录苏采云系统查阅、答复相关信息，并安排专人与采购代理机构及评标委员会联系。</w:t>
      </w:r>
    </w:p>
    <w:p w14:paraId="4D12247F">
      <w:pPr>
        <w:pStyle w:val="5"/>
        <w:widowControl/>
        <w:spacing w:before="0" w:after="0" w:line="360" w:lineRule="auto"/>
        <w:ind w:firstLine="420"/>
        <w:rPr>
          <w:rFonts w:cs="Times New Roman"/>
          <w:b w:val="0"/>
          <w:bCs w:val="0"/>
        </w:rPr>
      </w:pPr>
      <w:r>
        <w:rPr>
          <w:b w:val="0"/>
          <w:bCs w:val="0"/>
        </w:rPr>
        <w:t>26</w:t>
      </w:r>
      <w:r>
        <w:rPr>
          <w:rFonts w:hint="eastAsia" w:cs="黑体"/>
          <w:b w:val="0"/>
          <w:bCs w:val="0"/>
        </w:rPr>
        <w:t>、无效投标条款和废标条款</w:t>
      </w:r>
    </w:p>
    <w:p w14:paraId="71284698">
      <w:pPr>
        <w:keepNext/>
        <w:keepLines/>
        <w:widowControl/>
        <w:spacing w:line="360" w:lineRule="auto"/>
        <w:ind w:firstLine="480"/>
        <w:rPr>
          <w:rFonts w:ascii="宋体" w:cs="Times New Roman"/>
          <w:sz w:val="24"/>
          <w:szCs w:val="24"/>
        </w:rPr>
      </w:pPr>
      <w:r>
        <w:rPr>
          <w:rFonts w:ascii="宋体" w:hAnsi="宋体" w:cs="宋体"/>
          <w:sz w:val="24"/>
          <w:szCs w:val="24"/>
        </w:rPr>
        <w:t>26.1</w:t>
      </w:r>
      <w:r>
        <w:rPr>
          <w:rFonts w:hint="eastAsia" w:ascii="宋体" w:hAnsi="宋体" w:cs="宋体"/>
          <w:sz w:val="24"/>
          <w:szCs w:val="24"/>
        </w:rPr>
        <w:t>无效投标条款</w:t>
      </w:r>
    </w:p>
    <w:p w14:paraId="191F1BBC">
      <w:pPr>
        <w:keepNext/>
        <w:keepLines/>
        <w:widowControl/>
        <w:spacing w:line="360" w:lineRule="auto"/>
        <w:ind w:firstLine="480"/>
        <w:rPr>
          <w:rFonts w:ascii="宋体" w:cs="Times New Roman"/>
          <w:sz w:val="24"/>
          <w:szCs w:val="24"/>
        </w:rPr>
      </w:pPr>
      <w:r>
        <w:rPr>
          <w:rFonts w:ascii="宋体" w:hAnsi="宋体" w:cs="宋体"/>
          <w:sz w:val="24"/>
          <w:szCs w:val="24"/>
        </w:rPr>
        <w:t xml:space="preserve">26.1.1 </w:t>
      </w:r>
      <w:r>
        <w:rPr>
          <w:rFonts w:hint="eastAsia" w:ascii="宋体" w:hAnsi="宋体" w:cs="宋体"/>
          <w:sz w:val="24"/>
          <w:szCs w:val="24"/>
        </w:rPr>
        <w:t>投标人在苏采云系统规定的时间内未成功解密电子投标文件的。</w:t>
      </w:r>
    </w:p>
    <w:p w14:paraId="60C9AFEE">
      <w:pPr>
        <w:keepNext/>
        <w:keepLines/>
        <w:widowControl/>
        <w:spacing w:line="360" w:lineRule="auto"/>
        <w:ind w:firstLine="480"/>
        <w:rPr>
          <w:rFonts w:ascii="宋体" w:cs="Times New Roman"/>
          <w:sz w:val="24"/>
          <w:szCs w:val="24"/>
        </w:rPr>
      </w:pPr>
      <w:r>
        <w:rPr>
          <w:rFonts w:ascii="宋体" w:hAnsi="宋体" w:cs="宋体"/>
          <w:sz w:val="24"/>
          <w:szCs w:val="24"/>
        </w:rPr>
        <w:t xml:space="preserve">26.1.2 </w:t>
      </w:r>
      <w:r>
        <w:rPr>
          <w:rFonts w:hint="eastAsia" w:ascii="宋体" w:hAnsi="宋体" w:cs="宋体"/>
          <w:sz w:val="24"/>
          <w:szCs w:val="24"/>
        </w:rPr>
        <w:t>投标人未按照招标文件要求上传电子投标文件的。</w:t>
      </w:r>
    </w:p>
    <w:p w14:paraId="5EE8137D">
      <w:pPr>
        <w:keepNext/>
        <w:keepLines/>
        <w:widowControl/>
        <w:spacing w:line="360" w:lineRule="auto"/>
        <w:ind w:firstLine="480"/>
        <w:rPr>
          <w:rFonts w:ascii="宋体" w:cs="Times New Roman"/>
          <w:sz w:val="24"/>
          <w:szCs w:val="24"/>
        </w:rPr>
      </w:pPr>
      <w:r>
        <w:rPr>
          <w:rFonts w:ascii="宋体" w:hAnsi="宋体" w:cs="宋体"/>
          <w:sz w:val="24"/>
          <w:szCs w:val="24"/>
        </w:rPr>
        <w:t>26.1.3</w:t>
      </w:r>
      <w:r>
        <w:rPr>
          <w:rFonts w:hint="eastAsia" w:ascii="宋体" w:hAnsi="宋体" w:cs="宋体"/>
          <w:sz w:val="24"/>
          <w:szCs w:val="24"/>
        </w:rPr>
        <w:t>同一投标人提交两个（含两个）以上不同的投标报价的。</w:t>
      </w:r>
    </w:p>
    <w:p w14:paraId="7DABFCF9">
      <w:pPr>
        <w:keepNext/>
        <w:keepLines/>
        <w:widowControl/>
        <w:spacing w:line="360" w:lineRule="auto"/>
        <w:ind w:firstLine="480"/>
        <w:rPr>
          <w:rFonts w:ascii="宋体" w:cs="Times New Roman"/>
          <w:sz w:val="24"/>
          <w:szCs w:val="24"/>
        </w:rPr>
      </w:pPr>
      <w:r>
        <w:rPr>
          <w:rFonts w:ascii="宋体" w:hAnsi="宋体" w:cs="宋体"/>
          <w:sz w:val="24"/>
          <w:szCs w:val="24"/>
        </w:rPr>
        <w:t>26.1.4</w:t>
      </w:r>
      <w:r>
        <w:rPr>
          <w:rFonts w:hint="eastAsia" w:ascii="宋体" w:hAnsi="宋体" w:cs="宋体"/>
          <w:sz w:val="24"/>
          <w:szCs w:val="24"/>
        </w:rPr>
        <w:t>投标人不具备招标文件中规定资格要求的。</w:t>
      </w:r>
    </w:p>
    <w:p w14:paraId="15BA4580">
      <w:pPr>
        <w:keepNext/>
        <w:keepLines/>
        <w:widowControl/>
        <w:spacing w:line="360" w:lineRule="auto"/>
        <w:ind w:firstLine="480"/>
        <w:rPr>
          <w:rFonts w:ascii="宋体" w:cs="Times New Roman"/>
          <w:sz w:val="24"/>
          <w:szCs w:val="24"/>
        </w:rPr>
      </w:pPr>
      <w:r>
        <w:rPr>
          <w:rFonts w:ascii="宋体" w:hAnsi="宋体" w:cs="宋体"/>
          <w:sz w:val="24"/>
          <w:szCs w:val="24"/>
        </w:rPr>
        <w:t>26.1.5</w:t>
      </w:r>
      <w:r>
        <w:rPr>
          <w:rFonts w:hint="eastAsia" w:ascii="宋体" w:hAnsi="宋体" w:cs="宋体"/>
          <w:sz w:val="24"/>
          <w:szCs w:val="24"/>
        </w:rPr>
        <w:t>投标人的报价超过了采购预算或最高限价的。</w:t>
      </w:r>
    </w:p>
    <w:p w14:paraId="08AAD18A">
      <w:pPr>
        <w:keepNext/>
        <w:keepLines/>
        <w:widowControl/>
        <w:spacing w:line="360" w:lineRule="auto"/>
        <w:ind w:firstLine="480"/>
        <w:rPr>
          <w:rFonts w:ascii="宋体" w:cs="Times New Roman"/>
          <w:sz w:val="24"/>
          <w:szCs w:val="24"/>
        </w:rPr>
      </w:pPr>
      <w:r>
        <w:rPr>
          <w:rFonts w:ascii="宋体" w:hAnsi="宋体" w:cs="宋体"/>
          <w:sz w:val="24"/>
          <w:szCs w:val="24"/>
        </w:rPr>
        <w:t>26.1.6</w:t>
      </w:r>
      <w:r>
        <w:rPr>
          <w:rFonts w:hint="eastAsia" w:ascii="宋体" w:hAnsi="宋体" w:cs="宋体"/>
          <w:sz w:val="24"/>
          <w:szCs w:val="24"/>
        </w:rPr>
        <w:t>未通过符合性审查的。</w:t>
      </w:r>
    </w:p>
    <w:p w14:paraId="54C3D892">
      <w:pPr>
        <w:keepNext/>
        <w:keepLines/>
        <w:widowControl/>
        <w:spacing w:line="360" w:lineRule="auto"/>
        <w:ind w:firstLine="480"/>
        <w:rPr>
          <w:rFonts w:ascii="宋体" w:cs="Times New Roman"/>
          <w:sz w:val="24"/>
          <w:szCs w:val="24"/>
        </w:rPr>
      </w:pPr>
      <w:r>
        <w:rPr>
          <w:rFonts w:ascii="宋体" w:hAnsi="宋体" w:cs="宋体"/>
          <w:sz w:val="24"/>
          <w:szCs w:val="24"/>
        </w:rPr>
        <w:t>26.1.7</w:t>
      </w:r>
      <w:r>
        <w:rPr>
          <w:rFonts w:hint="eastAsia" w:ascii="宋体" w:hAnsi="宋体" w:cs="宋体"/>
          <w:sz w:val="24"/>
          <w:szCs w:val="24"/>
        </w:rPr>
        <w:t>不符合招标文件中规定的实质性要求和条件的。</w:t>
      </w:r>
    </w:p>
    <w:p w14:paraId="71BDFE04">
      <w:pPr>
        <w:keepNext/>
        <w:keepLines/>
        <w:widowControl/>
        <w:spacing w:line="360" w:lineRule="auto"/>
        <w:ind w:firstLine="480"/>
        <w:rPr>
          <w:rFonts w:ascii="宋体" w:cs="Times New Roman"/>
          <w:sz w:val="24"/>
          <w:szCs w:val="24"/>
        </w:rPr>
      </w:pPr>
      <w:r>
        <w:rPr>
          <w:rFonts w:ascii="宋体" w:hAnsi="宋体" w:cs="宋体"/>
          <w:sz w:val="24"/>
          <w:szCs w:val="24"/>
        </w:rPr>
        <w:t xml:space="preserve">26.1.8 </w:t>
      </w:r>
      <w:r>
        <w:rPr>
          <w:rFonts w:hint="eastAsia" w:ascii="宋体" w:hAnsi="宋体" w:cs="宋体"/>
          <w:sz w:val="24"/>
          <w:szCs w:val="24"/>
        </w:rPr>
        <w:t>投标人被“信用中国”网站（</w:t>
      </w:r>
      <w:r>
        <w:rPr>
          <w:rFonts w:ascii="宋体" w:hAnsi="宋体" w:cs="宋体"/>
          <w:sz w:val="24"/>
          <w:szCs w:val="24"/>
        </w:rPr>
        <w:t>www.creditchina.gov.cn</w:t>
      </w:r>
      <w:r>
        <w:rPr>
          <w:rFonts w:hint="eastAsia" w:ascii="宋体" w:hAnsi="宋体" w:cs="宋体"/>
          <w:sz w:val="24"/>
          <w:szCs w:val="24"/>
        </w:rPr>
        <w:t>）列入失信被执行人或重大税收违法案件当事人名单或政府采购严重失信行为记录名单。或查询“信用中国”网站后发现投标人存在其他不符合《中华人民共和国政府采购法》第二十二条规定条件的信用记录。</w:t>
      </w:r>
    </w:p>
    <w:p w14:paraId="73CF5B64">
      <w:pPr>
        <w:keepNext/>
        <w:keepLines/>
        <w:widowControl/>
        <w:spacing w:line="480" w:lineRule="exact"/>
        <w:ind w:firstLine="482"/>
        <w:rPr>
          <w:rFonts w:ascii="宋体" w:cs="Times New Roman"/>
          <w:sz w:val="24"/>
          <w:szCs w:val="24"/>
        </w:rPr>
      </w:pPr>
      <w:r>
        <w:rPr>
          <w:rFonts w:ascii="宋体" w:hAnsi="宋体" w:cs="宋体"/>
          <w:sz w:val="24"/>
          <w:szCs w:val="24"/>
        </w:rPr>
        <w:t>26.1.9</w:t>
      </w:r>
      <w:r>
        <w:rPr>
          <w:rFonts w:hint="eastAsia" w:ascii="宋体" w:hAnsi="宋体" w:cs="宋体"/>
          <w:sz w:val="24"/>
          <w:szCs w:val="24"/>
        </w:rPr>
        <w:t>投标文件含有采购人不能接受的附加条件的。</w:t>
      </w:r>
    </w:p>
    <w:p w14:paraId="697247C1">
      <w:pPr>
        <w:pStyle w:val="44"/>
        <w:keepNext/>
        <w:keepLines/>
        <w:spacing w:beforeAutospacing="0" w:afterAutospacing="0" w:line="480" w:lineRule="exact"/>
        <w:ind w:firstLine="482"/>
        <w:jc w:val="both"/>
        <w:rPr>
          <w:rFonts w:cs="Times New Roman"/>
        </w:rPr>
      </w:pPr>
      <w:r>
        <w:t>26.1.10</w:t>
      </w:r>
      <w:r>
        <w:rPr>
          <w:rFonts w:hint="eastAsia"/>
        </w:rPr>
        <w:t>投标人不能证明其报价合理性的，评标委员会应当将其作为无效投标处理。</w:t>
      </w:r>
    </w:p>
    <w:p w14:paraId="4B2E4904">
      <w:pPr>
        <w:pStyle w:val="44"/>
        <w:keepNext/>
        <w:keepLines/>
        <w:spacing w:beforeAutospacing="0" w:afterAutospacing="0" w:line="480" w:lineRule="exact"/>
        <w:ind w:firstLine="482"/>
        <w:jc w:val="both"/>
        <w:rPr>
          <w:rFonts w:cs="Times New Roman"/>
          <w:color w:val="000000"/>
        </w:rPr>
      </w:pPr>
      <w:r>
        <w:rPr>
          <w:rFonts w:hint="eastAsia"/>
          <w:color w:val="000000"/>
        </w:rPr>
        <w:t>（一）评审过程中出现下列情形之一的，评标委员会应当启动异常低价投标审查程序：</w:t>
      </w:r>
    </w:p>
    <w:p w14:paraId="1B0BA52E">
      <w:pPr>
        <w:pStyle w:val="44"/>
        <w:keepNext/>
        <w:keepLines/>
        <w:spacing w:beforeAutospacing="0" w:afterAutospacing="0" w:line="480" w:lineRule="exact"/>
        <w:ind w:firstLine="482"/>
        <w:jc w:val="both"/>
        <w:rPr>
          <w:rFonts w:cs="Times New Roman"/>
          <w:color w:val="FF0000"/>
        </w:rPr>
      </w:pPr>
      <w:r>
        <w:rPr>
          <w:color w:val="FF0000"/>
        </w:rPr>
        <w:t>1.</w:t>
      </w:r>
      <w:r>
        <w:rPr>
          <w:rFonts w:hint="eastAsia"/>
          <w:color w:val="FF0000"/>
        </w:rPr>
        <w:t>投标（响应）报价低于全部通过符合性审查供应商投标（响应）报价平均值</w:t>
      </w:r>
      <w:r>
        <w:rPr>
          <w:color w:val="FF0000"/>
        </w:rPr>
        <w:t>50%</w:t>
      </w:r>
      <w:r>
        <w:rPr>
          <w:rFonts w:hint="eastAsia"/>
          <w:color w:val="FF0000"/>
        </w:rPr>
        <w:t>的，即投标（响应）报价</w:t>
      </w:r>
      <w:r>
        <w:rPr>
          <w:color w:val="FF0000"/>
        </w:rPr>
        <w:t>&lt;</w:t>
      </w:r>
      <w:r>
        <w:rPr>
          <w:rFonts w:hint="eastAsia"/>
          <w:color w:val="FF0000"/>
        </w:rPr>
        <w:t>全部通过符合性审查供应商投标（响应）报价平均值×</w:t>
      </w:r>
      <w:r>
        <w:rPr>
          <w:color w:val="FF0000"/>
        </w:rPr>
        <w:t>50%</w:t>
      </w:r>
      <w:r>
        <w:rPr>
          <w:rFonts w:hint="eastAsia"/>
          <w:color w:val="FF0000"/>
        </w:rPr>
        <w:t>；</w:t>
      </w:r>
    </w:p>
    <w:p w14:paraId="744ED878">
      <w:pPr>
        <w:pStyle w:val="44"/>
        <w:keepNext/>
        <w:keepLines/>
        <w:spacing w:beforeAutospacing="0" w:afterAutospacing="0" w:line="480" w:lineRule="exact"/>
        <w:ind w:firstLine="482"/>
        <w:jc w:val="both"/>
        <w:rPr>
          <w:rFonts w:cs="Times New Roman"/>
          <w:color w:val="FF0000"/>
        </w:rPr>
      </w:pPr>
      <w:r>
        <w:rPr>
          <w:color w:val="FF0000"/>
        </w:rPr>
        <w:t>2.</w:t>
      </w:r>
      <w:r>
        <w:rPr>
          <w:rFonts w:hint="eastAsia"/>
          <w:color w:val="FF0000"/>
        </w:rPr>
        <w:t>投标（响应）报价低于通过符合性审查的次低报价供应商投标（响应）报价</w:t>
      </w:r>
      <w:r>
        <w:rPr>
          <w:color w:val="FF0000"/>
        </w:rPr>
        <w:t>50%</w:t>
      </w:r>
      <w:r>
        <w:rPr>
          <w:rFonts w:hint="eastAsia"/>
          <w:color w:val="FF0000"/>
        </w:rPr>
        <w:t>的，即投标（响应）报价</w:t>
      </w:r>
      <w:r>
        <w:rPr>
          <w:color w:val="FF0000"/>
        </w:rPr>
        <w:t>&lt;</w:t>
      </w:r>
      <w:r>
        <w:rPr>
          <w:rFonts w:hint="eastAsia"/>
          <w:color w:val="FF0000"/>
        </w:rPr>
        <w:t>通过符合性审查的次低报价供应商投标（响应）报价×</w:t>
      </w:r>
      <w:r>
        <w:rPr>
          <w:color w:val="FF0000"/>
        </w:rPr>
        <w:t>50%</w:t>
      </w:r>
      <w:r>
        <w:rPr>
          <w:rFonts w:hint="eastAsia"/>
          <w:color w:val="FF0000"/>
        </w:rPr>
        <w:t>；</w:t>
      </w:r>
    </w:p>
    <w:p w14:paraId="6201CED5">
      <w:pPr>
        <w:pStyle w:val="44"/>
        <w:keepNext/>
        <w:keepLines/>
        <w:spacing w:beforeAutospacing="0" w:afterAutospacing="0" w:line="480" w:lineRule="exact"/>
        <w:ind w:firstLine="482"/>
        <w:jc w:val="both"/>
        <w:rPr>
          <w:rFonts w:cs="Times New Roman"/>
          <w:color w:val="FF0000"/>
        </w:rPr>
      </w:pPr>
      <w:r>
        <w:rPr>
          <w:color w:val="FF0000"/>
        </w:rPr>
        <w:t>3.</w:t>
      </w:r>
      <w:r>
        <w:rPr>
          <w:rFonts w:hint="eastAsia"/>
          <w:color w:val="FF0000"/>
        </w:rPr>
        <w:t>投标（响应）报价低于采购项目最高限价</w:t>
      </w:r>
      <w:r>
        <w:rPr>
          <w:color w:val="FF0000"/>
        </w:rPr>
        <w:t>45%</w:t>
      </w:r>
      <w:r>
        <w:rPr>
          <w:rFonts w:hint="eastAsia"/>
          <w:color w:val="FF0000"/>
        </w:rPr>
        <w:t>的，即投标（响应）报价</w:t>
      </w:r>
      <w:r>
        <w:rPr>
          <w:color w:val="FF0000"/>
        </w:rPr>
        <w:t>&lt;</w:t>
      </w:r>
      <w:r>
        <w:rPr>
          <w:rFonts w:hint="eastAsia"/>
          <w:color w:val="FF0000"/>
        </w:rPr>
        <w:t>采购项目最高限价×</w:t>
      </w:r>
      <w:r>
        <w:rPr>
          <w:color w:val="FF0000"/>
        </w:rPr>
        <w:t>45%</w:t>
      </w:r>
      <w:r>
        <w:rPr>
          <w:rFonts w:hint="eastAsia"/>
          <w:color w:val="FF0000"/>
        </w:rPr>
        <w:t>；</w:t>
      </w:r>
    </w:p>
    <w:p w14:paraId="0623C0EB">
      <w:pPr>
        <w:pStyle w:val="44"/>
        <w:keepNext/>
        <w:keepLines/>
        <w:spacing w:beforeAutospacing="0" w:afterAutospacing="0" w:line="480" w:lineRule="exact"/>
        <w:ind w:firstLine="482"/>
        <w:jc w:val="both"/>
        <w:rPr>
          <w:rFonts w:cs="Times New Roman"/>
          <w:color w:val="FF0000"/>
        </w:rPr>
      </w:pPr>
      <w:r>
        <w:rPr>
          <w:color w:val="FF0000"/>
        </w:rPr>
        <w:t>4.</w:t>
      </w:r>
      <w:r>
        <w:rPr>
          <w:rFonts w:hint="eastAsia"/>
          <w:color w:val="FF0000"/>
        </w:rPr>
        <w:t>评审委员会基于专业判断，认为供应商报价过低，有可能影响产品质量或者不能诚信履约的其他情形。</w:t>
      </w:r>
    </w:p>
    <w:p w14:paraId="6638A0EC">
      <w:pPr>
        <w:pStyle w:val="44"/>
        <w:keepNext/>
        <w:keepLines/>
        <w:spacing w:beforeAutospacing="0" w:afterAutospacing="0" w:line="480" w:lineRule="exact"/>
        <w:ind w:firstLine="482"/>
        <w:jc w:val="both"/>
        <w:rPr>
          <w:rFonts w:cs="Times New Roman"/>
          <w:color w:val="FF0000"/>
        </w:rPr>
      </w:pPr>
      <w:r>
        <w:rPr>
          <w:rFonts w:hint="eastAsia"/>
          <w:color w:val="FF0000"/>
          <w:u w:val="single"/>
        </w:rPr>
        <w:t>提醒：采购人可以结合具体项目实际情况，提高上述第</w:t>
      </w:r>
      <w:r>
        <w:rPr>
          <w:color w:val="FF0000"/>
          <w:u w:val="single"/>
        </w:rPr>
        <w:t>1</w:t>
      </w:r>
      <w:r>
        <w:rPr>
          <w:rFonts w:hint="eastAsia"/>
          <w:color w:val="FF0000"/>
          <w:u w:val="single"/>
        </w:rPr>
        <w:t>项至第</w:t>
      </w:r>
      <w:r>
        <w:rPr>
          <w:color w:val="FF0000"/>
          <w:u w:val="single"/>
        </w:rPr>
        <w:t>3</w:t>
      </w:r>
      <w:r>
        <w:rPr>
          <w:rFonts w:hint="eastAsia"/>
          <w:color w:val="FF0000"/>
          <w:u w:val="single"/>
        </w:rPr>
        <w:t>项中启动异常低价投标（响应）审查的数值标准，但是最高不得超过</w:t>
      </w:r>
      <w:r>
        <w:rPr>
          <w:color w:val="FF0000"/>
          <w:u w:val="single"/>
        </w:rPr>
        <w:t>65%</w:t>
      </w:r>
      <w:r>
        <w:rPr>
          <w:rFonts w:hint="eastAsia"/>
          <w:color w:val="FF0000"/>
          <w:u w:val="single"/>
        </w:rPr>
        <w:t>。</w:t>
      </w:r>
    </w:p>
    <w:p w14:paraId="7984BA49">
      <w:pPr>
        <w:pStyle w:val="44"/>
        <w:keepNext/>
        <w:keepLines/>
        <w:tabs>
          <w:tab w:val="left" w:pos="7612"/>
        </w:tabs>
        <w:spacing w:beforeAutospacing="0" w:afterAutospacing="0" w:line="480" w:lineRule="exact"/>
        <w:ind w:left="239" w:leftChars="114" w:firstLine="240" w:firstLineChars="100"/>
        <w:rPr>
          <w:rFonts w:hint="eastAsia"/>
          <w:color w:val="FF0000"/>
        </w:rPr>
      </w:pPr>
      <w:r>
        <w:rPr>
          <w:rFonts w:hint="eastAsia"/>
          <w:color w:val="FF0000"/>
        </w:rPr>
        <w:t>相关法律法规对供应商报价有规定的，从其规定。</w:t>
      </w:r>
    </w:p>
    <w:p w14:paraId="178BE3B6">
      <w:pPr>
        <w:pStyle w:val="44"/>
        <w:keepNext/>
        <w:keepLines/>
        <w:tabs>
          <w:tab w:val="left" w:pos="7612"/>
        </w:tabs>
        <w:spacing w:beforeAutospacing="0" w:afterAutospacing="0" w:line="480" w:lineRule="exact"/>
        <w:ind w:left="239" w:leftChars="114" w:firstLine="240" w:firstLineChars="100"/>
        <w:rPr>
          <w:rFonts w:cs="Times New Roman"/>
          <w:color w:val="FF0000"/>
        </w:rPr>
      </w:pPr>
      <w:r>
        <w:rPr>
          <w:rFonts w:hint="eastAsia"/>
          <w:color w:val="FF0000"/>
        </w:rPr>
        <w:t>（二）评审委员会启动异常低价投标（响应）审查后，属于前述第</w:t>
      </w:r>
      <w:r>
        <w:rPr>
          <w:color w:val="FF0000"/>
        </w:rPr>
        <w:t>1</w:t>
      </w:r>
      <w:r>
        <w:rPr>
          <w:rFonts w:hint="eastAsia"/>
          <w:color w:val="FF0000"/>
        </w:rPr>
        <w:t>项至第</w:t>
      </w:r>
      <w:r>
        <w:rPr>
          <w:color w:val="FF0000"/>
        </w:rPr>
        <w:t>4</w:t>
      </w:r>
      <w:r>
        <w:rPr>
          <w:rFonts w:hint="eastAsia"/>
          <w:color w:val="FF0000"/>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color w:val="FF0000"/>
        </w:rPr>
        <w:t>30</w:t>
      </w:r>
      <w:r>
        <w:rPr>
          <w:rFonts w:hint="eastAsia"/>
          <w:color w:val="FF0000"/>
        </w:rPr>
        <w:t>分钟。其中，属于第</w:t>
      </w:r>
      <w:r>
        <w:rPr>
          <w:color w:val="FF0000"/>
        </w:rPr>
        <w:t>3</w:t>
      </w:r>
      <w:r>
        <w:rPr>
          <w:rFonts w:hint="eastAsia"/>
          <w:color w:val="FF0000"/>
        </w:rPr>
        <w:t>项情形，供应商已随投标（响应）文件一并提交相关书面说明及必要的证明材料的，在评审现场可不再重复提交。</w:t>
      </w:r>
    </w:p>
    <w:p w14:paraId="38793FD0">
      <w:pPr>
        <w:pStyle w:val="44"/>
        <w:keepNext/>
        <w:keepLines/>
        <w:spacing w:beforeAutospacing="0" w:afterAutospacing="0" w:line="480" w:lineRule="exact"/>
        <w:ind w:firstLine="482"/>
        <w:jc w:val="both"/>
        <w:rPr>
          <w:rFonts w:cs="Times New Roman"/>
          <w:color w:val="FF0000"/>
        </w:rPr>
      </w:pPr>
      <w:r>
        <w:rPr>
          <w:rFonts w:hint="eastAsia"/>
          <w:color w:val="FF0000"/>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CBF37A9">
      <w:pPr>
        <w:pStyle w:val="44"/>
        <w:keepNext/>
        <w:keepLines/>
        <w:spacing w:beforeAutospacing="0" w:afterAutospacing="0" w:line="480" w:lineRule="exact"/>
        <w:ind w:firstLine="482"/>
        <w:jc w:val="both"/>
        <w:rPr>
          <w:rFonts w:cs="Times New Roman"/>
          <w:color w:val="FF0000"/>
        </w:rPr>
      </w:pPr>
      <w:r>
        <w:rPr>
          <w:rFonts w:hint="eastAsia"/>
          <w:color w:val="FF0000"/>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FB3E6BC">
      <w:pPr>
        <w:pStyle w:val="44"/>
        <w:keepNext/>
        <w:keepLines/>
        <w:spacing w:beforeAutospacing="0" w:afterAutospacing="0" w:line="480" w:lineRule="exact"/>
        <w:ind w:firstLine="482"/>
        <w:jc w:val="both"/>
        <w:rPr>
          <w:rFonts w:cs="Times New Roman"/>
          <w:color w:val="FF0000"/>
        </w:rPr>
      </w:pPr>
      <w:r>
        <w:rPr>
          <w:rFonts w:hint="eastAsia"/>
          <w:color w:val="FF0000"/>
        </w:rPr>
        <w:t>异常低价投标（响应）审查的启动原因、审查意见和审查结果应当在评审报告中记录，并随供应商提供的相关书面说明及证明材料，以及评审委员会有关互联网浏览、查询历史一并归档。</w:t>
      </w:r>
    </w:p>
    <w:p w14:paraId="3B8513CB">
      <w:pPr>
        <w:keepNext/>
        <w:keepLines/>
        <w:widowControl/>
        <w:spacing w:line="480" w:lineRule="exact"/>
        <w:ind w:firstLine="482"/>
        <w:rPr>
          <w:rFonts w:ascii="宋体" w:cs="Times New Roman"/>
          <w:sz w:val="24"/>
          <w:szCs w:val="24"/>
        </w:rPr>
      </w:pPr>
      <w:r>
        <w:rPr>
          <w:rFonts w:ascii="宋体" w:hAnsi="宋体" w:cs="宋体"/>
          <w:sz w:val="24"/>
          <w:szCs w:val="24"/>
        </w:rPr>
        <w:t xml:space="preserve">26.1.12 </w:t>
      </w:r>
      <w:r>
        <w:rPr>
          <w:rFonts w:hint="eastAsia" w:ascii="宋体" w:hAnsi="宋体" w:cs="宋体"/>
          <w:sz w:val="24"/>
          <w:szCs w:val="24"/>
        </w:rPr>
        <w:t>投标文件未按照招标文件要求加盖</w:t>
      </w:r>
      <w:r>
        <w:rPr>
          <w:rFonts w:ascii="宋体" w:hAnsi="宋体" w:cs="宋体"/>
          <w:sz w:val="24"/>
          <w:szCs w:val="24"/>
        </w:rPr>
        <w:t>CA</w:t>
      </w:r>
      <w:r>
        <w:rPr>
          <w:rFonts w:hint="eastAsia" w:ascii="宋体" w:hAnsi="宋体" w:cs="宋体"/>
          <w:sz w:val="24"/>
          <w:szCs w:val="24"/>
        </w:rPr>
        <w:t>电子公章的。</w:t>
      </w:r>
    </w:p>
    <w:p w14:paraId="60ABBD47">
      <w:pPr>
        <w:keepNext/>
        <w:keepLines/>
        <w:widowControl/>
        <w:spacing w:line="360" w:lineRule="auto"/>
        <w:ind w:firstLine="480"/>
        <w:rPr>
          <w:rFonts w:ascii="宋体" w:cs="Times New Roman"/>
          <w:sz w:val="24"/>
          <w:szCs w:val="24"/>
        </w:rPr>
      </w:pPr>
      <w:r>
        <w:rPr>
          <w:rFonts w:ascii="宋体" w:hAnsi="宋体" w:cs="宋体"/>
          <w:sz w:val="24"/>
          <w:szCs w:val="24"/>
        </w:rPr>
        <w:t>26.1.13</w:t>
      </w:r>
      <w:r>
        <w:rPr>
          <w:rFonts w:hint="eastAsia" w:ascii="宋体" w:hAnsi="宋体" w:cs="宋体"/>
          <w:sz w:val="24"/>
          <w:szCs w:val="24"/>
        </w:rPr>
        <w:t>其他法律、法规及本招标文件规定的属无效投标的情形。</w:t>
      </w:r>
    </w:p>
    <w:p w14:paraId="5E10EBC2">
      <w:pPr>
        <w:keepNext/>
        <w:keepLines/>
        <w:widowControl/>
        <w:spacing w:line="360" w:lineRule="auto"/>
        <w:ind w:firstLine="480"/>
        <w:rPr>
          <w:rFonts w:ascii="宋体" w:cs="Times New Roman"/>
          <w:sz w:val="24"/>
          <w:szCs w:val="24"/>
        </w:rPr>
      </w:pPr>
      <w:r>
        <w:rPr>
          <w:rFonts w:ascii="宋体" w:hAnsi="宋体" w:cs="宋体"/>
          <w:sz w:val="24"/>
          <w:szCs w:val="24"/>
        </w:rPr>
        <w:t>26.2</w:t>
      </w:r>
      <w:r>
        <w:rPr>
          <w:rFonts w:hint="eastAsia" w:ascii="宋体" w:hAnsi="宋体" w:cs="宋体"/>
          <w:sz w:val="24"/>
          <w:szCs w:val="24"/>
        </w:rPr>
        <w:t>废标条款</w:t>
      </w:r>
    </w:p>
    <w:p w14:paraId="3AC8A06B">
      <w:pPr>
        <w:keepNext/>
        <w:keepLines/>
        <w:widowControl/>
        <w:spacing w:line="360" w:lineRule="auto"/>
        <w:ind w:firstLine="480"/>
        <w:rPr>
          <w:rFonts w:ascii="宋体" w:cs="Times New Roman"/>
          <w:sz w:val="24"/>
          <w:szCs w:val="24"/>
        </w:rPr>
      </w:pPr>
      <w:r>
        <w:rPr>
          <w:rFonts w:ascii="宋体" w:hAnsi="宋体" w:cs="宋体"/>
          <w:sz w:val="24"/>
          <w:szCs w:val="24"/>
        </w:rPr>
        <w:t>26.2.1</w:t>
      </w:r>
      <w:r>
        <w:rPr>
          <w:rFonts w:hint="eastAsia" w:ascii="宋体" w:hAnsi="宋体" w:cs="宋体"/>
          <w:sz w:val="24"/>
          <w:szCs w:val="24"/>
        </w:rPr>
        <w:t>符合专业条件的供应商或者对招标文件作实质响应的供应商不足三家的。</w:t>
      </w:r>
      <w:r>
        <w:rPr>
          <w:rFonts w:ascii="宋体" w:hAnsi="宋体" w:cs="宋体"/>
          <w:sz w:val="24"/>
          <w:szCs w:val="24"/>
        </w:rPr>
        <w:t>27.2.2</w:t>
      </w:r>
      <w:r>
        <w:rPr>
          <w:rFonts w:hint="eastAsia" w:ascii="宋体" w:hAnsi="宋体" w:cs="宋体"/>
          <w:sz w:val="24"/>
          <w:szCs w:val="24"/>
        </w:rPr>
        <w:t>出现影响采购公正的违法、违规行为的。</w:t>
      </w:r>
    </w:p>
    <w:p w14:paraId="4EA1BA74">
      <w:pPr>
        <w:keepNext/>
        <w:keepLines/>
        <w:widowControl/>
        <w:spacing w:line="360" w:lineRule="auto"/>
        <w:ind w:firstLine="480"/>
        <w:rPr>
          <w:rFonts w:ascii="宋体" w:cs="Times New Roman"/>
          <w:sz w:val="24"/>
          <w:szCs w:val="24"/>
        </w:rPr>
      </w:pPr>
      <w:r>
        <w:rPr>
          <w:rFonts w:ascii="宋体" w:hAnsi="宋体" w:cs="宋体"/>
          <w:sz w:val="24"/>
          <w:szCs w:val="24"/>
        </w:rPr>
        <w:t>26.2.3</w:t>
      </w:r>
      <w:r>
        <w:rPr>
          <w:rFonts w:hint="eastAsia" w:ascii="宋体" w:hAnsi="宋体" w:cs="宋体"/>
          <w:sz w:val="24"/>
          <w:szCs w:val="24"/>
        </w:rPr>
        <w:t>因重大变故，采购任务取消的。</w:t>
      </w:r>
    </w:p>
    <w:p w14:paraId="488280A8">
      <w:pPr>
        <w:keepNext/>
        <w:keepLines/>
        <w:widowControl/>
        <w:spacing w:line="360" w:lineRule="auto"/>
        <w:ind w:firstLine="480"/>
        <w:rPr>
          <w:rFonts w:ascii="宋体" w:cs="Times New Roman"/>
          <w:sz w:val="24"/>
          <w:szCs w:val="24"/>
        </w:rPr>
      </w:pPr>
      <w:r>
        <w:rPr>
          <w:rFonts w:ascii="宋体" w:hAnsi="宋体" w:cs="宋体"/>
          <w:sz w:val="24"/>
          <w:szCs w:val="24"/>
        </w:rPr>
        <w:t>26.2.4</w:t>
      </w:r>
      <w:r>
        <w:rPr>
          <w:rFonts w:hint="eastAsia" w:ascii="宋体" w:hAnsi="宋体" w:cs="宋体"/>
          <w:sz w:val="24"/>
          <w:szCs w:val="24"/>
        </w:rPr>
        <w:t>评标委员会认定招标文件存在歧义、重大缺陷导致评审工作无法进行。</w:t>
      </w:r>
    </w:p>
    <w:p w14:paraId="7F874A5A">
      <w:pPr>
        <w:keepNext/>
        <w:keepLines/>
        <w:widowControl/>
        <w:spacing w:line="360" w:lineRule="auto"/>
        <w:ind w:firstLine="480"/>
        <w:rPr>
          <w:rFonts w:ascii="宋体" w:cs="Times New Roman"/>
          <w:sz w:val="24"/>
          <w:szCs w:val="24"/>
        </w:rPr>
      </w:pPr>
      <w:r>
        <w:rPr>
          <w:rFonts w:ascii="宋体" w:hAnsi="宋体" w:cs="宋体"/>
          <w:sz w:val="24"/>
          <w:szCs w:val="24"/>
        </w:rPr>
        <w:t xml:space="preserve">26.2.5 </w:t>
      </w:r>
      <w:r>
        <w:rPr>
          <w:rFonts w:hint="eastAsia" w:ascii="宋体" w:hAnsi="宋体" w:cs="宋体"/>
          <w:sz w:val="24"/>
          <w:szCs w:val="24"/>
        </w:rPr>
        <w:t>因苏采云系统系统故障原因造成开标不成功的。</w:t>
      </w:r>
    </w:p>
    <w:p w14:paraId="0A0893B4">
      <w:pPr>
        <w:keepNext/>
        <w:keepLines/>
        <w:widowControl/>
        <w:spacing w:line="360" w:lineRule="auto"/>
        <w:ind w:firstLine="480"/>
        <w:rPr>
          <w:rFonts w:ascii="宋体" w:cs="Times New Roman"/>
          <w:sz w:val="24"/>
          <w:szCs w:val="24"/>
        </w:rPr>
      </w:pPr>
      <w:r>
        <w:rPr>
          <w:rFonts w:ascii="宋体" w:hAnsi="宋体" w:cs="宋体"/>
          <w:sz w:val="24"/>
          <w:szCs w:val="24"/>
        </w:rPr>
        <w:t xml:space="preserve">26.3 </w:t>
      </w:r>
      <w:r>
        <w:rPr>
          <w:rFonts w:hint="eastAsia" w:ascii="宋体" w:hAnsi="宋体" w:cs="宋体"/>
          <w:sz w:val="24"/>
          <w:szCs w:val="24"/>
        </w:rPr>
        <w:t>投标截止时间结束后参加投标的供应商不足三家的处理：</w:t>
      </w:r>
    </w:p>
    <w:p w14:paraId="4CF479EB">
      <w:pPr>
        <w:keepNext/>
        <w:keepLines/>
        <w:widowControl/>
        <w:spacing w:line="360" w:lineRule="auto"/>
        <w:ind w:firstLine="480"/>
        <w:rPr>
          <w:rFonts w:ascii="宋体" w:cs="Times New Roman"/>
          <w:sz w:val="24"/>
          <w:szCs w:val="24"/>
        </w:rPr>
      </w:pPr>
      <w:r>
        <w:rPr>
          <w:rFonts w:ascii="宋体" w:hAnsi="宋体" w:cs="宋体"/>
          <w:sz w:val="24"/>
          <w:szCs w:val="24"/>
        </w:rPr>
        <w:t>26.3.1</w:t>
      </w:r>
      <w:r>
        <w:rPr>
          <w:rFonts w:hint="eastAsia" w:ascii="宋体" w:hAnsi="宋体" w:cs="宋体"/>
          <w:sz w:val="24"/>
          <w:szCs w:val="24"/>
        </w:rPr>
        <w:t>如出现投标截止时间结束后参加投标的供应商或者在评标期间对招标文件做出实质响应的供应商不足三家情况，按政府采购相关规定执行。</w:t>
      </w:r>
    </w:p>
    <w:p w14:paraId="1A7E7EBD">
      <w:pPr>
        <w:pStyle w:val="5"/>
        <w:widowControl/>
        <w:spacing w:before="0" w:after="0" w:line="360" w:lineRule="auto"/>
        <w:ind w:firstLine="482"/>
        <w:rPr>
          <w:rFonts w:ascii="宋体" w:hAnsi="宋体" w:eastAsia="宋体" w:cs="Times New Roman"/>
          <w:b w:val="0"/>
          <w:bCs w:val="0"/>
          <w:sz w:val="32"/>
          <w:szCs w:val="32"/>
        </w:rPr>
      </w:pPr>
      <w:r>
        <w:rPr>
          <w:rFonts w:hint="eastAsia" w:ascii="宋体" w:hAnsi="宋体" w:eastAsia="宋体" w:cs="宋体"/>
          <w:sz w:val="32"/>
          <w:szCs w:val="32"/>
        </w:rPr>
        <w:t>六、</w:t>
      </w:r>
      <w:bookmarkEnd w:id="133"/>
      <w:bookmarkEnd w:id="134"/>
      <w:bookmarkEnd w:id="135"/>
      <w:r>
        <w:rPr>
          <w:rFonts w:hint="eastAsia" w:ascii="宋体" w:hAnsi="宋体" w:eastAsia="宋体" w:cs="宋体"/>
          <w:sz w:val="32"/>
          <w:szCs w:val="32"/>
        </w:rPr>
        <w:t>定标</w:t>
      </w:r>
      <w:bookmarkEnd w:id="136"/>
      <w:bookmarkStart w:id="137" w:name="_Toc16938554"/>
      <w:bookmarkEnd w:id="137"/>
      <w:bookmarkStart w:id="138" w:name="_Toc513029238"/>
      <w:bookmarkEnd w:id="138"/>
      <w:bookmarkStart w:id="139" w:name="_Toc20823310"/>
      <w:bookmarkEnd w:id="139"/>
    </w:p>
    <w:p w14:paraId="4F1D08A7">
      <w:pPr>
        <w:pStyle w:val="5"/>
        <w:widowControl/>
        <w:spacing w:before="0" w:after="0" w:line="360" w:lineRule="auto"/>
        <w:ind w:firstLine="420"/>
        <w:rPr>
          <w:rFonts w:cs="Times New Roman"/>
          <w:b w:val="0"/>
          <w:bCs w:val="0"/>
        </w:rPr>
      </w:pPr>
      <w:r>
        <w:rPr>
          <w:b w:val="0"/>
          <w:bCs w:val="0"/>
        </w:rPr>
        <w:t>27</w:t>
      </w:r>
      <w:r>
        <w:rPr>
          <w:rFonts w:hint="eastAsia" w:cs="黑体"/>
          <w:b w:val="0"/>
          <w:bCs w:val="0"/>
        </w:rPr>
        <w:t>、确定中标单位</w:t>
      </w:r>
    </w:p>
    <w:p w14:paraId="37E7884F">
      <w:pPr>
        <w:keepNext/>
        <w:keepLines/>
        <w:widowControl/>
        <w:spacing w:line="360" w:lineRule="auto"/>
        <w:ind w:firstLine="480"/>
        <w:rPr>
          <w:rFonts w:ascii="宋体" w:cs="Times New Roman"/>
          <w:sz w:val="24"/>
          <w:szCs w:val="24"/>
        </w:rPr>
      </w:pPr>
      <w:r>
        <w:rPr>
          <w:rFonts w:ascii="宋体" w:hAnsi="宋体" w:cs="宋体"/>
          <w:sz w:val="24"/>
          <w:szCs w:val="24"/>
        </w:rPr>
        <w:t>27.1</w:t>
      </w:r>
      <w:r>
        <w:rPr>
          <w:rFonts w:hint="eastAsia" w:ascii="宋体" w:hAnsi="宋体" w:cs="宋体"/>
          <w:sz w:val="24"/>
          <w:szCs w:val="24"/>
        </w:rPr>
        <w:t>中标候选人的选取原则和数量见招标文件第五章规定。</w:t>
      </w:r>
      <w:r>
        <w:rPr>
          <w:rFonts w:ascii="宋体" w:hAnsi="宋体" w:cs="宋体"/>
          <w:sz w:val="24"/>
          <w:szCs w:val="24"/>
        </w:rPr>
        <w:t xml:space="preserve"> </w:t>
      </w:r>
    </w:p>
    <w:p w14:paraId="0712F6A7">
      <w:pPr>
        <w:keepNext/>
        <w:keepLines/>
        <w:widowControl/>
        <w:spacing w:line="360" w:lineRule="auto"/>
        <w:ind w:firstLine="480"/>
        <w:rPr>
          <w:rFonts w:ascii="宋体" w:cs="Times New Roman"/>
          <w:sz w:val="24"/>
          <w:szCs w:val="24"/>
        </w:rPr>
      </w:pPr>
      <w:r>
        <w:rPr>
          <w:rFonts w:ascii="宋体" w:hAnsi="宋体" w:cs="宋体"/>
          <w:sz w:val="24"/>
          <w:szCs w:val="24"/>
        </w:rPr>
        <w:t xml:space="preserve">27.2 </w:t>
      </w:r>
      <w:r>
        <w:rPr>
          <w:rFonts w:hint="eastAsia" w:ascii="宋体" w:hAnsi="宋体" w:cs="宋体"/>
          <w:sz w:val="24"/>
          <w:szCs w:val="24"/>
        </w:rPr>
        <w:t>采购人应根据评委会推荐的中标候选人确定中标人。</w:t>
      </w:r>
    </w:p>
    <w:p w14:paraId="0CCBCC79">
      <w:pPr>
        <w:keepNext/>
        <w:keepLines/>
        <w:widowControl/>
        <w:spacing w:line="360" w:lineRule="auto"/>
        <w:ind w:firstLine="480"/>
        <w:rPr>
          <w:rFonts w:ascii="宋体" w:cs="Times New Roman"/>
          <w:sz w:val="24"/>
          <w:szCs w:val="24"/>
        </w:rPr>
      </w:pPr>
      <w:r>
        <w:rPr>
          <w:rFonts w:ascii="宋体" w:hAnsi="宋体" w:cs="宋体"/>
          <w:sz w:val="24"/>
          <w:szCs w:val="24"/>
        </w:rPr>
        <w:t xml:space="preserve">27.3 </w:t>
      </w:r>
      <w:r>
        <w:rPr>
          <w:rFonts w:hint="eastAsia" w:ascii="宋体" w:hAnsi="宋体" w:cs="宋体"/>
          <w:sz w:val="24"/>
          <w:szCs w:val="24"/>
        </w:rPr>
        <w:t>采购代理机构将在“中国政府采购网”、“江苏政府采购网”、“盐城市政府采购网”发布中标公告，公告期限为</w:t>
      </w:r>
      <w:r>
        <w:rPr>
          <w:rFonts w:ascii="宋体" w:hAnsi="宋体" w:cs="宋体"/>
          <w:sz w:val="24"/>
          <w:szCs w:val="24"/>
        </w:rPr>
        <w:t>1</w:t>
      </w:r>
      <w:r>
        <w:rPr>
          <w:rFonts w:hint="eastAsia" w:ascii="宋体" w:hAnsi="宋体" w:cs="宋体"/>
          <w:sz w:val="24"/>
          <w:szCs w:val="24"/>
        </w:rPr>
        <w:t>个工作日。</w:t>
      </w:r>
    </w:p>
    <w:p w14:paraId="678C51AF">
      <w:pPr>
        <w:keepNext/>
        <w:keepLines/>
        <w:widowControl/>
        <w:spacing w:line="360" w:lineRule="auto"/>
        <w:ind w:firstLine="480"/>
        <w:rPr>
          <w:rFonts w:ascii="宋体" w:cs="Times New Roman"/>
          <w:sz w:val="24"/>
          <w:szCs w:val="24"/>
        </w:rPr>
      </w:pPr>
      <w:r>
        <w:rPr>
          <w:rFonts w:ascii="宋体" w:hAnsi="宋体" w:cs="宋体"/>
          <w:sz w:val="24"/>
          <w:szCs w:val="24"/>
        </w:rPr>
        <w:t>27.4</w:t>
      </w:r>
      <w:r>
        <w:rPr>
          <w:rFonts w:hint="eastAsia" w:ascii="宋体" w:hAnsi="宋体" w:cs="宋体"/>
          <w:sz w:val="24"/>
          <w:szCs w:val="24"/>
        </w:rPr>
        <w:t>若有充分证据证明，中标人出现下列情况之一的，一经查实，将被取消中标资格：</w:t>
      </w:r>
    </w:p>
    <w:p w14:paraId="4A5EE4F8">
      <w:pPr>
        <w:keepNext/>
        <w:keepLines/>
        <w:widowControl/>
        <w:spacing w:line="360" w:lineRule="auto"/>
        <w:ind w:firstLine="480"/>
        <w:rPr>
          <w:rFonts w:ascii="宋体" w:cs="Times New Roman"/>
          <w:sz w:val="24"/>
          <w:szCs w:val="24"/>
        </w:rPr>
      </w:pPr>
      <w:r>
        <w:rPr>
          <w:rFonts w:ascii="宋体" w:hAnsi="宋体" w:cs="宋体"/>
          <w:sz w:val="24"/>
          <w:szCs w:val="24"/>
        </w:rPr>
        <w:t>27.4.1</w:t>
      </w:r>
      <w:r>
        <w:rPr>
          <w:rFonts w:hint="eastAsia" w:ascii="宋体" w:hAnsi="宋体" w:cs="宋体"/>
          <w:sz w:val="24"/>
          <w:szCs w:val="24"/>
        </w:rPr>
        <w:t>提供虚假材料谋取中标的。</w:t>
      </w:r>
    </w:p>
    <w:p w14:paraId="20101FFC">
      <w:pPr>
        <w:keepNext/>
        <w:keepLines/>
        <w:widowControl/>
        <w:spacing w:line="360" w:lineRule="auto"/>
        <w:ind w:firstLine="480"/>
        <w:rPr>
          <w:rFonts w:ascii="宋体" w:cs="Times New Roman"/>
          <w:sz w:val="24"/>
          <w:szCs w:val="24"/>
        </w:rPr>
      </w:pPr>
      <w:r>
        <w:rPr>
          <w:rFonts w:ascii="宋体" w:hAnsi="宋体" w:cs="宋体"/>
          <w:sz w:val="24"/>
          <w:szCs w:val="24"/>
        </w:rPr>
        <w:t>27.4.2</w:t>
      </w:r>
      <w:r>
        <w:rPr>
          <w:rFonts w:hint="eastAsia" w:ascii="宋体" w:hAnsi="宋体" w:cs="宋体"/>
          <w:sz w:val="24"/>
          <w:szCs w:val="24"/>
        </w:rPr>
        <w:t>向采购人、采购代理机构行贿或者提供其他不正当利益的。</w:t>
      </w:r>
    </w:p>
    <w:p w14:paraId="0F4A5AC6">
      <w:pPr>
        <w:keepNext/>
        <w:keepLines/>
        <w:widowControl/>
        <w:spacing w:line="360" w:lineRule="auto"/>
        <w:ind w:firstLine="480"/>
        <w:rPr>
          <w:rFonts w:ascii="宋体" w:cs="Times New Roman"/>
          <w:sz w:val="24"/>
          <w:szCs w:val="24"/>
        </w:rPr>
      </w:pPr>
      <w:r>
        <w:rPr>
          <w:rFonts w:ascii="宋体" w:hAnsi="宋体" w:cs="宋体"/>
          <w:sz w:val="24"/>
          <w:szCs w:val="24"/>
        </w:rPr>
        <w:t>27.4.3</w:t>
      </w:r>
      <w:r>
        <w:rPr>
          <w:rFonts w:hint="eastAsia" w:ascii="宋体" w:hAnsi="宋体" w:cs="宋体"/>
          <w:sz w:val="24"/>
          <w:szCs w:val="24"/>
        </w:rPr>
        <w:t>属于本文件规定的无效条件，但在评标过程中又未被评委会发现的。</w:t>
      </w:r>
    </w:p>
    <w:p w14:paraId="235660EE">
      <w:pPr>
        <w:keepNext/>
        <w:keepLines/>
        <w:widowControl/>
        <w:spacing w:line="360" w:lineRule="auto"/>
        <w:ind w:firstLine="480"/>
        <w:rPr>
          <w:rFonts w:ascii="宋体" w:cs="Times New Roman"/>
          <w:sz w:val="24"/>
          <w:szCs w:val="24"/>
        </w:rPr>
      </w:pPr>
      <w:r>
        <w:rPr>
          <w:rFonts w:ascii="宋体" w:hAnsi="宋体" w:cs="宋体"/>
          <w:sz w:val="24"/>
          <w:szCs w:val="24"/>
        </w:rPr>
        <w:t>27.4.4</w:t>
      </w:r>
      <w:r>
        <w:rPr>
          <w:rFonts w:hint="eastAsia" w:ascii="宋体" w:hAnsi="宋体" w:cs="宋体"/>
          <w:sz w:val="24"/>
          <w:szCs w:val="24"/>
        </w:rPr>
        <w:t>与采购人或者其他供应商恶意串通的。</w:t>
      </w:r>
    </w:p>
    <w:p w14:paraId="6C98AFF2">
      <w:pPr>
        <w:keepNext/>
        <w:keepLines/>
        <w:widowControl/>
        <w:spacing w:line="360" w:lineRule="auto"/>
        <w:ind w:firstLine="480"/>
        <w:rPr>
          <w:rFonts w:ascii="宋体" w:cs="Times New Roman"/>
          <w:sz w:val="24"/>
          <w:szCs w:val="24"/>
        </w:rPr>
      </w:pPr>
      <w:r>
        <w:rPr>
          <w:rFonts w:ascii="宋体" w:hAnsi="宋体" w:cs="宋体"/>
          <w:sz w:val="24"/>
          <w:szCs w:val="24"/>
        </w:rPr>
        <w:t>27.4.5</w:t>
      </w:r>
      <w:r>
        <w:rPr>
          <w:rFonts w:hint="eastAsia" w:ascii="宋体" w:hAnsi="宋体" w:cs="宋体"/>
          <w:sz w:val="24"/>
          <w:szCs w:val="24"/>
        </w:rPr>
        <w:t>采取不正当手段诋毁、排挤其他供应商的。</w:t>
      </w:r>
    </w:p>
    <w:p w14:paraId="7AD4EBCB">
      <w:pPr>
        <w:keepNext/>
        <w:keepLines/>
        <w:widowControl/>
        <w:spacing w:line="360" w:lineRule="auto"/>
        <w:ind w:firstLine="480"/>
        <w:rPr>
          <w:rFonts w:ascii="宋体" w:cs="Times New Roman"/>
          <w:sz w:val="24"/>
          <w:szCs w:val="24"/>
        </w:rPr>
      </w:pPr>
      <w:bookmarkStart w:id="140" w:name="_Toc200451960"/>
      <w:r>
        <w:rPr>
          <w:rFonts w:ascii="宋体" w:hAnsi="宋体" w:cs="宋体"/>
          <w:sz w:val="24"/>
          <w:szCs w:val="24"/>
        </w:rPr>
        <w:t>27.5.</w:t>
      </w:r>
      <w:r>
        <w:rPr>
          <w:rFonts w:hint="eastAsia" w:ascii="宋体" w:hAnsi="宋体" w:cs="宋体"/>
          <w:sz w:val="24"/>
          <w:szCs w:val="24"/>
        </w:rPr>
        <w:t>有下列情形之一的，视为投标人串通投标，投标无效：</w:t>
      </w:r>
      <w:bookmarkEnd w:id="140"/>
    </w:p>
    <w:p w14:paraId="09562ED8">
      <w:pPr>
        <w:keepNext/>
        <w:keepLines/>
        <w:widowControl/>
        <w:spacing w:line="360" w:lineRule="auto"/>
        <w:ind w:firstLine="480"/>
        <w:rPr>
          <w:rFonts w:ascii="宋体" w:cs="Times New Roman"/>
          <w:sz w:val="24"/>
          <w:szCs w:val="24"/>
        </w:rPr>
      </w:pPr>
      <w:r>
        <w:rPr>
          <w:rFonts w:ascii="宋体" w:hAnsi="宋体" w:cs="宋体"/>
          <w:sz w:val="24"/>
          <w:szCs w:val="24"/>
        </w:rPr>
        <w:t>27.5.1</w:t>
      </w:r>
      <w:r>
        <w:rPr>
          <w:rFonts w:hint="eastAsia" w:ascii="宋体" w:hAnsi="宋体" w:cs="宋体"/>
          <w:sz w:val="24"/>
          <w:szCs w:val="24"/>
        </w:rPr>
        <w:t>不同投标人的投标文件由同一单位或者个人编制；</w:t>
      </w:r>
    </w:p>
    <w:p w14:paraId="07CF1B80">
      <w:pPr>
        <w:keepNext/>
        <w:keepLines/>
        <w:widowControl/>
        <w:spacing w:line="360" w:lineRule="auto"/>
        <w:ind w:firstLine="480"/>
        <w:rPr>
          <w:rFonts w:ascii="宋体" w:cs="Times New Roman"/>
          <w:sz w:val="24"/>
          <w:szCs w:val="24"/>
        </w:rPr>
      </w:pPr>
      <w:r>
        <w:rPr>
          <w:rFonts w:ascii="宋体" w:hAnsi="宋体" w:cs="宋体"/>
          <w:sz w:val="24"/>
          <w:szCs w:val="24"/>
        </w:rPr>
        <w:t>27.5.2</w:t>
      </w:r>
      <w:r>
        <w:rPr>
          <w:rFonts w:hint="eastAsia" w:ascii="宋体" w:hAnsi="宋体" w:cs="宋体"/>
          <w:sz w:val="24"/>
          <w:szCs w:val="24"/>
        </w:rPr>
        <w:t>不同投标人委托同一单位或者个人办理投标事宜；</w:t>
      </w:r>
    </w:p>
    <w:p w14:paraId="7EBFB72E">
      <w:pPr>
        <w:keepNext/>
        <w:keepLines/>
        <w:widowControl/>
        <w:spacing w:line="360" w:lineRule="auto"/>
        <w:ind w:firstLine="480"/>
        <w:rPr>
          <w:rFonts w:ascii="宋体" w:cs="Times New Roman"/>
          <w:sz w:val="24"/>
          <w:szCs w:val="24"/>
        </w:rPr>
      </w:pPr>
      <w:r>
        <w:rPr>
          <w:rFonts w:ascii="宋体" w:hAnsi="宋体" w:cs="宋体"/>
          <w:sz w:val="24"/>
          <w:szCs w:val="24"/>
        </w:rPr>
        <w:t xml:space="preserve">27.5.3 </w:t>
      </w:r>
      <w:r>
        <w:rPr>
          <w:rFonts w:hint="eastAsia" w:ascii="宋体" w:hAnsi="宋体" w:cs="宋体"/>
          <w:sz w:val="24"/>
          <w:szCs w:val="24"/>
        </w:rPr>
        <w:t>不同投标人的投标文件载明的项目管理成员或者联系人员为同一人；</w:t>
      </w:r>
    </w:p>
    <w:p w14:paraId="2D215996">
      <w:pPr>
        <w:keepNext/>
        <w:keepLines/>
        <w:widowControl/>
        <w:spacing w:line="360" w:lineRule="auto"/>
        <w:ind w:firstLine="480"/>
        <w:rPr>
          <w:rFonts w:ascii="宋体" w:cs="Times New Roman"/>
          <w:sz w:val="24"/>
          <w:szCs w:val="24"/>
        </w:rPr>
      </w:pPr>
      <w:r>
        <w:rPr>
          <w:rFonts w:ascii="宋体" w:hAnsi="宋体" w:cs="宋体"/>
          <w:sz w:val="24"/>
          <w:szCs w:val="24"/>
        </w:rPr>
        <w:t>27.5.4</w:t>
      </w:r>
      <w:r>
        <w:rPr>
          <w:rFonts w:hint="eastAsia" w:ascii="宋体" w:hAnsi="宋体" w:cs="宋体"/>
          <w:sz w:val="24"/>
          <w:szCs w:val="24"/>
        </w:rPr>
        <w:t>不同投标人的投标文件异常一致或者投标报价呈规律性差异。</w:t>
      </w:r>
    </w:p>
    <w:p w14:paraId="68FB21C3">
      <w:pPr>
        <w:pStyle w:val="5"/>
        <w:widowControl/>
        <w:spacing w:before="0" w:after="0" w:line="360" w:lineRule="auto"/>
        <w:ind w:firstLine="420"/>
        <w:rPr>
          <w:rFonts w:cs="Times New Roman"/>
          <w:b w:val="0"/>
          <w:bCs w:val="0"/>
        </w:rPr>
      </w:pPr>
      <w:r>
        <w:rPr>
          <w:b w:val="0"/>
          <w:bCs w:val="0"/>
        </w:rPr>
        <w:t>28</w:t>
      </w:r>
      <w:r>
        <w:rPr>
          <w:rFonts w:hint="eastAsia" w:cs="黑体"/>
          <w:b w:val="0"/>
          <w:bCs w:val="0"/>
        </w:rPr>
        <w:t>、质疑处理</w:t>
      </w:r>
    </w:p>
    <w:p w14:paraId="580AB9C6">
      <w:pPr>
        <w:keepNext/>
        <w:keepLines/>
        <w:widowControl/>
        <w:spacing w:line="360" w:lineRule="auto"/>
        <w:ind w:firstLine="480"/>
        <w:rPr>
          <w:rFonts w:ascii="宋体" w:cs="Times New Roman"/>
          <w:sz w:val="24"/>
          <w:szCs w:val="24"/>
        </w:rPr>
      </w:pPr>
      <w:r>
        <w:rPr>
          <w:rFonts w:ascii="宋体" w:hAnsi="宋体" w:cs="宋体"/>
          <w:sz w:val="24"/>
          <w:szCs w:val="24"/>
        </w:rPr>
        <w:t xml:space="preserve">28.1 </w:t>
      </w:r>
      <w:r>
        <w:rPr>
          <w:rFonts w:hint="eastAsia" w:ascii="宋体" w:hAnsi="宋体" w:cs="宋体"/>
          <w:sz w:val="24"/>
          <w:szCs w:val="24"/>
        </w:rPr>
        <w:t>提出质疑的供应商应当是参与所质疑项目采购活动的供应商。潜在供应商依法获取其可质疑的采购文件的，可以对采购文件提出质疑。</w:t>
      </w:r>
    </w:p>
    <w:p w14:paraId="3F34D836">
      <w:pPr>
        <w:keepNext/>
        <w:keepLines/>
        <w:widowControl/>
        <w:spacing w:line="360" w:lineRule="auto"/>
        <w:ind w:firstLine="480"/>
        <w:rPr>
          <w:rFonts w:ascii="宋体" w:cs="Times New Roman"/>
          <w:sz w:val="24"/>
          <w:szCs w:val="24"/>
        </w:rPr>
      </w:pPr>
      <w:r>
        <w:rPr>
          <w:rFonts w:ascii="宋体" w:hAnsi="宋体" w:cs="宋体"/>
          <w:sz w:val="24"/>
          <w:szCs w:val="24"/>
        </w:rPr>
        <w:t>28.2</w:t>
      </w:r>
      <w:r>
        <w:rPr>
          <w:rFonts w:hint="eastAsia" w:ascii="宋体" w:hAnsi="宋体" w:cs="宋体"/>
          <w:sz w:val="24"/>
          <w:szCs w:val="24"/>
        </w:rPr>
        <w:t>供应商认为采购文件、采购过程和采购结果使自己的权益受到损害的，可以在知道或应知其权益受到损害之日起七个工作日内，以书面形式根据下述</w:t>
      </w:r>
      <w:r>
        <w:rPr>
          <w:rFonts w:ascii="宋体" w:hAnsi="宋体" w:cs="宋体"/>
          <w:sz w:val="24"/>
          <w:szCs w:val="24"/>
        </w:rPr>
        <w:t>29.4</w:t>
      </w:r>
      <w:r>
        <w:rPr>
          <w:rFonts w:hint="eastAsia" w:ascii="宋体" w:hAnsi="宋体" w:cs="宋体"/>
          <w:sz w:val="24"/>
          <w:szCs w:val="24"/>
        </w:rPr>
        <w:t>条款的规定向采购代理机构或采购人提出质疑。上述应知其权益受到损害之日，是指：</w:t>
      </w:r>
    </w:p>
    <w:p w14:paraId="340FE76A">
      <w:pPr>
        <w:keepNext/>
        <w:keepLines/>
        <w:widowControl/>
        <w:spacing w:line="360" w:lineRule="auto"/>
        <w:ind w:firstLine="480"/>
        <w:rPr>
          <w:rFonts w:ascii="宋体" w:cs="Times New Roman"/>
          <w:sz w:val="24"/>
          <w:szCs w:val="24"/>
        </w:rPr>
      </w:pPr>
      <w:r>
        <w:rPr>
          <w:rFonts w:ascii="宋体" w:hAnsi="宋体" w:cs="宋体"/>
          <w:sz w:val="24"/>
          <w:szCs w:val="24"/>
        </w:rPr>
        <w:t>28.2.1</w:t>
      </w:r>
      <w:r>
        <w:rPr>
          <w:rFonts w:hint="eastAsia" w:ascii="宋体" w:hAnsi="宋体" w:cs="宋体"/>
          <w:sz w:val="24"/>
          <w:szCs w:val="24"/>
        </w:rPr>
        <w:t>对可以质疑的采购文件提出质疑的，为收到采购文件之日或者采购文件公告期限届满之日；</w:t>
      </w:r>
    </w:p>
    <w:p w14:paraId="369A69F1">
      <w:pPr>
        <w:keepNext/>
        <w:keepLines/>
        <w:widowControl/>
        <w:spacing w:line="360" w:lineRule="auto"/>
        <w:ind w:firstLine="480"/>
        <w:rPr>
          <w:rFonts w:ascii="宋体" w:cs="Times New Roman"/>
          <w:sz w:val="24"/>
          <w:szCs w:val="24"/>
        </w:rPr>
      </w:pPr>
      <w:r>
        <w:rPr>
          <w:rFonts w:ascii="宋体" w:hAnsi="宋体" w:cs="宋体"/>
          <w:sz w:val="24"/>
          <w:szCs w:val="24"/>
        </w:rPr>
        <w:t>28.2.2</w:t>
      </w:r>
      <w:r>
        <w:rPr>
          <w:rFonts w:hint="eastAsia" w:ascii="宋体" w:hAnsi="宋体" w:cs="宋体"/>
          <w:sz w:val="24"/>
          <w:szCs w:val="24"/>
        </w:rPr>
        <w:t>对采购过程提出质疑的，为各采购程序环节结束之日；</w:t>
      </w:r>
    </w:p>
    <w:p w14:paraId="4A610DFF">
      <w:pPr>
        <w:keepNext/>
        <w:keepLines/>
        <w:widowControl/>
        <w:spacing w:line="360" w:lineRule="auto"/>
        <w:ind w:firstLine="480"/>
        <w:rPr>
          <w:rFonts w:ascii="宋体" w:cs="Times New Roman"/>
          <w:sz w:val="24"/>
          <w:szCs w:val="24"/>
        </w:rPr>
      </w:pPr>
      <w:r>
        <w:rPr>
          <w:rFonts w:ascii="宋体" w:hAnsi="宋体" w:cs="宋体"/>
          <w:sz w:val="24"/>
          <w:szCs w:val="24"/>
        </w:rPr>
        <w:t>28.2.3</w:t>
      </w:r>
      <w:r>
        <w:rPr>
          <w:rFonts w:hint="eastAsia" w:ascii="宋体" w:hAnsi="宋体" w:cs="宋体"/>
          <w:sz w:val="24"/>
          <w:szCs w:val="24"/>
        </w:rPr>
        <w:t>对中标或者成交结果提出质疑的，为中标或者成交结果公告期限届满之日。</w:t>
      </w:r>
    </w:p>
    <w:p w14:paraId="1A644B03">
      <w:pPr>
        <w:keepNext/>
        <w:keepLines/>
        <w:widowControl/>
        <w:spacing w:line="360" w:lineRule="auto"/>
        <w:ind w:firstLine="480"/>
        <w:rPr>
          <w:rFonts w:ascii="宋体" w:cs="Times New Roman"/>
          <w:sz w:val="24"/>
          <w:szCs w:val="24"/>
        </w:rPr>
      </w:pPr>
      <w:r>
        <w:rPr>
          <w:rFonts w:hint="eastAsia" w:ascii="宋体" w:hAnsi="宋体" w:cs="宋体"/>
          <w:sz w:val="24"/>
          <w:szCs w:val="24"/>
        </w:rPr>
        <w:t>供应商应当在法定质疑期内一次性提出针对同一采购程序环节的质疑。供应商如在法定期限内对同一采购程序环节提出多次质疑的，采购代理机构、采购人将只对供应商第一次质疑作出答复。</w:t>
      </w:r>
    </w:p>
    <w:p w14:paraId="7E930362">
      <w:pPr>
        <w:keepNext/>
        <w:keepLines/>
        <w:widowControl/>
        <w:spacing w:line="360" w:lineRule="auto"/>
        <w:ind w:firstLine="480"/>
        <w:rPr>
          <w:rFonts w:ascii="宋体" w:cs="Times New Roman"/>
          <w:sz w:val="24"/>
          <w:szCs w:val="24"/>
        </w:rPr>
      </w:pPr>
      <w:r>
        <w:rPr>
          <w:rFonts w:ascii="宋体" w:hAnsi="宋体" w:cs="宋体"/>
          <w:sz w:val="24"/>
          <w:szCs w:val="24"/>
        </w:rPr>
        <w:t>28.3</w:t>
      </w:r>
      <w:r>
        <w:rPr>
          <w:rFonts w:hint="eastAsia" w:ascii="宋体" w:hAnsi="宋体" w:cs="宋体"/>
          <w:sz w:val="24"/>
          <w:szCs w:val="24"/>
        </w:rPr>
        <w:t>质疑函必须按照本招标文件中《质疑函范本》要求的格式和内容进行填写。供应商如组成联合体参加投标，则《质疑函范本》中要求签字、盖章、加盖公章之处，联合体各方均须按要求签字、盖章、加盖公章。</w:t>
      </w:r>
    </w:p>
    <w:p w14:paraId="36C6AD92">
      <w:pPr>
        <w:keepNext/>
        <w:keepLines/>
        <w:widowControl/>
        <w:spacing w:line="360" w:lineRule="auto"/>
        <w:ind w:firstLine="480"/>
        <w:rPr>
          <w:rFonts w:ascii="宋体" w:cs="Times New Roman"/>
          <w:sz w:val="24"/>
          <w:szCs w:val="24"/>
        </w:rPr>
      </w:pPr>
      <w:r>
        <w:rPr>
          <w:rFonts w:ascii="宋体" w:hAnsi="宋体" w:cs="宋体"/>
          <w:sz w:val="24"/>
          <w:szCs w:val="24"/>
        </w:rPr>
        <w:t xml:space="preserve">28.4 </w:t>
      </w:r>
      <w:r>
        <w:rPr>
          <w:rFonts w:hint="eastAsia" w:ascii="宋体" w:hAnsi="宋体" w:cs="宋体"/>
          <w:sz w:val="24"/>
          <w:szCs w:val="24"/>
        </w:rPr>
        <w:t>采购人及采购代理机构只接收以纸质原件形式送达的质疑。</w:t>
      </w:r>
    </w:p>
    <w:p w14:paraId="2BE83245">
      <w:pPr>
        <w:keepNext/>
        <w:keepLines/>
        <w:widowControl/>
        <w:spacing w:line="360" w:lineRule="auto"/>
        <w:ind w:firstLine="480"/>
        <w:rPr>
          <w:rFonts w:ascii="宋体" w:cs="Times New Roman"/>
          <w:sz w:val="24"/>
          <w:szCs w:val="24"/>
        </w:rPr>
      </w:pPr>
      <w:r>
        <w:rPr>
          <w:rFonts w:ascii="宋体" w:hAnsi="宋体" w:cs="宋体"/>
          <w:sz w:val="24"/>
          <w:szCs w:val="24"/>
        </w:rPr>
        <w:t xml:space="preserve">28.5 </w:t>
      </w:r>
      <w:r>
        <w:rPr>
          <w:rFonts w:hint="eastAsia" w:ascii="宋体" w:hAnsi="宋体" w:cs="宋体"/>
          <w:sz w:val="24"/>
          <w:szCs w:val="24"/>
        </w:rPr>
        <w:t>以下情形的质疑不予受理</w:t>
      </w:r>
    </w:p>
    <w:p w14:paraId="0F832E13">
      <w:pPr>
        <w:keepNext/>
        <w:keepLines/>
        <w:widowControl/>
        <w:spacing w:line="360" w:lineRule="auto"/>
        <w:ind w:firstLine="480"/>
        <w:rPr>
          <w:rFonts w:ascii="宋体" w:cs="Times New Roman"/>
          <w:sz w:val="24"/>
          <w:szCs w:val="24"/>
        </w:rPr>
      </w:pPr>
      <w:r>
        <w:rPr>
          <w:rFonts w:ascii="宋体" w:hAnsi="宋体" w:cs="宋体"/>
          <w:sz w:val="24"/>
          <w:szCs w:val="24"/>
        </w:rPr>
        <w:t xml:space="preserve">28.5.1 </w:t>
      </w:r>
      <w:r>
        <w:rPr>
          <w:rFonts w:hint="eastAsia" w:ascii="宋体" w:hAnsi="宋体" w:cs="宋体"/>
          <w:sz w:val="24"/>
          <w:szCs w:val="24"/>
        </w:rPr>
        <w:t>内容不符合《政府采购质疑和投诉办法》第十二条规定的质疑。</w:t>
      </w:r>
    </w:p>
    <w:p w14:paraId="177A52B4">
      <w:pPr>
        <w:keepNext/>
        <w:keepLines/>
        <w:widowControl/>
        <w:spacing w:line="360" w:lineRule="auto"/>
        <w:ind w:firstLine="480"/>
        <w:rPr>
          <w:rFonts w:ascii="宋体" w:cs="Times New Roman"/>
          <w:sz w:val="24"/>
          <w:szCs w:val="24"/>
        </w:rPr>
      </w:pPr>
      <w:r>
        <w:rPr>
          <w:rFonts w:ascii="宋体" w:hAnsi="宋体" w:cs="宋体"/>
          <w:sz w:val="24"/>
          <w:szCs w:val="24"/>
        </w:rPr>
        <w:t xml:space="preserve">28.5.2 </w:t>
      </w:r>
      <w:r>
        <w:rPr>
          <w:rFonts w:hint="eastAsia" w:ascii="宋体" w:hAnsi="宋体" w:cs="宋体"/>
          <w:sz w:val="24"/>
          <w:szCs w:val="24"/>
        </w:rPr>
        <w:t>超出政府采购法定期限的质疑。</w:t>
      </w:r>
    </w:p>
    <w:p w14:paraId="6E72E4CE">
      <w:pPr>
        <w:keepNext/>
        <w:keepLines/>
        <w:widowControl/>
        <w:spacing w:line="360" w:lineRule="auto"/>
        <w:ind w:firstLine="480"/>
        <w:rPr>
          <w:rFonts w:ascii="宋体" w:cs="Times New Roman"/>
          <w:sz w:val="24"/>
          <w:szCs w:val="24"/>
        </w:rPr>
      </w:pPr>
      <w:r>
        <w:rPr>
          <w:rFonts w:ascii="宋体" w:hAnsi="宋体" w:cs="宋体"/>
          <w:sz w:val="24"/>
          <w:szCs w:val="24"/>
        </w:rPr>
        <w:t xml:space="preserve">28.5.3 </w:t>
      </w:r>
      <w:r>
        <w:rPr>
          <w:rFonts w:hint="eastAsia" w:ascii="宋体" w:hAnsi="宋体" w:cs="宋体"/>
          <w:sz w:val="24"/>
          <w:szCs w:val="24"/>
        </w:rPr>
        <w:t>以传真、电子邮件等方式递交的非原件形式的质疑。</w:t>
      </w:r>
    </w:p>
    <w:p w14:paraId="10DD5889">
      <w:pPr>
        <w:keepNext/>
        <w:keepLines/>
        <w:widowControl/>
        <w:spacing w:line="360" w:lineRule="auto"/>
        <w:ind w:firstLine="480"/>
        <w:rPr>
          <w:rFonts w:ascii="宋体" w:cs="Times New Roman"/>
          <w:sz w:val="24"/>
          <w:szCs w:val="24"/>
        </w:rPr>
      </w:pPr>
      <w:r>
        <w:rPr>
          <w:rFonts w:ascii="宋体" w:hAnsi="宋体" w:cs="宋体"/>
          <w:sz w:val="24"/>
          <w:szCs w:val="24"/>
        </w:rPr>
        <w:t xml:space="preserve">28.5.4 </w:t>
      </w:r>
      <w:r>
        <w:rPr>
          <w:rFonts w:hint="eastAsia" w:ascii="宋体" w:hAnsi="宋体" w:cs="宋体"/>
          <w:sz w:val="24"/>
          <w:szCs w:val="24"/>
        </w:rPr>
        <w:t>未参加投标活动的供应商或在投标活动中自身权益未受到损害的供应商所提出的质疑。</w:t>
      </w:r>
    </w:p>
    <w:p w14:paraId="41A38EA2">
      <w:pPr>
        <w:keepNext/>
        <w:keepLines/>
        <w:widowControl/>
        <w:spacing w:line="360" w:lineRule="auto"/>
        <w:ind w:firstLine="480"/>
        <w:rPr>
          <w:rFonts w:ascii="宋体" w:cs="Times New Roman"/>
          <w:sz w:val="24"/>
          <w:szCs w:val="24"/>
        </w:rPr>
      </w:pPr>
      <w:r>
        <w:rPr>
          <w:rFonts w:ascii="宋体" w:hAnsi="宋体" w:cs="宋体"/>
          <w:sz w:val="24"/>
          <w:szCs w:val="24"/>
        </w:rPr>
        <w:t>28.5.5</w:t>
      </w:r>
      <w:r>
        <w:rPr>
          <w:rFonts w:hint="eastAsia" w:ascii="宋体" w:hAnsi="宋体" w:cs="宋体"/>
          <w:sz w:val="24"/>
          <w:szCs w:val="24"/>
        </w:rPr>
        <w:t>供应商组成联合体参加投标，联合体中任何一方或多方未按要求签字、盖章、加盖公章的质疑。</w:t>
      </w:r>
    </w:p>
    <w:p w14:paraId="1DA0C889">
      <w:pPr>
        <w:keepNext/>
        <w:keepLines/>
        <w:widowControl/>
        <w:spacing w:line="360" w:lineRule="auto"/>
        <w:ind w:firstLine="480"/>
        <w:rPr>
          <w:rFonts w:ascii="宋体" w:cs="Times New Roman"/>
          <w:sz w:val="24"/>
          <w:szCs w:val="24"/>
        </w:rPr>
      </w:pPr>
      <w:r>
        <w:rPr>
          <w:rFonts w:ascii="宋体" w:hAnsi="宋体" w:cs="宋体"/>
          <w:sz w:val="24"/>
          <w:szCs w:val="24"/>
        </w:rPr>
        <w:t>28.6</w:t>
      </w:r>
      <w:r>
        <w:rPr>
          <w:rFonts w:hint="eastAsia" w:ascii="宋体" w:hAnsi="宋体" w:cs="宋体"/>
          <w:sz w:val="24"/>
          <w:szCs w:val="24"/>
        </w:rPr>
        <w:t>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7FC87538">
      <w:pPr>
        <w:pStyle w:val="5"/>
        <w:widowControl/>
        <w:spacing w:before="0" w:after="0" w:line="360" w:lineRule="auto"/>
        <w:ind w:firstLine="420"/>
        <w:rPr>
          <w:rFonts w:cs="Times New Roman"/>
          <w:b w:val="0"/>
          <w:bCs w:val="0"/>
        </w:rPr>
      </w:pPr>
      <w:r>
        <w:rPr>
          <w:b w:val="0"/>
          <w:bCs w:val="0"/>
        </w:rPr>
        <w:t>29</w:t>
      </w:r>
      <w:r>
        <w:rPr>
          <w:rFonts w:hint="eastAsia" w:cs="黑体"/>
          <w:b w:val="0"/>
          <w:bCs w:val="0"/>
        </w:rPr>
        <w:t>、中标通知书</w:t>
      </w:r>
    </w:p>
    <w:p w14:paraId="67689611">
      <w:pPr>
        <w:keepNext/>
        <w:keepLines/>
        <w:widowControl/>
        <w:spacing w:line="360" w:lineRule="auto"/>
        <w:ind w:firstLine="480"/>
        <w:rPr>
          <w:rFonts w:ascii="宋体" w:cs="Times New Roman"/>
          <w:sz w:val="24"/>
          <w:szCs w:val="24"/>
        </w:rPr>
      </w:pPr>
      <w:r>
        <w:rPr>
          <w:rFonts w:ascii="宋体" w:hAnsi="宋体" w:cs="宋体"/>
          <w:sz w:val="24"/>
          <w:szCs w:val="24"/>
        </w:rPr>
        <w:t>29.l</w:t>
      </w:r>
      <w:r>
        <w:rPr>
          <w:rFonts w:hint="eastAsia" w:ascii="宋体" w:hAnsi="宋体" w:cs="宋体"/>
          <w:sz w:val="24"/>
          <w:szCs w:val="24"/>
        </w:rPr>
        <w:t>中标结果确定后，采购人将向中标人发出中标通知书。请中标人在中标结果公告届满之日起</w:t>
      </w:r>
      <w:r>
        <w:rPr>
          <w:rFonts w:ascii="宋体" w:hAnsi="宋体" w:cs="宋体"/>
          <w:sz w:val="24"/>
          <w:szCs w:val="24"/>
        </w:rPr>
        <w:t>30</w:t>
      </w:r>
      <w:r>
        <w:rPr>
          <w:rFonts w:hint="eastAsia" w:ascii="宋体" w:hAnsi="宋体" w:cs="宋体"/>
          <w:sz w:val="24"/>
          <w:szCs w:val="24"/>
        </w:rPr>
        <w:t>日内</w:t>
      </w:r>
      <w:r>
        <w:rPr>
          <w:rFonts w:ascii="宋体" w:cs="宋体"/>
          <w:sz w:val="24"/>
          <w:szCs w:val="24"/>
        </w:rPr>
        <w:t>,</w:t>
      </w:r>
      <w:r>
        <w:rPr>
          <w:rFonts w:hint="eastAsia" w:ascii="宋体" w:hAnsi="宋体" w:cs="宋体"/>
          <w:sz w:val="24"/>
          <w:szCs w:val="24"/>
        </w:rPr>
        <w:t>使用</w:t>
      </w:r>
      <w:r>
        <w:rPr>
          <w:rFonts w:ascii="宋体" w:hAnsi="宋体" w:cs="宋体"/>
          <w:sz w:val="24"/>
          <w:szCs w:val="24"/>
        </w:rPr>
        <w:t>CA</w:t>
      </w:r>
      <w:r>
        <w:rPr>
          <w:rFonts w:hint="eastAsia" w:ascii="宋体" w:hAnsi="宋体" w:cs="宋体"/>
          <w:sz w:val="24"/>
          <w:szCs w:val="24"/>
        </w:rPr>
        <w:t>数字证书登录苏采云系统及时下载中标通知书。因系统存储空间有限，自中标结果公告届满之日起</w:t>
      </w:r>
      <w:r>
        <w:rPr>
          <w:rFonts w:ascii="宋体" w:hAnsi="宋体" w:cs="宋体"/>
          <w:sz w:val="24"/>
          <w:szCs w:val="24"/>
        </w:rPr>
        <w:t>30</w:t>
      </w:r>
      <w:r>
        <w:rPr>
          <w:rFonts w:hint="eastAsia" w:ascii="宋体" w:hAnsi="宋体" w:cs="宋体"/>
          <w:sz w:val="24"/>
          <w:szCs w:val="24"/>
        </w:rPr>
        <w:t>日后，苏采云系统不再保证提供下载中标通知书服务</w:t>
      </w:r>
      <w:r>
        <w:rPr>
          <w:rFonts w:ascii="宋体" w:cs="宋体"/>
          <w:sz w:val="24"/>
          <w:szCs w:val="24"/>
        </w:rPr>
        <w:t>,</w:t>
      </w:r>
      <w:r>
        <w:rPr>
          <w:rFonts w:hint="eastAsia" w:ascii="宋体" w:hAnsi="宋体" w:cs="宋体"/>
          <w:sz w:val="24"/>
          <w:szCs w:val="24"/>
        </w:rPr>
        <w:t>因未及时下载而造成的不利后果由中标人自行承担。</w:t>
      </w:r>
    </w:p>
    <w:p w14:paraId="2A368EE4">
      <w:pPr>
        <w:keepNext/>
        <w:keepLines/>
        <w:widowControl/>
        <w:spacing w:line="360" w:lineRule="auto"/>
        <w:ind w:firstLine="480"/>
        <w:rPr>
          <w:rFonts w:ascii="宋体" w:cs="Times New Roman"/>
          <w:sz w:val="24"/>
          <w:szCs w:val="24"/>
        </w:rPr>
      </w:pPr>
      <w:r>
        <w:rPr>
          <w:rFonts w:ascii="宋体" w:hAnsi="宋体" w:cs="宋体"/>
          <w:sz w:val="24"/>
          <w:szCs w:val="24"/>
        </w:rPr>
        <w:t>29.2</w:t>
      </w:r>
      <w:r>
        <w:rPr>
          <w:rFonts w:hint="eastAsia" w:ascii="宋体" w:hAnsi="宋体" w:cs="宋体"/>
          <w:sz w:val="24"/>
          <w:szCs w:val="24"/>
        </w:rPr>
        <w:t>中标通知书将是合同的一个组成部分。对采购人和中标供应商均具有法律效力。中标通知书发出后，采购人改变中标结果的，或者中标供应商放弃中标项目的，应当依法承担法律责任。</w:t>
      </w:r>
    </w:p>
    <w:p w14:paraId="7D6C96B8">
      <w:pPr>
        <w:pStyle w:val="4"/>
        <w:widowControl/>
        <w:spacing w:before="143" w:after="143" w:line="360" w:lineRule="auto"/>
        <w:ind w:firstLine="321"/>
        <w:rPr>
          <w:rFonts w:cs="Times New Roman"/>
        </w:rPr>
      </w:pPr>
      <w:r>
        <w:rPr>
          <w:rFonts w:hint="eastAsia" w:cs="宋体"/>
        </w:rPr>
        <w:t>七、</w:t>
      </w:r>
      <w:r>
        <w:rPr>
          <w:rFonts w:hint="eastAsia" w:ascii="Times New Roman" w:hAnsi="Times New Roman" w:cs="宋体"/>
        </w:rPr>
        <w:t>授予合同</w:t>
      </w:r>
    </w:p>
    <w:p w14:paraId="35DA62BA">
      <w:pPr>
        <w:pStyle w:val="5"/>
        <w:widowControl/>
        <w:spacing w:before="0" w:after="0" w:line="360" w:lineRule="auto"/>
        <w:ind w:firstLine="420"/>
        <w:rPr>
          <w:rFonts w:cs="Times New Roman"/>
          <w:b w:val="0"/>
          <w:bCs w:val="0"/>
        </w:rPr>
      </w:pPr>
      <w:r>
        <w:rPr>
          <w:b w:val="0"/>
          <w:bCs w:val="0"/>
        </w:rPr>
        <w:t xml:space="preserve">30. </w:t>
      </w:r>
      <w:r>
        <w:rPr>
          <w:rFonts w:hint="eastAsia" w:cs="黑体"/>
          <w:b w:val="0"/>
          <w:bCs w:val="0"/>
        </w:rPr>
        <w:t>签订合同</w:t>
      </w:r>
    </w:p>
    <w:p w14:paraId="511BFBB1">
      <w:pPr>
        <w:pStyle w:val="275"/>
        <w:keepNext/>
        <w:keepLines/>
        <w:widowControl/>
        <w:rPr>
          <w:rFonts w:cs="Times New Roman"/>
        </w:rPr>
      </w:pPr>
      <w:r>
        <w:t>30.l</w:t>
      </w:r>
      <w:r>
        <w:rPr>
          <w:rFonts w:hint="eastAsia"/>
        </w:rPr>
        <w:t>中标人应当在中标通知书发出之日起三十日内，按照招标文件确定的事项与采购人签订政府采购合同。</w:t>
      </w:r>
    </w:p>
    <w:p w14:paraId="7920B5AA">
      <w:pPr>
        <w:pStyle w:val="275"/>
        <w:keepNext/>
        <w:keepLines/>
        <w:widowControl/>
        <w:rPr>
          <w:rFonts w:cs="Times New Roman"/>
        </w:rPr>
      </w:pPr>
      <w:r>
        <w:t>30.2</w:t>
      </w:r>
      <w:r>
        <w:rPr>
          <w:rFonts w:hint="eastAsia"/>
        </w:rPr>
        <w:t>招标文件、中标人的投标文件及招标过程中有关澄清、承诺文件均应作为合同附件。</w:t>
      </w:r>
    </w:p>
    <w:p w14:paraId="35969470">
      <w:pPr>
        <w:pStyle w:val="275"/>
        <w:keepNext/>
        <w:keepLines/>
        <w:widowControl/>
        <w:rPr>
          <w:rFonts w:cs="Times New Roman"/>
        </w:rPr>
      </w:pPr>
      <w:r>
        <w:t xml:space="preserve">30.3 </w:t>
      </w:r>
      <w:r>
        <w:rPr>
          <w:rFonts w:hint="eastAsia"/>
        </w:rPr>
        <w:t>签订合同后，中标人不得将合同标的进行转包。未经采购人同意，中标人也不得采用分包的形式履行合同，否则采购人有权终止合同。转包或分包造成采购人损失的，中标人应承担相应赔偿责任。</w:t>
      </w:r>
    </w:p>
    <w:p w14:paraId="0C89297F">
      <w:pPr>
        <w:pStyle w:val="5"/>
        <w:widowControl/>
        <w:spacing w:before="0" w:after="0" w:line="360" w:lineRule="auto"/>
        <w:ind w:firstLine="420"/>
        <w:rPr>
          <w:rFonts w:cs="Times New Roman"/>
          <w:b w:val="0"/>
          <w:bCs w:val="0"/>
        </w:rPr>
      </w:pPr>
      <w:r>
        <w:rPr>
          <w:b w:val="0"/>
          <w:bCs w:val="0"/>
        </w:rPr>
        <w:t>31</w:t>
      </w:r>
      <w:r>
        <w:rPr>
          <w:rFonts w:hint="eastAsia" w:cs="黑体"/>
          <w:b w:val="0"/>
          <w:bCs w:val="0"/>
        </w:rPr>
        <w:t>、货物（包含与货物相关的服务）的追加</w:t>
      </w:r>
    </w:p>
    <w:p w14:paraId="2330D2CE">
      <w:pPr>
        <w:pStyle w:val="275"/>
        <w:keepNext/>
        <w:keepLines/>
        <w:widowControl/>
        <w:rPr>
          <w:rFonts w:cs="Times New Roman"/>
        </w:rPr>
      </w:pPr>
      <w:r>
        <w:t>31.1</w:t>
      </w:r>
      <w:r>
        <w:rPr>
          <w:rFonts w:hint="eastAsia"/>
        </w:rPr>
        <w:t>政府采购合同履行中，采购人需追加与合同标的相同的货物（包含与货物相关的服务）的，在不改变合同其他条款的前提下，可以与中标人协商签订补充合同，但所有补充合同的采购金额不超过原合同金额</w:t>
      </w:r>
      <w:r>
        <w:t>10%</w:t>
      </w:r>
      <w:r>
        <w:rPr>
          <w:rFonts w:hint="eastAsia"/>
        </w:rPr>
        <w:t>。</w:t>
      </w:r>
    </w:p>
    <w:p w14:paraId="4C980F9F">
      <w:pPr>
        <w:pStyle w:val="5"/>
        <w:widowControl/>
        <w:spacing w:before="0" w:after="0" w:line="360" w:lineRule="auto"/>
        <w:ind w:firstLine="420"/>
        <w:rPr>
          <w:rFonts w:cs="Times New Roman"/>
          <w:b w:val="0"/>
          <w:bCs w:val="0"/>
        </w:rPr>
      </w:pPr>
      <w:r>
        <w:rPr>
          <w:b w:val="0"/>
          <w:bCs w:val="0"/>
        </w:rPr>
        <w:t>32.</w:t>
      </w:r>
      <w:r>
        <w:rPr>
          <w:rFonts w:hint="eastAsia" w:cs="黑体"/>
          <w:b w:val="0"/>
          <w:bCs w:val="0"/>
        </w:rPr>
        <w:t>政府采购政策功能落实</w:t>
      </w:r>
    </w:p>
    <w:p w14:paraId="43C5D2E1">
      <w:pPr>
        <w:pStyle w:val="44"/>
        <w:keepNext/>
        <w:keepLines/>
        <w:spacing w:beforeAutospacing="0" w:afterAutospacing="0"/>
        <w:ind w:firstLine="600"/>
        <w:jc w:val="both"/>
        <w:rPr>
          <w:rFonts w:cs="Times New Roman"/>
        </w:rPr>
      </w:pPr>
      <w:r>
        <w:t>32.1</w:t>
      </w:r>
      <w:r>
        <w:rPr>
          <w:rFonts w:hint="eastAsia"/>
        </w:rPr>
        <w:t>政府采购线上合同信用融资政策</w:t>
      </w:r>
    </w:p>
    <w:p w14:paraId="3ECAA825">
      <w:pPr>
        <w:pStyle w:val="44"/>
        <w:keepNext/>
        <w:keepLines/>
        <w:spacing w:beforeAutospacing="0" w:afterAutospacing="0" w:line="240" w:lineRule="atLeast"/>
        <w:ind w:firstLine="480"/>
        <w:jc w:val="both"/>
        <w:rPr>
          <w:rFonts w:cs="Times New Roman"/>
        </w:rPr>
      </w:pPr>
      <w:r>
        <w:rPr>
          <w:rFonts w:hint="eastAsia"/>
        </w:rPr>
        <w:t>根据《转发江苏省财政厅</w:t>
      </w:r>
      <w:r>
        <w:rPr>
          <w:rFonts w:cs="Times New Roman"/>
        </w:rPr>
        <w:t> </w:t>
      </w:r>
      <w:r>
        <w:rPr>
          <w:rFonts w:hint="eastAsia"/>
        </w:rPr>
        <w:t>中国人民银行南京分行</w:t>
      </w:r>
      <w:r>
        <w:t>&lt;</w:t>
      </w:r>
      <w:r>
        <w:rPr>
          <w:rFonts w:hint="eastAsia"/>
        </w:rPr>
        <w:t>关于深入推进政府采购线上合同信用融资工作的通知</w:t>
      </w:r>
      <w:r>
        <w:t>&gt;</w:t>
      </w:r>
      <w:r>
        <w:rPr>
          <w:rFonts w:hint="eastAsia"/>
        </w:rPr>
        <w:t>的通知》（盐财购〔</w:t>
      </w:r>
      <w:r>
        <w:t>2021</w:t>
      </w:r>
      <w:r>
        <w:rPr>
          <w:rFonts w:hint="eastAsia"/>
        </w:rPr>
        <w:t>〕</w:t>
      </w:r>
      <w:r>
        <w:t>20</w:t>
      </w:r>
      <w:r>
        <w:rPr>
          <w:rFonts w:hint="eastAsia"/>
        </w:rPr>
        <w:t>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rPr>
          <w:rFonts w:cs="Times New Roman"/>
        </w:rPr>
        <w:t> </w:t>
      </w:r>
    </w:p>
    <w:p w14:paraId="27F5912C">
      <w:pPr>
        <w:keepNext/>
        <w:keepLines/>
        <w:widowControl/>
        <w:tabs>
          <w:tab w:val="left" w:pos="1381"/>
        </w:tabs>
        <w:spacing w:line="480" w:lineRule="exact"/>
        <w:ind w:firstLine="482"/>
        <w:rPr>
          <w:rFonts w:ascii="宋体" w:cs="Times New Roman"/>
          <w:sz w:val="24"/>
          <w:szCs w:val="24"/>
        </w:rPr>
      </w:pPr>
      <w:r>
        <w:rPr>
          <w:rFonts w:ascii="宋体" w:hAnsi="宋体" w:cs="宋体"/>
          <w:sz w:val="24"/>
          <w:szCs w:val="24"/>
        </w:rPr>
        <w:t>32.2</w:t>
      </w:r>
      <w:r>
        <w:rPr>
          <w:rFonts w:hint="eastAsia" w:ascii="宋体" w:hAnsi="宋体" w:cs="宋体"/>
          <w:sz w:val="24"/>
          <w:szCs w:val="24"/>
        </w:rPr>
        <w:t>进口产品</w:t>
      </w:r>
    </w:p>
    <w:p w14:paraId="56F79A9C">
      <w:pPr>
        <w:pStyle w:val="44"/>
        <w:keepNext/>
        <w:keepLines/>
        <w:spacing w:beforeAutospacing="0" w:afterAutospacing="0" w:line="240" w:lineRule="atLeast"/>
        <w:ind w:firstLine="480"/>
        <w:jc w:val="both"/>
        <w:rPr>
          <w:rFonts w:cs="Times New Roman"/>
        </w:rPr>
      </w:pPr>
      <w:r>
        <w:rPr>
          <w:rFonts w:hint="eastAsia"/>
        </w:rPr>
        <w:t>进口产品指通过中国海关报关验放进入中国境内且产自关境外的产品，包括已经进入中国境内的进口产品。关于进口产品的相关规定依据《政府采购进口产品管理办法》（财库〔</w:t>
      </w:r>
      <w:r>
        <w:t>2007</w:t>
      </w:r>
      <w:r>
        <w:rPr>
          <w:rFonts w:hint="eastAsia"/>
        </w:rPr>
        <w:t>〕</w:t>
      </w:r>
      <w:r>
        <w:t>119</w:t>
      </w:r>
      <w:r>
        <w:rPr>
          <w:rFonts w:hint="eastAsia"/>
        </w:rPr>
        <w:t>号文）、《关于政府采购进口产品管理有关问题的通知》（财办库〔</w:t>
      </w:r>
      <w:r>
        <w:t>2008</w:t>
      </w:r>
      <w:r>
        <w:rPr>
          <w:rFonts w:hint="eastAsia"/>
        </w:rPr>
        <w:t>〕</w:t>
      </w:r>
      <w:r>
        <w:t>248</w:t>
      </w:r>
      <w:r>
        <w:rPr>
          <w:rFonts w:hint="eastAsia"/>
        </w:rPr>
        <w:t>号文）。</w:t>
      </w:r>
    </w:p>
    <w:p w14:paraId="65191DF5">
      <w:pPr>
        <w:keepNext/>
        <w:keepLines/>
        <w:widowControl/>
        <w:tabs>
          <w:tab w:val="left" w:pos="1381"/>
        </w:tabs>
        <w:spacing w:line="480" w:lineRule="exact"/>
        <w:ind w:firstLine="482"/>
        <w:rPr>
          <w:rFonts w:ascii="宋体" w:cs="Times New Roman"/>
          <w:sz w:val="24"/>
          <w:szCs w:val="24"/>
        </w:rPr>
      </w:pPr>
      <w:r>
        <w:rPr>
          <w:rFonts w:ascii="宋体" w:hAnsi="宋体" w:cs="宋体"/>
          <w:sz w:val="24"/>
          <w:szCs w:val="24"/>
        </w:rPr>
        <w:t>32.3</w:t>
      </w:r>
      <w:r>
        <w:rPr>
          <w:rFonts w:hint="eastAsia" w:ascii="宋体" w:hAnsi="宋体" w:cs="宋体"/>
          <w:sz w:val="24"/>
          <w:szCs w:val="24"/>
        </w:rPr>
        <w:t>中小企业、监狱企业及残疾人福利性单位</w:t>
      </w:r>
    </w:p>
    <w:p w14:paraId="5695CF82">
      <w:pPr>
        <w:pStyle w:val="44"/>
        <w:keepNext/>
        <w:keepLines/>
        <w:spacing w:beforeAutospacing="0" w:afterAutospacing="0" w:line="240" w:lineRule="atLeast"/>
        <w:ind w:firstLine="480"/>
        <w:jc w:val="both"/>
        <w:rPr>
          <w:rFonts w:cs="Times New Roman"/>
        </w:rPr>
      </w:pPr>
      <w:r>
        <w:t>32.3.1</w:t>
      </w:r>
      <w:r>
        <w:rPr>
          <w:rFonts w:hint="eastAsia"/>
        </w:rPr>
        <w:t>中小企业定义：</w:t>
      </w:r>
    </w:p>
    <w:p w14:paraId="38A09A42">
      <w:pPr>
        <w:pStyle w:val="44"/>
        <w:keepNext/>
        <w:keepLines/>
        <w:spacing w:beforeAutospacing="0" w:afterAutospacing="0" w:line="240" w:lineRule="atLeast"/>
        <w:ind w:firstLine="480"/>
        <w:jc w:val="both"/>
        <w:rPr>
          <w:rFonts w:cs="Times New Roman"/>
        </w:rPr>
      </w:pPr>
      <w:r>
        <w:rPr>
          <w:rFonts w:hint="eastAsia"/>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t>2020</w:t>
      </w:r>
      <w:r>
        <w:rPr>
          <w:rFonts w:hint="eastAsia"/>
        </w:rPr>
        <w:t>〕</w:t>
      </w:r>
      <w:r>
        <w:t>46</w:t>
      </w:r>
      <w:r>
        <w:rPr>
          <w:rFonts w:hint="eastAsia"/>
        </w:rPr>
        <w:t>号）、《关于印发中小企业划型标准规定的通知》（工信部联企业〔</w:t>
      </w:r>
      <w:r>
        <w:t>2011</w:t>
      </w:r>
      <w:r>
        <w:rPr>
          <w:rFonts w:hint="eastAsia"/>
        </w:rPr>
        <w:t>〕</w:t>
      </w:r>
      <w:r>
        <w:t xml:space="preserve">300 </w:t>
      </w:r>
      <w:r>
        <w:rPr>
          <w:rFonts w:hint="eastAsia"/>
        </w:rPr>
        <w:t>号）、《国务院关于进一步促进中小企业发展的若干意见》（国发〔</w:t>
      </w:r>
      <w:r>
        <w:t>2009</w:t>
      </w:r>
      <w:r>
        <w:rPr>
          <w:rFonts w:hint="eastAsia"/>
        </w:rPr>
        <w:t>〕</w:t>
      </w:r>
      <w:r>
        <w:t xml:space="preserve">36 </w:t>
      </w:r>
      <w:r>
        <w:rPr>
          <w:rFonts w:hint="eastAsia"/>
        </w:rPr>
        <w:t>号）。</w:t>
      </w:r>
    </w:p>
    <w:p w14:paraId="2429A689">
      <w:pPr>
        <w:pStyle w:val="44"/>
        <w:keepNext/>
        <w:keepLines/>
        <w:spacing w:beforeAutospacing="0" w:afterAutospacing="0" w:line="240" w:lineRule="atLeast"/>
        <w:ind w:firstLine="480"/>
        <w:jc w:val="both"/>
        <w:rPr>
          <w:rFonts w:cs="Times New Roman"/>
        </w:rPr>
      </w:pPr>
      <w:r>
        <w:t>32.3.2</w:t>
      </w:r>
      <w:r>
        <w:rPr>
          <w:rFonts w:hint="eastAsia"/>
        </w:rPr>
        <w:t>供应商提供的货物、工程或者服务符合下列情形的，享受中小企业扶持政策：</w:t>
      </w:r>
    </w:p>
    <w:p w14:paraId="222BFA3B">
      <w:pPr>
        <w:pStyle w:val="44"/>
        <w:keepNext/>
        <w:keepLines/>
        <w:spacing w:beforeAutospacing="0" w:afterAutospacing="0" w:line="240" w:lineRule="atLeast"/>
        <w:ind w:firstLine="480"/>
        <w:jc w:val="both"/>
        <w:rPr>
          <w:rFonts w:cs="Times New Roman"/>
        </w:rPr>
      </w:pPr>
      <w:r>
        <w:t>32.3.2.1</w:t>
      </w:r>
      <w:r>
        <w:rPr>
          <w:rFonts w:hint="eastAsia"/>
        </w:rPr>
        <w:t>在货物采购项目中，货物由中小企业制造，即货物由中小企业生产且使用该中小企业商号或者注册商标；</w:t>
      </w:r>
    </w:p>
    <w:p w14:paraId="6FBECC32">
      <w:pPr>
        <w:pStyle w:val="44"/>
        <w:keepNext/>
        <w:keepLines/>
        <w:spacing w:beforeAutospacing="0" w:afterAutospacing="0" w:line="240" w:lineRule="atLeast"/>
        <w:ind w:firstLine="480"/>
        <w:jc w:val="both"/>
        <w:rPr>
          <w:rFonts w:cs="Times New Roman"/>
        </w:rPr>
      </w:pPr>
      <w:r>
        <w:t>32.3.2.2</w:t>
      </w:r>
      <w:r>
        <w:rPr>
          <w:rFonts w:hint="eastAsia"/>
        </w:rPr>
        <w:t>在工程采购项目中，工程由中小企业承建，即工程施工单位为中小企业；</w:t>
      </w:r>
    </w:p>
    <w:p w14:paraId="21AC65DC">
      <w:pPr>
        <w:pStyle w:val="44"/>
        <w:keepNext/>
        <w:keepLines/>
        <w:spacing w:beforeAutospacing="0" w:afterAutospacing="0" w:line="240" w:lineRule="atLeast"/>
        <w:ind w:firstLine="480"/>
        <w:jc w:val="both"/>
        <w:rPr>
          <w:rFonts w:cs="Times New Roman"/>
        </w:rPr>
      </w:pPr>
      <w:r>
        <w:t>32.3.2.3</w:t>
      </w:r>
      <w:r>
        <w:rPr>
          <w:rFonts w:hint="eastAsia"/>
        </w:rPr>
        <w:t>在服务采购项目中，服务由中小企业承接，即提供服务的人员为中小企业依照《中华人民共和国劳动合同法》订立劳动合同的从业人员。</w:t>
      </w:r>
    </w:p>
    <w:p w14:paraId="6D9A2723">
      <w:pPr>
        <w:pStyle w:val="44"/>
        <w:keepNext/>
        <w:keepLines/>
        <w:spacing w:beforeAutospacing="0" w:afterAutospacing="0" w:line="240" w:lineRule="atLeast"/>
        <w:ind w:firstLine="480"/>
        <w:jc w:val="both"/>
        <w:rPr>
          <w:rFonts w:cs="Times New Roman"/>
        </w:rPr>
      </w:pPr>
      <w:r>
        <w:t>32.3.3</w:t>
      </w:r>
      <w:r>
        <w:rPr>
          <w:rFonts w:hint="eastAsia"/>
        </w:rPr>
        <w:t>在货物采购项目中，供应商提供的货物既有中小企业制造货物，也有大型企业制造货物的，不享受中小企业扶持政策。</w:t>
      </w:r>
    </w:p>
    <w:p w14:paraId="46A8734D">
      <w:pPr>
        <w:pStyle w:val="44"/>
        <w:keepNext/>
        <w:keepLines/>
        <w:spacing w:beforeAutospacing="0" w:afterAutospacing="0" w:line="240" w:lineRule="atLeast"/>
        <w:ind w:firstLine="480"/>
        <w:jc w:val="both"/>
        <w:rPr>
          <w:rFonts w:cs="Times New Roman"/>
        </w:rPr>
      </w:pPr>
      <w:r>
        <w:t>32.3.4</w:t>
      </w:r>
      <w:r>
        <w:rPr>
          <w:rFonts w:hint="eastAsia"/>
        </w:rPr>
        <w:t>以联合体形式参加政府采购活动，联合体各方均为中小企业的，联合体视同中小企业。其中，联合体各方均为小微企业的，联合体视同小微企业。</w:t>
      </w:r>
    </w:p>
    <w:p w14:paraId="03315CE7">
      <w:pPr>
        <w:pStyle w:val="44"/>
        <w:keepNext/>
        <w:keepLines/>
        <w:spacing w:beforeAutospacing="0" w:afterAutospacing="0" w:line="240" w:lineRule="atLeast"/>
        <w:ind w:firstLine="480"/>
        <w:jc w:val="both"/>
        <w:rPr>
          <w:rFonts w:cs="Times New Roman"/>
        </w:rPr>
      </w:pPr>
      <w:r>
        <w:t>32.3.5</w:t>
      </w:r>
      <w:r>
        <w:rPr>
          <w:rFonts w:hint="eastAsia"/>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375E634">
      <w:pPr>
        <w:pStyle w:val="44"/>
        <w:keepNext/>
        <w:keepLines/>
        <w:spacing w:beforeAutospacing="0" w:afterAutospacing="0" w:line="240" w:lineRule="atLeast"/>
        <w:ind w:firstLine="480"/>
        <w:jc w:val="both"/>
        <w:rPr>
          <w:rFonts w:cs="Times New Roman"/>
        </w:rPr>
      </w:pPr>
      <w:r>
        <w:t>32.3.6</w:t>
      </w:r>
      <w:r>
        <w:rPr>
          <w:rFonts w:hint="eastAsia"/>
        </w:rPr>
        <w:t>残疾人福利单位定义：享受政府采购支持政策的残疾人福利性单位应当同时满足以下条件：</w:t>
      </w:r>
    </w:p>
    <w:p w14:paraId="393272E5">
      <w:pPr>
        <w:pStyle w:val="44"/>
        <w:keepNext/>
        <w:keepLines/>
        <w:spacing w:beforeAutospacing="0" w:afterAutospacing="0" w:line="240" w:lineRule="atLeast"/>
        <w:ind w:firstLine="480"/>
        <w:jc w:val="both"/>
        <w:rPr>
          <w:rFonts w:cs="Times New Roman"/>
        </w:rPr>
      </w:pPr>
      <w:r>
        <w:t>32.3.6.1</w:t>
      </w:r>
      <w:r>
        <w:rPr>
          <w:rFonts w:hint="eastAsia"/>
        </w:rPr>
        <w:t>安置的残疾人占本单位在职职工人数的比例不低于</w:t>
      </w:r>
      <w:r>
        <w:t>25%</w:t>
      </w:r>
      <w:r>
        <w:rPr>
          <w:rFonts w:hint="eastAsia"/>
        </w:rPr>
        <w:t>（含</w:t>
      </w:r>
      <w:r>
        <w:t>25%</w:t>
      </w:r>
      <w:r>
        <w:rPr>
          <w:rFonts w:hint="eastAsia"/>
        </w:rPr>
        <w:t>），并且安置的残疾人人数不少于</w:t>
      </w:r>
      <w:r>
        <w:t xml:space="preserve">10 </w:t>
      </w:r>
      <w:r>
        <w:rPr>
          <w:rFonts w:hint="eastAsia"/>
        </w:rPr>
        <w:t>人（含</w:t>
      </w:r>
      <w:r>
        <w:t xml:space="preserve">10 </w:t>
      </w:r>
      <w:r>
        <w:rPr>
          <w:rFonts w:hint="eastAsia"/>
        </w:rPr>
        <w:t>人）；</w:t>
      </w:r>
    </w:p>
    <w:p w14:paraId="7AE0E024">
      <w:pPr>
        <w:pStyle w:val="44"/>
        <w:keepNext/>
        <w:keepLines/>
        <w:spacing w:beforeAutospacing="0" w:afterAutospacing="0" w:line="240" w:lineRule="atLeast"/>
        <w:ind w:firstLine="480"/>
        <w:jc w:val="both"/>
        <w:rPr>
          <w:rFonts w:cs="Times New Roman"/>
        </w:rPr>
      </w:pPr>
      <w:r>
        <w:t>32.3.6.2</w:t>
      </w:r>
      <w:r>
        <w:rPr>
          <w:rFonts w:hint="eastAsia"/>
        </w:rPr>
        <w:t>依法与安置的每位残疾人签订了一年以上（含一年）的劳动合同或服务协议；</w:t>
      </w:r>
    </w:p>
    <w:p w14:paraId="52993363">
      <w:pPr>
        <w:pStyle w:val="44"/>
        <w:keepNext/>
        <w:keepLines/>
        <w:spacing w:beforeAutospacing="0" w:afterAutospacing="0" w:line="240" w:lineRule="atLeast"/>
        <w:ind w:firstLine="480"/>
        <w:jc w:val="both"/>
        <w:rPr>
          <w:rFonts w:cs="Times New Roman"/>
        </w:rPr>
      </w:pPr>
      <w:r>
        <w:t>32.3.6.3</w:t>
      </w:r>
      <w:r>
        <w:rPr>
          <w:rFonts w:hint="eastAsia"/>
        </w:rPr>
        <w:t>为安置的每位残疾人按月足额缴纳了基本养老保险、基本医疗保险、失业保险、工伤保险和生育保险等社会保险费；</w:t>
      </w:r>
    </w:p>
    <w:p w14:paraId="0690E9D7">
      <w:pPr>
        <w:pStyle w:val="44"/>
        <w:keepNext/>
        <w:keepLines/>
        <w:spacing w:beforeAutospacing="0" w:afterAutospacing="0" w:line="240" w:lineRule="atLeast"/>
        <w:ind w:firstLine="480"/>
        <w:jc w:val="both"/>
        <w:rPr>
          <w:rFonts w:cs="Times New Roman"/>
        </w:rPr>
      </w:pPr>
      <w:r>
        <w:t>32.3.6.4</w:t>
      </w:r>
      <w:r>
        <w:rPr>
          <w:rFonts w:hint="eastAsia"/>
        </w:rPr>
        <w:t>通过银行等金融机构向安置的每位残疾人，按月支付了不低于单位所在区县适用的经省级人民政府批准的月最低工资标准的工资；</w:t>
      </w:r>
    </w:p>
    <w:p w14:paraId="11B32864">
      <w:pPr>
        <w:pStyle w:val="44"/>
        <w:keepNext/>
        <w:keepLines/>
        <w:spacing w:beforeAutospacing="0" w:afterAutospacing="0" w:line="240" w:lineRule="atLeast"/>
        <w:ind w:firstLine="480"/>
        <w:jc w:val="both"/>
        <w:rPr>
          <w:rFonts w:cs="Times New Roman"/>
        </w:rPr>
      </w:pPr>
      <w:r>
        <w:t>32.3.6.5</w:t>
      </w:r>
      <w:r>
        <w:rPr>
          <w:rFonts w:hint="eastAsia"/>
        </w:rPr>
        <w:t>提供本单位制造的货物、承担的工程或者服务（以下简称产品），或者提供其他残疾人福利性单位制造的货物（不包括使用非残疾人福利性单位注册商标的货物）；</w:t>
      </w:r>
    </w:p>
    <w:p w14:paraId="5D8DDF71">
      <w:pPr>
        <w:pStyle w:val="44"/>
        <w:keepNext/>
        <w:keepLines/>
        <w:spacing w:beforeAutospacing="0" w:afterAutospacing="0" w:line="240" w:lineRule="atLeast"/>
        <w:ind w:firstLine="480"/>
        <w:jc w:val="both"/>
        <w:rPr>
          <w:rFonts w:cs="Times New Roman"/>
        </w:rPr>
      </w:pPr>
      <w:r>
        <w:t>32.3.6.6</w:t>
      </w:r>
      <w:r>
        <w:rPr>
          <w:rFonts w:hint="eastAsia"/>
        </w:rPr>
        <w:t>前款所称残疾人是指法定劳动年龄内，持有《中华人民共和国残疾人证》或者《中华人民共和国残疾军人证》（</w:t>
      </w:r>
      <w:r>
        <w:t xml:space="preserve">1 </w:t>
      </w:r>
      <w:r>
        <w:rPr>
          <w:rFonts w:hint="eastAsia"/>
        </w:rPr>
        <w:t>至</w:t>
      </w:r>
      <w:r>
        <w:t xml:space="preserve">8 </w:t>
      </w:r>
      <w:r>
        <w:rPr>
          <w:rFonts w:hint="eastAsia"/>
        </w:rPr>
        <w:t>级）的自然人，包括具有劳动条件和劳动意愿的精神残疾人。在职职工人数是指与残疾人福利性单位建立劳动关系并依法签订劳动合同或服务协议的雇员人数。</w:t>
      </w:r>
    </w:p>
    <w:p w14:paraId="69D35048">
      <w:pPr>
        <w:pStyle w:val="44"/>
        <w:keepNext/>
        <w:keepLines/>
        <w:spacing w:beforeAutospacing="0" w:afterAutospacing="0" w:line="240" w:lineRule="atLeast"/>
        <w:ind w:firstLine="480"/>
        <w:jc w:val="both"/>
        <w:rPr>
          <w:rFonts w:cs="Times New Roman"/>
        </w:rPr>
      </w:pPr>
      <w:r>
        <w:t>32.3.7</w:t>
      </w:r>
      <w:r>
        <w:rPr>
          <w:rFonts w:hint="eastAsia"/>
        </w:rPr>
        <w:t>本项目是否专门面向中小企业预留采购份额见第一章《招标公告》。</w:t>
      </w:r>
    </w:p>
    <w:p w14:paraId="26988853">
      <w:pPr>
        <w:pStyle w:val="44"/>
        <w:keepNext/>
        <w:keepLines/>
        <w:spacing w:beforeAutospacing="0" w:afterAutospacing="0" w:line="240" w:lineRule="atLeast"/>
        <w:ind w:firstLine="480"/>
        <w:jc w:val="both"/>
        <w:rPr>
          <w:rFonts w:cs="Times New Roman"/>
        </w:rPr>
      </w:pPr>
      <w:r>
        <w:t>32.3.8</w:t>
      </w:r>
      <w:r>
        <w:rPr>
          <w:rFonts w:hint="eastAsia"/>
        </w:rPr>
        <w:t>采购标的对应的中小企业划分标准所属行业见第四章《采购需求》。</w:t>
      </w:r>
    </w:p>
    <w:p w14:paraId="1243A917">
      <w:pPr>
        <w:pStyle w:val="44"/>
        <w:keepNext/>
        <w:keepLines/>
        <w:spacing w:beforeAutospacing="0" w:afterAutospacing="0" w:line="240" w:lineRule="atLeast"/>
        <w:ind w:firstLine="480"/>
        <w:jc w:val="both"/>
        <w:rPr>
          <w:rFonts w:cs="Times New Roman"/>
        </w:rPr>
      </w:pPr>
      <w:r>
        <w:t>32.3.9</w:t>
      </w:r>
      <w:r>
        <w:rPr>
          <w:rFonts w:hint="eastAsia"/>
        </w:rPr>
        <w:t>小微企业价格评审优惠的政策：见第五章《评标方法和评标标准》。</w:t>
      </w:r>
    </w:p>
    <w:p w14:paraId="5105D1D6">
      <w:pPr>
        <w:pStyle w:val="44"/>
        <w:keepNext/>
        <w:keepLines/>
        <w:spacing w:beforeAutospacing="0" w:afterAutospacing="0"/>
        <w:ind w:firstLine="600"/>
        <w:jc w:val="both"/>
        <w:rPr>
          <w:rFonts w:cs="Times New Roman"/>
        </w:rPr>
      </w:pPr>
      <w:r>
        <w:t>32.4</w:t>
      </w:r>
      <w:r>
        <w:rPr>
          <w:rFonts w:hint="eastAsia"/>
        </w:rPr>
        <w:t>政府采购节能产品、环境标志产品</w:t>
      </w:r>
    </w:p>
    <w:p w14:paraId="4A0915F0">
      <w:pPr>
        <w:pStyle w:val="44"/>
        <w:keepNext/>
        <w:keepLines/>
        <w:spacing w:beforeAutospacing="0" w:afterAutospacing="0" w:line="240" w:lineRule="atLeast"/>
        <w:ind w:firstLine="480"/>
        <w:jc w:val="both"/>
        <w:rPr>
          <w:rFonts w:cs="Times New Roman"/>
        </w:rPr>
      </w:pPr>
      <w:r>
        <w:t>32.4.1</w:t>
      </w:r>
      <w:r>
        <w:rPr>
          <w:rFonts w:hint="eastAsia"/>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t>(</w:t>
      </w:r>
      <w:r>
        <w:rPr>
          <w:rFonts w:hint="eastAsia"/>
        </w:rPr>
        <w:t>由国家确定的认证机构出具的、处于有效期之内的节能产品、环境标志产品认证证书</w:t>
      </w:r>
      <w:r>
        <w:t>)</w:t>
      </w:r>
      <w:r>
        <w:rPr>
          <w:rFonts w:hint="eastAsia"/>
        </w:rPr>
        <w:t>。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0D10A380">
      <w:pPr>
        <w:pStyle w:val="44"/>
        <w:keepNext/>
        <w:keepLines/>
        <w:spacing w:beforeAutospacing="0" w:afterAutospacing="0" w:line="240" w:lineRule="atLeast"/>
        <w:ind w:firstLine="480"/>
        <w:jc w:val="both"/>
        <w:rPr>
          <w:rFonts w:cs="Times New Roman"/>
        </w:rPr>
      </w:pPr>
      <w:r>
        <w:t>32.4.2</w:t>
      </w:r>
      <w:r>
        <w:rPr>
          <w:rFonts w:hint="eastAsia"/>
        </w:rPr>
        <w:t>节能、环保产品的品目清单按照《关于印发环境标志产品政府采购品目清单的通知》（财库〔</w:t>
      </w:r>
      <w:r>
        <w:t>2019</w:t>
      </w:r>
      <w:r>
        <w:rPr>
          <w:rFonts w:hint="eastAsia"/>
        </w:rPr>
        <w:t>〕</w:t>
      </w:r>
      <w:r>
        <w:t>18</w:t>
      </w:r>
      <w:r>
        <w:rPr>
          <w:rFonts w:hint="eastAsia"/>
        </w:rPr>
        <w:t>号）、《关于印发节能产品政府采购品目清单的通知》（财库〔</w:t>
      </w:r>
      <w:r>
        <w:t>2019</w:t>
      </w:r>
      <w:r>
        <w:rPr>
          <w:rFonts w:hint="eastAsia"/>
        </w:rPr>
        <w:t>〕</w:t>
      </w:r>
      <w:r>
        <w:t>19</w:t>
      </w:r>
      <w:r>
        <w:rPr>
          <w:rFonts w:hint="eastAsia"/>
        </w:rPr>
        <w:t>号）执行。国家对品目清单进行调整的，按照最新调整的品目清单执行。</w:t>
      </w:r>
    </w:p>
    <w:p w14:paraId="20817399">
      <w:pPr>
        <w:pStyle w:val="44"/>
        <w:keepNext/>
        <w:keepLines/>
        <w:spacing w:beforeAutospacing="0" w:afterAutospacing="0" w:line="240" w:lineRule="atLeast"/>
        <w:ind w:firstLine="480"/>
        <w:jc w:val="both"/>
        <w:rPr>
          <w:rFonts w:cs="Times New Roman"/>
        </w:rPr>
      </w:pPr>
      <w:r>
        <w:t>32.5</w:t>
      </w:r>
      <w:r>
        <w:rPr>
          <w:rFonts w:hint="eastAsia"/>
        </w:rPr>
        <w:t>绿色包装</w:t>
      </w:r>
    </w:p>
    <w:p w14:paraId="54C4093A">
      <w:pPr>
        <w:pStyle w:val="44"/>
        <w:keepNext/>
        <w:keepLines/>
        <w:spacing w:beforeAutospacing="0" w:afterAutospacing="0" w:line="240" w:lineRule="atLeast"/>
        <w:ind w:firstLine="480"/>
        <w:jc w:val="both"/>
        <w:rPr>
          <w:rFonts w:cs="Times New Roman"/>
        </w:rPr>
      </w:pPr>
      <w:r>
        <w:rPr>
          <w:rFonts w:hint="eastAsia"/>
        </w:rPr>
        <w:t>本项目中涉及商品的包装应按照“财办库〔</w:t>
      </w:r>
      <w:r>
        <w:t>2020</w:t>
      </w:r>
      <w:r>
        <w:rPr>
          <w:rFonts w:hint="eastAsia"/>
        </w:rPr>
        <w:t>〕</w:t>
      </w:r>
      <w:r>
        <w:t>123</w:t>
      </w:r>
      <w:r>
        <w:rPr>
          <w:rFonts w:hint="eastAsia"/>
        </w:rPr>
        <w:t>号《关于印发《商品包装政府采购需求标准（试行）》、《快递包装政府采购需求标准（试行）》的通知》”执行</w:t>
      </w:r>
      <w:r>
        <w:t>,</w:t>
      </w:r>
      <w:r>
        <w:rPr>
          <w:rFonts w:hint="eastAsia"/>
        </w:rPr>
        <w:t>在供货、安装过程中能做到低碳物流、环保节约、提高资源利用率。</w:t>
      </w:r>
    </w:p>
    <w:p w14:paraId="68788F94">
      <w:pPr>
        <w:keepNext/>
        <w:keepLines/>
        <w:widowControl/>
        <w:tabs>
          <w:tab w:val="left" w:pos="1381"/>
        </w:tabs>
        <w:spacing w:line="480" w:lineRule="exact"/>
        <w:ind w:firstLine="482"/>
        <w:rPr>
          <w:rFonts w:ascii="宋体" w:cs="Times New Roman"/>
          <w:sz w:val="24"/>
          <w:szCs w:val="24"/>
        </w:rPr>
      </w:pPr>
      <w:r>
        <w:rPr>
          <w:rFonts w:ascii="宋体" w:hAnsi="宋体" w:cs="宋体"/>
          <w:sz w:val="24"/>
          <w:szCs w:val="24"/>
        </w:rPr>
        <w:t>32.6</w:t>
      </w:r>
      <w:r>
        <w:rPr>
          <w:rFonts w:hint="eastAsia" w:ascii="宋体" w:hAnsi="宋体" w:cs="宋体"/>
          <w:sz w:val="24"/>
          <w:szCs w:val="24"/>
        </w:rPr>
        <w:t>政府采购创新产品</w:t>
      </w:r>
    </w:p>
    <w:p w14:paraId="5B4121C2">
      <w:pPr>
        <w:pStyle w:val="44"/>
        <w:keepNext/>
        <w:keepLines/>
        <w:spacing w:beforeAutospacing="0" w:afterAutospacing="0" w:line="240" w:lineRule="atLeast"/>
        <w:ind w:firstLine="480"/>
        <w:jc w:val="both"/>
        <w:rPr>
          <w:rFonts w:cs="Times New Roman"/>
        </w:rPr>
      </w:pPr>
      <w:r>
        <w:rPr>
          <w:rFonts w:hint="eastAsia"/>
        </w:rPr>
        <w:t>采购人优先采购各级政府部门公开发布的有效期内的创新产品、创新服务、首台套、首购首用等《目录》的创新产品。</w:t>
      </w:r>
    </w:p>
    <w:p w14:paraId="2CE86FEF">
      <w:pPr>
        <w:keepNext/>
        <w:keepLines/>
        <w:widowControl/>
        <w:tabs>
          <w:tab w:val="left" w:pos="1381"/>
        </w:tabs>
        <w:spacing w:line="480" w:lineRule="exact"/>
        <w:ind w:firstLine="482"/>
        <w:rPr>
          <w:rFonts w:ascii="宋体" w:cs="Times New Roman"/>
          <w:color w:val="000000"/>
          <w:sz w:val="24"/>
          <w:szCs w:val="24"/>
        </w:rPr>
      </w:pPr>
      <w:r>
        <w:rPr>
          <w:rFonts w:ascii="宋体" w:hAnsi="宋体" w:cs="宋体"/>
          <w:color w:val="000000"/>
          <w:sz w:val="24"/>
          <w:szCs w:val="24"/>
        </w:rPr>
        <w:t>32.7</w:t>
      </w:r>
      <w:r>
        <w:rPr>
          <w:rFonts w:hint="eastAsia" w:ascii="宋体" w:hAnsi="宋体" w:cs="宋体"/>
          <w:color w:val="000000"/>
          <w:sz w:val="24"/>
          <w:szCs w:val="24"/>
        </w:rPr>
        <w:t>绿色数据中心政策</w:t>
      </w:r>
      <w:r>
        <w:rPr>
          <w:rFonts w:ascii="宋体" w:hAnsi="宋体" w:cs="宋体"/>
          <w:color w:val="000000"/>
          <w:sz w:val="24"/>
          <w:szCs w:val="24"/>
        </w:rPr>
        <w:t xml:space="preserve"> </w:t>
      </w:r>
    </w:p>
    <w:p w14:paraId="259DA7C6">
      <w:pPr>
        <w:pStyle w:val="44"/>
        <w:keepNext/>
        <w:keepLines/>
        <w:spacing w:beforeAutospacing="0" w:afterAutospacing="0" w:line="240" w:lineRule="atLeast"/>
        <w:ind w:firstLine="480"/>
        <w:jc w:val="both"/>
        <w:rPr>
          <w:rFonts w:cs="Times New Roman"/>
          <w:color w:val="000000"/>
        </w:rPr>
      </w:pPr>
      <w:r>
        <w:rPr>
          <w:rFonts w:hint="eastAsia"/>
          <w:color w:val="000000"/>
        </w:rPr>
        <w:t>本文件中若涉及到数据中心采购，采购人应依据《绿色数据中心政府采购需求标准（试行）》（财办库〔</w:t>
      </w:r>
      <w:r>
        <w:rPr>
          <w:color w:val="000000"/>
        </w:rPr>
        <w:t>2023</w:t>
      </w:r>
      <w:r>
        <w:rPr>
          <w:rFonts w:hint="eastAsia"/>
          <w:color w:val="000000"/>
        </w:rPr>
        <w:t>〕</w:t>
      </w:r>
      <w:r>
        <w:rPr>
          <w:color w:val="000000"/>
        </w:rPr>
        <w:t>7</w:t>
      </w:r>
      <w:r>
        <w:rPr>
          <w:rFonts w:hint="eastAsia"/>
          <w:color w:val="000000"/>
        </w:rPr>
        <w:t>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722FBD1">
      <w:pPr>
        <w:keepNext/>
        <w:keepLines/>
        <w:widowControl/>
        <w:ind w:firstLine="482" w:firstLineChars="200"/>
        <w:rPr>
          <w:rFonts w:ascii="宋体" w:cs="Times New Roman"/>
          <w:b/>
          <w:bCs/>
          <w:color w:val="FF0000"/>
          <w:sz w:val="24"/>
          <w:szCs w:val="24"/>
        </w:rPr>
      </w:pPr>
      <w:r>
        <w:rPr>
          <w:rFonts w:ascii="宋体" w:hAnsi="宋体" w:cs="宋体"/>
          <w:b/>
          <w:bCs/>
          <w:color w:val="FF0000"/>
          <w:sz w:val="24"/>
          <w:szCs w:val="24"/>
        </w:rPr>
        <w:t>32.8</w:t>
      </w:r>
      <w:r>
        <w:rPr>
          <w:rFonts w:hint="eastAsia" w:ascii="宋体" w:hAnsi="宋体" w:cs="宋体"/>
          <w:b/>
          <w:bCs/>
          <w:color w:val="FF0000"/>
          <w:sz w:val="24"/>
          <w:szCs w:val="24"/>
        </w:rPr>
        <w:t>实施本国产品标准及相关政策</w:t>
      </w:r>
    </w:p>
    <w:p w14:paraId="57BCBD1C">
      <w:pPr>
        <w:keepNext/>
        <w:keepLines/>
        <w:widowControl/>
        <w:ind w:firstLine="482" w:firstLineChars="200"/>
        <w:rPr>
          <w:rFonts w:ascii="宋体" w:cs="Times New Roman"/>
          <w:b/>
          <w:bCs/>
          <w:color w:val="FF0000"/>
          <w:sz w:val="24"/>
          <w:szCs w:val="24"/>
        </w:rPr>
      </w:pPr>
      <w:r>
        <w:rPr>
          <w:rFonts w:ascii="宋体" w:hAnsi="宋体" w:cs="宋体"/>
          <w:b/>
          <w:bCs/>
          <w:color w:val="FF0000"/>
          <w:sz w:val="24"/>
          <w:szCs w:val="24"/>
        </w:rPr>
        <w:t>1.</w:t>
      </w:r>
      <w:r>
        <w:rPr>
          <w:rFonts w:hint="eastAsia" w:ascii="宋体" w:hAnsi="宋体" w:cs="宋体"/>
          <w:b/>
          <w:bCs/>
          <w:color w:val="FF0000"/>
          <w:sz w:val="24"/>
          <w:szCs w:val="24"/>
        </w:rPr>
        <w:t>本项目对采购本国产品给予政策支持，具体内容见招标文件“第五章</w:t>
      </w:r>
      <w:r>
        <w:rPr>
          <w:rFonts w:ascii="宋体" w:hAnsi="宋体" w:cs="宋体"/>
          <w:b/>
          <w:bCs/>
          <w:color w:val="FF0000"/>
          <w:sz w:val="24"/>
          <w:szCs w:val="24"/>
        </w:rPr>
        <w:t xml:space="preserve"> </w:t>
      </w:r>
      <w:r>
        <w:rPr>
          <w:rFonts w:hint="eastAsia" w:ascii="宋体" w:hAnsi="宋体" w:cs="宋体"/>
          <w:b/>
          <w:bCs/>
          <w:color w:val="FF0000"/>
          <w:sz w:val="24"/>
          <w:szCs w:val="24"/>
        </w:rPr>
        <w:t>评标方法与评标标准”。</w:t>
      </w:r>
    </w:p>
    <w:p w14:paraId="27EF8D7C">
      <w:pPr>
        <w:keepNext/>
        <w:keepLines/>
        <w:widowControl/>
        <w:ind w:firstLine="482" w:firstLineChars="200"/>
        <w:rPr>
          <w:rFonts w:ascii="宋体" w:cs="Times New Roman"/>
          <w:b/>
          <w:bCs/>
          <w:color w:val="FF0000"/>
          <w:sz w:val="24"/>
          <w:szCs w:val="24"/>
        </w:rPr>
      </w:pPr>
      <w:r>
        <w:rPr>
          <w:rFonts w:ascii="宋体" w:hAnsi="宋体" w:cs="宋体"/>
          <w:b/>
          <w:bCs/>
          <w:color w:val="FF0000"/>
          <w:sz w:val="24"/>
          <w:szCs w:val="24"/>
        </w:rPr>
        <w:t>2.</w:t>
      </w:r>
      <w:r>
        <w:rPr>
          <w:rFonts w:hint="eastAsia" w:ascii="宋体" w:hAnsi="宋体" w:cs="宋体"/>
          <w:b/>
          <w:bCs/>
          <w:color w:val="FF0000"/>
          <w:sz w:val="24"/>
          <w:szCs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6F21276">
      <w:pPr>
        <w:keepNext/>
        <w:keepLines/>
        <w:widowControl/>
        <w:ind w:firstLine="482" w:firstLineChars="200"/>
        <w:rPr>
          <w:rFonts w:ascii="宋体" w:cs="Times New Roman"/>
          <w:color w:val="FF0000"/>
          <w:sz w:val="24"/>
          <w:szCs w:val="24"/>
        </w:rPr>
      </w:pPr>
      <w:r>
        <w:rPr>
          <w:rFonts w:ascii="宋体" w:hAnsi="宋体" w:cs="宋体"/>
          <w:b/>
          <w:bCs/>
          <w:color w:val="FF0000"/>
          <w:sz w:val="24"/>
          <w:szCs w:val="24"/>
        </w:rPr>
        <w:t>3.</w:t>
      </w:r>
      <w:r>
        <w:rPr>
          <w:rFonts w:hint="eastAsia" w:ascii="宋体" w:hAnsi="宋体" w:cs="宋体"/>
          <w:b/>
          <w:bCs/>
          <w:color w:val="FF0000"/>
          <w:sz w:val="24"/>
          <w:szCs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76375E2">
      <w:pPr>
        <w:keepNext/>
        <w:keepLines/>
        <w:widowControl/>
        <w:ind w:firstLine="482" w:firstLineChars="200"/>
        <w:rPr>
          <w:rFonts w:ascii="宋体" w:cs="Times New Roman"/>
          <w:b/>
          <w:bCs/>
          <w:color w:val="FF0000"/>
          <w:sz w:val="24"/>
          <w:szCs w:val="24"/>
        </w:rPr>
      </w:pPr>
      <w:r>
        <w:rPr>
          <w:rFonts w:ascii="宋体" w:hAnsi="宋体" w:cs="宋体"/>
          <w:b/>
          <w:bCs/>
          <w:color w:val="FF0000"/>
          <w:sz w:val="24"/>
          <w:szCs w:val="24"/>
        </w:rPr>
        <w:t>4.</w:t>
      </w:r>
      <w:r>
        <w:rPr>
          <w:rFonts w:hint="eastAsia" w:ascii="宋体" w:hAnsi="宋体" w:cs="宋体"/>
          <w:b/>
          <w:bCs/>
          <w:color w:val="FF0000"/>
          <w:sz w:val="24"/>
          <w:szCs w:val="24"/>
        </w:rPr>
        <w:t>进口产品属于非本国产品。但对一些非进口产品，如果不满足《国务院办公厅关于在政府采购中实施本国产品标准及相关政策的通知》（国办发〔</w:t>
      </w:r>
      <w:r>
        <w:rPr>
          <w:rFonts w:ascii="宋体" w:hAnsi="宋体" w:cs="宋体"/>
          <w:b/>
          <w:bCs/>
          <w:color w:val="FF0000"/>
          <w:sz w:val="24"/>
          <w:szCs w:val="24"/>
        </w:rPr>
        <w:t>2025</w:t>
      </w:r>
      <w:r>
        <w:rPr>
          <w:rFonts w:hint="eastAsia" w:ascii="宋体" w:hAnsi="宋体" w:cs="宋体"/>
          <w:b/>
          <w:bCs/>
          <w:color w:val="FF0000"/>
          <w:sz w:val="24"/>
          <w:szCs w:val="24"/>
        </w:rPr>
        <w:t>〕</w:t>
      </w:r>
      <w:r>
        <w:rPr>
          <w:rFonts w:ascii="宋体" w:hAnsi="宋体" w:cs="宋体"/>
          <w:b/>
          <w:bCs/>
          <w:color w:val="FF0000"/>
          <w:sz w:val="24"/>
          <w:szCs w:val="24"/>
        </w:rPr>
        <w:t>34</w:t>
      </w:r>
      <w:r>
        <w:rPr>
          <w:rFonts w:hint="eastAsia" w:ascii="宋体" w:hAnsi="宋体" w:cs="宋体"/>
          <w:b/>
          <w:bCs/>
          <w:color w:val="FF0000"/>
          <w:sz w:val="24"/>
          <w:szCs w:val="24"/>
        </w:rPr>
        <w:t>号，以下简称《通知》）规定的“在中国境内生产”等条件，这些产品也属于非本国产品。</w:t>
      </w:r>
      <w:r>
        <w:rPr>
          <w:rFonts w:hint="eastAsia" w:ascii="宋体" w:hAnsi="宋体" w:cs="宋体"/>
          <w:b/>
          <w:bCs/>
          <w:color w:val="FF0000"/>
          <w:sz w:val="24"/>
          <w:szCs w:val="24"/>
          <w:u w:val="single"/>
        </w:rPr>
        <w:t>故，如供应商所提供产品为本国产品的，应当对其提供的产品出具《关于符合本国产品标准的声明函》（以下简称《声明函》），不出具《声明函》的，不享受政府采购对本国产品的支持政策。</w:t>
      </w:r>
    </w:p>
    <w:p w14:paraId="2F108337">
      <w:pPr>
        <w:keepNext/>
        <w:keepLines/>
        <w:widowControl/>
        <w:tabs>
          <w:tab w:val="left" w:pos="1381"/>
        </w:tabs>
        <w:spacing w:line="480" w:lineRule="exact"/>
        <w:ind w:firstLine="482"/>
        <w:rPr>
          <w:rFonts w:ascii="宋体" w:cs="Times New Roman"/>
          <w:color w:val="000000"/>
          <w:sz w:val="24"/>
          <w:szCs w:val="24"/>
        </w:rPr>
      </w:pPr>
      <w:r>
        <w:rPr>
          <w:rFonts w:ascii="宋体" w:hAnsi="宋体" w:cs="宋体"/>
          <w:color w:val="000000"/>
          <w:sz w:val="24"/>
          <w:szCs w:val="24"/>
        </w:rPr>
        <w:t>32.9</w:t>
      </w:r>
      <w:r>
        <w:rPr>
          <w:rFonts w:hint="eastAsia" w:ascii="宋体" w:hAnsi="宋体" w:cs="宋体"/>
          <w:color w:val="000000"/>
          <w:sz w:val="24"/>
          <w:szCs w:val="24"/>
        </w:rPr>
        <w:t>履约保证金政策</w:t>
      </w:r>
    </w:p>
    <w:p w14:paraId="37D4193E">
      <w:pPr>
        <w:pStyle w:val="44"/>
        <w:keepNext/>
        <w:keepLines/>
        <w:spacing w:beforeAutospacing="0" w:afterAutospacing="0" w:line="240" w:lineRule="atLeast"/>
        <w:ind w:firstLine="480"/>
        <w:jc w:val="both"/>
        <w:rPr>
          <w:rFonts w:cs="Times New Roman"/>
          <w:color w:val="000000"/>
        </w:rPr>
      </w:pPr>
      <w:r>
        <w:rPr>
          <w:rFonts w:hint="eastAsia"/>
          <w:color w:val="000000"/>
        </w:rPr>
        <w:t>确需收取履约保证金的，履约保证金的缴纳形式：</w:t>
      </w:r>
    </w:p>
    <w:p w14:paraId="31DF1E71">
      <w:pPr>
        <w:pStyle w:val="44"/>
        <w:keepNext/>
        <w:keepLines/>
        <w:spacing w:beforeAutospacing="0" w:afterAutospacing="0" w:line="240" w:lineRule="atLeast"/>
        <w:ind w:firstLine="480"/>
        <w:jc w:val="both"/>
        <w:rPr>
          <w:rFonts w:cs="Times New Roman"/>
          <w:color w:val="000000"/>
        </w:rPr>
      </w:pPr>
      <w:r>
        <w:rPr>
          <w:rFonts w:hint="eastAsia"/>
          <w:color w:val="000000"/>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41252B">
      <w:pPr>
        <w:pStyle w:val="44"/>
        <w:keepNext/>
        <w:keepLines/>
        <w:spacing w:beforeAutospacing="0" w:afterAutospacing="0" w:line="240" w:lineRule="atLeast"/>
        <w:ind w:firstLine="480"/>
        <w:jc w:val="both"/>
        <w:rPr>
          <w:rFonts w:cs="Times New Roman"/>
          <w:color w:val="000000"/>
        </w:rPr>
      </w:pPr>
      <w:r>
        <w:rPr>
          <w:color w:val="000000"/>
        </w:rPr>
        <w:t xml:space="preserve"> </w:t>
      </w:r>
      <w:r>
        <w:rPr>
          <w:rFonts w:hint="eastAsia"/>
          <w:color w:val="000000"/>
        </w:rPr>
        <w:t>如以履约保函（保险）形式缴纳履约保证金，供应商可通过政府采购电子履约保函（保险）平台（</w:t>
      </w:r>
      <w:r>
        <w:rPr>
          <w:color w:val="000000"/>
        </w:rPr>
        <w:t>www.jsdzbh.com</w:t>
      </w:r>
      <w:r>
        <w:rPr>
          <w:rFonts w:hint="eastAsia"/>
          <w:color w:val="000000"/>
        </w:rPr>
        <w:t>）在线申请履约保函（保险）。</w:t>
      </w:r>
    </w:p>
    <w:p w14:paraId="15713ACA">
      <w:pPr>
        <w:pStyle w:val="44"/>
        <w:keepNext/>
        <w:keepLines/>
        <w:spacing w:beforeAutospacing="0" w:afterAutospacing="0" w:line="240" w:lineRule="atLeast"/>
        <w:ind w:firstLine="480"/>
        <w:jc w:val="both"/>
        <w:rPr>
          <w:rFonts w:cs="Times New Roman"/>
          <w:color w:val="000000"/>
        </w:rPr>
      </w:pPr>
      <w:r>
        <w:rPr>
          <w:rFonts w:hint="eastAsia"/>
          <w:color w:val="000000"/>
        </w:rPr>
        <w:t>履约保证金金额不得超过合同金额的</w:t>
      </w:r>
      <w:r>
        <w:rPr>
          <w:color w:val="000000"/>
        </w:rPr>
        <w:t>10%</w:t>
      </w:r>
      <w:r>
        <w:rPr>
          <w:rFonts w:hint="eastAsia"/>
          <w:color w:val="000000"/>
        </w:rPr>
        <w:t>，采购人对第三方信用服务机构依据标准规范评定为</w:t>
      </w:r>
      <w:r>
        <w:rPr>
          <w:color w:val="000000"/>
        </w:rPr>
        <w:t xml:space="preserve"> AA </w:t>
      </w:r>
      <w:r>
        <w:rPr>
          <w:rFonts w:hint="eastAsia"/>
          <w:color w:val="000000"/>
        </w:rPr>
        <w:t>级及以上的政府采购供应商（需在签订采购合同前提供信用管理</w:t>
      </w:r>
      <w:r>
        <w:rPr>
          <w:color w:val="000000"/>
        </w:rPr>
        <w:t xml:space="preserve"> </w:t>
      </w:r>
      <w:r>
        <w:rPr>
          <w:rFonts w:hint="eastAsia"/>
          <w:color w:val="000000"/>
        </w:rPr>
        <w:t>部门备案的第三方信用报告，且信用报告通过“信用盐城网”可查实），免收履约保证金或降低履约保证金缴纳比例。</w:t>
      </w:r>
    </w:p>
    <w:p w14:paraId="19FF5CF0">
      <w:pPr>
        <w:pStyle w:val="5"/>
        <w:widowControl/>
        <w:spacing w:before="0" w:after="0" w:line="360" w:lineRule="auto"/>
        <w:ind w:firstLine="420"/>
        <w:rPr>
          <w:rFonts w:cs="Times New Roman"/>
          <w:b w:val="0"/>
          <w:bCs w:val="0"/>
        </w:rPr>
      </w:pPr>
      <w:r>
        <w:rPr>
          <w:b w:val="0"/>
          <w:bCs w:val="0"/>
        </w:rPr>
        <w:t xml:space="preserve">33. </w:t>
      </w:r>
      <w:r>
        <w:rPr>
          <w:rFonts w:hint="eastAsia" w:cs="黑体"/>
          <w:b w:val="0"/>
          <w:bCs w:val="0"/>
        </w:rPr>
        <w:t>预付款制度</w:t>
      </w:r>
    </w:p>
    <w:p w14:paraId="663F4303">
      <w:pPr>
        <w:keepNext/>
        <w:keepLines/>
        <w:widowControl/>
        <w:spacing w:line="440" w:lineRule="exact"/>
        <w:ind w:firstLine="480"/>
        <w:rPr>
          <w:rFonts w:ascii="宋体" w:cs="Times New Roman"/>
          <w:sz w:val="24"/>
          <w:szCs w:val="24"/>
        </w:rPr>
      </w:pPr>
      <w:r>
        <w:rPr>
          <w:rFonts w:hint="eastAsia" w:ascii="宋体" w:hAnsi="宋体" w:cs="宋体"/>
          <w:color w:val="000000"/>
          <w:sz w:val="24"/>
          <w:szCs w:val="24"/>
        </w:rPr>
        <w:t>本项目落实预付款制度，预付款比例为</w:t>
      </w:r>
      <w:r>
        <w:rPr>
          <w:rFonts w:ascii="宋体" w:hAnsi="宋体" w:cs="宋体"/>
          <w:color w:val="000000"/>
          <w:sz w:val="24"/>
          <w:szCs w:val="24"/>
          <w:u w:val="single"/>
        </w:rPr>
        <w:t>30</w:t>
      </w:r>
      <w:r>
        <w:rPr>
          <w:rFonts w:ascii="宋体" w:hAnsi="宋体" w:cs="宋体"/>
          <w:color w:val="000000"/>
          <w:sz w:val="24"/>
          <w:szCs w:val="24"/>
        </w:rPr>
        <w:t>%</w:t>
      </w:r>
      <w:r>
        <w:rPr>
          <w:rFonts w:hint="eastAsia" w:ascii="宋体" w:hAnsi="宋体" w:cs="宋体"/>
          <w:color w:val="000000"/>
          <w:sz w:val="24"/>
          <w:szCs w:val="24"/>
        </w:rPr>
        <w:t>。在签订合同时，中标、成交供应商明确书面表示无需预付款或者主动要求降低预付款比例的，采购人可就预付款比例作相应调整。</w:t>
      </w:r>
    </w:p>
    <w:p w14:paraId="22EB2CCD">
      <w:pPr>
        <w:pStyle w:val="275"/>
        <w:keepNext/>
        <w:keepLines/>
        <w:widowControl/>
        <w:rPr>
          <w:rFonts w:cs="Times New Roman"/>
        </w:rPr>
      </w:pPr>
    </w:p>
    <w:p w14:paraId="6620976E">
      <w:pPr>
        <w:keepNext/>
        <w:keepLines/>
        <w:widowControl/>
        <w:spacing w:line="360" w:lineRule="auto"/>
        <w:jc w:val="center"/>
        <w:rPr>
          <w:rFonts w:ascii="黑体" w:eastAsia="黑体" w:cs="Times New Roman"/>
          <w:sz w:val="44"/>
          <w:szCs w:val="44"/>
        </w:rPr>
      </w:pPr>
    </w:p>
    <w:p w14:paraId="47721482">
      <w:pPr>
        <w:keepNext/>
        <w:keepLines/>
        <w:widowControl/>
        <w:spacing w:line="360" w:lineRule="auto"/>
        <w:jc w:val="center"/>
        <w:rPr>
          <w:rFonts w:ascii="黑体" w:eastAsia="黑体" w:cs="Times New Roman"/>
          <w:sz w:val="44"/>
          <w:szCs w:val="44"/>
        </w:rPr>
      </w:pPr>
      <w:r>
        <w:rPr>
          <w:rFonts w:hint="eastAsia" w:ascii="黑体" w:eastAsia="黑体" w:cs="黑体"/>
          <w:sz w:val="44"/>
          <w:szCs w:val="44"/>
        </w:rPr>
        <w:t>第三章</w:t>
      </w:r>
      <w:r>
        <w:rPr>
          <w:rFonts w:ascii="黑体" w:eastAsia="黑体" w:cs="黑体"/>
          <w:sz w:val="44"/>
          <w:szCs w:val="44"/>
        </w:rPr>
        <w:t xml:space="preserve"> </w:t>
      </w:r>
      <w:r>
        <w:rPr>
          <w:rFonts w:hint="eastAsia" w:ascii="黑体" w:eastAsia="黑体" w:cs="黑体"/>
          <w:sz w:val="44"/>
          <w:szCs w:val="44"/>
        </w:rPr>
        <w:t>合同条款及格式</w:t>
      </w:r>
    </w:p>
    <w:p w14:paraId="7F3BA3FB">
      <w:pPr>
        <w:keepNext/>
        <w:keepLines/>
        <w:widowControl/>
        <w:spacing w:line="360" w:lineRule="auto"/>
        <w:ind w:firstLine="480"/>
        <w:rPr>
          <w:rFonts w:ascii="宋体" w:cs="Times New Roman"/>
          <w:sz w:val="24"/>
          <w:szCs w:val="24"/>
        </w:rPr>
      </w:pPr>
      <w:r>
        <w:rPr>
          <w:rFonts w:hint="eastAsia" w:ascii="宋体" w:hAnsi="宋体" w:cs="宋体"/>
          <w:sz w:val="24"/>
          <w:szCs w:val="24"/>
        </w:rPr>
        <w:t>以下为成交后签定本项目合同的通用条款，成交供应商不得提出实质性的修改，关于专用条款将由采购人与成交供应商结合本项目具体情况协商后签订。</w:t>
      </w:r>
    </w:p>
    <w:p w14:paraId="30FB32FF">
      <w:pPr>
        <w:pStyle w:val="24"/>
        <w:keepNext/>
        <w:keepLines/>
        <w:widowControl/>
        <w:ind w:firstLine="482"/>
        <w:jc w:val="center"/>
        <w:rPr>
          <w:rFonts w:hAnsi="宋体" w:cs="Times New Roman"/>
          <w:b/>
          <w:bCs/>
          <w:sz w:val="24"/>
          <w:szCs w:val="24"/>
        </w:rPr>
      </w:pPr>
      <w:bookmarkStart w:id="141" w:name="_Hlt16619369"/>
      <w:bookmarkEnd w:id="141"/>
      <w:r>
        <w:rPr>
          <w:rFonts w:hint="eastAsia" w:hAnsi="宋体"/>
          <w:b/>
          <w:bCs/>
          <w:sz w:val="24"/>
          <w:szCs w:val="24"/>
        </w:rPr>
        <w:t>政府采购合同（服务类）</w:t>
      </w:r>
    </w:p>
    <w:p w14:paraId="75ED10C9">
      <w:pPr>
        <w:pStyle w:val="24"/>
        <w:keepNext/>
        <w:keepLines/>
        <w:widowControl/>
        <w:spacing w:line="520" w:lineRule="exact"/>
        <w:ind w:firstLine="480"/>
        <w:rPr>
          <w:rFonts w:hAnsi="宋体" w:cs="Times New Roman"/>
          <w:sz w:val="24"/>
          <w:szCs w:val="24"/>
          <w:u w:val="single"/>
        </w:rPr>
      </w:pPr>
      <w:r>
        <w:rPr>
          <w:rFonts w:hint="eastAsia" w:hAnsi="宋体"/>
          <w:sz w:val="24"/>
          <w:szCs w:val="24"/>
        </w:rPr>
        <w:t>项目名称：盐城市详细规划动态更新项目</w:t>
      </w:r>
    </w:p>
    <w:p w14:paraId="0AC2C15B">
      <w:pPr>
        <w:pStyle w:val="24"/>
        <w:keepNext/>
        <w:keepLines/>
        <w:widowControl/>
        <w:spacing w:line="520" w:lineRule="exact"/>
        <w:ind w:firstLine="480"/>
        <w:rPr>
          <w:rFonts w:hAnsi="宋体" w:cs="Times New Roman"/>
          <w:sz w:val="24"/>
          <w:szCs w:val="24"/>
        </w:rPr>
      </w:pPr>
      <w:r>
        <w:rPr>
          <w:rFonts w:hint="eastAsia" w:hAnsi="宋体"/>
          <w:sz w:val="24"/>
          <w:szCs w:val="24"/>
        </w:rPr>
        <w:t>甲方：盐城市自然资源和规划局</w:t>
      </w:r>
    </w:p>
    <w:p w14:paraId="4679A9D4">
      <w:pPr>
        <w:pStyle w:val="24"/>
        <w:keepNext/>
        <w:keepLines/>
        <w:widowControl/>
        <w:spacing w:line="520" w:lineRule="exact"/>
        <w:ind w:firstLine="480"/>
        <w:rPr>
          <w:rFonts w:hAnsi="宋体"/>
          <w:sz w:val="24"/>
          <w:szCs w:val="24"/>
        </w:rPr>
      </w:pPr>
      <w:r>
        <w:rPr>
          <w:rFonts w:hint="eastAsia" w:hAnsi="宋体"/>
          <w:sz w:val="24"/>
          <w:szCs w:val="24"/>
        </w:rPr>
        <w:t>乙方：</w:t>
      </w:r>
      <w:r>
        <w:rPr>
          <w:rFonts w:hAnsi="宋体"/>
          <w:sz w:val="24"/>
          <w:szCs w:val="24"/>
        </w:rPr>
        <w:t xml:space="preserve">                              </w:t>
      </w:r>
    </w:p>
    <w:p w14:paraId="1AAA8E45">
      <w:pPr>
        <w:pStyle w:val="24"/>
        <w:keepNext/>
        <w:keepLines/>
        <w:widowControl/>
        <w:spacing w:line="520" w:lineRule="exact"/>
        <w:ind w:firstLine="480"/>
        <w:rPr>
          <w:rFonts w:hAnsi="宋体" w:cs="Times New Roman"/>
          <w:b/>
          <w:bCs/>
          <w:sz w:val="24"/>
          <w:szCs w:val="24"/>
        </w:rPr>
      </w:pPr>
      <w:r>
        <w:rPr>
          <w:rFonts w:hint="eastAsia" w:hAnsi="宋体"/>
          <w:sz w:val="24"/>
          <w:szCs w:val="24"/>
        </w:rPr>
        <w:t>甲、乙双方根据盐城市政府采购（</w:t>
      </w:r>
      <w:r>
        <w:rPr>
          <w:rFonts w:hint="eastAsia" w:hAnsi="宋体"/>
          <w:sz w:val="24"/>
          <w:szCs w:val="24"/>
          <w:u w:val="single"/>
        </w:rPr>
        <w:t>项目编号：</w:t>
      </w:r>
      <w:r>
        <w:rPr>
          <w:rFonts w:hAnsi="宋体"/>
          <w:sz w:val="24"/>
          <w:szCs w:val="24"/>
          <w:u w:val="single"/>
        </w:rPr>
        <w:t xml:space="preserve">            </w:t>
      </w:r>
      <w:r>
        <w:rPr>
          <w:rFonts w:hint="eastAsia" w:hAnsi="宋体"/>
          <w:sz w:val="24"/>
          <w:szCs w:val="24"/>
        </w:rPr>
        <w:t>）</w:t>
      </w:r>
      <w:r>
        <w:rPr>
          <w:rFonts w:hint="eastAsia" w:hAnsi="宋体"/>
          <w:sz w:val="24"/>
          <w:szCs w:val="24"/>
          <w:u w:val="single"/>
        </w:rPr>
        <w:t>盐城市详细规划动态更新项目</w:t>
      </w:r>
      <w:r>
        <w:rPr>
          <w:rFonts w:hint="eastAsia" w:hAnsi="宋体"/>
          <w:sz w:val="24"/>
          <w:szCs w:val="24"/>
        </w:rPr>
        <w:t>公开招标的结果，签署本合同。</w:t>
      </w:r>
    </w:p>
    <w:p w14:paraId="1E3E2CC3">
      <w:pPr>
        <w:pStyle w:val="24"/>
        <w:keepNext/>
        <w:keepLines/>
        <w:widowControl/>
        <w:spacing w:line="520" w:lineRule="exact"/>
        <w:ind w:firstLine="482"/>
        <w:rPr>
          <w:rFonts w:hAnsi="宋体" w:cs="Times New Roman"/>
          <w:b/>
          <w:bCs/>
          <w:sz w:val="24"/>
          <w:szCs w:val="24"/>
        </w:rPr>
      </w:pPr>
      <w:r>
        <w:rPr>
          <w:rFonts w:hint="eastAsia" w:hAnsi="宋体"/>
          <w:b/>
          <w:bCs/>
          <w:sz w:val="24"/>
          <w:szCs w:val="24"/>
        </w:rPr>
        <w:t>一、合同内容</w:t>
      </w:r>
    </w:p>
    <w:p w14:paraId="61C8FD09">
      <w:pPr>
        <w:pStyle w:val="24"/>
        <w:keepNext/>
        <w:keepLines/>
        <w:widowControl/>
        <w:spacing w:line="520" w:lineRule="exact"/>
        <w:ind w:firstLine="480"/>
        <w:rPr>
          <w:rFonts w:hAnsi="宋体" w:cs="Times New Roman"/>
          <w:sz w:val="24"/>
          <w:szCs w:val="24"/>
        </w:rPr>
      </w:pPr>
      <w:r>
        <w:rPr>
          <w:rFonts w:hAnsi="宋体"/>
          <w:sz w:val="24"/>
          <w:szCs w:val="24"/>
        </w:rPr>
        <w:t>1.1</w:t>
      </w:r>
      <w:r>
        <w:rPr>
          <w:rFonts w:hint="eastAsia" w:hAnsi="宋体"/>
          <w:sz w:val="24"/>
          <w:szCs w:val="24"/>
        </w:rPr>
        <w:t>服务名称：盐城市详细规划动态更新项目</w:t>
      </w:r>
    </w:p>
    <w:p w14:paraId="1AC2CCA0">
      <w:pPr>
        <w:pStyle w:val="24"/>
        <w:keepNext/>
        <w:keepLines/>
        <w:widowControl/>
        <w:spacing w:line="520" w:lineRule="exact"/>
        <w:ind w:firstLine="480"/>
        <w:rPr>
          <w:rFonts w:hAnsi="宋体" w:cs="Times New Roman"/>
          <w:sz w:val="24"/>
          <w:szCs w:val="24"/>
        </w:rPr>
      </w:pPr>
      <w:r>
        <w:rPr>
          <w:rFonts w:hAnsi="宋体"/>
          <w:sz w:val="24"/>
          <w:szCs w:val="24"/>
        </w:rPr>
        <w:t>1.2</w:t>
      </w:r>
      <w:r>
        <w:rPr>
          <w:rFonts w:hint="eastAsia" w:hAnsi="宋体"/>
          <w:sz w:val="24"/>
          <w:szCs w:val="24"/>
        </w:rPr>
        <w:t>服务内容：盐城市详细规划动态更新项目；具体服务内容包含（不限于）招标文件的项目需求中的全部内容。</w:t>
      </w:r>
    </w:p>
    <w:p w14:paraId="6D98789E">
      <w:pPr>
        <w:keepNext/>
        <w:keepLines/>
        <w:widowControl/>
        <w:spacing w:line="420" w:lineRule="exact"/>
        <w:ind w:firstLine="480"/>
        <w:rPr>
          <w:rFonts w:ascii="宋体" w:cs="Times New Roman"/>
          <w:sz w:val="24"/>
          <w:szCs w:val="24"/>
        </w:rPr>
      </w:pPr>
      <w:r>
        <w:rPr>
          <w:rFonts w:ascii="宋体" w:hAnsi="宋体" w:cs="宋体"/>
          <w:sz w:val="24"/>
          <w:szCs w:val="24"/>
        </w:rPr>
        <w:t>1.3</w:t>
      </w:r>
      <w:r>
        <w:rPr>
          <w:rFonts w:hint="eastAsia" w:ascii="宋体" w:hAnsi="宋体" w:cs="宋体"/>
          <w:sz w:val="24"/>
          <w:szCs w:val="24"/>
        </w:rPr>
        <w:t>履行时间（期限）：自合同签订之日起一年内完成。</w:t>
      </w:r>
    </w:p>
    <w:p w14:paraId="1307DC63">
      <w:pPr>
        <w:pStyle w:val="44"/>
        <w:keepNext/>
        <w:keepLines/>
        <w:spacing w:before="0" w:beforeAutospacing="0" w:after="0" w:afterAutospacing="0" w:line="520" w:lineRule="exact"/>
        <w:ind w:firstLine="480"/>
        <w:jc w:val="both"/>
        <w:rPr>
          <w:rFonts w:cs="Times New Roman"/>
          <w:u w:val="single"/>
        </w:rPr>
      </w:pPr>
      <w:r>
        <w:t>1.4</w:t>
      </w:r>
      <w:r>
        <w:rPr>
          <w:rFonts w:hint="eastAsia"/>
        </w:rPr>
        <w:t>履行地点：甲方指定的具体地点。</w:t>
      </w:r>
    </w:p>
    <w:p w14:paraId="62B6FF30">
      <w:pPr>
        <w:pStyle w:val="44"/>
        <w:keepNext/>
        <w:keepLines/>
        <w:spacing w:before="0" w:beforeAutospacing="0" w:after="0" w:afterAutospacing="0" w:line="520" w:lineRule="exact"/>
        <w:ind w:firstLine="480"/>
        <w:jc w:val="both"/>
        <w:rPr>
          <w:rFonts w:cs="Times New Roman"/>
        </w:rPr>
      </w:pPr>
      <w:r>
        <w:t>1.5</w:t>
      </w:r>
      <w:r>
        <w:rPr>
          <w:rFonts w:hint="eastAsia"/>
        </w:rPr>
        <w:t>履行方式：到甲方指定地点并通过甲方审查。</w:t>
      </w:r>
    </w:p>
    <w:p w14:paraId="424DD94D">
      <w:pPr>
        <w:pStyle w:val="24"/>
        <w:keepNext/>
        <w:keepLines/>
        <w:widowControl/>
        <w:spacing w:line="520" w:lineRule="exact"/>
        <w:ind w:firstLine="482"/>
        <w:rPr>
          <w:rFonts w:hAnsi="宋体" w:cs="Times New Roman"/>
          <w:b/>
          <w:bCs/>
          <w:sz w:val="24"/>
          <w:szCs w:val="24"/>
        </w:rPr>
      </w:pPr>
      <w:r>
        <w:rPr>
          <w:rFonts w:hint="eastAsia" w:hAnsi="宋体"/>
          <w:b/>
          <w:bCs/>
          <w:sz w:val="24"/>
          <w:szCs w:val="24"/>
        </w:rPr>
        <w:t>二、合同金额</w:t>
      </w:r>
    </w:p>
    <w:p w14:paraId="5612D40D">
      <w:pPr>
        <w:pStyle w:val="24"/>
        <w:keepNext/>
        <w:keepLines/>
        <w:widowControl/>
        <w:spacing w:line="520" w:lineRule="exact"/>
        <w:ind w:firstLine="480"/>
        <w:rPr>
          <w:rFonts w:hAnsi="宋体" w:cs="Times New Roman"/>
          <w:sz w:val="24"/>
          <w:szCs w:val="24"/>
        </w:rPr>
      </w:pPr>
      <w:r>
        <w:rPr>
          <w:rFonts w:hAnsi="宋体"/>
          <w:sz w:val="24"/>
          <w:szCs w:val="24"/>
        </w:rPr>
        <w:t>2.1</w:t>
      </w:r>
      <w:r>
        <w:rPr>
          <w:rFonts w:hint="eastAsia" w:hAnsi="宋体"/>
          <w:sz w:val="24"/>
          <w:szCs w:val="24"/>
        </w:rPr>
        <w:t>本合同总金额为：人民币（大写）</w:t>
      </w:r>
      <w:r>
        <w:rPr>
          <w:rFonts w:hAnsi="宋体"/>
          <w:sz w:val="24"/>
          <w:szCs w:val="24"/>
          <w:u w:val="single"/>
        </w:rPr>
        <w:t xml:space="preserve">         </w:t>
      </w:r>
      <w:r>
        <w:rPr>
          <w:rFonts w:hint="eastAsia" w:hAnsi="宋体"/>
          <w:sz w:val="24"/>
          <w:szCs w:val="24"/>
        </w:rPr>
        <w:t>圆整（</w:t>
      </w:r>
      <w:r>
        <w:rPr>
          <w:rFonts w:hAnsi="宋体" w:cs="Times New Roman"/>
          <w:sz w:val="24"/>
          <w:szCs w:val="24"/>
        </w:rPr>
        <w:t>¥</w:t>
      </w:r>
      <w:r>
        <w:rPr>
          <w:rFonts w:hAnsi="宋体"/>
          <w:sz w:val="24"/>
          <w:szCs w:val="24"/>
          <w:u w:val="single"/>
        </w:rPr>
        <w:t xml:space="preserve">         </w:t>
      </w:r>
      <w:r>
        <w:rPr>
          <w:rFonts w:hint="eastAsia" w:hAnsi="宋体"/>
          <w:sz w:val="24"/>
          <w:szCs w:val="24"/>
          <w:u w:val="single"/>
        </w:rPr>
        <w:t>元</w:t>
      </w:r>
      <w:r>
        <w:rPr>
          <w:rFonts w:hint="eastAsia" w:hAnsi="宋体"/>
          <w:sz w:val="24"/>
          <w:szCs w:val="24"/>
        </w:rPr>
        <w:t>）。</w:t>
      </w:r>
    </w:p>
    <w:p w14:paraId="6977AD7A">
      <w:pPr>
        <w:keepNext/>
        <w:keepLines/>
        <w:widowControl/>
        <w:spacing w:line="520" w:lineRule="exact"/>
        <w:ind w:firstLine="480"/>
        <w:rPr>
          <w:rFonts w:ascii="宋体" w:cs="Times New Roman"/>
          <w:sz w:val="24"/>
          <w:szCs w:val="24"/>
        </w:rPr>
      </w:pPr>
      <w:r>
        <w:rPr>
          <w:rFonts w:ascii="宋体" w:hAnsi="宋体" w:cs="宋体"/>
          <w:sz w:val="24"/>
          <w:szCs w:val="24"/>
        </w:rPr>
        <w:t>2.2</w:t>
      </w:r>
      <w:r>
        <w:rPr>
          <w:rFonts w:hint="eastAsia" w:ascii="宋体" w:hAnsi="宋体" w:cs="宋体"/>
          <w:sz w:val="24"/>
          <w:szCs w:val="24"/>
        </w:rPr>
        <w:t>本合同价是指乙方为完成采购文件、项目需求中确定的所有内容的全部费用。乙方已充分考虑为完成上述内容所必须的全部服务所需的所有费用，即包括全部技术服务费、材料费、交通费、调查费、利润、不可预见费、各类风险、政策性调整及其他一切相关费用和税金。乙方所有人员的工资、社保（五险一金）等各项费用均由乙方自行承担。招标文件中另有规定的除外。各类风险和政策性调整等风险已包括在合同价中，最终结算时除合同约定调整外一律不予调整。</w:t>
      </w:r>
    </w:p>
    <w:p w14:paraId="1EA6E007">
      <w:pPr>
        <w:pStyle w:val="24"/>
        <w:keepNext/>
        <w:keepLines/>
        <w:widowControl/>
        <w:spacing w:line="520" w:lineRule="exact"/>
        <w:ind w:firstLine="482"/>
        <w:rPr>
          <w:rFonts w:hAnsi="宋体" w:cs="Times New Roman"/>
          <w:b/>
          <w:bCs/>
          <w:sz w:val="24"/>
          <w:szCs w:val="24"/>
        </w:rPr>
      </w:pPr>
      <w:r>
        <w:rPr>
          <w:rFonts w:hint="eastAsia" w:hAnsi="宋体"/>
          <w:b/>
          <w:bCs/>
          <w:sz w:val="24"/>
          <w:szCs w:val="24"/>
        </w:rPr>
        <w:t>三、技术资料</w:t>
      </w:r>
    </w:p>
    <w:p w14:paraId="37E2A159">
      <w:pPr>
        <w:keepNext/>
        <w:keepLines/>
        <w:widowControl/>
        <w:spacing w:line="520" w:lineRule="exact"/>
        <w:ind w:firstLine="480"/>
        <w:rPr>
          <w:rFonts w:ascii="宋体" w:cs="Times New Roman"/>
          <w:sz w:val="24"/>
          <w:szCs w:val="24"/>
        </w:rPr>
      </w:pPr>
      <w:r>
        <w:rPr>
          <w:rFonts w:ascii="宋体" w:hAnsi="宋体" w:cs="宋体"/>
          <w:sz w:val="24"/>
          <w:szCs w:val="24"/>
        </w:rPr>
        <w:t>3.1</w:t>
      </w:r>
      <w:r>
        <w:rPr>
          <w:rFonts w:hint="eastAsia" w:ascii="宋体" w:hAnsi="宋体" w:cs="宋体"/>
          <w:sz w:val="24"/>
          <w:szCs w:val="24"/>
        </w:rPr>
        <w:t>甲方向乙方提供有关服务的基础资料，乙方向甲方提供最终的成果资料。</w:t>
      </w:r>
    </w:p>
    <w:p w14:paraId="09A13952">
      <w:pPr>
        <w:keepNext/>
        <w:keepLines/>
        <w:widowControl/>
        <w:spacing w:line="520" w:lineRule="exact"/>
        <w:ind w:firstLine="480"/>
        <w:rPr>
          <w:rFonts w:ascii="宋体" w:cs="Times New Roman"/>
          <w:sz w:val="24"/>
          <w:szCs w:val="24"/>
        </w:rPr>
      </w:pPr>
      <w:r>
        <w:rPr>
          <w:rFonts w:ascii="宋体" w:hAnsi="宋体" w:cs="宋体"/>
          <w:sz w:val="24"/>
          <w:szCs w:val="24"/>
        </w:rPr>
        <w:t>3.2</w:t>
      </w:r>
      <w:r>
        <w:rPr>
          <w:rFonts w:hint="eastAsia" w:ascii="宋体" w:hAnsi="宋体" w:cs="宋体"/>
          <w:sz w:val="24"/>
          <w:szCs w:val="24"/>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F7AE5E6">
      <w:pPr>
        <w:pStyle w:val="24"/>
        <w:keepNext/>
        <w:keepLines/>
        <w:widowControl/>
        <w:spacing w:line="520" w:lineRule="exact"/>
        <w:ind w:firstLine="482"/>
        <w:rPr>
          <w:rFonts w:hAnsi="宋体" w:cs="Times New Roman"/>
          <w:b/>
          <w:bCs/>
          <w:sz w:val="24"/>
          <w:szCs w:val="24"/>
        </w:rPr>
      </w:pPr>
      <w:r>
        <w:rPr>
          <w:rFonts w:hint="eastAsia" w:hAnsi="宋体"/>
          <w:b/>
          <w:bCs/>
          <w:sz w:val="24"/>
          <w:szCs w:val="24"/>
        </w:rPr>
        <w:t>四、知识产权及成果权属</w:t>
      </w:r>
    </w:p>
    <w:p w14:paraId="5BACB45F">
      <w:pPr>
        <w:pStyle w:val="24"/>
        <w:keepNext/>
        <w:keepLines/>
        <w:widowControl/>
        <w:spacing w:line="520" w:lineRule="exact"/>
        <w:ind w:firstLine="480"/>
        <w:rPr>
          <w:rFonts w:hAnsi="宋体" w:cs="Times New Roman"/>
          <w:sz w:val="24"/>
          <w:szCs w:val="24"/>
        </w:rPr>
      </w:pPr>
      <w:r>
        <w:rPr>
          <w:rFonts w:hAnsi="宋体"/>
          <w:sz w:val="24"/>
          <w:szCs w:val="24"/>
        </w:rPr>
        <w:t xml:space="preserve">4.1 </w:t>
      </w:r>
      <w:r>
        <w:rPr>
          <w:rFonts w:hint="eastAsia" w:hAnsi="宋体"/>
          <w:sz w:val="24"/>
          <w:szCs w:val="24"/>
        </w:rPr>
        <w:t>乙方应保证甲方在使用、接受本合同产品和服务或其任何一部分时不受第三方提出侵犯其专利权、版权、商标权和工业设计权等知识产权的起诉。一旦出现侵权，由乙方负全部责任，同时消除对甲方产生的不良影响并赔偿相应损失。</w:t>
      </w:r>
    </w:p>
    <w:p w14:paraId="7BA49A46">
      <w:pPr>
        <w:pStyle w:val="24"/>
        <w:keepNext/>
        <w:keepLines/>
        <w:widowControl/>
        <w:spacing w:line="520" w:lineRule="exact"/>
        <w:ind w:firstLine="480"/>
        <w:rPr>
          <w:rFonts w:hAnsi="宋体" w:cs="Times New Roman"/>
          <w:sz w:val="24"/>
          <w:szCs w:val="24"/>
        </w:rPr>
      </w:pPr>
      <w:r>
        <w:rPr>
          <w:rFonts w:hAnsi="宋体"/>
          <w:sz w:val="24"/>
          <w:szCs w:val="24"/>
        </w:rPr>
        <w:t xml:space="preserve">4.2 </w:t>
      </w:r>
      <w:r>
        <w:rPr>
          <w:rFonts w:hint="eastAsia" w:hAnsi="宋体"/>
          <w:sz w:val="24"/>
          <w:szCs w:val="24"/>
        </w:rPr>
        <w:t>乙方保证所交付标的的所有权完全属于甲方。</w:t>
      </w:r>
    </w:p>
    <w:p w14:paraId="179C4043">
      <w:pPr>
        <w:pStyle w:val="24"/>
        <w:keepNext/>
        <w:keepLines/>
        <w:widowControl/>
        <w:spacing w:line="520" w:lineRule="exact"/>
        <w:ind w:firstLine="482"/>
        <w:rPr>
          <w:rFonts w:hAnsi="宋体" w:cs="Times New Roman"/>
          <w:b/>
          <w:bCs/>
          <w:sz w:val="24"/>
          <w:szCs w:val="24"/>
        </w:rPr>
      </w:pPr>
      <w:r>
        <w:rPr>
          <w:rFonts w:hint="eastAsia" w:hAnsi="宋体"/>
          <w:b/>
          <w:bCs/>
          <w:sz w:val="24"/>
          <w:szCs w:val="24"/>
        </w:rPr>
        <w:t>五、安全与保密</w:t>
      </w:r>
    </w:p>
    <w:p w14:paraId="1D17E093">
      <w:pPr>
        <w:keepNext/>
        <w:keepLines/>
        <w:widowControl/>
        <w:spacing w:line="520" w:lineRule="exact"/>
        <w:ind w:firstLine="482"/>
        <w:rPr>
          <w:rFonts w:ascii="宋体" w:cs="Times New Roman"/>
          <w:sz w:val="24"/>
          <w:szCs w:val="24"/>
        </w:rPr>
      </w:pPr>
      <w:r>
        <w:rPr>
          <w:rFonts w:ascii="宋体" w:hAnsi="宋体" w:cs="宋体"/>
          <w:sz w:val="24"/>
          <w:szCs w:val="24"/>
        </w:rPr>
        <w:t>5.1</w:t>
      </w:r>
      <w:r>
        <w:rPr>
          <w:rFonts w:hint="eastAsia" w:ascii="宋体" w:hAnsi="宋体" w:cs="宋体"/>
          <w:sz w:val="24"/>
          <w:szCs w:val="24"/>
        </w:rPr>
        <w:t>项目服务过程中涉及到的涉密和敏感图文资料、电子数据，编制单位应严格执行保密的相关规定，不得以任何方式向任何第三人披露、泄露或许可第三人使用。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4CCA6B7F">
      <w:pPr>
        <w:pStyle w:val="24"/>
        <w:keepNext/>
        <w:keepLines/>
        <w:widowControl/>
        <w:spacing w:line="520" w:lineRule="exact"/>
        <w:ind w:firstLine="482"/>
        <w:rPr>
          <w:rFonts w:hAnsi="宋体" w:cs="Times New Roman"/>
          <w:b/>
          <w:bCs/>
          <w:sz w:val="24"/>
          <w:szCs w:val="24"/>
        </w:rPr>
      </w:pPr>
      <w:r>
        <w:rPr>
          <w:rFonts w:hint="eastAsia" w:hAnsi="宋体"/>
          <w:b/>
          <w:bCs/>
          <w:sz w:val="24"/>
          <w:szCs w:val="24"/>
        </w:rPr>
        <w:t>六、履约保证金</w:t>
      </w:r>
    </w:p>
    <w:p w14:paraId="593ACFC7">
      <w:pPr>
        <w:pStyle w:val="24"/>
        <w:keepNext/>
        <w:keepLines/>
        <w:widowControl/>
        <w:spacing w:line="520" w:lineRule="exact"/>
        <w:ind w:firstLine="480"/>
        <w:rPr>
          <w:rFonts w:hAnsi="宋体" w:cs="Times New Roman"/>
          <w:sz w:val="24"/>
          <w:szCs w:val="24"/>
        </w:rPr>
      </w:pPr>
      <w:r>
        <w:rPr>
          <w:rFonts w:hAnsi="宋体"/>
          <w:sz w:val="24"/>
          <w:szCs w:val="24"/>
        </w:rPr>
        <w:t>6.1</w:t>
      </w:r>
      <w:r>
        <w:rPr>
          <w:rFonts w:hint="eastAsia" w:hAnsi="宋体"/>
          <w:sz w:val="24"/>
          <w:szCs w:val="24"/>
        </w:rPr>
        <w:t>乙方交纳人民币（大写）</w:t>
      </w:r>
      <w:r>
        <w:rPr>
          <w:rFonts w:hAnsi="宋体"/>
          <w:sz w:val="24"/>
          <w:szCs w:val="24"/>
          <w:u w:val="single"/>
        </w:rPr>
        <w:t xml:space="preserve">         </w:t>
      </w:r>
      <w:r>
        <w:rPr>
          <w:rFonts w:hint="eastAsia" w:hAnsi="宋体"/>
          <w:sz w:val="24"/>
          <w:szCs w:val="24"/>
        </w:rPr>
        <w:t>圆整（</w:t>
      </w:r>
      <w:r>
        <w:rPr>
          <w:rFonts w:hAnsi="宋体" w:cs="Times New Roman"/>
          <w:sz w:val="24"/>
          <w:szCs w:val="24"/>
        </w:rPr>
        <w:t>¥</w:t>
      </w:r>
      <w:r>
        <w:rPr>
          <w:rFonts w:hAnsi="宋体"/>
          <w:sz w:val="24"/>
          <w:szCs w:val="24"/>
          <w:u w:val="single"/>
        </w:rPr>
        <w:t xml:space="preserve">         </w:t>
      </w:r>
      <w:r>
        <w:rPr>
          <w:rFonts w:hint="eastAsia" w:hAnsi="宋体"/>
          <w:sz w:val="24"/>
          <w:szCs w:val="24"/>
          <w:u w:val="single"/>
        </w:rPr>
        <w:t>元</w:t>
      </w:r>
      <w:r>
        <w:rPr>
          <w:rFonts w:hint="eastAsia" w:hAnsi="宋体"/>
          <w:sz w:val="24"/>
          <w:szCs w:val="24"/>
        </w:rPr>
        <w:t>）作为本合同的履约保证金（合同金额的</w:t>
      </w:r>
      <w:r>
        <w:rPr>
          <w:rFonts w:hAnsi="宋体"/>
          <w:sz w:val="24"/>
          <w:szCs w:val="24"/>
        </w:rPr>
        <w:t>5%</w:t>
      </w:r>
      <w:r>
        <w:rPr>
          <w:rFonts w:hint="eastAsia" w:hAnsi="宋体"/>
          <w:sz w:val="24"/>
          <w:szCs w:val="24"/>
        </w:rPr>
        <w:t>）。引用盐城信用办推行的第三方信用报告，</w:t>
      </w:r>
      <w:r>
        <w:rPr>
          <w:rFonts w:hAnsi="宋体"/>
          <w:sz w:val="24"/>
          <w:szCs w:val="24"/>
        </w:rPr>
        <w:t>AAA</w:t>
      </w:r>
      <w:r>
        <w:rPr>
          <w:rFonts w:hint="eastAsia" w:hAnsi="宋体"/>
          <w:sz w:val="24"/>
          <w:szCs w:val="24"/>
        </w:rPr>
        <w:t>的供应商免交履约保证金，</w:t>
      </w:r>
      <w:r>
        <w:rPr>
          <w:rFonts w:hAnsi="宋体"/>
          <w:sz w:val="24"/>
          <w:szCs w:val="24"/>
        </w:rPr>
        <w:t>AA</w:t>
      </w:r>
      <w:r>
        <w:rPr>
          <w:rFonts w:hint="eastAsia" w:hAnsi="宋体"/>
          <w:sz w:val="24"/>
          <w:szCs w:val="24"/>
        </w:rPr>
        <w:t>的供应商按一半金额缴纳</w:t>
      </w:r>
      <w:r>
        <w:rPr>
          <w:rFonts w:hAnsi="宋体"/>
          <w:sz w:val="24"/>
          <w:szCs w:val="24"/>
        </w:rPr>
        <w:t>(</w:t>
      </w:r>
      <w:r>
        <w:rPr>
          <w:rFonts w:hint="eastAsia" w:hAnsi="宋体"/>
          <w:sz w:val="24"/>
          <w:szCs w:val="24"/>
        </w:rPr>
        <w:t>需提供信用管理部门备案的第三方信用报告</w:t>
      </w:r>
      <w:r>
        <w:rPr>
          <w:rFonts w:hAnsi="宋体"/>
          <w:sz w:val="24"/>
          <w:szCs w:val="24"/>
        </w:rPr>
        <w:t>)</w:t>
      </w:r>
      <w:r>
        <w:rPr>
          <w:rFonts w:hint="eastAsia" w:hAnsi="宋体"/>
          <w:sz w:val="24"/>
          <w:szCs w:val="24"/>
        </w:rPr>
        <w:t>。</w:t>
      </w:r>
    </w:p>
    <w:p w14:paraId="3064AEAF">
      <w:pPr>
        <w:pStyle w:val="24"/>
        <w:keepNext/>
        <w:keepLines/>
        <w:widowControl/>
        <w:spacing w:line="520" w:lineRule="exact"/>
        <w:ind w:firstLine="480"/>
        <w:rPr>
          <w:rFonts w:hAnsi="宋体" w:cs="Times New Roman"/>
          <w:sz w:val="24"/>
          <w:szCs w:val="24"/>
        </w:rPr>
      </w:pPr>
      <w:r>
        <w:rPr>
          <w:rFonts w:hAnsi="宋体"/>
          <w:sz w:val="24"/>
          <w:szCs w:val="24"/>
        </w:rPr>
        <w:t>6.2</w:t>
      </w:r>
      <w:r>
        <w:rPr>
          <w:rFonts w:hint="eastAsia" w:hAnsi="宋体"/>
          <w:sz w:val="24"/>
          <w:szCs w:val="24"/>
        </w:rPr>
        <w:t>确需收取履约保证金的，履约保证金的缴纳形式：</w:t>
      </w:r>
    </w:p>
    <w:p w14:paraId="3F7BD80D">
      <w:pPr>
        <w:pStyle w:val="24"/>
        <w:keepNext/>
        <w:keepLines/>
        <w:widowControl/>
        <w:spacing w:line="520" w:lineRule="exact"/>
        <w:ind w:firstLine="480"/>
        <w:rPr>
          <w:rFonts w:hAnsi="宋体" w:cs="Times New Roman"/>
          <w:sz w:val="24"/>
          <w:szCs w:val="24"/>
        </w:rPr>
      </w:pPr>
      <w:r>
        <w:rPr>
          <w:rFonts w:hAnsi="宋体"/>
          <w:sz w:val="24"/>
          <w:szCs w:val="24"/>
        </w:rPr>
        <w:t>6.2.1</w:t>
      </w:r>
      <w:r>
        <w:rPr>
          <w:rFonts w:hint="eastAsia" w:hAnsi="宋体"/>
          <w:sz w:val="24"/>
          <w:szCs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341BAB4B">
      <w:pPr>
        <w:pStyle w:val="24"/>
        <w:keepNext/>
        <w:keepLines/>
        <w:widowControl/>
        <w:spacing w:line="520" w:lineRule="exact"/>
        <w:ind w:firstLine="480"/>
        <w:rPr>
          <w:rFonts w:hAnsi="宋体" w:cs="Times New Roman"/>
          <w:sz w:val="24"/>
          <w:szCs w:val="24"/>
        </w:rPr>
      </w:pPr>
      <w:r>
        <w:rPr>
          <w:rFonts w:hAnsi="宋体"/>
          <w:sz w:val="24"/>
          <w:szCs w:val="24"/>
        </w:rPr>
        <w:t xml:space="preserve">6.2.2 </w:t>
      </w:r>
      <w:r>
        <w:rPr>
          <w:rFonts w:hint="eastAsia" w:hAnsi="宋体"/>
          <w:sz w:val="24"/>
          <w:szCs w:val="24"/>
        </w:rPr>
        <w:t>如以履约保函（保险）形式缴纳履约保证金，供应商可通过政府采购电子履约保函（保险）平台（</w:t>
      </w:r>
      <w:r>
        <w:rPr>
          <w:rFonts w:hAnsi="宋体"/>
          <w:sz w:val="24"/>
          <w:szCs w:val="24"/>
        </w:rPr>
        <w:t>www.jsdzbh.com</w:t>
      </w:r>
      <w:r>
        <w:rPr>
          <w:rFonts w:hint="eastAsia" w:hAnsi="宋体"/>
          <w:sz w:val="24"/>
          <w:szCs w:val="24"/>
        </w:rPr>
        <w:t>）在线申请履约保函（保险）。</w:t>
      </w:r>
    </w:p>
    <w:p w14:paraId="0F9B5C58">
      <w:pPr>
        <w:pStyle w:val="24"/>
        <w:keepNext/>
        <w:keepLines/>
        <w:widowControl/>
        <w:spacing w:line="520" w:lineRule="exact"/>
        <w:ind w:firstLine="480"/>
        <w:rPr>
          <w:rFonts w:hAnsi="宋体" w:cs="Times New Roman"/>
          <w:sz w:val="24"/>
          <w:szCs w:val="24"/>
        </w:rPr>
      </w:pPr>
      <w:r>
        <w:rPr>
          <w:rFonts w:hAnsi="宋体"/>
          <w:sz w:val="24"/>
          <w:szCs w:val="24"/>
        </w:rPr>
        <w:t>6.3</w:t>
      </w:r>
      <w:r>
        <w:rPr>
          <w:rFonts w:hint="eastAsia" w:hAnsi="宋体"/>
          <w:sz w:val="24"/>
          <w:szCs w:val="24"/>
        </w:rPr>
        <w:t>合同履行结束后，甲方应及时退还交纳的履约保证金。</w:t>
      </w:r>
    </w:p>
    <w:p w14:paraId="248A83E2">
      <w:pPr>
        <w:pStyle w:val="24"/>
        <w:keepNext/>
        <w:keepLines/>
        <w:widowControl/>
        <w:spacing w:line="520" w:lineRule="exact"/>
        <w:ind w:firstLine="480"/>
        <w:rPr>
          <w:rFonts w:hAnsi="宋体" w:cs="Times New Roman"/>
          <w:sz w:val="24"/>
          <w:szCs w:val="24"/>
        </w:rPr>
      </w:pPr>
      <w:r>
        <w:rPr>
          <w:rFonts w:hAnsi="宋体"/>
          <w:sz w:val="24"/>
          <w:szCs w:val="24"/>
        </w:rPr>
        <w:t>6.4</w:t>
      </w:r>
      <w:r>
        <w:rPr>
          <w:rFonts w:hint="eastAsia" w:hAnsi="宋体"/>
          <w:sz w:val="24"/>
          <w:szCs w:val="24"/>
        </w:rPr>
        <w:t>履约保证金的退还：</w:t>
      </w:r>
    </w:p>
    <w:p w14:paraId="76F9DE99">
      <w:pPr>
        <w:pStyle w:val="24"/>
        <w:keepNext/>
        <w:keepLines/>
        <w:widowControl/>
        <w:spacing w:line="520" w:lineRule="exact"/>
        <w:ind w:firstLine="480"/>
        <w:rPr>
          <w:rFonts w:hAnsi="宋体" w:cs="Times New Roman"/>
          <w:sz w:val="24"/>
          <w:szCs w:val="24"/>
        </w:rPr>
      </w:pPr>
      <w:r>
        <w:rPr>
          <w:rFonts w:hAnsi="宋体"/>
          <w:sz w:val="24"/>
          <w:szCs w:val="24"/>
        </w:rPr>
        <w:t>6.4.1</w:t>
      </w:r>
      <w:r>
        <w:rPr>
          <w:rFonts w:hint="eastAsia" w:hAnsi="宋体"/>
          <w:sz w:val="24"/>
          <w:szCs w:val="24"/>
        </w:rPr>
        <w:t>方式：无息退还至投标人缴纳履约保证金的账户。如为保函，在到期时自行失效。</w:t>
      </w:r>
    </w:p>
    <w:p w14:paraId="2C0CAEF3">
      <w:pPr>
        <w:keepNext/>
        <w:keepLines/>
        <w:widowControl/>
        <w:spacing w:line="460" w:lineRule="exact"/>
        <w:ind w:firstLine="480" w:firstLineChars="200"/>
        <w:rPr>
          <w:rFonts w:hAnsi="宋体" w:cs="Times New Roman"/>
          <w:sz w:val="24"/>
          <w:szCs w:val="24"/>
        </w:rPr>
      </w:pPr>
      <w:r>
        <w:rPr>
          <w:rFonts w:ascii="宋体" w:hAnsi="宋体" w:cs="宋体"/>
          <w:sz w:val="24"/>
          <w:szCs w:val="24"/>
        </w:rPr>
        <w:t>6.4.2</w:t>
      </w:r>
      <w:r>
        <w:rPr>
          <w:rFonts w:hint="eastAsia" w:ascii="宋体" w:hAnsi="宋体" w:cs="宋体"/>
          <w:sz w:val="24"/>
          <w:szCs w:val="24"/>
        </w:rPr>
        <w:t>时间：验收合格且采购人收到发票后</w:t>
      </w:r>
      <w:r>
        <w:rPr>
          <w:rFonts w:ascii="宋体" w:hAnsi="宋体" w:cs="宋体"/>
          <w:sz w:val="24"/>
          <w:szCs w:val="24"/>
        </w:rPr>
        <w:t>10</w:t>
      </w:r>
      <w:r>
        <w:rPr>
          <w:rFonts w:hint="eastAsia" w:ascii="宋体" w:hAnsi="宋体" w:cs="宋体"/>
          <w:sz w:val="24"/>
          <w:szCs w:val="24"/>
        </w:rPr>
        <w:t>个工作日内。</w:t>
      </w:r>
    </w:p>
    <w:p w14:paraId="190266B8">
      <w:pPr>
        <w:pStyle w:val="24"/>
        <w:keepNext/>
        <w:keepLines/>
        <w:widowControl/>
        <w:spacing w:line="520" w:lineRule="exact"/>
        <w:ind w:firstLine="480"/>
        <w:rPr>
          <w:rFonts w:hAnsi="宋体" w:cs="Times New Roman"/>
          <w:sz w:val="24"/>
          <w:szCs w:val="24"/>
        </w:rPr>
      </w:pPr>
      <w:r>
        <w:rPr>
          <w:rFonts w:hAnsi="宋体"/>
          <w:sz w:val="24"/>
          <w:szCs w:val="24"/>
        </w:rPr>
        <w:t>6.4.3</w:t>
      </w:r>
      <w:r>
        <w:rPr>
          <w:rFonts w:hint="eastAsia" w:hAnsi="宋体"/>
          <w:sz w:val="24"/>
          <w:szCs w:val="24"/>
        </w:rPr>
        <w:t>条件：按合同要求全部履约完成并经采购人验收合格，且采购人收到中标人出具的发票。</w:t>
      </w:r>
    </w:p>
    <w:p w14:paraId="230DFEA3">
      <w:pPr>
        <w:pStyle w:val="24"/>
        <w:keepNext/>
        <w:keepLines/>
        <w:widowControl/>
        <w:spacing w:line="520" w:lineRule="exact"/>
        <w:ind w:firstLine="480"/>
        <w:rPr>
          <w:rFonts w:hAnsi="宋体" w:cs="Times New Roman"/>
          <w:sz w:val="24"/>
          <w:szCs w:val="24"/>
        </w:rPr>
      </w:pPr>
      <w:r>
        <w:rPr>
          <w:rFonts w:hAnsi="宋体"/>
          <w:sz w:val="24"/>
          <w:szCs w:val="24"/>
        </w:rPr>
        <w:t>6.4.4</w:t>
      </w:r>
      <w:r>
        <w:rPr>
          <w:rFonts w:hint="eastAsia" w:hAnsi="宋体"/>
          <w:sz w:val="24"/>
          <w:szCs w:val="24"/>
        </w:rPr>
        <w:t>不予退还情形：</w:t>
      </w:r>
    </w:p>
    <w:p w14:paraId="7690A92D">
      <w:pPr>
        <w:pStyle w:val="24"/>
        <w:keepNext/>
        <w:keepLines/>
        <w:widowControl/>
        <w:spacing w:line="520" w:lineRule="exact"/>
        <w:ind w:firstLine="480"/>
        <w:rPr>
          <w:rFonts w:hAnsi="宋体" w:cs="Times New Roman"/>
          <w:sz w:val="24"/>
          <w:szCs w:val="24"/>
        </w:rPr>
      </w:pPr>
      <w:r>
        <w:rPr>
          <w:rFonts w:hint="eastAsia" w:hAnsi="宋体"/>
          <w:sz w:val="24"/>
          <w:szCs w:val="24"/>
        </w:rPr>
        <w:t>除不可抗力情况外，投标人出现下列情形之一的，其履约保证金，招标人将视情节决定不予退还或部分不予退还。</w:t>
      </w:r>
    </w:p>
    <w:p w14:paraId="5ADF034F">
      <w:pPr>
        <w:pStyle w:val="24"/>
        <w:keepNext/>
        <w:keepLines/>
        <w:widowControl/>
        <w:spacing w:line="520" w:lineRule="exact"/>
        <w:ind w:firstLine="480"/>
        <w:rPr>
          <w:rFonts w:hAnsi="宋体" w:cs="Times New Roman"/>
          <w:sz w:val="24"/>
          <w:szCs w:val="24"/>
        </w:rPr>
      </w:pPr>
      <w:r>
        <w:rPr>
          <w:rFonts w:hint="eastAsia" w:hAnsi="宋体"/>
          <w:sz w:val="24"/>
          <w:szCs w:val="24"/>
        </w:rPr>
        <w:t>（</w:t>
      </w:r>
      <w:r>
        <w:rPr>
          <w:rFonts w:hAnsi="宋体"/>
          <w:sz w:val="24"/>
          <w:szCs w:val="24"/>
        </w:rPr>
        <w:t>1</w:t>
      </w:r>
      <w:r>
        <w:rPr>
          <w:rFonts w:hint="eastAsia" w:hAnsi="宋体"/>
          <w:sz w:val="24"/>
          <w:szCs w:val="24"/>
        </w:rPr>
        <w:t>）中标人无正当理由拒绝签订合同的，或者在签订合同时向采购人提出附加条件或者更改合同实质性内容要求的；</w:t>
      </w:r>
    </w:p>
    <w:p w14:paraId="2C03F87D">
      <w:pPr>
        <w:pStyle w:val="24"/>
        <w:keepNext/>
        <w:keepLines/>
        <w:widowControl/>
        <w:spacing w:line="520" w:lineRule="exact"/>
        <w:ind w:firstLine="480"/>
        <w:rPr>
          <w:rFonts w:hAnsi="宋体" w:cs="Times New Roman"/>
          <w:sz w:val="24"/>
          <w:szCs w:val="24"/>
        </w:rPr>
      </w:pPr>
      <w:r>
        <w:rPr>
          <w:rFonts w:hint="eastAsia" w:hAnsi="宋体"/>
          <w:sz w:val="24"/>
          <w:szCs w:val="24"/>
        </w:rPr>
        <w:t>（</w:t>
      </w:r>
      <w:r>
        <w:rPr>
          <w:rFonts w:hAnsi="宋体"/>
          <w:sz w:val="24"/>
          <w:szCs w:val="24"/>
        </w:rPr>
        <w:t>2</w:t>
      </w:r>
      <w:r>
        <w:rPr>
          <w:rFonts w:hint="eastAsia" w:hAnsi="宋体"/>
          <w:sz w:val="24"/>
          <w:szCs w:val="24"/>
        </w:rPr>
        <w:t>）中标人不履行与采购人订立的合同的；</w:t>
      </w:r>
    </w:p>
    <w:p w14:paraId="559DE029">
      <w:pPr>
        <w:pStyle w:val="24"/>
        <w:keepNext/>
        <w:keepLines/>
        <w:widowControl/>
        <w:spacing w:line="520" w:lineRule="exact"/>
        <w:ind w:firstLine="480"/>
        <w:rPr>
          <w:rFonts w:hAnsi="宋体" w:cs="Times New Roman"/>
          <w:sz w:val="24"/>
          <w:szCs w:val="24"/>
        </w:rPr>
      </w:pPr>
      <w:r>
        <w:rPr>
          <w:rFonts w:hint="eastAsia" w:hAnsi="宋体"/>
          <w:sz w:val="24"/>
          <w:szCs w:val="24"/>
        </w:rPr>
        <w:t>（</w:t>
      </w:r>
      <w:r>
        <w:rPr>
          <w:rFonts w:hAnsi="宋体"/>
          <w:sz w:val="24"/>
          <w:szCs w:val="24"/>
        </w:rPr>
        <w:t>3</w:t>
      </w:r>
      <w:r>
        <w:rPr>
          <w:rFonts w:hint="eastAsia" w:hAnsi="宋体"/>
          <w:sz w:val="24"/>
          <w:szCs w:val="24"/>
        </w:rPr>
        <w:t>）中标人所供货物或服务不符合招标文件规定要求的；</w:t>
      </w:r>
    </w:p>
    <w:p w14:paraId="420D46D3">
      <w:pPr>
        <w:pStyle w:val="24"/>
        <w:keepNext/>
        <w:keepLines/>
        <w:widowControl/>
        <w:spacing w:line="520" w:lineRule="exact"/>
        <w:ind w:firstLine="480"/>
        <w:rPr>
          <w:rFonts w:hAnsi="宋体" w:cs="Times New Roman"/>
          <w:sz w:val="24"/>
          <w:szCs w:val="24"/>
        </w:rPr>
      </w:pPr>
      <w:r>
        <w:rPr>
          <w:rFonts w:hint="eastAsia" w:hAnsi="宋体"/>
          <w:sz w:val="24"/>
          <w:szCs w:val="24"/>
        </w:rPr>
        <w:t>（</w:t>
      </w:r>
      <w:r>
        <w:rPr>
          <w:rFonts w:hAnsi="宋体"/>
          <w:sz w:val="24"/>
          <w:szCs w:val="24"/>
        </w:rPr>
        <w:t>4</w:t>
      </w:r>
      <w:r>
        <w:rPr>
          <w:rFonts w:hint="eastAsia" w:hAnsi="宋体"/>
          <w:sz w:val="24"/>
          <w:szCs w:val="24"/>
        </w:rPr>
        <w:t>）中标人采取欺骗、弄虚作假方式投标的或与其它投标人串通投标的；</w:t>
      </w:r>
    </w:p>
    <w:p w14:paraId="08D78671">
      <w:pPr>
        <w:pStyle w:val="24"/>
        <w:keepNext/>
        <w:keepLines/>
        <w:widowControl/>
        <w:spacing w:line="520" w:lineRule="exact"/>
        <w:ind w:firstLine="480"/>
        <w:rPr>
          <w:rFonts w:hAnsi="宋体" w:cs="Times New Roman"/>
          <w:sz w:val="24"/>
          <w:szCs w:val="24"/>
        </w:rPr>
      </w:pPr>
      <w:r>
        <w:rPr>
          <w:rFonts w:hint="eastAsia" w:hAnsi="宋体"/>
          <w:sz w:val="24"/>
          <w:szCs w:val="24"/>
        </w:rPr>
        <w:t>（</w:t>
      </w:r>
      <w:r>
        <w:rPr>
          <w:rFonts w:hAnsi="宋体"/>
          <w:sz w:val="24"/>
          <w:szCs w:val="24"/>
        </w:rPr>
        <w:t>5</w:t>
      </w:r>
      <w:r>
        <w:rPr>
          <w:rFonts w:hint="eastAsia" w:hAnsi="宋体"/>
          <w:sz w:val="24"/>
          <w:szCs w:val="24"/>
        </w:rPr>
        <w:t>）中标人将合同内容转包、违法分包的；</w:t>
      </w:r>
    </w:p>
    <w:p w14:paraId="38A843EF">
      <w:pPr>
        <w:pStyle w:val="24"/>
        <w:keepNext/>
        <w:keepLines/>
        <w:widowControl/>
        <w:spacing w:line="520" w:lineRule="exact"/>
        <w:ind w:firstLine="480"/>
        <w:rPr>
          <w:rFonts w:hAnsi="宋体" w:cs="Times New Roman"/>
          <w:sz w:val="24"/>
          <w:szCs w:val="24"/>
        </w:rPr>
      </w:pPr>
      <w:r>
        <w:rPr>
          <w:rFonts w:hint="eastAsia" w:hAnsi="宋体"/>
          <w:sz w:val="24"/>
          <w:szCs w:val="24"/>
        </w:rPr>
        <w:t>（</w:t>
      </w:r>
      <w:r>
        <w:rPr>
          <w:rFonts w:hAnsi="宋体"/>
          <w:sz w:val="24"/>
          <w:szCs w:val="24"/>
        </w:rPr>
        <w:t>6</w:t>
      </w:r>
      <w:r>
        <w:rPr>
          <w:rFonts w:hint="eastAsia" w:hAnsi="宋体"/>
          <w:sz w:val="24"/>
          <w:szCs w:val="24"/>
        </w:rPr>
        <w:t>）中标人故意捏造事实或伪造证明材料，进行虚假恶意投诉或反映的。</w:t>
      </w:r>
    </w:p>
    <w:p w14:paraId="2CF3FF8F">
      <w:pPr>
        <w:pStyle w:val="24"/>
        <w:keepNext/>
        <w:keepLines/>
        <w:widowControl/>
        <w:spacing w:line="520" w:lineRule="exact"/>
        <w:ind w:firstLine="480"/>
        <w:rPr>
          <w:rFonts w:hAnsi="宋体" w:cs="Times New Roman"/>
          <w:sz w:val="24"/>
          <w:szCs w:val="24"/>
        </w:rPr>
      </w:pPr>
      <w:r>
        <w:rPr>
          <w:rFonts w:hAnsi="宋体"/>
          <w:sz w:val="24"/>
          <w:szCs w:val="24"/>
        </w:rPr>
        <w:t>6.4.5</w:t>
      </w:r>
      <w:r>
        <w:rPr>
          <w:rFonts w:hint="eastAsia" w:hAnsi="宋体"/>
          <w:sz w:val="24"/>
          <w:szCs w:val="24"/>
        </w:rPr>
        <w:t>逾期退还的违约责任：采购人逾期无故未退还履约保证金的，按中国人民银行同期贷款基准利率上浮</w:t>
      </w:r>
      <w:r>
        <w:rPr>
          <w:rFonts w:hAnsi="宋体"/>
          <w:sz w:val="24"/>
          <w:szCs w:val="24"/>
        </w:rPr>
        <w:t>20%</w:t>
      </w:r>
      <w:r>
        <w:rPr>
          <w:rFonts w:hint="eastAsia" w:hAnsi="宋体"/>
          <w:sz w:val="24"/>
          <w:szCs w:val="24"/>
        </w:rPr>
        <w:t>后的利率支付超期资金占用费，但因供应商自身原因导致无法及时退还的除外。</w:t>
      </w:r>
    </w:p>
    <w:p w14:paraId="7BC980E3">
      <w:pPr>
        <w:keepNext/>
        <w:keepLines/>
        <w:widowControl/>
        <w:spacing w:before="143" w:after="143" w:line="520" w:lineRule="exact"/>
        <w:ind w:firstLine="482"/>
        <w:rPr>
          <w:rFonts w:ascii="宋体" w:cs="Times New Roman"/>
          <w:b/>
          <w:bCs/>
          <w:sz w:val="24"/>
          <w:szCs w:val="24"/>
        </w:rPr>
      </w:pPr>
      <w:r>
        <w:rPr>
          <w:rFonts w:hint="eastAsia" w:ascii="宋体" w:hAnsi="宋体" w:cs="宋体"/>
          <w:b/>
          <w:bCs/>
          <w:sz w:val="24"/>
          <w:szCs w:val="24"/>
        </w:rPr>
        <w:t>七、合同转包或分包</w:t>
      </w:r>
    </w:p>
    <w:p w14:paraId="0D34CE30">
      <w:pPr>
        <w:pStyle w:val="24"/>
        <w:keepNext/>
        <w:keepLines/>
        <w:widowControl/>
        <w:spacing w:line="520" w:lineRule="exact"/>
        <w:ind w:firstLine="480"/>
        <w:rPr>
          <w:rFonts w:hAnsi="宋体" w:cs="Times New Roman"/>
          <w:sz w:val="24"/>
          <w:szCs w:val="24"/>
        </w:rPr>
      </w:pPr>
      <w:r>
        <w:rPr>
          <w:rFonts w:hAnsi="宋体"/>
          <w:sz w:val="24"/>
          <w:szCs w:val="24"/>
        </w:rPr>
        <w:t>7.1</w:t>
      </w:r>
      <w:r>
        <w:rPr>
          <w:rFonts w:hint="eastAsia" w:hAnsi="宋体"/>
          <w:sz w:val="24"/>
          <w:szCs w:val="24"/>
        </w:rPr>
        <w:t>乙方不得将合同标的转包给他人履行。</w:t>
      </w:r>
    </w:p>
    <w:p w14:paraId="7733ED4E">
      <w:pPr>
        <w:pStyle w:val="24"/>
        <w:keepNext/>
        <w:keepLines/>
        <w:widowControl/>
        <w:spacing w:line="520" w:lineRule="exact"/>
        <w:ind w:firstLine="480"/>
        <w:rPr>
          <w:rFonts w:hAnsi="宋体" w:cs="Times New Roman"/>
          <w:sz w:val="24"/>
          <w:szCs w:val="24"/>
        </w:rPr>
      </w:pPr>
      <w:r>
        <w:rPr>
          <w:rFonts w:hAnsi="宋体"/>
          <w:sz w:val="24"/>
          <w:szCs w:val="24"/>
        </w:rPr>
        <w:t>7.2</w:t>
      </w:r>
      <w:r>
        <w:rPr>
          <w:rFonts w:hint="eastAsia" w:hAnsi="宋体"/>
          <w:sz w:val="24"/>
          <w:szCs w:val="24"/>
        </w:rPr>
        <w:t>乙方不得将合同标的分包给他人履行。</w:t>
      </w:r>
    </w:p>
    <w:p w14:paraId="1AF6655A">
      <w:pPr>
        <w:pStyle w:val="24"/>
        <w:keepNext/>
        <w:keepLines/>
        <w:widowControl/>
        <w:spacing w:line="520" w:lineRule="exact"/>
        <w:ind w:firstLine="480"/>
        <w:rPr>
          <w:rFonts w:hAnsi="宋体" w:cs="Times New Roman"/>
          <w:sz w:val="24"/>
          <w:szCs w:val="24"/>
        </w:rPr>
      </w:pPr>
      <w:r>
        <w:rPr>
          <w:rFonts w:hAnsi="宋体"/>
          <w:sz w:val="24"/>
          <w:szCs w:val="24"/>
        </w:rPr>
        <w:t>7.3</w:t>
      </w:r>
      <w:r>
        <w:rPr>
          <w:rFonts w:hint="eastAsia" w:hAnsi="宋体"/>
          <w:sz w:val="24"/>
          <w:szCs w:val="24"/>
        </w:rPr>
        <w:t>乙方如有转包或未经甲方同意的分包行为，甲方有权给予终止合同。</w:t>
      </w:r>
    </w:p>
    <w:p w14:paraId="7430E213">
      <w:pPr>
        <w:pStyle w:val="24"/>
        <w:keepNext/>
        <w:keepLines/>
        <w:widowControl/>
        <w:spacing w:line="520" w:lineRule="exact"/>
        <w:ind w:firstLine="482"/>
        <w:rPr>
          <w:rFonts w:hAnsi="宋体" w:cs="Times New Roman"/>
          <w:b/>
          <w:bCs/>
          <w:sz w:val="24"/>
          <w:szCs w:val="24"/>
        </w:rPr>
      </w:pPr>
      <w:r>
        <w:rPr>
          <w:rFonts w:hint="eastAsia" w:hAnsi="宋体"/>
          <w:b/>
          <w:bCs/>
          <w:sz w:val="24"/>
          <w:szCs w:val="24"/>
        </w:rPr>
        <w:t>八、付款方式</w:t>
      </w:r>
    </w:p>
    <w:p w14:paraId="024AA7DB">
      <w:pPr>
        <w:keepNext/>
        <w:keepLines/>
        <w:widowControl/>
        <w:snapToGrid w:val="0"/>
        <w:spacing w:before="120" w:after="120" w:line="500" w:lineRule="exact"/>
        <w:ind w:firstLine="480" w:firstLineChars="200"/>
        <w:rPr>
          <w:rFonts w:hAnsi="宋体" w:cs="Times New Roman"/>
          <w:sz w:val="24"/>
          <w:szCs w:val="24"/>
          <w:highlight w:val="none"/>
        </w:rPr>
      </w:pPr>
      <w:r>
        <w:rPr>
          <w:rFonts w:ascii="宋体" w:hAnsi="宋体" w:cs="宋体"/>
          <w:sz w:val="24"/>
          <w:szCs w:val="24"/>
        </w:rPr>
        <w:t>8.1</w:t>
      </w:r>
      <w:r>
        <w:rPr>
          <w:rFonts w:hint="eastAsia" w:ascii="宋体" w:hAnsi="宋体" w:cs="宋体"/>
          <w:sz w:val="24"/>
          <w:szCs w:val="24"/>
        </w:rPr>
        <w:t>付款方</w:t>
      </w:r>
      <w:r>
        <w:rPr>
          <w:rFonts w:hint="eastAsia" w:ascii="宋体" w:hAnsi="宋体" w:cs="宋体"/>
          <w:sz w:val="24"/>
          <w:szCs w:val="24"/>
          <w:highlight w:val="none"/>
        </w:rPr>
        <w:t>式：</w:t>
      </w:r>
      <w:r>
        <w:rPr>
          <w:rFonts w:hint="eastAsia" w:ascii="宋体" w:hAnsi="宋体" w:eastAsia="宋体" w:cs="宋体"/>
          <w:color w:val="auto"/>
          <w:sz w:val="24"/>
          <w:szCs w:val="24"/>
          <w:highlight w:val="none"/>
        </w:rPr>
        <w:t>预付款支付比例为合同金额的30%，合同签订后，甲方在收到发票后10个工作日内将预付款支付到合同约定的乙方账户</w:t>
      </w:r>
      <w:r>
        <w:rPr>
          <w:rFonts w:hint="eastAsia" w:hAnsi="宋体" w:cs="宋体"/>
          <w:sz w:val="24"/>
          <w:szCs w:val="24"/>
          <w:highlight w:val="none"/>
        </w:rPr>
        <w:t>；详规动态更新和紧急性规划任务均按实际工作量计费（以项目结算清单为准），半年结算一次，合同期满按全部实际工作量支付余款。</w:t>
      </w:r>
    </w:p>
    <w:p w14:paraId="16A59526">
      <w:pPr>
        <w:keepNext/>
        <w:keepLines/>
        <w:widowControl/>
        <w:snapToGrid w:val="0"/>
        <w:spacing w:before="120" w:after="120" w:line="500" w:lineRule="exact"/>
        <w:ind w:firstLine="480" w:firstLineChars="200"/>
        <w:rPr>
          <w:rFonts w:ascii="宋体" w:cs="Times New Roman"/>
          <w:sz w:val="24"/>
          <w:szCs w:val="24"/>
          <w:highlight w:val="none"/>
        </w:rPr>
      </w:pPr>
      <w:r>
        <w:rPr>
          <w:rFonts w:hAnsi="宋体"/>
          <w:sz w:val="24"/>
          <w:szCs w:val="24"/>
          <w:highlight w:val="none"/>
        </w:rPr>
        <w:t>8.2</w:t>
      </w:r>
      <w:r>
        <w:rPr>
          <w:rFonts w:hint="eastAsia" w:hAnsi="宋体" w:cs="宋体"/>
          <w:sz w:val="24"/>
          <w:szCs w:val="24"/>
          <w:highlight w:val="none"/>
        </w:rPr>
        <w:t>当采购服务数量与实际服务数量不一致时，乙方应根据实际服务量服务，如实际服务量不足本次招标暂估量，最终以验收确认的数量按实结算（即实际服务量乘以成交单价进行计算）；如实际服务数量超过本次招标暂估量，则按中标总价进行结算。</w:t>
      </w:r>
    </w:p>
    <w:p w14:paraId="24F3E284">
      <w:pPr>
        <w:keepNext/>
        <w:keepLines/>
        <w:widowControl/>
        <w:spacing w:before="143" w:after="143" w:line="520" w:lineRule="exact"/>
        <w:ind w:firstLine="480"/>
        <w:rPr>
          <w:rFonts w:ascii="宋体" w:cs="Times New Roman"/>
          <w:sz w:val="24"/>
          <w:szCs w:val="24"/>
          <w:highlight w:val="none"/>
        </w:rPr>
      </w:pPr>
      <w:r>
        <w:rPr>
          <w:rFonts w:ascii="宋体" w:hAnsi="宋体" w:cs="宋体"/>
          <w:sz w:val="24"/>
          <w:szCs w:val="24"/>
          <w:highlight w:val="none"/>
        </w:rPr>
        <w:t>8.3</w:t>
      </w:r>
      <w:r>
        <w:rPr>
          <w:rFonts w:hint="eastAsia" w:ascii="宋体" w:hAnsi="宋体" w:cs="宋体"/>
          <w:sz w:val="24"/>
          <w:szCs w:val="24"/>
          <w:highlight w:val="none"/>
        </w:rPr>
        <w:t>如需向与财政部门签署融资合作协议的银行办理授信申请的</w:t>
      </w:r>
      <w:r>
        <w:rPr>
          <w:rFonts w:ascii="宋体" w:hAnsi="宋体" w:cs="宋体"/>
          <w:sz w:val="24"/>
          <w:szCs w:val="24"/>
          <w:highlight w:val="none"/>
        </w:rPr>
        <w:t xml:space="preserve">, </w:t>
      </w:r>
      <w:r>
        <w:rPr>
          <w:rFonts w:hint="eastAsia" w:ascii="宋体" w:hAnsi="宋体" w:cs="宋体"/>
          <w:sz w:val="24"/>
          <w:szCs w:val="24"/>
          <w:highlight w:val="none"/>
        </w:rPr>
        <w:t>需在协作银行开立结算户作为回款专用户</w:t>
      </w:r>
      <w:r>
        <w:rPr>
          <w:rFonts w:ascii="宋体" w:cs="宋体"/>
          <w:sz w:val="24"/>
          <w:szCs w:val="24"/>
          <w:highlight w:val="none"/>
        </w:rPr>
        <w:t>,</w:t>
      </w:r>
      <w:r>
        <w:rPr>
          <w:rFonts w:hint="eastAsia" w:ascii="宋体" w:hAnsi="宋体" w:cs="宋体"/>
          <w:sz w:val="24"/>
          <w:szCs w:val="24"/>
          <w:highlight w:val="none"/>
        </w:rPr>
        <w:t>作为该笔合同唯一的收款帐户，供货结束货款结算时，财政部门将政府采购款项直接支付到该账户。</w:t>
      </w:r>
    </w:p>
    <w:p w14:paraId="7CE0DE21">
      <w:pPr>
        <w:keepNext/>
        <w:keepLines/>
        <w:widowControl/>
        <w:spacing w:before="143" w:after="143" w:line="520" w:lineRule="exact"/>
        <w:ind w:firstLine="480"/>
        <w:rPr>
          <w:rFonts w:ascii="宋体" w:cs="Times New Roman"/>
          <w:sz w:val="24"/>
          <w:szCs w:val="24"/>
          <w:highlight w:val="none"/>
        </w:rPr>
      </w:pPr>
      <w:r>
        <w:rPr>
          <w:rFonts w:ascii="宋体" w:hAnsi="宋体" w:cs="宋体"/>
          <w:sz w:val="24"/>
          <w:szCs w:val="24"/>
          <w:highlight w:val="none"/>
        </w:rPr>
        <w:t>8.4</w:t>
      </w:r>
      <w:r>
        <w:rPr>
          <w:rFonts w:hint="eastAsia" w:ascii="宋体" w:hAnsi="宋体" w:cs="宋体"/>
          <w:sz w:val="24"/>
          <w:szCs w:val="24"/>
          <w:highlight w:val="none"/>
        </w:rPr>
        <w:t>根据《关于进一步提高政府采购透明度和采购效率相关事项的通知》财办库〔</w:t>
      </w:r>
      <w:r>
        <w:rPr>
          <w:rFonts w:ascii="宋体" w:hAnsi="宋体" w:cs="宋体"/>
          <w:sz w:val="24"/>
          <w:szCs w:val="24"/>
          <w:highlight w:val="none"/>
        </w:rPr>
        <w:t>2023</w:t>
      </w:r>
      <w:r>
        <w:rPr>
          <w:rFonts w:hint="eastAsia" w:ascii="宋体" w:hAnsi="宋体" w:cs="宋体"/>
          <w:sz w:val="24"/>
          <w:szCs w:val="24"/>
          <w:highlight w:val="none"/>
        </w:rPr>
        <w:t>〕</w:t>
      </w:r>
      <w:r>
        <w:rPr>
          <w:rFonts w:ascii="宋体" w:hAnsi="宋体" w:cs="宋体"/>
          <w:sz w:val="24"/>
          <w:szCs w:val="24"/>
          <w:highlight w:val="none"/>
        </w:rPr>
        <w:t>243</w:t>
      </w:r>
      <w:r>
        <w:rPr>
          <w:rFonts w:hint="eastAsia" w:ascii="宋体" w:hAnsi="宋体" w:cs="宋体"/>
          <w:sz w:val="24"/>
          <w:szCs w:val="24"/>
          <w:highlight w:val="none"/>
        </w:rPr>
        <w:t>号），对于满足合同约定支付条件的，采购人应当自收到发票后</w:t>
      </w:r>
      <w:r>
        <w:rPr>
          <w:rFonts w:ascii="宋体" w:hAnsi="宋体" w:cs="宋体"/>
          <w:sz w:val="24"/>
          <w:szCs w:val="24"/>
          <w:highlight w:val="none"/>
        </w:rPr>
        <w:t>10</w:t>
      </w:r>
      <w:r>
        <w:rPr>
          <w:rFonts w:hint="eastAsia" w:ascii="宋体" w:hAnsi="宋体" w:cs="宋体"/>
          <w:sz w:val="24"/>
          <w:szCs w:val="24"/>
          <w:highlight w:val="none"/>
        </w:rPr>
        <w:t>个工作日内将资金支付到合同约定的供应商账户，鼓励采购人完善内部流程，自收到发票后</w:t>
      </w:r>
      <w:r>
        <w:rPr>
          <w:rFonts w:ascii="宋体" w:hAnsi="宋体" w:cs="宋体"/>
          <w:sz w:val="24"/>
          <w:szCs w:val="24"/>
          <w:highlight w:val="none"/>
        </w:rPr>
        <w:t>1</w:t>
      </w:r>
      <w:r>
        <w:rPr>
          <w:rFonts w:hint="eastAsia" w:ascii="宋体" w:hAnsi="宋体" w:cs="宋体"/>
          <w:sz w:val="24"/>
          <w:szCs w:val="24"/>
          <w:highlight w:val="none"/>
        </w:rPr>
        <w:t>个工作日内完成资金支付事宜。</w:t>
      </w:r>
    </w:p>
    <w:p w14:paraId="1A5C3A6F">
      <w:pPr>
        <w:keepNext/>
        <w:keepLines/>
        <w:widowControl/>
        <w:spacing w:before="143" w:after="143" w:line="520" w:lineRule="exact"/>
        <w:ind w:firstLine="480"/>
        <w:rPr>
          <w:rFonts w:ascii="宋体" w:cs="Times New Roman"/>
          <w:sz w:val="24"/>
          <w:szCs w:val="24"/>
          <w:highlight w:val="none"/>
        </w:rPr>
      </w:pPr>
      <w:r>
        <w:rPr>
          <w:rFonts w:hint="eastAsia" w:ascii="宋体" w:hAnsi="宋体" w:cs="宋体"/>
          <w:sz w:val="24"/>
          <w:szCs w:val="24"/>
          <w:highlight w:val="none"/>
        </w:rPr>
        <w:t>注：以上付款均不计任何利息和相关费用，付款一律通过银行结转。每次付款前提是乙方已提供合法票据。</w:t>
      </w:r>
    </w:p>
    <w:p w14:paraId="28E34A37">
      <w:pPr>
        <w:keepNext/>
        <w:keepLines/>
        <w:widowControl/>
        <w:spacing w:before="143" w:after="143" w:line="520" w:lineRule="exact"/>
        <w:ind w:firstLine="482"/>
        <w:rPr>
          <w:rFonts w:ascii="宋体" w:cs="Times New Roman"/>
          <w:b/>
          <w:bCs/>
          <w:sz w:val="24"/>
          <w:szCs w:val="24"/>
          <w:highlight w:val="none"/>
        </w:rPr>
      </w:pPr>
      <w:r>
        <w:rPr>
          <w:rFonts w:hint="eastAsia" w:ascii="宋体" w:hAnsi="宋体" w:cs="宋体"/>
          <w:b/>
          <w:bCs/>
          <w:sz w:val="24"/>
          <w:szCs w:val="24"/>
          <w:highlight w:val="none"/>
        </w:rPr>
        <w:t>九、项目履约验收</w:t>
      </w:r>
    </w:p>
    <w:p w14:paraId="34401DCD">
      <w:pPr>
        <w:keepNext/>
        <w:keepLines/>
        <w:widowControl/>
        <w:snapToGrid w:val="0"/>
        <w:spacing w:beforeLines="50" w:afterLines="50" w:line="460" w:lineRule="exact"/>
        <w:ind w:firstLine="480" w:firstLineChars="200"/>
        <w:rPr>
          <w:rFonts w:ascii="宋体" w:cs="Times New Roman"/>
          <w:sz w:val="24"/>
          <w:szCs w:val="24"/>
          <w:highlight w:val="none"/>
        </w:rPr>
      </w:pPr>
      <w:r>
        <w:rPr>
          <w:rFonts w:ascii="宋体" w:hAnsi="宋体" w:cs="宋体"/>
          <w:sz w:val="24"/>
          <w:szCs w:val="24"/>
          <w:highlight w:val="none"/>
        </w:rPr>
        <w:t>9.1</w:t>
      </w:r>
      <w:r>
        <w:rPr>
          <w:rFonts w:hint="eastAsia" w:ascii="宋体" w:hAnsi="宋体" w:cs="宋体"/>
          <w:sz w:val="24"/>
          <w:szCs w:val="24"/>
          <w:highlight w:val="none"/>
        </w:rPr>
        <w:t>提交的成果资料符合相关规范、符合盐城市自然资源和规划局有关要求，并顺利通过省级检查。</w:t>
      </w:r>
    </w:p>
    <w:p w14:paraId="033AC044">
      <w:pPr>
        <w:keepNext/>
        <w:keepLines/>
        <w:widowControl/>
        <w:snapToGrid w:val="0"/>
        <w:spacing w:beforeLines="50" w:afterLines="50" w:line="460" w:lineRule="exact"/>
        <w:ind w:firstLine="480" w:firstLineChars="200"/>
        <w:rPr>
          <w:rFonts w:ascii="宋体" w:cs="Times New Roman"/>
          <w:sz w:val="24"/>
          <w:szCs w:val="24"/>
          <w:highlight w:val="none"/>
        </w:rPr>
      </w:pPr>
      <w:r>
        <w:rPr>
          <w:rFonts w:ascii="宋体" w:hAnsi="宋体" w:cs="宋体"/>
          <w:sz w:val="24"/>
          <w:szCs w:val="24"/>
          <w:highlight w:val="none"/>
        </w:rPr>
        <w:t>9.2</w:t>
      </w:r>
      <w:r>
        <w:rPr>
          <w:rFonts w:hint="eastAsia" w:ascii="宋体" w:hAnsi="宋体" w:cs="宋体"/>
          <w:sz w:val="24"/>
          <w:szCs w:val="24"/>
          <w:highlight w:val="none"/>
        </w:rPr>
        <w:t>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3919FF41">
      <w:pPr>
        <w:keepNext/>
        <w:keepLines/>
        <w:widowControl/>
        <w:snapToGrid w:val="0"/>
        <w:spacing w:beforeLines="50" w:afterLines="50" w:line="460" w:lineRule="exact"/>
        <w:ind w:firstLine="480" w:firstLineChars="200"/>
        <w:rPr>
          <w:rFonts w:ascii="宋体" w:cs="Times New Roman"/>
          <w:sz w:val="24"/>
          <w:szCs w:val="24"/>
          <w:highlight w:val="none"/>
        </w:rPr>
      </w:pPr>
      <w:r>
        <w:rPr>
          <w:rFonts w:ascii="宋体" w:hAnsi="宋体" w:cs="宋体"/>
          <w:sz w:val="24"/>
          <w:szCs w:val="24"/>
          <w:highlight w:val="none"/>
        </w:rPr>
        <w:t>9.3</w:t>
      </w:r>
      <w:r>
        <w:rPr>
          <w:rFonts w:hint="eastAsia" w:ascii="宋体" w:hAnsi="宋体" w:cs="宋体"/>
          <w:sz w:val="24"/>
          <w:szCs w:val="24"/>
          <w:highlight w:val="none"/>
        </w:rPr>
        <w:t>对于实际使用人和甲方分离的项目，甲方邀请实际使用人参与验收。</w:t>
      </w:r>
    </w:p>
    <w:p w14:paraId="42497FDF">
      <w:pPr>
        <w:keepNext/>
        <w:keepLines/>
        <w:widowControl/>
        <w:snapToGrid w:val="0"/>
        <w:spacing w:beforeLines="50" w:afterLines="50" w:line="460" w:lineRule="exact"/>
        <w:ind w:firstLine="480" w:firstLineChars="200"/>
        <w:rPr>
          <w:rFonts w:ascii="宋体" w:cs="Times New Roman"/>
          <w:sz w:val="24"/>
          <w:szCs w:val="24"/>
        </w:rPr>
      </w:pPr>
      <w:r>
        <w:rPr>
          <w:rFonts w:ascii="宋体" w:hAnsi="宋体" w:cs="宋体"/>
          <w:sz w:val="24"/>
          <w:szCs w:val="24"/>
          <w:highlight w:val="none"/>
        </w:rPr>
        <w:t>9.4</w:t>
      </w:r>
      <w:r>
        <w:rPr>
          <w:rFonts w:hint="eastAsia" w:ascii="宋体" w:hAnsi="宋体" w:cs="宋体"/>
          <w:sz w:val="24"/>
          <w:szCs w:val="24"/>
          <w:highlight w:val="none"/>
        </w:rPr>
        <w:t>如有必要，甲方邀请参加本项目的其他供应商或第三方专业机构及专家参与验收，相关意见将作为验收书的参考资</w:t>
      </w:r>
      <w:r>
        <w:rPr>
          <w:rFonts w:hint="eastAsia" w:ascii="宋体" w:hAnsi="宋体" w:cs="宋体"/>
          <w:sz w:val="24"/>
          <w:szCs w:val="24"/>
        </w:rPr>
        <w:t>料。</w:t>
      </w:r>
    </w:p>
    <w:p w14:paraId="58BBAAAF">
      <w:pPr>
        <w:keepNext/>
        <w:keepLines/>
        <w:widowControl/>
        <w:snapToGrid w:val="0"/>
        <w:spacing w:beforeLines="50" w:afterLines="50" w:line="460" w:lineRule="exact"/>
        <w:ind w:firstLine="480" w:firstLineChars="200"/>
        <w:rPr>
          <w:rFonts w:ascii="宋体" w:cs="Times New Roman"/>
          <w:sz w:val="24"/>
          <w:szCs w:val="24"/>
        </w:rPr>
      </w:pPr>
      <w:r>
        <w:rPr>
          <w:rFonts w:ascii="宋体" w:hAnsi="宋体" w:cs="宋体"/>
          <w:sz w:val="24"/>
          <w:szCs w:val="24"/>
        </w:rPr>
        <w:t>9.5</w:t>
      </w:r>
      <w:r>
        <w:rPr>
          <w:rFonts w:hint="eastAsia" w:ascii="宋体" w:hAnsi="宋体" w:cs="宋体"/>
          <w:sz w:val="24"/>
          <w:szCs w:val="24"/>
        </w:rPr>
        <w:t>甲方成立验收小组，按照采购合同的约定对乙方的履约情况进行验收。验收时</w:t>
      </w:r>
      <w:r>
        <w:rPr>
          <w:rFonts w:ascii="宋体" w:cs="宋体"/>
          <w:sz w:val="24"/>
          <w:szCs w:val="24"/>
        </w:rPr>
        <w:t>,</w:t>
      </w:r>
      <w:r>
        <w:rPr>
          <w:rFonts w:hint="eastAsia" w:ascii="宋体" w:hAnsi="宋体" w:cs="宋体"/>
          <w:sz w:val="24"/>
          <w:szCs w:val="24"/>
        </w:rPr>
        <w:t>甲方按照采购合同的约定对每一项技术、服务、安全标准的履约情况进行确认。验收结束后</w:t>
      </w:r>
      <w:r>
        <w:rPr>
          <w:rFonts w:ascii="宋体" w:cs="宋体"/>
          <w:sz w:val="24"/>
          <w:szCs w:val="24"/>
        </w:rPr>
        <w:t>,</w:t>
      </w:r>
      <w:r>
        <w:rPr>
          <w:rFonts w:hint="eastAsia" w:ascii="宋体" w:hAnsi="宋体" w:cs="宋体"/>
          <w:sz w:val="24"/>
          <w:szCs w:val="24"/>
        </w:rPr>
        <w:t>验收小组出具验收书</w:t>
      </w:r>
      <w:r>
        <w:rPr>
          <w:rFonts w:ascii="宋体" w:cs="宋体"/>
          <w:sz w:val="24"/>
          <w:szCs w:val="24"/>
        </w:rPr>
        <w:t>,</w:t>
      </w:r>
      <w:r>
        <w:rPr>
          <w:rFonts w:hint="eastAsia" w:ascii="宋体" w:hAnsi="宋体" w:cs="宋体"/>
          <w:sz w:val="24"/>
          <w:szCs w:val="24"/>
        </w:rPr>
        <w:t>列明各项标准的验收情况及项目总体评价</w:t>
      </w:r>
      <w:r>
        <w:rPr>
          <w:rFonts w:ascii="宋体" w:cs="宋体"/>
          <w:sz w:val="24"/>
          <w:szCs w:val="24"/>
        </w:rPr>
        <w:t>,</w:t>
      </w:r>
      <w:r>
        <w:rPr>
          <w:rFonts w:hint="eastAsia" w:ascii="宋体" w:hAnsi="宋体" w:cs="宋体"/>
          <w:sz w:val="24"/>
          <w:szCs w:val="24"/>
        </w:rPr>
        <w:t>由验收双方共同签署。验收结果与采购合同约定的资金支付及履约保证金返还条件挂钩。履约验收的各项资料存档备查。</w:t>
      </w:r>
    </w:p>
    <w:p w14:paraId="20905259">
      <w:pPr>
        <w:keepNext/>
        <w:keepLines/>
        <w:widowControl/>
        <w:spacing w:line="460" w:lineRule="exact"/>
        <w:ind w:firstLine="480" w:firstLineChars="200"/>
        <w:rPr>
          <w:rFonts w:hAnsi="宋体" w:cs="Times New Roman"/>
          <w:b/>
          <w:bCs/>
          <w:sz w:val="24"/>
          <w:szCs w:val="24"/>
        </w:rPr>
      </w:pPr>
      <w:r>
        <w:rPr>
          <w:rFonts w:ascii="宋体" w:hAnsi="宋体" w:cs="宋体"/>
          <w:sz w:val="24"/>
          <w:szCs w:val="24"/>
        </w:rPr>
        <w:t>9.6</w:t>
      </w:r>
      <w:r>
        <w:rPr>
          <w:rFonts w:hint="eastAsia" w:ascii="宋体" w:hAnsi="宋体" w:cs="宋体"/>
          <w:sz w:val="24"/>
          <w:szCs w:val="24"/>
        </w:rPr>
        <w:t>验收合格的项目</w:t>
      </w:r>
      <w:r>
        <w:rPr>
          <w:rFonts w:ascii="宋体" w:cs="宋体"/>
          <w:sz w:val="24"/>
          <w:szCs w:val="24"/>
        </w:rPr>
        <w:t>,</w:t>
      </w:r>
      <w:r>
        <w:rPr>
          <w:rFonts w:hint="eastAsia" w:ascii="宋体" w:hAnsi="宋体" w:cs="宋体"/>
          <w:sz w:val="24"/>
          <w:szCs w:val="24"/>
        </w:rPr>
        <w:t>甲方根据采购合同的约定及时向乙方支付合同款项、退还履约保证金。验收不合格的项目，甲方有权解除合同，并要求乙方退还已支付的费用。采购合同的履行、违约责任和解决争议的方式等适用《中华人民共和国民法典》。乙方在履约过程中有政府采购法律法规规定的违法违规情形的</w:t>
      </w:r>
      <w:r>
        <w:rPr>
          <w:rFonts w:ascii="宋体" w:cs="宋体"/>
          <w:sz w:val="24"/>
          <w:szCs w:val="24"/>
        </w:rPr>
        <w:t>,</w:t>
      </w:r>
      <w:r>
        <w:rPr>
          <w:rFonts w:hint="eastAsia" w:ascii="宋体" w:hAnsi="宋体" w:cs="宋体"/>
          <w:sz w:val="24"/>
          <w:szCs w:val="24"/>
        </w:rPr>
        <w:t>甲方将及时报告本级财政部门。</w:t>
      </w:r>
    </w:p>
    <w:p w14:paraId="47DFF581">
      <w:pPr>
        <w:pStyle w:val="24"/>
        <w:keepNext/>
        <w:keepLines/>
        <w:widowControl/>
        <w:tabs>
          <w:tab w:val="left" w:pos="454"/>
        </w:tabs>
        <w:spacing w:before="120" w:after="120" w:line="520" w:lineRule="exact"/>
        <w:ind w:firstLine="482"/>
        <w:rPr>
          <w:rFonts w:hAnsi="宋体" w:cs="Times New Roman"/>
          <w:b/>
          <w:bCs/>
          <w:sz w:val="24"/>
          <w:szCs w:val="24"/>
        </w:rPr>
      </w:pPr>
      <w:r>
        <w:rPr>
          <w:rFonts w:hint="eastAsia" w:hAnsi="宋体"/>
          <w:b/>
          <w:bCs/>
          <w:sz w:val="24"/>
          <w:szCs w:val="24"/>
        </w:rPr>
        <w:t>十、双方的权利及义务</w:t>
      </w:r>
    </w:p>
    <w:p w14:paraId="2C44870D">
      <w:pPr>
        <w:pStyle w:val="24"/>
        <w:keepNext/>
        <w:keepLines/>
        <w:widowControl/>
        <w:tabs>
          <w:tab w:val="left" w:pos="454"/>
        </w:tabs>
        <w:spacing w:before="120" w:after="120" w:line="520" w:lineRule="exact"/>
        <w:ind w:firstLine="480"/>
        <w:rPr>
          <w:rFonts w:hAnsi="宋体" w:cs="Times New Roman"/>
          <w:sz w:val="24"/>
          <w:szCs w:val="24"/>
        </w:rPr>
      </w:pPr>
      <w:r>
        <w:rPr>
          <w:rFonts w:hAnsi="宋体"/>
          <w:sz w:val="24"/>
          <w:szCs w:val="24"/>
        </w:rPr>
        <w:t>10.1</w:t>
      </w:r>
      <w:r>
        <w:rPr>
          <w:rFonts w:hint="eastAsia" w:hAnsi="宋体"/>
          <w:sz w:val="24"/>
          <w:szCs w:val="24"/>
        </w:rPr>
        <w:t>甲方根据乙方需要，参与项目的相关讨论和调研活动，给予支持与指导。</w:t>
      </w:r>
    </w:p>
    <w:p w14:paraId="1F4943F1">
      <w:pPr>
        <w:pStyle w:val="24"/>
        <w:keepNext/>
        <w:keepLines/>
        <w:widowControl/>
        <w:tabs>
          <w:tab w:val="left" w:pos="454"/>
        </w:tabs>
        <w:spacing w:before="120" w:after="120" w:line="520" w:lineRule="exact"/>
        <w:ind w:firstLine="480"/>
        <w:rPr>
          <w:rFonts w:hAnsi="宋体" w:cs="Times New Roman"/>
          <w:sz w:val="24"/>
          <w:szCs w:val="24"/>
        </w:rPr>
      </w:pPr>
      <w:r>
        <w:rPr>
          <w:rFonts w:hAnsi="宋体"/>
          <w:sz w:val="24"/>
          <w:szCs w:val="24"/>
        </w:rPr>
        <w:t>10.2</w:t>
      </w:r>
      <w:r>
        <w:rPr>
          <w:rFonts w:hint="eastAsia" w:hAnsi="宋体"/>
          <w:sz w:val="24"/>
          <w:szCs w:val="24"/>
        </w:rPr>
        <w:t>甲方对乙方的工作进度和阶段性成果进行监督、检查。</w:t>
      </w:r>
    </w:p>
    <w:p w14:paraId="4385F049">
      <w:pPr>
        <w:pStyle w:val="24"/>
        <w:keepNext/>
        <w:keepLines/>
        <w:widowControl/>
        <w:tabs>
          <w:tab w:val="left" w:pos="454"/>
        </w:tabs>
        <w:spacing w:before="120" w:after="120" w:line="520" w:lineRule="exact"/>
        <w:ind w:firstLine="480"/>
        <w:rPr>
          <w:rFonts w:hAnsi="宋体" w:cs="Times New Roman"/>
          <w:sz w:val="24"/>
          <w:szCs w:val="24"/>
        </w:rPr>
      </w:pPr>
      <w:r>
        <w:rPr>
          <w:rFonts w:hAnsi="宋体"/>
          <w:sz w:val="24"/>
          <w:szCs w:val="24"/>
        </w:rPr>
        <w:t>10.3</w:t>
      </w:r>
      <w:r>
        <w:rPr>
          <w:rFonts w:hint="eastAsia" w:hAnsi="宋体"/>
          <w:sz w:val="24"/>
          <w:szCs w:val="24"/>
        </w:rPr>
        <w:t>甲方应在合同签订后三日内，提供项目各项背景材料及政策性文件。</w:t>
      </w:r>
    </w:p>
    <w:p w14:paraId="100303B1">
      <w:pPr>
        <w:pStyle w:val="24"/>
        <w:keepNext/>
        <w:keepLines/>
        <w:widowControl/>
        <w:tabs>
          <w:tab w:val="left" w:pos="454"/>
        </w:tabs>
        <w:spacing w:before="120" w:after="120" w:line="520" w:lineRule="exact"/>
        <w:ind w:firstLine="480"/>
        <w:rPr>
          <w:rFonts w:hAnsi="宋体" w:cs="Times New Roman"/>
          <w:sz w:val="24"/>
          <w:szCs w:val="24"/>
        </w:rPr>
      </w:pPr>
      <w:r>
        <w:rPr>
          <w:rFonts w:hAnsi="宋体"/>
          <w:sz w:val="24"/>
          <w:szCs w:val="24"/>
        </w:rPr>
        <w:t>10.4</w:t>
      </w:r>
      <w:r>
        <w:rPr>
          <w:rFonts w:hint="eastAsia" w:hAnsi="宋体"/>
          <w:sz w:val="24"/>
          <w:szCs w:val="24"/>
        </w:rPr>
        <w:t>乙方按照合同规定及甲方要求，按时按量完成工作，按甲方需要提交书面及电子文件。</w:t>
      </w:r>
    </w:p>
    <w:p w14:paraId="05F8F70B">
      <w:pPr>
        <w:pStyle w:val="24"/>
        <w:keepNext/>
        <w:keepLines/>
        <w:widowControl/>
        <w:tabs>
          <w:tab w:val="left" w:pos="454"/>
        </w:tabs>
        <w:spacing w:before="120" w:after="120" w:line="520" w:lineRule="exact"/>
        <w:ind w:firstLine="480"/>
        <w:rPr>
          <w:rFonts w:hAnsi="宋体" w:cs="Times New Roman"/>
          <w:sz w:val="24"/>
          <w:szCs w:val="24"/>
        </w:rPr>
      </w:pPr>
      <w:r>
        <w:rPr>
          <w:rFonts w:hAnsi="宋体"/>
          <w:sz w:val="24"/>
          <w:szCs w:val="24"/>
        </w:rPr>
        <w:t>10.5</w:t>
      </w:r>
      <w:r>
        <w:rPr>
          <w:rFonts w:hint="eastAsia" w:hAnsi="宋体"/>
          <w:sz w:val="24"/>
          <w:szCs w:val="24"/>
        </w:rPr>
        <w:t>乙方须按照本项目所涉要求制定项目实施方案并报甲方同意后实施项目，履行承诺，保证质量。</w:t>
      </w:r>
    </w:p>
    <w:p w14:paraId="5E6C38D5">
      <w:pPr>
        <w:pStyle w:val="24"/>
        <w:keepNext/>
        <w:keepLines/>
        <w:widowControl/>
        <w:tabs>
          <w:tab w:val="left" w:pos="454"/>
        </w:tabs>
        <w:spacing w:before="120" w:after="120" w:line="520" w:lineRule="exact"/>
        <w:ind w:firstLine="480"/>
        <w:rPr>
          <w:rFonts w:hAnsi="宋体" w:cs="Times New Roman"/>
          <w:sz w:val="24"/>
          <w:szCs w:val="24"/>
        </w:rPr>
      </w:pPr>
      <w:r>
        <w:rPr>
          <w:rFonts w:hAnsi="宋体"/>
          <w:sz w:val="24"/>
          <w:szCs w:val="24"/>
        </w:rPr>
        <w:t>10.6</w:t>
      </w:r>
      <w:r>
        <w:rPr>
          <w:rFonts w:hint="eastAsia" w:hAnsi="宋体"/>
          <w:sz w:val="24"/>
          <w:szCs w:val="24"/>
        </w:rPr>
        <w:t>甲方对乙方在项目实施中发生的违法、违规、违约行为，按法律规定、协议约定进行处理。</w:t>
      </w:r>
    </w:p>
    <w:p w14:paraId="007CB2B7">
      <w:pPr>
        <w:pStyle w:val="24"/>
        <w:keepNext/>
        <w:keepLines/>
        <w:widowControl/>
        <w:tabs>
          <w:tab w:val="left" w:pos="454"/>
        </w:tabs>
        <w:spacing w:before="120" w:after="120" w:line="520" w:lineRule="exact"/>
        <w:ind w:firstLine="480"/>
        <w:rPr>
          <w:rFonts w:hAnsi="宋体" w:cs="Times New Roman"/>
          <w:sz w:val="24"/>
          <w:szCs w:val="24"/>
        </w:rPr>
      </w:pPr>
      <w:r>
        <w:rPr>
          <w:rFonts w:hAnsi="宋体"/>
          <w:sz w:val="24"/>
          <w:szCs w:val="24"/>
        </w:rPr>
        <w:t>10.7</w:t>
      </w:r>
      <w:r>
        <w:rPr>
          <w:rFonts w:hint="eastAsia" w:hAnsi="宋体"/>
          <w:sz w:val="24"/>
          <w:szCs w:val="24"/>
        </w:rPr>
        <w:t>甲方须为乙方提供政策</w:t>
      </w:r>
      <w:r>
        <w:rPr>
          <w:rFonts w:hAnsi="宋体"/>
          <w:sz w:val="24"/>
          <w:szCs w:val="24"/>
        </w:rPr>
        <w:t xml:space="preserve">  </w:t>
      </w:r>
      <w:r>
        <w:rPr>
          <w:rFonts w:hint="eastAsia" w:hAnsi="宋体"/>
          <w:sz w:val="24"/>
          <w:szCs w:val="24"/>
        </w:rPr>
        <w:t>咨询及必要支持，在政策允许范围内协助乙方做好项目实施工作。</w:t>
      </w:r>
    </w:p>
    <w:p w14:paraId="51CB411C">
      <w:pPr>
        <w:pStyle w:val="24"/>
        <w:keepNext/>
        <w:keepLines/>
        <w:widowControl/>
        <w:tabs>
          <w:tab w:val="left" w:pos="454"/>
        </w:tabs>
        <w:spacing w:before="120" w:after="120" w:line="520" w:lineRule="exact"/>
        <w:ind w:firstLine="480"/>
        <w:rPr>
          <w:rFonts w:hAnsi="宋体" w:cs="Times New Roman"/>
          <w:sz w:val="24"/>
          <w:szCs w:val="24"/>
        </w:rPr>
      </w:pPr>
      <w:r>
        <w:rPr>
          <w:rFonts w:hAnsi="宋体"/>
          <w:sz w:val="24"/>
          <w:szCs w:val="24"/>
        </w:rPr>
        <w:t>10.8</w:t>
      </w:r>
      <w:r>
        <w:rPr>
          <w:rFonts w:hint="eastAsia" w:hAnsi="宋体"/>
          <w:sz w:val="24"/>
          <w:szCs w:val="24"/>
        </w:rPr>
        <w:t>在项目实施过程中，乙方不得向甲方提供虚假资料或信息。</w:t>
      </w:r>
    </w:p>
    <w:p w14:paraId="7E68EF63">
      <w:pPr>
        <w:pStyle w:val="24"/>
        <w:keepNext/>
        <w:keepLines/>
        <w:widowControl/>
        <w:tabs>
          <w:tab w:val="left" w:pos="454"/>
        </w:tabs>
        <w:spacing w:before="120" w:after="120" w:line="520" w:lineRule="exact"/>
        <w:ind w:firstLine="480"/>
        <w:rPr>
          <w:rFonts w:hAnsi="宋体" w:cs="Times New Roman"/>
          <w:sz w:val="24"/>
          <w:szCs w:val="24"/>
        </w:rPr>
      </w:pPr>
      <w:r>
        <w:rPr>
          <w:rFonts w:hAnsi="宋体"/>
          <w:sz w:val="24"/>
          <w:szCs w:val="24"/>
        </w:rPr>
        <w:t>10.9</w:t>
      </w:r>
      <w:r>
        <w:rPr>
          <w:rFonts w:hint="eastAsia" w:hAnsi="宋体"/>
          <w:sz w:val="24"/>
          <w:szCs w:val="24"/>
        </w:rPr>
        <w:t>乙方应主动接受并配合甲方及相关财政、审计等部门对本项目的检查、指导和监督。</w:t>
      </w:r>
    </w:p>
    <w:p w14:paraId="6B1BE751">
      <w:pPr>
        <w:pStyle w:val="24"/>
        <w:keepNext/>
        <w:keepLines/>
        <w:widowControl/>
        <w:tabs>
          <w:tab w:val="left" w:pos="454"/>
        </w:tabs>
        <w:spacing w:before="120" w:after="120" w:line="520" w:lineRule="exact"/>
        <w:ind w:firstLine="480"/>
        <w:rPr>
          <w:rFonts w:hAnsi="宋体" w:cs="Times New Roman"/>
          <w:sz w:val="24"/>
          <w:szCs w:val="24"/>
        </w:rPr>
      </w:pPr>
      <w:r>
        <w:rPr>
          <w:rFonts w:hAnsi="宋体"/>
          <w:sz w:val="24"/>
          <w:szCs w:val="24"/>
        </w:rPr>
        <w:t>10.10</w:t>
      </w:r>
      <w:r>
        <w:rPr>
          <w:rFonts w:hint="eastAsia" w:hAnsi="宋体"/>
          <w:sz w:val="24"/>
          <w:szCs w:val="24"/>
        </w:rPr>
        <w:t>乙方实施本项目产生的所有相关文字资料、影像资料、电子数据之知识产权均归甲方所有；未经甲方许可，乙方除可声明其为该项目承包方外不得对上述资料进行其他用途的使用。</w:t>
      </w:r>
    </w:p>
    <w:p w14:paraId="75D916F9">
      <w:pPr>
        <w:keepNext/>
        <w:keepLines/>
        <w:widowControl/>
        <w:spacing w:before="143" w:after="143" w:line="520" w:lineRule="exact"/>
        <w:ind w:firstLine="482"/>
        <w:rPr>
          <w:rFonts w:ascii="宋体" w:cs="Times New Roman"/>
          <w:sz w:val="24"/>
          <w:szCs w:val="24"/>
        </w:rPr>
      </w:pPr>
      <w:r>
        <w:rPr>
          <w:rFonts w:ascii="宋体" w:hAnsi="宋体" w:cs="宋体"/>
          <w:b/>
          <w:bCs/>
          <w:sz w:val="24"/>
          <w:szCs w:val="24"/>
        </w:rPr>
        <w:t>10.11</w:t>
      </w:r>
      <w:r>
        <w:rPr>
          <w:rFonts w:hint="eastAsia" w:ascii="宋体" w:hAnsi="宋体" w:cs="宋体"/>
          <w:b/>
          <w:bCs/>
          <w:sz w:val="24"/>
          <w:szCs w:val="24"/>
        </w:rPr>
        <w:t>双方应对在合同签订、履行过程中知悉的对方不公开信息予以保密，且该保密义务不因合同解除或履行完毕而终止。</w:t>
      </w:r>
    </w:p>
    <w:p w14:paraId="2C256E49">
      <w:pPr>
        <w:keepNext/>
        <w:keepLines/>
        <w:widowControl/>
        <w:spacing w:line="520" w:lineRule="exact"/>
        <w:ind w:firstLine="482"/>
        <w:rPr>
          <w:rFonts w:ascii="宋体" w:cs="Times New Roman"/>
          <w:b/>
          <w:bCs/>
          <w:sz w:val="24"/>
          <w:szCs w:val="24"/>
        </w:rPr>
      </w:pPr>
      <w:r>
        <w:rPr>
          <w:rFonts w:hint="eastAsia" w:ascii="宋体" w:hAnsi="宋体" w:cs="宋体"/>
          <w:b/>
          <w:bCs/>
          <w:sz w:val="24"/>
          <w:szCs w:val="24"/>
        </w:rPr>
        <w:t>十一、违约责任</w:t>
      </w:r>
    </w:p>
    <w:p w14:paraId="77E1E108">
      <w:pPr>
        <w:keepNext/>
        <w:keepLines/>
        <w:widowControl/>
        <w:spacing w:before="143" w:after="143" w:line="520" w:lineRule="exact"/>
        <w:ind w:firstLine="480"/>
        <w:rPr>
          <w:rFonts w:ascii="宋体" w:cs="Times New Roman"/>
          <w:sz w:val="24"/>
          <w:szCs w:val="24"/>
        </w:rPr>
      </w:pPr>
      <w:r>
        <w:rPr>
          <w:rFonts w:ascii="宋体" w:hAnsi="宋体" w:cs="宋体"/>
          <w:sz w:val="24"/>
          <w:szCs w:val="24"/>
        </w:rPr>
        <w:t>11.1</w:t>
      </w:r>
      <w:r>
        <w:rPr>
          <w:rFonts w:hint="eastAsia" w:ascii="宋体" w:hAnsi="宋体" w:cs="宋体"/>
          <w:sz w:val="24"/>
          <w:szCs w:val="24"/>
        </w:rPr>
        <w:t>若甲方未能接收服务成果，且无法提供合理的拒绝理由，甲方应向乙方支付相当于服务成果价值百分之五的违约金。但若甲方能证明拒收是由于乙方服务成果不符合合同约定标准或存在重大缺陷，甲方有权拒收而不承担此违约责任。</w:t>
      </w:r>
    </w:p>
    <w:p w14:paraId="6451B160">
      <w:pPr>
        <w:keepNext/>
        <w:keepLines/>
        <w:widowControl/>
        <w:spacing w:before="143" w:after="143" w:line="520" w:lineRule="exact"/>
        <w:ind w:firstLine="480"/>
        <w:rPr>
          <w:rFonts w:ascii="宋体" w:cs="Times New Roman"/>
          <w:sz w:val="24"/>
          <w:szCs w:val="24"/>
        </w:rPr>
      </w:pPr>
      <w:r>
        <w:rPr>
          <w:rFonts w:ascii="宋体" w:hAnsi="宋体" w:cs="宋体"/>
          <w:sz w:val="24"/>
          <w:szCs w:val="24"/>
        </w:rPr>
        <w:t>11.2</w:t>
      </w:r>
      <w:r>
        <w:rPr>
          <w:rFonts w:hint="eastAsia" w:ascii="宋体" w:hAnsi="宋体" w:cs="宋体"/>
          <w:sz w:val="24"/>
          <w:szCs w:val="24"/>
        </w:rPr>
        <w:t>甲方若因不可控因素导致验收或支付延迟，且已提前书面通知乙方并说明理由，不应视为无故逾期。在排除此类情形下，甲方若逾期验收或支付，应按逾期付款总额每日万分之五向乙方支付违约金，直至完成验收或支付完毕。</w:t>
      </w:r>
    </w:p>
    <w:p w14:paraId="2E208C5D">
      <w:pPr>
        <w:keepNext/>
        <w:keepLines/>
        <w:widowControl/>
        <w:spacing w:line="520" w:lineRule="exact"/>
        <w:ind w:firstLine="480"/>
        <w:rPr>
          <w:rFonts w:ascii="宋体" w:cs="Times New Roman"/>
          <w:sz w:val="24"/>
          <w:szCs w:val="24"/>
        </w:rPr>
      </w:pPr>
      <w:r>
        <w:rPr>
          <w:rFonts w:ascii="宋体" w:hAnsi="宋体" w:cs="宋体"/>
          <w:sz w:val="24"/>
          <w:szCs w:val="24"/>
        </w:rPr>
        <w:t>11.3</w:t>
      </w:r>
      <w:r>
        <w:rPr>
          <w:rFonts w:hint="eastAsia" w:ascii="宋体" w:hAnsi="宋体" w:cs="宋体"/>
          <w:sz w:val="24"/>
          <w:szCs w:val="24"/>
        </w:rPr>
        <w:t>乙方逾期交付服务成果或成果验收不符合要求的，乙方应按合同总额每日千分之六向甲方支付违约金。逾期超过约定日期</w:t>
      </w:r>
      <w:r>
        <w:rPr>
          <w:rFonts w:ascii="宋体" w:hAnsi="宋体" w:cs="宋体"/>
          <w:sz w:val="24"/>
          <w:szCs w:val="24"/>
        </w:rPr>
        <w:t>10</w:t>
      </w:r>
      <w:r>
        <w:rPr>
          <w:rFonts w:hint="eastAsia" w:ascii="宋体" w:hAnsi="宋体" w:cs="宋体"/>
          <w:sz w:val="24"/>
          <w:szCs w:val="24"/>
        </w:rPr>
        <w:t>个工作日不能交付的，甲方可解除本合同。甲方依法依约解除合同的，乙方应向甲方支付合同金额百分之五的违约金，乙方应退还预付款，甲方有权不再付款。如造成甲方损失超过违约金的，超出部分由乙方继续承担赔偿责任。</w:t>
      </w:r>
      <w:r>
        <w:rPr>
          <w:rFonts w:ascii="宋体" w:hAnsi="宋体" w:cs="宋体"/>
          <w:sz w:val="24"/>
          <w:szCs w:val="24"/>
        </w:rPr>
        <w:t xml:space="preserve"> </w:t>
      </w:r>
    </w:p>
    <w:p w14:paraId="36038721">
      <w:pPr>
        <w:keepNext/>
        <w:keepLines/>
        <w:widowControl/>
        <w:spacing w:line="520" w:lineRule="exact"/>
        <w:ind w:firstLine="480"/>
        <w:rPr>
          <w:rFonts w:ascii="宋体" w:cs="Times New Roman"/>
          <w:sz w:val="24"/>
          <w:szCs w:val="24"/>
        </w:rPr>
      </w:pPr>
      <w:r>
        <w:rPr>
          <w:rFonts w:ascii="宋体" w:hAnsi="宋体" w:cs="宋体"/>
          <w:sz w:val="24"/>
          <w:szCs w:val="24"/>
        </w:rPr>
        <w:t>11.4</w:t>
      </w:r>
      <w:r>
        <w:rPr>
          <w:rFonts w:hint="eastAsia" w:ascii="宋体" w:hAnsi="宋体" w:cs="宋体"/>
          <w:sz w:val="24"/>
          <w:szCs w:val="24"/>
        </w:rPr>
        <w:t>乙方所交的成果的技术参数、质量不符合合同规定及招标文件规定标准的，甲方有权拒收。</w:t>
      </w:r>
    </w:p>
    <w:p w14:paraId="24184502">
      <w:pPr>
        <w:keepNext/>
        <w:keepLines/>
        <w:widowControl/>
        <w:spacing w:line="520" w:lineRule="exact"/>
        <w:ind w:firstLine="480"/>
        <w:rPr>
          <w:rFonts w:ascii="宋体" w:cs="Times New Roman"/>
          <w:sz w:val="24"/>
          <w:szCs w:val="24"/>
        </w:rPr>
      </w:pPr>
      <w:r>
        <w:rPr>
          <w:rFonts w:ascii="宋体" w:hAnsi="宋体" w:cs="宋体"/>
          <w:sz w:val="24"/>
          <w:szCs w:val="24"/>
        </w:rPr>
        <w:t>11.5</w:t>
      </w:r>
      <w:r>
        <w:rPr>
          <w:rFonts w:hint="eastAsia" w:ascii="宋体" w:hAnsi="宋体" w:cs="宋体"/>
          <w:sz w:val="24"/>
          <w:szCs w:val="24"/>
        </w:rPr>
        <w:t>若乙方违反知识产权、保密条款，除支付违约金外，还应立即停止侵权行为，消除影响，并赔偿甲方因此遭受的损失。</w:t>
      </w:r>
    </w:p>
    <w:p w14:paraId="363BCD96">
      <w:pPr>
        <w:keepNext/>
        <w:keepLines/>
        <w:widowControl/>
        <w:spacing w:line="520" w:lineRule="exact"/>
        <w:ind w:firstLine="480"/>
        <w:rPr>
          <w:rFonts w:ascii="宋体" w:cs="Times New Roman"/>
          <w:b/>
          <w:bCs/>
          <w:sz w:val="24"/>
          <w:szCs w:val="24"/>
        </w:rPr>
      </w:pPr>
      <w:r>
        <w:rPr>
          <w:rFonts w:hint="eastAsia" w:ascii="宋体" w:hAnsi="宋体" w:cs="宋体"/>
          <w:b/>
          <w:bCs/>
          <w:sz w:val="24"/>
          <w:szCs w:val="24"/>
        </w:rPr>
        <w:t>十二、不可抗力事件处理</w:t>
      </w:r>
    </w:p>
    <w:p w14:paraId="6F3CC94B">
      <w:pPr>
        <w:pStyle w:val="24"/>
        <w:keepNext/>
        <w:keepLines/>
        <w:widowControl/>
        <w:tabs>
          <w:tab w:val="left" w:pos="454"/>
        </w:tabs>
        <w:spacing w:before="120" w:after="120" w:line="520" w:lineRule="exact"/>
        <w:ind w:firstLine="480"/>
        <w:rPr>
          <w:rFonts w:hAnsi="宋体" w:cs="Times New Roman"/>
          <w:sz w:val="24"/>
          <w:szCs w:val="24"/>
        </w:rPr>
      </w:pPr>
      <w:r>
        <w:rPr>
          <w:rFonts w:hAnsi="宋体"/>
          <w:sz w:val="24"/>
          <w:szCs w:val="24"/>
        </w:rPr>
        <w:t>12.1</w:t>
      </w:r>
      <w:r>
        <w:rPr>
          <w:rFonts w:hint="eastAsia" w:hAnsi="宋体"/>
          <w:sz w:val="24"/>
          <w:szCs w:val="24"/>
        </w:rPr>
        <w:t>在合同有效期内，任何一方因不可抗力事件导致不能履行合同，则合同履行期可延长，其延长期与不可抗力影响期相同。</w:t>
      </w:r>
    </w:p>
    <w:p w14:paraId="262476B6">
      <w:pPr>
        <w:pStyle w:val="24"/>
        <w:keepNext/>
        <w:keepLines/>
        <w:widowControl/>
        <w:tabs>
          <w:tab w:val="left" w:pos="454"/>
        </w:tabs>
        <w:spacing w:before="120" w:after="120" w:line="520" w:lineRule="exact"/>
        <w:ind w:firstLine="480"/>
        <w:rPr>
          <w:rFonts w:hAnsi="宋体" w:cs="Times New Roman"/>
          <w:sz w:val="24"/>
          <w:szCs w:val="24"/>
        </w:rPr>
      </w:pPr>
      <w:r>
        <w:rPr>
          <w:rFonts w:hAnsi="宋体"/>
          <w:sz w:val="24"/>
          <w:szCs w:val="24"/>
        </w:rPr>
        <w:t>12.2</w:t>
      </w:r>
      <w:r>
        <w:rPr>
          <w:rFonts w:hint="eastAsia" w:hAnsi="宋体"/>
          <w:sz w:val="24"/>
          <w:szCs w:val="24"/>
        </w:rPr>
        <w:t>不可抗力事件发生后，应立即通知对方，并寄送有关权威机构出具的证明。</w:t>
      </w:r>
    </w:p>
    <w:p w14:paraId="7831A8EC">
      <w:pPr>
        <w:pStyle w:val="24"/>
        <w:keepNext/>
        <w:keepLines/>
        <w:widowControl/>
        <w:spacing w:line="520" w:lineRule="exact"/>
        <w:ind w:firstLine="480"/>
        <w:rPr>
          <w:rFonts w:hAnsi="宋体" w:cs="Times New Roman"/>
          <w:sz w:val="24"/>
          <w:szCs w:val="24"/>
        </w:rPr>
      </w:pPr>
      <w:r>
        <w:rPr>
          <w:rFonts w:hAnsi="宋体"/>
          <w:sz w:val="24"/>
          <w:szCs w:val="24"/>
        </w:rPr>
        <w:t>12.3</w:t>
      </w:r>
      <w:r>
        <w:rPr>
          <w:rFonts w:hint="eastAsia" w:hAnsi="宋体"/>
          <w:sz w:val="24"/>
          <w:szCs w:val="24"/>
        </w:rPr>
        <w:t>不可抗力事件延续</w:t>
      </w:r>
      <w:r>
        <w:rPr>
          <w:rFonts w:hAnsi="宋体"/>
          <w:sz w:val="24"/>
          <w:szCs w:val="24"/>
        </w:rPr>
        <w:t>120</w:t>
      </w:r>
      <w:r>
        <w:rPr>
          <w:rFonts w:hint="eastAsia" w:hAnsi="宋体"/>
          <w:sz w:val="24"/>
          <w:szCs w:val="24"/>
        </w:rPr>
        <w:t>天以上，双方应通过友好协商，确定是否继续履行合同。</w:t>
      </w:r>
    </w:p>
    <w:p w14:paraId="0AF91324">
      <w:pPr>
        <w:pStyle w:val="24"/>
        <w:keepNext/>
        <w:keepLines/>
        <w:widowControl/>
        <w:spacing w:before="120" w:after="120" w:line="520" w:lineRule="exact"/>
        <w:ind w:firstLine="482"/>
        <w:rPr>
          <w:rFonts w:hAnsi="宋体" w:cs="Times New Roman"/>
          <w:b/>
          <w:bCs/>
          <w:sz w:val="24"/>
          <w:szCs w:val="24"/>
        </w:rPr>
      </w:pPr>
      <w:r>
        <w:rPr>
          <w:rFonts w:hint="eastAsia" w:hAnsi="宋体"/>
          <w:b/>
          <w:bCs/>
          <w:sz w:val="24"/>
          <w:szCs w:val="24"/>
        </w:rPr>
        <w:t>十三、解决争议的方法</w:t>
      </w:r>
    </w:p>
    <w:p w14:paraId="6ED50564">
      <w:pPr>
        <w:pStyle w:val="24"/>
        <w:keepNext/>
        <w:keepLines/>
        <w:widowControl/>
        <w:spacing w:line="520" w:lineRule="exact"/>
        <w:ind w:firstLine="480"/>
        <w:rPr>
          <w:rFonts w:hAnsi="宋体" w:cs="Times New Roman"/>
          <w:sz w:val="24"/>
          <w:szCs w:val="24"/>
        </w:rPr>
      </w:pPr>
      <w:r>
        <w:rPr>
          <w:rFonts w:hAnsi="宋体"/>
          <w:sz w:val="24"/>
          <w:szCs w:val="24"/>
        </w:rPr>
        <w:t>13.1</w:t>
      </w:r>
      <w:r>
        <w:rPr>
          <w:rFonts w:hint="eastAsia" w:hAnsi="宋体"/>
          <w:sz w:val="24"/>
          <w:szCs w:val="24"/>
        </w:rPr>
        <w:t>双方在签订、履行合同中所发生的一切争议，应通过友好协商解决。如协商不成，由甲方所在地人民法院管辖。</w:t>
      </w:r>
    </w:p>
    <w:p w14:paraId="3EECB0A8">
      <w:pPr>
        <w:pStyle w:val="24"/>
        <w:keepNext/>
        <w:keepLines/>
        <w:widowControl/>
        <w:spacing w:line="520" w:lineRule="exact"/>
        <w:ind w:firstLine="482"/>
        <w:rPr>
          <w:rFonts w:hAnsi="宋体" w:cs="Times New Roman"/>
          <w:b/>
          <w:bCs/>
          <w:sz w:val="24"/>
          <w:szCs w:val="24"/>
        </w:rPr>
      </w:pPr>
      <w:r>
        <w:rPr>
          <w:rFonts w:hint="eastAsia" w:hAnsi="宋体"/>
          <w:b/>
          <w:bCs/>
          <w:sz w:val="24"/>
          <w:szCs w:val="24"/>
        </w:rPr>
        <w:t>十四、合同生效及其它</w:t>
      </w:r>
    </w:p>
    <w:p w14:paraId="03258DBF">
      <w:pPr>
        <w:pStyle w:val="24"/>
        <w:keepNext/>
        <w:keepLines/>
        <w:widowControl/>
        <w:tabs>
          <w:tab w:val="left" w:pos="454"/>
        </w:tabs>
        <w:spacing w:before="120" w:after="120" w:line="520" w:lineRule="exact"/>
        <w:ind w:firstLine="480"/>
        <w:rPr>
          <w:rFonts w:hAnsi="宋体" w:cs="Times New Roman"/>
          <w:sz w:val="24"/>
          <w:szCs w:val="24"/>
        </w:rPr>
      </w:pPr>
      <w:r>
        <w:rPr>
          <w:rFonts w:hAnsi="宋体"/>
          <w:sz w:val="24"/>
          <w:szCs w:val="24"/>
        </w:rPr>
        <w:t>14.1</w:t>
      </w:r>
      <w:r>
        <w:rPr>
          <w:rFonts w:hint="eastAsia" w:hAnsi="宋体"/>
          <w:sz w:val="24"/>
          <w:szCs w:val="24"/>
        </w:rPr>
        <w:t>合同经双方法定代表人或授权委托代表人签字并加盖单位公章后生效。</w:t>
      </w:r>
    </w:p>
    <w:p w14:paraId="2AB9D691">
      <w:pPr>
        <w:pStyle w:val="24"/>
        <w:keepNext/>
        <w:keepLines/>
        <w:widowControl/>
        <w:tabs>
          <w:tab w:val="left" w:pos="454"/>
        </w:tabs>
        <w:snapToGrid w:val="0"/>
        <w:spacing w:before="120" w:after="120" w:line="520" w:lineRule="exact"/>
        <w:ind w:firstLine="480" w:firstLineChars="200"/>
        <w:rPr>
          <w:rFonts w:hAnsi="宋体" w:cs="Times New Roman"/>
          <w:sz w:val="24"/>
          <w:szCs w:val="24"/>
        </w:rPr>
      </w:pPr>
      <w:r>
        <w:rPr>
          <w:rFonts w:hAnsi="宋体"/>
          <w:sz w:val="24"/>
          <w:szCs w:val="24"/>
        </w:rPr>
        <w:t>14.2</w:t>
      </w:r>
      <w:r>
        <w:rPr>
          <w:rFonts w:hint="eastAsia" w:hAnsi="宋体"/>
          <w:sz w:val="24"/>
          <w:szCs w:val="24"/>
        </w:rPr>
        <w:t>本合同未尽事宜，遵照《中华人民共和国民法典》《中华人民共和国政府采购法》有关条文执行。</w:t>
      </w:r>
    </w:p>
    <w:p w14:paraId="3EFD7CA9">
      <w:pPr>
        <w:pStyle w:val="24"/>
        <w:keepNext/>
        <w:keepLines/>
        <w:widowControl/>
        <w:spacing w:line="520" w:lineRule="exact"/>
        <w:ind w:firstLine="480"/>
        <w:rPr>
          <w:rFonts w:hAnsi="宋体" w:cs="Times New Roman"/>
          <w:sz w:val="24"/>
          <w:szCs w:val="24"/>
        </w:rPr>
      </w:pPr>
      <w:r>
        <w:rPr>
          <w:rFonts w:hAnsi="宋体"/>
          <w:sz w:val="24"/>
          <w:szCs w:val="24"/>
        </w:rPr>
        <w:t>14.3</w:t>
      </w:r>
      <w:r>
        <w:rPr>
          <w:rFonts w:hint="eastAsia" w:hAnsi="宋体"/>
          <w:sz w:val="24"/>
          <w:szCs w:val="24"/>
        </w:rPr>
        <w:t>本合同一式陆份，甲方执叁份，乙方执叁份，自甲乙双方签字、盖章之日起生效。</w:t>
      </w:r>
    </w:p>
    <w:p w14:paraId="0129DB00">
      <w:pPr>
        <w:pStyle w:val="24"/>
        <w:keepNext/>
        <w:keepLines/>
        <w:widowControl/>
        <w:spacing w:line="520" w:lineRule="exact"/>
        <w:ind w:firstLine="480"/>
        <w:rPr>
          <w:rFonts w:hAnsi="宋体" w:cs="Times New Roman"/>
          <w:sz w:val="24"/>
          <w:szCs w:val="24"/>
        </w:rPr>
      </w:pPr>
    </w:p>
    <w:p w14:paraId="50C981A5">
      <w:pPr>
        <w:pStyle w:val="24"/>
        <w:keepNext/>
        <w:keepLines/>
        <w:widowControl/>
        <w:spacing w:line="520" w:lineRule="exact"/>
        <w:ind w:firstLine="480"/>
        <w:rPr>
          <w:rFonts w:hAnsi="宋体" w:cs="Times New Roman"/>
          <w:sz w:val="24"/>
          <w:szCs w:val="24"/>
        </w:rPr>
      </w:pPr>
    </w:p>
    <w:p w14:paraId="663C4FF9">
      <w:pPr>
        <w:pStyle w:val="24"/>
        <w:keepNext/>
        <w:keepLines/>
        <w:widowControl/>
        <w:spacing w:line="460" w:lineRule="exact"/>
        <w:ind w:firstLine="480"/>
        <w:rPr>
          <w:rFonts w:hAnsi="宋体" w:cs="Times New Roman"/>
          <w:sz w:val="24"/>
          <w:szCs w:val="24"/>
        </w:rPr>
      </w:pPr>
      <w:r>
        <w:rPr>
          <w:rFonts w:hint="eastAsia" w:hAnsi="宋体"/>
          <w:sz w:val="24"/>
          <w:szCs w:val="24"/>
        </w:rPr>
        <w:t>甲方：</w:t>
      </w:r>
      <w:r>
        <w:rPr>
          <w:rFonts w:hAnsi="宋体"/>
          <w:sz w:val="24"/>
          <w:szCs w:val="24"/>
        </w:rPr>
        <w:t xml:space="preserve">                                    </w:t>
      </w:r>
      <w:r>
        <w:rPr>
          <w:rFonts w:hint="eastAsia" w:hAnsi="宋体"/>
          <w:sz w:val="24"/>
          <w:szCs w:val="24"/>
        </w:rPr>
        <w:t>乙方：</w:t>
      </w:r>
    </w:p>
    <w:p w14:paraId="4F903BFF">
      <w:pPr>
        <w:pStyle w:val="24"/>
        <w:keepNext/>
        <w:keepLines/>
        <w:widowControl/>
        <w:spacing w:line="460" w:lineRule="exact"/>
        <w:ind w:firstLine="480"/>
        <w:rPr>
          <w:rFonts w:hAnsi="宋体" w:cs="Times New Roman"/>
          <w:sz w:val="24"/>
          <w:szCs w:val="24"/>
        </w:rPr>
      </w:pPr>
      <w:r>
        <w:rPr>
          <w:rFonts w:hint="eastAsia" w:hAnsi="宋体"/>
          <w:sz w:val="24"/>
          <w:szCs w:val="24"/>
        </w:rPr>
        <w:t>地址：</w:t>
      </w:r>
      <w:r>
        <w:rPr>
          <w:rFonts w:hAnsi="宋体"/>
          <w:sz w:val="24"/>
          <w:szCs w:val="24"/>
        </w:rPr>
        <w:t xml:space="preserve">                                    </w:t>
      </w:r>
      <w:r>
        <w:rPr>
          <w:rFonts w:hint="eastAsia" w:hAnsi="宋体"/>
          <w:sz w:val="24"/>
          <w:szCs w:val="24"/>
        </w:rPr>
        <w:t>地址：</w:t>
      </w:r>
    </w:p>
    <w:p w14:paraId="242D1A14">
      <w:pPr>
        <w:pStyle w:val="24"/>
        <w:keepNext/>
        <w:keepLines/>
        <w:widowControl/>
        <w:spacing w:line="460" w:lineRule="exact"/>
        <w:ind w:firstLine="480"/>
        <w:rPr>
          <w:rFonts w:hAnsi="宋体" w:cs="Times New Roman"/>
          <w:sz w:val="24"/>
          <w:szCs w:val="24"/>
        </w:rPr>
      </w:pPr>
      <w:r>
        <w:rPr>
          <w:rFonts w:hint="eastAsia" w:hAnsi="宋体"/>
          <w:sz w:val="24"/>
          <w:szCs w:val="24"/>
        </w:rPr>
        <w:t>法定代表人或授权代表：</w:t>
      </w:r>
      <w:r>
        <w:rPr>
          <w:rFonts w:hAnsi="宋体"/>
          <w:sz w:val="24"/>
          <w:szCs w:val="24"/>
        </w:rPr>
        <w:t xml:space="preserve">                    </w:t>
      </w:r>
      <w:r>
        <w:rPr>
          <w:rFonts w:hint="eastAsia" w:hAnsi="宋体"/>
          <w:sz w:val="24"/>
          <w:szCs w:val="24"/>
        </w:rPr>
        <w:t>法定代表人或授权代表：</w:t>
      </w:r>
    </w:p>
    <w:p w14:paraId="553C613B">
      <w:pPr>
        <w:pStyle w:val="24"/>
        <w:keepNext/>
        <w:keepLines/>
        <w:widowControl/>
        <w:spacing w:line="460" w:lineRule="exact"/>
        <w:ind w:firstLine="480"/>
        <w:rPr>
          <w:rFonts w:hAnsi="宋体" w:cs="Times New Roman"/>
          <w:sz w:val="24"/>
          <w:szCs w:val="24"/>
        </w:rPr>
      </w:pPr>
      <w:r>
        <w:rPr>
          <w:rFonts w:hint="eastAsia" w:hAnsi="宋体"/>
          <w:sz w:val="24"/>
          <w:szCs w:val="24"/>
        </w:rPr>
        <w:t>联系电话：</w:t>
      </w:r>
      <w:r>
        <w:rPr>
          <w:rFonts w:hAnsi="宋体"/>
          <w:sz w:val="24"/>
          <w:szCs w:val="24"/>
        </w:rPr>
        <w:t xml:space="preserve">                                </w:t>
      </w:r>
      <w:r>
        <w:rPr>
          <w:rFonts w:hint="eastAsia" w:hAnsi="宋体"/>
          <w:sz w:val="24"/>
          <w:szCs w:val="24"/>
        </w:rPr>
        <w:t>联系电话：</w:t>
      </w:r>
    </w:p>
    <w:p w14:paraId="6265443A">
      <w:pPr>
        <w:pStyle w:val="24"/>
        <w:keepNext/>
        <w:keepLines/>
        <w:widowControl/>
        <w:spacing w:line="460" w:lineRule="exact"/>
        <w:ind w:firstLine="480"/>
        <w:rPr>
          <w:rFonts w:hAnsi="宋体" w:cs="Times New Roman"/>
          <w:sz w:val="24"/>
          <w:szCs w:val="24"/>
        </w:rPr>
      </w:pPr>
      <w:r>
        <w:rPr>
          <w:rFonts w:hint="eastAsia" w:hAnsi="宋体"/>
          <w:sz w:val="24"/>
          <w:szCs w:val="24"/>
        </w:rPr>
        <w:t>年</w:t>
      </w:r>
      <w:r>
        <w:rPr>
          <w:rFonts w:hAnsi="宋体"/>
          <w:sz w:val="24"/>
          <w:szCs w:val="24"/>
        </w:rPr>
        <w:t xml:space="preserve">   </w:t>
      </w:r>
      <w:r>
        <w:rPr>
          <w:rFonts w:hint="eastAsia" w:hAnsi="宋体"/>
          <w:sz w:val="24"/>
          <w:szCs w:val="24"/>
        </w:rPr>
        <w:t>月</w:t>
      </w:r>
      <w:r>
        <w:rPr>
          <w:rFonts w:hAnsi="宋体"/>
          <w:sz w:val="24"/>
          <w:szCs w:val="24"/>
        </w:rPr>
        <w:t xml:space="preserve">   </w:t>
      </w:r>
      <w:r>
        <w:rPr>
          <w:rFonts w:hint="eastAsia" w:hAnsi="宋体"/>
          <w:sz w:val="24"/>
          <w:szCs w:val="24"/>
        </w:rPr>
        <w:t>日</w:t>
      </w:r>
      <w:r>
        <w:rPr>
          <w:rFonts w:hAnsi="宋体"/>
          <w:sz w:val="24"/>
          <w:szCs w:val="24"/>
        </w:rPr>
        <w:t xml:space="preserve">                              </w:t>
      </w:r>
      <w:r>
        <w:rPr>
          <w:rFonts w:hint="eastAsia" w:hAnsi="宋体"/>
          <w:sz w:val="24"/>
          <w:szCs w:val="24"/>
        </w:rPr>
        <w:t>年</w:t>
      </w:r>
      <w:r>
        <w:rPr>
          <w:rFonts w:hAnsi="宋体"/>
          <w:sz w:val="24"/>
          <w:szCs w:val="24"/>
        </w:rPr>
        <w:t xml:space="preserve">   </w:t>
      </w:r>
      <w:r>
        <w:rPr>
          <w:rFonts w:hint="eastAsia" w:hAnsi="宋体"/>
          <w:sz w:val="24"/>
          <w:szCs w:val="24"/>
        </w:rPr>
        <w:t>月</w:t>
      </w:r>
      <w:r>
        <w:rPr>
          <w:rFonts w:hAnsi="宋体"/>
          <w:sz w:val="24"/>
          <w:szCs w:val="24"/>
        </w:rPr>
        <w:t xml:space="preserve">   </w:t>
      </w:r>
      <w:r>
        <w:rPr>
          <w:rFonts w:hint="eastAsia" w:hAnsi="宋体"/>
          <w:sz w:val="24"/>
          <w:szCs w:val="24"/>
        </w:rPr>
        <w:t>日</w:t>
      </w:r>
    </w:p>
    <w:p w14:paraId="46B48D49">
      <w:pPr>
        <w:pStyle w:val="24"/>
        <w:keepNext/>
        <w:keepLines/>
        <w:widowControl/>
        <w:spacing w:line="460" w:lineRule="exact"/>
        <w:ind w:firstLine="480"/>
        <w:rPr>
          <w:rFonts w:hAnsi="宋体" w:cs="Times New Roman"/>
          <w:sz w:val="24"/>
          <w:szCs w:val="24"/>
        </w:rPr>
      </w:pPr>
    </w:p>
    <w:p w14:paraId="16F2C260">
      <w:pPr>
        <w:pStyle w:val="24"/>
        <w:keepNext/>
        <w:keepLines/>
        <w:widowControl/>
        <w:spacing w:line="460" w:lineRule="exact"/>
        <w:ind w:firstLine="480"/>
        <w:rPr>
          <w:rFonts w:hAnsi="宋体" w:cs="Times New Roman"/>
          <w:sz w:val="24"/>
          <w:szCs w:val="24"/>
        </w:rPr>
      </w:pPr>
    </w:p>
    <w:p w14:paraId="54B554DA">
      <w:pPr>
        <w:pStyle w:val="24"/>
        <w:keepNext/>
        <w:keepLines/>
        <w:widowControl/>
        <w:spacing w:line="460" w:lineRule="exact"/>
        <w:ind w:firstLine="480"/>
        <w:rPr>
          <w:rFonts w:hAnsi="宋体" w:cs="Times New Roman"/>
          <w:sz w:val="24"/>
          <w:szCs w:val="24"/>
        </w:rPr>
      </w:pPr>
    </w:p>
    <w:p w14:paraId="300ED93C">
      <w:pPr>
        <w:pStyle w:val="24"/>
        <w:keepNext/>
        <w:keepLines/>
        <w:widowControl/>
        <w:spacing w:line="460" w:lineRule="exact"/>
        <w:ind w:firstLine="480"/>
        <w:rPr>
          <w:rFonts w:hAnsi="宋体" w:cs="Times New Roman"/>
          <w:sz w:val="24"/>
          <w:szCs w:val="24"/>
        </w:rPr>
      </w:pPr>
    </w:p>
    <w:p w14:paraId="62354515">
      <w:pPr>
        <w:pStyle w:val="24"/>
        <w:keepNext/>
        <w:keepLines/>
        <w:widowControl/>
        <w:spacing w:line="460" w:lineRule="exact"/>
        <w:ind w:firstLine="480"/>
        <w:rPr>
          <w:rFonts w:hAnsi="宋体" w:cs="Times New Roman"/>
          <w:sz w:val="24"/>
          <w:szCs w:val="24"/>
        </w:rPr>
      </w:pPr>
    </w:p>
    <w:p w14:paraId="77DE2363">
      <w:pPr>
        <w:pStyle w:val="24"/>
        <w:keepNext/>
        <w:keepLines/>
        <w:widowControl/>
        <w:spacing w:line="460" w:lineRule="exact"/>
        <w:ind w:firstLine="480"/>
        <w:rPr>
          <w:rFonts w:hAnsi="宋体" w:cs="Times New Roman"/>
          <w:sz w:val="24"/>
          <w:szCs w:val="24"/>
        </w:rPr>
      </w:pPr>
    </w:p>
    <w:p w14:paraId="4081E273">
      <w:pPr>
        <w:pStyle w:val="24"/>
        <w:keepNext/>
        <w:keepLines/>
        <w:widowControl/>
        <w:spacing w:line="460" w:lineRule="exact"/>
        <w:ind w:firstLine="480"/>
        <w:rPr>
          <w:rFonts w:hAnsi="宋体" w:cs="Times New Roman"/>
          <w:sz w:val="24"/>
          <w:szCs w:val="24"/>
        </w:rPr>
      </w:pPr>
    </w:p>
    <w:p w14:paraId="78011790">
      <w:pPr>
        <w:pStyle w:val="24"/>
        <w:keepNext/>
        <w:keepLines/>
        <w:widowControl/>
        <w:spacing w:line="460" w:lineRule="exact"/>
        <w:ind w:firstLine="480"/>
        <w:rPr>
          <w:rFonts w:hAnsi="宋体" w:cs="Times New Roman"/>
          <w:sz w:val="24"/>
          <w:szCs w:val="24"/>
        </w:rPr>
      </w:pPr>
    </w:p>
    <w:p w14:paraId="39EE560C">
      <w:pPr>
        <w:pStyle w:val="24"/>
        <w:keepNext/>
        <w:keepLines/>
        <w:widowControl/>
        <w:spacing w:line="460" w:lineRule="exact"/>
        <w:ind w:firstLine="480"/>
        <w:rPr>
          <w:rFonts w:hAnsi="宋体" w:cs="Times New Roman"/>
          <w:sz w:val="24"/>
          <w:szCs w:val="24"/>
        </w:rPr>
      </w:pPr>
    </w:p>
    <w:p w14:paraId="4DD07B36">
      <w:pPr>
        <w:pStyle w:val="24"/>
        <w:keepNext/>
        <w:keepLines/>
        <w:widowControl/>
        <w:spacing w:line="460" w:lineRule="exact"/>
        <w:ind w:firstLine="480"/>
        <w:rPr>
          <w:rFonts w:hAnsi="宋体" w:cs="Times New Roman"/>
          <w:sz w:val="24"/>
          <w:szCs w:val="24"/>
        </w:rPr>
      </w:pPr>
    </w:p>
    <w:p w14:paraId="1D611206">
      <w:pPr>
        <w:pStyle w:val="24"/>
        <w:keepNext/>
        <w:keepLines/>
        <w:widowControl/>
        <w:spacing w:line="460" w:lineRule="exact"/>
        <w:ind w:firstLine="480"/>
        <w:rPr>
          <w:rFonts w:hAnsi="宋体" w:cs="Times New Roman"/>
          <w:sz w:val="24"/>
          <w:szCs w:val="24"/>
        </w:rPr>
      </w:pPr>
    </w:p>
    <w:p w14:paraId="560B91F4">
      <w:pPr>
        <w:pStyle w:val="24"/>
        <w:keepNext/>
        <w:keepLines/>
        <w:widowControl/>
        <w:spacing w:line="460" w:lineRule="exact"/>
        <w:ind w:firstLine="480"/>
        <w:rPr>
          <w:rFonts w:hAnsi="宋体" w:cs="Times New Roman"/>
          <w:sz w:val="24"/>
          <w:szCs w:val="24"/>
        </w:rPr>
      </w:pPr>
    </w:p>
    <w:p w14:paraId="4097B2CB">
      <w:pPr>
        <w:pStyle w:val="3"/>
        <w:widowControl/>
        <w:spacing w:line="240" w:lineRule="auto"/>
        <w:rPr>
          <w:rFonts w:hint="eastAsia" w:ascii="黑体" w:hAnsi="Times New Roman" w:eastAsia="黑体" w:cs="黑体"/>
          <w:b w:val="0"/>
          <w:bCs w:val="0"/>
        </w:rPr>
      </w:pPr>
    </w:p>
    <w:p w14:paraId="73EFB1EA">
      <w:pPr>
        <w:pStyle w:val="3"/>
        <w:widowControl/>
        <w:spacing w:line="240" w:lineRule="auto"/>
        <w:rPr>
          <w:rFonts w:hint="eastAsia" w:ascii="黑体" w:hAnsi="Times New Roman" w:eastAsia="黑体" w:cs="黑体"/>
          <w:b w:val="0"/>
          <w:bCs w:val="0"/>
        </w:rPr>
      </w:pPr>
    </w:p>
    <w:p w14:paraId="10F24351">
      <w:pPr>
        <w:pStyle w:val="3"/>
        <w:widowControl/>
        <w:spacing w:line="240" w:lineRule="auto"/>
        <w:rPr>
          <w:rFonts w:hint="eastAsia" w:ascii="黑体" w:hAnsi="Times New Roman" w:eastAsia="黑体" w:cs="黑体"/>
          <w:b w:val="0"/>
          <w:bCs w:val="0"/>
        </w:rPr>
      </w:pPr>
    </w:p>
    <w:p w14:paraId="3C8D31A5">
      <w:pPr>
        <w:pStyle w:val="3"/>
        <w:widowControl/>
        <w:spacing w:line="240" w:lineRule="auto"/>
        <w:rPr>
          <w:rFonts w:hint="eastAsia" w:ascii="黑体" w:hAnsi="Times New Roman" w:eastAsia="黑体" w:cs="黑体"/>
          <w:b w:val="0"/>
          <w:bCs w:val="0"/>
        </w:rPr>
      </w:pPr>
    </w:p>
    <w:p w14:paraId="118EE07E">
      <w:pPr>
        <w:pStyle w:val="3"/>
        <w:widowControl/>
        <w:spacing w:line="240" w:lineRule="auto"/>
        <w:jc w:val="both"/>
        <w:rPr>
          <w:rFonts w:hint="eastAsia" w:ascii="黑体" w:hAnsi="Times New Roman" w:eastAsia="黑体" w:cs="黑体"/>
          <w:b w:val="0"/>
          <w:bCs w:val="0"/>
        </w:rPr>
      </w:pPr>
    </w:p>
    <w:p w14:paraId="71273304">
      <w:pPr>
        <w:pStyle w:val="3"/>
        <w:widowControl/>
        <w:spacing w:line="240" w:lineRule="auto"/>
        <w:rPr>
          <w:rFonts w:ascii="宋体" w:hAnsi="宋体" w:eastAsia="宋体" w:cs="Times New Roman"/>
          <w:sz w:val="24"/>
          <w:szCs w:val="24"/>
        </w:rPr>
      </w:pPr>
      <w:r>
        <w:rPr>
          <w:rFonts w:hint="eastAsia" w:ascii="黑体" w:hAnsi="Times New Roman" w:eastAsia="黑体" w:cs="黑体"/>
          <w:b w:val="0"/>
          <w:bCs w:val="0"/>
        </w:rPr>
        <w:t>第四章</w:t>
      </w:r>
      <w:r>
        <w:rPr>
          <w:rFonts w:ascii="黑体" w:hAnsi="Times New Roman" w:eastAsia="黑体" w:cs="黑体"/>
        </w:rPr>
        <w:t xml:space="preserve"> </w:t>
      </w:r>
      <w:r>
        <w:rPr>
          <w:rFonts w:hint="eastAsia" w:ascii="黑体" w:hAnsi="Times New Roman" w:eastAsia="黑体" w:cs="黑体"/>
        </w:rPr>
        <w:t>项目需求</w:t>
      </w:r>
    </w:p>
    <w:p w14:paraId="45855D10">
      <w:pPr>
        <w:keepNext/>
        <w:keepLines/>
        <w:widowControl/>
        <w:ind w:firstLine="482" w:firstLineChars="200"/>
        <w:jc w:val="left"/>
        <w:rPr>
          <w:rFonts w:ascii="宋体" w:cs="Times New Roman"/>
          <w:b/>
          <w:bCs/>
          <w:sz w:val="24"/>
          <w:szCs w:val="24"/>
        </w:rPr>
      </w:pPr>
      <w:r>
        <w:rPr>
          <w:rFonts w:hint="eastAsia" w:ascii="宋体" w:hAnsi="宋体" w:cs="宋体"/>
          <w:b/>
          <w:bCs/>
          <w:sz w:val="24"/>
          <w:szCs w:val="24"/>
        </w:rPr>
        <w:t>项目属性</w:t>
      </w:r>
      <w:r>
        <w:rPr>
          <w:rFonts w:ascii="宋体" w:hAnsi="宋体" w:cs="宋体"/>
          <w:b/>
          <w:bCs/>
          <w:sz w:val="24"/>
          <w:szCs w:val="24"/>
        </w:rPr>
        <w:t>:</w:t>
      </w:r>
      <w:r>
        <w:rPr>
          <w:rFonts w:hint="eastAsia" w:ascii="宋体" w:hAnsi="宋体" w:cs="宋体"/>
          <w:b/>
          <w:bCs/>
          <w:sz w:val="24"/>
          <w:szCs w:val="24"/>
        </w:rPr>
        <w:t>服务类项目</w:t>
      </w:r>
    </w:p>
    <w:p w14:paraId="30DEE261">
      <w:pPr>
        <w:keepNext/>
        <w:keepLines/>
        <w:widowControl/>
        <w:spacing w:line="580" w:lineRule="exact"/>
        <w:ind w:firstLine="472" w:firstLineChars="196"/>
        <w:jc w:val="left"/>
        <w:rPr>
          <w:rFonts w:ascii="宋体" w:cs="Times New Roman"/>
          <w:b/>
          <w:bCs/>
          <w:sz w:val="24"/>
          <w:szCs w:val="24"/>
        </w:rPr>
      </w:pPr>
      <w:r>
        <w:rPr>
          <w:rFonts w:hint="eastAsia" w:ascii="宋体" w:hAnsi="宋体" w:cs="宋体"/>
          <w:b/>
          <w:bCs/>
          <w:sz w:val="24"/>
          <w:szCs w:val="24"/>
        </w:rPr>
        <w:t>一、项目背景</w:t>
      </w:r>
    </w:p>
    <w:p w14:paraId="21504415">
      <w:pPr>
        <w:keepNext/>
        <w:keepLines/>
        <w:widowControl/>
        <w:spacing w:line="580" w:lineRule="exact"/>
        <w:ind w:firstLine="480" w:firstLineChars="200"/>
        <w:jc w:val="left"/>
        <w:rPr>
          <w:rFonts w:ascii="宋体" w:cs="Times New Roman"/>
          <w:b/>
          <w:bCs/>
          <w:sz w:val="24"/>
          <w:szCs w:val="24"/>
        </w:rPr>
      </w:pPr>
      <w:r>
        <w:rPr>
          <w:rFonts w:hint="eastAsia" w:ascii="宋体" w:hAnsi="宋体" w:cs="宋体"/>
          <w:sz w:val="24"/>
          <w:szCs w:val="24"/>
        </w:rPr>
        <w:t>依据《中共中央国务院关于建立国土空间规划体系并监督实施的若干意见》、《中共江苏省委江苏省人民政府关于建立全省国土空间体系并监督实施的意见》，为建立健全我市国土空间规划体系，规范详细规划编制和实施，适应地方发展需求，持续做好城市规划建设管理工作。</w:t>
      </w:r>
    </w:p>
    <w:p w14:paraId="71EF77AD">
      <w:pPr>
        <w:keepNext/>
        <w:keepLines/>
        <w:widowControl/>
        <w:spacing w:line="580" w:lineRule="exact"/>
        <w:ind w:firstLine="480" w:firstLineChars="200"/>
        <w:jc w:val="left"/>
        <w:rPr>
          <w:rFonts w:ascii="宋体" w:cs="Times New Roman"/>
          <w:sz w:val="24"/>
          <w:szCs w:val="24"/>
        </w:rPr>
      </w:pPr>
      <w:r>
        <w:rPr>
          <w:rFonts w:ascii="宋体" w:hAnsi="宋体" w:cs="宋体"/>
          <w:sz w:val="24"/>
          <w:szCs w:val="24"/>
        </w:rPr>
        <w:t>2021</w:t>
      </w:r>
      <w:r>
        <w:rPr>
          <w:rFonts w:hint="eastAsia" w:ascii="宋体" w:hAnsi="宋体" w:cs="宋体"/>
          <w:sz w:val="24"/>
          <w:szCs w:val="24"/>
        </w:rPr>
        <w:t>年</w:t>
      </w:r>
      <w:r>
        <w:rPr>
          <w:rFonts w:ascii="宋体" w:hAnsi="宋体" w:cs="宋体"/>
          <w:sz w:val="24"/>
          <w:szCs w:val="24"/>
        </w:rPr>
        <w:t>12</w:t>
      </w:r>
      <w:r>
        <w:rPr>
          <w:rFonts w:hint="eastAsia" w:ascii="宋体" w:hAnsi="宋体" w:cs="宋体"/>
          <w:sz w:val="24"/>
          <w:szCs w:val="24"/>
        </w:rPr>
        <w:t>月，江苏省自然资源厅发布了《江苏省自然资源厅关于加强详细规划管理的通知》</w:t>
      </w:r>
      <w:r>
        <w:rPr>
          <w:rFonts w:ascii="宋体" w:hAnsi="宋体" w:cs="宋体"/>
          <w:sz w:val="24"/>
          <w:szCs w:val="24"/>
        </w:rPr>
        <w:t>[</w:t>
      </w:r>
      <w:r>
        <w:rPr>
          <w:rFonts w:hint="eastAsia" w:ascii="宋体" w:hAnsi="宋体" w:cs="宋体"/>
          <w:sz w:val="24"/>
          <w:szCs w:val="24"/>
        </w:rPr>
        <w:t>苏自然资发</w:t>
      </w:r>
      <w:r>
        <w:rPr>
          <w:rFonts w:ascii="宋体" w:hAnsi="宋体" w:cs="宋体"/>
          <w:sz w:val="24"/>
          <w:szCs w:val="24"/>
        </w:rPr>
        <w:t>(2021)267</w:t>
      </w:r>
      <w:r>
        <w:rPr>
          <w:rFonts w:hint="eastAsia" w:ascii="宋体" w:hAnsi="宋体" w:cs="宋体"/>
          <w:sz w:val="24"/>
          <w:szCs w:val="24"/>
        </w:rPr>
        <w:t>号</w:t>
      </w:r>
      <w:r>
        <w:rPr>
          <w:rFonts w:ascii="宋体" w:hAnsi="宋体" w:cs="宋体"/>
          <w:sz w:val="24"/>
          <w:szCs w:val="24"/>
        </w:rPr>
        <w:t>]</w:t>
      </w:r>
      <w:r>
        <w:rPr>
          <w:rFonts w:hint="eastAsia" w:ascii="宋体" w:hAnsi="宋体" w:cs="宋体"/>
          <w:sz w:val="24"/>
          <w:szCs w:val="24"/>
        </w:rPr>
        <w:t>。通知中明确了国土空间总体规划完成后对详细规划的编制要求，以保障城镇发展和有序更新。通知还指出：“任何部门和个人不得随意修改已批准的详细规划。因上位国土空间规划实施、城市发展条件变化或城市更新需求，确需修改详细规划的，严格按照法律法规有关规定执行。”</w:t>
      </w:r>
      <w:r>
        <w:rPr>
          <w:rFonts w:ascii="宋体" w:hAnsi="宋体" w:cs="宋体"/>
          <w:sz w:val="24"/>
          <w:szCs w:val="24"/>
        </w:rPr>
        <w:t xml:space="preserve"> </w:t>
      </w:r>
    </w:p>
    <w:p w14:paraId="405E4124">
      <w:pPr>
        <w:keepNext/>
        <w:keepLines/>
        <w:widowControl/>
        <w:spacing w:line="580" w:lineRule="exact"/>
        <w:ind w:firstLine="480" w:firstLineChars="200"/>
        <w:jc w:val="left"/>
        <w:rPr>
          <w:rFonts w:ascii="宋体" w:cs="Times New Roman"/>
          <w:sz w:val="24"/>
          <w:szCs w:val="24"/>
        </w:rPr>
      </w:pPr>
      <w:r>
        <w:rPr>
          <w:rFonts w:ascii="宋体" w:hAnsi="宋体" w:cs="宋体"/>
          <w:sz w:val="24"/>
          <w:szCs w:val="24"/>
        </w:rPr>
        <w:t>2022</w:t>
      </w:r>
      <w:r>
        <w:rPr>
          <w:rFonts w:hint="eastAsia" w:ascii="宋体" w:hAnsi="宋体" w:cs="宋体"/>
          <w:sz w:val="24"/>
          <w:szCs w:val="24"/>
        </w:rPr>
        <w:t>年</w:t>
      </w:r>
      <w:r>
        <w:rPr>
          <w:rFonts w:ascii="宋体" w:hAnsi="宋体" w:cs="宋体"/>
          <w:sz w:val="24"/>
          <w:szCs w:val="24"/>
        </w:rPr>
        <w:t>3</w:t>
      </w:r>
      <w:r>
        <w:rPr>
          <w:rFonts w:hint="eastAsia" w:ascii="宋体" w:hAnsi="宋体" w:cs="宋体"/>
          <w:sz w:val="24"/>
          <w:szCs w:val="24"/>
        </w:rPr>
        <w:t>月，江苏省自然资源厅召开全省国土空间规划“一张图”实施监督信息系统建设工作会议，要求各地加快推进规划“一张图”监督实施系统建设。会议指出：“按照国家部署要求，要建立贯通部、省、市、县级的系统，“一张图”系统建设要与地方开发相结合，省厅提供基本功能，地方在平台基础上二次开发，满足地方上个性化需要；要强调上下沟通、加强对接，实现全省的规划一张图监督实施系统完成目标。”</w:t>
      </w:r>
    </w:p>
    <w:p w14:paraId="4D0CECFA">
      <w:pPr>
        <w:keepNext/>
        <w:keepLines/>
        <w:widowControl/>
        <w:spacing w:line="580" w:lineRule="exact"/>
        <w:ind w:firstLine="480" w:firstLineChars="200"/>
        <w:jc w:val="left"/>
        <w:rPr>
          <w:rFonts w:ascii="宋体" w:cs="Times New Roman"/>
          <w:sz w:val="24"/>
          <w:szCs w:val="24"/>
        </w:rPr>
      </w:pPr>
      <w:r>
        <w:rPr>
          <w:rFonts w:ascii="宋体" w:hAnsi="宋体" w:cs="宋体"/>
          <w:sz w:val="24"/>
          <w:szCs w:val="24"/>
        </w:rPr>
        <w:t>2023</w:t>
      </w:r>
      <w:r>
        <w:rPr>
          <w:rFonts w:hint="eastAsia" w:ascii="宋体" w:hAnsi="宋体" w:cs="宋体"/>
          <w:sz w:val="24"/>
          <w:szCs w:val="24"/>
        </w:rPr>
        <w:t>年</w:t>
      </w:r>
      <w:r>
        <w:rPr>
          <w:rFonts w:ascii="宋体" w:hAnsi="宋体" w:cs="宋体"/>
          <w:sz w:val="24"/>
          <w:szCs w:val="24"/>
        </w:rPr>
        <w:t>6</w:t>
      </w:r>
      <w:r>
        <w:rPr>
          <w:rFonts w:hint="eastAsia" w:ascii="宋体" w:hAnsi="宋体" w:cs="宋体"/>
          <w:sz w:val="24"/>
          <w:szCs w:val="24"/>
        </w:rPr>
        <w:t>月，江苏省自然资源厅转发自然资源部关于加强国土空间详细规划工作的通知，要求已经完成单元划定工作的城市，应当按照《江苏省城镇开发边界内详细规划编制指南（试行）》和我省村庄规划相关编制要求，分层、分类有序开展详细规划（村庄规划）编制工作。城镇开发边界内已经完成控制性详细规划全覆盖的城市可以结合控规评估成果、“三区三线”划定成果和市县国土空间总体规划，对现有控规进行动态更新。</w:t>
      </w:r>
    </w:p>
    <w:p w14:paraId="520FAE9B">
      <w:pPr>
        <w:keepNext/>
        <w:keepLines/>
        <w:widowControl/>
        <w:spacing w:line="580" w:lineRule="exact"/>
        <w:ind w:firstLine="480" w:firstLineChars="200"/>
        <w:jc w:val="left"/>
        <w:rPr>
          <w:rFonts w:ascii="宋体" w:cs="Times New Roman"/>
          <w:sz w:val="24"/>
          <w:szCs w:val="24"/>
        </w:rPr>
      </w:pPr>
      <w:bookmarkStart w:id="142" w:name="OLE_LINK9"/>
      <w:bookmarkStart w:id="143" w:name="OLE_LINK8"/>
      <w:r>
        <w:rPr>
          <w:rFonts w:hint="eastAsia" w:ascii="宋体" w:hAnsi="宋体" w:cs="宋体"/>
          <w:sz w:val="24"/>
          <w:szCs w:val="24"/>
        </w:rPr>
        <w:t>本项目主要任务是对盐城市中心城区的主城区城镇开发边界范围内详细规划进行动态更新，并建立项目成果数据库。依据经济形势变化并结合地方发展诉求，对主城区各个单元详细规划进行动态更新以适应城市经济发展需要，确保详规成果的科学性和可实施性；对接“一张图”实施监督信息系统建设要求，同步对最新调整的详规成果重新建立数据库，待该数据库审核通过后，纳入</w:t>
      </w:r>
      <w:r>
        <w:rPr>
          <w:rFonts w:ascii="宋体" w:hAnsi="宋体" w:cs="宋体"/>
          <w:sz w:val="24"/>
          <w:szCs w:val="24"/>
        </w:rPr>
        <w:t xml:space="preserve"> </w:t>
      </w:r>
      <w:r>
        <w:rPr>
          <w:rFonts w:hint="eastAsia" w:ascii="宋体" w:hAnsi="宋体" w:cs="宋体"/>
          <w:sz w:val="24"/>
          <w:szCs w:val="24"/>
        </w:rPr>
        <w:t>“一张图”国土空间基础信息平台，以维护该平台详规数据的时效性。同时，为高质量、高效率完成上级部门或局领导交办的紧急性规划任务，加强国土空间规划研究，协助完成汇报成果，提供规划技术支撑。</w:t>
      </w:r>
      <w:bookmarkEnd w:id="142"/>
      <w:bookmarkEnd w:id="143"/>
    </w:p>
    <w:p w14:paraId="59CDF2AC">
      <w:pPr>
        <w:keepNext/>
        <w:keepLines/>
        <w:widowControl/>
        <w:spacing w:line="480" w:lineRule="exact"/>
        <w:ind w:firstLine="482" w:firstLineChars="200"/>
        <w:jc w:val="left"/>
        <w:rPr>
          <w:rFonts w:ascii="宋体" w:cs="Times New Roman"/>
          <w:b/>
          <w:bCs/>
          <w:sz w:val="24"/>
          <w:szCs w:val="24"/>
        </w:rPr>
      </w:pPr>
      <w:r>
        <w:rPr>
          <w:rFonts w:hint="eastAsia" w:ascii="宋体" w:hAnsi="宋体" w:cs="宋体"/>
          <w:b/>
          <w:bCs/>
          <w:sz w:val="24"/>
          <w:szCs w:val="24"/>
        </w:rPr>
        <w:t>二、项目概况</w:t>
      </w:r>
    </w:p>
    <w:p w14:paraId="256D2D0E">
      <w:pPr>
        <w:keepNext/>
        <w:keepLines/>
        <w:widowControl/>
        <w:numPr>
          <w:ilvl w:val="0"/>
          <w:numId w:val="3"/>
        </w:numPr>
        <w:spacing w:line="480" w:lineRule="exact"/>
        <w:ind w:firstLine="482" w:firstLineChars="200"/>
        <w:jc w:val="left"/>
        <w:rPr>
          <w:rFonts w:ascii="宋体" w:cs="Times New Roman"/>
          <w:b/>
          <w:bCs/>
          <w:sz w:val="24"/>
          <w:szCs w:val="24"/>
        </w:rPr>
      </w:pPr>
      <w:r>
        <w:rPr>
          <w:rFonts w:hint="eastAsia" w:ascii="宋体" w:hAnsi="宋体" w:cs="宋体"/>
          <w:b/>
          <w:bCs/>
          <w:sz w:val="24"/>
          <w:szCs w:val="24"/>
        </w:rPr>
        <w:t>项目名称</w:t>
      </w:r>
    </w:p>
    <w:p w14:paraId="6A986942">
      <w:pPr>
        <w:keepNext/>
        <w:keepLines/>
        <w:widowControl/>
        <w:spacing w:line="480" w:lineRule="exact"/>
        <w:ind w:firstLine="480" w:firstLineChars="200"/>
        <w:jc w:val="left"/>
        <w:rPr>
          <w:rFonts w:ascii="宋体" w:cs="Times New Roman"/>
          <w:sz w:val="24"/>
          <w:szCs w:val="24"/>
        </w:rPr>
      </w:pPr>
      <w:r>
        <w:rPr>
          <w:rFonts w:hint="eastAsia" w:ascii="宋体" w:hAnsi="宋体" w:cs="宋体"/>
          <w:sz w:val="24"/>
          <w:szCs w:val="24"/>
        </w:rPr>
        <w:t>盐城市详细规划动态更新。</w:t>
      </w:r>
    </w:p>
    <w:p w14:paraId="0ACE93A8">
      <w:pPr>
        <w:keepNext/>
        <w:keepLines/>
        <w:widowControl/>
        <w:numPr>
          <w:ilvl w:val="0"/>
          <w:numId w:val="3"/>
        </w:numPr>
        <w:spacing w:line="480" w:lineRule="exact"/>
        <w:ind w:firstLine="482" w:firstLineChars="200"/>
        <w:jc w:val="left"/>
        <w:rPr>
          <w:rFonts w:ascii="宋体" w:cs="Times New Roman"/>
          <w:b/>
          <w:bCs/>
          <w:sz w:val="24"/>
          <w:szCs w:val="24"/>
        </w:rPr>
      </w:pPr>
      <w:r>
        <w:rPr>
          <w:rFonts w:hint="eastAsia" w:ascii="宋体" w:hAnsi="宋体" w:cs="宋体"/>
          <w:b/>
          <w:bCs/>
          <w:sz w:val="24"/>
          <w:szCs w:val="24"/>
        </w:rPr>
        <w:t>项目范围</w:t>
      </w:r>
    </w:p>
    <w:p w14:paraId="67C58085">
      <w:pPr>
        <w:keepNext/>
        <w:keepLines/>
        <w:widowControl/>
        <w:spacing w:line="480" w:lineRule="exact"/>
        <w:ind w:firstLine="480" w:firstLineChars="200"/>
        <w:jc w:val="left"/>
        <w:rPr>
          <w:rFonts w:ascii="宋体" w:cs="Times New Roman"/>
          <w:b/>
          <w:bCs/>
          <w:sz w:val="24"/>
          <w:szCs w:val="24"/>
        </w:rPr>
      </w:pPr>
      <w:r>
        <w:rPr>
          <w:rFonts w:hint="eastAsia" w:ascii="宋体" w:hAnsi="宋体" w:cs="宋体"/>
          <w:sz w:val="24"/>
          <w:szCs w:val="24"/>
        </w:rPr>
        <w:t>《盐城市国土空间总体规划（</w:t>
      </w:r>
      <w:r>
        <w:rPr>
          <w:rFonts w:ascii="宋体" w:hAnsi="宋体" w:cs="宋体"/>
          <w:sz w:val="24"/>
          <w:szCs w:val="24"/>
        </w:rPr>
        <w:t>2021-2035</w:t>
      </w:r>
      <w:r>
        <w:rPr>
          <w:rFonts w:hint="eastAsia" w:ascii="宋体" w:hAnsi="宋体" w:cs="宋体"/>
          <w:sz w:val="24"/>
          <w:szCs w:val="24"/>
        </w:rPr>
        <w:t>年）》确定的中心城区（不含大丰区）城镇开发边界范围内已编制的详细规划。</w:t>
      </w:r>
    </w:p>
    <w:p w14:paraId="31EF7C4F">
      <w:pPr>
        <w:keepNext/>
        <w:keepLines/>
        <w:widowControl/>
        <w:numPr>
          <w:ilvl w:val="0"/>
          <w:numId w:val="3"/>
        </w:numPr>
        <w:spacing w:line="480" w:lineRule="exact"/>
        <w:ind w:firstLine="482" w:firstLineChars="200"/>
        <w:jc w:val="left"/>
        <w:rPr>
          <w:rFonts w:ascii="宋体" w:cs="Times New Roman"/>
          <w:b/>
          <w:bCs/>
          <w:sz w:val="24"/>
          <w:szCs w:val="24"/>
        </w:rPr>
      </w:pPr>
      <w:r>
        <w:rPr>
          <w:rFonts w:hint="eastAsia" w:ascii="宋体" w:hAnsi="宋体" w:cs="宋体"/>
          <w:b/>
          <w:bCs/>
          <w:sz w:val="24"/>
          <w:szCs w:val="24"/>
        </w:rPr>
        <w:t>服务周期</w:t>
      </w:r>
    </w:p>
    <w:p w14:paraId="468E3038">
      <w:pPr>
        <w:keepNext/>
        <w:keepLines/>
        <w:widowControl/>
        <w:spacing w:line="480" w:lineRule="exact"/>
        <w:ind w:firstLine="600" w:firstLineChars="250"/>
        <w:jc w:val="left"/>
        <w:rPr>
          <w:rFonts w:ascii="宋体" w:cs="Times New Roman"/>
          <w:sz w:val="24"/>
          <w:szCs w:val="24"/>
        </w:rPr>
      </w:pPr>
      <w:r>
        <w:rPr>
          <w:rFonts w:hint="eastAsia" w:ascii="宋体" w:hAnsi="宋体" w:cs="宋体"/>
          <w:sz w:val="24"/>
          <w:szCs w:val="24"/>
        </w:rPr>
        <w:t>服务周期为一年。</w:t>
      </w:r>
    </w:p>
    <w:p w14:paraId="790541FA">
      <w:pPr>
        <w:keepNext/>
        <w:keepLines/>
        <w:widowControl/>
        <w:spacing w:line="480" w:lineRule="exact"/>
        <w:ind w:firstLine="482" w:firstLineChars="200"/>
        <w:jc w:val="left"/>
        <w:rPr>
          <w:rFonts w:ascii="宋体" w:cs="Times New Roman"/>
          <w:b/>
          <w:bCs/>
          <w:sz w:val="24"/>
          <w:szCs w:val="24"/>
        </w:rPr>
      </w:pPr>
      <w:r>
        <w:rPr>
          <w:rFonts w:hint="eastAsia" w:ascii="宋体" w:hAnsi="宋体" w:cs="宋体"/>
          <w:b/>
          <w:bCs/>
          <w:sz w:val="24"/>
          <w:szCs w:val="24"/>
        </w:rPr>
        <w:t>三、规划依据</w:t>
      </w:r>
    </w:p>
    <w:p w14:paraId="499C7281">
      <w:pPr>
        <w:keepNext/>
        <w:keepLines/>
        <w:widowControl/>
        <w:spacing w:line="480" w:lineRule="exact"/>
        <w:ind w:firstLine="480" w:firstLineChars="20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）《中华人民共和国土地管理法》（</w:t>
      </w:r>
      <w:r>
        <w:rPr>
          <w:rFonts w:ascii="宋体" w:hAnsi="宋体" w:cs="宋体"/>
          <w:sz w:val="24"/>
          <w:szCs w:val="24"/>
        </w:rPr>
        <w:t>2019</w:t>
      </w:r>
      <w:r>
        <w:rPr>
          <w:rFonts w:hint="eastAsia" w:ascii="宋体" w:hAnsi="宋体" w:cs="宋体"/>
          <w:sz w:val="24"/>
          <w:szCs w:val="24"/>
        </w:rPr>
        <w:t>年修正）、《中华人民共和国城乡规划法》（</w:t>
      </w:r>
      <w:r>
        <w:rPr>
          <w:rFonts w:ascii="宋体" w:hAnsi="宋体" w:cs="宋体"/>
          <w:sz w:val="24"/>
          <w:szCs w:val="24"/>
        </w:rPr>
        <w:t>2019</w:t>
      </w:r>
      <w:r>
        <w:rPr>
          <w:rFonts w:hint="eastAsia" w:ascii="宋体" w:hAnsi="宋体" w:cs="宋体"/>
          <w:sz w:val="24"/>
          <w:szCs w:val="24"/>
        </w:rPr>
        <w:t>年修正）、《中华人民共和国土地管理法实施条例》、《江苏省土地管理条例》和《江苏省城乡规划条例》等法律法规；</w:t>
      </w:r>
    </w:p>
    <w:p w14:paraId="0401062F">
      <w:pPr>
        <w:keepNext/>
        <w:keepLines/>
        <w:widowControl/>
        <w:spacing w:line="480" w:lineRule="exact"/>
        <w:ind w:firstLine="480" w:firstLineChars="20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）《中共中央国务院关于建立国土空间规划体系并监督实施的若干意见》（中发〔</w:t>
      </w:r>
      <w:r>
        <w:rPr>
          <w:rFonts w:ascii="宋体" w:hAnsi="宋体" w:cs="宋体"/>
          <w:sz w:val="24"/>
          <w:szCs w:val="24"/>
        </w:rPr>
        <w:t>2019</w:t>
      </w:r>
      <w:r>
        <w:rPr>
          <w:rFonts w:hint="eastAsia" w:ascii="宋体" w:hAnsi="宋体" w:cs="宋体"/>
          <w:sz w:val="24"/>
          <w:szCs w:val="24"/>
        </w:rPr>
        <w:t>〕</w:t>
      </w:r>
      <w:r>
        <w:rPr>
          <w:rFonts w:ascii="宋体" w:hAnsi="宋体" w:cs="宋体"/>
          <w:sz w:val="24"/>
          <w:szCs w:val="24"/>
        </w:rPr>
        <w:t xml:space="preserve">18 </w:t>
      </w:r>
      <w:r>
        <w:rPr>
          <w:rFonts w:hint="eastAsia" w:ascii="宋体" w:hAnsi="宋体" w:cs="宋体"/>
          <w:sz w:val="24"/>
          <w:szCs w:val="24"/>
        </w:rPr>
        <w:t>号）；</w:t>
      </w:r>
      <w:r>
        <w:rPr>
          <w:rFonts w:ascii="宋体" w:hAnsi="宋体" w:cs="宋体"/>
          <w:sz w:val="24"/>
          <w:szCs w:val="24"/>
        </w:rPr>
        <w:t xml:space="preserve"> </w:t>
      </w:r>
    </w:p>
    <w:p w14:paraId="4CE9CA01">
      <w:pPr>
        <w:keepNext/>
        <w:keepLines/>
        <w:widowControl/>
        <w:spacing w:line="480" w:lineRule="exact"/>
        <w:ind w:firstLine="480" w:firstLineChars="20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）《中共江苏省委关于建立全省国土空间规划体系并监督实施的意见》（苏发〔</w:t>
      </w:r>
      <w:r>
        <w:rPr>
          <w:rFonts w:ascii="宋体" w:hAnsi="宋体" w:cs="宋体"/>
          <w:sz w:val="24"/>
          <w:szCs w:val="24"/>
        </w:rPr>
        <w:t>2019</w:t>
      </w:r>
      <w:r>
        <w:rPr>
          <w:rFonts w:hint="eastAsia" w:ascii="宋体" w:hAnsi="宋体" w:cs="宋体"/>
          <w:sz w:val="24"/>
          <w:szCs w:val="24"/>
        </w:rPr>
        <w:t>〕</w:t>
      </w:r>
      <w:r>
        <w:rPr>
          <w:rFonts w:ascii="宋体" w:hAnsi="宋体" w:cs="宋体"/>
          <w:sz w:val="24"/>
          <w:szCs w:val="24"/>
        </w:rPr>
        <w:t xml:space="preserve">30 </w:t>
      </w:r>
      <w:r>
        <w:rPr>
          <w:rFonts w:hint="eastAsia" w:ascii="宋体" w:hAnsi="宋体" w:cs="宋体"/>
          <w:sz w:val="24"/>
          <w:szCs w:val="24"/>
        </w:rPr>
        <w:t>号）；</w:t>
      </w:r>
    </w:p>
    <w:p w14:paraId="25FB722D">
      <w:pPr>
        <w:keepNext/>
        <w:keepLines/>
        <w:widowControl/>
        <w:spacing w:line="480" w:lineRule="exact"/>
        <w:ind w:firstLine="480" w:firstLineChars="20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4</w:t>
      </w:r>
      <w:r>
        <w:rPr>
          <w:rFonts w:hint="eastAsia" w:ascii="宋体" w:hAnsi="宋体" w:cs="宋体"/>
          <w:sz w:val="24"/>
          <w:szCs w:val="24"/>
        </w:rPr>
        <w:t>）《国土空间调查、规划、用途管制用地用海分类指南》；</w:t>
      </w:r>
    </w:p>
    <w:p w14:paraId="2C23F958">
      <w:pPr>
        <w:keepNext/>
        <w:keepLines/>
        <w:widowControl/>
        <w:spacing w:line="480" w:lineRule="exact"/>
        <w:ind w:firstLine="480" w:firstLineChars="20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5</w:t>
      </w:r>
      <w:r>
        <w:rPr>
          <w:rFonts w:hint="eastAsia" w:ascii="宋体" w:hAnsi="宋体" w:cs="宋体"/>
          <w:sz w:val="24"/>
          <w:szCs w:val="24"/>
        </w:rPr>
        <w:t>）自然资源部办公厅关于规范和统一市县国土空间规划现状基数的通知（自然资办函〔</w:t>
      </w:r>
      <w:r>
        <w:rPr>
          <w:rFonts w:ascii="宋体" w:hAnsi="宋体" w:cs="宋体"/>
          <w:sz w:val="24"/>
          <w:szCs w:val="24"/>
        </w:rPr>
        <w:t>2021</w:t>
      </w:r>
      <w:r>
        <w:rPr>
          <w:rFonts w:hint="eastAsia" w:ascii="宋体" w:hAnsi="宋体" w:cs="宋体"/>
          <w:sz w:val="24"/>
          <w:szCs w:val="24"/>
        </w:rPr>
        <w:t>〕</w:t>
      </w:r>
      <w:r>
        <w:rPr>
          <w:rFonts w:ascii="宋体" w:hAnsi="宋体" w:cs="宋体"/>
          <w:sz w:val="24"/>
          <w:szCs w:val="24"/>
        </w:rPr>
        <w:t xml:space="preserve">907 </w:t>
      </w:r>
      <w:r>
        <w:rPr>
          <w:rFonts w:hint="eastAsia" w:ascii="宋体" w:hAnsi="宋体" w:cs="宋体"/>
          <w:sz w:val="24"/>
          <w:szCs w:val="24"/>
        </w:rPr>
        <w:t>号）；</w:t>
      </w:r>
      <w:r>
        <w:rPr>
          <w:rFonts w:ascii="宋体" w:hAnsi="宋体" w:cs="宋体"/>
          <w:sz w:val="24"/>
          <w:szCs w:val="24"/>
        </w:rPr>
        <w:t xml:space="preserve"> </w:t>
      </w:r>
    </w:p>
    <w:p w14:paraId="0FADAB9D">
      <w:pPr>
        <w:keepNext/>
        <w:keepLines/>
        <w:widowControl/>
        <w:spacing w:line="480" w:lineRule="exact"/>
        <w:ind w:firstLine="480" w:firstLineChars="20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6</w:t>
      </w:r>
      <w:r>
        <w:rPr>
          <w:rFonts w:hint="eastAsia" w:ascii="宋体" w:hAnsi="宋体" w:cs="宋体"/>
          <w:sz w:val="24"/>
          <w:szCs w:val="24"/>
        </w:rPr>
        <w:t>）《社区生活圈规划技术指南》（</w:t>
      </w:r>
      <w:r>
        <w:rPr>
          <w:rFonts w:ascii="宋体" w:hAnsi="宋体" w:cs="宋体"/>
          <w:sz w:val="24"/>
          <w:szCs w:val="24"/>
        </w:rPr>
        <w:t>TD/T 1062-2021</w:t>
      </w:r>
      <w:r>
        <w:rPr>
          <w:rFonts w:hint="eastAsia" w:ascii="宋体" w:hAnsi="宋体" w:cs="宋体"/>
          <w:sz w:val="24"/>
          <w:szCs w:val="24"/>
        </w:rPr>
        <w:t>）；</w:t>
      </w:r>
    </w:p>
    <w:p w14:paraId="254D95D2">
      <w:pPr>
        <w:keepNext/>
        <w:keepLines/>
        <w:widowControl/>
        <w:spacing w:line="480" w:lineRule="exact"/>
        <w:ind w:firstLine="480" w:firstLineChars="20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7</w:t>
      </w:r>
      <w:r>
        <w:rPr>
          <w:rFonts w:hint="eastAsia" w:ascii="宋体" w:hAnsi="宋体" w:cs="宋体"/>
          <w:sz w:val="24"/>
          <w:szCs w:val="24"/>
        </w:rPr>
        <w:t>）《江苏省建设用地指标》（</w:t>
      </w:r>
      <w:r>
        <w:rPr>
          <w:rFonts w:ascii="宋体" w:hAnsi="宋体" w:cs="宋体"/>
          <w:sz w:val="24"/>
          <w:szCs w:val="24"/>
        </w:rPr>
        <w:t xml:space="preserve">2018 </w:t>
      </w:r>
      <w:r>
        <w:rPr>
          <w:rFonts w:hint="eastAsia" w:ascii="宋体" w:hAnsi="宋体" w:cs="宋体"/>
          <w:sz w:val="24"/>
          <w:szCs w:val="24"/>
        </w:rPr>
        <w:t>年版）；</w:t>
      </w:r>
    </w:p>
    <w:p w14:paraId="60D99FF0">
      <w:pPr>
        <w:keepNext/>
        <w:keepLines/>
        <w:widowControl/>
        <w:spacing w:line="480" w:lineRule="exact"/>
        <w:ind w:firstLine="480" w:firstLineChars="20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8</w:t>
      </w:r>
      <w:r>
        <w:rPr>
          <w:rFonts w:hint="eastAsia" w:ascii="宋体" w:hAnsi="宋体" w:cs="宋体"/>
          <w:sz w:val="24"/>
          <w:szCs w:val="24"/>
        </w:rPr>
        <w:t>）《江苏省城镇开发边界内详细规划编制指南（试行）》；</w:t>
      </w:r>
    </w:p>
    <w:p w14:paraId="755ABBD1">
      <w:pPr>
        <w:keepNext/>
        <w:keepLines/>
        <w:widowControl/>
        <w:spacing w:line="480" w:lineRule="exact"/>
        <w:ind w:firstLine="480" w:firstLineChars="20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9</w:t>
      </w:r>
      <w:r>
        <w:rPr>
          <w:rFonts w:hint="eastAsia" w:ascii="宋体" w:hAnsi="宋体" w:cs="宋体"/>
          <w:sz w:val="24"/>
          <w:szCs w:val="24"/>
        </w:rPr>
        <w:t>）《盐城市国土空间总体规划》（</w:t>
      </w:r>
      <w:r>
        <w:rPr>
          <w:rFonts w:ascii="宋体" w:hAnsi="宋体" w:cs="宋体"/>
          <w:sz w:val="24"/>
          <w:szCs w:val="24"/>
        </w:rPr>
        <w:t>2021-2035</w:t>
      </w:r>
      <w:r>
        <w:rPr>
          <w:rFonts w:hint="eastAsia" w:ascii="宋体" w:hAnsi="宋体" w:cs="宋体"/>
          <w:sz w:val="24"/>
          <w:szCs w:val="24"/>
        </w:rPr>
        <w:t>年）；</w:t>
      </w:r>
    </w:p>
    <w:p w14:paraId="345DD69F">
      <w:pPr>
        <w:keepNext/>
        <w:keepLines/>
        <w:widowControl/>
        <w:spacing w:line="480" w:lineRule="exact"/>
        <w:ind w:firstLine="480" w:firstLineChars="20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10</w:t>
      </w:r>
      <w:r>
        <w:rPr>
          <w:rFonts w:hint="eastAsia" w:ascii="宋体" w:hAnsi="宋体" w:cs="宋体"/>
          <w:sz w:val="24"/>
          <w:szCs w:val="24"/>
        </w:rPr>
        <w:t>）《盐城市国土空间总体规划近期实施方案》；</w:t>
      </w:r>
    </w:p>
    <w:p w14:paraId="69695FC7">
      <w:pPr>
        <w:keepNext/>
        <w:keepLines/>
        <w:widowControl/>
        <w:spacing w:line="480" w:lineRule="exact"/>
        <w:ind w:firstLine="480" w:firstLineChars="20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11</w:t>
      </w:r>
      <w:r>
        <w:rPr>
          <w:rFonts w:hint="eastAsia" w:ascii="宋体" w:hAnsi="宋体" w:cs="宋体"/>
          <w:sz w:val="24"/>
          <w:szCs w:val="24"/>
        </w:rPr>
        <w:t>）《江苏省城镇开发边界内详细规划数据库标准（试行）》；</w:t>
      </w:r>
    </w:p>
    <w:p w14:paraId="472EA27F">
      <w:pPr>
        <w:keepNext/>
        <w:keepLines/>
        <w:widowControl/>
        <w:spacing w:line="480" w:lineRule="exact"/>
        <w:ind w:firstLine="480" w:firstLineChars="20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12</w:t>
      </w:r>
      <w:r>
        <w:rPr>
          <w:rFonts w:hint="eastAsia" w:ascii="宋体" w:hAnsi="宋体" w:cs="宋体"/>
          <w:sz w:val="24"/>
          <w:szCs w:val="24"/>
        </w:rPr>
        <w:t>）道路红线、河道蓝线、生态保护红线等各规划控制线；</w:t>
      </w:r>
    </w:p>
    <w:p w14:paraId="062FFA66">
      <w:pPr>
        <w:keepNext/>
        <w:keepLines/>
        <w:widowControl/>
        <w:spacing w:line="480" w:lineRule="exact"/>
        <w:ind w:firstLine="480" w:firstLineChars="20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13</w:t>
      </w:r>
      <w:r>
        <w:rPr>
          <w:rFonts w:hint="eastAsia" w:ascii="宋体" w:hAnsi="宋体" w:cs="宋体"/>
          <w:sz w:val="24"/>
          <w:szCs w:val="24"/>
        </w:rPr>
        <w:t>）中心城区范围内所有已批的专项规划；</w:t>
      </w:r>
    </w:p>
    <w:p w14:paraId="373C9BB9">
      <w:pPr>
        <w:keepNext/>
        <w:keepLines/>
        <w:widowControl/>
        <w:spacing w:line="480" w:lineRule="exact"/>
        <w:ind w:firstLine="480" w:firstLineChars="20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14</w:t>
      </w:r>
      <w:r>
        <w:rPr>
          <w:rFonts w:hint="eastAsia" w:ascii="宋体" w:hAnsi="宋体" w:cs="宋体"/>
          <w:sz w:val="24"/>
          <w:szCs w:val="24"/>
        </w:rPr>
        <w:t>）中心城区范围内所有已批的详细规划；</w:t>
      </w:r>
    </w:p>
    <w:p w14:paraId="075831D6">
      <w:pPr>
        <w:keepNext/>
        <w:keepLines/>
        <w:widowControl/>
        <w:spacing w:line="480" w:lineRule="exact"/>
        <w:ind w:firstLine="480" w:firstLineChars="20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15</w:t>
      </w:r>
      <w:r>
        <w:rPr>
          <w:rFonts w:hint="eastAsia" w:ascii="宋体" w:hAnsi="宋体" w:cs="宋体"/>
          <w:sz w:val="24"/>
          <w:szCs w:val="24"/>
        </w:rPr>
        <w:t>）中心城区范围内不动产权籍数据；</w:t>
      </w:r>
    </w:p>
    <w:p w14:paraId="3579522E">
      <w:pPr>
        <w:keepNext/>
        <w:keepLines/>
        <w:widowControl/>
        <w:spacing w:line="480" w:lineRule="exact"/>
        <w:ind w:firstLine="480" w:firstLineChars="20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16</w:t>
      </w:r>
      <w:r>
        <w:rPr>
          <w:rFonts w:hint="eastAsia" w:ascii="宋体" w:hAnsi="宋体" w:cs="宋体"/>
          <w:sz w:val="24"/>
          <w:szCs w:val="24"/>
        </w:rPr>
        <w:t>）中心城区范围内土地划拨</w:t>
      </w:r>
      <w:r>
        <w:rPr>
          <w:rFonts w:ascii="宋体" w:hAnsi="宋体" w:cs="宋体"/>
          <w:sz w:val="24"/>
          <w:szCs w:val="24"/>
        </w:rPr>
        <w:t>/</w:t>
      </w:r>
      <w:r>
        <w:rPr>
          <w:rFonts w:hint="eastAsia" w:ascii="宋体" w:hAnsi="宋体" w:cs="宋体"/>
          <w:sz w:val="24"/>
          <w:szCs w:val="24"/>
        </w:rPr>
        <w:t>出让用地红线（含规划在建、已批未建）和地块出让条件；</w:t>
      </w:r>
    </w:p>
    <w:p w14:paraId="0E4B5780">
      <w:pPr>
        <w:keepNext/>
        <w:keepLines/>
        <w:widowControl/>
        <w:spacing w:line="480" w:lineRule="exact"/>
        <w:ind w:firstLine="480" w:firstLineChars="20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17</w:t>
      </w:r>
      <w:r>
        <w:rPr>
          <w:rFonts w:hint="eastAsia" w:ascii="宋体" w:hAnsi="宋体" w:cs="宋体"/>
          <w:sz w:val="24"/>
          <w:szCs w:val="24"/>
        </w:rPr>
        <w:t>）中心城区范围内基础地理信息数据；</w:t>
      </w:r>
    </w:p>
    <w:p w14:paraId="13BFCD54">
      <w:pPr>
        <w:keepNext/>
        <w:keepLines/>
        <w:widowControl/>
        <w:spacing w:line="480" w:lineRule="exact"/>
        <w:ind w:firstLine="480" w:firstLineChars="20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18</w:t>
      </w:r>
      <w:r>
        <w:rPr>
          <w:rFonts w:hint="eastAsia" w:ascii="宋体" w:hAnsi="宋体" w:cs="宋体"/>
          <w:sz w:val="24"/>
          <w:szCs w:val="24"/>
        </w:rPr>
        <w:t>）中心城区范围内国土三调变更调查数据。</w:t>
      </w:r>
    </w:p>
    <w:p w14:paraId="05D57E00">
      <w:pPr>
        <w:keepNext/>
        <w:keepLines/>
        <w:widowControl/>
        <w:spacing w:line="480" w:lineRule="exact"/>
        <w:ind w:firstLine="482" w:firstLineChars="200"/>
        <w:jc w:val="left"/>
        <w:rPr>
          <w:rFonts w:ascii="宋体" w:cs="Times New Roman"/>
          <w:b/>
          <w:bCs/>
          <w:sz w:val="24"/>
          <w:szCs w:val="24"/>
        </w:rPr>
      </w:pPr>
      <w:r>
        <w:rPr>
          <w:rFonts w:hint="eastAsia" w:ascii="宋体" w:hAnsi="宋体" w:cs="宋体"/>
          <w:b/>
          <w:bCs/>
          <w:sz w:val="24"/>
          <w:szCs w:val="24"/>
        </w:rPr>
        <w:t>四、工作内容</w:t>
      </w:r>
    </w:p>
    <w:p w14:paraId="4FCB476F">
      <w:pPr>
        <w:keepNext/>
        <w:keepLines/>
        <w:widowControl/>
        <w:spacing w:line="480" w:lineRule="exact"/>
        <w:ind w:firstLine="482" w:firstLineChars="200"/>
        <w:rPr>
          <w:rFonts w:ascii="宋体" w:cs="Times New Roman"/>
          <w:b/>
          <w:bCs/>
          <w:sz w:val="24"/>
          <w:szCs w:val="24"/>
        </w:rPr>
      </w:pPr>
      <w:r>
        <w:rPr>
          <w:rFonts w:ascii="宋体" w:hAnsi="宋体" w:cs="宋体"/>
          <w:b/>
          <w:bCs/>
          <w:sz w:val="24"/>
          <w:szCs w:val="24"/>
        </w:rPr>
        <w:t>1</w:t>
      </w:r>
      <w:r>
        <w:rPr>
          <w:rFonts w:hint="eastAsia" w:ascii="宋体" w:hAnsi="宋体" w:cs="宋体"/>
          <w:b/>
          <w:bCs/>
          <w:sz w:val="24"/>
          <w:szCs w:val="24"/>
        </w:rPr>
        <w:t>、对已批准详细规划成果进行动态更新：</w:t>
      </w:r>
    </w:p>
    <w:p w14:paraId="0C25AA06">
      <w:pPr>
        <w:keepNext/>
        <w:keepLines/>
        <w:widowControl/>
        <w:spacing w:line="480" w:lineRule="exact"/>
        <w:ind w:firstLine="480" w:firstLineChars="20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）以全域视角研判中心城区范围内各详规动态更新修改内容</w:t>
      </w:r>
    </w:p>
    <w:p w14:paraId="13AE3656">
      <w:pPr>
        <w:keepNext/>
        <w:keepLines/>
        <w:widowControl/>
        <w:spacing w:line="480" w:lineRule="exact"/>
        <w:ind w:firstLine="480" w:firstLineChars="200"/>
        <w:jc w:val="left"/>
        <w:rPr>
          <w:rFonts w:ascii="宋体" w:cs="Times New Roman"/>
          <w:sz w:val="24"/>
          <w:szCs w:val="24"/>
        </w:rPr>
      </w:pPr>
      <w:r>
        <w:rPr>
          <w:rFonts w:hint="eastAsia" w:ascii="宋体" w:hAnsi="宋体" w:cs="宋体"/>
          <w:sz w:val="24"/>
          <w:szCs w:val="24"/>
        </w:rPr>
        <w:t>①汇总统筹各详规编制单元动态更新修改的需求，确保各相邻详规编制单元动态更新内容相衔接，编制满足各方发展需求的动态更新方案；</w:t>
      </w:r>
    </w:p>
    <w:p w14:paraId="5902B106">
      <w:pPr>
        <w:keepNext/>
        <w:keepLines/>
        <w:widowControl/>
        <w:spacing w:line="480" w:lineRule="exact"/>
        <w:ind w:firstLine="480" w:firstLineChars="200"/>
        <w:jc w:val="left"/>
        <w:rPr>
          <w:rFonts w:ascii="宋体" w:cs="Times New Roman"/>
          <w:sz w:val="24"/>
          <w:szCs w:val="24"/>
        </w:rPr>
      </w:pPr>
      <w:r>
        <w:rPr>
          <w:rFonts w:hint="eastAsia" w:ascii="宋体" w:hAnsi="宋体" w:cs="宋体"/>
          <w:sz w:val="24"/>
          <w:szCs w:val="24"/>
        </w:rPr>
        <w:t>②衔接各相关规划和技术规范的最新要求；对满足动态更新的各项修改需求进行合理性分析，确保各项更新需求切实可行；</w:t>
      </w:r>
    </w:p>
    <w:p w14:paraId="0C280D74">
      <w:pPr>
        <w:keepNext/>
        <w:keepLines/>
        <w:widowControl/>
        <w:spacing w:line="480" w:lineRule="exact"/>
        <w:ind w:firstLine="480" w:firstLineChars="200"/>
        <w:jc w:val="left"/>
        <w:rPr>
          <w:rFonts w:ascii="宋体" w:cs="Times New Roman"/>
          <w:sz w:val="24"/>
          <w:szCs w:val="24"/>
        </w:rPr>
      </w:pPr>
      <w:r>
        <w:rPr>
          <w:rFonts w:hint="eastAsia" w:ascii="宋体" w:hAnsi="宋体" w:cs="宋体"/>
          <w:sz w:val="24"/>
          <w:szCs w:val="24"/>
        </w:rPr>
        <w:t>③研判各详规动态更新修改内容是否满足相关法律、法规要求，研判各项动态更新内容是否涉及规划强制性内容的调整。</w:t>
      </w:r>
    </w:p>
    <w:p w14:paraId="535F657C">
      <w:pPr>
        <w:keepNext/>
        <w:keepLines/>
        <w:widowControl/>
        <w:spacing w:line="480" w:lineRule="exact"/>
        <w:ind w:firstLine="480" w:firstLineChars="20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）可行性研究报告主要包括以下内容；</w:t>
      </w:r>
    </w:p>
    <w:p w14:paraId="05228890">
      <w:pPr>
        <w:keepNext/>
        <w:keepLines/>
        <w:widowControl/>
        <w:spacing w:line="480" w:lineRule="exact"/>
        <w:ind w:firstLine="480" w:firstLineChars="200"/>
        <w:jc w:val="left"/>
        <w:rPr>
          <w:rFonts w:ascii="宋体" w:cs="Times New Roman"/>
          <w:sz w:val="24"/>
          <w:szCs w:val="24"/>
        </w:rPr>
      </w:pPr>
      <w:r>
        <w:rPr>
          <w:rFonts w:hint="eastAsia" w:ascii="宋体" w:hAnsi="宋体" w:cs="宋体"/>
          <w:sz w:val="24"/>
          <w:szCs w:val="24"/>
        </w:rPr>
        <w:t>①</w:t>
      </w:r>
      <w:r>
        <w:rPr>
          <w:rFonts w:ascii="宋体" w:hAnsi="宋体" w:cs="宋体"/>
          <w:sz w:val="24"/>
          <w:szCs w:val="24"/>
        </w:rPr>
        <w:t xml:space="preserve"> </w:t>
      </w:r>
      <w:r>
        <w:rPr>
          <w:rFonts w:hint="eastAsia" w:ascii="宋体" w:hAnsi="宋体" w:cs="宋体"/>
          <w:sz w:val="24"/>
          <w:szCs w:val="24"/>
        </w:rPr>
        <w:t>详规动态更新的原因和依据；</w:t>
      </w:r>
    </w:p>
    <w:p w14:paraId="27967890">
      <w:pPr>
        <w:keepNext/>
        <w:keepLines/>
        <w:widowControl/>
        <w:spacing w:line="480" w:lineRule="exact"/>
        <w:ind w:firstLine="480" w:firstLineChars="200"/>
        <w:jc w:val="left"/>
        <w:rPr>
          <w:rFonts w:ascii="宋体" w:cs="Times New Roman"/>
          <w:sz w:val="24"/>
          <w:szCs w:val="24"/>
        </w:rPr>
      </w:pPr>
      <w:r>
        <w:rPr>
          <w:rFonts w:hint="eastAsia" w:ascii="宋体" w:hAnsi="宋体" w:cs="宋体"/>
          <w:sz w:val="24"/>
          <w:szCs w:val="24"/>
        </w:rPr>
        <w:t>②</w:t>
      </w:r>
      <w:r>
        <w:rPr>
          <w:rFonts w:ascii="宋体" w:hAnsi="宋体" w:cs="宋体"/>
          <w:sz w:val="24"/>
          <w:szCs w:val="24"/>
        </w:rPr>
        <w:t xml:space="preserve"> </w:t>
      </w:r>
      <w:r>
        <w:rPr>
          <w:rFonts w:hint="eastAsia" w:ascii="宋体" w:hAnsi="宋体" w:cs="宋体"/>
          <w:sz w:val="24"/>
          <w:szCs w:val="24"/>
        </w:rPr>
        <w:t>明确详规动态更新内容；</w:t>
      </w:r>
    </w:p>
    <w:p w14:paraId="79A1B25A">
      <w:pPr>
        <w:keepNext/>
        <w:keepLines/>
        <w:widowControl/>
        <w:spacing w:line="480" w:lineRule="exact"/>
        <w:ind w:firstLine="480" w:firstLineChars="200"/>
        <w:jc w:val="left"/>
        <w:rPr>
          <w:rFonts w:ascii="宋体" w:cs="Times New Roman"/>
          <w:sz w:val="24"/>
          <w:szCs w:val="24"/>
        </w:rPr>
      </w:pPr>
      <w:r>
        <w:rPr>
          <w:rFonts w:hint="eastAsia" w:ascii="宋体" w:hAnsi="宋体" w:cs="宋体"/>
          <w:sz w:val="24"/>
          <w:szCs w:val="24"/>
        </w:rPr>
        <w:t>③</w:t>
      </w:r>
      <w:r>
        <w:rPr>
          <w:rFonts w:ascii="宋体" w:hAnsi="宋体" w:cs="宋体"/>
          <w:sz w:val="24"/>
          <w:szCs w:val="24"/>
        </w:rPr>
        <w:t xml:space="preserve"> </w:t>
      </w:r>
      <w:r>
        <w:rPr>
          <w:rFonts w:hint="eastAsia" w:ascii="宋体" w:hAnsi="宋体" w:cs="宋体"/>
          <w:sz w:val="24"/>
          <w:szCs w:val="24"/>
        </w:rPr>
        <w:t>分析详规动态更新内容的合法性、合规性；</w:t>
      </w:r>
    </w:p>
    <w:p w14:paraId="3215799E">
      <w:pPr>
        <w:keepNext/>
        <w:keepLines/>
        <w:widowControl/>
        <w:spacing w:line="480" w:lineRule="exact"/>
        <w:ind w:firstLine="480" w:firstLineChars="200"/>
        <w:jc w:val="left"/>
        <w:rPr>
          <w:rFonts w:ascii="宋体" w:cs="Times New Roman"/>
          <w:sz w:val="24"/>
          <w:szCs w:val="24"/>
        </w:rPr>
      </w:pPr>
      <w:r>
        <w:rPr>
          <w:rFonts w:hint="eastAsia" w:ascii="宋体" w:hAnsi="宋体" w:cs="宋体"/>
          <w:sz w:val="24"/>
          <w:szCs w:val="24"/>
        </w:rPr>
        <w:t>④</w:t>
      </w:r>
      <w:r>
        <w:rPr>
          <w:rFonts w:ascii="宋体" w:hAnsi="宋体" w:cs="宋体"/>
          <w:sz w:val="24"/>
          <w:szCs w:val="24"/>
        </w:rPr>
        <w:t xml:space="preserve"> </w:t>
      </w:r>
      <w:r>
        <w:rPr>
          <w:rFonts w:hint="eastAsia" w:ascii="宋体" w:hAnsi="宋体" w:cs="宋体"/>
          <w:sz w:val="24"/>
          <w:szCs w:val="24"/>
        </w:rPr>
        <w:t>分析调整内容对道路交通、公共服务配套设施、绿化等的影响并提出解决方案；</w:t>
      </w:r>
    </w:p>
    <w:p w14:paraId="1DF1D8E3">
      <w:pPr>
        <w:keepNext/>
        <w:keepLines/>
        <w:widowControl/>
        <w:spacing w:line="480" w:lineRule="exact"/>
        <w:ind w:firstLine="480" w:firstLineChars="200"/>
        <w:jc w:val="left"/>
        <w:rPr>
          <w:rFonts w:ascii="宋体" w:cs="Times New Roman"/>
          <w:sz w:val="24"/>
          <w:szCs w:val="24"/>
        </w:rPr>
      </w:pPr>
      <w:r>
        <w:rPr>
          <w:rFonts w:hint="eastAsia" w:ascii="宋体" w:hAnsi="宋体" w:cs="宋体"/>
          <w:sz w:val="24"/>
          <w:szCs w:val="24"/>
        </w:rPr>
        <w:t>⑤</w:t>
      </w:r>
      <w:r>
        <w:rPr>
          <w:rFonts w:ascii="宋体" w:hAnsi="宋体" w:cs="宋体"/>
          <w:sz w:val="24"/>
          <w:szCs w:val="24"/>
        </w:rPr>
        <w:t xml:space="preserve"> </w:t>
      </w:r>
      <w:r>
        <w:rPr>
          <w:rFonts w:hint="eastAsia" w:ascii="宋体" w:hAnsi="宋体" w:cs="宋体"/>
          <w:sz w:val="24"/>
          <w:szCs w:val="24"/>
        </w:rPr>
        <w:t>提出调整后规划方案或相关意见、建议。</w:t>
      </w:r>
    </w:p>
    <w:p w14:paraId="529D63AD">
      <w:pPr>
        <w:keepNext/>
        <w:keepLines/>
        <w:widowControl/>
        <w:spacing w:line="480" w:lineRule="exact"/>
        <w:ind w:firstLine="482" w:firstLineChars="200"/>
        <w:rPr>
          <w:rFonts w:ascii="宋体" w:cs="Times New Roman"/>
          <w:b/>
          <w:bCs/>
          <w:sz w:val="24"/>
          <w:szCs w:val="24"/>
        </w:rPr>
      </w:pPr>
      <w:r>
        <w:rPr>
          <w:rFonts w:ascii="宋体" w:hAnsi="宋体" w:cs="宋体"/>
          <w:b/>
          <w:bCs/>
          <w:sz w:val="24"/>
          <w:szCs w:val="24"/>
        </w:rPr>
        <w:t>2</w:t>
      </w:r>
      <w:r>
        <w:rPr>
          <w:rFonts w:hint="eastAsia" w:ascii="宋体" w:hAnsi="宋体" w:cs="宋体"/>
          <w:b/>
          <w:bCs/>
          <w:sz w:val="24"/>
          <w:szCs w:val="24"/>
        </w:rPr>
        <w:t>、对详细规划尚未批准且延用已批准的控规进行动态更新</w:t>
      </w:r>
    </w:p>
    <w:p w14:paraId="4F0590DD">
      <w:pPr>
        <w:keepNext/>
        <w:keepLines/>
        <w:widowControl/>
        <w:spacing w:line="480" w:lineRule="exact"/>
        <w:ind w:firstLine="480" w:firstLineChars="200"/>
        <w:jc w:val="left"/>
        <w:rPr>
          <w:rFonts w:ascii="宋体" w:cs="Times New Roman"/>
          <w:sz w:val="24"/>
          <w:szCs w:val="24"/>
        </w:rPr>
      </w:pPr>
      <w:r>
        <w:rPr>
          <w:rFonts w:hint="eastAsia" w:ascii="宋体" w:hAnsi="宋体" w:cs="宋体"/>
          <w:sz w:val="24"/>
          <w:szCs w:val="24"/>
        </w:rPr>
        <w:t>结合实际情况，部分单元的详细规划因城镇开发边界优化调整等原因尚未编制或批准，依然执行原批准的控制性详细规划，对有动态更新需求的原批准的控制性详细规划进行充分论证分析，并提出动态更新优化方案。</w:t>
      </w:r>
    </w:p>
    <w:p w14:paraId="4FD620FF">
      <w:pPr>
        <w:keepNext/>
        <w:keepLines/>
        <w:widowControl/>
        <w:spacing w:line="480" w:lineRule="exact"/>
        <w:ind w:firstLine="482" w:firstLineChars="200"/>
        <w:rPr>
          <w:rFonts w:ascii="宋体" w:cs="Times New Roman"/>
          <w:b/>
          <w:bCs/>
          <w:sz w:val="24"/>
          <w:szCs w:val="24"/>
        </w:rPr>
      </w:pPr>
      <w:r>
        <w:rPr>
          <w:rFonts w:ascii="宋体" w:hAnsi="宋体" w:cs="宋体"/>
          <w:b/>
          <w:bCs/>
          <w:sz w:val="24"/>
          <w:szCs w:val="24"/>
        </w:rPr>
        <w:t>3</w:t>
      </w:r>
      <w:r>
        <w:rPr>
          <w:rFonts w:hint="eastAsia" w:ascii="宋体" w:hAnsi="宋体" w:cs="宋体"/>
          <w:b/>
          <w:bCs/>
          <w:sz w:val="24"/>
          <w:szCs w:val="24"/>
        </w:rPr>
        <w:t>、编制详规动态更新方案成果：</w:t>
      </w:r>
    </w:p>
    <w:p w14:paraId="32FB40CF">
      <w:pPr>
        <w:keepNext/>
        <w:keepLines/>
        <w:widowControl/>
        <w:spacing w:line="480" w:lineRule="exact"/>
        <w:ind w:firstLine="480" w:firstLineChars="200"/>
        <w:jc w:val="left"/>
        <w:rPr>
          <w:rFonts w:ascii="宋体" w:cs="Times New Roman"/>
          <w:sz w:val="24"/>
          <w:szCs w:val="24"/>
        </w:rPr>
      </w:pPr>
      <w:r>
        <w:rPr>
          <w:rFonts w:hint="eastAsia" w:ascii="宋体" w:hAnsi="宋体" w:cs="宋体"/>
          <w:sz w:val="24"/>
          <w:szCs w:val="24"/>
        </w:rPr>
        <w:t>方案成果主要包括以下内容：</w:t>
      </w:r>
    </w:p>
    <w:p w14:paraId="6D27A19E">
      <w:pPr>
        <w:keepNext/>
        <w:keepLines/>
        <w:widowControl/>
        <w:spacing w:line="480" w:lineRule="exact"/>
        <w:ind w:firstLine="480" w:firstLineChars="20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）综合报告；</w:t>
      </w:r>
    </w:p>
    <w:p w14:paraId="205E33E3">
      <w:pPr>
        <w:keepNext/>
        <w:keepLines/>
        <w:widowControl/>
        <w:spacing w:line="480" w:lineRule="exact"/>
        <w:ind w:firstLine="480" w:firstLineChars="20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）法定文本；</w:t>
      </w:r>
    </w:p>
    <w:p w14:paraId="1A07E3FC">
      <w:pPr>
        <w:keepNext/>
        <w:keepLines/>
        <w:widowControl/>
        <w:spacing w:line="480" w:lineRule="exact"/>
        <w:ind w:firstLine="480" w:firstLineChars="20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）动态更新图件（包括并不限于局部现状图、调整前用地规划图、调整后用地规划图、调整前图则、调整后图则等）。</w:t>
      </w:r>
    </w:p>
    <w:p w14:paraId="2220DB0D">
      <w:pPr>
        <w:keepNext/>
        <w:keepLines/>
        <w:widowControl/>
        <w:spacing w:line="480" w:lineRule="exact"/>
        <w:ind w:firstLine="482" w:firstLineChars="200"/>
        <w:rPr>
          <w:rFonts w:ascii="宋体" w:cs="Times New Roman"/>
          <w:b/>
          <w:bCs/>
          <w:sz w:val="24"/>
          <w:szCs w:val="24"/>
        </w:rPr>
      </w:pPr>
      <w:r>
        <w:rPr>
          <w:rFonts w:ascii="宋体" w:hAnsi="宋体" w:cs="宋体"/>
          <w:b/>
          <w:bCs/>
          <w:sz w:val="24"/>
          <w:szCs w:val="24"/>
        </w:rPr>
        <w:t>4</w:t>
      </w:r>
      <w:r>
        <w:rPr>
          <w:rFonts w:hint="eastAsia" w:ascii="宋体" w:hAnsi="宋体" w:cs="宋体"/>
          <w:b/>
          <w:bCs/>
          <w:sz w:val="24"/>
          <w:szCs w:val="24"/>
        </w:rPr>
        <w:t>、详规动态更新成果数据库建设：</w:t>
      </w:r>
    </w:p>
    <w:p w14:paraId="566D3976">
      <w:pPr>
        <w:keepNext/>
        <w:keepLines/>
        <w:widowControl/>
        <w:spacing w:line="480" w:lineRule="exact"/>
        <w:ind w:firstLine="480" w:firstLineChars="200"/>
        <w:rPr>
          <w:rFonts w:ascii="宋体" w:cs="Times New Roman"/>
          <w:sz w:val="24"/>
          <w:szCs w:val="24"/>
        </w:rPr>
      </w:pPr>
      <w:r>
        <w:rPr>
          <w:rFonts w:hint="eastAsia" w:ascii="宋体" w:hAnsi="宋体" w:cs="宋体"/>
          <w:sz w:val="24"/>
          <w:szCs w:val="24"/>
        </w:rPr>
        <w:t>经审查同意并按相关程序获得批复的动态更新方案，按照江苏省自然资源厅发布的《江苏省自然资源厅关于加强详细规划管理的通知》</w:t>
      </w:r>
      <w:r>
        <w:rPr>
          <w:rFonts w:ascii="宋体" w:hAnsi="宋体" w:cs="宋体"/>
          <w:sz w:val="24"/>
          <w:szCs w:val="24"/>
        </w:rPr>
        <w:t>[</w:t>
      </w:r>
      <w:r>
        <w:rPr>
          <w:rFonts w:hint="eastAsia" w:ascii="宋体" w:hAnsi="宋体" w:cs="宋体"/>
          <w:sz w:val="24"/>
          <w:szCs w:val="24"/>
        </w:rPr>
        <w:t>苏自然资发</w:t>
      </w:r>
      <w:r>
        <w:rPr>
          <w:rFonts w:ascii="宋体" w:hAnsi="宋体" w:cs="宋体"/>
          <w:sz w:val="24"/>
          <w:szCs w:val="24"/>
        </w:rPr>
        <w:t>(2021)267</w:t>
      </w:r>
      <w:r>
        <w:rPr>
          <w:rFonts w:hint="eastAsia" w:ascii="宋体" w:hAnsi="宋体" w:cs="宋体"/>
          <w:sz w:val="24"/>
          <w:szCs w:val="24"/>
        </w:rPr>
        <w:t>号</w:t>
      </w:r>
      <w:r>
        <w:rPr>
          <w:rFonts w:ascii="宋体" w:hAnsi="宋体" w:cs="宋体"/>
          <w:sz w:val="24"/>
          <w:szCs w:val="24"/>
        </w:rPr>
        <w:t>]</w:t>
      </w:r>
      <w:r>
        <w:rPr>
          <w:rFonts w:hint="eastAsia" w:ascii="宋体" w:hAnsi="宋体" w:cs="宋体"/>
          <w:sz w:val="24"/>
          <w:szCs w:val="24"/>
        </w:rPr>
        <w:t>要求，同时依据《江苏省城镇开发边界内详细规划数据库标准（试行）》文件要求，由中标单位进行数据库建设。待数据库审核通过后，与详规“一张图”维护单位对接，录入盐城市“一张图”决策平台并调试运行稳定，以维护该平台详规数据的时效性。</w:t>
      </w:r>
    </w:p>
    <w:p w14:paraId="5EDAAF63">
      <w:pPr>
        <w:pStyle w:val="288"/>
        <w:keepNext/>
        <w:keepLines/>
        <w:widowControl/>
        <w:spacing w:before="0" w:after="0" w:line="480" w:lineRule="exact"/>
        <w:ind w:firstLine="522" w:firstLineChars="200"/>
        <w:rPr>
          <w:b/>
          <w:bCs/>
        </w:rPr>
      </w:pPr>
      <w:r>
        <w:rPr>
          <w:b/>
          <w:bCs/>
        </w:rPr>
        <w:t>5</w:t>
      </w:r>
      <w:r>
        <w:rPr>
          <w:rFonts w:hint="eastAsia" w:cs="宋体"/>
          <w:b/>
          <w:bCs/>
        </w:rPr>
        <w:t>、指令性任务和其他规划技术支撑、服务类项目</w:t>
      </w:r>
      <w:r>
        <w:rPr>
          <w:b/>
          <w:bCs/>
        </w:rPr>
        <w:t>:</w:t>
      </w:r>
    </w:p>
    <w:p w14:paraId="532D0494">
      <w:pPr>
        <w:keepNext/>
        <w:keepLines/>
        <w:widowControl/>
        <w:spacing w:line="480" w:lineRule="exact"/>
        <w:ind w:firstLine="480" w:firstLineChars="200"/>
        <w:rPr>
          <w:rFonts w:ascii="宋体" w:cs="Times New Roman"/>
          <w:sz w:val="24"/>
          <w:szCs w:val="24"/>
        </w:rPr>
      </w:pPr>
      <w:r>
        <w:rPr>
          <w:rFonts w:hint="eastAsia" w:ascii="宋体" w:hAnsi="宋体" w:cs="宋体"/>
          <w:sz w:val="24"/>
          <w:szCs w:val="24"/>
        </w:rPr>
        <w:t>根据工作部署要求，完成上级部门或局领导交办的指令性任务和其他规划技术支撑、服务类项目（指令性任务和其他规划技术支撑、服务性类项目是指规划编制工作量不大但时间要求比较紧急的规划技术支撑或服务类项目），加强国土空间规划研究，提供规划技术服务，保质保量协助完成规划任务并提供相关规划成果。</w:t>
      </w:r>
      <w:r>
        <w:rPr>
          <w:rFonts w:ascii="宋体" w:hAnsi="宋体" w:cs="宋体"/>
          <w:sz w:val="24"/>
          <w:szCs w:val="24"/>
        </w:rPr>
        <w:t xml:space="preserve">   </w:t>
      </w:r>
    </w:p>
    <w:p w14:paraId="784A64FF">
      <w:pPr>
        <w:keepNext/>
        <w:keepLines/>
        <w:widowControl/>
        <w:spacing w:line="480" w:lineRule="exact"/>
        <w:ind w:firstLine="482" w:firstLineChars="200"/>
        <w:jc w:val="left"/>
        <w:rPr>
          <w:rFonts w:ascii="宋体" w:cs="Times New Roman"/>
          <w:b/>
          <w:bCs/>
          <w:sz w:val="24"/>
          <w:szCs w:val="24"/>
        </w:rPr>
      </w:pPr>
      <w:r>
        <w:rPr>
          <w:rFonts w:hint="eastAsia" w:ascii="宋体" w:hAnsi="宋体" w:cs="宋体"/>
          <w:b/>
          <w:bCs/>
          <w:sz w:val="24"/>
          <w:szCs w:val="24"/>
        </w:rPr>
        <w:t>五、计费标准</w:t>
      </w:r>
    </w:p>
    <w:p w14:paraId="3DB68F01">
      <w:pPr>
        <w:keepNext/>
        <w:keepLines/>
        <w:widowControl/>
        <w:spacing w:line="480" w:lineRule="exact"/>
        <w:ind w:firstLine="480" w:firstLineChars="200"/>
        <w:rPr>
          <w:rFonts w:ascii="宋体" w:cs="Times New Roman"/>
          <w:sz w:val="24"/>
          <w:szCs w:val="24"/>
        </w:rPr>
      </w:pPr>
      <w:r>
        <w:rPr>
          <w:rFonts w:hint="eastAsia" w:ascii="宋体" w:hAnsi="宋体" w:cs="宋体"/>
          <w:sz w:val="24"/>
          <w:szCs w:val="24"/>
        </w:rPr>
        <w:t>中标费用分为两部分：详规动态更新费用占</w:t>
      </w:r>
      <w:r>
        <w:rPr>
          <w:rFonts w:ascii="宋体" w:hAnsi="宋体" w:cs="宋体"/>
          <w:sz w:val="24"/>
          <w:szCs w:val="24"/>
        </w:rPr>
        <w:t>60%</w:t>
      </w:r>
      <w:r>
        <w:rPr>
          <w:rFonts w:hint="eastAsia" w:ascii="宋体" w:hAnsi="宋体" w:cs="宋体"/>
          <w:sz w:val="24"/>
          <w:szCs w:val="24"/>
        </w:rPr>
        <w:t>，紧急性规划任务费用占</w:t>
      </w:r>
      <w:r>
        <w:rPr>
          <w:rFonts w:ascii="宋体" w:hAnsi="宋体" w:cs="宋体"/>
          <w:sz w:val="24"/>
          <w:szCs w:val="24"/>
        </w:rPr>
        <w:t>40%</w:t>
      </w:r>
      <w:r>
        <w:rPr>
          <w:rFonts w:hint="eastAsia" w:ascii="宋体" w:hAnsi="宋体" w:cs="宋体"/>
          <w:sz w:val="24"/>
          <w:szCs w:val="24"/>
        </w:rPr>
        <w:t>。</w:t>
      </w:r>
    </w:p>
    <w:p w14:paraId="40711F31">
      <w:pPr>
        <w:keepNext/>
        <w:keepLines/>
        <w:widowControl/>
        <w:spacing w:line="480" w:lineRule="exact"/>
        <w:ind w:firstLine="480" w:firstLineChars="200"/>
        <w:rPr>
          <w:rFonts w:ascii="宋体" w:cs="Times New Roman"/>
          <w:sz w:val="24"/>
          <w:szCs w:val="24"/>
        </w:rPr>
      </w:pPr>
      <w:r>
        <w:rPr>
          <w:rFonts w:hint="eastAsia" w:ascii="宋体" w:hAnsi="宋体" w:cs="宋体"/>
          <w:sz w:val="24"/>
          <w:szCs w:val="24"/>
        </w:rPr>
        <w:t>（一）详规动态更新应满足委托单位的规划管理工作需求，总支付费用依据所有更新或调整地块的实际工作量计费，且结算总费用最高为中标价格的</w:t>
      </w:r>
      <w:r>
        <w:rPr>
          <w:rFonts w:ascii="宋体" w:hAnsi="宋体" w:cs="宋体"/>
          <w:sz w:val="24"/>
          <w:szCs w:val="24"/>
        </w:rPr>
        <w:t>60%</w:t>
      </w:r>
      <w:r>
        <w:rPr>
          <w:rFonts w:hint="eastAsia" w:ascii="宋体" w:hAnsi="宋体" w:cs="宋体"/>
          <w:sz w:val="24"/>
          <w:szCs w:val="24"/>
        </w:rPr>
        <w:t>。</w:t>
      </w:r>
    </w:p>
    <w:p w14:paraId="4602D4CC">
      <w:pPr>
        <w:keepNext/>
        <w:keepLines/>
        <w:widowControl/>
        <w:spacing w:line="480" w:lineRule="exact"/>
        <w:ind w:firstLine="480" w:firstLineChars="200"/>
        <w:rPr>
          <w:rFonts w:ascii="宋体" w:cs="Times New Roman"/>
          <w:sz w:val="24"/>
          <w:szCs w:val="24"/>
        </w:rPr>
      </w:pPr>
      <w:r>
        <w:rPr>
          <w:rFonts w:hint="eastAsia" w:ascii="宋体" w:hAnsi="宋体" w:cs="宋体"/>
          <w:sz w:val="24"/>
          <w:szCs w:val="24"/>
        </w:rPr>
        <w:t>（二）紧急性规划任务按届时实际紧急性任务量进行计费，规划课题研究、专项研究等类似研究类项目和其他规划技术支撑、服务类项目均按实际工作量计费，且结算总费用最高为中标价格的</w:t>
      </w:r>
      <w:r>
        <w:rPr>
          <w:rFonts w:ascii="宋体" w:hAnsi="宋体" w:cs="宋体"/>
          <w:sz w:val="24"/>
          <w:szCs w:val="24"/>
        </w:rPr>
        <w:t>40%</w:t>
      </w:r>
      <w:r>
        <w:rPr>
          <w:rFonts w:hint="eastAsia" w:ascii="宋体" w:hAnsi="宋体" w:cs="宋体"/>
          <w:sz w:val="24"/>
          <w:szCs w:val="24"/>
        </w:rPr>
        <w:t>。</w:t>
      </w:r>
    </w:p>
    <w:p w14:paraId="05274838">
      <w:pPr>
        <w:keepNext/>
        <w:keepLines/>
        <w:widowControl/>
        <w:spacing w:line="480" w:lineRule="exact"/>
        <w:ind w:firstLine="482" w:firstLineChars="200"/>
        <w:rPr>
          <w:rFonts w:ascii="宋体" w:cs="Times New Roman"/>
          <w:b/>
          <w:bCs/>
          <w:sz w:val="24"/>
          <w:szCs w:val="24"/>
        </w:rPr>
      </w:pPr>
      <w:r>
        <w:rPr>
          <w:rFonts w:hint="eastAsia" w:ascii="宋体" w:hAnsi="宋体" w:cs="宋体"/>
          <w:b/>
          <w:bCs/>
          <w:sz w:val="24"/>
          <w:szCs w:val="24"/>
        </w:rPr>
        <w:t>六、项目实施方案</w:t>
      </w:r>
    </w:p>
    <w:p w14:paraId="67D33564">
      <w:pPr>
        <w:keepNext/>
        <w:keepLines/>
        <w:widowControl/>
        <w:spacing w:line="480" w:lineRule="exact"/>
        <w:ind w:firstLine="480" w:firstLineChars="200"/>
        <w:rPr>
          <w:rFonts w:ascii="宋体" w:cs="Times New Roman"/>
          <w:sz w:val="24"/>
          <w:szCs w:val="24"/>
          <w:highlight w:val="none"/>
        </w:rPr>
      </w:pPr>
      <w:r>
        <w:rPr>
          <w:rFonts w:hint="eastAsia" w:ascii="宋体" w:hAnsi="宋体" w:cs="宋体"/>
          <w:sz w:val="24"/>
          <w:szCs w:val="24"/>
          <w:highlight w:val="none"/>
        </w:rPr>
        <w:t>投标人须依据自身实际状况与对本项目全方位的理解，精心编制技术方案。该项目实施方案至少涵盖工作思路和技术路线、工作大纲、质量保证体系及保证措施、安全保密措施、进度计划及保障措施五大核心内容。内容清晰、全面、合理、可靠且结构完整，能切实贴合并超越项目需求的方案将更具优势。</w:t>
      </w:r>
    </w:p>
    <w:p w14:paraId="028726B8">
      <w:pPr>
        <w:keepNext/>
        <w:keepLines/>
        <w:widowControl/>
        <w:spacing w:line="480" w:lineRule="exact"/>
        <w:ind w:firstLine="480" w:firstLineChars="200"/>
        <w:rPr>
          <w:rFonts w:ascii="宋体" w:cs="Times New Roman"/>
          <w:sz w:val="24"/>
          <w:szCs w:val="24"/>
          <w:highlight w:val="none"/>
        </w:rPr>
      </w:pPr>
      <w:r>
        <w:rPr>
          <w:rFonts w:hint="eastAsia" w:ascii="宋体" w:hAnsi="宋体" w:cs="宋体"/>
          <w:sz w:val="24"/>
          <w:szCs w:val="24"/>
          <w:highlight w:val="none"/>
          <w:lang w:val="en-US" w:eastAsia="zh-CN"/>
        </w:rPr>
        <w:t>1、</w:t>
      </w:r>
      <w:r>
        <w:rPr>
          <w:rFonts w:hint="eastAsia" w:ascii="宋体" w:hAnsi="宋体" w:cs="宋体"/>
          <w:sz w:val="24"/>
          <w:szCs w:val="24"/>
          <w:highlight w:val="none"/>
        </w:rPr>
        <w:t>工作思路和技术路线：至少包含①工作背景；②工作原则；③工作技术路线。</w:t>
      </w:r>
    </w:p>
    <w:p w14:paraId="5C6234A2">
      <w:pPr>
        <w:keepNext/>
        <w:keepLines/>
        <w:widowControl/>
        <w:spacing w:line="480" w:lineRule="exact"/>
        <w:ind w:firstLine="480" w:firstLineChars="200"/>
        <w:rPr>
          <w:rFonts w:ascii="宋体" w:cs="Times New Roman"/>
          <w:sz w:val="24"/>
          <w:szCs w:val="24"/>
          <w:highlight w:val="none"/>
        </w:rPr>
      </w:pPr>
      <w:r>
        <w:rPr>
          <w:rFonts w:hint="eastAsia" w:ascii="宋体" w:hAnsi="宋体" w:cs="宋体"/>
          <w:sz w:val="24"/>
          <w:szCs w:val="24"/>
          <w:highlight w:val="none"/>
        </w:rPr>
        <w:t>①工作背景：本项目响应国家国土空间规划体系建设要求，落实《江苏省自然资源厅关于加强详细规划管理的通知》（苏自然资发〔</w:t>
      </w:r>
      <w:r>
        <w:rPr>
          <w:rFonts w:ascii="宋体" w:hAnsi="宋体" w:cs="宋体"/>
          <w:sz w:val="24"/>
          <w:szCs w:val="24"/>
          <w:highlight w:val="none"/>
        </w:rPr>
        <w:t>2021</w:t>
      </w:r>
      <w:r>
        <w:rPr>
          <w:rFonts w:hint="eastAsia" w:ascii="宋体" w:hAnsi="宋体" w:cs="宋体"/>
          <w:sz w:val="24"/>
          <w:szCs w:val="24"/>
          <w:highlight w:val="none"/>
        </w:rPr>
        <w:t>〕</w:t>
      </w:r>
      <w:r>
        <w:rPr>
          <w:rFonts w:ascii="宋体" w:hAnsi="宋体" w:cs="宋体"/>
          <w:sz w:val="24"/>
          <w:szCs w:val="24"/>
          <w:highlight w:val="none"/>
        </w:rPr>
        <w:t>267</w:t>
      </w:r>
      <w:r>
        <w:rPr>
          <w:rFonts w:hint="eastAsia" w:ascii="宋体" w:hAnsi="宋体" w:cs="宋体"/>
          <w:sz w:val="24"/>
          <w:szCs w:val="24"/>
          <w:highlight w:val="none"/>
        </w:rPr>
        <w:t>号）等文件精神，针对盐城市中心城区主城区开发边界内详规动态更新需求，解决规划与城市发展、“一张图”平台衔接问题，为城市有序更新提供技术支撑。</w:t>
      </w:r>
    </w:p>
    <w:p w14:paraId="220246D5">
      <w:pPr>
        <w:keepNext/>
        <w:keepLines/>
        <w:widowControl/>
        <w:spacing w:line="480" w:lineRule="exact"/>
        <w:ind w:firstLine="480" w:firstLineChars="200"/>
        <w:rPr>
          <w:rFonts w:ascii="宋体" w:cs="Times New Roman"/>
          <w:sz w:val="24"/>
          <w:szCs w:val="24"/>
          <w:highlight w:val="none"/>
        </w:rPr>
      </w:pPr>
      <w:r>
        <w:rPr>
          <w:rFonts w:hint="eastAsia" w:ascii="宋体" w:hAnsi="宋体" w:cs="宋体"/>
          <w:sz w:val="24"/>
          <w:szCs w:val="24"/>
          <w:highlight w:val="none"/>
        </w:rPr>
        <w:t>②工作原则：坚守合法性合规性原则，严格遵循法律法规及技术规范；坚持全域统筹衔接原则，保障相邻单元规划协同；秉持科学性可实施原则，结合经济形势与地方诉求；恪守时效性保障原则，确保成果及时纳入“一张图”平台。</w:t>
      </w:r>
    </w:p>
    <w:p w14:paraId="0D3750CE">
      <w:pPr>
        <w:keepNext/>
        <w:keepLines/>
        <w:widowControl/>
        <w:spacing w:line="480" w:lineRule="exact"/>
        <w:ind w:firstLine="480" w:firstLineChars="200"/>
        <w:rPr>
          <w:rFonts w:ascii="宋体" w:cs="Times New Roman"/>
          <w:sz w:val="24"/>
          <w:szCs w:val="24"/>
          <w:highlight w:val="none"/>
        </w:rPr>
      </w:pPr>
      <w:r>
        <w:rPr>
          <w:rFonts w:hint="eastAsia" w:ascii="宋体" w:hAnsi="宋体" w:cs="宋体"/>
          <w:sz w:val="24"/>
          <w:szCs w:val="24"/>
          <w:highlight w:val="none"/>
        </w:rPr>
        <w:t>③工作技术路线：采用正确的工作流程，通过资料收集、现场调研梳理更新需求，开展合规性与影响评估，编制更新方案及数据库，最终完成平台对接与紧急任务响应。</w:t>
      </w:r>
    </w:p>
    <w:p w14:paraId="47C3D2C2">
      <w:pPr>
        <w:keepNext/>
        <w:keepLines/>
        <w:widowControl/>
        <w:spacing w:line="480" w:lineRule="exact"/>
        <w:ind w:firstLine="480" w:firstLineChars="200"/>
        <w:rPr>
          <w:rFonts w:ascii="宋体" w:cs="Times New Roman"/>
          <w:sz w:val="24"/>
          <w:szCs w:val="24"/>
          <w:highlight w:val="none"/>
        </w:rPr>
      </w:pPr>
      <w:r>
        <w:rPr>
          <w:rFonts w:hint="eastAsia" w:ascii="宋体" w:hAnsi="宋体" w:cs="宋体"/>
          <w:sz w:val="24"/>
          <w:szCs w:val="24"/>
          <w:highlight w:val="none"/>
          <w:lang w:val="en-US" w:eastAsia="zh-CN"/>
        </w:rPr>
        <w:t>2、</w:t>
      </w:r>
      <w:r>
        <w:rPr>
          <w:rFonts w:hint="eastAsia" w:ascii="宋体" w:hAnsi="宋体" w:cs="宋体"/>
          <w:sz w:val="24"/>
          <w:szCs w:val="24"/>
          <w:highlight w:val="none"/>
        </w:rPr>
        <w:t>工作大纲：至少包含①对已批准详细规划成果进行动态更新；②上对详细规划尚未批准且延用已批准的控规进行动态更新；③编制详规动态更新方案成果；④详规动态更新成果数据库建设；⑤紧急性规划任务。</w:t>
      </w:r>
    </w:p>
    <w:p w14:paraId="515956D7">
      <w:pPr>
        <w:keepNext/>
        <w:keepLines/>
        <w:widowControl/>
        <w:spacing w:line="480" w:lineRule="exact"/>
        <w:ind w:firstLine="480" w:firstLineChars="200"/>
        <w:rPr>
          <w:rFonts w:ascii="宋体" w:cs="Times New Roman"/>
          <w:sz w:val="24"/>
          <w:szCs w:val="24"/>
          <w:highlight w:val="none"/>
        </w:rPr>
      </w:pPr>
      <w:r>
        <w:rPr>
          <w:rFonts w:hint="eastAsia" w:ascii="宋体" w:hAnsi="宋体" w:cs="宋体"/>
          <w:sz w:val="24"/>
          <w:szCs w:val="24"/>
          <w:highlight w:val="none"/>
        </w:rPr>
        <w:t>①对已批准详细规划成果进行动态更新：以全域视角汇总统筹各单元更新需求，衔接最新规划规范与“三区三线”成果，研判修改内容合法性及是否涉及强制性条款调整，编制包含更新依据、内容、影响分析及解决方案的可行性研究报告，确保成果科学可行</w:t>
      </w:r>
    </w:p>
    <w:p w14:paraId="054A4B8F">
      <w:pPr>
        <w:keepNext/>
        <w:keepLines/>
        <w:widowControl/>
        <w:spacing w:line="480" w:lineRule="exact"/>
        <w:ind w:firstLine="480" w:firstLineChars="200"/>
        <w:rPr>
          <w:rFonts w:ascii="宋体" w:cs="Times New Roman"/>
          <w:sz w:val="24"/>
          <w:szCs w:val="24"/>
          <w:highlight w:val="none"/>
        </w:rPr>
      </w:pPr>
      <w:r>
        <w:rPr>
          <w:rFonts w:hint="eastAsia" w:ascii="宋体" w:hAnsi="宋体" w:cs="宋体"/>
          <w:sz w:val="24"/>
          <w:szCs w:val="24"/>
          <w:highlight w:val="none"/>
        </w:rPr>
        <w:t>②上对详细规划尚未批准且延用已批准的控规进行动态更新：针对城镇开发边界优化等原因未编制或未批准详规的单元，梳理原控规执行现状，结合当前发展诉求开展充分论证，分析控规适应性，提出贴合实际、合规合理的动态更新优化方案，保障规划衔接性。</w:t>
      </w:r>
    </w:p>
    <w:p w14:paraId="19C908EA">
      <w:pPr>
        <w:keepNext/>
        <w:keepLines/>
        <w:widowControl/>
        <w:spacing w:line="480" w:lineRule="exact"/>
        <w:ind w:firstLine="480" w:firstLineChars="200"/>
        <w:rPr>
          <w:rFonts w:ascii="宋体" w:cs="Times New Roman"/>
          <w:sz w:val="24"/>
          <w:szCs w:val="24"/>
          <w:highlight w:val="none"/>
        </w:rPr>
      </w:pPr>
      <w:r>
        <w:rPr>
          <w:rFonts w:hint="eastAsia" w:ascii="宋体" w:hAnsi="宋体" w:cs="宋体"/>
          <w:sz w:val="24"/>
          <w:szCs w:val="24"/>
          <w:highlight w:val="none"/>
        </w:rPr>
        <w:t>③编制详规动态更新方案成果：按要求完成综合报告、法定文本编制，绘制局部现状图、调整前后用地规划图、调整前后图则等核心图件，确保成果格式规范、内容完整，数据准确，满足审查与实施要求。</w:t>
      </w:r>
    </w:p>
    <w:p w14:paraId="0B459DB9">
      <w:pPr>
        <w:keepNext/>
        <w:keepLines/>
        <w:widowControl/>
        <w:spacing w:line="480" w:lineRule="exact"/>
        <w:ind w:firstLine="480" w:firstLineChars="200"/>
        <w:rPr>
          <w:rFonts w:ascii="宋体" w:cs="Times New Roman"/>
          <w:sz w:val="24"/>
          <w:szCs w:val="24"/>
          <w:highlight w:val="none"/>
        </w:rPr>
      </w:pPr>
      <w:r>
        <w:rPr>
          <w:rFonts w:hint="eastAsia" w:ascii="宋体" w:hAnsi="宋体" w:cs="宋体"/>
          <w:sz w:val="24"/>
          <w:szCs w:val="24"/>
          <w:highlight w:val="none"/>
        </w:rPr>
        <w:t>④详规动态更新成果数据库建设：依据《江苏省城镇开发边界内详细规划数据库标准（试行）》，对批复后的更新成果进行数据库搭建，规范数据格式与分类，完成与盐城市“一张图”决策平台对接、录入及调试，保障数据时效性与可用性。</w:t>
      </w:r>
    </w:p>
    <w:p w14:paraId="1EDF687D">
      <w:pPr>
        <w:keepNext/>
        <w:keepLines/>
        <w:widowControl/>
        <w:spacing w:line="480" w:lineRule="exact"/>
        <w:ind w:firstLine="480" w:firstLineChars="200"/>
        <w:rPr>
          <w:rFonts w:ascii="宋体" w:cs="Times New Roman"/>
          <w:sz w:val="24"/>
          <w:szCs w:val="24"/>
          <w:highlight w:val="none"/>
        </w:rPr>
      </w:pPr>
      <w:r>
        <w:rPr>
          <w:rFonts w:hint="eastAsia" w:ascii="宋体" w:hAnsi="宋体" w:cs="宋体"/>
          <w:sz w:val="24"/>
          <w:szCs w:val="24"/>
          <w:highlight w:val="none"/>
        </w:rPr>
        <w:t>⑤紧急性规划任务：根据局工作部署要求，完成上级部门或局领导交办的紧急性规划任务，加强国土空间规划研究，提供规划技术服务，保质保量协助完成规划任务并提供相关规划成果。</w:t>
      </w:r>
    </w:p>
    <w:p w14:paraId="28603AB9">
      <w:pPr>
        <w:keepNext/>
        <w:keepLines/>
        <w:widowControl/>
        <w:spacing w:line="480" w:lineRule="exact"/>
        <w:ind w:firstLine="480" w:firstLineChars="200"/>
        <w:rPr>
          <w:rFonts w:ascii="宋体" w:cs="Times New Roman"/>
          <w:sz w:val="24"/>
          <w:szCs w:val="24"/>
          <w:highlight w:val="none"/>
        </w:rPr>
      </w:pPr>
      <w:r>
        <w:rPr>
          <w:rFonts w:hint="eastAsia" w:ascii="宋体" w:hAnsi="宋体" w:cs="宋体"/>
          <w:sz w:val="24"/>
          <w:szCs w:val="24"/>
          <w:highlight w:val="none"/>
          <w:lang w:val="en-US" w:eastAsia="zh-CN"/>
        </w:rPr>
        <w:t>3、</w:t>
      </w:r>
      <w:r>
        <w:rPr>
          <w:rFonts w:hint="eastAsia" w:ascii="宋体" w:hAnsi="宋体" w:cs="宋体"/>
          <w:sz w:val="24"/>
          <w:szCs w:val="24"/>
          <w:highlight w:val="none"/>
        </w:rPr>
        <w:t>质量保证体系及保证措施：至少包含</w:t>
      </w:r>
      <w:r>
        <w:rPr>
          <w:rFonts w:hint="eastAsia" w:cs="宋体"/>
          <w:sz w:val="24"/>
          <w:szCs w:val="24"/>
          <w:highlight w:val="none"/>
        </w:rPr>
        <w:t>①质量保证体系；②质量保证措施</w:t>
      </w:r>
      <w:r>
        <w:rPr>
          <w:rFonts w:hint="eastAsia" w:ascii="宋体" w:hAnsi="宋体" w:cs="宋体"/>
          <w:sz w:val="24"/>
          <w:szCs w:val="24"/>
          <w:highlight w:val="none"/>
        </w:rPr>
        <w:t>。</w:t>
      </w:r>
    </w:p>
    <w:p w14:paraId="7ABCC240">
      <w:pPr>
        <w:keepNext/>
        <w:keepLines/>
        <w:widowControl/>
        <w:spacing w:line="480" w:lineRule="exact"/>
        <w:ind w:firstLine="480" w:firstLineChars="200"/>
        <w:rPr>
          <w:rFonts w:ascii="宋体" w:cs="Times New Roman"/>
          <w:sz w:val="24"/>
          <w:szCs w:val="24"/>
          <w:highlight w:val="none"/>
        </w:rPr>
      </w:pPr>
      <w:r>
        <w:rPr>
          <w:rFonts w:hint="eastAsia" w:cs="宋体"/>
          <w:sz w:val="24"/>
          <w:szCs w:val="24"/>
          <w:highlight w:val="none"/>
        </w:rPr>
        <w:t>①质量保证体系：构建完整的质量体系，明确各岗位质量职责，建立质量台账，将质量管控贯穿项目全流程，确保成果符合国家、省、市相关要求。</w:t>
      </w:r>
    </w:p>
    <w:p w14:paraId="5CFE50DB">
      <w:pPr>
        <w:keepNext/>
        <w:keepLines/>
        <w:widowControl/>
        <w:spacing w:line="480" w:lineRule="exact"/>
        <w:ind w:firstLine="480" w:firstLineChars="200"/>
        <w:rPr>
          <w:rFonts w:ascii="宋体" w:cs="Times New Roman"/>
          <w:sz w:val="24"/>
          <w:szCs w:val="24"/>
          <w:highlight w:val="none"/>
        </w:rPr>
      </w:pPr>
      <w:r>
        <w:rPr>
          <w:rFonts w:hint="eastAsia" w:cs="宋体"/>
          <w:sz w:val="24"/>
          <w:szCs w:val="24"/>
          <w:highlight w:val="none"/>
        </w:rPr>
        <w:t>②质量保证措施：组建专业技术团队，建立资料审核制度，实行方案评审，设置成果验收节点，对照标准逐项核查，不合格立即整改。</w:t>
      </w:r>
    </w:p>
    <w:p w14:paraId="5DF88571">
      <w:pPr>
        <w:keepNext/>
        <w:keepLines/>
        <w:widowControl/>
        <w:spacing w:line="480" w:lineRule="exact"/>
        <w:ind w:firstLine="480" w:firstLineChars="200"/>
        <w:rPr>
          <w:rFonts w:ascii="宋体" w:cs="Times New Roman"/>
          <w:sz w:val="24"/>
          <w:szCs w:val="24"/>
          <w:highlight w:val="none"/>
        </w:rPr>
      </w:pPr>
      <w:r>
        <w:rPr>
          <w:rFonts w:hint="eastAsia" w:ascii="宋体" w:hAnsi="宋体" w:cs="宋体"/>
          <w:sz w:val="24"/>
          <w:szCs w:val="24"/>
          <w:highlight w:val="none"/>
          <w:lang w:val="en-US" w:eastAsia="zh-CN"/>
        </w:rPr>
        <w:t>4、</w:t>
      </w:r>
      <w:r>
        <w:rPr>
          <w:rFonts w:hint="eastAsia" w:ascii="宋体" w:hAnsi="宋体" w:cs="宋体"/>
          <w:sz w:val="24"/>
          <w:szCs w:val="24"/>
          <w:highlight w:val="none"/>
        </w:rPr>
        <w:t>积极响应措施：至少包含</w:t>
      </w:r>
      <w:r>
        <w:rPr>
          <w:rFonts w:hint="eastAsia" w:cs="宋体"/>
          <w:sz w:val="24"/>
          <w:szCs w:val="24"/>
          <w:highlight w:val="none"/>
        </w:rPr>
        <w:t>①需求快速对接机制；②灵活执行响应保障</w:t>
      </w:r>
      <w:r>
        <w:rPr>
          <w:rFonts w:hint="eastAsia" w:ascii="宋体" w:hAnsi="宋体" w:cs="宋体"/>
          <w:sz w:val="24"/>
          <w:szCs w:val="24"/>
          <w:highlight w:val="none"/>
        </w:rPr>
        <w:t>。</w:t>
      </w:r>
    </w:p>
    <w:p w14:paraId="0BBC4B85">
      <w:pPr>
        <w:keepNext/>
        <w:keepLines/>
        <w:widowControl/>
        <w:spacing w:line="480" w:lineRule="exact"/>
        <w:ind w:firstLine="480" w:firstLineChars="200"/>
        <w:rPr>
          <w:rFonts w:ascii="宋体" w:cs="Times New Roman"/>
          <w:sz w:val="24"/>
          <w:szCs w:val="24"/>
          <w:highlight w:val="none"/>
        </w:rPr>
      </w:pPr>
      <w:r>
        <w:rPr>
          <w:rFonts w:hint="eastAsia" w:cs="宋体"/>
          <w:sz w:val="24"/>
          <w:szCs w:val="24"/>
          <w:highlight w:val="none"/>
        </w:rPr>
        <w:t>①</w:t>
      </w:r>
      <w:bookmarkStart w:id="144" w:name="OLE_LINK1"/>
      <w:r>
        <w:rPr>
          <w:rFonts w:hint="eastAsia" w:cs="宋体"/>
          <w:sz w:val="24"/>
          <w:szCs w:val="24"/>
          <w:highlight w:val="none"/>
        </w:rPr>
        <w:t>需求快速对接机制</w:t>
      </w:r>
      <w:bookmarkEnd w:id="144"/>
      <w:r>
        <w:rPr>
          <w:rFonts w:hint="eastAsia" w:cs="宋体"/>
          <w:sz w:val="24"/>
          <w:szCs w:val="24"/>
          <w:highlight w:val="none"/>
        </w:rPr>
        <w:t>：建立招标人专属对接体系，明确责任与沟通流程，秉持高效精准原则，主动多维对接梳理需求，紧急任务第一时间响应，保障传递顺畅、推进无延误。</w:t>
      </w:r>
    </w:p>
    <w:p w14:paraId="1624F06C">
      <w:pPr>
        <w:keepNext/>
        <w:keepLines/>
        <w:widowControl/>
        <w:spacing w:line="480" w:lineRule="exact"/>
        <w:ind w:firstLine="480" w:firstLineChars="200"/>
        <w:rPr>
          <w:rFonts w:ascii="宋体" w:cs="Times New Roman"/>
          <w:sz w:val="24"/>
          <w:szCs w:val="24"/>
          <w:highlight w:val="none"/>
        </w:rPr>
      </w:pPr>
      <w:r>
        <w:rPr>
          <w:rFonts w:hint="eastAsia" w:cs="宋体"/>
          <w:sz w:val="24"/>
          <w:szCs w:val="24"/>
          <w:highlight w:val="none"/>
        </w:rPr>
        <w:t>②灵活执行响应保障：构建弹性资源调配体系，统筹人力技术资源，紧盯政策规范动态主动优化，定期汇报进展、征求意见，预判潜在需求做好前瞻储备。</w:t>
      </w:r>
      <w:r>
        <w:rPr>
          <w:rFonts w:ascii="Times New Roman" w:hAnsi="Times New Roman" w:cs="Times New Roman"/>
          <w:sz w:val="24"/>
          <w:szCs w:val="24"/>
          <w:highlight w:val="none"/>
        </w:rPr>
        <w:t>​</w:t>
      </w:r>
    </w:p>
    <w:p w14:paraId="3275A1C0">
      <w:pPr>
        <w:keepNext/>
        <w:keepLines/>
        <w:widowControl/>
        <w:spacing w:line="480" w:lineRule="exact"/>
        <w:ind w:firstLine="480" w:firstLineChars="200"/>
        <w:rPr>
          <w:rFonts w:ascii="宋体" w:cs="Times New Roman"/>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进度计划及保障措施：至少包含</w:t>
      </w:r>
      <w:r>
        <w:rPr>
          <w:rFonts w:hint="eastAsia" w:cs="宋体"/>
          <w:sz w:val="24"/>
          <w:szCs w:val="24"/>
          <w:highlight w:val="none"/>
        </w:rPr>
        <w:t>①进度计划；②保障措施</w:t>
      </w:r>
      <w:r>
        <w:rPr>
          <w:rFonts w:hint="eastAsia" w:ascii="宋体" w:hAnsi="宋体" w:cs="宋体"/>
          <w:sz w:val="24"/>
          <w:szCs w:val="24"/>
          <w:highlight w:val="none"/>
        </w:rPr>
        <w:t>。</w:t>
      </w:r>
    </w:p>
    <w:p w14:paraId="184D6C81">
      <w:pPr>
        <w:keepNext/>
        <w:keepLines/>
        <w:widowControl/>
        <w:spacing w:line="480" w:lineRule="exact"/>
        <w:ind w:firstLine="480" w:firstLineChars="200"/>
        <w:rPr>
          <w:rFonts w:ascii="宋体" w:cs="Times New Roman"/>
          <w:sz w:val="24"/>
          <w:szCs w:val="24"/>
          <w:highlight w:val="none"/>
        </w:rPr>
      </w:pPr>
      <w:r>
        <w:rPr>
          <w:rFonts w:hint="eastAsia" w:cs="宋体"/>
          <w:sz w:val="24"/>
          <w:szCs w:val="24"/>
          <w:highlight w:val="none"/>
        </w:rPr>
        <w:t>①进度计划：工期严格按合同约定执行。</w:t>
      </w:r>
    </w:p>
    <w:p w14:paraId="4805348B">
      <w:pPr>
        <w:keepNext/>
        <w:keepLines/>
        <w:widowControl/>
        <w:spacing w:line="480" w:lineRule="exact"/>
        <w:ind w:firstLine="480" w:firstLineChars="200"/>
        <w:jc w:val="left"/>
        <w:rPr>
          <w:rFonts w:cs="Times New Roman"/>
          <w:sz w:val="24"/>
          <w:szCs w:val="24"/>
          <w:highlight w:val="none"/>
        </w:rPr>
      </w:pPr>
      <w:r>
        <w:rPr>
          <w:rFonts w:hint="eastAsia" w:cs="宋体"/>
          <w:sz w:val="24"/>
          <w:szCs w:val="24"/>
          <w:highlight w:val="none"/>
        </w:rPr>
        <w:t>②保障措施：配备固定专业团队，明确各成员职责与时间节点；预留弹性工作时间，应对突发情况；保障人力、设备等资源投入，确保进度按计划推进。</w:t>
      </w:r>
    </w:p>
    <w:p w14:paraId="216572D9">
      <w:pPr>
        <w:keepNext/>
        <w:keepLines/>
        <w:widowControl/>
        <w:spacing w:line="480" w:lineRule="exact"/>
        <w:ind w:firstLine="482" w:firstLineChars="200"/>
        <w:jc w:val="left"/>
        <w:rPr>
          <w:rFonts w:ascii="宋体" w:cs="Times New Roman"/>
          <w:b/>
          <w:bCs/>
          <w:sz w:val="24"/>
          <w:szCs w:val="24"/>
          <w:highlight w:val="none"/>
        </w:rPr>
      </w:pPr>
      <w:r>
        <w:rPr>
          <w:rFonts w:hint="eastAsia" w:ascii="宋体" w:hAnsi="宋体" w:cs="宋体"/>
          <w:b/>
          <w:bCs/>
          <w:sz w:val="24"/>
          <w:szCs w:val="24"/>
          <w:highlight w:val="none"/>
        </w:rPr>
        <w:t>七、计划安排</w:t>
      </w:r>
    </w:p>
    <w:p w14:paraId="692D08BC">
      <w:pPr>
        <w:keepNext/>
        <w:keepLines/>
        <w:widowControl/>
        <w:spacing w:line="480" w:lineRule="exact"/>
        <w:ind w:firstLine="480" w:firstLineChars="200"/>
        <w:rPr>
          <w:rFonts w:ascii="宋体" w:cs="Times New Roman"/>
          <w:sz w:val="24"/>
          <w:szCs w:val="24"/>
        </w:rPr>
      </w:pPr>
      <w:r>
        <w:rPr>
          <w:rFonts w:hint="eastAsia" w:ascii="宋体" w:hAnsi="宋体" w:cs="宋体"/>
          <w:color w:val="FF0000"/>
          <w:sz w:val="24"/>
          <w:szCs w:val="24"/>
          <w:highlight w:val="none"/>
        </w:rPr>
        <w:t>根据该项目的计划</w:t>
      </w:r>
      <w:r>
        <w:rPr>
          <w:rFonts w:hint="eastAsia" w:ascii="宋体" w:hAnsi="宋体" w:cs="宋体"/>
          <w:color w:val="FF0000"/>
          <w:sz w:val="24"/>
          <w:szCs w:val="24"/>
        </w:rPr>
        <w:t>要求，自合同签订之日起一年内完成。</w:t>
      </w:r>
      <w:r>
        <w:rPr>
          <w:rFonts w:hint="eastAsia" w:ascii="宋体" w:hAnsi="宋体" w:cs="宋体"/>
          <w:sz w:val="24"/>
          <w:szCs w:val="24"/>
        </w:rPr>
        <w:t>具体安排如下：</w:t>
      </w:r>
    </w:p>
    <w:p w14:paraId="6FE29A07">
      <w:pPr>
        <w:keepNext/>
        <w:keepLines/>
        <w:widowControl/>
        <w:spacing w:line="480" w:lineRule="exact"/>
        <w:ind w:firstLine="480" w:firstLineChars="200"/>
        <w:rPr>
          <w:rFonts w:ascii="宋体" w:cs="Times New Roman"/>
          <w:sz w:val="24"/>
          <w:szCs w:val="24"/>
        </w:rPr>
      </w:pPr>
      <w:r>
        <w:rPr>
          <w:rFonts w:hint="eastAsia" w:ascii="宋体" w:hAnsi="宋体" w:cs="宋体"/>
          <w:sz w:val="24"/>
          <w:szCs w:val="24"/>
        </w:rPr>
        <w:t>（一）详规动态更新结合上位规划调整、地方发展诉求和项目建设需要来开展，充分收集每个详规单元需要更新调整的内容，应相对集中调整，结合周边规划情况统筹考虑，原则上一个地块不单独动态更新。中标单位汇总、梳理、分析各详规编制单元范围内动态更新需求，完成可行性研究报告及动态更新初期成果。初期成果通过征求利害关系人意见、组织专家论证等程序，根据相关意见完善动态更新报批成果。经市政府批准同意后，完成全套动态更新成果，进行数据库建设并最终提交。</w:t>
      </w:r>
    </w:p>
    <w:p w14:paraId="1DF354BC">
      <w:pPr>
        <w:keepNext/>
        <w:keepLines/>
        <w:widowControl/>
        <w:spacing w:line="480" w:lineRule="exact"/>
        <w:ind w:firstLine="480" w:firstLineChars="200"/>
        <w:rPr>
          <w:rFonts w:ascii="宋体" w:cs="Times New Roman"/>
          <w:sz w:val="24"/>
          <w:szCs w:val="24"/>
        </w:rPr>
      </w:pPr>
      <w:r>
        <w:rPr>
          <w:rFonts w:hint="eastAsia" w:ascii="宋体" w:hAnsi="宋体" w:cs="宋体"/>
          <w:sz w:val="24"/>
          <w:szCs w:val="24"/>
        </w:rPr>
        <w:t>（二）紧急性规划任务按具体工作方案、时间节点、成果内容等相关要求组织开展并提交规划成果。</w:t>
      </w:r>
    </w:p>
    <w:p w14:paraId="04D2E4F3">
      <w:pPr>
        <w:keepNext/>
        <w:keepLines/>
        <w:widowControl/>
        <w:spacing w:line="480" w:lineRule="exact"/>
        <w:ind w:firstLine="480"/>
        <w:rPr>
          <w:rFonts w:ascii="宋体" w:cs="Times New Roman"/>
          <w:b/>
          <w:bCs/>
          <w:sz w:val="24"/>
          <w:szCs w:val="24"/>
        </w:rPr>
      </w:pPr>
      <w:r>
        <w:rPr>
          <w:rFonts w:hint="eastAsia" w:ascii="宋体" w:hAnsi="宋体" w:cs="宋体"/>
          <w:b/>
          <w:bCs/>
          <w:sz w:val="24"/>
          <w:szCs w:val="24"/>
        </w:rPr>
        <w:t>八、其他要求</w:t>
      </w:r>
    </w:p>
    <w:p w14:paraId="3CACEFB6">
      <w:pPr>
        <w:keepNext/>
        <w:keepLines/>
        <w:widowControl/>
        <w:spacing w:line="480" w:lineRule="exact"/>
        <w:ind w:firstLine="420"/>
        <w:rPr>
          <w:rFonts w:ascii="宋体" w:cs="Times New Roman"/>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）为保证项目能够顺利实施，本项目的项目负责人具有城乡规划专业高级职称的或具有城乡规划专业中级工程师职称，同时具有注册规划师证书的优先；</w:t>
      </w:r>
    </w:p>
    <w:p w14:paraId="4BDC0242">
      <w:pPr>
        <w:keepNext/>
        <w:keepLines/>
        <w:widowControl/>
        <w:spacing w:line="480" w:lineRule="exact"/>
        <w:ind w:firstLine="420"/>
        <w:rPr>
          <w:rFonts w:ascii="宋体" w:cs="Times New Roman"/>
          <w:sz w:val="24"/>
          <w:szCs w:val="24"/>
        </w:rPr>
      </w:pPr>
      <w:r>
        <w:rPr>
          <w:rFonts w:hint="eastAsia" w:ascii="宋体" w:hAnsi="宋体" w:cs="宋体"/>
          <w:sz w:val="24"/>
          <w:szCs w:val="24"/>
        </w:rPr>
        <w:t>本项目的项目团队成员（除项目负责人外）具有城乡规划专业高级职称的或具有城乡规划专业中级工程师职称的优先；</w:t>
      </w:r>
    </w:p>
    <w:p w14:paraId="770E363E">
      <w:pPr>
        <w:keepNext/>
        <w:keepLines/>
        <w:widowControl/>
        <w:spacing w:line="480" w:lineRule="exact"/>
        <w:ind w:firstLine="420"/>
        <w:rPr>
          <w:rFonts w:ascii="宋体" w:cs="Times New Roman"/>
          <w:sz w:val="24"/>
          <w:szCs w:val="24"/>
        </w:rPr>
      </w:pPr>
      <w:r>
        <w:rPr>
          <w:rFonts w:hint="eastAsia" w:ascii="宋体" w:hAnsi="宋体" w:cs="宋体"/>
          <w:sz w:val="24"/>
          <w:szCs w:val="24"/>
        </w:rPr>
        <w:t>本项目的项目团队成员（除项目负责人外）具备注册城乡规划师证书的优先；</w:t>
      </w:r>
    </w:p>
    <w:p w14:paraId="61C7BA0C">
      <w:pPr>
        <w:keepNext/>
        <w:keepLines/>
        <w:widowControl/>
        <w:spacing w:line="480" w:lineRule="exact"/>
        <w:ind w:firstLine="480"/>
        <w:rPr>
          <w:rFonts w:cs="Times New Roman"/>
        </w:rPr>
      </w:pPr>
      <w:r>
        <w:rPr>
          <w:rFonts w:hint="eastAsia" w:ascii="宋体" w:hAnsi="宋体" w:cs="宋体"/>
          <w:sz w:val="24"/>
          <w:szCs w:val="24"/>
        </w:rPr>
        <w:t>拟派人员必须为投标单位正式职工，需同时提供相关人员的职称证书原件扫描件，项目组人员均需提供近三个月任意一个月的缴纳社会保险的凭证原件扫描件（缴纳单位名称需与投标人名称一致）。</w:t>
      </w:r>
    </w:p>
    <w:p w14:paraId="0798CC53">
      <w:pPr>
        <w:keepNext/>
        <w:keepLines/>
        <w:widowControl/>
        <w:spacing w:line="480" w:lineRule="exact"/>
        <w:ind w:firstLine="480"/>
        <w:rPr>
          <w:rFonts w:ascii="宋体" w:cs="Times New Roman"/>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）投标人需具有丰富的类似项目相关承接经验，为了确保项目的顺利实施，投标人自</w:t>
      </w:r>
      <w:r>
        <w:rPr>
          <w:rFonts w:ascii="宋体" w:hAnsi="宋体" w:cs="宋体"/>
          <w:sz w:val="24"/>
          <w:szCs w:val="24"/>
        </w:rPr>
        <w:t>2023</w:t>
      </w:r>
      <w:r>
        <w:rPr>
          <w:rFonts w:hint="eastAsia" w:ascii="宋体" w:hAnsi="宋体" w:cs="宋体"/>
          <w:sz w:val="24"/>
          <w:szCs w:val="24"/>
        </w:rPr>
        <w:t>年</w:t>
      </w:r>
      <w:r>
        <w:rPr>
          <w:rFonts w:ascii="宋体" w:hAnsi="宋体" w:cs="宋体"/>
          <w:sz w:val="24"/>
          <w:szCs w:val="24"/>
        </w:rPr>
        <w:t>1</w:t>
      </w:r>
      <w:r>
        <w:rPr>
          <w:rFonts w:hint="eastAsia" w:ascii="宋体" w:hAnsi="宋体" w:cs="宋体"/>
          <w:sz w:val="24"/>
          <w:szCs w:val="24"/>
        </w:rPr>
        <w:t>月</w:t>
      </w:r>
      <w:r>
        <w:rPr>
          <w:rFonts w:ascii="宋体" w:hAnsi="宋体" w:cs="宋体"/>
          <w:sz w:val="24"/>
          <w:szCs w:val="24"/>
        </w:rPr>
        <w:t>1</w:t>
      </w:r>
      <w:r>
        <w:rPr>
          <w:rFonts w:hint="eastAsia" w:ascii="宋体" w:hAnsi="宋体" w:cs="宋体"/>
          <w:sz w:val="24"/>
          <w:szCs w:val="24"/>
        </w:rPr>
        <w:t>日以来，承担过类似详细规划动态维护项目和类似（控制性）详细规划编制项目的优先。</w:t>
      </w:r>
    </w:p>
    <w:p w14:paraId="3F490D58">
      <w:pPr>
        <w:keepNext/>
        <w:keepLines/>
        <w:widowControl/>
        <w:spacing w:line="480" w:lineRule="exact"/>
        <w:ind w:firstLine="480"/>
        <w:rPr>
          <w:rFonts w:ascii="宋体" w:cs="Times New Roman"/>
          <w:sz w:val="24"/>
          <w:szCs w:val="24"/>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）投标人需具有承担本项目的企业实力，具有有效期内质量管理体系认证、环境管理体系认证、职业健康安全管理体系认证的优先。</w:t>
      </w:r>
    </w:p>
    <w:p w14:paraId="143B0FA9">
      <w:pPr>
        <w:keepNext/>
        <w:keepLines/>
        <w:widowControl/>
        <w:spacing w:line="480" w:lineRule="exact"/>
        <w:ind w:firstLine="480"/>
        <w:rPr>
          <w:rFonts w:ascii="宋体" w:cs="Times New Roman"/>
          <w:sz w:val="24"/>
          <w:szCs w:val="24"/>
        </w:rPr>
      </w:pPr>
      <w:r>
        <w:rPr>
          <w:rFonts w:hint="eastAsia" w:ascii="宋体" w:hAnsi="宋体" w:cs="宋体"/>
          <w:sz w:val="24"/>
          <w:szCs w:val="24"/>
        </w:rPr>
        <w:t>（</w:t>
      </w:r>
      <w:r>
        <w:rPr>
          <w:rFonts w:ascii="宋体" w:hAnsi="宋体" w:cs="宋体"/>
          <w:sz w:val="24"/>
          <w:szCs w:val="24"/>
        </w:rPr>
        <w:t>4</w:t>
      </w:r>
      <w:r>
        <w:rPr>
          <w:rFonts w:hint="eastAsia" w:ascii="宋体" w:hAnsi="宋体" w:cs="宋体"/>
          <w:sz w:val="24"/>
          <w:szCs w:val="24"/>
        </w:rPr>
        <w:t>）投标人需具有承担本项目的企业实力，具有详细规划编制项目及城乡规划项目（含详细规划、村庄规划、国土空间规划）获</w:t>
      </w:r>
      <w:r>
        <w:rPr>
          <w:rFonts w:hint="eastAsia" w:ascii="宋体" w:hAnsi="宋体" w:cs="宋体"/>
          <w:sz w:val="24"/>
          <w:szCs w:val="24"/>
          <w:lang w:val="en-US" w:eastAsia="zh-CN"/>
        </w:rPr>
        <w:t>市级</w:t>
      </w:r>
      <w:r>
        <w:rPr>
          <w:rFonts w:hint="eastAsia" w:ascii="宋体" w:hAnsi="宋体" w:cs="宋体"/>
          <w:sz w:val="24"/>
          <w:szCs w:val="24"/>
        </w:rPr>
        <w:t>及以上行政主管部门颁发的奖项的优先。</w:t>
      </w:r>
    </w:p>
    <w:p w14:paraId="53F5D5D9">
      <w:pPr>
        <w:keepNext/>
        <w:keepLines/>
        <w:widowControl/>
        <w:spacing w:line="480" w:lineRule="exact"/>
        <w:ind w:firstLine="480"/>
        <w:rPr>
          <w:rFonts w:cs="Times New Roman"/>
        </w:rPr>
      </w:pPr>
      <w:r>
        <w:rPr>
          <w:rFonts w:hint="eastAsia" w:ascii="宋体" w:hAnsi="宋体" w:cs="宋体"/>
          <w:sz w:val="24"/>
          <w:szCs w:val="24"/>
        </w:rPr>
        <w:t>本项目</w:t>
      </w:r>
      <w:r>
        <w:rPr>
          <w:rFonts w:hint="eastAsia" w:ascii="宋体" w:hAnsi="宋体" w:cs="宋体"/>
          <w:sz w:val="24"/>
          <w:szCs w:val="24"/>
          <w:u w:val="single"/>
        </w:rPr>
        <w:t>不接受</w:t>
      </w:r>
      <w:r>
        <w:rPr>
          <w:rFonts w:hint="eastAsia" w:ascii="宋体" w:hAnsi="宋体" w:cs="宋体"/>
          <w:sz w:val="24"/>
          <w:szCs w:val="24"/>
        </w:rPr>
        <w:t>进口产品投标。</w:t>
      </w:r>
    </w:p>
    <w:p w14:paraId="1AA865DA">
      <w:pPr>
        <w:keepNext/>
        <w:keepLines/>
        <w:widowControl/>
        <w:spacing w:line="480" w:lineRule="exact"/>
        <w:rPr>
          <w:rFonts w:ascii="宋体" w:cs="Times New Roman"/>
          <w:sz w:val="24"/>
          <w:szCs w:val="24"/>
        </w:rPr>
      </w:pPr>
      <w:r>
        <w:rPr>
          <w:rFonts w:ascii="宋体" w:cs="Times New Roman"/>
          <w:sz w:val="24"/>
          <w:szCs w:val="24"/>
        </w:rPr>
        <w:t>  </w:t>
      </w:r>
      <w:r>
        <w:rPr>
          <w:rFonts w:hint="eastAsia" w:ascii="宋体" w:cs="Times New Roman"/>
          <w:sz w:val="24"/>
          <w:szCs w:val="24"/>
          <w:lang w:val="en-US" w:eastAsia="zh-CN"/>
        </w:rPr>
        <w:t xml:space="preserve">   </w:t>
      </w:r>
      <w:bookmarkStart w:id="155" w:name="_GoBack"/>
      <w:bookmarkEnd w:id="155"/>
      <w:r>
        <w:rPr>
          <w:rFonts w:hint="eastAsia" w:ascii="宋体" w:hAnsi="宋体" w:cs="宋体"/>
          <w:sz w:val="24"/>
          <w:szCs w:val="24"/>
        </w:rPr>
        <w:t>采购标的对应的中小企业划分标准所属行业一览表</w:t>
      </w:r>
    </w:p>
    <w:p w14:paraId="33786B3B">
      <w:pPr>
        <w:keepNext/>
        <w:keepLines/>
        <w:widowControl/>
        <w:spacing w:line="580" w:lineRule="exact"/>
        <w:jc w:val="center"/>
        <w:rPr>
          <w:rFonts w:ascii="宋体" w:cs="Times New Roman"/>
          <w:sz w:val="24"/>
          <w:szCs w:val="24"/>
        </w:rPr>
      </w:pPr>
      <w:r>
        <w:rPr>
          <w:rFonts w:hint="eastAsia" w:ascii="宋体" w:hAnsi="宋体" w:cs="宋体"/>
          <w:sz w:val="24"/>
          <w:szCs w:val="24"/>
        </w:rPr>
        <w:t>采购标的对应的中小企业划分标准所属行业一览表</w:t>
      </w:r>
    </w:p>
    <w:tbl>
      <w:tblPr>
        <w:tblStyle w:val="50"/>
        <w:tblW w:w="7452" w:type="dxa"/>
        <w:jc w:val="center"/>
        <w:tblCellSpacing w:w="0" w:type="dxa"/>
        <w:tblLayout w:type="fixed"/>
        <w:tblCellMar>
          <w:top w:w="0" w:type="dxa"/>
          <w:left w:w="108" w:type="dxa"/>
          <w:bottom w:w="0" w:type="dxa"/>
          <w:right w:w="108" w:type="dxa"/>
        </w:tblCellMar>
      </w:tblPr>
      <w:tblGrid>
        <w:gridCol w:w="908"/>
        <w:gridCol w:w="3882"/>
        <w:gridCol w:w="2662"/>
      </w:tblGrid>
      <w:tr w14:paraId="26D95FA0">
        <w:tblPrEx>
          <w:tblCellMar>
            <w:top w:w="0" w:type="dxa"/>
            <w:left w:w="108" w:type="dxa"/>
            <w:bottom w:w="0" w:type="dxa"/>
            <w:right w:w="108" w:type="dxa"/>
          </w:tblCellMar>
        </w:tblPrEx>
        <w:trPr>
          <w:tblCellSpacing w:w="0" w:type="dxa"/>
          <w:jc w:val="center"/>
        </w:trPr>
        <w:tc>
          <w:tcPr>
            <w:tcW w:w="908" w:type="dxa"/>
            <w:tcBorders>
              <w:top w:val="single" w:color="000000" w:sz="4" w:space="0"/>
              <w:left w:val="single" w:color="000000" w:sz="4" w:space="0"/>
              <w:bottom w:val="single" w:color="000000" w:sz="4" w:space="0"/>
              <w:right w:val="single" w:color="000000" w:sz="4" w:space="0"/>
            </w:tcBorders>
            <w:vAlign w:val="center"/>
          </w:tcPr>
          <w:p w14:paraId="4926D17E">
            <w:pPr>
              <w:pStyle w:val="44"/>
              <w:keepNext/>
              <w:keepLines/>
              <w:spacing w:beforeAutospacing="0" w:afterAutospacing="0" w:line="240" w:lineRule="atLeast"/>
              <w:jc w:val="center"/>
              <w:rPr>
                <w:rFonts w:hAnsi="宋体" w:cs="Times New Roman"/>
              </w:rPr>
            </w:pPr>
            <w:r>
              <w:rPr>
                <w:rFonts w:hint="eastAsia" w:hAnsi="宋体"/>
              </w:rPr>
              <w:t>序号</w:t>
            </w:r>
          </w:p>
        </w:tc>
        <w:tc>
          <w:tcPr>
            <w:tcW w:w="3882" w:type="dxa"/>
            <w:tcBorders>
              <w:top w:val="single" w:color="000000" w:sz="4" w:space="0"/>
              <w:left w:val="single" w:color="000000" w:sz="4" w:space="0"/>
              <w:bottom w:val="single" w:color="000000" w:sz="4" w:space="0"/>
              <w:right w:val="single" w:color="000000" w:sz="4" w:space="0"/>
            </w:tcBorders>
            <w:vAlign w:val="center"/>
          </w:tcPr>
          <w:p w14:paraId="710F062C">
            <w:pPr>
              <w:pStyle w:val="44"/>
              <w:keepNext/>
              <w:keepLines/>
              <w:spacing w:beforeAutospacing="0" w:afterAutospacing="0" w:line="240" w:lineRule="atLeast"/>
              <w:jc w:val="center"/>
              <w:rPr>
                <w:rFonts w:hAnsi="宋体" w:cs="Times New Roman"/>
              </w:rPr>
            </w:pPr>
            <w:r>
              <w:rPr>
                <w:rFonts w:hint="eastAsia" w:hAnsi="宋体"/>
              </w:rPr>
              <w:t>采购标的</w:t>
            </w:r>
          </w:p>
        </w:tc>
        <w:tc>
          <w:tcPr>
            <w:tcW w:w="2662" w:type="dxa"/>
            <w:tcBorders>
              <w:top w:val="single" w:color="000000" w:sz="4" w:space="0"/>
              <w:left w:val="single" w:color="000000" w:sz="4" w:space="0"/>
              <w:bottom w:val="single" w:color="000000" w:sz="4" w:space="0"/>
              <w:right w:val="single" w:color="000000" w:sz="4" w:space="0"/>
            </w:tcBorders>
            <w:vAlign w:val="center"/>
          </w:tcPr>
          <w:p w14:paraId="1EF4FE1D">
            <w:pPr>
              <w:pStyle w:val="44"/>
              <w:keepNext/>
              <w:keepLines/>
              <w:spacing w:beforeAutospacing="0" w:afterAutospacing="0" w:line="240" w:lineRule="atLeast"/>
              <w:jc w:val="center"/>
              <w:rPr>
                <w:rFonts w:hAnsi="宋体" w:cs="Times New Roman"/>
              </w:rPr>
            </w:pPr>
            <w:r>
              <w:rPr>
                <w:rFonts w:hint="eastAsia" w:hAnsi="宋体"/>
              </w:rPr>
              <w:t>对应中小企业划分标准所属行业</w:t>
            </w:r>
          </w:p>
        </w:tc>
      </w:tr>
      <w:tr w14:paraId="24927BBA">
        <w:tblPrEx>
          <w:tblCellMar>
            <w:top w:w="0" w:type="dxa"/>
            <w:left w:w="108" w:type="dxa"/>
            <w:bottom w:w="0" w:type="dxa"/>
            <w:right w:w="108" w:type="dxa"/>
          </w:tblCellMar>
        </w:tblPrEx>
        <w:trPr>
          <w:trHeight w:val="291" w:hRule="atLeast"/>
          <w:tblCellSpacing w:w="0" w:type="dxa"/>
          <w:jc w:val="center"/>
        </w:trPr>
        <w:tc>
          <w:tcPr>
            <w:tcW w:w="908" w:type="dxa"/>
            <w:tcBorders>
              <w:top w:val="single" w:color="000000" w:sz="4" w:space="0"/>
              <w:left w:val="single" w:color="000000" w:sz="4" w:space="0"/>
              <w:bottom w:val="single" w:color="000000" w:sz="4" w:space="0"/>
              <w:right w:val="single" w:color="000000" w:sz="4" w:space="0"/>
            </w:tcBorders>
            <w:vAlign w:val="center"/>
          </w:tcPr>
          <w:p w14:paraId="25467ADC">
            <w:pPr>
              <w:pStyle w:val="44"/>
              <w:keepNext/>
              <w:keepLines/>
              <w:spacing w:beforeAutospacing="0" w:afterAutospacing="0" w:line="240" w:lineRule="atLeast"/>
              <w:jc w:val="center"/>
              <w:rPr>
                <w:rFonts w:hAnsi="宋体" w:cs="Times New Roman"/>
              </w:rPr>
            </w:pPr>
            <w:r>
              <w:rPr>
                <w:rFonts w:hAnsi="宋体"/>
              </w:rPr>
              <w:t>1</w:t>
            </w:r>
          </w:p>
        </w:tc>
        <w:tc>
          <w:tcPr>
            <w:tcW w:w="3882" w:type="dxa"/>
            <w:tcBorders>
              <w:top w:val="single" w:color="000000" w:sz="4" w:space="0"/>
              <w:left w:val="single" w:color="000000" w:sz="4" w:space="0"/>
              <w:bottom w:val="single" w:color="000000" w:sz="4" w:space="0"/>
              <w:right w:val="single" w:color="000000" w:sz="4" w:space="0"/>
            </w:tcBorders>
            <w:vAlign w:val="center"/>
          </w:tcPr>
          <w:p w14:paraId="7CDADD1A">
            <w:pPr>
              <w:pStyle w:val="44"/>
              <w:keepNext/>
              <w:keepLines/>
              <w:spacing w:beforeAutospacing="0" w:afterAutospacing="0" w:line="240" w:lineRule="atLeast"/>
              <w:jc w:val="center"/>
              <w:rPr>
                <w:rFonts w:hAnsi="宋体" w:cs="Times New Roman"/>
              </w:rPr>
            </w:pPr>
            <w:r>
              <w:rPr>
                <w:rFonts w:hint="eastAsia" w:hAnsi="宋体"/>
              </w:rPr>
              <w:t>盐城市详细规划动态更新项目</w:t>
            </w:r>
          </w:p>
        </w:tc>
        <w:tc>
          <w:tcPr>
            <w:tcW w:w="2662" w:type="dxa"/>
            <w:tcBorders>
              <w:top w:val="single" w:color="000000" w:sz="4" w:space="0"/>
              <w:left w:val="single" w:color="000000" w:sz="4" w:space="0"/>
              <w:bottom w:val="single" w:color="000000" w:sz="4" w:space="0"/>
              <w:right w:val="single" w:color="000000" w:sz="4" w:space="0"/>
            </w:tcBorders>
            <w:vAlign w:val="center"/>
          </w:tcPr>
          <w:p w14:paraId="58FF9633">
            <w:pPr>
              <w:pStyle w:val="44"/>
              <w:keepNext/>
              <w:keepLines/>
              <w:spacing w:beforeAutospacing="0" w:afterAutospacing="0" w:line="240" w:lineRule="atLeast"/>
              <w:jc w:val="center"/>
              <w:rPr>
                <w:rFonts w:hAnsi="宋体" w:cs="Times New Roman"/>
              </w:rPr>
            </w:pPr>
            <w:r>
              <w:rPr>
                <w:rFonts w:hint="eastAsia" w:hAnsi="宋体"/>
              </w:rPr>
              <w:t>其他未列明行业</w:t>
            </w:r>
          </w:p>
        </w:tc>
      </w:tr>
    </w:tbl>
    <w:p w14:paraId="6E67A46E">
      <w:pPr>
        <w:pStyle w:val="24"/>
        <w:keepNext/>
        <w:keepLines/>
        <w:widowControl/>
        <w:rPr>
          <w:rFonts w:cs="Times New Roman"/>
        </w:rPr>
      </w:pPr>
    </w:p>
    <w:p w14:paraId="34A1CC1F">
      <w:pPr>
        <w:pStyle w:val="24"/>
        <w:keepNext/>
        <w:keepLines/>
        <w:widowControl/>
        <w:spacing w:before="120" w:after="120" w:line="500" w:lineRule="exact"/>
        <w:ind w:firstLine="482"/>
        <w:rPr>
          <w:rFonts w:hAnsi="宋体" w:cs="Times New Roman"/>
          <w:b/>
          <w:bCs/>
          <w:sz w:val="24"/>
          <w:szCs w:val="24"/>
        </w:rPr>
      </w:pPr>
    </w:p>
    <w:p w14:paraId="02060F8B">
      <w:pPr>
        <w:pStyle w:val="24"/>
        <w:keepNext/>
        <w:keepLines/>
        <w:widowControl/>
        <w:spacing w:before="120" w:after="120" w:line="500" w:lineRule="exact"/>
        <w:rPr>
          <w:rFonts w:hAnsi="宋体" w:cs="Times New Roman"/>
          <w:b/>
          <w:bCs/>
          <w:sz w:val="24"/>
          <w:szCs w:val="24"/>
        </w:rPr>
      </w:pPr>
    </w:p>
    <w:p w14:paraId="0C4EB2E6">
      <w:pPr>
        <w:pStyle w:val="24"/>
        <w:keepNext/>
        <w:keepLines/>
        <w:widowControl/>
        <w:spacing w:line="360" w:lineRule="auto"/>
        <w:jc w:val="center"/>
        <w:rPr>
          <w:rFonts w:ascii="黑体" w:hAnsi="Times New Roman" w:eastAsia="黑体" w:cs="Times New Roman"/>
          <w:b/>
          <w:bCs/>
          <w:sz w:val="44"/>
          <w:szCs w:val="44"/>
        </w:rPr>
      </w:pPr>
    </w:p>
    <w:p w14:paraId="7CC15325">
      <w:pPr>
        <w:pStyle w:val="24"/>
        <w:keepNext/>
        <w:keepLines/>
        <w:widowControl/>
        <w:spacing w:line="360" w:lineRule="auto"/>
        <w:jc w:val="center"/>
        <w:rPr>
          <w:rFonts w:ascii="黑体" w:hAnsi="Times New Roman" w:eastAsia="黑体" w:cs="Times New Roman"/>
          <w:b/>
          <w:bCs/>
          <w:sz w:val="44"/>
          <w:szCs w:val="44"/>
        </w:rPr>
      </w:pPr>
    </w:p>
    <w:p w14:paraId="73AFC6C9">
      <w:pPr>
        <w:pStyle w:val="24"/>
        <w:keepNext/>
        <w:keepLines/>
        <w:widowControl/>
        <w:spacing w:line="360" w:lineRule="auto"/>
        <w:jc w:val="center"/>
        <w:rPr>
          <w:rFonts w:ascii="黑体" w:hAnsi="Times New Roman" w:eastAsia="黑体" w:cs="Times New Roman"/>
          <w:b/>
          <w:bCs/>
          <w:sz w:val="44"/>
          <w:szCs w:val="44"/>
        </w:rPr>
      </w:pPr>
    </w:p>
    <w:p w14:paraId="5972A53E">
      <w:pPr>
        <w:pStyle w:val="24"/>
        <w:keepNext/>
        <w:keepLines/>
        <w:widowControl/>
        <w:spacing w:line="360" w:lineRule="auto"/>
        <w:jc w:val="center"/>
        <w:rPr>
          <w:rFonts w:ascii="黑体" w:hAnsi="Times New Roman" w:eastAsia="黑体" w:cs="Times New Roman"/>
          <w:b/>
          <w:bCs/>
          <w:sz w:val="44"/>
          <w:szCs w:val="44"/>
        </w:rPr>
      </w:pPr>
    </w:p>
    <w:p w14:paraId="781982C1">
      <w:pPr>
        <w:pStyle w:val="24"/>
        <w:keepNext/>
        <w:keepLines/>
        <w:widowControl/>
        <w:spacing w:line="360" w:lineRule="auto"/>
        <w:jc w:val="center"/>
        <w:rPr>
          <w:rFonts w:ascii="黑体" w:hAnsi="Times New Roman" w:eastAsia="黑体" w:cs="Times New Roman"/>
          <w:b/>
          <w:bCs/>
          <w:sz w:val="44"/>
          <w:szCs w:val="44"/>
        </w:rPr>
      </w:pPr>
    </w:p>
    <w:p w14:paraId="62437CA1">
      <w:pPr>
        <w:pStyle w:val="24"/>
        <w:keepNext/>
        <w:keepLines/>
        <w:widowControl/>
        <w:spacing w:line="360" w:lineRule="auto"/>
        <w:jc w:val="center"/>
        <w:rPr>
          <w:rFonts w:hint="eastAsia" w:ascii="黑体" w:hAnsi="Times New Roman" w:eastAsia="黑体" w:cs="黑体"/>
          <w:b/>
          <w:bCs/>
          <w:sz w:val="44"/>
          <w:szCs w:val="44"/>
        </w:rPr>
      </w:pPr>
    </w:p>
    <w:p w14:paraId="41FA998E">
      <w:pPr>
        <w:pStyle w:val="24"/>
        <w:keepNext/>
        <w:keepLines/>
        <w:widowControl/>
        <w:spacing w:line="360" w:lineRule="auto"/>
        <w:jc w:val="center"/>
        <w:rPr>
          <w:rFonts w:hint="eastAsia" w:ascii="黑体" w:hAnsi="Times New Roman" w:eastAsia="黑体" w:cs="黑体"/>
          <w:b/>
          <w:bCs/>
          <w:sz w:val="44"/>
          <w:szCs w:val="44"/>
        </w:rPr>
      </w:pPr>
    </w:p>
    <w:p w14:paraId="75D157D6">
      <w:pPr>
        <w:pStyle w:val="24"/>
        <w:keepNext/>
        <w:keepLines/>
        <w:widowControl/>
        <w:spacing w:line="360" w:lineRule="auto"/>
        <w:jc w:val="center"/>
        <w:rPr>
          <w:rFonts w:hint="eastAsia" w:ascii="黑体" w:hAnsi="Times New Roman" w:eastAsia="黑体" w:cs="黑体"/>
          <w:b/>
          <w:bCs/>
          <w:sz w:val="44"/>
          <w:szCs w:val="44"/>
        </w:rPr>
      </w:pPr>
    </w:p>
    <w:p w14:paraId="52D33BD2">
      <w:pPr>
        <w:pStyle w:val="24"/>
        <w:keepNext/>
        <w:keepLines/>
        <w:widowControl/>
        <w:spacing w:line="360" w:lineRule="auto"/>
        <w:jc w:val="center"/>
        <w:rPr>
          <w:rFonts w:ascii="黑体" w:eastAsia="黑体" w:cs="Times New Roman"/>
          <w:b/>
          <w:bCs/>
        </w:rPr>
      </w:pPr>
      <w:r>
        <w:rPr>
          <w:rFonts w:hint="eastAsia" w:ascii="黑体" w:hAnsi="Times New Roman" w:eastAsia="黑体" w:cs="黑体"/>
          <w:b/>
          <w:bCs/>
          <w:sz w:val="44"/>
          <w:szCs w:val="44"/>
        </w:rPr>
        <w:t>第五章</w:t>
      </w:r>
      <w:r>
        <w:rPr>
          <w:rFonts w:ascii="黑体" w:hAnsi="Times New Roman" w:eastAsia="黑体" w:cs="黑体"/>
          <w:b/>
          <w:bCs/>
          <w:sz w:val="44"/>
          <w:szCs w:val="44"/>
        </w:rPr>
        <w:t xml:space="preserve"> </w:t>
      </w:r>
      <w:r>
        <w:rPr>
          <w:rFonts w:hint="eastAsia" w:ascii="黑体" w:hAnsi="Times New Roman" w:eastAsia="黑体" w:cs="黑体"/>
          <w:b/>
          <w:bCs/>
          <w:sz w:val="44"/>
          <w:szCs w:val="44"/>
        </w:rPr>
        <w:t>评审方法和评审标准</w:t>
      </w:r>
    </w:p>
    <w:p w14:paraId="663BE290">
      <w:pPr>
        <w:keepNext/>
        <w:keepLines/>
        <w:widowControl/>
        <w:shd w:val="clear" w:color="auto" w:fill="FFFFFF"/>
        <w:spacing w:line="400" w:lineRule="exact"/>
        <w:ind w:firstLine="482"/>
        <w:rPr>
          <w:rFonts w:ascii="宋体" w:cs="Times New Roman"/>
          <w:sz w:val="24"/>
          <w:szCs w:val="24"/>
        </w:rPr>
      </w:pPr>
      <w:r>
        <w:rPr>
          <w:rFonts w:hint="eastAsia" w:ascii="宋体" w:hAnsi="宋体" w:cs="宋体"/>
          <w:b/>
          <w:bCs/>
          <w:sz w:val="24"/>
          <w:szCs w:val="24"/>
        </w:rPr>
        <w:t>一、评标方法与定标原则</w:t>
      </w:r>
    </w:p>
    <w:p w14:paraId="45C80DD4">
      <w:pPr>
        <w:keepNext/>
        <w:keepLines/>
        <w:widowControl/>
        <w:tabs>
          <w:tab w:val="left" w:pos="916"/>
          <w:tab w:val="left" w:pos="1832"/>
          <w:tab w:val="left" w:pos="2748"/>
          <w:tab w:val="left" w:pos="3664"/>
          <w:tab w:val="left" w:pos="4580"/>
          <w:tab w:val="left" w:pos="5496"/>
          <w:tab w:val="left" w:pos="6412"/>
          <w:tab w:val="left" w:pos="7328"/>
          <w:tab w:val="left" w:pos="7380"/>
          <w:tab w:val="left" w:pos="8640"/>
          <w:tab w:val="left" w:pos="9160"/>
          <w:tab w:val="left" w:pos="9418"/>
          <w:tab w:val="left" w:pos="10992"/>
          <w:tab w:val="left" w:pos="11908"/>
          <w:tab w:val="left" w:pos="12824"/>
          <w:tab w:val="left" w:pos="13740"/>
          <w:tab w:val="left" w:pos="14656"/>
        </w:tabs>
        <w:spacing w:line="400" w:lineRule="exact"/>
        <w:ind w:firstLine="480"/>
        <w:rPr>
          <w:rFonts w:ascii="宋体" w:cs="Times New Roman"/>
          <w:sz w:val="24"/>
          <w:szCs w:val="24"/>
        </w:rPr>
      </w:pPr>
      <w:r>
        <w:rPr>
          <w:rFonts w:hint="eastAsia" w:ascii="宋体" w:hAnsi="宋体" w:cs="宋体"/>
          <w:sz w:val="24"/>
          <w:szCs w:val="24"/>
        </w:rPr>
        <w:t>本项目采用</w:t>
      </w:r>
      <w:r>
        <w:rPr>
          <w:rFonts w:hint="eastAsia" w:ascii="宋体" w:hAnsi="宋体" w:cs="宋体"/>
          <w:sz w:val="24"/>
          <w:szCs w:val="24"/>
          <w:u w:val="single"/>
        </w:rPr>
        <w:t>综合评分</w:t>
      </w:r>
      <w:r>
        <w:rPr>
          <w:rFonts w:hint="eastAsia" w:ascii="宋体" w:hAnsi="宋体" w:cs="宋体"/>
          <w:sz w:val="24"/>
          <w:szCs w:val="24"/>
        </w:rPr>
        <w:t>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w:t>
      </w:r>
    </w:p>
    <w:p w14:paraId="691A993D">
      <w:pPr>
        <w:pStyle w:val="48"/>
        <w:keepNext/>
        <w:keepLines/>
        <w:widowControl/>
        <w:spacing w:line="400" w:lineRule="exact"/>
        <w:ind w:firstLine="480"/>
        <w:rPr>
          <w:rFonts w:ascii="宋体" w:hAnsi="宋体" w:eastAsia="宋体" w:cs="Times New Roman"/>
          <w:sz w:val="24"/>
          <w:szCs w:val="24"/>
        </w:rPr>
      </w:pPr>
      <w:r>
        <w:rPr>
          <w:rFonts w:hint="eastAsia" w:ascii="宋体" w:hAnsi="宋体" w:eastAsia="宋体" w:cs="宋体"/>
          <w:sz w:val="24"/>
          <w:szCs w:val="24"/>
        </w:rPr>
        <w:t>排名第一的中标候选人放弃中标，或因不可抗力提出不能履行合同，或者被查实存在影响中标结果的违法行为等情形，不符合中标条件的，本项目直接重新招标，不确定其他投标人为中标人。</w:t>
      </w:r>
    </w:p>
    <w:p w14:paraId="2F7E7636">
      <w:pPr>
        <w:pStyle w:val="48"/>
        <w:keepNext/>
        <w:keepLines/>
        <w:widowControl/>
        <w:spacing w:line="400" w:lineRule="exact"/>
        <w:ind w:firstLine="480"/>
        <w:rPr>
          <w:rFonts w:ascii="宋体" w:hAnsi="宋体" w:eastAsia="宋体" w:cs="Times New Roman"/>
          <w:b/>
          <w:bCs/>
          <w:sz w:val="24"/>
          <w:szCs w:val="24"/>
        </w:rPr>
      </w:pPr>
      <w:r>
        <w:rPr>
          <w:rFonts w:hint="eastAsia" w:ascii="宋体" w:hAnsi="宋体" w:eastAsia="宋体" w:cs="宋体"/>
          <w:b/>
          <w:bCs/>
          <w:sz w:val="24"/>
          <w:szCs w:val="24"/>
        </w:rPr>
        <w:t>政府采购政策功能落实</w:t>
      </w:r>
    </w:p>
    <w:p w14:paraId="3ECEEE2C">
      <w:pPr>
        <w:pStyle w:val="48"/>
        <w:keepNext/>
        <w:keepLines/>
        <w:widowControl/>
        <w:spacing w:line="400" w:lineRule="exact"/>
        <w:ind w:firstLine="480"/>
        <w:rPr>
          <w:rFonts w:ascii="宋体" w:hAnsi="宋体" w:eastAsia="宋体" w:cs="Times New Roman"/>
          <w:sz w:val="24"/>
          <w:szCs w:val="24"/>
        </w:rPr>
      </w:pPr>
      <w:r>
        <w:rPr>
          <w:rFonts w:ascii="宋体" w:hAnsi="宋体" w:eastAsia="宋体" w:cs="宋体"/>
          <w:sz w:val="24"/>
          <w:szCs w:val="24"/>
        </w:rPr>
        <w:t>1</w:t>
      </w:r>
      <w:r>
        <w:rPr>
          <w:rFonts w:hint="eastAsia" w:ascii="宋体" w:hAnsi="宋体" w:eastAsia="宋体" w:cs="宋体"/>
          <w:sz w:val="24"/>
          <w:szCs w:val="24"/>
        </w:rPr>
        <w:t>、小微型企业价格扣除</w:t>
      </w:r>
    </w:p>
    <w:p w14:paraId="79AFFD16">
      <w:pPr>
        <w:pStyle w:val="48"/>
        <w:keepNext/>
        <w:keepLines/>
        <w:widowControl/>
        <w:spacing w:line="400" w:lineRule="exact"/>
        <w:ind w:firstLine="480"/>
        <w:rPr>
          <w:rFonts w:ascii="宋体" w:hAnsi="宋体" w:eastAsia="宋体" w:cs="Times New Roman"/>
          <w:sz w:val="24"/>
          <w:szCs w:val="24"/>
        </w:rPr>
      </w:pPr>
      <w:r>
        <w:rPr>
          <w:rFonts w:hint="eastAsia" w:ascii="宋体" w:hAnsi="宋体" w:eastAsia="宋体" w:cs="宋体"/>
          <w:sz w:val="24"/>
          <w:szCs w:val="24"/>
        </w:rPr>
        <w:t>（</w:t>
      </w:r>
      <w:r>
        <w:rPr>
          <w:rFonts w:ascii="宋体" w:hAnsi="宋体" w:eastAsia="宋体" w:cs="宋体"/>
          <w:sz w:val="24"/>
          <w:szCs w:val="24"/>
        </w:rPr>
        <w:t>1</w:t>
      </w:r>
      <w:r>
        <w:rPr>
          <w:rFonts w:hint="eastAsia" w:ascii="宋体" w:hAnsi="宋体" w:eastAsia="宋体" w:cs="宋体"/>
          <w:sz w:val="24"/>
          <w:szCs w:val="24"/>
        </w:rPr>
        <w:t>）本项目对小型和微型企业产品给予</w:t>
      </w:r>
      <w:r>
        <w:rPr>
          <w:rFonts w:ascii="宋体" w:hAnsi="宋体" w:eastAsia="宋体" w:cs="宋体"/>
          <w:sz w:val="24"/>
          <w:szCs w:val="24"/>
        </w:rPr>
        <w:t>20%</w:t>
      </w:r>
      <w:r>
        <w:rPr>
          <w:rFonts w:hint="eastAsia" w:ascii="宋体" w:hAnsi="宋体" w:eastAsia="宋体" w:cs="宋体"/>
          <w:sz w:val="24"/>
          <w:szCs w:val="24"/>
        </w:rPr>
        <w:t>的扣除价格，用扣除后的价格参与评审。</w:t>
      </w:r>
    </w:p>
    <w:p w14:paraId="2D20638E">
      <w:pPr>
        <w:pStyle w:val="48"/>
        <w:keepNext/>
        <w:keepLines/>
        <w:widowControl/>
        <w:spacing w:line="400" w:lineRule="exact"/>
        <w:ind w:firstLine="480"/>
        <w:rPr>
          <w:rFonts w:ascii="宋体" w:hAnsi="宋体" w:eastAsia="宋体" w:cs="Times New Roman"/>
          <w:sz w:val="24"/>
          <w:szCs w:val="24"/>
        </w:rPr>
      </w:pPr>
      <w:r>
        <w:rPr>
          <w:rFonts w:hint="eastAsia" w:ascii="宋体" w:hAnsi="宋体" w:eastAsia="宋体" w:cs="宋体"/>
          <w:sz w:val="24"/>
          <w:szCs w:val="24"/>
        </w:rPr>
        <w:t>（</w:t>
      </w:r>
      <w:r>
        <w:rPr>
          <w:rFonts w:ascii="宋体" w:hAnsi="宋体" w:eastAsia="宋体" w:cs="宋体"/>
          <w:sz w:val="24"/>
          <w:szCs w:val="24"/>
        </w:rPr>
        <w:t>2</w:t>
      </w:r>
      <w:r>
        <w:rPr>
          <w:rFonts w:hint="eastAsia" w:ascii="宋体" w:hAnsi="宋体" w:eastAsia="宋体" w:cs="宋体"/>
          <w:sz w:val="24"/>
          <w:szCs w:val="24"/>
        </w:rPr>
        <w:t>）供应商需按照采购文件的要求提供相应的《企业声明函》。</w:t>
      </w:r>
    </w:p>
    <w:p w14:paraId="402ECE23">
      <w:pPr>
        <w:pStyle w:val="48"/>
        <w:keepNext/>
        <w:keepLines/>
        <w:widowControl/>
        <w:spacing w:line="400" w:lineRule="exact"/>
        <w:ind w:firstLine="480"/>
        <w:rPr>
          <w:rFonts w:ascii="宋体" w:hAnsi="宋体" w:eastAsia="宋体" w:cs="Times New Roman"/>
          <w:sz w:val="24"/>
          <w:szCs w:val="24"/>
        </w:rPr>
      </w:pPr>
      <w:r>
        <w:rPr>
          <w:rFonts w:hint="eastAsia" w:ascii="宋体" w:hAnsi="宋体" w:eastAsia="宋体" w:cs="宋体"/>
          <w:sz w:val="24"/>
          <w:szCs w:val="24"/>
        </w:rPr>
        <w:t>（</w:t>
      </w:r>
      <w:r>
        <w:rPr>
          <w:rFonts w:ascii="宋体" w:hAnsi="宋体" w:eastAsia="宋体" w:cs="宋体"/>
          <w:sz w:val="24"/>
          <w:szCs w:val="24"/>
        </w:rPr>
        <w:t>3</w:t>
      </w:r>
      <w:r>
        <w:rPr>
          <w:rFonts w:hint="eastAsia" w:ascii="宋体" w:hAnsi="宋体" w:eastAsia="宋体" w:cs="宋体"/>
          <w:sz w:val="24"/>
          <w:szCs w:val="24"/>
        </w:rPr>
        <w:t>）企业标准请参照《关于印发中小企业划型标准规定的通知》（工信部联企业</w:t>
      </w:r>
      <w:r>
        <w:rPr>
          <w:rFonts w:ascii="宋体" w:hAnsi="宋体" w:eastAsia="宋体" w:cs="宋体"/>
          <w:sz w:val="24"/>
          <w:szCs w:val="24"/>
        </w:rPr>
        <w:t>[2011]300</w:t>
      </w:r>
      <w:r>
        <w:rPr>
          <w:rFonts w:hint="eastAsia" w:ascii="宋体" w:hAnsi="宋体" w:eastAsia="宋体" w:cs="宋体"/>
          <w:sz w:val="24"/>
          <w:szCs w:val="24"/>
        </w:rPr>
        <w:t>号）文件规定自行填写。</w:t>
      </w:r>
    </w:p>
    <w:p w14:paraId="639A2AD0">
      <w:pPr>
        <w:pStyle w:val="48"/>
        <w:keepNext/>
        <w:keepLines/>
        <w:widowControl/>
        <w:spacing w:line="400" w:lineRule="exact"/>
        <w:ind w:firstLine="480"/>
        <w:rPr>
          <w:rFonts w:ascii="宋体" w:hAnsi="宋体" w:eastAsia="宋体" w:cs="Times New Roman"/>
          <w:sz w:val="24"/>
          <w:szCs w:val="24"/>
        </w:rPr>
      </w:pPr>
      <w:r>
        <w:rPr>
          <w:rFonts w:ascii="宋体" w:hAnsi="宋体" w:eastAsia="宋体" w:cs="宋体"/>
          <w:sz w:val="24"/>
          <w:szCs w:val="24"/>
        </w:rPr>
        <w:t>2</w:t>
      </w:r>
      <w:r>
        <w:rPr>
          <w:rFonts w:hint="eastAsia" w:ascii="宋体" w:hAnsi="宋体" w:eastAsia="宋体" w:cs="宋体"/>
          <w:sz w:val="24"/>
          <w:szCs w:val="24"/>
        </w:rPr>
        <w:t>、残疾人福利单位价格扣除</w:t>
      </w:r>
    </w:p>
    <w:p w14:paraId="096D84E6">
      <w:pPr>
        <w:pStyle w:val="48"/>
        <w:keepNext/>
        <w:keepLines/>
        <w:widowControl/>
        <w:spacing w:line="400" w:lineRule="exact"/>
        <w:ind w:firstLine="480"/>
        <w:rPr>
          <w:rFonts w:ascii="宋体" w:hAnsi="宋体" w:eastAsia="宋体" w:cs="Times New Roman"/>
          <w:sz w:val="24"/>
          <w:szCs w:val="24"/>
        </w:rPr>
      </w:pPr>
      <w:r>
        <w:rPr>
          <w:rFonts w:hint="eastAsia" w:ascii="宋体" w:hAnsi="宋体" w:eastAsia="宋体" w:cs="宋体"/>
          <w:sz w:val="24"/>
          <w:szCs w:val="24"/>
        </w:rPr>
        <w:t>（</w:t>
      </w:r>
      <w:r>
        <w:rPr>
          <w:rFonts w:ascii="宋体" w:hAnsi="宋体" w:eastAsia="宋体" w:cs="宋体"/>
          <w:sz w:val="24"/>
          <w:szCs w:val="24"/>
        </w:rPr>
        <w:t>1</w:t>
      </w:r>
      <w:r>
        <w:rPr>
          <w:rFonts w:hint="eastAsia" w:ascii="宋体" w:hAnsi="宋体" w:eastAsia="宋体" w:cs="宋体"/>
          <w:sz w:val="24"/>
          <w:szCs w:val="24"/>
        </w:rPr>
        <w:t>）本项目对残疾人福利性单位视同小型、微型企业，给予</w:t>
      </w:r>
      <w:r>
        <w:rPr>
          <w:rFonts w:ascii="宋体" w:hAnsi="宋体" w:eastAsia="宋体" w:cs="宋体"/>
          <w:sz w:val="24"/>
          <w:szCs w:val="24"/>
        </w:rPr>
        <w:t>20%</w:t>
      </w:r>
      <w:r>
        <w:rPr>
          <w:rFonts w:hint="eastAsia" w:ascii="宋体" w:hAnsi="宋体" w:eastAsia="宋体" w:cs="宋体"/>
          <w:sz w:val="24"/>
          <w:szCs w:val="24"/>
        </w:rPr>
        <w:t>的价格扣除，用扣除后的价格参与评审。</w:t>
      </w:r>
    </w:p>
    <w:p w14:paraId="316255E2">
      <w:pPr>
        <w:pStyle w:val="48"/>
        <w:keepNext/>
        <w:keepLines/>
        <w:widowControl/>
        <w:spacing w:line="400" w:lineRule="exact"/>
        <w:ind w:firstLine="480"/>
        <w:rPr>
          <w:rFonts w:ascii="宋体" w:hAnsi="宋体" w:eastAsia="宋体" w:cs="Times New Roman"/>
          <w:sz w:val="24"/>
          <w:szCs w:val="24"/>
        </w:rPr>
      </w:pPr>
      <w:r>
        <w:rPr>
          <w:rFonts w:hint="eastAsia" w:ascii="宋体" w:hAnsi="宋体" w:eastAsia="宋体" w:cs="宋体"/>
          <w:sz w:val="24"/>
          <w:szCs w:val="24"/>
        </w:rPr>
        <w:t>（</w:t>
      </w:r>
      <w:r>
        <w:rPr>
          <w:rFonts w:ascii="宋体" w:hAnsi="宋体" w:eastAsia="宋体" w:cs="宋体"/>
          <w:sz w:val="24"/>
          <w:szCs w:val="24"/>
        </w:rPr>
        <w:t>2</w:t>
      </w:r>
      <w:r>
        <w:rPr>
          <w:rFonts w:hint="eastAsia" w:ascii="宋体" w:hAnsi="宋体" w:eastAsia="宋体" w:cs="宋体"/>
          <w:sz w:val="24"/>
          <w:szCs w:val="24"/>
        </w:rPr>
        <w:t>）残疾人福利单位标准请参照《关于促进残疾人就业政府采购政策的通知》（财库〔</w:t>
      </w:r>
      <w:r>
        <w:rPr>
          <w:rFonts w:ascii="宋体" w:hAnsi="宋体" w:eastAsia="宋体" w:cs="宋体"/>
          <w:sz w:val="24"/>
          <w:szCs w:val="24"/>
        </w:rPr>
        <w:t>2017</w:t>
      </w:r>
      <w:r>
        <w:rPr>
          <w:rFonts w:hint="eastAsia" w:ascii="宋体" w:hAnsi="宋体" w:eastAsia="宋体" w:cs="宋体"/>
          <w:sz w:val="24"/>
          <w:szCs w:val="24"/>
        </w:rPr>
        <w:t>〕</w:t>
      </w:r>
      <w:r>
        <w:rPr>
          <w:rFonts w:ascii="宋体" w:hAnsi="宋体" w:eastAsia="宋体" w:cs="宋体"/>
          <w:sz w:val="24"/>
          <w:szCs w:val="24"/>
        </w:rPr>
        <w:t>141</w:t>
      </w:r>
      <w:r>
        <w:rPr>
          <w:rFonts w:hint="eastAsia" w:ascii="宋体" w:hAnsi="宋体" w:eastAsia="宋体" w:cs="宋体"/>
          <w:sz w:val="24"/>
          <w:szCs w:val="24"/>
        </w:rPr>
        <w:t>号），需提供《残疾人福利性单位声明函》，格式自拟。</w:t>
      </w:r>
    </w:p>
    <w:p w14:paraId="5DBE2BEA">
      <w:pPr>
        <w:pStyle w:val="48"/>
        <w:keepNext/>
        <w:keepLines/>
        <w:widowControl/>
        <w:spacing w:line="400" w:lineRule="exact"/>
        <w:ind w:firstLine="480"/>
        <w:rPr>
          <w:rFonts w:ascii="宋体" w:hAnsi="宋体" w:eastAsia="宋体" w:cs="Times New Roman"/>
          <w:sz w:val="24"/>
          <w:szCs w:val="24"/>
        </w:rPr>
      </w:pPr>
      <w:r>
        <w:rPr>
          <w:rFonts w:ascii="宋体" w:hAnsi="宋体" w:eastAsia="宋体" w:cs="宋体"/>
          <w:sz w:val="24"/>
          <w:szCs w:val="24"/>
        </w:rPr>
        <w:t>3</w:t>
      </w:r>
      <w:r>
        <w:rPr>
          <w:rFonts w:hint="eastAsia" w:ascii="宋体" w:hAnsi="宋体" w:eastAsia="宋体" w:cs="宋体"/>
          <w:sz w:val="24"/>
          <w:szCs w:val="24"/>
        </w:rPr>
        <w:t>、监狱和戒毒企业价格扣除</w:t>
      </w:r>
    </w:p>
    <w:p w14:paraId="77692569">
      <w:pPr>
        <w:pStyle w:val="48"/>
        <w:keepNext/>
        <w:keepLines/>
        <w:widowControl/>
        <w:spacing w:line="400" w:lineRule="exact"/>
        <w:ind w:firstLine="480"/>
        <w:rPr>
          <w:rFonts w:ascii="宋体" w:hAnsi="宋体" w:eastAsia="宋体" w:cs="Times New Roman"/>
          <w:sz w:val="24"/>
          <w:szCs w:val="24"/>
        </w:rPr>
      </w:pPr>
      <w:r>
        <w:rPr>
          <w:rFonts w:hint="eastAsia" w:ascii="宋体" w:hAnsi="宋体" w:eastAsia="宋体" w:cs="宋体"/>
          <w:sz w:val="24"/>
          <w:szCs w:val="24"/>
        </w:rPr>
        <w:t>（</w:t>
      </w:r>
      <w:r>
        <w:rPr>
          <w:rFonts w:ascii="宋体" w:hAnsi="宋体" w:eastAsia="宋体" w:cs="宋体"/>
          <w:sz w:val="24"/>
          <w:szCs w:val="24"/>
        </w:rPr>
        <w:t>1</w:t>
      </w:r>
      <w:r>
        <w:rPr>
          <w:rFonts w:hint="eastAsia" w:ascii="宋体" w:hAnsi="宋体" w:eastAsia="宋体" w:cs="宋体"/>
          <w:sz w:val="24"/>
          <w:szCs w:val="24"/>
        </w:rPr>
        <w:t>）本项目对监狱和戒毒企业（简称监狱企业）视同小型、微型企业，给予</w:t>
      </w:r>
      <w:r>
        <w:rPr>
          <w:rFonts w:ascii="宋体" w:hAnsi="宋体" w:eastAsia="宋体" w:cs="宋体"/>
          <w:sz w:val="24"/>
          <w:szCs w:val="24"/>
        </w:rPr>
        <w:t>10%</w:t>
      </w:r>
      <w:r>
        <w:rPr>
          <w:rFonts w:hint="eastAsia" w:ascii="宋体" w:hAnsi="宋体" w:eastAsia="宋体" w:cs="宋体"/>
          <w:sz w:val="24"/>
          <w:szCs w:val="24"/>
        </w:rPr>
        <w:t>的价格扣除，用扣除后的价格参与评审。</w:t>
      </w:r>
    </w:p>
    <w:p w14:paraId="1B360D4D">
      <w:pPr>
        <w:pStyle w:val="48"/>
        <w:keepNext/>
        <w:keepLines/>
        <w:widowControl/>
        <w:spacing w:line="400" w:lineRule="exact"/>
        <w:ind w:firstLine="480"/>
        <w:rPr>
          <w:rFonts w:ascii="宋体" w:hAnsi="宋体" w:eastAsia="宋体" w:cs="Times New Roman"/>
          <w:sz w:val="24"/>
          <w:szCs w:val="24"/>
        </w:rPr>
      </w:pPr>
      <w:r>
        <w:rPr>
          <w:rFonts w:hint="eastAsia" w:ascii="宋体" w:hAnsi="宋体" w:eastAsia="宋体" w:cs="宋体"/>
          <w:sz w:val="24"/>
          <w:szCs w:val="24"/>
        </w:rPr>
        <w:t>（</w:t>
      </w:r>
      <w:r>
        <w:rPr>
          <w:rFonts w:ascii="宋体" w:hAnsi="宋体" w:eastAsia="宋体" w:cs="宋体"/>
          <w:sz w:val="24"/>
          <w:szCs w:val="24"/>
        </w:rPr>
        <w:t>2</w:t>
      </w:r>
      <w:r>
        <w:rPr>
          <w:rFonts w:hint="eastAsia" w:ascii="宋体" w:hAnsi="宋体" w:eastAsia="宋体" w:cs="宋体"/>
          <w:sz w:val="24"/>
          <w:szCs w:val="24"/>
        </w:rPr>
        <w:t>）监狱企业参加政府采购活动时，需提供由省级以上监狱管理局、戒毒管理局</w:t>
      </w:r>
      <w:r>
        <w:rPr>
          <w:rFonts w:ascii="宋体" w:hAnsi="宋体" w:eastAsia="宋体" w:cs="宋体"/>
          <w:sz w:val="24"/>
          <w:szCs w:val="24"/>
        </w:rPr>
        <w:t>(</w:t>
      </w:r>
      <w:r>
        <w:rPr>
          <w:rFonts w:hint="eastAsia" w:ascii="宋体" w:hAnsi="宋体" w:eastAsia="宋体" w:cs="宋体"/>
          <w:sz w:val="24"/>
          <w:szCs w:val="24"/>
        </w:rPr>
        <w:t>含新疆生产建设兵团</w:t>
      </w:r>
      <w:r>
        <w:rPr>
          <w:rFonts w:ascii="宋体" w:hAnsi="宋体" w:eastAsia="宋体" w:cs="宋体"/>
          <w:sz w:val="24"/>
          <w:szCs w:val="24"/>
        </w:rPr>
        <w:t>)</w:t>
      </w:r>
      <w:r>
        <w:rPr>
          <w:rFonts w:hint="eastAsia" w:ascii="宋体" w:hAnsi="宋体" w:eastAsia="宋体" w:cs="宋体"/>
          <w:sz w:val="24"/>
          <w:szCs w:val="24"/>
        </w:rPr>
        <w:t>出具的属于监狱企业的证明文件。供应商如不提供上述证明文件，价格将不做相应扣除。</w:t>
      </w:r>
    </w:p>
    <w:p w14:paraId="5E0257F6">
      <w:pPr>
        <w:pStyle w:val="48"/>
        <w:keepNext/>
        <w:keepLines/>
        <w:widowControl/>
        <w:spacing w:line="400" w:lineRule="exact"/>
        <w:ind w:firstLine="480"/>
        <w:rPr>
          <w:rFonts w:ascii="宋体" w:hAnsi="宋体" w:eastAsia="宋体" w:cs="Times New Roman"/>
          <w:sz w:val="24"/>
          <w:szCs w:val="24"/>
        </w:rPr>
      </w:pPr>
      <w:r>
        <w:rPr>
          <w:rFonts w:hint="eastAsia" w:ascii="宋体" w:hAnsi="宋体" w:eastAsia="宋体" w:cs="宋体"/>
          <w:sz w:val="24"/>
          <w:szCs w:val="24"/>
        </w:rPr>
        <w:t>（</w:t>
      </w:r>
      <w:r>
        <w:rPr>
          <w:rFonts w:ascii="宋体" w:hAnsi="宋体" w:eastAsia="宋体" w:cs="宋体"/>
          <w:sz w:val="24"/>
          <w:szCs w:val="24"/>
        </w:rPr>
        <w:t>3</w:t>
      </w:r>
      <w:r>
        <w:rPr>
          <w:rFonts w:hint="eastAsia" w:ascii="宋体" w:hAnsi="宋体" w:eastAsia="宋体" w:cs="宋体"/>
          <w:sz w:val="24"/>
          <w:szCs w:val="24"/>
        </w:rPr>
        <w:t>）监狱企业标准请参照《关于政府采购支持监狱企业发展有关问题的通知》（财库</w:t>
      </w:r>
      <w:r>
        <w:rPr>
          <w:rFonts w:ascii="宋体" w:hAnsi="宋体" w:eastAsia="宋体" w:cs="宋体"/>
          <w:sz w:val="24"/>
          <w:szCs w:val="24"/>
        </w:rPr>
        <w:t>[2014]68</w:t>
      </w:r>
      <w:r>
        <w:rPr>
          <w:rFonts w:hint="eastAsia" w:ascii="宋体" w:hAnsi="宋体" w:eastAsia="宋体" w:cs="宋体"/>
          <w:sz w:val="24"/>
          <w:szCs w:val="24"/>
        </w:rPr>
        <w:t>号）。</w:t>
      </w:r>
    </w:p>
    <w:p w14:paraId="2140C3E8">
      <w:pPr>
        <w:pStyle w:val="48"/>
        <w:keepNext/>
        <w:keepLines/>
        <w:widowControl/>
        <w:spacing w:line="400" w:lineRule="exact"/>
        <w:ind w:firstLine="480"/>
        <w:rPr>
          <w:rFonts w:ascii="宋体" w:hAnsi="宋体" w:eastAsia="宋体" w:cs="Times New Roman"/>
          <w:sz w:val="24"/>
          <w:szCs w:val="24"/>
        </w:rPr>
      </w:pPr>
      <w:r>
        <w:rPr>
          <w:rFonts w:ascii="宋体" w:hAnsi="宋体" w:eastAsia="宋体" w:cs="宋体"/>
          <w:sz w:val="24"/>
          <w:szCs w:val="24"/>
        </w:rPr>
        <w:t>4</w:t>
      </w:r>
      <w:r>
        <w:rPr>
          <w:rFonts w:hint="eastAsia" w:ascii="宋体" w:hAnsi="宋体" w:eastAsia="宋体" w:cs="宋体"/>
          <w:sz w:val="24"/>
          <w:szCs w:val="24"/>
        </w:rPr>
        <w:t>、残疾人福利单位、监狱企业属于小型、微型企业的，不重复享受政策。</w:t>
      </w:r>
    </w:p>
    <w:p w14:paraId="11D1C290">
      <w:pPr>
        <w:pStyle w:val="48"/>
        <w:keepNext/>
        <w:keepLines/>
        <w:widowControl/>
        <w:spacing w:line="400" w:lineRule="exact"/>
        <w:ind w:firstLine="480"/>
        <w:rPr>
          <w:rFonts w:ascii="宋体" w:hAnsi="宋体" w:eastAsia="宋体" w:cs="Times New Roman"/>
          <w:sz w:val="24"/>
          <w:szCs w:val="24"/>
        </w:rPr>
      </w:pPr>
      <w:r>
        <w:rPr>
          <w:rFonts w:ascii="宋体" w:hAnsi="宋体" w:eastAsia="宋体" w:cs="宋体"/>
          <w:sz w:val="24"/>
          <w:szCs w:val="24"/>
        </w:rPr>
        <w:t>5</w:t>
      </w:r>
      <w:r>
        <w:rPr>
          <w:rFonts w:hint="eastAsia" w:ascii="宋体" w:hAnsi="宋体" w:eastAsia="宋体" w:cs="宋体"/>
          <w:sz w:val="24"/>
          <w:szCs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ascii="宋体" w:hAnsi="宋体" w:eastAsia="宋体" w:cs="宋体"/>
          <w:sz w:val="24"/>
          <w:szCs w:val="24"/>
        </w:rPr>
        <w:t>(</w:t>
      </w:r>
      <w:r>
        <w:rPr>
          <w:rFonts w:hint="eastAsia" w:ascii="宋体" w:hAnsi="宋体" w:eastAsia="宋体" w:cs="宋体"/>
          <w:sz w:val="24"/>
          <w:szCs w:val="24"/>
        </w:rPr>
        <w:t>由国家确定的认证机构出具的、处于有效期之内的节能产品、环境标志产品认证证书</w:t>
      </w:r>
      <w:r>
        <w:rPr>
          <w:rFonts w:ascii="宋体" w:hAnsi="宋体" w:eastAsia="宋体" w:cs="宋体"/>
          <w:sz w:val="24"/>
          <w:szCs w:val="24"/>
        </w:rPr>
        <w:t>)</w:t>
      </w:r>
      <w:r>
        <w:rPr>
          <w:rFonts w:hint="eastAsia" w:ascii="宋体" w:hAnsi="宋体" w:eastAsia="宋体" w:cs="宋体"/>
          <w:sz w:val="24"/>
          <w:szCs w:val="24"/>
        </w:rPr>
        <w:t>。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4200E9B7">
      <w:pPr>
        <w:pStyle w:val="48"/>
        <w:ind w:firstLine="480"/>
        <w:rPr>
          <w:rFonts w:cs="Times New Roman"/>
        </w:rPr>
      </w:pPr>
      <w:r>
        <w:rPr>
          <w:rFonts w:ascii="宋体" w:hAnsi="宋体" w:eastAsia="宋体" w:cs="宋体"/>
          <w:sz w:val="24"/>
          <w:szCs w:val="24"/>
        </w:rPr>
        <w:t>6</w:t>
      </w:r>
      <w:r>
        <w:rPr>
          <w:rFonts w:hint="eastAsia" w:ascii="宋体" w:hAnsi="宋体" w:eastAsia="宋体" w:cs="宋体"/>
          <w:sz w:val="24"/>
          <w:szCs w:val="24"/>
        </w:rPr>
        <w:t>、供应商对于投标产品的商品包装、快递包装应按照“财办库〔</w:t>
      </w:r>
      <w:r>
        <w:rPr>
          <w:rFonts w:ascii="宋体" w:hAnsi="宋体" w:eastAsia="宋体" w:cs="宋体"/>
          <w:sz w:val="24"/>
          <w:szCs w:val="24"/>
        </w:rPr>
        <w:t>2020</w:t>
      </w:r>
      <w:r>
        <w:rPr>
          <w:rFonts w:hint="eastAsia" w:ascii="宋体" w:hAnsi="宋体" w:eastAsia="宋体" w:cs="宋体"/>
          <w:sz w:val="24"/>
          <w:szCs w:val="24"/>
        </w:rPr>
        <w:t>〕</w:t>
      </w:r>
      <w:r>
        <w:rPr>
          <w:rFonts w:ascii="宋体" w:hAnsi="宋体" w:eastAsia="宋体" w:cs="宋体"/>
          <w:sz w:val="24"/>
          <w:szCs w:val="24"/>
        </w:rPr>
        <w:t>123</w:t>
      </w:r>
      <w:r>
        <w:rPr>
          <w:rFonts w:hint="eastAsia" w:ascii="宋体" w:hAnsi="宋体" w:eastAsia="宋体" w:cs="宋体"/>
          <w:sz w:val="24"/>
          <w:szCs w:val="24"/>
        </w:rPr>
        <w:t>号《关于印发《商品包装政府采购需求标准（试行）》、《快递包装政府采购需求标准（试行）》的通知》”执行。</w:t>
      </w:r>
    </w:p>
    <w:p w14:paraId="376A51C0">
      <w:pPr>
        <w:adjustRightInd w:val="0"/>
        <w:spacing w:line="400" w:lineRule="exact"/>
        <w:ind w:firstLine="482" w:firstLineChars="200"/>
        <w:jc w:val="left"/>
        <w:textAlignment w:val="baseline"/>
        <w:rPr>
          <w:rFonts w:ascii="宋体" w:cs="Times New Roman"/>
          <w:b/>
          <w:bCs/>
          <w:color w:val="FF0000"/>
          <w:sz w:val="24"/>
          <w:szCs w:val="24"/>
        </w:rPr>
      </w:pPr>
      <w:r>
        <w:rPr>
          <w:rFonts w:ascii="宋体" w:hAnsi="宋体" w:cs="宋体"/>
          <w:b/>
          <w:bCs/>
          <w:color w:val="FF0000"/>
          <w:sz w:val="24"/>
          <w:szCs w:val="24"/>
        </w:rPr>
        <w:t>7</w:t>
      </w:r>
      <w:r>
        <w:rPr>
          <w:rFonts w:hint="eastAsia" w:ascii="宋体" w:hAnsi="宋体" w:cs="宋体"/>
          <w:b/>
          <w:bCs/>
          <w:color w:val="FF0000"/>
          <w:sz w:val="24"/>
          <w:szCs w:val="24"/>
        </w:rPr>
        <w:t>、采购本国产品的支持政策</w:t>
      </w:r>
    </w:p>
    <w:p w14:paraId="1C283FF9">
      <w:pPr>
        <w:adjustRightInd w:val="0"/>
        <w:spacing w:line="400" w:lineRule="exact"/>
        <w:ind w:firstLine="482" w:firstLineChars="200"/>
        <w:jc w:val="left"/>
        <w:textAlignment w:val="baseline"/>
        <w:rPr>
          <w:rFonts w:ascii="宋体" w:cs="Times New Roman"/>
          <w:b/>
          <w:bCs/>
          <w:color w:val="FF0000"/>
          <w:sz w:val="24"/>
          <w:szCs w:val="24"/>
        </w:rPr>
      </w:pPr>
      <w:r>
        <w:rPr>
          <w:rFonts w:ascii="宋体" w:hAnsi="宋体" w:cs="宋体"/>
          <w:b/>
          <w:bCs/>
          <w:color w:val="FF0000"/>
          <w:sz w:val="24"/>
          <w:szCs w:val="24"/>
        </w:rPr>
        <w:t xml:space="preserve">7.1 </w:t>
      </w:r>
      <w:r>
        <w:rPr>
          <w:rFonts w:hint="eastAsia" w:ascii="宋体" w:hAnsi="宋体" w:cs="宋体"/>
          <w:b/>
          <w:bCs/>
          <w:color w:val="FF0000"/>
          <w:sz w:val="24"/>
          <w:szCs w:val="24"/>
        </w:rPr>
        <w:t>本项目政府采购活动中既有本国产品又有非本国产品参与竞争的，依法对本国产品给予价格评审优惠，对本国产品的报价给予</w:t>
      </w:r>
      <w:r>
        <w:rPr>
          <w:rFonts w:ascii="宋体" w:hAnsi="宋体" w:cs="宋体"/>
          <w:b/>
          <w:bCs/>
          <w:color w:val="FF0000"/>
          <w:sz w:val="24"/>
          <w:szCs w:val="24"/>
        </w:rPr>
        <w:t xml:space="preserve"> </w:t>
      </w:r>
      <w:r>
        <w:rPr>
          <w:rFonts w:ascii="宋体" w:hAnsi="宋体" w:cs="宋体"/>
          <w:b/>
          <w:bCs/>
          <w:color w:val="FF0000"/>
          <w:sz w:val="24"/>
          <w:szCs w:val="24"/>
          <w:u w:val="single"/>
        </w:rPr>
        <w:t>20%</w:t>
      </w:r>
      <w:r>
        <w:rPr>
          <w:rFonts w:hint="eastAsia" w:ascii="宋体" w:hAnsi="宋体" w:cs="宋体"/>
          <w:b/>
          <w:bCs/>
          <w:color w:val="FF0000"/>
          <w:sz w:val="24"/>
          <w:szCs w:val="24"/>
        </w:rPr>
        <w:t>的价格扣除，用扣除后的价格参与评审。</w:t>
      </w:r>
    </w:p>
    <w:p w14:paraId="3DDF2E35">
      <w:pPr>
        <w:adjustRightInd w:val="0"/>
        <w:spacing w:line="400" w:lineRule="exact"/>
        <w:ind w:firstLine="482" w:firstLineChars="200"/>
        <w:jc w:val="left"/>
        <w:textAlignment w:val="baseline"/>
        <w:rPr>
          <w:rFonts w:ascii="宋体" w:cs="Times New Roman"/>
          <w:b/>
          <w:bCs/>
          <w:color w:val="FF0000"/>
          <w:sz w:val="24"/>
          <w:szCs w:val="24"/>
          <w:highlight w:val="none"/>
        </w:rPr>
      </w:pPr>
      <w:r>
        <w:rPr>
          <w:rFonts w:ascii="宋体" w:hAnsi="宋体" w:cs="宋体"/>
          <w:b/>
          <w:bCs/>
          <w:color w:val="FF0000"/>
          <w:sz w:val="24"/>
          <w:szCs w:val="24"/>
        </w:rPr>
        <w:t xml:space="preserve">7.2 </w:t>
      </w:r>
      <w:r>
        <w:rPr>
          <w:rFonts w:hint="eastAsia" w:ascii="宋体" w:hAnsi="宋体" w:cs="宋体"/>
          <w:b/>
          <w:bCs/>
          <w:color w:val="FF0000"/>
          <w:sz w:val="24"/>
          <w:szCs w:val="24"/>
        </w:rPr>
        <w:t>当采购项目或者采购包中含有多种产品，供应商为该采购项目或者采购包提供的符合本国产品标准的产品成本之和占该供应商提供的全部产品成本之和的比例达到</w:t>
      </w:r>
      <w:r>
        <w:rPr>
          <w:rFonts w:ascii="宋体" w:hAnsi="宋体" w:cs="宋体"/>
          <w:b/>
          <w:bCs/>
          <w:color w:val="FF0000"/>
          <w:sz w:val="24"/>
          <w:szCs w:val="24"/>
          <w:u w:val="single"/>
        </w:rPr>
        <w:t>80%</w:t>
      </w:r>
      <w:r>
        <w:rPr>
          <w:rFonts w:hint="eastAsia" w:ascii="宋体" w:hAnsi="宋体" w:cs="宋体"/>
          <w:b/>
          <w:bCs/>
          <w:color w:val="FF0000"/>
          <w:sz w:val="24"/>
          <w:szCs w:val="24"/>
        </w:rPr>
        <w:t>以上时（供应商需在“第六章</w:t>
      </w:r>
      <w:r>
        <w:rPr>
          <w:rFonts w:ascii="宋体" w:hAnsi="宋体" w:cs="宋体"/>
          <w:b/>
          <w:bCs/>
          <w:color w:val="FF0000"/>
          <w:sz w:val="24"/>
          <w:szCs w:val="24"/>
        </w:rPr>
        <w:t xml:space="preserve"> </w:t>
      </w:r>
      <w:r>
        <w:rPr>
          <w:rFonts w:hint="eastAsia" w:ascii="宋体" w:hAnsi="宋体" w:cs="宋体"/>
          <w:b/>
          <w:bCs/>
          <w:color w:val="FF0000"/>
          <w:sz w:val="24"/>
          <w:szCs w:val="24"/>
        </w:rPr>
        <w:t>投标文件格式”的“</w:t>
      </w:r>
      <w:r>
        <w:rPr>
          <w:rFonts w:ascii="宋体" w:hAnsi="宋体" w:cs="宋体"/>
          <w:b/>
          <w:bCs/>
          <w:color w:val="FF0000"/>
          <w:sz w:val="24"/>
          <w:szCs w:val="24"/>
        </w:rPr>
        <w:t xml:space="preserve"> </w:t>
      </w:r>
      <w:r>
        <w:rPr>
          <w:rFonts w:hint="eastAsia" w:ascii="宋体" w:hAnsi="宋体" w:cs="宋体"/>
          <w:b/>
          <w:bCs/>
          <w:color w:val="FF0000"/>
          <w:sz w:val="24"/>
          <w:szCs w:val="24"/>
        </w:rPr>
        <w:t>投标分项报价表”中填写比例数值），依法对该供应商提供的全部产品给予价格评审优惠，即对该供应商提供的全部产品的总报价给予</w:t>
      </w:r>
      <w:r>
        <w:rPr>
          <w:rFonts w:ascii="宋体" w:hAnsi="宋体" w:cs="宋体"/>
          <w:b/>
          <w:bCs/>
          <w:color w:val="FF0000"/>
          <w:sz w:val="24"/>
          <w:szCs w:val="24"/>
          <w:u w:val="single"/>
        </w:rPr>
        <w:t>20%</w:t>
      </w:r>
      <w:r>
        <w:rPr>
          <w:rFonts w:hint="eastAsia" w:ascii="宋体" w:hAnsi="宋体" w:cs="宋体"/>
          <w:b/>
          <w:bCs/>
          <w:color w:val="FF0000"/>
          <w:sz w:val="24"/>
          <w:szCs w:val="24"/>
        </w:rPr>
        <w:t>的价格扣除，用扣除后的价格参与评审。供应商未填写比例数值，或比例数值</w:t>
      </w:r>
      <w:r>
        <w:rPr>
          <w:rFonts w:hint="eastAsia" w:ascii="宋体" w:hAnsi="宋体" w:cs="宋体"/>
          <w:b/>
          <w:bCs/>
          <w:color w:val="FF0000"/>
          <w:sz w:val="24"/>
          <w:szCs w:val="24"/>
          <w:highlight w:val="none"/>
        </w:rPr>
        <w:t>未达到</w:t>
      </w:r>
      <w:r>
        <w:rPr>
          <w:rFonts w:ascii="宋体" w:hAnsi="宋体" w:cs="宋体"/>
          <w:b/>
          <w:bCs/>
          <w:color w:val="FF0000"/>
          <w:sz w:val="24"/>
          <w:szCs w:val="24"/>
          <w:highlight w:val="none"/>
        </w:rPr>
        <w:t>80%</w:t>
      </w:r>
      <w:r>
        <w:rPr>
          <w:rFonts w:hint="eastAsia" w:ascii="宋体" w:hAnsi="宋体" w:cs="宋体"/>
          <w:b/>
          <w:bCs/>
          <w:color w:val="FF0000"/>
          <w:sz w:val="24"/>
          <w:szCs w:val="24"/>
          <w:highlight w:val="none"/>
        </w:rPr>
        <w:t>的，将不享受本国产品价格评审优惠。</w:t>
      </w:r>
    </w:p>
    <w:p w14:paraId="7E82723C">
      <w:pPr>
        <w:adjustRightInd w:val="0"/>
        <w:spacing w:line="400" w:lineRule="exact"/>
        <w:ind w:firstLine="482" w:firstLineChars="200"/>
        <w:jc w:val="left"/>
        <w:textAlignment w:val="baseline"/>
        <w:rPr>
          <w:rFonts w:ascii="宋体" w:cs="Times New Roman"/>
          <w:b/>
          <w:bCs/>
          <w:color w:val="FF0000"/>
          <w:sz w:val="24"/>
          <w:szCs w:val="24"/>
          <w:highlight w:val="none"/>
        </w:rPr>
      </w:pPr>
      <w:r>
        <w:rPr>
          <w:rFonts w:ascii="宋体" w:hAnsi="宋体" w:cs="宋体"/>
          <w:b/>
          <w:bCs/>
          <w:color w:val="FF0000"/>
          <w:sz w:val="24"/>
          <w:szCs w:val="24"/>
          <w:highlight w:val="none"/>
        </w:rPr>
        <w:t xml:space="preserve">7.3 </w:t>
      </w:r>
      <w:r>
        <w:rPr>
          <w:rFonts w:hint="eastAsia" w:ascii="宋体" w:hAnsi="宋体" w:cs="宋体"/>
          <w:b/>
          <w:bCs/>
          <w:color w:val="FF0000"/>
          <w:sz w:val="24"/>
          <w:szCs w:val="24"/>
          <w:highlight w:val="none"/>
        </w:rPr>
        <w:t>供应商需按照招标文件的要求提供《关于符合本国产品标准的声明函》（以下简称《声明函》），如不提供将不享受本国产品价格评审优惠。</w:t>
      </w:r>
    </w:p>
    <w:p w14:paraId="10F267F4">
      <w:pPr>
        <w:adjustRightInd w:val="0"/>
        <w:spacing w:line="400" w:lineRule="exact"/>
        <w:ind w:firstLine="482" w:firstLineChars="200"/>
        <w:jc w:val="left"/>
        <w:textAlignment w:val="baseline"/>
        <w:rPr>
          <w:rFonts w:ascii="宋体" w:cs="Times New Roman"/>
          <w:b/>
          <w:bCs/>
          <w:color w:val="FF0000"/>
          <w:sz w:val="24"/>
          <w:szCs w:val="24"/>
        </w:rPr>
      </w:pPr>
      <w:r>
        <w:rPr>
          <w:rFonts w:ascii="宋体" w:hAnsi="宋体" w:cs="宋体"/>
          <w:b/>
          <w:bCs/>
          <w:color w:val="FF0000"/>
          <w:sz w:val="24"/>
          <w:szCs w:val="24"/>
          <w:highlight w:val="none"/>
        </w:rPr>
        <w:t xml:space="preserve">7.4 </w:t>
      </w:r>
      <w:r>
        <w:rPr>
          <w:rFonts w:hint="eastAsia" w:ascii="宋体" w:hAnsi="宋体" w:cs="宋体"/>
          <w:b/>
          <w:bCs/>
          <w:color w:val="FF0000"/>
          <w:sz w:val="24"/>
          <w:szCs w:val="24"/>
          <w:highlight w:val="none"/>
        </w:rPr>
        <w:t>供应商需在《声明函》中逐一、准确填写产品名称、厂名、生产厂址三项信息（《声明函》中用横线划除的地方无需填写</w:t>
      </w:r>
      <w:r>
        <w:rPr>
          <w:rFonts w:hint="eastAsia" w:ascii="宋体" w:hAnsi="宋体" w:cs="宋体"/>
          <w:b/>
          <w:bCs/>
          <w:color w:val="FF0000"/>
          <w:sz w:val="24"/>
          <w:szCs w:val="24"/>
        </w:rPr>
        <w:t>），三项信息中任意一项未填写的视为该项产品不符合本国产品标准，不享受本国产品价格评审优惠。</w:t>
      </w:r>
    </w:p>
    <w:p w14:paraId="12939F3C">
      <w:pPr>
        <w:adjustRightInd w:val="0"/>
        <w:spacing w:line="400" w:lineRule="exact"/>
        <w:ind w:firstLine="482" w:firstLineChars="200"/>
        <w:jc w:val="left"/>
        <w:textAlignment w:val="baseline"/>
        <w:rPr>
          <w:rFonts w:ascii="宋体" w:cs="Times New Roman"/>
          <w:color w:val="000000"/>
          <w:u w:val="single"/>
        </w:rPr>
      </w:pPr>
      <w:r>
        <w:rPr>
          <w:rFonts w:ascii="宋体" w:hAnsi="宋体" w:cs="宋体"/>
          <w:b/>
          <w:bCs/>
          <w:color w:val="FF0000"/>
          <w:sz w:val="24"/>
          <w:szCs w:val="24"/>
        </w:rPr>
        <w:t xml:space="preserve">7.5 </w:t>
      </w:r>
      <w:r>
        <w:rPr>
          <w:rFonts w:hint="eastAsia" w:ascii="宋体" w:hAnsi="宋体" w:cs="宋体"/>
          <w:b/>
          <w:bCs/>
          <w:color w:val="FF0000"/>
          <w:sz w:val="24"/>
          <w:szCs w:val="24"/>
        </w:rPr>
        <w:t>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w:t>
      </w:r>
      <w:r>
        <w:rPr>
          <w:rFonts w:ascii="宋体" w:hAnsi="宋体" w:cs="宋体"/>
          <w:b/>
          <w:bCs/>
          <w:color w:val="FF0000"/>
          <w:sz w:val="24"/>
          <w:szCs w:val="24"/>
        </w:rPr>
        <w:t>2025</w:t>
      </w:r>
      <w:r>
        <w:rPr>
          <w:rFonts w:hint="eastAsia" w:ascii="宋体" w:hAnsi="宋体" w:cs="宋体"/>
          <w:b/>
          <w:bCs/>
          <w:color w:val="FF0000"/>
          <w:sz w:val="24"/>
          <w:szCs w:val="24"/>
        </w:rPr>
        <w:t>〕</w:t>
      </w:r>
      <w:r>
        <w:rPr>
          <w:rFonts w:ascii="宋体" w:hAnsi="宋体" w:cs="宋体"/>
          <w:b/>
          <w:bCs/>
          <w:color w:val="FF0000"/>
          <w:sz w:val="24"/>
          <w:szCs w:val="24"/>
        </w:rPr>
        <w:t>34</w:t>
      </w:r>
      <w:r>
        <w:rPr>
          <w:rFonts w:hint="eastAsia" w:ascii="宋体" w:hAnsi="宋体" w:cs="宋体"/>
          <w:b/>
          <w:bCs/>
          <w:color w:val="FF0000"/>
          <w:sz w:val="24"/>
          <w:szCs w:val="24"/>
        </w:rPr>
        <w:t>号）</w:t>
      </w:r>
      <w:r>
        <w:rPr>
          <w:rFonts w:hint="eastAsia" w:ascii="宋体" w:hAnsi="宋体" w:cs="宋体"/>
          <w:color w:val="FF0000"/>
          <w:sz w:val="24"/>
          <w:szCs w:val="24"/>
        </w:rPr>
        <w:t>和招标文件规定的，供应商提供的相关产品视为不符合本国产品标准。</w:t>
      </w:r>
    </w:p>
    <w:p w14:paraId="373B5FB4">
      <w:pPr>
        <w:ind w:firstLine="480" w:firstLineChars="200"/>
        <w:rPr>
          <w:rFonts w:ascii="宋体" w:cs="Times New Roman"/>
          <w:sz w:val="24"/>
          <w:szCs w:val="24"/>
        </w:rPr>
      </w:pPr>
      <w:r>
        <w:rPr>
          <w:rFonts w:ascii="宋体" w:hAnsi="宋体" w:cs="宋体"/>
          <w:sz w:val="24"/>
          <w:szCs w:val="24"/>
        </w:rPr>
        <w:t>8</w:t>
      </w:r>
      <w:r>
        <w:rPr>
          <w:rFonts w:hint="eastAsia" w:ascii="宋体" w:hAnsi="宋体" w:cs="宋体"/>
          <w:sz w:val="24"/>
          <w:szCs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ascii="宋体" w:hAnsi="宋体" w:cs="宋体"/>
          <w:sz w:val="24"/>
          <w:szCs w:val="24"/>
        </w:rPr>
        <w:t>(</w:t>
      </w:r>
      <w:r>
        <w:rPr>
          <w:rFonts w:hint="eastAsia" w:ascii="宋体" w:hAnsi="宋体" w:cs="宋体"/>
          <w:sz w:val="24"/>
          <w:szCs w:val="24"/>
        </w:rPr>
        <w:t>由国家确定的认证机构出具的、处于有效期之内的节能产品、环境标志产品认证证书</w:t>
      </w:r>
      <w:r>
        <w:rPr>
          <w:rFonts w:ascii="宋体" w:hAnsi="宋体" w:cs="宋体"/>
          <w:sz w:val="24"/>
          <w:szCs w:val="24"/>
        </w:rPr>
        <w:t>)</w:t>
      </w:r>
      <w:r>
        <w:rPr>
          <w:rFonts w:hint="eastAsia" w:ascii="宋体" w:hAnsi="宋体" w:cs="宋体"/>
          <w:sz w:val="24"/>
          <w:szCs w:val="24"/>
        </w:rPr>
        <w:t>。节能产品、环境标志产品品目清单以递交响应文件截止时已正式公布的最近一期信息为准，</w:t>
      </w:r>
      <w:r>
        <w:rPr>
          <w:rFonts w:hint="eastAsia" w:ascii="宋体" w:hAnsi="宋体" w:cs="宋体"/>
          <w:b/>
          <w:bCs/>
          <w:i/>
          <w:iCs/>
          <w:sz w:val="24"/>
          <w:szCs w:val="24"/>
        </w:rPr>
        <w:t>如属政府强制采购产品未提供认证证书的或认证证书提供不全的将视为未实质性响应采购要求</w:t>
      </w:r>
      <w:r>
        <w:rPr>
          <w:rFonts w:hint="eastAsia" w:ascii="宋体" w:hAnsi="宋体" w:cs="宋体"/>
          <w:i/>
          <w:iCs/>
          <w:sz w:val="24"/>
          <w:szCs w:val="24"/>
        </w:rPr>
        <w:t>。</w:t>
      </w:r>
      <w:r>
        <w:rPr>
          <w:rFonts w:hint="eastAsia" w:ascii="宋体" w:hAnsi="宋体" w:cs="宋体"/>
          <w:sz w:val="24"/>
          <w:szCs w:val="24"/>
        </w:rPr>
        <w:t>其他条件相同情况下，应当优先采购节能产品、环境标志产品。</w:t>
      </w:r>
    </w:p>
    <w:p w14:paraId="6660C52D">
      <w:pPr>
        <w:pStyle w:val="5"/>
        <w:widowControl/>
        <w:spacing w:before="0" w:after="0" w:line="400" w:lineRule="exact"/>
        <w:ind w:firstLine="482"/>
        <w:rPr>
          <w:rFonts w:ascii="宋体" w:hAnsi="宋体" w:eastAsia="宋体" w:cs="Times New Roman"/>
          <w:sz w:val="24"/>
          <w:szCs w:val="24"/>
        </w:rPr>
      </w:pPr>
      <w:r>
        <w:rPr>
          <w:rFonts w:hint="eastAsia" w:ascii="宋体" w:hAnsi="宋体" w:eastAsia="宋体" w:cs="宋体"/>
          <w:sz w:val="24"/>
          <w:szCs w:val="24"/>
        </w:rPr>
        <w:t>二、对投标文件的初审</w:t>
      </w:r>
    </w:p>
    <w:p w14:paraId="7B5B12B7">
      <w:pPr>
        <w:keepNext/>
        <w:keepLines/>
        <w:widowControl/>
        <w:spacing w:line="400" w:lineRule="exact"/>
        <w:ind w:firstLine="480"/>
        <w:rPr>
          <w:rFonts w:ascii="宋体" w:cs="Times New Roman"/>
          <w:sz w:val="24"/>
          <w:szCs w:val="24"/>
        </w:rPr>
      </w:pPr>
      <w:r>
        <w:rPr>
          <w:rFonts w:hint="eastAsia" w:ascii="宋体" w:hAnsi="宋体" w:cs="宋体"/>
          <w:sz w:val="24"/>
          <w:szCs w:val="24"/>
        </w:rPr>
        <w:t>投标文件初审分为资格审查和符合性审查。</w:t>
      </w:r>
    </w:p>
    <w:p w14:paraId="2440FA4D">
      <w:pPr>
        <w:keepNext/>
        <w:keepLines/>
        <w:widowControl/>
        <w:spacing w:line="400" w:lineRule="exact"/>
        <w:ind w:firstLine="420"/>
        <w:rPr>
          <w:rFonts w:ascii="宋体" w:cs="Times New Roman"/>
          <w:b/>
          <w:bCs/>
          <w:sz w:val="24"/>
          <w:szCs w:val="24"/>
        </w:rPr>
      </w:pPr>
      <w:r>
        <w:rPr>
          <w:rFonts w:hint="eastAsia" w:ascii="宋体" w:hAnsi="宋体" w:cs="宋体"/>
        </w:rPr>
        <w:t>（一）</w:t>
      </w:r>
      <w:r>
        <w:rPr>
          <w:rFonts w:hint="eastAsia" w:ascii="宋体" w:hAnsi="宋体" w:cs="宋体"/>
          <w:b/>
          <w:bCs/>
          <w:sz w:val="24"/>
          <w:szCs w:val="24"/>
        </w:rPr>
        <w:t>资格审查</w:t>
      </w:r>
    </w:p>
    <w:p w14:paraId="038A0612">
      <w:pPr>
        <w:keepNext/>
        <w:keepLines/>
        <w:widowControl/>
        <w:spacing w:line="400" w:lineRule="exact"/>
        <w:ind w:firstLine="482"/>
        <w:rPr>
          <w:rFonts w:ascii="宋体" w:cs="Times New Roman"/>
          <w:b/>
          <w:bCs/>
          <w:sz w:val="24"/>
          <w:szCs w:val="24"/>
        </w:rPr>
      </w:pPr>
      <w:r>
        <w:rPr>
          <w:rFonts w:hint="eastAsia" w:ascii="宋体" w:hAnsi="宋体" w:cs="宋体"/>
          <w:b/>
          <w:bCs/>
          <w:sz w:val="24"/>
          <w:szCs w:val="24"/>
        </w:rPr>
        <w:t>开标结束后，采购人或者采购代理机构依法对投标人的资格进行审查。</w:t>
      </w:r>
    </w:p>
    <w:p w14:paraId="66722BA6">
      <w:pPr>
        <w:keepNext/>
        <w:keepLines/>
        <w:widowControl/>
        <w:spacing w:line="400" w:lineRule="exact"/>
        <w:ind w:firstLine="480"/>
        <w:rPr>
          <w:rFonts w:ascii="宋体" w:cs="Times New Roman"/>
          <w:sz w:val="24"/>
          <w:szCs w:val="24"/>
        </w:rPr>
      </w:pPr>
      <w:r>
        <w:rPr>
          <w:rFonts w:hint="eastAsia" w:ascii="宋体" w:hAnsi="宋体" w:cs="宋体"/>
          <w:sz w:val="24"/>
          <w:szCs w:val="24"/>
        </w:rPr>
        <w:t>审查投标文件中的资格、资信证明文件等，以确定投标人是否具备投标资格。</w:t>
      </w:r>
    </w:p>
    <w:p w14:paraId="7D5EE65F">
      <w:pPr>
        <w:keepNext/>
        <w:keepLines/>
        <w:widowControl/>
        <w:spacing w:line="400" w:lineRule="exact"/>
        <w:ind w:firstLine="480"/>
        <w:rPr>
          <w:rFonts w:ascii="宋体" w:cs="Times New Roman"/>
          <w:b/>
          <w:bCs/>
          <w:sz w:val="24"/>
          <w:szCs w:val="24"/>
        </w:rPr>
      </w:pPr>
      <w:r>
        <w:rPr>
          <w:rFonts w:hint="eastAsia" w:ascii="宋体" w:hAnsi="宋体" w:cs="宋体"/>
          <w:sz w:val="24"/>
          <w:szCs w:val="24"/>
        </w:rPr>
        <w:t>（二）</w:t>
      </w:r>
      <w:r>
        <w:rPr>
          <w:rFonts w:hint="eastAsia" w:ascii="宋体" w:hAnsi="宋体" w:cs="宋体"/>
          <w:b/>
          <w:bCs/>
          <w:sz w:val="24"/>
          <w:szCs w:val="24"/>
        </w:rPr>
        <w:t>符合性审查</w:t>
      </w:r>
    </w:p>
    <w:p w14:paraId="2E16A51E">
      <w:pPr>
        <w:keepNext/>
        <w:keepLines/>
        <w:widowControl/>
        <w:spacing w:line="400" w:lineRule="exact"/>
        <w:ind w:firstLine="482"/>
        <w:rPr>
          <w:rFonts w:ascii="宋体" w:cs="Times New Roman"/>
          <w:b/>
          <w:bCs/>
          <w:sz w:val="24"/>
          <w:szCs w:val="24"/>
        </w:rPr>
      </w:pPr>
      <w:r>
        <w:rPr>
          <w:rFonts w:hint="eastAsia" w:ascii="宋体" w:hAnsi="宋体" w:cs="宋体"/>
          <w:b/>
          <w:bCs/>
          <w:sz w:val="24"/>
          <w:szCs w:val="24"/>
        </w:rPr>
        <w:t>评标委员会对符合资格的投标人的投标文件进行符合性审查。</w:t>
      </w:r>
    </w:p>
    <w:p w14:paraId="20417D1C">
      <w:pPr>
        <w:keepNext/>
        <w:keepLines/>
        <w:widowControl/>
        <w:spacing w:line="400" w:lineRule="exact"/>
        <w:ind w:firstLine="482"/>
        <w:rPr>
          <w:rFonts w:ascii="宋体" w:cs="Times New Roman"/>
          <w:sz w:val="24"/>
          <w:szCs w:val="24"/>
        </w:rPr>
      </w:pPr>
      <w:r>
        <w:rPr>
          <w:rFonts w:hint="eastAsia" w:ascii="宋体" w:hAnsi="宋体" w:cs="宋体"/>
          <w:sz w:val="24"/>
          <w:szCs w:val="24"/>
        </w:rPr>
        <w:t>依据招标文件的规定，从投标文件的有效性、完整性和对招标文件的响应程度进行审查，以确定其是否满足招标文件的实质性要求。</w:t>
      </w:r>
    </w:p>
    <w:p w14:paraId="3EB21983">
      <w:pPr>
        <w:keepNext/>
        <w:keepLines/>
        <w:widowControl/>
        <w:spacing w:line="400" w:lineRule="exact"/>
        <w:ind w:firstLine="482"/>
        <w:rPr>
          <w:rFonts w:ascii="宋体" w:cs="Times New Roman"/>
          <w:sz w:val="24"/>
          <w:szCs w:val="24"/>
        </w:rPr>
      </w:pPr>
      <w:r>
        <w:rPr>
          <w:rFonts w:hint="eastAsia" w:ascii="宋体" w:hAnsi="宋体" w:cs="宋体"/>
          <w:sz w:val="24"/>
          <w:szCs w:val="24"/>
        </w:rPr>
        <w:t>明确响应的投标应该是与招标文件要求的全部条款、条件和规格相符，没有重大偏离或保留的投标。</w:t>
      </w:r>
    </w:p>
    <w:p w14:paraId="4E3FB569">
      <w:pPr>
        <w:keepNext/>
        <w:keepLines/>
        <w:widowControl/>
        <w:spacing w:line="400" w:lineRule="exact"/>
        <w:ind w:firstLine="482"/>
        <w:rPr>
          <w:rFonts w:ascii="宋体" w:cs="Times New Roman"/>
          <w:sz w:val="24"/>
          <w:szCs w:val="24"/>
        </w:rPr>
      </w:pPr>
      <w:r>
        <w:rPr>
          <w:rFonts w:hint="eastAsia" w:ascii="宋体" w:hAnsi="宋体" w:cs="宋体"/>
          <w:sz w:val="24"/>
          <w:szCs w:val="24"/>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认定评委决定投标文件的响应性只根据投标文件本身的内容，而不寻求外部的证据。</w:t>
      </w:r>
    </w:p>
    <w:p w14:paraId="4C5C713C">
      <w:pPr>
        <w:keepNext/>
        <w:keepLines/>
        <w:widowControl/>
        <w:spacing w:line="400" w:lineRule="exact"/>
        <w:ind w:firstLine="480"/>
        <w:rPr>
          <w:rFonts w:ascii="宋体" w:cs="Times New Roman"/>
          <w:sz w:val="24"/>
          <w:szCs w:val="24"/>
        </w:rPr>
      </w:pPr>
      <w:r>
        <w:rPr>
          <w:rFonts w:hint="eastAsia" w:ascii="宋体" w:hAnsi="宋体" w:cs="宋体"/>
          <w:sz w:val="24"/>
          <w:szCs w:val="24"/>
        </w:rPr>
        <w:t>如果投标文件没有明确响应招标文件的要求，评标委员会将按无效投标处理，投标人不得通过修改或撤销不合要求的偏离或保留而使其投标成为明确响应的投标。</w:t>
      </w:r>
    </w:p>
    <w:p w14:paraId="7B03D226">
      <w:pPr>
        <w:keepNext/>
        <w:keepLines/>
        <w:widowControl/>
        <w:spacing w:line="400" w:lineRule="exact"/>
        <w:ind w:firstLine="480"/>
        <w:rPr>
          <w:rFonts w:ascii="宋体" w:cs="Times New Roman"/>
          <w:sz w:val="24"/>
          <w:szCs w:val="24"/>
        </w:rPr>
      </w:pPr>
      <w:r>
        <w:rPr>
          <w:rFonts w:hint="eastAsia" w:ascii="宋体" w:hAnsi="宋体" w:cs="宋体"/>
          <w:sz w:val="24"/>
          <w:szCs w:val="24"/>
        </w:rPr>
        <w:t>评标委员会将对确定为明确响应的投标进行进一步审核，投标文件报价出现前后不一致的，除招标文件另有规定外，按照下列规定修正：</w:t>
      </w:r>
    </w:p>
    <w:p w14:paraId="4C1A8950">
      <w:pPr>
        <w:keepNext/>
        <w:keepLines/>
        <w:widowControl/>
        <w:spacing w:line="400" w:lineRule="exact"/>
        <w:ind w:firstLine="480"/>
        <w:rPr>
          <w:rFonts w:ascii="宋体" w:cs="Times New Roman"/>
          <w:sz w:val="24"/>
          <w:szCs w:val="24"/>
        </w:rPr>
      </w:pPr>
      <w:r>
        <w:rPr>
          <w:rFonts w:ascii="宋体" w:hAnsi="宋体" w:cs="宋体"/>
          <w:sz w:val="24"/>
          <w:szCs w:val="24"/>
        </w:rPr>
        <w:t>1.</w:t>
      </w:r>
      <w:r>
        <w:rPr>
          <w:rFonts w:hint="eastAsia" w:ascii="宋体" w:hAnsi="宋体" w:cs="宋体"/>
          <w:sz w:val="24"/>
          <w:szCs w:val="24"/>
        </w:rPr>
        <w:t>投标文件中开标一览表内容与投标文件中相应内容不一致的，以开标一览表为准；</w:t>
      </w:r>
    </w:p>
    <w:p w14:paraId="3111BB34">
      <w:pPr>
        <w:keepNext/>
        <w:keepLines/>
        <w:widowControl/>
        <w:spacing w:before="100" w:beforeAutospacing="1" w:after="240" w:line="400" w:lineRule="exact"/>
        <w:jc w:val="left"/>
        <w:rPr>
          <w:rFonts w:ascii="宋体" w:cs="Times New Roman"/>
          <w:sz w:val="24"/>
          <w:szCs w:val="24"/>
        </w:rPr>
      </w:pPr>
      <w:r>
        <w:rPr>
          <w:rFonts w:hint="eastAsia" w:ascii="宋体" w:hAnsi="宋体" w:cs="宋体"/>
          <w:sz w:val="24"/>
          <w:szCs w:val="24"/>
        </w:rPr>
        <w:t>　　</w:t>
      </w:r>
      <w:r>
        <w:rPr>
          <w:rFonts w:ascii="宋体" w:hAnsi="宋体" w:cs="宋体"/>
          <w:sz w:val="24"/>
          <w:szCs w:val="24"/>
        </w:rPr>
        <w:t>2.</w:t>
      </w:r>
      <w:r>
        <w:rPr>
          <w:rFonts w:hint="eastAsia" w:ascii="宋体" w:hAnsi="宋体" w:cs="宋体"/>
          <w:sz w:val="24"/>
          <w:szCs w:val="24"/>
        </w:rPr>
        <w:t>大写金额和小写金额不一致的，以大写金额为准；</w:t>
      </w:r>
    </w:p>
    <w:p w14:paraId="662681BB">
      <w:pPr>
        <w:keepNext/>
        <w:keepLines/>
        <w:widowControl/>
        <w:spacing w:before="100" w:beforeAutospacing="1" w:after="240" w:line="400" w:lineRule="exact"/>
        <w:jc w:val="left"/>
        <w:rPr>
          <w:rFonts w:ascii="宋体" w:cs="Times New Roman"/>
          <w:sz w:val="24"/>
          <w:szCs w:val="24"/>
        </w:rPr>
      </w:pPr>
      <w:r>
        <w:rPr>
          <w:rFonts w:hint="eastAsia" w:ascii="宋体" w:hAnsi="宋体" w:cs="宋体"/>
          <w:sz w:val="24"/>
          <w:szCs w:val="24"/>
        </w:rPr>
        <w:t>　　</w:t>
      </w:r>
      <w:r>
        <w:rPr>
          <w:rFonts w:ascii="宋体" w:hAnsi="宋体" w:cs="宋体"/>
          <w:sz w:val="24"/>
          <w:szCs w:val="24"/>
        </w:rPr>
        <w:t>3.</w:t>
      </w:r>
      <w:r>
        <w:rPr>
          <w:rFonts w:hint="eastAsia" w:ascii="宋体" w:hAnsi="宋体" w:cs="宋体"/>
          <w:sz w:val="24"/>
          <w:szCs w:val="24"/>
        </w:rPr>
        <w:t>单价金额小数点或者百分比有明显错位的，以开标一览表的总价为准，并修改单价；</w:t>
      </w:r>
    </w:p>
    <w:p w14:paraId="30E391AD">
      <w:pPr>
        <w:keepNext/>
        <w:keepLines/>
        <w:widowControl/>
        <w:spacing w:before="100" w:beforeAutospacing="1" w:after="240" w:line="400" w:lineRule="exact"/>
        <w:jc w:val="left"/>
        <w:rPr>
          <w:rFonts w:ascii="宋体" w:cs="Times New Roman"/>
          <w:sz w:val="24"/>
          <w:szCs w:val="24"/>
        </w:rPr>
      </w:pPr>
      <w:r>
        <w:rPr>
          <w:rFonts w:hint="eastAsia" w:ascii="宋体" w:hAnsi="宋体" w:cs="宋体"/>
          <w:sz w:val="24"/>
          <w:szCs w:val="24"/>
        </w:rPr>
        <w:t>　　</w:t>
      </w:r>
      <w:r>
        <w:rPr>
          <w:rFonts w:ascii="宋体" w:hAnsi="宋体" w:cs="宋体"/>
          <w:sz w:val="24"/>
          <w:szCs w:val="24"/>
        </w:rPr>
        <w:t>4.</w:t>
      </w:r>
      <w:r>
        <w:rPr>
          <w:rFonts w:hint="eastAsia" w:ascii="宋体" w:hAnsi="宋体" w:cs="宋体"/>
          <w:sz w:val="24"/>
          <w:szCs w:val="24"/>
        </w:rPr>
        <w:t>总价金额与按单价汇总金额不一致的，以单价金额计算结果为准。</w:t>
      </w:r>
    </w:p>
    <w:p w14:paraId="7597F0B8">
      <w:pPr>
        <w:keepNext/>
        <w:keepLines/>
        <w:widowControl/>
        <w:spacing w:line="400" w:lineRule="exact"/>
        <w:ind w:firstLine="480"/>
        <w:rPr>
          <w:rFonts w:ascii="宋体" w:cs="Times New Roman"/>
          <w:sz w:val="24"/>
          <w:szCs w:val="24"/>
        </w:rPr>
      </w:pPr>
      <w:r>
        <w:rPr>
          <w:rFonts w:hint="eastAsia" w:ascii="宋体" w:hAnsi="宋体" w:cs="宋体"/>
          <w:sz w:val="24"/>
          <w:szCs w:val="24"/>
        </w:rPr>
        <w:t>评标委员会将按上述修正错误的方法调整投标文件中的投标报价，修正后的报价应当采用书面形式，并加盖公章，或者由法定代表人或其授权的代表签字，经投标人确认后产生约束力，投标人不确认的，其投标无效。</w:t>
      </w:r>
    </w:p>
    <w:p w14:paraId="03034AD9">
      <w:pPr>
        <w:keepNext/>
        <w:keepLines/>
        <w:widowControl/>
        <w:spacing w:line="400" w:lineRule="exact"/>
        <w:ind w:firstLine="480"/>
        <w:rPr>
          <w:rFonts w:ascii="宋体" w:cs="Times New Roman"/>
          <w:sz w:val="24"/>
          <w:szCs w:val="24"/>
        </w:rPr>
      </w:pPr>
      <w:r>
        <w:rPr>
          <w:rFonts w:hint="eastAsia" w:ascii="宋体" w:hAnsi="宋体" w:cs="宋体"/>
          <w:sz w:val="24"/>
          <w:szCs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1CF508F">
      <w:pPr>
        <w:keepNext/>
        <w:keepLines/>
        <w:widowControl/>
        <w:spacing w:line="400" w:lineRule="exact"/>
        <w:ind w:firstLine="482"/>
        <w:rPr>
          <w:rFonts w:ascii="宋体" w:cs="Times New Roman"/>
          <w:b/>
          <w:bCs/>
          <w:sz w:val="24"/>
          <w:szCs w:val="24"/>
        </w:rPr>
      </w:pPr>
      <w:r>
        <w:rPr>
          <w:rFonts w:hint="eastAsia" w:ascii="宋体" w:hAnsi="宋体" w:cs="宋体"/>
          <w:b/>
          <w:bCs/>
          <w:sz w:val="24"/>
          <w:szCs w:val="24"/>
        </w:rPr>
        <w:t>三、评分标准</w:t>
      </w:r>
    </w:p>
    <w:p w14:paraId="6C924757">
      <w:pPr>
        <w:keepNext/>
        <w:keepLines/>
        <w:widowControl/>
        <w:spacing w:line="400" w:lineRule="exact"/>
        <w:ind w:firstLine="480"/>
        <w:rPr>
          <w:rFonts w:ascii="宋体" w:cs="Times New Roman"/>
          <w:sz w:val="24"/>
          <w:szCs w:val="24"/>
        </w:rPr>
      </w:pPr>
      <w:r>
        <w:rPr>
          <w:rFonts w:hint="eastAsia" w:ascii="宋体" w:hAnsi="宋体" w:cs="宋体"/>
          <w:sz w:val="24"/>
          <w:szCs w:val="24"/>
        </w:rPr>
        <w:t>评标时，评标委员会各成员独立对每个投标人的投标文件进行评价，并汇总每个投标人的得分。本项目评分总分值为</w:t>
      </w:r>
      <w:r>
        <w:rPr>
          <w:rFonts w:ascii="宋体" w:hAnsi="宋体" w:cs="宋体"/>
          <w:sz w:val="24"/>
          <w:szCs w:val="24"/>
        </w:rPr>
        <w:t>100</w:t>
      </w:r>
      <w:r>
        <w:rPr>
          <w:rFonts w:hint="eastAsia" w:ascii="宋体" w:hAnsi="宋体" w:cs="宋体"/>
          <w:sz w:val="24"/>
          <w:szCs w:val="24"/>
        </w:rPr>
        <w:t>分。</w:t>
      </w:r>
    </w:p>
    <w:p w14:paraId="2F166299">
      <w:pPr>
        <w:keepNext/>
        <w:keepLines/>
        <w:widowControl/>
        <w:spacing w:line="400" w:lineRule="exact"/>
        <w:ind w:firstLine="480"/>
        <w:rPr>
          <w:rFonts w:ascii="宋体" w:cs="Times New Roman"/>
          <w:sz w:val="24"/>
          <w:szCs w:val="24"/>
        </w:rPr>
      </w:pPr>
    </w:p>
    <w:p w14:paraId="723C6118">
      <w:pPr>
        <w:keepNext/>
        <w:keepLines/>
        <w:widowControl/>
        <w:spacing w:line="400" w:lineRule="exact"/>
        <w:ind w:firstLine="480"/>
        <w:rPr>
          <w:rFonts w:ascii="宋体" w:cs="Times New Roman"/>
          <w:sz w:val="24"/>
          <w:szCs w:val="24"/>
        </w:rPr>
      </w:pPr>
    </w:p>
    <w:tbl>
      <w:tblPr>
        <w:tblStyle w:val="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1262"/>
        <w:gridCol w:w="7948"/>
      </w:tblGrid>
      <w:tr w14:paraId="69423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457" w:type="dxa"/>
            <w:vAlign w:val="center"/>
          </w:tcPr>
          <w:p w14:paraId="1AA3D9C7">
            <w:pPr>
              <w:keepNext/>
              <w:keepLines/>
              <w:widowControl/>
              <w:jc w:val="center"/>
              <w:rPr>
                <w:rFonts w:cs="Times New Roman"/>
              </w:rPr>
            </w:pPr>
            <w:r>
              <w:rPr>
                <w:rFonts w:hint="eastAsia" w:ascii="宋体" w:hAnsi="宋体" w:cs="宋体"/>
                <w:b/>
                <w:bCs/>
                <w:sz w:val="24"/>
                <w:szCs w:val="24"/>
              </w:rPr>
              <w:t>序号</w:t>
            </w:r>
          </w:p>
        </w:tc>
        <w:tc>
          <w:tcPr>
            <w:tcW w:w="1262" w:type="dxa"/>
            <w:vAlign w:val="center"/>
          </w:tcPr>
          <w:p w14:paraId="7ED47520">
            <w:pPr>
              <w:keepNext/>
              <w:keepLines/>
              <w:widowControl/>
              <w:jc w:val="center"/>
              <w:rPr>
                <w:rFonts w:ascii="宋体" w:cs="Times New Roman"/>
                <w:b/>
                <w:bCs/>
                <w:sz w:val="24"/>
                <w:szCs w:val="24"/>
              </w:rPr>
            </w:pPr>
            <w:r>
              <w:rPr>
                <w:rFonts w:hint="eastAsia" w:ascii="宋体" w:hAnsi="宋体" w:cs="宋体"/>
                <w:b/>
                <w:bCs/>
                <w:sz w:val="24"/>
                <w:szCs w:val="24"/>
              </w:rPr>
              <w:t>评标</w:t>
            </w:r>
          </w:p>
          <w:p w14:paraId="72DC70DA">
            <w:pPr>
              <w:keepNext/>
              <w:keepLines/>
              <w:widowControl/>
              <w:jc w:val="center"/>
              <w:rPr>
                <w:rFonts w:ascii="宋体" w:cs="Times New Roman"/>
                <w:b/>
                <w:bCs/>
                <w:sz w:val="24"/>
                <w:szCs w:val="24"/>
              </w:rPr>
            </w:pPr>
            <w:r>
              <w:rPr>
                <w:rFonts w:hint="eastAsia" w:ascii="宋体" w:hAnsi="宋体" w:cs="宋体"/>
                <w:b/>
                <w:bCs/>
                <w:sz w:val="24"/>
                <w:szCs w:val="24"/>
              </w:rPr>
              <w:t>项目</w:t>
            </w:r>
          </w:p>
        </w:tc>
        <w:tc>
          <w:tcPr>
            <w:tcW w:w="7948" w:type="dxa"/>
            <w:vAlign w:val="center"/>
          </w:tcPr>
          <w:p w14:paraId="6359B1C7">
            <w:pPr>
              <w:keepNext/>
              <w:keepLines/>
              <w:widowControl/>
              <w:jc w:val="center"/>
              <w:rPr>
                <w:rFonts w:ascii="宋体" w:cs="Times New Roman"/>
                <w:b/>
                <w:bCs/>
                <w:sz w:val="24"/>
                <w:szCs w:val="24"/>
              </w:rPr>
            </w:pPr>
            <w:r>
              <w:rPr>
                <w:rFonts w:hint="eastAsia" w:ascii="宋体" w:hAnsi="宋体" w:cs="宋体"/>
                <w:b/>
                <w:bCs/>
                <w:sz w:val="24"/>
                <w:szCs w:val="24"/>
              </w:rPr>
              <w:t>评标办法</w:t>
            </w:r>
          </w:p>
        </w:tc>
      </w:tr>
      <w:tr w14:paraId="42D5F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7" w:hRule="atLeast"/>
          <w:jc w:val="center"/>
        </w:trPr>
        <w:tc>
          <w:tcPr>
            <w:tcW w:w="457" w:type="dxa"/>
            <w:vAlign w:val="center"/>
          </w:tcPr>
          <w:p w14:paraId="211B7D83">
            <w:pPr>
              <w:keepNext/>
              <w:keepLines/>
              <w:widowControl/>
              <w:jc w:val="center"/>
              <w:rPr>
                <w:rFonts w:ascii="宋体" w:cs="Times New Roman"/>
                <w:sz w:val="24"/>
                <w:szCs w:val="24"/>
              </w:rPr>
            </w:pPr>
            <w:r>
              <w:rPr>
                <w:rFonts w:ascii="宋体" w:hAnsi="宋体" w:cs="宋体"/>
                <w:sz w:val="24"/>
                <w:szCs w:val="24"/>
              </w:rPr>
              <w:t>1</w:t>
            </w:r>
          </w:p>
        </w:tc>
        <w:tc>
          <w:tcPr>
            <w:tcW w:w="1262" w:type="dxa"/>
            <w:vAlign w:val="center"/>
          </w:tcPr>
          <w:p w14:paraId="23B2F682">
            <w:pPr>
              <w:keepNext/>
              <w:keepLines/>
              <w:widowControl/>
              <w:ind w:firstLine="240" w:firstLineChars="100"/>
              <w:rPr>
                <w:rFonts w:ascii="宋体" w:cs="Times New Roman"/>
                <w:sz w:val="24"/>
                <w:szCs w:val="24"/>
              </w:rPr>
            </w:pPr>
            <w:r>
              <w:rPr>
                <w:rFonts w:hint="eastAsia" w:ascii="宋体" w:hAnsi="宋体" w:cs="宋体"/>
                <w:sz w:val="24"/>
                <w:szCs w:val="24"/>
              </w:rPr>
              <w:t>价格</w:t>
            </w:r>
          </w:p>
          <w:p w14:paraId="710FA2C6">
            <w:pPr>
              <w:keepNext/>
              <w:keepLines/>
              <w:widowControl/>
              <w:jc w:val="center"/>
              <w:rPr>
                <w:rFonts w:ascii="宋体" w:cs="Times New Roman"/>
                <w:sz w:val="24"/>
                <w:szCs w:val="24"/>
              </w:rPr>
            </w:pPr>
            <w:r>
              <w:rPr>
                <w:rFonts w:hint="eastAsia" w:ascii="宋体" w:hAnsi="宋体" w:cs="宋体"/>
                <w:sz w:val="24"/>
                <w:szCs w:val="24"/>
              </w:rPr>
              <w:t>（</w:t>
            </w:r>
            <w:r>
              <w:rPr>
                <w:rFonts w:ascii="宋体" w:hAnsi="宋体" w:cs="宋体"/>
                <w:sz w:val="24"/>
                <w:szCs w:val="24"/>
              </w:rPr>
              <w:t>20</w:t>
            </w:r>
            <w:r>
              <w:rPr>
                <w:rFonts w:hint="eastAsia" w:ascii="宋体" w:hAnsi="宋体" w:cs="宋体"/>
                <w:sz w:val="24"/>
                <w:szCs w:val="24"/>
              </w:rPr>
              <w:t>分）</w:t>
            </w:r>
          </w:p>
        </w:tc>
        <w:tc>
          <w:tcPr>
            <w:tcW w:w="7948" w:type="dxa"/>
            <w:vAlign w:val="center"/>
          </w:tcPr>
          <w:p w14:paraId="24CB3527">
            <w:pPr>
              <w:keepNext/>
              <w:keepLines/>
              <w:widowControl/>
              <w:spacing w:line="400" w:lineRule="exact"/>
              <w:rPr>
                <w:rFonts w:ascii="宋体" w:cs="Times New Roman"/>
                <w:sz w:val="24"/>
                <w:szCs w:val="24"/>
              </w:rPr>
            </w:pPr>
            <w:r>
              <w:rPr>
                <w:rFonts w:hint="eastAsia" w:ascii="宋体" w:hAnsi="宋体" w:cs="宋体"/>
                <w:sz w:val="24"/>
                <w:szCs w:val="24"/>
              </w:rPr>
              <w:t>满足招标文件要求且价格最低的投标价为基准价，其价格分为满分。其他投标人的价格分统一按照下列公式计算：投标报价得分</w:t>
            </w:r>
            <w:r>
              <w:rPr>
                <w:rFonts w:ascii="宋体" w:hAnsi="宋体" w:cs="宋体"/>
                <w:sz w:val="24"/>
                <w:szCs w:val="24"/>
              </w:rPr>
              <w:t>=</w:t>
            </w:r>
            <w:r>
              <w:rPr>
                <w:rFonts w:hint="eastAsia" w:ascii="宋体" w:hAnsi="宋体" w:cs="宋体"/>
                <w:sz w:val="24"/>
                <w:szCs w:val="24"/>
              </w:rPr>
              <w:t>（评标基准价</w:t>
            </w:r>
            <w:r>
              <w:rPr>
                <w:rFonts w:ascii="宋体" w:hAnsi="宋体" w:cs="宋体"/>
                <w:sz w:val="24"/>
                <w:szCs w:val="24"/>
              </w:rPr>
              <w:t>/</w:t>
            </w:r>
            <w:r>
              <w:rPr>
                <w:rFonts w:hint="eastAsia" w:ascii="宋体" w:hAnsi="宋体" w:cs="宋体"/>
                <w:sz w:val="24"/>
                <w:szCs w:val="24"/>
              </w:rPr>
              <w:t>投标报价）×</w:t>
            </w:r>
            <w:r>
              <w:rPr>
                <w:rFonts w:ascii="宋体" w:hAnsi="宋体" w:cs="宋体"/>
                <w:sz w:val="24"/>
                <w:szCs w:val="24"/>
              </w:rPr>
              <w:t>20</w:t>
            </w:r>
            <w:r>
              <w:rPr>
                <w:rFonts w:hint="eastAsia" w:ascii="宋体" w:hAnsi="宋体" w:cs="宋体"/>
                <w:sz w:val="24"/>
                <w:szCs w:val="24"/>
              </w:rPr>
              <w:t>（该结果四舍五入，保留两位小数）</w:t>
            </w:r>
          </w:p>
        </w:tc>
      </w:tr>
      <w:tr w14:paraId="6AF00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57" w:type="dxa"/>
            <w:vAlign w:val="center"/>
          </w:tcPr>
          <w:p w14:paraId="5D098C0F">
            <w:pPr>
              <w:keepNext/>
              <w:keepLines/>
              <w:widowControl/>
              <w:jc w:val="center"/>
              <w:rPr>
                <w:rFonts w:ascii="宋体" w:cs="Times New Roman"/>
                <w:sz w:val="24"/>
                <w:szCs w:val="24"/>
              </w:rPr>
            </w:pPr>
            <w:r>
              <w:rPr>
                <w:rFonts w:ascii="宋体" w:hAnsi="宋体" w:cs="宋体"/>
                <w:sz w:val="24"/>
                <w:szCs w:val="24"/>
              </w:rPr>
              <w:t>2</w:t>
            </w:r>
          </w:p>
        </w:tc>
        <w:tc>
          <w:tcPr>
            <w:tcW w:w="1262" w:type="dxa"/>
            <w:vAlign w:val="center"/>
          </w:tcPr>
          <w:p w14:paraId="0A9DA673">
            <w:pPr>
              <w:keepNext/>
              <w:keepLines/>
              <w:widowControl/>
              <w:jc w:val="center"/>
              <w:rPr>
                <w:rFonts w:ascii="宋体" w:cs="Times New Roman"/>
                <w:color w:val="auto"/>
                <w:sz w:val="24"/>
                <w:szCs w:val="24"/>
              </w:rPr>
            </w:pPr>
            <w:r>
              <w:rPr>
                <w:rFonts w:hint="eastAsia" w:ascii="宋体" w:hAnsi="宋体" w:cs="宋体"/>
                <w:color w:val="auto"/>
                <w:sz w:val="24"/>
                <w:szCs w:val="24"/>
              </w:rPr>
              <w:t>人员配备（</w:t>
            </w:r>
            <w:r>
              <w:rPr>
                <w:rFonts w:ascii="宋体" w:hAnsi="宋体" w:cs="宋体"/>
                <w:color w:val="auto"/>
                <w:sz w:val="24"/>
                <w:szCs w:val="24"/>
              </w:rPr>
              <w:t>10</w:t>
            </w:r>
            <w:r>
              <w:rPr>
                <w:rFonts w:hint="eastAsia" w:ascii="宋体" w:hAnsi="宋体" w:cs="宋体"/>
                <w:color w:val="auto"/>
                <w:sz w:val="24"/>
                <w:szCs w:val="24"/>
              </w:rPr>
              <w:t>分）</w:t>
            </w:r>
          </w:p>
        </w:tc>
        <w:tc>
          <w:tcPr>
            <w:tcW w:w="7948" w:type="dxa"/>
            <w:vAlign w:val="center"/>
          </w:tcPr>
          <w:p w14:paraId="481B60BE">
            <w:pPr>
              <w:keepNext/>
              <w:keepLines/>
              <w:widowControl/>
              <w:spacing w:line="400" w:lineRule="exact"/>
              <w:ind w:firstLine="420"/>
              <w:rPr>
                <w:rFonts w:ascii="宋体" w:cs="Times New Roman"/>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1</w:t>
            </w:r>
            <w:r>
              <w:rPr>
                <w:rFonts w:hint="eastAsia" w:ascii="宋体" w:hAnsi="宋体" w:cs="宋体"/>
                <w:color w:val="auto"/>
                <w:sz w:val="24"/>
                <w:szCs w:val="24"/>
                <w:highlight w:val="none"/>
              </w:rPr>
              <w:t>）拟派项目负责人具有城乡规划专业高级及以上职称的得</w:t>
            </w:r>
            <w:r>
              <w:rPr>
                <w:rFonts w:ascii="宋体" w:hAnsi="宋体" w:cs="宋体"/>
                <w:color w:val="auto"/>
                <w:sz w:val="24"/>
                <w:szCs w:val="24"/>
                <w:highlight w:val="none"/>
              </w:rPr>
              <w:t>2</w:t>
            </w:r>
            <w:r>
              <w:rPr>
                <w:rFonts w:hint="eastAsia" w:ascii="宋体" w:hAnsi="宋体" w:cs="宋体"/>
                <w:color w:val="auto"/>
                <w:sz w:val="24"/>
                <w:szCs w:val="24"/>
                <w:highlight w:val="none"/>
              </w:rPr>
              <w:t>分，中级职称的得</w:t>
            </w:r>
            <w:r>
              <w:rPr>
                <w:rFonts w:ascii="宋体" w:hAnsi="宋体" w:cs="宋体"/>
                <w:color w:val="auto"/>
                <w:sz w:val="24"/>
                <w:szCs w:val="24"/>
                <w:highlight w:val="none"/>
              </w:rPr>
              <w:t>1</w:t>
            </w:r>
            <w:r>
              <w:rPr>
                <w:rFonts w:hint="eastAsia" w:ascii="宋体" w:hAnsi="宋体" w:cs="宋体"/>
                <w:color w:val="auto"/>
                <w:sz w:val="24"/>
                <w:szCs w:val="24"/>
                <w:highlight w:val="none"/>
              </w:rPr>
              <w:t>分，具有注册规划师证书的得</w:t>
            </w:r>
            <w:r>
              <w:rPr>
                <w:rFonts w:ascii="宋体" w:hAnsi="宋体" w:cs="宋体"/>
                <w:color w:val="auto"/>
                <w:sz w:val="24"/>
                <w:szCs w:val="24"/>
                <w:highlight w:val="none"/>
              </w:rPr>
              <w:t>1</w:t>
            </w:r>
            <w:r>
              <w:rPr>
                <w:rFonts w:hint="eastAsia" w:ascii="宋体" w:hAnsi="宋体" w:cs="宋体"/>
                <w:color w:val="auto"/>
                <w:sz w:val="24"/>
                <w:szCs w:val="24"/>
                <w:highlight w:val="none"/>
              </w:rPr>
              <w:t>分，本项最高得</w:t>
            </w:r>
            <w:r>
              <w:rPr>
                <w:rFonts w:ascii="宋体" w:hAnsi="宋体" w:cs="宋体"/>
                <w:color w:val="auto"/>
                <w:sz w:val="24"/>
                <w:szCs w:val="24"/>
                <w:highlight w:val="none"/>
              </w:rPr>
              <w:t>3</w:t>
            </w:r>
            <w:r>
              <w:rPr>
                <w:rFonts w:hint="eastAsia" w:ascii="宋体" w:hAnsi="宋体" w:cs="宋体"/>
                <w:color w:val="auto"/>
                <w:sz w:val="24"/>
                <w:szCs w:val="24"/>
                <w:highlight w:val="none"/>
              </w:rPr>
              <w:t>分；</w:t>
            </w:r>
          </w:p>
          <w:p w14:paraId="64CC6D19">
            <w:pPr>
              <w:keepNext/>
              <w:keepLines/>
              <w:widowControl/>
              <w:spacing w:line="400" w:lineRule="exact"/>
              <w:ind w:firstLine="420"/>
              <w:rPr>
                <w:rFonts w:ascii="宋体" w:cs="Times New Roman"/>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2</w:t>
            </w:r>
            <w:r>
              <w:rPr>
                <w:rFonts w:hint="eastAsia" w:ascii="宋体" w:hAnsi="宋体" w:cs="宋体"/>
                <w:color w:val="auto"/>
                <w:sz w:val="24"/>
                <w:szCs w:val="24"/>
                <w:highlight w:val="none"/>
              </w:rPr>
              <w:t>）拟派项目团队成员（除项目负责人外）具备城乡规划专业高级技术职称，有一人得</w:t>
            </w:r>
            <w:r>
              <w:rPr>
                <w:rFonts w:ascii="宋体" w:hAnsi="宋体" w:cs="宋体"/>
                <w:color w:val="auto"/>
                <w:sz w:val="24"/>
                <w:szCs w:val="24"/>
                <w:highlight w:val="none"/>
              </w:rPr>
              <w:t>2</w:t>
            </w:r>
            <w:r>
              <w:rPr>
                <w:rFonts w:hint="eastAsia" w:ascii="宋体" w:hAnsi="宋体" w:cs="宋体"/>
                <w:color w:val="auto"/>
                <w:sz w:val="24"/>
                <w:szCs w:val="24"/>
                <w:highlight w:val="none"/>
              </w:rPr>
              <w:t>分；具备城乡规划专业中级技术职称，有一人得</w:t>
            </w:r>
            <w:r>
              <w:rPr>
                <w:rFonts w:ascii="宋体" w:hAnsi="宋体" w:cs="宋体"/>
                <w:color w:val="auto"/>
                <w:sz w:val="24"/>
                <w:szCs w:val="24"/>
                <w:highlight w:val="none"/>
              </w:rPr>
              <w:t>1</w:t>
            </w:r>
            <w:r>
              <w:rPr>
                <w:rFonts w:hint="eastAsia" w:ascii="宋体" w:hAnsi="宋体" w:cs="宋体"/>
                <w:color w:val="auto"/>
                <w:sz w:val="24"/>
                <w:szCs w:val="24"/>
                <w:highlight w:val="none"/>
              </w:rPr>
              <w:t>分，本项最高得</w:t>
            </w:r>
            <w:r>
              <w:rPr>
                <w:rFonts w:ascii="宋体" w:hAnsi="宋体" w:cs="宋体"/>
                <w:color w:val="auto"/>
                <w:sz w:val="24"/>
                <w:szCs w:val="24"/>
                <w:highlight w:val="none"/>
              </w:rPr>
              <w:t>6</w:t>
            </w:r>
            <w:r>
              <w:rPr>
                <w:rFonts w:hint="eastAsia" w:ascii="宋体" w:hAnsi="宋体" w:cs="宋体"/>
                <w:color w:val="auto"/>
                <w:sz w:val="24"/>
                <w:szCs w:val="24"/>
                <w:highlight w:val="none"/>
              </w:rPr>
              <w:t>分。</w:t>
            </w:r>
          </w:p>
          <w:p w14:paraId="5A25386B">
            <w:pPr>
              <w:keepNext/>
              <w:keepLines/>
              <w:widowControl/>
              <w:spacing w:line="400" w:lineRule="exact"/>
              <w:ind w:firstLine="420"/>
              <w:rPr>
                <w:rFonts w:ascii="宋体" w:cs="Times New Roman"/>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3</w:t>
            </w:r>
            <w:r>
              <w:rPr>
                <w:rFonts w:hint="eastAsia" w:ascii="宋体" w:hAnsi="宋体" w:cs="宋体"/>
                <w:color w:val="auto"/>
                <w:sz w:val="24"/>
                <w:szCs w:val="24"/>
                <w:highlight w:val="none"/>
              </w:rPr>
              <w:t>）拟派项目团队成员（除项目负责人外）具备注册城乡规划师证书的，有一人得</w:t>
            </w:r>
            <w:r>
              <w:rPr>
                <w:rFonts w:ascii="宋体" w:hAnsi="宋体" w:cs="宋体"/>
                <w:color w:val="auto"/>
                <w:sz w:val="24"/>
                <w:szCs w:val="24"/>
                <w:highlight w:val="none"/>
              </w:rPr>
              <w:t>0.5</w:t>
            </w:r>
            <w:r>
              <w:rPr>
                <w:rFonts w:hint="eastAsia" w:ascii="宋体" w:hAnsi="宋体" w:cs="宋体"/>
                <w:color w:val="auto"/>
                <w:sz w:val="24"/>
                <w:szCs w:val="24"/>
                <w:highlight w:val="none"/>
              </w:rPr>
              <w:t>分，本项最高得</w:t>
            </w:r>
            <w:r>
              <w:rPr>
                <w:rFonts w:ascii="宋体" w:hAnsi="宋体" w:cs="宋体"/>
                <w:color w:val="auto"/>
                <w:sz w:val="24"/>
                <w:szCs w:val="24"/>
                <w:highlight w:val="none"/>
              </w:rPr>
              <w:t>1</w:t>
            </w:r>
            <w:r>
              <w:rPr>
                <w:rFonts w:hint="eastAsia" w:ascii="宋体" w:hAnsi="宋体" w:cs="宋体"/>
                <w:color w:val="auto"/>
                <w:sz w:val="24"/>
                <w:szCs w:val="24"/>
                <w:highlight w:val="none"/>
              </w:rPr>
              <w:t>分。</w:t>
            </w:r>
          </w:p>
          <w:p w14:paraId="7CFA432B">
            <w:pPr>
              <w:keepNext/>
              <w:keepLines/>
              <w:widowControl/>
              <w:spacing w:line="400" w:lineRule="exact"/>
              <w:ind w:firstLine="420"/>
              <w:rPr>
                <w:rFonts w:ascii="宋体" w:cs="Times New Roman"/>
                <w:color w:val="auto"/>
                <w:sz w:val="24"/>
                <w:szCs w:val="24"/>
                <w:highlight w:val="none"/>
              </w:rPr>
            </w:pPr>
            <w:r>
              <w:rPr>
                <w:rFonts w:hint="eastAsia" w:ascii="宋体" w:hAnsi="宋体" w:cs="宋体"/>
                <w:color w:val="auto"/>
                <w:sz w:val="24"/>
                <w:szCs w:val="24"/>
                <w:highlight w:val="none"/>
              </w:rPr>
              <w:t>注：需提供上述人员证书原件扫描件。同一人员不重复计分，应提供上述人员相应职称证书原件扫描件；如职称证书未体现专业，须同时提供学历证书或其他有效证明材料原件扫描件；拟派人员必须为投标单位正式职工，并提供投标人为其缴纳的近三个月任意一个月社保证明材料扫描件</w:t>
            </w:r>
            <w:r>
              <w:rPr>
                <w:rFonts w:ascii="宋体" w:hAnsi="宋体" w:cs="宋体"/>
                <w:color w:val="auto"/>
                <w:sz w:val="24"/>
                <w:szCs w:val="24"/>
                <w:highlight w:val="none"/>
              </w:rPr>
              <w:t>(</w:t>
            </w:r>
            <w:r>
              <w:rPr>
                <w:rFonts w:hint="eastAsia" w:ascii="宋体" w:hAnsi="宋体" w:cs="宋体"/>
                <w:color w:val="auto"/>
                <w:sz w:val="24"/>
                <w:szCs w:val="24"/>
                <w:highlight w:val="none"/>
              </w:rPr>
              <w:t>缴纳单位名称需与投标人名称一致</w:t>
            </w:r>
            <w:r>
              <w:rPr>
                <w:rFonts w:ascii="宋体" w:hAnsi="宋体" w:cs="宋体"/>
                <w:color w:val="auto"/>
                <w:sz w:val="24"/>
                <w:szCs w:val="24"/>
                <w:highlight w:val="none"/>
              </w:rPr>
              <w:t>)</w:t>
            </w:r>
            <w:r>
              <w:rPr>
                <w:rFonts w:hint="eastAsia" w:ascii="宋体" w:hAnsi="宋体" w:cs="宋体"/>
                <w:color w:val="auto"/>
                <w:sz w:val="24"/>
                <w:szCs w:val="24"/>
                <w:highlight w:val="none"/>
              </w:rPr>
              <w:t>，未提供的不得分。</w:t>
            </w:r>
          </w:p>
        </w:tc>
      </w:tr>
      <w:tr w14:paraId="05874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57" w:type="dxa"/>
            <w:vAlign w:val="center"/>
          </w:tcPr>
          <w:p w14:paraId="442D8DD0">
            <w:pPr>
              <w:keepNext/>
              <w:keepLines/>
              <w:widowControl/>
              <w:jc w:val="center"/>
              <w:rPr>
                <w:rFonts w:ascii="宋体" w:cs="Times New Roman"/>
                <w:sz w:val="24"/>
                <w:szCs w:val="24"/>
              </w:rPr>
            </w:pPr>
            <w:r>
              <w:rPr>
                <w:rFonts w:ascii="宋体" w:hAnsi="宋体" w:cs="宋体"/>
                <w:sz w:val="24"/>
                <w:szCs w:val="24"/>
              </w:rPr>
              <w:t>3</w:t>
            </w:r>
          </w:p>
        </w:tc>
        <w:tc>
          <w:tcPr>
            <w:tcW w:w="1262" w:type="dxa"/>
            <w:vAlign w:val="center"/>
          </w:tcPr>
          <w:p w14:paraId="0388CB36">
            <w:pPr>
              <w:keepNext/>
              <w:keepLines/>
              <w:widowControl/>
              <w:jc w:val="center"/>
              <w:rPr>
                <w:rFonts w:ascii="宋体" w:cs="Times New Roman"/>
                <w:color w:val="auto"/>
                <w:sz w:val="24"/>
                <w:szCs w:val="24"/>
              </w:rPr>
            </w:pPr>
            <w:r>
              <w:rPr>
                <w:rFonts w:hint="eastAsia" w:ascii="宋体" w:hAnsi="宋体" w:cs="宋体"/>
                <w:color w:val="auto"/>
                <w:sz w:val="24"/>
                <w:szCs w:val="24"/>
              </w:rPr>
              <w:t>企业实力（</w:t>
            </w:r>
            <w:r>
              <w:rPr>
                <w:rFonts w:ascii="宋体" w:hAnsi="宋体" w:cs="宋体"/>
                <w:color w:val="auto"/>
                <w:sz w:val="24"/>
                <w:szCs w:val="24"/>
              </w:rPr>
              <w:t>9</w:t>
            </w:r>
            <w:r>
              <w:rPr>
                <w:rFonts w:hint="eastAsia" w:ascii="宋体" w:hAnsi="宋体" w:cs="宋体"/>
                <w:color w:val="auto"/>
                <w:sz w:val="24"/>
                <w:szCs w:val="24"/>
              </w:rPr>
              <w:t>分）</w:t>
            </w:r>
          </w:p>
        </w:tc>
        <w:tc>
          <w:tcPr>
            <w:tcW w:w="7948" w:type="dxa"/>
            <w:vAlign w:val="center"/>
          </w:tcPr>
          <w:p w14:paraId="3730C02E">
            <w:pPr>
              <w:keepNext/>
              <w:keepLines/>
              <w:widowControl/>
              <w:spacing w:line="400" w:lineRule="exact"/>
              <w:ind w:firstLine="420"/>
              <w:rPr>
                <w:rFonts w:ascii="宋体" w:cs="Times New Roman"/>
                <w:color w:val="auto"/>
                <w:sz w:val="24"/>
                <w:szCs w:val="24"/>
                <w:highlight w:val="none"/>
              </w:rPr>
            </w:pPr>
            <w:r>
              <w:rPr>
                <w:rFonts w:hint="eastAsia" w:ascii="宋体" w:hAnsi="宋体" w:cs="宋体"/>
                <w:color w:val="auto"/>
                <w:sz w:val="24"/>
                <w:szCs w:val="24"/>
                <w:highlight w:val="none"/>
              </w:rPr>
              <w:t>（</w:t>
            </w:r>
            <w:r>
              <w:rPr>
                <w:rFonts w:ascii="宋体" w:hAnsi="宋体" w:cs="宋体"/>
                <w:color w:val="auto"/>
                <w:sz w:val="24"/>
                <w:szCs w:val="24"/>
                <w:highlight w:val="none"/>
              </w:rPr>
              <w:t>1</w:t>
            </w:r>
            <w:r>
              <w:rPr>
                <w:rFonts w:hint="eastAsia" w:ascii="宋体" w:hAnsi="宋体" w:cs="宋体"/>
                <w:color w:val="auto"/>
                <w:sz w:val="24"/>
                <w:szCs w:val="24"/>
                <w:highlight w:val="none"/>
              </w:rPr>
              <w:t>）供应商提供有效期内质量管理体系认证、环境管理体系认证、职业健康安全管理体系认证，每有一个得</w:t>
            </w:r>
            <w:r>
              <w:rPr>
                <w:rFonts w:ascii="宋体" w:hAnsi="宋体" w:cs="宋体"/>
                <w:color w:val="auto"/>
                <w:sz w:val="24"/>
                <w:szCs w:val="24"/>
                <w:highlight w:val="none"/>
              </w:rPr>
              <w:t>1</w:t>
            </w:r>
            <w:r>
              <w:rPr>
                <w:rFonts w:hint="eastAsia" w:ascii="宋体" w:hAnsi="宋体" w:cs="宋体"/>
                <w:color w:val="auto"/>
                <w:sz w:val="24"/>
                <w:szCs w:val="24"/>
                <w:highlight w:val="none"/>
              </w:rPr>
              <w:t>分，本项最高得</w:t>
            </w:r>
            <w:r>
              <w:rPr>
                <w:rFonts w:ascii="宋体" w:hAnsi="宋体" w:cs="宋体"/>
                <w:color w:val="auto"/>
                <w:sz w:val="24"/>
                <w:szCs w:val="24"/>
                <w:highlight w:val="none"/>
              </w:rPr>
              <w:t>3</w:t>
            </w:r>
            <w:r>
              <w:rPr>
                <w:rFonts w:hint="eastAsia" w:ascii="宋体" w:hAnsi="宋体" w:cs="宋体"/>
                <w:color w:val="auto"/>
                <w:sz w:val="24"/>
                <w:szCs w:val="24"/>
                <w:highlight w:val="none"/>
              </w:rPr>
              <w:t>分。</w:t>
            </w:r>
          </w:p>
          <w:p w14:paraId="538549C0">
            <w:pPr>
              <w:keepNext/>
              <w:keepLines/>
              <w:widowControl/>
              <w:spacing w:line="400" w:lineRule="exact"/>
              <w:ind w:firstLine="480" w:firstLineChars="200"/>
              <w:rPr>
                <w:rFonts w:ascii="宋体" w:cs="Times New Roman"/>
                <w:color w:val="auto"/>
                <w:sz w:val="24"/>
                <w:szCs w:val="24"/>
                <w:highlight w:val="none"/>
              </w:rPr>
            </w:pPr>
            <w:r>
              <w:rPr>
                <w:rFonts w:hint="eastAsia" w:ascii="宋体" w:hAnsi="宋体" w:cs="宋体"/>
                <w:color w:val="auto"/>
                <w:sz w:val="24"/>
                <w:szCs w:val="24"/>
                <w:highlight w:val="none"/>
              </w:rPr>
              <w:t>注：投标时提供第三方认证机构的认证证书原件扫描件，同时提供通过“全国认证认可信息公共服务平台”</w:t>
            </w:r>
            <w:r>
              <w:rPr>
                <w:rFonts w:ascii="宋体" w:hAnsi="宋体" w:cs="宋体"/>
                <w:color w:val="auto"/>
                <w:sz w:val="24"/>
                <w:szCs w:val="24"/>
                <w:highlight w:val="none"/>
              </w:rPr>
              <w:t xml:space="preserve">http://cx.cnca.cn </w:t>
            </w:r>
            <w:r>
              <w:rPr>
                <w:rFonts w:hint="eastAsia" w:ascii="宋体" w:hAnsi="宋体" w:cs="宋体"/>
                <w:color w:val="auto"/>
                <w:sz w:val="24"/>
                <w:szCs w:val="24"/>
                <w:highlight w:val="none"/>
              </w:rPr>
              <w:t>进行查询并截图加盖公章，未按要求提供或不提供者不得分。</w:t>
            </w:r>
          </w:p>
          <w:p w14:paraId="73FF9A2C">
            <w:pPr>
              <w:keepNext/>
              <w:keepLines/>
              <w:widowControl/>
              <w:numPr>
                <w:ilvl w:val="0"/>
                <w:numId w:val="4"/>
              </w:numPr>
              <w:spacing w:line="400" w:lineRule="exact"/>
              <w:ind w:firstLine="420"/>
              <w:rPr>
                <w:rFonts w:ascii="宋体" w:cs="Times New Roman"/>
                <w:color w:val="auto"/>
                <w:sz w:val="24"/>
                <w:szCs w:val="24"/>
                <w:highlight w:val="none"/>
              </w:rPr>
            </w:pPr>
            <w:r>
              <w:rPr>
                <w:rFonts w:hint="eastAsia" w:ascii="宋体" w:hAnsi="宋体" w:cs="宋体"/>
                <w:color w:val="auto"/>
                <w:sz w:val="24"/>
                <w:szCs w:val="24"/>
                <w:highlight w:val="none"/>
              </w:rPr>
              <w:t>供应商自</w:t>
            </w:r>
            <w:r>
              <w:rPr>
                <w:rFonts w:ascii="宋体" w:hAnsi="宋体" w:cs="宋体"/>
                <w:color w:val="auto"/>
                <w:sz w:val="24"/>
                <w:szCs w:val="24"/>
                <w:highlight w:val="none"/>
              </w:rPr>
              <w:t>2023</w:t>
            </w:r>
            <w:r>
              <w:rPr>
                <w:rFonts w:hint="eastAsia" w:ascii="宋体" w:hAnsi="宋体" w:cs="宋体"/>
                <w:color w:val="auto"/>
                <w:sz w:val="24"/>
                <w:szCs w:val="24"/>
                <w:highlight w:val="none"/>
              </w:rPr>
              <w:t>年</w:t>
            </w:r>
            <w:r>
              <w:rPr>
                <w:rFonts w:ascii="宋体" w:hAnsi="宋体" w:cs="宋体"/>
                <w:color w:val="auto"/>
                <w:sz w:val="24"/>
                <w:szCs w:val="24"/>
                <w:highlight w:val="none"/>
              </w:rPr>
              <w:t>1</w:t>
            </w:r>
            <w:r>
              <w:rPr>
                <w:rFonts w:hint="eastAsia" w:ascii="宋体" w:hAnsi="宋体" w:cs="宋体"/>
                <w:color w:val="auto"/>
                <w:sz w:val="24"/>
                <w:szCs w:val="24"/>
                <w:highlight w:val="none"/>
              </w:rPr>
              <w:t>月</w:t>
            </w:r>
            <w:r>
              <w:rPr>
                <w:rFonts w:ascii="宋体" w:hAnsi="宋体" w:cs="宋体"/>
                <w:color w:val="auto"/>
                <w:sz w:val="24"/>
                <w:szCs w:val="24"/>
                <w:highlight w:val="none"/>
              </w:rPr>
              <w:t>1</w:t>
            </w:r>
            <w:r>
              <w:rPr>
                <w:rFonts w:hint="eastAsia" w:ascii="宋体" w:hAnsi="宋体" w:cs="宋体"/>
                <w:color w:val="auto"/>
                <w:sz w:val="24"/>
                <w:szCs w:val="24"/>
                <w:highlight w:val="none"/>
              </w:rPr>
              <w:t>日以来（以获奖时间为准）承担的类似城乡规划项目（类似项目是指详细规划、村庄规划、国土空间规划）获得市级</w:t>
            </w:r>
            <w:r>
              <w:rPr>
                <w:rFonts w:hint="eastAsia" w:ascii="宋体" w:hAnsi="宋体" w:cs="宋体"/>
                <w:color w:val="auto"/>
                <w:sz w:val="24"/>
                <w:szCs w:val="24"/>
                <w:highlight w:val="none"/>
                <w:lang w:val="en-US" w:eastAsia="zh-CN"/>
              </w:rPr>
              <w:t>及以上</w:t>
            </w:r>
            <w:r>
              <w:rPr>
                <w:rFonts w:hint="eastAsia" w:ascii="宋体" w:hAnsi="宋体" w:cs="宋体"/>
                <w:color w:val="auto"/>
                <w:sz w:val="24"/>
                <w:szCs w:val="24"/>
                <w:highlight w:val="none"/>
              </w:rPr>
              <w:t>奖项的提供一个得</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分；获得县（区）级奖项的提供一个得</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分；本项最高得</w:t>
            </w:r>
            <w:r>
              <w:rPr>
                <w:rFonts w:ascii="宋体" w:hAnsi="宋体" w:cs="宋体"/>
                <w:color w:val="auto"/>
                <w:sz w:val="24"/>
                <w:szCs w:val="24"/>
                <w:highlight w:val="none"/>
              </w:rPr>
              <w:t>6</w:t>
            </w:r>
            <w:r>
              <w:rPr>
                <w:rFonts w:hint="eastAsia" w:ascii="宋体" w:hAnsi="宋体" w:cs="宋体"/>
                <w:color w:val="auto"/>
                <w:sz w:val="24"/>
                <w:szCs w:val="24"/>
                <w:highlight w:val="none"/>
              </w:rPr>
              <w:t>分。</w:t>
            </w:r>
            <w:r>
              <w:rPr>
                <w:rFonts w:ascii="宋体" w:hAnsi="宋体" w:cs="宋体"/>
                <w:color w:val="auto"/>
                <w:sz w:val="24"/>
                <w:szCs w:val="24"/>
                <w:highlight w:val="none"/>
              </w:rPr>
              <w:t xml:space="preserve">                          </w:t>
            </w:r>
          </w:p>
          <w:p w14:paraId="5AF82CDB">
            <w:pPr>
              <w:keepNext/>
              <w:keepLines/>
              <w:widowControl/>
              <w:spacing w:line="400" w:lineRule="exact"/>
              <w:ind w:firstLine="480" w:firstLineChars="200"/>
              <w:rPr>
                <w:rFonts w:ascii="宋体" w:cs="Times New Roman"/>
                <w:color w:val="auto"/>
                <w:sz w:val="24"/>
                <w:szCs w:val="24"/>
                <w:highlight w:val="none"/>
              </w:rPr>
            </w:pPr>
            <w:r>
              <w:rPr>
                <w:rFonts w:hint="eastAsia" w:ascii="宋体" w:hAnsi="宋体" w:cs="宋体"/>
                <w:color w:val="auto"/>
                <w:sz w:val="24"/>
                <w:szCs w:val="24"/>
                <w:highlight w:val="none"/>
              </w:rPr>
              <w:t>注：提供获奖证明材料原件扫描件，奖项以自然资源行政主管部门颁发为准；同一项目获得多个奖项的，仅按上述奖项中最高奖项计分。项目负责人获奖和供应商获奖为同一项目时，不重复积分，以最高分计。</w:t>
            </w:r>
          </w:p>
        </w:tc>
      </w:tr>
      <w:tr w14:paraId="06B66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457" w:type="dxa"/>
            <w:vAlign w:val="center"/>
          </w:tcPr>
          <w:p w14:paraId="3D179B57">
            <w:pPr>
              <w:keepNext/>
              <w:keepLines/>
              <w:widowControl/>
              <w:jc w:val="center"/>
              <w:rPr>
                <w:rFonts w:ascii="宋体" w:cs="Times New Roman"/>
                <w:sz w:val="24"/>
                <w:szCs w:val="24"/>
              </w:rPr>
            </w:pPr>
            <w:r>
              <w:rPr>
                <w:rFonts w:ascii="宋体" w:hAnsi="宋体" w:cs="宋体"/>
                <w:sz w:val="24"/>
                <w:szCs w:val="24"/>
              </w:rPr>
              <w:t>4</w:t>
            </w:r>
          </w:p>
        </w:tc>
        <w:tc>
          <w:tcPr>
            <w:tcW w:w="1262" w:type="dxa"/>
            <w:vAlign w:val="center"/>
          </w:tcPr>
          <w:p w14:paraId="00E0726A">
            <w:pPr>
              <w:keepNext/>
              <w:keepLines/>
              <w:widowControl/>
              <w:jc w:val="center"/>
              <w:rPr>
                <w:rFonts w:ascii="宋体" w:cs="Times New Roman"/>
                <w:color w:val="auto"/>
                <w:sz w:val="24"/>
                <w:szCs w:val="24"/>
              </w:rPr>
            </w:pPr>
            <w:r>
              <w:rPr>
                <w:rFonts w:hint="eastAsia" w:ascii="宋体" w:hAnsi="宋体" w:cs="宋体"/>
                <w:color w:val="auto"/>
                <w:sz w:val="24"/>
                <w:szCs w:val="24"/>
              </w:rPr>
              <w:t>业绩</w:t>
            </w:r>
          </w:p>
          <w:p w14:paraId="179212EB">
            <w:pPr>
              <w:keepNext/>
              <w:keepLines/>
              <w:widowControl/>
              <w:rPr>
                <w:rFonts w:ascii="宋体" w:cs="Times New Roman"/>
                <w:sz w:val="24"/>
                <w:szCs w:val="24"/>
              </w:rPr>
            </w:pPr>
            <w:r>
              <w:rPr>
                <w:rFonts w:hint="eastAsia" w:ascii="宋体" w:hAnsi="宋体" w:cs="宋体"/>
                <w:color w:val="auto"/>
                <w:sz w:val="24"/>
                <w:szCs w:val="24"/>
              </w:rPr>
              <w:t>（</w:t>
            </w:r>
            <w:r>
              <w:rPr>
                <w:rFonts w:ascii="宋体" w:hAnsi="宋体" w:cs="宋体"/>
                <w:color w:val="auto"/>
                <w:sz w:val="24"/>
                <w:szCs w:val="24"/>
              </w:rPr>
              <w:t>12</w:t>
            </w:r>
            <w:r>
              <w:rPr>
                <w:rFonts w:hint="eastAsia" w:ascii="宋体" w:hAnsi="宋体" w:cs="宋体"/>
                <w:color w:val="auto"/>
                <w:sz w:val="24"/>
                <w:szCs w:val="24"/>
              </w:rPr>
              <w:t>分）</w:t>
            </w:r>
          </w:p>
        </w:tc>
        <w:tc>
          <w:tcPr>
            <w:tcW w:w="7948" w:type="dxa"/>
            <w:vAlign w:val="center"/>
          </w:tcPr>
          <w:p w14:paraId="2F2F9007">
            <w:pPr>
              <w:keepNext/>
              <w:keepLines/>
              <w:widowControl/>
              <w:spacing w:line="400" w:lineRule="exact"/>
              <w:ind w:firstLine="420"/>
              <w:rPr>
                <w:rFonts w:ascii="宋体" w:cs="Times New Roman"/>
                <w:sz w:val="24"/>
                <w:szCs w:val="24"/>
                <w:highlight w:val="none"/>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）供应商自</w:t>
            </w:r>
            <w:r>
              <w:rPr>
                <w:rFonts w:ascii="宋体" w:hAnsi="宋体" w:cs="宋体"/>
                <w:sz w:val="24"/>
                <w:szCs w:val="24"/>
              </w:rPr>
              <w:t>2023</w:t>
            </w:r>
            <w:r>
              <w:rPr>
                <w:rFonts w:hint="eastAsia" w:ascii="宋体" w:hAnsi="宋体" w:cs="宋体"/>
                <w:sz w:val="24"/>
                <w:szCs w:val="24"/>
              </w:rPr>
              <w:t>年</w:t>
            </w:r>
            <w:r>
              <w:rPr>
                <w:rFonts w:ascii="宋体" w:hAnsi="宋体" w:cs="宋体"/>
                <w:sz w:val="24"/>
                <w:szCs w:val="24"/>
              </w:rPr>
              <w:t>1</w:t>
            </w:r>
            <w:r>
              <w:rPr>
                <w:rFonts w:hint="eastAsia" w:ascii="宋体" w:hAnsi="宋体" w:cs="宋体"/>
                <w:sz w:val="24"/>
                <w:szCs w:val="24"/>
              </w:rPr>
              <w:t>月</w:t>
            </w:r>
            <w:r>
              <w:rPr>
                <w:rFonts w:ascii="宋体" w:hAnsi="宋体" w:cs="宋体"/>
                <w:sz w:val="24"/>
                <w:szCs w:val="24"/>
              </w:rPr>
              <w:t>1</w:t>
            </w:r>
            <w:r>
              <w:rPr>
                <w:rFonts w:hint="eastAsia" w:ascii="宋体" w:hAnsi="宋体" w:cs="宋体"/>
                <w:sz w:val="24"/>
                <w:szCs w:val="24"/>
              </w:rPr>
              <w:t>日以来（以合同签订时间为准）承担过类似详细规划动态维护项</w:t>
            </w:r>
            <w:r>
              <w:rPr>
                <w:rFonts w:hint="eastAsia" w:ascii="宋体" w:hAnsi="宋体" w:cs="宋体"/>
                <w:sz w:val="24"/>
                <w:szCs w:val="24"/>
                <w:highlight w:val="none"/>
              </w:rPr>
              <w:t>目的，有一个得</w:t>
            </w:r>
            <w:r>
              <w:rPr>
                <w:rFonts w:ascii="宋体" w:hAnsi="宋体" w:cs="宋体"/>
                <w:sz w:val="24"/>
                <w:szCs w:val="24"/>
                <w:highlight w:val="none"/>
              </w:rPr>
              <w:t>2</w:t>
            </w:r>
            <w:r>
              <w:rPr>
                <w:rFonts w:hint="eastAsia" w:ascii="宋体" w:hAnsi="宋体" w:cs="宋体"/>
                <w:sz w:val="24"/>
                <w:szCs w:val="24"/>
                <w:highlight w:val="none"/>
              </w:rPr>
              <w:t>分；本项最高得</w:t>
            </w:r>
            <w:r>
              <w:rPr>
                <w:rFonts w:ascii="宋体" w:hAnsi="宋体" w:cs="宋体"/>
                <w:sz w:val="24"/>
                <w:szCs w:val="24"/>
                <w:highlight w:val="none"/>
              </w:rPr>
              <w:t>6</w:t>
            </w:r>
            <w:r>
              <w:rPr>
                <w:rFonts w:hint="eastAsia" w:ascii="宋体" w:hAnsi="宋体" w:cs="宋体"/>
                <w:sz w:val="24"/>
                <w:szCs w:val="24"/>
                <w:highlight w:val="none"/>
              </w:rPr>
              <w:t>分。</w:t>
            </w:r>
          </w:p>
          <w:p w14:paraId="3590255A">
            <w:pPr>
              <w:keepNext/>
              <w:keepLines/>
              <w:widowControl/>
              <w:spacing w:line="400" w:lineRule="exact"/>
              <w:ind w:firstLine="420"/>
              <w:rPr>
                <w:rFonts w:ascii="宋体" w:cs="Times New Roman"/>
                <w:sz w:val="24"/>
                <w:szCs w:val="24"/>
                <w:highlight w:val="none"/>
              </w:rPr>
            </w:pPr>
            <w:r>
              <w:rPr>
                <w:rFonts w:hint="eastAsia" w:ascii="宋体" w:hAnsi="宋体" w:cs="宋体"/>
                <w:sz w:val="24"/>
                <w:szCs w:val="24"/>
                <w:highlight w:val="none"/>
              </w:rPr>
              <w:t>（</w:t>
            </w:r>
            <w:r>
              <w:rPr>
                <w:rFonts w:ascii="宋体" w:hAnsi="宋体" w:cs="宋体"/>
                <w:sz w:val="24"/>
                <w:szCs w:val="24"/>
                <w:highlight w:val="none"/>
              </w:rPr>
              <w:t>2</w:t>
            </w:r>
            <w:r>
              <w:rPr>
                <w:rFonts w:hint="eastAsia" w:ascii="宋体" w:hAnsi="宋体" w:cs="宋体"/>
                <w:sz w:val="24"/>
                <w:szCs w:val="24"/>
                <w:highlight w:val="none"/>
              </w:rPr>
              <w:t>）供应商自</w:t>
            </w:r>
            <w:r>
              <w:rPr>
                <w:rFonts w:ascii="宋体" w:hAnsi="宋体" w:cs="宋体"/>
                <w:sz w:val="24"/>
                <w:szCs w:val="24"/>
                <w:highlight w:val="none"/>
              </w:rPr>
              <w:t>2023</w:t>
            </w:r>
            <w:r>
              <w:rPr>
                <w:rFonts w:hint="eastAsia" w:ascii="宋体" w:hAnsi="宋体" w:cs="宋体"/>
                <w:sz w:val="24"/>
                <w:szCs w:val="24"/>
                <w:highlight w:val="none"/>
              </w:rPr>
              <w:t>年</w:t>
            </w:r>
            <w:r>
              <w:rPr>
                <w:rFonts w:ascii="宋体" w:hAnsi="宋体" w:cs="宋体"/>
                <w:sz w:val="24"/>
                <w:szCs w:val="24"/>
                <w:highlight w:val="none"/>
              </w:rPr>
              <w:t>1</w:t>
            </w:r>
            <w:r>
              <w:rPr>
                <w:rFonts w:hint="eastAsia" w:ascii="宋体" w:hAnsi="宋体" w:cs="宋体"/>
                <w:sz w:val="24"/>
                <w:szCs w:val="24"/>
                <w:highlight w:val="none"/>
              </w:rPr>
              <w:t>月</w:t>
            </w:r>
            <w:r>
              <w:rPr>
                <w:rFonts w:ascii="宋体" w:hAnsi="宋体" w:cs="宋体"/>
                <w:sz w:val="24"/>
                <w:szCs w:val="24"/>
                <w:highlight w:val="none"/>
              </w:rPr>
              <w:t>1</w:t>
            </w:r>
            <w:r>
              <w:rPr>
                <w:rFonts w:hint="eastAsia" w:ascii="宋体" w:hAnsi="宋体" w:cs="宋体"/>
                <w:sz w:val="24"/>
                <w:szCs w:val="24"/>
                <w:highlight w:val="none"/>
              </w:rPr>
              <w:t>日以来（以合同签订时间为准）承担过类似（控制性）详细规划编制项目的，有</w:t>
            </w:r>
            <w:r>
              <w:rPr>
                <w:rFonts w:ascii="宋体" w:hAnsi="宋体" w:cs="宋体"/>
                <w:sz w:val="24"/>
                <w:szCs w:val="24"/>
                <w:highlight w:val="none"/>
              </w:rPr>
              <w:t>1</w:t>
            </w:r>
            <w:r>
              <w:rPr>
                <w:rFonts w:hint="eastAsia" w:ascii="宋体" w:hAnsi="宋体" w:cs="宋体"/>
                <w:sz w:val="24"/>
                <w:szCs w:val="24"/>
                <w:highlight w:val="none"/>
              </w:rPr>
              <w:t>个得</w:t>
            </w:r>
            <w:r>
              <w:rPr>
                <w:rFonts w:ascii="宋体" w:hAnsi="宋体" w:cs="宋体"/>
                <w:sz w:val="24"/>
                <w:szCs w:val="24"/>
                <w:highlight w:val="none"/>
              </w:rPr>
              <w:t>2</w:t>
            </w:r>
            <w:r>
              <w:rPr>
                <w:rFonts w:hint="eastAsia" w:ascii="宋体" w:hAnsi="宋体" w:cs="宋体"/>
                <w:sz w:val="24"/>
                <w:szCs w:val="24"/>
                <w:highlight w:val="none"/>
              </w:rPr>
              <w:t>分，本项最高得</w:t>
            </w:r>
            <w:r>
              <w:rPr>
                <w:rFonts w:ascii="宋体" w:hAnsi="宋体" w:cs="宋体"/>
                <w:sz w:val="24"/>
                <w:szCs w:val="24"/>
                <w:highlight w:val="none"/>
              </w:rPr>
              <w:t>6</w:t>
            </w:r>
            <w:r>
              <w:rPr>
                <w:rFonts w:hint="eastAsia" w:ascii="宋体" w:hAnsi="宋体" w:cs="宋体"/>
                <w:sz w:val="24"/>
                <w:szCs w:val="24"/>
                <w:highlight w:val="none"/>
              </w:rPr>
              <w:t>分。</w:t>
            </w:r>
          </w:p>
          <w:p w14:paraId="6D701CC4">
            <w:pPr>
              <w:keepNext/>
              <w:keepLines/>
              <w:widowControl/>
              <w:spacing w:line="400" w:lineRule="exact"/>
              <w:rPr>
                <w:rFonts w:ascii="宋体" w:cs="Times New Roman"/>
                <w:sz w:val="24"/>
                <w:szCs w:val="24"/>
              </w:rPr>
            </w:pPr>
            <w:r>
              <w:rPr>
                <w:rFonts w:hint="eastAsia" w:ascii="宋体" w:hAnsi="宋体" w:cs="宋体"/>
                <w:sz w:val="24"/>
                <w:szCs w:val="24"/>
              </w:rPr>
              <w:t>注：提供合同原件扫描件，合同须能反映项目名称、主要标的物、签订时间、单位公章或专用合同章</w:t>
            </w:r>
            <w:r>
              <w:rPr>
                <w:rFonts w:ascii="宋体" w:cs="宋体"/>
                <w:sz w:val="24"/>
                <w:szCs w:val="24"/>
              </w:rPr>
              <w:t>,</w:t>
            </w:r>
            <w:r>
              <w:rPr>
                <w:rFonts w:hint="eastAsia" w:ascii="宋体" w:hAnsi="宋体" w:cs="宋体"/>
                <w:sz w:val="24"/>
                <w:szCs w:val="24"/>
              </w:rPr>
              <w:t>如不能反映的，另须提供盖有原委托单位公章的证明，否则不予认可，分包合同无效不得分。</w:t>
            </w:r>
          </w:p>
        </w:tc>
      </w:tr>
      <w:tr w14:paraId="452F3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4" w:hRule="atLeast"/>
          <w:jc w:val="center"/>
        </w:trPr>
        <w:tc>
          <w:tcPr>
            <w:tcW w:w="457" w:type="dxa"/>
            <w:vAlign w:val="center"/>
          </w:tcPr>
          <w:p w14:paraId="15EE36DE">
            <w:pPr>
              <w:keepNext/>
              <w:keepLines/>
              <w:widowControl/>
              <w:jc w:val="center"/>
              <w:rPr>
                <w:rFonts w:ascii="宋体" w:cs="Times New Roman"/>
                <w:sz w:val="24"/>
                <w:szCs w:val="24"/>
              </w:rPr>
            </w:pPr>
            <w:r>
              <w:rPr>
                <w:rFonts w:ascii="宋体" w:hAnsi="宋体" w:cs="宋体"/>
                <w:sz w:val="24"/>
                <w:szCs w:val="24"/>
              </w:rPr>
              <w:t>5</w:t>
            </w:r>
          </w:p>
        </w:tc>
        <w:tc>
          <w:tcPr>
            <w:tcW w:w="1262" w:type="dxa"/>
            <w:vAlign w:val="center"/>
          </w:tcPr>
          <w:p w14:paraId="62A9D3DE">
            <w:pPr>
              <w:keepNext/>
              <w:keepLines/>
              <w:widowControl/>
              <w:jc w:val="center"/>
              <w:rPr>
                <w:rFonts w:ascii="宋体" w:cs="Times New Roman"/>
                <w:sz w:val="24"/>
                <w:szCs w:val="24"/>
              </w:rPr>
            </w:pPr>
            <w:r>
              <w:rPr>
                <w:rFonts w:hint="eastAsia" w:ascii="宋体" w:hAnsi="宋体" w:cs="宋体"/>
                <w:sz w:val="24"/>
                <w:szCs w:val="24"/>
              </w:rPr>
              <w:t>实施方案</w:t>
            </w:r>
          </w:p>
          <w:p w14:paraId="36C7A53E">
            <w:pPr>
              <w:keepNext/>
              <w:keepLines/>
              <w:widowControl/>
              <w:jc w:val="center"/>
              <w:rPr>
                <w:rFonts w:ascii="宋体" w:cs="Times New Roman"/>
                <w:sz w:val="24"/>
                <w:szCs w:val="24"/>
              </w:rPr>
            </w:pPr>
            <w:r>
              <w:rPr>
                <w:rFonts w:hint="eastAsia" w:ascii="宋体" w:hAnsi="宋体" w:cs="宋体"/>
                <w:sz w:val="24"/>
                <w:szCs w:val="24"/>
              </w:rPr>
              <w:t>（</w:t>
            </w:r>
            <w:r>
              <w:rPr>
                <w:rFonts w:ascii="宋体" w:hAnsi="宋体" w:cs="宋体"/>
                <w:sz w:val="24"/>
                <w:szCs w:val="24"/>
              </w:rPr>
              <w:t>49</w:t>
            </w:r>
            <w:r>
              <w:rPr>
                <w:rFonts w:hint="eastAsia" w:ascii="宋体" w:hAnsi="宋体" w:cs="宋体"/>
                <w:sz w:val="24"/>
                <w:szCs w:val="24"/>
              </w:rPr>
              <w:t>分）</w:t>
            </w:r>
          </w:p>
        </w:tc>
        <w:tc>
          <w:tcPr>
            <w:tcW w:w="7948" w:type="dxa"/>
            <w:vAlign w:val="center"/>
          </w:tcPr>
          <w:p w14:paraId="463170EE">
            <w:pPr>
              <w:keepNext/>
              <w:keepLines/>
              <w:widowControl/>
              <w:spacing w:line="400" w:lineRule="exact"/>
              <w:ind w:firstLine="240" w:firstLineChars="100"/>
              <w:rPr>
                <w:rFonts w:ascii="宋体" w:cs="Times New Roman"/>
                <w:sz w:val="24"/>
                <w:szCs w:val="24"/>
              </w:rPr>
            </w:pPr>
            <w:r>
              <w:rPr>
                <w:rFonts w:ascii="宋体" w:hAnsi="宋体" w:cs="宋体"/>
                <w:sz w:val="24"/>
                <w:szCs w:val="24"/>
              </w:rPr>
              <w:t>1.</w:t>
            </w:r>
            <w:r>
              <w:rPr>
                <w:rFonts w:hint="eastAsia" w:ascii="宋体" w:hAnsi="宋体" w:cs="宋体"/>
                <w:color w:val="000000"/>
                <w:sz w:val="24"/>
                <w:szCs w:val="24"/>
              </w:rPr>
              <w:t>工作思路和技术路线</w:t>
            </w:r>
            <w:r>
              <w:rPr>
                <w:rFonts w:hint="eastAsia" w:ascii="宋体" w:hAnsi="宋体" w:cs="宋体"/>
                <w:sz w:val="24"/>
                <w:szCs w:val="24"/>
              </w:rPr>
              <w:t>（</w:t>
            </w:r>
            <w:r>
              <w:rPr>
                <w:rFonts w:ascii="宋体" w:hAnsi="宋体" w:cs="宋体"/>
                <w:sz w:val="24"/>
                <w:szCs w:val="24"/>
              </w:rPr>
              <w:t>9</w:t>
            </w:r>
            <w:r>
              <w:rPr>
                <w:rFonts w:hint="eastAsia" w:ascii="宋体" w:hAnsi="宋体" w:cs="宋体"/>
                <w:sz w:val="24"/>
                <w:szCs w:val="24"/>
              </w:rPr>
              <w:t>分）</w:t>
            </w:r>
          </w:p>
          <w:p w14:paraId="5CA2773A">
            <w:pPr>
              <w:keepNext/>
              <w:keepLines/>
              <w:widowControl/>
              <w:spacing w:line="400" w:lineRule="exact"/>
              <w:ind w:firstLine="480" w:firstLineChars="200"/>
              <w:rPr>
                <w:rFonts w:ascii="宋体" w:cs="Times New Roman"/>
                <w:sz w:val="24"/>
                <w:szCs w:val="24"/>
              </w:rPr>
            </w:pPr>
            <w:r>
              <w:rPr>
                <w:rFonts w:hint="eastAsia" w:ascii="宋体" w:hAnsi="宋体" w:cs="宋体"/>
                <w:sz w:val="24"/>
                <w:szCs w:val="24"/>
              </w:rPr>
              <w:t>供应商根据本项目第四章中“项目需求”要求，提供有针对性的、科学合理的</w:t>
            </w:r>
            <w:r>
              <w:rPr>
                <w:rFonts w:hint="eastAsia" w:ascii="宋体" w:hAnsi="宋体" w:cs="宋体"/>
                <w:color w:val="000000"/>
                <w:sz w:val="24"/>
                <w:szCs w:val="24"/>
              </w:rPr>
              <w:t>工作思路和技术路线</w:t>
            </w:r>
            <w:r>
              <w:rPr>
                <w:rFonts w:hint="eastAsia" w:ascii="宋体" w:hAnsi="宋体" w:cs="宋体"/>
                <w:sz w:val="24"/>
                <w:szCs w:val="24"/>
              </w:rPr>
              <w:t>，至少包含</w:t>
            </w:r>
            <w:r>
              <w:rPr>
                <w:rFonts w:ascii="宋体" w:hAnsi="宋体" w:cs="宋体"/>
                <w:sz w:val="24"/>
                <w:szCs w:val="24"/>
              </w:rPr>
              <w:t>:</w:t>
            </w:r>
            <w:r>
              <w:rPr>
                <w:rFonts w:hint="eastAsia" w:ascii="宋体" w:hAnsi="宋体" w:cs="宋体"/>
                <w:sz w:val="24"/>
                <w:szCs w:val="24"/>
              </w:rPr>
              <w:t>①工作背景；②工作原则；</w:t>
            </w:r>
            <w:r>
              <w:rPr>
                <w:rFonts w:hint="eastAsia" w:cs="宋体"/>
                <w:sz w:val="24"/>
                <w:szCs w:val="24"/>
              </w:rPr>
              <w:t>③</w:t>
            </w:r>
            <w:r>
              <w:rPr>
                <w:rFonts w:hint="eastAsia" w:ascii="宋体" w:hAnsi="宋体" w:cs="宋体"/>
                <w:sz w:val="24"/>
                <w:szCs w:val="24"/>
              </w:rPr>
              <w:t>工作技术路线等内容。</w:t>
            </w:r>
          </w:p>
          <w:p w14:paraId="7CD40A2B">
            <w:pPr>
              <w:keepNext/>
              <w:keepLines/>
              <w:widowControl/>
              <w:spacing w:line="400" w:lineRule="exact"/>
              <w:ind w:firstLine="480" w:firstLineChars="200"/>
              <w:rPr>
                <w:rFonts w:ascii="宋体" w:cs="Times New Roman"/>
                <w:sz w:val="24"/>
                <w:szCs w:val="24"/>
              </w:rPr>
            </w:pPr>
            <w:r>
              <w:rPr>
                <w:rFonts w:hint="eastAsia" w:ascii="宋体" w:hAnsi="宋体" w:cs="宋体"/>
                <w:sz w:val="24"/>
                <w:szCs w:val="24"/>
              </w:rPr>
              <w:t>以上方案内容完整的得</w:t>
            </w:r>
            <w:r>
              <w:rPr>
                <w:rFonts w:ascii="宋体" w:hAnsi="宋体" w:cs="宋体"/>
                <w:sz w:val="24"/>
                <w:szCs w:val="24"/>
              </w:rPr>
              <w:t>9</w:t>
            </w:r>
            <w:r>
              <w:rPr>
                <w:rFonts w:hint="eastAsia" w:ascii="宋体" w:hAnsi="宋体" w:cs="宋体"/>
                <w:sz w:val="24"/>
                <w:szCs w:val="24"/>
              </w:rPr>
              <w:t>分，每有一内容缺失的扣</w:t>
            </w:r>
            <w:r>
              <w:rPr>
                <w:rFonts w:ascii="宋体" w:hAnsi="宋体" w:cs="宋体"/>
                <w:sz w:val="24"/>
                <w:szCs w:val="24"/>
              </w:rPr>
              <w:t>3</w:t>
            </w:r>
            <w:r>
              <w:rPr>
                <w:rFonts w:hint="eastAsia" w:ascii="宋体" w:hAnsi="宋体" w:cs="宋体"/>
                <w:sz w:val="24"/>
                <w:szCs w:val="24"/>
              </w:rPr>
              <w:t>分；每有一处存在缺陷（缺陷是指不适用于本项目，表述前后不一致或内容矛盾，语句有歧义，仅有框架或标题，涉及的规范及标准错误，套用其他项目内容等任意一种情形）扣</w:t>
            </w:r>
            <w:r>
              <w:rPr>
                <w:rFonts w:ascii="宋体" w:hAnsi="宋体" w:cs="宋体"/>
                <w:sz w:val="24"/>
                <w:szCs w:val="24"/>
              </w:rPr>
              <w:t>0.6</w:t>
            </w:r>
            <w:r>
              <w:rPr>
                <w:rFonts w:hint="eastAsia" w:ascii="宋体" w:hAnsi="宋体" w:cs="宋体"/>
                <w:sz w:val="24"/>
                <w:szCs w:val="24"/>
              </w:rPr>
              <w:t>分，直至该项分值</w:t>
            </w:r>
            <w:r>
              <w:rPr>
                <w:rFonts w:ascii="宋体" w:hAnsi="宋体" w:cs="宋体"/>
                <w:sz w:val="24"/>
                <w:szCs w:val="24"/>
              </w:rPr>
              <w:t>3</w:t>
            </w:r>
            <w:r>
              <w:rPr>
                <w:rFonts w:hint="eastAsia" w:ascii="宋体" w:hAnsi="宋体" w:cs="宋体"/>
                <w:sz w:val="24"/>
                <w:szCs w:val="24"/>
              </w:rPr>
              <w:t>分扣完为止，不提供本项不得分。</w:t>
            </w:r>
          </w:p>
          <w:p w14:paraId="1ADA76C0">
            <w:pPr>
              <w:keepNext/>
              <w:keepLines/>
              <w:widowControl/>
              <w:spacing w:line="400" w:lineRule="exact"/>
              <w:ind w:firstLine="240" w:firstLineChars="100"/>
              <w:rPr>
                <w:rFonts w:ascii="宋体" w:cs="Times New Roman"/>
                <w:sz w:val="24"/>
                <w:szCs w:val="24"/>
              </w:rPr>
            </w:pPr>
            <w:r>
              <w:rPr>
                <w:rFonts w:ascii="宋体" w:hAnsi="宋体" w:cs="宋体"/>
                <w:sz w:val="24"/>
                <w:szCs w:val="24"/>
              </w:rPr>
              <w:t>2.</w:t>
            </w:r>
            <w:r>
              <w:rPr>
                <w:rFonts w:hint="eastAsia" w:ascii="宋体" w:hAnsi="宋体" w:cs="宋体"/>
                <w:color w:val="000000"/>
                <w:sz w:val="24"/>
                <w:szCs w:val="24"/>
              </w:rPr>
              <w:t>工作大纲</w:t>
            </w:r>
            <w:r>
              <w:rPr>
                <w:rFonts w:hint="eastAsia" w:ascii="宋体" w:hAnsi="宋体" w:cs="宋体"/>
                <w:sz w:val="24"/>
                <w:szCs w:val="24"/>
              </w:rPr>
              <w:t>（</w:t>
            </w:r>
            <w:r>
              <w:rPr>
                <w:rFonts w:ascii="宋体" w:hAnsi="宋体" w:cs="宋体"/>
                <w:sz w:val="24"/>
                <w:szCs w:val="24"/>
              </w:rPr>
              <w:t>15</w:t>
            </w:r>
            <w:r>
              <w:rPr>
                <w:rFonts w:hint="eastAsia" w:ascii="宋体" w:hAnsi="宋体" w:cs="宋体"/>
                <w:sz w:val="24"/>
                <w:szCs w:val="24"/>
              </w:rPr>
              <w:t>分）</w:t>
            </w:r>
          </w:p>
          <w:p w14:paraId="3B753F13">
            <w:pPr>
              <w:keepNext/>
              <w:keepLines/>
              <w:widowControl/>
              <w:spacing w:line="400" w:lineRule="exact"/>
              <w:ind w:firstLine="480" w:firstLineChars="200"/>
              <w:rPr>
                <w:rFonts w:ascii="宋体" w:cs="Times New Roman"/>
                <w:sz w:val="24"/>
                <w:szCs w:val="24"/>
              </w:rPr>
            </w:pPr>
            <w:r>
              <w:rPr>
                <w:rFonts w:hint="eastAsia" w:ascii="宋体" w:hAnsi="宋体" w:cs="宋体"/>
                <w:sz w:val="24"/>
                <w:szCs w:val="24"/>
              </w:rPr>
              <w:t>供应商根据本项目第四章中“项目需求”要求，提供有针对性的、科学合理的</w:t>
            </w:r>
            <w:r>
              <w:rPr>
                <w:rFonts w:hint="eastAsia" w:ascii="宋体" w:hAnsi="宋体" w:cs="宋体"/>
                <w:color w:val="000000"/>
                <w:sz w:val="24"/>
                <w:szCs w:val="24"/>
              </w:rPr>
              <w:t>工作大纲</w:t>
            </w:r>
            <w:r>
              <w:rPr>
                <w:rFonts w:hint="eastAsia" w:ascii="宋体" w:hAnsi="宋体" w:cs="宋体"/>
                <w:sz w:val="24"/>
                <w:szCs w:val="24"/>
              </w:rPr>
              <w:t>，至少包含</w:t>
            </w:r>
            <w:r>
              <w:rPr>
                <w:rFonts w:ascii="宋体" w:hAnsi="宋体" w:cs="宋体"/>
                <w:sz w:val="24"/>
                <w:szCs w:val="24"/>
              </w:rPr>
              <w:t>:</w:t>
            </w:r>
            <w:r>
              <w:rPr>
                <w:rFonts w:hint="eastAsia" w:ascii="宋体" w:hAnsi="宋体" w:cs="宋体"/>
                <w:sz w:val="24"/>
                <w:szCs w:val="24"/>
              </w:rPr>
              <w:t>①</w:t>
            </w:r>
            <w:r>
              <w:rPr>
                <w:rFonts w:hint="eastAsia" w:cs="宋体"/>
                <w:sz w:val="24"/>
                <w:szCs w:val="24"/>
              </w:rPr>
              <w:t>对已批准详细规划成果进行动态更新；</w:t>
            </w:r>
            <w:r>
              <w:rPr>
                <w:rFonts w:hint="eastAsia" w:ascii="宋体" w:hAnsi="宋体" w:cs="宋体"/>
                <w:sz w:val="24"/>
                <w:szCs w:val="24"/>
              </w:rPr>
              <w:t>②</w:t>
            </w:r>
            <w:r>
              <w:rPr>
                <w:rFonts w:hint="eastAsia" w:cs="宋体"/>
                <w:sz w:val="24"/>
                <w:szCs w:val="24"/>
              </w:rPr>
              <w:t>上对详细规划尚未批准且延用已批准的控规进行动态更新；③编制详规动态更新方案成果；④详规动态更新成果数据库建设</w:t>
            </w:r>
            <w:r>
              <w:rPr>
                <w:rFonts w:hint="eastAsia" w:ascii="宋体" w:hAnsi="宋体" w:cs="宋体"/>
                <w:sz w:val="24"/>
                <w:szCs w:val="24"/>
              </w:rPr>
              <w:t>；⑤紧急性规划任务。</w:t>
            </w:r>
          </w:p>
          <w:p w14:paraId="63E878F8">
            <w:pPr>
              <w:keepNext/>
              <w:keepLines/>
              <w:widowControl/>
              <w:spacing w:line="400" w:lineRule="exact"/>
              <w:ind w:firstLine="480" w:firstLineChars="200"/>
              <w:rPr>
                <w:rFonts w:ascii="宋体" w:cs="Times New Roman"/>
                <w:sz w:val="24"/>
                <w:szCs w:val="24"/>
              </w:rPr>
            </w:pPr>
            <w:r>
              <w:rPr>
                <w:rFonts w:hint="eastAsia" w:ascii="宋体" w:hAnsi="宋体" w:cs="宋体"/>
                <w:sz w:val="24"/>
                <w:szCs w:val="24"/>
              </w:rPr>
              <w:t>以上方案内容完整的得</w:t>
            </w:r>
            <w:r>
              <w:rPr>
                <w:rFonts w:ascii="宋体" w:hAnsi="宋体" w:cs="宋体"/>
                <w:sz w:val="24"/>
                <w:szCs w:val="24"/>
              </w:rPr>
              <w:t>15</w:t>
            </w:r>
            <w:r>
              <w:rPr>
                <w:rFonts w:hint="eastAsia" w:ascii="宋体" w:hAnsi="宋体" w:cs="宋体"/>
                <w:sz w:val="24"/>
                <w:szCs w:val="24"/>
              </w:rPr>
              <w:t>分，每有一内容缺失的扣</w:t>
            </w:r>
            <w:r>
              <w:rPr>
                <w:rFonts w:ascii="宋体" w:hAnsi="宋体" w:cs="宋体"/>
                <w:sz w:val="24"/>
                <w:szCs w:val="24"/>
              </w:rPr>
              <w:t>3</w:t>
            </w:r>
            <w:r>
              <w:rPr>
                <w:rFonts w:hint="eastAsia" w:ascii="宋体" w:hAnsi="宋体" w:cs="宋体"/>
                <w:sz w:val="24"/>
                <w:szCs w:val="24"/>
              </w:rPr>
              <w:t>分；每有一处存在缺陷（缺陷是指不适用于本项目，表述前后不一致或内容矛盾，语句有歧义，仅有框架或标题，涉及的规范及标准错误，套用其他项目内容等任意一种情形）扣</w:t>
            </w:r>
            <w:r>
              <w:rPr>
                <w:rFonts w:ascii="宋体" w:hAnsi="宋体" w:cs="宋体"/>
                <w:sz w:val="24"/>
                <w:szCs w:val="24"/>
              </w:rPr>
              <w:t>0.6</w:t>
            </w:r>
            <w:r>
              <w:rPr>
                <w:rFonts w:hint="eastAsia" w:ascii="宋体" w:hAnsi="宋体" w:cs="宋体"/>
                <w:sz w:val="24"/>
                <w:szCs w:val="24"/>
              </w:rPr>
              <w:t>分，直至该项分值</w:t>
            </w:r>
            <w:r>
              <w:rPr>
                <w:rFonts w:ascii="宋体" w:hAnsi="宋体" w:cs="宋体"/>
                <w:sz w:val="24"/>
                <w:szCs w:val="24"/>
              </w:rPr>
              <w:t>3</w:t>
            </w:r>
            <w:r>
              <w:rPr>
                <w:rFonts w:hint="eastAsia" w:ascii="宋体" w:hAnsi="宋体" w:cs="宋体"/>
                <w:sz w:val="24"/>
                <w:szCs w:val="24"/>
              </w:rPr>
              <w:t>分扣完为止，不提供本项不得分。</w:t>
            </w:r>
          </w:p>
          <w:p w14:paraId="3197FA00">
            <w:pPr>
              <w:keepNext/>
              <w:keepLines/>
              <w:widowControl/>
              <w:spacing w:line="400" w:lineRule="exact"/>
              <w:ind w:firstLine="480" w:firstLineChars="200"/>
              <w:rPr>
                <w:rFonts w:ascii="宋体" w:cs="Times New Roman"/>
                <w:sz w:val="24"/>
                <w:szCs w:val="24"/>
              </w:rPr>
            </w:pPr>
            <w:r>
              <w:rPr>
                <w:rFonts w:ascii="宋体" w:hAnsi="宋体" w:cs="宋体"/>
                <w:sz w:val="24"/>
                <w:szCs w:val="24"/>
              </w:rPr>
              <w:t>3.</w:t>
            </w:r>
            <w:r>
              <w:rPr>
                <w:rFonts w:hint="eastAsia" w:ascii="宋体" w:hAnsi="宋体" w:cs="宋体"/>
                <w:sz w:val="24"/>
                <w:szCs w:val="24"/>
              </w:rPr>
              <w:t>质量保证体系及保证措施（</w:t>
            </w:r>
            <w:r>
              <w:rPr>
                <w:rFonts w:ascii="宋体" w:hAnsi="宋体" w:cs="宋体"/>
                <w:sz w:val="24"/>
                <w:szCs w:val="24"/>
              </w:rPr>
              <w:t>8</w:t>
            </w:r>
            <w:r>
              <w:rPr>
                <w:rFonts w:hint="eastAsia" w:ascii="宋体" w:hAnsi="宋体" w:cs="宋体"/>
                <w:sz w:val="24"/>
                <w:szCs w:val="24"/>
              </w:rPr>
              <w:t>分）</w:t>
            </w:r>
          </w:p>
          <w:p w14:paraId="3C437E95">
            <w:pPr>
              <w:keepNext/>
              <w:keepLines/>
              <w:widowControl/>
              <w:spacing w:line="400" w:lineRule="exact"/>
              <w:ind w:firstLine="480" w:firstLineChars="200"/>
              <w:rPr>
                <w:rFonts w:ascii="宋体" w:cs="Times New Roman"/>
                <w:sz w:val="24"/>
                <w:szCs w:val="24"/>
              </w:rPr>
            </w:pPr>
            <w:r>
              <w:rPr>
                <w:rFonts w:hint="eastAsia" w:ascii="宋体" w:hAnsi="宋体" w:cs="宋体"/>
                <w:sz w:val="24"/>
                <w:szCs w:val="24"/>
              </w:rPr>
              <w:t>供应商根据本项目第四章中“项目需求”要求，提供有针对性的、科学合理的质量保证体系及保证措施，至少包含</w:t>
            </w:r>
            <w:r>
              <w:rPr>
                <w:rFonts w:ascii="宋体" w:hAnsi="宋体" w:cs="宋体"/>
                <w:sz w:val="24"/>
                <w:szCs w:val="24"/>
              </w:rPr>
              <w:t>:</w:t>
            </w:r>
            <w:r>
              <w:rPr>
                <w:rFonts w:hint="eastAsia" w:cs="宋体"/>
                <w:sz w:val="24"/>
                <w:szCs w:val="24"/>
              </w:rPr>
              <w:t>①质量保证体系；②质量保证措施</w:t>
            </w:r>
            <w:r>
              <w:rPr>
                <w:rFonts w:hint="eastAsia" w:ascii="宋体" w:hAnsi="宋体" w:cs="宋体"/>
                <w:sz w:val="24"/>
                <w:szCs w:val="24"/>
              </w:rPr>
              <w:t>等方面内容。</w:t>
            </w:r>
          </w:p>
          <w:p w14:paraId="6A5D47BC">
            <w:pPr>
              <w:keepNext/>
              <w:keepLines/>
              <w:widowControl/>
              <w:spacing w:line="400" w:lineRule="exact"/>
              <w:ind w:firstLine="480" w:firstLineChars="200"/>
              <w:rPr>
                <w:rFonts w:ascii="宋体" w:cs="Times New Roman"/>
                <w:sz w:val="24"/>
                <w:szCs w:val="24"/>
              </w:rPr>
            </w:pPr>
            <w:r>
              <w:rPr>
                <w:rFonts w:hint="eastAsia" w:ascii="宋体" w:hAnsi="宋体" w:cs="宋体"/>
                <w:sz w:val="24"/>
                <w:szCs w:val="24"/>
              </w:rPr>
              <w:t>以上方案内容完整的得</w:t>
            </w:r>
            <w:r>
              <w:rPr>
                <w:rFonts w:ascii="宋体" w:hAnsi="宋体" w:cs="宋体"/>
                <w:sz w:val="24"/>
                <w:szCs w:val="24"/>
              </w:rPr>
              <w:t>8</w:t>
            </w:r>
            <w:r>
              <w:rPr>
                <w:rFonts w:hint="eastAsia" w:ascii="宋体" w:hAnsi="宋体" w:cs="宋体"/>
                <w:sz w:val="24"/>
                <w:szCs w:val="24"/>
              </w:rPr>
              <w:t>分，每有一内容缺失的扣</w:t>
            </w:r>
            <w:r>
              <w:rPr>
                <w:rFonts w:ascii="宋体" w:hAnsi="宋体" w:cs="宋体"/>
                <w:sz w:val="24"/>
                <w:szCs w:val="24"/>
              </w:rPr>
              <w:t>4</w:t>
            </w:r>
            <w:r>
              <w:rPr>
                <w:rFonts w:hint="eastAsia" w:ascii="宋体" w:hAnsi="宋体" w:cs="宋体"/>
                <w:sz w:val="24"/>
                <w:szCs w:val="24"/>
              </w:rPr>
              <w:t>分；每有一处存在缺陷（缺陷是指不适用于本项目，表述前后不一致或内容矛盾，语句有歧义，仅有框架或标题，涉及的规范及标准错误，套用其他项目内容等任意一种情形）扣</w:t>
            </w:r>
            <w:r>
              <w:rPr>
                <w:rFonts w:ascii="宋体" w:hAnsi="宋体" w:cs="宋体"/>
                <w:sz w:val="24"/>
                <w:szCs w:val="24"/>
              </w:rPr>
              <w:t>0.8</w:t>
            </w:r>
            <w:r>
              <w:rPr>
                <w:rFonts w:hint="eastAsia" w:ascii="宋体" w:hAnsi="宋体" w:cs="宋体"/>
                <w:sz w:val="24"/>
                <w:szCs w:val="24"/>
              </w:rPr>
              <w:t>分，直至该项分值</w:t>
            </w:r>
            <w:r>
              <w:rPr>
                <w:rFonts w:ascii="宋体" w:hAnsi="宋体" w:cs="宋体"/>
                <w:sz w:val="24"/>
                <w:szCs w:val="24"/>
              </w:rPr>
              <w:t>4</w:t>
            </w:r>
            <w:r>
              <w:rPr>
                <w:rFonts w:hint="eastAsia" w:ascii="宋体" w:hAnsi="宋体" w:cs="宋体"/>
                <w:sz w:val="24"/>
                <w:szCs w:val="24"/>
              </w:rPr>
              <w:t>分扣完为止，不提供本项不得分。</w:t>
            </w:r>
            <w:r>
              <w:rPr>
                <w:rFonts w:ascii="宋体" w:hAnsi="宋体" w:cs="宋体"/>
                <w:sz w:val="24"/>
                <w:szCs w:val="24"/>
              </w:rPr>
              <w:t xml:space="preserve"> </w:t>
            </w:r>
          </w:p>
          <w:p w14:paraId="52BB06AF">
            <w:pPr>
              <w:keepNext/>
              <w:keepLines/>
              <w:widowControl/>
              <w:spacing w:line="400" w:lineRule="exact"/>
              <w:ind w:firstLine="480" w:firstLineChars="200"/>
              <w:rPr>
                <w:rFonts w:ascii="宋体" w:cs="Times New Roman"/>
                <w:sz w:val="24"/>
                <w:szCs w:val="24"/>
              </w:rPr>
            </w:pPr>
            <w:r>
              <w:rPr>
                <w:rFonts w:ascii="宋体" w:hAnsi="宋体" w:cs="宋体"/>
                <w:sz w:val="24"/>
                <w:szCs w:val="24"/>
              </w:rPr>
              <w:t xml:space="preserve">4. </w:t>
            </w:r>
            <w:r>
              <w:rPr>
                <w:rFonts w:hint="eastAsia" w:ascii="宋体" w:hAnsi="宋体" w:cs="宋体"/>
                <w:sz w:val="24"/>
                <w:szCs w:val="24"/>
              </w:rPr>
              <w:t>积极响应措施（</w:t>
            </w:r>
            <w:r>
              <w:rPr>
                <w:rFonts w:ascii="宋体" w:hAnsi="宋体" w:cs="宋体"/>
                <w:sz w:val="24"/>
                <w:szCs w:val="24"/>
              </w:rPr>
              <w:t>8</w:t>
            </w:r>
            <w:r>
              <w:rPr>
                <w:rFonts w:hint="eastAsia" w:ascii="宋体" w:hAnsi="宋体" w:cs="宋体"/>
                <w:sz w:val="24"/>
                <w:szCs w:val="24"/>
              </w:rPr>
              <w:t>分）</w:t>
            </w:r>
          </w:p>
          <w:p w14:paraId="668AE868">
            <w:pPr>
              <w:keepNext/>
              <w:keepLines/>
              <w:widowControl/>
              <w:spacing w:line="400" w:lineRule="exact"/>
              <w:ind w:firstLine="480" w:firstLineChars="200"/>
              <w:rPr>
                <w:rFonts w:ascii="宋体" w:cs="Times New Roman"/>
                <w:sz w:val="24"/>
                <w:szCs w:val="24"/>
              </w:rPr>
            </w:pPr>
            <w:r>
              <w:rPr>
                <w:rFonts w:hint="eastAsia" w:ascii="宋体" w:hAnsi="宋体" w:cs="宋体"/>
                <w:sz w:val="24"/>
                <w:szCs w:val="24"/>
              </w:rPr>
              <w:t>供应商根据本项目第四章中“项目需求”要求，提供有针对性的、科学合理的积极响应措施，至少包含：①需求快速对接机制；②灵活执行响应保障等方面内容。</w:t>
            </w:r>
          </w:p>
          <w:p w14:paraId="68489D7A">
            <w:pPr>
              <w:keepNext/>
              <w:keepLines/>
              <w:widowControl/>
              <w:spacing w:line="400" w:lineRule="exact"/>
              <w:ind w:firstLine="480" w:firstLineChars="200"/>
              <w:rPr>
                <w:rFonts w:ascii="宋体" w:cs="Times New Roman"/>
                <w:sz w:val="24"/>
                <w:szCs w:val="24"/>
              </w:rPr>
            </w:pPr>
            <w:r>
              <w:rPr>
                <w:rFonts w:hint="eastAsia" w:ascii="宋体" w:hAnsi="宋体" w:cs="宋体"/>
                <w:sz w:val="24"/>
                <w:szCs w:val="24"/>
              </w:rPr>
              <w:t>以上方案内容完整的得</w:t>
            </w:r>
            <w:r>
              <w:rPr>
                <w:rFonts w:ascii="宋体" w:hAnsi="宋体" w:cs="宋体"/>
                <w:sz w:val="24"/>
                <w:szCs w:val="24"/>
              </w:rPr>
              <w:t>8</w:t>
            </w:r>
            <w:r>
              <w:rPr>
                <w:rFonts w:hint="eastAsia" w:ascii="宋体" w:hAnsi="宋体" w:cs="宋体"/>
                <w:sz w:val="24"/>
                <w:szCs w:val="24"/>
              </w:rPr>
              <w:t>分，每有一内容缺失的扣</w:t>
            </w:r>
            <w:r>
              <w:rPr>
                <w:rFonts w:ascii="宋体" w:hAnsi="宋体" w:cs="宋体"/>
                <w:sz w:val="24"/>
                <w:szCs w:val="24"/>
              </w:rPr>
              <w:t>4</w:t>
            </w:r>
            <w:r>
              <w:rPr>
                <w:rFonts w:hint="eastAsia" w:ascii="宋体" w:hAnsi="宋体" w:cs="宋体"/>
                <w:sz w:val="24"/>
                <w:szCs w:val="24"/>
              </w:rPr>
              <w:t>分；每有一处存在缺陷（缺陷是指不适用于本项目，表述前后不一致或内容矛盾，语句有歧义，仅有框架或标题，涉及的规范及标准错误，套用其他项目内容等任意一种情形）扣</w:t>
            </w:r>
            <w:r>
              <w:rPr>
                <w:rFonts w:ascii="宋体" w:hAnsi="宋体" w:cs="宋体"/>
                <w:sz w:val="24"/>
                <w:szCs w:val="24"/>
              </w:rPr>
              <w:t>0.8</w:t>
            </w:r>
            <w:r>
              <w:rPr>
                <w:rFonts w:hint="eastAsia" w:ascii="宋体" w:hAnsi="宋体" w:cs="宋体"/>
                <w:sz w:val="24"/>
                <w:szCs w:val="24"/>
              </w:rPr>
              <w:t>分，直至该项分值</w:t>
            </w:r>
            <w:r>
              <w:rPr>
                <w:rFonts w:ascii="宋体" w:hAnsi="宋体" w:cs="宋体"/>
                <w:sz w:val="24"/>
                <w:szCs w:val="24"/>
              </w:rPr>
              <w:t>4</w:t>
            </w:r>
            <w:r>
              <w:rPr>
                <w:rFonts w:hint="eastAsia" w:ascii="宋体" w:hAnsi="宋体" w:cs="宋体"/>
                <w:sz w:val="24"/>
                <w:szCs w:val="24"/>
              </w:rPr>
              <w:t>分扣完为止，不提供本项不得分。</w:t>
            </w:r>
            <w:r>
              <w:rPr>
                <w:rFonts w:ascii="宋体" w:hAnsi="宋体" w:cs="宋体"/>
                <w:sz w:val="24"/>
                <w:szCs w:val="24"/>
              </w:rPr>
              <w:t xml:space="preserve">     </w:t>
            </w:r>
          </w:p>
          <w:p w14:paraId="0580C7D0">
            <w:pPr>
              <w:keepNext/>
              <w:keepLines/>
              <w:widowControl/>
              <w:spacing w:line="400" w:lineRule="exact"/>
              <w:ind w:firstLine="480" w:firstLineChars="200"/>
              <w:rPr>
                <w:rFonts w:ascii="宋体" w:cs="Times New Roman"/>
                <w:sz w:val="24"/>
                <w:szCs w:val="24"/>
              </w:rPr>
            </w:pPr>
            <w:r>
              <w:rPr>
                <w:rFonts w:ascii="宋体" w:hAnsi="宋体" w:cs="宋体"/>
                <w:sz w:val="24"/>
                <w:szCs w:val="24"/>
              </w:rPr>
              <w:t>5.</w:t>
            </w:r>
            <w:r>
              <w:rPr>
                <w:rFonts w:hint="eastAsia" w:ascii="宋体" w:hAnsi="宋体" w:cs="宋体"/>
                <w:sz w:val="24"/>
                <w:szCs w:val="24"/>
              </w:rPr>
              <w:t>进度计划及保障措施（</w:t>
            </w:r>
            <w:r>
              <w:rPr>
                <w:rFonts w:ascii="宋体" w:hAnsi="宋体" w:cs="宋体"/>
                <w:sz w:val="24"/>
                <w:szCs w:val="24"/>
              </w:rPr>
              <w:t>9</w:t>
            </w:r>
            <w:r>
              <w:rPr>
                <w:rFonts w:hint="eastAsia" w:ascii="宋体" w:hAnsi="宋体" w:cs="宋体"/>
                <w:sz w:val="24"/>
                <w:szCs w:val="24"/>
              </w:rPr>
              <w:t>分）</w:t>
            </w:r>
          </w:p>
          <w:p w14:paraId="4E027639">
            <w:pPr>
              <w:keepNext/>
              <w:keepLines/>
              <w:widowControl/>
              <w:spacing w:line="400" w:lineRule="exact"/>
              <w:ind w:firstLine="480" w:firstLineChars="200"/>
              <w:rPr>
                <w:rFonts w:ascii="宋体" w:cs="Times New Roman"/>
                <w:sz w:val="24"/>
                <w:szCs w:val="24"/>
              </w:rPr>
            </w:pPr>
            <w:r>
              <w:rPr>
                <w:rFonts w:hint="eastAsia" w:ascii="宋体" w:hAnsi="宋体" w:cs="宋体"/>
                <w:sz w:val="24"/>
                <w:szCs w:val="24"/>
              </w:rPr>
              <w:t>供应商根据本项目第四章中“项目需求”要求，提供有针对性的、科学合理的进度计划及保障措施，至少包含</w:t>
            </w:r>
            <w:r>
              <w:rPr>
                <w:rFonts w:ascii="宋体" w:hAnsi="宋体" w:cs="宋体"/>
                <w:sz w:val="24"/>
                <w:szCs w:val="24"/>
              </w:rPr>
              <w:t>:</w:t>
            </w:r>
            <w:r>
              <w:rPr>
                <w:rFonts w:hint="eastAsia" w:ascii="宋体" w:hAnsi="宋体" w:cs="宋体"/>
                <w:sz w:val="24"/>
                <w:szCs w:val="24"/>
              </w:rPr>
              <w:t>①进度计划；②保障措施等方面内容。</w:t>
            </w:r>
          </w:p>
          <w:p w14:paraId="0EF62A87">
            <w:pPr>
              <w:keepNext/>
              <w:keepLines/>
              <w:widowControl/>
              <w:spacing w:line="400" w:lineRule="exact"/>
              <w:ind w:firstLine="480" w:firstLineChars="200"/>
              <w:rPr>
                <w:rFonts w:ascii="宋体" w:cs="Times New Roman"/>
                <w:sz w:val="28"/>
                <w:szCs w:val="28"/>
              </w:rPr>
            </w:pPr>
            <w:r>
              <w:rPr>
                <w:rFonts w:hint="eastAsia" w:ascii="宋体" w:hAnsi="宋体" w:cs="宋体"/>
                <w:sz w:val="24"/>
                <w:szCs w:val="24"/>
              </w:rPr>
              <w:t>以上方案内容完整的得</w:t>
            </w:r>
            <w:r>
              <w:rPr>
                <w:rFonts w:ascii="宋体" w:hAnsi="宋体" w:cs="宋体"/>
                <w:sz w:val="24"/>
                <w:szCs w:val="24"/>
              </w:rPr>
              <w:t>9</w:t>
            </w:r>
            <w:r>
              <w:rPr>
                <w:rFonts w:hint="eastAsia" w:ascii="宋体" w:hAnsi="宋体" w:cs="宋体"/>
                <w:sz w:val="24"/>
                <w:szCs w:val="24"/>
              </w:rPr>
              <w:t>分，每有一内容缺失的扣</w:t>
            </w:r>
            <w:r>
              <w:rPr>
                <w:rFonts w:ascii="宋体" w:hAnsi="宋体" w:cs="宋体"/>
                <w:sz w:val="24"/>
                <w:szCs w:val="24"/>
              </w:rPr>
              <w:t>4.5</w:t>
            </w:r>
            <w:r>
              <w:rPr>
                <w:rFonts w:hint="eastAsia" w:ascii="宋体" w:hAnsi="宋体" w:cs="宋体"/>
                <w:sz w:val="24"/>
                <w:szCs w:val="24"/>
              </w:rPr>
              <w:t>分；每有一处存在缺陷（缺陷是指不适用于本项目，表述前后不一致或内容矛盾，语句有歧义，仅有框架或标题，涉及的规范及标准错误，套用其他项目内容等任意一种情形）扣</w:t>
            </w:r>
            <w:r>
              <w:rPr>
                <w:rFonts w:ascii="宋体" w:cs="宋体"/>
                <w:sz w:val="24"/>
                <w:szCs w:val="24"/>
              </w:rPr>
              <w:t>0.</w:t>
            </w:r>
            <w:r>
              <w:rPr>
                <w:rFonts w:ascii="宋体" w:hAnsi="宋体" w:cs="宋体"/>
                <w:sz w:val="24"/>
                <w:szCs w:val="24"/>
              </w:rPr>
              <w:t>9</w:t>
            </w:r>
            <w:r>
              <w:rPr>
                <w:rFonts w:hint="eastAsia" w:ascii="宋体" w:hAnsi="宋体" w:cs="宋体"/>
                <w:sz w:val="24"/>
                <w:szCs w:val="24"/>
              </w:rPr>
              <w:t>分，直至该项分值</w:t>
            </w:r>
            <w:r>
              <w:rPr>
                <w:rFonts w:ascii="宋体" w:hAnsi="宋体" w:cs="宋体"/>
                <w:sz w:val="24"/>
                <w:szCs w:val="24"/>
              </w:rPr>
              <w:t>4.5</w:t>
            </w:r>
            <w:r>
              <w:rPr>
                <w:rFonts w:hint="eastAsia" w:ascii="宋体" w:hAnsi="宋体" w:cs="宋体"/>
                <w:sz w:val="24"/>
                <w:szCs w:val="24"/>
              </w:rPr>
              <w:t>分扣完为止，不提供本项不得分。</w:t>
            </w:r>
          </w:p>
        </w:tc>
      </w:tr>
    </w:tbl>
    <w:p w14:paraId="59642AD3">
      <w:pPr>
        <w:keepNext/>
        <w:keepLines/>
        <w:widowControl/>
        <w:rPr>
          <w:rFonts w:ascii="黑体" w:hAnsi="Times New Roman" w:eastAsia="黑体" w:cs="Times New Roman"/>
        </w:rPr>
      </w:pPr>
    </w:p>
    <w:p w14:paraId="6A50F1C1">
      <w:pPr>
        <w:keepNext/>
        <w:keepLines/>
        <w:widowControl/>
        <w:rPr>
          <w:rFonts w:ascii="黑体" w:hAnsi="Times New Roman" w:eastAsia="黑体" w:cs="Times New Roman"/>
        </w:rPr>
      </w:pPr>
    </w:p>
    <w:p w14:paraId="428CB217">
      <w:pPr>
        <w:pStyle w:val="3"/>
        <w:widowControl/>
        <w:spacing w:line="360" w:lineRule="auto"/>
        <w:rPr>
          <w:rFonts w:ascii="黑体" w:hAnsi="Times New Roman" w:eastAsia="黑体" w:cs="Times New Roman"/>
          <w:b w:val="0"/>
          <w:bCs w:val="0"/>
        </w:rPr>
      </w:pPr>
    </w:p>
    <w:p w14:paraId="3D9850E8">
      <w:pPr>
        <w:pStyle w:val="26"/>
        <w:keepNext/>
        <w:keepLines/>
        <w:widowControl/>
        <w:spacing w:line="360" w:lineRule="auto"/>
        <w:rPr>
          <w:rFonts w:ascii="宋体"/>
          <w:sz w:val="32"/>
          <w:szCs w:val="32"/>
        </w:rPr>
      </w:pPr>
    </w:p>
    <w:p w14:paraId="15C79C5A">
      <w:pPr>
        <w:keepNext/>
        <w:keepLines/>
        <w:widowControl/>
        <w:rPr>
          <w:rFonts w:cs="Times New Roman"/>
        </w:rPr>
      </w:pPr>
    </w:p>
    <w:p w14:paraId="025EDF17">
      <w:pPr>
        <w:keepNext/>
        <w:keepLines/>
        <w:widowControl/>
        <w:rPr>
          <w:rFonts w:cs="Times New Roman"/>
        </w:rPr>
      </w:pPr>
    </w:p>
    <w:p w14:paraId="65827C78">
      <w:pPr>
        <w:pStyle w:val="3"/>
        <w:widowControl/>
        <w:spacing w:line="360" w:lineRule="auto"/>
        <w:rPr>
          <w:rFonts w:ascii="黑体" w:hAnsi="Times New Roman" w:eastAsia="黑体" w:cs="Times New Roman"/>
          <w:b w:val="0"/>
          <w:bCs w:val="0"/>
        </w:rPr>
      </w:pPr>
    </w:p>
    <w:p w14:paraId="45383A5E">
      <w:pPr>
        <w:pStyle w:val="3"/>
        <w:widowControl/>
        <w:spacing w:line="360" w:lineRule="auto"/>
        <w:rPr>
          <w:rFonts w:ascii="黑体" w:hAnsi="Times New Roman" w:eastAsia="黑体" w:cs="Times New Roman"/>
          <w:b w:val="0"/>
          <w:bCs w:val="0"/>
        </w:rPr>
      </w:pPr>
    </w:p>
    <w:p w14:paraId="03788FB9">
      <w:pPr>
        <w:pStyle w:val="3"/>
        <w:widowControl/>
        <w:spacing w:line="360" w:lineRule="auto"/>
        <w:rPr>
          <w:rFonts w:ascii="黑体" w:hAnsi="Times New Roman" w:eastAsia="黑体" w:cs="Times New Roman"/>
          <w:b w:val="0"/>
          <w:bCs w:val="0"/>
        </w:rPr>
      </w:pPr>
    </w:p>
    <w:p w14:paraId="52CDAC5A">
      <w:pPr>
        <w:pStyle w:val="3"/>
        <w:widowControl/>
        <w:spacing w:line="360" w:lineRule="auto"/>
        <w:rPr>
          <w:rFonts w:ascii="黑体" w:hAnsi="Times New Roman" w:eastAsia="黑体" w:cs="Times New Roman"/>
          <w:b w:val="0"/>
          <w:bCs w:val="0"/>
        </w:rPr>
      </w:pPr>
    </w:p>
    <w:p w14:paraId="1A73B4B4"/>
    <w:p w14:paraId="582963EA">
      <w:pPr>
        <w:pStyle w:val="3"/>
        <w:widowControl/>
        <w:spacing w:line="360" w:lineRule="auto"/>
        <w:rPr>
          <w:rFonts w:ascii="黑体" w:eastAsia="黑体" w:cs="Times New Roman"/>
        </w:rPr>
      </w:pPr>
      <w:r>
        <w:rPr>
          <w:rFonts w:hint="eastAsia" w:ascii="黑体" w:hAnsi="Times New Roman" w:eastAsia="黑体" w:cs="黑体"/>
          <w:b w:val="0"/>
          <w:bCs w:val="0"/>
        </w:rPr>
        <w:t>第六章</w:t>
      </w:r>
      <w:r>
        <w:rPr>
          <w:rFonts w:ascii="黑体" w:hAnsi="Times New Roman" w:eastAsia="黑体" w:cs="黑体"/>
          <w:b w:val="0"/>
          <w:bCs w:val="0"/>
        </w:rPr>
        <w:t xml:space="preserve">  </w:t>
      </w:r>
      <w:r>
        <w:rPr>
          <w:rFonts w:hint="eastAsia" w:ascii="黑体" w:hAnsi="Times New Roman" w:eastAsia="黑体" w:cs="黑体"/>
          <w:b w:val="0"/>
          <w:bCs w:val="0"/>
        </w:rPr>
        <w:t>投标文件格式</w:t>
      </w:r>
    </w:p>
    <w:p w14:paraId="4205F49E">
      <w:pPr>
        <w:keepNext/>
        <w:keepLines/>
        <w:widowControl/>
        <w:jc w:val="center"/>
        <w:rPr>
          <w:rFonts w:ascii="黑体" w:hAnsi="黑体" w:eastAsia="黑体" w:cs="Times New Roman"/>
          <w:b/>
          <w:bCs/>
          <w:sz w:val="72"/>
          <w:szCs w:val="72"/>
        </w:rPr>
      </w:pPr>
    </w:p>
    <w:p w14:paraId="7F0BA0E1">
      <w:pPr>
        <w:keepNext/>
        <w:keepLines/>
        <w:widowControl/>
        <w:jc w:val="center"/>
        <w:rPr>
          <w:rFonts w:ascii="黑体" w:hAnsi="黑体" w:eastAsia="黑体" w:cs="Times New Roman"/>
          <w:b/>
          <w:bCs/>
          <w:sz w:val="72"/>
          <w:szCs w:val="72"/>
        </w:rPr>
      </w:pPr>
      <w:r>
        <w:rPr>
          <w:rFonts w:ascii="黑体" w:hAnsi="黑体" w:eastAsia="黑体" w:cs="黑体"/>
          <w:b/>
          <w:bCs/>
          <w:sz w:val="72"/>
          <w:szCs w:val="72"/>
        </w:rPr>
        <w:t xml:space="preserve"> </w:t>
      </w:r>
      <w:r>
        <w:rPr>
          <w:rFonts w:hint="eastAsia" w:ascii="黑体" w:hAnsi="黑体" w:eastAsia="黑体" w:cs="黑体"/>
          <w:b/>
          <w:bCs/>
          <w:sz w:val="72"/>
          <w:szCs w:val="72"/>
        </w:rPr>
        <w:t>投</w:t>
      </w:r>
      <w:r>
        <w:rPr>
          <w:rFonts w:ascii="黑体" w:hAnsi="黑体" w:eastAsia="黑体" w:cs="黑体"/>
          <w:b/>
          <w:bCs/>
          <w:sz w:val="72"/>
          <w:szCs w:val="72"/>
        </w:rPr>
        <w:t xml:space="preserve"> </w:t>
      </w:r>
      <w:r>
        <w:rPr>
          <w:rFonts w:hint="eastAsia" w:ascii="黑体" w:hAnsi="黑体" w:eastAsia="黑体" w:cs="黑体"/>
          <w:b/>
          <w:bCs/>
          <w:sz w:val="72"/>
          <w:szCs w:val="72"/>
        </w:rPr>
        <w:t>标</w:t>
      </w:r>
      <w:r>
        <w:rPr>
          <w:rFonts w:ascii="黑体" w:hAnsi="黑体" w:eastAsia="黑体" w:cs="黑体"/>
          <w:b/>
          <w:bCs/>
          <w:sz w:val="72"/>
          <w:szCs w:val="72"/>
        </w:rPr>
        <w:t xml:space="preserve"> </w:t>
      </w:r>
      <w:r>
        <w:rPr>
          <w:rFonts w:hint="eastAsia" w:ascii="黑体" w:hAnsi="黑体" w:eastAsia="黑体" w:cs="黑体"/>
          <w:b/>
          <w:bCs/>
          <w:sz w:val="72"/>
          <w:szCs w:val="72"/>
        </w:rPr>
        <w:t>文</w:t>
      </w:r>
      <w:r>
        <w:rPr>
          <w:rFonts w:ascii="黑体" w:hAnsi="黑体" w:eastAsia="黑体" w:cs="黑体"/>
          <w:b/>
          <w:bCs/>
          <w:sz w:val="72"/>
          <w:szCs w:val="72"/>
        </w:rPr>
        <w:t xml:space="preserve"> </w:t>
      </w:r>
      <w:r>
        <w:rPr>
          <w:rFonts w:hint="eastAsia" w:ascii="黑体" w:hAnsi="黑体" w:eastAsia="黑体" w:cs="黑体"/>
          <w:b/>
          <w:bCs/>
          <w:sz w:val="72"/>
          <w:szCs w:val="72"/>
        </w:rPr>
        <w:t>件</w:t>
      </w:r>
    </w:p>
    <w:p w14:paraId="7679B8C6">
      <w:pPr>
        <w:pStyle w:val="248"/>
        <w:keepNext/>
        <w:keepLines/>
        <w:widowControl/>
        <w:ind w:firstLine="0"/>
        <w:jc w:val="center"/>
        <w:rPr>
          <w:rFonts w:ascii="黑体" w:hAnsi="黑体" w:eastAsia="黑体" w:cs="Times New Roman"/>
          <w:b/>
          <w:bCs/>
          <w:sz w:val="32"/>
          <w:szCs w:val="32"/>
        </w:rPr>
      </w:pPr>
    </w:p>
    <w:p w14:paraId="58A77795">
      <w:pPr>
        <w:keepNext/>
        <w:keepLines/>
        <w:widowControl/>
        <w:ind w:firstLine="1084"/>
        <w:rPr>
          <w:rFonts w:ascii="黑体" w:hAnsi="黑体" w:eastAsia="黑体" w:cs="黑体"/>
          <w:b/>
          <w:bCs/>
          <w:sz w:val="36"/>
          <w:szCs w:val="36"/>
        </w:rPr>
      </w:pPr>
      <w:r>
        <w:rPr>
          <w:rFonts w:ascii="黑体" w:hAnsi="黑体" w:eastAsia="黑体" w:cs="黑体"/>
          <w:b/>
          <w:bCs/>
          <w:sz w:val="36"/>
          <w:szCs w:val="36"/>
        </w:rPr>
        <w:t xml:space="preserve">        </w:t>
      </w:r>
    </w:p>
    <w:p w14:paraId="167756C5">
      <w:pPr>
        <w:keepNext/>
        <w:keepLines/>
        <w:widowControl/>
        <w:ind w:firstLine="1084"/>
        <w:rPr>
          <w:rFonts w:ascii="黑体" w:hAnsi="黑体" w:eastAsia="黑体" w:cs="黑体"/>
          <w:b/>
          <w:bCs/>
          <w:sz w:val="36"/>
          <w:szCs w:val="36"/>
        </w:rPr>
      </w:pPr>
    </w:p>
    <w:p w14:paraId="61799918">
      <w:pPr>
        <w:keepNext/>
        <w:keepLines/>
        <w:widowControl/>
        <w:ind w:firstLine="1084"/>
        <w:rPr>
          <w:rFonts w:ascii="黑体" w:hAnsi="黑体" w:eastAsia="黑体" w:cs="黑体"/>
          <w:b/>
          <w:bCs/>
          <w:sz w:val="36"/>
          <w:szCs w:val="36"/>
        </w:rPr>
      </w:pPr>
    </w:p>
    <w:p w14:paraId="044C3BD1">
      <w:pPr>
        <w:keepNext/>
        <w:keepLines/>
        <w:widowControl/>
        <w:ind w:firstLine="1084"/>
        <w:rPr>
          <w:rFonts w:ascii="黑体" w:hAnsi="黑体" w:eastAsia="黑体" w:cs="Times New Roman"/>
          <w:b/>
          <w:bCs/>
          <w:sz w:val="36"/>
          <w:szCs w:val="36"/>
        </w:rPr>
      </w:pPr>
    </w:p>
    <w:p w14:paraId="1A0BA2A2">
      <w:pPr>
        <w:pStyle w:val="44"/>
        <w:keepNext/>
        <w:keepLines/>
        <w:spacing w:beforeAutospacing="0" w:afterAutospacing="0"/>
        <w:ind w:firstLine="1084"/>
        <w:jc w:val="both"/>
        <w:rPr>
          <w:rFonts w:cs="Times New Roman"/>
        </w:rPr>
      </w:pPr>
      <w:r>
        <w:rPr>
          <w:rFonts w:hint="eastAsia"/>
          <w:b/>
          <w:bCs/>
          <w:sz w:val="36"/>
          <w:szCs w:val="36"/>
        </w:rPr>
        <w:t>项</w:t>
      </w:r>
      <w:r>
        <w:rPr>
          <w:b/>
          <w:bCs/>
          <w:sz w:val="36"/>
          <w:szCs w:val="36"/>
        </w:rPr>
        <w:t xml:space="preserve"> </w:t>
      </w:r>
      <w:r>
        <w:rPr>
          <w:rFonts w:hint="eastAsia"/>
          <w:b/>
          <w:bCs/>
          <w:sz w:val="36"/>
          <w:szCs w:val="36"/>
        </w:rPr>
        <w:t>目</w:t>
      </w:r>
      <w:r>
        <w:rPr>
          <w:b/>
          <w:bCs/>
          <w:sz w:val="36"/>
          <w:szCs w:val="36"/>
        </w:rPr>
        <w:t xml:space="preserve"> </w:t>
      </w:r>
      <w:r>
        <w:rPr>
          <w:rFonts w:hint="eastAsia"/>
          <w:b/>
          <w:bCs/>
          <w:sz w:val="36"/>
          <w:szCs w:val="36"/>
        </w:rPr>
        <w:t>名</w:t>
      </w:r>
      <w:r>
        <w:rPr>
          <w:b/>
          <w:bCs/>
          <w:sz w:val="36"/>
          <w:szCs w:val="36"/>
        </w:rPr>
        <w:t xml:space="preserve"> </w:t>
      </w:r>
      <w:r>
        <w:rPr>
          <w:rFonts w:hint="eastAsia"/>
          <w:b/>
          <w:bCs/>
          <w:sz w:val="36"/>
          <w:szCs w:val="36"/>
        </w:rPr>
        <w:t>称：</w:t>
      </w:r>
      <w:r>
        <w:rPr>
          <w:rFonts w:cs="Times New Roman"/>
          <w:b/>
          <w:bCs/>
          <w:sz w:val="36"/>
          <w:szCs w:val="36"/>
          <w:u w:val="single"/>
        </w:rPr>
        <w:t>             </w:t>
      </w:r>
    </w:p>
    <w:p w14:paraId="78BB0B50">
      <w:pPr>
        <w:pStyle w:val="44"/>
        <w:keepNext/>
        <w:keepLines/>
        <w:spacing w:beforeAutospacing="0" w:afterAutospacing="0"/>
        <w:ind w:firstLine="1084"/>
        <w:jc w:val="both"/>
        <w:rPr>
          <w:rFonts w:cs="Times New Roman"/>
        </w:rPr>
      </w:pPr>
      <w:r>
        <w:rPr>
          <w:rFonts w:hint="eastAsia"/>
          <w:b/>
          <w:bCs/>
          <w:sz w:val="36"/>
          <w:szCs w:val="36"/>
        </w:rPr>
        <w:t>项</w:t>
      </w:r>
      <w:r>
        <w:rPr>
          <w:b/>
          <w:bCs/>
          <w:sz w:val="36"/>
          <w:szCs w:val="36"/>
        </w:rPr>
        <w:t xml:space="preserve"> </w:t>
      </w:r>
      <w:r>
        <w:rPr>
          <w:rFonts w:hint="eastAsia"/>
          <w:b/>
          <w:bCs/>
          <w:sz w:val="36"/>
          <w:szCs w:val="36"/>
        </w:rPr>
        <w:t>目</w:t>
      </w:r>
      <w:r>
        <w:rPr>
          <w:b/>
          <w:bCs/>
          <w:sz w:val="36"/>
          <w:szCs w:val="36"/>
        </w:rPr>
        <w:t xml:space="preserve"> </w:t>
      </w:r>
      <w:r>
        <w:rPr>
          <w:rFonts w:hint="eastAsia"/>
          <w:b/>
          <w:bCs/>
          <w:sz w:val="36"/>
          <w:szCs w:val="36"/>
        </w:rPr>
        <w:t>编</w:t>
      </w:r>
      <w:r>
        <w:rPr>
          <w:b/>
          <w:bCs/>
          <w:sz w:val="36"/>
          <w:szCs w:val="36"/>
        </w:rPr>
        <w:t xml:space="preserve"> </w:t>
      </w:r>
      <w:r>
        <w:rPr>
          <w:rFonts w:hint="eastAsia"/>
          <w:b/>
          <w:bCs/>
          <w:sz w:val="36"/>
          <w:szCs w:val="36"/>
        </w:rPr>
        <w:t>号：</w:t>
      </w:r>
      <w:r>
        <w:rPr>
          <w:rFonts w:cs="Times New Roman"/>
          <w:b/>
          <w:bCs/>
          <w:sz w:val="36"/>
          <w:szCs w:val="36"/>
          <w:u w:val="single"/>
        </w:rPr>
        <w:t>             </w:t>
      </w:r>
    </w:p>
    <w:p w14:paraId="5DBDB894">
      <w:pPr>
        <w:pStyle w:val="44"/>
        <w:keepNext/>
        <w:keepLines/>
        <w:spacing w:beforeAutospacing="0" w:afterAutospacing="0"/>
        <w:jc w:val="both"/>
        <w:rPr>
          <w:rFonts w:cs="Times New Roman"/>
        </w:rPr>
      </w:pPr>
      <w:r>
        <w:rPr>
          <w:rFonts w:cs="Times New Roman"/>
          <w:b/>
          <w:bCs/>
          <w:sz w:val="36"/>
          <w:szCs w:val="36"/>
        </w:rPr>
        <w:t>   </w:t>
      </w:r>
      <w:r>
        <w:rPr>
          <w:rFonts w:hint="eastAsia" w:cs="Times New Roman"/>
          <w:b/>
          <w:bCs/>
          <w:sz w:val="36"/>
          <w:szCs w:val="36"/>
          <w:lang w:val="en-US" w:eastAsia="zh-CN"/>
        </w:rPr>
        <w:t xml:space="preserve">    </w:t>
      </w:r>
      <w:r>
        <w:rPr>
          <w:rFonts w:hint="eastAsia"/>
          <w:b/>
          <w:bCs/>
          <w:sz w:val="36"/>
          <w:szCs w:val="36"/>
        </w:rPr>
        <w:t>投标人名称</w:t>
      </w:r>
      <w:r>
        <w:rPr>
          <w:b/>
          <w:bCs/>
          <w:sz w:val="36"/>
          <w:szCs w:val="36"/>
        </w:rPr>
        <w:t xml:space="preserve"> </w:t>
      </w:r>
      <w:r>
        <w:rPr>
          <w:rFonts w:hint="eastAsia"/>
          <w:b/>
          <w:bCs/>
          <w:sz w:val="36"/>
          <w:szCs w:val="36"/>
        </w:rPr>
        <w:t>：</w:t>
      </w:r>
      <w:r>
        <w:rPr>
          <w:rFonts w:hint="eastAsia"/>
          <w:b/>
          <w:bCs/>
          <w:sz w:val="36"/>
          <w:szCs w:val="36"/>
          <w:u w:val="single"/>
        </w:rPr>
        <w:t>（加盖</w:t>
      </w:r>
      <w:r>
        <w:rPr>
          <w:b/>
          <w:bCs/>
          <w:sz w:val="36"/>
          <w:szCs w:val="36"/>
          <w:u w:val="single"/>
        </w:rPr>
        <w:t>CA</w:t>
      </w:r>
      <w:r>
        <w:rPr>
          <w:rFonts w:hint="eastAsia"/>
          <w:b/>
          <w:bCs/>
          <w:sz w:val="36"/>
          <w:szCs w:val="36"/>
          <w:u w:val="single"/>
        </w:rPr>
        <w:t>电子公章）</w:t>
      </w:r>
    </w:p>
    <w:p w14:paraId="38384E42">
      <w:pPr>
        <w:pStyle w:val="248"/>
        <w:keepNext/>
        <w:keepLines/>
        <w:widowControl/>
        <w:spacing w:before="0" w:after="0"/>
        <w:ind w:firstLine="0"/>
        <w:rPr>
          <w:rFonts w:ascii="宋体" w:cs="Times New Roman"/>
        </w:rPr>
      </w:pPr>
      <w:r>
        <w:rPr>
          <w:rFonts w:cs="Times New Roman"/>
          <w:b/>
          <w:bCs/>
          <w:sz w:val="36"/>
          <w:szCs w:val="36"/>
        </w:rPr>
        <w:t>   </w:t>
      </w:r>
      <w:r>
        <w:rPr>
          <w:b/>
          <w:bCs/>
          <w:sz w:val="36"/>
          <w:szCs w:val="36"/>
        </w:rPr>
        <w:t xml:space="preserve">    </w:t>
      </w:r>
      <w:r>
        <w:rPr>
          <w:rFonts w:hint="eastAsia" w:cs="宋体"/>
          <w:b/>
          <w:bCs/>
          <w:sz w:val="36"/>
          <w:szCs w:val="36"/>
        </w:rPr>
        <w:t>日</w:t>
      </w:r>
      <w:r>
        <w:rPr>
          <w:rFonts w:cs="Times New Roman"/>
          <w:b/>
          <w:bCs/>
          <w:sz w:val="36"/>
          <w:szCs w:val="36"/>
        </w:rPr>
        <w:t>  </w:t>
      </w:r>
      <w:r>
        <w:rPr>
          <w:b/>
          <w:bCs/>
          <w:sz w:val="36"/>
          <w:szCs w:val="36"/>
        </w:rPr>
        <w:t xml:space="preserve">     </w:t>
      </w:r>
      <w:r>
        <w:rPr>
          <w:rFonts w:hint="eastAsia" w:cs="宋体"/>
          <w:b/>
          <w:bCs/>
          <w:sz w:val="36"/>
          <w:szCs w:val="36"/>
        </w:rPr>
        <w:t>期</w:t>
      </w:r>
      <w:r>
        <w:rPr>
          <w:b/>
          <w:bCs/>
          <w:sz w:val="36"/>
          <w:szCs w:val="36"/>
        </w:rPr>
        <w:t xml:space="preserve"> </w:t>
      </w:r>
      <w:r>
        <w:rPr>
          <w:rFonts w:hint="eastAsia" w:cs="宋体"/>
          <w:b/>
          <w:bCs/>
          <w:sz w:val="36"/>
          <w:szCs w:val="36"/>
        </w:rPr>
        <w:t>：</w:t>
      </w:r>
      <w:r>
        <w:rPr>
          <w:rFonts w:cs="Times New Roman"/>
          <w:b/>
          <w:bCs/>
          <w:sz w:val="36"/>
          <w:szCs w:val="36"/>
          <w:u w:val="single"/>
        </w:rPr>
        <w:t>             </w:t>
      </w:r>
    </w:p>
    <w:p w14:paraId="59F46764">
      <w:pPr>
        <w:keepNext/>
        <w:keepLines/>
        <w:widowControl/>
        <w:rPr>
          <w:rFonts w:cs="Times New Roman"/>
        </w:rPr>
      </w:pPr>
    </w:p>
    <w:p w14:paraId="3C3913B9">
      <w:pPr>
        <w:keepNext/>
        <w:keepLines/>
        <w:widowControl/>
        <w:rPr>
          <w:rFonts w:cs="Times New Roman"/>
        </w:rPr>
      </w:pPr>
    </w:p>
    <w:p w14:paraId="05EE3483">
      <w:pPr>
        <w:keepNext/>
        <w:keepLines/>
        <w:widowControl/>
        <w:rPr>
          <w:rFonts w:cs="Times New Roman"/>
        </w:rPr>
      </w:pPr>
    </w:p>
    <w:p w14:paraId="7D766B91">
      <w:pPr>
        <w:keepNext/>
        <w:keepLines/>
        <w:widowControl/>
        <w:rPr>
          <w:rFonts w:cs="Times New Roman"/>
        </w:rPr>
      </w:pPr>
    </w:p>
    <w:p w14:paraId="6728AE6C">
      <w:pPr>
        <w:keepNext/>
        <w:keepLines/>
        <w:widowControl/>
        <w:rPr>
          <w:rFonts w:cs="Times New Roman"/>
        </w:rPr>
      </w:pPr>
    </w:p>
    <w:p w14:paraId="545723B0">
      <w:pPr>
        <w:keepNext/>
        <w:keepLines/>
        <w:widowControl/>
        <w:rPr>
          <w:rFonts w:cs="Times New Roman"/>
        </w:rPr>
      </w:pPr>
    </w:p>
    <w:p w14:paraId="49B12700">
      <w:pPr>
        <w:pStyle w:val="49"/>
        <w:keepNext/>
        <w:keepLines/>
        <w:widowControl/>
        <w:rPr>
          <w:rFonts w:cs="Times New Roman"/>
        </w:rPr>
      </w:pPr>
    </w:p>
    <w:p w14:paraId="2E096352">
      <w:pPr>
        <w:pStyle w:val="12"/>
        <w:keepNext/>
        <w:keepLines/>
        <w:widowControl/>
      </w:pPr>
    </w:p>
    <w:p w14:paraId="0B5B365E">
      <w:pPr>
        <w:pStyle w:val="12"/>
        <w:keepNext/>
        <w:keepLines/>
        <w:widowControl/>
      </w:pPr>
    </w:p>
    <w:p w14:paraId="44B11EFA">
      <w:pPr>
        <w:pStyle w:val="12"/>
        <w:keepNext/>
        <w:keepLines/>
        <w:widowControl/>
      </w:pPr>
    </w:p>
    <w:p w14:paraId="34CB8D50">
      <w:pPr>
        <w:pStyle w:val="12"/>
        <w:keepNext/>
        <w:keepLines/>
        <w:widowControl/>
      </w:pPr>
    </w:p>
    <w:p w14:paraId="6EDE765B">
      <w:pPr>
        <w:pStyle w:val="12"/>
        <w:keepNext/>
        <w:keepLines/>
        <w:widowControl/>
      </w:pPr>
    </w:p>
    <w:p w14:paraId="5E9EF2BC">
      <w:pPr>
        <w:pStyle w:val="12"/>
        <w:keepNext/>
        <w:keepLines/>
        <w:widowControl/>
      </w:pPr>
    </w:p>
    <w:p w14:paraId="4A981631">
      <w:pPr>
        <w:pStyle w:val="12"/>
        <w:keepNext/>
        <w:keepLines/>
        <w:widowControl/>
      </w:pPr>
    </w:p>
    <w:p w14:paraId="4B142599">
      <w:pPr>
        <w:pStyle w:val="12"/>
        <w:keepNext/>
        <w:keepLines/>
        <w:widowControl/>
      </w:pPr>
    </w:p>
    <w:p w14:paraId="34C4A788">
      <w:pPr>
        <w:pStyle w:val="12"/>
        <w:keepNext/>
        <w:keepLines/>
        <w:widowControl/>
      </w:pPr>
    </w:p>
    <w:p w14:paraId="17293E7A">
      <w:pPr>
        <w:pStyle w:val="12"/>
        <w:keepNext/>
        <w:keepLines/>
        <w:widowControl/>
      </w:pPr>
    </w:p>
    <w:p w14:paraId="2AF81920">
      <w:pPr>
        <w:pStyle w:val="12"/>
        <w:keepNext/>
        <w:keepLines/>
        <w:widowControl/>
      </w:pPr>
    </w:p>
    <w:p w14:paraId="1346E2E4">
      <w:pPr>
        <w:keepNext/>
        <w:keepLines/>
        <w:widowControl/>
        <w:rPr>
          <w:rFonts w:cs="Times New Roman"/>
        </w:rPr>
      </w:pPr>
    </w:p>
    <w:p w14:paraId="79FF0DCD">
      <w:pPr>
        <w:pStyle w:val="44"/>
        <w:keepNext/>
        <w:keepLines/>
        <w:spacing w:beforeAutospacing="0" w:afterAutospacing="0" w:line="240" w:lineRule="atLeast"/>
        <w:jc w:val="both"/>
        <w:rPr>
          <w:rFonts w:cs="Times New Roman"/>
          <w:b/>
          <w:bCs/>
          <w:sz w:val="32"/>
          <w:szCs w:val="32"/>
        </w:rPr>
      </w:pPr>
    </w:p>
    <w:p w14:paraId="7C3D6714">
      <w:pPr>
        <w:pStyle w:val="44"/>
        <w:keepNext/>
        <w:keepLines/>
        <w:spacing w:beforeAutospacing="0" w:afterAutospacing="0" w:line="240" w:lineRule="atLeast"/>
        <w:jc w:val="center"/>
        <w:rPr>
          <w:rFonts w:cs="Times New Roman"/>
          <w:b/>
          <w:bCs/>
          <w:sz w:val="32"/>
          <w:szCs w:val="32"/>
        </w:rPr>
      </w:pPr>
    </w:p>
    <w:p w14:paraId="3DB6837B">
      <w:pPr>
        <w:pStyle w:val="44"/>
        <w:keepNext/>
        <w:keepLines/>
        <w:spacing w:beforeAutospacing="0" w:afterAutospacing="0" w:line="240" w:lineRule="atLeast"/>
        <w:jc w:val="center"/>
        <w:rPr>
          <w:rFonts w:hint="eastAsia"/>
          <w:b/>
          <w:bCs/>
          <w:sz w:val="32"/>
          <w:szCs w:val="32"/>
        </w:rPr>
      </w:pPr>
    </w:p>
    <w:p w14:paraId="771BAC80">
      <w:pPr>
        <w:pStyle w:val="44"/>
        <w:keepNext/>
        <w:keepLines/>
        <w:spacing w:beforeAutospacing="0" w:afterAutospacing="0" w:line="240" w:lineRule="atLeast"/>
        <w:jc w:val="center"/>
        <w:rPr>
          <w:rFonts w:cs="Times New Roman"/>
        </w:rPr>
      </w:pPr>
      <w:r>
        <w:rPr>
          <w:rFonts w:hint="eastAsia"/>
          <w:b/>
          <w:bCs/>
          <w:sz w:val="32"/>
          <w:szCs w:val="32"/>
        </w:rPr>
        <w:t>投标文件目录</w:t>
      </w:r>
      <w:r>
        <w:rPr>
          <w:rFonts w:cs="Times New Roman"/>
        </w:rPr>
        <w:t> </w:t>
      </w:r>
    </w:p>
    <w:p w14:paraId="057317E0">
      <w:pPr>
        <w:pStyle w:val="44"/>
        <w:keepNext/>
        <w:keepLines/>
        <w:spacing w:before="0" w:beforeAutospacing="0" w:after="0" w:afterAutospacing="0"/>
        <w:ind w:firstLine="480"/>
        <w:rPr>
          <w:rFonts w:cs="Times New Roman"/>
        </w:rPr>
      </w:pPr>
      <w:r>
        <w:rPr>
          <w:rFonts w:hint="eastAsia"/>
          <w:u w:val="single"/>
        </w:rPr>
        <w:t>一、法人或者其他组织的营业执照等证明文件，自然人的身份证明</w:t>
      </w:r>
    </w:p>
    <w:p w14:paraId="0B9D0507">
      <w:pPr>
        <w:keepNext/>
        <w:keepLines/>
        <w:widowControl/>
        <w:tabs>
          <w:tab w:val="left" w:pos="1331"/>
        </w:tabs>
        <w:ind w:firstLine="480"/>
        <w:jc w:val="left"/>
        <w:rPr>
          <w:rFonts w:ascii="宋体" w:cs="Times New Roman"/>
          <w:sz w:val="24"/>
          <w:szCs w:val="24"/>
          <w:u w:val="single"/>
        </w:rPr>
      </w:pPr>
      <w:r>
        <w:rPr>
          <w:rFonts w:hint="eastAsia" w:ascii="宋体" w:hAnsi="宋体" w:cs="宋体"/>
          <w:sz w:val="24"/>
          <w:szCs w:val="24"/>
          <w:u w:val="single"/>
        </w:rPr>
        <w:t>二、上一年度的财务状况报表（至少提供资产负债表、利润表、现金流量表，</w:t>
      </w:r>
    </w:p>
    <w:p w14:paraId="27B6B5B9">
      <w:pPr>
        <w:pStyle w:val="44"/>
        <w:keepNext/>
        <w:keepLines/>
        <w:spacing w:before="0" w:beforeAutospacing="0" w:after="0" w:afterAutospacing="0"/>
        <w:rPr>
          <w:rFonts w:cs="Times New Roman"/>
        </w:rPr>
      </w:pPr>
      <w:r>
        <w:rPr>
          <w:rFonts w:hint="eastAsia"/>
          <w:u w:val="single"/>
        </w:rPr>
        <w:t>投标人成立不满一年无需提供）</w:t>
      </w:r>
    </w:p>
    <w:p w14:paraId="11DD3ED5">
      <w:pPr>
        <w:pStyle w:val="44"/>
        <w:keepNext/>
        <w:keepLines/>
        <w:spacing w:before="0" w:beforeAutospacing="0" w:after="0" w:afterAutospacing="0"/>
        <w:ind w:firstLine="480"/>
        <w:rPr>
          <w:rFonts w:cs="Times New Roman"/>
          <w:u w:val="single"/>
        </w:rPr>
      </w:pPr>
      <w:r>
        <w:rPr>
          <w:rFonts w:hint="eastAsia"/>
          <w:u w:val="single"/>
        </w:rPr>
        <w:t>三、具备履行合同所必需的设备和专业技术能力的书面声明</w:t>
      </w:r>
    </w:p>
    <w:p w14:paraId="31A20573">
      <w:pPr>
        <w:pStyle w:val="44"/>
        <w:keepNext/>
        <w:keepLines/>
        <w:spacing w:before="0" w:beforeAutospacing="0" w:after="0" w:afterAutospacing="0"/>
        <w:ind w:firstLine="480"/>
        <w:rPr>
          <w:rFonts w:cs="Times New Roman"/>
          <w:u w:val="single"/>
        </w:rPr>
      </w:pPr>
      <w:r>
        <w:rPr>
          <w:rFonts w:hint="eastAsia"/>
          <w:u w:val="singl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1076E11C">
      <w:pPr>
        <w:pStyle w:val="44"/>
        <w:keepNext/>
        <w:keepLines/>
        <w:spacing w:before="0" w:beforeAutospacing="0" w:after="0" w:afterAutospacing="0"/>
        <w:ind w:firstLine="480"/>
        <w:rPr>
          <w:rFonts w:cs="Times New Roman"/>
        </w:rPr>
      </w:pPr>
      <w:r>
        <w:rPr>
          <w:rFonts w:hint="eastAsia"/>
          <w:u w:val="single"/>
        </w:rPr>
        <w:t>五、参加政府采购活动前</w:t>
      </w:r>
      <w:r>
        <w:rPr>
          <w:u w:val="single"/>
        </w:rPr>
        <w:t xml:space="preserve"> 3 </w:t>
      </w:r>
      <w:r>
        <w:rPr>
          <w:rFonts w:hint="eastAsia"/>
          <w:u w:val="single"/>
        </w:rPr>
        <w:t>年内在经营活动中没有重大违法记录的书面声明</w:t>
      </w:r>
    </w:p>
    <w:p w14:paraId="24211599">
      <w:pPr>
        <w:pStyle w:val="44"/>
        <w:keepNext/>
        <w:keepLines/>
        <w:spacing w:before="0" w:beforeAutospacing="0" w:after="0" w:afterAutospacing="0"/>
        <w:ind w:firstLine="480"/>
        <w:rPr>
          <w:rFonts w:cs="Times New Roman"/>
        </w:rPr>
      </w:pPr>
      <w:r>
        <w:rPr>
          <w:rFonts w:hint="eastAsia"/>
          <w:u w:val="single"/>
        </w:rPr>
        <w:t>六、特定资格要求的证明文件（如果本项目设置特定资格要求，则需要提供）</w:t>
      </w:r>
    </w:p>
    <w:p w14:paraId="3E17C1D6">
      <w:pPr>
        <w:pStyle w:val="44"/>
        <w:keepNext/>
        <w:keepLines/>
        <w:spacing w:before="0" w:beforeAutospacing="0" w:after="0" w:afterAutospacing="0"/>
        <w:ind w:firstLine="480"/>
        <w:rPr>
          <w:rFonts w:cs="Times New Roman"/>
        </w:rPr>
      </w:pPr>
      <w:r>
        <w:rPr>
          <w:rFonts w:hint="eastAsia"/>
          <w:u w:val="single"/>
        </w:rPr>
        <w:t>七、法人授权书</w:t>
      </w:r>
    </w:p>
    <w:p w14:paraId="0835B817">
      <w:pPr>
        <w:pStyle w:val="44"/>
        <w:keepNext/>
        <w:keepLines/>
        <w:spacing w:before="0" w:beforeAutospacing="0" w:after="0" w:afterAutospacing="0"/>
        <w:ind w:firstLine="480"/>
        <w:rPr>
          <w:rFonts w:cs="Times New Roman"/>
        </w:rPr>
      </w:pPr>
      <w:r>
        <w:rPr>
          <w:rFonts w:hint="eastAsia"/>
          <w:u w:val="single"/>
        </w:rPr>
        <w:t>八、投标函</w:t>
      </w:r>
    </w:p>
    <w:p w14:paraId="462E1078">
      <w:pPr>
        <w:pStyle w:val="44"/>
        <w:keepNext/>
        <w:keepLines/>
        <w:spacing w:before="0" w:beforeAutospacing="0" w:after="0" w:afterAutospacing="0"/>
        <w:ind w:firstLine="480"/>
        <w:rPr>
          <w:rFonts w:cs="Times New Roman"/>
        </w:rPr>
      </w:pPr>
      <w:r>
        <w:rPr>
          <w:rFonts w:hint="eastAsia"/>
        </w:rPr>
        <w:t>九、小微企业声明函</w:t>
      </w:r>
    </w:p>
    <w:p w14:paraId="55EFF624">
      <w:pPr>
        <w:pStyle w:val="44"/>
        <w:keepNext/>
        <w:keepLines/>
        <w:spacing w:before="0" w:beforeAutospacing="0" w:after="0" w:afterAutospacing="0"/>
        <w:ind w:firstLine="480"/>
        <w:rPr>
          <w:rFonts w:cs="Times New Roman"/>
        </w:rPr>
      </w:pPr>
      <w:r>
        <w:rPr>
          <w:rFonts w:hint="eastAsia"/>
        </w:rPr>
        <w:t>十、残疾人福利性单位声明函</w:t>
      </w:r>
    </w:p>
    <w:p w14:paraId="340C64AD">
      <w:pPr>
        <w:pStyle w:val="44"/>
        <w:keepNext/>
        <w:keepLines/>
        <w:spacing w:before="0" w:beforeAutospacing="0" w:after="0" w:afterAutospacing="0"/>
        <w:ind w:firstLine="480"/>
        <w:rPr>
          <w:rFonts w:cs="Times New Roman"/>
        </w:rPr>
      </w:pPr>
      <w:r>
        <w:rPr>
          <w:rFonts w:hint="eastAsia"/>
        </w:rPr>
        <w:t>十一、投标分项报价表</w:t>
      </w:r>
    </w:p>
    <w:p w14:paraId="2372B0F1">
      <w:pPr>
        <w:pStyle w:val="44"/>
        <w:keepNext/>
        <w:keepLines/>
        <w:spacing w:before="0" w:beforeAutospacing="0" w:after="0" w:afterAutospacing="0"/>
        <w:ind w:firstLine="480"/>
        <w:rPr>
          <w:rFonts w:cs="Times New Roman"/>
        </w:rPr>
      </w:pPr>
      <w:r>
        <w:rPr>
          <w:rFonts w:hint="eastAsia"/>
        </w:rPr>
        <w:t>十二、技术要求响应及偏离表</w:t>
      </w:r>
    </w:p>
    <w:p w14:paraId="3360F819">
      <w:pPr>
        <w:pStyle w:val="44"/>
        <w:keepNext/>
        <w:keepLines/>
        <w:spacing w:before="0" w:beforeAutospacing="0" w:after="0" w:afterAutospacing="0"/>
        <w:ind w:firstLine="480"/>
        <w:rPr>
          <w:rFonts w:cs="Times New Roman"/>
        </w:rPr>
      </w:pPr>
      <w:r>
        <w:rPr>
          <w:rFonts w:hint="eastAsia"/>
        </w:rPr>
        <w:t>十三、商务要求响应及偏离表</w:t>
      </w:r>
    </w:p>
    <w:p w14:paraId="1857BE4F">
      <w:pPr>
        <w:pStyle w:val="44"/>
        <w:keepNext/>
        <w:keepLines/>
        <w:spacing w:before="0" w:beforeAutospacing="0" w:after="0" w:afterAutospacing="0"/>
        <w:ind w:firstLine="480"/>
        <w:rPr>
          <w:rFonts w:cs="Times New Roman"/>
          <w:u w:val="single"/>
        </w:rPr>
      </w:pPr>
      <w:r>
        <w:rPr>
          <w:rFonts w:hint="eastAsia"/>
          <w:u w:val="single"/>
        </w:rPr>
        <w:t>十四、开标一览表</w:t>
      </w:r>
    </w:p>
    <w:p w14:paraId="16B7EBC0">
      <w:pPr>
        <w:keepNext/>
        <w:keepLines/>
        <w:widowControl/>
        <w:ind w:firstLine="480"/>
        <w:jc w:val="left"/>
        <w:rPr>
          <w:rFonts w:ascii="宋体" w:cs="Times New Roman"/>
          <w:sz w:val="24"/>
          <w:szCs w:val="24"/>
        </w:rPr>
      </w:pPr>
      <w:r>
        <w:rPr>
          <w:rFonts w:hint="eastAsia" w:ascii="宋体" w:hAnsi="宋体" w:cs="宋体"/>
          <w:sz w:val="24"/>
          <w:szCs w:val="24"/>
        </w:rPr>
        <w:t>十五、技术方案等</w:t>
      </w:r>
    </w:p>
    <w:p w14:paraId="18CDCE70">
      <w:pPr>
        <w:pStyle w:val="44"/>
        <w:keepNext/>
        <w:keepLines/>
        <w:spacing w:before="0" w:beforeAutospacing="0" w:after="0" w:afterAutospacing="0"/>
        <w:ind w:firstLine="480"/>
        <w:rPr>
          <w:rFonts w:cs="Times New Roman"/>
        </w:rPr>
      </w:pPr>
      <w:r>
        <w:rPr>
          <w:rFonts w:hint="eastAsia"/>
        </w:rPr>
        <w:t>十六、盐城市政府采购事前信用承诺书</w:t>
      </w:r>
    </w:p>
    <w:p w14:paraId="30AEF9C7">
      <w:pPr>
        <w:pStyle w:val="44"/>
        <w:keepNext/>
        <w:keepLines/>
        <w:spacing w:before="0" w:beforeAutospacing="0" w:after="0" w:afterAutospacing="0"/>
        <w:ind w:firstLine="480"/>
        <w:rPr>
          <w:rFonts w:cs="Times New Roman"/>
        </w:rPr>
      </w:pPr>
      <w:r>
        <w:rPr>
          <w:rFonts w:hint="eastAsia"/>
        </w:rPr>
        <w:t>十七、人员配备一览表</w:t>
      </w:r>
    </w:p>
    <w:p w14:paraId="24C00E5E">
      <w:pPr>
        <w:pStyle w:val="44"/>
        <w:keepNext/>
        <w:keepLines/>
        <w:spacing w:before="0" w:beforeAutospacing="0" w:after="0" w:afterAutospacing="0"/>
        <w:ind w:firstLine="480"/>
        <w:rPr>
          <w:rFonts w:cs="Times New Roman"/>
        </w:rPr>
      </w:pPr>
      <w:bookmarkStart w:id="145" w:name="_Toc24878535"/>
      <w:bookmarkStart w:id="146" w:name="_Toc120614284"/>
      <w:bookmarkStart w:id="147" w:name="_Toc49090582"/>
      <w:bookmarkStart w:id="148" w:name="_Toc26554103"/>
      <w:bookmarkStart w:id="149" w:name="_Toc513029281"/>
      <w:bookmarkStart w:id="150" w:name="_Toc22356583"/>
      <w:bookmarkStart w:id="151" w:name="_Toc23828483"/>
      <w:bookmarkStart w:id="152" w:name="_Toc120614291"/>
      <w:r>
        <w:rPr>
          <w:rFonts w:hint="eastAsia"/>
        </w:rPr>
        <w:t>十八、招标文件中规定要求提供的其他证明材料和投标人认为需要提供的其他材料</w:t>
      </w:r>
      <w:r>
        <w:rPr>
          <w:rFonts w:cs="Times New Roman"/>
        </w:rPr>
        <w:t> </w:t>
      </w:r>
    </w:p>
    <w:p w14:paraId="0BD9B064">
      <w:pPr>
        <w:pStyle w:val="44"/>
        <w:keepNext/>
        <w:keepLines/>
        <w:spacing w:before="0" w:beforeAutospacing="0" w:after="0" w:afterAutospacing="0"/>
        <w:ind w:firstLine="482"/>
        <w:rPr>
          <w:rFonts w:cs="Times New Roman"/>
          <w:b/>
          <w:bCs/>
        </w:rPr>
      </w:pPr>
      <w:r>
        <w:rPr>
          <w:rFonts w:hint="eastAsia"/>
          <w:b/>
          <w:bCs/>
        </w:rPr>
        <w:t>注：如招标文件中提供的格式与苏采云系统中的格式不一致的，以苏采云系统中的格式为准。</w:t>
      </w:r>
    </w:p>
    <w:bookmarkEnd w:id="66"/>
    <w:bookmarkEnd w:id="67"/>
    <w:bookmarkEnd w:id="68"/>
    <w:bookmarkEnd w:id="145"/>
    <w:bookmarkEnd w:id="146"/>
    <w:bookmarkEnd w:id="147"/>
    <w:bookmarkEnd w:id="148"/>
    <w:bookmarkEnd w:id="149"/>
    <w:bookmarkEnd w:id="150"/>
    <w:bookmarkEnd w:id="151"/>
    <w:bookmarkEnd w:id="152"/>
    <w:p w14:paraId="16A18F83">
      <w:pPr>
        <w:keepNext/>
        <w:keepLines/>
        <w:widowControl/>
        <w:spacing w:before="50" w:after="143"/>
        <w:ind w:firstLine="482"/>
        <w:jc w:val="left"/>
        <w:rPr>
          <w:rFonts w:ascii="宋体" w:cs="Times New Roman"/>
          <w:b/>
          <w:bCs/>
          <w:i/>
          <w:iCs/>
          <w:sz w:val="24"/>
          <w:szCs w:val="24"/>
          <w:u w:val="single"/>
        </w:rPr>
      </w:pPr>
    </w:p>
    <w:p w14:paraId="07C9219F">
      <w:pPr>
        <w:pStyle w:val="44"/>
        <w:keepNext/>
        <w:keepLines/>
        <w:spacing w:beforeAutospacing="0" w:afterAutospacing="0"/>
        <w:jc w:val="both"/>
        <w:rPr>
          <w:rFonts w:ascii="黑体" w:eastAsia="黑体" w:cs="Times New Roman"/>
          <w:i/>
          <w:iCs/>
          <w:sz w:val="32"/>
          <w:szCs w:val="32"/>
          <w:u w:val="single"/>
        </w:rPr>
      </w:pPr>
    </w:p>
    <w:p w14:paraId="77699369">
      <w:pPr>
        <w:pStyle w:val="44"/>
        <w:keepNext/>
        <w:keepLines/>
        <w:spacing w:beforeAutospacing="0" w:afterAutospacing="0"/>
        <w:jc w:val="both"/>
        <w:rPr>
          <w:rFonts w:ascii="黑体" w:eastAsia="黑体" w:cs="Times New Roman"/>
          <w:i/>
          <w:iCs/>
          <w:sz w:val="32"/>
          <w:szCs w:val="32"/>
          <w:u w:val="single"/>
        </w:rPr>
      </w:pPr>
    </w:p>
    <w:p w14:paraId="47C3E994">
      <w:pPr>
        <w:pStyle w:val="44"/>
        <w:keepNext/>
        <w:keepLines/>
        <w:spacing w:beforeAutospacing="0" w:afterAutospacing="0"/>
        <w:jc w:val="both"/>
        <w:rPr>
          <w:rFonts w:ascii="黑体" w:eastAsia="黑体" w:cs="Times New Roman"/>
          <w:i/>
          <w:iCs/>
          <w:sz w:val="32"/>
          <w:szCs w:val="32"/>
          <w:u w:val="single"/>
        </w:rPr>
      </w:pPr>
    </w:p>
    <w:p w14:paraId="41EBAE27">
      <w:pPr>
        <w:pStyle w:val="44"/>
        <w:keepNext/>
        <w:keepLines/>
        <w:spacing w:beforeAutospacing="0" w:afterAutospacing="0"/>
        <w:jc w:val="both"/>
        <w:rPr>
          <w:rFonts w:ascii="黑体" w:eastAsia="黑体" w:cs="Times New Roman"/>
          <w:i/>
          <w:iCs/>
          <w:sz w:val="32"/>
          <w:szCs w:val="32"/>
          <w:u w:val="single"/>
        </w:rPr>
      </w:pPr>
    </w:p>
    <w:p w14:paraId="34A471CD">
      <w:pPr>
        <w:pStyle w:val="44"/>
        <w:keepNext/>
        <w:keepLines/>
        <w:spacing w:beforeAutospacing="0" w:afterAutospacing="0"/>
        <w:jc w:val="both"/>
        <w:rPr>
          <w:rFonts w:ascii="黑体" w:eastAsia="黑体" w:cs="Times New Roman"/>
          <w:i/>
          <w:iCs/>
          <w:sz w:val="32"/>
          <w:szCs w:val="32"/>
          <w:u w:val="single"/>
        </w:rPr>
      </w:pPr>
    </w:p>
    <w:p w14:paraId="45DA8CD7">
      <w:pPr>
        <w:pStyle w:val="44"/>
        <w:keepNext/>
        <w:keepLines/>
        <w:spacing w:beforeAutospacing="0" w:afterAutospacing="0"/>
        <w:jc w:val="both"/>
        <w:rPr>
          <w:rFonts w:ascii="黑体" w:eastAsia="黑体" w:cs="Times New Roman"/>
          <w:i/>
          <w:iCs/>
          <w:sz w:val="32"/>
          <w:szCs w:val="32"/>
          <w:u w:val="single"/>
        </w:rPr>
      </w:pPr>
    </w:p>
    <w:p w14:paraId="51101A28">
      <w:pPr>
        <w:pStyle w:val="44"/>
        <w:keepNext/>
        <w:keepLines/>
        <w:spacing w:beforeAutospacing="0" w:afterAutospacing="0"/>
        <w:jc w:val="both"/>
        <w:rPr>
          <w:rFonts w:ascii="黑体" w:eastAsia="黑体" w:cs="Times New Roman"/>
          <w:i/>
          <w:iCs/>
          <w:sz w:val="32"/>
          <w:szCs w:val="32"/>
          <w:u w:val="single"/>
        </w:rPr>
      </w:pPr>
    </w:p>
    <w:p w14:paraId="7964931F">
      <w:pPr>
        <w:pStyle w:val="44"/>
        <w:keepNext/>
        <w:keepLines/>
        <w:spacing w:beforeAutospacing="0" w:afterAutospacing="0"/>
        <w:jc w:val="both"/>
        <w:rPr>
          <w:rFonts w:ascii="黑体" w:eastAsia="黑体" w:cs="Times New Roman"/>
          <w:i/>
          <w:iCs/>
          <w:sz w:val="32"/>
          <w:szCs w:val="32"/>
          <w:u w:val="single"/>
        </w:rPr>
      </w:pPr>
    </w:p>
    <w:p w14:paraId="4A26E197">
      <w:pPr>
        <w:pStyle w:val="44"/>
        <w:keepNext/>
        <w:keepLines/>
        <w:spacing w:beforeAutospacing="0" w:afterAutospacing="0"/>
        <w:jc w:val="both"/>
        <w:rPr>
          <w:rFonts w:ascii="黑体" w:eastAsia="黑体" w:cs="Times New Roman"/>
          <w:i/>
          <w:iCs/>
          <w:sz w:val="32"/>
          <w:szCs w:val="32"/>
          <w:u w:val="single"/>
        </w:rPr>
      </w:pPr>
    </w:p>
    <w:p w14:paraId="69416D89">
      <w:pPr>
        <w:pStyle w:val="44"/>
        <w:keepNext/>
        <w:keepLines/>
        <w:spacing w:beforeAutospacing="0" w:afterAutospacing="0"/>
        <w:jc w:val="both"/>
        <w:rPr>
          <w:rFonts w:ascii="黑体" w:eastAsia="黑体" w:cs="Times New Roman"/>
          <w:i/>
          <w:iCs/>
          <w:sz w:val="32"/>
          <w:szCs w:val="32"/>
          <w:u w:val="single"/>
        </w:rPr>
      </w:pPr>
    </w:p>
    <w:p w14:paraId="30838513">
      <w:pPr>
        <w:pStyle w:val="44"/>
        <w:keepNext/>
        <w:keepLines/>
        <w:spacing w:beforeAutospacing="0" w:afterAutospacing="0"/>
        <w:jc w:val="both"/>
        <w:rPr>
          <w:rFonts w:ascii="黑体" w:eastAsia="黑体" w:cs="Times New Roman"/>
          <w:i/>
          <w:iCs/>
          <w:sz w:val="32"/>
          <w:szCs w:val="32"/>
          <w:u w:val="single"/>
        </w:rPr>
      </w:pPr>
    </w:p>
    <w:p w14:paraId="5ED40E12">
      <w:pPr>
        <w:pStyle w:val="44"/>
        <w:keepNext/>
        <w:keepLines/>
        <w:spacing w:beforeAutospacing="0" w:afterAutospacing="0"/>
        <w:jc w:val="both"/>
        <w:rPr>
          <w:rFonts w:ascii="黑体" w:eastAsia="黑体" w:cs="Times New Roman"/>
          <w:i/>
          <w:iCs/>
          <w:sz w:val="32"/>
          <w:szCs w:val="32"/>
          <w:u w:val="single"/>
        </w:rPr>
      </w:pPr>
    </w:p>
    <w:p w14:paraId="220DE668">
      <w:pPr>
        <w:pStyle w:val="44"/>
        <w:keepNext/>
        <w:keepLines/>
        <w:spacing w:beforeAutospacing="0" w:afterAutospacing="0"/>
        <w:jc w:val="both"/>
        <w:rPr>
          <w:rFonts w:ascii="黑体" w:eastAsia="黑体" w:cs="Times New Roman"/>
          <w:i/>
          <w:iCs/>
          <w:sz w:val="32"/>
          <w:szCs w:val="32"/>
          <w:u w:val="single"/>
        </w:rPr>
      </w:pPr>
      <w:r>
        <w:rPr>
          <w:rFonts w:hint="eastAsia" w:ascii="黑体" w:eastAsia="黑体" w:cs="黑体"/>
          <w:i/>
          <w:iCs/>
          <w:sz w:val="32"/>
          <w:szCs w:val="32"/>
          <w:u w:val="single"/>
        </w:rPr>
        <w:t>一、法人或者其他组织的营业执照等证明文件，自然人的身份证明</w:t>
      </w:r>
    </w:p>
    <w:p w14:paraId="244C6646">
      <w:pPr>
        <w:pStyle w:val="44"/>
        <w:keepNext/>
        <w:keepLines/>
        <w:spacing w:beforeAutospacing="0" w:afterAutospacing="0"/>
        <w:jc w:val="both"/>
        <w:rPr>
          <w:rFonts w:ascii="黑体" w:eastAsia="黑体" w:cs="Times New Roman"/>
          <w:i/>
          <w:iCs/>
          <w:sz w:val="32"/>
          <w:szCs w:val="32"/>
          <w:u w:val="single"/>
        </w:rPr>
      </w:pPr>
    </w:p>
    <w:p w14:paraId="1AB926AA">
      <w:pPr>
        <w:pStyle w:val="44"/>
        <w:keepNext/>
        <w:keepLines/>
        <w:spacing w:beforeAutospacing="0" w:afterAutospacing="0"/>
        <w:jc w:val="both"/>
        <w:rPr>
          <w:rFonts w:cs="Times New Roman"/>
        </w:rPr>
      </w:pPr>
    </w:p>
    <w:p w14:paraId="54490D78">
      <w:pPr>
        <w:pStyle w:val="44"/>
        <w:keepNext/>
        <w:keepLines/>
        <w:spacing w:beforeAutospacing="0" w:afterAutospacing="0" w:line="240" w:lineRule="atLeast"/>
        <w:ind w:firstLine="480"/>
        <w:jc w:val="both"/>
        <w:rPr>
          <w:rFonts w:cs="Times New Roman"/>
        </w:rPr>
      </w:pPr>
      <w:r>
        <w:rPr>
          <w:rFonts w:cs="Times New Roman"/>
        </w:rPr>
        <w:t> </w:t>
      </w:r>
    </w:p>
    <w:p w14:paraId="52B4A8FF">
      <w:pPr>
        <w:pStyle w:val="281"/>
        <w:keepNext/>
        <w:keepLines/>
        <w:ind w:firstLine="420"/>
        <w:rPr>
          <w:rFonts w:hAnsi="宋体" w:cs="Times New Roman"/>
          <w:sz w:val="24"/>
          <w:szCs w:val="24"/>
        </w:rPr>
      </w:pPr>
      <w:r>
        <w:rPr>
          <w:rFonts w:cs="Times New Roman"/>
        </w:rPr>
        <w:br w:type="page" w:clear="all"/>
      </w:r>
    </w:p>
    <w:p w14:paraId="4A3CD31A">
      <w:pPr>
        <w:pStyle w:val="44"/>
        <w:keepNext/>
        <w:keepLines/>
        <w:spacing w:beforeAutospacing="0" w:afterAutospacing="0"/>
        <w:jc w:val="both"/>
        <w:rPr>
          <w:rFonts w:eastAsia="黑体" w:cs="Times New Roman"/>
        </w:rPr>
      </w:pPr>
      <w:r>
        <w:rPr>
          <w:rFonts w:hint="eastAsia" w:ascii="黑体" w:eastAsia="黑体" w:cs="黑体"/>
          <w:i/>
          <w:iCs/>
          <w:sz w:val="32"/>
          <w:szCs w:val="32"/>
          <w:u w:val="single"/>
        </w:rPr>
        <w:t>二、上一年度的财务状况报表</w:t>
      </w:r>
    </w:p>
    <w:p w14:paraId="098A7BF7">
      <w:pPr>
        <w:pStyle w:val="44"/>
        <w:keepNext/>
        <w:keepLines/>
        <w:spacing w:beforeAutospacing="0" w:afterAutospacing="0" w:line="240" w:lineRule="atLeast"/>
        <w:ind w:firstLine="480"/>
        <w:jc w:val="both"/>
        <w:rPr>
          <w:rFonts w:cs="Times New Roman"/>
        </w:rPr>
      </w:pPr>
      <w:r>
        <w:rPr>
          <w:rFonts w:hint="eastAsia"/>
        </w:rPr>
        <w:t>投标人成立不满一年无需提供</w:t>
      </w:r>
    </w:p>
    <w:p w14:paraId="6E928128">
      <w:pPr>
        <w:pStyle w:val="44"/>
        <w:keepNext/>
        <w:keepLines/>
        <w:spacing w:beforeAutospacing="0" w:afterAutospacing="0"/>
        <w:jc w:val="both"/>
        <w:rPr>
          <w:rFonts w:cs="Times New Roman"/>
        </w:rPr>
      </w:pPr>
      <w:r>
        <w:rPr>
          <w:rFonts w:cs="Times New Roman"/>
        </w:rPr>
        <w:t> </w:t>
      </w:r>
    </w:p>
    <w:p w14:paraId="76ECF5D7">
      <w:pPr>
        <w:pStyle w:val="281"/>
        <w:keepNext/>
        <w:keepLines/>
        <w:ind w:firstLine="420"/>
        <w:rPr>
          <w:rFonts w:hAnsi="宋体" w:cs="Times New Roman"/>
          <w:sz w:val="24"/>
          <w:szCs w:val="24"/>
        </w:rPr>
      </w:pPr>
      <w:r>
        <w:rPr>
          <w:rFonts w:cs="Times New Roman"/>
        </w:rPr>
        <w:br w:type="page" w:clear="all"/>
      </w:r>
    </w:p>
    <w:p w14:paraId="737C52B2">
      <w:pPr>
        <w:pStyle w:val="44"/>
        <w:keepNext/>
        <w:keepLines/>
        <w:spacing w:beforeAutospacing="0" w:afterAutospacing="0"/>
        <w:jc w:val="both"/>
        <w:rPr>
          <w:rFonts w:cs="Times New Roman"/>
        </w:rPr>
      </w:pPr>
      <w:r>
        <w:rPr>
          <w:rFonts w:hint="eastAsia" w:ascii="黑体" w:eastAsia="黑体" w:cs="黑体"/>
          <w:i/>
          <w:iCs/>
          <w:sz w:val="32"/>
          <w:szCs w:val="32"/>
          <w:u w:val="single"/>
        </w:rPr>
        <w:t>三、具备履行合同所必需的设备和专业技术能力的书面声明</w:t>
      </w:r>
    </w:p>
    <w:p w14:paraId="5D5048A6">
      <w:pPr>
        <w:pStyle w:val="44"/>
        <w:keepNext/>
        <w:keepLines/>
        <w:spacing w:beforeAutospacing="0" w:afterAutospacing="0" w:line="240" w:lineRule="atLeast"/>
        <w:ind w:firstLine="492"/>
        <w:jc w:val="both"/>
        <w:rPr>
          <w:rFonts w:cs="Times New Roman"/>
        </w:rPr>
      </w:pPr>
      <w:r>
        <w:rPr>
          <w:rFonts w:hint="eastAsia"/>
        </w:rPr>
        <w:t>我单位郑重声明：我单位具备履行本项采购合同所必需的设备和专业技术能力，为履行本项采购合同我公司具备如下主要设备和主要专业技术能力：</w:t>
      </w:r>
    </w:p>
    <w:p w14:paraId="1E03B5F1">
      <w:pPr>
        <w:pStyle w:val="44"/>
        <w:keepNext/>
        <w:keepLines/>
        <w:spacing w:beforeAutospacing="0" w:afterAutospacing="0" w:line="240" w:lineRule="atLeast"/>
        <w:ind w:firstLine="492"/>
        <w:jc w:val="both"/>
        <w:rPr>
          <w:rFonts w:cs="Times New Roman"/>
        </w:rPr>
      </w:pPr>
      <w:r>
        <w:rPr>
          <w:rFonts w:hint="eastAsia"/>
        </w:rPr>
        <w:t>主要设备有：</w:t>
      </w:r>
      <w:r>
        <w:rPr>
          <w:rFonts w:cs="Times New Roman"/>
          <w:u w:val="single"/>
        </w:rPr>
        <w:t> </w:t>
      </w:r>
      <w:r>
        <w:rPr>
          <w:u w:val="single"/>
        </w:rPr>
        <w:t xml:space="preserve">   </w:t>
      </w:r>
      <w:r>
        <w:rPr>
          <w:rFonts w:hint="eastAsia"/>
        </w:rPr>
        <w:t>。</w:t>
      </w:r>
    </w:p>
    <w:p w14:paraId="43E0DABC">
      <w:pPr>
        <w:pStyle w:val="44"/>
        <w:keepNext/>
        <w:keepLines/>
        <w:spacing w:beforeAutospacing="0" w:afterAutospacing="0"/>
        <w:ind w:firstLine="480"/>
        <w:jc w:val="both"/>
        <w:rPr>
          <w:rFonts w:cs="Times New Roman"/>
        </w:rPr>
      </w:pPr>
      <w:r>
        <w:rPr>
          <w:rFonts w:hint="eastAsia"/>
        </w:rPr>
        <w:t>主要专业技术能力有：</w:t>
      </w:r>
      <w:r>
        <w:rPr>
          <w:rFonts w:cs="Times New Roman"/>
          <w:u w:val="single"/>
        </w:rPr>
        <w:t>  </w:t>
      </w:r>
      <w:r>
        <w:rPr>
          <w:u w:val="single"/>
        </w:rPr>
        <w:t xml:space="preserve"> </w:t>
      </w:r>
      <w:r>
        <w:rPr>
          <w:rFonts w:hint="eastAsia"/>
        </w:rPr>
        <w:t>。</w:t>
      </w:r>
    </w:p>
    <w:p w14:paraId="409B1C0E">
      <w:pPr>
        <w:pStyle w:val="44"/>
        <w:keepNext/>
        <w:keepLines/>
        <w:spacing w:beforeAutospacing="0" w:afterAutospacing="0"/>
        <w:jc w:val="both"/>
        <w:rPr>
          <w:rFonts w:cs="Times New Roman"/>
        </w:rPr>
      </w:pPr>
    </w:p>
    <w:p w14:paraId="6BC71B7F">
      <w:pPr>
        <w:keepNext/>
        <w:keepLines/>
        <w:widowControl/>
        <w:jc w:val="left"/>
        <w:rPr>
          <w:rFonts w:ascii="宋体" w:cs="Times New Roman"/>
          <w:sz w:val="24"/>
          <w:szCs w:val="24"/>
        </w:rPr>
      </w:pPr>
      <w:r>
        <w:rPr>
          <w:rFonts w:cs="Times New Roman"/>
        </w:rPr>
        <w:br w:type="page" w:clear="all"/>
      </w:r>
    </w:p>
    <w:p w14:paraId="50329FE2">
      <w:pPr>
        <w:pStyle w:val="44"/>
        <w:keepNext/>
        <w:keepLines/>
        <w:spacing w:beforeAutospacing="0" w:afterAutospacing="0"/>
        <w:jc w:val="both"/>
        <w:rPr>
          <w:rFonts w:cs="Times New Roman"/>
        </w:rPr>
      </w:pPr>
      <w:r>
        <w:rPr>
          <w:rFonts w:hint="eastAsia" w:ascii="黑体" w:eastAsia="黑体" w:cs="黑体"/>
          <w:i/>
          <w:iCs/>
          <w:sz w:val="32"/>
          <w:szCs w:val="32"/>
          <w:u w:val="single"/>
        </w:rPr>
        <w:t>四、依法缴纳税收和社会保障资金的相关材料</w:t>
      </w:r>
    </w:p>
    <w:p w14:paraId="12BFE968">
      <w:pPr>
        <w:pStyle w:val="44"/>
        <w:keepNext/>
        <w:keepLines/>
        <w:spacing w:beforeAutospacing="0" w:afterAutospacing="0"/>
        <w:ind w:firstLine="480"/>
        <w:jc w:val="both"/>
        <w:rPr>
          <w:rFonts w:cs="Times New Roman"/>
        </w:rPr>
      </w:pPr>
      <w:r>
        <w:rPr>
          <w:rFonts w:hint="eastAsia"/>
        </w:rPr>
        <w:t>提供提交投标文件截止时间前一年内至少一个月依法缴纳税收及缴纳社会保障资金的证明材料。投标人依法享受缓缴、免缴税收、社会保障资金的提供证明材料。</w:t>
      </w:r>
    </w:p>
    <w:p w14:paraId="1E42A5E6">
      <w:pPr>
        <w:pStyle w:val="44"/>
        <w:keepNext/>
        <w:keepLines/>
        <w:spacing w:beforeAutospacing="0" w:afterAutospacing="0"/>
        <w:ind w:firstLine="480"/>
        <w:jc w:val="both"/>
        <w:rPr>
          <w:rFonts w:cs="Times New Roman"/>
        </w:rPr>
      </w:pPr>
    </w:p>
    <w:p w14:paraId="4AB7D94C">
      <w:pPr>
        <w:keepNext/>
        <w:keepLines/>
        <w:widowControl/>
        <w:jc w:val="left"/>
        <w:rPr>
          <w:rFonts w:ascii="宋体" w:cs="Times New Roman"/>
          <w:sz w:val="24"/>
          <w:szCs w:val="24"/>
        </w:rPr>
      </w:pPr>
      <w:r>
        <w:rPr>
          <w:rFonts w:cs="Times New Roman"/>
        </w:rPr>
        <w:br w:type="page" w:clear="all"/>
      </w:r>
    </w:p>
    <w:p w14:paraId="60F11D1F">
      <w:pPr>
        <w:pStyle w:val="44"/>
        <w:keepNext/>
        <w:keepLines/>
        <w:spacing w:beforeAutospacing="0" w:afterAutospacing="0"/>
        <w:jc w:val="both"/>
        <w:rPr>
          <w:rFonts w:cs="Times New Roman"/>
        </w:rPr>
      </w:pPr>
      <w:r>
        <w:rPr>
          <w:rFonts w:hint="eastAsia" w:ascii="黑体" w:eastAsia="黑体" w:cs="黑体"/>
          <w:i/>
          <w:iCs/>
          <w:sz w:val="32"/>
          <w:szCs w:val="32"/>
          <w:u w:val="single"/>
        </w:rPr>
        <w:t>五、参加政府采购活动前</w:t>
      </w:r>
      <w:r>
        <w:rPr>
          <w:rFonts w:ascii="黑体" w:eastAsia="黑体" w:cs="黑体"/>
          <w:i/>
          <w:iCs/>
          <w:sz w:val="32"/>
          <w:szCs w:val="32"/>
          <w:u w:val="single"/>
        </w:rPr>
        <w:t xml:space="preserve"> 3 </w:t>
      </w:r>
      <w:r>
        <w:rPr>
          <w:rFonts w:hint="eastAsia" w:ascii="黑体" w:eastAsia="黑体" w:cs="黑体"/>
          <w:i/>
          <w:iCs/>
          <w:sz w:val="32"/>
          <w:szCs w:val="32"/>
          <w:u w:val="single"/>
        </w:rPr>
        <w:t>年内在经营活动中没有重大违法记录的书面声明</w:t>
      </w:r>
    </w:p>
    <w:p w14:paraId="7F802BBB">
      <w:pPr>
        <w:pStyle w:val="44"/>
        <w:keepNext/>
        <w:keepLines/>
        <w:spacing w:beforeAutospacing="0" w:afterAutospacing="0" w:line="240" w:lineRule="atLeast"/>
        <w:jc w:val="both"/>
        <w:rPr>
          <w:rFonts w:cs="Times New Roman"/>
          <w:b/>
          <w:bCs/>
          <w:sz w:val="44"/>
          <w:szCs w:val="44"/>
        </w:rPr>
      </w:pPr>
      <w:r>
        <w:rPr>
          <w:rFonts w:cs="Times New Roman"/>
          <w:b/>
          <w:bCs/>
          <w:sz w:val="44"/>
          <w:szCs w:val="44"/>
        </w:rPr>
        <w:t>                </w:t>
      </w:r>
    </w:p>
    <w:p w14:paraId="4569B4BA">
      <w:pPr>
        <w:pStyle w:val="44"/>
        <w:keepNext/>
        <w:keepLines/>
        <w:spacing w:beforeAutospacing="0" w:afterAutospacing="0" w:line="240" w:lineRule="atLeast"/>
        <w:ind w:firstLine="3092"/>
        <w:jc w:val="both"/>
        <w:rPr>
          <w:rFonts w:cs="Times New Roman"/>
        </w:rPr>
      </w:pPr>
      <w:r>
        <w:rPr>
          <w:b/>
          <w:bCs/>
          <w:sz w:val="44"/>
          <w:szCs w:val="44"/>
        </w:rPr>
        <w:t xml:space="preserve">   </w:t>
      </w:r>
      <w:r>
        <w:rPr>
          <w:rFonts w:hint="eastAsia"/>
          <w:b/>
          <w:bCs/>
          <w:sz w:val="44"/>
          <w:szCs w:val="44"/>
        </w:rPr>
        <w:t>声</w:t>
      </w:r>
      <w:r>
        <w:rPr>
          <w:rFonts w:cs="Times New Roman"/>
          <w:b/>
          <w:bCs/>
          <w:sz w:val="44"/>
          <w:szCs w:val="44"/>
        </w:rPr>
        <w:t> </w:t>
      </w:r>
      <w:r>
        <w:rPr>
          <w:b/>
          <w:bCs/>
          <w:sz w:val="44"/>
          <w:szCs w:val="44"/>
        </w:rPr>
        <w:t xml:space="preserve"> </w:t>
      </w:r>
      <w:r>
        <w:rPr>
          <w:rFonts w:hint="eastAsia"/>
          <w:b/>
          <w:bCs/>
          <w:sz w:val="44"/>
          <w:szCs w:val="44"/>
        </w:rPr>
        <w:t>明</w:t>
      </w:r>
    </w:p>
    <w:p w14:paraId="0D36A06A">
      <w:pPr>
        <w:pStyle w:val="44"/>
        <w:keepNext/>
        <w:keepLines/>
        <w:spacing w:beforeAutospacing="0" w:afterAutospacing="0" w:line="240" w:lineRule="atLeast"/>
        <w:jc w:val="both"/>
        <w:rPr>
          <w:rFonts w:cs="Times New Roman"/>
        </w:rPr>
      </w:pPr>
      <w:r>
        <w:rPr>
          <w:rFonts w:cs="Times New Roman"/>
          <w:b/>
          <w:bCs/>
        </w:rPr>
        <w:t>  </w:t>
      </w:r>
      <w:r>
        <w:rPr>
          <w:rFonts w:hint="eastAsia"/>
        </w:rPr>
        <w:t>我单位郑重声明：参加本次政府采购活动前</w:t>
      </w:r>
      <w:r>
        <w:t xml:space="preserve"> 3 </w:t>
      </w:r>
      <w:r>
        <w:rPr>
          <w:rFonts w:hint="eastAsia"/>
        </w:rPr>
        <w:t>年内，我单位在经营活动中没有因违法经营受到刑事处罚或者责令停产停业、吊销许可证或者执照、较大数额罚款等行政处罚。</w:t>
      </w:r>
    </w:p>
    <w:p w14:paraId="1EFB147D">
      <w:pPr>
        <w:pStyle w:val="44"/>
        <w:keepNext/>
        <w:keepLines/>
        <w:spacing w:beforeAutospacing="0" w:afterAutospacing="0"/>
        <w:jc w:val="both"/>
        <w:rPr>
          <w:rFonts w:cs="Times New Roman"/>
        </w:rPr>
      </w:pPr>
      <w:r>
        <w:rPr>
          <w:rFonts w:cs="Times New Roman"/>
        </w:rPr>
        <w:t> </w:t>
      </w:r>
    </w:p>
    <w:p w14:paraId="54E19BFD">
      <w:pPr>
        <w:pStyle w:val="44"/>
        <w:keepNext/>
        <w:keepLines/>
        <w:spacing w:beforeAutospacing="0" w:afterAutospacing="0"/>
        <w:jc w:val="both"/>
        <w:rPr>
          <w:rFonts w:cs="Times New Roman"/>
        </w:rPr>
      </w:pPr>
    </w:p>
    <w:p w14:paraId="441B95BB">
      <w:pPr>
        <w:keepNext/>
        <w:keepLines/>
        <w:widowControl/>
        <w:jc w:val="left"/>
        <w:rPr>
          <w:rFonts w:ascii="宋体" w:cs="Times New Roman"/>
          <w:sz w:val="24"/>
          <w:szCs w:val="24"/>
        </w:rPr>
      </w:pPr>
      <w:r>
        <w:rPr>
          <w:rFonts w:cs="Times New Roman"/>
        </w:rPr>
        <w:br w:type="page" w:clear="all"/>
      </w:r>
    </w:p>
    <w:p w14:paraId="64FA2915">
      <w:pPr>
        <w:pStyle w:val="44"/>
        <w:keepNext/>
        <w:keepLines/>
        <w:spacing w:beforeAutospacing="0" w:afterAutospacing="0"/>
        <w:jc w:val="both"/>
        <w:rPr>
          <w:rFonts w:cs="Times New Roman"/>
        </w:rPr>
      </w:pPr>
      <w:r>
        <w:rPr>
          <w:rFonts w:hint="eastAsia" w:ascii="黑体" w:eastAsia="黑体" w:cs="黑体"/>
          <w:i/>
          <w:iCs/>
          <w:sz w:val="32"/>
          <w:szCs w:val="32"/>
        </w:rPr>
        <w:t>六、特定资格要求的证明文件</w:t>
      </w:r>
    </w:p>
    <w:p w14:paraId="36F894C9">
      <w:pPr>
        <w:pStyle w:val="44"/>
        <w:keepNext/>
        <w:keepLines/>
        <w:spacing w:beforeAutospacing="0" w:afterAutospacing="0" w:line="240" w:lineRule="atLeast"/>
        <w:jc w:val="both"/>
        <w:rPr>
          <w:rFonts w:cs="Times New Roman"/>
        </w:rPr>
      </w:pPr>
      <w:r>
        <w:rPr>
          <w:rFonts w:cs="Times New Roman"/>
        </w:rPr>
        <w:t>  </w:t>
      </w:r>
      <w:r>
        <w:t xml:space="preserve"> </w:t>
      </w:r>
      <w:r>
        <w:rPr>
          <w:rFonts w:hint="eastAsia"/>
        </w:rPr>
        <w:t>如果本项目申请人的特定资格要求中要求提供的，必须提供。</w:t>
      </w:r>
    </w:p>
    <w:p w14:paraId="25CA279B">
      <w:pPr>
        <w:pStyle w:val="44"/>
        <w:keepNext/>
        <w:keepLines/>
        <w:spacing w:beforeAutospacing="0" w:afterAutospacing="0" w:line="240" w:lineRule="atLeast"/>
        <w:jc w:val="both"/>
        <w:rPr>
          <w:rFonts w:cs="Times New Roman"/>
        </w:rPr>
      </w:pPr>
    </w:p>
    <w:p w14:paraId="5DA75BC5">
      <w:pPr>
        <w:pStyle w:val="44"/>
        <w:keepNext/>
        <w:keepLines/>
        <w:spacing w:beforeAutospacing="0" w:afterAutospacing="0" w:line="240" w:lineRule="atLeast"/>
        <w:jc w:val="both"/>
        <w:rPr>
          <w:rFonts w:cs="Times New Roman"/>
        </w:rPr>
      </w:pPr>
    </w:p>
    <w:p w14:paraId="1F7A0420">
      <w:pPr>
        <w:pStyle w:val="44"/>
        <w:keepNext/>
        <w:keepLines/>
        <w:spacing w:beforeAutospacing="0" w:afterAutospacing="0" w:line="240" w:lineRule="atLeast"/>
        <w:jc w:val="both"/>
        <w:rPr>
          <w:rFonts w:cs="Times New Roman"/>
        </w:rPr>
      </w:pPr>
    </w:p>
    <w:p w14:paraId="090EB6A8">
      <w:pPr>
        <w:pStyle w:val="44"/>
        <w:keepNext/>
        <w:keepLines/>
        <w:spacing w:beforeAutospacing="0" w:afterAutospacing="0" w:line="240" w:lineRule="atLeast"/>
        <w:jc w:val="both"/>
        <w:rPr>
          <w:rFonts w:cs="Times New Roman"/>
        </w:rPr>
      </w:pPr>
    </w:p>
    <w:p w14:paraId="22E22B64">
      <w:pPr>
        <w:pStyle w:val="44"/>
        <w:keepNext/>
        <w:keepLines/>
        <w:spacing w:beforeAutospacing="0" w:afterAutospacing="0" w:line="240" w:lineRule="atLeast"/>
        <w:jc w:val="both"/>
        <w:rPr>
          <w:rFonts w:cs="Times New Roman"/>
        </w:rPr>
      </w:pPr>
    </w:p>
    <w:p w14:paraId="1EB487C3">
      <w:pPr>
        <w:pStyle w:val="44"/>
        <w:keepNext/>
        <w:keepLines/>
        <w:spacing w:beforeAutospacing="0" w:afterAutospacing="0" w:line="240" w:lineRule="atLeast"/>
        <w:jc w:val="both"/>
        <w:rPr>
          <w:rFonts w:cs="Times New Roman"/>
        </w:rPr>
      </w:pPr>
    </w:p>
    <w:p w14:paraId="29A8E172">
      <w:pPr>
        <w:pStyle w:val="44"/>
        <w:keepNext/>
        <w:keepLines/>
        <w:spacing w:beforeAutospacing="0" w:afterAutospacing="0" w:line="240" w:lineRule="atLeast"/>
        <w:jc w:val="both"/>
        <w:rPr>
          <w:rFonts w:cs="Times New Roman"/>
        </w:rPr>
      </w:pPr>
    </w:p>
    <w:p w14:paraId="0B42C44F">
      <w:pPr>
        <w:pStyle w:val="44"/>
        <w:keepNext/>
        <w:keepLines/>
        <w:spacing w:beforeAutospacing="0" w:afterAutospacing="0" w:line="240" w:lineRule="atLeast"/>
        <w:jc w:val="both"/>
        <w:rPr>
          <w:rFonts w:cs="Times New Roman"/>
        </w:rPr>
      </w:pPr>
    </w:p>
    <w:p w14:paraId="7B228ECF">
      <w:pPr>
        <w:pStyle w:val="44"/>
        <w:keepNext/>
        <w:keepLines/>
        <w:spacing w:beforeAutospacing="0" w:afterAutospacing="0" w:line="240" w:lineRule="atLeast"/>
        <w:jc w:val="both"/>
        <w:rPr>
          <w:rFonts w:cs="Times New Roman"/>
        </w:rPr>
      </w:pPr>
    </w:p>
    <w:p w14:paraId="176373FF">
      <w:pPr>
        <w:pStyle w:val="44"/>
        <w:keepNext/>
        <w:keepLines/>
        <w:spacing w:beforeAutospacing="0" w:afterAutospacing="0" w:line="240" w:lineRule="atLeast"/>
        <w:jc w:val="both"/>
        <w:rPr>
          <w:rFonts w:cs="Times New Roman"/>
        </w:rPr>
      </w:pPr>
    </w:p>
    <w:p w14:paraId="3FD7D8FE">
      <w:pPr>
        <w:pStyle w:val="44"/>
        <w:keepNext/>
        <w:keepLines/>
        <w:spacing w:beforeAutospacing="0" w:afterAutospacing="0" w:line="240" w:lineRule="atLeast"/>
        <w:jc w:val="both"/>
        <w:rPr>
          <w:rFonts w:cs="Times New Roman"/>
        </w:rPr>
      </w:pPr>
    </w:p>
    <w:p w14:paraId="576B75F8">
      <w:pPr>
        <w:pStyle w:val="44"/>
        <w:keepNext/>
        <w:keepLines/>
        <w:spacing w:beforeAutospacing="0" w:afterAutospacing="0" w:line="240" w:lineRule="atLeast"/>
        <w:jc w:val="both"/>
        <w:rPr>
          <w:rFonts w:cs="Times New Roman"/>
        </w:rPr>
      </w:pPr>
    </w:p>
    <w:p w14:paraId="37CCD141">
      <w:pPr>
        <w:pStyle w:val="44"/>
        <w:keepNext/>
        <w:keepLines/>
        <w:spacing w:beforeAutospacing="0" w:afterAutospacing="0" w:line="240" w:lineRule="atLeast"/>
        <w:jc w:val="both"/>
        <w:rPr>
          <w:rFonts w:cs="Times New Roman"/>
        </w:rPr>
      </w:pPr>
    </w:p>
    <w:p w14:paraId="52B0083A">
      <w:pPr>
        <w:pStyle w:val="44"/>
        <w:keepNext/>
        <w:keepLines/>
        <w:spacing w:beforeAutospacing="0" w:afterAutospacing="0" w:line="240" w:lineRule="atLeast"/>
        <w:jc w:val="both"/>
        <w:rPr>
          <w:rFonts w:cs="Times New Roman"/>
        </w:rPr>
      </w:pPr>
    </w:p>
    <w:p w14:paraId="1850678A">
      <w:pPr>
        <w:pStyle w:val="44"/>
        <w:keepNext/>
        <w:keepLines/>
        <w:spacing w:beforeAutospacing="0" w:afterAutospacing="0" w:line="240" w:lineRule="atLeast"/>
        <w:jc w:val="both"/>
        <w:rPr>
          <w:rFonts w:cs="Times New Roman"/>
        </w:rPr>
      </w:pPr>
    </w:p>
    <w:p w14:paraId="5CEFE692">
      <w:pPr>
        <w:pStyle w:val="44"/>
        <w:keepNext/>
        <w:keepLines/>
        <w:spacing w:beforeAutospacing="0" w:afterAutospacing="0" w:line="240" w:lineRule="atLeast"/>
        <w:jc w:val="both"/>
        <w:rPr>
          <w:rFonts w:cs="Times New Roman"/>
        </w:rPr>
      </w:pPr>
    </w:p>
    <w:p w14:paraId="2E519DA3">
      <w:pPr>
        <w:pStyle w:val="44"/>
        <w:keepNext/>
        <w:keepLines/>
        <w:spacing w:beforeAutospacing="0" w:afterAutospacing="0" w:line="240" w:lineRule="atLeast"/>
        <w:jc w:val="both"/>
        <w:rPr>
          <w:rFonts w:cs="Times New Roman"/>
        </w:rPr>
      </w:pPr>
    </w:p>
    <w:p w14:paraId="3A191B89">
      <w:pPr>
        <w:pStyle w:val="44"/>
        <w:keepNext/>
        <w:keepLines/>
        <w:spacing w:beforeAutospacing="0" w:afterAutospacing="0" w:line="240" w:lineRule="atLeast"/>
        <w:jc w:val="both"/>
        <w:rPr>
          <w:rFonts w:cs="Times New Roman"/>
        </w:rPr>
      </w:pPr>
    </w:p>
    <w:p w14:paraId="72188ACD">
      <w:pPr>
        <w:pStyle w:val="44"/>
        <w:keepNext/>
        <w:keepLines/>
        <w:spacing w:beforeAutospacing="0" w:afterAutospacing="0" w:line="240" w:lineRule="atLeast"/>
        <w:jc w:val="both"/>
        <w:rPr>
          <w:rFonts w:cs="Times New Roman"/>
        </w:rPr>
      </w:pPr>
    </w:p>
    <w:p w14:paraId="0213751E">
      <w:pPr>
        <w:pStyle w:val="44"/>
        <w:keepNext/>
        <w:keepLines/>
        <w:spacing w:beforeAutospacing="0" w:afterAutospacing="0" w:line="240" w:lineRule="atLeast"/>
        <w:jc w:val="both"/>
        <w:rPr>
          <w:rFonts w:cs="Times New Roman"/>
        </w:rPr>
      </w:pPr>
    </w:p>
    <w:p w14:paraId="7FAB70FD">
      <w:pPr>
        <w:pStyle w:val="44"/>
        <w:keepNext/>
        <w:keepLines/>
        <w:spacing w:beforeAutospacing="0" w:afterAutospacing="0" w:line="240" w:lineRule="atLeast"/>
        <w:jc w:val="both"/>
        <w:rPr>
          <w:rFonts w:cs="Times New Roman"/>
        </w:rPr>
      </w:pPr>
    </w:p>
    <w:p w14:paraId="4B19D818">
      <w:pPr>
        <w:pStyle w:val="44"/>
        <w:keepNext/>
        <w:keepLines/>
        <w:spacing w:beforeAutospacing="0" w:afterAutospacing="0" w:line="240" w:lineRule="atLeast"/>
        <w:jc w:val="both"/>
        <w:rPr>
          <w:rFonts w:cs="Times New Roman"/>
        </w:rPr>
      </w:pPr>
    </w:p>
    <w:p w14:paraId="2BEB906B">
      <w:pPr>
        <w:pStyle w:val="44"/>
        <w:keepNext/>
        <w:keepLines/>
        <w:spacing w:beforeAutospacing="0" w:afterAutospacing="0" w:line="240" w:lineRule="atLeast"/>
        <w:jc w:val="both"/>
        <w:rPr>
          <w:rFonts w:cs="Times New Roman"/>
        </w:rPr>
      </w:pPr>
    </w:p>
    <w:p w14:paraId="0DF7DF72">
      <w:pPr>
        <w:pStyle w:val="44"/>
        <w:keepNext/>
        <w:keepLines/>
        <w:spacing w:beforeAutospacing="0" w:afterAutospacing="0" w:line="240" w:lineRule="atLeast"/>
        <w:jc w:val="both"/>
        <w:rPr>
          <w:rFonts w:cs="Times New Roman"/>
        </w:rPr>
      </w:pPr>
    </w:p>
    <w:p w14:paraId="76193BDC">
      <w:pPr>
        <w:pStyle w:val="44"/>
        <w:keepNext/>
        <w:keepLines/>
        <w:spacing w:beforeAutospacing="0" w:afterAutospacing="0" w:line="240" w:lineRule="atLeast"/>
        <w:jc w:val="both"/>
        <w:rPr>
          <w:rFonts w:cs="Times New Roman"/>
        </w:rPr>
      </w:pPr>
    </w:p>
    <w:p w14:paraId="226DCDE2">
      <w:pPr>
        <w:pStyle w:val="44"/>
        <w:keepNext/>
        <w:keepLines/>
        <w:spacing w:beforeAutospacing="0" w:afterAutospacing="0" w:line="240" w:lineRule="atLeast"/>
        <w:jc w:val="both"/>
        <w:rPr>
          <w:rFonts w:cs="Times New Roman"/>
        </w:rPr>
      </w:pPr>
    </w:p>
    <w:p w14:paraId="1847E374">
      <w:pPr>
        <w:pStyle w:val="44"/>
        <w:keepNext/>
        <w:keepLines/>
        <w:spacing w:beforeAutospacing="0" w:afterAutospacing="0" w:line="240" w:lineRule="atLeast"/>
        <w:jc w:val="both"/>
        <w:rPr>
          <w:rFonts w:cs="Times New Roman"/>
        </w:rPr>
      </w:pPr>
    </w:p>
    <w:p w14:paraId="1C7D9363">
      <w:pPr>
        <w:pStyle w:val="44"/>
        <w:keepNext/>
        <w:keepLines/>
        <w:spacing w:beforeAutospacing="0" w:afterAutospacing="0" w:line="240" w:lineRule="atLeast"/>
        <w:jc w:val="both"/>
        <w:rPr>
          <w:rFonts w:cs="Times New Roman"/>
        </w:rPr>
      </w:pPr>
    </w:p>
    <w:p w14:paraId="26DD8CAD">
      <w:pPr>
        <w:pStyle w:val="44"/>
        <w:keepNext/>
        <w:keepLines/>
        <w:spacing w:beforeAutospacing="0" w:afterAutospacing="0" w:line="240" w:lineRule="atLeast"/>
        <w:jc w:val="both"/>
        <w:rPr>
          <w:rFonts w:cs="Times New Roman"/>
        </w:rPr>
      </w:pPr>
    </w:p>
    <w:p w14:paraId="7DD33A68">
      <w:pPr>
        <w:pStyle w:val="44"/>
        <w:keepNext/>
        <w:keepLines/>
        <w:spacing w:beforeAutospacing="0" w:afterAutospacing="0" w:line="240" w:lineRule="atLeast"/>
        <w:jc w:val="both"/>
        <w:rPr>
          <w:rFonts w:cs="Times New Roman"/>
        </w:rPr>
      </w:pPr>
    </w:p>
    <w:p w14:paraId="7140F465">
      <w:pPr>
        <w:pStyle w:val="44"/>
        <w:keepNext/>
        <w:keepLines/>
        <w:spacing w:beforeAutospacing="0" w:afterAutospacing="0" w:line="240" w:lineRule="atLeast"/>
        <w:jc w:val="both"/>
        <w:rPr>
          <w:rFonts w:cs="Times New Roman"/>
        </w:rPr>
      </w:pPr>
    </w:p>
    <w:p w14:paraId="67E34A30">
      <w:pPr>
        <w:pStyle w:val="44"/>
        <w:keepNext/>
        <w:keepLines/>
        <w:spacing w:beforeAutospacing="0" w:afterAutospacing="0" w:line="240" w:lineRule="atLeast"/>
        <w:jc w:val="both"/>
        <w:rPr>
          <w:rFonts w:cs="Times New Roman"/>
        </w:rPr>
      </w:pPr>
    </w:p>
    <w:p w14:paraId="5551301F">
      <w:pPr>
        <w:pStyle w:val="44"/>
        <w:keepNext/>
        <w:keepLines/>
        <w:spacing w:beforeAutospacing="0" w:afterAutospacing="0" w:line="240" w:lineRule="atLeast"/>
        <w:jc w:val="both"/>
        <w:rPr>
          <w:rFonts w:cs="Times New Roman"/>
        </w:rPr>
      </w:pPr>
    </w:p>
    <w:p w14:paraId="370FDC1E">
      <w:pPr>
        <w:pStyle w:val="44"/>
        <w:keepNext/>
        <w:keepLines/>
        <w:spacing w:beforeAutospacing="0" w:afterAutospacing="0"/>
        <w:jc w:val="center"/>
        <w:rPr>
          <w:rFonts w:cs="Times New Roman"/>
        </w:rPr>
      </w:pPr>
      <w:r>
        <w:rPr>
          <w:rFonts w:hint="eastAsia" w:ascii="黑体" w:eastAsia="黑体" w:cs="黑体"/>
          <w:sz w:val="32"/>
          <w:szCs w:val="32"/>
        </w:rPr>
        <w:t>七、法人授权书</w:t>
      </w:r>
    </w:p>
    <w:p w14:paraId="45AC11B0">
      <w:pPr>
        <w:pStyle w:val="44"/>
        <w:keepNext/>
        <w:keepLines/>
        <w:tabs>
          <w:tab w:val="left" w:pos="360"/>
        </w:tabs>
        <w:spacing w:beforeAutospacing="0" w:afterAutospacing="0"/>
        <w:ind w:firstLine="480"/>
        <w:jc w:val="both"/>
        <w:rPr>
          <w:rFonts w:cs="Times New Roman"/>
        </w:rPr>
      </w:pPr>
      <w:r>
        <w:rPr>
          <w:rFonts w:hint="eastAsia" w:ascii="Times New Roman"/>
        </w:rPr>
        <w:t>本授权书声明：</w:t>
      </w:r>
      <w:r>
        <w:rPr>
          <w:rFonts w:ascii="Times New Roman" w:cs="Times New Roman"/>
        </w:rPr>
        <w:t>____________</w:t>
      </w:r>
      <w:r>
        <w:rPr>
          <w:rFonts w:hint="eastAsia" w:ascii="Times New Roman"/>
        </w:rPr>
        <w:t>（投标人名称）授权</w:t>
      </w:r>
      <w:r>
        <w:rPr>
          <w:rFonts w:ascii="Times New Roman" w:cs="Times New Roman"/>
        </w:rPr>
        <w:t>________________</w:t>
      </w:r>
      <w:r>
        <w:rPr>
          <w:rFonts w:hint="eastAsia" w:ascii="Times New Roman"/>
        </w:rPr>
        <w:t>（被授权人的姓名）为我方就</w:t>
      </w:r>
      <w:r>
        <w:rPr>
          <w:rFonts w:ascii="Times New Roman" w:cs="Times New Roman"/>
        </w:rPr>
        <w:t>JSZC-</w:t>
      </w:r>
      <w:r>
        <w:rPr>
          <w:rFonts w:ascii="Times New Roman" w:cs="Times New Roman"/>
          <w:u w:val="single"/>
        </w:rPr>
        <w:t xml:space="preserve">        </w:t>
      </w:r>
      <w:r>
        <w:rPr>
          <w:rFonts w:hint="eastAsia" w:ascii="Times New Roman"/>
        </w:rPr>
        <w:t>号项目采购活动的合法代理人，以本单位名义全权处理一切与该项目采购有关的事务。</w:t>
      </w:r>
    </w:p>
    <w:p w14:paraId="3404157E">
      <w:pPr>
        <w:pStyle w:val="44"/>
        <w:keepNext/>
        <w:keepLines/>
        <w:tabs>
          <w:tab w:val="left" w:pos="360"/>
        </w:tabs>
        <w:spacing w:beforeAutospacing="0" w:afterAutospacing="0"/>
        <w:ind w:firstLine="480"/>
        <w:jc w:val="both"/>
        <w:rPr>
          <w:rFonts w:cs="Times New Roman"/>
        </w:rPr>
      </w:pPr>
      <w:r>
        <w:rPr>
          <w:rFonts w:hint="eastAsia" w:ascii="Times New Roman"/>
        </w:rPr>
        <w:t>本授权书于</w:t>
      </w:r>
      <w:r>
        <w:rPr>
          <w:rFonts w:ascii="Times New Roman" w:cs="Times New Roman"/>
        </w:rPr>
        <w:t>______</w:t>
      </w:r>
      <w:r>
        <w:rPr>
          <w:rFonts w:hint="eastAsia" w:ascii="Times New Roman"/>
        </w:rPr>
        <w:t>年</w:t>
      </w:r>
      <w:r>
        <w:rPr>
          <w:rFonts w:ascii="Times New Roman" w:cs="Times New Roman"/>
        </w:rPr>
        <w:t>____</w:t>
      </w:r>
      <w:r>
        <w:rPr>
          <w:rFonts w:hint="eastAsia" w:ascii="Times New Roman"/>
        </w:rPr>
        <w:t>月</w:t>
      </w:r>
      <w:r>
        <w:rPr>
          <w:rFonts w:ascii="Times New Roman" w:cs="Times New Roman"/>
        </w:rPr>
        <w:t>____</w:t>
      </w:r>
      <w:r>
        <w:rPr>
          <w:rFonts w:hint="eastAsia" w:ascii="Times New Roman"/>
        </w:rPr>
        <w:t>日起生效，特此声明。</w:t>
      </w:r>
    </w:p>
    <w:p w14:paraId="22F19237">
      <w:pPr>
        <w:pStyle w:val="44"/>
        <w:keepNext/>
        <w:keepLines/>
        <w:tabs>
          <w:tab w:val="left" w:pos="360"/>
        </w:tabs>
        <w:spacing w:beforeAutospacing="0" w:afterAutospacing="0"/>
        <w:jc w:val="both"/>
        <w:rPr>
          <w:rFonts w:cs="Times New Roman"/>
        </w:rPr>
      </w:pPr>
      <w:r>
        <w:rPr>
          <w:rFonts w:ascii="Times New Roman" w:cs="Times New Roman"/>
        </w:rPr>
        <w:t xml:space="preserve">          </w:t>
      </w:r>
      <w:r>
        <w:rPr>
          <w:rFonts w:hint="eastAsia" w:ascii="Times New Roman"/>
        </w:rPr>
        <w:t>被授权人身份证号码：</w:t>
      </w:r>
      <w:r>
        <w:rPr>
          <w:rFonts w:ascii="Times New Roman" w:cs="Times New Roman"/>
          <w:u w:val="single"/>
        </w:rPr>
        <w:t xml:space="preserve">                              </w:t>
      </w:r>
    </w:p>
    <w:p w14:paraId="00053FD2">
      <w:pPr>
        <w:pStyle w:val="44"/>
        <w:keepNext/>
        <w:keepLines/>
        <w:tabs>
          <w:tab w:val="left" w:pos="360"/>
        </w:tabs>
        <w:spacing w:beforeAutospacing="0" w:afterAutospacing="0"/>
        <w:jc w:val="both"/>
        <w:rPr>
          <w:rFonts w:cs="Times New Roman"/>
        </w:rPr>
      </w:pPr>
      <w:r>
        <w:rPr>
          <w:rFonts w:ascii="Times New Roman" w:cs="Times New Roman"/>
        </w:rPr>
        <w:t xml:space="preserve">          </w:t>
      </w:r>
      <w:r>
        <w:rPr>
          <w:rFonts w:hint="eastAsia" w:ascii="Times New Roman"/>
        </w:rPr>
        <w:t>被授权人联系电话：（手机）</w:t>
      </w:r>
      <w:r>
        <w:rPr>
          <w:rFonts w:ascii="Times New Roman" w:cs="Times New Roman"/>
          <w:u w:val="single"/>
        </w:rPr>
        <w:t xml:space="preserve">                          </w:t>
      </w:r>
    </w:p>
    <w:p w14:paraId="465C26DD">
      <w:pPr>
        <w:pStyle w:val="44"/>
        <w:keepNext/>
        <w:keepLines/>
        <w:tabs>
          <w:tab w:val="left" w:pos="360"/>
        </w:tabs>
        <w:spacing w:beforeAutospacing="0" w:afterAutospacing="0"/>
        <w:ind w:firstLine="720"/>
        <w:jc w:val="both"/>
        <w:rPr>
          <w:rFonts w:cs="Times New Roman"/>
        </w:rPr>
      </w:pPr>
      <w:r>
        <w:rPr>
          <w:rFonts w:hint="eastAsia" w:ascii="Times New Roman"/>
        </w:rPr>
        <w:t>授权单位名称：</w:t>
      </w:r>
      <w:r>
        <w:rPr>
          <w:rFonts w:hint="eastAsia" w:ascii="Times New Roman"/>
          <w:u w:val="single"/>
        </w:rPr>
        <w:t>（加盖</w:t>
      </w:r>
      <w:r>
        <w:rPr>
          <w:rFonts w:ascii="Times New Roman" w:cs="Times New Roman"/>
          <w:u w:val="single"/>
        </w:rPr>
        <w:t>CA</w:t>
      </w:r>
      <w:r>
        <w:rPr>
          <w:rFonts w:hint="eastAsia" w:ascii="Times New Roman"/>
          <w:u w:val="single"/>
        </w:rPr>
        <w:t>电子公章）</w:t>
      </w:r>
    </w:p>
    <w:p w14:paraId="7F59AFAF">
      <w:pPr>
        <w:pStyle w:val="44"/>
        <w:keepNext/>
        <w:keepLines/>
        <w:tabs>
          <w:tab w:val="left" w:pos="360"/>
        </w:tabs>
        <w:spacing w:beforeAutospacing="0" w:afterAutospacing="0"/>
        <w:ind w:firstLine="480"/>
        <w:jc w:val="both"/>
        <w:rPr>
          <w:rFonts w:cs="Times New Roman"/>
        </w:rPr>
      </w:pPr>
      <w:r>
        <w:rPr>
          <w:rFonts w:ascii="Times New Roman" w:cs="Times New Roman"/>
        </w:rPr>
        <w:t>    </w:t>
      </w:r>
      <w:r>
        <w:rPr>
          <w:rFonts w:hint="eastAsia" w:ascii="Times New Roman"/>
        </w:rPr>
        <w:t>单位地址：</w:t>
      </w:r>
      <w:r>
        <w:rPr>
          <w:rFonts w:ascii="Times New Roman" w:cs="Times New Roman"/>
          <w:u w:val="single"/>
        </w:rPr>
        <w:t xml:space="preserve">                                         </w:t>
      </w:r>
    </w:p>
    <w:p w14:paraId="2870E9E2">
      <w:pPr>
        <w:pStyle w:val="44"/>
        <w:keepNext/>
        <w:keepLines/>
        <w:tabs>
          <w:tab w:val="left" w:pos="360"/>
        </w:tabs>
        <w:spacing w:beforeAutospacing="0" w:afterAutospacing="0"/>
        <w:ind w:firstLine="720"/>
        <w:jc w:val="both"/>
        <w:rPr>
          <w:rFonts w:cs="Times New Roman"/>
        </w:rPr>
      </w:pPr>
      <w:r>
        <w:rPr>
          <w:rFonts w:hint="eastAsia" w:ascii="Times New Roman"/>
        </w:rPr>
        <w:t>日期：</w:t>
      </w:r>
      <w:r>
        <w:rPr>
          <w:rFonts w:ascii="Times New Roman" w:cs="Times New Roman"/>
          <w:u w:val="single"/>
        </w:rPr>
        <w:t xml:space="preserve">                                         </w:t>
      </w:r>
    </w:p>
    <w:p w14:paraId="24D57245">
      <w:pPr>
        <w:pStyle w:val="44"/>
        <w:keepNext/>
        <w:keepLines/>
        <w:spacing w:beforeAutospacing="0" w:afterAutospacing="0" w:line="240" w:lineRule="atLeast"/>
        <w:jc w:val="both"/>
        <w:rPr>
          <w:rFonts w:cs="Times New Roman"/>
        </w:rPr>
      </w:pPr>
    </w:p>
    <w:p w14:paraId="45AE7F5D">
      <w:pPr>
        <w:pStyle w:val="44"/>
        <w:keepNext/>
        <w:keepLines/>
        <w:spacing w:beforeAutospacing="0" w:afterAutospacing="0" w:line="240" w:lineRule="atLeast"/>
        <w:jc w:val="both"/>
        <w:rPr>
          <w:rFonts w:cs="Times New Roman"/>
        </w:rPr>
      </w:pPr>
    </w:p>
    <w:p w14:paraId="63E15E4D">
      <w:pPr>
        <w:pStyle w:val="44"/>
        <w:keepNext/>
        <w:keepLines/>
        <w:spacing w:beforeAutospacing="0" w:afterAutospacing="0" w:line="240" w:lineRule="atLeast"/>
        <w:jc w:val="both"/>
        <w:rPr>
          <w:rFonts w:cs="Times New Roman"/>
        </w:rPr>
      </w:pPr>
    </w:p>
    <w:p w14:paraId="5DC98F39">
      <w:pPr>
        <w:pStyle w:val="44"/>
        <w:keepNext/>
        <w:keepLines/>
        <w:spacing w:beforeAutospacing="0" w:afterAutospacing="0" w:line="240" w:lineRule="atLeast"/>
        <w:jc w:val="both"/>
        <w:rPr>
          <w:rFonts w:cs="Times New Roman"/>
        </w:rPr>
      </w:pPr>
    </w:p>
    <w:p w14:paraId="4F5BFB48">
      <w:pPr>
        <w:pStyle w:val="44"/>
        <w:keepNext/>
        <w:keepLines/>
        <w:spacing w:beforeAutospacing="0" w:afterAutospacing="0" w:line="240" w:lineRule="atLeast"/>
        <w:jc w:val="both"/>
        <w:rPr>
          <w:rFonts w:cs="Times New Roman"/>
        </w:rPr>
      </w:pPr>
    </w:p>
    <w:p w14:paraId="7065B1E5">
      <w:pPr>
        <w:pStyle w:val="44"/>
        <w:keepNext/>
        <w:keepLines/>
        <w:spacing w:beforeAutospacing="0" w:afterAutospacing="0" w:line="240" w:lineRule="atLeast"/>
        <w:jc w:val="both"/>
        <w:rPr>
          <w:rFonts w:cs="Times New Roman"/>
        </w:rPr>
      </w:pPr>
    </w:p>
    <w:p w14:paraId="20B62A19">
      <w:pPr>
        <w:pStyle w:val="44"/>
        <w:keepNext/>
        <w:keepLines/>
        <w:spacing w:beforeAutospacing="0" w:afterAutospacing="0" w:line="240" w:lineRule="atLeast"/>
        <w:jc w:val="both"/>
        <w:rPr>
          <w:rFonts w:cs="Times New Roman"/>
        </w:rPr>
      </w:pPr>
    </w:p>
    <w:p w14:paraId="18EBF9ED">
      <w:pPr>
        <w:pStyle w:val="44"/>
        <w:keepNext/>
        <w:keepLines/>
        <w:spacing w:beforeAutospacing="0" w:afterAutospacing="0" w:line="240" w:lineRule="atLeast"/>
        <w:jc w:val="both"/>
        <w:rPr>
          <w:rFonts w:cs="Times New Roman"/>
        </w:rPr>
      </w:pPr>
    </w:p>
    <w:p w14:paraId="1C7E6FFB">
      <w:pPr>
        <w:pStyle w:val="44"/>
        <w:keepNext/>
        <w:keepLines/>
        <w:spacing w:beforeAutospacing="0" w:afterAutospacing="0" w:line="240" w:lineRule="atLeast"/>
        <w:jc w:val="both"/>
        <w:rPr>
          <w:rFonts w:cs="Times New Roman"/>
        </w:rPr>
      </w:pPr>
    </w:p>
    <w:p w14:paraId="27639C17">
      <w:pPr>
        <w:pStyle w:val="44"/>
        <w:keepNext/>
        <w:keepLines/>
        <w:spacing w:beforeAutospacing="0" w:afterAutospacing="0" w:line="240" w:lineRule="atLeast"/>
        <w:jc w:val="both"/>
        <w:rPr>
          <w:rFonts w:cs="Times New Roman"/>
        </w:rPr>
      </w:pPr>
    </w:p>
    <w:p w14:paraId="542D7DDD">
      <w:pPr>
        <w:pStyle w:val="44"/>
        <w:keepNext/>
        <w:keepLines/>
        <w:spacing w:beforeAutospacing="0" w:afterAutospacing="0" w:line="240" w:lineRule="atLeast"/>
        <w:jc w:val="both"/>
        <w:rPr>
          <w:rFonts w:cs="Times New Roman"/>
        </w:rPr>
      </w:pPr>
    </w:p>
    <w:p w14:paraId="25F2EA31">
      <w:pPr>
        <w:pStyle w:val="44"/>
        <w:keepNext/>
        <w:keepLines/>
        <w:spacing w:beforeAutospacing="0" w:afterAutospacing="0" w:line="240" w:lineRule="atLeast"/>
        <w:jc w:val="both"/>
        <w:rPr>
          <w:rFonts w:cs="Times New Roman"/>
        </w:rPr>
      </w:pPr>
    </w:p>
    <w:p w14:paraId="7E38929F">
      <w:pPr>
        <w:pStyle w:val="44"/>
        <w:keepNext/>
        <w:keepLines/>
        <w:spacing w:beforeAutospacing="0" w:afterAutospacing="0" w:line="240" w:lineRule="atLeast"/>
        <w:jc w:val="both"/>
        <w:rPr>
          <w:rFonts w:cs="Times New Roman"/>
        </w:rPr>
      </w:pPr>
    </w:p>
    <w:p w14:paraId="2359CE25">
      <w:pPr>
        <w:pStyle w:val="44"/>
        <w:keepNext/>
        <w:keepLines/>
        <w:spacing w:beforeAutospacing="0" w:afterAutospacing="0" w:line="240" w:lineRule="atLeast"/>
        <w:jc w:val="both"/>
        <w:rPr>
          <w:rFonts w:cs="Times New Roman"/>
        </w:rPr>
      </w:pPr>
    </w:p>
    <w:p w14:paraId="4B38459F">
      <w:pPr>
        <w:pStyle w:val="44"/>
        <w:keepNext/>
        <w:keepLines/>
        <w:spacing w:beforeAutospacing="0" w:afterAutospacing="0" w:line="240" w:lineRule="atLeast"/>
        <w:jc w:val="both"/>
        <w:rPr>
          <w:rFonts w:cs="Times New Roman"/>
        </w:rPr>
      </w:pPr>
    </w:p>
    <w:p w14:paraId="32024372">
      <w:pPr>
        <w:pStyle w:val="44"/>
        <w:keepNext/>
        <w:keepLines/>
        <w:spacing w:beforeAutospacing="0" w:afterAutospacing="0" w:line="240" w:lineRule="atLeast"/>
        <w:jc w:val="both"/>
        <w:rPr>
          <w:rFonts w:cs="Times New Roman"/>
        </w:rPr>
      </w:pPr>
    </w:p>
    <w:p w14:paraId="14F3FB7F">
      <w:pPr>
        <w:pStyle w:val="44"/>
        <w:keepNext/>
        <w:keepLines/>
        <w:spacing w:beforeAutospacing="0" w:afterAutospacing="0" w:line="240" w:lineRule="atLeast"/>
        <w:jc w:val="both"/>
        <w:rPr>
          <w:rFonts w:cs="Times New Roman"/>
        </w:rPr>
      </w:pPr>
    </w:p>
    <w:p w14:paraId="1D7F681C">
      <w:pPr>
        <w:pStyle w:val="44"/>
        <w:keepNext/>
        <w:keepLines/>
        <w:spacing w:beforeAutospacing="0" w:afterAutospacing="0" w:line="240" w:lineRule="atLeast"/>
        <w:jc w:val="both"/>
        <w:rPr>
          <w:rFonts w:cs="Times New Roman"/>
        </w:rPr>
      </w:pPr>
    </w:p>
    <w:p w14:paraId="3BBD1395">
      <w:pPr>
        <w:pStyle w:val="44"/>
        <w:keepNext/>
        <w:keepLines/>
        <w:spacing w:beforeAutospacing="0" w:afterAutospacing="0" w:line="240" w:lineRule="atLeast"/>
        <w:jc w:val="both"/>
        <w:rPr>
          <w:rFonts w:cs="Times New Roman"/>
        </w:rPr>
      </w:pPr>
    </w:p>
    <w:p w14:paraId="0FFD31EC">
      <w:pPr>
        <w:pStyle w:val="44"/>
        <w:keepNext/>
        <w:keepLines/>
        <w:spacing w:beforeAutospacing="0" w:afterAutospacing="0" w:line="240" w:lineRule="atLeast"/>
        <w:jc w:val="both"/>
        <w:rPr>
          <w:rFonts w:cs="Times New Roman"/>
        </w:rPr>
      </w:pPr>
    </w:p>
    <w:p w14:paraId="0B5CBB4B">
      <w:pPr>
        <w:pStyle w:val="44"/>
        <w:keepNext/>
        <w:keepLines/>
        <w:spacing w:beforeAutospacing="0" w:afterAutospacing="0" w:line="240" w:lineRule="atLeast"/>
        <w:jc w:val="both"/>
        <w:rPr>
          <w:rFonts w:cs="Times New Roman"/>
        </w:rPr>
      </w:pPr>
    </w:p>
    <w:p w14:paraId="0DA92F29">
      <w:pPr>
        <w:pStyle w:val="44"/>
        <w:keepNext/>
        <w:keepLines/>
        <w:spacing w:beforeAutospacing="0" w:afterAutospacing="0" w:line="240" w:lineRule="atLeast"/>
        <w:jc w:val="both"/>
        <w:rPr>
          <w:rFonts w:cs="Times New Roman"/>
        </w:rPr>
      </w:pPr>
    </w:p>
    <w:p w14:paraId="2255280B">
      <w:pPr>
        <w:pStyle w:val="44"/>
        <w:keepNext/>
        <w:keepLines/>
        <w:spacing w:beforeAutospacing="0" w:afterAutospacing="0" w:line="240" w:lineRule="atLeast"/>
        <w:jc w:val="both"/>
        <w:rPr>
          <w:rFonts w:cs="Times New Roman"/>
        </w:rPr>
      </w:pPr>
    </w:p>
    <w:p w14:paraId="4D07DDF5">
      <w:pPr>
        <w:pStyle w:val="44"/>
        <w:keepNext/>
        <w:keepLines/>
        <w:spacing w:beforeAutospacing="0" w:afterAutospacing="0" w:line="240" w:lineRule="atLeast"/>
        <w:jc w:val="both"/>
        <w:rPr>
          <w:rFonts w:cs="Times New Roman"/>
        </w:rPr>
      </w:pPr>
    </w:p>
    <w:p w14:paraId="7E503193">
      <w:pPr>
        <w:pStyle w:val="44"/>
        <w:keepNext/>
        <w:keepLines/>
        <w:spacing w:beforeAutospacing="0" w:afterAutospacing="0" w:line="240" w:lineRule="atLeast"/>
        <w:jc w:val="both"/>
        <w:rPr>
          <w:rFonts w:cs="Times New Roman"/>
        </w:rPr>
      </w:pPr>
    </w:p>
    <w:p w14:paraId="536F1EBF">
      <w:pPr>
        <w:pStyle w:val="44"/>
        <w:keepNext/>
        <w:keepLines/>
        <w:spacing w:beforeAutospacing="0" w:afterAutospacing="0"/>
        <w:jc w:val="center"/>
        <w:rPr>
          <w:rFonts w:ascii="黑体" w:eastAsia="黑体" w:cs="Times New Roman"/>
          <w:sz w:val="32"/>
          <w:szCs w:val="32"/>
        </w:rPr>
      </w:pPr>
      <w:r>
        <w:rPr>
          <w:rFonts w:hint="eastAsia" w:ascii="黑体" w:eastAsia="黑体" w:cs="黑体"/>
          <w:sz w:val="32"/>
          <w:szCs w:val="32"/>
        </w:rPr>
        <w:t>八、投标函</w:t>
      </w:r>
    </w:p>
    <w:p w14:paraId="4F6AE039">
      <w:pPr>
        <w:pStyle w:val="44"/>
        <w:keepNext/>
        <w:keepLines/>
        <w:spacing w:beforeAutospacing="0" w:afterAutospacing="0" w:line="240" w:lineRule="atLeast"/>
        <w:rPr>
          <w:rFonts w:cs="Times New Roman"/>
        </w:rPr>
      </w:pPr>
      <w:r>
        <w:rPr>
          <w:rFonts w:hint="eastAsia"/>
        </w:rPr>
        <w:t>致：（采购人名称）</w:t>
      </w:r>
    </w:p>
    <w:p w14:paraId="51BDB452">
      <w:pPr>
        <w:pStyle w:val="44"/>
        <w:keepNext/>
        <w:keepLines/>
        <w:spacing w:beforeAutospacing="0" w:afterAutospacing="0" w:line="240" w:lineRule="atLeast"/>
        <w:ind w:firstLine="480"/>
        <w:rPr>
          <w:rFonts w:cs="Times New Roman"/>
        </w:rPr>
      </w:pPr>
      <w:r>
        <w:rPr>
          <w:rFonts w:hint="eastAsia"/>
        </w:rPr>
        <w:t>根据贵方的</w:t>
      </w:r>
      <w:r>
        <w:rPr>
          <w:rFonts w:cs="Times New Roman"/>
          <w:b/>
          <w:bCs/>
          <w:sz w:val="36"/>
          <w:szCs w:val="36"/>
          <w:u w:val="single"/>
        </w:rPr>
        <w:t>           </w:t>
      </w:r>
      <w:r>
        <w:rPr>
          <w:b/>
          <w:bCs/>
          <w:sz w:val="36"/>
          <w:szCs w:val="36"/>
          <w:u w:val="single"/>
        </w:rPr>
        <w:t xml:space="preserve"> </w:t>
      </w:r>
      <w:r>
        <w:rPr>
          <w:rFonts w:hint="eastAsia"/>
        </w:rPr>
        <w:t>号招标文件，正式授权下述签字人</w:t>
      </w:r>
      <w:r>
        <w:t>_________________(</w:t>
      </w:r>
      <w:r>
        <w:rPr>
          <w:rFonts w:hint="eastAsia"/>
        </w:rPr>
        <w:t>姓名</w:t>
      </w:r>
      <w:r>
        <w:t>)</w:t>
      </w:r>
      <w:r>
        <w:rPr>
          <w:rFonts w:hint="eastAsia"/>
        </w:rPr>
        <w:t>代表我方</w:t>
      </w:r>
      <w:r>
        <w:t>______________</w:t>
      </w:r>
      <w:r>
        <w:rPr>
          <w:rFonts w:hint="eastAsia"/>
        </w:rPr>
        <w:t>（投标人的名称），全权处理本次项目投标的有关事宜。</w:t>
      </w:r>
    </w:p>
    <w:p w14:paraId="7F91CE80">
      <w:pPr>
        <w:pStyle w:val="44"/>
        <w:keepNext/>
        <w:keepLines/>
        <w:spacing w:beforeAutospacing="0" w:afterAutospacing="0" w:line="240" w:lineRule="atLeast"/>
        <w:ind w:firstLine="480"/>
        <w:rPr>
          <w:rFonts w:cs="Times New Roman"/>
        </w:rPr>
      </w:pPr>
      <w:r>
        <w:rPr>
          <w:rFonts w:hint="eastAsia"/>
        </w:rPr>
        <w:t>据此函，</w:t>
      </w:r>
      <w:r>
        <w:t>__________</w:t>
      </w:r>
      <w:r>
        <w:rPr>
          <w:rFonts w:hint="eastAsia"/>
        </w:rPr>
        <w:t>签字人兹宣布同意如下：</w:t>
      </w:r>
    </w:p>
    <w:p w14:paraId="4E57B96D">
      <w:pPr>
        <w:pStyle w:val="44"/>
        <w:keepNext/>
        <w:keepLines/>
        <w:spacing w:beforeAutospacing="0" w:afterAutospacing="0" w:line="240" w:lineRule="atLeast"/>
        <w:ind w:firstLine="480"/>
        <w:rPr>
          <w:rFonts w:cs="Times New Roman"/>
        </w:rPr>
      </w:pPr>
      <w:r>
        <w:t>1.</w:t>
      </w:r>
      <w:r>
        <w:rPr>
          <w:rFonts w:hint="eastAsia"/>
        </w:rPr>
        <w:t>按招标文件规定的各项要求，向买方提供所需货物（包含与货物相关的服务）。</w:t>
      </w:r>
    </w:p>
    <w:p w14:paraId="53451819">
      <w:pPr>
        <w:pStyle w:val="44"/>
        <w:keepNext/>
        <w:keepLines/>
        <w:spacing w:beforeAutospacing="0" w:afterAutospacing="0" w:line="240" w:lineRule="atLeast"/>
        <w:ind w:firstLine="480"/>
        <w:rPr>
          <w:rFonts w:cs="Times New Roman"/>
        </w:rPr>
      </w:pPr>
      <w:r>
        <w:t>2.</w:t>
      </w:r>
      <w:r>
        <w:rPr>
          <w:rFonts w:hint="eastAsia"/>
        </w:rPr>
        <w:t>我们完全理解贵方不一定将合同授予最低报价的投标人。</w:t>
      </w:r>
    </w:p>
    <w:p w14:paraId="3767EBC9">
      <w:pPr>
        <w:pStyle w:val="44"/>
        <w:keepNext/>
        <w:keepLines/>
        <w:spacing w:beforeAutospacing="0" w:afterAutospacing="0" w:line="240" w:lineRule="atLeast"/>
        <w:ind w:firstLine="480"/>
        <w:rPr>
          <w:rFonts w:cs="Times New Roman"/>
        </w:rPr>
      </w:pPr>
      <w:r>
        <w:t>3.</w:t>
      </w:r>
      <w:r>
        <w:rPr>
          <w:rFonts w:hint="eastAsia"/>
        </w:rPr>
        <w:t>我们已详细审核全部招标文件及其有效补充文件，我们知道必须放弃提出含糊不清或误解问题的权利。</w:t>
      </w:r>
    </w:p>
    <w:p w14:paraId="0CC81F89">
      <w:pPr>
        <w:pStyle w:val="44"/>
        <w:keepNext/>
        <w:keepLines/>
        <w:spacing w:beforeAutospacing="0" w:afterAutospacing="0" w:line="240" w:lineRule="atLeast"/>
        <w:ind w:firstLine="480"/>
        <w:rPr>
          <w:rFonts w:cs="Times New Roman"/>
        </w:rPr>
      </w:pPr>
      <w:r>
        <w:t>4.</w:t>
      </w:r>
      <w:r>
        <w:rPr>
          <w:rFonts w:hint="eastAsia"/>
        </w:rPr>
        <w:t>我们同意从规定的开标日期起遵循本投标文件，并在规定的投标有效期期满之前均具有约束力。</w:t>
      </w:r>
    </w:p>
    <w:p w14:paraId="568F8781">
      <w:pPr>
        <w:pStyle w:val="44"/>
        <w:keepNext/>
        <w:keepLines/>
        <w:spacing w:beforeAutospacing="0" w:afterAutospacing="0" w:line="240" w:lineRule="atLeast"/>
        <w:ind w:firstLine="480"/>
        <w:rPr>
          <w:rFonts w:cs="Times New Roman"/>
        </w:rPr>
      </w:pPr>
      <w:r>
        <w:t>5.</w:t>
      </w:r>
      <w:r>
        <w:rPr>
          <w:rFonts w:hint="eastAsia"/>
        </w:rPr>
        <w:t>同意向贵方提供贵方可能另外要求的与投标有关的任何证据或资料，并保证我方已提供和将要提供的文件是真实的、准确的。</w:t>
      </w:r>
    </w:p>
    <w:p w14:paraId="3866360E">
      <w:pPr>
        <w:pStyle w:val="44"/>
        <w:keepNext/>
        <w:keepLines/>
        <w:spacing w:beforeAutospacing="0" w:afterAutospacing="0" w:line="240" w:lineRule="atLeast"/>
        <w:ind w:firstLine="480"/>
        <w:rPr>
          <w:rFonts w:cs="Times New Roman"/>
        </w:rPr>
      </w:pPr>
      <w:r>
        <w:t>6.</w:t>
      </w:r>
      <w:r>
        <w:rPr>
          <w:rFonts w:hint="eastAsia"/>
        </w:rPr>
        <w:t>一旦我方中标</w:t>
      </w:r>
      <w:r>
        <w:t>,</w:t>
      </w:r>
      <w:r>
        <w:rPr>
          <w:rFonts w:hint="eastAsia"/>
        </w:rPr>
        <w:t>我方将根据招标文件的规定，严格履行合同的责任和义务</w:t>
      </w:r>
      <w:r>
        <w:t>,</w:t>
      </w:r>
      <w:r>
        <w:rPr>
          <w:rFonts w:hint="eastAsia"/>
        </w:rPr>
        <w:t>并保证在招标文件规定的时间完成项目，交付买方验收、使用。</w:t>
      </w:r>
    </w:p>
    <w:p w14:paraId="5D4EB9D9">
      <w:pPr>
        <w:pStyle w:val="44"/>
        <w:keepNext/>
        <w:keepLines/>
        <w:spacing w:beforeAutospacing="0" w:afterAutospacing="0" w:line="240" w:lineRule="atLeast"/>
        <w:ind w:left="425"/>
        <w:rPr>
          <w:rFonts w:cs="Times New Roman"/>
        </w:rPr>
      </w:pPr>
      <w:r>
        <w:t>7.</w:t>
      </w:r>
      <w:r>
        <w:rPr>
          <w:rFonts w:hint="eastAsia"/>
        </w:rPr>
        <w:t>与本投标有关的正式通讯地址为：</w:t>
      </w:r>
    </w:p>
    <w:p w14:paraId="3D5F9A54">
      <w:pPr>
        <w:pStyle w:val="44"/>
        <w:keepNext/>
        <w:keepLines/>
        <w:spacing w:beforeAutospacing="0" w:afterAutospacing="0" w:line="240" w:lineRule="atLeast"/>
        <w:ind w:left="420" w:firstLine="480"/>
        <w:rPr>
          <w:rFonts w:cs="Times New Roman"/>
        </w:rPr>
      </w:pPr>
      <w:r>
        <w:rPr>
          <w:rFonts w:hint="eastAsia"/>
        </w:rPr>
        <w:t>地</w:t>
      </w:r>
      <w:r>
        <w:rPr>
          <w:rFonts w:cs="Times New Roman"/>
        </w:rPr>
        <w:t>         </w:t>
      </w:r>
      <w:r>
        <w:t xml:space="preserve"> </w:t>
      </w:r>
      <w:r>
        <w:rPr>
          <w:rFonts w:hint="eastAsia"/>
        </w:rPr>
        <w:t>址：</w:t>
      </w:r>
    </w:p>
    <w:p w14:paraId="4D27D2D6">
      <w:pPr>
        <w:pStyle w:val="44"/>
        <w:keepNext/>
        <w:keepLines/>
        <w:spacing w:beforeAutospacing="0" w:afterAutospacing="0" w:line="240" w:lineRule="atLeast"/>
        <w:ind w:left="420" w:firstLine="480"/>
        <w:rPr>
          <w:rFonts w:cs="Times New Roman"/>
        </w:rPr>
      </w:pPr>
      <w:r>
        <w:rPr>
          <w:rFonts w:hint="eastAsia"/>
        </w:rPr>
        <w:t>邮</w:t>
      </w:r>
      <w:r>
        <w:rPr>
          <w:rFonts w:cs="Times New Roman"/>
        </w:rPr>
        <w:t>         </w:t>
      </w:r>
      <w:r>
        <w:t xml:space="preserve"> </w:t>
      </w:r>
      <w:r>
        <w:rPr>
          <w:rFonts w:hint="eastAsia"/>
        </w:rPr>
        <w:t>编：</w:t>
      </w:r>
    </w:p>
    <w:p w14:paraId="78A27299">
      <w:pPr>
        <w:pStyle w:val="44"/>
        <w:keepNext/>
        <w:keepLines/>
        <w:spacing w:beforeAutospacing="0" w:afterAutospacing="0" w:line="240" w:lineRule="atLeast"/>
        <w:ind w:left="420" w:firstLine="480"/>
        <w:rPr>
          <w:rFonts w:cs="Times New Roman"/>
        </w:rPr>
      </w:pPr>
      <w:r>
        <w:rPr>
          <w:rFonts w:hint="eastAsia"/>
        </w:rPr>
        <w:t>电</w:t>
      </w:r>
      <w:r>
        <w:rPr>
          <w:rFonts w:cs="Times New Roman"/>
        </w:rPr>
        <w:t>         </w:t>
      </w:r>
      <w:r>
        <w:t xml:space="preserve"> </w:t>
      </w:r>
      <w:r>
        <w:rPr>
          <w:rFonts w:hint="eastAsia"/>
        </w:rPr>
        <w:t>话：</w:t>
      </w:r>
    </w:p>
    <w:p w14:paraId="4CD8FAA7">
      <w:pPr>
        <w:pStyle w:val="44"/>
        <w:keepNext/>
        <w:keepLines/>
        <w:spacing w:beforeAutospacing="0" w:afterAutospacing="0" w:line="240" w:lineRule="atLeast"/>
        <w:ind w:left="420" w:firstLine="480"/>
        <w:rPr>
          <w:rFonts w:cs="Times New Roman"/>
        </w:rPr>
      </w:pPr>
      <w:r>
        <w:rPr>
          <w:rFonts w:hint="eastAsia"/>
        </w:rPr>
        <w:t>传</w:t>
      </w:r>
      <w:r>
        <w:rPr>
          <w:rFonts w:cs="Times New Roman"/>
        </w:rPr>
        <w:t>         </w:t>
      </w:r>
      <w:r>
        <w:t xml:space="preserve"> </w:t>
      </w:r>
      <w:r>
        <w:rPr>
          <w:rFonts w:hint="eastAsia"/>
        </w:rPr>
        <w:t>真：</w:t>
      </w:r>
    </w:p>
    <w:p w14:paraId="130FEFC4">
      <w:pPr>
        <w:pStyle w:val="44"/>
        <w:keepNext/>
        <w:keepLines/>
        <w:spacing w:beforeAutospacing="0" w:afterAutospacing="0" w:line="240" w:lineRule="atLeast"/>
        <w:ind w:left="420" w:firstLine="480"/>
        <w:rPr>
          <w:rFonts w:cs="Times New Roman"/>
        </w:rPr>
      </w:pPr>
      <w:r>
        <w:rPr>
          <w:rFonts w:hint="eastAsia"/>
        </w:rPr>
        <w:t>投标人开户行：</w:t>
      </w:r>
    </w:p>
    <w:p w14:paraId="1B0E2780">
      <w:pPr>
        <w:pStyle w:val="44"/>
        <w:keepNext/>
        <w:keepLines/>
        <w:spacing w:beforeAutospacing="0" w:afterAutospacing="0" w:line="240" w:lineRule="atLeast"/>
        <w:ind w:left="425" w:firstLine="480"/>
      </w:pPr>
      <w:r>
        <w:rPr>
          <w:rFonts w:hint="eastAsia"/>
        </w:rPr>
        <w:t>账</w:t>
      </w:r>
      <w:r>
        <w:rPr>
          <w:rFonts w:cs="Times New Roman"/>
        </w:rPr>
        <w:t>         </w:t>
      </w:r>
      <w:r>
        <w:t xml:space="preserve"> </w:t>
      </w:r>
      <w:r>
        <w:rPr>
          <w:rFonts w:hint="eastAsia"/>
        </w:rPr>
        <w:t>号：</w:t>
      </w:r>
      <w:r>
        <w:t xml:space="preserve"> </w:t>
      </w:r>
    </w:p>
    <w:p w14:paraId="38883971">
      <w:pPr>
        <w:pStyle w:val="44"/>
        <w:keepNext/>
        <w:keepLines/>
        <w:spacing w:beforeAutospacing="0" w:afterAutospacing="0" w:line="240" w:lineRule="atLeast"/>
        <w:ind w:left="425" w:firstLine="480"/>
        <w:rPr>
          <w:rFonts w:cs="Times New Roman"/>
        </w:rPr>
      </w:pPr>
      <w:r>
        <w:rPr>
          <w:rFonts w:hint="eastAsia"/>
        </w:rPr>
        <w:t>日</w:t>
      </w:r>
      <w:r>
        <w:rPr>
          <w:rFonts w:cs="Times New Roman"/>
        </w:rPr>
        <w:t>         </w:t>
      </w:r>
      <w:r>
        <w:t xml:space="preserve"> </w:t>
      </w:r>
      <w:r>
        <w:rPr>
          <w:rFonts w:hint="eastAsia"/>
        </w:rPr>
        <w:t>期：</w:t>
      </w:r>
      <w:r>
        <w:t>________</w:t>
      </w:r>
      <w:r>
        <w:rPr>
          <w:rFonts w:hint="eastAsia"/>
        </w:rPr>
        <w:t>年</w:t>
      </w:r>
      <w:r>
        <w:t>____</w:t>
      </w:r>
      <w:r>
        <w:rPr>
          <w:rFonts w:hint="eastAsia"/>
        </w:rPr>
        <w:t>月</w:t>
      </w:r>
      <w:r>
        <w:t>____</w:t>
      </w:r>
      <w:r>
        <w:rPr>
          <w:rFonts w:hint="eastAsia"/>
        </w:rPr>
        <w:t>日</w:t>
      </w:r>
    </w:p>
    <w:p w14:paraId="2C3D1F3F">
      <w:pPr>
        <w:pStyle w:val="36"/>
        <w:keepNext/>
        <w:keepLines/>
        <w:widowControl/>
        <w:ind w:left="0"/>
        <w:rPr>
          <w:rFonts w:cs="Times New Roman"/>
          <w:b/>
          <w:bCs/>
        </w:rPr>
      </w:pPr>
    </w:p>
    <w:p w14:paraId="3EFCA9B9">
      <w:pPr>
        <w:pStyle w:val="36"/>
        <w:keepNext/>
        <w:keepLines/>
        <w:widowControl/>
        <w:ind w:left="0"/>
        <w:rPr>
          <w:rFonts w:cs="Times New Roman"/>
          <w:b/>
          <w:bCs/>
        </w:rPr>
      </w:pPr>
    </w:p>
    <w:p w14:paraId="42BBF4C9">
      <w:pPr>
        <w:pStyle w:val="36"/>
        <w:keepNext/>
        <w:keepLines/>
        <w:widowControl/>
        <w:ind w:left="0"/>
        <w:rPr>
          <w:rFonts w:cs="Times New Roman"/>
          <w:b/>
          <w:bCs/>
        </w:rPr>
      </w:pPr>
    </w:p>
    <w:p w14:paraId="3774F37E">
      <w:pPr>
        <w:pStyle w:val="36"/>
        <w:keepNext/>
        <w:keepLines/>
        <w:widowControl/>
        <w:ind w:left="0"/>
        <w:rPr>
          <w:rFonts w:cs="Times New Roman"/>
          <w:b/>
          <w:bCs/>
        </w:rPr>
      </w:pPr>
    </w:p>
    <w:p w14:paraId="24AD57E7">
      <w:pPr>
        <w:pStyle w:val="36"/>
        <w:keepNext/>
        <w:keepLines/>
        <w:widowControl/>
        <w:ind w:left="0"/>
        <w:rPr>
          <w:rFonts w:cs="Times New Roman"/>
          <w:b/>
          <w:bCs/>
        </w:rPr>
      </w:pPr>
    </w:p>
    <w:p w14:paraId="314AEF17">
      <w:pPr>
        <w:pStyle w:val="36"/>
        <w:keepNext/>
        <w:keepLines/>
        <w:widowControl/>
        <w:ind w:left="0"/>
        <w:rPr>
          <w:rFonts w:cs="Times New Roman"/>
          <w:b/>
          <w:bCs/>
        </w:rPr>
      </w:pPr>
    </w:p>
    <w:p w14:paraId="1F8CF564">
      <w:pPr>
        <w:pStyle w:val="36"/>
        <w:keepNext/>
        <w:keepLines/>
        <w:widowControl/>
        <w:ind w:left="0"/>
        <w:rPr>
          <w:rFonts w:cs="Times New Roman"/>
          <w:b/>
          <w:bCs/>
        </w:rPr>
      </w:pPr>
    </w:p>
    <w:p w14:paraId="509F0BD7">
      <w:pPr>
        <w:pStyle w:val="36"/>
        <w:keepNext/>
        <w:keepLines/>
        <w:widowControl/>
        <w:ind w:left="0"/>
        <w:rPr>
          <w:rFonts w:cs="Times New Roman"/>
          <w:b/>
          <w:bCs/>
        </w:rPr>
      </w:pPr>
    </w:p>
    <w:p w14:paraId="7819A7DE">
      <w:pPr>
        <w:pStyle w:val="36"/>
        <w:keepNext/>
        <w:keepLines/>
        <w:widowControl/>
        <w:ind w:left="0"/>
        <w:rPr>
          <w:rFonts w:cs="Times New Roman"/>
          <w:b/>
          <w:bCs/>
        </w:rPr>
      </w:pPr>
    </w:p>
    <w:p w14:paraId="34A98A4F">
      <w:pPr>
        <w:pStyle w:val="36"/>
        <w:keepNext/>
        <w:keepLines/>
        <w:widowControl/>
        <w:ind w:left="0"/>
        <w:rPr>
          <w:rFonts w:cs="Times New Roman"/>
          <w:b/>
          <w:bCs/>
        </w:rPr>
      </w:pPr>
    </w:p>
    <w:p w14:paraId="6E8E5379">
      <w:pPr>
        <w:pStyle w:val="36"/>
        <w:keepNext/>
        <w:keepLines/>
        <w:widowControl/>
        <w:ind w:left="0"/>
        <w:rPr>
          <w:rFonts w:cs="Times New Roman"/>
          <w:b/>
          <w:bCs/>
        </w:rPr>
      </w:pPr>
    </w:p>
    <w:p w14:paraId="743B1CB8">
      <w:pPr>
        <w:pStyle w:val="36"/>
        <w:keepNext/>
        <w:keepLines/>
        <w:widowControl/>
        <w:ind w:left="0"/>
        <w:rPr>
          <w:rFonts w:cs="Times New Roman"/>
          <w:b/>
          <w:bCs/>
        </w:rPr>
      </w:pPr>
    </w:p>
    <w:p w14:paraId="1E721070">
      <w:pPr>
        <w:pStyle w:val="36"/>
        <w:keepNext/>
        <w:keepLines/>
        <w:widowControl/>
        <w:ind w:left="0"/>
        <w:rPr>
          <w:rFonts w:cs="Times New Roman"/>
          <w:b/>
          <w:bCs/>
        </w:rPr>
      </w:pPr>
    </w:p>
    <w:p w14:paraId="706920D8">
      <w:pPr>
        <w:pStyle w:val="36"/>
        <w:keepNext/>
        <w:keepLines/>
        <w:widowControl/>
        <w:ind w:left="0"/>
        <w:rPr>
          <w:rFonts w:cs="Times New Roman"/>
          <w:b/>
          <w:bCs/>
        </w:rPr>
      </w:pPr>
    </w:p>
    <w:p w14:paraId="21AFEF4F">
      <w:pPr>
        <w:pStyle w:val="36"/>
        <w:keepNext/>
        <w:keepLines/>
        <w:widowControl/>
        <w:ind w:left="0"/>
        <w:rPr>
          <w:rFonts w:cs="Times New Roman"/>
          <w:b/>
          <w:bCs/>
        </w:rPr>
      </w:pPr>
    </w:p>
    <w:p w14:paraId="7859B81A">
      <w:pPr>
        <w:pStyle w:val="36"/>
        <w:keepNext/>
        <w:keepLines/>
        <w:widowControl/>
        <w:ind w:left="0"/>
        <w:rPr>
          <w:rFonts w:cs="Times New Roman"/>
          <w:b/>
          <w:bCs/>
        </w:rPr>
      </w:pPr>
    </w:p>
    <w:p w14:paraId="6EB0EFB0">
      <w:pPr>
        <w:pStyle w:val="44"/>
        <w:keepNext/>
        <w:keepLines/>
        <w:spacing w:beforeAutospacing="0" w:afterAutospacing="0"/>
        <w:jc w:val="center"/>
        <w:rPr>
          <w:rFonts w:ascii="黑体" w:eastAsia="黑体" w:cs="Times New Roman"/>
          <w:sz w:val="32"/>
          <w:szCs w:val="32"/>
        </w:rPr>
      </w:pPr>
    </w:p>
    <w:p w14:paraId="330D2FD5">
      <w:pPr>
        <w:pStyle w:val="44"/>
        <w:keepNext/>
        <w:keepLines/>
        <w:spacing w:beforeAutospacing="0" w:afterAutospacing="0"/>
        <w:jc w:val="center"/>
        <w:rPr>
          <w:rFonts w:ascii="黑体" w:eastAsia="黑体" w:cs="Times New Roman"/>
          <w:sz w:val="32"/>
          <w:szCs w:val="32"/>
        </w:rPr>
      </w:pPr>
    </w:p>
    <w:p w14:paraId="699710E9">
      <w:pPr>
        <w:pStyle w:val="44"/>
        <w:keepNext/>
        <w:keepLines/>
        <w:spacing w:beforeAutospacing="0" w:afterAutospacing="0"/>
        <w:jc w:val="center"/>
        <w:rPr>
          <w:rFonts w:ascii="黑体" w:eastAsia="黑体" w:cs="Times New Roman"/>
          <w:sz w:val="32"/>
          <w:szCs w:val="32"/>
        </w:rPr>
      </w:pPr>
      <w:r>
        <w:rPr>
          <w:rFonts w:hint="eastAsia" w:ascii="黑体" w:eastAsia="黑体" w:cs="黑体"/>
          <w:sz w:val="32"/>
          <w:szCs w:val="32"/>
        </w:rPr>
        <w:t>九、小微企业声明函（服务）</w:t>
      </w:r>
    </w:p>
    <w:p w14:paraId="3B4786C1">
      <w:pPr>
        <w:keepNext/>
        <w:keepLines/>
        <w:widowControl/>
        <w:spacing w:line="560" w:lineRule="exact"/>
        <w:jc w:val="center"/>
        <w:rPr>
          <w:rFonts w:ascii="宋体" w:cs="Times New Roman"/>
          <w:b/>
          <w:bCs/>
          <w:sz w:val="32"/>
          <w:szCs w:val="32"/>
        </w:rPr>
      </w:pPr>
    </w:p>
    <w:p w14:paraId="606A3762">
      <w:pPr>
        <w:pStyle w:val="44"/>
        <w:keepNext/>
        <w:keepLines/>
        <w:spacing w:beforeAutospacing="0" w:afterAutospacing="0" w:line="240" w:lineRule="atLeast"/>
        <w:ind w:firstLine="360"/>
        <w:jc w:val="both"/>
        <w:rPr>
          <w:rFonts w:cs="Times New Roman"/>
        </w:rPr>
      </w:pPr>
      <w:r>
        <w:rPr>
          <w:rFonts w:hint="eastAsia"/>
        </w:rPr>
        <w:t>本公司（联合体）郑重声明，根据《政府采购促进中小企业发展管理办法》</w:t>
      </w:r>
      <w:r>
        <w:t>(</w:t>
      </w:r>
      <w:r>
        <w:rPr>
          <w:rFonts w:hint="eastAsia"/>
        </w:rPr>
        <w:t>财库</w:t>
      </w:r>
      <w:r>
        <w:t>[2020]46</w:t>
      </w:r>
      <w:r>
        <w:rPr>
          <w:rFonts w:hint="eastAsia"/>
        </w:rPr>
        <w:t>号</w:t>
      </w:r>
      <w:r>
        <w:t>)</w:t>
      </w:r>
      <w:r>
        <w:rPr>
          <w:rFonts w:hint="eastAsia"/>
        </w:rPr>
        <w:t>的规定，本公司（联合体）参加采购人组织的</w:t>
      </w:r>
      <w:r>
        <w:rPr>
          <w:rFonts w:hint="eastAsia"/>
          <w:u w:val="single"/>
        </w:rPr>
        <w:t>（单位名称）</w:t>
      </w:r>
      <w:r>
        <w:rPr>
          <w:rFonts w:hint="eastAsia"/>
        </w:rPr>
        <w:t>采购编号为</w:t>
      </w:r>
      <w:r>
        <w:rPr>
          <w:u w:val="single"/>
        </w:rPr>
        <w:t>***</w:t>
      </w:r>
      <w:r>
        <w:rPr>
          <w:rFonts w:hint="eastAsia"/>
        </w:rPr>
        <w:t>，</w:t>
      </w:r>
      <w:r>
        <w:rPr>
          <w:rFonts w:hint="eastAsia"/>
          <w:u w:val="single"/>
        </w:rPr>
        <w:t>（项目名称）</w:t>
      </w:r>
      <w:r>
        <w:rPr>
          <w:rFonts w:hint="eastAsia"/>
        </w:rPr>
        <w:t>的采购活动，服务全部由符合政策的小微企业承接。根据《工业和信息化部、国家统计局、国家发展和改革委员会、财政部关于印发中小企业划型标准规定的通知》</w:t>
      </w:r>
      <w:r>
        <w:t>(</w:t>
      </w:r>
      <w:r>
        <w:rPr>
          <w:rFonts w:hint="eastAsia"/>
        </w:rPr>
        <w:t>工信部联企业</w:t>
      </w:r>
      <w:r>
        <w:t>[2011]300</w:t>
      </w:r>
      <w:r>
        <w:rPr>
          <w:rFonts w:hint="eastAsia"/>
        </w:rPr>
        <w:t>号</w:t>
      </w:r>
      <w:r>
        <w:t>)</w:t>
      </w:r>
      <w:r>
        <w:rPr>
          <w:rFonts w:hint="eastAsia"/>
        </w:rPr>
        <w:t>的规定，相关企业（含联合体中的小微企业、签订分包意向协议的小微企业）的具体情况如下：</w:t>
      </w:r>
    </w:p>
    <w:p w14:paraId="549A8A9D">
      <w:pPr>
        <w:pStyle w:val="44"/>
        <w:keepNext/>
        <w:keepLines/>
        <w:spacing w:beforeAutospacing="0" w:afterAutospacing="0" w:line="240" w:lineRule="atLeast"/>
        <w:ind w:firstLine="360"/>
        <w:jc w:val="both"/>
        <w:rPr>
          <w:rFonts w:cs="Times New Roman"/>
        </w:rPr>
      </w:pPr>
      <w:r>
        <w:t>1.</w:t>
      </w:r>
      <w:r>
        <w:rPr>
          <w:rFonts w:hint="eastAsia"/>
          <w:u w:val="single"/>
        </w:rPr>
        <w:t>（标的名称）</w:t>
      </w:r>
      <w:r>
        <w:rPr>
          <w:rFonts w:hint="eastAsia"/>
          <w:i/>
          <w:iCs/>
        </w:rPr>
        <w:t>，</w:t>
      </w:r>
      <w:r>
        <w:rPr>
          <w:rFonts w:hint="eastAsia"/>
        </w:rPr>
        <w:t>属于</w:t>
      </w:r>
      <w:r>
        <w:rPr>
          <w:rFonts w:cs="Times New Roman"/>
          <w:u w:val="single"/>
        </w:rPr>
        <w:t>      </w:t>
      </w:r>
      <w:r>
        <w:rPr>
          <w:u w:val="single"/>
        </w:rPr>
        <w:t xml:space="preserve"> </w:t>
      </w:r>
      <w:r>
        <w:rPr>
          <w:rFonts w:hint="eastAsia"/>
        </w:rPr>
        <w:t>行业；承接企业为</w:t>
      </w:r>
      <w:r>
        <w:rPr>
          <w:rFonts w:hint="eastAsia"/>
          <w:u w:val="single"/>
        </w:rPr>
        <w:t>（企业名称）</w:t>
      </w:r>
      <w:r>
        <w:rPr>
          <w:rFonts w:hint="eastAsia"/>
        </w:rPr>
        <w:t>，从业人员</w:t>
      </w:r>
      <w:r>
        <w:rPr>
          <w:rFonts w:cs="Times New Roman"/>
          <w:u w:val="single"/>
        </w:rPr>
        <w:t>     </w:t>
      </w:r>
      <w:r>
        <w:rPr>
          <w:u w:val="single"/>
        </w:rPr>
        <w:t xml:space="preserve"> </w:t>
      </w:r>
      <w:r>
        <w:rPr>
          <w:rFonts w:hint="eastAsia"/>
        </w:rPr>
        <w:t>人，营业收入为</w:t>
      </w:r>
      <w:r>
        <w:rPr>
          <w:rFonts w:cs="Times New Roman"/>
          <w:u w:val="single"/>
        </w:rPr>
        <w:t>    </w:t>
      </w:r>
      <w:r>
        <w:rPr>
          <w:u w:val="single"/>
        </w:rPr>
        <w:t xml:space="preserve"> </w:t>
      </w:r>
      <w:r>
        <w:rPr>
          <w:rFonts w:hint="eastAsia"/>
        </w:rPr>
        <w:t>万元，资产总额为</w:t>
      </w:r>
      <w:r>
        <w:rPr>
          <w:rFonts w:cs="Times New Roman"/>
          <w:u w:val="single"/>
        </w:rPr>
        <w:t>     </w:t>
      </w:r>
      <w:r>
        <w:rPr>
          <w:u w:val="single"/>
        </w:rPr>
        <w:t xml:space="preserve"> </w:t>
      </w:r>
      <w:r>
        <w:rPr>
          <w:rFonts w:hint="eastAsia"/>
        </w:rPr>
        <w:t>万元</w:t>
      </w:r>
      <w:r>
        <w:rPr>
          <w:vertAlign w:val="superscript"/>
        </w:rPr>
        <w:t>1</w:t>
      </w:r>
      <w:r>
        <w:rPr>
          <w:rFonts w:hint="eastAsia"/>
        </w:rPr>
        <w:t>，属于</w:t>
      </w:r>
      <w:r>
        <w:rPr>
          <w:rFonts w:hint="eastAsia"/>
          <w:u w:val="single"/>
        </w:rPr>
        <w:t>（小型企业、微型企业）；</w:t>
      </w:r>
    </w:p>
    <w:p w14:paraId="2141229D">
      <w:pPr>
        <w:pStyle w:val="44"/>
        <w:keepNext/>
        <w:keepLines/>
        <w:spacing w:beforeAutospacing="0" w:afterAutospacing="0" w:line="240" w:lineRule="atLeast"/>
        <w:ind w:firstLine="360"/>
        <w:jc w:val="both"/>
        <w:rPr>
          <w:rFonts w:cs="Times New Roman"/>
        </w:rPr>
      </w:pPr>
      <w:r>
        <w:t>2.</w:t>
      </w:r>
      <w:r>
        <w:rPr>
          <w:rFonts w:hint="eastAsia"/>
          <w:u w:val="single"/>
        </w:rPr>
        <w:t>（标的名称）</w:t>
      </w:r>
      <w:r>
        <w:rPr>
          <w:rFonts w:hint="eastAsia"/>
          <w:i/>
          <w:iCs/>
        </w:rPr>
        <w:t>，</w:t>
      </w:r>
      <w:r>
        <w:rPr>
          <w:rFonts w:hint="eastAsia"/>
        </w:rPr>
        <w:t>属于</w:t>
      </w:r>
      <w:r>
        <w:rPr>
          <w:rFonts w:cs="Times New Roman"/>
          <w:u w:val="single"/>
        </w:rPr>
        <w:t>      </w:t>
      </w:r>
      <w:r>
        <w:rPr>
          <w:u w:val="single"/>
        </w:rPr>
        <w:t xml:space="preserve"> </w:t>
      </w:r>
      <w:r>
        <w:rPr>
          <w:rFonts w:hint="eastAsia"/>
        </w:rPr>
        <w:t>行业；承接企业为</w:t>
      </w:r>
      <w:r>
        <w:rPr>
          <w:rFonts w:hint="eastAsia"/>
          <w:u w:val="single"/>
        </w:rPr>
        <w:t>（企业名称）</w:t>
      </w:r>
      <w:r>
        <w:rPr>
          <w:rFonts w:hint="eastAsia"/>
        </w:rPr>
        <w:t>，从业人员</w:t>
      </w:r>
      <w:r>
        <w:rPr>
          <w:rFonts w:cs="Times New Roman"/>
          <w:u w:val="single"/>
        </w:rPr>
        <w:t>     </w:t>
      </w:r>
      <w:r>
        <w:rPr>
          <w:u w:val="single"/>
        </w:rPr>
        <w:t xml:space="preserve"> </w:t>
      </w:r>
      <w:r>
        <w:rPr>
          <w:rFonts w:hint="eastAsia"/>
        </w:rPr>
        <w:t>人，营业收入为</w:t>
      </w:r>
      <w:r>
        <w:rPr>
          <w:rFonts w:cs="Times New Roman"/>
          <w:u w:val="single"/>
        </w:rPr>
        <w:t>    </w:t>
      </w:r>
      <w:r>
        <w:rPr>
          <w:u w:val="single"/>
        </w:rPr>
        <w:t xml:space="preserve"> </w:t>
      </w:r>
      <w:r>
        <w:rPr>
          <w:rFonts w:hint="eastAsia"/>
        </w:rPr>
        <w:t>万元，资产总额为</w:t>
      </w:r>
      <w:r>
        <w:rPr>
          <w:rFonts w:cs="Times New Roman"/>
          <w:u w:val="single"/>
        </w:rPr>
        <w:t>     </w:t>
      </w:r>
      <w:r>
        <w:rPr>
          <w:u w:val="single"/>
        </w:rPr>
        <w:t xml:space="preserve"> </w:t>
      </w:r>
      <w:r>
        <w:rPr>
          <w:rFonts w:hint="eastAsia"/>
        </w:rPr>
        <w:t>万元</w:t>
      </w:r>
      <w:r>
        <w:rPr>
          <w:vertAlign w:val="superscript"/>
        </w:rPr>
        <w:t>1</w:t>
      </w:r>
      <w:r>
        <w:rPr>
          <w:rFonts w:hint="eastAsia"/>
        </w:rPr>
        <w:t>，属于</w:t>
      </w:r>
      <w:r>
        <w:rPr>
          <w:rFonts w:hint="eastAsia"/>
          <w:u w:val="single"/>
        </w:rPr>
        <w:t>（小型企业、微型企业）；</w:t>
      </w:r>
    </w:p>
    <w:p w14:paraId="7A2F94D5">
      <w:pPr>
        <w:pStyle w:val="44"/>
        <w:keepNext/>
        <w:keepLines/>
        <w:spacing w:beforeAutospacing="0" w:afterAutospacing="0" w:line="240" w:lineRule="atLeast"/>
        <w:ind w:firstLine="360"/>
        <w:jc w:val="both"/>
        <w:rPr>
          <w:rFonts w:cs="Times New Roman"/>
        </w:rPr>
      </w:pPr>
      <w:r>
        <w:rPr>
          <w:rFonts w:hint="eastAsia"/>
        </w:rPr>
        <w:t>……</w:t>
      </w:r>
    </w:p>
    <w:p w14:paraId="38D9B6A8">
      <w:pPr>
        <w:pStyle w:val="44"/>
        <w:keepNext/>
        <w:keepLines/>
        <w:spacing w:beforeAutospacing="0" w:afterAutospacing="0" w:line="240" w:lineRule="atLeast"/>
        <w:ind w:firstLine="360"/>
        <w:jc w:val="both"/>
        <w:rPr>
          <w:rFonts w:cs="Times New Roman"/>
        </w:rPr>
      </w:pPr>
      <w:r>
        <w:rPr>
          <w:rFonts w:hint="eastAsia"/>
        </w:rPr>
        <w:t>以上企业，不属于大企业的分支机构，不存在控股股东为大企业的情形，也不存在与大企业的负责人为同一人的情形。</w:t>
      </w:r>
    </w:p>
    <w:p w14:paraId="46C49012">
      <w:pPr>
        <w:pStyle w:val="44"/>
        <w:keepNext/>
        <w:keepLines/>
        <w:spacing w:beforeAutospacing="0" w:afterAutospacing="0" w:line="240" w:lineRule="atLeast"/>
        <w:ind w:firstLine="360"/>
        <w:jc w:val="both"/>
        <w:rPr>
          <w:rFonts w:cs="Times New Roman"/>
        </w:rPr>
      </w:pPr>
      <w:r>
        <w:rPr>
          <w:rFonts w:hint="eastAsia"/>
        </w:rPr>
        <w:t>本企业对上述声明内容的真实性负责。如有虚假，将依法承担相应责任</w:t>
      </w:r>
    </w:p>
    <w:p w14:paraId="4BD8D08D">
      <w:pPr>
        <w:pStyle w:val="44"/>
        <w:keepNext/>
        <w:keepLines/>
        <w:spacing w:beforeAutospacing="0" w:afterAutospacing="0" w:line="240" w:lineRule="atLeast"/>
        <w:ind w:right="720"/>
        <w:jc w:val="both"/>
        <w:rPr>
          <w:rFonts w:cs="Times New Roman"/>
        </w:rPr>
      </w:pPr>
      <w:r>
        <w:rPr>
          <w:rFonts w:cs="Times New Roman"/>
        </w:rPr>
        <w:t> </w:t>
      </w:r>
    </w:p>
    <w:p w14:paraId="3B1C4220">
      <w:pPr>
        <w:pStyle w:val="44"/>
        <w:keepNext/>
        <w:keepLines/>
        <w:spacing w:beforeAutospacing="0" w:afterAutospacing="0" w:line="240" w:lineRule="atLeast"/>
        <w:ind w:right="180" w:firstLine="360"/>
        <w:jc w:val="right"/>
        <w:rPr>
          <w:rFonts w:cs="Times New Roman"/>
        </w:rPr>
      </w:pPr>
      <w:r>
        <w:rPr>
          <w:rFonts w:hint="eastAsia"/>
        </w:rPr>
        <w:t>企业名称（加盖</w:t>
      </w:r>
      <w:r>
        <w:t>CA</w:t>
      </w:r>
      <w:r>
        <w:rPr>
          <w:rFonts w:hint="eastAsia"/>
        </w:rPr>
        <w:t>电子公章）：</w:t>
      </w:r>
    </w:p>
    <w:p w14:paraId="32BDBB90">
      <w:pPr>
        <w:pStyle w:val="44"/>
        <w:keepNext/>
        <w:keepLines/>
        <w:spacing w:beforeAutospacing="0" w:afterAutospacing="0" w:line="240" w:lineRule="atLeast"/>
        <w:ind w:right="480" w:firstLine="5400"/>
        <w:jc w:val="both"/>
        <w:rPr>
          <w:rFonts w:cs="Times New Roman"/>
        </w:rPr>
      </w:pPr>
      <w:r>
        <w:rPr>
          <w:rFonts w:hint="eastAsia"/>
        </w:rPr>
        <w:t>日</w:t>
      </w:r>
      <w:r>
        <w:rPr>
          <w:rFonts w:cs="Times New Roman"/>
        </w:rPr>
        <w:t> </w:t>
      </w:r>
      <w:r>
        <w:t xml:space="preserve"> </w:t>
      </w:r>
      <w:r>
        <w:rPr>
          <w:rFonts w:hint="eastAsia"/>
        </w:rPr>
        <w:t>期：</w:t>
      </w:r>
    </w:p>
    <w:p w14:paraId="179D4A7E">
      <w:pPr>
        <w:pStyle w:val="44"/>
        <w:keepNext/>
        <w:keepLines/>
        <w:spacing w:beforeAutospacing="0" w:afterAutospacing="0" w:line="240" w:lineRule="atLeast"/>
        <w:ind w:firstLine="240"/>
        <w:jc w:val="both"/>
        <w:rPr>
          <w:rFonts w:cs="Times New Roman"/>
        </w:rPr>
      </w:pPr>
      <w:r>
        <w:rPr>
          <w:rFonts w:cs="Times New Roman"/>
        </w:rPr>
        <w:t> </w:t>
      </w:r>
    </w:p>
    <w:p w14:paraId="204E914D">
      <w:pPr>
        <w:pStyle w:val="44"/>
        <w:keepNext/>
        <w:keepLines/>
        <w:spacing w:beforeAutospacing="0" w:afterAutospacing="0" w:line="240" w:lineRule="atLeast"/>
        <w:ind w:firstLine="480"/>
        <w:jc w:val="both"/>
        <w:rPr>
          <w:rFonts w:cs="Times New Roman"/>
        </w:rPr>
      </w:pPr>
      <w:r>
        <w:rPr>
          <w:rFonts w:hint="eastAsia"/>
        </w:rPr>
        <w:t>备注</w:t>
      </w:r>
      <w:r>
        <w:t>1</w:t>
      </w:r>
      <w:r>
        <w:rPr>
          <w:rFonts w:hint="eastAsia"/>
        </w:rPr>
        <w:t>：从业人员、营业收入、资产总额填报上一年度数据，无上一年度数据的新成立企业可不填报。</w:t>
      </w:r>
    </w:p>
    <w:p w14:paraId="50EF84C5">
      <w:pPr>
        <w:pStyle w:val="44"/>
        <w:keepNext/>
        <w:keepLines/>
        <w:spacing w:beforeAutospacing="0" w:afterAutospacing="0" w:line="240" w:lineRule="atLeast"/>
        <w:ind w:firstLine="480"/>
        <w:jc w:val="both"/>
        <w:rPr>
          <w:rFonts w:cs="Times New Roman"/>
        </w:rPr>
      </w:pPr>
      <w:r>
        <w:rPr>
          <w:rFonts w:hint="eastAsia"/>
        </w:rPr>
        <w:t>备注</w:t>
      </w:r>
      <w:r>
        <w:t>2</w:t>
      </w:r>
      <w:r>
        <w:rPr>
          <w:rFonts w:hint="eastAsia"/>
        </w:rPr>
        <w:t>：供应商如不提供此声明函，价格将不做相应扣除（如项目全面面向中小企业，则资格审查不通过）。</w:t>
      </w:r>
    </w:p>
    <w:p w14:paraId="0D5A741F">
      <w:pPr>
        <w:pStyle w:val="48"/>
        <w:keepNext/>
        <w:keepLines/>
        <w:widowControl/>
        <w:ind w:firstLine="0"/>
        <w:rPr>
          <w:rFonts w:cs="Times New Roman"/>
        </w:rPr>
      </w:pPr>
    </w:p>
    <w:p w14:paraId="0BC2F033">
      <w:pPr>
        <w:pStyle w:val="36"/>
        <w:keepNext/>
        <w:keepLines/>
        <w:widowControl/>
        <w:rPr>
          <w:rFonts w:cs="Times New Roman"/>
        </w:rPr>
      </w:pPr>
    </w:p>
    <w:p w14:paraId="3FB4C253">
      <w:pPr>
        <w:keepNext/>
        <w:keepLines/>
        <w:widowControl/>
        <w:rPr>
          <w:rFonts w:cs="Times New Roman"/>
        </w:rPr>
      </w:pPr>
    </w:p>
    <w:p w14:paraId="5C5CE998">
      <w:pPr>
        <w:pStyle w:val="281"/>
        <w:keepNext/>
        <w:keepLines/>
        <w:ind w:firstLine="420"/>
        <w:rPr>
          <w:rFonts w:cs="Times New Roman"/>
        </w:rPr>
      </w:pPr>
    </w:p>
    <w:p w14:paraId="5DFF2ABA">
      <w:pPr>
        <w:keepNext/>
        <w:keepLines/>
        <w:widowControl/>
        <w:rPr>
          <w:rFonts w:cs="Times New Roman"/>
        </w:rPr>
      </w:pPr>
    </w:p>
    <w:p w14:paraId="35FB3A45">
      <w:pPr>
        <w:pStyle w:val="281"/>
        <w:keepNext/>
        <w:keepLines/>
        <w:ind w:firstLine="420"/>
        <w:rPr>
          <w:rFonts w:cs="Times New Roman"/>
        </w:rPr>
      </w:pPr>
    </w:p>
    <w:p w14:paraId="2CEE1967">
      <w:pPr>
        <w:keepNext/>
        <w:keepLines/>
        <w:widowControl/>
        <w:rPr>
          <w:rFonts w:cs="Times New Roman"/>
        </w:rPr>
      </w:pPr>
    </w:p>
    <w:p w14:paraId="7D7E630B">
      <w:pPr>
        <w:pStyle w:val="281"/>
        <w:keepNext/>
        <w:keepLines/>
        <w:ind w:firstLine="420"/>
        <w:rPr>
          <w:rFonts w:cs="Times New Roman"/>
        </w:rPr>
      </w:pPr>
    </w:p>
    <w:p w14:paraId="7CAA00F8">
      <w:pPr>
        <w:keepNext/>
        <w:keepLines/>
        <w:widowControl/>
        <w:rPr>
          <w:rFonts w:cs="Times New Roman"/>
        </w:rPr>
      </w:pPr>
    </w:p>
    <w:p w14:paraId="51A58B96">
      <w:pPr>
        <w:pStyle w:val="281"/>
        <w:keepNext/>
        <w:keepLines/>
        <w:ind w:firstLine="420"/>
        <w:rPr>
          <w:rFonts w:cs="Times New Roman"/>
        </w:rPr>
      </w:pPr>
    </w:p>
    <w:p w14:paraId="10A62C81">
      <w:pPr>
        <w:keepNext/>
        <w:keepLines/>
        <w:widowControl/>
        <w:rPr>
          <w:rFonts w:cs="Times New Roman"/>
        </w:rPr>
      </w:pPr>
    </w:p>
    <w:p w14:paraId="16BE0E34">
      <w:pPr>
        <w:pStyle w:val="281"/>
        <w:keepNext/>
        <w:keepLines/>
        <w:ind w:firstLine="0"/>
        <w:rPr>
          <w:rFonts w:cs="Times New Roman"/>
        </w:rPr>
      </w:pPr>
    </w:p>
    <w:p w14:paraId="43B27E37">
      <w:pPr>
        <w:keepNext/>
        <w:keepLines/>
        <w:widowControl/>
        <w:rPr>
          <w:rFonts w:cs="Times New Roman"/>
        </w:rPr>
      </w:pPr>
    </w:p>
    <w:p w14:paraId="7D154396">
      <w:pPr>
        <w:pStyle w:val="17"/>
        <w:keepNext/>
        <w:keepLines/>
        <w:widowControl/>
        <w:rPr>
          <w:rFonts w:cs="Times New Roman"/>
        </w:rPr>
      </w:pPr>
    </w:p>
    <w:p w14:paraId="66129E87">
      <w:pPr>
        <w:pStyle w:val="18"/>
      </w:pPr>
    </w:p>
    <w:p w14:paraId="02FAD2A5">
      <w:pPr>
        <w:keepNext/>
        <w:keepLines/>
        <w:widowControl/>
        <w:rPr>
          <w:rFonts w:cs="Times New Roman"/>
        </w:rPr>
      </w:pPr>
    </w:p>
    <w:p w14:paraId="44409725">
      <w:pPr>
        <w:pStyle w:val="44"/>
        <w:keepNext/>
        <w:keepLines/>
        <w:spacing w:beforeAutospacing="0" w:afterAutospacing="0"/>
        <w:jc w:val="center"/>
        <w:rPr>
          <w:rFonts w:ascii="黑体" w:eastAsia="黑体" w:cs="Times New Roman"/>
          <w:sz w:val="32"/>
          <w:szCs w:val="32"/>
        </w:rPr>
      </w:pPr>
      <w:r>
        <w:rPr>
          <w:rFonts w:hint="eastAsia" w:ascii="黑体" w:eastAsia="黑体" w:cs="黑体"/>
          <w:sz w:val="32"/>
          <w:szCs w:val="32"/>
        </w:rPr>
        <w:t>十、残疾人福利性单位声明函</w:t>
      </w:r>
    </w:p>
    <w:p w14:paraId="4DAD8081">
      <w:pPr>
        <w:keepNext/>
        <w:keepLines/>
        <w:widowControl/>
        <w:spacing w:line="360" w:lineRule="auto"/>
        <w:jc w:val="center"/>
        <w:rPr>
          <w:rFonts w:ascii="宋体" w:cs="Times New Roman"/>
          <w:b/>
          <w:bCs/>
          <w:sz w:val="24"/>
          <w:szCs w:val="24"/>
        </w:rPr>
      </w:pPr>
    </w:p>
    <w:p w14:paraId="3FD26C58">
      <w:pPr>
        <w:pStyle w:val="44"/>
        <w:keepNext/>
        <w:keepLines/>
        <w:spacing w:beforeAutospacing="0" w:afterAutospacing="0" w:line="240" w:lineRule="atLeast"/>
        <w:ind w:firstLine="480"/>
        <w:jc w:val="both"/>
        <w:rPr>
          <w:rFonts w:cs="Times New Roman"/>
        </w:rPr>
      </w:pPr>
      <w:r>
        <w:rPr>
          <w:rFonts w:hint="eastAsia"/>
        </w:rPr>
        <w:t>本单位郑重声明，根据《财政部</w:t>
      </w:r>
      <w:r>
        <w:t xml:space="preserve"> </w:t>
      </w:r>
      <w:r>
        <w:rPr>
          <w:rFonts w:hint="eastAsia"/>
        </w:rPr>
        <w:t>民政部</w:t>
      </w:r>
      <w:r>
        <w:t xml:space="preserve"> </w:t>
      </w:r>
      <w:r>
        <w:rPr>
          <w:rFonts w:hint="eastAsia"/>
        </w:rPr>
        <w:t>中国残疾人联合会关于促进残疾人就业政府采购政策的通知》（财库〔</w:t>
      </w:r>
      <w:r>
        <w:t>2017</w:t>
      </w:r>
      <w:r>
        <w:rPr>
          <w:rFonts w:hint="eastAsia"/>
        </w:rPr>
        <w:t>〕</w:t>
      </w:r>
      <w:r>
        <w:t>141</w:t>
      </w:r>
      <w:r>
        <w:rPr>
          <w:rFonts w:hint="eastAsia"/>
        </w:rPr>
        <w:t>号）的规定，本单位为符合条件的残疾人福利性单位，且本单位参加</w:t>
      </w:r>
      <w:r>
        <w:t>______</w:t>
      </w:r>
      <w:r>
        <w:rPr>
          <w:rFonts w:hint="eastAsia"/>
        </w:rPr>
        <w:t>单位的采购文件编号为</w:t>
      </w:r>
      <w:r>
        <w:rPr>
          <w:rFonts w:cs="Times New Roman"/>
          <w:u w:val="single"/>
        </w:rPr>
        <w:t>      </w:t>
      </w:r>
      <w:r>
        <w:rPr>
          <w:rFonts w:hint="eastAsia"/>
        </w:rPr>
        <w:t>的</w:t>
      </w:r>
      <w:r>
        <w:rPr>
          <w:rFonts w:cs="Times New Roman"/>
          <w:u w:val="single"/>
        </w:rPr>
        <w:t>      </w:t>
      </w:r>
      <w:r>
        <w:rPr>
          <w:u w:val="single"/>
        </w:rPr>
        <w:t xml:space="preserve"> </w:t>
      </w:r>
      <w:r>
        <w:rPr>
          <w:rFonts w:hint="eastAsia"/>
        </w:rPr>
        <w:t>项目采购活动由本单位提供服务。</w:t>
      </w:r>
    </w:p>
    <w:p w14:paraId="35F6635E">
      <w:pPr>
        <w:pStyle w:val="44"/>
        <w:keepNext/>
        <w:keepLines/>
        <w:spacing w:beforeAutospacing="0" w:afterAutospacing="0" w:line="240" w:lineRule="atLeast"/>
        <w:ind w:firstLine="480"/>
        <w:jc w:val="both"/>
        <w:rPr>
          <w:rFonts w:cs="Times New Roman"/>
        </w:rPr>
      </w:pPr>
      <w:r>
        <w:rPr>
          <w:rFonts w:hint="eastAsia"/>
        </w:rPr>
        <w:t>本单位对上述声明的真实性负责。如有虚假，将依法承担相应责任。</w:t>
      </w:r>
    </w:p>
    <w:p w14:paraId="49D6F961">
      <w:pPr>
        <w:pStyle w:val="44"/>
        <w:keepNext/>
        <w:keepLines/>
        <w:spacing w:beforeAutospacing="0" w:afterAutospacing="0" w:line="240" w:lineRule="atLeast"/>
        <w:ind w:firstLine="480"/>
        <w:jc w:val="both"/>
        <w:rPr>
          <w:rFonts w:cs="Times New Roman"/>
        </w:rPr>
      </w:pPr>
      <w:r>
        <w:rPr>
          <w:rFonts w:cs="Times New Roman"/>
        </w:rPr>
        <w:t> </w:t>
      </w:r>
    </w:p>
    <w:p w14:paraId="148789AA">
      <w:pPr>
        <w:pStyle w:val="44"/>
        <w:keepNext/>
        <w:keepLines/>
        <w:spacing w:beforeAutospacing="0" w:afterAutospacing="0" w:line="240" w:lineRule="atLeast"/>
        <w:ind w:firstLine="480"/>
        <w:jc w:val="both"/>
        <w:rPr>
          <w:rFonts w:cs="Times New Roman"/>
        </w:rPr>
      </w:pPr>
      <w:r>
        <w:rPr>
          <w:rFonts w:hint="eastAsia"/>
        </w:rPr>
        <w:t>备注：</w:t>
      </w:r>
      <w:r>
        <w:t>1</w:t>
      </w:r>
      <w:r>
        <w:rPr>
          <w:rFonts w:hint="eastAsia"/>
        </w:rPr>
        <w:t>、供应商如不提供此声明函，价格将不做相应扣除（如项目全面面向中小企业，则资格审查不通过）。</w:t>
      </w:r>
    </w:p>
    <w:p w14:paraId="42DE8C5C">
      <w:pPr>
        <w:pStyle w:val="44"/>
        <w:keepNext/>
        <w:keepLines/>
        <w:numPr>
          <w:ilvl w:val="0"/>
          <w:numId w:val="5"/>
        </w:numPr>
        <w:spacing w:beforeAutospacing="0" w:afterAutospacing="0" w:line="240" w:lineRule="atLeast"/>
        <w:ind w:firstLine="624"/>
        <w:jc w:val="both"/>
        <w:rPr>
          <w:rFonts w:cs="Times New Roman"/>
        </w:rPr>
      </w:pPr>
      <w:r>
        <w:rPr>
          <w:rFonts w:hint="eastAsia"/>
        </w:rPr>
        <w:t>中标人为残疾人福利单位的，此声明函将随中标结果同时公告，接受社会监督。</w:t>
      </w:r>
    </w:p>
    <w:p w14:paraId="108E4539">
      <w:pPr>
        <w:pStyle w:val="44"/>
        <w:keepNext/>
        <w:keepLines/>
        <w:spacing w:beforeAutospacing="0" w:afterAutospacing="0" w:line="240" w:lineRule="atLeast"/>
        <w:jc w:val="both"/>
        <w:rPr>
          <w:rFonts w:cs="Times New Roman"/>
        </w:rPr>
      </w:pPr>
      <w:r>
        <w:rPr>
          <w:rFonts w:cs="Times New Roman"/>
        </w:rPr>
        <w:t> </w:t>
      </w:r>
    </w:p>
    <w:p w14:paraId="2105320E">
      <w:pPr>
        <w:pStyle w:val="44"/>
        <w:keepNext/>
        <w:keepLines/>
        <w:tabs>
          <w:tab w:val="left" w:pos="4864"/>
        </w:tabs>
        <w:spacing w:beforeAutospacing="0" w:afterAutospacing="0" w:line="240" w:lineRule="atLeast"/>
        <w:ind w:right="1560" w:firstLine="624"/>
        <w:jc w:val="center"/>
        <w:rPr>
          <w:rFonts w:cs="Times New Roman"/>
        </w:rPr>
      </w:pPr>
      <w:r>
        <w:rPr>
          <w:rFonts w:ascii="??_GB2312" w:eastAsia="Times New Roman" w:cs="Times New Roman"/>
          <w:sz w:val="30"/>
          <w:szCs w:val="30"/>
        </w:rPr>
        <w:t>           </w:t>
      </w:r>
      <w:r>
        <w:rPr>
          <w:rFonts w:ascii="??_GB2312" w:eastAsia="Times New Roman" w:cs="??_GB2312"/>
          <w:sz w:val="30"/>
          <w:szCs w:val="30"/>
        </w:rPr>
        <w:t xml:space="preserve">  </w:t>
      </w:r>
      <w:r>
        <w:rPr>
          <w:rFonts w:hint="eastAsia"/>
        </w:rPr>
        <w:t>供应商全称（加盖</w:t>
      </w:r>
      <w:r>
        <w:t>CA</w:t>
      </w:r>
      <w:r>
        <w:rPr>
          <w:rFonts w:hint="eastAsia"/>
        </w:rPr>
        <w:t>电子公章）：</w:t>
      </w:r>
    </w:p>
    <w:p w14:paraId="2697E202">
      <w:pPr>
        <w:pStyle w:val="44"/>
        <w:keepNext/>
        <w:keepLines/>
        <w:tabs>
          <w:tab w:val="left" w:pos="4864"/>
        </w:tabs>
        <w:spacing w:beforeAutospacing="0" w:afterAutospacing="0" w:line="240" w:lineRule="atLeast"/>
        <w:ind w:right="1560" w:firstLine="480"/>
        <w:jc w:val="center"/>
        <w:rPr>
          <w:rFonts w:cs="Times New Roman"/>
        </w:rPr>
      </w:pPr>
      <w:r>
        <w:rPr>
          <w:rFonts w:cs="Times New Roman"/>
        </w:rPr>
        <w:t>       </w:t>
      </w:r>
      <w:r>
        <w:t xml:space="preserve"> </w:t>
      </w:r>
      <w:r>
        <w:rPr>
          <w:rFonts w:hint="eastAsia"/>
        </w:rPr>
        <w:t>日</w:t>
      </w:r>
      <w:r>
        <w:rPr>
          <w:rFonts w:cs="Times New Roman"/>
        </w:rPr>
        <w:t> </w:t>
      </w:r>
      <w:r>
        <w:t xml:space="preserve"> </w:t>
      </w:r>
      <w:r>
        <w:rPr>
          <w:rFonts w:hint="eastAsia"/>
        </w:rPr>
        <w:t>期：</w:t>
      </w:r>
    </w:p>
    <w:p w14:paraId="55BFC3FF">
      <w:pPr>
        <w:keepNext/>
        <w:keepLines/>
        <w:widowControl/>
        <w:spacing w:line="360" w:lineRule="auto"/>
        <w:rPr>
          <w:rFonts w:cs="Times New Roman"/>
        </w:rPr>
      </w:pPr>
    </w:p>
    <w:p w14:paraId="544DAB9B">
      <w:pPr>
        <w:keepNext/>
        <w:keepLines/>
        <w:widowControl/>
        <w:spacing w:line="360" w:lineRule="auto"/>
        <w:rPr>
          <w:rFonts w:cs="Times New Roman"/>
          <w:b/>
          <w:bCs/>
        </w:rPr>
      </w:pPr>
    </w:p>
    <w:p w14:paraId="2EBEDEA2">
      <w:pPr>
        <w:keepNext/>
        <w:keepLines/>
        <w:widowControl/>
        <w:spacing w:line="360" w:lineRule="auto"/>
        <w:rPr>
          <w:rFonts w:cs="Times New Roman"/>
          <w:b/>
          <w:bCs/>
        </w:rPr>
      </w:pPr>
    </w:p>
    <w:p w14:paraId="4F625FCB">
      <w:pPr>
        <w:keepNext/>
        <w:keepLines/>
        <w:widowControl/>
        <w:spacing w:line="360" w:lineRule="auto"/>
        <w:rPr>
          <w:rFonts w:cs="Times New Roman"/>
          <w:b/>
          <w:bCs/>
        </w:rPr>
      </w:pPr>
    </w:p>
    <w:p w14:paraId="10E40214">
      <w:pPr>
        <w:pStyle w:val="36"/>
        <w:keepNext/>
        <w:keepLines/>
        <w:widowControl/>
        <w:rPr>
          <w:rFonts w:cs="Times New Roman"/>
        </w:rPr>
      </w:pPr>
      <w:r>
        <w:rPr>
          <w:rFonts w:ascii="宋体" w:cs="Times New Roman"/>
          <w:b/>
          <w:bCs/>
          <w:sz w:val="32"/>
          <w:szCs w:val="32"/>
        </w:rPr>
        <w:br w:type="page" w:clear="all"/>
      </w:r>
    </w:p>
    <w:p w14:paraId="2B113426">
      <w:pPr>
        <w:pStyle w:val="44"/>
        <w:keepNext/>
        <w:keepLines/>
        <w:spacing w:beforeAutospacing="0" w:afterAutospacing="0"/>
        <w:jc w:val="center"/>
        <w:rPr>
          <w:rFonts w:ascii="黑体" w:eastAsia="黑体" w:cs="Times New Roman"/>
          <w:sz w:val="32"/>
          <w:szCs w:val="32"/>
        </w:rPr>
      </w:pPr>
      <w:r>
        <w:rPr>
          <w:rFonts w:hint="eastAsia" w:ascii="黑体" w:eastAsia="黑体" w:cs="黑体"/>
          <w:sz w:val="32"/>
          <w:szCs w:val="32"/>
        </w:rPr>
        <w:t>十一、投标分项报价表（格式）</w:t>
      </w:r>
    </w:p>
    <w:p w14:paraId="2EC8E0D7">
      <w:pPr>
        <w:keepNext/>
        <w:keepLines/>
        <w:widowControl/>
        <w:spacing w:line="500" w:lineRule="exact"/>
        <w:ind w:firstLine="120"/>
        <w:jc w:val="left"/>
        <w:rPr>
          <w:rFonts w:ascii="宋体" w:cs="Times New Roman"/>
          <w:sz w:val="24"/>
          <w:szCs w:val="24"/>
        </w:rPr>
      </w:pPr>
      <w:r>
        <mc:AlternateContent>
          <mc:Choice Requires="wps">
            <w:drawing>
              <wp:anchor distT="0" distB="0" distL="114300" distR="114300" simplePos="0" relativeHeight="251660288" behindDoc="0" locked="1" layoutInCell="1" allowOverlap="1">
                <wp:simplePos x="0" y="0"/>
                <wp:positionH relativeFrom="column">
                  <wp:posOffset>866775</wp:posOffset>
                </wp:positionH>
                <wp:positionV relativeFrom="paragraph">
                  <wp:posOffset>287655</wp:posOffset>
                </wp:positionV>
                <wp:extent cx="1714500" cy="0"/>
                <wp:effectExtent l="0" t="4445" r="0" b="5080"/>
                <wp:wrapNone/>
                <wp:docPr id="1" name="自选图形 2"/>
                <wp:cNvGraphicFramePr/>
                <a:graphic xmlns:a="http://schemas.openxmlformats.org/drawingml/2006/main">
                  <a:graphicData uri="http://schemas.microsoft.com/office/word/2010/wordprocessingShape">
                    <wps:wsp>
                      <wps:cNvCnPr/>
                      <wps:spPr>
                        <a:xfrm>
                          <a:off x="0" y="0"/>
                          <a:ext cx="1714500" cy="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2" o:spid="_x0000_s1026" o:spt="32" type="#_x0000_t32" style="position:absolute;left:0pt;margin-left:68.25pt;margin-top:22.65pt;height:0pt;width:135pt;z-index:251660288;mso-width-relative:page;mso-height-relative:page;" filled="f" stroked="t" coordsize="21600,21600" o:gfxdata="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pg3XhdYAAAAJAQAADwAAAAAAAAABACAAAAAiAAAAZHJzL2Rvd25yZXYueG1sUEsBAhQA&#10;FAAAAAgAh07iQP+7r6H0AQAA4wMAAA4AAAAAAAAAAQAgAAAAJQEAAGRycy9lMm9Eb2MueG1sUEsF&#10;BgAAAAAGAAYAWQEAAIsFAAAAAA==&#10;">
                <v:fill on="f" focussize="0,0"/>
                <v:stroke color="#000000" joinstyle="round"/>
                <v:imagedata o:title=""/>
                <o:lock v:ext="edit" aspectratio="f"/>
                <w10:anchorlock/>
              </v:shape>
            </w:pict>
          </mc:Fallback>
        </mc:AlternateContent>
      </w:r>
      <w:r>
        <w:rPr>
          <w:rFonts w:hint="eastAsia" w:ascii="宋体" w:hAnsi="宋体" w:cs="宋体"/>
          <w:sz w:val="24"/>
          <w:szCs w:val="24"/>
        </w:rPr>
        <w:t>投标人全称：</w:t>
      </w:r>
      <w:r>
        <w:rPr>
          <w:rFonts w:ascii="宋体" w:hAnsi="宋体" w:cs="宋体"/>
          <w:sz w:val="24"/>
          <w:szCs w:val="24"/>
        </w:rPr>
        <w:t xml:space="preserve">                     </w:t>
      </w:r>
      <w:r>
        <w:rPr>
          <w:rFonts w:hint="eastAsia" w:ascii="宋体" w:hAnsi="宋体" w:cs="宋体"/>
          <w:sz w:val="24"/>
          <w:szCs w:val="24"/>
        </w:rPr>
        <w:t>（加盖公章）</w:t>
      </w:r>
    </w:p>
    <w:tbl>
      <w:tblPr>
        <w:tblStyle w:val="50"/>
        <w:tblW w:w="9437" w:type="dxa"/>
        <w:tblCellSpacing w:w="0" w:type="dxa"/>
        <w:tblInd w:w="2" w:type="dxa"/>
        <w:tblLayout w:type="fixed"/>
        <w:tblCellMar>
          <w:top w:w="0" w:type="dxa"/>
          <w:left w:w="108" w:type="dxa"/>
          <w:bottom w:w="0" w:type="dxa"/>
          <w:right w:w="108" w:type="dxa"/>
        </w:tblCellMar>
      </w:tblPr>
      <w:tblGrid>
        <w:gridCol w:w="1024"/>
        <w:gridCol w:w="1349"/>
        <w:gridCol w:w="1334"/>
        <w:gridCol w:w="972"/>
        <w:gridCol w:w="1249"/>
        <w:gridCol w:w="1667"/>
        <w:gridCol w:w="1842"/>
      </w:tblGrid>
      <w:tr w14:paraId="73ACE59E">
        <w:tblPrEx>
          <w:tblCellMar>
            <w:top w:w="0" w:type="dxa"/>
            <w:left w:w="108" w:type="dxa"/>
            <w:bottom w:w="0" w:type="dxa"/>
            <w:right w:w="108" w:type="dxa"/>
          </w:tblCellMar>
        </w:tblPrEx>
        <w:trPr>
          <w:trHeight w:val="544" w:hRule="atLeast"/>
          <w:tblCellSpacing w:w="0" w:type="dxa"/>
        </w:trPr>
        <w:tc>
          <w:tcPr>
            <w:tcW w:w="1024" w:type="dxa"/>
            <w:vMerge w:val="restart"/>
            <w:tcBorders>
              <w:top w:val="single" w:color="000000" w:sz="4" w:space="0"/>
              <w:left w:val="single" w:color="000000" w:sz="4" w:space="0"/>
              <w:bottom w:val="single" w:color="000000" w:sz="4" w:space="0"/>
              <w:right w:val="single" w:color="000000" w:sz="4" w:space="0"/>
            </w:tcBorders>
            <w:vAlign w:val="center"/>
          </w:tcPr>
          <w:p w14:paraId="3D7CE753">
            <w:pPr>
              <w:pStyle w:val="44"/>
              <w:keepNext/>
              <w:keepLines/>
              <w:spacing w:beforeAutospacing="0" w:afterAutospacing="0" w:line="240" w:lineRule="atLeast"/>
              <w:jc w:val="center"/>
              <w:rPr>
                <w:rFonts w:hAnsi="宋体" w:cs="Times New Roman"/>
              </w:rPr>
            </w:pPr>
            <w:r>
              <w:rPr>
                <w:rFonts w:hint="eastAsia" w:hAnsi="宋体"/>
              </w:rPr>
              <w:t>序号</w:t>
            </w:r>
          </w:p>
        </w:tc>
        <w:tc>
          <w:tcPr>
            <w:tcW w:w="1349" w:type="dxa"/>
            <w:tcBorders>
              <w:top w:val="single" w:color="000000" w:sz="4" w:space="0"/>
              <w:left w:val="single" w:color="000000" w:sz="4" w:space="0"/>
              <w:bottom w:val="single" w:color="000000" w:sz="4" w:space="0"/>
              <w:right w:val="single" w:color="000000" w:sz="4" w:space="0"/>
            </w:tcBorders>
            <w:vAlign w:val="center"/>
          </w:tcPr>
          <w:p w14:paraId="2260FAED">
            <w:pPr>
              <w:pStyle w:val="44"/>
              <w:keepNext/>
              <w:keepLines/>
              <w:spacing w:beforeAutospacing="0" w:afterAutospacing="0" w:line="240" w:lineRule="atLeast"/>
              <w:jc w:val="center"/>
              <w:rPr>
                <w:rFonts w:hAnsi="宋体"/>
              </w:rPr>
            </w:pPr>
            <w:r>
              <w:rPr>
                <w:rFonts w:hAnsi="宋体"/>
              </w:rPr>
              <w:t>1</w:t>
            </w:r>
          </w:p>
        </w:tc>
        <w:tc>
          <w:tcPr>
            <w:tcW w:w="1334" w:type="dxa"/>
            <w:tcBorders>
              <w:top w:val="single" w:color="000000" w:sz="4" w:space="0"/>
              <w:left w:val="single" w:color="000000" w:sz="4" w:space="0"/>
              <w:bottom w:val="single" w:color="000000" w:sz="4" w:space="0"/>
              <w:right w:val="single" w:color="000000" w:sz="4" w:space="0"/>
            </w:tcBorders>
            <w:vAlign w:val="center"/>
          </w:tcPr>
          <w:p w14:paraId="306B276E">
            <w:pPr>
              <w:pStyle w:val="44"/>
              <w:keepNext/>
              <w:keepLines/>
              <w:spacing w:beforeAutospacing="0" w:afterAutospacing="0" w:line="240" w:lineRule="atLeast"/>
              <w:jc w:val="center"/>
              <w:rPr>
                <w:rFonts w:hAnsi="宋体"/>
              </w:rPr>
            </w:pPr>
            <w:r>
              <w:rPr>
                <w:rFonts w:hAnsi="宋体"/>
              </w:rPr>
              <w:t>2</w:t>
            </w:r>
          </w:p>
        </w:tc>
        <w:tc>
          <w:tcPr>
            <w:tcW w:w="972" w:type="dxa"/>
            <w:tcBorders>
              <w:top w:val="single" w:color="000000" w:sz="4" w:space="0"/>
              <w:left w:val="single" w:color="000000" w:sz="4" w:space="0"/>
              <w:bottom w:val="single" w:color="000000" w:sz="4" w:space="0"/>
              <w:right w:val="single" w:color="000000" w:sz="4" w:space="0"/>
            </w:tcBorders>
            <w:vAlign w:val="center"/>
          </w:tcPr>
          <w:p w14:paraId="6E9765F3">
            <w:pPr>
              <w:pStyle w:val="44"/>
              <w:keepNext/>
              <w:keepLines/>
              <w:spacing w:beforeAutospacing="0" w:afterAutospacing="0" w:line="240" w:lineRule="atLeast"/>
              <w:jc w:val="center"/>
              <w:rPr>
                <w:rFonts w:hAnsi="宋体"/>
              </w:rPr>
            </w:pPr>
            <w:r>
              <w:rPr>
                <w:rFonts w:hAnsi="宋体"/>
              </w:rPr>
              <w:t>3</w:t>
            </w:r>
          </w:p>
        </w:tc>
        <w:tc>
          <w:tcPr>
            <w:tcW w:w="1249" w:type="dxa"/>
            <w:tcBorders>
              <w:top w:val="single" w:color="000000" w:sz="4" w:space="0"/>
              <w:left w:val="single" w:color="000000" w:sz="4" w:space="0"/>
              <w:bottom w:val="single" w:color="000000" w:sz="4" w:space="0"/>
              <w:right w:val="single" w:color="000000" w:sz="4" w:space="0"/>
            </w:tcBorders>
            <w:vAlign w:val="center"/>
          </w:tcPr>
          <w:p w14:paraId="59CAA49F">
            <w:pPr>
              <w:pStyle w:val="44"/>
              <w:keepNext/>
              <w:keepLines/>
              <w:spacing w:beforeAutospacing="0" w:afterAutospacing="0" w:line="240" w:lineRule="atLeast"/>
              <w:jc w:val="center"/>
              <w:rPr>
                <w:rFonts w:hAnsi="宋体"/>
              </w:rPr>
            </w:pPr>
            <w:r>
              <w:rPr>
                <w:rFonts w:hAnsi="宋体"/>
              </w:rPr>
              <w:t>4</w:t>
            </w:r>
          </w:p>
        </w:tc>
        <w:tc>
          <w:tcPr>
            <w:tcW w:w="1667" w:type="dxa"/>
            <w:tcBorders>
              <w:top w:val="single" w:color="000000" w:sz="4" w:space="0"/>
              <w:left w:val="single" w:color="000000" w:sz="4" w:space="0"/>
              <w:bottom w:val="single" w:color="000000" w:sz="4" w:space="0"/>
              <w:right w:val="single" w:color="000000" w:sz="4" w:space="0"/>
            </w:tcBorders>
            <w:vAlign w:val="center"/>
          </w:tcPr>
          <w:p w14:paraId="3CC75CD8">
            <w:pPr>
              <w:pStyle w:val="44"/>
              <w:keepNext/>
              <w:keepLines/>
              <w:spacing w:beforeAutospacing="0" w:afterAutospacing="0" w:line="240" w:lineRule="atLeast"/>
              <w:jc w:val="center"/>
              <w:rPr>
                <w:rFonts w:hAnsi="宋体"/>
              </w:rPr>
            </w:pPr>
            <w:r>
              <w:rPr>
                <w:rFonts w:hAnsi="宋体"/>
              </w:rPr>
              <w:t>5</w:t>
            </w:r>
          </w:p>
        </w:tc>
        <w:tc>
          <w:tcPr>
            <w:tcW w:w="1842" w:type="dxa"/>
            <w:tcBorders>
              <w:top w:val="single" w:color="000000" w:sz="4" w:space="0"/>
              <w:left w:val="single" w:color="000000" w:sz="4" w:space="0"/>
              <w:bottom w:val="single" w:color="000000" w:sz="4" w:space="0"/>
              <w:right w:val="single" w:color="000000" w:sz="4" w:space="0"/>
            </w:tcBorders>
            <w:vAlign w:val="center"/>
          </w:tcPr>
          <w:p w14:paraId="44F09880">
            <w:pPr>
              <w:pStyle w:val="44"/>
              <w:keepNext/>
              <w:keepLines/>
              <w:spacing w:beforeAutospacing="0" w:afterAutospacing="0" w:line="240" w:lineRule="atLeast"/>
              <w:jc w:val="center"/>
              <w:rPr>
                <w:rFonts w:hAnsi="宋体"/>
              </w:rPr>
            </w:pPr>
            <w:r>
              <w:rPr>
                <w:rFonts w:hAnsi="宋体"/>
              </w:rPr>
              <w:t>6</w:t>
            </w:r>
          </w:p>
        </w:tc>
      </w:tr>
      <w:tr w14:paraId="619E2120">
        <w:tblPrEx>
          <w:tblCellMar>
            <w:top w:w="0" w:type="dxa"/>
            <w:left w:w="108" w:type="dxa"/>
            <w:bottom w:w="0" w:type="dxa"/>
            <w:right w:w="108" w:type="dxa"/>
          </w:tblCellMar>
        </w:tblPrEx>
        <w:trPr>
          <w:trHeight w:val="294" w:hRule="atLeast"/>
          <w:tblCellSpacing w:w="0" w:type="dxa"/>
        </w:trPr>
        <w:tc>
          <w:tcPr>
            <w:tcW w:w="1024" w:type="dxa"/>
            <w:vMerge w:val="continue"/>
            <w:tcBorders>
              <w:top w:val="single" w:color="000000" w:sz="4" w:space="0"/>
              <w:left w:val="single" w:color="000000" w:sz="4" w:space="0"/>
              <w:bottom w:val="single" w:color="000000" w:sz="4" w:space="0"/>
              <w:right w:val="single" w:color="000000" w:sz="4" w:space="0"/>
            </w:tcBorders>
            <w:vAlign w:val="center"/>
          </w:tcPr>
          <w:p w14:paraId="68AF2A31">
            <w:pPr>
              <w:keepNext/>
              <w:keepLines/>
              <w:widowControl/>
              <w:rPr>
                <w:rFonts w:ascii="宋体" w:cs="Times New Roman"/>
                <w:sz w:val="24"/>
                <w:szCs w:val="24"/>
              </w:rPr>
            </w:pPr>
          </w:p>
        </w:tc>
        <w:tc>
          <w:tcPr>
            <w:tcW w:w="1349" w:type="dxa"/>
            <w:tcBorders>
              <w:top w:val="single" w:color="000000" w:sz="4" w:space="0"/>
              <w:left w:val="single" w:color="000000" w:sz="4" w:space="0"/>
              <w:bottom w:val="single" w:color="000000" w:sz="4" w:space="0"/>
              <w:right w:val="single" w:color="000000" w:sz="4" w:space="0"/>
            </w:tcBorders>
            <w:vAlign w:val="center"/>
          </w:tcPr>
          <w:p w14:paraId="43D3FD5E">
            <w:pPr>
              <w:pStyle w:val="44"/>
              <w:keepNext/>
              <w:keepLines/>
              <w:spacing w:beforeAutospacing="0" w:afterAutospacing="0" w:line="240" w:lineRule="atLeast"/>
              <w:jc w:val="center"/>
              <w:rPr>
                <w:rFonts w:hAnsi="宋体" w:cs="Times New Roman"/>
              </w:rPr>
            </w:pPr>
            <w:r>
              <w:rPr>
                <w:rFonts w:hint="eastAsia" w:hAnsi="宋体"/>
              </w:rPr>
              <w:t>分项服务名称</w:t>
            </w:r>
          </w:p>
        </w:tc>
        <w:tc>
          <w:tcPr>
            <w:tcW w:w="1334" w:type="dxa"/>
            <w:tcBorders>
              <w:top w:val="single" w:color="000000" w:sz="4" w:space="0"/>
              <w:left w:val="single" w:color="000000" w:sz="4" w:space="0"/>
              <w:bottom w:val="single" w:color="000000" w:sz="4" w:space="0"/>
              <w:right w:val="single" w:color="000000" w:sz="4" w:space="0"/>
            </w:tcBorders>
            <w:vAlign w:val="center"/>
          </w:tcPr>
          <w:p w14:paraId="1031515F">
            <w:pPr>
              <w:pStyle w:val="44"/>
              <w:keepNext/>
              <w:keepLines/>
              <w:spacing w:beforeAutospacing="0" w:afterAutospacing="0" w:line="240" w:lineRule="atLeast"/>
              <w:jc w:val="center"/>
              <w:rPr>
                <w:rFonts w:hAnsi="宋体" w:cs="Times New Roman"/>
              </w:rPr>
            </w:pPr>
            <w:r>
              <w:rPr>
                <w:rFonts w:hint="eastAsia" w:hAnsi="宋体"/>
              </w:rPr>
              <w:t>交付期</w:t>
            </w:r>
          </w:p>
        </w:tc>
        <w:tc>
          <w:tcPr>
            <w:tcW w:w="972" w:type="dxa"/>
            <w:tcBorders>
              <w:top w:val="single" w:color="000000" w:sz="4" w:space="0"/>
              <w:left w:val="single" w:color="000000" w:sz="4" w:space="0"/>
              <w:bottom w:val="single" w:color="000000" w:sz="4" w:space="0"/>
              <w:right w:val="single" w:color="000000" w:sz="4" w:space="0"/>
            </w:tcBorders>
            <w:vAlign w:val="center"/>
          </w:tcPr>
          <w:p w14:paraId="4C4F3913">
            <w:pPr>
              <w:pStyle w:val="44"/>
              <w:keepNext/>
              <w:keepLines/>
              <w:spacing w:beforeAutospacing="0" w:afterAutospacing="0" w:line="240" w:lineRule="atLeast"/>
              <w:jc w:val="center"/>
              <w:rPr>
                <w:rFonts w:hAnsi="宋体" w:cs="Times New Roman"/>
              </w:rPr>
            </w:pPr>
            <w:r>
              <w:rPr>
                <w:rFonts w:hint="eastAsia" w:hAnsi="宋体"/>
              </w:rPr>
              <w:t>分项单位</w:t>
            </w:r>
          </w:p>
        </w:tc>
        <w:tc>
          <w:tcPr>
            <w:tcW w:w="1249" w:type="dxa"/>
            <w:tcBorders>
              <w:top w:val="single" w:color="000000" w:sz="4" w:space="0"/>
              <w:left w:val="single" w:color="000000" w:sz="4" w:space="0"/>
              <w:bottom w:val="single" w:color="000000" w:sz="4" w:space="0"/>
              <w:right w:val="single" w:color="000000" w:sz="4" w:space="0"/>
            </w:tcBorders>
            <w:vAlign w:val="center"/>
          </w:tcPr>
          <w:p w14:paraId="50C86169">
            <w:pPr>
              <w:pStyle w:val="44"/>
              <w:keepNext/>
              <w:keepLines/>
              <w:spacing w:beforeAutospacing="0" w:afterAutospacing="0" w:line="240" w:lineRule="atLeast"/>
              <w:jc w:val="center"/>
              <w:rPr>
                <w:rFonts w:hAnsi="宋体" w:cs="Times New Roman"/>
              </w:rPr>
            </w:pPr>
            <w:r>
              <w:rPr>
                <w:rFonts w:hint="eastAsia" w:hAnsi="宋体"/>
              </w:rPr>
              <w:t>数量</w:t>
            </w:r>
          </w:p>
        </w:tc>
        <w:tc>
          <w:tcPr>
            <w:tcW w:w="1667" w:type="dxa"/>
            <w:tcBorders>
              <w:top w:val="single" w:color="000000" w:sz="4" w:space="0"/>
              <w:left w:val="single" w:color="000000" w:sz="4" w:space="0"/>
              <w:bottom w:val="single" w:color="000000" w:sz="4" w:space="0"/>
              <w:right w:val="single" w:color="000000" w:sz="4" w:space="0"/>
            </w:tcBorders>
            <w:vAlign w:val="center"/>
          </w:tcPr>
          <w:p w14:paraId="554727A5">
            <w:pPr>
              <w:pStyle w:val="44"/>
              <w:keepNext/>
              <w:keepLines/>
              <w:spacing w:beforeAutospacing="0" w:afterAutospacing="0" w:line="240" w:lineRule="atLeast"/>
              <w:jc w:val="center"/>
              <w:rPr>
                <w:rFonts w:hAnsi="宋体" w:cs="Times New Roman"/>
              </w:rPr>
            </w:pPr>
            <w:r>
              <w:rPr>
                <w:rFonts w:hint="eastAsia" w:hAnsi="宋体"/>
              </w:rPr>
              <w:t>分项</w:t>
            </w:r>
          </w:p>
          <w:p w14:paraId="19149963">
            <w:pPr>
              <w:pStyle w:val="44"/>
              <w:keepNext/>
              <w:keepLines/>
              <w:spacing w:beforeAutospacing="0" w:afterAutospacing="0" w:line="240" w:lineRule="atLeast"/>
              <w:jc w:val="center"/>
              <w:rPr>
                <w:rFonts w:hAnsi="宋体" w:cs="Times New Roman"/>
              </w:rPr>
            </w:pPr>
            <w:r>
              <w:rPr>
                <w:rFonts w:hint="eastAsia" w:hAnsi="宋体"/>
              </w:rPr>
              <w:t>单价</w:t>
            </w:r>
          </w:p>
        </w:tc>
        <w:tc>
          <w:tcPr>
            <w:tcW w:w="1842" w:type="dxa"/>
            <w:tcBorders>
              <w:top w:val="single" w:color="000000" w:sz="4" w:space="0"/>
              <w:left w:val="single" w:color="000000" w:sz="4" w:space="0"/>
              <w:bottom w:val="single" w:color="000000" w:sz="4" w:space="0"/>
              <w:right w:val="single" w:color="000000" w:sz="4" w:space="0"/>
            </w:tcBorders>
            <w:vAlign w:val="center"/>
          </w:tcPr>
          <w:p w14:paraId="0C01E1BF">
            <w:pPr>
              <w:pStyle w:val="44"/>
              <w:keepNext/>
              <w:keepLines/>
              <w:spacing w:beforeAutospacing="0" w:afterAutospacing="0" w:line="240" w:lineRule="atLeast"/>
              <w:jc w:val="center"/>
              <w:rPr>
                <w:rFonts w:hAnsi="宋体" w:cs="Times New Roman"/>
              </w:rPr>
            </w:pPr>
            <w:r>
              <w:rPr>
                <w:rFonts w:hint="eastAsia" w:hAnsi="宋体"/>
              </w:rPr>
              <w:t>分项</w:t>
            </w:r>
          </w:p>
          <w:p w14:paraId="3C5F4834">
            <w:pPr>
              <w:pStyle w:val="44"/>
              <w:keepNext/>
              <w:keepLines/>
              <w:spacing w:beforeAutospacing="0" w:afterAutospacing="0" w:line="240" w:lineRule="atLeast"/>
              <w:jc w:val="center"/>
              <w:rPr>
                <w:rFonts w:hAnsi="宋体" w:cs="Times New Roman"/>
              </w:rPr>
            </w:pPr>
            <w:r>
              <w:rPr>
                <w:rFonts w:hint="eastAsia" w:hAnsi="宋体"/>
              </w:rPr>
              <w:t>总价</w:t>
            </w:r>
          </w:p>
        </w:tc>
      </w:tr>
      <w:tr w14:paraId="0EA25E8D">
        <w:tblPrEx>
          <w:tblCellMar>
            <w:top w:w="0" w:type="dxa"/>
            <w:left w:w="108" w:type="dxa"/>
            <w:bottom w:w="0" w:type="dxa"/>
            <w:right w:w="108" w:type="dxa"/>
          </w:tblCellMar>
        </w:tblPrEx>
        <w:trPr>
          <w:trHeight w:val="654" w:hRule="atLeast"/>
          <w:tblCellSpacing w:w="0" w:type="dxa"/>
        </w:trPr>
        <w:tc>
          <w:tcPr>
            <w:tcW w:w="1024" w:type="dxa"/>
            <w:tcBorders>
              <w:top w:val="single" w:color="000000" w:sz="4" w:space="0"/>
              <w:left w:val="single" w:color="000000" w:sz="4" w:space="0"/>
              <w:bottom w:val="single" w:color="000000" w:sz="4" w:space="0"/>
              <w:right w:val="single" w:color="000000" w:sz="4" w:space="0"/>
            </w:tcBorders>
            <w:vAlign w:val="center"/>
          </w:tcPr>
          <w:p w14:paraId="3088728E">
            <w:pPr>
              <w:pStyle w:val="44"/>
              <w:keepNext/>
              <w:keepLines/>
              <w:spacing w:beforeAutospacing="0" w:afterAutospacing="0" w:line="240" w:lineRule="atLeast"/>
              <w:jc w:val="center"/>
              <w:rPr>
                <w:rFonts w:hAnsi="宋体"/>
              </w:rPr>
            </w:pPr>
            <w:r>
              <w:rPr>
                <w:rFonts w:hAnsi="宋体"/>
              </w:rPr>
              <w:t>1</w:t>
            </w:r>
          </w:p>
        </w:tc>
        <w:tc>
          <w:tcPr>
            <w:tcW w:w="1349" w:type="dxa"/>
            <w:tcBorders>
              <w:top w:val="single" w:color="000000" w:sz="4" w:space="0"/>
              <w:left w:val="single" w:color="000000" w:sz="4" w:space="0"/>
              <w:bottom w:val="single" w:color="000000" w:sz="4" w:space="0"/>
              <w:right w:val="single" w:color="000000" w:sz="4" w:space="0"/>
            </w:tcBorders>
            <w:vAlign w:val="center"/>
          </w:tcPr>
          <w:p w14:paraId="5946FAE0">
            <w:pPr>
              <w:pStyle w:val="44"/>
              <w:keepNext/>
              <w:keepLines/>
              <w:spacing w:beforeAutospacing="0" w:afterAutospacing="0" w:line="240" w:lineRule="atLeast"/>
              <w:jc w:val="center"/>
              <w:rPr>
                <w:rFonts w:hAnsi="宋体"/>
              </w:rPr>
            </w:pPr>
            <w:r>
              <w:rPr>
                <w:rFonts w:hAnsi="宋体"/>
              </w:rPr>
              <w:t> </w:t>
            </w:r>
          </w:p>
        </w:tc>
        <w:tc>
          <w:tcPr>
            <w:tcW w:w="1334" w:type="dxa"/>
            <w:tcBorders>
              <w:top w:val="single" w:color="000000" w:sz="4" w:space="0"/>
              <w:left w:val="single" w:color="000000" w:sz="4" w:space="0"/>
              <w:bottom w:val="single" w:color="000000" w:sz="4" w:space="0"/>
              <w:right w:val="single" w:color="000000" w:sz="4" w:space="0"/>
            </w:tcBorders>
            <w:vAlign w:val="center"/>
          </w:tcPr>
          <w:p w14:paraId="75CCD328">
            <w:pPr>
              <w:pStyle w:val="44"/>
              <w:keepNext/>
              <w:keepLines/>
              <w:spacing w:beforeAutospacing="0" w:afterAutospacing="0" w:line="240" w:lineRule="atLeast"/>
              <w:jc w:val="center"/>
              <w:rPr>
                <w:rFonts w:hAnsi="宋体"/>
              </w:rPr>
            </w:pPr>
            <w:r>
              <w:rPr>
                <w:rFonts w:hAnsi="宋体"/>
              </w:rPr>
              <w:t> </w:t>
            </w:r>
          </w:p>
        </w:tc>
        <w:tc>
          <w:tcPr>
            <w:tcW w:w="972" w:type="dxa"/>
            <w:tcBorders>
              <w:top w:val="single" w:color="000000" w:sz="4" w:space="0"/>
              <w:left w:val="single" w:color="000000" w:sz="4" w:space="0"/>
              <w:bottom w:val="single" w:color="000000" w:sz="4" w:space="0"/>
              <w:right w:val="single" w:color="000000" w:sz="4" w:space="0"/>
            </w:tcBorders>
            <w:vAlign w:val="center"/>
          </w:tcPr>
          <w:p w14:paraId="0836D5B8">
            <w:pPr>
              <w:pStyle w:val="44"/>
              <w:keepNext/>
              <w:keepLines/>
              <w:spacing w:beforeAutospacing="0" w:afterAutospacing="0" w:line="240" w:lineRule="atLeast"/>
              <w:jc w:val="center"/>
              <w:rPr>
                <w:rFonts w:hAnsi="宋体"/>
              </w:rPr>
            </w:pPr>
            <w:r>
              <w:rPr>
                <w:rFonts w:hAnsi="宋体"/>
              </w:rPr>
              <w:t> </w:t>
            </w:r>
          </w:p>
        </w:tc>
        <w:tc>
          <w:tcPr>
            <w:tcW w:w="1249" w:type="dxa"/>
            <w:tcBorders>
              <w:top w:val="single" w:color="000000" w:sz="4" w:space="0"/>
              <w:left w:val="single" w:color="000000" w:sz="4" w:space="0"/>
              <w:bottom w:val="single" w:color="000000" w:sz="4" w:space="0"/>
              <w:right w:val="single" w:color="000000" w:sz="4" w:space="0"/>
            </w:tcBorders>
            <w:vAlign w:val="center"/>
          </w:tcPr>
          <w:p w14:paraId="75F7CEC5">
            <w:pPr>
              <w:pStyle w:val="44"/>
              <w:keepNext/>
              <w:keepLines/>
              <w:spacing w:beforeAutospacing="0" w:afterAutospacing="0" w:line="240" w:lineRule="atLeast"/>
              <w:jc w:val="center"/>
              <w:rPr>
                <w:rFonts w:hAnsi="宋体"/>
              </w:rPr>
            </w:pPr>
            <w:r>
              <w:rPr>
                <w:rFonts w:hAnsi="宋体"/>
              </w:rPr>
              <w:t> </w:t>
            </w:r>
          </w:p>
        </w:tc>
        <w:tc>
          <w:tcPr>
            <w:tcW w:w="1667" w:type="dxa"/>
            <w:tcBorders>
              <w:top w:val="single" w:color="000000" w:sz="4" w:space="0"/>
              <w:left w:val="single" w:color="000000" w:sz="4" w:space="0"/>
              <w:bottom w:val="single" w:color="000000" w:sz="4" w:space="0"/>
              <w:right w:val="single" w:color="000000" w:sz="4" w:space="0"/>
            </w:tcBorders>
            <w:vAlign w:val="center"/>
          </w:tcPr>
          <w:p w14:paraId="700E9675">
            <w:pPr>
              <w:pStyle w:val="44"/>
              <w:keepNext/>
              <w:keepLines/>
              <w:spacing w:beforeAutospacing="0" w:afterAutospacing="0" w:line="240" w:lineRule="atLeast"/>
              <w:jc w:val="center"/>
              <w:rPr>
                <w:rFonts w:hAnsi="宋体"/>
              </w:rPr>
            </w:pPr>
            <w:r>
              <w:rPr>
                <w:rFonts w:hAnsi="宋体"/>
              </w:rPr>
              <w:t> </w:t>
            </w:r>
          </w:p>
        </w:tc>
        <w:tc>
          <w:tcPr>
            <w:tcW w:w="1842" w:type="dxa"/>
            <w:tcBorders>
              <w:top w:val="single" w:color="000000" w:sz="4" w:space="0"/>
              <w:left w:val="single" w:color="000000" w:sz="4" w:space="0"/>
              <w:bottom w:val="single" w:color="000000" w:sz="4" w:space="0"/>
              <w:right w:val="single" w:color="000000" w:sz="4" w:space="0"/>
            </w:tcBorders>
            <w:vAlign w:val="center"/>
          </w:tcPr>
          <w:p w14:paraId="4B92F8AC">
            <w:pPr>
              <w:pStyle w:val="44"/>
              <w:keepNext/>
              <w:keepLines/>
              <w:spacing w:beforeAutospacing="0" w:afterAutospacing="0" w:line="240" w:lineRule="atLeast"/>
              <w:jc w:val="center"/>
              <w:rPr>
                <w:rFonts w:hAnsi="宋体"/>
              </w:rPr>
            </w:pPr>
            <w:r>
              <w:rPr>
                <w:rFonts w:hAnsi="宋体"/>
              </w:rPr>
              <w:t> </w:t>
            </w:r>
          </w:p>
        </w:tc>
      </w:tr>
      <w:tr w14:paraId="5F611474">
        <w:tblPrEx>
          <w:tblCellMar>
            <w:top w:w="0" w:type="dxa"/>
            <w:left w:w="108" w:type="dxa"/>
            <w:bottom w:w="0" w:type="dxa"/>
            <w:right w:w="108" w:type="dxa"/>
          </w:tblCellMar>
        </w:tblPrEx>
        <w:trPr>
          <w:trHeight w:val="654" w:hRule="atLeast"/>
          <w:tblCellSpacing w:w="0" w:type="dxa"/>
        </w:trPr>
        <w:tc>
          <w:tcPr>
            <w:tcW w:w="1024" w:type="dxa"/>
            <w:tcBorders>
              <w:top w:val="single" w:color="000000" w:sz="4" w:space="0"/>
              <w:left w:val="single" w:color="000000" w:sz="4" w:space="0"/>
              <w:bottom w:val="single" w:color="000000" w:sz="4" w:space="0"/>
              <w:right w:val="single" w:color="000000" w:sz="4" w:space="0"/>
            </w:tcBorders>
            <w:vAlign w:val="center"/>
          </w:tcPr>
          <w:p w14:paraId="3D43C2D9">
            <w:pPr>
              <w:pStyle w:val="44"/>
              <w:keepNext/>
              <w:keepLines/>
              <w:spacing w:beforeAutospacing="0" w:afterAutospacing="0" w:line="240" w:lineRule="atLeast"/>
              <w:jc w:val="center"/>
              <w:rPr>
                <w:rFonts w:hAnsi="宋体"/>
              </w:rPr>
            </w:pPr>
            <w:r>
              <w:rPr>
                <w:rFonts w:hAnsi="宋体"/>
              </w:rPr>
              <w:t>2</w:t>
            </w:r>
          </w:p>
        </w:tc>
        <w:tc>
          <w:tcPr>
            <w:tcW w:w="1349" w:type="dxa"/>
            <w:tcBorders>
              <w:top w:val="single" w:color="000000" w:sz="4" w:space="0"/>
              <w:left w:val="single" w:color="000000" w:sz="4" w:space="0"/>
              <w:bottom w:val="single" w:color="000000" w:sz="4" w:space="0"/>
              <w:right w:val="single" w:color="000000" w:sz="4" w:space="0"/>
            </w:tcBorders>
            <w:vAlign w:val="center"/>
          </w:tcPr>
          <w:p w14:paraId="6010DCF5">
            <w:pPr>
              <w:pStyle w:val="44"/>
              <w:keepNext/>
              <w:keepLines/>
              <w:spacing w:beforeAutospacing="0" w:afterAutospacing="0" w:line="240" w:lineRule="atLeast"/>
              <w:jc w:val="center"/>
              <w:rPr>
                <w:rFonts w:hAnsi="宋体"/>
              </w:rPr>
            </w:pPr>
            <w:r>
              <w:rPr>
                <w:rFonts w:hAnsi="宋体"/>
              </w:rPr>
              <w:t> </w:t>
            </w:r>
          </w:p>
        </w:tc>
        <w:tc>
          <w:tcPr>
            <w:tcW w:w="1334" w:type="dxa"/>
            <w:tcBorders>
              <w:top w:val="single" w:color="000000" w:sz="4" w:space="0"/>
              <w:left w:val="single" w:color="000000" w:sz="4" w:space="0"/>
              <w:bottom w:val="single" w:color="000000" w:sz="4" w:space="0"/>
              <w:right w:val="single" w:color="000000" w:sz="4" w:space="0"/>
            </w:tcBorders>
            <w:vAlign w:val="center"/>
          </w:tcPr>
          <w:p w14:paraId="2355493A">
            <w:pPr>
              <w:pStyle w:val="44"/>
              <w:keepNext/>
              <w:keepLines/>
              <w:spacing w:beforeAutospacing="0" w:afterAutospacing="0" w:line="240" w:lineRule="atLeast"/>
              <w:jc w:val="center"/>
              <w:rPr>
                <w:rFonts w:hAnsi="宋体"/>
              </w:rPr>
            </w:pPr>
            <w:r>
              <w:rPr>
                <w:rFonts w:hAnsi="宋体"/>
              </w:rPr>
              <w:t> </w:t>
            </w:r>
          </w:p>
        </w:tc>
        <w:tc>
          <w:tcPr>
            <w:tcW w:w="972" w:type="dxa"/>
            <w:tcBorders>
              <w:top w:val="single" w:color="000000" w:sz="4" w:space="0"/>
              <w:left w:val="single" w:color="000000" w:sz="4" w:space="0"/>
              <w:bottom w:val="single" w:color="000000" w:sz="4" w:space="0"/>
              <w:right w:val="single" w:color="000000" w:sz="4" w:space="0"/>
            </w:tcBorders>
            <w:vAlign w:val="center"/>
          </w:tcPr>
          <w:p w14:paraId="333966EA">
            <w:pPr>
              <w:pStyle w:val="44"/>
              <w:keepNext/>
              <w:keepLines/>
              <w:spacing w:beforeAutospacing="0" w:afterAutospacing="0" w:line="240" w:lineRule="atLeast"/>
              <w:jc w:val="center"/>
              <w:rPr>
                <w:rFonts w:hAnsi="宋体"/>
              </w:rPr>
            </w:pPr>
            <w:r>
              <w:rPr>
                <w:rFonts w:hAnsi="宋体"/>
              </w:rPr>
              <w:t> </w:t>
            </w:r>
          </w:p>
        </w:tc>
        <w:tc>
          <w:tcPr>
            <w:tcW w:w="1249" w:type="dxa"/>
            <w:tcBorders>
              <w:top w:val="single" w:color="000000" w:sz="4" w:space="0"/>
              <w:left w:val="single" w:color="000000" w:sz="4" w:space="0"/>
              <w:bottom w:val="single" w:color="000000" w:sz="4" w:space="0"/>
              <w:right w:val="single" w:color="000000" w:sz="4" w:space="0"/>
            </w:tcBorders>
            <w:vAlign w:val="center"/>
          </w:tcPr>
          <w:p w14:paraId="0034A9CD">
            <w:pPr>
              <w:pStyle w:val="44"/>
              <w:keepNext/>
              <w:keepLines/>
              <w:spacing w:beforeAutospacing="0" w:afterAutospacing="0" w:line="240" w:lineRule="atLeast"/>
              <w:jc w:val="center"/>
              <w:rPr>
                <w:rFonts w:hAnsi="宋体"/>
              </w:rPr>
            </w:pPr>
            <w:r>
              <w:rPr>
                <w:rFonts w:hAnsi="宋体"/>
              </w:rPr>
              <w:t> </w:t>
            </w:r>
          </w:p>
        </w:tc>
        <w:tc>
          <w:tcPr>
            <w:tcW w:w="1667" w:type="dxa"/>
            <w:tcBorders>
              <w:top w:val="single" w:color="000000" w:sz="4" w:space="0"/>
              <w:left w:val="single" w:color="000000" w:sz="4" w:space="0"/>
              <w:bottom w:val="single" w:color="000000" w:sz="4" w:space="0"/>
              <w:right w:val="single" w:color="000000" w:sz="4" w:space="0"/>
            </w:tcBorders>
            <w:vAlign w:val="center"/>
          </w:tcPr>
          <w:p w14:paraId="41054696">
            <w:pPr>
              <w:pStyle w:val="44"/>
              <w:keepNext/>
              <w:keepLines/>
              <w:spacing w:beforeAutospacing="0" w:afterAutospacing="0" w:line="240" w:lineRule="atLeast"/>
              <w:jc w:val="center"/>
              <w:rPr>
                <w:rFonts w:hAnsi="宋体"/>
              </w:rPr>
            </w:pPr>
            <w:r>
              <w:rPr>
                <w:rFonts w:hAnsi="宋体"/>
              </w:rPr>
              <w:t> </w:t>
            </w:r>
          </w:p>
        </w:tc>
        <w:tc>
          <w:tcPr>
            <w:tcW w:w="1842" w:type="dxa"/>
            <w:tcBorders>
              <w:top w:val="single" w:color="000000" w:sz="4" w:space="0"/>
              <w:left w:val="single" w:color="000000" w:sz="4" w:space="0"/>
              <w:bottom w:val="single" w:color="000000" w:sz="4" w:space="0"/>
              <w:right w:val="single" w:color="000000" w:sz="4" w:space="0"/>
            </w:tcBorders>
            <w:vAlign w:val="center"/>
          </w:tcPr>
          <w:p w14:paraId="36CC636D">
            <w:pPr>
              <w:pStyle w:val="44"/>
              <w:keepNext/>
              <w:keepLines/>
              <w:spacing w:beforeAutospacing="0" w:afterAutospacing="0" w:line="240" w:lineRule="atLeast"/>
              <w:jc w:val="center"/>
              <w:rPr>
                <w:rFonts w:hAnsi="宋体"/>
              </w:rPr>
            </w:pPr>
            <w:r>
              <w:rPr>
                <w:rFonts w:hAnsi="宋体"/>
              </w:rPr>
              <w:t> </w:t>
            </w:r>
          </w:p>
        </w:tc>
      </w:tr>
      <w:tr w14:paraId="6D4391B8">
        <w:tblPrEx>
          <w:tblCellMar>
            <w:top w:w="0" w:type="dxa"/>
            <w:left w:w="108" w:type="dxa"/>
            <w:bottom w:w="0" w:type="dxa"/>
            <w:right w:w="108" w:type="dxa"/>
          </w:tblCellMar>
        </w:tblPrEx>
        <w:trPr>
          <w:trHeight w:val="654" w:hRule="atLeast"/>
          <w:tblCellSpacing w:w="0" w:type="dxa"/>
        </w:trPr>
        <w:tc>
          <w:tcPr>
            <w:tcW w:w="1024" w:type="dxa"/>
            <w:tcBorders>
              <w:top w:val="single" w:color="000000" w:sz="4" w:space="0"/>
              <w:left w:val="single" w:color="000000" w:sz="4" w:space="0"/>
              <w:bottom w:val="single" w:color="000000" w:sz="4" w:space="0"/>
              <w:right w:val="single" w:color="000000" w:sz="4" w:space="0"/>
            </w:tcBorders>
            <w:vAlign w:val="center"/>
          </w:tcPr>
          <w:p w14:paraId="628A8212">
            <w:pPr>
              <w:pStyle w:val="44"/>
              <w:keepNext/>
              <w:keepLines/>
              <w:spacing w:beforeAutospacing="0" w:afterAutospacing="0" w:line="240" w:lineRule="atLeast"/>
              <w:jc w:val="center"/>
              <w:rPr>
                <w:rFonts w:hAnsi="宋体"/>
              </w:rPr>
            </w:pPr>
            <w:r>
              <w:rPr>
                <w:rFonts w:hAnsi="宋体"/>
              </w:rPr>
              <w:t>3</w:t>
            </w:r>
          </w:p>
        </w:tc>
        <w:tc>
          <w:tcPr>
            <w:tcW w:w="1349" w:type="dxa"/>
            <w:tcBorders>
              <w:top w:val="single" w:color="000000" w:sz="4" w:space="0"/>
              <w:left w:val="single" w:color="000000" w:sz="4" w:space="0"/>
              <w:bottom w:val="single" w:color="000000" w:sz="4" w:space="0"/>
              <w:right w:val="single" w:color="000000" w:sz="4" w:space="0"/>
            </w:tcBorders>
            <w:vAlign w:val="center"/>
          </w:tcPr>
          <w:p w14:paraId="6DD78C5C">
            <w:pPr>
              <w:pStyle w:val="44"/>
              <w:keepNext/>
              <w:keepLines/>
              <w:spacing w:beforeAutospacing="0" w:afterAutospacing="0" w:line="240" w:lineRule="atLeast"/>
              <w:jc w:val="center"/>
              <w:rPr>
                <w:rFonts w:hAnsi="宋体"/>
              </w:rPr>
            </w:pPr>
            <w:r>
              <w:rPr>
                <w:rFonts w:hAnsi="宋体"/>
              </w:rPr>
              <w:t> </w:t>
            </w:r>
          </w:p>
        </w:tc>
        <w:tc>
          <w:tcPr>
            <w:tcW w:w="1334" w:type="dxa"/>
            <w:tcBorders>
              <w:top w:val="single" w:color="000000" w:sz="4" w:space="0"/>
              <w:left w:val="single" w:color="000000" w:sz="4" w:space="0"/>
              <w:bottom w:val="single" w:color="000000" w:sz="4" w:space="0"/>
              <w:right w:val="single" w:color="000000" w:sz="4" w:space="0"/>
            </w:tcBorders>
            <w:vAlign w:val="center"/>
          </w:tcPr>
          <w:p w14:paraId="6E18A32A">
            <w:pPr>
              <w:pStyle w:val="44"/>
              <w:keepNext/>
              <w:keepLines/>
              <w:spacing w:beforeAutospacing="0" w:afterAutospacing="0" w:line="240" w:lineRule="atLeast"/>
              <w:jc w:val="center"/>
              <w:rPr>
                <w:rFonts w:hAnsi="宋体"/>
              </w:rPr>
            </w:pPr>
            <w:r>
              <w:rPr>
                <w:rFonts w:hAnsi="宋体"/>
              </w:rPr>
              <w:t> </w:t>
            </w:r>
          </w:p>
        </w:tc>
        <w:tc>
          <w:tcPr>
            <w:tcW w:w="972" w:type="dxa"/>
            <w:tcBorders>
              <w:top w:val="single" w:color="000000" w:sz="4" w:space="0"/>
              <w:left w:val="single" w:color="000000" w:sz="4" w:space="0"/>
              <w:bottom w:val="single" w:color="000000" w:sz="4" w:space="0"/>
              <w:right w:val="single" w:color="000000" w:sz="4" w:space="0"/>
            </w:tcBorders>
            <w:vAlign w:val="center"/>
          </w:tcPr>
          <w:p w14:paraId="406ADA48">
            <w:pPr>
              <w:pStyle w:val="44"/>
              <w:keepNext/>
              <w:keepLines/>
              <w:spacing w:beforeAutospacing="0" w:afterAutospacing="0" w:line="240" w:lineRule="atLeast"/>
              <w:jc w:val="center"/>
              <w:rPr>
                <w:rFonts w:hAnsi="宋体"/>
              </w:rPr>
            </w:pPr>
            <w:r>
              <w:rPr>
                <w:rFonts w:hAnsi="宋体"/>
              </w:rPr>
              <w:t> </w:t>
            </w:r>
          </w:p>
        </w:tc>
        <w:tc>
          <w:tcPr>
            <w:tcW w:w="1249" w:type="dxa"/>
            <w:tcBorders>
              <w:top w:val="single" w:color="000000" w:sz="4" w:space="0"/>
              <w:left w:val="single" w:color="000000" w:sz="4" w:space="0"/>
              <w:bottom w:val="single" w:color="000000" w:sz="4" w:space="0"/>
              <w:right w:val="single" w:color="000000" w:sz="4" w:space="0"/>
            </w:tcBorders>
            <w:vAlign w:val="center"/>
          </w:tcPr>
          <w:p w14:paraId="126E6793">
            <w:pPr>
              <w:pStyle w:val="44"/>
              <w:keepNext/>
              <w:keepLines/>
              <w:spacing w:beforeAutospacing="0" w:afterAutospacing="0" w:line="240" w:lineRule="atLeast"/>
              <w:jc w:val="center"/>
              <w:rPr>
                <w:rFonts w:hAnsi="宋体"/>
              </w:rPr>
            </w:pPr>
            <w:r>
              <w:rPr>
                <w:rFonts w:hAnsi="宋体"/>
              </w:rPr>
              <w:t> </w:t>
            </w:r>
          </w:p>
        </w:tc>
        <w:tc>
          <w:tcPr>
            <w:tcW w:w="1667" w:type="dxa"/>
            <w:tcBorders>
              <w:top w:val="single" w:color="000000" w:sz="4" w:space="0"/>
              <w:left w:val="single" w:color="000000" w:sz="4" w:space="0"/>
              <w:bottom w:val="single" w:color="000000" w:sz="4" w:space="0"/>
              <w:right w:val="single" w:color="000000" w:sz="4" w:space="0"/>
            </w:tcBorders>
            <w:vAlign w:val="center"/>
          </w:tcPr>
          <w:p w14:paraId="39209C60">
            <w:pPr>
              <w:pStyle w:val="44"/>
              <w:keepNext/>
              <w:keepLines/>
              <w:spacing w:beforeAutospacing="0" w:afterAutospacing="0" w:line="240" w:lineRule="atLeast"/>
              <w:jc w:val="center"/>
              <w:rPr>
                <w:rFonts w:hAnsi="宋体"/>
              </w:rPr>
            </w:pPr>
            <w:r>
              <w:rPr>
                <w:rFonts w:hAnsi="宋体"/>
              </w:rPr>
              <w:t> </w:t>
            </w:r>
          </w:p>
        </w:tc>
        <w:tc>
          <w:tcPr>
            <w:tcW w:w="1842" w:type="dxa"/>
            <w:tcBorders>
              <w:top w:val="single" w:color="000000" w:sz="4" w:space="0"/>
              <w:left w:val="single" w:color="000000" w:sz="4" w:space="0"/>
              <w:bottom w:val="single" w:color="000000" w:sz="4" w:space="0"/>
              <w:right w:val="single" w:color="000000" w:sz="4" w:space="0"/>
            </w:tcBorders>
            <w:vAlign w:val="center"/>
          </w:tcPr>
          <w:p w14:paraId="475B7DAD">
            <w:pPr>
              <w:pStyle w:val="44"/>
              <w:keepNext/>
              <w:keepLines/>
              <w:spacing w:beforeAutospacing="0" w:afterAutospacing="0" w:line="240" w:lineRule="atLeast"/>
              <w:jc w:val="center"/>
              <w:rPr>
                <w:rFonts w:hAnsi="宋体"/>
              </w:rPr>
            </w:pPr>
            <w:r>
              <w:rPr>
                <w:rFonts w:hAnsi="宋体"/>
              </w:rPr>
              <w:t> </w:t>
            </w:r>
          </w:p>
        </w:tc>
      </w:tr>
      <w:tr w14:paraId="5A8D209F">
        <w:tblPrEx>
          <w:tblCellMar>
            <w:top w:w="0" w:type="dxa"/>
            <w:left w:w="108" w:type="dxa"/>
            <w:bottom w:w="0" w:type="dxa"/>
            <w:right w:w="108" w:type="dxa"/>
          </w:tblCellMar>
        </w:tblPrEx>
        <w:trPr>
          <w:trHeight w:val="654" w:hRule="atLeast"/>
          <w:tblCellSpacing w:w="0" w:type="dxa"/>
        </w:trPr>
        <w:tc>
          <w:tcPr>
            <w:tcW w:w="1024" w:type="dxa"/>
            <w:tcBorders>
              <w:top w:val="single" w:color="000000" w:sz="4" w:space="0"/>
              <w:left w:val="single" w:color="000000" w:sz="4" w:space="0"/>
              <w:bottom w:val="single" w:color="000000" w:sz="4" w:space="0"/>
              <w:right w:val="single" w:color="000000" w:sz="4" w:space="0"/>
            </w:tcBorders>
            <w:vAlign w:val="center"/>
          </w:tcPr>
          <w:p w14:paraId="2E527536">
            <w:pPr>
              <w:pStyle w:val="44"/>
              <w:keepNext/>
              <w:keepLines/>
              <w:spacing w:beforeAutospacing="0" w:afterAutospacing="0" w:line="240" w:lineRule="atLeast"/>
              <w:jc w:val="center"/>
              <w:rPr>
                <w:rFonts w:hAnsi="宋体" w:cs="Times New Roman"/>
              </w:rPr>
            </w:pPr>
            <w:r>
              <w:rPr>
                <w:rFonts w:hint="eastAsia" w:hAnsi="宋体"/>
              </w:rPr>
              <w:t>……</w:t>
            </w:r>
          </w:p>
        </w:tc>
        <w:tc>
          <w:tcPr>
            <w:tcW w:w="1349" w:type="dxa"/>
            <w:tcBorders>
              <w:top w:val="single" w:color="000000" w:sz="4" w:space="0"/>
              <w:left w:val="single" w:color="000000" w:sz="4" w:space="0"/>
              <w:bottom w:val="single" w:color="000000" w:sz="4" w:space="0"/>
              <w:right w:val="single" w:color="000000" w:sz="4" w:space="0"/>
            </w:tcBorders>
            <w:vAlign w:val="center"/>
          </w:tcPr>
          <w:p w14:paraId="1CC80086">
            <w:pPr>
              <w:pStyle w:val="44"/>
              <w:keepNext/>
              <w:keepLines/>
              <w:spacing w:beforeAutospacing="0" w:afterAutospacing="0" w:line="240" w:lineRule="atLeast"/>
              <w:jc w:val="center"/>
              <w:rPr>
                <w:rFonts w:hAnsi="宋体" w:cs="Times New Roman"/>
              </w:rPr>
            </w:pPr>
            <w:r>
              <w:rPr>
                <w:rFonts w:hint="eastAsia" w:hAnsi="宋体"/>
              </w:rPr>
              <w:t>……</w:t>
            </w:r>
          </w:p>
        </w:tc>
        <w:tc>
          <w:tcPr>
            <w:tcW w:w="1334" w:type="dxa"/>
            <w:tcBorders>
              <w:top w:val="single" w:color="000000" w:sz="4" w:space="0"/>
              <w:left w:val="single" w:color="000000" w:sz="4" w:space="0"/>
              <w:bottom w:val="single" w:color="000000" w:sz="4" w:space="0"/>
              <w:right w:val="single" w:color="000000" w:sz="4" w:space="0"/>
            </w:tcBorders>
            <w:vAlign w:val="center"/>
          </w:tcPr>
          <w:p w14:paraId="59D82A16">
            <w:pPr>
              <w:pStyle w:val="44"/>
              <w:keepNext/>
              <w:keepLines/>
              <w:spacing w:beforeAutospacing="0" w:afterAutospacing="0" w:line="240" w:lineRule="atLeast"/>
              <w:jc w:val="center"/>
              <w:rPr>
                <w:rFonts w:hAnsi="宋体" w:cs="Times New Roman"/>
              </w:rPr>
            </w:pPr>
            <w:r>
              <w:rPr>
                <w:rFonts w:hAnsi="宋体" w:cs="Times New Roman"/>
              </w:rPr>
              <w:t> </w:t>
            </w:r>
          </w:p>
        </w:tc>
        <w:tc>
          <w:tcPr>
            <w:tcW w:w="972" w:type="dxa"/>
            <w:tcBorders>
              <w:top w:val="single" w:color="000000" w:sz="4" w:space="0"/>
              <w:left w:val="single" w:color="000000" w:sz="4" w:space="0"/>
              <w:bottom w:val="single" w:color="000000" w:sz="4" w:space="0"/>
              <w:right w:val="single" w:color="000000" w:sz="4" w:space="0"/>
            </w:tcBorders>
            <w:vAlign w:val="center"/>
          </w:tcPr>
          <w:p w14:paraId="589A8B9D">
            <w:pPr>
              <w:pStyle w:val="44"/>
              <w:keepNext/>
              <w:keepLines/>
              <w:spacing w:beforeAutospacing="0" w:afterAutospacing="0" w:line="240" w:lineRule="atLeast"/>
              <w:jc w:val="center"/>
              <w:rPr>
                <w:rFonts w:hAnsi="宋体" w:cs="Times New Roman"/>
              </w:rPr>
            </w:pPr>
            <w:r>
              <w:rPr>
                <w:rFonts w:hAnsi="宋体" w:cs="Times New Roman"/>
              </w:rPr>
              <w:t> </w:t>
            </w:r>
          </w:p>
        </w:tc>
        <w:tc>
          <w:tcPr>
            <w:tcW w:w="1249" w:type="dxa"/>
            <w:tcBorders>
              <w:top w:val="single" w:color="000000" w:sz="4" w:space="0"/>
              <w:left w:val="single" w:color="000000" w:sz="4" w:space="0"/>
              <w:bottom w:val="single" w:color="000000" w:sz="4" w:space="0"/>
              <w:right w:val="single" w:color="000000" w:sz="4" w:space="0"/>
            </w:tcBorders>
            <w:vAlign w:val="center"/>
          </w:tcPr>
          <w:p w14:paraId="5335994C">
            <w:pPr>
              <w:pStyle w:val="44"/>
              <w:keepNext/>
              <w:keepLines/>
              <w:spacing w:beforeAutospacing="0" w:afterAutospacing="0" w:line="240" w:lineRule="atLeast"/>
              <w:jc w:val="center"/>
              <w:rPr>
                <w:rFonts w:hAnsi="宋体" w:cs="Times New Roman"/>
              </w:rPr>
            </w:pPr>
            <w:r>
              <w:rPr>
                <w:rFonts w:hAnsi="宋体" w:cs="Times New Roman"/>
              </w:rPr>
              <w:t> </w:t>
            </w:r>
          </w:p>
        </w:tc>
        <w:tc>
          <w:tcPr>
            <w:tcW w:w="1667" w:type="dxa"/>
            <w:tcBorders>
              <w:top w:val="single" w:color="000000" w:sz="4" w:space="0"/>
              <w:left w:val="single" w:color="000000" w:sz="4" w:space="0"/>
              <w:bottom w:val="single" w:color="000000" w:sz="4" w:space="0"/>
              <w:right w:val="single" w:color="000000" w:sz="4" w:space="0"/>
            </w:tcBorders>
            <w:vAlign w:val="center"/>
          </w:tcPr>
          <w:p w14:paraId="1D8ACA4A">
            <w:pPr>
              <w:pStyle w:val="44"/>
              <w:keepNext/>
              <w:keepLines/>
              <w:spacing w:beforeAutospacing="0" w:afterAutospacing="0" w:line="240" w:lineRule="atLeast"/>
              <w:jc w:val="center"/>
              <w:rPr>
                <w:rFonts w:hAnsi="宋体" w:cs="Times New Roman"/>
              </w:rPr>
            </w:pPr>
            <w:r>
              <w:rPr>
                <w:rFonts w:hAnsi="宋体" w:cs="Times New Roman"/>
              </w:rPr>
              <w:t> </w:t>
            </w:r>
          </w:p>
        </w:tc>
        <w:tc>
          <w:tcPr>
            <w:tcW w:w="1842" w:type="dxa"/>
            <w:tcBorders>
              <w:top w:val="single" w:color="000000" w:sz="4" w:space="0"/>
              <w:left w:val="single" w:color="000000" w:sz="4" w:space="0"/>
              <w:bottom w:val="single" w:color="000000" w:sz="4" w:space="0"/>
              <w:right w:val="single" w:color="000000" w:sz="4" w:space="0"/>
            </w:tcBorders>
            <w:vAlign w:val="center"/>
          </w:tcPr>
          <w:p w14:paraId="3C9C079B">
            <w:pPr>
              <w:pStyle w:val="44"/>
              <w:keepNext/>
              <w:keepLines/>
              <w:spacing w:beforeAutospacing="0" w:afterAutospacing="0" w:line="240" w:lineRule="atLeast"/>
              <w:jc w:val="center"/>
              <w:rPr>
                <w:rFonts w:hAnsi="宋体" w:cs="Times New Roman"/>
              </w:rPr>
            </w:pPr>
            <w:r>
              <w:rPr>
                <w:rFonts w:hAnsi="宋体" w:cs="Times New Roman"/>
              </w:rPr>
              <w:t> </w:t>
            </w:r>
          </w:p>
        </w:tc>
      </w:tr>
      <w:tr w14:paraId="55E68334">
        <w:tblPrEx>
          <w:tblCellMar>
            <w:top w:w="0" w:type="dxa"/>
            <w:left w:w="108" w:type="dxa"/>
            <w:bottom w:w="0" w:type="dxa"/>
            <w:right w:w="108" w:type="dxa"/>
          </w:tblCellMar>
        </w:tblPrEx>
        <w:trPr>
          <w:trHeight w:val="991" w:hRule="atLeast"/>
          <w:tblCellSpacing w:w="0" w:type="dxa"/>
        </w:trPr>
        <w:tc>
          <w:tcPr>
            <w:tcW w:w="7595" w:type="dxa"/>
            <w:gridSpan w:val="6"/>
            <w:tcBorders>
              <w:top w:val="single" w:color="000000" w:sz="4" w:space="0"/>
              <w:left w:val="single" w:color="000000" w:sz="4" w:space="0"/>
              <w:bottom w:val="single" w:color="000000" w:sz="4" w:space="0"/>
              <w:right w:val="single" w:color="000000" w:sz="4" w:space="0"/>
            </w:tcBorders>
            <w:vAlign w:val="center"/>
          </w:tcPr>
          <w:p w14:paraId="6A7E0A11">
            <w:pPr>
              <w:pStyle w:val="44"/>
              <w:keepNext/>
              <w:keepLines/>
              <w:spacing w:beforeAutospacing="0" w:afterAutospacing="0" w:line="240" w:lineRule="atLeast"/>
              <w:jc w:val="center"/>
              <w:rPr>
                <w:rFonts w:hAnsi="宋体" w:cs="Times New Roman"/>
              </w:rPr>
            </w:pPr>
            <w:r>
              <w:rPr>
                <w:rFonts w:hint="eastAsia" w:hAnsi="宋体"/>
              </w:rPr>
              <w:t>投标总报价（人民币：元）</w:t>
            </w:r>
          </w:p>
        </w:tc>
        <w:tc>
          <w:tcPr>
            <w:tcW w:w="1842" w:type="dxa"/>
            <w:tcBorders>
              <w:top w:val="single" w:color="000000" w:sz="4" w:space="0"/>
              <w:left w:val="single" w:color="000000" w:sz="4" w:space="0"/>
              <w:bottom w:val="single" w:color="000000" w:sz="4" w:space="0"/>
              <w:right w:val="single" w:color="000000" w:sz="4" w:space="0"/>
            </w:tcBorders>
            <w:vAlign w:val="center"/>
          </w:tcPr>
          <w:p w14:paraId="5AE697FD">
            <w:pPr>
              <w:pStyle w:val="44"/>
              <w:keepNext/>
              <w:keepLines/>
              <w:spacing w:beforeAutospacing="0" w:afterAutospacing="0" w:line="240" w:lineRule="atLeast"/>
              <w:jc w:val="both"/>
              <w:rPr>
                <w:rFonts w:hAnsi="宋体" w:cs="Times New Roman"/>
              </w:rPr>
            </w:pPr>
            <w:r>
              <w:rPr>
                <w:rFonts w:hAnsi="宋体" w:cs="Times New Roman"/>
              </w:rPr>
              <w:t> </w:t>
            </w:r>
          </w:p>
        </w:tc>
      </w:tr>
    </w:tbl>
    <w:p w14:paraId="4F01A39F">
      <w:pPr>
        <w:keepNext/>
        <w:keepLines/>
        <w:widowControl/>
        <w:spacing w:line="800" w:lineRule="exact"/>
        <w:rPr>
          <w:rFonts w:ascii="宋体" w:cs="Times New Roman"/>
          <w:sz w:val="24"/>
          <w:szCs w:val="24"/>
        </w:rPr>
      </w:pPr>
      <w:r>
        <w:rPr>
          <w:rFonts w:hint="eastAsia" w:ascii="宋体" w:hAnsi="宋体" w:cs="宋体"/>
          <w:b/>
          <w:bCs/>
          <w:sz w:val="24"/>
          <w:szCs w:val="24"/>
        </w:rPr>
        <w:t>法定代表人或授权代表签字：</w:t>
      </w:r>
    </w:p>
    <w:p w14:paraId="648BEAEB">
      <w:pPr>
        <w:keepNext/>
        <w:keepLines/>
        <w:widowControl/>
        <w:spacing w:line="500" w:lineRule="exact"/>
        <w:ind w:firstLine="480"/>
        <w:rPr>
          <w:rFonts w:ascii="宋体" w:cs="Times New Roman"/>
          <w:sz w:val="24"/>
          <w:szCs w:val="24"/>
        </w:rPr>
      </w:pPr>
      <w:r>
        <w:rPr>
          <w:rFonts w:hint="eastAsia" w:ascii="宋体" w:hAnsi="宋体" w:cs="宋体"/>
          <w:sz w:val="24"/>
          <w:szCs w:val="24"/>
        </w:rPr>
        <w:t>注：</w:t>
      </w:r>
      <w:r>
        <w:rPr>
          <w:rFonts w:ascii="宋体" w:hAnsi="宋体" w:cs="宋体"/>
          <w:sz w:val="24"/>
          <w:szCs w:val="24"/>
        </w:rPr>
        <w:t>1.</w:t>
      </w:r>
      <w:r>
        <w:rPr>
          <w:rFonts w:hint="eastAsia" w:ascii="宋体" w:hAnsi="宋体" w:cs="宋体"/>
          <w:sz w:val="24"/>
          <w:szCs w:val="24"/>
        </w:rPr>
        <w:t>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cs="宋体"/>
          <w:sz w:val="24"/>
          <w:szCs w:val="24"/>
        </w:rPr>
        <w:t xml:space="preserve">2. </w:t>
      </w:r>
      <w:r>
        <w:rPr>
          <w:rFonts w:hint="eastAsia" w:ascii="宋体" w:hAnsi="宋体" w:cs="宋体"/>
          <w:sz w:val="24"/>
          <w:szCs w:val="24"/>
        </w:rPr>
        <w:t>“投标分项报价表”中“投标总报价”数额应当与“开标一览表”中“投标总报价”数额一致。</w:t>
      </w:r>
    </w:p>
    <w:p w14:paraId="719424A2">
      <w:pPr>
        <w:keepNext/>
        <w:keepLines/>
        <w:widowControl/>
        <w:spacing w:line="500" w:lineRule="exact"/>
        <w:rPr>
          <w:rFonts w:ascii="宋体" w:cs="Times New Roman"/>
          <w:b/>
          <w:bCs/>
          <w:sz w:val="36"/>
          <w:szCs w:val="36"/>
        </w:rPr>
      </w:pPr>
    </w:p>
    <w:p w14:paraId="7482897E">
      <w:pPr>
        <w:keepNext/>
        <w:keepLines/>
        <w:widowControl/>
        <w:spacing w:line="500" w:lineRule="exact"/>
        <w:rPr>
          <w:rFonts w:ascii="宋体" w:cs="Times New Roman"/>
          <w:b/>
          <w:bCs/>
          <w:sz w:val="36"/>
          <w:szCs w:val="36"/>
        </w:rPr>
      </w:pPr>
    </w:p>
    <w:p w14:paraId="1368B3A6">
      <w:pPr>
        <w:keepNext/>
        <w:keepLines/>
        <w:widowControl/>
        <w:spacing w:line="500" w:lineRule="exact"/>
        <w:rPr>
          <w:rFonts w:ascii="宋体" w:cs="Times New Roman"/>
          <w:b/>
          <w:bCs/>
          <w:sz w:val="36"/>
          <w:szCs w:val="36"/>
        </w:rPr>
      </w:pPr>
    </w:p>
    <w:p w14:paraId="7FFB7207">
      <w:pPr>
        <w:keepNext/>
        <w:keepLines/>
        <w:widowControl/>
        <w:spacing w:line="500" w:lineRule="exact"/>
        <w:rPr>
          <w:rFonts w:ascii="宋体" w:cs="Times New Roman"/>
          <w:b/>
          <w:bCs/>
          <w:sz w:val="36"/>
          <w:szCs w:val="36"/>
        </w:rPr>
      </w:pPr>
    </w:p>
    <w:p w14:paraId="465CC37A">
      <w:pPr>
        <w:keepNext/>
        <w:keepLines/>
        <w:widowControl/>
        <w:spacing w:line="500" w:lineRule="exact"/>
        <w:rPr>
          <w:rFonts w:ascii="宋体" w:cs="Times New Roman"/>
          <w:b/>
          <w:bCs/>
          <w:sz w:val="36"/>
          <w:szCs w:val="36"/>
        </w:rPr>
      </w:pPr>
    </w:p>
    <w:p w14:paraId="49E49860">
      <w:pPr>
        <w:keepNext/>
        <w:keepLines/>
        <w:widowControl/>
        <w:spacing w:line="500" w:lineRule="exact"/>
        <w:rPr>
          <w:rFonts w:ascii="宋体" w:cs="Times New Roman"/>
          <w:b/>
          <w:bCs/>
          <w:sz w:val="36"/>
          <w:szCs w:val="36"/>
        </w:rPr>
      </w:pPr>
    </w:p>
    <w:p w14:paraId="73C36F48">
      <w:pPr>
        <w:pStyle w:val="49"/>
        <w:keepNext/>
        <w:keepLines/>
        <w:widowControl/>
        <w:ind w:firstLine="723"/>
        <w:rPr>
          <w:rFonts w:cs="Times New Roman"/>
          <w:b/>
          <w:bCs/>
          <w:sz w:val="36"/>
          <w:szCs w:val="36"/>
        </w:rPr>
      </w:pPr>
    </w:p>
    <w:p w14:paraId="5EA75EAB">
      <w:pPr>
        <w:pStyle w:val="12"/>
        <w:keepNext/>
        <w:keepLines/>
        <w:widowControl/>
        <w:rPr>
          <w:rFonts w:ascii="宋体"/>
          <w:b/>
          <w:bCs/>
          <w:sz w:val="36"/>
          <w:szCs w:val="36"/>
        </w:rPr>
      </w:pPr>
    </w:p>
    <w:p w14:paraId="1636AC15">
      <w:pPr>
        <w:pStyle w:val="12"/>
        <w:keepNext/>
        <w:keepLines/>
        <w:widowControl/>
        <w:rPr>
          <w:rFonts w:ascii="宋体"/>
          <w:b/>
          <w:bCs/>
          <w:sz w:val="36"/>
          <w:szCs w:val="36"/>
        </w:rPr>
      </w:pPr>
    </w:p>
    <w:p w14:paraId="35E71273">
      <w:pPr>
        <w:pStyle w:val="12"/>
        <w:keepNext/>
        <w:keepLines/>
        <w:widowControl/>
        <w:rPr>
          <w:rFonts w:ascii="宋体"/>
          <w:b/>
          <w:bCs/>
          <w:sz w:val="36"/>
          <w:szCs w:val="36"/>
        </w:rPr>
      </w:pPr>
    </w:p>
    <w:p w14:paraId="55666F1F">
      <w:pPr>
        <w:pStyle w:val="44"/>
        <w:keepNext/>
        <w:keepLines/>
        <w:spacing w:beforeAutospacing="0" w:afterAutospacing="0"/>
        <w:jc w:val="center"/>
        <w:rPr>
          <w:rFonts w:ascii="黑体" w:eastAsia="黑体" w:cs="Times New Roman"/>
          <w:sz w:val="32"/>
          <w:szCs w:val="32"/>
        </w:rPr>
      </w:pPr>
      <w:bookmarkStart w:id="153" w:name="_Toc462564146"/>
      <w:r>
        <w:rPr>
          <w:rFonts w:hint="eastAsia" w:ascii="黑体" w:eastAsia="黑体" w:cs="黑体"/>
          <w:sz w:val="32"/>
          <w:szCs w:val="32"/>
        </w:rPr>
        <w:t>十二、技术参数响应及偏离表</w:t>
      </w:r>
    </w:p>
    <w:p w14:paraId="4242E72E">
      <w:pPr>
        <w:keepNext/>
        <w:keepLines/>
        <w:widowControl/>
        <w:jc w:val="center"/>
        <w:rPr>
          <w:rFonts w:ascii="宋体" w:cs="Times New Roman"/>
          <w:sz w:val="24"/>
          <w:szCs w:val="24"/>
        </w:rPr>
      </w:pPr>
    </w:p>
    <w:tbl>
      <w:tblPr>
        <w:tblStyle w:val="50"/>
        <w:tblW w:w="8520" w:type="dxa"/>
        <w:tblCellSpacing w:w="0" w:type="dxa"/>
        <w:tblInd w:w="2" w:type="dxa"/>
        <w:tblLayout w:type="fixed"/>
        <w:tblCellMar>
          <w:top w:w="0" w:type="dxa"/>
          <w:left w:w="108" w:type="dxa"/>
          <w:bottom w:w="0" w:type="dxa"/>
          <w:right w:w="108" w:type="dxa"/>
        </w:tblCellMar>
      </w:tblPr>
      <w:tblGrid>
        <w:gridCol w:w="538"/>
        <w:gridCol w:w="3026"/>
        <w:gridCol w:w="2608"/>
        <w:gridCol w:w="1247"/>
        <w:gridCol w:w="1101"/>
      </w:tblGrid>
      <w:tr w14:paraId="11672671">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2D9F1928">
            <w:pPr>
              <w:pStyle w:val="44"/>
              <w:keepNext/>
              <w:keepLines/>
              <w:spacing w:beforeAutospacing="0" w:afterAutospacing="0"/>
              <w:jc w:val="center"/>
              <w:rPr>
                <w:rFonts w:hAnsi="宋体" w:cs="Times New Roman"/>
              </w:rPr>
            </w:pPr>
            <w:r>
              <w:rPr>
                <w:rFonts w:hint="eastAsia" w:hAnsi="宋体"/>
              </w:rPr>
              <w:t>序号</w:t>
            </w:r>
          </w:p>
        </w:tc>
        <w:tc>
          <w:tcPr>
            <w:tcW w:w="3026" w:type="dxa"/>
            <w:tcBorders>
              <w:top w:val="single" w:color="000000" w:sz="4" w:space="0"/>
              <w:left w:val="single" w:color="000000" w:sz="4" w:space="0"/>
              <w:bottom w:val="single" w:color="000000" w:sz="4" w:space="0"/>
              <w:right w:val="single" w:color="000000" w:sz="4" w:space="0"/>
            </w:tcBorders>
            <w:vAlign w:val="center"/>
          </w:tcPr>
          <w:p w14:paraId="14B59FF3">
            <w:pPr>
              <w:pStyle w:val="44"/>
              <w:keepNext/>
              <w:keepLines/>
              <w:spacing w:beforeAutospacing="0" w:afterAutospacing="0"/>
              <w:jc w:val="center"/>
              <w:rPr>
                <w:rFonts w:hAnsi="宋体" w:cs="Times New Roman"/>
              </w:rPr>
            </w:pPr>
            <w:r>
              <w:rPr>
                <w:rFonts w:hint="eastAsia" w:hAnsi="宋体"/>
              </w:rPr>
              <w:t>招标文件要求</w:t>
            </w:r>
          </w:p>
        </w:tc>
        <w:tc>
          <w:tcPr>
            <w:tcW w:w="2608" w:type="dxa"/>
            <w:tcBorders>
              <w:top w:val="single" w:color="000000" w:sz="4" w:space="0"/>
              <w:left w:val="single" w:color="000000" w:sz="4" w:space="0"/>
              <w:bottom w:val="single" w:color="000000" w:sz="4" w:space="0"/>
              <w:right w:val="single" w:color="000000" w:sz="4" w:space="0"/>
            </w:tcBorders>
            <w:vAlign w:val="center"/>
          </w:tcPr>
          <w:p w14:paraId="62CDB4E2">
            <w:pPr>
              <w:pStyle w:val="44"/>
              <w:keepNext/>
              <w:keepLines/>
              <w:spacing w:beforeAutospacing="0" w:afterAutospacing="0"/>
              <w:jc w:val="center"/>
              <w:rPr>
                <w:rFonts w:hAnsi="宋体" w:cs="Times New Roman"/>
              </w:rPr>
            </w:pPr>
            <w:r>
              <w:rPr>
                <w:rFonts w:hint="eastAsia" w:hAnsi="宋体"/>
              </w:rPr>
              <w:t>投标响应情况</w:t>
            </w:r>
          </w:p>
        </w:tc>
        <w:tc>
          <w:tcPr>
            <w:tcW w:w="1247" w:type="dxa"/>
            <w:tcBorders>
              <w:top w:val="single" w:color="000000" w:sz="4" w:space="0"/>
              <w:left w:val="single" w:color="000000" w:sz="4" w:space="0"/>
              <w:bottom w:val="single" w:color="000000" w:sz="4" w:space="0"/>
              <w:right w:val="single" w:color="000000" w:sz="4" w:space="0"/>
            </w:tcBorders>
            <w:vAlign w:val="center"/>
          </w:tcPr>
          <w:p w14:paraId="10BC6C49">
            <w:pPr>
              <w:pStyle w:val="44"/>
              <w:keepNext/>
              <w:keepLines/>
              <w:spacing w:beforeAutospacing="0" w:afterAutospacing="0"/>
              <w:jc w:val="center"/>
              <w:rPr>
                <w:rFonts w:hAnsi="宋体" w:cs="Times New Roman"/>
              </w:rPr>
            </w:pPr>
            <w:r>
              <w:rPr>
                <w:rFonts w:hint="eastAsia" w:hAnsi="宋体"/>
              </w:rPr>
              <w:t>超出、符合或偏离</w:t>
            </w:r>
          </w:p>
        </w:tc>
        <w:tc>
          <w:tcPr>
            <w:tcW w:w="1101" w:type="dxa"/>
            <w:tcBorders>
              <w:top w:val="single" w:color="000000" w:sz="4" w:space="0"/>
              <w:left w:val="single" w:color="000000" w:sz="4" w:space="0"/>
              <w:bottom w:val="single" w:color="000000" w:sz="4" w:space="0"/>
              <w:right w:val="single" w:color="000000" w:sz="4" w:space="0"/>
            </w:tcBorders>
            <w:vAlign w:val="center"/>
          </w:tcPr>
          <w:p w14:paraId="706851DF">
            <w:pPr>
              <w:pStyle w:val="44"/>
              <w:keepNext/>
              <w:keepLines/>
              <w:spacing w:beforeAutospacing="0" w:afterAutospacing="0"/>
              <w:jc w:val="center"/>
              <w:rPr>
                <w:rFonts w:hAnsi="宋体" w:cs="Times New Roman"/>
              </w:rPr>
            </w:pPr>
            <w:r>
              <w:rPr>
                <w:rFonts w:hint="eastAsia" w:hAnsi="宋体"/>
              </w:rPr>
              <w:t>证明</w:t>
            </w:r>
          </w:p>
          <w:p w14:paraId="35F55972">
            <w:pPr>
              <w:pStyle w:val="44"/>
              <w:keepNext/>
              <w:keepLines/>
              <w:spacing w:beforeAutospacing="0" w:afterAutospacing="0"/>
              <w:jc w:val="center"/>
              <w:rPr>
                <w:rFonts w:hAnsi="宋体" w:cs="Times New Roman"/>
              </w:rPr>
            </w:pPr>
            <w:r>
              <w:rPr>
                <w:rFonts w:hint="eastAsia" w:hAnsi="宋体"/>
              </w:rPr>
              <w:t>材料</w:t>
            </w:r>
          </w:p>
        </w:tc>
      </w:tr>
      <w:tr w14:paraId="043F325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3F41F967">
            <w:pPr>
              <w:pStyle w:val="44"/>
              <w:keepNext/>
              <w:keepLines/>
              <w:spacing w:beforeAutospacing="0" w:afterAutospacing="0"/>
              <w:jc w:val="center"/>
              <w:rPr>
                <w:rFonts w:hAnsi="宋体" w:cs="Times New Roman"/>
              </w:rPr>
            </w:pPr>
            <w:r>
              <w:rPr>
                <w:rFonts w:hAnsi="宋体" w:cs="Times New Roman"/>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09B1D059">
            <w:pPr>
              <w:pStyle w:val="44"/>
              <w:keepNext/>
              <w:keepLines/>
              <w:spacing w:beforeAutospacing="0" w:afterAutospacing="0"/>
              <w:jc w:val="center"/>
              <w:rPr>
                <w:rFonts w:hAnsi="宋体" w:cs="Times New Roman"/>
              </w:rPr>
            </w:pPr>
            <w:r>
              <w:rPr>
                <w:rFonts w:hAnsi="宋体" w:cs="Times New Roman"/>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5BC9A752">
            <w:pPr>
              <w:pStyle w:val="44"/>
              <w:keepNext/>
              <w:keepLines/>
              <w:spacing w:beforeAutospacing="0" w:afterAutospacing="0"/>
              <w:jc w:val="center"/>
              <w:rPr>
                <w:rFonts w:hAnsi="宋体" w:cs="Times New Roman"/>
              </w:rPr>
            </w:pPr>
            <w:r>
              <w:rPr>
                <w:rFonts w:hAnsi="宋体" w:cs="Times New Roman"/>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1FA2E103">
            <w:pPr>
              <w:pStyle w:val="44"/>
              <w:keepNext/>
              <w:keepLines/>
              <w:spacing w:beforeAutospacing="0" w:afterAutospacing="0"/>
              <w:jc w:val="center"/>
              <w:rPr>
                <w:rFonts w:hAnsi="宋体" w:cs="Times New Roman"/>
              </w:rPr>
            </w:pPr>
            <w:r>
              <w:rPr>
                <w:rFonts w:hAnsi="宋体" w:cs="Times New Roman"/>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18235FB6">
            <w:pPr>
              <w:pStyle w:val="44"/>
              <w:keepNext/>
              <w:keepLines/>
              <w:spacing w:beforeAutospacing="0" w:afterAutospacing="0"/>
              <w:jc w:val="center"/>
              <w:rPr>
                <w:rFonts w:hAnsi="宋体" w:cs="Times New Roman"/>
              </w:rPr>
            </w:pPr>
            <w:r>
              <w:rPr>
                <w:rFonts w:hAnsi="宋体" w:cs="Times New Roman"/>
              </w:rPr>
              <w:t> </w:t>
            </w:r>
          </w:p>
        </w:tc>
      </w:tr>
      <w:tr w14:paraId="0DE215E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215DF736">
            <w:pPr>
              <w:pStyle w:val="44"/>
              <w:keepNext/>
              <w:keepLines/>
              <w:spacing w:beforeAutospacing="0" w:afterAutospacing="0"/>
              <w:jc w:val="center"/>
              <w:rPr>
                <w:rFonts w:hAnsi="宋体" w:cs="Times New Roman"/>
              </w:rPr>
            </w:pPr>
            <w:r>
              <w:rPr>
                <w:rFonts w:hAnsi="宋体" w:cs="Times New Roman"/>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6AA64F74">
            <w:pPr>
              <w:pStyle w:val="44"/>
              <w:keepNext/>
              <w:keepLines/>
              <w:spacing w:beforeAutospacing="0" w:afterAutospacing="0"/>
              <w:jc w:val="center"/>
              <w:rPr>
                <w:rFonts w:hAnsi="宋体" w:cs="Times New Roman"/>
              </w:rPr>
            </w:pPr>
            <w:r>
              <w:rPr>
                <w:rFonts w:hAnsi="宋体" w:cs="Times New Roman"/>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3C6D5BD9">
            <w:pPr>
              <w:pStyle w:val="44"/>
              <w:keepNext/>
              <w:keepLines/>
              <w:spacing w:beforeAutospacing="0" w:afterAutospacing="0"/>
              <w:jc w:val="center"/>
              <w:rPr>
                <w:rFonts w:hAnsi="宋体" w:cs="Times New Roman"/>
              </w:rPr>
            </w:pPr>
            <w:r>
              <w:rPr>
                <w:rFonts w:hAnsi="宋体" w:cs="Times New Roman"/>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11D788BB">
            <w:pPr>
              <w:pStyle w:val="44"/>
              <w:keepNext/>
              <w:keepLines/>
              <w:spacing w:beforeAutospacing="0" w:afterAutospacing="0"/>
              <w:jc w:val="center"/>
              <w:rPr>
                <w:rFonts w:hAnsi="宋体" w:cs="Times New Roman"/>
              </w:rPr>
            </w:pPr>
            <w:r>
              <w:rPr>
                <w:rFonts w:hAnsi="宋体" w:cs="Times New Roman"/>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230BDD00">
            <w:pPr>
              <w:pStyle w:val="44"/>
              <w:keepNext/>
              <w:keepLines/>
              <w:spacing w:beforeAutospacing="0" w:afterAutospacing="0"/>
              <w:jc w:val="center"/>
              <w:rPr>
                <w:rFonts w:hAnsi="宋体" w:cs="Times New Roman"/>
              </w:rPr>
            </w:pPr>
            <w:r>
              <w:rPr>
                <w:rFonts w:hAnsi="宋体" w:cs="Times New Roman"/>
              </w:rPr>
              <w:t> </w:t>
            </w:r>
          </w:p>
        </w:tc>
      </w:tr>
      <w:tr w14:paraId="3ECCD40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522E9ADB">
            <w:pPr>
              <w:pStyle w:val="44"/>
              <w:keepNext/>
              <w:keepLines/>
              <w:spacing w:beforeAutospacing="0" w:afterAutospacing="0"/>
              <w:jc w:val="center"/>
              <w:rPr>
                <w:rFonts w:hAnsi="宋体" w:cs="Times New Roman"/>
              </w:rPr>
            </w:pPr>
            <w:r>
              <w:rPr>
                <w:rFonts w:hAnsi="宋体" w:cs="Times New Roman"/>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1D4E3544">
            <w:pPr>
              <w:pStyle w:val="44"/>
              <w:keepNext/>
              <w:keepLines/>
              <w:spacing w:beforeAutospacing="0" w:afterAutospacing="0"/>
              <w:jc w:val="center"/>
              <w:rPr>
                <w:rFonts w:hAnsi="宋体" w:cs="Times New Roman"/>
              </w:rPr>
            </w:pPr>
            <w:r>
              <w:rPr>
                <w:rFonts w:hAnsi="宋体" w:cs="Times New Roman"/>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4AFCE2C0">
            <w:pPr>
              <w:pStyle w:val="44"/>
              <w:keepNext/>
              <w:keepLines/>
              <w:spacing w:beforeAutospacing="0" w:afterAutospacing="0"/>
              <w:jc w:val="center"/>
              <w:rPr>
                <w:rFonts w:hAnsi="宋体" w:cs="Times New Roman"/>
              </w:rPr>
            </w:pPr>
            <w:r>
              <w:rPr>
                <w:rFonts w:hAnsi="宋体" w:cs="Times New Roman"/>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34AAB475">
            <w:pPr>
              <w:pStyle w:val="44"/>
              <w:keepNext/>
              <w:keepLines/>
              <w:spacing w:beforeAutospacing="0" w:afterAutospacing="0"/>
              <w:jc w:val="center"/>
              <w:rPr>
                <w:rFonts w:hAnsi="宋体" w:cs="Times New Roman"/>
              </w:rPr>
            </w:pPr>
            <w:r>
              <w:rPr>
                <w:rFonts w:hAnsi="宋体" w:cs="Times New Roman"/>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79CCE879">
            <w:pPr>
              <w:pStyle w:val="44"/>
              <w:keepNext/>
              <w:keepLines/>
              <w:spacing w:beforeAutospacing="0" w:afterAutospacing="0"/>
              <w:jc w:val="center"/>
              <w:rPr>
                <w:rFonts w:hAnsi="宋体" w:cs="Times New Roman"/>
              </w:rPr>
            </w:pPr>
            <w:r>
              <w:rPr>
                <w:rFonts w:hAnsi="宋体" w:cs="Times New Roman"/>
              </w:rPr>
              <w:t> </w:t>
            </w:r>
          </w:p>
        </w:tc>
      </w:tr>
      <w:tr w14:paraId="3D6C7E1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7BE65ABC">
            <w:pPr>
              <w:pStyle w:val="44"/>
              <w:keepNext/>
              <w:keepLines/>
              <w:spacing w:beforeAutospacing="0" w:afterAutospacing="0"/>
              <w:jc w:val="center"/>
              <w:rPr>
                <w:rFonts w:hAnsi="宋体" w:cs="Times New Roman"/>
              </w:rPr>
            </w:pPr>
            <w:r>
              <w:rPr>
                <w:rFonts w:hAnsi="宋体" w:cs="Times New Roman"/>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1C801FDF">
            <w:pPr>
              <w:pStyle w:val="44"/>
              <w:keepNext/>
              <w:keepLines/>
              <w:spacing w:beforeAutospacing="0" w:afterAutospacing="0"/>
              <w:jc w:val="center"/>
              <w:rPr>
                <w:rFonts w:hAnsi="宋体" w:cs="Times New Roman"/>
              </w:rPr>
            </w:pPr>
            <w:r>
              <w:rPr>
                <w:rFonts w:hAnsi="宋体" w:cs="Times New Roman"/>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6984B967">
            <w:pPr>
              <w:pStyle w:val="44"/>
              <w:keepNext/>
              <w:keepLines/>
              <w:spacing w:beforeAutospacing="0" w:afterAutospacing="0"/>
              <w:jc w:val="center"/>
              <w:rPr>
                <w:rFonts w:hAnsi="宋体" w:cs="Times New Roman"/>
              </w:rPr>
            </w:pPr>
            <w:r>
              <w:rPr>
                <w:rFonts w:hAnsi="宋体" w:cs="Times New Roman"/>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6BFB7B61">
            <w:pPr>
              <w:pStyle w:val="44"/>
              <w:keepNext/>
              <w:keepLines/>
              <w:spacing w:beforeAutospacing="0" w:afterAutospacing="0"/>
              <w:jc w:val="center"/>
              <w:rPr>
                <w:rFonts w:hAnsi="宋体" w:cs="Times New Roman"/>
              </w:rPr>
            </w:pPr>
            <w:r>
              <w:rPr>
                <w:rFonts w:hAnsi="宋体" w:cs="Times New Roman"/>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7EB3300">
            <w:pPr>
              <w:pStyle w:val="44"/>
              <w:keepNext/>
              <w:keepLines/>
              <w:spacing w:beforeAutospacing="0" w:afterAutospacing="0"/>
              <w:jc w:val="center"/>
              <w:rPr>
                <w:rFonts w:hAnsi="宋体" w:cs="Times New Roman"/>
              </w:rPr>
            </w:pPr>
            <w:r>
              <w:rPr>
                <w:rFonts w:hAnsi="宋体" w:cs="Times New Roman"/>
              </w:rPr>
              <w:t> </w:t>
            </w:r>
          </w:p>
        </w:tc>
      </w:tr>
      <w:tr w14:paraId="34F5E42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68BBD90C">
            <w:pPr>
              <w:pStyle w:val="44"/>
              <w:keepNext/>
              <w:keepLines/>
              <w:spacing w:beforeAutospacing="0" w:afterAutospacing="0"/>
              <w:jc w:val="center"/>
              <w:rPr>
                <w:rFonts w:hAnsi="宋体" w:cs="Times New Roman"/>
              </w:rPr>
            </w:pPr>
            <w:r>
              <w:rPr>
                <w:rFonts w:hAnsi="宋体" w:cs="Times New Roman"/>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59AEC5E0">
            <w:pPr>
              <w:pStyle w:val="44"/>
              <w:keepNext/>
              <w:keepLines/>
              <w:spacing w:beforeAutospacing="0" w:afterAutospacing="0"/>
              <w:jc w:val="center"/>
              <w:rPr>
                <w:rFonts w:hAnsi="宋体" w:cs="Times New Roman"/>
              </w:rPr>
            </w:pPr>
            <w:r>
              <w:rPr>
                <w:rFonts w:hAnsi="宋体" w:cs="Times New Roman"/>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77755EA7">
            <w:pPr>
              <w:pStyle w:val="44"/>
              <w:keepNext/>
              <w:keepLines/>
              <w:spacing w:beforeAutospacing="0" w:afterAutospacing="0"/>
              <w:jc w:val="center"/>
              <w:rPr>
                <w:rFonts w:hAnsi="宋体" w:cs="Times New Roman"/>
              </w:rPr>
            </w:pPr>
            <w:r>
              <w:rPr>
                <w:rFonts w:hAnsi="宋体" w:cs="Times New Roman"/>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1932DBE1">
            <w:pPr>
              <w:pStyle w:val="44"/>
              <w:keepNext/>
              <w:keepLines/>
              <w:spacing w:beforeAutospacing="0" w:afterAutospacing="0"/>
              <w:jc w:val="center"/>
              <w:rPr>
                <w:rFonts w:hAnsi="宋体" w:cs="Times New Roman"/>
              </w:rPr>
            </w:pPr>
            <w:r>
              <w:rPr>
                <w:rFonts w:hAnsi="宋体" w:cs="Times New Roman"/>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25BFD0A0">
            <w:pPr>
              <w:pStyle w:val="44"/>
              <w:keepNext/>
              <w:keepLines/>
              <w:spacing w:beforeAutospacing="0" w:afterAutospacing="0"/>
              <w:jc w:val="center"/>
              <w:rPr>
                <w:rFonts w:hAnsi="宋体" w:cs="Times New Roman"/>
              </w:rPr>
            </w:pPr>
            <w:r>
              <w:rPr>
                <w:rFonts w:hAnsi="宋体" w:cs="Times New Roman"/>
              </w:rPr>
              <w:t> </w:t>
            </w:r>
          </w:p>
        </w:tc>
      </w:tr>
      <w:tr w14:paraId="4AC47F8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292AEA3E">
            <w:pPr>
              <w:pStyle w:val="44"/>
              <w:keepNext/>
              <w:keepLines/>
              <w:spacing w:beforeAutospacing="0" w:afterAutospacing="0"/>
              <w:jc w:val="center"/>
              <w:rPr>
                <w:rFonts w:hAnsi="宋体" w:cs="Times New Roman"/>
              </w:rPr>
            </w:pPr>
            <w:r>
              <w:rPr>
                <w:rFonts w:hAnsi="宋体" w:cs="Times New Roman"/>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495432CF">
            <w:pPr>
              <w:pStyle w:val="44"/>
              <w:keepNext/>
              <w:keepLines/>
              <w:spacing w:beforeAutospacing="0" w:afterAutospacing="0"/>
              <w:jc w:val="center"/>
              <w:rPr>
                <w:rFonts w:hAnsi="宋体" w:cs="Times New Roman"/>
              </w:rPr>
            </w:pPr>
            <w:r>
              <w:rPr>
                <w:rFonts w:hAnsi="宋体" w:cs="Times New Roman"/>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0CDC2AEF">
            <w:pPr>
              <w:pStyle w:val="44"/>
              <w:keepNext/>
              <w:keepLines/>
              <w:spacing w:beforeAutospacing="0" w:afterAutospacing="0"/>
              <w:jc w:val="center"/>
              <w:rPr>
                <w:rFonts w:hAnsi="宋体" w:cs="Times New Roman"/>
              </w:rPr>
            </w:pPr>
            <w:r>
              <w:rPr>
                <w:rFonts w:hAnsi="宋体" w:cs="Times New Roman"/>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3DCF338F">
            <w:pPr>
              <w:pStyle w:val="44"/>
              <w:keepNext/>
              <w:keepLines/>
              <w:spacing w:beforeAutospacing="0" w:afterAutospacing="0"/>
              <w:jc w:val="center"/>
              <w:rPr>
                <w:rFonts w:hAnsi="宋体" w:cs="Times New Roman"/>
              </w:rPr>
            </w:pPr>
            <w:r>
              <w:rPr>
                <w:rFonts w:hAnsi="宋体" w:cs="Times New Roman"/>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147890E6">
            <w:pPr>
              <w:pStyle w:val="44"/>
              <w:keepNext/>
              <w:keepLines/>
              <w:spacing w:beforeAutospacing="0" w:afterAutospacing="0"/>
              <w:jc w:val="center"/>
              <w:rPr>
                <w:rFonts w:hAnsi="宋体" w:cs="Times New Roman"/>
              </w:rPr>
            </w:pPr>
            <w:r>
              <w:rPr>
                <w:rFonts w:hAnsi="宋体" w:cs="Times New Roman"/>
              </w:rPr>
              <w:t> </w:t>
            </w:r>
          </w:p>
        </w:tc>
      </w:tr>
      <w:tr w14:paraId="4069157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4AC5F760">
            <w:pPr>
              <w:pStyle w:val="44"/>
              <w:keepNext/>
              <w:keepLines/>
              <w:spacing w:beforeAutospacing="0" w:afterAutospacing="0"/>
              <w:jc w:val="center"/>
              <w:rPr>
                <w:rFonts w:hAnsi="宋体" w:cs="Times New Roman"/>
              </w:rPr>
            </w:pPr>
            <w:r>
              <w:rPr>
                <w:rFonts w:hAnsi="宋体" w:cs="Times New Roman"/>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20395D3D">
            <w:pPr>
              <w:pStyle w:val="44"/>
              <w:keepNext/>
              <w:keepLines/>
              <w:spacing w:beforeAutospacing="0" w:afterAutospacing="0"/>
              <w:jc w:val="center"/>
              <w:rPr>
                <w:rFonts w:hAnsi="宋体" w:cs="Times New Roman"/>
              </w:rPr>
            </w:pPr>
            <w:r>
              <w:rPr>
                <w:rFonts w:hAnsi="宋体" w:cs="Times New Roman"/>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3E15E352">
            <w:pPr>
              <w:pStyle w:val="44"/>
              <w:keepNext/>
              <w:keepLines/>
              <w:spacing w:beforeAutospacing="0" w:afterAutospacing="0"/>
              <w:jc w:val="center"/>
              <w:rPr>
                <w:rFonts w:hAnsi="宋体" w:cs="Times New Roman"/>
              </w:rPr>
            </w:pPr>
            <w:r>
              <w:rPr>
                <w:rFonts w:hAnsi="宋体" w:cs="Times New Roman"/>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37A0CE19">
            <w:pPr>
              <w:pStyle w:val="44"/>
              <w:keepNext/>
              <w:keepLines/>
              <w:spacing w:beforeAutospacing="0" w:afterAutospacing="0"/>
              <w:jc w:val="center"/>
              <w:rPr>
                <w:rFonts w:hAnsi="宋体" w:cs="Times New Roman"/>
              </w:rPr>
            </w:pPr>
            <w:r>
              <w:rPr>
                <w:rFonts w:hAnsi="宋体" w:cs="Times New Roman"/>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F59BC85">
            <w:pPr>
              <w:pStyle w:val="44"/>
              <w:keepNext/>
              <w:keepLines/>
              <w:spacing w:beforeAutospacing="0" w:afterAutospacing="0"/>
              <w:jc w:val="center"/>
              <w:rPr>
                <w:rFonts w:hAnsi="宋体" w:cs="Times New Roman"/>
              </w:rPr>
            </w:pPr>
            <w:r>
              <w:rPr>
                <w:rFonts w:hAnsi="宋体" w:cs="Times New Roman"/>
              </w:rPr>
              <w:t> </w:t>
            </w:r>
          </w:p>
        </w:tc>
      </w:tr>
      <w:tr w14:paraId="0B93FB4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344D014C">
            <w:pPr>
              <w:pStyle w:val="44"/>
              <w:keepNext/>
              <w:keepLines/>
              <w:spacing w:beforeAutospacing="0" w:afterAutospacing="0"/>
              <w:jc w:val="center"/>
              <w:rPr>
                <w:rFonts w:hAnsi="宋体" w:cs="Times New Roman"/>
              </w:rPr>
            </w:pPr>
            <w:r>
              <w:rPr>
                <w:rFonts w:hAnsi="宋体" w:cs="Times New Roman"/>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3A813B44">
            <w:pPr>
              <w:pStyle w:val="44"/>
              <w:keepNext/>
              <w:keepLines/>
              <w:spacing w:beforeAutospacing="0" w:afterAutospacing="0"/>
              <w:jc w:val="center"/>
              <w:rPr>
                <w:rFonts w:hAnsi="宋体" w:cs="Times New Roman"/>
              </w:rPr>
            </w:pPr>
            <w:r>
              <w:rPr>
                <w:rFonts w:hint="eastAsia" w:hAnsi="宋体"/>
              </w:rPr>
              <w:t>……</w:t>
            </w:r>
          </w:p>
        </w:tc>
        <w:tc>
          <w:tcPr>
            <w:tcW w:w="2608" w:type="dxa"/>
            <w:tcBorders>
              <w:top w:val="single" w:color="000000" w:sz="4" w:space="0"/>
              <w:left w:val="single" w:color="000000" w:sz="4" w:space="0"/>
              <w:bottom w:val="single" w:color="000000" w:sz="4" w:space="0"/>
              <w:right w:val="single" w:color="000000" w:sz="4" w:space="0"/>
            </w:tcBorders>
            <w:vAlign w:val="center"/>
          </w:tcPr>
          <w:p w14:paraId="7006A43B">
            <w:pPr>
              <w:pStyle w:val="44"/>
              <w:keepNext/>
              <w:keepLines/>
              <w:spacing w:beforeAutospacing="0" w:afterAutospacing="0"/>
              <w:jc w:val="center"/>
              <w:rPr>
                <w:rFonts w:hAnsi="宋体" w:cs="Times New Roman"/>
              </w:rPr>
            </w:pPr>
            <w:r>
              <w:rPr>
                <w:rFonts w:hAnsi="宋体" w:cs="Times New Roman"/>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30321A02">
            <w:pPr>
              <w:pStyle w:val="44"/>
              <w:keepNext/>
              <w:keepLines/>
              <w:spacing w:beforeAutospacing="0" w:afterAutospacing="0"/>
              <w:jc w:val="center"/>
              <w:rPr>
                <w:rFonts w:hAnsi="宋体" w:cs="Times New Roman"/>
              </w:rPr>
            </w:pPr>
            <w:r>
              <w:rPr>
                <w:rFonts w:hAnsi="宋体" w:cs="Times New Roman"/>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71EA1F59">
            <w:pPr>
              <w:pStyle w:val="44"/>
              <w:keepNext/>
              <w:keepLines/>
              <w:spacing w:beforeAutospacing="0" w:afterAutospacing="0"/>
              <w:jc w:val="center"/>
              <w:rPr>
                <w:rFonts w:hAnsi="宋体" w:cs="Times New Roman"/>
              </w:rPr>
            </w:pPr>
            <w:r>
              <w:rPr>
                <w:rFonts w:hAnsi="宋体" w:cs="Times New Roman"/>
              </w:rPr>
              <w:t> </w:t>
            </w:r>
          </w:p>
        </w:tc>
      </w:tr>
    </w:tbl>
    <w:p w14:paraId="78A864AE">
      <w:pPr>
        <w:pStyle w:val="44"/>
        <w:keepNext/>
        <w:keepLines/>
        <w:spacing w:beforeAutospacing="0" w:afterAutospacing="0"/>
        <w:jc w:val="both"/>
        <w:rPr>
          <w:rFonts w:cs="Times New Roman"/>
        </w:rPr>
      </w:pPr>
      <w:r>
        <w:rPr>
          <w:rFonts w:hint="eastAsia"/>
        </w:rPr>
        <w:t>注：</w:t>
      </w:r>
      <w:r>
        <w:t xml:space="preserve"> </w:t>
      </w:r>
      <w:r>
        <w:rPr>
          <w:rFonts w:hint="eastAsia"/>
        </w:rPr>
        <w:t>行数不够，可自行添加。</w:t>
      </w:r>
    </w:p>
    <w:p w14:paraId="616398C7">
      <w:pPr>
        <w:keepNext/>
        <w:keepLines/>
        <w:widowControl/>
        <w:spacing w:line="360" w:lineRule="auto"/>
        <w:ind w:left="480"/>
        <w:rPr>
          <w:rFonts w:ascii="宋体" w:cs="Times New Roman"/>
          <w:sz w:val="24"/>
          <w:szCs w:val="24"/>
        </w:rPr>
      </w:pPr>
    </w:p>
    <w:p w14:paraId="397BB114">
      <w:pPr>
        <w:keepNext/>
        <w:keepLines/>
        <w:widowControl/>
        <w:spacing w:before="50" w:after="50"/>
        <w:rPr>
          <w:rFonts w:ascii="黑体" w:eastAsia="黑体" w:cs="Times New Roman"/>
          <w:sz w:val="32"/>
          <w:szCs w:val="32"/>
        </w:rPr>
      </w:pPr>
    </w:p>
    <w:p w14:paraId="5CADC90D">
      <w:pPr>
        <w:pStyle w:val="48"/>
        <w:keepNext/>
        <w:keepLines/>
        <w:widowControl/>
        <w:ind w:firstLine="640"/>
        <w:rPr>
          <w:rFonts w:ascii="黑体" w:eastAsia="黑体" w:cs="Times New Roman"/>
          <w:sz w:val="32"/>
          <w:szCs w:val="32"/>
        </w:rPr>
      </w:pPr>
    </w:p>
    <w:p w14:paraId="11DC6A2F">
      <w:pPr>
        <w:pStyle w:val="36"/>
        <w:keepNext/>
        <w:keepLines/>
        <w:widowControl/>
        <w:rPr>
          <w:rFonts w:cs="Times New Roman"/>
        </w:rPr>
      </w:pPr>
    </w:p>
    <w:p w14:paraId="27A4AEBF">
      <w:pPr>
        <w:keepNext/>
        <w:keepLines/>
        <w:widowControl/>
        <w:rPr>
          <w:rFonts w:cs="Times New Roman"/>
        </w:rPr>
      </w:pPr>
    </w:p>
    <w:p w14:paraId="4DCC1ED1">
      <w:pPr>
        <w:pStyle w:val="48"/>
        <w:keepNext/>
        <w:keepLines/>
        <w:widowControl/>
        <w:rPr>
          <w:rFonts w:cs="Times New Roman"/>
        </w:rPr>
      </w:pPr>
    </w:p>
    <w:p w14:paraId="34B8A98C">
      <w:pPr>
        <w:pStyle w:val="36"/>
        <w:keepNext/>
        <w:keepLines/>
        <w:widowControl/>
        <w:rPr>
          <w:rFonts w:cs="Times New Roman"/>
        </w:rPr>
      </w:pPr>
    </w:p>
    <w:p w14:paraId="049E26C7">
      <w:pPr>
        <w:keepNext/>
        <w:keepLines/>
        <w:widowControl/>
        <w:rPr>
          <w:rFonts w:cs="Times New Roman"/>
        </w:rPr>
      </w:pPr>
    </w:p>
    <w:p w14:paraId="4D919C6C">
      <w:pPr>
        <w:pStyle w:val="48"/>
        <w:keepNext/>
        <w:keepLines/>
        <w:widowControl/>
        <w:rPr>
          <w:rFonts w:cs="Times New Roman"/>
        </w:rPr>
      </w:pPr>
    </w:p>
    <w:p w14:paraId="265CB756">
      <w:pPr>
        <w:pStyle w:val="36"/>
        <w:keepNext/>
        <w:keepLines/>
        <w:widowControl/>
        <w:rPr>
          <w:rFonts w:cs="Times New Roman"/>
        </w:rPr>
      </w:pPr>
    </w:p>
    <w:p w14:paraId="1505CA73">
      <w:pPr>
        <w:keepNext/>
        <w:keepLines/>
        <w:widowControl/>
        <w:rPr>
          <w:rFonts w:cs="Times New Roman"/>
        </w:rPr>
      </w:pPr>
    </w:p>
    <w:p w14:paraId="5E7E4117">
      <w:pPr>
        <w:keepNext/>
        <w:keepLines/>
        <w:widowControl/>
        <w:rPr>
          <w:rFonts w:cs="Times New Roman"/>
        </w:rPr>
      </w:pPr>
    </w:p>
    <w:p w14:paraId="285CA631">
      <w:pPr>
        <w:keepNext/>
        <w:keepLines/>
        <w:widowControl/>
        <w:rPr>
          <w:rFonts w:cs="Times New Roman"/>
        </w:rPr>
      </w:pPr>
    </w:p>
    <w:p w14:paraId="1534A927">
      <w:pPr>
        <w:keepNext/>
        <w:keepLines/>
        <w:widowControl/>
        <w:rPr>
          <w:rFonts w:cs="Times New Roman"/>
        </w:rPr>
      </w:pPr>
    </w:p>
    <w:p w14:paraId="2F904A42">
      <w:pPr>
        <w:keepNext/>
        <w:keepLines/>
        <w:widowControl/>
        <w:rPr>
          <w:rFonts w:cs="Times New Roman"/>
        </w:rPr>
      </w:pPr>
    </w:p>
    <w:p w14:paraId="41C1DF9E">
      <w:pPr>
        <w:keepNext/>
        <w:keepLines/>
        <w:widowControl/>
        <w:rPr>
          <w:rFonts w:cs="Times New Roman"/>
        </w:rPr>
      </w:pPr>
    </w:p>
    <w:p w14:paraId="2E397F36">
      <w:pPr>
        <w:keepNext/>
        <w:keepLines/>
        <w:widowControl/>
        <w:rPr>
          <w:rFonts w:cs="Times New Roman"/>
        </w:rPr>
      </w:pPr>
    </w:p>
    <w:p w14:paraId="56274C2E">
      <w:pPr>
        <w:keepNext/>
        <w:keepLines/>
        <w:widowControl/>
        <w:rPr>
          <w:rFonts w:cs="Times New Roman"/>
        </w:rPr>
      </w:pPr>
    </w:p>
    <w:p w14:paraId="5441E4FD">
      <w:pPr>
        <w:pStyle w:val="48"/>
        <w:keepNext/>
        <w:keepLines/>
        <w:widowControl/>
        <w:ind w:firstLine="0"/>
        <w:rPr>
          <w:rFonts w:cs="Times New Roman"/>
        </w:rPr>
      </w:pPr>
    </w:p>
    <w:p w14:paraId="7E102275">
      <w:pPr>
        <w:keepNext/>
        <w:keepLines/>
        <w:widowControl/>
        <w:spacing w:before="50" w:after="50"/>
        <w:jc w:val="center"/>
        <w:rPr>
          <w:rFonts w:ascii="宋体" w:cs="Times New Roman"/>
          <w:sz w:val="24"/>
          <w:szCs w:val="24"/>
        </w:rPr>
      </w:pPr>
      <w:r>
        <w:rPr>
          <w:rFonts w:hint="eastAsia" w:ascii="黑体" w:hAnsi="宋体" w:eastAsia="黑体" w:cs="黑体"/>
          <w:sz w:val="32"/>
          <w:szCs w:val="32"/>
        </w:rPr>
        <w:t>十三、商务要求响应及偏离表</w:t>
      </w:r>
      <w:r>
        <w:rPr>
          <w:rFonts w:ascii="黑体" w:eastAsia="黑体" w:cs="黑体"/>
          <w:sz w:val="32"/>
          <w:szCs w:val="32"/>
        </w:rPr>
        <w:t xml:space="preserve">   </w:t>
      </w:r>
      <w:r>
        <w:rPr>
          <w:rFonts w:ascii="宋体" w:hAnsi="宋体" w:cs="宋体"/>
          <w:sz w:val="24"/>
          <w:szCs w:val="24"/>
        </w:rPr>
        <w:t xml:space="preserve"> </w:t>
      </w:r>
    </w:p>
    <w:tbl>
      <w:tblPr>
        <w:tblStyle w:val="50"/>
        <w:tblW w:w="8520" w:type="dxa"/>
        <w:tblCellSpacing w:w="0" w:type="dxa"/>
        <w:tblInd w:w="2" w:type="dxa"/>
        <w:tblLayout w:type="fixed"/>
        <w:tblCellMar>
          <w:top w:w="0" w:type="dxa"/>
          <w:left w:w="108" w:type="dxa"/>
          <w:bottom w:w="0" w:type="dxa"/>
          <w:right w:w="108" w:type="dxa"/>
        </w:tblCellMar>
      </w:tblPr>
      <w:tblGrid>
        <w:gridCol w:w="661"/>
        <w:gridCol w:w="2469"/>
        <w:gridCol w:w="2645"/>
        <w:gridCol w:w="1244"/>
        <w:gridCol w:w="1501"/>
      </w:tblGrid>
      <w:tr w14:paraId="1B13AC8D">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569D90DF">
            <w:pPr>
              <w:pStyle w:val="44"/>
              <w:keepNext/>
              <w:keepLines/>
              <w:spacing w:beforeAutospacing="0" w:afterAutospacing="0"/>
              <w:jc w:val="center"/>
              <w:rPr>
                <w:rFonts w:hAnsi="宋体" w:cs="Times New Roman"/>
              </w:rPr>
            </w:pPr>
            <w:r>
              <w:rPr>
                <w:rFonts w:hint="eastAsia" w:hAnsi="宋体"/>
              </w:rPr>
              <w:t>序号</w:t>
            </w:r>
          </w:p>
        </w:tc>
        <w:tc>
          <w:tcPr>
            <w:tcW w:w="2469" w:type="dxa"/>
            <w:tcBorders>
              <w:top w:val="single" w:color="000000" w:sz="4" w:space="0"/>
              <w:left w:val="single" w:color="000000" w:sz="4" w:space="0"/>
              <w:bottom w:val="single" w:color="000000" w:sz="4" w:space="0"/>
              <w:right w:val="single" w:color="000000" w:sz="4" w:space="0"/>
            </w:tcBorders>
            <w:vAlign w:val="center"/>
          </w:tcPr>
          <w:p w14:paraId="7ADB8EAF">
            <w:pPr>
              <w:pStyle w:val="44"/>
              <w:keepNext/>
              <w:keepLines/>
              <w:spacing w:beforeAutospacing="0" w:afterAutospacing="0"/>
              <w:jc w:val="center"/>
              <w:rPr>
                <w:rFonts w:hAnsi="宋体" w:cs="Times New Roman"/>
              </w:rPr>
            </w:pPr>
            <w:r>
              <w:rPr>
                <w:rFonts w:hint="eastAsia" w:hAnsi="宋体"/>
              </w:rPr>
              <w:t>招标文件要求</w:t>
            </w:r>
          </w:p>
        </w:tc>
        <w:tc>
          <w:tcPr>
            <w:tcW w:w="2645" w:type="dxa"/>
            <w:tcBorders>
              <w:top w:val="single" w:color="000000" w:sz="4" w:space="0"/>
              <w:left w:val="single" w:color="000000" w:sz="4" w:space="0"/>
              <w:bottom w:val="single" w:color="000000" w:sz="4" w:space="0"/>
              <w:right w:val="single" w:color="000000" w:sz="4" w:space="0"/>
            </w:tcBorders>
            <w:vAlign w:val="center"/>
          </w:tcPr>
          <w:p w14:paraId="0001D924">
            <w:pPr>
              <w:pStyle w:val="44"/>
              <w:keepNext/>
              <w:keepLines/>
              <w:spacing w:beforeAutospacing="0" w:afterAutospacing="0"/>
              <w:jc w:val="center"/>
              <w:rPr>
                <w:rFonts w:hAnsi="宋体" w:cs="Times New Roman"/>
              </w:rPr>
            </w:pPr>
            <w:r>
              <w:rPr>
                <w:rFonts w:hint="eastAsia" w:hAnsi="宋体"/>
              </w:rPr>
              <w:t>投标响应情况</w:t>
            </w:r>
          </w:p>
        </w:tc>
        <w:tc>
          <w:tcPr>
            <w:tcW w:w="1244" w:type="dxa"/>
            <w:tcBorders>
              <w:top w:val="single" w:color="000000" w:sz="4" w:space="0"/>
              <w:left w:val="single" w:color="000000" w:sz="4" w:space="0"/>
              <w:bottom w:val="single" w:color="000000" w:sz="4" w:space="0"/>
              <w:right w:val="single" w:color="000000" w:sz="4" w:space="0"/>
            </w:tcBorders>
            <w:vAlign w:val="center"/>
          </w:tcPr>
          <w:p w14:paraId="25B26127">
            <w:pPr>
              <w:pStyle w:val="44"/>
              <w:keepNext/>
              <w:keepLines/>
              <w:spacing w:beforeAutospacing="0" w:afterAutospacing="0"/>
              <w:jc w:val="center"/>
              <w:rPr>
                <w:rFonts w:hAnsi="宋体" w:cs="Times New Roman"/>
              </w:rPr>
            </w:pPr>
            <w:r>
              <w:rPr>
                <w:rFonts w:hint="eastAsia" w:hAnsi="宋体"/>
              </w:rPr>
              <w:t>超出、符合或偏离</w:t>
            </w:r>
          </w:p>
        </w:tc>
        <w:tc>
          <w:tcPr>
            <w:tcW w:w="1501" w:type="dxa"/>
            <w:tcBorders>
              <w:top w:val="single" w:color="000000" w:sz="4" w:space="0"/>
              <w:left w:val="single" w:color="000000" w:sz="4" w:space="0"/>
              <w:bottom w:val="single" w:color="000000" w:sz="4" w:space="0"/>
              <w:right w:val="single" w:color="000000" w:sz="4" w:space="0"/>
            </w:tcBorders>
            <w:vAlign w:val="center"/>
          </w:tcPr>
          <w:p w14:paraId="546B6186">
            <w:pPr>
              <w:pStyle w:val="44"/>
              <w:keepNext/>
              <w:keepLines/>
              <w:spacing w:beforeAutospacing="0" w:afterAutospacing="0"/>
              <w:jc w:val="center"/>
              <w:rPr>
                <w:rFonts w:hAnsi="宋体" w:cs="Times New Roman"/>
              </w:rPr>
            </w:pPr>
            <w:r>
              <w:rPr>
                <w:rFonts w:hint="eastAsia" w:hAnsi="宋体"/>
              </w:rPr>
              <w:t>证明</w:t>
            </w:r>
          </w:p>
          <w:p w14:paraId="5A33D022">
            <w:pPr>
              <w:pStyle w:val="44"/>
              <w:keepNext/>
              <w:keepLines/>
              <w:spacing w:beforeAutospacing="0" w:afterAutospacing="0"/>
              <w:jc w:val="center"/>
              <w:rPr>
                <w:rFonts w:hAnsi="宋体" w:cs="Times New Roman"/>
              </w:rPr>
            </w:pPr>
            <w:r>
              <w:rPr>
                <w:rFonts w:hint="eastAsia" w:hAnsi="宋体"/>
              </w:rPr>
              <w:t>材料</w:t>
            </w:r>
          </w:p>
        </w:tc>
      </w:tr>
      <w:tr w14:paraId="78C0801D">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2E80F54D">
            <w:pPr>
              <w:pStyle w:val="44"/>
              <w:keepNext/>
              <w:keepLines/>
              <w:spacing w:beforeAutospacing="0" w:afterAutospacing="0"/>
              <w:jc w:val="center"/>
              <w:rPr>
                <w:rFonts w:hAnsi="宋体" w:cs="Times New Roman"/>
              </w:rPr>
            </w:pPr>
            <w:r>
              <w:rPr>
                <w:rFonts w:hAnsi="宋体" w:cs="Times New Roman"/>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4471990F">
            <w:pPr>
              <w:pStyle w:val="44"/>
              <w:keepNext/>
              <w:keepLines/>
              <w:spacing w:beforeAutospacing="0" w:afterAutospacing="0"/>
              <w:jc w:val="center"/>
              <w:rPr>
                <w:rFonts w:hAnsi="宋体" w:cs="Times New Roman"/>
              </w:rPr>
            </w:pPr>
            <w:r>
              <w:rPr>
                <w:rFonts w:hAnsi="宋体" w:cs="Times New Roman"/>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68628B67">
            <w:pPr>
              <w:pStyle w:val="44"/>
              <w:keepNext/>
              <w:keepLines/>
              <w:spacing w:beforeAutospacing="0" w:afterAutospacing="0"/>
              <w:jc w:val="center"/>
              <w:rPr>
                <w:rFonts w:hAnsi="宋体" w:cs="Times New Roman"/>
              </w:rPr>
            </w:pPr>
            <w:r>
              <w:rPr>
                <w:rFonts w:hAnsi="宋体" w:cs="Times New Roman"/>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2626AFDF">
            <w:pPr>
              <w:pStyle w:val="44"/>
              <w:keepNext/>
              <w:keepLines/>
              <w:spacing w:beforeAutospacing="0" w:afterAutospacing="0"/>
              <w:jc w:val="center"/>
              <w:rPr>
                <w:rFonts w:hAnsi="宋体" w:cs="Times New Roman"/>
              </w:rPr>
            </w:pPr>
            <w:r>
              <w:rPr>
                <w:rFonts w:hAnsi="宋体" w:cs="Times New Roman"/>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22814720">
            <w:pPr>
              <w:pStyle w:val="44"/>
              <w:keepNext/>
              <w:keepLines/>
              <w:spacing w:beforeAutospacing="0" w:afterAutospacing="0"/>
              <w:jc w:val="center"/>
              <w:rPr>
                <w:rFonts w:hAnsi="宋体" w:cs="Times New Roman"/>
              </w:rPr>
            </w:pPr>
            <w:r>
              <w:rPr>
                <w:rFonts w:hAnsi="宋体" w:cs="Times New Roman"/>
              </w:rPr>
              <w:t> </w:t>
            </w:r>
          </w:p>
        </w:tc>
      </w:tr>
      <w:tr w14:paraId="1E2C02E6">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6934A52F">
            <w:pPr>
              <w:pStyle w:val="44"/>
              <w:keepNext/>
              <w:keepLines/>
              <w:spacing w:beforeAutospacing="0" w:afterAutospacing="0"/>
              <w:jc w:val="center"/>
              <w:rPr>
                <w:rFonts w:hAnsi="宋体" w:cs="Times New Roman"/>
              </w:rPr>
            </w:pPr>
            <w:r>
              <w:rPr>
                <w:rFonts w:hAnsi="宋体" w:cs="Times New Roman"/>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48EFFBA9">
            <w:pPr>
              <w:pStyle w:val="44"/>
              <w:keepNext/>
              <w:keepLines/>
              <w:spacing w:beforeAutospacing="0" w:afterAutospacing="0"/>
              <w:jc w:val="center"/>
              <w:rPr>
                <w:rFonts w:hAnsi="宋体" w:cs="Times New Roman"/>
              </w:rPr>
            </w:pPr>
            <w:r>
              <w:rPr>
                <w:rFonts w:hAnsi="宋体" w:cs="Times New Roman"/>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58C606D9">
            <w:pPr>
              <w:pStyle w:val="44"/>
              <w:keepNext/>
              <w:keepLines/>
              <w:spacing w:beforeAutospacing="0" w:afterAutospacing="0"/>
              <w:jc w:val="center"/>
              <w:rPr>
                <w:rFonts w:hAnsi="宋体" w:cs="Times New Roman"/>
              </w:rPr>
            </w:pPr>
            <w:r>
              <w:rPr>
                <w:rFonts w:hAnsi="宋体" w:cs="Times New Roman"/>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2168FF7C">
            <w:pPr>
              <w:pStyle w:val="44"/>
              <w:keepNext/>
              <w:keepLines/>
              <w:spacing w:beforeAutospacing="0" w:afterAutospacing="0"/>
              <w:jc w:val="center"/>
              <w:rPr>
                <w:rFonts w:hAnsi="宋体" w:cs="Times New Roman"/>
              </w:rPr>
            </w:pPr>
            <w:r>
              <w:rPr>
                <w:rFonts w:hAnsi="宋体" w:cs="Times New Roman"/>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631B4BFD">
            <w:pPr>
              <w:pStyle w:val="44"/>
              <w:keepNext/>
              <w:keepLines/>
              <w:spacing w:beforeAutospacing="0" w:afterAutospacing="0"/>
              <w:jc w:val="center"/>
              <w:rPr>
                <w:rFonts w:hAnsi="宋体" w:cs="Times New Roman"/>
              </w:rPr>
            </w:pPr>
            <w:r>
              <w:rPr>
                <w:rFonts w:hAnsi="宋体" w:cs="Times New Roman"/>
              </w:rPr>
              <w:t> </w:t>
            </w:r>
          </w:p>
        </w:tc>
      </w:tr>
      <w:tr w14:paraId="25889170">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196F34CB">
            <w:pPr>
              <w:pStyle w:val="44"/>
              <w:keepNext/>
              <w:keepLines/>
              <w:spacing w:beforeAutospacing="0" w:afterAutospacing="0"/>
              <w:jc w:val="center"/>
              <w:rPr>
                <w:rFonts w:hAnsi="宋体" w:cs="Times New Roman"/>
              </w:rPr>
            </w:pPr>
            <w:r>
              <w:rPr>
                <w:rFonts w:hAnsi="宋体" w:cs="Times New Roman"/>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50DDFDEA">
            <w:pPr>
              <w:pStyle w:val="44"/>
              <w:keepNext/>
              <w:keepLines/>
              <w:spacing w:beforeAutospacing="0" w:afterAutospacing="0"/>
              <w:jc w:val="center"/>
              <w:rPr>
                <w:rFonts w:hAnsi="宋体" w:cs="Times New Roman"/>
              </w:rPr>
            </w:pPr>
            <w:r>
              <w:rPr>
                <w:rFonts w:hAnsi="宋体" w:cs="Times New Roman"/>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13B6604D">
            <w:pPr>
              <w:pStyle w:val="44"/>
              <w:keepNext/>
              <w:keepLines/>
              <w:spacing w:beforeAutospacing="0" w:afterAutospacing="0"/>
              <w:jc w:val="center"/>
              <w:rPr>
                <w:rFonts w:hAnsi="宋体" w:cs="Times New Roman"/>
              </w:rPr>
            </w:pPr>
            <w:r>
              <w:rPr>
                <w:rFonts w:hAnsi="宋体" w:cs="Times New Roman"/>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0F052AC8">
            <w:pPr>
              <w:pStyle w:val="44"/>
              <w:keepNext/>
              <w:keepLines/>
              <w:spacing w:beforeAutospacing="0" w:afterAutospacing="0"/>
              <w:jc w:val="center"/>
              <w:rPr>
                <w:rFonts w:hAnsi="宋体" w:cs="Times New Roman"/>
              </w:rPr>
            </w:pPr>
            <w:r>
              <w:rPr>
                <w:rFonts w:hAnsi="宋体" w:cs="Times New Roman"/>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134704E5">
            <w:pPr>
              <w:pStyle w:val="44"/>
              <w:keepNext/>
              <w:keepLines/>
              <w:spacing w:beforeAutospacing="0" w:afterAutospacing="0"/>
              <w:jc w:val="center"/>
              <w:rPr>
                <w:rFonts w:hAnsi="宋体" w:cs="Times New Roman"/>
              </w:rPr>
            </w:pPr>
            <w:r>
              <w:rPr>
                <w:rFonts w:hAnsi="宋体" w:cs="Times New Roman"/>
              </w:rPr>
              <w:t> </w:t>
            </w:r>
          </w:p>
        </w:tc>
      </w:tr>
      <w:tr w14:paraId="303137D7">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0D959297">
            <w:pPr>
              <w:pStyle w:val="44"/>
              <w:keepNext/>
              <w:keepLines/>
              <w:spacing w:beforeAutospacing="0" w:afterAutospacing="0"/>
              <w:jc w:val="center"/>
              <w:rPr>
                <w:rFonts w:hAnsi="宋体" w:cs="Times New Roman"/>
              </w:rPr>
            </w:pPr>
            <w:r>
              <w:rPr>
                <w:rFonts w:hAnsi="宋体" w:cs="Times New Roman"/>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7A3274C4">
            <w:pPr>
              <w:pStyle w:val="44"/>
              <w:keepNext/>
              <w:keepLines/>
              <w:spacing w:beforeAutospacing="0" w:afterAutospacing="0"/>
              <w:jc w:val="center"/>
              <w:rPr>
                <w:rFonts w:hAnsi="宋体" w:cs="Times New Roman"/>
              </w:rPr>
            </w:pPr>
            <w:r>
              <w:rPr>
                <w:rFonts w:hAnsi="宋体" w:cs="Times New Roman"/>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03D857DF">
            <w:pPr>
              <w:pStyle w:val="44"/>
              <w:keepNext/>
              <w:keepLines/>
              <w:spacing w:beforeAutospacing="0" w:afterAutospacing="0"/>
              <w:jc w:val="center"/>
              <w:rPr>
                <w:rFonts w:hAnsi="宋体" w:cs="Times New Roman"/>
              </w:rPr>
            </w:pPr>
            <w:r>
              <w:rPr>
                <w:rFonts w:hAnsi="宋体" w:cs="Times New Roman"/>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7809D114">
            <w:pPr>
              <w:pStyle w:val="44"/>
              <w:keepNext/>
              <w:keepLines/>
              <w:spacing w:beforeAutospacing="0" w:afterAutospacing="0"/>
              <w:jc w:val="center"/>
              <w:rPr>
                <w:rFonts w:hAnsi="宋体" w:cs="Times New Roman"/>
              </w:rPr>
            </w:pPr>
            <w:r>
              <w:rPr>
                <w:rFonts w:hAnsi="宋体" w:cs="Times New Roman"/>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1CEB514B">
            <w:pPr>
              <w:pStyle w:val="44"/>
              <w:keepNext/>
              <w:keepLines/>
              <w:spacing w:beforeAutospacing="0" w:afterAutospacing="0"/>
              <w:jc w:val="center"/>
              <w:rPr>
                <w:rFonts w:hAnsi="宋体" w:cs="Times New Roman"/>
              </w:rPr>
            </w:pPr>
            <w:r>
              <w:rPr>
                <w:rFonts w:hAnsi="宋体" w:cs="Times New Roman"/>
              </w:rPr>
              <w:t> </w:t>
            </w:r>
          </w:p>
        </w:tc>
      </w:tr>
      <w:tr w14:paraId="0BB91435">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577B99BD">
            <w:pPr>
              <w:pStyle w:val="44"/>
              <w:keepNext/>
              <w:keepLines/>
              <w:spacing w:beforeAutospacing="0" w:afterAutospacing="0"/>
              <w:jc w:val="center"/>
              <w:rPr>
                <w:rFonts w:hAnsi="宋体" w:cs="Times New Roman"/>
              </w:rPr>
            </w:pPr>
            <w:r>
              <w:rPr>
                <w:rFonts w:hAnsi="宋体" w:cs="Times New Roman"/>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056D5D39">
            <w:pPr>
              <w:pStyle w:val="44"/>
              <w:keepNext/>
              <w:keepLines/>
              <w:spacing w:beforeAutospacing="0" w:afterAutospacing="0"/>
              <w:jc w:val="center"/>
              <w:rPr>
                <w:rFonts w:hAnsi="宋体" w:cs="Times New Roman"/>
              </w:rPr>
            </w:pPr>
            <w:r>
              <w:rPr>
                <w:rFonts w:hAnsi="宋体" w:cs="Times New Roman"/>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5A9FEB90">
            <w:pPr>
              <w:pStyle w:val="44"/>
              <w:keepNext/>
              <w:keepLines/>
              <w:spacing w:beforeAutospacing="0" w:afterAutospacing="0"/>
              <w:jc w:val="center"/>
              <w:rPr>
                <w:rFonts w:hAnsi="宋体" w:cs="Times New Roman"/>
              </w:rPr>
            </w:pPr>
            <w:r>
              <w:rPr>
                <w:rFonts w:hAnsi="宋体" w:cs="Times New Roman"/>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1B98B02D">
            <w:pPr>
              <w:pStyle w:val="44"/>
              <w:keepNext/>
              <w:keepLines/>
              <w:spacing w:beforeAutospacing="0" w:afterAutospacing="0"/>
              <w:jc w:val="center"/>
              <w:rPr>
                <w:rFonts w:hAnsi="宋体" w:cs="Times New Roman"/>
              </w:rPr>
            </w:pPr>
            <w:r>
              <w:rPr>
                <w:rFonts w:hAnsi="宋体" w:cs="Times New Roman"/>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3B7AC78E">
            <w:pPr>
              <w:pStyle w:val="44"/>
              <w:keepNext/>
              <w:keepLines/>
              <w:spacing w:beforeAutospacing="0" w:afterAutospacing="0"/>
              <w:jc w:val="center"/>
              <w:rPr>
                <w:rFonts w:hAnsi="宋体" w:cs="Times New Roman"/>
              </w:rPr>
            </w:pPr>
            <w:r>
              <w:rPr>
                <w:rFonts w:hAnsi="宋体" w:cs="Times New Roman"/>
              </w:rPr>
              <w:t> </w:t>
            </w:r>
          </w:p>
        </w:tc>
      </w:tr>
      <w:tr w14:paraId="7EE3C376">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61B96271">
            <w:pPr>
              <w:pStyle w:val="44"/>
              <w:keepNext/>
              <w:keepLines/>
              <w:spacing w:beforeAutospacing="0" w:afterAutospacing="0"/>
              <w:jc w:val="center"/>
              <w:rPr>
                <w:rFonts w:hAnsi="宋体" w:cs="Times New Roman"/>
              </w:rPr>
            </w:pPr>
            <w:r>
              <w:rPr>
                <w:rFonts w:hAnsi="宋体" w:cs="Times New Roman"/>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20902933">
            <w:pPr>
              <w:pStyle w:val="44"/>
              <w:keepNext/>
              <w:keepLines/>
              <w:spacing w:beforeAutospacing="0" w:afterAutospacing="0"/>
              <w:jc w:val="center"/>
              <w:rPr>
                <w:rFonts w:hAnsi="宋体" w:cs="Times New Roman"/>
              </w:rPr>
            </w:pPr>
            <w:r>
              <w:rPr>
                <w:rFonts w:hAnsi="宋体" w:cs="Times New Roman"/>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37EF0300">
            <w:pPr>
              <w:pStyle w:val="44"/>
              <w:keepNext/>
              <w:keepLines/>
              <w:spacing w:beforeAutospacing="0" w:afterAutospacing="0"/>
              <w:jc w:val="center"/>
              <w:rPr>
                <w:rFonts w:hAnsi="宋体" w:cs="Times New Roman"/>
              </w:rPr>
            </w:pPr>
            <w:r>
              <w:rPr>
                <w:rFonts w:hAnsi="宋体" w:cs="Times New Roman"/>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359BE4E2">
            <w:pPr>
              <w:pStyle w:val="44"/>
              <w:keepNext/>
              <w:keepLines/>
              <w:spacing w:beforeAutospacing="0" w:afterAutospacing="0"/>
              <w:jc w:val="center"/>
              <w:rPr>
                <w:rFonts w:hAnsi="宋体" w:cs="Times New Roman"/>
              </w:rPr>
            </w:pPr>
            <w:r>
              <w:rPr>
                <w:rFonts w:hAnsi="宋体" w:cs="Times New Roman"/>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37D040D1">
            <w:pPr>
              <w:pStyle w:val="44"/>
              <w:keepNext/>
              <w:keepLines/>
              <w:spacing w:beforeAutospacing="0" w:afterAutospacing="0"/>
              <w:jc w:val="center"/>
              <w:rPr>
                <w:rFonts w:hAnsi="宋体" w:cs="Times New Roman"/>
              </w:rPr>
            </w:pPr>
            <w:r>
              <w:rPr>
                <w:rFonts w:hAnsi="宋体" w:cs="Times New Roman"/>
              </w:rPr>
              <w:t> </w:t>
            </w:r>
          </w:p>
        </w:tc>
      </w:tr>
      <w:tr w14:paraId="5D4C7604">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08DFE3E1">
            <w:pPr>
              <w:pStyle w:val="44"/>
              <w:keepNext/>
              <w:keepLines/>
              <w:spacing w:beforeAutospacing="0" w:afterAutospacing="0"/>
              <w:jc w:val="center"/>
              <w:rPr>
                <w:rFonts w:hAnsi="宋体" w:cs="Times New Roman"/>
              </w:rPr>
            </w:pPr>
            <w:r>
              <w:rPr>
                <w:rFonts w:hAnsi="宋体" w:cs="Times New Roman"/>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69B9D1CF">
            <w:pPr>
              <w:pStyle w:val="44"/>
              <w:keepNext/>
              <w:keepLines/>
              <w:spacing w:beforeAutospacing="0" w:afterAutospacing="0"/>
              <w:jc w:val="center"/>
              <w:rPr>
                <w:rFonts w:hAnsi="宋体" w:cs="Times New Roman"/>
              </w:rPr>
            </w:pPr>
            <w:r>
              <w:rPr>
                <w:rFonts w:hAnsi="宋体" w:cs="Times New Roman"/>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61EEA97B">
            <w:pPr>
              <w:pStyle w:val="44"/>
              <w:keepNext/>
              <w:keepLines/>
              <w:spacing w:beforeAutospacing="0" w:afterAutospacing="0"/>
              <w:jc w:val="center"/>
              <w:rPr>
                <w:rFonts w:hAnsi="宋体" w:cs="Times New Roman"/>
              </w:rPr>
            </w:pPr>
            <w:r>
              <w:rPr>
                <w:rFonts w:hAnsi="宋体" w:cs="Times New Roman"/>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58A3AF5C">
            <w:pPr>
              <w:pStyle w:val="44"/>
              <w:keepNext/>
              <w:keepLines/>
              <w:spacing w:beforeAutospacing="0" w:afterAutospacing="0"/>
              <w:jc w:val="center"/>
              <w:rPr>
                <w:rFonts w:hAnsi="宋体" w:cs="Times New Roman"/>
              </w:rPr>
            </w:pPr>
            <w:r>
              <w:rPr>
                <w:rFonts w:hAnsi="宋体" w:cs="Times New Roman"/>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2A95EE48">
            <w:pPr>
              <w:pStyle w:val="44"/>
              <w:keepNext/>
              <w:keepLines/>
              <w:spacing w:beforeAutospacing="0" w:afterAutospacing="0"/>
              <w:jc w:val="center"/>
              <w:rPr>
                <w:rFonts w:hAnsi="宋体" w:cs="Times New Roman"/>
              </w:rPr>
            </w:pPr>
            <w:r>
              <w:rPr>
                <w:rFonts w:hAnsi="宋体" w:cs="Times New Roman"/>
              </w:rPr>
              <w:t> </w:t>
            </w:r>
          </w:p>
        </w:tc>
      </w:tr>
      <w:tr w14:paraId="2492BFB7">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6E7D6FEA">
            <w:pPr>
              <w:pStyle w:val="44"/>
              <w:keepNext/>
              <w:keepLines/>
              <w:spacing w:beforeAutospacing="0" w:afterAutospacing="0"/>
              <w:jc w:val="center"/>
              <w:rPr>
                <w:rFonts w:hAnsi="宋体" w:cs="Times New Roman"/>
              </w:rPr>
            </w:pPr>
            <w:r>
              <w:rPr>
                <w:rFonts w:hAnsi="宋体" w:cs="Times New Roman"/>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43ED22B9">
            <w:pPr>
              <w:pStyle w:val="44"/>
              <w:keepNext/>
              <w:keepLines/>
              <w:spacing w:beforeAutospacing="0" w:afterAutospacing="0"/>
              <w:jc w:val="center"/>
              <w:rPr>
                <w:rFonts w:hAnsi="宋体" w:cs="Times New Roman"/>
              </w:rPr>
            </w:pPr>
            <w:r>
              <w:rPr>
                <w:rFonts w:hAnsi="宋体" w:cs="Times New Roman"/>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617073C9">
            <w:pPr>
              <w:pStyle w:val="44"/>
              <w:keepNext/>
              <w:keepLines/>
              <w:spacing w:beforeAutospacing="0" w:afterAutospacing="0"/>
              <w:jc w:val="center"/>
              <w:rPr>
                <w:rFonts w:hAnsi="宋体" w:cs="Times New Roman"/>
              </w:rPr>
            </w:pPr>
            <w:r>
              <w:rPr>
                <w:rFonts w:hAnsi="宋体" w:cs="Times New Roman"/>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693AE246">
            <w:pPr>
              <w:pStyle w:val="44"/>
              <w:keepNext/>
              <w:keepLines/>
              <w:spacing w:beforeAutospacing="0" w:afterAutospacing="0"/>
              <w:jc w:val="center"/>
              <w:rPr>
                <w:rFonts w:hAnsi="宋体" w:cs="Times New Roman"/>
              </w:rPr>
            </w:pPr>
            <w:r>
              <w:rPr>
                <w:rFonts w:hAnsi="宋体" w:cs="Times New Roman"/>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2B112826">
            <w:pPr>
              <w:pStyle w:val="44"/>
              <w:keepNext/>
              <w:keepLines/>
              <w:spacing w:beforeAutospacing="0" w:afterAutospacing="0"/>
              <w:jc w:val="center"/>
              <w:rPr>
                <w:rFonts w:hAnsi="宋体" w:cs="Times New Roman"/>
              </w:rPr>
            </w:pPr>
            <w:r>
              <w:rPr>
                <w:rFonts w:hAnsi="宋体" w:cs="Times New Roman"/>
              </w:rPr>
              <w:t> </w:t>
            </w:r>
          </w:p>
        </w:tc>
      </w:tr>
    </w:tbl>
    <w:p w14:paraId="26F97D2E">
      <w:pPr>
        <w:pStyle w:val="44"/>
        <w:keepNext/>
        <w:keepLines/>
        <w:spacing w:beforeAutospacing="0" w:afterAutospacing="0"/>
        <w:jc w:val="both"/>
        <w:rPr>
          <w:rFonts w:cs="Times New Roman"/>
        </w:rPr>
      </w:pPr>
      <w:r>
        <w:rPr>
          <w:rFonts w:hint="eastAsia"/>
        </w:rPr>
        <w:t>注：</w:t>
      </w:r>
      <w:r>
        <w:t xml:space="preserve"> </w:t>
      </w:r>
      <w:r>
        <w:rPr>
          <w:rFonts w:hint="eastAsia"/>
        </w:rPr>
        <w:t>行数不够，可自行添加。</w:t>
      </w:r>
    </w:p>
    <w:p w14:paraId="62F6D477">
      <w:pPr>
        <w:keepNext/>
        <w:keepLines/>
        <w:widowControl/>
        <w:spacing w:line="500" w:lineRule="exact"/>
        <w:ind w:firstLine="723"/>
        <w:jc w:val="center"/>
        <w:rPr>
          <w:rFonts w:ascii="宋体" w:cs="Times New Roman"/>
          <w:b/>
          <w:bCs/>
          <w:sz w:val="36"/>
          <w:szCs w:val="36"/>
        </w:rPr>
      </w:pPr>
    </w:p>
    <w:p w14:paraId="521687F2">
      <w:pPr>
        <w:keepNext/>
        <w:keepLines/>
        <w:widowControl/>
        <w:spacing w:line="500" w:lineRule="exact"/>
        <w:ind w:firstLine="723"/>
        <w:jc w:val="center"/>
        <w:rPr>
          <w:rFonts w:ascii="宋体" w:cs="Times New Roman"/>
          <w:b/>
          <w:bCs/>
          <w:sz w:val="36"/>
          <w:szCs w:val="36"/>
        </w:rPr>
      </w:pPr>
    </w:p>
    <w:p w14:paraId="5F651612">
      <w:pPr>
        <w:pStyle w:val="48"/>
        <w:keepNext/>
        <w:keepLines/>
        <w:widowControl/>
        <w:ind w:firstLine="723"/>
        <w:rPr>
          <w:rFonts w:ascii="宋体" w:eastAsia="宋体" w:cs="Times New Roman"/>
          <w:b/>
          <w:bCs/>
          <w:sz w:val="36"/>
          <w:szCs w:val="36"/>
        </w:rPr>
      </w:pPr>
    </w:p>
    <w:p w14:paraId="46466028">
      <w:pPr>
        <w:pStyle w:val="36"/>
        <w:keepNext/>
        <w:keepLines/>
        <w:widowControl/>
        <w:rPr>
          <w:rFonts w:ascii="宋体" w:cs="Times New Roman"/>
          <w:b/>
          <w:bCs/>
          <w:sz w:val="36"/>
          <w:szCs w:val="36"/>
        </w:rPr>
      </w:pPr>
    </w:p>
    <w:p w14:paraId="6DECBB46">
      <w:pPr>
        <w:keepNext/>
        <w:keepLines/>
        <w:widowControl/>
        <w:rPr>
          <w:rFonts w:ascii="宋体" w:cs="Times New Roman"/>
          <w:b/>
          <w:bCs/>
          <w:sz w:val="36"/>
          <w:szCs w:val="36"/>
        </w:rPr>
      </w:pPr>
    </w:p>
    <w:p w14:paraId="539A8BE0">
      <w:pPr>
        <w:pStyle w:val="48"/>
        <w:keepNext/>
        <w:keepLines/>
        <w:widowControl/>
        <w:ind w:firstLine="723"/>
        <w:rPr>
          <w:rFonts w:ascii="宋体" w:eastAsia="宋体" w:cs="Times New Roman"/>
          <w:b/>
          <w:bCs/>
          <w:sz w:val="36"/>
          <w:szCs w:val="36"/>
        </w:rPr>
      </w:pPr>
    </w:p>
    <w:p w14:paraId="059E13AC">
      <w:pPr>
        <w:pStyle w:val="36"/>
        <w:keepNext/>
        <w:keepLines/>
        <w:widowControl/>
        <w:rPr>
          <w:rFonts w:ascii="宋体" w:cs="Times New Roman"/>
          <w:b/>
          <w:bCs/>
          <w:sz w:val="36"/>
          <w:szCs w:val="36"/>
        </w:rPr>
      </w:pPr>
    </w:p>
    <w:p w14:paraId="33452A9D">
      <w:pPr>
        <w:keepNext/>
        <w:keepLines/>
        <w:widowControl/>
        <w:rPr>
          <w:rFonts w:ascii="宋体" w:cs="Times New Roman"/>
          <w:b/>
          <w:bCs/>
          <w:sz w:val="36"/>
          <w:szCs w:val="36"/>
        </w:rPr>
      </w:pPr>
    </w:p>
    <w:p w14:paraId="3AD9E62E">
      <w:pPr>
        <w:keepNext/>
        <w:keepLines/>
        <w:widowControl/>
        <w:rPr>
          <w:rFonts w:ascii="宋体" w:cs="Times New Roman"/>
          <w:b/>
          <w:bCs/>
          <w:sz w:val="36"/>
          <w:szCs w:val="36"/>
        </w:rPr>
      </w:pPr>
    </w:p>
    <w:bookmarkEnd w:id="153"/>
    <w:p w14:paraId="783B60CA">
      <w:pPr>
        <w:keepNext/>
        <w:keepLines/>
        <w:widowControl/>
        <w:rPr>
          <w:rFonts w:ascii="宋体" w:cs="Times New Roman"/>
          <w:b/>
          <w:bCs/>
          <w:sz w:val="36"/>
          <w:szCs w:val="36"/>
        </w:rPr>
      </w:pPr>
    </w:p>
    <w:p w14:paraId="0BE0EFFD">
      <w:pPr>
        <w:pStyle w:val="48"/>
        <w:keepNext/>
        <w:keepLines/>
        <w:widowControl/>
        <w:rPr>
          <w:rFonts w:ascii="宋体" w:eastAsia="宋体" w:cs="Times New Roman"/>
          <w:b/>
          <w:bCs/>
          <w:sz w:val="36"/>
          <w:szCs w:val="36"/>
        </w:rPr>
      </w:pPr>
    </w:p>
    <w:p w14:paraId="640190E7">
      <w:pPr>
        <w:pStyle w:val="36"/>
        <w:keepNext/>
        <w:keepLines/>
        <w:widowControl/>
        <w:rPr>
          <w:rFonts w:ascii="宋体" w:cs="Times New Roman"/>
          <w:b/>
          <w:bCs/>
          <w:sz w:val="36"/>
          <w:szCs w:val="36"/>
        </w:rPr>
      </w:pPr>
    </w:p>
    <w:p w14:paraId="347781F2">
      <w:pPr>
        <w:keepNext/>
        <w:keepLines/>
        <w:widowControl/>
        <w:rPr>
          <w:rFonts w:ascii="宋体" w:cs="Times New Roman"/>
          <w:b/>
          <w:bCs/>
          <w:sz w:val="36"/>
          <w:szCs w:val="36"/>
        </w:rPr>
      </w:pPr>
    </w:p>
    <w:p w14:paraId="5F7FB42E">
      <w:pPr>
        <w:pStyle w:val="48"/>
        <w:keepNext/>
        <w:keepLines/>
        <w:widowControl/>
        <w:rPr>
          <w:rFonts w:cs="Times New Roman"/>
        </w:rPr>
      </w:pPr>
    </w:p>
    <w:p w14:paraId="76374159">
      <w:pPr>
        <w:keepNext/>
        <w:keepLines/>
        <w:widowControl/>
        <w:spacing w:before="50" w:after="50"/>
        <w:jc w:val="center"/>
        <w:rPr>
          <w:rFonts w:ascii="黑体" w:hAnsi="宋体" w:eastAsia="黑体" w:cs="Times New Roman"/>
          <w:sz w:val="32"/>
          <w:szCs w:val="32"/>
        </w:rPr>
      </w:pPr>
      <w:r>
        <w:rPr>
          <w:rFonts w:hint="eastAsia" w:ascii="黑体" w:hAnsi="宋体" w:eastAsia="黑体" w:cs="黑体"/>
          <w:sz w:val="32"/>
          <w:szCs w:val="32"/>
        </w:rPr>
        <w:t>十四、开标一览表</w:t>
      </w:r>
    </w:p>
    <w:p w14:paraId="1B358FE8">
      <w:pPr>
        <w:pStyle w:val="44"/>
        <w:keepNext/>
        <w:keepLines/>
        <w:rPr>
          <w:rFonts w:cs="Times New Roman"/>
        </w:rPr>
      </w:pPr>
      <w:r>
        <w:rPr>
          <w:rFonts w:hint="eastAsia"/>
        </w:rPr>
        <w:t>项目编号：</w:t>
      </w:r>
      <w:r>
        <w:rPr>
          <w:rFonts w:hint="eastAsia" w:ascii="宋体" w:hAnsi="Times New Roman" w:eastAsia="宋体" w:cs="宋体"/>
          <w:kern w:val="0"/>
          <w:sz w:val="24"/>
          <w:szCs w:val="24"/>
          <w:lang w:val="en-US" w:eastAsia="zh-CN" w:bidi="ar-SA"/>
        </w:rPr>
        <w:t>JSZC-320900-RHHH-G2026-0029</w:t>
      </w:r>
      <w:r>
        <w:rPr>
          <w:rFonts w:cs="Times New Roman"/>
        </w:rPr>
        <w:t> </w:t>
      </w:r>
    </w:p>
    <w:p w14:paraId="300A1F55">
      <w:pPr>
        <w:pStyle w:val="44"/>
        <w:keepNext/>
        <w:keepLines/>
        <w:rPr>
          <w:rFonts w:cs="Times New Roman"/>
        </w:rPr>
      </w:pPr>
      <w:r>
        <w:rPr>
          <w:rFonts w:hint="eastAsia"/>
        </w:rPr>
        <w:t>货币单位：人民币元</w:t>
      </w:r>
    </w:p>
    <w:p w14:paraId="2A1665B5">
      <w:pPr>
        <w:pStyle w:val="44"/>
        <w:keepNext/>
        <w:keepLines/>
        <w:rPr>
          <w:rFonts w:cs="Times New Roman"/>
        </w:rPr>
      </w:pPr>
      <w:r>
        <w:rPr>
          <w:rFonts w:cs="Times New Roman"/>
        </w:rPr>
        <w:t> </w:t>
      </w:r>
    </w:p>
    <w:tbl>
      <w:tblPr>
        <w:tblStyle w:val="50"/>
        <w:tblW w:w="0" w:type="auto"/>
        <w:tblCellSpacing w:w="15" w:type="dxa"/>
        <w:tblInd w:w="2"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2937"/>
        <w:gridCol w:w="2730"/>
        <w:gridCol w:w="3453"/>
      </w:tblGrid>
      <w:tr w14:paraId="4C9E1FA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2892" w:type="dxa"/>
            <w:vAlign w:val="center"/>
          </w:tcPr>
          <w:p w14:paraId="18566881">
            <w:pPr>
              <w:pStyle w:val="44"/>
              <w:keepNext/>
              <w:keepLines/>
              <w:rPr>
                <w:rFonts w:hAnsi="宋体" w:cs="Times New Roman"/>
              </w:rPr>
            </w:pPr>
            <w:r>
              <w:rPr>
                <w:rFonts w:hint="eastAsia" w:hAnsi="宋体"/>
              </w:rPr>
              <w:t>项目名称</w:t>
            </w:r>
          </w:p>
        </w:tc>
        <w:tc>
          <w:tcPr>
            <w:tcW w:w="2700" w:type="dxa"/>
            <w:vAlign w:val="center"/>
          </w:tcPr>
          <w:p w14:paraId="6C891BCA">
            <w:pPr>
              <w:pStyle w:val="44"/>
              <w:keepNext/>
              <w:keepLines/>
              <w:rPr>
                <w:rFonts w:hAnsi="宋体" w:cs="Times New Roman"/>
              </w:rPr>
            </w:pPr>
            <w:r>
              <w:rPr>
                <w:rFonts w:hint="eastAsia" w:hAnsi="宋体"/>
              </w:rPr>
              <w:t>项目内容</w:t>
            </w:r>
          </w:p>
        </w:tc>
        <w:tc>
          <w:tcPr>
            <w:tcW w:w="3408" w:type="dxa"/>
            <w:vAlign w:val="center"/>
          </w:tcPr>
          <w:p w14:paraId="3B3B202F">
            <w:pPr>
              <w:pStyle w:val="44"/>
              <w:keepNext/>
              <w:keepLines/>
              <w:rPr>
                <w:rFonts w:hAnsi="宋体" w:cs="Times New Roman"/>
              </w:rPr>
            </w:pPr>
            <w:r>
              <w:rPr>
                <w:rFonts w:hint="eastAsia" w:hAnsi="宋体"/>
              </w:rPr>
              <w:t>总价（小写）</w:t>
            </w:r>
          </w:p>
        </w:tc>
      </w:tr>
      <w:tr w14:paraId="1062BCC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2892" w:type="dxa"/>
            <w:vAlign w:val="center"/>
          </w:tcPr>
          <w:p w14:paraId="71AC6B71">
            <w:pPr>
              <w:keepNext/>
              <w:keepLines/>
              <w:widowControl/>
              <w:jc w:val="left"/>
              <w:rPr>
                <w:rFonts w:cs="Times New Roman"/>
              </w:rPr>
            </w:pPr>
            <w:r>
              <w:rPr>
                <w:rFonts w:hint="eastAsia" w:ascii="宋体" w:hAnsi="宋体" w:cs="宋体"/>
                <w:sz w:val="24"/>
                <w:szCs w:val="24"/>
              </w:rPr>
              <w:t>盐城市详细规划动态更新项目</w:t>
            </w:r>
            <w:r>
              <w:rPr>
                <w:rFonts w:ascii="宋体" w:cs="Times New Roman"/>
                <w:sz w:val="24"/>
                <w:szCs w:val="24"/>
              </w:rPr>
              <w:t> </w:t>
            </w:r>
            <w:r>
              <w:rPr>
                <w:rFonts w:ascii="宋体" w:hAnsi="宋体" w:cs="宋体"/>
                <w:sz w:val="24"/>
                <w:szCs w:val="24"/>
              </w:rPr>
              <w:t xml:space="preserve"> </w:t>
            </w:r>
          </w:p>
        </w:tc>
        <w:tc>
          <w:tcPr>
            <w:tcW w:w="2700" w:type="dxa"/>
            <w:vAlign w:val="center"/>
          </w:tcPr>
          <w:p w14:paraId="01DF97D0">
            <w:pPr>
              <w:pStyle w:val="44"/>
              <w:keepNext/>
              <w:keepLines/>
              <w:rPr>
                <w:rFonts w:hAnsi="宋体" w:cs="Times New Roman"/>
              </w:rPr>
            </w:pPr>
            <w:r>
              <w:rPr>
                <w:rFonts w:hint="eastAsia" w:hAnsi="宋体"/>
              </w:rPr>
              <w:t>详见投标文件</w:t>
            </w:r>
          </w:p>
        </w:tc>
        <w:tc>
          <w:tcPr>
            <w:tcW w:w="3408" w:type="dxa"/>
            <w:vAlign w:val="center"/>
          </w:tcPr>
          <w:p w14:paraId="61232364">
            <w:pPr>
              <w:pStyle w:val="44"/>
              <w:keepNext/>
              <w:keepLines/>
              <w:rPr>
                <w:rFonts w:hAnsi="宋体" w:cs="Times New Roman"/>
              </w:rPr>
            </w:pPr>
            <w:r>
              <w:rPr>
                <w:rFonts w:hAnsi="宋体" w:cs="Times New Roman"/>
              </w:rPr>
              <mc:AlternateContent>
                <mc:Choice Requires="wps">
                  <w:drawing>
                    <wp:inline distT="0" distB="0" distL="114300" distR="114300">
                      <wp:extent cx="635" cy="0"/>
                      <wp:effectExtent l="0" t="0" r="0" b="0"/>
                      <wp:docPr id="2" name="自选图形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a:noFill/>
                              </a:ln>
                            </wps:spPr>
                            <wps:bodyPr upright="1"/>
                          </wps:wsp>
                        </a:graphicData>
                      </a:graphic>
                    </wp:inline>
                  </w:drawing>
                </mc:Choice>
                <mc:Fallback>
                  <w:pict>
                    <v:rect id="自选图形 1" o:spid="_x0000_s1026" o:spt="1" style="height:0pt;width:0.05pt;" filled="f" stroked="f" coordsize="21600,21600" o:gfxdata="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A+HCX9zwAA&#10;AP8AAAAPAAAAAAAAAAEAIAAAACIAAABkcnMvZG93bnJldi54bWxQSwECFAAUAAAACACHTuJAjehF&#10;/LUBAABfAwAADgAAAAAAAAABACAAAAAeAQAAZHJzL2Uyb0RvYy54bWxQSwUGAAAAAAYABgBZAQAA&#10;RQUAAAAA&#10;">
                      <v:fill on="f" focussize="0,0"/>
                      <v:stroke on="f"/>
                      <v:imagedata o:title=""/>
                      <o:lock v:ext="edit" aspectratio="t"/>
                      <w10:wrap type="none"/>
                      <w10:anchorlock/>
                    </v:rect>
                  </w:pict>
                </mc:Fallback>
              </mc:AlternateContent>
            </w:r>
            <w:r>
              <w:rPr>
                <w:rFonts w:hAnsi="宋体" w:cs="Times New Roman"/>
              </w:rPr>
              <w:t> </w:t>
            </w:r>
            <w:r>
              <w:rPr>
                <w:rFonts w:hAnsi="宋体"/>
              </w:rPr>
              <w:t xml:space="preserve">  </w:t>
            </w:r>
            <w:r>
              <w:rPr>
                <w:rFonts w:hint="eastAsia" w:hAnsi="宋体"/>
              </w:rPr>
              <w:t>元</w:t>
            </w:r>
          </w:p>
        </w:tc>
      </w:tr>
      <w:tr w14:paraId="450B312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2892" w:type="dxa"/>
            <w:vAlign w:val="center"/>
          </w:tcPr>
          <w:p w14:paraId="65AE3BD0">
            <w:pPr>
              <w:pStyle w:val="44"/>
              <w:keepNext/>
              <w:keepLines/>
              <w:rPr>
                <w:rFonts w:hAnsi="宋体" w:cs="Times New Roman"/>
              </w:rPr>
            </w:pPr>
            <w:r>
              <w:rPr>
                <w:rFonts w:hint="eastAsia" w:hAnsi="宋体"/>
              </w:rPr>
              <w:t>总价（大写）：</w:t>
            </w:r>
          </w:p>
        </w:tc>
        <w:tc>
          <w:tcPr>
            <w:tcW w:w="6096" w:type="dxa"/>
            <w:gridSpan w:val="2"/>
            <w:vAlign w:val="center"/>
          </w:tcPr>
          <w:p w14:paraId="7C832322">
            <w:pPr>
              <w:pStyle w:val="44"/>
              <w:keepNext/>
              <w:keepLines/>
              <w:rPr>
                <w:rFonts w:hAnsi="宋体" w:cs="Times New Roman"/>
              </w:rPr>
            </w:pPr>
            <w:r>
              <w:rPr>
                <w:rFonts w:hint="eastAsia" w:hAnsi="宋体"/>
              </w:rPr>
              <w:t>金额大写</w:t>
            </w:r>
            <w:r>
              <w:rPr>
                <w:rFonts w:hAnsi="宋体" w:cs="Times New Roman"/>
              </w:rPr>
              <w:t>  </w:t>
            </w:r>
          </w:p>
        </w:tc>
      </w:tr>
    </w:tbl>
    <w:p w14:paraId="2422F1D8">
      <w:pPr>
        <w:pStyle w:val="44"/>
        <w:keepNext/>
        <w:keepLines/>
        <w:rPr>
          <w:rFonts w:cs="Times New Roman"/>
        </w:rPr>
      </w:pPr>
      <w:r>
        <w:rPr>
          <w:rFonts w:hint="eastAsia"/>
        </w:rPr>
        <w:t>投标人公章：</w:t>
      </w:r>
      <w:r>
        <w:t xml:space="preserve"> </w:t>
      </w:r>
      <w:r>
        <w:rPr>
          <w:rFonts w:cs="Times New Roman"/>
        </w:rPr>
        <w:t> </w:t>
      </w:r>
      <w:r>
        <w:t xml:space="preserve"> </w:t>
      </w:r>
      <w:r>
        <w:rPr>
          <w:rFonts w:cs="Times New Roman"/>
        </w:rPr>
        <w:t> </w:t>
      </w:r>
      <w:r>
        <w:t xml:space="preserve"> </w:t>
      </w:r>
      <w:r>
        <w:rPr>
          <w:rFonts w:cs="Times New Roman"/>
        </w:rPr>
        <w:t> </w:t>
      </w:r>
      <w:r>
        <w:t xml:space="preserve"> </w:t>
      </w:r>
      <w:r>
        <w:rPr>
          <w:rFonts w:cs="Times New Roman"/>
        </w:rPr>
        <w:t> </w:t>
      </w:r>
      <w:r>
        <w:t xml:space="preserve"> </w:t>
      </w:r>
      <w:r>
        <w:rPr>
          <w:rFonts w:cs="Times New Roman"/>
        </w:rPr>
        <w:t> </w:t>
      </w:r>
      <w:r>
        <w:t xml:space="preserve"> </w:t>
      </w:r>
      <w:r>
        <w:rPr>
          <w:rFonts w:cs="Times New Roman"/>
        </w:rPr>
        <w:t> </w:t>
      </w:r>
      <w:r>
        <w:t xml:space="preserve"> </w:t>
      </w:r>
      <w:r>
        <w:rPr>
          <w:rFonts w:cs="Times New Roman"/>
        </w:rPr>
        <w:t> </w:t>
      </w:r>
      <w:r>
        <w:t xml:space="preserve"> </w:t>
      </w:r>
      <w:r>
        <w:rPr>
          <w:rFonts w:cs="Times New Roman"/>
        </w:rPr>
        <w:t> </w:t>
      </w:r>
      <w:r>
        <w:t xml:space="preserve"> </w:t>
      </w:r>
      <w:r>
        <w:rPr>
          <w:rFonts w:cs="Times New Roman"/>
        </w:rPr>
        <w:t> </w:t>
      </w:r>
      <w:r>
        <w:t xml:space="preserve"> </w:t>
      </w:r>
      <w:r>
        <w:rPr>
          <w:rFonts w:cs="Times New Roman"/>
        </w:rPr>
        <w:t> </w:t>
      </w:r>
      <w:r>
        <w:t xml:space="preserve"> </w:t>
      </w:r>
      <w:r>
        <w:rPr>
          <w:rFonts w:cs="Times New Roman"/>
        </w:rPr>
        <w:t> </w:t>
      </w:r>
      <w:r>
        <w:t xml:space="preserve"> </w:t>
      </w:r>
      <w:r>
        <w:rPr>
          <w:rFonts w:cs="Times New Roman"/>
        </w:rPr>
        <w:t> </w:t>
      </w:r>
      <w:r>
        <w:t xml:space="preserve"> </w:t>
      </w:r>
      <w:r>
        <w:rPr>
          <w:rFonts w:cs="Times New Roman"/>
        </w:rPr>
        <w:t> </w:t>
      </w:r>
      <w:r>
        <w:t xml:space="preserve"> </w:t>
      </w:r>
      <w:r>
        <w:rPr>
          <w:rFonts w:cs="Times New Roman"/>
        </w:rPr>
        <w:t> </w:t>
      </w:r>
      <w:r>
        <w:t xml:space="preserve"> </w:t>
      </w:r>
      <w:r>
        <w:rPr>
          <w:rFonts w:cs="Times New Roman"/>
        </w:rPr>
        <w:t> </w:t>
      </w:r>
      <w:r>
        <w:t xml:space="preserve"> </w:t>
      </w:r>
      <w:r>
        <w:rPr>
          <w:rFonts w:hint="eastAsia"/>
        </w:rPr>
        <w:t>（电子签章）</w:t>
      </w:r>
    </w:p>
    <w:p w14:paraId="60616D8A">
      <w:pPr>
        <w:pStyle w:val="44"/>
        <w:keepNext/>
        <w:keepLines/>
        <w:jc w:val="right"/>
        <w:rPr>
          <w:rFonts w:cs="Times New Roman"/>
        </w:rPr>
      </w:pPr>
      <w:r>
        <w:rPr>
          <w:rFonts w:cs="Times New Roman"/>
        </w:rPr>
        <w:t> </w:t>
      </w:r>
    </w:p>
    <w:p w14:paraId="785DB801">
      <w:pPr>
        <w:pStyle w:val="44"/>
        <w:keepNext/>
        <w:keepLines/>
        <w:jc w:val="right"/>
        <w:rPr>
          <w:rFonts w:cs="Times New Roman"/>
        </w:rPr>
      </w:pPr>
      <w:r>
        <w:rPr>
          <w:rFonts w:hint="eastAsia"/>
        </w:rPr>
        <w:t>日期：</w:t>
      </w:r>
      <w:r>
        <w:rPr>
          <w:rFonts w:cs="Times New Roman"/>
        </w:rPr>
        <mc:AlternateContent>
          <mc:Choice Requires="wps">
            <w:drawing>
              <wp:inline distT="0" distB="0" distL="114300" distR="114300">
                <wp:extent cx="635" cy="0"/>
                <wp:effectExtent l="0" t="0" r="0" b="0"/>
                <wp:docPr id="3" name="自选图形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a:noFill/>
                        </a:ln>
                      </wps:spPr>
                      <wps:bodyPr upright="1"/>
                    </wps:wsp>
                  </a:graphicData>
                </a:graphic>
              </wp:inline>
            </w:drawing>
          </mc:Choice>
          <mc:Fallback>
            <w:pict>
              <v:rect id="自选图形 6" o:spid="_x0000_s1026" o:spt="1" style="height:0pt;width:0.05pt;" filled="f" stroked="f" coordsize="21600,21600" o:gfxdata="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D4cJf3PAAAA&#10;/wAAAA8AAAAAAAAAAQAgAAAAIgAAAGRycy9kb3ducmV2LnhtbFBLAQIUABQAAAAIAIdO4kBw1LQm&#10;tAEAAF8DAAAOAAAAAAAAAAEAIAAAAB4BAABkcnMvZTJvRG9jLnhtbFBLBQYAAAAABgAGAFkBAABE&#10;BQAAAAA=&#10;">
                <v:fill on="f" focussize="0,0"/>
                <v:stroke on="f"/>
                <v:imagedata o:title=""/>
                <o:lock v:ext="edit" aspectratio="t"/>
                <w10:wrap type="none"/>
                <w10:anchorlock/>
              </v:rect>
            </w:pict>
          </mc:Fallback>
        </mc:AlternateContent>
      </w:r>
      <w:r>
        <w:rPr>
          <w:rFonts w:cs="Times New Roman"/>
        </w:rPr>
        <w:t> </w:t>
      </w:r>
      <w:r>
        <w:rPr>
          <w:rFonts w:hint="eastAsia"/>
        </w:rPr>
        <w:t>年</w:t>
      </w:r>
      <w:r>
        <w:rPr>
          <w:rFonts w:cs="Times New Roman"/>
        </w:rPr>
        <mc:AlternateContent>
          <mc:Choice Requires="wps">
            <w:drawing>
              <wp:inline distT="0" distB="0" distL="114300" distR="114300">
                <wp:extent cx="635" cy="0"/>
                <wp:effectExtent l="0" t="0" r="0" b="0"/>
                <wp:docPr id="4" name="自选图形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a:noFill/>
                        </a:ln>
                      </wps:spPr>
                      <wps:bodyPr upright="1"/>
                    </wps:wsp>
                  </a:graphicData>
                </a:graphic>
              </wp:inline>
            </w:drawing>
          </mc:Choice>
          <mc:Fallback>
            <w:pict>
              <v:rect id="自选图形 8" o:spid="_x0000_s1026" o:spt="1" style="height:0pt;width:0.05pt;" filled="f" stroked="f" coordsize="21600,21600" o:gfxdata="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D4cJf3PAAAA&#10;/wAAAA8AAAAAAAAAAQAgAAAAIgAAAGRycy9kb3ducmV2LnhtbFBLAQIUABQAAAAIAIdO4kDnXTfL&#10;tAEAAF8DAAAOAAAAAAAAAAEAIAAAAB4BAABkcnMvZTJvRG9jLnhtbFBLBQYAAAAABgAGAFkBAABE&#10;BQAAAAA=&#10;">
                <v:fill on="f" focussize="0,0"/>
                <v:stroke on="f"/>
                <v:imagedata o:title=""/>
                <o:lock v:ext="edit" aspectratio="t"/>
                <w10:wrap type="none"/>
                <w10:anchorlock/>
              </v:rect>
            </w:pict>
          </mc:Fallback>
        </mc:AlternateContent>
      </w:r>
      <w:r>
        <w:rPr>
          <w:rFonts w:cs="Times New Roman"/>
        </w:rPr>
        <w:t> </w:t>
      </w:r>
      <w:r>
        <w:rPr>
          <w:rFonts w:hint="eastAsia"/>
        </w:rPr>
        <w:t>月</w:t>
      </w:r>
      <w:r>
        <w:rPr>
          <w:rFonts w:cs="Times New Roman"/>
        </w:rPr>
        <mc:AlternateContent>
          <mc:Choice Requires="wps">
            <w:drawing>
              <wp:inline distT="0" distB="0" distL="114300" distR="114300">
                <wp:extent cx="635" cy="0"/>
                <wp:effectExtent l="0" t="0" r="0" b="0"/>
                <wp:docPr id="5" name="自选图形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a:noFill/>
                        </a:ln>
                      </wps:spPr>
                      <wps:bodyPr upright="1"/>
                    </wps:wsp>
                  </a:graphicData>
                </a:graphic>
              </wp:inline>
            </w:drawing>
          </mc:Choice>
          <mc:Fallback>
            <w:pict>
              <v:rect id="自选图形 10" o:spid="_x0000_s1026" o:spt="1" style="height:0pt;width:0.05pt;" filled="f" stroked="f" coordsize="21600,21600" o:gfxdata="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">
                <v:fill on="f" focussize="0,0"/>
                <v:stroke on="f"/>
                <v:imagedata o:title=""/>
                <o:lock v:ext="edit" aspectratio="t"/>
                <w10:wrap type="none"/>
                <w10:anchorlock/>
              </v:rect>
            </w:pict>
          </mc:Fallback>
        </mc:AlternateContent>
      </w:r>
      <w:r>
        <w:rPr>
          <w:rFonts w:cs="Times New Roman"/>
        </w:rPr>
        <w:t> </w:t>
      </w:r>
      <w:r>
        <w:rPr>
          <w:rFonts w:hint="eastAsia"/>
        </w:rPr>
        <w:t>日</w:t>
      </w:r>
    </w:p>
    <w:p w14:paraId="078114AC">
      <w:pPr>
        <w:pStyle w:val="44"/>
        <w:keepNext/>
        <w:keepLines/>
        <w:rPr>
          <w:rFonts w:cs="Times New Roman"/>
        </w:rPr>
      </w:pPr>
      <w:r>
        <w:rPr>
          <w:rFonts w:cs="Times New Roman"/>
        </w:rPr>
        <w:t> </w:t>
      </w:r>
    </w:p>
    <w:p w14:paraId="302A0AFF">
      <w:pPr>
        <w:pStyle w:val="44"/>
        <w:keepNext/>
        <w:keepLines/>
        <w:spacing w:beforeAutospacing="0" w:afterAutospacing="0"/>
        <w:jc w:val="both"/>
        <w:rPr>
          <w:rFonts w:cs="Times New Roman"/>
        </w:rPr>
      </w:pPr>
      <w:r>
        <w:rPr>
          <w:rFonts w:cs="Times New Roman"/>
        </w:rPr>
        <w:t> </w:t>
      </w:r>
    </w:p>
    <w:p w14:paraId="44AE6B8E">
      <w:pPr>
        <w:pStyle w:val="44"/>
        <w:keepNext/>
        <w:keepLines/>
        <w:spacing w:beforeAutospacing="0" w:afterAutospacing="0"/>
        <w:jc w:val="center"/>
        <w:rPr>
          <w:rFonts w:cs="Times New Roman"/>
          <w:b/>
          <w:bCs/>
          <w:sz w:val="32"/>
          <w:szCs w:val="32"/>
        </w:rPr>
      </w:pPr>
    </w:p>
    <w:p w14:paraId="0DFCC6D8">
      <w:pPr>
        <w:pStyle w:val="44"/>
        <w:keepNext/>
        <w:keepLines/>
        <w:spacing w:beforeAutospacing="0" w:afterAutospacing="0"/>
        <w:rPr>
          <w:rFonts w:cs="Times New Roman"/>
          <w:b/>
          <w:bCs/>
          <w:sz w:val="32"/>
          <w:szCs w:val="32"/>
        </w:rPr>
      </w:pPr>
    </w:p>
    <w:p w14:paraId="477C9F0D">
      <w:pPr>
        <w:keepNext/>
        <w:keepLines/>
        <w:widowControl/>
        <w:spacing w:before="50" w:after="50"/>
        <w:jc w:val="center"/>
        <w:rPr>
          <w:rFonts w:cs="Times New Roman"/>
        </w:rPr>
      </w:pPr>
      <w:r>
        <w:rPr>
          <w:rFonts w:cs="Times New Roman"/>
        </w:rPr>
        <w:tab/>
      </w:r>
    </w:p>
    <w:p w14:paraId="77A75058">
      <w:pPr>
        <w:pStyle w:val="281"/>
        <w:keepNext/>
        <w:keepLines/>
        <w:ind w:firstLine="420"/>
        <w:rPr>
          <w:rFonts w:cs="Times New Roman"/>
        </w:rPr>
      </w:pPr>
      <w:r>
        <w:rPr>
          <w:rFonts w:cs="Times New Roman"/>
        </w:rPr>
        <w:br w:type="page" w:clear="all"/>
      </w:r>
    </w:p>
    <w:p w14:paraId="44F3A7F0">
      <w:pPr>
        <w:keepNext/>
        <w:keepLines/>
        <w:widowControl/>
        <w:spacing w:before="50" w:after="50"/>
        <w:jc w:val="center"/>
        <w:rPr>
          <w:rFonts w:ascii="黑体" w:hAnsi="宋体" w:eastAsia="黑体" w:cs="Times New Roman"/>
          <w:sz w:val="32"/>
          <w:szCs w:val="32"/>
        </w:rPr>
      </w:pPr>
      <w:r>
        <w:rPr>
          <w:rFonts w:hint="eastAsia" w:ascii="黑体" w:hAnsi="宋体" w:eastAsia="黑体" w:cs="黑体"/>
          <w:sz w:val="32"/>
          <w:szCs w:val="32"/>
        </w:rPr>
        <w:t>十五、技术方案等</w:t>
      </w:r>
    </w:p>
    <w:p w14:paraId="62B4BDC9">
      <w:pPr>
        <w:pStyle w:val="44"/>
        <w:keepNext/>
        <w:keepLines/>
        <w:spacing w:beforeAutospacing="0" w:afterAutospacing="0"/>
        <w:jc w:val="center"/>
        <w:rPr>
          <w:rFonts w:cs="Times New Roman"/>
          <w:b/>
          <w:bCs/>
          <w:sz w:val="32"/>
          <w:szCs w:val="32"/>
        </w:rPr>
      </w:pPr>
    </w:p>
    <w:p w14:paraId="031ED3B1">
      <w:pPr>
        <w:pStyle w:val="44"/>
        <w:keepNext/>
        <w:keepLines/>
        <w:spacing w:beforeAutospacing="0" w:afterAutospacing="0"/>
        <w:jc w:val="center"/>
        <w:rPr>
          <w:rFonts w:cs="Times New Roman"/>
          <w:b/>
          <w:bCs/>
          <w:sz w:val="32"/>
          <w:szCs w:val="32"/>
        </w:rPr>
      </w:pPr>
    </w:p>
    <w:p w14:paraId="130A3B16">
      <w:pPr>
        <w:pStyle w:val="44"/>
        <w:keepNext/>
        <w:keepLines/>
        <w:spacing w:beforeAutospacing="0" w:afterAutospacing="0"/>
        <w:jc w:val="center"/>
        <w:rPr>
          <w:rFonts w:cs="Times New Roman"/>
          <w:b/>
          <w:bCs/>
          <w:sz w:val="32"/>
          <w:szCs w:val="32"/>
        </w:rPr>
      </w:pPr>
    </w:p>
    <w:p w14:paraId="4E5CA1BF">
      <w:pPr>
        <w:pStyle w:val="44"/>
        <w:keepNext/>
        <w:keepLines/>
        <w:spacing w:beforeAutospacing="0" w:afterAutospacing="0"/>
        <w:jc w:val="center"/>
        <w:rPr>
          <w:rFonts w:cs="Times New Roman"/>
          <w:b/>
          <w:bCs/>
          <w:sz w:val="32"/>
          <w:szCs w:val="32"/>
        </w:rPr>
      </w:pPr>
    </w:p>
    <w:p w14:paraId="534D877E">
      <w:pPr>
        <w:pStyle w:val="44"/>
        <w:keepNext/>
        <w:keepLines/>
        <w:spacing w:beforeAutospacing="0" w:afterAutospacing="0"/>
        <w:jc w:val="center"/>
        <w:rPr>
          <w:rFonts w:cs="Times New Roman"/>
          <w:b/>
          <w:bCs/>
          <w:sz w:val="32"/>
          <w:szCs w:val="32"/>
        </w:rPr>
      </w:pPr>
    </w:p>
    <w:p w14:paraId="5646FFF4">
      <w:pPr>
        <w:pStyle w:val="44"/>
        <w:keepNext/>
        <w:keepLines/>
        <w:spacing w:beforeAutospacing="0" w:afterAutospacing="0"/>
        <w:jc w:val="center"/>
        <w:rPr>
          <w:rFonts w:cs="Times New Roman"/>
          <w:b/>
          <w:bCs/>
          <w:sz w:val="32"/>
          <w:szCs w:val="32"/>
        </w:rPr>
      </w:pPr>
      <w:r>
        <w:rPr>
          <w:rFonts w:hint="eastAsia"/>
          <w:b/>
          <w:bCs/>
          <w:sz w:val="32"/>
          <w:szCs w:val="32"/>
        </w:rPr>
        <w:t>（详见评标办法部分的要求）</w:t>
      </w:r>
    </w:p>
    <w:p w14:paraId="607688AD">
      <w:pPr>
        <w:pStyle w:val="44"/>
        <w:keepNext/>
        <w:keepLines/>
        <w:spacing w:beforeAutospacing="0" w:afterAutospacing="0"/>
        <w:jc w:val="center"/>
        <w:rPr>
          <w:rFonts w:cs="Times New Roman"/>
          <w:b/>
          <w:bCs/>
          <w:sz w:val="32"/>
          <w:szCs w:val="32"/>
        </w:rPr>
      </w:pPr>
    </w:p>
    <w:p w14:paraId="782E6D51">
      <w:pPr>
        <w:pStyle w:val="44"/>
        <w:keepNext/>
        <w:keepLines/>
        <w:spacing w:beforeAutospacing="0" w:afterAutospacing="0"/>
        <w:jc w:val="center"/>
        <w:rPr>
          <w:rFonts w:cs="Times New Roman"/>
          <w:b/>
          <w:bCs/>
          <w:sz w:val="32"/>
          <w:szCs w:val="32"/>
        </w:rPr>
      </w:pPr>
    </w:p>
    <w:p w14:paraId="5C160ACC">
      <w:pPr>
        <w:pStyle w:val="44"/>
        <w:keepNext/>
        <w:keepLines/>
        <w:spacing w:beforeAutospacing="0" w:afterAutospacing="0"/>
        <w:jc w:val="center"/>
        <w:rPr>
          <w:rFonts w:cs="Times New Roman"/>
          <w:b/>
          <w:bCs/>
          <w:sz w:val="32"/>
          <w:szCs w:val="32"/>
        </w:rPr>
      </w:pPr>
    </w:p>
    <w:p w14:paraId="00C76562">
      <w:pPr>
        <w:pStyle w:val="44"/>
        <w:keepNext/>
        <w:keepLines/>
        <w:spacing w:beforeAutospacing="0" w:afterAutospacing="0"/>
        <w:jc w:val="center"/>
        <w:rPr>
          <w:rFonts w:cs="Times New Roman"/>
          <w:b/>
          <w:bCs/>
          <w:sz w:val="32"/>
          <w:szCs w:val="32"/>
        </w:rPr>
      </w:pPr>
    </w:p>
    <w:p w14:paraId="2CBAF726">
      <w:pPr>
        <w:pStyle w:val="44"/>
        <w:keepNext/>
        <w:keepLines/>
        <w:spacing w:beforeAutospacing="0" w:afterAutospacing="0"/>
        <w:jc w:val="center"/>
        <w:rPr>
          <w:rFonts w:cs="Times New Roman"/>
          <w:b/>
          <w:bCs/>
          <w:sz w:val="32"/>
          <w:szCs w:val="32"/>
        </w:rPr>
      </w:pPr>
    </w:p>
    <w:p w14:paraId="152450B6">
      <w:pPr>
        <w:pStyle w:val="44"/>
        <w:keepNext/>
        <w:keepLines/>
        <w:spacing w:beforeAutospacing="0" w:afterAutospacing="0"/>
        <w:jc w:val="center"/>
        <w:rPr>
          <w:rFonts w:cs="Times New Roman"/>
          <w:b/>
          <w:bCs/>
          <w:sz w:val="32"/>
          <w:szCs w:val="32"/>
        </w:rPr>
      </w:pPr>
    </w:p>
    <w:p w14:paraId="6EB985FC">
      <w:pPr>
        <w:pStyle w:val="44"/>
        <w:keepNext/>
        <w:keepLines/>
        <w:spacing w:beforeAutospacing="0" w:afterAutospacing="0"/>
        <w:jc w:val="center"/>
        <w:rPr>
          <w:rFonts w:cs="Times New Roman"/>
          <w:b/>
          <w:bCs/>
          <w:sz w:val="32"/>
          <w:szCs w:val="32"/>
        </w:rPr>
      </w:pPr>
    </w:p>
    <w:p w14:paraId="3F8AF104">
      <w:pPr>
        <w:pStyle w:val="44"/>
        <w:keepNext/>
        <w:keepLines/>
        <w:spacing w:beforeAutospacing="0" w:afterAutospacing="0"/>
        <w:jc w:val="center"/>
        <w:rPr>
          <w:rFonts w:cs="Times New Roman"/>
          <w:b/>
          <w:bCs/>
          <w:sz w:val="32"/>
          <w:szCs w:val="32"/>
        </w:rPr>
      </w:pPr>
    </w:p>
    <w:p w14:paraId="73DCA3AF">
      <w:pPr>
        <w:pStyle w:val="44"/>
        <w:keepNext/>
        <w:keepLines/>
        <w:spacing w:beforeAutospacing="0" w:afterAutospacing="0"/>
        <w:jc w:val="center"/>
        <w:rPr>
          <w:rFonts w:cs="Times New Roman"/>
          <w:b/>
          <w:bCs/>
          <w:sz w:val="32"/>
          <w:szCs w:val="32"/>
        </w:rPr>
      </w:pPr>
    </w:p>
    <w:p w14:paraId="74A3E569">
      <w:pPr>
        <w:pStyle w:val="44"/>
        <w:keepNext/>
        <w:keepLines/>
        <w:spacing w:beforeAutospacing="0" w:afterAutospacing="0"/>
        <w:jc w:val="center"/>
        <w:rPr>
          <w:rFonts w:cs="Times New Roman"/>
          <w:b/>
          <w:bCs/>
          <w:sz w:val="32"/>
          <w:szCs w:val="32"/>
        </w:rPr>
      </w:pPr>
    </w:p>
    <w:p w14:paraId="790F61BF">
      <w:pPr>
        <w:pStyle w:val="44"/>
        <w:keepNext/>
        <w:keepLines/>
        <w:spacing w:beforeAutospacing="0" w:afterAutospacing="0"/>
        <w:jc w:val="center"/>
        <w:rPr>
          <w:rFonts w:cs="Times New Roman"/>
          <w:b/>
          <w:bCs/>
          <w:sz w:val="32"/>
          <w:szCs w:val="32"/>
        </w:rPr>
      </w:pPr>
    </w:p>
    <w:p w14:paraId="2FDB2640">
      <w:pPr>
        <w:pStyle w:val="44"/>
        <w:keepNext/>
        <w:keepLines/>
        <w:spacing w:beforeAutospacing="0" w:afterAutospacing="0"/>
        <w:jc w:val="center"/>
        <w:rPr>
          <w:rFonts w:cs="Times New Roman"/>
          <w:b/>
          <w:bCs/>
          <w:sz w:val="32"/>
          <w:szCs w:val="32"/>
        </w:rPr>
      </w:pPr>
    </w:p>
    <w:p w14:paraId="44099B36">
      <w:pPr>
        <w:pStyle w:val="44"/>
        <w:keepNext/>
        <w:keepLines/>
        <w:spacing w:beforeAutospacing="0" w:afterAutospacing="0"/>
        <w:jc w:val="center"/>
        <w:rPr>
          <w:rFonts w:cs="Times New Roman"/>
          <w:b/>
          <w:bCs/>
          <w:sz w:val="32"/>
          <w:szCs w:val="32"/>
        </w:rPr>
      </w:pPr>
    </w:p>
    <w:p w14:paraId="521CF83F">
      <w:pPr>
        <w:pStyle w:val="44"/>
        <w:keepNext/>
        <w:keepLines/>
        <w:spacing w:beforeAutospacing="0" w:afterAutospacing="0"/>
        <w:jc w:val="center"/>
        <w:rPr>
          <w:rFonts w:cs="Times New Roman"/>
          <w:b/>
          <w:bCs/>
          <w:sz w:val="32"/>
          <w:szCs w:val="32"/>
        </w:rPr>
      </w:pPr>
    </w:p>
    <w:p w14:paraId="5606058F">
      <w:pPr>
        <w:pStyle w:val="44"/>
        <w:keepNext/>
        <w:keepLines/>
        <w:spacing w:beforeAutospacing="0" w:afterAutospacing="0"/>
        <w:jc w:val="center"/>
        <w:rPr>
          <w:rFonts w:cs="Times New Roman"/>
          <w:b/>
          <w:bCs/>
          <w:sz w:val="32"/>
          <w:szCs w:val="32"/>
        </w:rPr>
      </w:pPr>
    </w:p>
    <w:p w14:paraId="03DA0B2A">
      <w:pPr>
        <w:pStyle w:val="44"/>
        <w:keepNext/>
        <w:keepLines/>
        <w:spacing w:beforeAutospacing="0" w:afterAutospacing="0"/>
        <w:jc w:val="center"/>
        <w:rPr>
          <w:rFonts w:ascii="黑体" w:eastAsia="黑体" w:cs="Times New Roman"/>
          <w:sz w:val="32"/>
          <w:szCs w:val="32"/>
        </w:rPr>
      </w:pPr>
    </w:p>
    <w:p w14:paraId="6AB61093">
      <w:pPr>
        <w:pStyle w:val="44"/>
        <w:keepNext/>
        <w:keepLines/>
        <w:spacing w:beforeAutospacing="0" w:afterAutospacing="0"/>
        <w:jc w:val="center"/>
        <w:rPr>
          <w:rFonts w:ascii="黑体" w:eastAsia="黑体" w:cs="Times New Roman"/>
          <w:sz w:val="32"/>
          <w:szCs w:val="32"/>
        </w:rPr>
      </w:pPr>
    </w:p>
    <w:p w14:paraId="334AB31C">
      <w:pPr>
        <w:pStyle w:val="44"/>
        <w:keepNext/>
        <w:keepLines/>
        <w:spacing w:beforeAutospacing="0" w:afterAutospacing="0"/>
        <w:jc w:val="center"/>
        <w:rPr>
          <w:rFonts w:ascii="黑体" w:eastAsia="黑体" w:cs="Times New Roman"/>
          <w:sz w:val="32"/>
          <w:szCs w:val="32"/>
        </w:rPr>
      </w:pPr>
    </w:p>
    <w:p w14:paraId="6CDC47B7">
      <w:pPr>
        <w:pStyle w:val="44"/>
        <w:keepNext/>
        <w:keepLines/>
        <w:spacing w:beforeAutospacing="0" w:afterAutospacing="0"/>
        <w:jc w:val="center"/>
        <w:rPr>
          <w:rFonts w:ascii="黑体" w:eastAsia="黑体" w:cs="Times New Roman"/>
          <w:sz w:val="32"/>
          <w:szCs w:val="32"/>
        </w:rPr>
      </w:pPr>
    </w:p>
    <w:p w14:paraId="64E7E466">
      <w:pPr>
        <w:pStyle w:val="44"/>
        <w:keepNext/>
        <w:keepLines/>
        <w:spacing w:beforeAutospacing="0" w:afterAutospacing="0"/>
        <w:jc w:val="center"/>
        <w:rPr>
          <w:rFonts w:ascii="黑体" w:eastAsia="黑体" w:cs="Times New Roman"/>
          <w:sz w:val="32"/>
          <w:szCs w:val="32"/>
        </w:rPr>
      </w:pPr>
    </w:p>
    <w:p w14:paraId="4D77526D">
      <w:pPr>
        <w:pStyle w:val="44"/>
        <w:keepNext/>
        <w:keepLines/>
        <w:spacing w:beforeAutospacing="0" w:afterAutospacing="0"/>
        <w:jc w:val="center"/>
        <w:rPr>
          <w:rFonts w:ascii="黑体" w:eastAsia="黑体" w:cs="Times New Roman"/>
          <w:sz w:val="32"/>
          <w:szCs w:val="32"/>
        </w:rPr>
      </w:pPr>
    </w:p>
    <w:p w14:paraId="00359015">
      <w:pPr>
        <w:pStyle w:val="44"/>
        <w:keepNext/>
        <w:keepLines/>
        <w:spacing w:beforeAutospacing="0" w:afterAutospacing="0"/>
        <w:jc w:val="center"/>
        <w:rPr>
          <w:rFonts w:cs="Times New Roman"/>
          <w:b/>
          <w:bCs/>
          <w:sz w:val="32"/>
          <w:szCs w:val="32"/>
        </w:rPr>
      </w:pPr>
      <w:r>
        <w:rPr>
          <w:rFonts w:hint="eastAsia" w:ascii="黑体" w:eastAsia="黑体" w:cs="黑体"/>
          <w:sz w:val="32"/>
          <w:szCs w:val="32"/>
        </w:rPr>
        <w:t>十六、盐城市政府采购事前信用承诺书</w:t>
      </w:r>
      <w:r>
        <w:rPr>
          <w:rFonts w:cs="Times New Roman"/>
          <w:b/>
          <w:bCs/>
          <w:sz w:val="32"/>
          <w:szCs w:val="32"/>
        </w:rPr>
        <w:t> </w:t>
      </w:r>
    </w:p>
    <w:p w14:paraId="13F5282A">
      <w:pPr>
        <w:keepNext/>
        <w:keepLines/>
        <w:widowControl/>
        <w:spacing w:line="499" w:lineRule="atLeast"/>
        <w:ind w:firstLine="480"/>
        <w:jc w:val="left"/>
        <w:rPr>
          <w:rFonts w:ascii="宋体" w:cs="Times New Roman"/>
          <w:sz w:val="24"/>
          <w:szCs w:val="24"/>
        </w:rPr>
      </w:pPr>
      <w:r>
        <w:rPr>
          <w:rFonts w:hint="eastAsia" w:ascii="宋体" w:hAnsi="宋体" w:cs="宋体"/>
          <w:sz w:val="24"/>
          <w:szCs w:val="24"/>
        </w:rPr>
        <w:t>为营造我市公开、公平、公正、诚实守信的政府采购交易环境，树立诚信守法的投标人形象，本人代表本单位作出以下承诺：</w:t>
      </w:r>
    </w:p>
    <w:p w14:paraId="58809699">
      <w:pPr>
        <w:keepNext/>
        <w:keepLines/>
        <w:widowControl/>
        <w:spacing w:line="499" w:lineRule="atLeast"/>
        <w:jc w:val="left"/>
        <w:rPr>
          <w:rFonts w:ascii="宋体" w:cs="Times New Roman"/>
          <w:sz w:val="24"/>
          <w:szCs w:val="24"/>
        </w:rPr>
      </w:pPr>
      <w:r>
        <w:rPr>
          <w:rFonts w:ascii="宋体" w:cs="Times New Roman"/>
          <w:sz w:val="24"/>
          <w:szCs w:val="24"/>
        </w:rPr>
        <w:t>  </w:t>
      </w:r>
      <w:r>
        <w:rPr>
          <w:rFonts w:hint="eastAsia" w:ascii="宋体" w:hAnsi="宋体" w:cs="宋体"/>
          <w:sz w:val="24"/>
          <w:szCs w:val="24"/>
        </w:rPr>
        <w:t>（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50BB65C9">
      <w:pPr>
        <w:keepNext/>
        <w:keepLines/>
        <w:widowControl/>
        <w:spacing w:line="499" w:lineRule="atLeast"/>
        <w:ind w:firstLine="480"/>
        <w:jc w:val="left"/>
        <w:rPr>
          <w:rFonts w:ascii="宋体" w:cs="Times New Roman"/>
          <w:sz w:val="24"/>
          <w:szCs w:val="24"/>
        </w:rPr>
      </w:pPr>
      <w:r>
        <w:rPr>
          <w:rFonts w:hint="eastAsia" w:ascii="宋体" w:hAnsi="宋体" w:cs="宋体"/>
          <w:sz w:val="24"/>
          <w:szCs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5B74A6E4">
      <w:pPr>
        <w:keepNext/>
        <w:keepLines/>
        <w:widowControl/>
        <w:spacing w:line="499" w:lineRule="atLeast"/>
        <w:jc w:val="left"/>
        <w:rPr>
          <w:rFonts w:ascii="宋体" w:cs="Times New Roman"/>
          <w:sz w:val="24"/>
          <w:szCs w:val="24"/>
        </w:rPr>
      </w:pPr>
      <w:r>
        <w:rPr>
          <w:rFonts w:ascii="宋体" w:cs="Times New Roman"/>
          <w:sz w:val="24"/>
          <w:szCs w:val="24"/>
        </w:rPr>
        <w:t>  </w:t>
      </w:r>
      <w:r>
        <w:rPr>
          <w:rFonts w:hint="eastAsia" w:ascii="宋体" w:hAnsi="宋体" w:cs="宋体"/>
          <w:sz w:val="24"/>
          <w:szCs w:val="24"/>
        </w:rPr>
        <w:t>（三）严格依照国家和省、市关于政府采购的法律、法规、规章、规范性文件，参加政府采购投标活动；积极履行社会责任，促进廉政建设；</w:t>
      </w:r>
      <w:r>
        <w:rPr>
          <w:rFonts w:ascii="宋体" w:hAnsi="宋体" w:cs="宋体"/>
          <w:sz w:val="24"/>
          <w:szCs w:val="24"/>
        </w:rPr>
        <w:t xml:space="preserve"> </w:t>
      </w:r>
    </w:p>
    <w:p w14:paraId="17953BA5">
      <w:pPr>
        <w:keepNext/>
        <w:keepLines/>
        <w:widowControl/>
        <w:spacing w:line="499" w:lineRule="atLeast"/>
        <w:jc w:val="left"/>
        <w:rPr>
          <w:rFonts w:ascii="宋体" w:cs="Times New Roman"/>
          <w:sz w:val="24"/>
          <w:szCs w:val="24"/>
        </w:rPr>
      </w:pPr>
      <w:r>
        <w:rPr>
          <w:rFonts w:ascii="宋体" w:cs="Times New Roman"/>
          <w:sz w:val="24"/>
          <w:szCs w:val="24"/>
        </w:rPr>
        <w:t>  </w:t>
      </w:r>
      <w:r>
        <w:rPr>
          <w:rFonts w:hint="eastAsia" w:ascii="宋体" w:hAnsi="宋体" w:cs="宋体"/>
          <w:sz w:val="24"/>
          <w:szCs w:val="24"/>
        </w:rPr>
        <w:t>（四）严格遵守即时信息公示规定，及时维护和更新盐城市政府采购网中与本单位相关的信息；</w:t>
      </w:r>
    </w:p>
    <w:p w14:paraId="44844AEC">
      <w:pPr>
        <w:keepNext/>
        <w:keepLines/>
        <w:widowControl/>
        <w:spacing w:line="499" w:lineRule="atLeast"/>
        <w:jc w:val="left"/>
        <w:rPr>
          <w:rFonts w:ascii="宋体" w:cs="Times New Roman"/>
          <w:sz w:val="24"/>
          <w:szCs w:val="24"/>
        </w:rPr>
      </w:pPr>
      <w:r>
        <w:rPr>
          <w:rFonts w:ascii="宋体" w:cs="Times New Roman"/>
          <w:sz w:val="24"/>
          <w:szCs w:val="24"/>
        </w:rPr>
        <w:t>  </w:t>
      </w:r>
      <w:r>
        <w:rPr>
          <w:rFonts w:hint="eastAsia" w:ascii="宋体" w:hAnsi="宋体" w:cs="宋体"/>
          <w:sz w:val="24"/>
          <w:szCs w:val="24"/>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3A3382E0">
      <w:pPr>
        <w:keepNext/>
        <w:keepLines/>
        <w:widowControl/>
        <w:spacing w:line="499" w:lineRule="atLeast"/>
        <w:jc w:val="left"/>
        <w:rPr>
          <w:rFonts w:ascii="宋体" w:cs="Times New Roman"/>
          <w:sz w:val="24"/>
          <w:szCs w:val="24"/>
        </w:rPr>
      </w:pPr>
      <w:r>
        <w:rPr>
          <w:rFonts w:ascii="宋体" w:cs="Times New Roman"/>
          <w:sz w:val="24"/>
          <w:szCs w:val="24"/>
        </w:rPr>
        <w:t>  </w:t>
      </w:r>
      <w:r>
        <w:rPr>
          <w:rFonts w:hint="eastAsia" w:ascii="宋体" w:hAnsi="宋体" w:cs="宋体"/>
          <w:sz w:val="24"/>
          <w:szCs w:val="24"/>
        </w:rPr>
        <w:t>（六）自觉接受政府、行业组织、社会公众、新闻舆论的监督；</w:t>
      </w:r>
    </w:p>
    <w:p w14:paraId="5BFD45FD">
      <w:pPr>
        <w:keepNext/>
        <w:keepLines/>
        <w:widowControl/>
        <w:spacing w:line="499" w:lineRule="atLeast"/>
        <w:ind w:firstLine="480"/>
        <w:jc w:val="left"/>
        <w:rPr>
          <w:rFonts w:ascii="宋体" w:cs="Times New Roman"/>
          <w:sz w:val="24"/>
          <w:szCs w:val="24"/>
        </w:rPr>
      </w:pPr>
      <w:r>
        <w:rPr>
          <w:rFonts w:hint="eastAsia" w:ascii="宋体" w:hAnsi="宋体" w:cs="宋体"/>
          <w:sz w:val="24"/>
          <w:szCs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04FB5BB8">
      <w:pPr>
        <w:keepNext/>
        <w:keepLines/>
        <w:widowControl/>
        <w:spacing w:line="499" w:lineRule="atLeast"/>
        <w:jc w:val="left"/>
        <w:rPr>
          <w:rFonts w:ascii="宋体" w:cs="Times New Roman"/>
          <w:sz w:val="24"/>
          <w:szCs w:val="24"/>
        </w:rPr>
      </w:pPr>
      <w:r>
        <w:rPr>
          <w:rFonts w:ascii="宋体" w:cs="Times New Roman"/>
          <w:sz w:val="24"/>
          <w:szCs w:val="24"/>
        </w:rPr>
        <w:t> </w:t>
      </w:r>
      <w:r>
        <w:rPr>
          <w:rFonts w:ascii="宋体" w:hAnsi="宋体" w:cs="宋体"/>
          <w:sz w:val="24"/>
          <w:szCs w:val="24"/>
        </w:rPr>
        <w:t xml:space="preserve"> </w:t>
      </w:r>
      <w:r>
        <w:rPr>
          <w:rFonts w:hint="eastAsia" w:ascii="宋体" w:hAnsi="宋体" w:cs="宋体"/>
          <w:sz w:val="24"/>
          <w:szCs w:val="24"/>
        </w:rPr>
        <w:t>（八）本人已认真阅读了上述承诺，并向本单位员工做了宣传教育。</w:t>
      </w:r>
    </w:p>
    <w:p w14:paraId="36F8D114">
      <w:pPr>
        <w:keepNext/>
        <w:keepLines/>
        <w:widowControl/>
        <w:spacing w:line="360" w:lineRule="auto"/>
        <w:ind w:firstLine="240"/>
        <w:jc w:val="left"/>
        <w:rPr>
          <w:rFonts w:ascii="宋体" w:cs="Times New Roman"/>
          <w:sz w:val="24"/>
          <w:szCs w:val="24"/>
        </w:rPr>
      </w:pPr>
    </w:p>
    <w:p w14:paraId="72388952">
      <w:pPr>
        <w:pStyle w:val="281"/>
        <w:keepNext/>
        <w:keepLines/>
        <w:ind w:firstLine="420"/>
        <w:rPr>
          <w:rFonts w:cs="Times New Roman"/>
        </w:rPr>
      </w:pPr>
    </w:p>
    <w:p w14:paraId="7553B665">
      <w:pPr>
        <w:keepNext/>
        <w:keepLines/>
        <w:widowControl/>
        <w:spacing w:line="360" w:lineRule="auto"/>
        <w:jc w:val="left"/>
        <w:rPr>
          <w:rFonts w:ascii="宋体" w:cs="Times New Roman"/>
          <w:sz w:val="24"/>
          <w:szCs w:val="24"/>
        </w:rPr>
      </w:pPr>
      <w:r>
        <w:rPr>
          <w:rFonts w:ascii="宋体" w:cs="Times New Roman"/>
          <w:sz w:val="24"/>
          <w:szCs w:val="24"/>
        </w:rPr>
        <w:t>                  </w:t>
      </w:r>
      <w:r>
        <w:rPr>
          <w:rFonts w:ascii="宋体" w:hAnsi="宋体" w:cs="宋体"/>
          <w:sz w:val="24"/>
          <w:szCs w:val="24"/>
        </w:rPr>
        <w:t xml:space="preserve">              </w:t>
      </w:r>
      <w:r>
        <w:rPr>
          <w:rFonts w:hint="eastAsia" w:ascii="宋体" w:hAnsi="宋体" w:cs="宋体"/>
          <w:sz w:val="24"/>
          <w:szCs w:val="24"/>
        </w:rPr>
        <w:t>法定代表人签名：</w:t>
      </w:r>
    </w:p>
    <w:p w14:paraId="2ACA653D">
      <w:pPr>
        <w:keepNext/>
        <w:keepLines/>
        <w:widowControl/>
        <w:spacing w:line="360" w:lineRule="auto"/>
        <w:jc w:val="center"/>
        <w:rPr>
          <w:rFonts w:ascii="宋体" w:cs="Times New Roman"/>
          <w:sz w:val="24"/>
          <w:szCs w:val="24"/>
        </w:rPr>
      </w:pPr>
      <w:r>
        <w:rPr>
          <w:rFonts w:ascii="宋体" w:cs="Times New Roman"/>
          <w:sz w:val="24"/>
          <w:szCs w:val="24"/>
        </w:rPr>
        <w:t>                   </w:t>
      </w:r>
      <w:r>
        <w:rPr>
          <w:rFonts w:hint="eastAsia" w:ascii="宋体" w:hAnsi="宋体" w:cs="宋体"/>
          <w:sz w:val="24"/>
          <w:szCs w:val="24"/>
        </w:rPr>
        <w:t>单位名称（盖章）：</w:t>
      </w:r>
    </w:p>
    <w:p w14:paraId="4712216A">
      <w:pPr>
        <w:keepNext/>
        <w:keepLines/>
        <w:widowControl/>
        <w:spacing w:line="360" w:lineRule="auto"/>
        <w:jc w:val="center"/>
        <w:rPr>
          <w:rFonts w:ascii="宋体" w:cs="Times New Roman"/>
          <w:sz w:val="24"/>
          <w:szCs w:val="24"/>
        </w:rPr>
      </w:pPr>
      <w:r>
        <w:rPr>
          <w:rFonts w:ascii="宋体" w:cs="Times New Roman"/>
          <w:sz w:val="24"/>
          <w:szCs w:val="24"/>
        </w:rPr>
        <w:t>                      </w:t>
      </w:r>
      <w:r>
        <w:rPr>
          <w:rFonts w:hint="eastAsia" w:ascii="宋体" w:hAnsi="宋体" w:cs="宋体"/>
          <w:sz w:val="24"/>
          <w:szCs w:val="24"/>
        </w:rPr>
        <w:t>年</w:t>
      </w:r>
      <w:r>
        <w:rPr>
          <w:rFonts w:ascii="宋体" w:hAnsi="宋体" w:cs="宋体"/>
          <w:sz w:val="24"/>
          <w:szCs w:val="24"/>
        </w:rPr>
        <w:t xml:space="preserve"> </w:t>
      </w:r>
      <w:r>
        <w:rPr>
          <w:rFonts w:hint="eastAsia" w:ascii="宋体" w:hAnsi="宋体" w:cs="宋体"/>
          <w:sz w:val="24"/>
          <w:szCs w:val="24"/>
        </w:rPr>
        <w:t>月</w:t>
      </w:r>
      <w:r>
        <w:rPr>
          <w:rFonts w:ascii="宋体" w:hAnsi="宋体" w:cs="宋体"/>
          <w:sz w:val="24"/>
          <w:szCs w:val="24"/>
        </w:rPr>
        <w:t xml:space="preserve"> </w:t>
      </w:r>
      <w:r>
        <w:rPr>
          <w:rFonts w:hint="eastAsia" w:ascii="宋体" w:hAnsi="宋体" w:cs="宋体"/>
          <w:sz w:val="24"/>
          <w:szCs w:val="24"/>
        </w:rPr>
        <w:t>日</w:t>
      </w:r>
    </w:p>
    <w:p w14:paraId="5FA108A1">
      <w:pPr>
        <w:keepNext/>
        <w:keepLines/>
        <w:widowControl/>
        <w:jc w:val="left"/>
        <w:rPr>
          <w:rFonts w:ascii="宋体" w:cs="Times New Roman"/>
          <w:b/>
          <w:bCs/>
          <w:sz w:val="32"/>
          <w:szCs w:val="32"/>
        </w:rPr>
      </w:pPr>
      <w:bookmarkStart w:id="154" w:name="_Hlk132197618"/>
      <w:r>
        <w:rPr>
          <w:rFonts w:ascii="宋体" w:cs="Times New Roman"/>
          <w:b/>
          <w:bCs/>
          <w:sz w:val="32"/>
          <w:szCs w:val="32"/>
        </w:rPr>
        <w:br w:type="page" w:clear="all"/>
      </w:r>
    </w:p>
    <w:p w14:paraId="54C1C16F">
      <w:pPr>
        <w:keepNext/>
        <w:keepLines/>
        <w:widowControl/>
        <w:spacing w:after="240" w:line="560" w:lineRule="exact"/>
        <w:jc w:val="center"/>
        <w:rPr>
          <w:rFonts w:ascii="黑体" w:hAnsi="宋体" w:eastAsia="黑体" w:cs="Times New Roman"/>
          <w:sz w:val="32"/>
          <w:szCs w:val="32"/>
        </w:rPr>
      </w:pPr>
      <w:r>
        <w:rPr>
          <w:rFonts w:hint="eastAsia" w:ascii="黑体" w:hAnsi="宋体" w:eastAsia="黑体" w:cs="黑体"/>
          <w:sz w:val="32"/>
          <w:szCs w:val="32"/>
        </w:rPr>
        <w:t>十七、人员配备一览表</w:t>
      </w:r>
      <w:bookmarkEnd w:id="154"/>
    </w:p>
    <w:tbl>
      <w:tblPr>
        <w:tblStyle w:val="50"/>
        <w:tblW w:w="772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59"/>
        <w:gridCol w:w="2721"/>
        <w:gridCol w:w="1757"/>
        <w:gridCol w:w="2290"/>
      </w:tblGrid>
      <w:tr w14:paraId="2807C1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959" w:type="dxa"/>
            <w:tcBorders>
              <w:top w:val="single" w:color="auto" w:sz="4" w:space="0"/>
              <w:bottom w:val="single" w:color="auto" w:sz="4" w:space="0"/>
              <w:right w:val="single" w:color="auto" w:sz="4" w:space="0"/>
            </w:tcBorders>
            <w:vAlign w:val="center"/>
          </w:tcPr>
          <w:p w14:paraId="6951F471">
            <w:pPr>
              <w:keepNext/>
              <w:keepLines/>
              <w:widowControl/>
              <w:jc w:val="center"/>
              <w:rPr>
                <w:rFonts w:ascii="宋体" w:cs="Times New Roman"/>
                <w:sz w:val="24"/>
                <w:szCs w:val="24"/>
              </w:rPr>
            </w:pPr>
            <w:r>
              <w:rPr>
                <w:rFonts w:hint="eastAsia" w:ascii="宋体" w:hAnsi="宋体" w:cs="宋体"/>
                <w:sz w:val="24"/>
                <w:szCs w:val="24"/>
              </w:rPr>
              <w:t>序号</w:t>
            </w:r>
          </w:p>
        </w:tc>
        <w:tc>
          <w:tcPr>
            <w:tcW w:w="2721" w:type="dxa"/>
            <w:tcBorders>
              <w:top w:val="single" w:color="auto" w:sz="4" w:space="0"/>
              <w:left w:val="single" w:color="auto" w:sz="4" w:space="0"/>
              <w:bottom w:val="single" w:color="auto" w:sz="4" w:space="0"/>
              <w:right w:val="single" w:color="auto" w:sz="4" w:space="0"/>
            </w:tcBorders>
            <w:vAlign w:val="center"/>
          </w:tcPr>
          <w:p w14:paraId="0B92E564">
            <w:pPr>
              <w:keepNext/>
              <w:keepLines/>
              <w:widowControl/>
              <w:jc w:val="center"/>
              <w:rPr>
                <w:rFonts w:ascii="宋体" w:cs="Times New Roman"/>
                <w:sz w:val="24"/>
                <w:szCs w:val="24"/>
              </w:rPr>
            </w:pPr>
            <w:r>
              <w:rPr>
                <w:rFonts w:hint="eastAsia" w:ascii="宋体" w:hAnsi="宋体" w:cs="宋体"/>
                <w:sz w:val="24"/>
                <w:szCs w:val="24"/>
              </w:rPr>
              <w:t>岗位</w:t>
            </w:r>
          </w:p>
        </w:tc>
        <w:tc>
          <w:tcPr>
            <w:tcW w:w="1757" w:type="dxa"/>
            <w:tcBorders>
              <w:top w:val="single" w:color="auto" w:sz="4" w:space="0"/>
              <w:left w:val="single" w:color="auto" w:sz="4" w:space="0"/>
              <w:bottom w:val="single" w:color="auto" w:sz="4" w:space="0"/>
              <w:right w:val="single" w:color="auto" w:sz="4" w:space="0"/>
            </w:tcBorders>
            <w:vAlign w:val="center"/>
          </w:tcPr>
          <w:p w14:paraId="3D4227D6">
            <w:pPr>
              <w:keepNext/>
              <w:keepLines/>
              <w:widowControl/>
              <w:jc w:val="center"/>
              <w:rPr>
                <w:rFonts w:ascii="宋体" w:cs="Times New Roman"/>
                <w:sz w:val="24"/>
                <w:szCs w:val="24"/>
              </w:rPr>
            </w:pPr>
            <w:r>
              <w:rPr>
                <w:rFonts w:hint="eastAsia" w:ascii="宋体" w:hAnsi="宋体" w:cs="宋体"/>
                <w:sz w:val="24"/>
                <w:szCs w:val="24"/>
              </w:rPr>
              <w:t>姓名</w:t>
            </w:r>
          </w:p>
        </w:tc>
        <w:tc>
          <w:tcPr>
            <w:tcW w:w="2290" w:type="dxa"/>
            <w:tcBorders>
              <w:top w:val="single" w:color="auto" w:sz="4" w:space="0"/>
              <w:left w:val="single" w:color="auto" w:sz="4" w:space="0"/>
              <w:bottom w:val="single" w:color="auto" w:sz="4" w:space="0"/>
            </w:tcBorders>
            <w:vAlign w:val="center"/>
          </w:tcPr>
          <w:p w14:paraId="185D3779">
            <w:pPr>
              <w:keepNext/>
              <w:keepLines/>
              <w:widowControl/>
              <w:jc w:val="center"/>
              <w:rPr>
                <w:rFonts w:ascii="宋体" w:cs="Times New Roman"/>
                <w:sz w:val="24"/>
                <w:szCs w:val="24"/>
              </w:rPr>
            </w:pPr>
            <w:r>
              <w:rPr>
                <w:rFonts w:hint="eastAsia" w:ascii="宋体" w:hAnsi="宋体" w:cs="宋体"/>
                <w:sz w:val="24"/>
                <w:szCs w:val="24"/>
              </w:rPr>
              <w:t>执业资格</w:t>
            </w:r>
          </w:p>
        </w:tc>
      </w:tr>
      <w:tr w14:paraId="58E99A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959" w:type="dxa"/>
            <w:tcBorders>
              <w:top w:val="single" w:color="auto" w:sz="4" w:space="0"/>
              <w:bottom w:val="single" w:color="auto" w:sz="4" w:space="0"/>
              <w:right w:val="single" w:color="auto" w:sz="4" w:space="0"/>
            </w:tcBorders>
            <w:vAlign w:val="center"/>
          </w:tcPr>
          <w:p w14:paraId="68FF8B4D">
            <w:pPr>
              <w:keepNext/>
              <w:keepLines/>
              <w:widowControl/>
              <w:jc w:val="center"/>
              <w:rPr>
                <w:rFonts w:ascii="宋体" w:cs="Times New Roman"/>
                <w:sz w:val="24"/>
                <w:szCs w:val="24"/>
              </w:rPr>
            </w:pPr>
            <w:r>
              <w:rPr>
                <w:rFonts w:ascii="宋体" w:hAnsi="宋体" w:cs="宋体"/>
                <w:sz w:val="24"/>
                <w:szCs w:val="24"/>
              </w:rPr>
              <w:t>1</w:t>
            </w:r>
          </w:p>
        </w:tc>
        <w:tc>
          <w:tcPr>
            <w:tcW w:w="2721" w:type="dxa"/>
            <w:tcBorders>
              <w:top w:val="single" w:color="auto" w:sz="4" w:space="0"/>
              <w:left w:val="single" w:color="auto" w:sz="4" w:space="0"/>
              <w:bottom w:val="single" w:color="auto" w:sz="4" w:space="0"/>
              <w:right w:val="single" w:color="auto" w:sz="4" w:space="0"/>
            </w:tcBorders>
            <w:vAlign w:val="center"/>
          </w:tcPr>
          <w:p w14:paraId="380853A6">
            <w:pPr>
              <w:keepNext/>
              <w:keepLines/>
              <w:widowControl/>
              <w:jc w:val="center"/>
              <w:rPr>
                <w:rFonts w:ascii="宋体" w:cs="Times New Roman"/>
                <w:sz w:val="24"/>
                <w:szCs w:val="24"/>
              </w:rPr>
            </w:pPr>
            <w:r>
              <w:rPr>
                <w:rFonts w:hint="eastAsia" w:ascii="宋体" w:hAnsi="宋体" w:cs="宋体"/>
                <w:sz w:val="24"/>
                <w:szCs w:val="24"/>
              </w:rPr>
              <w:t>项目负责人</w:t>
            </w:r>
          </w:p>
        </w:tc>
        <w:tc>
          <w:tcPr>
            <w:tcW w:w="1757" w:type="dxa"/>
            <w:tcBorders>
              <w:top w:val="single" w:color="auto" w:sz="4" w:space="0"/>
              <w:left w:val="single" w:color="auto" w:sz="4" w:space="0"/>
              <w:bottom w:val="single" w:color="auto" w:sz="4" w:space="0"/>
              <w:right w:val="single" w:color="auto" w:sz="4" w:space="0"/>
            </w:tcBorders>
            <w:vAlign w:val="center"/>
          </w:tcPr>
          <w:p w14:paraId="1C9A3B88">
            <w:pPr>
              <w:keepNext/>
              <w:keepLines/>
              <w:widowControl/>
              <w:spacing w:before="100" w:beforeAutospacing="1" w:after="100" w:afterAutospacing="1"/>
              <w:jc w:val="center"/>
              <w:rPr>
                <w:rFonts w:ascii="宋体" w:cs="Times New Roman"/>
                <w:sz w:val="24"/>
                <w:szCs w:val="24"/>
              </w:rPr>
            </w:pPr>
          </w:p>
        </w:tc>
        <w:tc>
          <w:tcPr>
            <w:tcW w:w="2290" w:type="dxa"/>
            <w:tcBorders>
              <w:top w:val="single" w:color="auto" w:sz="4" w:space="0"/>
              <w:left w:val="single" w:color="auto" w:sz="4" w:space="0"/>
              <w:bottom w:val="single" w:color="auto" w:sz="4" w:space="0"/>
            </w:tcBorders>
            <w:vAlign w:val="center"/>
          </w:tcPr>
          <w:p w14:paraId="0F4F6ADB">
            <w:pPr>
              <w:keepNext/>
              <w:keepLines/>
              <w:widowControl/>
              <w:spacing w:before="100" w:beforeAutospacing="1" w:after="100" w:afterAutospacing="1"/>
              <w:jc w:val="center"/>
              <w:rPr>
                <w:rFonts w:ascii="宋体" w:cs="Times New Roman"/>
                <w:sz w:val="24"/>
                <w:szCs w:val="24"/>
              </w:rPr>
            </w:pPr>
          </w:p>
        </w:tc>
      </w:tr>
      <w:tr w14:paraId="1CA7A4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959" w:type="dxa"/>
            <w:tcBorders>
              <w:top w:val="single" w:color="auto" w:sz="4" w:space="0"/>
              <w:bottom w:val="single" w:color="auto" w:sz="4" w:space="0"/>
              <w:right w:val="single" w:color="auto" w:sz="4" w:space="0"/>
            </w:tcBorders>
            <w:vAlign w:val="center"/>
          </w:tcPr>
          <w:p w14:paraId="0797C527">
            <w:pPr>
              <w:keepNext/>
              <w:keepLines/>
              <w:widowControl/>
              <w:jc w:val="center"/>
              <w:rPr>
                <w:rFonts w:ascii="宋体" w:cs="Times New Roman"/>
                <w:sz w:val="24"/>
                <w:szCs w:val="24"/>
              </w:rPr>
            </w:pPr>
            <w:r>
              <w:rPr>
                <w:rFonts w:ascii="宋体" w:hAnsi="宋体" w:cs="宋体"/>
                <w:sz w:val="24"/>
                <w:szCs w:val="24"/>
              </w:rPr>
              <w:t>2</w:t>
            </w:r>
          </w:p>
        </w:tc>
        <w:tc>
          <w:tcPr>
            <w:tcW w:w="2721" w:type="dxa"/>
            <w:tcBorders>
              <w:top w:val="single" w:color="auto" w:sz="4" w:space="0"/>
              <w:left w:val="single" w:color="auto" w:sz="4" w:space="0"/>
              <w:bottom w:val="single" w:color="auto" w:sz="4" w:space="0"/>
              <w:right w:val="single" w:color="auto" w:sz="4" w:space="0"/>
            </w:tcBorders>
            <w:vAlign w:val="center"/>
          </w:tcPr>
          <w:p w14:paraId="381F2BFA">
            <w:pPr>
              <w:keepNext/>
              <w:keepLines/>
              <w:widowControl/>
              <w:jc w:val="center"/>
              <w:rPr>
                <w:rFonts w:ascii="宋体" w:cs="Times New Roman"/>
                <w:sz w:val="24"/>
                <w:szCs w:val="24"/>
              </w:rPr>
            </w:pPr>
            <w:r>
              <w:rPr>
                <w:rFonts w:hint="eastAsia" w:ascii="宋体" w:hAnsi="宋体" w:cs="宋体"/>
                <w:sz w:val="24"/>
                <w:szCs w:val="24"/>
              </w:rPr>
              <w:t>其他人员</w:t>
            </w:r>
          </w:p>
        </w:tc>
        <w:tc>
          <w:tcPr>
            <w:tcW w:w="1757" w:type="dxa"/>
            <w:tcBorders>
              <w:top w:val="single" w:color="auto" w:sz="4" w:space="0"/>
              <w:left w:val="single" w:color="auto" w:sz="4" w:space="0"/>
              <w:bottom w:val="single" w:color="auto" w:sz="4" w:space="0"/>
              <w:right w:val="single" w:color="auto" w:sz="4" w:space="0"/>
            </w:tcBorders>
            <w:vAlign w:val="center"/>
          </w:tcPr>
          <w:p w14:paraId="2ACF5E7C">
            <w:pPr>
              <w:keepNext/>
              <w:keepLines/>
              <w:widowControl/>
              <w:spacing w:before="100" w:beforeAutospacing="1" w:after="100" w:afterAutospacing="1"/>
              <w:jc w:val="center"/>
              <w:rPr>
                <w:rFonts w:ascii="宋体" w:cs="Times New Roman"/>
                <w:sz w:val="24"/>
                <w:szCs w:val="24"/>
              </w:rPr>
            </w:pPr>
          </w:p>
        </w:tc>
        <w:tc>
          <w:tcPr>
            <w:tcW w:w="2290" w:type="dxa"/>
            <w:tcBorders>
              <w:top w:val="single" w:color="auto" w:sz="4" w:space="0"/>
              <w:left w:val="single" w:color="auto" w:sz="4" w:space="0"/>
              <w:bottom w:val="single" w:color="auto" w:sz="4" w:space="0"/>
            </w:tcBorders>
            <w:vAlign w:val="center"/>
          </w:tcPr>
          <w:p w14:paraId="31D1DDCB">
            <w:pPr>
              <w:keepNext/>
              <w:keepLines/>
              <w:widowControl/>
              <w:spacing w:before="100" w:beforeAutospacing="1" w:after="100" w:afterAutospacing="1"/>
              <w:jc w:val="center"/>
              <w:rPr>
                <w:rFonts w:ascii="宋体" w:cs="Times New Roman"/>
                <w:sz w:val="24"/>
                <w:szCs w:val="24"/>
              </w:rPr>
            </w:pPr>
          </w:p>
        </w:tc>
      </w:tr>
      <w:tr w14:paraId="551D44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959" w:type="dxa"/>
            <w:tcBorders>
              <w:top w:val="single" w:color="auto" w:sz="4" w:space="0"/>
              <w:bottom w:val="single" w:color="auto" w:sz="4" w:space="0"/>
              <w:right w:val="single" w:color="auto" w:sz="4" w:space="0"/>
            </w:tcBorders>
            <w:vAlign w:val="center"/>
          </w:tcPr>
          <w:p w14:paraId="3124F76B">
            <w:pPr>
              <w:keepNext/>
              <w:keepLines/>
              <w:widowControl/>
              <w:jc w:val="center"/>
              <w:rPr>
                <w:rFonts w:ascii="宋体" w:cs="Times New Roman"/>
                <w:sz w:val="24"/>
                <w:szCs w:val="24"/>
              </w:rPr>
            </w:pPr>
            <w:r>
              <w:rPr>
                <w:rFonts w:hint="eastAsia" w:ascii="宋体" w:cs="宋体"/>
                <w:sz w:val="24"/>
                <w:szCs w:val="24"/>
              </w:rPr>
              <w:t>…</w:t>
            </w:r>
          </w:p>
        </w:tc>
        <w:tc>
          <w:tcPr>
            <w:tcW w:w="2721" w:type="dxa"/>
            <w:tcBorders>
              <w:top w:val="single" w:color="auto" w:sz="4" w:space="0"/>
              <w:left w:val="single" w:color="auto" w:sz="4" w:space="0"/>
              <w:bottom w:val="single" w:color="auto" w:sz="4" w:space="0"/>
              <w:right w:val="single" w:color="auto" w:sz="4" w:space="0"/>
            </w:tcBorders>
            <w:vAlign w:val="center"/>
          </w:tcPr>
          <w:p w14:paraId="42DF6C41">
            <w:pPr>
              <w:keepNext/>
              <w:keepLines/>
              <w:widowControl/>
              <w:jc w:val="center"/>
              <w:rPr>
                <w:rFonts w:ascii="宋体" w:cs="Times New Roman"/>
                <w:sz w:val="24"/>
                <w:szCs w:val="24"/>
              </w:rPr>
            </w:pPr>
            <w:r>
              <w:rPr>
                <w:rFonts w:hint="eastAsia" w:ascii="宋体" w:cs="宋体"/>
                <w:sz w:val="24"/>
                <w:szCs w:val="24"/>
              </w:rPr>
              <w:t>…</w:t>
            </w:r>
          </w:p>
        </w:tc>
        <w:tc>
          <w:tcPr>
            <w:tcW w:w="1757" w:type="dxa"/>
            <w:tcBorders>
              <w:top w:val="single" w:color="auto" w:sz="4" w:space="0"/>
              <w:left w:val="single" w:color="auto" w:sz="4" w:space="0"/>
              <w:bottom w:val="single" w:color="auto" w:sz="4" w:space="0"/>
              <w:right w:val="single" w:color="auto" w:sz="4" w:space="0"/>
            </w:tcBorders>
            <w:vAlign w:val="center"/>
          </w:tcPr>
          <w:p w14:paraId="7920BC85">
            <w:pPr>
              <w:keepNext/>
              <w:keepLines/>
              <w:widowControl/>
              <w:spacing w:before="100" w:beforeAutospacing="1" w:after="100" w:afterAutospacing="1"/>
              <w:jc w:val="center"/>
              <w:rPr>
                <w:rFonts w:ascii="宋体" w:cs="Times New Roman"/>
                <w:sz w:val="24"/>
                <w:szCs w:val="24"/>
              </w:rPr>
            </w:pPr>
          </w:p>
        </w:tc>
        <w:tc>
          <w:tcPr>
            <w:tcW w:w="2290" w:type="dxa"/>
            <w:tcBorders>
              <w:top w:val="single" w:color="auto" w:sz="4" w:space="0"/>
              <w:left w:val="single" w:color="auto" w:sz="4" w:space="0"/>
              <w:bottom w:val="single" w:color="auto" w:sz="4" w:space="0"/>
            </w:tcBorders>
            <w:vAlign w:val="center"/>
          </w:tcPr>
          <w:p w14:paraId="3FB76A09">
            <w:pPr>
              <w:keepNext/>
              <w:keepLines/>
              <w:widowControl/>
              <w:spacing w:before="100" w:beforeAutospacing="1" w:after="100" w:afterAutospacing="1"/>
              <w:jc w:val="center"/>
              <w:rPr>
                <w:rFonts w:ascii="宋体" w:cs="Times New Roman"/>
                <w:sz w:val="24"/>
                <w:szCs w:val="24"/>
              </w:rPr>
            </w:pPr>
          </w:p>
        </w:tc>
      </w:tr>
      <w:tr w14:paraId="38E498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959" w:type="dxa"/>
            <w:tcBorders>
              <w:top w:val="single" w:color="auto" w:sz="4" w:space="0"/>
              <w:bottom w:val="single" w:color="auto" w:sz="4" w:space="0"/>
              <w:right w:val="single" w:color="auto" w:sz="4" w:space="0"/>
            </w:tcBorders>
            <w:vAlign w:val="center"/>
          </w:tcPr>
          <w:p w14:paraId="04575160">
            <w:pPr>
              <w:keepNext/>
              <w:keepLines/>
              <w:widowControl/>
              <w:jc w:val="center"/>
              <w:rPr>
                <w:rFonts w:ascii="宋体" w:cs="Times New Roman"/>
                <w:sz w:val="24"/>
                <w:szCs w:val="24"/>
              </w:rPr>
            </w:pPr>
          </w:p>
        </w:tc>
        <w:tc>
          <w:tcPr>
            <w:tcW w:w="2721" w:type="dxa"/>
            <w:tcBorders>
              <w:top w:val="single" w:color="auto" w:sz="4" w:space="0"/>
              <w:left w:val="single" w:color="auto" w:sz="4" w:space="0"/>
              <w:bottom w:val="single" w:color="auto" w:sz="4" w:space="0"/>
              <w:right w:val="single" w:color="auto" w:sz="4" w:space="0"/>
            </w:tcBorders>
            <w:vAlign w:val="center"/>
          </w:tcPr>
          <w:p w14:paraId="1C1C503B">
            <w:pPr>
              <w:keepNext/>
              <w:keepLines/>
              <w:widowControl/>
              <w:jc w:val="center"/>
              <w:rPr>
                <w:rFonts w:ascii="宋体" w:cs="Times New Roman"/>
                <w:sz w:val="24"/>
                <w:szCs w:val="24"/>
              </w:rPr>
            </w:pPr>
          </w:p>
        </w:tc>
        <w:tc>
          <w:tcPr>
            <w:tcW w:w="1757" w:type="dxa"/>
            <w:tcBorders>
              <w:top w:val="single" w:color="auto" w:sz="4" w:space="0"/>
              <w:left w:val="single" w:color="auto" w:sz="4" w:space="0"/>
              <w:bottom w:val="single" w:color="auto" w:sz="4" w:space="0"/>
              <w:right w:val="single" w:color="auto" w:sz="4" w:space="0"/>
            </w:tcBorders>
            <w:vAlign w:val="center"/>
          </w:tcPr>
          <w:p w14:paraId="1D5D65F7">
            <w:pPr>
              <w:keepNext/>
              <w:keepLines/>
              <w:widowControl/>
              <w:spacing w:before="100" w:beforeAutospacing="1" w:after="100" w:afterAutospacing="1"/>
              <w:jc w:val="center"/>
              <w:rPr>
                <w:rFonts w:ascii="宋体" w:cs="Times New Roman"/>
                <w:sz w:val="24"/>
                <w:szCs w:val="24"/>
              </w:rPr>
            </w:pPr>
          </w:p>
        </w:tc>
        <w:tc>
          <w:tcPr>
            <w:tcW w:w="2290" w:type="dxa"/>
            <w:tcBorders>
              <w:top w:val="single" w:color="auto" w:sz="4" w:space="0"/>
              <w:left w:val="single" w:color="auto" w:sz="4" w:space="0"/>
              <w:bottom w:val="single" w:color="auto" w:sz="4" w:space="0"/>
            </w:tcBorders>
            <w:vAlign w:val="center"/>
          </w:tcPr>
          <w:p w14:paraId="0C46FFB2">
            <w:pPr>
              <w:keepNext/>
              <w:keepLines/>
              <w:widowControl/>
              <w:spacing w:before="100" w:beforeAutospacing="1" w:after="100" w:afterAutospacing="1"/>
              <w:jc w:val="center"/>
              <w:rPr>
                <w:rFonts w:ascii="宋体" w:cs="Times New Roman"/>
                <w:sz w:val="24"/>
                <w:szCs w:val="24"/>
              </w:rPr>
            </w:pPr>
          </w:p>
        </w:tc>
      </w:tr>
    </w:tbl>
    <w:p w14:paraId="004CA506">
      <w:pPr>
        <w:keepNext/>
        <w:keepLines/>
        <w:widowControl/>
        <w:spacing w:line="500" w:lineRule="exact"/>
        <w:jc w:val="left"/>
        <w:rPr>
          <w:rFonts w:ascii="宋体" w:cs="Times New Roman"/>
          <w:sz w:val="24"/>
          <w:szCs w:val="24"/>
        </w:rPr>
      </w:pPr>
    </w:p>
    <w:p w14:paraId="08AD5AEE">
      <w:pPr>
        <w:keepNext/>
        <w:keepLines/>
        <w:widowControl/>
        <w:spacing w:line="500" w:lineRule="exact"/>
        <w:jc w:val="left"/>
        <w:rPr>
          <w:rFonts w:ascii="宋体" w:cs="Times New Roman"/>
          <w:sz w:val="24"/>
          <w:szCs w:val="24"/>
        </w:rPr>
      </w:pPr>
      <w:r>
        <w:rPr>
          <w:rFonts w:hint="eastAsia" w:ascii="宋体" w:hAnsi="宋体" w:cs="宋体"/>
          <w:sz w:val="24"/>
          <w:szCs w:val="24"/>
        </w:rPr>
        <w:t>注：投标人可以根据需要自行拓展本表。</w:t>
      </w:r>
    </w:p>
    <w:p w14:paraId="34144304">
      <w:pPr>
        <w:keepNext/>
        <w:keepLines/>
        <w:widowControl/>
        <w:spacing w:line="360" w:lineRule="auto"/>
        <w:rPr>
          <w:rFonts w:ascii="宋体" w:cs="Times New Roman"/>
        </w:rPr>
      </w:pPr>
    </w:p>
    <w:p w14:paraId="3F06305C">
      <w:pPr>
        <w:keepNext/>
        <w:keepLines/>
        <w:widowControl/>
        <w:spacing w:line="500" w:lineRule="exact"/>
        <w:jc w:val="left"/>
        <w:rPr>
          <w:rFonts w:ascii="宋体" w:cs="Times New Roman"/>
          <w:sz w:val="24"/>
          <w:szCs w:val="24"/>
        </w:rPr>
      </w:pPr>
      <w:r>
        <w:rPr>
          <w:rFonts w:hint="eastAsia" w:ascii="宋体" w:hAnsi="宋体" w:cs="宋体"/>
          <w:sz w:val="24"/>
          <w:szCs w:val="24"/>
        </w:rPr>
        <w:t>投标方：（单位盖章）</w:t>
      </w:r>
    </w:p>
    <w:p w14:paraId="60A4DCB8">
      <w:pPr>
        <w:keepNext/>
        <w:keepLines/>
        <w:widowControl/>
        <w:spacing w:line="500" w:lineRule="exact"/>
        <w:jc w:val="left"/>
        <w:rPr>
          <w:rFonts w:ascii="宋体" w:cs="Times New Roman"/>
          <w:sz w:val="24"/>
          <w:szCs w:val="24"/>
        </w:rPr>
      </w:pPr>
      <w:r>
        <w:rPr>
          <w:rFonts w:hint="eastAsia" w:ascii="宋体" w:hAnsi="宋体" w:cs="宋体"/>
          <w:sz w:val="24"/>
          <w:szCs w:val="24"/>
        </w:rPr>
        <w:t>法定代表人或授权委托人：（签字或盖章）</w:t>
      </w:r>
    </w:p>
    <w:p w14:paraId="2E7355E3">
      <w:pPr>
        <w:keepNext/>
        <w:keepLines/>
        <w:widowControl/>
        <w:spacing w:line="500" w:lineRule="exact"/>
        <w:jc w:val="left"/>
        <w:rPr>
          <w:rFonts w:ascii="宋体" w:cs="Times New Roman"/>
          <w:sz w:val="24"/>
          <w:szCs w:val="24"/>
        </w:rPr>
      </w:pPr>
      <w:r>
        <w:rPr>
          <w:rFonts w:hint="eastAsia" w:ascii="宋体" w:hAnsi="宋体" w:cs="宋体"/>
          <w:sz w:val="24"/>
          <w:szCs w:val="24"/>
        </w:rPr>
        <w:t>日期：</w:t>
      </w:r>
      <w:r>
        <w:rPr>
          <w:rFonts w:ascii="宋体" w:hAnsi="宋体" w:cs="宋体"/>
          <w:sz w:val="24"/>
          <w:szCs w:val="24"/>
        </w:rPr>
        <w:t xml:space="preserve">    </w:t>
      </w:r>
      <w:r>
        <w:rPr>
          <w:rFonts w:hint="eastAsia" w:ascii="宋体" w:hAnsi="宋体" w:cs="宋体"/>
          <w:sz w:val="24"/>
          <w:szCs w:val="24"/>
        </w:rPr>
        <w:t>年</w:t>
      </w:r>
      <w:r>
        <w:rPr>
          <w:rFonts w:ascii="宋体" w:hAnsi="宋体" w:cs="宋体"/>
          <w:sz w:val="24"/>
          <w:szCs w:val="24"/>
        </w:rPr>
        <w:t xml:space="preserve">  </w:t>
      </w:r>
      <w:r>
        <w:rPr>
          <w:rFonts w:hint="eastAsia" w:ascii="宋体" w:hAnsi="宋体" w:cs="宋体"/>
          <w:sz w:val="24"/>
          <w:szCs w:val="24"/>
        </w:rPr>
        <w:t>月</w:t>
      </w:r>
      <w:r>
        <w:rPr>
          <w:rFonts w:ascii="宋体" w:hAnsi="宋体" w:cs="宋体"/>
          <w:sz w:val="24"/>
          <w:szCs w:val="24"/>
        </w:rPr>
        <w:t xml:space="preserve">  </w:t>
      </w:r>
      <w:r>
        <w:rPr>
          <w:rFonts w:hint="eastAsia" w:ascii="宋体" w:hAnsi="宋体" w:cs="宋体"/>
          <w:sz w:val="24"/>
          <w:szCs w:val="24"/>
        </w:rPr>
        <w:t>日</w:t>
      </w:r>
    </w:p>
    <w:p w14:paraId="07CD0BEA">
      <w:pPr>
        <w:keepNext/>
        <w:keepLines/>
        <w:widowControl/>
        <w:spacing w:line="500" w:lineRule="exact"/>
        <w:jc w:val="left"/>
        <w:rPr>
          <w:rFonts w:ascii="宋体" w:cs="Times New Roman"/>
          <w:sz w:val="24"/>
          <w:szCs w:val="24"/>
        </w:rPr>
      </w:pPr>
    </w:p>
    <w:p w14:paraId="69C52C6C">
      <w:pPr>
        <w:pStyle w:val="281"/>
        <w:keepNext/>
        <w:keepLines/>
        <w:ind w:firstLine="420"/>
        <w:rPr>
          <w:rFonts w:cs="Times New Roman"/>
        </w:rPr>
      </w:pPr>
    </w:p>
    <w:p w14:paraId="7E0B205B">
      <w:pPr>
        <w:keepNext/>
        <w:keepLines/>
        <w:widowControl/>
        <w:rPr>
          <w:rFonts w:cs="Times New Roman"/>
        </w:rPr>
      </w:pPr>
    </w:p>
    <w:p w14:paraId="5A60CE63">
      <w:pPr>
        <w:keepNext/>
        <w:keepLines/>
        <w:widowControl/>
        <w:jc w:val="left"/>
        <w:rPr>
          <w:rFonts w:ascii="宋体" w:cs="Times New Roman"/>
        </w:rPr>
      </w:pPr>
      <w:r>
        <w:rPr>
          <w:rFonts w:cs="Times New Roman"/>
        </w:rPr>
        <w:br w:type="page" w:clear="all"/>
      </w:r>
    </w:p>
    <w:p w14:paraId="58D73CD7">
      <w:pPr>
        <w:pStyle w:val="44"/>
        <w:keepNext/>
        <w:keepLines/>
        <w:spacing w:before="0" w:beforeAutospacing="0" w:after="0" w:afterAutospacing="0"/>
        <w:rPr>
          <w:rFonts w:cs="Times New Roman"/>
          <w:sz w:val="36"/>
          <w:szCs w:val="36"/>
        </w:rPr>
      </w:pPr>
      <w:r>
        <w:rPr>
          <w:rFonts w:hint="eastAsia"/>
          <w:sz w:val="36"/>
          <w:szCs w:val="36"/>
        </w:rPr>
        <w:t>十八、招标文件中规定要求提供的其他证明材料和投标人认为需要提供的其他材料</w:t>
      </w:r>
    </w:p>
    <w:p w14:paraId="7B090B4F">
      <w:pPr>
        <w:keepNext/>
        <w:keepLines/>
        <w:widowControl/>
        <w:rPr>
          <w:rFonts w:cs="Times New Roman"/>
        </w:rPr>
      </w:pPr>
    </w:p>
    <w:p w14:paraId="0A612901">
      <w:pPr>
        <w:pStyle w:val="281"/>
        <w:keepNext/>
        <w:keepLines/>
        <w:ind w:firstLine="420"/>
        <w:rPr>
          <w:rFonts w:cs="Times New Roman"/>
        </w:rPr>
      </w:pPr>
    </w:p>
    <w:p w14:paraId="0C29A43E">
      <w:pPr>
        <w:keepNext/>
        <w:keepLines/>
        <w:widowControl/>
        <w:rPr>
          <w:rFonts w:cs="Times New Roman"/>
        </w:rPr>
      </w:pPr>
    </w:p>
    <w:p w14:paraId="41F6E3B2">
      <w:pPr>
        <w:pStyle w:val="44"/>
        <w:keepNext/>
        <w:keepLines/>
        <w:spacing w:beforeAutospacing="0" w:afterAutospacing="0"/>
        <w:jc w:val="center"/>
        <w:rPr>
          <w:rFonts w:cs="Times New Roman"/>
        </w:rPr>
      </w:pPr>
    </w:p>
    <w:p w14:paraId="10B44003">
      <w:pPr>
        <w:keepNext/>
        <w:keepLines/>
        <w:widowControl/>
        <w:jc w:val="left"/>
        <w:rPr>
          <w:rFonts w:ascii="宋体" w:cs="Times New Roman"/>
          <w:b/>
          <w:bCs/>
          <w:sz w:val="32"/>
          <w:szCs w:val="32"/>
        </w:rPr>
      </w:pPr>
      <w:r>
        <w:rPr>
          <w:rFonts w:cs="Times New Roman"/>
          <w:b/>
          <w:bCs/>
          <w:sz w:val="32"/>
          <w:szCs w:val="32"/>
        </w:rPr>
        <w:br w:type="page" w:clear="all"/>
      </w:r>
    </w:p>
    <w:p w14:paraId="1588F52C">
      <w:pPr>
        <w:pStyle w:val="44"/>
        <w:keepNext/>
        <w:keepLines/>
        <w:spacing w:beforeAutospacing="0" w:afterAutospacing="0"/>
        <w:jc w:val="center"/>
        <w:rPr>
          <w:rFonts w:cs="Times New Roman"/>
          <w:b/>
          <w:bCs/>
          <w:sz w:val="32"/>
          <w:szCs w:val="32"/>
        </w:rPr>
      </w:pPr>
      <w:r>
        <w:rPr>
          <w:rFonts w:hint="eastAsia"/>
          <w:b/>
          <w:bCs/>
          <w:sz w:val="32"/>
          <w:szCs w:val="32"/>
        </w:rPr>
        <w:t>质疑函范本</w:t>
      </w:r>
    </w:p>
    <w:p w14:paraId="6A260CCA">
      <w:pPr>
        <w:pStyle w:val="44"/>
        <w:keepNext/>
        <w:keepLines/>
        <w:spacing w:before="290" w:beforeAutospacing="0" w:afterAutospacing="0" w:line="360" w:lineRule="auto"/>
        <w:jc w:val="both"/>
        <w:rPr>
          <w:rFonts w:cs="Times New Roman"/>
        </w:rPr>
      </w:pPr>
      <w:r>
        <w:rPr>
          <w:rFonts w:hint="eastAsia"/>
        </w:rPr>
        <w:t>一、质疑供应商基本信息</w:t>
      </w:r>
    </w:p>
    <w:p w14:paraId="7BD2FC3A">
      <w:pPr>
        <w:pStyle w:val="44"/>
        <w:keepNext/>
        <w:keepLines/>
        <w:spacing w:beforeAutospacing="0" w:afterAutospacing="0" w:line="360" w:lineRule="auto"/>
        <w:jc w:val="both"/>
        <w:rPr>
          <w:rFonts w:cs="Times New Roman"/>
        </w:rPr>
      </w:pPr>
      <w:r>
        <w:rPr>
          <w:rFonts w:hint="eastAsia"/>
        </w:rPr>
        <w:t>质疑供应商：</w:t>
      </w:r>
      <w:r>
        <w:rPr>
          <w:rFonts w:cs="Times New Roman"/>
          <w:u w:val="single"/>
        </w:rPr>
        <w:t>              </w:t>
      </w:r>
      <w:r>
        <w:rPr>
          <w:u w:val="single"/>
        </w:rPr>
        <w:t xml:space="preserve">  </w:t>
      </w:r>
      <w:r>
        <w:rPr>
          <w:rFonts w:cs="Times New Roman"/>
          <w:u w:val="single"/>
        </w:rPr>
        <w:t>    </w:t>
      </w:r>
      <w:r>
        <w:rPr>
          <w:rFonts w:cs="Times New Roman"/>
          <w:u w:val="single"/>
        </w:rPr>
        <w:tab/>
      </w:r>
      <w:r>
        <w:rPr>
          <w:rFonts w:cs="Times New Roman"/>
          <w:u w:val="single"/>
        </w:rPr>
        <w:t> </w:t>
      </w:r>
      <w:r>
        <w:rPr>
          <w:rFonts w:cs="Times New Roman"/>
          <w:u w:val="single"/>
        </w:rPr>
        <w:tab/>
      </w:r>
      <w:r>
        <w:rPr>
          <w:rFonts w:cs="Times New Roman"/>
          <w:u w:val="single"/>
        </w:rPr>
        <w:t>  </w:t>
      </w:r>
      <w:r>
        <w:rPr>
          <w:u w:val="single"/>
        </w:rPr>
        <w:t xml:space="preserve"> </w:t>
      </w:r>
      <w:r>
        <w:rPr>
          <w:rFonts w:cs="Times New Roman"/>
          <w:u w:val="single"/>
        </w:rPr>
        <w:t>   </w:t>
      </w:r>
      <w:r>
        <w:rPr>
          <w:u w:val="single"/>
        </w:rPr>
        <w:t xml:space="preserve"> </w:t>
      </w:r>
    </w:p>
    <w:p w14:paraId="1ED6CB39">
      <w:pPr>
        <w:pStyle w:val="44"/>
        <w:keepNext/>
        <w:keepLines/>
        <w:spacing w:beforeAutospacing="0" w:afterAutospacing="0" w:line="360" w:lineRule="auto"/>
        <w:jc w:val="both"/>
        <w:rPr>
          <w:rFonts w:cs="Times New Roman"/>
          <w:u w:val="single"/>
        </w:rPr>
      </w:pPr>
      <w:r>
        <w:rPr>
          <w:rFonts w:hint="eastAsia"/>
        </w:rPr>
        <w:t>地址：</w:t>
      </w:r>
      <w:r>
        <w:rPr>
          <w:rFonts w:cs="Times New Roman"/>
          <w:u w:val="single"/>
        </w:rPr>
        <w:t>                   </w:t>
      </w:r>
      <w:r>
        <w:rPr>
          <w:u w:val="single"/>
        </w:rPr>
        <w:t xml:space="preserve">   </w:t>
      </w:r>
      <w:r>
        <w:rPr>
          <w:u w:val="single"/>
        </w:rPr>
        <w:tab/>
      </w:r>
      <w:r>
        <w:rPr>
          <w:u w:val="single"/>
        </w:rPr>
        <w:tab/>
      </w:r>
      <w:r>
        <w:rPr>
          <w:u w:val="single"/>
        </w:rPr>
        <w:tab/>
      </w:r>
      <w:r>
        <w:rPr>
          <w:rFonts w:cs="Times New Roman"/>
          <w:u w:val="single"/>
        </w:rPr>
        <w:t>      </w:t>
      </w:r>
    </w:p>
    <w:p w14:paraId="5D354BEC">
      <w:pPr>
        <w:pStyle w:val="44"/>
        <w:keepNext/>
        <w:keepLines/>
        <w:spacing w:beforeAutospacing="0" w:afterAutospacing="0" w:line="360" w:lineRule="auto"/>
        <w:jc w:val="both"/>
        <w:rPr>
          <w:rFonts w:cs="Times New Roman"/>
        </w:rPr>
      </w:pPr>
      <w:r>
        <w:rPr>
          <w:rFonts w:hint="eastAsia"/>
        </w:rPr>
        <w:t>邮编：</w:t>
      </w:r>
      <w:r>
        <w:rPr>
          <w:rFonts w:cs="Times New Roman"/>
          <w:u w:val="single"/>
        </w:rPr>
        <w:t>                       </w:t>
      </w:r>
      <w:r>
        <w:rPr>
          <w:rFonts w:cs="Times New Roman"/>
          <w:u w:val="single"/>
        </w:rPr>
        <w:tab/>
      </w:r>
      <w:r>
        <w:rPr>
          <w:rFonts w:cs="Times New Roman"/>
          <w:u w:val="single"/>
        </w:rPr>
        <w:tab/>
      </w:r>
      <w:r>
        <w:rPr>
          <w:rFonts w:cs="Times New Roman"/>
          <w:u w:val="single"/>
        </w:rPr>
        <w:t> </w:t>
      </w:r>
      <w:r>
        <w:rPr>
          <w:u w:val="single"/>
        </w:rPr>
        <w:t xml:space="preserve">  </w:t>
      </w:r>
      <w:r>
        <w:rPr>
          <w:rFonts w:cs="Times New Roman"/>
          <w:u w:val="single"/>
        </w:rPr>
        <w:t>    </w:t>
      </w:r>
      <w:r>
        <w:rPr>
          <w:u w:val="single"/>
        </w:rPr>
        <w:t xml:space="preserve"> </w:t>
      </w:r>
    </w:p>
    <w:p w14:paraId="3B1C8892">
      <w:pPr>
        <w:pStyle w:val="44"/>
        <w:keepNext/>
        <w:keepLines/>
        <w:spacing w:beforeAutospacing="0" w:afterAutospacing="0" w:line="360" w:lineRule="auto"/>
        <w:jc w:val="both"/>
        <w:rPr>
          <w:u w:val="single"/>
        </w:rPr>
      </w:pPr>
      <w:r>
        <w:rPr>
          <w:rFonts w:hint="eastAsia"/>
        </w:rPr>
        <w:t>联系人：</w:t>
      </w:r>
      <w:r>
        <w:rPr>
          <w:rFonts w:cs="Times New Roman"/>
          <w:u w:val="single"/>
        </w:rPr>
        <w:t>               </w:t>
      </w:r>
      <w:r>
        <w:rPr>
          <w:rFonts w:cs="Times New Roman"/>
          <w:u w:val="single"/>
        </w:rPr>
        <w:tab/>
      </w:r>
      <w:r>
        <w:rPr>
          <w:rFonts w:cs="Times New Roman"/>
          <w:u w:val="single"/>
        </w:rPr>
        <w:tab/>
      </w:r>
      <w:r>
        <w:rPr>
          <w:rFonts w:cs="Times New Roman"/>
          <w:u w:val="single"/>
        </w:rPr>
        <w:tab/>
      </w:r>
      <w:r>
        <w:rPr>
          <w:rFonts w:cs="Times New Roman"/>
          <w:u w:val="single"/>
        </w:rPr>
        <w:tab/>
      </w:r>
      <w:r>
        <w:rPr>
          <w:rFonts w:cs="Times New Roman"/>
          <w:u w:val="single"/>
        </w:rPr>
        <w:tab/>
      </w:r>
      <w:r>
        <w:rPr>
          <w:rFonts w:cs="Times New Roman"/>
          <w:u w:val="single"/>
        </w:rPr>
        <w:tab/>
      </w:r>
      <w:r>
        <w:rPr>
          <w:rFonts w:cs="Times New Roman"/>
          <w:u w:val="single"/>
        </w:rPr>
        <w:t>      </w:t>
      </w:r>
      <w:r>
        <w:rPr>
          <w:u w:val="single"/>
        </w:rPr>
        <w:t xml:space="preserve"> </w:t>
      </w:r>
    </w:p>
    <w:p w14:paraId="532ED5C5">
      <w:pPr>
        <w:pStyle w:val="44"/>
        <w:keepNext/>
        <w:keepLines/>
        <w:spacing w:beforeAutospacing="0" w:afterAutospacing="0" w:line="360" w:lineRule="auto"/>
        <w:jc w:val="both"/>
        <w:rPr>
          <w:rFonts w:cs="Times New Roman"/>
        </w:rPr>
      </w:pPr>
      <w:r>
        <w:rPr>
          <w:rFonts w:hint="eastAsia"/>
        </w:rPr>
        <w:t>联系电话：</w:t>
      </w:r>
      <w:r>
        <w:rPr>
          <w:rFonts w:cs="Times New Roman"/>
          <w:u w:val="single"/>
        </w:rPr>
        <w:t>              </w:t>
      </w:r>
      <w:r>
        <w:rPr>
          <w:u w:val="single"/>
        </w:rPr>
        <w:t xml:space="preserve">                          </w:t>
      </w:r>
      <w:r>
        <w:rPr>
          <w:rFonts w:cs="Times New Roman"/>
          <w:u w:val="single"/>
        </w:rPr>
        <w:t>  </w:t>
      </w:r>
      <w:r>
        <w:rPr>
          <w:u w:val="single"/>
        </w:rPr>
        <w:t xml:space="preserve"> </w:t>
      </w:r>
    </w:p>
    <w:p w14:paraId="4E15BB6F">
      <w:pPr>
        <w:pStyle w:val="44"/>
        <w:keepNext/>
        <w:keepLines/>
        <w:spacing w:beforeAutospacing="0" w:afterAutospacing="0" w:line="360" w:lineRule="auto"/>
        <w:jc w:val="both"/>
        <w:rPr>
          <w:rFonts w:cs="Times New Roman"/>
        </w:rPr>
      </w:pPr>
      <w:r>
        <w:rPr>
          <w:rFonts w:hint="eastAsia"/>
        </w:rPr>
        <w:t>授权代表：</w:t>
      </w:r>
      <w:r>
        <w:rPr>
          <w:rFonts w:cs="Times New Roman"/>
          <w:u w:val="single"/>
        </w:rPr>
        <w:t>                 </w:t>
      </w:r>
      <w:r>
        <w:rPr>
          <w:rFonts w:cs="Times New Roman"/>
          <w:u w:val="single"/>
        </w:rPr>
        <w:tab/>
      </w:r>
      <w:r>
        <w:rPr>
          <w:rFonts w:cs="Times New Roman"/>
          <w:u w:val="single"/>
        </w:rPr>
        <w:tab/>
      </w:r>
      <w:r>
        <w:rPr>
          <w:rFonts w:cs="Times New Roman"/>
          <w:u w:val="single"/>
        </w:rPr>
        <w:tab/>
      </w:r>
      <w:r>
        <w:rPr>
          <w:rFonts w:cs="Times New Roman"/>
          <w:u w:val="single"/>
        </w:rPr>
        <w:tab/>
      </w:r>
      <w:r>
        <w:rPr>
          <w:rFonts w:cs="Times New Roman"/>
          <w:u w:val="single"/>
        </w:rPr>
        <w:t>  </w:t>
      </w:r>
      <w:r>
        <w:rPr>
          <w:u w:val="single"/>
        </w:rPr>
        <w:t xml:space="preserve">  </w:t>
      </w:r>
      <w:r>
        <w:rPr>
          <w:rFonts w:cs="Times New Roman"/>
          <w:u w:val="single"/>
        </w:rPr>
        <w:t>   </w:t>
      </w:r>
      <w:r>
        <w:rPr>
          <w:u w:val="single"/>
        </w:rPr>
        <w:t xml:space="preserve"> </w:t>
      </w:r>
    </w:p>
    <w:p w14:paraId="06DB1737">
      <w:pPr>
        <w:pStyle w:val="44"/>
        <w:keepNext/>
        <w:keepLines/>
        <w:spacing w:beforeAutospacing="0" w:afterAutospacing="0" w:line="360" w:lineRule="auto"/>
        <w:jc w:val="both"/>
        <w:rPr>
          <w:rFonts w:cs="Times New Roman"/>
        </w:rPr>
      </w:pPr>
      <w:r>
        <w:rPr>
          <w:rFonts w:hint="eastAsia"/>
        </w:rPr>
        <w:t>联系电话：</w:t>
      </w:r>
      <w:r>
        <w:rPr>
          <w:rFonts w:cs="Times New Roman"/>
          <w:u w:val="single"/>
        </w:rPr>
        <w:t>                  </w:t>
      </w:r>
      <w:r>
        <w:rPr>
          <w:rFonts w:cs="Times New Roman"/>
          <w:u w:val="single"/>
        </w:rPr>
        <w:tab/>
      </w:r>
      <w:r>
        <w:rPr>
          <w:rFonts w:cs="Times New Roman"/>
          <w:u w:val="single"/>
        </w:rPr>
        <w:tab/>
      </w:r>
      <w:r>
        <w:rPr>
          <w:rFonts w:cs="Times New Roman"/>
          <w:u w:val="single"/>
        </w:rPr>
        <w:tab/>
      </w:r>
      <w:r>
        <w:rPr>
          <w:rFonts w:cs="Times New Roman"/>
          <w:u w:val="single"/>
        </w:rPr>
        <w:tab/>
      </w:r>
      <w:r>
        <w:rPr>
          <w:rFonts w:cs="Times New Roman"/>
          <w:u w:val="single"/>
        </w:rPr>
        <w:t>    </w:t>
      </w:r>
      <w:r>
        <w:rPr>
          <w:u w:val="single"/>
        </w:rPr>
        <w:t xml:space="preserve"> </w:t>
      </w:r>
    </w:p>
    <w:p w14:paraId="36028FBF">
      <w:pPr>
        <w:pStyle w:val="44"/>
        <w:keepNext/>
        <w:keepLines/>
        <w:spacing w:beforeAutospacing="0" w:afterAutospacing="0" w:line="360" w:lineRule="auto"/>
        <w:jc w:val="both"/>
        <w:rPr>
          <w:u w:val="single"/>
        </w:rPr>
      </w:pPr>
      <w:r>
        <w:rPr>
          <w:rFonts w:hint="eastAsia"/>
        </w:rPr>
        <w:t>地址：</w:t>
      </w:r>
      <w:r>
        <w:rPr>
          <w:rFonts w:cs="Times New Roman"/>
        </w:rPr>
        <w:t> </w:t>
      </w:r>
      <w:r>
        <w:rPr>
          <w:rFonts w:cs="Times New Roman"/>
          <w:u w:val="single"/>
        </w:rPr>
        <w:t>                  </w:t>
      </w:r>
      <w:r>
        <w:rPr>
          <w:rFonts w:cs="Times New Roman"/>
          <w:u w:val="single"/>
        </w:rPr>
        <w:tab/>
      </w:r>
      <w:r>
        <w:rPr>
          <w:rFonts w:cs="Times New Roman"/>
          <w:u w:val="single"/>
        </w:rPr>
        <w:tab/>
      </w:r>
      <w:r>
        <w:rPr>
          <w:rFonts w:cs="Times New Roman"/>
          <w:u w:val="single"/>
        </w:rPr>
        <w:tab/>
      </w:r>
      <w:r>
        <w:rPr>
          <w:rFonts w:cs="Times New Roman"/>
          <w:u w:val="single"/>
        </w:rPr>
        <w:tab/>
      </w:r>
      <w:r>
        <w:rPr>
          <w:rFonts w:cs="Times New Roman"/>
          <w:u w:val="single"/>
        </w:rPr>
        <w:t> </w:t>
      </w:r>
      <w:r>
        <w:rPr>
          <w:u w:val="single"/>
        </w:rPr>
        <w:t xml:space="preserve">  </w:t>
      </w:r>
      <w:r>
        <w:rPr>
          <w:rFonts w:cs="Times New Roman"/>
          <w:u w:val="single"/>
        </w:rPr>
        <w:t>    </w:t>
      </w:r>
      <w:r>
        <w:rPr>
          <w:u w:val="single"/>
        </w:rPr>
        <w:t xml:space="preserve"> </w:t>
      </w:r>
    </w:p>
    <w:p w14:paraId="31032F71">
      <w:pPr>
        <w:pStyle w:val="44"/>
        <w:keepNext/>
        <w:keepLines/>
        <w:spacing w:beforeAutospacing="0" w:afterAutospacing="0" w:line="360" w:lineRule="auto"/>
        <w:jc w:val="both"/>
        <w:rPr>
          <w:rFonts w:cs="Times New Roman"/>
        </w:rPr>
      </w:pPr>
      <w:r>
        <w:rPr>
          <w:rFonts w:hint="eastAsia"/>
        </w:rPr>
        <w:t>邮编：</w:t>
      </w:r>
      <w:r>
        <w:rPr>
          <w:rFonts w:cs="Times New Roman"/>
          <w:u w:val="single"/>
        </w:rPr>
        <w:t>                               </w:t>
      </w:r>
      <w:r>
        <w:rPr>
          <w:u w:val="single"/>
        </w:rPr>
        <w:t xml:space="preserve"> </w:t>
      </w:r>
    </w:p>
    <w:p w14:paraId="247B3FFD">
      <w:pPr>
        <w:pStyle w:val="44"/>
        <w:keepNext/>
        <w:keepLines/>
        <w:spacing w:beforeAutospacing="0" w:afterAutospacing="0" w:line="360" w:lineRule="auto"/>
        <w:jc w:val="both"/>
        <w:rPr>
          <w:rFonts w:cs="Times New Roman"/>
        </w:rPr>
      </w:pPr>
      <w:r>
        <w:rPr>
          <w:rFonts w:hint="eastAsia"/>
        </w:rPr>
        <w:t>二、质疑项目基本情况</w:t>
      </w:r>
    </w:p>
    <w:p w14:paraId="73FDD4B1">
      <w:pPr>
        <w:pStyle w:val="44"/>
        <w:keepNext/>
        <w:keepLines/>
        <w:spacing w:beforeAutospacing="0" w:afterAutospacing="0" w:line="360" w:lineRule="auto"/>
        <w:jc w:val="both"/>
        <w:rPr>
          <w:rFonts w:cs="Times New Roman"/>
        </w:rPr>
      </w:pPr>
      <w:r>
        <w:rPr>
          <w:rFonts w:hint="eastAsia"/>
        </w:rPr>
        <w:t>质疑项目的名称：</w:t>
      </w:r>
      <w:r>
        <w:rPr>
          <w:rFonts w:cs="Times New Roman"/>
          <w:u w:val="single"/>
        </w:rPr>
        <w:t>                 </w:t>
      </w:r>
      <w:r>
        <w:rPr>
          <w:u w:val="single"/>
        </w:rPr>
        <w:t xml:space="preserve">     </w:t>
      </w:r>
      <w:r>
        <w:rPr>
          <w:rFonts w:cs="Times New Roman"/>
          <w:u w:val="single"/>
        </w:rPr>
        <w:t>     </w:t>
      </w:r>
      <w:r>
        <w:rPr>
          <w:u w:val="single"/>
        </w:rPr>
        <w:t xml:space="preserve"> </w:t>
      </w:r>
    </w:p>
    <w:p w14:paraId="153569B3">
      <w:pPr>
        <w:pStyle w:val="44"/>
        <w:keepNext/>
        <w:keepLines/>
        <w:spacing w:beforeAutospacing="0" w:afterAutospacing="0" w:line="360" w:lineRule="auto"/>
        <w:jc w:val="both"/>
        <w:rPr>
          <w:u w:val="single"/>
        </w:rPr>
      </w:pPr>
      <w:r>
        <w:rPr>
          <w:rFonts w:hint="eastAsia"/>
        </w:rPr>
        <w:t>质疑项目的编号：</w:t>
      </w:r>
      <w:r>
        <w:rPr>
          <w:rFonts w:cs="Times New Roman"/>
          <w:u w:val="single"/>
        </w:rPr>
        <w:t>                  </w:t>
      </w:r>
      <w:r>
        <w:rPr>
          <w:u w:val="single"/>
        </w:rPr>
        <w:t xml:space="preserve"> </w:t>
      </w:r>
      <w:r>
        <w:rPr>
          <w:rFonts w:cs="Times New Roman"/>
          <w:u w:val="single"/>
        </w:rPr>
        <w:t>      </w:t>
      </w:r>
      <w:r>
        <w:rPr>
          <w:u w:val="single"/>
        </w:rPr>
        <w:t xml:space="preserve"> </w:t>
      </w:r>
    </w:p>
    <w:p w14:paraId="7FAB9290">
      <w:pPr>
        <w:pStyle w:val="44"/>
        <w:keepNext/>
        <w:keepLines/>
        <w:spacing w:beforeAutospacing="0" w:afterAutospacing="0" w:line="360" w:lineRule="auto"/>
        <w:jc w:val="both"/>
        <w:rPr>
          <w:rFonts w:cs="Times New Roman"/>
        </w:rPr>
      </w:pPr>
      <w:r>
        <w:rPr>
          <w:rFonts w:hint="eastAsia"/>
        </w:rPr>
        <w:t>包号：</w:t>
      </w:r>
      <w:r>
        <w:rPr>
          <w:rFonts w:cs="Times New Roman"/>
          <w:u w:val="single"/>
        </w:rPr>
        <w:t>                    </w:t>
      </w:r>
      <w:r>
        <w:rPr>
          <w:u w:val="single"/>
        </w:rPr>
        <w:t xml:space="preserve">   </w:t>
      </w:r>
      <w:r>
        <w:rPr>
          <w:u w:val="single"/>
        </w:rPr>
        <w:tab/>
      </w:r>
      <w:r>
        <w:rPr>
          <w:u w:val="single"/>
        </w:rPr>
        <w:tab/>
      </w:r>
      <w:r>
        <w:rPr>
          <w:u w:val="single"/>
        </w:rPr>
        <w:tab/>
      </w:r>
      <w:r>
        <w:rPr>
          <w:rFonts w:cs="Times New Roman"/>
          <w:u w:val="single"/>
        </w:rPr>
        <w:t>   </w:t>
      </w:r>
      <w:r>
        <w:rPr>
          <w:u w:val="single"/>
        </w:rPr>
        <w:t xml:space="preserve"> </w:t>
      </w:r>
    </w:p>
    <w:p w14:paraId="730BC43E">
      <w:pPr>
        <w:pStyle w:val="44"/>
        <w:keepNext/>
        <w:keepLines/>
        <w:spacing w:beforeAutospacing="0" w:afterAutospacing="0" w:line="360" w:lineRule="auto"/>
        <w:jc w:val="both"/>
        <w:rPr>
          <w:rFonts w:cs="Times New Roman"/>
        </w:rPr>
      </w:pPr>
      <w:r>
        <w:rPr>
          <w:rFonts w:hint="eastAsia"/>
        </w:rPr>
        <w:t>采购人名称：</w:t>
      </w:r>
      <w:r>
        <w:rPr>
          <w:rFonts w:cs="Times New Roman"/>
          <w:u w:val="single"/>
        </w:rPr>
        <w:t>                           </w:t>
      </w:r>
      <w:r>
        <w:rPr>
          <w:u w:val="single"/>
        </w:rPr>
        <w:t xml:space="preserve"> </w:t>
      </w:r>
    </w:p>
    <w:p w14:paraId="4827A3B0">
      <w:pPr>
        <w:pStyle w:val="44"/>
        <w:keepNext/>
        <w:keepLines/>
        <w:spacing w:beforeAutospacing="0" w:afterAutospacing="0" w:line="360" w:lineRule="auto"/>
        <w:jc w:val="both"/>
        <w:rPr>
          <w:rFonts w:cs="Times New Roman"/>
        </w:rPr>
      </w:pPr>
      <w:r>
        <w:rPr>
          <w:rFonts w:hint="eastAsia"/>
        </w:rPr>
        <w:t>采购文件获取日期：</w:t>
      </w:r>
      <w:r>
        <w:rPr>
          <w:rFonts w:cs="Times New Roman"/>
          <w:u w:val="single"/>
        </w:rPr>
        <w:t>              </w:t>
      </w:r>
      <w:r>
        <w:rPr>
          <w:u w:val="single"/>
        </w:rPr>
        <w:t xml:space="preserve">        </w:t>
      </w:r>
      <w:r>
        <w:rPr>
          <w:rFonts w:cs="Times New Roman"/>
          <w:u w:val="single"/>
        </w:rPr>
        <w:t>      </w:t>
      </w:r>
      <w:r>
        <w:rPr>
          <w:u w:val="single"/>
        </w:rPr>
        <w:t xml:space="preserve"> </w:t>
      </w:r>
    </w:p>
    <w:p w14:paraId="5C525DD1">
      <w:pPr>
        <w:pStyle w:val="44"/>
        <w:keepNext/>
        <w:keepLines/>
        <w:spacing w:beforeAutospacing="0" w:afterAutospacing="0" w:line="360" w:lineRule="auto"/>
        <w:jc w:val="both"/>
        <w:rPr>
          <w:rFonts w:cs="Times New Roman"/>
        </w:rPr>
      </w:pPr>
      <w:r>
        <w:rPr>
          <w:rFonts w:hint="eastAsia"/>
        </w:rPr>
        <w:t>三、质疑事项具体内容</w:t>
      </w:r>
    </w:p>
    <w:p w14:paraId="66F6A578">
      <w:pPr>
        <w:pStyle w:val="44"/>
        <w:keepNext/>
        <w:keepLines/>
        <w:spacing w:beforeAutospacing="0" w:afterAutospacing="0" w:line="360" w:lineRule="auto"/>
        <w:jc w:val="both"/>
        <w:rPr>
          <w:rFonts w:cs="Times New Roman"/>
        </w:rPr>
      </w:pPr>
      <w:r>
        <w:rPr>
          <w:rFonts w:hint="eastAsia"/>
        </w:rPr>
        <w:t>质疑事项</w:t>
      </w:r>
      <w:r>
        <w:t>1</w:t>
      </w:r>
      <w:r>
        <w:rPr>
          <w:rFonts w:hint="eastAsia"/>
        </w:rPr>
        <w:t>：</w:t>
      </w:r>
      <w:r>
        <w:rPr>
          <w:rFonts w:cs="Times New Roman"/>
          <w:u w:val="single"/>
        </w:rPr>
        <w:t>                            </w:t>
      </w:r>
      <w:r>
        <w:rPr>
          <w:u w:val="single"/>
        </w:rPr>
        <w:t xml:space="preserve"> </w:t>
      </w:r>
    </w:p>
    <w:p w14:paraId="267DC306">
      <w:pPr>
        <w:pStyle w:val="44"/>
        <w:keepNext/>
        <w:keepLines/>
        <w:spacing w:beforeAutospacing="0" w:afterAutospacing="0" w:line="360" w:lineRule="auto"/>
        <w:rPr>
          <w:rFonts w:cs="Times New Roman"/>
        </w:rPr>
      </w:pPr>
      <w:r>
        <w:rPr>
          <w:rFonts w:hint="eastAsia"/>
        </w:rPr>
        <w:t>事实依据：</w:t>
      </w:r>
      <w:r>
        <w:rPr>
          <w:rFonts w:cs="Times New Roman"/>
          <w:u w:val="single"/>
        </w:rPr>
        <w:t>      </w:t>
      </w:r>
      <w:r>
        <w:rPr>
          <w:u w:val="single"/>
        </w:rPr>
        <w:t xml:space="preserve">                                           </w:t>
      </w:r>
      <w:r>
        <w:rPr>
          <w:rFonts w:cs="Times New Roman"/>
          <w:u w:val="single"/>
        </w:rPr>
        <w:t> </w:t>
      </w:r>
      <w:r>
        <w:rPr>
          <w:u w:val="single"/>
        </w:rPr>
        <w:t xml:space="preserve"> </w:t>
      </w:r>
    </w:p>
    <w:p w14:paraId="508B9AF2">
      <w:pPr>
        <w:pStyle w:val="44"/>
        <w:keepNext/>
        <w:keepLines/>
        <w:spacing w:beforeAutospacing="0" w:afterAutospacing="0" w:line="360" w:lineRule="auto"/>
        <w:jc w:val="both"/>
        <w:rPr>
          <w:rFonts w:cs="Times New Roman"/>
        </w:rPr>
      </w:pPr>
      <w:r>
        <w:rPr>
          <w:rFonts w:hint="eastAsia"/>
        </w:rPr>
        <w:t>法律依据：</w:t>
      </w:r>
      <w:r>
        <w:rPr>
          <w:rFonts w:cs="Times New Roman"/>
          <w:u w:val="single"/>
        </w:rPr>
        <w:t>    </w:t>
      </w:r>
      <w:r>
        <w:rPr>
          <w:u w:val="single"/>
        </w:rPr>
        <w:t xml:space="preserve">                                             </w:t>
      </w:r>
      <w:r>
        <w:rPr>
          <w:rFonts w:cs="Times New Roman"/>
          <w:u w:val="single"/>
        </w:rPr>
        <w:t>  </w:t>
      </w:r>
      <w:r>
        <w:rPr>
          <w:u w:val="single"/>
        </w:rPr>
        <w:t xml:space="preserve"> </w:t>
      </w:r>
    </w:p>
    <w:p w14:paraId="57419C3B">
      <w:pPr>
        <w:pStyle w:val="44"/>
        <w:keepNext/>
        <w:keepLines/>
        <w:spacing w:beforeAutospacing="0" w:afterAutospacing="0" w:line="360" w:lineRule="auto"/>
        <w:jc w:val="both"/>
      </w:pPr>
      <w:r>
        <w:rPr>
          <w:rFonts w:hint="eastAsia"/>
        </w:rPr>
        <w:t>质疑事项</w:t>
      </w:r>
      <w:r>
        <w:t>2</w:t>
      </w:r>
    </w:p>
    <w:p w14:paraId="0D73F0AC">
      <w:pPr>
        <w:pStyle w:val="44"/>
        <w:keepNext/>
        <w:keepLines/>
        <w:spacing w:beforeAutospacing="0" w:afterAutospacing="0" w:line="360" w:lineRule="auto"/>
        <w:jc w:val="both"/>
        <w:rPr>
          <w:rFonts w:cs="Times New Roman"/>
        </w:rPr>
      </w:pPr>
      <w:r>
        <w:rPr>
          <w:rFonts w:hint="eastAsia"/>
        </w:rPr>
        <w:t>……</w:t>
      </w:r>
    </w:p>
    <w:p w14:paraId="49451A1E">
      <w:pPr>
        <w:pStyle w:val="44"/>
        <w:keepNext/>
        <w:keepLines/>
        <w:spacing w:beforeAutospacing="0" w:afterAutospacing="0" w:line="360" w:lineRule="auto"/>
        <w:jc w:val="both"/>
        <w:rPr>
          <w:rFonts w:cs="Times New Roman"/>
        </w:rPr>
      </w:pPr>
      <w:r>
        <w:rPr>
          <w:rFonts w:hint="eastAsia"/>
        </w:rPr>
        <w:t>四、与质疑事项相关的质疑请求</w:t>
      </w:r>
    </w:p>
    <w:p w14:paraId="02BFC2F0">
      <w:pPr>
        <w:pStyle w:val="44"/>
        <w:keepNext/>
        <w:keepLines/>
        <w:spacing w:beforeAutospacing="0" w:afterAutospacing="0" w:line="360" w:lineRule="auto"/>
        <w:jc w:val="both"/>
        <w:rPr>
          <w:rFonts w:cs="Times New Roman"/>
        </w:rPr>
      </w:pPr>
      <w:r>
        <w:rPr>
          <w:rFonts w:hint="eastAsia"/>
        </w:rPr>
        <w:t>请求：</w:t>
      </w:r>
      <w:r>
        <w:rPr>
          <w:rFonts w:cs="Times New Roman"/>
          <w:u w:val="single"/>
        </w:rPr>
        <w:t>    </w:t>
      </w:r>
      <w:r>
        <w:rPr>
          <w:u w:val="single"/>
        </w:rPr>
        <w:t xml:space="preserve">                                                      </w:t>
      </w:r>
    </w:p>
    <w:p w14:paraId="2073DFCC">
      <w:pPr>
        <w:pStyle w:val="44"/>
        <w:keepNext/>
        <w:keepLines/>
        <w:spacing w:beforeAutospacing="0" w:afterAutospacing="0"/>
        <w:jc w:val="both"/>
      </w:pPr>
      <w:r>
        <w:rPr>
          <w:rFonts w:hint="eastAsia"/>
        </w:rPr>
        <w:t>签字</w:t>
      </w:r>
      <w:r>
        <w:t>(</w:t>
      </w:r>
      <w:r>
        <w:rPr>
          <w:rFonts w:hint="eastAsia"/>
        </w:rPr>
        <w:t>签章</w:t>
      </w:r>
      <w:r>
        <w:t>)</w:t>
      </w:r>
      <w:r>
        <w:rPr>
          <w:rFonts w:hint="eastAsia"/>
        </w:rPr>
        <w:t>：</w:t>
      </w:r>
      <w:r>
        <w:rPr>
          <w:rFonts w:cs="Times New Roman"/>
        </w:rPr>
        <w:t>  </w:t>
      </w:r>
      <w:r>
        <w:t xml:space="preserve">               </w:t>
      </w:r>
      <w:r>
        <w:rPr>
          <w:rFonts w:hint="eastAsia"/>
        </w:rPr>
        <w:t>公章：</w:t>
      </w:r>
      <w:r>
        <w:rPr>
          <w:rFonts w:cs="Times New Roman"/>
        </w:rPr>
        <w:t>  </w:t>
      </w:r>
      <w:r>
        <w:t xml:space="preserve">             </w:t>
      </w:r>
      <w:r>
        <w:rPr>
          <w:rFonts w:hint="eastAsia"/>
        </w:rPr>
        <w:t>日期：</w:t>
      </w:r>
      <w:r>
        <w:rPr>
          <w:rFonts w:cs="Times New Roman"/>
        </w:rPr>
        <w:t>   </w:t>
      </w:r>
      <w:r>
        <w:t xml:space="preserve"> </w:t>
      </w:r>
    </w:p>
    <w:p w14:paraId="62C8F687">
      <w:pPr>
        <w:pStyle w:val="44"/>
        <w:keepNext/>
        <w:keepLines/>
        <w:spacing w:beforeAutospacing="0" w:afterAutospacing="0" w:line="240" w:lineRule="atLeast"/>
        <w:jc w:val="both"/>
        <w:rPr>
          <w:rFonts w:cs="Times New Roman"/>
        </w:rPr>
      </w:pPr>
      <w:r>
        <w:rPr>
          <w:rFonts w:hint="eastAsia"/>
          <w:b/>
          <w:bCs/>
        </w:rPr>
        <w:t>质疑函制作说明：</w:t>
      </w:r>
    </w:p>
    <w:p w14:paraId="7424BBE6">
      <w:pPr>
        <w:pStyle w:val="44"/>
        <w:keepNext/>
        <w:keepLines/>
        <w:spacing w:beforeAutospacing="0" w:afterAutospacing="0" w:line="240" w:lineRule="atLeast"/>
        <w:ind w:firstLine="480"/>
        <w:rPr>
          <w:rFonts w:cs="Times New Roman"/>
        </w:rPr>
      </w:pPr>
      <w:r>
        <w:t>1.</w:t>
      </w:r>
      <w:r>
        <w:rPr>
          <w:rFonts w:hint="eastAsia"/>
        </w:rPr>
        <w:t>供应商提出质疑时，应提交质疑函和必要的证明材料。</w:t>
      </w:r>
    </w:p>
    <w:p w14:paraId="6F501BED">
      <w:pPr>
        <w:pStyle w:val="44"/>
        <w:keepNext/>
        <w:keepLines/>
        <w:spacing w:beforeAutospacing="0" w:afterAutospacing="0" w:line="240" w:lineRule="atLeast"/>
        <w:ind w:firstLine="480"/>
        <w:rPr>
          <w:rFonts w:cs="Times New Roman"/>
        </w:rPr>
      </w:pPr>
      <w:r>
        <w:t>2.</w:t>
      </w:r>
      <w:r>
        <w:rPr>
          <w:rFonts w:hint="eastAsia"/>
        </w:rPr>
        <w:t>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2D4B72A">
      <w:pPr>
        <w:pStyle w:val="44"/>
        <w:keepNext/>
        <w:keepLines/>
        <w:spacing w:beforeAutospacing="0" w:afterAutospacing="0" w:line="240" w:lineRule="atLeast"/>
        <w:ind w:firstLine="480"/>
        <w:rPr>
          <w:rFonts w:cs="Times New Roman"/>
        </w:rPr>
      </w:pPr>
      <w:r>
        <w:t>3.</w:t>
      </w:r>
      <w:r>
        <w:rPr>
          <w:rFonts w:hint="eastAsia"/>
        </w:rPr>
        <w:t>质疑供应商若对项目的某一分包进行质疑，质疑函中应列明具体分包号。</w:t>
      </w:r>
    </w:p>
    <w:p w14:paraId="7AB65CDF">
      <w:pPr>
        <w:pStyle w:val="44"/>
        <w:keepNext/>
        <w:keepLines/>
        <w:spacing w:beforeAutospacing="0" w:afterAutospacing="0" w:line="240" w:lineRule="atLeast"/>
        <w:ind w:firstLine="480"/>
        <w:rPr>
          <w:rFonts w:cs="Times New Roman"/>
        </w:rPr>
      </w:pPr>
      <w:r>
        <w:t>4.</w:t>
      </w:r>
      <w:r>
        <w:rPr>
          <w:rFonts w:hint="eastAsia"/>
        </w:rPr>
        <w:t>质疑函的质疑事项应具体、明确，并有必要的事实依据和法律依据。</w:t>
      </w:r>
    </w:p>
    <w:p w14:paraId="343FAE90">
      <w:pPr>
        <w:pStyle w:val="44"/>
        <w:keepNext/>
        <w:keepLines/>
        <w:spacing w:beforeAutospacing="0" w:afterAutospacing="0" w:line="240" w:lineRule="atLeast"/>
        <w:ind w:firstLine="480"/>
        <w:rPr>
          <w:rFonts w:cs="Times New Roman"/>
        </w:rPr>
      </w:pPr>
      <w:r>
        <w:t>5.</w:t>
      </w:r>
      <w:r>
        <w:rPr>
          <w:rFonts w:hint="eastAsia"/>
        </w:rPr>
        <w:t>质疑函的质疑请求应与质疑事项相关。</w:t>
      </w:r>
    </w:p>
    <w:p w14:paraId="478302AF">
      <w:pPr>
        <w:pStyle w:val="44"/>
        <w:keepNext/>
        <w:keepLines/>
        <w:spacing w:beforeAutospacing="0" w:afterAutospacing="0" w:line="240" w:lineRule="atLeast"/>
        <w:ind w:firstLine="480"/>
        <w:rPr>
          <w:rFonts w:cs="Times New Roman"/>
        </w:rPr>
      </w:pPr>
      <w:r>
        <w:t>6.</w:t>
      </w:r>
      <w:r>
        <w:rPr>
          <w:rFonts w:hint="eastAsia"/>
        </w:rPr>
        <w:t>质疑供应商为自然人的，质疑函应由本人签字；质疑供应商为法人或者其他组织的，质疑函应由法定代表人、主要负责人，或者其授权代表签字或者盖章，并加盖公章。</w:t>
      </w:r>
    </w:p>
    <w:p w14:paraId="60064CCB">
      <w:pPr>
        <w:pStyle w:val="44"/>
        <w:keepNext/>
        <w:keepLines/>
        <w:spacing w:beforeAutospacing="0" w:afterAutospacing="0"/>
        <w:rPr>
          <w:rFonts w:cs="Times New Roman"/>
        </w:rPr>
      </w:pPr>
    </w:p>
    <w:p w14:paraId="3D4D6C7B">
      <w:pPr>
        <w:keepNext/>
        <w:keepLines/>
        <w:widowControl/>
        <w:spacing w:line="500" w:lineRule="exact"/>
        <w:rPr>
          <w:rFonts w:cs="Times New Roman"/>
        </w:rPr>
      </w:pPr>
    </w:p>
    <w:sectPr>
      <w:footerReference r:id="rId6" w:type="default"/>
      <w:pgSz w:w="11906" w:h="16838"/>
      <w:pgMar w:top="1015" w:right="1196" w:bottom="868" w:left="1259" w:header="851" w:footer="907"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_GB2312">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方正黑体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方正楷体_GBK">
    <w:altName w:val="微软雅黑"/>
    <w:panose1 w:val="00000000000000000000"/>
    <w:charset w:val="86"/>
    <w:family w:val="script"/>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方正小标宋_GBK">
    <w:altName w:val="微软雅黑"/>
    <w:panose1 w:val="00000000000000000000"/>
    <w:charset w:val="86"/>
    <w:family w:val="script"/>
    <w:pitch w:val="default"/>
    <w:sig w:usb0="00000000" w:usb1="00000000" w:usb2="00000010" w:usb3="00000000" w:csb0="00040000" w:csb1="0000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方正姚体">
    <w:panose1 w:val="02010601030101010101"/>
    <w:charset w:val="86"/>
    <w:family w:val="auto"/>
    <w:pitch w:val="default"/>
    <w:sig w:usb0="00000003" w:usb1="080E0000" w:usb2="00000000" w:usb3="00000000" w:csb0="00040000" w:csb1="00000000"/>
  </w:font>
  <w:font w:name="Book Antiqua">
    <w:panose1 w:val="02040602050305030304"/>
    <w:charset w:val="00"/>
    <w:family w:val="roman"/>
    <w:pitch w:val="default"/>
    <w:sig w:usb0="00000287" w:usb1="00000000" w:usb2="00000000" w:usb3="00000000" w:csb0="2000009F" w:csb1="DFD70000"/>
  </w:font>
  <w:font w:name="方正仿宋_GBK">
    <w:panose1 w:val="02000000000000000000"/>
    <w:charset w:val="86"/>
    <w:family w:val="script"/>
    <w:pitch w:val="default"/>
    <w:sig w:usb0="A00002BF" w:usb1="38CF7CFA" w:usb2="00082016" w:usb3="00000000" w:csb0="00040001" w:csb1="00000000"/>
  </w:font>
  <w:font w:name="华文中宋">
    <w:panose1 w:val="02010600040101010101"/>
    <w:charset w:val="86"/>
    <w:family w:val="auto"/>
    <w:pitch w:val="default"/>
    <w:sig w:usb0="00000287" w:usb1="080F0000" w:usb2="00000000" w:usb3="00000000" w:csb0="0004009F" w:csb1="DFD70000"/>
  </w:font>
  <w:font w:name="??">
    <w:altName w:val="Segoe Print"/>
    <w:panose1 w:val="00000000000000000000"/>
    <w:charset w:val="00"/>
    <w:family w:val="auto"/>
    <w:pitch w:val="default"/>
    <w:sig w:usb0="00000000" w:usb1="00000000" w:usb2="00000000" w:usb3="00000000" w:csb0="0000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CE5ABE">
    <w:pPr>
      <w:pStyle w:val="30"/>
      <w:rPr>
        <w:rFonts w:cs="Times New Roman"/>
      </w:rPr>
    </w:pPr>
  </w:p>
  <w:p w14:paraId="6982F7F0">
    <w:pPr>
      <w:pStyle w:val="30"/>
      <w:rPr>
        <w:rFonts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A0EB3E">
    <w:pPr>
      <w:pStyle w:val="30"/>
      <w:rPr>
        <w:rFonts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DF86B0">
    <w:pPr>
      <w:pStyle w:val="30"/>
      <w:rPr>
        <w:rFonts w:cs="Times New Roman"/>
      </w:rPr>
    </w:pPr>
    <w:r>
      <mc:AlternateContent>
        <mc:Choice Requires="wps">
          <w:drawing>
            <wp:anchor distT="0" distB="0" distL="114300" distR="114300" simplePos="0" relativeHeight="251661312" behindDoc="0" locked="1" layoutInCell="1" allowOverlap="1">
              <wp:simplePos x="0" y="0"/>
              <wp:positionH relativeFrom="margin">
                <wp:align>center</wp:align>
              </wp:positionH>
              <wp:positionV relativeFrom="paragraph">
                <wp:posOffset>0</wp:posOffset>
              </wp:positionV>
              <wp:extent cx="1828800" cy="1828800"/>
              <wp:effectExtent l="0" t="0" r="0" b="0"/>
              <wp:wrapNone/>
              <wp:docPr id="6"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1971D8D5">
                          <w:pPr>
                            <w:pStyle w:val="30"/>
                            <w:rPr>
                              <w:rFonts w:cs="Times New Roman"/>
                            </w:rPr>
                          </w:pPr>
                          <w:r>
                            <w:fldChar w:fldCharType="begin"/>
                          </w:r>
                          <w:r>
                            <w:instrText xml:space="preserve"> PAGE  \* MERGEFORMAT </w:instrText>
                          </w:r>
                          <w:r>
                            <w:fldChar w:fldCharType="separate"/>
                          </w:r>
                          <w:r>
                            <w:t>27</w:t>
                          </w:r>
                          <w:r>
                            <w:fldChar w:fldCharType="end"/>
                          </w:r>
                        </w:p>
                      </w:txbxContent>
                    </wps:txbx>
                    <wps:bodyPr wrap="none" lIns="0" tIns="0" rIns="0" bIns="0" upright="1">
                      <a:spAutoFit/>
                    </wps:bodyPr>
                  </wps:wsp>
                </a:graphicData>
              </a:graphic>
            </wp:anchor>
          </w:drawing>
        </mc:Choice>
        <mc:Fallback>
          <w:pict>
            <v:shape id="文本框 14"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JWO7QAAAABQEAAA8AAAAAAAAAAQAgAAAAIgAAAGRycy9k&#10;b3ducmV2LnhtbFBLAQIUABQAAAAIAIdO4kDjJ6fk0QEAAKMDAAAOAAAAAAAAAAEAIAAAAB8BAABk&#10;cnMvZTJvRG9jLnhtbFBLBQYAAAAABgAGAFkBAABiBQAAAAA=&#10;">
              <v:fill on="f" focussize="0,0"/>
              <v:stroke on="f" weight="0.5pt"/>
              <v:imagedata o:title=""/>
              <o:lock v:ext="edit" aspectratio="f"/>
              <v:textbox inset="0mm,0mm,0mm,0mm" style="mso-fit-shape-to-text:t;">
                <w:txbxContent>
                  <w:p w14:paraId="1971D8D5">
                    <w:pPr>
                      <w:pStyle w:val="30"/>
                      <w:rPr>
                        <w:rFonts w:cs="Times New Roman"/>
                      </w:rPr>
                    </w:pPr>
                    <w:r>
                      <w:fldChar w:fldCharType="begin"/>
                    </w:r>
                    <w:r>
                      <w:instrText xml:space="preserve"> PAGE  \* MERGEFORMAT </w:instrText>
                    </w:r>
                    <w:r>
                      <w:fldChar w:fldCharType="separate"/>
                    </w:r>
                    <w:r>
                      <w:t>27</w:t>
                    </w:r>
                    <w:r>
                      <w:fldChar w:fldCharType="end"/>
                    </w:r>
                  </w:p>
                </w:txbxContent>
              </v:textbox>
              <w10:anchorlock/>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3FF09F">
    <w:pPr>
      <w:pStyle w:val="3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Times New Roman"/>
      </w:rPr>
    </w:lvl>
    <w:lvl w:ilvl="2" w:tentative="0">
      <w:start w:val="1"/>
      <w:numFmt w:val="bullet"/>
      <w:lvlText w:val="§"/>
      <w:lvlJc w:val="left"/>
      <w:pPr>
        <w:ind w:left="2160" w:hanging="360"/>
      </w:pPr>
      <w:rPr>
        <w:rFonts w:hint="default" w:ascii="Wingdings" w:hAnsi="Wingdings" w:eastAsia="Times New Roman"/>
      </w:rPr>
    </w:lvl>
    <w:lvl w:ilvl="3" w:tentative="0">
      <w:start w:val="1"/>
      <w:numFmt w:val="bullet"/>
      <w:lvlText w:val="·"/>
      <w:lvlJc w:val="left"/>
      <w:pPr>
        <w:ind w:left="2880" w:hanging="360"/>
      </w:pPr>
      <w:rPr>
        <w:rFonts w:hint="default" w:ascii="Symbol" w:hAnsi="Symbol" w:eastAsia="Times New Roman"/>
      </w:rPr>
    </w:lvl>
    <w:lvl w:ilvl="4" w:tentative="0">
      <w:start w:val="1"/>
      <w:numFmt w:val="bullet"/>
      <w:lvlText w:val="o"/>
      <w:lvlJc w:val="left"/>
      <w:pPr>
        <w:ind w:left="3600" w:hanging="360"/>
      </w:pPr>
      <w:rPr>
        <w:rFonts w:hint="default" w:ascii="Courier New" w:hAnsi="Courier New" w:eastAsia="Times New Roman"/>
      </w:rPr>
    </w:lvl>
    <w:lvl w:ilvl="5" w:tentative="0">
      <w:start w:val="1"/>
      <w:numFmt w:val="bullet"/>
      <w:lvlText w:val="§"/>
      <w:lvlJc w:val="left"/>
      <w:pPr>
        <w:ind w:left="4320" w:hanging="360"/>
      </w:pPr>
      <w:rPr>
        <w:rFonts w:hint="default" w:ascii="Wingdings" w:hAnsi="Wingdings" w:eastAsia="Times New Roman"/>
      </w:rPr>
    </w:lvl>
    <w:lvl w:ilvl="6" w:tentative="0">
      <w:start w:val="1"/>
      <w:numFmt w:val="bullet"/>
      <w:lvlText w:val="·"/>
      <w:lvlJc w:val="left"/>
      <w:pPr>
        <w:ind w:left="5040" w:hanging="360"/>
      </w:pPr>
      <w:rPr>
        <w:rFonts w:hint="default" w:ascii="Symbol" w:hAnsi="Symbol" w:eastAsia="Times New Roman"/>
      </w:rPr>
    </w:lvl>
    <w:lvl w:ilvl="7" w:tentative="0">
      <w:start w:val="1"/>
      <w:numFmt w:val="bullet"/>
      <w:lvlText w:val="o"/>
      <w:lvlJc w:val="left"/>
      <w:pPr>
        <w:ind w:left="5760" w:hanging="360"/>
      </w:pPr>
      <w:rPr>
        <w:rFonts w:hint="default" w:ascii="Courier New" w:hAnsi="Courier New" w:eastAsia="Times New Roman"/>
      </w:rPr>
    </w:lvl>
    <w:lvl w:ilvl="8" w:tentative="0">
      <w:start w:val="1"/>
      <w:numFmt w:val="bullet"/>
      <w:lvlText w:val="§"/>
      <w:lvlJc w:val="left"/>
      <w:pPr>
        <w:ind w:left="6480" w:hanging="360"/>
      </w:pPr>
      <w:rPr>
        <w:rFonts w:hint="default" w:ascii="Wingdings" w:hAnsi="Wingdings" w:eastAsia="Times New Roman"/>
      </w:rPr>
    </w:lvl>
  </w:abstractNum>
  <w:abstractNum w:abstractNumId="1">
    <w:nsid w:val="0AD1A8DB"/>
    <w:multiLevelType w:val="singleLevel"/>
    <w:tmpl w:val="0AD1A8DB"/>
    <w:lvl w:ilvl="0" w:tentative="0">
      <w:start w:val="1"/>
      <w:numFmt w:val="decimal"/>
      <w:lvlText w:val="%1."/>
      <w:lvlJc w:val="left"/>
      <w:pPr>
        <w:tabs>
          <w:tab w:val="left" w:pos="312"/>
        </w:tabs>
      </w:pPr>
    </w:lvl>
  </w:abstractNum>
  <w:abstractNum w:abstractNumId="2">
    <w:nsid w:val="467E3D00"/>
    <w:multiLevelType w:val="singleLevel"/>
    <w:tmpl w:val="467E3D00"/>
    <w:lvl w:ilvl="0" w:tentative="0">
      <w:start w:val="1"/>
      <w:numFmt w:val="decimal"/>
      <w:suff w:val="nothing"/>
      <w:lvlText w:val="%1、"/>
      <w:lvlJc w:val="left"/>
    </w:lvl>
  </w:abstractNum>
  <w:abstractNum w:abstractNumId="3">
    <w:nsid w:val="57098586"/>
    <w:multiLevelType w:val="singleLevel"/>
    <w:tmpl w:val="57098586"/>
    <w:lvl w:ilvl="0" w:tentative="0">
      <w:start w:val="2"/>
      <w:numFmt w:val="decimal"/>
      <w:suff w:val="nothing"/>
      <w:lvlText w:val="（%1）"/>
      <w:lvlJc w:val="left"/>
    </w:lvl>
  </w:abstractNum>
  <w:abstractNum w:abstractNumId="4">
    <w:nsid w:val="59ADCABA"/>
    <w:multiLevelType w:val="multilevel"/>
    <w:tmpl w:val="59ADCABA"/>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Times New Roman"/>
      </w:rPr>
    </w:lvl>
    <w:lvl w:ilvl="2" w:tentative="0">
      <w:start w:val="1"/>
      <w:numFmt w:val="bullet"/>
      <w:lvlText w:val="§"/>
      <w:lvlJc w:val="left"/>
      <w:pPr>
        <w:ind w:left="2160" w:hanging="360"/>
      </w:pPr>
      <w:rPr>
        <w:rFonts w:hint="default" w:ascii="Wingdings" w:hAnsi="Wingdings" w:eastAsia="Times New Roman"/>
      </w:rPr>
    </w:lvl>
    <w:lvl w:ilvl="3" w:tentative="0">
      <w:start w:val="1"/>
      <w:numFmt w:val="bullet"/>
      <w:lvlText w:val="·"/>
      <w:lvlJc w:val="left"/>
      <w:pPr>
        <w:ind w:left="2880" w:hanging="360"/>
      </w:pPr>
      <w:rPr>
        <w:rFonts w:hint="default" w:ascii="Symbol" w:hAnsi="Symbol" w:eastAsia="Times New Roman"/>
      </w:rPr>
    </w:lvl>
    <w:lvl w:ilvl="4" w:tentative="0">
      <w:start w:val="1"/>
      <w:numFmt w:val="bullet"/>
      <w:lvlText w:val="o"/>
      <w:lvlJc w:val="left"/>
      <w:pPr>
        <w:ind w:left="3600" w:hanging="360"/>
      </w:pPr>
      <w:rPr>
        <w:rFonts w:hint="default" w:ascii="Courier New" w:hAnsi="Courier New" w:eastAsia="Times New Roman"/>
      </w:rPr>
    </w:lvl>
    <w:lvl w:ilvl="5" w:tentative="0">
      <w:start w:val="1"/>
      <w:numFmt w:val="bullet"/>
      <w:lvlText w:val="§"/>
      <w:lvlJc w:val="left"/>
      <w:pPr>
        <w:ind w:left="4320" w:hanging="360"/>
      </w:pPr>
      <w:rPr>
        <w:rFonts w:hint="default" w:ascii="Wingdings" w:hAnsi="Wingdings" w:eastAsia="Times New Roman"/>
      </w:rPr>
    </w:lvl>
    <w:lvl w:ilvl="6" w:tentative="0">
      <w:start w:val="1"/>
      <w:numFmt w:val="bullet"/>
      <w:lvlText w:val="·"/>
      <w:lvlJc w:val="left"/>
      <w:pPr>
        <w:ind w:left="5040" w:hanging="360"/>
      </w:pPr>
      <w:rPr>
        <w:rFonts w:hint="default" w:ascii="Symbol" w:hAnsi="Symbol" w:eastAsia="Times New Roman"/>
      </w:rPr>
    </w:lvl>
    <w:lvl w:ilvl="7" w:tentative="0">
      <w:start w:val="1"/>
      <w:numFmt w:val="bullet"/>
      <w:lvlText w:val="o"/>
      <w:lvlJc w:val="left"/>
      <w:pPr>
        <w:ind w:left="5760" w:hanging="360"/>
      </w:pPr>
      <w:rPr>
        <w:rFonts w:hint="default" w:ascii="Courier New" w:hAnsi="Courier New" w:eastAsia="Times New Roman"/>
      </w:rPr>
    </w:lvl>
    <w:lvl w:ilvl="8" w:tentative="0">
      <w:start w:val="1"/>
      <w:numFmt w:val="bullet"/>
      <w:lvlText w:val="§"/>
      <w:lvlJc w:val="left"/>
      <w:pPr>
        <w:ind w:left="6480" w:hanging="360"/>
      </w:pPr>
      <w:rPr>
        <w:rFonts w:hint="default" w:ascii="Wingdings" w:hAnsi="Wingdings" w:eastAsia="Times New Roman"/>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oNotHyphenateCaps/>
  <w:displayHorizontalDrawingGridEvery w:val="1"/>
  <w:displayVerticalDrawingGridEvery w:val="1"/>
  <w:noPunctuationKerning w:val="1"/>
  <w:characterSpacingControl w:val="doNotCompress"/>
  <w:noLineBreaksAfter w:lang="zh-CN" w:val="$([{£¥·‘“〈《「『【〔〖〝﹙﹛﹝＄（．［｛￡￥"/>
  <w:noLineBreaksBefore w:lang="zh-CN" w:val="!%),.:;&gt;?]}¢¨°·ˇˉ―‖’”…‰′″›℃∶、。〃〉》」』】〕〗〞︶︺︾﹀﹄﹚﹜﹞！＂％＇），．：；？］｀｜｝～￠"/>
  <w:doNotValidateAgainstSchema/>
  <w:doNotDemarcateInvalidXml/>
  <w:hdrShapeDefaults>
    <o:shapelayout v:ext="edit">
      <o:idmap v:ext="edit" data="2"/>
    </o:shapelayout>
  </w:hdrShapeDefaults>
  <w:compat>
    <w:balanceSingleByteDoubleByteWidth/>
    <w:ulTrailSpace/>
    <w:doNotExpandShiftReturn/>
    <w:doNotWrapTextWithPunct/>
    <w:doNotUseEastAsianBreakRules/>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3747"/>
    <w:rsid w:val="00076534"/>
    <w:rsid w:val="0009495A"/>
    <w:rsid w:val="000C67A3"/>
    <w:rsid w:val="000F50BC"/>
    <w:rsid w:val="00257B5A"/>
    <w:rsid w:val="002B59AE"/>
    <w:rsid w:val="002B7802"/>
    <w:rsid w:val="00301529"/>
    <w:rsid w:val="00397D54"/>
    <w:rsid w:val="003F3747"/>
    <w:rsid w:val="00406DE6"/>
    <w:rsid w:val="004A71A0"/>
    <w:rsid w:val="00530666"/>
    <w:rsid w:val="005374B6"/>
    <w:rsid w:val="005A570E"/>
    <w:rsid w:val="005B2252"/>
    <w:rsid w:val="005C19B8"/>
    <w:rsid w:val="005E21E2"/>
    <w:rsid w:val="00610335"/>
    <w:rsid w:val="006B1739"/>
    <w:rsid w:val="006F18B5"/>
    <w:rsid w:val="007044A9"/>
    <w:rsid w:val="00707661"/>
    <w:rsid w:val="0073142A"/>
    <w:rsid w:val="007A6815"/>
    <w:rsid w:val="007E0FFB"/>
    <w:rsid w:val="0084666E"/>
    <w:rsid w:val="008A4834"/>
    <w:rsid w:val="00A07561"/>
    <w:rsid w:val="00AB554B"/>
    <w:rsid w:val="00B93680"/>
    <w:rsid w:val="00B96246"/>
    <w:rsid w:val="00C003DC"/>
    <w:rsid w:val="00C11739"/>
    <w:rsid w:val="00C758B1"/>
    <w:rsid w:val="00C840F2"/>
    <w:rsid w:val="00CB444E"/>
    <w:rsid w:val="00CD22A1"/>
    <w:rsid w:val="00CE5713"/>
    <w:rsid w:val="00D03B9B"/>
    <w:rsid w:val="00EA00F0"/>
    <w:rsid w:val="00FB37BB"/>
    <w:rsid w:val="00FC66C0"/>
    <w:rsid w:val="00FD0528"/>
    <w:rsid w:val="00FD7191"/>
    <w:rsid w:val="01AC6DDE"/>
    <w:rsid w:val="024B505A"/>
    <w:rsid w:val="025F1A63"/>
    <w:rsid w:val="027F6BFE"/>
    <w:rsid w:val="033B50CF"/>
    <w:rsid w:val="03784A68"/>
    <w:rsid w:val="03814022"/>
    <w:rsid w:val="04AE2C39"/>
    <w:rsid w:val="052B1309"/>
    <w:rsid w:val="053662B0"/>
    <w:rsid w:val="05502988"/>
    <w:rsid w:val="06FF01C2"/>
    <w:rsid w:val="08B92089"/>
    <w:rsid w:val="09155CBA"/>
    <w:rsid w:val="093323A4"/>
    <w:rsid w:val="09500123"/>
    <w:rsid w:val="098D1B12"/>
    <w:rsid w:val="09B647BE"/>
    <w:rsid w:val="09FD7B6C"/>
    <w:rsid w:val="0A5E7343"/>
    <w:rsid w:val="0AED7930"/>
    <w:rsid w:val="0C0C6EFB"/>
    <w:rsid w:val="0FB6788B"/>
    <w:rsid w:val="10BD0FE3"/>
    <w:rsid w:val="11286567"/>
    <w:rsid w:val="11484C65"/>
    <w:rsid w:val="11627CCB"/>
    <w:rsid w:val="11A0721A"/>
    <w:rsid w:val="121B0AA1"/>
    <w:rsid w:val="13187992"/>
    <w:rsid w:val="13481E38"/>
    <w:rsid w:val="140D2FCF"/>
    <w:rsid w:val="14936373"/>
    <w:rsid w:val="14CC09C0"/>
    <w:rsid w:val="16107579"/>
    <w:rsid w:val="169E103B"/>
    <w:rsid w:val="18502F73"/>
    <w:rsid w:val="18A064D2"/>
    <w:rsid w:val="192D6E10"/>
    <w:rsid w:val="198F214B"/>
    <w:rsid w:val="1BA718CC"/>
    <w:rsid w:val="1BE66A17"/>
    <w:rsid w:val="1C8C02F2"/>
    <w:rsid w:val="1D76522A"/>
    <w:rsid w:val="1D781302"/>
    <w:rsid w:val="1DC85359"/>
    <w:rsid w:val="1E22286A"/>
    <w:rsid w:val="1FB43DE7"/>
    <w:rsid w:val="1FC009DE"/>
    <w:rsid w:val="200A4EB0"/>
    <w:rsid w:val="2091237A"/>
    <w:rsid w:val="20BD26C8"/>
    <w:rsid w:val="21E875D2"/>
    <w:rsid w:val="22492B42"/>
    <w:rsid w:val="2257676B"/>
    <w:rsid w:val="22960CAC"/>
    <w:rsid w:val="23DA5DE6"/>
    <w:rsid w:val="24063296"/>
    <w:rsid w:val="247901A6"/>
    <w:rsid w:val="24BC54EC"/>
    <w:rsid w:val="24FA320F"/>
    <w:rsid w:val="251D41DD"/>
    <w:rsid w:val="253F28E0"/>
    <w:rsid w:val="266C221C"/>
    <w:rsid w:val="26C308FB"/>
    <w:rsid w:val="27473793"/>
    <w:rsid w:val="27922F76"/>
    <w:rsid w:val="293E14CB"/>
    <w:rsid w:val="29FE6708"/>
    <w:rsid w:val="2A0E30FC"/>
    <w:rsid w:val="2B6B3DF9"/>
    <w:rsid w:val="2C4D75F9"/>
    <w:rsid w:val="2C8D7E9A"/>
    <w:rsid w:val="2D360531"/>
    <w:rsid w:val="2D6D5331"/>
    <w:rsid w:val="2E0407CA"/>
    <w:rsid w:val="2FC02334"/>
    <w:rsid w:val="3069477A"/>
    <w:rsid w:val="310426F5"/>
    <w:rsid w:val="313E5C07"/>
    <w:rsid w:val="32114049"/>
    <w:rsid w:val="32496611"/>
    <w:rsid w:val="335E044B"/>
    <w:rsid w:val="33994FBD"/>
    <w:rsid w:val="339F0930"/>
    <w:rsid w:val="34143663"/>
    <w:rsid w:val="342E20E5"/>
    <w:rsid w:val="348F587F"/>
    <w:rsid w:val="356263C7"/>
    <w:rsid w:val="35643762"/>
    <w:rsid w:val="358647AC"/>
    <w:rsid w:val="35F965A0"/>
    <w:rsid w:val="366E153F"/>
    <w:rsid w:val="36773F84"/>
    <w:rsid w:val="36FA5C98"/>
    <w:rsid w:val="3781684D"/>
    <w:rsid w:val="37874C8A"/>
    <w:rsid w:val="37C4673A"/>
    <w:rsid w:val="37CF04C4"/>
    <w:rsid w:val="382409E1"/>
    <w:rsid w:val="39FB2A28"/>
    <w:rsid w:val="3A087528"/>
    <w:rsid w:val="3B641364"/>
    <w:rsid w:val="3DAC6AEB"/>
    <w:rsid w:val="3E7B0D04"/>
    <w:rsid w:val="3F03223E"/>
    <w:rsid w:val="3F63690D"/>
    <w:rsid w:val="40C6506A"/>
    <w:rsid w:val="415F68B7"/>
    <w:rsid w:val="42032544"/>
    <w:rsid w:val="420A3A91"/>
    <w:rsid w:val="4269060A"/>
    <w:rsid w:val="42D00689"/>
    <w:rsid w:val="43577553"/>
    <w:rsid w:val="43860D47"/>
    <w:rsid w:val="44837027"/>
    <w:rsid w:val="45F10E9E"/>
    <w:rsid w:val="463A78E2"/>
    <w:rsid w:val="46D16264"/>
    <w:rsid w:val="47024B89"/>
    <w:rsid w:val="471A1ED2"/>
    <w:rsid w:val="47817EF5"/>
    <w:rsid w:val="489B7043"/>
    <w:rsid w:val="48EC3D42"/>
    <w:rsid w:val="48EE6DB8"/>
    <w:rsid w:val="4ADD28F1"/>
    <w:rsid w:val="4B58746D"/>
    <w:rsid w:val="4C4B0715"/>
    <w:rsid w:val="4C5A1295"/>
    <w:rsid w:val="4C7B4571"/>
    <w:rsid w:val="4D2579E6"/>
    <w:rsid w:val="4D7B71DC"/>
    <w:rsid w:val="4DEF40B9"/>
    <w:rsid w:val="4E117FDF"/>
    <w:rsid w:val="4E8537FD"/>
    <w:rsid w:val="4F293FAC"/>
    <w:rsid w:val="4F6208BA"/>
    <w:rsid w:val="4F8B0219"/>
    <w:rsid w:val="50B92BBB"/>
    <w:rsid w:val="51EE4687"/>
    <w:rsid w:val="52041801"/>
    <w:rsid w:val="521D70D9"/>
    <w:rsid w:val="52232583"/>
    <w:rsid w:val="524A2CC9"/>
    <w:rsid w:val="52F023EE"/>
    <w:rsid w:val="545676C7"/>
    <w:rsid w:val="55314FB7"/>
    <w:rsid w:val="556E58DC"/>
    <w:rsid w:val="560702B6"/>
    <w:rsid w:val="56190A2B"/>
    <w:rsid w:val="5685383D"/>
    <w:rsid w:val="56AF5AF8"/>
    <w:rsid w:val="57944C22"/>
    <w:rsid w:val="5878158A"/>
    <w:rsid w:val="58E12C05"/>
    <w:rsid w:val="59154BEF"/>
    <w:rsid w:val="5A0673B1"/>
    <w:rsid w:val="5A3A457C"/>
    <w:rsid w:val="5A9E2948"/>
    <w:rsid w:val="5B130BC0"/>
    <w:rsid w:val="5BD20E3D"/>
    <w:rsid w:val="5C076A71"/>
    <w:rsid w:val="5C26389B"/>
    <w:rsid w:val="5C2A09B2"/>
    <w:rsid w:val="5C605C82"/>
    <w:rsid w:val="5CA4101E"/>
    <w:rsid w:val="5E987E55"/>
    <w:rsid w:val="5EAC1B52"/>
    <w:rsid w:val="5EB63635"/>
    <w:rsid w:val="5ED82947"/>
    <w:rsid w:val="60E7145F"/>
    <w:rsid w:val="6142054C"/>
    <w:rsid w:val="61843046"/>
    <w:rsid w:val="624A4268"/>
    <w:rsid w:val="624C1682"/>
    <w:rsid w:val="625B46ED"/>
    <w:rsid w:val="6303489C"/>
    <w:rsid w:val="63951E58"/>
    <w:rsid w:val="63AE5A9D"/>
    <w:rsid w:val="642425D4"/>
    <w:rsid w:val="650049A6"/>
    <w:rsid w:val="652B2547"/>
    <w:rsid w:val="655A2308"/>
    <w:rsid w:val="65D16F65"/>
    <w:rsid w:val="660D4C01"/>
    <w:rsid w:val="66100C18"/>
    <w:rsid w:val="66E71979"/>
    <w:rsid w:val="686A62DD"/>
    <w:rsid w:val="6894193D"/>
    <w:rsid w:val="68E72104"/>
    <w:rsid w:val="69AF24F6"/>
    <w:rsid w:val="69DC367E"/>
    <w:rsid w:val="69E44896"/>
    <w:rsid w:val="6B0A2457"/>
    <w:rsid w:val="6B4D6F49"/>
    <w:rsid w:val="6BBA2FAF"/>
    <w:rsid w:val="6C4D6D07"/>
    <w:rsid w:val="6CFC70D1"/>
    <w:rsid w:val="6D8C327A"/>
    <w:rsid w:val="6DEE4FE9"/>
    <w:rsid w:val="6EA03D57"/>
    <w:rsid w:val="6EE73906"/>
    <w:rsid w:val="6F354B24"/>
    <w:rsid w:val="6F936B31"/>
    <w:rsid w:val="707613E2"/>
    <w:rsid w:val="70B86135"/>
    <w:rsid w:val="70F21D21"/>
    <w:rsid w:val="7133623A"/>
    <w:rsid w:val="71613696"/>
    <w:rsid w:val="71E13469"/>
    <w:rsid w:val="721820C0"/>
    <w:rsid w:val="724F0D1A"/>
    <w:rsid w:val="72A73108"/>
    <w:rsid w:val="72F773E8"/>
    <w:rsid w:val="74341F76"/>
    <w:rsid w:val="74392BD3"/>
    <w:rsid w:val="744628B9"/>
    <w:rsid w:val="749E6817"/>
    <w:rsid w:val="7725204A"/>
    <w:rsid w:val="77AD3CB2"/>
    <w:rsid w:val="780F2606"/>
    <w:rsid w:val="78EA392B"/>
    <w:rsid w:val="79042BA5"/>
    <w:rsid w:val="791C1AC9"/>
    <w:rsid w:val="79CA3AE0"/>
    <w:rsid w:val="79ED7756"/>
    <w:rsid w:val="7A0B3779"/>
    <w:rsid w:val="7B841A35"/>
    <w:rsid w:val="7BAE0860"/>
    <w:rsid w:val="7C1728A9"/>
    <w:rsid w:val="7C425D14"/>
    <w:rsid w:val="7CE07475"/>
    <w:rsid w:val="7D3859D6"/>
    <w:rsid w:val="7D6728EB"/>
    <w:rsid w:val="7E3808B5"/>
    <w:rsid w:val="7EAC18CB"/>
    <w:rsid w:val="7F594F87"/>
    <w:rsid w:val="7FFE5E09"/>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name="index 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name="toc 1"/>
    <w:lsdException w:qFormat="1" w:unhideWhenUsed="0" w:uiPriority="99" w:name="toc 2"/>
    <w:lsdException w:qFormat="1" w:unhideWhenUsed="0" w:uiPriority="99"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qFormat="1" w:unhideWhenUsed="0" w:uiPriority="99" w:name="toc 8"/>
    <w:lsdException w:qFormat="1" w:unhideWhenUsed="0" w:uiPriority="99" w:name="toc 9"/>
    <w:lsdException w:qFormat="1" w:unhideWhenUsed="0" w:uiPriority="99" w:semiHidden="0" w:name="Normal Indent"/>
    <w:lsdException w:qFormat="1" w:unhideWhenUsed="0" w:uiPriority="99" w:name="footnote text"/>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qFormat="1" w:unhideWhenUsed="0" w:uiPriority="99" w:name="table of figures"/>
    <w:lsdException w:uiPriority="99" w:name="envelope address" w:locked="1"/>
    <w:lsdException w:qFormat="1" w:unhideWhenUsed="0" w:uiPriority="99" w:semiHidden="0" w:name="envelope return"/>
    <w:lsdException w:qFormat="1" w:unhideWhenUsed="0" w:uiPriority="99" w:name="footnote reference"/>
    <w:lsdException w:qFormat="1" w:unhideWhenUsed="0" w:uiPriority="99" w:name="annotation reference"/>
    <w:lsdException w:uiPriority="99" w:name="line number" w:locked="1"/>
    <w:lsdException w:qFormat="1" w:unhideWhenUsed="0" w:uiPriority="99" w:semiHidden="0" w:name="page number"/>
    <w:lsdException w:qFormat="1" w:unhideWhenUsed="0" w:uiPriority="99" w:name="endnote reference"/>
    <w:lsdException w:qFormat="1" w:unhideWhenUsed="0" w:uiPriority="99" w:name="endnote text"/>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nhideWhenUsed="0" w:uiPriority="99" w:name="Default Paragraph Font"/>
    <w:lsdException w:qFormat="1" w:unhideWhenUsed="0" w:uiPriority="99" w:semiHidden="0" w:name="Body Text"/>
    <w:lsdException w:qFormat="1" w:unhideWhenUsed="0" w:uiPriority="99" w:semiHidden="0" w:name="Body Text Indent"/>
    <w:lsdException w:uiPriority="99" w:name="List Continue" w:locked="1"/>
    <w:lsdException w:qFormat="1" w:unhideWhenUsed="0" w:uiPriority="99" w:semiHidden="0" w:name="List Continue 2"/>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qFormat="1" w:unhideWhenUsed="0" w:uiPriority="99" w:semiHidden="0" w:name="HTML Preformatted"/>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99" w:semiHidden="0" w:name="Quote"/>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0"/>
      <w:sz w:val="21"/>
      <w:szCs w:val="21"/>
      <w:lang w:val="en-US" w:eastAsia="zh-CN" w:bidi="ar-SA"/>
    </w:rPr>
  </w:style>
  <w:style w:type="paragraph" w:styleId="2">
    <w:name w:val="heading 1"/>
    <w:basedOn w:val="1"/>
    <w:next w:val="1"/>
    <w:link w:val="267"/>
    <w:qFormat/>
    <w:uiPriority w:val="99"/>
    <w:pPr>
      <w:keepNext/>
      <w:outlineLvl w:val="0"/>
    </w:pPr>
    <w:rPr>
      <w:rFonts w:ascii="楷体_GB2312" w:hAnsi="Times New Roman" w:eastAsia="楷体_GB2312" w:cs="楷体_GB2312"/>
      <w:sz w:val="28"/>
      <w:szCs w:val="28"/>
    </w:rPr>
  </w:style>
  <w:style w:type="paragraph" w:styleId="3">
    <w:name w:val="heading 2"/>
    <w:basedOn w:val="1"/>
    <w:next w:val="1"/>
    <w:link w:val="268"/>
    <w:qFormat/>
    <w:uiPriority w:val="99"/>
    <w:pPr>
      <w:keepNext/>
      <w:keepLines/>
      <w:spacing w:before="260" w:after="260" w:line="416" w:lineRule="auto"/>
      <w:jc w:val="center"/>
      <w:outlineLvl w:val="1"/>
    </w:pPr>
    <w:rPr>
      <w:rFonts w:ascii="Arial" w:hAnsi="Arial" w:eastAsia="幼圆" w:cs="Arial"/>
      <w:b/>
      <w:bCs/>
      <w:sz w:val="44"/>
      <w:szCs w:val="44"/>
    </w:rPr>
  </w:style>
  <w:style w:type="paragraph" w:styleId="4">
    <w:name w:val="heading 3"/>
    <w:basedOn w:val="1"/>
    <w:next w:val="1"/>
    <w:link w:val="63"/>
    <w:qFormat/>
    <w:uiPriority w:val="99"/>
    <w:pPr>
      <w:keepNext/>
      <w:keepLines/>
      <w:spacing w:before="260" w:after="260" w:line="416" w:lineRule="auto"/>
      <w:outlineLvl w:val="2"/>
    </w:pPr>
    <w:rPr>
      <w:b/>
      <w:bCs/>
      <w:sz w:val="32"/>
      <w:szCs w:val="32"/>
    </w:rPr>
  </w:style>
  <w:style w:type="paragraph" w:styleId="5">
    <w:name w:val="heading 4"/>
    <w:basedOn w:val="1"/>
    <w:next w:val="1"/>
    <w:link w:val="64"/>
    <w:qFormat/>
    <w:uiPriority w:val="99"/>
    <w:pPr>
      <w:keepNext/>
      <w:keepLines/>
      <w:spacing w:before="280" w:after="290" w:line="376" w:lineRule="auto"/>
      <w:outlineLvl w:val="3"/>
    </w:pPr>
    <w:rPr>
      <w:rFonts w:ascii="Arial" w:hAnsi="Arial" w:eastAsia="黑体" w:cs="Arial"/>
      <w:b/>
      <w:bCs/>
      <w:sz w:val="28"/>
      <w:szCs w:val="28"/>
    </w:rPr>
  </w:style>
  <w:style w:type="paragraph" w:styleId="6">
    <w:name w:val="heading 5"/>
    <w:basedOn w:val="1"/>
    <w:next w:val="1"/>
    <w:link w:val="65"/>
    <w:qFormat/>
    <w:uiPriority w:val="99"/>
    <w:pPr>
      <w:keepNext/>
      <w:outlineLvl w:val="4"/>
    </w:pPr>
    <w:rPr>
      <w:rFonts w:ascii="宋体" w:hAnsi="宋体" w:cs="宋体"/>
      <w:b/>
      <w:bCs/>
    </w:rPr>
  </w:style>
  <w:style w:type="paragraph" w:styleId="7">
    <w:name w:val="heading 6"/>
    <w:basedOn w:val="1"/>
    <w:next w:val="1"/>
    <w:link w:val="66"/>
    <w:qFormat/>
    <w:uiPriority w:val="99"/>
    <w:pPr>
      <w:keepNext/>
      <w:keepLines/>
      <w:spacing w:before="320" w:after="200"/>
      <w:outlineLvl w:val="5"/>
    </w:pPr>
    <w:rPr>
      <w:rFonts w:ascii="Arial" w:hAnsi="Arial" w:cs="Arial"/>
      <w:b/>
      <w:bCs/>
      <w:sz w:val="22"/>
      <w:szCs w:val="22"/>
    </w:rPr>
  </w:style>
  <w:style w:type="paragraph" w:styleId="8">
    <w:name w:val="heading 7"/>
    <w:basedOn w:val="1"/>
    <w:next w:val="1"/>
    <w:link w:val="67"/>
    <w:qFormat/>
    <w:uiPriority w:val="99"/>
    <w:pPr>
      <w:keepNext/>
      <w:keepLines/>
      <w:spacing w:before="320" w:after="200"/>
      <w:outlineLvl w:val="6"/>
    </w:pPr>
    <w:rPr>
      <w:rFonts w:ascii="Arial" w:hAnsi="Arial" w:cs="Arial"/>
      <w:b/>
      <w:bCs/>
      <w:i/>
      <w:iCs/>
      <w:sz w:val="22"/>
      <w:szCs w:val="22"/>
    </w:rPr>
  </w:style>
  <w:style w:type="paragraph" w:styleId="9">
    <w:name w:val="heading 8"/>
    <w:basedOn w:val="1"/>
    <w:next w:val="1"/>
    <w:link w:val="68"/>
    <w:qFormat/>
    <w:uiPriority w:val="99"/>
    <w:pPr>
      <w:keepNext/>
      <w:keepLines/>
      <w:spacing w:before="320" w:after="200"/>
      <w:outlineLvl w:val="7"/>
    </w:pPr>
    <w:rPr>
      <w:rFonts w:ascii="Arial" w:hAnsi="Arial" w:cs="Arial"/>
      <w:i/>
      <w:iCs/>
      <w:sz w:val="22"/>
      <w:szCs w:val="22"/>
    </w:rPr>
  </w:style>
  <w:style w:type="paragraph" w:styleId="10">
    <w:name w:val="heading 9"/>
    <w:basedOn w:val="1"/>
    <w:next w:val="1"/>
    <w:link w:val="69"/>
    <w:qFormat/>
    <w:uiPriority w:val="99"/>
    <w:pPr>
      <w:keepNext/>
      <w:keepLines/>
      <w:spacing w:before="320" w:after="200"/>
      <w:outlineLvl w:val="8"/>
    </w:pPr>
    <w:rPr>
      <w:rFonts w:ascii="Arial" w:hAnsi="Arial" w:cs="Arial"/>
      <w:i/>
      <w:iCs/>
    </w:rPr>
  </w:style>
  <w:style w:type="character" w:default="1" w:styleId="52">
    <w:name w:val="Default Paragraph Font"/>
    <w:semiHidden/>
    <w:qFormat/>
    <w:uiPriority w:val="99"/>
  </w:style>
  <w:style w:type="table" w:default="1" w:styleId="5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semiHidden/>
    <w:qFormat/>
    <w:uiPriority w:val="99"/>
    <w:pPr>
      <w:ind w:left="2520"/>
    </w:pPr>
  </w:style>
  <w:style w:type="paragraph" w:styleId="12">
    <w:name w:val="Normal Indent"/>
    <w:basedOn w:val="1"/>
    <w:link w:val="269"/>
    <w:qFormat/>
    <w:uiPriority w:val="99"/>
    <w:pPr>
      <w:ind w:firstLine="420"/>
    </w:pPr>
    <w:rPr>
      <w:rFonts w:ascii="Times New Roman" w:hAnsi="Times New Roman" w:cs="Times New Roman"/>
    </w:rPr>
  </w:style>
  <w:style w:type="paragraph" w:styleId="13">
    <w:name w:val="caption"/>
    <w:basedOn w:val="1"/>
    <w:next w:val="1"/>
    <w:qFormat/>
    <w:uiPriority w:val="99"/>
    <w:pPr>
      <w:spacing w:line="276" w:lineRule="auto"/>
    </w:pPr>
    <w:rPr>
      <w:b/>
      <w:bCs/>
      <w:color w:val="4F81BD"/>
      <w:sz w:val="18"/>
      <w:szCs w:val="18"/>
    </w:rPr>
  </w:style>
  <w:style w:type="paragraph" w:styleId="14">
    <w:name w:val="Document Map"/>
    <w:basedOn w:val="1"/>
    <w:link w:val="70"/>
    <w:semiHidden/>
    <w:qFormat/>
    <w:uiPriority w:val="99"/>
    <w:pPr>
      <w:shd w:val="clear" w:color="auto" w:fill="000080"/>
    </w:pPr>
  </w:style>
  <w:style w:type="paragraph" w:styleId="15">
    <w:name w:val="annotation text"/>
    <w:basedOn w:val="1"/>
    <w:link w:val="71"/>
    <w:semiHidden/>
    <w:qFormat/>
    <w:uiPriority w:val="99"/>
    <w:pPr>
      <w:jc w:val="left"/>
    </w:pPr>
    <w:rPr>
      <w:rFonts w:ascii="Times New Roman" w:hAnsi="Times New Roman" w:cs="Times New Roman"/>
    </w:rPr>
  </w:style>
  <w:style w:type="paragraph" w:styleId="16">
    <w:name w:val="Body Text 3"/>
    <w:basedOn w:val="1"/>
    <w:link w:val="72"/>
    <w:qFormat/>
    <w:uiPriority w:val="99"/>
    <w:rPr>
      <w:rFonts w:ascii="??_GB2312" w:hAnsi="Arial" w:eastAsia="Times New Roman" w:cs="??_GB2312"/>
      <w:sz w:val="32"/>
      <w:szCs w:val="32"/>
    </w:rPr>
  </w:style>
  <w:style w:type="paragraph" w:styleId="17">
    <w:name w:val="Body Text"/>
    <w:basedOn w:val="1"/>
    <w:next w:val="18"/>
    <w:link w:val="73"/>
    <w:qFormat/>
    <w:uiPriority w:val="99"/>
    <w:rPr>
      <w:rFonts w:ascii="楷体_GB2312" w:hAnsi="Arial" w:eastAsia="楷体_GB2312" w:cs="楷体_GB2312"/>
      <w:sz w:val="28"/>
      <w:szCs w:val="28"/>
    </w:rPr>
  </w:style>
  <w:style w:type="paragraph" w:customStyle="1" w:styleId="18">
    <w:name w:val="Default"/>
    <w:qFormat/>
    <w:uiPriority w:val="99"/>
    <w:pPr>
      <w:widowControl w:val="0"/>
    </w:pPr>
    <w:rPr>
      <w:rFonts w:ascii="Calibri" w:hAnsi="Calibri" w:eastAsia="宋体" w:cs="Calibri"/>
      <w:color w:val="000000"/>
      <w:kern w:val="0"/>
      <w:sz w:val="24"/>
      <w:szCs w:val="24"/>
      <w:lang w:val="en-US" w:eastAsia="zh-CN" w:bidi="ar-SA"/>
    </w:rPr>
  </w:style>
  <w:style w:type="paragraph" w:styleId="19">
    <w:name w:val="Body Text Indent"/>
    <w:basedOn w:val="1"/>
    <w:next w:val="20"/>
    <w:link w:val="74"/>
    <w:qFormat/>
    <w:uiPriority w:val="99"/>
    <w:pPr>
      <w:ind w:firstLine="645"/>
    </w:pPr>
    <w:rPr>
      <w:rFonts w:ascii="楷体_GB2312" w:eastAsia="楷体_GB2312" w:cs="楷体_GB2312"/>
      <w:sz w:val="32"/>
      <w:szCs w:val="32"/>
    </w:rPr>
  </w:style>
  <w:style w:type="paragraph" w:styleId="20">
    <w:name w:val="envelope return"/>
    <w:basedOn w:val="1"/>
    <w:qFormat/>
    <w:uiPriority w:val="99"/>
    <w:rPr>
      <w:rFonts w:ascii="Arial" w:hAnsi="Arial" w:cs="Arial"/>
    </w:rPr>
  </w:style>
  <w:style w:type="paragraph" w:styleId="21">
    <w:name w:val="Block Text"/>
    <w:basedOn w:val="1"/>
    <w:qFormat/>
    <w:uiPriority w:val="99"/>
    <w:pPr>
      <w:spacing w:after="120"/>
      <w:ind w:left="1440" w:right="1440"/>
    </w:pPr>
  </w:style>
  <w:style w:type="paragraph" w:styleId="22">
    <w:name w:val="toc 5"/>
    <w:basedOn w:val="1"/>
    <w:next w:val="1"/>
    <w:autoRedefine/>
    <w:semiHidden/>
    <w:qFormat/>
    <w:uiPriority w:val="99"/>
    <w:pPr>
      <w:ind w:left="1680"/>
    </w:pPr>
  </w:style>
  <w:style w:type="paragraph" w:styleId="23">
    <w:name w:val="toc 3"/>
    <w:basedOn w:val="1"/>
    <w:next w:val="1"/>
    <w:autoRedefine/>
    <w:semiHidden/>
    <w:qFormat/>
    <w:uiPriority w:val="99"/>
    <w:pPr>
      <w:tabs>
        <w:tab w:val="right" w:leader="dot" w:pos="9440"/>
      </w:tabs>
      <w:spacing w:line="240" w:lineRule="exact"/>
      <w:ind w:left="539"/>
      <w:jc w:val="left"/>
    </w:pPr>
    <w:rPr>
      <w:rFonts w:ascii="黑体" w:hAnsi="宋体" w:eastAsia="黑体" w:cs="黑体"/>
      <w:sz w:val="18"/>
      <w:szCs w:val="18"/>
    </w:rPr>
  </w:style>
  <w:style w:type="paragraph" w:styleId="24">
    <w:name w:val="Plain Text"/>
    <w:basedOn w:val="1"/>
    <w:link w:val="75"/>
    <w:qFormat/>
    <w:uiPriority w:val="99"/>
    <w:rPr>
      <w:rFonts w:ascii="宋体" w:hAnsi="Courier New" w:cs="宋体"/>
    </w:rPr>
  </w:style>
  <w:style w:type="paragraph" w:styleId="25">
    <w:name w:val="toc 8"/>
    <w:basedOn w:val="1"/>
    <w:next w:val="1"/>
    <w:autoRedefine/>
    <w:semiHidden/>
    <w:qFormat/>
    <w:uiPriority w:val="99"/>
    <w:pPr>
      <w:ind w:left="2940"/>
    </w:pPr>
  </w:style>
  <w:style w:type="paragraph" w:styleId="26">
    <w:name w:val="Date"/>
    <w:basedOn w:val="1"/>
    <w:next w:val="1"/>
    <w:link w:val="76"/>
    <w:qFormat/>
    <w:uiPriority w:val="99"/>
    <w:rPr>
      <w:rFonts w:ascii="Times New Roman" w:hAnsi="Times New Roman" w:cs="Times New Roman"/>
      <w:sz w:val="24"/>
      <w:szCs w:val="24"/>
    </w:rPr>
  </w:style>
  <w:style w:type="paragraph" w:styleId="27">
    <w:name w:val="Body Text Indent 2"/>
    <w:basedOn w:val="1"/>
    <w:link w:val="77"/>
    <w:qFormat/>
    <w:uiPriority w:val="99"/>
    <w:pPr>
      <w:ind w:firstLine="560"/>
    </w:pPr>
    <w:rPr>
      <w:rFonts w:ascii="宋体" w:hAnsi="宋体" w:cs="宋体"/>
      <w:sz w:val="28"/>
      <w:szCs w:val="28"/>
    </w:rPr>
  </w:style>
  <w:style w:type="paragraph" w:styleId="28">
    <w:name w:val="endnote text"/>
    <w:basedOn w:val="1"/>
    <w:link w:val="78"/>
    <w:semiHidden/>
    <w:qFormat/>
    <w:uiPriority w:val="99"/>
    <w:rPr>
      <w:rFonts w:ascii="Times New Roman" w:hAnsi="Times New Roman" w:cs="Times New Roman"/>
      <w:sz w:val="20"/>
      <w:szCs w:val="20"/>
    </w:rPr>
  </w:style>
  <w:style w:type="paragraph" w:styleId="29">
    <w:name w:val="Balloon Text"/>
    <w:basedOn w:val="1"/>
    <w:link w:val="79"/>
    <w:semiHidden/>
    <w:qFormat/>
    <w:uiPriority w:val="99"/>
    <w:rPr>
      <w:sz w:val="18"/>
      <w:szCs w:val="18"/>
    </w:rPr>
  </w:style>
  <w:style w:type="paragraph" w:styleId="30">
    <w:name w:val="footer"/>
    <w:basedOn w:val="1"/>
    <w:link w:val="80"/>
    <w:qFormat/>
    <w:uiPriority w:val="99"/>
    <w:pPr>
      <w:tabs>
        <w:tab w:val="center" w:pos="4153"/>
        <w:tab w:val="right" w:pos="8306"/>
      </w:tabs>
      <w:jc w:val="left"/>
    </w:pPr>
    <w:rPr>
      <w:sz w:val="18"/>
      <w:szCs w:val="18"/>
    </w:rPr>
  </w:style>
  <w:style w:type="paragraph" w:styleId="31">
    <w:name w:val="header"/>
    <w:basedOn w:val="1"/>
    <w:link w:val="270"/>
    <w:qFormat/>
    <w:uiPriority w:val="99"/>
    <w:pPr>
      <w:pBdr>
        <w:bottom w:val="single" w:color="auto" w:sz="6" w:space="1"/>
      </w:pBdr>
      <w:tabs>
        <w:tab w:val="center" w:pos="4153"/>
        <w:tab w:val="right" w:pos="8306"/>
      </w:tabs>
      <w:jc w:val="center"/>
    </w:pPr>
    <w:rPr>
      <w:rFonts w:ascii="Times New Roman" w:hAnsi="Times New Roman" w:cs="Times New Roman"/>
      <w:sz w:val="18"/>
      <w:szCs w:val="18"/>
    </w:rPr>
  </w:style>
  <w:style w:type="paragraph" w:styleId="32">
    <w:name w:val="toc 1"/>
    <w:basedOn w:val="1"/>
    <w:next w:val="1"/>
    <w:autoRedefine/>
    <w:semiHidden/>
    <w:qFormat/>
    <w:uiPriority w:val="99"/>
    <w:pPr>
      <w:tabs>
        <w:tab w:val="right" w:leader="dot" w:pos="9440"/>
      </w:tabs>
      <w:spacing w:before="120" w:after="120" w:line="300" w:lineRule="exact"/>
      <w:jc w:val="left"/>
    </w:pPr>
    <w:rPr>
      <w:rFonts w:ascii="黑体" w:eastAsia="黑体" w:cs="黑体"/>
      <w:b/>
      <w:bCs/>
      <w:caps/>
      <w:sz w:val="18"/>
      <w:szCs w:val="18"/>
    </w:rPr>
  </w:style>
  <w:style w:type="paragraph" w:styleId="33">
    <w:name w:val="toc 4"/>
    <w:basedOn w:val="1"/>
    <w:next w:val="1"/>
    <w:autoRedefine/>
    <w:semiHidden/>
    <w:qFormat/>
    <w:uiPriority w:val="99"/>
    <w:pPr>
      <w:ind w:left="1260"/>
    </w:pPr>
  </w:style>
  <w:style w:type="paragraph" w:styleId="34">
    <w:name w:val="Subtitle"/>
    <w:basedOn w:val="1"/>
    <w:next w:val="1"/>
    <w:link w:val="82"/>
    <w:qFormat/>
    <w:uiPriority w:val="99"/>
    <w:pPr>
      <w:spacing w:before="200" w:after="200"/>
    </w:pPr>
    <w:rPr>
      <w:sz w:val="24"/>
      <w:szCs w:val="24"/>
    </w:rPr>
  </w:style>
  <w:style w:type="paragraph" w:styleId="35">
    <w:name w:val="footnote text"/>
    <w:basedOn w:val="1"/>
    <w:link w:val="83"/>
    <w:semiHidden/>
    <w:qFormat/>
    <w:uiPriority w:val="99"/>
    <w:pPr>
      <w:spacing w:after="40"/>
    </w:pPr>
    <w:rPr>
      <w:rFonts w:ascii="Times New Roman" w:hAnsi="Times New Roman" w:cs="Times New Roman"/>
      <w:sz w:val="18"/>
      <w:szCs w:val="18"/>
    </w:rPr>
  </w:style>
  <w:style w:type="paragraph" w:styleId="36">
    <w:name w:val="toc 6"/>
    <w:basedOn w:val="1"/>
    <w:next w:val="1"/>
    <w:autoRedefine/>
    <w:semiHidden/>
    <w:qFormat/>
    <w:uiPriority w:val="99"/>
    <w:pPr>
      <w:ind w:left="2100"/>
    </w:pPr>
  </w:style>
  <w:style w:type="paragraph" w:styleId="37">
    <w:name w:val="Body Text Indent 3"/>
    <w:basedOn w:val="1"/>
    <w:link w:val="84"/>
    <w:qFormat/>
    <w:uiPriority w:val="99"/>
    <w:pPr>
      <w:ind w:firstLine="523"/>
    </w:pPr>
    <w:rPr>
      <w:rFonts w:ascii="??_GB2312" w:hAnsi="宋体" w:eastAsia="Times New Roman" w:cs="??_GB2312"/>
      <w:sz w:val="24"/>
      <w:szCs w:val="24"/>
    </w:rPr>
  </w:style>
  <w:style w:type="paragraph" w:styleId="38">
    <w:name w:val="table of figures"/>
    <w:basedOn w:val="1"/>
    <w:next w:val="1"/>
    <w:semiHidden/>
    <w:qFormat/>
    <w:uiPriority w:val="99"/>
  </w:style>
  <w:style w:type="paragraph" w:styleId="39">
    <w:name w:val="toc 2"/>
    <w:basedOn w:val="1"/>
    <w:next w:val="1"/>
    <w:autoRedefine/>
    <w:semiHidden/>
    <w:qFormat/>
    <w:uiPriority w:val="99"/>
    <w:pPr>
      <w:tabs>
        <w:tab w:val="right" w:leader="dot" w:pos="9440"/>
      </w:tabs>
      <w:spacing w:line="260" w:lineRule="exact"/>
      <w:jc w:val="left"/>
    </w:pPr>
    <w:rPr>
      <w:rFonts w:ascii="黑体" w:eastAsia="黑体" w:cs="黑体"/>
      <w:b/>
      <w:bCs/>
      <w:smallCaps/>
      <w:sz w:val="18"/>
      <w:szCs w:val="18"/>
    </w:rPr>
  </w:style>
  <w:style w:type="paragraph" w:styleId="40">
    <w:name w:val="toc 9"/>
    <w:basedOn w:val="1"/>
    <w:next w:val="1"/>
    <w:autoRedefine/>
    <w:semiHidden/>
    <w:qFormat/>
    <w:uiPriority w:val="99"/>
    <w:pPr>
      <w:ind w:left="3360"/>
    </w:pPr>
  </w:style>
  <w:style w:type="paragraph" w:styleId="41">
    <w:name w:val="Body Text 2"/>
    <w:basedOn w:val="1"/>
    <w:link w:val="85"/>
    <w:qFormat/>
    <w:uiPriority w:val="99"/>
    <w:pPr>
      <w:jc w:val="center"/>
    </w:pPr>
    <w:rPr>
      <w:rFonts w:ascii="??_GB2312" w:eastAsia="Times New Roman" w:cs="??_GB2312"/>
      <w:sz w:val="44"/>
      <w:szCs w:val="44"/>
    </w:rPr>
  </w:style>
  <w:style w:type="paragraph" w:styleId="42">
    <w:name w:val="List Continue 2"/>
    <w:basedOn w:val="1"/>
    <w:next w:val="1"/>
    <w:qFormat/>
    <w:uiPriority w:val="99"/>
    <w:pPr>
      <w:spacing w:after="120"/>
      <w:ind w:left="840"/>
    </w:pPr>
    <w:rPr>
      <w:rFonts w:ascii="Times New Roman" w:hAnsi="Times New Roman" w:cs="Times New Roman"/>
      <w:sz w:val="24"/>
      <w:szCs w:val="24"/>
    </w:rPr>
  </w:style>
  <w:style w:type="paragraph" w:styleId="43">
    <w:name w:val="HTML Preformatted"/>
    <w:basedOn w:val="1"/>
    <w:link w:val="86"/>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黑体"/>
      <w:sz w:val="20"/>
      <w:szCs w:val="20"/>
    </w:rPr>
  </w:style>
  <w:style w:type="paragraph" w:styleId="44">
    <w:name w:val="Normal (Web)"/>
    <w:basedOn w:val="1"/>
    <w:link w:val="260"/>
    <w:qFormat/>
    <w:uiPriority w:val="99"/>
    <w:pPr>
      <w:widowControl/>
      <w:spacing w:before="100" w:beforeAutospacing="1" w:after="100" w:afterAutospacing="1"/>
      <w:jc w:val="left"/>
    </w:pPr>
    <w:rPr>
      <w:rFonts w:ascii="宋体" w:hAnsi="Times New Roman" w:cs="宋体"/>
      <w:sz w:val="24"/>
      <w:szCs w:val="24"/>
    </w:rPr>
  </w:style>
  <w:style w:type="paragraph" w:styleId="45">
    <w:name w:val="index 1"/>
    <w:basedOn w:val="1"/>
    <w:next w:val="1"/>
    <w:autoRedefine/>
    <w:semiHidden/>
    <w:qFormat/>
    <w:uiPriority w:val="99"/>
    <w:rPr>
      <w:rFonts w:ascii="宋体" w:hAnsi="宋体" w:cs="宋体"/>
    </w:rPr>
  </w:style>
  <w:style w:type="paragraph" w:styleId="46">
    <w:name w:val="Title"/>
    <w:basedOn w:val="1"/>
    <w:next w:val="1"/>
    <w:link w:val="271"/>
    <w:qFormat/>
    <w:uiPriority w:val="99"/>
    <w:pPr>
      <w:spacing w:before="240" w:after="60"/>
      <w:jc w:val="center"/>
      <w:outlineLvl w:val="0"/>
    </w:pPr>
    <w:rPr>
      <w:rFonts w:ascii="Cambria" w:hAnsi="Cambria" w:cs="Cambria"/>
      <w:b/>
      <w:bCs/>
      <w:sz w:val="32"/>
      <w:szCs w:val="32"/>
    </w:rPr>
  </w:style>
  <w:style w:type="paragraph" w:styleId="47">
    <w:name w:val="annotation subject"/>
    <w:basedOn w:val="15"/>
    <w:next w:val="15"/>
    <w:link w:val="88"/>
    <w:semiHidden/>
    <w:qFormat/>
    <w:uiPriority w:val="99"/>
    <w:rPr>
      <w:b/>
      <w:bCs/>
    </w:rPr>
  </w:style>
  <w:style w:type="paragraph" w:styleId="48">
    <w:name w:val="Body Text First Indent"/>
    <w:basedOn w:val="17"/>
    <w:next w:val="36"/>
    <w:link w:val="89"/>
    <w:qFormat/>
    <w:uiPriority w:val="99"/>
    <w:pPr>
      <w:spacing w:line="360" w:lineRule="auto"/>
      <w:ind w:firstLine="200"/>
    </w:pPr>
    <w:rPr>
      <w:rFonts w:ascii="??_GB2312" w:eastAsia="Times New Roman" w:cs="??_GB2312"/>
      <w:sz w:val="30"/>
      <w:szCs w:val="30"/>
    </w:rPr>
  </w:style>
  <w:style w:type="paragraph" w:styleId="49">
    <w:name w:val="Body Text First Indent 2"/>
    <w:basedOn w:val="19"/>
    <w:next w:val="12"/>
    <w:link w:val="90"/>
    <w:qFormat/>
    <w:uiPriority w:val="99"/>
    <w:pPr>
      <w:spacing w:line="360" w:lineRule="auto"/>
      <w:ind w:firstLine="420"/>
    </w:pPr>
    <w:rPr>
      <w:rFonts w:ascii="宋体" w:hAnsi="宋体" w:eastAsia="宋体" w:cs="宋体"/>
      <w:sz w:val="21"/>
      <w:szCs w:val="21"/>
    </w:rPr>
  </w:style>
  <w:style w:type="table" w:styleId="51">
    <w:name w:val="Table Grid"/>
    <w:basedOn w:val="50"/>
    <w:qFormat/>
    <w:uiPriority w:val="99"/>
    <w:pPr>
      <w:widowControl w:val="0"/>
      <w:jc w:val="both"/>
    </w:pPr>
    <w:rPr>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3">
    <w:name w:val="Strong"/>
    <w:basedOn w:val="52"/>
    <w:qFormat/>
    <w:uiPriority w:val="99"/>
    <w:rPr>
      <w:b/>
      <w:bCs/>
    </w:rPr>
  </w:style>
  <w:style w:type="character" w:styleId="54">
    <w:name w:val="endnote reference"/>
    <w:basedOn w:val="52"/>
    <w:semiHidden/>
    <w:qFormat/>
    <w:uiPriority w:val="99"/>
    <w:rPr>
      <w:vertAlign w:val="superscript"/>
    </w:rPr>
  </w:style>
  <w:style w:type="character" w:styleId="55">
    <w:name w:val="page number"/>
    <w:basedOn w:val="52"/>
    <w:qFormat/>
    <w:uiPriority w:val="99"/>
  </w:style>
  <w:style w:type="character" w:styleId="56">
    <w:name w:val="FollowedHyperlink"/>
    <w:basedOn w:val="52"/>
    <w:qFormat/>
    <w:uiPriority w:val="99"/>
    <w:rPr>
      <w:color w:val="800080"/>
      <w:u w:val="single"/>
    </w:rPr>
  </w:style>
  <w:style w:type="character" w:styleId="57">
    <w:name w:val="Emphasis"/>
    <w:basedOn w:val="52"/>
    <w:qFormat/>
    <w:uiPriority w:val="99"/>
    <w:rPr>
      <w:i/>
      <w:iCs/>
    </w:rPr>
  </w:style>
  <w:style w:type="character" w:styleId="58">
    <w:name w:val="Hyperlink"/>
    <w:basedOn w:val="52"/>
    <w:qFormat/>
    <w:uiPriority w:val="99"/>
    <w:rPr>
      <w:color w:val="0000FF"/>
      <w:u w:val="single"/>
    </w:rPr>
  </w:style>
  <w:style w:type="character" w:styleId="59">
    <w:name w:val="annotation reference"/>
    <w:basedOn w:val="52"/>
    <w:semiHidden/>
    <w:qFormat/>
    <w:uiPriority w:val="99"/>
    <w:rPr>
      <w:sz w:val="21"/>
      <w:szCs w:val="21"/>
    </w:rPr>
  </w:style>
  <w:style w:type="character" w:styleId="60">
    <w:name w:val="footnote reference"/>
    <w:basedOn w:val="52"/>
    <w:semiHidden/>
    <w:qFormat/>
    <w:uiPriority w:val="99"/>
    <w:rPr>
      <w:vertAlign w:val="superscript"/>
    </w:rPr>
  </w:style>
  <w:style w:type="character" w:customStyle="1" w:styleId="61">
    <w:name w:val="Heading 1 Char"/>
    <w:basedOn w:val="52"/>
    <w:link w:val="2"/>
    <w:qFormat/>
    <w:locked/>
    <w:uiPriority w:val="99"/>
    <w:rPr>
      <w:rFonts w:ascii="Arial" w:hAnsi="Arial" w:cs="Arial"/>
      <w:sz w:val="40"/>
      <w:szCs w:val="40"/>
    </w:rPr>
  </w:style>
  <w:style w:type="character" w:customStyle="1" w:styleId="62">
    <w:name w:val="Heading 2 Char"/>
    <w:basedOn w:val="52"/>
    <w:link w:val="3"/>
    <w:qFormat/>
    <w:locked/>
    <w:uiPriority w:val="99"/>
    <w:rPr>
      <w:rFonts w:ascii="Arial" w:hAnsi="Arial" w:cs="Arial"/>
      <w:sz w:val="34"/>
      <w:szCs w:val="34"/>
    </w:rPr>
  </w:style>
  <w:style w:type="character" w:customStyle="1" w:styleId="63">
    <w:name w:val="Heading 3 Char"/>
    <w:basedOn w:val="52"/>
    <w:link w:val="4"/>
    <w:qFormat/>
    <w:locked/>
    <w:uiPriority w:val="99"/>
    <w:rPr>
      <w:rFonts w:ascii="Arial" w:hAnsi="Arial" w:cs="Arial"/>
      <w:sz w:val="30"/>
      <w:szCs w:val="30"/>
    </w:rPr>
  </w:style>
  <w:style w:type="character" w:customStyle="1" w:styleId="64">
    <w:name w:val="Heading 4 Char"/>
    <w:basedOn w:val="52"/>
    <w:link w:val="5"/>
    <w:qFormat/>
    <w:locked/>
    <w:uiPriority w:val="99"/>
    <w:rPr>
      <w:rFonts w:ascii="Arial" w:hAnsi="Arial" w:cs="Arial"/>
      <w:b/>
      <w:bCs/>
      <w:sz w:val="26"/>
      <w:szCs w:val="26"/>
    </w:rPr>
  </w:style>
  <w:style w:type="character" w:customStyle="1" w:styleId="65">
    <w:name w:val="Heading 5 Char"/>
    <w:basedOn w:val="52"/>
    <w:link w:val="6"/>
    <w:qFormat/>
    <w:locked/>
    <w:uiPriority w:val="99"/>
    <w:rPr>
      <w:rFonts w:ascii="Arial" w:hAnsi="Arial" w:cs="Arial"/>
      <w:b/>
      <w:bCs/>
      <w:sz w:val="24"/>
      <w:szCs w:val="24"/>
    </w:rPr>
  </w:style>
  <w:style w:type="character" w:customStyle="1" w:styleId="66">
    <w:name w:val="Heading 6 Char"/>
    <w:basedOn w:val="52"/>
    <w:link w:val="7"/>
    <w:qFormat/>
    <w:locked/>
    <w:uiPriority w:val="99"/>
    <w:rPr>
      <w:rFonts w:ascii="Arial" w:hAnsi="Arial" w:cs="Arial"/>
      <w:b/>
      <w:bCs/>
      <w:sz w:val="22"/>
      <w:szCs w:val="22"/>
    </w:rPr>
  </w:style>
  <w:style w:type="character" w:customStyle="1" w:styleId="67">
    <w:name w:val="Heading 7 Char"/>
    <w:basedOn w:val="52"/>
    <w:link w:val="8"/>
    <w:qFormat/>
    <w:locked/>
    <w:uiPriority w:val="99"/>
    <w:rPr>
      <w:rFonts w:ascii="Arial" w:hAnsi="Arial" w:cs="Arial"/>
      <w:b/>
      <w:bCs/>
      <w:i/>
      <w:iCs/>
      <w:sz w:val="22"/>
      <w:szCs w:val="22"/>
    </w:rPr>
  </w:style>
  <w:style w:type="character" w:customStyle="1" w:styleId="68">
    <w:name w:val="Heading 8 Char"/>
    <w:basedOn w:val="52"/>
    <w:link w:val="9"/>
    <w:qFormat/>
    <w:locked/>
    <w:uiPriority w:val="99"/>
    <w:rPr>
      <w:rFonts w:ascii="Arial" w:hAnsi="Arial" w:cs="Arial"/>
      <w:i/>
      <w:iCs/>
      <w:sz w:val="22"/>
      <w:szCs w:val="22"/>
    </w:rPr>
  </w:style>
  <w:style w:type="character" w:customStyle="1" w:styleId="69">
    <w:name w:val="Heading 9 Char"/>
    <w:basedOn w:val="52"/>
    <w:link w:val="10"/>
    <w:qFormat/>
    <w:locked/>
    <w:uiPriority w:val="99"/>
    <w:rPr>
      <w:rFonts w:ascii="Arial" w:hAnsi="Arial" w:cs="Arial"/>
      <w:i/>
      <w:iCs/>
      <w:sz w:val="21"/>
      <w:szCs w:val="21"/>
    </w:rPr>
  </w:style>
  <w:style w:type="character" w:customStyle="1" w:styleId="70">
    <w:name w:val="Document Map Char"/>
    <w:basedOn w:val="52"/>
    <w:link w:val="14"/>
    <w:semiHidden/>
    <w:qFormat/>
    <w:locked/>
    <w:uiPriority w:val="99"/>
    <w:rPr>
      <w:kern w:val="0"/>
      <w:sz w:val="2"/>
      <w:szCs w:val="2"/>
    </w:rPr>
  </w:style>
  <w:style w:type="character" w:customStyle="1" w:styleId="71">
    <w:name w:val="Comment Text Char"/>
    <w:basedOn w:val="52"/>
    <w:link w:val="15"/>
    <w:qFormat/>
    <w:locked/>
    <w:uiPriority w:val="99"/>
    <w:rPr>
      <w:sz w:val="24"/>
      <w:szCs w:val="24"/>
    </w:rPr>
  </w:style>
  <w:style w:type="character" w:customStyle="1" w:styleId="72">
    <w:name w:val="Body Text 3 Char"/>
    <w:basedOn w:val="52"/>
    <w:link w:val="16"/>
    <w:semiHidden/>
    <w:qFormat/>
    <w:locked/>
    <w:uiPriority w:val="99"/>
    <w:rPr>
      <w:rFonts w:ascii="Calibri" w:hAnsi="Calibri" w:cs="Calibri"/>
      <w:kern w:val="0"/>
      <w:sz w:val="16"/>
      <w:szCs w:val="16"/>
    </w:rPr>
  </w:style>
  <w:style w:type="character" w:customStyle="1" w:styleId="73">
    <w:name w:val="Body Text Char"/>
    <w:basedOn w:val="52"/>
    <w:link w:val="17"/>
    <w:qFormat/>
    <w:locked/>
    <w:uiPriority w:val="99"/>
    <w:rPr>
      <w:rFonts w:ascii="楷体_GB2312" w:hAnsi="Arial" w:eastAsia="楷体_GB2312" w:cs="楷体_GB2312"/>
      <w:sz w:val="28"/>
      <w:szCs w:val="28"/>
    </w:rPr>
  </w:style>
  <w:style w:type="character" w:customStyle="1" w:styleId="74">
    <w:name w:val="Body Text Indent Char"/>
    <w:basedOn w:val="52"/>
    <w:link w:val="19"/>
    <w:semiHidden/>
    <w:qFormat/>
    <w:locked/>
    <w:uiPriority w:val="99"/>
    <w:rPr>
      <w:rFonts w:ascii="Calibri" w:hAnsi="Calibri" w:cs="Calibri"/>
      <w:kern w:val="0"/>
      <w:sz w:val="21"/>
      <w:szCs w:val="21"/>
    </w:rPr>
  </w:style>
  <w:style w:type="character" w:customStyle="1" w:styleId="75">
    <w:name w:val="Plain Text Char"/>
    <w:basedOn w:val="52"/>
    <w:link w:val="24"/>
    <w:qFormat/>
    <w:locked/>
    <w:uiPriority w:val="99"/>
    <w:rPr>
      <w:rFonts w:ascii="宋体" w:hAnsi="Courier New" w:cs="宋体"/>
      <w:sz w:val="21"/>
      <w:szCs w:val="21"/>
    </w:rPr>
  </w:style>
  <w:style w:type="character" w:customStyle="1" w:styleId="76">
    <w:name w:val="Date Char"/>
    <w:basedOn w:val="52"/>
    <w:link w:val="26"/>
    <w:qFormat/>
    <w:locked/>
    <w:uiPriority w:val="99"/>
    <w:rPr>
      <w:sz w:val="24"/>
      <w:szCs w:val="24"/>
    </w:rPr>
  </w:style>
  <w:style w:type="character" w:customStyle="1" w:styleId="77">
    <w:name w:val="Body Text Indent 2 Char"/>
    <w:basedOn w:val="52"/>
    <w:link w:val="27"/>
    <w:semiHidden/>
    <w:qFormat/>
    <w:locked/>
    <w:uiPriority w:val="99"/>
    <w:rPr>
      <w:rFonts w:ascii="Calibri" w:hAnsi="Calibri" w:cs="Calibri"/>
      <w:kern w:val="0"/>
      <w:sz w:val="21"/>
      <w:szCs w:val="21"/>
    </w:rPr>
  </w:style>
  <w:style w:type="character" w:customStyle="1" w:styleId="78">
    <w:name w:val="Endnote Text Char"/>
    <w:basedOn w:val="52"/>
    <w:link w:val="28"/>
    <w:qFormat/>
    <w:locked/>
    <w:uiPriority w:val="99"/>
    <w:rPr>
      <w:sz w:val="20"/>
      <w:szCs w:val="20"/>
    </w:rPr>
  </w:style>
  <w:style w:type="character" w:customStyle="1" w:styleId="79">
    <w:name w:val="Balloon Text Char"/>
    <w:basedOn w:val="52"/>
    <w:link w:val="29"/>
    <w:semiHidden/>
    <w:qFormat/>
    <w:locked/>
    <w:uiPriority w:val="99"/>
    <w:rPr>
      <w:rFonts w:ascii="Calibri" w:hAnsi="Calibri" w:cs="Calibri"/>
      <w:kern w:val="0"/>
      <w:sz w:val="2"/>
      <w:szCs w:val="2"/>
    </w:rPr>
  </w:style>
  <w:style w:type="character" w:customStyle="1" w:styleId="80">
    <w:name w:val="Footer Char"/>
    <w:basedOn w:val="52"/>
    <w:link w:val="30"/>
    <w:qFormat/>
    <w:locked/>
    <w:uiPriority w:val="99"/>
  </w:style>
  <w:style w:type="character" w:customStyle="1" w:styleId="81">
    <w:name w:val="Header Char"/>
    <w:basedOn w:val="52"/>
    <w:link w:val="31"/>
    <w:qFormat/>
    <w:locked/>
    <w:uiPriority w:val="99"/>
  </w:style>
  <w:style w:type="character" w:customStyle="1" w:styleId="82">
    <w:name w:val="Subtitle Char"/>
    <w:basedOn w:val="52"/>
    <w:link w:val="34"/>
    <w:qFormat/>
    <w:locked/>
    <w:uiPriority w:val="99"/>
    <w:rPr>
      <w:sz w:val="24"/>
      <w:szCs w:val="24"/>
    </w:rPr>
  </w:style>
  <w:style w:type="character" w:customStyle="1" w:styleId="83">
    <w:name w:val="Footnote Text Char"/>
    <w:basedOn w:val="52"/>
    <w:link w:val="35"/>
    <w:qFormat/>
    <w:locked/>
    <w:uiPriority w:val="99"/>
    <w:rPr>
      <w:sz w:val="18"/>
      <w:szCs w:val="18"/>
    </w:rPr>
  </w:style>
  <w:style w:type="character" w:customStyle="1" w:styleId="84">
    <w:name w:val="Body Text Indent 3 Char"/>
    <w:basedOn w:val="52"/>
    <w:link w:val="37"/>
    <w:semiHidden/>
    <w:qFormat/>
    <w:locked/>
    <w:uiPriority w:val="99"/>
    <w:rPr>
      <w:rFonts w:ascii="Calibri" w:hAnsi="Calibri" w:cs="Calibri"/>
      <w:kern w:val="0"/>
      <w:sz w:val="16"/>
      <w:szCs w:val="16"/>
    </w:rPr>
  </w:style>
  <w:style w:type="character" w:customStyle="1" w:styleId="85">
    <w:name w:val="Body Text 2 Char"/>
    <w:basedOn w:val="52"/>
    <w:link w:val="41"/>
    <w:semiHidden/>
    <w:qFormat/>
    <w:locked/>
    <w:uiPriority w:val="99"/>
    <w:rPr>
      <w:rFonts w:ascii="Calibri" w:hAnsi="Calibri" w:cs="Calibri"/>
      <w:kern w:val="0"/>
      <w:sz w:val="21"/>
      <w:szCs w:val="21"/>
    </w:rPr>
  </w:style>
  <w:style w:type="character" w:customStyle="1" w:styleId="86">
    <w:name w:val="HTML Preformatted Char"/>
    <w:basedOn w:val="52"/>
    <w:link w:val="43"/>
    <w:qFormat/>
    <w:locked/>
    <w:uiPriority w:val="99"/>
    <w:rPr>
      <w:rFonts w:ascii="黑体" w:hAnsi="Courier New" w:eastAsia="黑体" w:cs="黑体"/>
    </w:rPr>
  </w:style>
  <w:style w:type="character" w:customStyle="1" w:styleId="87">
    <w:name w:val="Title Char"/>
    <w:basedOn w:val="52"/>
    <w:link w:val="46"/>
    <w:qFormat/>
    <w:locked/>
    <w:uiPriority w:val="99"/>
    <w:rPr>
      <w:sz w:val="48"/>
      <w:szCs w:val="48"/>
    </w:rPr>
  </w:style>
  <w:style w:type="character" w:customStyle="1" w:styleId="88">
    <w:name w:val="Comment Subject Char"/>
    <w:basedOn w:val="71"/>
    <w:link w:val="47"/>
    <w:qFormat/>
    <w:locked/>
    <w:uiPriority w:val="99"/>
    <w:rPr>
      <w:b/>
      <w:bCs/>
    </w:rPr>
  </w:style>
  <w:style w:type="character" w:customStyle="1" w:styleId="89">
    <w:name w:val="Body Text First Indent Char"/>
    <w:basedOn w:val="73"/>
    <w:link w:val="48"/>
    <w:semiHidden/>
    <w:qFormat/>
    <w:locked/>
    <w:uiPriority w:val="99"/>
    <w:rPr>
      <w:rFonts w:ascii="Calibri" w:hAnsi="Calibri" w:cs="Calibri"/>
      <w:kern w:val="0"/>
      <w:sz w:val="21"/>
      <w:szCs w:val="21"/>
    </w:rPr>
  </w:style>
  <w:style w:type="character" w:customStyle="1" w:styleId="90">
    <w:name w:val="Body Text First Indent 2 Char"/>
    <w:basedOn w:val="74"/>
    <w:link w:val="49"/>
    <w:semiHidden/>
    <w:qFormat/>
    <w:locked/>
    <w:uiPriority w:val="99"/>
  </w:style>
  <w:style w:type="paragraph" w:styleId="91">
    <w:name w:val="No Spacing"/>
    <w:qFormat/>
    <w:uiPriority w:val="99"/>
    <w:rPr>
      <w:rFonts w:ascii="Times New Roman" w:hAnsi="Times New Roman" w:eastAsia="宋体" w:cs="Times New Roman"/>
      <w:kern w:val="0"/>
      <w:sz w:val="20"/>
      <w:szCs w:val="20"/>
      <w:lang w:val="en-US" w:eastAsia="zh-CN" w:bidi="ar-SA"/>
    </w:rPr>
  </w:style>
  <w:style w:type="paragraph" w:customStyle="1" w:styleId="92">
    <w:name w:val="标题 21"/>
    <w:basedOn w:val="1"/>
    <w:next w:val="1"/>
    <w:qFormat/>
    <w:uiPriority w:val="99"/>
    <w:pPr>
      <w:keepNext/>
      <w:keepLines/>
      <w:spacing w:before="260" w:after="260" w:line="416" w:lineRule="auto"/>
      <w:outlineLvl w:val="1"/>
    </w:pPr>
    <w:rPr>
      <w:rFonts w:ascii="Arial" w:hAnsi="Arial" w:eastAsia="黑体" w:cs="Arial"/>
      <w:b/>
      <w:bCs/>
      <w:sz w:val="32"/>
      <w:szCs w:val="32"/>
    </w:rPr>
  </w:style>
  <w:style w:type="paragraph" w:styleId="93">
    <w:name w:val="Quote"/>
    <w:basedOn w:val="1"/>
    <w:next w:val="1"/>
    <w:link w:val="94"/>
    <w:qFormat/>
    <w:uiPriority w:val="99"/>
    <w:pPr>
      <w:ind w:left="720" w:right="720"/>
    </w:pPr>
    <w:rPr>
      <w:rFonts w:ascii="Times New Roman" w:hAnsi="Times New Roman" w:cs="Times New Roman"/>
      <w:i/>
      <w:iCs/>
      <w:sz w:val="20"/>
      <w:szCs w:val="20"/>
    </w:rPr>
  </w:style>
  <w:style w:type="character" w:customStyle="1" w:styleId="94">
    <w:name w:val="Quote Char"/>
    <w:basedOn w:val="52"/>
    <w:link w:val="93"/>
    <w:qFormat/>
    <w:locked/>
    <w:uiPriority w:val="99"/>
    <w:rPr>
      <w:i/>
      <w:iCs/>
    </w:rPr>
  </w:style>
  <w:style w:type="paragraph" w:styleId="95">
    <w:name w:val="Intense Quote"/>
    <w:basedOn w:val="1"/>
    <w:next w:val="1"/>
    <w:link w:val="96"/>
    <w:qFormat/>
    <w:uiPriority w:val="99"/>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cs="Times New Roman"/>
      <w:i/>
      <w:iCs/>
      <w:sz w:val="20"/>
      <w:szCs w:val="20"/>
    </w:rPr>
  </w:style>
  <w:style w:type="character" w:customStyle="1" w:styleId="96">
    <w:name w:val="Intense Quote Char"/>
    <w:basedOn w:val="52"/>
    <w:link w:val="95"/>
    <w:qFormat/>
    <w:locked/>
    <w:uiPriority w:val="99"/>
    <w:rPr>
      <w:i/>
      <w:iCs/>
    </w:rPr>
  </w:style>
  <w:style w:type="character" w:customStyle="1" w:styleId="97">
    <w:name w:val="Caption Char"/>
    <w:qFormat/>
    <w:uiPriority w:val="99"/>
  </w:style>
  <w:style w:type="table" w:customStyle="1" w:styleId="98">
    <w:name w:val="Table Grid Light"/>
    <w:qFormat/>
    <w:uiPriority w:val="99"/>
    <w:rPr>
      <w:kern w:val="0"/>
      <w:sz w:val="20"/>
      <w:szCs w:val="20"/>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99">
    <w:name w:val="无格式表格 11"/>
    <w:qFormat/>
    <w:uiPriority w:val="99"/>
    <w:rPr>
      <w:kern w:val="0"/>
      <w:sz w:val="20"/>
      <w:szCs w:val="20"/>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00">
    <w:name w:val="无格式表格 21"/>
    <w:qFormat/>
    <w:uiPriority w:val="99"/>
    <w:rPr>
      <w:kern w:val="0"/>
      <w:sz w:val="20"/>
      <w:szCs w:val="20"/>
    </w:rPr>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01">
    <w:name w:val="无格式表格 31"/>
    <w:qFormat/>
    <w:uiPriority w:val="99"/>
    <w:rPr>
      <w:kern w:val="0"/>
      <w:sz w:val="20"/>
      <w:szCs w:val="20"/>
    </w:rPr>
    <w:tblPr>
      <w:tblCellMar>
        <w:top w:w="0" w:type="dxa"/>
        <w:left w:w="108" w:type="dxa"/>
        <w:bottom w:w="0" w:type="dxa"/>
        <w:right w:w="108" w:type="dxa"/>
      </w:tblCellMar>
    </w:tblPr>
  </w:style>
  <w:style w:type="table" w:customStyle="1" w:styleId="102">
    <w:name w:val="无格式表格 41"/>
    <w:qFormat/>
    <w:uiPriority w:val="99"/>
    <w:rPr>
      <w:kern w:val="0"/>
      <w:sz w:val="20"/>
      <w:szCs w:val="20"/>
    </w:rPr>
    <w:tblPr>
      <w:tblCellMar>
        <w:top w:w="0" w:type="dxa"/>
        <w:left w:w="108" w:type="dxa"/>
        <w:bottom w:w="0" w:type="dxa"/>
        <w:right w:w="108" w:type="dxa"/>
      </w:tblCellMar>
    </w:tblPr>
  </w:style>
  <w:style w:type="table" w:customStyle="1" w:styleId="103">
    <w:name w:val="无格式表格 51"/>
    <w:qFormat/>
    <w:uiPriority w:val="99"/>
    <w:rPr>
      <w:kern w:val="0"/>
      <w:sz w:val="20"/>
      <w:szCs w:val="20"/>
    </w:rPr>
    <w:tblPr>
      <w:tblCellMar>
        <w:top w:w="0" w:type="dxa"/>
        <w:left w:w="108" w:type="dxa"/>
        <w:bottom w:w="0" w:type="dxa"/>
        <w:right w:w="108" w:type="dxa"/>
      </w:tblCellMar>
    </w:tblPr>
  </w:style>
  <w:style w:type="table" w:customStyle="1" w:styleId="104">
    <w:name w:val="网格表 1 浅色1"/>
    <w:qFormat/>
    <w:uiPriority w:val="99"/>
    <w:rPr>
      <w:kern w:val="0"/>
      <w:sz w:val="20"/>
      <w:szCs w:val="20"/>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108" w:type="dxa"/>
        <w:bottom w:w="0" w:type="dxa"/>
        <w:right w:w="108" w:type="dxa"/>
      </w:tblCellMar>
    </w:tblPr>
  </w:style>
  <w:style w:type="table" w:customStyle="1" w:styleId="105">
    <w:name w:val="Grid Table 1 Light - Accent 1"/>
    <w:qFormat/>
    <w:uiPriority w:val="99"/>
    <w:rPr>
      <w:kern w:val="0"/>
      <w:sz w:val="20"/>
      <w:szCs w:val="20"/>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108" w:type="dxa"/>
        <w:bottom w:w="0" w:type="dxa"/>
        <w:right w:w="108" w:type="dxa"/>
      </w:tblCellMar>
    </w:tblPr>
  </w:style>
  <w:style w:type="table" w:customStyle="1" w:styleId="106">
    <w:name w:val="Grid Table 1 Light - Accent 2"/>
    <w:qFormat/>
    <w:uiPriority w:val="99"/>
    <w:rPr>
      <w:kern w:val="0"/>
      <w:sz w:val="20"/>
      <w:szCs w:val="20"/>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108" w:type="dxa"/>
        <w:bottom w:w="0" w:type="dxa"/>
        <w:right w:w="108" w:type="dxa"/>
      </w:tblCellMar>
    </w:tblPr>
  </w:style>
  <w:style w:type="table" w:customStyle="1" w:styleId="107">
    <w:name w:val="Grid Table 1 Light - Accent 3"/>
    <w:qFormat/>
    <w:uiPriority w:val="99"/>
    <w:rPr>
      <w:kern w:val="0"/>
      <w:sz w:val="20"/>
      <w:szCs w:val="20"/>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108" w:type="dxa"/>
        <w:bottom w:w="0" w:type="dxa"/>
        <w:right w:w="108" w:type="dxa"/>
      </w:tblCellMar>
    </w:tblPr>
  </w:style>
  <w:style w:type="table" w:customStyle="1" w:styleId="108">
    <w:name w:val="Grid Table 1 Light - Accent 4"/>
    <w:qFormat/>
    <w:uiPriority w:val="99"/>
    <w:rPr>
      <w:kern w:val="0"/>
      <w:sz w:val="20"/>
      <w:szCs w:val="20"/>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108" w:type="dxa"/>
        <w:bottom w:w="0" w:type="dxa"/>
        <w:right w:w="108" w:type="dxa"/>
      </w:tblCellMar>
    </w:tblPr>
  </w:style>
  <w:style w:type="table" w:customStyle="1" w:styleId="109">
    <w:name w:val="Grid Table 1 Light - Accent 5"/>
    <w:qFormat/>
    <w:uiPriority w:val="99"/>
    <w:rPr>
      <w:kern w:val="0"/>
      <w:sz w:val="20"/>
      <w:szCs w:val="20"/>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108" w:type="dxa"/>
        <w:bottom w:w="0" w:type="dxa"/>
        <w:right w:w="108" w:type="dxa"/>
      </w:tblCellMar>
    </w:tblPr>
  </w:style>
  <w:style w:type="table" w:customStyle="1" w:styleId="110">
    <w:name w:val="Grid Table 1 Light - Accent 6"/>
    <w:qFormat/>
    <w:uiPriority w:val="99"/>
    <w:rPr>
      <w:kern w:val="0"/>
      <w:sz w:val="20"/>
      <w:szCs w:val="20"/>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108" w:type="dxa"/>
        <w:bottom w:w="0" w:type="dxa"/>
        <w:right w:w="108" w:type="dxa"/>
      </w:tblCellMar>
    </w:tblPr>
  </w:style>
  <w:style w:type="table" w:customStyle="1" w:styleId="111">
    <w:name w:val="网格表 21"/>
    <w:qFormat/>
    <w:uiPriority w:val="99"/>
    <w:rPr>
      <w:kern w:val="0"/>
      <w:sz w:val="20"/>
      <w:szCs w:val="20"/>
    </w:rPr>
    <w:tblPr>
      <w:tblBorders>
        <w:bottom w:val="single" w:color="6A6A6A" w:sz="4" w:space="0"/>
        <w:insideH w:val="single" w:color="6A6A6A" w:sz="4" w:space="0"/>
        <w:insideV w:val="single" w:color="6A6A6A" w:sz="4" w:space="0"/>
      </w:tblBorders>
      <w:tblCellMar>
        <w:top w:w="0" w:type="dxa"/>
        <w:left w:w="108" w:type="dxa"/>
        <w:bottom w:w="0" w:type="dxa"/>
        <w:right w:w="108" w:type="dxa"/>
      </w:tblCellMar>
    </w:tblPr>
  </w:style>
  <w:style w:type="table" w:customStyle="1" w:styleId="112">
    <w:name w:val="Grid Table 2 - Accent 1"/>
    <w:qFormat/>
    <w:uiPriority w:val="99"/>
    <w:rPr>
      <w:kern w:val="0"/>
      <w:sz w:val="20"/>
      <w:szCs w:val="20"/>
    </w:rPr>
    <w:tblPr>
      <w:tblBorders>
        <w:bottom w:val="single" w:color="5D8AC2" w:sz="4" w:space="0"/>
        <w:insideH w:val="single" w:color="5D8AC2" w:sz="4" w:space="0"/>
        <w:insideV w:val="single" w:color="5D8AC2" w:sz="4" w:space="0"/>
      </w:tblBorders>
      <w:tblCellMar>
        <w:top w:w="0" w:type="dxa"/>
        <w:left w:w="108" w:type="dxa"/>
        <w:bottom w:w="0" w:type="dxa"/>
        <w:right w:w="108" w:type="dxa"/>
      </w:tblCellMar>
    </w:tblPr>
  </w:style>
  <w:style w:type="table" w:customStyle="1" w:styleId="113">
    <w:name w:val="Grid Table 2 - Accent 2"/>
    <w:qFormat/>
    <w:uiPriority w:val="99"/>
    <w:rPr>
      <w:kern w:val="0"/>
      <w:sz w:val="20"/>
      <w:szCs w:val="20"/>
    </w:rPr>
    <w:tblPr>
      <w:tblBorders>
        <w:bottom w:val="single" w:color="D99695" w:sz="4" w:space="0"/>
        <w:insideH w:val="single" w:color="D99695" w:sz="4" w:space="0"/>
        <w:insideV w:val="single" w:color="D99695" w:sz="4" w:space="0"/>
      </w:tblBorders>
      <w:tblCellMar>
        <w:top w:w="0" w:type="dxa"/>
        <w:left w:w="108" w:type="dxa"/>
        <w:bottom w:w="0" w:type="dxa"/>
        <w:right w:w="108" w:type="dxa"/>
      </w:tblCellMar>
    </w:tblPr>
  </w:style>
  <w:style w:type="table" w:customStyle="1" w:styleId="114">
    <w:name w:val="Grid Table 2 - Accent 3"/>
    <w:qFormat/>
    <w:uiPriority w:val="99"/>
    <w:rPr>
      <w:kern w:val="0"/>
      <w:sz w:val="20"/>
      <w:szCs w:val="20"/>
    </w:rPr>
    <w:tblPr>
      <w:tblBorders>
        <w:bottom w:val="single" w:color="9ABB59" w:sz="4" w:space="0"/>
        <w:insideH w:val="single" w:color="9ABB59" w:sz="4" w:space="0"/>
        <w:insideV w:val="single" w:color="9ABB59" w:sz="4" w:space="0"/>
      </w:tblBorders>
      <w:tblCellMar>
        <w:top w:w="0" w:type="dxa"/>
        <w:left w:w="108" w:type="dxa"/>
        <w:bottom w:w="0" w:type="dxa"/>
        <w:right w:w="108" w:type="dxa"/>
      </w:tblCellMar>
    </w:tblPr>
  </w:style>
  <w:style w:type="table" w:customStyle="1" w:styleId="115">
    <w:name w:val="Grid Table 2 - Accent 4"/>
    <w:qFormat/>
    <w:uiPriority w:val="99"/>
    <w:rPr>
      <w:kern w:val="0"/>
      <w:sz w:val="20"/>
      <w:szCs w:val="20"/>
    </w:rPr>
    <w:tblPr>
      <w:tblBorders>
        <w:bottom w:val="single" w:color="B2A1C6" w:sz="4" w:space="0"/>
        <w:insideH w:val="single" w:color="B2A1C6" w:sz="4" w:space="0"/>
        <w:insideV w:val="single" w:color="B2A1C6" w:sz="4" w:space="0"/>
      </w:tblBorders>
      <w:tblCellMar>
        <w:top w:w="0" w:type="dxa"/>
        <w:left w:w="108" w:type="dxa"/>
        <w:bottom w:w="0" w:type="dxa"/>
        <w:right w:w="108" w:type="dxa"/>
      </w:tblCellMar>
    </w:tblPr>
  </w:style>
  <w:style w:type="table" w:customStyle="1" w:styleId="116">
    <w:name w:val="Grid Table 2 - Accent 5"/>
    <w:qFormat/>
    <w:uiPriority w:val="99"/>
    <w:rPr>
      <w:kern w:val="0"/>
      <w:sz w:val="20"/>
      <w:szCs w:val="20"/>
    </w:rPr>
    <w:tblPr>
      <w:tblBorders>
        <w:bottom w:val="single" w:color="4BACC6" w:sz="4" w:space="0"/>
        <w:insideH w:val="single" w:color="4BACC6" w:sz="4" w:space="0"/>
        <w:insideV w:val="single" w:color="4BACC6" w:sz="4" w:space="0"/>
      </w:tblBorders>
      <w:tblCellMar>
        <w:top w:w="0" w:type="dxa"/>
        <w:left w:w="108" w:type="dxa"/>
        <w:bottom w:w="0" w:type="dxa"/>
        <w:right w:w="108" w:type="dxa"/>
      </w:tblCellMar>
    </w:tblPr>
  </w:style>
  <w:style w:type="table" w:customStyle="1" w:styleId="117">
    <w:name w:val="Grid Table 2 - Accent 6"/>
    <w:qFormat/>
    <w:uiPriority w:val="99"/>
    <w:rPr>
      <w:kern w:val="0"/>
      <w:sz w:val="20"/>
      <w:szCs w:val="20"/>
    </w:rPr>
    <w:tblPr>
      <w:tblBorders>
        <w:bottom w:val="single" w:color="F79646" w:sz="4" w:space="0"/>
        <w:insideH w:val="single" w:color="F79646" w:sz="4" w:space="0"/>
        <w:insideV w:val="single" w:color="F79646" w:sz="4" w:space="0"/>
      </w:tblBorders>
      <w:tblCellMar>
        <w:top w:w="0" w:type="dxa"/>
        <w:left w:w="108" w:type="dxa"/>
        <w:bottom w:w="0" w:type="dxa"/>
        <w:right w:w="108" w:type="dxa"/>
      </w:tblCellMar>
    </w:tblPr>
  </w:style>
  <w:style w:type="table" w:customStyle="1" w:styleId="118">
    <w:name w:val="网格表 31"/>
    <w:qFormat/>
    <w:uiPriority w:val="99"/>
    <w:rPr>
      <w:kern w:val="0"/>
      <w:sz w:val="20"/>
      <w:szCs w:val="20"/>
    </w:rPr>
    <w:tblPr>
      <w:tblBorders>
        <w:bottom w:val="single" w:color="6A6A6A" w:sz="4" w:space="0"/>
        <w:insideH w:val="single" w:color="6A6A6A" w:sz="4" w:space="0"/>
        <w:insideV w:val="single" w:color="6A6A6A" w:sz="4" w:space="0"/>
      </w:tblBorders>
      <w:tblCellMar>
        <w:top w:w="0" w:type="dxa"/>
        <w:left w:w="108" w:type="dxa"/>
        <w:bottom w:w="0" w:type="dxa"/>
        <w:right w:w="108" w:type="dxa"/>
      </w:tblCellMar>
    </w:tblPr>
  </w:style>
  <w:style w:type="table" w:customStyle="1" w:styleId="119">
    <w:name w:val="Grid Table 3 - Accent 1"/>
    <w:qFormat/>
    <w:uiPriority w:val="99"/>
    <w:rPr>
      <w:kern w:val="0"/>
      <w:sz w:val="20"/>
      <w:szCs w:val="20"/>
    </w:rPr>
    <w:tblPr>
      <w:tblBorders>
        <w:bottom w:val="single" w:color="5D8AC2" w:sz="4" w:space="0"/>
        <w:insideH w:val="single" w:color="5D8AC2" w:sz="4" w:space="0"/>
        <w:insideV w:val="single" w:color="5D8AC2" w:sz="4" w:space="0"/>
      </w:tblBorders>
      <w:tblCellMar>
        <w:top w:w="0" w:type="dxa"/>
        <w:left w:w="108" w:type="dxa"/>
        <w:bottom w:w="0" w:type="dxa"/>
        <w:right w:w="108" w:type="dxa"/>
      </w:tblCellMar>
    </w:tblPr>
  </w:style>
  <w:style w:type="table" w:customStyle="1" w:styleId="120">
    <w:name w:val="Grid Table 3 - Accent 2"/>
    <w:qFormat/>
    <w:uiPriority w:val="99"/>
    <w:rPr>
      <w:kern w:val="0"/>
      <w:sz w:val="20"/>
      <w:szCs w:val="20"/>
    </w:rPr>
    <w:tblPr>
      <w:tblBorders>
        <w:bottom w:val="single" w:color="D99695" w:sz="4" w:space="0"/>
        <w:insideH w:val="single" w:color="D99695" w:sz="4" w:space="0"/>
        <w:insideV w:val="single" w:color="D99695" w:sz="4" w:space="0"/>
      </w:tblBorders>
      <w:tblCellMar>
        <w:top w:w="0" w:type="dxa"/>
        <w:left w:w="108" w:type="dxa"/>
        <w:bottom w:w="0" w:type="dxa"/>
        <w:right w:w="108" w:type="dxa"/>
      </w:tblCellMar>
    </w:tblPr>
  </w:style>
  <w:style w:type="table" w:customStyle="1" w:styleId="121">
    <w:name w:val="Grid Table 3 - Accent 3"/>
    <w:qFormat/>
    <w:uiPriority w:val="99"/>
    <w:rPr>
      <w:kern w:val="0"/>
      <w:sz w:val="20"/>
      <w:szCs w:val="20"/>
    </w:rPr>
    <w:tblPr>
      <w:tblBorders>
        <w:bottom w:val="single" w:color="9ABB59" w:sz="4" w:space="0"/>
        <w:insideH w:val="single" w:color="9ABB59" w:sz="4" w:space="0"/>
        <w:insideV w:val="single" w:color="9ABB59" w:sz="4" w:space="0"/>
      </w:tblBorders>
      <w:tblCellMar>
        <w:top w:w="0" w:type="dxa"/>
        <w:left w:w="108" w:type="dxa"/>
        <w:bottom w:w="0" w:type="dxa"/>
        <w:right w:w="108" w:type="dxa"/>
      </w:tblCellMar>
    </w:tblPr>
  </w:style>
  <w:style w:type="table" w:customStyle="1" w:styleId="122">
    <w:name w:val="Grid Table 3 - Accent 4"/>
    <w:qFormat/>
    <w:uiPriority w:val="99"/>
    <w:rPr>
      <w:kern w:val="0"/>
      <w:sz w:val="20"/>
      <w:szCs w:val="20"/>
    </w:rPr>
    <w:tblPr>
      <w:tblBorders>
        <w:bottom w:val="single" w:color="B2A1C6" w:sz="4" w:space="0"/>
        <w:insideH w:val="single" w:color="B2A1C6" w:sz="4" w:space="0"/>
        <w:insideV w:val="single" w:color="B2A1C6" w:sz="4" w:space="0"/>
      </w:tblBorders>
      <w:tblCellMar>
        <w:top w:w="0" w:type="dxa"/>
        <w:left w:w="108" w:type="dxa"/>
        <w:bottom w:w="0" w:type="dxa"/>
        <w:right w:w="108" w:type="dxa"/>
      </w:tblCellMar>
    </w:tblPr>
  </w:style>
  <w:style w:type="table" w:customStyle="1" w:styleId="123">
    <w:name w:val="Grid Table 3 - Accent 5"/>
    <w:qFormat/>
    <w:uiPriority w:val="99"/>
    <w:rPr>
      <w:kern w:val="0"/>
      <w:sz w:val="20"/>
      <w:szCs w:val="20"/>
    </w:rPr>
    <w:tblPr>
      <w:tblBorders>
        <w:bottom w:val="single" w:color="4BACC6" w:sz="4" w:space="0"/>
        <w:insideH w:val="single" w:color="4BACC6" w:sz="4" w:space="0"/>
        <w:insideV w:val="single" w:color="4BACC6" w:sz="4" w:space="0"/>
      </w:tblBorders>
      <w:tblCellMar>
        <w:top w:w="0" w:type="dxa"/>
        <w:left w:w="108" w:type="dxa"/>
        <w:bottom w:w="0" w:type="dxa"/>
        <w:right w:w="108" w:type="dxa"/>
      </w:tblCellMar>
    </w:tblPr>
  </w:style>
  <w:style w:type="table" w:customStyle="1" w:styleId="124">
    <w:name w:val="Grid Table 3 - Accent 6"/>
    <w:qFormat/>
    <w:uiPriority w:val="99"/>
    <w:rPr>
      <w:kern w:val="0"/>
      <w:sz w:val="20"/>
      <w:szCs w:val="20"/>
    </w:rPr>
    <w:tblPr>
      <w:tblBorders>
        <w:bottom w:val="single" w:color="F79646" w:sz="4" w:space="0"/>
        <w:insideH w:val="single" w:color="F79646" w:sz="4" w:space="0"/>
        <w:insideV w:val="single" w:color="F79646" w:sz="4" w:space="0"/>
      </w:tblBorders>
      <w:tblCellMar>
        <w:top w:w="0" w:type="dxa"/>
        <w:left w:w="108" w:type="dxa"/>
        <w:bottom w:w="0" w:type="dxa"/>
        <w:right w:w="108" w:type="dxa"/>
      </w:tblCellMar>
    </w:tblPr>
  </w:style>
  <w:style w:type="table" w:customStyle="1" w:styleId="125">
    <w:name w:val="网格表 41"/>
    <w:qFormat/>
    <w:uiPriority w:val="99"/>
    <w:rPr>
      <w:kern w:val="0"/>
      <w:sz w:val="20"/>
      <w:szCs w:val="20"/>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108" w:type="dxa"/>
        <w:bottom w:w="0" w:type="dxa"/>
        <w:right w:w="108" w:type="dxa"/>
      </w:tblCellMar>
    </w:tblPr>
  </w:style>
  <w:style w:type="table" w:customStyle="1" w:styleId="126">
    <w:name w:val="Grid Table 4 - Accent 1"/>
    <w:qFormat/>
    <w:uiPriority w:val="99"/>
    <w:rPr>
      <w:kern w:val="0"/>
      <w:sz w:val="20"/>
      <w:szCs w:val="20"/>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108" w:type="dxa"/>
        <w:bottom w:w="0" w:type="dxa"/>
        <w:right w:w="108" w:type="dxa"/>
      </w:tblCellMar>
    </w:tblPr>
  </w:style>
  <w:style w:type="table" w:customStyle="1" w:styleId="127">
    <w:name w:val="Grid Table 4 - Accent 2"/>
    <w:qFormat/>
    <w:uiPriority w:val="99"/>
    <w:rPr>
      <w:kern w:val="0"/>
      <w:sz w:val="20"/>
      <w:szCs w:val="20"/>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108" w:type="dxa"/>
        <w:bottom w:w="0" w:type="dxa"/>
        <w:right w:w="108" w:type="dxa"/>
      </w:tblCellMar>
    </w:tblPr>
  </w:style>
  <w:style w:type="table" w:customStyle="1" w:styleId="128">
    <w:name w:val="Grid Table 4 - Accent 3"/>
    <w:qFormat/>
    <w:uiPriority w:val="99"/>
    <w:rPr>
      <w:kern w:val="0"/>
      <w:sz w:val="20"/>
      <w:szCs w:val="20"/>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108" w:type="dxa"/>
        <w:bottom w:w="0" w:type="dxa"/>
        <w:right w:w="108" w:type="dxa"/>
      </w:tblCellMar>
    </w:tblPr>
  </w:style>
  <w:style w:type="table" w:customStyle="1" w:styleId="129">
    <w:name w:val="Grid Table 4 - Accent 4"/>
    <w:qFormat/>
    <w:uiPriority w:val="99"/>
    <w:rPr>
      <w:kern w:val="0"/>
      <w:sz w:val="20"/>
      <w:szCs w:val="20"/>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108" w:type="dxa"/>
        <w:bottom w:w="0" w:type="dxa"/>
        <w:right w:w="108" w:type="dxa"/>
      </w:tblCellMar>
    </w:tblPr>
  </w:style>
  <w:style w:type="table" w:customStyle="1" w:styleId="130">
    <w:name w:val="Grid Table 4 - Accent 5"/>
    <w:qFormat/>
    <w:uiPriority w:val="99"/>
    <w:rPr>
      <w:kern w:val="0"/>
      <w:sz w:val="20"/>
      <w:szCs w:val="20"/>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108" w:type="dxa"/>
        <w:bottom w:w="0" w:type="dxa"/>
        <w:right w:w="108" w:type="dxa"/>
      </w:tblCellMar>
    </w:tblPr>
  </w:style>
  <w:style w:type="table" w:customStyle="1" w:styleId="131">
    <w:name w:val="Grid Table 4 - Accent 6"/>
    <w:qFormat/>
    <w:uiPriority w:val="99"/>
    <w:rPr>
      <w:kern w:val="0"/>
      <w:sz w:val="20"/>
      <w:szCs w:val="20"/>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108" w:type="dxa"/>
        <w:bottom w:w="0" w:type="dxa"/>
        <w:right w:w="108" w:type="dxa"/>
      </w:tblCellMar>
    </w:tblPr>
  </w:style>
  <w:style w:type="table" w:customStyle="1" w:styleId="132">
    <w:name w:val="网格表 5 深色1"/>
    <w:qFormat/>
    <w:uiPriority w:val="99"/>
    <w:rPr>
      <w:kern w:val="0"/>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style>
  <w:style w:type="table" w:customStyle="1" w:styleId="133">
    <w:name w:val="Grid Table 5 Dark- Accent 1"/>
    <w:qFormat/>
    <w:uiPriority w:val="99"/>
    <w:rPr>
      <w:kern w:val="0"/>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style>
  <w:style w:type="table" w:customStyle="1" w:styleId="134">
    <w:name w:val="Grid Table 5 Dark - Accent 2"/>
    <w:qFormat/>
    <w:uiPriority w:val="99"/>
    <w:rPr>
      <w:kern w:val="0"/>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style>
  <w:style w:type="table" w:customStyle="1" w:styleId="135">
    <w:name w:val="Grid Table 5 Dark - Accent 3"/>
    <w:qFormat/>
    <w:uiPriority w:val="99"/>
    <w:rPr>
      <w:kern w:val="0"/>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style>
  <w:style w:type="table" w:customStyle="1" w:styleId="136">
    <w:name w:val="Grid Table 5 Dark- Accent 4"/>
    <w:qFormat/>
    <w:uiPriority w:val="99"/>
    <w:rPr>
      <w:kern w:val="0"/>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style>
  <w:style w:type="table" w:customStyle="1" w:styleId="137">
    <w:name w:val="Grid Table 5 Dark - Accent 5"/>
    <w:qFormat/>
    <w:uiPriority w:val="99"/>
    <w:rPr>
      <w:kern w:val="0"/>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style>
  <w:style w:type="table" w:customStyle="1" w:styleId="138">
    <w:name w:val="Grid Table 5 Dark - Accent 6"/>
    <w:qFormat/>
    <w:uiPriority w:val="99"/>
    <w:rPr>
      <w:kern w:val="0"/>
      <w:sz w:val="20"/>
      <w:szCs w:val="20"/>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108" w:type="dxa"/>
        <w:bottom w:w="0" w:type="dxa"/>
        <w:right w:w="108" w:type="dxa"/>
      </w:tblCellMar>
    </w:tblPr>
  </w:style>
  <w:style w:type="table" w:customStyle="1" w:styleId="139">
    <w:name w:val="网格表 6 彩色1"/>
    <w:qFormat/>
    <w:uiPriority w:val="99"/>
    <w:rPr>
      <w:kern w:val="0"/>
      <w:sz w:val="20"/>
      <w:szCs w:val="20"/>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108" w:type="dxa"/>
        <w:bottom w:w="0" w:type="dxa"/>
        <w:right w:w="108" w:type="dxa"/>
      </w:tblCellMar>
    </w:tblPr>
  </w:style>
  <w:style w:type="table" w:customStyle="1" w:styleId="140">
    <w:name w:val="Grid Table 6 Colorful - Accent 1"/>
    <w:qFormat/>
    <w:uiPriority w:val="99"/>
    <w:rPr>
      <w:kern w:val="0"/>
      <w:sz w:val="20"/>
      <w:szCs w:val="20"/>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108" w:type="dxa"/>
        <w:bottom w:w="0" w:type="dxa"/>
        <w:right w:w="108" w:type="dxa"/>
      </w:tblCellMar>
    </w:tblPr>
  </w:style>
  <w:style w:type="table" w:customStyle="1" w:styleId="141">
    <w:name w:val="Grid Table 6 Colorful - Accent 2"/>
    <w:qFormat/>
    <w:uiPriority w:val="99"/>
    <w:rPr>
      <w:kern w:val="0"/>
      <w:sz w:val="20"/>
      <w:szCs w:val="20"/>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108" w:type="dxa"/>
        <w:bottom w:w="0" w:type="dxa"/>
        <w:right w:w="108" w:type="dxa"/>
      </w:tblCellMar>
    </w:tblPr>
  </w:style>
  <w:style w:type="table" w:customStyle="1" w:styleId="142">
    <w:name w:val="Grid Table 6 Colorful - Accent 3"/>
    <w:qFormat/>
    <w:uiPriority w:val="99"/>
    <w:rPr>
      <w:kern w:val="0"/>
      <w:sz w:val="20"/>
      <w:szCs w:val="20"/>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108" w:type="dxa"/>
        <w:bottom w:w="0" w:type="dxa"/>
        <w:right w:w="108" w:type="dxa"/>
      </w:tblCellMar>
    </w:tblPr>
  </w:style>
  <w:style w:type="table" w:customStyle="1" w:styleId="143">
    <w:name w:val="Grid Table 6 Colorful - Accent 4"/>
    <w:qFormat/>
    <w:uiPriority w:val="99"/>
    <w:rPr>
      <w:kern w:val="0"/>
      <w:sz w:val="20"/>
      <w:szCs w:val="20"/>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108" w:type="dxa"/>
        <w:bottom w:w="0" w:type="dxa"/>
        <w:right w:w="108" w:type="dxa"/>
      </w:tblCellMar>
    </w:tblPr>
  </w:style>
  <w:style w:type="table" w:customStyle="1" w:styleId="144">
    <w:name w:val="Grid Table 6 Colorful - Accent 5"/>
    <w:qFormat/>
    <w:uiPriority w:val="99"/>
    <w:rPr>
      <w:kern w:val="0"/>
      <w:sz w:val="20"/>
      <w:szCs w:val="20"/>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108" w:type="dxa"/>
        <w:bottom w:w="0" w:type="dxa"/>
        <w:right w:w="108" w:type="dxa"/>
      </w:tblCellMar>
    </w:tblPr>
  </w:style>
  <w:style w:type="table" w:customStyle="1" w:styleId="145">
    <w:name w:val="Grid Table 6 Colorful - Accent 6"/>
    <w:qFormat/>
    <w:uiPriority w:val="99"/>
    <w:rPr>
      <w:kern w:val="0"/>
      <w:sz w:val="20"/>
      <w:szCs w:val="20"/>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108" w:type="dxa"/>
        <w:bottom w:w="0" w:type="dxa"/>
        <w:right w:w="108" w:type="dxa"/>
      </w:tblCellMar>
    </w:tblPr>
  </w:style>
  <w:style w:type="table" w:customStyle="1" w:styleId="146">
    <w:name w:val="网格表 7 彩色1"/>
    <w:qFormat/>
    <w:uiPriority w:val="99"/>
    <w:rPr>
      <w:kern w:val="0"/>
      <w:sz w:val="20"/>
      <w:szCs w:val="20"/>
    </w:rPr>
    <w:tblPr>
      <w:tblBorders>
        <w:bottom w:val="single" w:color="7F7F7F" w:sz="4" w:space="0"/>
        <w:right w:val="single" w:color="7F7F7F" w:sz="4" w:space="0"/>
        <w:insideH w:val="single" w:color="7F7F7F" w:sz="4" w:space="0"/>
        <w:insideV w:val="single" w:color="7F7F7F" w:sz="4" w:space="0"/>
      </w:tblBorders>
      <w:tblCellMar>
        <w:top w:w="0" w:type="dxa"/>
        <w:left w:w="108" w:type="dxa"/>
        <w:bottom w:w="0" w:type="dxa"/>
        <w:right w:w="108" w:type="dxa"/>
      </w:tblCellMar>
    </w:tblPr>
  </w:style>
  <w:style w:type="table" w:customStyle="1" w:styleId="147">
    <w:name w:val="Grid Table 7 Colorful - Accent 1"/>
    <w:qFormat/>
    <w:uiPriority w:val="99"/>
    <w:rPr>
      <w:kern w:val="0"/>
      <w:sz w:val="20"/>
      <w:szCs w:val="20"/>
    </w:rPr>
    <w:tblPr>
      <w:tblBorders>
        <w:bottom w:val="single" w:color="A6BFDD" w:sz="4" w:space="0"/>
        <w:right w:val="single" w:color="A6BFDD" w:sz="4" w:space="0"/>
        <w:insideH w:val="single" w:color="A6BFDD" w:sz="4" w:space="0"/>
        <w:insideV w:val="single" w:color="A6BFDD" w:sz="4" w:space="0"/>
      </w:tblBorders>
      <w:tblCellMar>
        <w:top w:w="0" w:type="dxa"/>
        <w:left w:w="108" w:type="dxa"/>
        <w:bottom w:w="0" w:type="dxa"/>
        <w:right w:w="108" w:type="dxa"/>
      </w:tblCellMar>
    </w:tblPr>
  </w:style>
  <w:style w:type="table" w:customStyle="1" w:styleId="148">
    <w:name w:val="Grid Table 7 Colorful - Accent 2"/>
    <w:qFormat/>
    <w:uiPriority w:val="99"/>
    <w:rPr>
      <w:kern w:val="0"/>
      <w:sz w:val="20"/>
      <w:szCs w:val="20"/>
    </w:rPr>
    <w:tblPr>
      <w:tblBorders>
        <w:bottom w:val="single" w:color="D99695" w:sz="4" w:space="0"/>
        <w:right w:val="single" w:color="D99695" w:sz="4" w:space="0"/>
        <w:insideH w:val="single" w:color="D99695" w:sz="4" w:space="0"/>
        <w:insideV w:val="single" w:color="D99695" w:sz="4" w:space="0"/>
      </w:tblBorders>
      <w:tblCellMar>
        <w:top w:w="0" w:type="dxa"/>
        <w:left w:w="108" w:type="dxa"/>
        <w:bottom w:w="0" w:type="dxa"/>
        <w:right w:w="108" w:type="dxa"/>
      </w:tblCellMar>
    </w:tblPr>
  </w:style>
  <w:style w:type="table" w:customStyle="1" w:styleId="149">
    <w:name w:val="Grid Table 7 Colorful - Accent 3"/>
    <w:qFormat/>
    <w:uiPriority w:val="99"/>
    <w:rPr>
      <w:kern w:val="0"/>
      <w:sz w:val="20"/>
      <w:szCs w:val="20"/>
    </w:rPr>
    <w:tblPr>
      <w:tblBorders>
        <w:bottom w:val="single" w:color="9ABB59" w:sz="4" w:space="0"/>
        <w:right w:val="single" w:color="9ABB59" w:sz="4" w:space="0"/>
        <w:insideH w:val="single" w:color="9ABB59" w:sz="4" w:space="0"/>
        <w:insideV w:val="single" w:color="9ABB59" w:sz="4" w:space="0"/>
      </w:tblBorders>
      <w:tblCellMar>
        <w:top w:w="0" w:type="dxa"/>
        <w:left w:w="108" w:type="dxa"/>
        <w:bottom w:w="0" w:type="dxa"/>
        <w:right w:w="108" w:type="dxa"/>
      </w:tblCellMar>
    </w:tblPr>
  </w:style>
  <w:style w:type="table" w:customStyle="1" w:styleId="150">
    <w:name w:val="Grid Table 7 Colorful - Accent 4"/>
    <w:qFormat/>
    <w:uiPriority w:val="99"/>
    <w:rPr>
      <w:kern w:val="0"/>
      <w:sz w:val="20"/>
      <w:szCs w:val="20"/>
    </w:rPr>
    <w:tblPr>
      <w:tblBorders>
        <w:bottom w:val="single" w:color="B2A1C6" w:sz="4" w:space="0"/>
        <w:right w:val="single" w:color="B2A1C6" w:sz="4" w:space="0"/>
        <w:insideH w:val="single" w:color="B2A1C6" w:sz="4" w:space="0"/>
        <w:insideV w:val="single" w:color="B2A1C6" w:sz="4" w:space="0"/>
      </w:tblBorders>
      <w:tblCellMar>
        <w:top w:w="0" w:type="dxa"/>
        <w:left w:w="108" w:type="dxa"/>
        <w:bottom w:w="0" w:type="dxa"/>
        <w:right w:w="108" w:type="dxa"/>
      </w:tblCellMar>
    </w:tblPr>
  </w:style>
  <w:style w:type="table" w:customStyle="1" w:styleId="151">
    <w:name w:val="Grid Table 7 Colorful - Accent 5"/>
    <w:qFormat/>
    <w:uiPriority w:val="99"/>
    <w:rPr>
      <w:kern w:val="0"/>
      <w:sz w:val="20"/>
      <w:szCs w:val="20"/>
    </w:rPr>
    <w:tblPr>
      <w:tblBorders>
        <w:bottom w:val="single" w:color="99D0DE" w:sz="4" w:space="0"/>
        <w:right w:val="single" w:color="99D0DE" w:sz="4" w:space="0"/>
        <w:insideH w:val="single" w:color="99D0DE" w:sz="4" w:space="0"/>
        <w:insideV w:val="single" w:color="99D0DE" w:sz="4" w:space="0"/>
      </w:tblBorders>
      <w:tblCellMar>
        <w:top w:w="0" w:type="dxa"/>
        <w:left w:w="108" w:type="dxa"/>
        <w:bottom w:w="0" w:type="dxa"/>
        <w:right w:w="108" w:type="dxa"/>
      </w:tblCellMar>
    </w:tblPr>
  </w:style>
  <w:style w:type="table" w:customStyle="1" w:styleId="152">
    <w:name w:val="Grid Table 7 Colorful - Accent 6"/>
    <w:qFormat/>
    <w:uiPriority w:val="99"/>
    <w:rPr>
      <w:kern w:val="0"/>
      <w:sz w:val="20"/>
      <w:szCs w:val="20"/>
    </w:rPr>
    <w:tblPr>
      <w:tblBorders>
        <w:bottom w:val="single" w:color="FAC396" w:sz="4" w:space="0"/>
        <w:right w:val="single" w:color="FAC396" w:sz="4" w:space="0"/>
        <w:insideH w:val="single" w:color="FAC396" w:sz="4" w:space="0"/>
        <w:insideV w:val="single" w:color="FAC396" w:sz="4" w:space="0"/>
      </w:tblBorders>
      <w:tblCellMar>
        <w:top w:w="0" w:type="dxa"/>
        <w:left w:w="108" w:type="dxa"/>
        <w:bottom w:w="0" w:type="dxa"/>
        <w:right w:w="108" w:type="dxa"/>
      </w:tblCellMar>
    </w:tblPr>
  </w:style>
  <w:style w:type="table" w:customStyle="1" w:styleId="153">
    <w:name w:val="清单表 1 浅色1"/>
    <w:qFormat/>
    <w:uiPriority w:val="99"/>
    <w:rPr>
      <w:kern w:val="0"/>
      <w:sz w:val="20"/>
      <w:szCs w:val="20"/>
    </w:rPr>
    <w:tblPr>
      <w:tblCellMar>
        <w:top w:w="0" w:type="dxa"/>
        <w:left w:w="108" w:type="dxa"/>
        <w:bottom w:w="0" w:type="dxa"/>
        <w:right w:w="108" w:type="dxa"/>
      </w:tblCellMar>
    </w:tblPr>
  </w:style>
  <w:style w:type="table" w:customStyle="1" w:styleId="154">
    <w:name w:val="List Table 1 Light - Accent 1"/>
    <w:qFormat/>
    <w:uiPriority w:val="99"/>
    <w:rPr>
      <w:kern w:val="0"/>
      <w:sz w:val="20"/>
      <w:szCs w:val="20"/>
    </w:rPr>
    <w:tblPr>
      <w:tblCellMar>
        <w:top w:w="0" w:type="dxa"/>
        <w:left w:w="108" w:type="dxa"/>
        <w:bottom w:w="0" w:type="dxa"/>
        <w:right w:w="108" w:type="dxa"/>
      </w:tblCellMar>
    </w:tblPr>
  </w:style>
  <w:style w:type="table" w:customStyle="1" w:styleId="155">
    <w:name w:val="List Table 1 Light - Accent 2"/>
    <w:qFormat/>
    <w:uiPriority w:val="99"/>
    <w:rPr>
      <w:kern w:val="0"/>
      <w:sz w:val="20"/>
      <w:szCs w:val="20"/>
    </w:rPr>
    <w:tblPr>
      <w:tblCellMar>
        <w:top w:w="0" w:type="dxa"/>
        <w:left w:w="108" w:type="dxa"/>
        <w:bottom w:w="0" w:type="dxa"/>
        <w:right w:w="108" w:type="dxa"/>
      </w:tblCellMar>
    </w:tblPr>
  </w:style>
  <w:style w:type="table" w:customStyle="1" w:styleId="156">
    <w:name w:val="List Table 1 Light - Accent 3"/>
    <w:qFormat/>
    <w:uiPriority w:val="99"/>
    <w:rPr>
      <w:kern w:val="0"/>
      <w:sz w:val="20"/>
      <w:szCs w:val="20"/>
    </w:rPr>
    <w:tblPr>
      <w:tblCellMar>
        <w:top w:w="0" w:type="dxa"/>
        <w:left w:w="108" w:type="dxa"/>
        <w:bottom w:w="0" w:type="dxa"/>
        <w:right w:w="108" w:type="dxa"/>
      </w:tblCellMar>
    </w:tblPr>
  </w:style>
  <w:style w:type="table" w:customStyle="1" w:styleId="157">
    <w:name w:val="List Table 1 Light - Accent 4"/>
    <w:qFormat/>
    <w:uiPriority w:val="99"/>
    <w:rPr>
      <w:kern w:val="0"/>
      <w:sz w:val="20"/>
      <w:szCs w:val="20"/>
    </w:rPr>
    <w:tblPr>
      <w:tblCellMar>
        <w:top w:w="0" w:type="dxa"/>
        <w:left w:w="108" w:type="dxa"/>
        <w:bottom w:w="0" w:type="dxa"/>
        <w:right w:w="108" w:type="dxa"/>
      </w:tblCellMar>
    </w:tblPr>
  </w:style>
  <w:style w:type="table" w:customStyle="1" w:styleId="158">
    <w:name w:val="List Table 1 Light - Accent 5"/>
    <w:qFormat/>
    <w:uiPriority w:val="99"/>
    <w:rPr>
      <w:kern w:val="0"/>
      <w:sz w:val="20"/>
      <w:szCs w:val="20"/>
    </w:rPr>
    <w:tblPr>
      <w:tblCellMar>
        <w:top w:w="0" w:type="dxa"/>
        <w:left w:w="108" w:type="dxa"/>
        <w:bottom w:w="0" w:type="dxa"/>
        <w:right w:w="108" w:type="dxa"/>
      </w:tblCellMar>
    </w:tblPr>
  </w:style>
  <w:style w:type="table" w:customStyle="1" w:styleId="159">
    <w:name w:val="List Table 1 Light - Accent 6"/>
    <w:qFormat/>
    <w:uiPriority w:val="99"/>
    <w:rPr>
      <w:kern w:val="0"/>
      <w:sz w:val="20"/>
      <w:szCs w:val="20"/>
    </w:rPr>
    <w:tblPr>
      <w:tblCellMar>
        <w:top w:w="0" w:type="dxa"/>
        <w:left w:w="108" w:type="dxa"/>
        <w:bottom w:w="0" w:type="dxa"/>
        <w:right w:w="108" w:type="dxa"/>
      </w:tblCellMar>
    </w:tblPr>
  </w:style>
  <w:style w:type="table" w:customStyle="1" w:styleId="160">
    <w:name w:val="清单表 21"/>
    <w:qFormat/>
    <w:uiPriority w:val="99"/>
    <w:rPr>
      <w:kern w:val="0"/>
      <w:sz w:val="20"/>
      <w:szCs w:val="20"/>
    </w:rPr>
    <w:tblPr>
      <w:tblBorders>
        <w:top w:val="single" w:color="6F6F6F" w:sz="4" w:space="0"/>
        <w:bottom w:val="single" w:color="6F6F6F" w:sz="4" w:space="0"/>
        <w:insideH w:val="single" w:color="6F6F6F" w:sz="4" w:space="0"/>
      </w:tblBorders>
      <w:tblCellMar>
        <w:top w:w="0" w:type="dxa"/>
        <w:left w:w="108" w:type="dxa"/>
        <w:bottom w:w="0" w:type="dxa"/>
        <w:right w:w="108" w:type="dxa"/>
      </w:tblCellMar>
    </w:tblPr>
  </w:style>
  <w:style w:type="table" w:customStyle="1" w:styleId="161">
    <w:name w:val="List Table 2 - Accent 1"/>
    <w:qFormat/>
    <w:uiPriority w:val="99"/>
    <w:rPr>
      <w:kern w:val="0"/>
      <w:sz w:val="20"/>
      <w:szCs w:val="20"/>
    </w:rPr>
    <w:tblPr>
      <w:tblBorders>
        <w:top w:val="single" w:color="9BB7D9" w:sz="4" w:space="0"/>
        <w:bottom w:val="single" w:color="9BB7D9" w:sz="4" w:space="0"/>
        <w:insideH w:val="single" w:color="9BB7D9" w:sz="4" w:space="0"/>
      </w:tblBorders>
      <w:tblCellMar>
        <w:top w:w="0" w:type="dxa"/>
        <w:left w:w="108" w:type="dxa"/>
        <w:bottom w:w="0" w:type="dxa"/>
        <w:right w:w="108" w:type="dxa"/>
      </w:tblCellMar>
    </w:tblPr>
  </w:style>
  <w:style w:type="table" w:customStyle="1" w:styleId="162">
    <w:name w:val="List Table 2 - Accent 2"/>
    <w:qFormat/>
    <w:uiPriority w:val="99"/>
    <w:rPr>
      <w:kern w:val="0"/>
      <w:sz w:val="20"/>
      <w:szCs w:val="20"/>
    </w:rPr>
    <w:tblPr>
      <w:tblBorders>
        <w:top w:val="single" w:color="DB9B9A" w:sz="4" w:space="0"/>
        <w:bottom w:val="single" w:color="DB9B9A" w:sz="4" w:space="0"/>
        <w:insideH w:val="single" w:color="DB9B9A" w:sz="4" w:space="0"/>
      </w:tblBorders>
      <w:tblCellMar>
        <w:top w:w="0" w:type="dxa"/>
        <w:left w:w="108" w:type="dxa"/>
        <w:bottom w:w="0" w:type="dxa"/>
        <w:right w:w="108" w:type="dxa"/>
      </w:tblCellMar>
    </w:tblPr>
  </w:style>
  <w:style w:type="table" w:customStyle="1" w:styleId="163">
    <w:name w:val="List Table 2 - Accent 3"/>
    <w:qFormat/>
    <w:uiPriority w:val="99"/>
    <w:rPr>
      <w:kern w:val="0"/>
      <w:sz w:val="20"/>
      <w:szCs w:val="20"/>
    </w:rPr>
    <w:tblPr>
      <w:tblBorders>
        <w:top w:val="single" w:color="C6D8A1" w:sz="4" w:space="0"/>
        <w:bottom w:val="single" w:color="C6D8A1" w:sz="4" w:space="0"/>
        <w:insideH w:val="single" w:color="C6D8A1" w:sz="4" w:space="0"/>
      </w:tblBorders>
      <w:tblCellMar>
        <w:top w:w="0" w:type="dxa"/>
        <w:left w:w="108" w:type="dxa"/>
        <w:bottom w:w="0" w:type="dxa"/>
        <w:right w:w="108" w:type="dxa"/>
      </w:tblCellMar>
    </w:tblPr>
  </w:style>
  <w:style w:type="table" w:customStyle="1" w:styleId="164">
    <w:name w:val="List Table 2 - Accent 4"/>
    <w:qFormat/>
    <w:uiPriority w:val="99"/>
    <w:rPr>
      <w:kern w:val="0"/>
      <w:sz w:val="20"/>
      <w:szCs w:val="20"/>
    </w:rPr>
    <w:tblPr>
      <w:tblBorders>
        <w:top w:val="single" w:color="B7A7CA" w:sz="4" w:space="0"/>
        <w:bottom w:val="single" w:color="B7A7CA" w:sz="4" w:space="0"/>
        <w:insideH w:val="single" w:color="B7A7CA" w:sz="4" w:space="0"/>
      </w:tblBorders>
      <w:tblCellMar>
        <w:top w:w="0" w:type="dxa"/>
        <w:left w:w="108" w:type="dxa"/>
        <w:bottom w:w="0" w:type="dxa"/>
        <w:right w:w="108" w:type="dxa"/>
      </w:tblCellMar>
    </w:tblPr>
  </w:style>
  <w:style w:type="table" w:customStyle="1" w:styleId="165">
    <w:name w:val="List Table 2 - Accent 5"/>
    <w:qFormat/>
    <w:uiPriority w:val="99"/>
    <w:rPr>
      <w:kern w:val="0"/>
      <w:sz w:val="20"/>
      <w:szCs w:val="20"/>
    </w:rPr>
    <w:tblPr>
      <w:tblBorders>
        <w:top w:val="single" w:color="99D0DE" w:sz="4" w:space="0"/>
        <w:bottom w:val="single" w:color="99D0DE" w:sz="4" w:space="0"/>
        <w:insideH w:val="single" w:color="99D0DE" w:sz="4" w:space="0"/>
      </w:tblBorders>
      <w:tblCellMar>
        <w:top w:w="0" w:type="dxa"/>
        <w:left w:w="108" w:type="dxa"/>
        <w:bottom w:w="0" w:type="dxa"/>
        <w:right w:w="108" w:type="dxa"/>
      </w:tblCellMar>
    </w:tblPr>
  </w:style>
  <w:style w:type="table" w:customStyle="1" w:styleId="166">
    <w:name w:val="List Table 2 - Accent 6"/>
    <w:qFormat/>
    <w:uiPriority w:val="99"/>
    <w:rPr>
      <w:kern w:val="0"/>
      <w:sz w:val="20"/>
      <w:szCs w:val="20"/>
    </w:rPr>
    <w:tblPr>
      <w:tblBorders>
        <w:top w:val="single" w:color="FAC396" w:sz="4" w:space="0"/>
        <w:bottom w:val="single" w:color="FAC396" w:sz="4" w:space="0"/>
        <w:insideH w:val="single" w:color="FAC396" w:sz="4" w:space="0"/>
      </w:tblBorders>
      <w:tblCellMar>
        <w:top w:w="0" w:type="dxa"/>
        <w:left w:w="108" w:type="dxa"/>
        <w:bottom w:w="0" w:type="dxa"/>
        <w:right w:w="108" w:type="dxa"/>
      </w:tblCellMar>
    </w:tblPr>
  </w:style>
  <w:style w:type="table" w:customStyle="1" w:styleId="167">
    <w:name w:val="清单表 31"/>
    <w:qFormat/>
    <w:uiPriority w:val="99"/>
    <w:rPr>
      <w:kern w:val="0"/>
      <w:sz w:val="20"/>
      <w:szCs w:val="20"/>
    </w:rPr>
    <w:tblPr>
      <w:tblBorders>
        <w:top w:val="single" w:color="000000" w:sz="4" w:space="0"/>
        <w:left w:val="single" w:color="000000" w:sz="4" w:space="0"/>
        <w:bottom w:val="single" w:color="000000" w:sz="4" w:space="0"/>
        <w:right w:val="single" w:color="000000" w:sz="4" w:space="0"/>
      </w:tblBorders>
      <w:tblCellMar>
        <w:top w:w="0" w:type="dxa"/>
        <w:left w:w="108" w:type="dxa"/>
        <w:bottom w:w="0" w:type="dxa"/>
        <w:right w:w="108" w:type="dxa"/>
      </w:tblCellMar>
    </w:tblPr>
  </w:style>
  <w:style w:type="table" w:customStyle="1" w:styleId="168">
    <w:name w:val="List Table 3 - Accent 1"/>
    <w:qFormat/>
    <w:uiPriority w:val="99"/>
    <w:rPr>
      <w:kern w:val="0"/>
      <w:sz w:val="20"/>
      <w:szCs w:val="20"/>
    </w:rPr>
    <w:tblPr>
      <w:tblBorders>
        <w:top w:val="single" w:color="4F81BD" w:sz="4" w:space="0"/>
        <w:left w:val="single" w:color="4F81BD" w:sz="4" w:space="0"/>
        <w:bottom w:val="single" w:color="4F81BD" w:sz="4" w:space="0"/>
        <w:right w:val="single" w:color="4F81BD" w:sz="4" w:space="0"/>
      </w:tblBorders>
      <w:tblCellMar>
        <w:top w:w="0" w:type="dxa"/>
        <w:left w:w="108" w:type="dxa"/>
        <w:bottom w:w="0" w:type="dxa"/>
        <w:right w:w="108" w:type="dxa"/>
      </w:tblCellMar>
    </w:tblPr>
  </w:style>
  <w:style w:type="table" w:customStyle="1" w:styleId="169">
    <w:name w:val="List Table 3 - Accent 2"/>
    <w:qFormat/>
    <w:uiPriority w:val="99"/>
    <w:rPr>
      <w:kern w:val="0"/>
      <w:sz w:val="20"/>
      <w:szCs w:val="20"/>
    </w:rPr>
    <w:tblPr>
      <w:tblBorders>
        <w:top w:val="single" w:color="D99695" w:sz="4" w:space="0"/>
        <w:left w:val="single" w:color="D99695" w:sz="4" w:space="0"/>
        <w:bottom w:val="single" w:color="D99695" w:sz="4" w:space="0"/>
        <w:right w:val="single" w:color="D99695" w:sz="4" w:space="0"/>
      </w:tblBorders>
      <w:tblCellMar>
        <w:top w:w="0" w:type="dxa"/>
        <w:left w:w="108" w:type="dxa"/>
        <w:bottom w:w="0" w:type="dxa"/>
        <w:right w:w="108" w:type="dxa"/>
      </w:tblCellMar>
    </w:tblPr>
  </w:style>
  <w:style w:type="table" w:customStyle="1" w:styleId="170">
    <w:name w:val="List Table 3 - Accent 3"/>
    <w:qFormat/>
    <w:uiPriority w:val="99"/>
    <w:rPr>
      <w:kern w:val="0"/>
      <w:sz w:val="20"/>
      <w:szCs w:val="20"/>
    </w:rPr>
    <w:tblPr>
      <w:tblBorders>
        <w:top w:val="single" w:color="C3D69B" w:sz="4" w:space="0"/>
        <w:left w:val="single" w:color="C3D69B" w:sz="4" w:space="0"/>
        <w:bottom w:val="single" w:color="C3D69B" w:sz="4" w:space="0"/>
        <w:right w:val="single" w:color="C3D69B" w:sz="4" w:space="0"/>
      </w:tblBorders>
      <w:tblCellMar>
        <w:top w:w="0" w:type="dxa"/>
        <w:left w:w="108" w:type="dxa"/>
        <w:bottom w:w="0" w:type="dxa"/>
        <w:right w:w="108" w:type="dxa"/>
      </w:tblCellMar>
    </w:tblPr>
  </w:style>
  <w:style w:type="table" w:customStyle="1" w:styleId="171">
    <w:name w:val="List Table 3 - Accent 4"/>
    <w:qFormat/>
    <w:uiPriority w:val="99"/>
    <w:rPr>
      <w:kern w:val="0"/>
      <w:sz w:val="20"/>
      <w:szCs w:val="20"/>
    </w:rPr>
    <w:tblPr>
      <w:tblBorders>
        <w:top w:val="single" w:color="B2A1C6" w:sz="4" w:space="0"/>
        <w:left w:val="single" w:color="B2A1C6" w:sz="4" w:space="0"/>
        <w:bottom w:val="single" w:color="B2A1C6" w:sz="4" w:space="0"/>
        <w:right w:val="single" w:color="B2A1C6" w:sz="4" w:space="0"/>
      </w:tblBorders>
      <w:tblCellMar>
        <w:top w:w="0" w:type="dxa"/>
        <w:left w:w="108" w:type="dxa"/>
        <w:bottom w:w="0" w:type="dxa"/>
        <w:right w:w="108" w:type="dxa"/>
      </w:tblCellMar>
    </w:tblPr>
  </w:style>
  <w:style w:type="table" w:customStyle="1" w:styleId="172">
    <w:name w:val="List Table 3 - Accent 5"/>
    <w:qFormat/>
    <w:uiPriority w:val="99"/>
    <w:rPr>
      <w:kern w:val="0"/>
      <w:sz w:val="20"/>
      <w:szCs w:val="20"/>
    </w:rPr>
    <w:tblPr>
      <w:tblBorders>
        <w:top w:val="single" w:color="92CCDC" w:sz="4" w:space="0"/>
        <w:left w:val="single" w:color="92CCDC" w:sz="4" w:space="0"/>
        <w:bottom w:val="single" w:color="92CCDC" w:sz="4" w:space="0"/>
        <w:right w:val="single" w:color="92CCDC" w:sz="4" w:space="0"/>
      </w:tblBorders>
      <w:tblCellMar>
        <w:top w:w="0" w:type="dxa"/>
        <w:left w:w="108" w:type="dxa"/>
        <w:bottom w:w="0" w:type="dxa"/>
        <w:right w:w="108" w:type="dxa"/>
      </w:tblCellMar>
    </w:tblPr>
  </w:style>
  <w:style w:type="table" w:customStyle="1" w:styleId="173">
    <w:name w:val="List Table 3 - Accent 6"/>
    <w:qFormat/>
    <w:uiPriority w:val="99"/>
    <w:rPr>
      <w:kern w:val="0"/>
      <w:sz w:val="20"/>
      <w:szCs w:val="20"/>
    </w:rPr>
    <w:tblPr>
      <w:tblBorders>
        <w:top w:val="single" w:color="FAC090" w:sz="4" w:space="0"/>
        <w:left w:val="single" w:color="FAC090" w:sz="4" w:space="0"/>
        <w:bottom w:val="single" w:color="FAC090" w:sz="4" w:space="0"/>
        <w:right w:val="single" w:color="FAC090" w:sz="4" w:space="0"/>
      </w:tblBorders>
      <w:tblCellMar>
        <w:top w:w="0" w:type="dxa"/>
        <w:left w:w="108" w:type="dxa"/>
        <w:bottom w:w="0" w:type="dxa"/>
        <w:right w:w="108" w:type="dxa"/>
      </w:tblCellMar>
    </w:tblPr>
  </w:style>
  <w:style w:type="table" w:customStyle="1" w:styleId="174">
    <w:name w:val="清单表 41"/>
    <w:qFormat/>
    <w:uiPriority w:val="99"/>
    <w:rPr>
      <w:kern w:val="0"/>
      <w:sz w:val="20"/>
      <w:szCs w:val="20"/>
    </w:rPr>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108" w:type="dxa"/>
        <w:bottom w:w="0" w:type="dxa"/>
        <w:right w:w="108" w:type="dxa"/>
      </w:tblCellMar>
    </w:tblPr>
  </w:style>
  <w:style w:type="table" w:customStyle="1" w:styleId="175">
    <w:name w:val="List Table 4 - Accent 1"/>
    <w:qFormat/>
    <w:uiPriority w:val="99"/>
    <w:rPr>
      <w:kern w:val="0"/>
      <w:sz w:val="20"/>
      <w:szCs w:val="20"/>
    </w:rPr>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108" w:type="dxa"/>
        <w:bottom w:w="0" w:type="dxa"/>
        <w:right w:w="108" w:type="dxa"/>
      </w:tblCellMar>
    </w:tblPr>
  </w:style>
  <w:style w:type="table" w:customStyle="1" w:styleId="176">
    <w:name w:val="List Table 4 - Accent 2"/>
    <w:qFormat/>
    <w:uiPriority w:val="99"/>
    <w:rPr>
      <w:kern w:val="0"/>
      <w:sz w:val="20"/>
      <w:szCs w:val="20"/>
    </w:rPr>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108" w:type="dxa"/>
        <w:bottom w:w="0" w:type="dxa"/>
        <w:right w:w="108" w:type="dxa"/>
      </w:tblCellMar>
    </w:tblPr>
  </w:style>
  <w:style w:type="table" w:customStyle="1" w:styleId="177">
    <w:name w:val="List Table 4 - Accent 3"/>
    <w:qFormat/>
    <w:uiPriority w:val="99"/>
    <w:rPr>
      <w:kern w:val="0"/>
      <w:sz w:val="20"/>
      <w:szCs w:val="20"/>
    </w:rPr>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108" w:type="dxa"/>
        <w:bottom w:w="0" w:type="dxa"/>
        <w:right w:w="108" w:type="dxa"/>
      </w:tblCellMar>
    </w:tblPr>
  </w:style>
  <w:style w:type="table" w:customStyle="1" w:styleId="178">
    <w:name w:val="List Table 4 - Accent 4"/>
    <w:qFormat/>
    <w:uiPriority w:val="99"/>
    <w:rPr>
      <w:kern w:val="0"/>
      <w:sz w:val="20"/>
      <w:szCs w:val="20"/>
    </w:rPr>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108" w:type="dxa"/>
        <w:bottom w:w="0" w:type="dxa"/>
        <w:right w:w="108" w:type="dxa"/>
      </w:tblCellMar>
    </w:tblPr>
  </w:style>
  <w:style w:type="table" w:customStyle="1" w:styleId="179">
    <w:name w:val="List Table 4 - Accent 5"/>
    <w:qFormat/>
    <w:uiPriority w:val="99"/>
    <w:rPr>
      <w:kern w:val="0"/>
      <w:sz w:val="20"/>
      <w:szCs w:val="20"/>
    </w:rPr>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108" w:type="dxa"/>
        <w:bottom w:w="0" w:type="dxa"/>
        <w:right w:w="108" w:type="dxa"/>
      </w:tblCellMar>
    </w:tblPr>
  </w:style>
  <w:style w:type="table" w:customStyle="1" w:styleId="180">
    <w:name w:val="List Table 4 - Accent 6"/>
    <w:qFormat/>
    <w:uiPriority w:val="99"/>
    <w:rPr>
      <w:kern w:val="0"/>
      <w:sz w:val="20"/>
      <w:szCs w:val="20"/>
    </w:rPr>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108" w:type="dxa"/>
        <w:bottom w:w="0" w:type="dxa"/>
        <w:right w:w="108" w:type="dxa"/>
      </w:tblCellMar>
    </w:tblPr>
  </w:style>
  <w:style w:type="table" w:customStyle="1" w:styleId="181">
    <w:name w:val="清单表 5 深色1"/>
    <w:qFormat/>
    <w:uiPriority w:val="99"/>
    <w:rPr>
      <w:kern w:val="0"/>
      <w:sz w:val="20"/>
      <w:szCs w:val="20"/>
    </w:rPr>
    <w:tblPr>
      <w:tblBorders>
        <w:top w:val="single" w:color="7F7F7F" w:sz="32" w:space="0"/>
        <w:left w:val="single" w:color="7F7F7F" w:sz="32" w:space="0"/>
        <w:bottom w:val="single" w:color="7F7F7F" w:sz="32" w:space="0"/>
        <w:right w:val="single" w:color="7F7F7F" w:sz="32" w:space="0"/>
      </w:tblBorders>
      <w:tblCellMar>
        <w:top w:w="0" w:type="dxa"/>
        <w:left w:w="108" w:type="dxa"/>
        <w:bottom w:w="0" w:type="dxa"/>
        <w:right w:w="108" w:type="dxa"/>
      </w:tblCellMar>
    </w:tblPr>
  </w:style>
  <w:style w:type="table" w:customStyle="1" w:styleId="182">
    <w:name w:val="List Table 5 Dark - Accent 1"/>
    <w:qFormat/>
    <w:uiPriority w:val="99"/>
    <w:rPr>
      <w:kern w:val="0"/>
      <w:sz w:val="20"/>
      <w:szCs w:val="20"/>
    </w:rPr>
    <w:tblPr>
      <w:tblBorders>
        <w:top w:val="single" w:color="4F81BD" w:sz="32" w:space="0"/>
        <w:left w:val="single" w:color="4F81BD" w:sz="32" w:space="0"/>
        <w:bottom w:val="single" w:color="4F81BD" w:sz="32" w:space="0"/>
        <w:right w:val="single" w:color="4F81BD" w:sz="32" w:space="0"/>
      </w:tblBorders>
      <w:tblCellMar>
        <w:top w:w="0" w:type="dxa"/>
        <w:left w:w="108" w:type="dxa"/>
        <w:bottom w:w="0" w:type="dxa"/>
        <w:right w:w="108" w:type="dxa"/>
      </w:tblCellMar>
    </w:tblPr>
  </w:style>
  <w:style w:type="table" w:customStyle="1" w:styleId="183">
    <w:name w:val="List Table 5 Dark - Accent 2"/>
    <w:qFormat/>
    <w:uiPriority w:val="99"/>
    <w:rPr>
      <w:kern w:val="0"/>
      <w:sz w:val="20"/>
      <w:szCs w:val="20"/>
    </w:rPr>
    <w:tblPr>
      <w:tblBorders>
        <w:top w:val="single" w:color="D99695" w:sz="32" w:space="0"/>
        <w:left w:val="single" w:color="D99695" w:sz="32" w:space="0"/>
        <w:bottom w:val="single" w:color="D99695" w:sz="32" w:space="0"/>
        <w:right w:val="single" w:color="D99695" w:sz="32" w:space="0"/>
      </w:tblBorders>
      <w:tblCellMar>
        <w:top w:w="0" w:type="dxa"/>
        <w:left w:w="108" w:type="dxa"/>
        <w:bottom w:w="0" w:type="dxa"/>
        <w:right w:w="108" w:type="dxa"/>
      </w:tblCellMar>
    </w:tblPr>
  </w:style>
  <w:style w:type="table" w:customStyle="1" w:styleId="184">
    <w:name w:val="List Table 5 Dark - Accent 3"/>
    <w:qFormat/>
    <w:uiPriority w:val="99"/>
    <w:rPr>
      <w:kern w:val="0"/>
      <w:sz w:val="20"/>
      <w:szCs w:val="20"/>
    </w:rPr>
    <w:tblPr>
      <w:tblBorders>
        <w:top w:val="single" w:color="C3D69B" w:sz="32" w:space="0"/>
        <w:left w:val="single" w:color="C3D69B" w:sz="32" w:space="0"/>
        <w:bottom w:val="single" w:color="C3D69B" w:sz="32" w:space="0"/>
        <w:right w:val="single" w:color="C3D69B" w:sz="32" w:space="0"/>
      </w:tblBorders>
      <w:tblCellMar>
        <w:top w:w="0" w:type="dxa"/>
        <w:left w:w="108" w:type="dxa"/>
        <w:bottom w:w="0" w:type="dxa"/>
        <w:right w:w="108" w:type="dxa"/>
      </w:tblCellMar>
    </w:tblPr>
  </w:style>
  <w:style w:type="table" w:customStyle="1" w:styleId="185">
    <w:name w:val="List Table 5 Dark - Accent 4"/>
    <w:qFormat/>
    <w:uiPriority w:val="99"/>
    <w:rPr>
      <w:kern w:val="0"/>
      <w:sz w:val="20"/>
      <w:szCs w:val="20"/>
    </w:rPr>
    <w:tblPr>
      <w:tblBorders>
        <w:top w:val="single" w:color="B2A1C6" w:sz="32" w:space="0"/>
        <w:left w:val="single" w:color="B2A1C6" w:sz="32" w:space="0"/>
        <w:bottom w:val="single" w:color="B2A1C6" w:sz="32" w:space="0"/>
        <w:right w:val="single" w:color="B2A1C6" w:sz="32" w:space="0"/>
      </w:tblBorders>
      <w:tblCellMar>
        <w:top w:w="0" w:type="dxa"/>
        <w:left w:w="108" w:type="dxa"/>
        <w:bottom w:w="0" w:type="dxa"/>
        <w:right w:w="108" w:type="dxa"/>
      </w:tblCellMar>
    </w:tblPr>
  </w:style>
  <w:style w:type="table" w:customStyle="1" w:styleId="186">
    <w:name w:val="List Table 5 Dark - Accent 5"/>
    <w:qFormat/>
    <w:uiPriority w:val="99"/>
    <w:rPr>
      <w:kern w:val="0"/>
      <w:sz w:val="20"/>
      <w:szCs w:val="20"/>
    </w:rPr>
    <w:tblPr>
      <w:tblBorders>
        <w:top w:val="single" w:color="92CCDC" w:sz="32" w:space="0"/>
        <w:left w:val="single" w:color="92CCDC" w:sz="32" w:space="0"/>
        <w:bottom w:val="single" w:color="92CCDC" w:sz="32" w:space="0"/>
        <w:right w:val="single" w:color="92CCDC" w:sz="32" w:space="0"/>
      </w:tblBorders>
      <w:tblCellMar>
        <w:top w:w="0" w:type="dxa"/>
        <w:left w:w="108" w:type="dxa"/>
        <w:bottom w:w="0" w:type="dxa"/>
        <w:right w:w="108" w:type="dxa"/>
      </w:tblCellMar>
    </w:tblPr>
  </w:style>
  <w:style w:type="table" w:customStyle="1" w:styleId="187">
    <w:name w:val="List Table 5 Dark - Accent 6"/>
    <w:qFormat/>
    <w:uiPriority w:val="99"/>
    <w:rPr>
      <w:kern w:val="0"/>
      <w:sz w:val="20"/>
      <w:szCs w:val="20"/>
    </w:rPr>
    <w:tblPr>
      <w:tblBorders>
        <w:top w:val="single" w:color="FAC090" w:sz="32" w:space="0"/>
        <w:left w:val="single" w:color="FAC090" w:sz="32" w:space="0"/>
        <w:bottom w:val="single" w:color="FAC090" w:sz="32" w:space="0"/>
        <w:right w:val="single" w:color="FAC090" w:sz="32" w:space="0"/>
      </w:tblBorders>
      <w:tblCellMar>
        <w:top w:w="0" w:type="dxa"/>
        <w:left w:w="108" w:type="dxa"/>
        <w:bottom w:w="0" w:type="dxa"/>
        <w:right w:w="108" w:type="dxa"/>
      </w:tblCellMar>
    </w:tblPr>
  </w:style>
  <w:style w:type="table" w:customStyle="1" w:styleId="188">
    <w:name w:val="清单表 6 彩色1"/>
    <w:qFormat/>
    <w:uiPriority w:val="99"/>
    <w:rPr>
      <w:kern w:val="0"/>
      <w:sz w:val="20"/>
      <w:szCs w:val="20"/>
    </w:rPr>
    <w:tblPr>
      <w:tblBorders>
        <w:top w:val="single" w:color="7F7F7F" w:sz="4" w:space="0"/>
        <w:bottom w:val="single" w:color="7F7F7F" w:sz="4" w:space="0"/>
      </w:tblBorders>
      <w:tblCellMar>
        <w:top w:w="0" w:type="dxa"/>
        <w:left w:w="108" w:type="dxa"/>
        <w:bottom w:w="0" w:type="dxa"/>
        <w:right w:w="108" w:type="dxa"/>
      </w:tblCellMar>
    </w:tblPr>
  </w:style>
  <w:style w:type="table" w:customStyle="1" w:styleId="189">
    <w:name w:val="List Table 6 Colorful - Accent 1"/>
    <w:qFormat/>
    <w:uiPriority w:val="99"/>
    <w:rPr>
      <w:kern w:val="0"/>
      <w:sz w:val="20"/>
      <w:szCs w:val="20"/>
    </w:rPr>
    <w:tblPr>
      <w:tblBorders>
        <w:top w:val="single" w:color="4F81BD" w:sz="4" w:space="0"/>
        <w:bottom w:val="single" w:color="4F81BD" w:sz="4" w:space="0"/>
      </w:tblBorders>
      <w:tblCellMar>
        <w:top w:w="0" w:type="dxa"/>
        <w:left w:w="108" w:type="dxa"/>
        <w:bottom w:w="0" w:type="dxa"/>
        <w:right w:w="108" w:type="dxa"/>
      </w:tblCellMar>
    </w:tblPr>
  </w:style>
  <w:style w:type="table" w:customStyle="1" w:styleId="190">
    <w:name w:val="List Table 6 Colorful - Accent 2"/>
    <w:qFormat/>
    <w:uiPriority w:val="99"/>
    <w:rPr>
      <w:kern w:val="0"/>
      <w:sz w:val="20"/>
      <w:szCs w:val="20"/>
    </w:rPr>
    <w:tblPr>
      <w:tblBorders>
        <w:top w:val="single" w:color="D99695" w:sz="4" w:space="0"/>
        <w:bottom w:val="single" w:color="D99695" w:sz="4" w:space="0"/>
      </w:tblBorders>
      <w:tblCellMar>
        <w:top w:w="0" w:type="dxa"/>
        <w:left w:w="108" w:type="dxa"/>
        <w:bottom w:w="0" w:type="dxa"/>
        <w:right w:w="108" w:type="dxa"/>
      </w:tblCellMar>
    </w:tblPr>
  </w:style>
  <w:style w:type="table" w:customStyle="1" w:styleId="191">
    <w:name w:val="List Table 6 Colorful - Accent 3"/>
    <w:qFormat/>
    <w:uiPriority w:val="99"/>
    <w:rPr>
      <w:kern w:val="0"/>
      <w:sz w:val="20"/>
      <w:szCs w:val="20"/>
    </w:rPr>
    <w:tblPr>
      <w:tblBorders>
        <w:top w:val="single" w:color="C3D69B" w:sz="4" w:space="0"/>
        <w:bottom w:val="single" w:color="C3D69B" w:sz="4" w:space="0"/>
      </w:tblBorders>
      <w:tblCellMar>
        <w:top w:w="0" w:type="dxa"/>
        <w:left w:w="108" w:type="dxa"/>
        <w:bottom w:w="0" w:type="dxa"/>
        <w:right w:w="108" w:type="dxa"/>
      </w:tblCellMar>
    </w:tblPr>
  </w:style>
  <w:style w:type="table" w:customStyle="1" w:styleId="192">
    <w:name w:val="List Table 6 Colorful - Accent 4"/>
    <w:uiPriority w:val="99"/>
    <w:rPr>
      <w:kern w:val="0"/>
      <w:sz w:val="20"/>
      <w:szCs w:val="20"/>
    </w:rPr>
    <w:tblPr>
      <w:tblBorders>
        <w:top w:val="single" w:color="B2A1C6" w:sz="4" w:space="0"/>
        <w:bottom w:val="single" w:color="B2A1C6" w:sz="4" w:space="0"/>
      </w:tblBorders>
      <w:tblCellMar>
        <w:top w:w="0" w:type="dxa"/>
        <w:left w:w="108" w:type="dxa"/>
        <w:bottom w:w="0" w:type="dxa"/>
        <w:right w:w="108" w:type="dxa"/>
      </w:tblCellMar>
    </w:tblPr>
  </w:style>
  <w:style w:type="table" w:customStyle="1" w:styleId="193">
    <w:name w:val="List Table 6 Colorful - Accent 5"/>
    <w:qFormat/>
    <w:uiPriority w:val="99"/>
    <w:rPr>
      <w:kern w:val="0"/>
      <w:sz w:val="20"/>
      <w:szCs w:val="20"/>
    </w:rPr>
    <w:tblPr>
      <w:tblBorders>
        <w:top w:val="single" w:color="92CCDC" w:sz="4" w:space="0"/>
        <w:bottom w:val="single" w:color="92CCDC" w:sz="4" w:space="0"/>
      </w:tblBorders>
      <w:tblCellMar>
        <w:top w:w="0" w:type="dxa"/>
        <w:left w:w="108" w:type="dxa"/>
        <w:bottom w:w="0" w:type="dxa"/>
        <w:right w:w="108" w:type="dxa"/>
      </w:tblCellMar>
    </w:tblPr>
  </w:style>
  <w:style w:type="table" w:customStyle="1" w:styleId="194">
    <w:name w:val="List Table 6 Colorful - Accent 6"/>
    <w:qFormat/>
    <w:uiPriority w:val="99"/>
    <w:rPr>
      <w:kern w:val="0"/>
      <w:sz w:val="20"/>
      <w:szCs w:val="20"/>
    </w:rPr>
    <w:tblPr>
      <w:tblBorders>
        <w:top w:val="single" w:color="FAC090" w:sz="4" w:space="0"/>
        <w:bottom w:val="single" w:color="FAC090" w:sz="4" w:space="0"/>
      </w:tblBorders>
      <w:tblCellMar>
        <w:top w:w="0" w:type="dxa"/>
        <w:left w:w="108" w:type="dxa"/>
        <w:bottom w:w="0" w:type="dxa"/>
        <w:right w:w="108" w:type="dxa"/>
      </w:tblCellMar>
    </w:tblPr>
  </w:style>
  <w:style w:type="table" w:customStyle="1" w:styleId="195">
    <w:name w:val="清单表 7 彩色1"/>
    <w:qFormat/>
    <w:uiPriority w:val="99"/>
    <w:rPr>
      <w:kern w:val="0"/>
      <w:sz w:val="20"/>
      <w:szCs w:val="20"/>
    </w:rPr>
    <w:tblPr>
      <w:tblBorders>
        <w:right w:val="single" w:color="7F7F7F" w:sz="4" w:space="0"/>
      </w:tblBorders>
      <w:tblCellMar>
        <w:top w:w="0" w:type="dxa"/>
        <w:left w:w="108" w:type="dxa"/>
        <w:bottom w:w="0" w:type="dxa"/>
        <w:right w:w="108" w:type="dxa"/>
      </w:tblCellMar>
    </w:tblPr>
  </w:style>
  <w:style w:type="table" w:customStyle="1" w:styleId="196">
    <w:name w:val="List Table 7 Colorful - Accent 1"/>
    <w:qFormat/>
    <w:uiPriority w:val="99"/>
    <w:rPr>
      <w:kern w:val="0"/>
      <w:sz w:val="20"/>
      <w:szCs w:val="20"/>
    </w:rPr>
    <w:tblPr>
      <w:tblBorders>
        <w:right w:val="single" w:color="4F81BD" w:sz="4" w:space="0"/>
      </w:tblBorders>
      <w:tblCellMar>
        <w:top w:w="0" w:type="dxa"/>
        <w:left w:w="108" w:type="dxa"/>
        <w:bottom w:w="0" w:type="dxa"/>
        <w:right w:w="108" w:type="dxa"/>
      </w:tblCellMar>
    </w:tblPr>
  </w:style>
  <w:style w:type="table" w:customStyle="1" w:styleId="197">
    <w:name w:val="List Table 7 Colorful - Accent 2"/>
    <w:qFormat/>
    <w:uiPriority w:val="99"/>
    <w:rPr>
      <w:kern w:val="0"/>
      <w:sz w:val="20"/>
      <w:szCs w:val="20"/>
    </w:rPr>
    <w:tblPr>
      <w:tblBorders>
        <w:right w:val="single" w:color="D99695" w:sz="4" w:space="0"/>
      </w:tblBorders>
      <w:tblCellMar>
        <w:top w:w="0" w:type="dxa"/>
        <w:left w:w="108" w:type="dxa"/>
        <w:bottom w:w="0" w:type="dxa"/>
        <w:right w:w="108" w:type="dxa"/>
      </w:tblCellMar>
    </w:tblPr>
  </w:style>
  <w:style w:type="table" w:customStyle="1" w:styleId="198">
    <w:name w:val="List Table 7 Colorful - Accent 3"/>
    <w:qFormat/>
    <w:uiPriority w:val="99"/>
    <w:rPr>
      <w:kern w:val="0"/>
      <w:sz w:val="20"/>
      <w:szCs w:val="20"/>
    </w:rPr>
    <w:tblPr>
      <w:tblBorders>
        <w:right w:val="single" w:color="C3D69B" w:sz="4" w:space="0"/>
      </w:tblBorders>
      <w:tblCellMar>
        <w:top w:w="0" w:type="dxa"/>
        <w:left w:w="108" w:type="dxa"/>
        <w:bottom w:w="0" w:type="dxa"/>
        <w:right w:w="108" w:type="dxa"/>
      </w:tblCellMar>
    </w:tblPr>
  </w:style>
  <w:style w:type="table" w:customStyle="1" w:styleId="199">
    <w:name w:val="List Table 7 Colorful - Accent 4"/>
    <w:qFormat/>
    <w:uiPriority w:val="99"/>
    <w:rPr>
      <w:kern w:val="0"/>
      <w:sz w:val="20"/>
      <w:szCs w:val="20"/>
    </w:rPr>
    <w:tblPr>
      <w:tblBorders>
        <w:right w:val="single" w:color="B2A1C6" w:sz="4" w:space="0"/>
      </w:tblBorders>
      <w:tblCellMar>
        <w:top w:w="0" w:type="dxa"/>
        <w:left w:w="108" w:type="dxa"/>
        <w:bottom w:w="0" w:type="dxa"/>
        <w:right w:w="108" w:type="dxa"/>
      </w:tblCellMar>
    </w:tblPr>
  </w:style>
  <w:style w:type="table" w:customStyle="1" w:styleId="200">
    <w:name w:val="List Table 7 Colorful - Accent 5"/>
    <w:uiPriority w:val="99"/>
    <w:rPr>
      <w:kern w:val="0"/>
      <w:sz w:val="20"/>
      <w:szCs w:val="20"/>
    </w:rPr>
    <w:tblPr>
      <w:tblBorders>
        <w:right w:val="single" w:color="92CCDC" w:sz="4" w:space="0"/>
      </w:tblBorders>
      <w:tblCellMar>
        <w:top w:w="0" w:type="dxa"/>
        <w:left w:w="108" w:type="dxa"/>
        <w:bottom w:w="0" w:type="dxa"/>
        <w:right w:w="108" w:type="dxa"/>
      </w:tblCellMar>
    </w:tblPr>
  </w:style>
  <w:style w:type="table" w:customStyle="1" w:styleId="201">
    <w:name w:val="List Table 7 Colorful - Accent 6"/>
    <w:qFormat/>
    <w:uiPriority w:val="99"/>
    <w:rPr>
      <w:kern w:val="0"/>
      <w:sz w:val="20"/>
      <w:szCs w:val="20"/>
    </w:rPr>
    <w:tblPr>
      <w:tblBorders>
        <w:right w:val="single" w:color="FAC090" w:sz="4" w:space="0"/>
      </w:tblBorders>
      <w:tblCellMar>
        <w:top w:w="0" w:type="dxa"/>
        <w:left w:w="108" w:type="dxa"/>
        <w:bottom w:w="0" w:type="dxa"/>
        <w:right w:w="108" w:type="dxa"/>
      </w:tblCellMar>
    </w:tblPr>
  </w:style>
  <w:style w:type="table" w:customStyle="1" w:styleId="202">
    <w:name w:val="Lined - Accent"/>
    <w:qFormat/>
    <w:uiPriority w:val="99"/>
    <w:rPr>
      <w:color w:val="404040"/>
      <w:kern w:val="0"/>
      <w:sz w:val="20"/>
      <w:szCs w:val="20"/>
    </w:rPr>
    <w:tblPr>
      <w:tblCellMar>
        <w:top w:w="0" w:type="dxa"/>
        <w:left w:w="108" w:type="dxa"/>
        <w:bottom w:w="0" w:type="dxa"/>
        <w:right w:w="108" w:type="dxa"/>
      </w:tblCellMar>
    </w:tblPr>
  </w:style>
  <w:style w:type="table" w:customStyle="1" w:styleId="203">
    <w:name w:val="Lined - Accent 1"/>
    <w:qFormat/>
    <w:uiPriority w:val="99"/>
    <w:rPr>
      <w:color w:val="404040"/>
      <w:kern w:val="0"/>
      <w:sz w:val="20"/>
      <w:szCs w:val="20"/>
    </w:rPr>
    <w:tblPr>
      <w:tblCellMar>
        <w:top w:w="0" w:type="dxa"/>
        <w:left w:w="108" w:type="dxa"/>
        <w:bottom w:w="0" w:type="dxa"/>
        <w:right w:w="108" w:type="dxa"/>
      </w:tblCellMar>
    </w:tblPr>
  </w:style>
  <w:style w:type="table" w:customStyle="1" w:styleId="204">
    <w:name w:val="Lined - Accent 2"/>
    <w:uiPriority w:val="99"/>
    <w:rPr>
      <w:color w:val="404040"/>
      <w:kern w:val="0"/>
      <w:sz w:val="20"/>
      <w:szCs w:val="20"/>
    </w:rPr>
    <w:tblPr>
      <w:tblCellMar>
        <w:top w:w="0" w:type="dxa"/>
        <w:left w:w="108" w:type="dxa"/>
        <w:bottom w:w="0" w:type="dxa"/>
        <w:right w:w="108" w:type="dxa"/>
      </w:tblCellMar>
    </w:tblPr>
  </w:style>
  <w:style w:type="table" w:customStyle="1" w:styleId="205">
    <w:name w:val="Lined - Accent 3"/>
    <w:qFormat/>
    <w:uiPriority w:val="99"/>
    <w:rPr>
      <w:color w:val="404040"/>
      <w:kern w:val="0"/>
      <w:sz w:val="20"/>
      <w:szCs w:val="20"/>
    </w:rPr>
    <w:tblPr>
      <w:tblCellMar>
        <w:top w:w="0" w:type="dxa"/>
        <w:left w:w="108" w:type="dxa"/>
        <w:bottom w:w="0" w:type="dxa"/>
        <w:right w:w="108" w:type="dxa"/>
      </w:tblCellMar>
    </w:tblPr>
  </w:style>
  <w:style w:type="table" w:customStyle="1" w:styleId="206">
    <w:name w:val="Lined - Accent 4"/>
    <w:qFormat/>
    <w:uiPriority w:val="99"/>
    <w:rPr>
      <w:color w:val="404040"/>
      <w:kern w:val="0"/>
      <w:sz w:val="20"/>
      <w:szCs w:val="20"/>
    </w:rPr>
    <w:tblPr>
      <w:tblCellMar>
        <w:top w:w="0" w:type="dxa"/>
        <w:left w:w="108" w:type="dxa"/>
        <w:bottom w:w="0" w:type="dxa"/>
        <w:right w:w="108" w:type="dxa"/>
      </w:tblCellMar>
    </w:tblPr>
  </w:style>
  <w:style w:type="table" w:customStyle="1" w:styleId="207">
    <w:name w:val="Lined - Accent 5"/>
    <w:qFormat/>
    <w:uiPriority w:val="99"/>
    <w:rPr>
      <w:color w:val="404040"/>
      <w:kern w:val="0"/>
      <w:sz w:val="20"/>
      <w:szCs w:val="20"/>
    </w:rPr>
    <w:tblPr>
      <w:tblCellMar>
        <w:top w:w="0" w:type="dxa"/>
        <w:left w:w="108" w:type="dxa"/>
        <w:bottom w:w="0" w:type="dxa"/>
        <w:right w:w="108" w:type="dxa"/>
      </w:tblCellMar>
    </w:tblPr>
  </w:style>
  <w:style w:type="table" w:customStyle="1" w:styleId="208">
    <w:name w:val="Lined - Accent 6"/>
    <w:qFormat/>
    <w:uiPriority w:val="99"/>
    <w:rPr>
      <w:color w:val="404040"/>
      <w:kern w:val="0"/>
      <w:sz w:val="20"/>
      <w:szCs w:val="20"/>
    </w:rPr>
    <w:tblPr>
      <w:tblCellMar>
        <w:top w:w="0" w:type="dxa"/>
        <w:left w:w="108" w:type="dxa"/>
        <w:bottom w:w="0" w:type="dxa"/>
        <w:right w:w="108" w:type="dxa"/>
      </w:tblCellMar>
    </w:tblPr>
  </w:style>
  <w:style w:type="table" w:customStyle="1" w:styleId="209">
    <w:name w:val="Bordered &amp; Lined - Accent"/>
    <w:qFormat/>
    <w:uiPriority w:val="99"/>
    <w:rPr>
      <w:color w:val="404040"/>
      <w:kern w:val="0"/>
      <w:sz w:val="20"/>
      <w:szCs w:val="2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108" w:type="dxa"/>
        <w:bottom w:w="0" w:type="dxa"/>
        <w:right w:w="108" w:type="dxa"/>
      </w:tblCellMar>
    </w:tblPr>
  </w:style>
  <w:style w:type="table" w:customStyle="1" w:styleId="210">
    <w:name w:val="Bordered &amp; Lined - Accent 1"/>
    <w:qFormat/>
    <w:uiPriority w:val="99"/>
    <w:rPr>
      <w:color w:val="404040"/>
      <w:kern w:val="0"/>
      <w:sz w:val="20"/>
      <w:szCs w:val="2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108" w:type="dxa"/>
        <w:bottom w:w="0" w:type="dxa"/>
        <w:right w:w="108" w:type="dxa"/>
      </w:tblCellMar>
    </w:tblPr>
  </w:style>
  <w:style w:type="table" w:customStyle="1" w:styleId="211">
    <w:name w:val="Bordered &amp; Lined - Accent 2"/>
    <w:qFormat/>
    <w:uiPriority w:val="99"/>
    <w:rPr>
      <w:color w:val="404040"/>
      <w:kern w:val="0"/>
      <w:sz w:val="20"/>
      <w:szCs w:val="2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108" w:type="dxa"/>
        <w:bottom w:w="0" w:type="dxa"/>
        <w:right w:w="108" w:type="dxa"/>
      </w:tblCellMar>
    </w:tblPr>
  </w:style>
  <w:style w:type="table" w:customStyle="1" w:styleId="212">
    <w:name w:val="Bordered &amp; Lined - Accent 3"/>
    <w:qFormat/>
    <w:uiPriority w:val="99"/>
    <w:rPr>
      <w:color w:val="404040"/>
      <w:kern w:val="0"/>
      <w:sz w:val="20"/>
      <w:szCs w:val="2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108" w:type="dxa"/>
        <w:bottom w:w="0" w:type="dxa"/>
        <w:right w:w="108" w:type="dxa"/>
      </w:tblCellMar>
    </w:tblPr>
  </w:style>
  <w:style w:type="table" w:customStyle="1" w:styleId="213">
    <w:name w:val="Bordered &amp; Lined - Accent 4"/>
    <w:qFormat/>
    <w:uiPriority w:val="99"/>
    <w:rPr>
      <w:color w:val="404040"/>
      <w:kern w:val="0"/>
      <w:sz w:val="20"/>
      <w:szCs w:val="2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108" w:type="dxa"/>
        <w:bottom w:w="0" w:type="dxa"/>
        <w:right w:w="108" w:type="dxa"/>
      </w:tblCellMar>
    </w:tblPr>
  </w:style>
  <w:style w:type="table" w:customStyle="1" w:styleId="214">
    <w:name w:val="Bordered &amp; Lined - Accent 5"/>
    <w:qFormat/>
    <w:uiPriority w:val="99"/>
    <w:rPr>
      <w:color w:val="404040"/>
      <w:kern w:val="0"/>
      <w:sz w:val="20"/>
      <w:szCs w:val="2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108" w:type="dxa"/>
        <w:bottom w:w="0" w:type="dxa"/>
        <w:right w:w="108" w:type="dxa"/>
      </w:tblCellMar>
    </w:tblPr>
  </w:style>
  <w:style w:type="table" w:customStyle="1" w:styleId="215">
    <w:name w:val="Bordered &amp; Lined - Accent 6"/>
    <w:qFormat/>
    <w:uiPriority w:val="99"/>
    <w:rPr>
      <w:color w:val="404040"/>
      <w:kern w:val="0"/>
      <w:sz w:val="20"/>
      <w:szCs w:val="2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108" w:type="dxa"/>
        <w:bottom w:w="0" w:type="dxa"/>
        <w:right w:w="108" w:type="dxa"/>
      </w:tblCellMar>
    </w:tblPr>
  </w:style>
  <w:style w:type="table" w:customStyle="1" w:styleId="216">
    <w:name w:val="Bordered"/>
    <w:qFormat/>
    <w:uiPriority w:val="99"/>
    <w:rPr>
      <w:kern w:val="0"/>
      <w:sz w:val="20"/>
      <w:szCs w:val="20"/>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108" w:type="dxa"/>
        <w:bottom w:w="0" w:type="dxa"/>
        <w:right w:w="108" w:type="dxa"/>
      </w:tblCellMar>
    </w:tblPr>
  </w:style>
  <w:style w:type="table" w:customStyle="1" w:styleId="217">
    <w:name w:val="Bordered - Accent 1"/>
    <w:qFormat/>
    <w:uiPriority w:val="99"/>
    <w:rPr>
      <w:kern w:val="0"/>
      <w:sz w:val="20"/>
      <w:szCs w:val="20"/>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108" w:type="dxa"/>
        <w:bottom w:w="0" w:type="dxa"/>
        <w:right w:w="108" w:type="dxa"/>
      </w:tblCellMar>
    </w:tblPr>
  </w:style>
  <w:style w:type="table" w:customStyle="1" w:styleId="218">
    <w:name w:val="Bordered - Accent 2"/>
    <w:qFormat/>
    <w:uiPriority w:val="99"/>
    <w:rPr>
      <w:kern w:val="0"/>
      <w:sz w:val="20"/>
      <w:szCs w:val="20"/>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108" w:type="dxa"/>
        <w:bottom w:w="0" w:type="dxa"/>
        <w:right w:w="108" w:type="dxa"/>
      </w:tblCellMar>
    </w:tblPr>
  </w:style>
  <w:style w:type="table" w:customStyle="1" w:styleId="219">
    <w:name w:val="Bordered - Accent 3"/>
    <w:qFormat/>
    <w:uiPriority w:val="99"/>
    <w:rPr>
      <w:kern w:val="0"/>
      <w:sz w:val="20"/>
      <w:szCs w:val="20"/>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108" w:type="dxa"/>
        <w:bottom w:w="0" w:type="dxa"/>
        <w:right w:w="108" w:type="dxa"/>
      </w:tblCellMar>
    </w:tblPr>
  </w:style>
  <w:style w:type="table" w:customStyle="1" w:styleId="220">
    <w:name w:val="Bordered - Accent 4"/>
    <w:qFormat/>
    <w:uiPriority w:val="99"/>
    <w:rPr>
      <w:kern w:val="0"/>
      <w:sz w:val="20"/>
      <w:szCs w:val="20"/>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108" w:type="dxa"/>
        <w:bottom w:w="0" w:type="dxa"/>
        <w:right w:w="108" w:type="dxa"/>
      </w:tblCellMar>
    </w:tblPr>
  </w:style>
  <w:style w:type="table" w:customStyle="1" w:styleId="221">
    <w:name w:val="Bordered - Accent 5"/>
    <w:qFormat/>
    <w:uiPriority w:val="99"/>
    <w:rPr>
      <w:kern w:val="0"/>
      <w:sz w:val="20"/>
      <w:szCs w:val="20"/>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108" w:type="dxa"/>
        <w:bottom w:w="0" w:type="dxa"/>
        <w:right w:w="108" w:type="dxa"/>
      </w:tblCellMar>
    </w:tblPr>
  </w:style>
  <w:style w:type="table" w:customStyle="1" w:styleId="222">
    <w:name w:val="Bordered - Accent 6"/>
    <w:qFormat/>
    <w:uiPriority w:val="99"/>
    <w:rPr>
      <w:kern w:val="0"/>
      <w:sz w:val="20"/>
      <w:szCs w:val="20"/>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108" w:type="dxa"/>
        <w:bottom w:w="0" w:type="dxa"/>
        <w:right w:w="108" w:type="dxa"/>
      </w:tblCellMar>
    </w:tblPr>
  </w:style>
  <w:style w:type="paragraph" w:customStyle="1" w:styleId="223">
    <w:name w:val="TOC 标题1"/>
    <w:qFormat/>
    <w:uiPriority w:val="99"/>
    <w:rPr>
      <w:rFonts w:ascii="Times New Roman" w:hAnsi="Times New Roman" w:eastAsia="宋体" w:cs="Times New Roman"/>
      <w:kern w:val="0"/>
      <w:sz w:val="20"/>
      <w:szCs w:val="20"/>
      <w:lang w:val="en-US" w:eastAsia="zh-CN" w:bidi="ar-SA"/>
    </w:rPr>
  </w:style>
  <w:style w:type="paragraph" w:customStyle="1" w:styleId="224">
    <w:name w:val="正文首行缩进 21"/>
    <w:basedOn w:val="225"/>
    <w:next w:val="227"/>
    <w:qFormat/>
    <w:uiPriority w:val="99"/>
    <w:pPr>
      <w:ind w:firstLine="420"/>
    </w:pPr>
  </w:style>
  <w:style w:type="paragraph" w:customStyle="1" w:styleId="225">
    <w:name w:val="正文文本缩进1"/>
    <w:basedOn w:val="1"/>
    <w:next w:val="226"/>
    <w:qFormat/>
    <w:uiPriority w:val="99"/>
    <w:pPr>
      <w:spacing w:after="120"/>
      <w:ind w:left="420"/>
    </w:pPr>
    <w:rPr>
      <w:rFonts w:ascii="Times New Roman" w:hAnsi="Times New Roman" w:cs="Times New Roman"/>
      <w:sz w:val="20"/>
      <w:szCs w:val="20"/>
    </w:rPr>
  </w:style>
  <w:style w:type="paragraph" w:customStyle="1" w:styleId="226">
    <w:name w:val="寄信人地址1"/>
    <w:basedOn w:val="1"/>
    <w:qFormat/>
    <w:uiPriority w:val="99"/>
    <w:rPr>
      <w:rFonts w:ascii="Arial" w:hAnsi="Arial" w:cs="Arial"/>
    </w:rPr>
  </w:style>
  <w:style w:type="paragraph" w:customStyle="1" w:styleId="227">
    <w:name w:val="正文缩进1"/>
    <w:basedOn w:val="1"/>
    <w:qFormat/>
    <w:uiPriority w:val="99"/>
    <w:pPr>
      <w:ind w:firstLine="420"/>
    </w:pPr>
    <w:rPr>
      <w:rFonts w:ascii="Times New Roman" w:hAnsi="Times New Roman" w:cs="Times New Roman"/>
      <w:sz w:val="20"/>
      <w:szCs w:val="20"/>
    </w:rPr>
  </w:style>
  <w:style w:type="paragraph" w:customStyle="1" w:styleId="228">
    <w:name w:val="Coms Alinea"/>
    <w:qFormat/>
    <w:uiPriority w:val="99"/>
    <w:pPr>
      <w:widowControl w:val="0"/>
    </w:pPr>
    <w:rPr>
      <w:rFonts w:ascii="Arial" w:hAnsi="Arial" w:eastAsia="宋体" w:cs="Arial"/>
      <w:kern w:val="0"/>
      <w:sz w:val="20"/>
      <w:szCs w:val="20"/>
      <w:lang w:val="en-US" w:eastAsia="zh-CN" w:bidi="ar-SA"/>
    </w:rPr>
  </w:style>
  <w:style w:type="paragraph" w:customStyle="1" w:styleId="229">
    <w:name w:val="表格"/>
    <w:basedOn w:val="1"/>
    <w:qFormat/>
    <w:uiPriority w:val="99"/>
    <w:rPr>
      <w:rFonts w:ascii="华文细黑" w:hAnsi="华文细黑" w:eastAsia="华文细黑" w:cs="华文细黑"/>
    </w:rPr>
  </w:style>
  <w:style w:type="paragraph" w:customStyle="1" w:styleId="230">
    <w:name w:val="正文_0"/>
    <w:qFormat/>
    <w:uiPriority w:val="99"/>
    <w:pPr>
      <w:widowControl w:val="0"/>
      <w:jc w:val="both"/>
    </w:pPr>
    <w:rPr>
      <w:rFonts w:ascii="Calibri" w:hAnsi="Calibri" w:eastAsia="宋体" w:cs="Calibri"/>
      <w:kern w:val="0"/>
      <w:sz w:val="21"/>
      <w:szCs w:val="21"/>
      <w:lang w:val="en-US" w:eastAsia="zh-CN" w:bidi="ar-SA"/>
    </w:rPr>
  </w:style>
  <w:style w:type="paragraph" w:customStyle="1" w:styleId="231">
    <w:name w:val="正文 1.1.1"/>
    <w:basedOn w:val="1"/>
    <w:next w:val="1"/>
    <w:qFormat/>
    <w:uiPriority w:val="99"/>
    <w:pPr>
      <w:tabs>
        <w:tab w:val="left" w:pos="851"/>
      </w:tabs>
      <w:spacing w:line="360" w:lineRule="auto"/>
      <w:outlineLvl w:val="2"/>
    </w:pPr>
    <w:rPr>
      <w:rFonts w:ascii="宋体" w:hAnsi="宋体" w:cs="宋体"/>
      <w:color w:val="000000"/>
      <w:sz w:val="28"/>
      <w:szCs w:val="28"/>
    </w:rPr>
  </w:style>
  <w:style w:type="paragraph" w:customStyle="1" w:styleId="232">
    <w:name w:val="列出段落1"/>
    <w:basedOn w:val="1"/>
    <w:link w:val="272"/>
    <w:uiPriority w:val="99"/>
    <w:pPr>
      <w:widowControl/>
      <w:ind w:left="720"/>
      <w:jc w:val="left"/>
    </w:pPr>
    <w:rPr>
      <w:sz w:val="24"/>
      <w:szCs w:val="24"/>
      <w:lang w:eastAsia="en-US"/>
    </w:rPr>
  </w:style>
  <w:style w:type="paragraph" w:customStyle="1" w:styleId="233">
    <w:name w:val="HTML 预先格式化"/>
    <w:basedOn w:val="1"/>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黑体"/>
      <w:sz w:val="20"/>
      <w:szCs w:val="20"/>
    </w:rPr>
  </w:style>
  <w:style w:type="paragraph" w:customStyle="1" w:styleId="234">
    <w:name w:val="_Style 57"/>
    <w:semiHidden/>
    <w:qFormat/>
    <w:uiPriority w:val="99"/>
    <w:rPr>
      <w:rFonts w:ascii="Calibri" w:hAnsi="Calibri" w:eastAsia="宋体" w:cs="Calibri"/>
      <w:kern w:val="0"/>
      <w:sz w:val="21"/>
      <w:szCs w:val="21"/>
      <w:lang w:val="en-US" w:eastAsia="zh-CN" w:bidi="ar-SA"/>
    </w:rPr>
  </w:style>
  <w:style w:type="paragraph" w:customStyle="1" w:styleId="235">
    <w:name w:val="标题3"/>
    <w:basedOn w:val="1"/>
    <w:next w:val="1"/>
    <w:qFormat/>
    <w:uiPriority w:val="99"/>
    <w:rPr>
      <w:rFonts w:eastAsia="方正黑体_GBK"/>
    </w:rPr>
  </w:style>
  <w:style w:type="paragraph" w:customStyle="1" w:styleId="236">
    <w:name w:val="列出段落_0"/>
    <w:basedOn w:val="230"/>
    <w:qFormat/>
    <w:uiPriority w:val="99"/>
    <w:pPr>
      <w:ind w:firstLine="420"/>
    </w:pPr>
  </w:style>
  <w:style w:type="paragraph" w:customStyle="1" w:styleId="237">
    <w:name w:val="Table Text"/>
    <w:qFormat/>
    <w:uiPriority w:val="99"/>
    <w:pPr>
      <w:spacing w:after="80"/>
      <w:jc w:val="center"/>
    </w:pPr>
    <w:rPr>
      <w:rFonts w:ascii="??_GB2312" w:hAnsi="宋体" w:eastAsia="Times New Roman" w:cs="??_GB2312"/>
      <w:kern w:val="0"/>
      <w:sz w:val="24"/>
      <w:szCs w:val="24"/>
      <w:lang w:val="en-US" w:eastAsia="zh-CN" w:bidi="ar-SA"/>
    </w:rPr>
  </w:style>
  <w:style w:type="paragraph" w:customStyle="1" w:styleId="238">
    <w:name w:val="正文空2格  1."/>
    <w:basedOn w:val="1"/>
    <w:qFormat/>
    <w:uiPriority w:val="99"/>
    <w:pPr>
      <w:spacing w:line="360" w:lineRule="auto"/>
      <w:ind w:firstLine="480"/>
    </w:pPr>
    <w:rPr>
      <w:rFonts w:ascii="宋体" w:eastAsia="仿宋" w:cs="宋体"/>
      <w:sz w:val="28"/>
      <w:szCs w:val="28"/>
    </w:rPr>
  </w:style>
  <w:style w:type="paragraph" w:customStyle="1" w:styleId="239">
    <w:name w:val="标题2"/>
    <w:basedOn w:val="1"/>
    <w:next w:val="1"/>
    <w:qFormat/>
    <w:uiPriority w:val="99"/>
    <w:pPr>
      <w:jc w:val="center"/>
    </w:pPr>
    <w:rPr>
      <w:rFonts w:eastAsia="方正楷体_GBK"/>
    </w:rPr>
  </w:style>
  <w:style w:type="paragraph" w:customStyle="1" w:styleId="240">
    <w:name w:val="标书正文格式"/>
    <w:qFormat/>
    <w:uiPriority w:val="99"/>
    <w:pPr>
      <w:spacing w:line="360" w:lineRule="auto"/>
      <w:ind w:firstLine="200"/>
    </w:pPr>
    <w:rPr>
      <w:rFonts w:ascii="Calibri" w:hAnsi="Calibri" w:eastAsia="楷体_GB2312" w:cs="Calibri"/>
      <w:kern w:val="0"/>
      <w:sz w:val="24"/>
      <w:szCs w:val="24"/>
      <w:lang w:val="en-US" w:eastAsia="zh-CN" w:bidi="ar-SA"/>
    </w:rPr>
  </w:style>
  <w:style w:type="paragraph" w:customStyle="1" w:styleId="241">
    <w:name w:val="附录1"/>
    <w:qFormat/>
    <w:uiPriority w:val="99"/>
    <w:pPr>
      <w:tabs>
        <w:tab w:val="left" w:pos="907"/>
      </w:tabs>
      <w:spacing w:before="240" w:line="600" w:lineRule="atLeast"/>
      <w:ind w:left="907" w:hanging="907"/>
    </w:pPr>
    <w:rPr>
      <w:rFonts w:ascii="Calibri" w:hAnsi="Calibri" w:eastAsia="宋体" w:cs="Calibri"/>
      <w:b/>
      <w:bCs/>
      <w:i/>
      <w:iCs/>
      <w:kern w:val="0"/>
      <w:sz w:val="28"/>
      <w:szCs w:val="28"/>
      <w:lang w:val="en-US" w:eastAsia="zh-CN" w:bidi="ar-SA"/>
    </w:rPr>
  </w:style>
  <w:style w:type="paragraph" w:customStyle="1" w:styleId="242">
    <w:name w:val="正文 第一章"/>
    <w:basedOn w:val="1"/>
    <w:next w:val="243"/>
    <w:qFormat/>
    <w:uiPriority w:val="99"/>
    <w:pPr>
      <w:pageBreakBefore/>
      <w:spacing w:before="240" w:after="240" w:line="480" w:lineRule="auto"/>
      <w:ind w:left="9351" w:hanging="420"/>
      <w:jc w:val="center"/>
      <w:outlineLvl w:val="0"/>
    </w:pPr>
    <w:rPr>
      <w:rFonts w:ascii="黑体" w:hAnsi="宋体" w:eastAsia="黑体" w:cs="黑体"/>
      <w:sz w:val="36"/>
      <w:szCs w:val="36"/>
    </w:rPr>
  </w:style>
  <w:style w:type="paragraph" w:customStyle="1" w:styleId="243">
    <w:name w:val="正文 1.1"/>
    <w:basedOn w:val="1"/>
    <w:next w:val="231"/>
    <w:qFormat/>
    <w:uiPriority w:val="99"/>
    <w:pPr>
      <w:tabs>
        <w:tab w:val="left" w:pos="851"/>
      </w:tabs>
      <w:spacing w:line="360" w:lineRule="auto"/>
      <w:ind w:left="980" w:hanging="980"/>
      <w:outlineLvl w:val="1"/>
    </w:pPr>
    <w:rPr>
      <w:rFonts w:ascii="仿宋" w:hAnsi="仿宋" w:eastAsia="仿宋" w:cs="仿宋"/>
      <w:b/>
      <w:bCs/>
      <w:sz w:val="28"/>
      <w:szCs w:val="28"/>
    </w:rPr>
  </w:style>
  <w:style w:type="paragraph" w:customStyle="1" w:styleId="244">
    <w:name w:val="_Style 64"/>
    <w:qFormat/>
    <w:uiPriority w:val="99"/>
    <w:rPr>
      <w:rFonts w:ascii="Calibri" w:hAnsi="Calibri" w:eastAsia="宋体" w:cs="Calibri"/>
      <w:kern w:val="0"/>
      <w:sz w:val="21"/>
      <w:szCs w:val="21"/>
      <w:lang w:val="en-US" w:eastAsia="zh-CN" w:bidi="ar-SA"/>
    </w:rPr>
  </w:style>
  <w:style w:type="paragraph" w:customStyle="1" w:styleId="245">
    <w:name w:val="Char Char Char Char1 Char Char"/>
    <w:basedOn w:val="1"/>
    <w:qFormat/>
    <w:uiPriority w:val="99"/>
    <w:pPr>
      <w:tabs>
        <w:tab w:val="left" w:pos="360"/>
      </w:tabs>
    </w:pPr>
    <w:rPr>
      <w:sz w:val="24"/>
      <w:szCs w:val="24"/>
    </w:rPr>
  </w:style>
  <w:style w:type="paragraph" w:customStyle="1" w:styleId="246">
    <w:name w:val="BioQuote Tekst"/>
    <w:basedOn w:val="1"/>
    <w:qFormat/>
    <w:uiPriority w:val="99"/>
    <w:pPr>
      <w:ind w:right="-1"/>
    </w:pPr>
    <w:rPr>
      <w:rFonts w:ascii="Arial" w:hAnsi="Arial" w:cs="Arial"/>
      <w:sz w:val="22"/>
      <w:szCs w:val="22"/>
      <w:lang w:eastAsia="en-US"/>
    </w:rPr>
  </w:style>
  <w:style w:type="paragraph" w:customStyle="1" w:styleId="247">
    <w:name w:val="Char Char Char Char1 Char Char Char"/>
    <w:basedOn w:val="14"/>
    <w:qFormat/>
    <w:uiPriority w:val="99"/>
    <w:pPr>
      <w:spacing w:line="360" w:lineRule="auto"/>
    </w:pPr>
    <w:rPr>
      <w:rFonts w:ascii="Tahoma" w:hAnsi="Tahoma" w:cs="Tahoma"/>
      <w:sz w:val="24"/>
      <w:szCs w:val="24"/>
    </w:rPr>
  </w:style>
  <w:style w:type="paragraph" w:customStyle="1" w:styleId="248">
    <w:name w:val="普通正文"/>
    <w:basedOn w:val="1"/>
    <w:qFormat/>
    <w:uiPriority w:val="99"/>
    <w:pPr>
      <w:spacing w:before="120" w:after="120" w:line="360" w:lineRule="auto"/>
      <w:ind w:firstLine="480"/>
      <w:jc w:val="left"/>
    </w:pPr>
    <w:rPr>
      <w:rFonts w:ascii="Arial" w:hAnsi="Arial" w:cs="Arial"/>
      <w:sz w:val="24"/>
      <w:szCs w:val="24"/>
    </w:rPr>
  </w:style>
  <w:style w:type="paragraph" w:customStyle="1" w:styleId="249">
    <w:name w:val="Char"/>
    <w:basedOn w:val="1"/>
    <w:qFormat/>
    <w:uiPriority w:val="99"/>
    <w:rPr>
      <w:rFonts w:ascii="Tahoma" w:hAnsi="Tahoma" w:cs="Tahoma"/>
      <w:sz w:val="24"/>
      <w:szCs w:val="24"/>
    </w:rPr>
  </w:style>
  <w:style w:type="paragraph" w:customStyle="1" w:styleId="250">
    <w:name w:val="标题1"/>
    <w:basedOn w:val="1"/>
    <w:next w:val="1"/>
    <w:qFormat/>
    <w:uiPriority w:val="99"/>
    <w:pPr>
      <w:tabs>
        <w:tab w:val="left" w:pos="9193"/>
        <w:tab w:val="left" w:pos="9827"/>
      </w:tabs>
      <w:spacing w:line="700" w:lineRule="atLeast"/>
      <w:jc w:val="center"/>
    </w:pPr>
    <w:rPr>
      <w:rFonts w:eastAsia="方正小标宋_GBK"/>
      <w:sz w:val="44"/>
      <w:szCs w:val="44"/>
    </w:rPr>
  </w:style>
  <w:style w:type="paragraph" w:customStyle="1" w:styleId="251">
    <w:name w:val="Body text|1"/>
    <w:basedOn w:val="1"/>
    <w:qFormat/>
    <w:uiPriority w:val="99"/>
    <w:pPr>
      <w:spacing w:line="346" w:lineRule="auto"/>
    </w:pPr>
    <w:rPr>
      <w:rFonts w:ascii="MingLiU" w:hAnsi="MingLiU" w:eastAsia="MingLiU" w:cs="MingLiU"/>
      <w:sz w:val="15"/>
      <w:szCs w:val="15"/>
      <w:lang w:val="zh-TW" w:eastAsia="zh-TW"/>
    </w:rPr>
  </w:style>
  <w:style w:type="paragraph" w:customStyle="1" w:styleId="252">
    <w:name w:val="xl47"/>
    <w:basedOn w:val="1"/>
    <w:qFormat/>
    <w:uiPriority w:val="99"/>
    <w:pPr>
      <w:widowControl/>
      <w:spacing w:before="100" w:beforeAutospacing="1" w:after="100" w:afterAutospacing="1"/>
      <w:jc w:val="center"/>
    </w:pPr>
    <w:rPr>
      <w:rFonts w:ascii="方正姚体" w:hAnsi="宋体" w:eastAsia="方正姚体" w:cs="方正姚体"/>
      <w:b/>
      <w:bCs/>
      <w:sz w:val="36"/>
      <w:szCs w:val="36"/>
    </w:rPr>
  </w:style>
  <w:style w:type="paragraph" w:customStyle="1" w:styleId="253">
    <w:name w:val="列出段落2"/>
    <w:basedOn w:val="1"/>
    <w:qFormat/>
    <w:uiPriority w:val="99"/>
    <w:pPr>
      <w:ind w:firstLine="420"/>
    </w:pPr>
  </w:style>
  <w:style w:type="paragraph" w:customStyle="1" w:styleId="254">
    <w:name w:val="Char Char Char Char"/>
    <w:basedOn w:val="14"/>
    <w:qFormat/>
    <w:uiPriority w:val="99"/>
    <w:pPr>
      <w:spacing w:line="360" w:lineRule="auto"/>
    </w:pPr>
    <w:rPr>
      <w:rFonts w:ascii="Tahoma" w:hAnsi="Tahoma" w:cs="Tahoma"/>
      <w:sz w:val="24"/>
      <w:szCs w:val="24"/>
    </w:rPr>
  </w:style>
  <w:style w:type="paragraph" w:customStyle="1" w:styleId="255">
    <w:name w:val="默认段落字体 Para Char Char Char Char Char Char Char Char Char1 Char Char Char Char Char Char Char"/>
    <w:basedOn w:val="14"/>
    <w:qFormat/>
    <w:uiPriority w:val="99"/>
    <w:rPr>
      <w:rFonts w:ascii="Tahoma" w:hAnsi="Tahoma" w:cs="Tahoma"/>
      <w:sz w:val="24"/>
      <w:szCs w:val="24"/>
    </w:rPr>
  </w:style>
  <w:style w:type="paragraph" w:customStyle="1" w:styleId="256">
    <w:name w:val="Char1"/>
    <w:basedOn w:val="1"/>
    <w:qFormat/>
    <w:uiPriority w:val="99"/>
    <w:pPr>
      <w:tabs>
        <w:tab w:val="left" w:pos="360"/>
      </w:tabs>
    </w:pPr>
    <w:rPr>
      <w:sz w:val="24"/>
      <w:szCs w:val="24"/>
    </w:rPr>
  </w:style>
  <w:style w:type="paragraph" w:styleId="257">
    <w:name w:val="List Paragraph"/>
    <w:basedOn w:val="1"/>
    <w:qFormat/>
    <w:uiPriority w:val="99"/>
    <w:pPr>
      <w:ind w:firstLine="420"/>
    </w:pPr>
  </w:style>
  <w:style w:type="paragraph" w:customStyle="1" w:styleId="258">
    <w:name w:val="第四级"/>
    <w:basedOn w:val="1"/>
    <w:next w:val="1"/>
    <w:qFormat/>
    <w:uiPriority w:val="99"/>
    <w:pPr>
      <w:tabs>
        <w:tab w:val="left" w:pos="1134"/>
      </w:tabs>
      <w:spacing w:line="360" w:lineRule="auto"/>
    </w:pPr>
    <w:rPr>
      <w:rFonts w:ascii="宋体" w:hAnsi="宋体" w:eastAsia="仿宋" w:cs="宋体"/>
      <w:sz w:val="28"/>
      <w:szCs w:val="28"/>
    </w:rPr>
  </w:style>
  <w:style w:type="character" w:customStyle="1" w:styleId="259">
    <w:name w:val="NormalCharacter"/>
    <w:qFormat/>
    <w:uiPriority w:val="99"/>
    <w:rPr>
      <w:sz w:val="24"/>
      <w:szCs w:val="24"/>
      <w:lang w:val="en-US" w:eastAsia="zh-CN"/>
    </w:rPr>
  </w:style>
  <w:style w:type="character" w:customStyle="1" w:styleId="260">
    <w:name w:val="Normal (Web) Char"/>
    <w:link w:val="44"/>
    <w:qFormat/>
    <w:locked/>
    <w:uiPriority w:val="99"/>
    <w:rPr>
      <w:rFonts w:ascii="宋体" w:eastAsia="宋体" w:cs="宋体"/>
      <w:sz w:val="24"/>
      <w:szCs w:val="24"/>
    </w:rPr>
  </w:style>
  <w:style w:type="character" w:customStyle="1" w:styleId="261">
    <w:name w:val="apple-converted-space"/>
    <w:basedOn w:val="52"/>
    <w:uiPriority w:val="99"/>
  </w:style>
  <w:style w:type="character" w:customStyle="1" w:styleId="262">
    <w:name w:val="标题2 Char"/>
    <w:qFormat/>
    <w:uiPriority w:val="99"/>
    <w:rPr>
      <w:rFonts w:ascii="方正楷体_GBK" w:hAnsi="Book Antiqua" w:eastAsia="方正楷体_GBK" w:cs="方正楷体_GBK"/>
      <w:sz w:val="32"/>
      <w:szCs w:val="32"/>
      <w:lang w:val="en-US" w:eastAsia="zh-CN"/>
    </w:rPr>
  </w:style>
  <w:style w:type="character" w:customStyle="1" w:styleId="263">
    <w:name w:val="font01"/>
    <w:qFormat/>
    <w:uiPriority w:val="99"/>
    <w:rPr>
      <w:rFonts w:ascii="Times New Roman" w:hAnsi="Times New Roman" w:eastAsia="宋体" w:cs="Times New Roman"/>
      <w:color w:val="000000"/>
      <w:sz w:val="22"/>
      <w:szCs w:val="22"/>
      <w:u w:val="none"/>
    </w:rPr>
  </w:style>
  <w:style w:type="character" w:customStyle="1" w:styleId="264">
    <w:name w:val="fc01294d3e-4153-482a-aea1-4b54892b7913-0"/>
    <w:qFormat/>
    <w:uiPriority w:val="99"/>
    <w:rPr>
      <w:rFonts w:ascii="Tahoma" w:hAnsi="Tahoma" w:cs="Tahoma"/>
      <w:sz w:val="24"/>
      <w:szCs w:val="24"/>
      <w:shd w:val="clear" w:color="auto" w:fill="auto"/>
    </w:rPr>
  </w:style>
  <w:style w:type="character" w:customStyle="1" w:styleId="265">
    <w:name w:val="font81"/>
    <w:qFormat/>
    <w:uiPriority w:val="99"/>
    <w:rPr>
      <w:rFonts w:ascii="方正仿宋_GBK" w:hAnsi="方正仿宋_GBK" w:eastAsia="方正仿宋_GBK" w:cs="方正仿宋_GBK"/>
      <w:color w:val="000000"/>
      <w:sz w:val="16"/>
      <w:szCs w:val="16"/>
      <w:u w:val="none"/>
    </w:rPr>
  </w:style>
  <w:style w:type="character" w:customStyle="1" w:styleId="266">
    <w:name w:val="font31"/>
    <w:qFormat/>
    <w:uiPriority w:val="99"/>
    <w:rPr>
      <w:rFonts w:ascii="方正仿宋_GBK" w:hAnsi="方正仿宋_GBK" w:eastAsia="方正仿宋_GBK" w:cs="方正仿宋_GBK"/>
      <w:color w:val="000000"/>
      <w:sz w:val="22"/>
      <w:szCs w:val="22"/>
      <w:u w:val="none"/>
    </w:rPr>
  </w:style>
  <w:style w:type="character" w:customStyle="1" w:styleId="267">
    <w:name w:val="Heading 1 Char1"/>
    <w:link w:val="2"/>
    <w:qFormat/>
    <w:locked/>
    <w:uiPriority w:val="99"/>
    <w:rPr>
      <w:rFonts w:ascii="楷体_GB2312" w:eastAsia="楷体_GB2312" w:cs="楷体_GB2312"/>
      <w:sz w:val="28"/>
      <w:szCs w:val="28"/>
      <w:lang w:val="en-US" w:eastAsia="zh-CN"/>
    </w:rPr>
  </w:style>
  <w:style w:type="character" w:customStyle="1" w:styleId="268">
    <w:name w:val="Heading 2 Char1"/>
    <w:link w:val="3"/>
    <w:qFormat/>
    <w:locked/>
    <w:uiPriority w:val="99"/>
    <w:rPr>
      <w:rFonts w:ascii="Arial" w:hAnsi="Arial" w:eastAsia="幼圆" w:cs="Arial"/>
      <w:b/>
      <w:bCs/>
      <w:sz w:val="44"/>
      <w:szCs w:val="44"/>
    </w:rPr>
  </w:style>
  <w:style w:type="character" w:customStyle="1" w:styleId="269">
    <w:name w:val="Normal Indent Char"/>
    <w:link w:val="12"/>
    <w:qFormat/>
    <w:locked/>
    <w:uiPriority w:val="99"/>
    <w:rPr>
      <w:rFonts w:eastAsia="宋体"/>
      <w:sz w:val="21"/>
      <w:szCs w:val="21"/>
      <w:lang w:val="en-US" w:eastAsia="zh-CN"/>
    </w:rPr>
  </w:style>
  <w:style w:type="character" w:customStyle="1" w:styleId="270">
    <w:name w:val="Header Char1"/>
    <w:link w:val="31"/>
    <w:qFormat/>
    <w:locked/>
    <w:uiPriority w:val="99"/>
    <w:rPr>
      <w:sz w:val="18"/>
      <w:szCs w:val="18"/>
    </w:rPr>
  </w:style>
  <w:style w:type="character" w:customStyle="1" w:styleId="271">
    <w:name w:val="Title Char1"/>
    <w:link w:val="46"/>
    <w:qFormat/>
    <w:locked/>
    <w:uiPriority w:val="99"/>
    <w:rPr>
      <w:rFonts w:ascii="Cambria" w:hAnsi="Cambria" w:cs="Cambria"/>
      <w:b/>
      <w:bCs/>
      <w:sz w:val="32"/>
      <w:szCs w:val="32"/>
    </w:rPr>
  </w:style>
  <w:style w:type="character" w:customStyle="1" w:styleId="272">
    <w:name w:val="列出段落 Char"/>
    <w:link w:val="232"/>
    <w:qFormat/>
    <w:locked/>
    <w:uiPriority w:val="99"/>
    <w:rPr>
      <w:rFonts w:ascii="Calibri" w:hAnsi="Calibri" w:cs="Calibri"/>
      <w:sz w:val="24"/>
      <w:szCs w:val="24"/>
      <w:lang w:eastAsia="en-US"/>
    </w:rPr>
  </w:style>
  <w:style w:type="character" w:customStyle="1" w:styleId="273">
    <w:name w:val="font71"/>
    <w:qFormat/>
    <w:uiPriority w:val="99"/>
    <w:rPr>
      <w:rFonts w:ascii="宋体" w:hAnsi="宋体" w:eastAsia="宋体" w:cs="宋体"/>
      <w:color w:val="000000"/>
      <w:sz w:val="21"/>
      <w:szCs w:val="21"/>
      <w:u w:val="none"/>
    </w:rPr>
  </w:style>
  <w:style w:type="character" w:customStyle="1" w:styleId="274">
    <w:name w:val="jj1"/>
    <w:qFormat/>
    <w:uiPriority w:val="99"/>
    <w:rPr>
      <w:sz w:val="20"/>
      <w:szCs w:val="20"/>
      <w:u w:val="none"/>
    </w:rPr>
  </w:style>
  <w:style w:type="paragraph" w:customStyle="1" w:styleId="275">
    <w:name w:val="首行缩进"/>
    <w:basedOn w:val="1"/>
    <w:qFormat/>
    <w:uiPriority w:val="99"/>
    <w:pPr>
      <w:spacing w:line="360" w:lineRule="auto"/>
      <w:ind w:firstLine="480"/>
    </w:pPr>
    <w:rPr>
      <w:rFonts w:ascii="宋体" w:hAnsi="宋体" w:cs="宋体"/>
      <w:sz w:val="24"/>
      <w:szCs w:val="24"/>
    </w:rPr>
  </w:style>
  <w:style w:type="paragraph" w:customStyle="1" w:styleId="276">
    <w:name w:val="正文1"/>
    <w:basedOn w:val="1"/>
    <w:qFormat/>
    <w:uiPriority w:val="99"/>
    <w:pPr>
      <w:widowControl/>
      <w:spacing w:line="440" w:lineRule="exact"/>
      <w:ind w:right="-167"/>
    </w:pPr>
    <w:rPr>
      <w:rFonts w:ascii="Times New Roman" w:hAnsi="Times New Roman" w:cs="Times New Roman"/>
      <w:b/>
      <w:bCs/>
    </w:rPr>
  </w:style>
  <w:style w:type="paragraph" w:customStyle="1" w:styleId="277">
    <w:name w:val="样式 首行缩进:  2 字符3"/>
    <w:qFormat/>
    <w:uiPriority w:val="99"/>
    <w:pPr>
      <w:widowControl w:val="0"/>
      <w:spacing w:line="360" w:lineRule="auto"/>
      <w:ind w:firstLine="480"/>
      <w:jc w:val="both"/>
    </w:pPr>
    <w:rPr>
      <w:rFonts w:ascii="宋体" w:hAnsi="Times New Roman" w:eastAsia="宋体" w:cs="宋体"/>
      <w:kern w:val="0"/>
      <w:sz w:val="24"/>
      <w:szCs w:val="24"/>
      <w:lang w:val="en-US" w:eastAsia="zh-CN" w:bidi="ar-SA"/>
    </w:rPr>
  </w:style>
  <w:style w:type="paragraph" w:customStyle="1" w:styleId="278">
    <w:name w:val="列出段落3"/>
    <w:basedOn w:val="1"/>
    <w:qFormat/>
    <w:uiPriority w:val="99"/>
    <w:pPr>
      <w:ind w:firstLine="420"/>
    </w:pPr>
  </w:style>
  <w:style w:type="paragraph" w:customStyle="1" w:styleId="279">
    <w:name w:val="4"/>
    <w:basedOn w:val="1"/>
    <w:next w:val="37"/>
    <w:qFormat/>
    <w:uiPriority w:val="99"/>
    <w:pPr>
      <w:spacing w:line="360" w:lineRule="auto"/>
      <w:ind w:firstLine="420"/>
    </w:pPr>
    <w:rPr>
      <w:color w:val="FF0000"/>
      <w:sz w:val="24"/>
      <w:szCs w:val="24"/>
    </w:rPr>
  </w:style>
  <w:style w:type="paragraph" w:customStyle="1" w:styleId="280">
    <w:name w:val="Fließtext"/>
    <w:basedOn w:val="1"/>
    <w:qFormat/>
    <w:uiPriority w:val="99"/>
  </w:style>
  <w:style w:type="paragraph" w:customStyle="1" w:styleId="281">
    <w:name w:val="段"/>
    <w:next w:val="1"/>
    <w:qFormat/>
    <w:uiPriority w:val="99"/>
    <w:pPr>
      <w:ind w:firstLine="200"/>
      <w:jc w:val="both"/>
    </w:pPr>
    <w:rPr>
      <w:rFonts w:ascii="宋体" w:hAnsi="Times New Roman" w:eastAsia="宋体" w:cs="宋体"/>
      <w:kern w:val="0"/>
      <w:sz w:val="21"/>
      <w:szCs w:val="21"/>
      <w:lang w:val="en-US" w:eastAsia="zh-CN" w:bidi="ar-SA"/>
    </w:rPr>
  </w:style>
  <w:style w:type="paragraph" w:customStyle="1" w:styleId="282">
    <w:name w:val="Normal_0_1"/>
    <w:qFormat/>
    <w:uiPriority w:val="99"/>
    <w:rPr>
      <w:rFonts w:ascii="Times New Roman" w:hAnsi="Times New Roman" w:eastAsia="宋体" w:cs="Times New Roman"/>
      <w:kern w:val="0"/>
      <w:sz w:val="24"/>
      <w:szCs w:val="24"/>
      <w:lang w:val="en-US" w:eastAsia="zh-CN" w:bidi="ar-SA"/>
    </w:rPr>
  </w:style>
  <w:style w:type="paragraph" w:customStyle="1" w:styleId="283">
    <w:name w:val="正文首行缩进1"/>
    <w:basedOn w:val="1"/>
    <w:next w:val="284"/>
    <w:qFormat/>
    <w:uiPriority w:val="99"/>
    <w:pPr>
      <w:spacing w:line="360" w:lineRule="auto"/>
      <w:ind w:firstLine="200"/>
    </w:pPr>
    <w:rPr>
      <w:rFonts w:ascii="??_GB2312" w:eastAsia="Times New Roman" w:cs="??_GB2312"/>
      <w:sz w:val="30"/>
      <w:szCs w:val="30"/>
    </w:rPr>
  </w:style>
  <w:style w:type="paragraph" w:customStyle="1" w:styleId="284">
    <w:name w:val="目录 61"/>
    <w:basedOn w:val="1"/>
    <w:next w:val="1"/>
    <w:semiHidden/>
    <w:qFormat/>
    <w:uiPriority w:val="99"/>
    <w:pPr>
      <w:ind w:left="2100"/>
    </w:pPr>
  </w:style>
  <w:style w:type="paragraph" w:customStyle="1" w:styleId="285">
    <w:name w:val="_Style 7"/>
    <w:basedOn w:val="1"/>
    <w:next w:val="257"/>
    <w:qFormat/>
    <w:uiPriority w:val="99"/>
    <w:pPr>
      <w:ind w:firstLine="420" w:firstLineChars="200"/>
    </w:pPr>
  </w:style>
  <w:style w:type="paragraph" w:customStyle="1" w:styleId="286">
    <w:name w:val="Table Paragraph"/>
    <w:basedOn w:val="1"/>
    <w:qFormat/>
    <w:uiPriority w:val="99"/>
    <w:rPr>
      <w:rFonts w:ascii="宋体" w:hAnsi="宋体" w:cs="宋体"/>
      <w:lang w:val="zh-CN"/>
    </w:rPr>
  </w:style>
  <w:style w:type="character" w:customStyle="1" w:styleId="287">
    <w:name w:val="NormalCharacter1"/>
    <w:semiHidden/>
    <w:qFormat/>
    <w:uiPriority w:val="99"/>
    <w:rPr>
      <w:rFonts w:ascii="Calibri" w:hAnsi="Calibri" w:eastAsia="宋体" w:cs="Calibri"/>
      <w:sz w:val="24"/>
      <w:szCs w:val="24"/>
      <w:lang w:val="en-US" w:eastAsia="zh-CN"/>
    </w:rPr>
  </w:style>
  <w:style w:type="paragraph" w:customStyle="1" w:styleId="288">
    <w:name w:val="表格文字"/>
    <w:basedOn w:val="1"/>
    <w:next w:val="17"/>
    <w:qFormat/>
    <w:uiPriority w:val="99"/>
    <w:pPr>
      <w:spacing w:before="25" w:after="25"/>
      <w:jc w:val="left"/>
    </w:pPr>
    <w:rPr>
      <w:rFonts w:ascii="Times New Roman" w:hAnsi="Times New Roman" w:cs="Times New Roman"/>
      <w:spacing w:val="10"/>
      <w:sz w:val="24"/>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微软中国</Company>
  <Pages>61</Pages>
  <Words>25778</Words>
  <Characters>27204</Characters>
  <Lines>0</Lines>
  <Paragraphs>0</Paragraphs>
  <TotalTime>17</TotalTime>
  <ScaleCrop>false</ScaleCrop>
  <LinksUpToDate>false</LinksUpToDate>
  <CharactersWithSpaces>27721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2026-04-21T09:09:00Z</dcterms:created>
  <dc:creator>cgzx</dc:creator>
  <cp:lastModifiedBy>严萌。</cp:lastModifiedBy>
  <cp:lastPrinted>2026-04-21T09:25:00Z</cp:lastPrinted>
  <dcterms:modified xsi:type="dcterms:W3CDTF">2026-05-20T07:43:54Z</dcterms:modified>
  <dc:title>总  目  录</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481F91BECEFC49D2B6FDB19BFAC31AFD_13</vt:lpwstr>
  </property>
  <property fmtid="{D5CDD505-2E9C-101B-9397-08002B2CF9AE}" pid="4" name="KSOTemplateDocerSaveRecord">
    <vt:lpwstr>eyJoZGlkIjoiOGU1MDgzMWRhMzlhZmQxYTU5MTk5OWI3YzJiYTYwNjgiLCJ1c2VySWQiOiI2NTA3NzMxOTIifQ==</vt:lpwstr>
  </property>
</Properties>
</file>