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spacing w:before="120" w:beforeAutospacing="0" w:after="120" w:afterAutospacing="0" w:line="360" w:lineRule="auto"/>
        <w:rPr>
          <w:highlight w:val="none"/>
        </w:rPr>
      </w:pPr>
      <w:r>
        <w:rPr>
          <w:highlight w:val="none"/>
        </w:rPr>
        <w:t xml:space="preserve"> </w:t>
      </w:r>
      <w:r/>
    </w:p>
    <w:p>
      <w:pPr>
        <w:pStyle w:val="862"/>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862"/>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62"/>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62"/>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62"/>
        <w:ind w:left="1807" w:hanging="1807"/>
        <w:spacing w:before="120" w:beforeAutospacing="0" w:after="120" w:afterAutospacing="0" w:line="360" w:lineRule="auto"/>
        <w:rPr>
          <w:rFonts w:hint="eastAsia" w:ascii="Arial" w:hAnsi="Arial" w:cs="Arial"/>
          <w:b/>
          <w:color w:val="000000"/>
          <w:sz w:val="36"/>
          <w:szCs w:val="36"/>
          <w:highlight w:val="none"/>
        </w:rPr>
      </w:pPr>
      <w:r>
        <w:rPr>
          <w:rFonts w:ascii="Arial" w:hAnsi="Arial" w:cs="Arial"/>
          <w:b/>
          <w:color w:val="000000"/>
          <w:sz w:val="36"/>
          <w:szCs w:val="36"/>
          <w:highlight w:val="none"/>
        </w:rPr>
        <w:t xml:space="preserve">项目名称：</w:t>
      </w:r>
      <w:r>
        <w:rPr>
          <w:rFonts w:hint="eastAsia" w:ascii="Arial" w:hAnsi="Arial" w:cs="Arial"/>
          <w:b/>
          <w:color w:val="000000"/>
          <w:sz w:val="36"/>
          <w:szCs w:val="36"/>
          <w:highlight w:val="none"/>
        </w:rPr>
        <w:t xml:space="preserve">滨海县智慧养老服务平台建设和运营维护</w:t>
      </w:r>
      <w:r/>
    </w:p>
    <w:p>
      <w:pPr>
        <w:pStyle w:val="862"/>
        <w:ind w:left="1800" w:firstLine="0"/>
        <w:spacing w:before="120" w:beforeAutospacing="0" w:after="120" w:afterAutospacing="0" w:line="360" w:lineRule="auto"/>
        <w:rPr>
          <w:sz w:val="36"/>
          <w:szCs w:val="36"/>
          <w:highlight w:val="none"/>
        </w:rPr>
      </w:pPr>
      <w:r>
        <w:rPr>
          <w:rFonts w:hint="eastAsia" w:ascii="Arial" w:hAnsi="Arial" w:cs="Arial"/>
          <w:b/>
          <w:color w:val="000000"/>
          <w:sz w:val="36"/>
          <w:szCs w:val="36"/>
          <w:highlight w:val="none"/>
        </w:rPr>
        <w:t xml:space="preserve">采购项目 </w:t>
      </w:r>
      <w:r/>
    </w:p>
    <w:p>
      <w:pPr>
        <w:pStyle w:val="862"/>
        <w:spacing w:beforeAutospacing="0" w:afterAutospacing="0" w:line="360" w:lineRule="auto"/>
        <w:rPr>
          <w:highlight w:val="none"/>
        </w:rPr>
      </w:pPr>
      <w:r>
        <w:rPr>
          <w:highlight w:val="none"/>
        </w:rPr>
        <w:t xml:space="preserve"> </w:t>
      </w:r>
      <w:r/>
    </w:p>
    <w:p>
      <w:pPr>
        <w:pStyle w:val="862"/>
        <w:ind w:left="1807" w:hanging="1807"/>
        <w:spacing w:before="120" w:beforeAutospacing="0" w:after="120" w:afterAutospacing="0" w:line="360" w:lineRule="auto"/>
        <w:rPr>
          <w:rFonts w:hint="eastAsia" w:ascii="Arial" w:hAnsi="Arial" w:cs="Arial"/>
          <w:b/>
          <w:color w:val="000000"/>
          <w:sz w:val="36"/>
          <w:szCs w:val="36"/>
          <w:highlight w:val="none"/>
          <w:lang w:eastAsia="zh-CN"/>
        </w:rPr>
      </w:pPr>
      <w:r>
        <w:rPr>
          <w:rFonts w:ascii="Arial" w:hAnsi="Arial" w:cs="Arial"/>
          <w:b/>
          <w:color w:val="000000"/>
          <w:sz w:val="36"/>
          <w:szCs w:val="36"/>
          <w:highlight w:val="none"/>
        </w:rPr>
        <w:t xml:space="preserve"> </w:t>
      </w:r>
      <w:r>
        <w:rPr>
          <w:rFonts w:hint="eastAsia" w:ascii="Arial" w:hAnsi="Arial" w:cs="Arial"/>
          <w:b/>
          <w:color w:val="000000"/>
          <w:sz w:val="36"/>
          <w:szCs w:val="36"/>
          <w:highlight w:val="none"/>
          <w:lang w:eastAsia="zh-CN"/>
        </w:rPr>
        <w:t xml:space="preserve">项目编号：JSZC-320922-YTGC-G2026-0014</w:t>
      </w:r>
      <w:r/>
    </w:p>
    <w:p>
      <w:pPr>
        <w:pStyle w:val="862"/>
        <w:spacing w:beforeAutospacing="0" w:afterAutospacing="0" w:line="360" w:lineRule="auto"/>
        <w:rPr>
          <w:highlight w:val="none"/>
        </w:rPr>
      </w:pPr>
      <w:r>
        <w:rPr>
          <w:highlight w:val="none"/>
        </w:rPr>
        <w:t xml:space="preserve"> </w:t>
      </w:r>
      <w:r/>
    </w:p>
    <w:p>
      <w:pPr>
        <w:pStyle w:val="862"/>
        <w:spacing w:beforeAutospacing="0" w:afterAutospacing="0" w:line="360" w:lineRule="auto"/>
        <w:rPr>
          <w:highlight w:val="none"/>
        </w:rPr>
      </w:pPr>
      <w:r>
        <w:rPr>
          <w:highlight w:val="none"/>
        </w:rPr>
        <w:t xml:space="preserve"> </w:t>
      </w:r>
      <w:bookmarkStart w:id="208" w:name="_GoBack"/>
      <w:r/>
      <w:bookmarkEnd w:id="208"/>
      <w:r/>
      <w:r/>
    </w:p>
    <w:p>
      <w:pPr>
        <w:pStyle w:val="862"/>
        <w:spacing w:beforeAutospacing="0" w:afterAutospacing="0" w:line="360" w:lineRule="auto"/>
        <w:rPr>
          <w:highlight w:val="none"/>
        </w:rPr>
      </w:pPr>
      <w:r>
        <w:rPr>
          <w:highlight w:val="none"/>
        </w:rPr>
        <w:t xml:space="preserve"> </w:t>
      </w:r>
      <w:r/>
    </w:p>
    <w:p>
      <w:pPr>
        <w:pStyle w:val="862"/>
        <w:spacing w:beforeAutospacing="0" w:afterAutospacing="0" w:line="360" w:lineRule="auto"/>
        <w:rPr>
          <w:highlight w:val="none"/>
        </w:rPr>
      </w:pPr>
      <w:r>
        <w:rPr>
          <w:highlight w:val="none"/>
        </w:rPr>
        <w:t xml:space="preserve"> </w:t>
      </w:r>
      <w:r/>
    </w:p>
    <w:p>
      <w:pPr>
        <w:pStyle w:val="862"/>
        <w:spacing w:beforeAutospacing="0" w:afterAutospacing="0" w:line="360" w:lineRule="auto"/>
        <w:rPr>
          <w:highlight w:val="none"/>
        </w:rPr>
      </w:pPr>
      <w:r>
        <w:rPr>
          <w:highlight w:val="none"/>
        </w:rPr>
        <w:t xml:space="preserve"> </w:t>
      </w:r>
      <w:r/>
    </w:p>
    <w:p>
      <w:pPr>
        <w:pStyle w:val="862"/>
        <w:jc w:val="center"/>
        <w:spacing w:before="120" w:beforeAutospacing="0" w:after="120" w:afterAutospacing="0" w:line="360" w:lineRule="auto"/>
        <w:rPr>
          <w:rFonts w:hint="eastAsia" w:ascii="Arial" w:hAnsi="Arial" w:cs="Arial" w:eastAsiaTheme="minorEastAsia"/>
          <w:b/>
          <w:color w:val="000000"/>
          <w:sz w:val="36"/>
          <w:szCs w:val="36"/>
          <w:highlight w:val="none"/>
          <w:lang w:eastAsia="zh-CN"/>
        </w:rPr>
      </w:pPr>
      <w:r>
        <w:rPr>
          <w:rFonts w:hint="eastAsia" w:ascii="Arial" w:hAnsi="Arial" w:cs="Arial"/>
          <w:b/>
          <w:color w:val="000000"/>
          <w:sz w:val="36"/>
          <w:szCs w:val="36"/>
          <w:highlight w:val="none"/>
        </w:rPr>
        <w:t xml:space="preserve">采购单位</w:t>
      </w:r>
      <w:r>
        <w:rPr>
          <w:rFonts w:hint="eastAsia" w:ascii="Arial" w:hAnsi="Arial" w:cs="Arial"/>
          <w:b/>
          <w:color w:val="000000"/>
          <w:sz w:val="36"/>
          <w:szCs w:val="36"/>
          <w:highlight w:val="none"/>
          <w:lang w:eastAsia="zh-CN"/>
        </w:rPr>
        <w:t xml:space="preserve">：滨海县民政局</w:t>
      </w:r>
      <w:r/>
    </w:p>
    <w:p>
      <w:pPr>
        <w:pStyle w:val="862"/>
        <w:jc w:val="center"/>
        <w:spacing w:before="120" w:beforeAutospacing="0" w:after="120" w:afterAutospacing="0" w:line="360" w:lineRule="auto"/>
        <w:rPr>
          <w:sz w:val="36"/>
          <w:szCs w:val="36"/>
          <w:highlight w:val="none"/>
        </w:rPr>
      </w:pPr>
      <w:r>
        <w:rPr>
          <w:rFonts w:hint="eastAsia" w:ascii="Arial" w:hAnsi="Arial" w:cs="Arial"/>
          <w:b/>
          <w:color w:val="000000"/>
          <w:sz w:val="36"/>
          <w:szCs w:val="36"/>
          <w:highlight w:val="none"/>
          <w:lang w:val="en-US" w:eastAsia="zh-CN"/>
        </w:rPr>
        <w:t xml:space="preserve">2026</w:t>
      </w:r>
      <w:r>
        <w:rPr>
          <w:rFonts w:ascii="Arial" w:hAnsi="Arial" w:cs="Arial"/>
          <w:b/>
          <w:color w:val="000000"/>
          <w:sz w:val="36"/>
          <w:szCs w:val="36"/>
          <w:highlight w:val="none"/>
        </w:rPr>
        <w:t xml:space="preserve">年</w:t>
      </w:r>
      <w:r>
        <w:rPr>
          <w:rFonts w:hint="eastAsia" w:ascii="Arial" w:hAnsi="Arial" w:cs="Arial"/>
          <w:b/>
          <w:color w:val="000000"/>
          <w:sz w:val="36"/>
          <w:szCs w:val="36"/>
          <w:highlight w:val="none"/>
          <w:lang w:val="en-US" w:eastAsia="zh-CN"/>
        </w:rPr>
        <w:t xml:space="preserve">4</w:t>
      </w:r>
      <w:r>
        <w:rPr>
          <w:rFonts w:ascii="Arial" w:hAnsi="Arial" w:cs="Arial"/>
          <w:b/>
          <w:color w:val="000000"/>
          <w:sz w:val="36"/>
          <w:szCs w:val="36"/>
          <w:highlight w:val="none"/>
        </w:rPr>
        <w:t xml:space="preserve">月</w:t>
      </w:r>
      <w:r/>
    </w:p>
    <w:p>
      <w:pPr>
        <w:pStyle w:val="862"/>
        <w:spacing w:before="120" w:beforeAutospacing="0" w:after="120" w:afterAutospacing="0" w:line="360" w:lineRule="auto"/>
        <w:rPr>
          <w:highlight w:val="none"/>
        </w:rPr>
      </w:pPr>
      <w:r>
        <w:rPr>
          <w:rFonts w:ascii="Arial" w:hAnsi="Arial" w:cs="Arial"/>
          <w:color w:val="000000"/>
          <w:highlight w:val="none"/>
        </w:rPr>
        <w:t xml:space="preserve">                        </w:t>
      </w:r>
      <w:r/>
    </w:p>
    <w:p>
      <w:pPr>
        <w:pStyle w:val="862"/>
        <w:jc w:val="center"/>
        <w:spacing w:before="120" w:beforeAutospacing="0" w:after="120" w:afterAutospacing="0" w:line="360" w:lineRule="auto"/>
        <w:rPr>
          <w:highlight w:val="none"/>
        </w:rPr>
      </w:pPr>
      <w:r>
        <w:rPr>
          <w:highlight w:val="none"/>
        </w:rPr>
        <w:t xml:space="preserve"> </w:t>
      </w:r>
      <w:r/>
    </w:p>
    <w:p>
      <w:pPr>
        <w:pStyle w:val="862"/>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20823272"/>
      <w:r/>
      <w:bookmarkStart w:id="1" w:name="_Toc513029200"/>
      <w:r/>
      <w:bookmarkStart w:id="2" w:name="_Toc120614210"/>
      <w:r/>
      <w:bookmarkStart w:id="3" w:name="_Toc523127445"/>
      <w:r/>
      <w:bookmarkStart w:id="4" w:name="_Toc16938516"/>
      <w:r/>
      <w:bookmarkStart w:id="5" w:name="_Toc479757206"/>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62"/>
        <w:jc w:val="both"/>
        <w:spacing w:beforeAutospacing="0" w:afterAutospacing="0" w:line="480" w:lineRule="auto"/>
        <w:rPr>
          <w:highlight w:val="none"/>
        </w:rPr>
      </w:pPr>
      <w:r>
        <w:rPr>
          <w:highlight w:val="none"/>
        </w:rPr>
        <w:t xml:space="preserve"> </w:t>
      </w:r>
      <w:r/>
    </w:p>
    <w:p>
      <w:pPr>
        <w:pStyle w:val="862"/>
        <w:ind w:left="2160" w:hanging="1440"/>
        <w:jc w:val="both"/>
        <w:keepLines w:val="0"/>
        <w:keepNext w:val="0"/>
        <w:pageBreakBefore w:val="0"/>
        <w:spacing w:beforeAutospacing="0" w:afterAutospacing="0" w:line="96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 </w:t>
      </w:r>
      <w:r/>
    </w:p>
    <w:p>
      <w:pPr>
        <w:pStyle w:val="862"/>
        <w:ind w:left="2160" w:hanging="1440"/>
        <w:jc w:val="both"/>
        <w:keepLines w:val="0"/>
        <w:keepNext w:val="0"/>
        <w:pageBreakBefore w:val="0"/>
        <w:spacing w:beforeAutospacing="0" w:afterAutospacing="0" w:line="96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 </w:t>
      </w:r>
      <w:r/>
    </w:p>
    <w:p>
      <w:pPr>
        <w:pStyle w:val="862"/>
        <w:ind w:left="2160" w:hanging="1440"/>
        <w:jc w:val="both"/>
        <w:keepLines w:val="0"/>
        <w:keepNext w:val="0"/>
        <w:pageBreakBefore w:val="0"/>
        <w:spacing w:beforeAutospacing="0" w:afterAutospacing="0" w:line="96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合同文本</w:t>
      </w:r>
      <w:r/>
    </w:p>
    <w:p>
      <w:pPr>
        <w:pStyle w:val="862"/>
        <w:ind w:left="2160" w:hanging="1440"/>
        <w:jc w:val="both"/>
        <w:keepLines w:val="0"/>
        <w:keepNext w:val="0"/>
        <w:pageBreakBefore w:val="0"/>
        <w:spacing w:beforeAutospacing="0" w:afterAutospacing="0" w:line="96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p>
    <w:p>
      <w:pPr>
        <w:pStyle w:val="862"/>
        <w:ind w:left="2160" w:hanging="1440"/>
        <w:jc w:val="both"/>
        <w:keepLines w:val="0"/>
        <w:keepNext w:val="0"/>
        <w:pageBreakBefore w:val="0"/>
        <w:spacing w:beforeAutospacing="0" w:afterAutospacing="0" w:line="96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p>
    <w:p>
      <w:pPr>
        <w:pStyle w:val="862"/>
        <w:ind w:left="2160" w:hanging="1440"/>
        <w:jc w:val="both"/>
        <w:keepLines w:val="0"/>
        <w:keepNext w:val="0"/>
        <w:pageBreakBefore w:val="0"/>
        <w:spacing w:beforeAutospacing="0" w:afterAutospacing="0" w:line="960" w:lineRule="auto"/>
        <w:widowControl w:val="off"/>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p>
    <w:p>
      <w:pPr>
        <w:pStyle w:val="862"/>
        <w:jc w:val="both"/>
        <w:keepLines w:val="0"/>
        <w:keepNext w:val="0"/>
        <w:pageBreakBefore w:val="0"/>
        <w:spacing w:beforeAutospacing="0" w:afterAutospacing="0" w:line="960" w:lineRule="auto"/>
        <w:widowControl w:val="off"/>
        <w:rPr>
          <w:highlight w:val="none"/>
        </w:rPr>
      </w:pPr>
      <w:r>
        <w:rPr>
          <w:highlight w:val="none"/>
        </w:rPr>
        <w:t xml:space="preserve"> </w:t>
      </w:r>
      <w:r/>
    </w:p>
    <w:p>
      <w:pPr>
        <w:pStyle w:val="862"/>
        <w:jc w:val="both"/>
        <w:keepLines w:val="0"/>
        <w:keepNext w:val="0"/>
        <w:pageBreakBefore w:val="0"/>
        <w:spacing w:beforeAutospacing="0" w:afterAutospacing="0" w:line="960" w:lineRule="auto"/>
        <w:widowControl w:val="off"/>
        <w:rPr>
          <w:highlight w:val="none"/>
        </w:rPr>
      </w:pPr>
      <w:r>
        <w:rPr>
          <w:highlight w:val="none"/>
        </w:rPr>
        <w:t xml:space="preserve"> </w:t>
      </w:r>
      <w:r/>
    </w:p>
    <w:p>
      <w:pPr>
        <w:pStyle w:val="862"/>
        <w:jc w:val="center"/>
        <w:spacing w:beforeAutospacing="0" w:afterAutospacing="0"/>
        <w:rPr>
          <w:highlight w:val="none"/>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rPr>
          <w:highlight w:val="none"/>
        </w:rPr>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滨海县智慧养老服务平台建设和运营维护采购项目</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9时00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u w:val="single"/>
          <w:lang w:val="en-US" w:eastAsia="zh-CN"/>
        </w:rPr>
        <w:t xml:space="preserve">00秒</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北京时间）前递交投标文件。</w:t>
      </w:r>
      <w:r/>
    </w:p>
    <w:p>
      <w:pPr>
        <w:pStyle w:val="862"/>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bookmarkStart w:id="6" w:name="_Hlk24379207"/>
      <w:r/>
      <w:bookmarkStart w:id="7" w:name="_Toc28359079"/>
      <w:r/>
      <w:bookmarkStart w:id="8" w:name="_Toc35393621"/>
      <w:r/>
      <w:bookmarkStart w:id="9" w:name="_Toc35393790"/>
      <w:r/>
      <w:bookmarkStart w:id="10" w:name="_Toc38985263"/>
      <w:r/>
      <w:bookmarkStart w:id="11" w:name="_Toc28359002"/>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1.项目编号：JSZC-320922-YTGC-G2026-0014</w:t>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2.项目名称：滨海县智慧养老服务平台建设和运营维护采购项目</w:t>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.预算金额：人民币180万元</w:t>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rPr>
        <w:t xml:space="preserve">人民币180万元</w:t>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滨海县智慧养老服务平台建设和运营（两年）以及对应两年养老服务质量第三方评估。构建滨海县智能化居家社区养老服务平台，将老人、服务人员、服务组织、运营组织紧密联系起来，建成以居家社区养老服务为重点的信息支持系统，建立服务对象、服务组织、评估组织之间的多方联动机制，实现县、镇（区、街道）、社区（村居）数据共享互通，依托平台，加强对居家上门服务过程监管，对居家社区养老服务设施日常运营、安全管理和服务质量等方面的监督管理。（详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.合同履行期限：2年</w:t>
      </w:r>
      <w:r/>
    </w:p>
    <w:p>
      <w:pPr>
        <w:pStyle w:val="862"/>
        <w:ind w:firstLine="480"/>
        <w:jc w:val="both"/>
        <w:pageBreakBefore w:val="0"/>
        <w:spacing w:beforeAutospacing="0" w:afterAutospacing="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8.服务标准：合格</w:t>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接受联合体参与</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p>
    <w:p>
      <w:pPr>
        <w:pStyle w:val="862"/>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bookmarkStart w:id="12" w:name="_Toc35393791"/>
      <w:r/>
      <w:bookmarkStart w:id="13" w:name="_Toc35393622"/>
      <w:r/>
      <w:bookmarkStart w:id="14" w:name="_Toc38985264"/>
      <w:r/>
      <w:bookmarkStart w:id="15" w:name="_Toc28359003"/>
      <w:r/>
      <w:bookmarkStart w:id="16" w:name="_Toc28359080"/>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2"/>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862"/>
        <w:numPr>
          <w:ilvl w:val="0"/>
          <w:numId w:val="1"/>
        </w:numPr>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落实政府采购政策需满足的资格要求：本项目为专门面向中小企业采购的项目,投标人必须为中小微企业（或监狱企业或残疾人福利性单位），不接受非中小微型企业（或监狱企业或残疾人福利性单位）参与本项目投标。投标文件中须提供《中小企业声明函》，《中小企业声明函》不符合要求或未提供的，投标文件无效。</w:t>
      </w:r>
      <w:r/>
    </w:p>
    <w:p>
      <w:pPr>
        <w:pStyle w:val="862"/>
        <w:numPr>
          <w:ilvl w:val="0"/>
          <w:numId w:val="0"/>
        </w:numPr>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接受联合体参与</w:t>
      </w:r>
      <w:r>
        <w:rPr>
          <w:rFonts w:hint="eastAsia" w:ascii="宋体" w:hAnsi="宋体" w:eastAsia="宋体" w:cs="宋体"/>
          <w:color w:val="auto"/>
          <w:sz w:val="24"/>
          <w:szCs w:val="24"/>
          <w:highlight w:val="none"/>
          <w:lang w:val="en-US" w:eastAsia="zh-CN"/>
        </w:rPr>
        <w:t xml:space="preserve">投标。</w:t>
      </w:r>
      <w:r/>
    </w:p>
    <w:p>
      <w:pPr>
        <w:pStyle w:val="862"/>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bookmarkStart w:id="17" w:name="_Toc35393624"/>
      <w:r/>
      <w:bookmarkStart w:id="18" w:name="_Toc38985266"/>
      <w:r/>
      <w:bookmarkStart w:id="19" w:name="_Toc28359082"/>
      <w:r/>
      <w:bookmarkStart w:id="20" w:name="_Toc28359005"/>
      <w:r/>
      <w:bookmarkStart w:id="21" w:name="_Toc35393793"/>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862"/>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时间：2026年5月21日9时00分00秒</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2.地点：苏采云“不见面”开标大厅 。</w:t>
      </w:r>
      <w:r/>
    </w:p>
    <w:p>
      <w:pPr>
        <w:pStyle w:val="862"/>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bookmarkStart w:id="22" w:name="_Toc28359084"/>
      <w:r/>
      <w:bookmarkStart w:id="23" w:name="_Toc35393794"/>
      <w:r/>
      <w:bookmarkStart w:id="24" w:name="_Toc38985267"/>
      <w:r/>
      <w:bookmarkStart w:id="25" w:name="_Toc35393625"/>
      <w:r/>
      <w:bookmarkStart w:id="26" w:name="_Toc28359007"/>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86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26"/>
      <w:r/>
      <w:bookmarkStart w:id="28" w:name="_Toc35393795"/>
      <w:r/>
      <w:bookmarkStart w:id="29"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62"/>
        <w:ind w:firstLine="498"/>
        <w:jc w:val="both"/>
        <w:keepLines/>
        <w:keepNext/>
        <w:pageBreakBefore w:val="0"/>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86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pageBreakBefore w:val="0"/>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3.有关本次招标的事项若存在变动或修改，敬请及时关注盐城市政府采购中心在“中国政府采购网”“江苏政府采购网”“盐城市政府采购网”“滨海县人民政府网”发布的更正公告。</w:t>
      </w:r>
      <w:r/>
    </w:p>
    <w:p>
      <w:pPr>
        <w:pStyle w:val="86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852"/>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0"/>
      <w:r/>
      <w:r/>
    </w:p>
    <w:p>
      <w:pPr>
        <w:pStyle w:val="86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86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称：滨海县民政局  </w:t>
      </w:r>
      <w:r/>
    </w:p>
    <w:p>
      <w:pPr>
        <w:pStyle w:val="86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地址：滨海县港城路419号水务大厦  </w:t>
      </w:r>
      <w:r/>
    </w:p>
    <w:p>
      <w:pPr>
        <w:pStyle w:val="86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联系人：吴女士              </w:t>
      </w:r>
      <w:r/>
    </w:p>
    <w:p>
      <w:pPr>
        <w:pStyle w:val="86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联系方式：18375690390            </w:t>
      </w:r>
      <w:r/>
    </w:p>
    <w:p>
      <w:pPr>
        <w:pStyle w:val="86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86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江苏雨田工程咨询集团有限公司</w:t>
      </w:r>
      <w:r/>
    </w:p>
    <w:p>
      <w:pPr>
        <w:pStyle w:val="86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滨海县大学生创业园电谷A226室</w:t>
      </w:r>
      <w:r/>
    </w:p>
    <w:p>
      <w:pPr>
        <w:pStyle w:val="86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联系人：王女士                     </w:t>
      </w:r>
      <w:r/>
    </w:p>
    <w:p>
      <w:pPr>
        <w:pStyle w:val="86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13655104747       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86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86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项目联系人：王女士</w:t>
      </w:r>
      <w:r/>
    </w:p>
    <w:p>
      <w:pPr>
        <w:pStyle w:val="86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联系方式：13655104747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2"/>
        <w:ind w:right="840"/>
        <w:jc w:val="both"/>
        <w:spacing w:beforeAutospacing="0" w:afterAutospacing="0"/>
        <w:rPr>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 </w:t>
      </w:r>
      <w:r/>
    </w:p>
    <w:p>
      <w:pPr>
        <w:pStyle w:val="862"/>
        <w:ind w:firstLine="2429"/>
        <w:jc w:val="both"/>
        <w:keepLines/>
        <w:keepNext/>
        <w:spacing w:before="260" w:beforeAutospacing="0" w:after="260" w:afterAutospacing="0" w:line="415" w:lineRule="auto"/>
        <w:rPr>
          <w:highlight w:val="none"/>
        </w:rPr>
      </w:pPr>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20823274"/>
      <w:r/>
      <w:bookmarkStart w:id="37" w:name="_Toc16938518"/>
      <w:r/>
      <w:bookmarkStart w:id="38" w:name="_Toc513029202"/>
      <w:r/>
      <w:bookmarkStart w:id="39" w:name="_Toc120614213"/>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862"/>
        <w:ind w:firstLine="498"/>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40" w:name="_Toc16938519"/>
      <w:r/>
      <w:bookmarkStart w:id="41" w:name="_Toc20823275"/>
      <w:r/>
      <w:bookmarkStart w:id="42" w:name="_Toc120614214"/>
      <w:r/>
      <w:bookmarkStart w:id="43" w:name="_Toc513029203"/>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4" w:name="_Toc16938520"/>
      <w:r/>
      <w:bookmarkStart w:id="45" w:name="_Toc458694821"/>
      <w:r/>
      <w:bookmarkStart w:id="46" w:name="_Toc20823276"/>
      <w:r/>
      <w:bookmarkStart w:id="47" w:name="_Toc513029204"/>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9" w:name="_Toc16938521"/>
      <w:r/>
      <w:bookmarkStart w:id="50" w:name="_Toc20823277"/>
      <w:r/>
      <w:bookmarkStart w:id="51" w:name="_Toc513029205"/>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firstLine="420"/>
        <w:pageBreakBefore w:val="0"/>
        <w:spacing w:line="360" w:lineRule="auto"/>
        <w:widowControl w:val="off"/>
        <w:rPr>
          <w:rFonts w:hint="eastAsia" w:ascii="方正魏碑_GBK" w:hAnsi="方正魏碑_GBK" w:eastAsia="方正魏碑_GBK" w:cs="方正魏碑_GBK"/>
          <w:color w:val="auto"/>
          <w:sz w:val="24"/>
          <w:szCs w:val="21"/>
        </w:rPr>
      </w:pPr>
      <w:r/>
      <w:bookmarkStart w:id="52" w:name="_Toc16938522"/>
      <w:r/>
      <w:bookmarkStart w:id="53" w:name="_Toc513029206"/>
      <w:r/>
      <w:bookmarkStart w:id="54" w:name="_Toc20823278"/>
      <w:r/>
      <w:bookmarkStart w:id="55" w:name="_Toc513029207"/>
      <w:r/>
      <w:bookmarkStart w:id="56" w:name="_Toc462564067"/>
      <w:r/>
      <w:bookmarkStart w:id="57" w:name="_Toc16938523"/>
      <w:r/>
      <w:bookmarkStart w:id="58" w:name="_Toc20823279"/>
      <w:r>
        <w:rPr>
          <w:rFonts w:hint="eastAsia" w:ascii="方正魏碑_GBK" w:hAnsi="方正魏碑_GBK" w:eastAsia="方正魏碑_GBK" w:cs="方正魏碑_GBK"/>
          <w:color w:val="auto"/>
          <w:sz w:val="24"/>
          <w:szCs w:val="21"/>
        </w:rPr>
        <w:t xml:space="preserve">3、适用法律</w:t>
      </w:r>
      <w:bookmarkEnd w:id="52"/>
      <w:r/>
      <w:bookmarkEnd w:id="53"/>
      <w:r/>
      <w:bookmarkEnd w:id="54"/>
      <w:r>
        <w:rPr>
          <w:rFonts w:hint="eastAsia" w:ascii="方正魏碑_GBK" w:hAnsi="方正魏碑_GBK" w:eastAsia="方正魏碑_GBK" w:cs="方正魏碑_GBK"/>
          <w:color w:val="auto"/>
          <w:sz w:val="24"/>
          <w:szCs w:val="21"/>
        </w:rPr>
        <w:t xml:space="preserve">和标准</w:t>
      </w:r>
      <w:r/>
    </w:p>
    <w:p>
      <w:pPr>
        <w:pStyle w:val="862"/>
        <w:ind w:firstLine="42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滨海县</w:t>
      </w:r>
      <w:r>
        <w:rPr>
          <w:rFonts w:hint="eastAsia" w:ascii="宋体" w:hAnsi="宋体" w:eastAsia="宋体" w:cs="宋体"/>
          <w:color w:val="000000"/>
          <w:sz w:val="24"/>
          <w:szCs w:val="24"/>
          <w:highlight w:val="none"/>
          <w:lang w:eastAsia="zh-CN"/>
        </w:rPr>
        <w:t xml:space="preserve">民政局</w:t>
      </w:r>
      <w:r>
        <w:rPr>
          <w:rFonts w:hint="eastAsia" w:ascii="宋体" w:hAnsi="宋体" w:eastAsia="宋体" w:cs="宋体"/>
          <w:color w:val="000000"/>
          <w:sz w:val="24"/>
          <w:szCs w:val="24"/>
          <w:highlight w:val="none"/>
        </w:rPr>
        <w:t xml:space="preserve">（以下简称采购中心）在任何情况下均无义务和责任承担这些费用。</w:t>
      </w:r>
      <w:r/>
    </w:p>
    <w:p>
      <w:pPr>
        <w:pStyle w:val="862"/>
        <w:ind w:firstLine="480"/>
        <w:jc w:val="both"/>
        <w:pageBreakBefore w:val="0"/>
        <w:spacing w:beforeAutospacing="0" w:afterAutospacing="0"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lang w:val="en-US" w:eastAsia="zh-CN"/>
        </w:rPr>
        <w:t xml:space="preserve">本项目招标代理服务费：</w:t>
      </w:r>
      <w:r>
        <w:rPr>
          <w:rFonts w:hint="eastAsia" w:ascii="宋体" w:hAnsi="宋体" w:eastAsia="宋体" w:cs="宋体"/>
          <w:color w:val="auto"/>
          <w:sz w:val="24"/>
          <w:szCs w:val="24"/>
          <w:highlight w:val="none"/>
          <w:shd w:val="clear" w:color="auto" w:fill="auto"/>
        </w:rPr>
        <w:t xml:space="preserve">按照苏政采协[2024]20号文标准打折后，收取人民币</w:t>
      </w:r>
      <w:r>
        <w:rPr>
          <w:rFonts w:hint="eastAsia" w:ascii="宋体" w:hAnsi="宋体" w:eastAsia="宋体" w:cs="宋体"/>
          <w:color w:val="auto"/>
          <w:sz w:val="24"/>
          <w:szCs w:val="24"/>
          <w:highlight w:val="none"/>
          <w:shd w:val="clear" w:color="auto" w:fill="auto"/>
          <w:lang w:val="en-US" w:eastAsia="zh-CN"/>
        </w:rPr>
        <w:t xml:space="preserve">10000</w:t>
      </w:r>
      <w:r>
        <w:rPr>
          <w:rFonts w:hint="eastAsia" w:ascii="宋体" w:hAnsi="宋体" w:eastAsia="宋体" w:cs="宋体"/>
          <w:color w:val="auto"/>
          <w:sz w:val="24"/>
          <w:szCs w:val="24"/>
          <w:highlight w:val="none"/>
          <w:shd w:val="clear" w:color="auto" w:fill="auto"/>
        </w:rPr>
        <w:t xml:space="preserve">元。由中标人代为支付，招标人不另行支付。</w:t>
      </w:r>
      <w:r/>
    </w:p>
    <w:p>
      <w:pPr>
        <w:pStyle w:val="862"/>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862"/>
        <w:ind w:firstLine="321"/>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59" w:name="_Toc120614215"/>
      <w:r/>
      <w:bookmarkStart w:id="60" w:name="_Toc513029209"/>
      <w:r/>
      <w:bookmarkStart w:id="61" w:name="_Toc16938525"/>
      <w:r/>
      <w:bookmarkStart w:id="62" w:name="_Toc20823281"/>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3" w:name="_Toc16938526"/>
      <w:r/>
      <w:bookmarkStart w:id="64" w:name="_Toc20823282"/>
      <w:r/>
      <w:bookmarkStart w:id="65" w:name="_Toc513029210"/>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62"/>
        <w:ind w:firstLine="360"/>
        <w:jc w:val="both"/>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62"/>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62"/>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62"/>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62"/>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62"/>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2"/>
        <w:ind w:firstLine="56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6" w:name="_Toc513029211"/>
      <w:r/>
      <w:bookmarkStart w:id="67" w:name="_Toc16938527"/>
      <w:r/>
      <w:bookmarkStart w:id="68" w:name="_Toc20823283"/>
      <w:r/>
      <w:bookmarkStart w:id="69" w:name="_Toc462564070"/>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p>
    <w:p>
      <w:pPr>
        <w:pStyle w:val="862"/>
        <w:ind w:firstLine="56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0" w:name="_Toc513029212"/>
      <w:r/>
      <w:bookmarkStart w:id="71" w:name="_Toc16938528"/>
      <w:r/>
      <w:bookmarkStart w:id="72" w:name="_Toc462564071"/>
      <w:r/>
      <w:bookmarkStart w:id="73" w:name="_Toc20823284"/>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8.1在投标截止时间前，采购中心可以对招标文件进行修改。</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8.2采购中心有权按照法定的要求推迟投标截止日期和开标日期。</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862"/>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74" w:name="_Toc20823285"/>
      <w:r/>
      <w:bookmarkStart w:id="75" w:name="_Toc16938529"/>
      <w:r/>
      <w:bookmarkStart w:id="76" w:name="_Toc120614216"/>
      <w:r/>
      <w:bookmarkStart w:id="77" w:name="_Toc513029213"/>
      <w:r/>
      <w:bookmarkStart w:id="78" w:name="_Toc462564072"/>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862"/>
        <w:ind w:firstLine="56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9" w:name="_Toc20823286"/>
      <w:r/>
      <w:bookmarkStart w:id="80" w:name="_Toc462564073"/>
      <w:r/>
      <w:bookmarkStart w:id="81" w:name="_Toc513029214"/>
      <w:r/>
      <w:bookmarkStart w:id="82" w:name="_Toc16938530"/>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3" w:name="_Toc513029215"/>
      <w:r/>
      <w:bookmarkStart w:id="84" w:name="_Toc16938531"/>
      <w:r/>
      <w:bookmarkStart w:id="85" w:name="_Toc462564074"/>
      <w:r/>
      <w:bookmarkStart w:id="86" w:name="_Toc20823287"/>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7" w:name="_Toc14577357"/>
      <w:r/>
      <w:bookmarkStart w:id="88" w:name="_Toc49090507"/>
      <w:r/>
      <w:bookmarkStart w:id="89" w:name="_Toc49090509"/>
      <w:r/>
      <w:bookmarkStart w:id="90" w:name="_Toc513029216"/>
      <w:r/>
      <w:bookmarkStart w:id="91" w:name="_Toc513029219"/>
      <w:r/>
      <w:bookmarkStart w:id="92" w:name="_Toc14577354"/>
      <w:r/>
      <w:bookmarkStart w:id="93" w:name="_Hlt26954838"/>
      <w:r/>
      <w:bookmarkStart w:id="94" w:name="_Hlt26670360"/>
      <w:r/>
      <w:bookmarkStart w:id="95" w:name="_Hlt26668975"/>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862"/>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96" w:name="_Toc14577355"/>
      <w:r/>
      <w:bookmarkStart w:id="97" w:name="_Toc49090508"/>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6"/>
      <w:r/>
      <w:bookmarkEnd w:id="97"/>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8" w:name="_Hlt26670373"/>
      <w:r>
        <w:rPr>
          <w:rFonts w:hint="eastAsia" w:ascii="宋体" w:hAnsi="宋体" w:eastAsia="宋体" w:cs="宋体"/>
          <w:color w:val="000000"/>
          <w:sz w:val="24"/>
          <w:szCs w:val="24"/>
          <w:highlight w:val="none"/>
        </w:rPr>
        <w:t xml:space="preserve">表</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9" w:name="_Hlt26954840"/>
      <w:r>
        <w:rPr>
          <w:rFonts w:hint="eastAsia" w:ascii="宋体" w:hAnsi="宋体" w:eastAsia="宋体" w:cs="宋体"/>
          <w:color w:val="000000"/>
          <w:sz w:val="24"/>
          <w:szCs w:val="24"/>
          <w:highlight w:val="none"/>
        </w:rPr>
        <w:t xml:space="preserve">标人应按照招标文件规定格式填报投标分项报价表</w:t>
      </w:r>
      <w:bookmarkStart w:id="100" w:name="_Hlt26670399"/>
      <w:r>
        <w:rPr>
          <w:rFonts w:hint="eastAsia" w:ascii="宋体" w:hAnsi="宋体" w:eastAsia="宋体" w:cs="宋体"/>
          <w:color w:val="000000"/>
          <w:sz w:val="24"/>
          <w:szCs w:val="24"/>
          <w:highlight w:val="none"/>
        </w:rPr>
        <w:t xml:space="preserve">。</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1" w:name="_Hlt26954844"/>
      <w:r/>
      <w:bookmarkStart w:id="102" w:name="_Hlt26668983"/>
      <w:r/>
      <w:bookmarkStart w:id="103" w:name="_Hlt26670425"/>
      <w:r/>
      <w:bookmarkStart w:id="104" w:name="_Hlt26670486"/>
      <w:r/>
      <w:bookmarkStart w:id="105" w:name="_Hlt26954848"/>
      <w:r/>
      <w:bookmarkStart w:id="106" w:name="_Hlt26954846"/>
      <w:r/>
      <w:bookmarkStart w:id="107" w:name="_Hlt26954731"/>
      <w:r/>
      <w:bookmarkStart w:id="108" w:name="_Hlt26670403"/>
      <w:r/>
      <w:bookmarkStart w:id="109" w:name="_Hlt26670482"/>
      <w:r/>
      <w:bookmarkStart w:id="110" w:name="_Hlt26954842"/>
      <w:r>
        <w:rPr>
          <w:rFonts w:hint="eastAsia" w:ascii="宋体" w:hAnsi="宋体" w:eastAsia="宋体" w:cs="宋体"/>
          <w:color w:val="000000"/>
          <w:sz w:val="24"/>
          <w:szCs w:val="24"/>
          <w:highlight w:val="none"/>
        </w:rPr>
        <w:t xml:space="preserve">13、技术要求响应及偏离表、商务要求响应及偏离表</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62"/>
        <w:ind w:firstLine="480"/>
        <w:jc w:val="both"/>
        <w:pageBreakBefore w:val="0"/>
        <w:spacing w:beforeAutospacing="0" w:afterAutospacing="0" w:line="360" w:lineRule="auto"/>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1" w:name="_Toc14577359"/>
      <w:r/>
      <w:bookmarkStart w:id="112" w:name="_Toc49090510"/>
      <w:r>
        <w:rPr>
          <w:rFonts w:hint="eastAsia" w:ascii="宋体" w:hAnsi="宋体" w:eastAsia="宋体" w:cs="宋体"/>
          <w:color w:val="000000"/>
          <w:sz w:val="24"/>
          <w:szCs w:val="24"/>
          <w:highlight w:val="none"/>
        </w:rPr>
        <w:t xml:space="preserve">14、投标函和开标一览表</w:t>
      </w:r>
      <w:bookmarkEnd w:id="111"/>
      <w:r/>
      <w:bookmarkEnd w:id="112"/>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3" w:name="_Toc49090511"/>
      <w:r/>
      <w:bookmarkStart w:id="114" w:name="_Toc14577360"/>
      <w:r/>
      <w:bookmarkStart w:id="115" w:name="_Hlt26954850"/>
      <w:r/>
      <w:bookmarkStart w:id="116" w:name="_Hlt26954734"/>
      <w:r/>
      <w:bookmarkStart w:id="117" w:name="_Hlt26670489"/>
      <w:r>
        <w:rPr>
          <w:rFonts w:hint="eastAsia" w:ascii="宋体" w:hAnsi="宋体" w:eastAsia="宋体" w:cs="宋体"/>
          <w:color w:val="000000"/>
          <w:sz w:val="24"/>
          <w:szCs w:val="24"/>
          <w:highlight w:val="none"/>
        </w:rPr>
        <w:t xml:space="preserve">15、投标有效期</w:t>
      </w:r>
      <w:bookmarkEnd w:id="113"/>
      <w:r/>
      <w:bookmarkEnd w:id="114"/>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862"/>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18" w:name="_Toc120614217"/>
      <w:r/>
      <w:bookmarkStart w:id="119" w:name="_Toc513029224"/>
      <w:r/>
      <w:bookmarkStart w:id="120" w:name="_Toc20823296"/>
      <w:r/>
      <w:bookmarkStart w:id="121" w:name="_Toc16938540"/>
      <w:r/>
      <w:bookmarkStart w:id="122" w:name="_Hlt26954739"/>
      <w:r/>
      <w:bookmarkStart w:id="123" w:name="_Hlt26954852"/>
      <w:r>
        <w:rPr>
          <w:rFonts w:hint="eastAsia" w:ascii="宋体" w:hAnsi="宋体" w:eastAsia="宋体" w:cs="宋体"/>
          <w:b/>
          <w:color w:val="000000"/>
          <w:sz w:val="24"/>
          <w:szCs w:val="24"/>
          <w:highlight w:val="none"/>
        </w:rPr>
        <w:t xml:space="preserve">四、投标文件的递交</w:t>
      </w:r>
      <w:bookmarkEnd w:id="118"/>
      <w:r/>
      <w:bookmarkEnd w:id="119"/>
      <w:r/>
      <w:bookmarkEnd w:id="120"/>
      <w:r/>
      <w:bookmarkEnd w:id="121"/>
      <w:r/>
      <w:r/>
    </w:p>
    <w:p>
      <w:pPr>
        <w:pStyle w:val="862"/>
        <w:ind w:firstLine="56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4" w:name="_Toc16938541"/>
      <w:r/>
      <w:bookmarkStart w:id="125" w:name="_Toc513029225"/>
      <w:r/>
      <w:bookmarkStart w:id="126" w:name="_Toc20823297"/>
      <w:r/>
      <w:bookmarkStart w:id="127" w:name="_Toc462564084"/>
      <w:r>
        <w:rPr>
          <w:rFonts w:hint="eastAsia" w:ascii="宋体" w:hAnsi="宋体" w:eastAsia="宋体" w:cs="宋体"/>
          <w:color w:val="000000"/>
          <w:sz w:val="24"/>
          <w:szCs w:val="24"/>
          <w:highlight w:val="none"/>
        </w:rPr>
        <w:t xml:space="preserve">17、投标文件</w:t>
      </w:r>
      <w:bookmarkEnd w:id="124"/>
      <w:r/>
      <w:bookmarkEnd w:id="125"/>
      <w:r/>
      <w:bookmarkEnd w:id="126"/>
      <w:r/>
      <w:bookmarkEnd w:id="127"/>
      <w:r>
        <w:rPr>
          <w:rFonts w:hint="eastAsia" w:ascii="宋体" w:hAnsi="宋体" w:eastAsia="宋体" w:cs="宋体"/>
          <w:color w:val="000000"/>
          <w:sz w:val="24"/>
          <w:szCs w:val="24"/>
          <w:highlight w:val="none"/>
        </w:rPr>
        <w:t xml:space="preserve">的递交</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862"/>
        <w:ind w:left="525"/>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862"/>
        <w:ind w:firstLine="420"/>
        <w:jc w:val="both"/>
        <w:keepLines/>
        <w:keepNext/>
        <w:pageBreakBefore w:val="0"/>
        <w:spacing w:before="280" w:beforeAutospacing="0" w:after="29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1" w:name="_Toc20823299"/>
      <w:r/>
      <w:bookmarkStart w:id="132" w:name="_Toc513029227"/>
      <w:r/>
      <w:bookmarkStart w:id="133" w:name="_Toc16938543"/>
      <w:r>
        <w:rPr>
          <w:rFonts w:hint="eastAsia" w:ascii="宋体" w:hAnsi="宋体" w:eastAsia="宋体" w:cs="宋体"/>
          <w:color w:val="000000"/>
          <w:sz w:val="24"/>
          <w:szCs w:val="24"/>
          <w:highlight w:val="none"/>
        </w:rPr>
        <w:t xml:space="preserve">19、投标文件</w:t>
      </w:r>
      <w:bookmarkEnd w:id="131"/>
      <w:r/>
      <w:bookmarkEnd w:id="132"/>
      <w:r/>
      <w:bookmarkEnd w:id="133"/>
      <w:r>
        <w:rPr>
          <w:rFonts w:hint="eastAsia" w:ascii="宋体" w:hAnsi="宋体" w:eastAsia="宋体" w:cs="宋体"/>
          <w:color w:val="000000"/>
          <w:sz w:val="24"/>
          <w:szCs w:val="24"/>
          <w:highlight w:val="none"/>
        </w:rPr>
        <w:t xml:space="preserve">的拒收</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19.1采购中心拒绝接收在其规定的投标截止时间后上传的任何投标文件。</w:t>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4" w:name="_Toc16938544"/>
      <w:r/>
      <w:bookmarkStart w:id="135" w:name="_Toc513029228"/>
      <w:r/>
      <w:bookmarkStart w:id="136" w:name="_Toc20823300"/>
      <w:r>
        <w:rPr>
          <w:rFonts w:hint="eastAsia" w:ascii="宋体" w:hAnsi="宋体" w:eastAsia="宋体" w:cs="宋体"/>
          <w:color w:val="000000"/>
          <w:sz w:val="24"/>
          <w:szCs w:val="24"/>
          <w:highlight w:val="none"/>
        </w:rPr>
        <w:t xml:space="preserve">20、投标文件的撤回和修改</w:t>
      </w:r>
      <w:bookmarkEnd w:id="134"/>
      <w:r/>
      <w:bookmarkEnd w:id="135"/>
      <w:r/>
      <w:bookmarkEnd w:id="136"/>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862"/>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37" w:name="_Toc120614218"/>
      <w:r/>
      <w:bookmarkStart w:id="138" w:name="_Toc16938545"/>
      <w:r/>
      <w:bookmarkStart w:id="139" w:name="_Toc513029229"/>
      <w:r/>
      <w:bookmarkStart w:id="140" w:name="_Toc20823301"/>
      <w:r>
        <w:rPr>
          <w:rFonts w:hint="eastAsia" w:ascii="宋体" w:hAnsi="宋体" w:eastAsia="宋体" w:cs="宋体"/>
          <w:b/>
          <w:color w:val="000000"/>
          <w:sz w:val="24"/>
          <w:szCs w:val="24"/>
          <w:highlight w:val="none"/>
        </w:rPr>
        <w:t xml:space="preserve">五、开标与评标</w:t>
      </w:r>
      <w:bookmarkEnd w:id="137"/>
      <w:r/>
      <w:bookmarkEnd w:id="138"/>
      <w:r/>
      <w:bookmarkEnd w:id="139"/>
      <w:r/>
      <w:bookmarkEnd w:id="140"/>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1" w:name="_Toc16938546"/>
      <w:r/>
      <w:bookmarkStart w:id="142" w:name="_Toc513029230"/>
      <w:r/>
      <w:bookmarkStart w:id="143" w:name="_Toc20823302"/>
      <w:r>
        <w:rPr>
          <w:rFonts w:hint="eastAsia" w:ascii="宋体" w:hAnsi="宋体" w:eastAsia="宋体" w:cs="宋体"/>
          <w:color w:val="auto"/>
          <w:sz w:val="24"/>
          <w:szCs w:val="24"/>
          <w:highlight w:val="none"/>
        </w:rPr>
        <w:t xml:space="preserve">21、开标</w:t>
      </w:r>
      <w:bookmarkEnd w:id="141"/>
      <w:r/>
      <w:bookmarkEnd w:id="142"/>
      <w:r/>
      <w:bookmarkEnd w:id="143"/>
      <w:r/>
      <w:r/>
    </w:p>
    <w:p>
      <w:pPr>
        <w:pStyle w:val="86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pStyle w:val="86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pStyle w:val="86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6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4" w:name="_Toc20823303"/>
      <w:r/>
      <w:bookmarkStart w:id="145" w:name="_Toc16938547"/>
      <w:r/>
      <w:bookmarkStart w:id="146" w:name="_Toc513029231"/>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86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22.1开标后，采购中心将立即组织评标委员会（以下简称评委会）进行评标。</w:t>
      </w:r>
      <w:r/>
    </w:p>
    <w:p>
      <w:pPr>
        <w:pStyle w:val="86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86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23.1凡是与审查、澄清、评价和比较投标的有关资料以及授标建议等，采购人、评委、采购中心均不得向投标人或与评标无关的其他人员透露。</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86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3采购中心和评标委员会不向未中标的投标人解释未中标原因，也不公布评标过程中的相关细节。</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7" w:name="_Toc16938548"/>
      <w:r/>
      <w:bookmarkStart w:id="148" w:name="_Toc20823304"/>
      <w:r/>
      <w:bookmarkStart w:id="149" w:name="_Toc513029232"/>
      <w:r>
        <w:rPr>
          <w:rFonts w:hint="eastAsia" w:ascii="宋体" w:hAnsi="宋体" w:eastAsia="宋体" w:cs="宋体"/>
          <w:color w:val="000000"/>
          <w:sz w:val="24"/>
          <w:szCs w:val="24"/>
          <w:highlight w:val="none"/>
        </w:rPr>
        <w:t xml:space="preserve">24、投标文件的澄清</w:t>
      </w:r>
      <w:bookmarkEnd w:id="147"/>
      <w:r/>
      <w:bookmarkEnd w:id="148"/>
      <w:r/>
      <w:bookmarkEnd w:id="149"/>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6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6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86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0" w:name="_Toc513029233"/>
      <w:r/>
      <w:bookmarkStart w:id="151" w:name="_Toc20823305"/>
      <w:r/>
      <w:bookmarkStart w:id="152" w:name="_Toc16938549"/>
      <w:r>
        <w:rPr>
          <w:rFonts w:hint="eastAsia" w:ascii="宋体" w:hAnsi="宋体" w:eastAsia="宋体" w:cs="宋体"/>
          <w:color w:val="000000"/>
          <w:sz w:val="24"/>
          <w:szCs w:val="24"/>
          <w:highlight w:val="none"/>
        </w:rPr>
        <w:t xml:space="preserve">25、对投标文件的初审</w:t>
      </w:r>
      <w:bookmarkEnd w:id="150"/>
      <w:r/>
      <w:bookmarkEnd w:id="151"/>
      <w:r/>
      <w:bookmarkEnd w:id="152"/>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sz w:val="24"/>
          <w:szCs w:val="24"/>
          <w:highlight w:val="none"/>
        </w:rPr>
        <w:t xml:space="preserve">未通过资格审查和符合性审查的原因。</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6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6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2"/>
        <w:ind w:firstLine="42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3" w:name="_Toc16938550"/>
      <w:r/>
      <w:bookmarkStart w:id="154" w:name="_Toc20823306"/>
      <w:r/>
      <w:bookmarkStart w:id="155"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53"/>
      <w:r/>
      <w:bookmarkEnd w:id="154"/>
      <w:r/>
      <w:bookmarkEnd w:id="155"/>
      <w:r/>
      <w:r/>
    </w:p>
    <w:p>
      <w:pPr>
        <w:pStyle w:val="862"/>
        <w:ind w:firstLine="42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62"/>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6" w:name="_Toc20823307"/>
      <w:r/>
      <w:bookmarkStart w:id="157" w:name="_Toc513029235"/>
      <w:r/>
      <w:bookmarkStart w:id="158" w:name="_Toc16938551"/>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86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6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62"/>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62"/>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862"/>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86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62"/>
        <w:ind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862"/>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62"/>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62"/>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862"/>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862"/>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 xml:space="preserve">。</w:t>
      </w:r>
      <w:r/>
    </w:p>
    <w:p>
      <w:pPr>
        <w:pStyle w:val="862"/>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862"/>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2"/>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2"/>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2"/>
        <w:ind w:left="0" w:right="0" w:firstLine="480"/>
        <w:jc w:val="both"/>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6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62"/>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62"/>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62"/>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62"/>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62"/>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62"/>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62"/>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62"/>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59" w:name="_Toc120614219"/>
      <w:r>
        <w:rPr>
          <w:rFonts w:hint="eastAsia" w:ascii="宋体" w:hAnsi="宋体" w:eastAsia="宋体" w:cs="宋体"/>
          <w:b/>
          <w:color w:val="000000"/>
          <w:sz w:val="24"/>
          <w:szCs w:val="24"/>
          <w:highlight w:val="none"/>
        </w:rPr>
        <w:t xml:space="preserve">六、定标</w:t>
      </w:r>
      <w:bookmarkEnd w:id="159"/>
      <w:r/>
      <w:r/>
    </w:p>
    <w:p>
      <w:pPr>
        <w:pStyle w:val="862"/>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60" w:name="_Toc20823310"/>
      <w:r/>
      <w:bookmarkStart w:id="161" w:name="_Toc513029238"/>
      <w:r/>
      <w:bookmarkStart w:id="162" w:name="_Toc16938554"/>
      <w:r>
        <w:rPr>
          <w:rFonts w:hint="eastAsia" w:ascii="宋体" w:hAnsi="宋体" w:eastAsia="宋体" w:cs="宋体"/>
          <w:color w:val="000000"/>
          <w:sz w:val="24"/>
          <w:szCs w:val="24"/>
          <w:highlight w:val="none"/>
        </w:rPr>
        <w:t xml:space="preserve">27、</w:t>
      </w:r>
      <w:bookmarkEnd w:id="160"/>
      <w:r>
        <w:rPr>
          <w:rFonts w:hint="eastAsia" w:ascii="宋体" w:hAnsi="宋体" w:eastAsia="宋体" w:cs="宋体"/>
          <w:color w:val="000000"/>
          <w:sz w:val="24"/>
          <w:szCs w:val="24"/>
          <w:highlight w:val="none"/>
        </w:rPr>
        <w:t xml:space="preserve">确定</w:t>
      </w:r>
      <w:bookmarkEnd w:id="161"/>
      <w:r/>
      <w:bookmarkEnd w:id="162"/>
      <w:r>
        <w:rPr>
          <w:rFonts w:hint="eastAsia" w:ascii="宋体" w:hAnsi="宋体" w:eastAsia="宋体" w:cs="宋体"/>
          <w:color w:val="000000"/>
          <w:sz w:val="24"/>
          <w:szCs w:val="24"/>
          <w:highlight w:val="none"/>
        </w:rPr>
        <w:t xml:space="preserve">中标单位</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27.3采购中心将在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27.4.2向采购人、采购中心行贿或者提供其他不正当利益的。</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63" w:name="_Toc200451960"/>
      <w:r>
        <w:rPr>
          <w:rFonts w:hint="eastAsia" w:ascii="宋体" w:hAnsi="宋体" w:eastAsia="宋体" w:cs="宋体"/>
          <w:color w:val="000000"/>
          <w:sz w:val="24"/>
          <w:szCs w:val="24"/>
          <w:highlight w:val="none"/>
        </w:rPr>
        <w:t xml:space="preserve">27.5 有下列情形之一的，视为投标人串通投标，投标无效：</w:t>
      </w:r>
      <w:bookmarkEnd w:id="163"/>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862"/>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2"/>
        <w:ind w:firstLine="48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p>
    <w:p>
      <w:pPr>
        <w:ind w:firstLine="480"/>
        <w:jc w:val="left"/>
        <w:pageBreakBefore w:val="0"/>
        <w:spacing w:line="360" w:lineRule="auto"/>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采购中心及采购代理机构只接收以纸质原件形式送达的质疑,采购代理机构和采购中心不接受未填写快递运单的快件。质疑接收部门为</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江苏雨田工程咨询集团有限公司</w:t>
      </w:r>
      <w:r>
        <w:rPr>
          <w:rFonts w:hint="eastAsia" w:ascii="宋体" w:hAnsi="宋体" w:eastAsia="宋体" w:cs="宋体"/>
          <w:color w:val="000000"/>
          <w:sz w:val="24"/>
          <w:szCs w:val="24"/>
          <w:highlight w:val="none"/>
          <w:lang w:val="en-US" w:eastAsia="zh-CN" w:bidi="ar-SA"/>
        </w:rPr>
        <w:t xml:space="preserve">，联系地址：滨海县大学生创业园电谷A226室，联系电话：13655104747。</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862"/>
        <w:ind w:firstLine="468"/>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2"/>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862"/>
        <w:ind w:firstLine="60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29.l中标结果确定后，采购中心将向中标人发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2"/>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86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64" w:name="_Toc20823308"/>
      <w:r/>
      <w:bookmarkStart w:id="165" w:name="_Toc16938552"/>
      <w:r/>
      <w:bookmarkStart w:id="166" w:name="_Toc513029236"/>
      <w:r/>
      <w:bookmarkStart w:id="167" w:name="_Toc120614220"/>
      <w:r>
        <w:rPr>
          <w:rFonts w:hint="eastAsia" w:ascii="宋体" w:hAnsi="宋体" w:eastAsia="宋体" w:cs="宋体"/>
          <w:b/>
          <w:color w:val="000000"/>
          <w:sz w:val="24"/>
          <w:szCs w:val="24"/>
          <w:highlight w:val="none"/>
        </w:rPr>
        <w:t xml:space="preserve">七、授予合同</w:t>
      </w:r>
      <w:bookmarkEnd w:id="164"/>
      <w:r/>
      <w:bookmarkEnd w:id="165"/>
      <w:r/>
      <w:bookmarkEnd w:id="166"/>
      <w:r/>
      <w:bookmarkEnd w:id="167"/>
      <w:r/>
      <w:r/>
    </w:p>
    <w:p>
      <w:pPr>
        <w:pStyle w:val="862"/>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68" w:name="_Toc16938553"/>
      <w:r/>
      <w:bookmarkStart w:id="169" w:name="_Toc513029237"/>
      <w:r/>
      <w:bookmarkStart w:id="170" w:name="_Toc20823309"/>
      <w:r>
        <w:rPr>
          <w:rFonts w:hint="eastAsia" w:ascii="宋体" w:hAnsi="宋体" w:eastAsia="宋体" w:cs="宋体"/>
          <w:color w:val="000000"/>
          <w:sz w:val="24"/>
          <w:szCs w:val="24"/>
          <w:highlight w:val="none"/>
        </w:rPr>
        <w:t xml:space="preserve">30.签订合同</w:t>
      </w:r>
      <w:bookmarkEnd w:id="168"/>
      <w:r/>
      <w:bookmarkEnd w:id="169"/>
      <w:r/>
      <w:bookmarkEnd w:id="170"/>
      <w:r/>
      <w:r/>
    </w:p>
    <w:p>
      <w:pPr>
        <w:pStyle w:val="862"/>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862"/>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862"/>
        <w:ind w:firstLine="60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62"/>
        <w:ind w:firstLine="60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2"/>
        <w:ind w:firstLine="60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862"/>
        <w:ind w:firstLine="60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62"/>
        <w:ind w:firstLine="60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32.8实施本国产品标准及相关政策</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1.本项目对采购本国产品给予政策支持，具体内容见招标文件“第五章 评标方法与评标标准”。</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32.9履约保证金政策</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360" w:lineRule="auto"/>
        <w:widowControl w:val="off"/>
        <w:rPr>
          <w:sz w:val="44"/>
          <w:szCs w:val="44"/>
          <w:highlight w:val="none"/>
        </w:rPr>
      </w:pPr>
      <w:r>
        <w:rPr>
          <w:rFonts w:hint="eastAsia" w:ascii="黑体" w:hAnsi="宋体" w:eastAsia="黑体" w:cs="黑体"/>
          <w:color w:val="000000"/>
          <w:sz w:val="44"/>
          <w:szCs w:val="44"/>
          <w:highlight w:val="none"/>
        </w:rPr>
        <w:t xml:space="preserve">第三章  合同文本</w:t>
      </w:r>
      <w:r/>
    </w:p>
    <w:p>
      <w:pPr>
        <w:pStyle w:val="862"/>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71" w:name="_Toc513029243"/>
      <w:r/>
      <w:bookmarkStart w:id="172" w:name="_Toc20823315"/>
      <w:r/>
      <w:bookmarkStart w:id="173" w:name="_Toc16938559"/>
      <w:r/>
      <w:r/>
    </w:p>
    <w:p>
      <w:pPr>
        <w:pStyle w:val="862"/>
        <w:ind w:firstLine="480"/>
        <w:jc w:val="both"/>
        <w:keepLines w:val="0"/>
        <w:keepNext w:val="0"/>
        <w:pageBreakBefore w:val="0"/>
        <w:spacing w:beforeAutospacing="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71"/>
      <w:r/>
      <w:bookmarkEnd w:id="172"/>
      <w:r/>
      <w:bookmarkEnd w:id="173"/>
      <w:r/>
      <w:r/>
    </w:p>
    <w:p>
      <w:pPr>
        <w:pStyle w:val="862"/>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86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859"/>
        <w:spacing w:before="120" w:after="120" w:line="440" w:lineRule="exact"/>
        <w:rPr>
          <w:rFonts w:hint="default" w:hAnsi="宋体" w:eastAsia="宋体" w:cs="宋体"/>
          <w:sz w:val="24"/>
          <w:szCs w:val="24"/>
          <w:lang w:val="en-US" w:eastAsia="zh-CN"/>
        </w:rPr>
      </w:pPr>
      <w:r>
        <w:rPr>
          <w:rFonts w:hint="eastAsia" w:hAnsi="宋体" w:cs="宋体"/>
          <w:sz w:val="24"/>
          <w:szCs w:val="24"/>
        </w:rPr>
        <w:t xml:space="preserve">甲方：（买方）</w:t>
      </w:r>
      <w:r>
        <w:rPr>
          <w:rFonts w:hint="eastAsia" w:hAnsi="宋体" w:cs="宋体"/>
          <w:sz w:val="24"/>
          <w:szCs w:val="24"/>
          <w:u w:val="single"/>
          <w:lang w:val="en-US" w:eastAsia="zh-CN"/>
        </w:rPr>
        <w:t xml:space="preserve">滨海县民政局</w:t>
      </w:r>
      <w:r/>
    </w:p>
    <w:p>
      <w:pPr>
        <w:pStyle w:val="859"/>
        <w:spacing w:before="120" w:after="120" w:line="440" w:lineRule="exact"/>
        <w:rPr>
          <w:rFonts w:hint="default" w:hAnsi="宋体" w:eastAsia="宋体" w:cs="宋体"/>
          <w:sz w:val="24"/>
          <w:szCs w:val="24"/>
          <w:lang w:val="en-US" w:eastAsia="zh-CN"/>
        </w:rPr>
      </w:pPr>
      <w:r>
        <w:rPr>
          <w:rFonts w:hint="eastAsia" w:hAnsi="宋体" w:cs="宋体"/>
          <w:sz w:val="24"/>
          <w:szCs w:val="24"/>
        </w:rPr>
        <w:t xml:space="preserve">乙方：（</w:t>
      </w:r>
      <w:bookmarkStart w:id="174" w:name="_Hlk150440961"/>
      <w:r>
        <w:rPr>
          <w:rFonts w:hint="eastAsia" w:hAnsi="宋体" w:cs="宋体"/>
          <w:sz w:val="24"/>
          <w:szCs w:val="24"/>
        </w:rPr>
        <w:t xml:space="preserve">卖方</w:t>
      </w:r>
      <w:bookmarkEnd w:id="174"/>
      <w:r>
        <w:rPr>
          <w:rFonts w:hint="eastAsia" w:hAnsi="宋体" w:cs="宋体"/>
          <w:sz w:val="24"/>
          <w:szCs w:val="24"/>
        </w:rPr>
        <w:t xml:space="preserve">）_________</w:t>
      </w:r>
      <w:r>
        <w:rPr>
          <w:rFonts w:hint="eastAsia" w:hAnsi="宋体" w:cs="宋体"/>
          <w:sz w:val="24"/>
          <w:szCs w:val="24"/>
          <w:lang w:val="en-US" w:eastAsia="zh-CN"/>
        </w:rPr>
        <w:t xml:space="preserve">  </w:t>
      </w:r>
      <w:r/>
    </w:p>
    <w:p>
      <w:pPr>
        <w:pStyle w:val="859"/>
        <w:spacing w:before="120" w:after="120" w:line="440" w:lineRule="exact"/>
        <w:rPr>
          <w:rFonts w:hAnsi="宋体" w:cs="宋体"/>
          <w:b/>
          <w:sz w:val="24"/>
          <w:szCs w:val="24"/>
        </w:rPr>
      </w:pPr>
      <w:r>
        <w:rPr>
          <w:rFonts w:hint="eastAsia" w:hAnsi="宋体" w:cs="宋体"/>
          <w:b/>
          <w:sz w:val="24"/>
          <w:szCs w:val="24"/>
        </w:rPr>
        <w:t xml:space="preserve">   </w:t>
      </w:r>
      <w:r>
        <w:rPr>
          <w:rFonts w:hint="eastAsia" w:hAnsi="宋体" w:cs="宋体"/>
          <w:sz w:val="24"/>
          <w:szCs w:val="24"/>
        </w:rPr>
        <w:t xml:space="preserve">甲、乙双方根据</w:t>
      </w:r>
      <w:r>
        <w:rPr>
          <w:rFonts w:hint="eastAsia" w:hAnsi="宋体" w:cs="宋体"/>
          <w:sz w:val="24"/>
          <w:szCs w:val="24"/>
          <w:u w:val="single"/>
        </w:rPr>
        <w:t xml:space="preserve">滨海县智慧养老服务平台建设和运营维护采购项目</w:t>
      </w:r>
      <w:r>
        <w:rPr>
          <w:rFonts w:hint="eastAsia" w:hAnsi="宋体" w:cs="宋体"/>
          <w:sz w:val="24"/>
          <w:szCs w:val="24"/>
        </w:rPr>
        <w:t xml:space="preserve">公开招标的结果，签署本合同。</w:t>
      </w:r>
      <w:r/>
    </w:p>
    <w:p>
      <w:pPr>
        <w:pStyle w:val="859"/>
        <w:ind w:firstLine="482"/>
        <w:spacing w:before="120" w:after="120" w:line="440" w:lineRule="exact"/>
        <w:rPr>
          <w:rFonts w:hint="eastAsia" w:hAnsi="宋体" w:cs="宋体"/>
          <w:b/>
          <w:bCs/>
          <w:sz w:val="24"/>
          <w:szCs w:val="24"/>
        </w:rPr>
      </w:pPr>
      <w:r>
        <w:rPr>
          <w:rFonts w:hint="eastAsia" w:hAnsi="宋体" w:cs="宋体"/>
          <w:b/>
          <w:bCs/>
          <w:sz w:val="24"/>
          <w:szCs w:val="24"/>
        </w:rPr>
        <w:t xml:space="preserve">一、项目概况</w:t>
      </w:r>
      <w:r/>
    </w:p>
    <w:p>
      <w:pPr>
        <w:pStyle w:val="859"/>
        <w:ind w:firstLine="480"/>
        <w:spacing w:before="120" w:after="120" w:line="440" w:lineRule="exact"/>
        <w:rPr>
          <w:rFonts w:hint="eastAsia" w:hAnsi="宋体" w:cs="宋体"/>
          <w:sz w:val="24"/>
          <w:szCs w:val="24"/>
        </w:rPr>
      </w:pPr>
      <w:r>
        <w:rPr>
          <w:rFonts w:hint="eastAsia" w:hAnsi="宋体" w:cs="宋体"/>
          <w:sz w:val="24"/>
          <w:szCs w:val="24"/>
        </w:rPr>
        <w:t xml:space="preserve">1.1项目名称：滨海县智慧养老服务平台建设和运营维护采购项目 </w:t>
      </w:r>
      <w:r/>
    </w:p>
    <w:p>
      <w:pPr>
        <w:pStyle w:val="859"/>
        <w:ind w:firstLine="480"/>
        <w:spacing w:before="120" w:after="120" w:line="440" w:lineRule="exact"/>
        <w:rPr>
          <w:rFonts w:hint="eastAsia" w:hAnsi="宋体" w:cs="宋体"/>
          <w:sz w:val="24"/>
          <w:szCs w:val="24"/>
        </w:rPr>
      </w:pPr>
      <w:r>
        <w:rPr>
          <w:rFonts w:hint="eastAsia" w:hAnsi="宋体" w:cs="宋体"/>
          <w:sz w:val="24"/>
          <w:szCs w:val="24"/>
        </w:rPr>
        <w:t xml:space="preserve">1.2项目内容：滨海县智慧养老服务平台建设和运营（两年）以及对应两年养老服务质量第三方评估。构建滨海县智能化居家社区养老服务平台，将老人、服务人员、服务组织、运营组织紧密联系起来，建成以居家社区养老服务为重点的信息支持系统，建立服务对象、服务组织、评估组织之间的多方联动机制，实现县、镇（区、街道）、社区（村居）数据共享互通，依托平台，加强对居家上门服务过程监管，对居家社区养老服务设施日常运营、安全管理和服务质量等方面的监督管理。</w:t>
      </w:r>
      <w:r/>
    </w:p>
    <w:p>
      <w:pPr>
        <w:pStyle w:val="859"/>
        <w:ind w:firstLine="480"/>
        <w:spacing w:before="120" w:after="120" w:line="440" w:lineRule="exact"/>
        <w:rPr>
          <w:rFonts w:hint="eastAsia" w:hAnsi="宋体" w:eastAsia="宋体" w:cs="宋体"/>
          <w:sz w:val="24"/>
          <w:szCs w:val="24"/>
          <w:lang w:val="en-US" w:eastAsia="zh-CN"/>
        </w:rPr>
      </w:pPr>
      <w:r>
        <w:rPr>
          <w:rFonts w:hint="eastAsia" w:hAnsi="宋体" w:cs="宋体"/>
          <w:sz w:val="24"/>
          <w:szCs w:val="24"/>
        </w:rPr>
        <w:t xml:space="preserve">1.3合同履行期限：</w:t>
      </w:r>
      <w:r>
        <w:rPr>
          <w:rFonts w:hint="eastAsia" w:hAnsi="宋体" w:cs="宋体"/>
          <w:sz w:val="24"/>
          <w:szCs w:val="24"/>
          <w:lang w:val="en-US" w:eastAsia="zh-CN"/>
        </w:rPr>
        <w:t xml:space="preserve">2年</w:t>
      </w:r>
      <w:r/>
    </w:p>
    <w:p>
      <w:pPr>
        <w:pStyle w:val="862"/>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2.1本合同金额为（大写）：______________</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（_______________元）人民币或其他币种。</w:t>
      </w:r>
      <w:r/>
    </w:p>
    <w:p>
      <w:pPr>
        <w:pStyle w:val="862"/>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本项目合同价款采用固定总价形式，合同价款已包含滨海县智慧养老服务平台建设、运营维护及合同履行全过程所需的一切费用，包括但不限于：人工费、交通费、办公费、水电费、房租费、物业费、维修费、网络通讯费、投标费用、管理费、税金、利润、各类风险费、不可预见费及其他一切相关费用；同时包含合同履行过程中可能发生的一切意外风险、责任赔偿及相关费用。除招标文件另有明确规定外，采购人无需另行支付任何费用。</w:t>
      </w:r>
      <w:r/>
    </w:p>
    <w:p>
      <w:pPr>
        <w:pStyle w:val="862"/>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2"/>
        <w:ind w:left="426" w:firstLine="1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862"/>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862"/>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862"/>
        <w:numPr>
          <w:ilvl w:val="0"/>
          <w:numId w:val="2"/>
        </w:numPr>
        <w:ind w:left="426" w:firstLine="12"/>
        <w:jc w:val="both"/>
        <w:keepLines w:val="0"/>
        <w:keepNext w:val="0"/>
        <w:pageBreakBefore w:val="0"/>
        <w:spacing w:before="120" w:beforeAutospacing="0" w:after="120" w:afterAutospacing="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履约保证金</w:t>
      </w:r>
      <w:r/>
    </w:p>
    <w:p>
      <w:pPr>
        <w:pStyle w:val="862"/>
        <w:numPr>
          <w:ilvl w:val="0"/>
          <w:numId w:val="0"/>
        </w:numPr>
        <w:jc w:val="both"/>
        <w:keepLines w:val="0"/>
        <w:keepNext w:val="0"/>
        <w:pageBreakBefore w:val="0"/>
        <w:spacing w:before="120" w:beforeAutospacing="0" w:after="120" w:afterAutospacing="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w:t>
      </w:r>
      <w:r>
        <w:rPr>
          <w:rFonts w:hint="eastAsia" w:ascii="宋体" w:hAnsi="宋体" w:eastAsia="宋体" w:cs="宋体"/>
          <w:color w:val="000000"/>
          <w:sz w:val="24"/>
          <w:szCs w:val="24"/>
          <w:highlight w:val="none"/>
          <w:lang w:val="en-US" w:eastAsia="zh-CN"/>
        </w:rPr>
        <w:t xml:space="preserve">合同价款的10%</w:t>
      </w:r>
      <w:r>
        <w:rPr>
          <w:rFonts w:hint="eastAsia" w:ascii="宋体" w:hAnsi="宋体" w:eastAsia="宋体" w:cs="宋体"/>
          <w:color w:val="000000"/>
          <w:sz w:val="24"/>
          <w:szCs w:val="24"/>
          <w:highlight w:val="none"/>
        </w:rPr>
        <w:t xml:space="preserve">作为本合同的履约保证金。</w:t>
      </w:r>
      <w:r/>
    </w:p>
    <w:p>
      <w:pPr>
        <w:pStyle w:val="862"/>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（备注：不得超过合同金额的10%，采购人应当对AA评级及以上政府采购供应商（需提供信用管理部门备案的第三方信用报告）免收履约保证金或降低履约保证金缴纳比例。）</w:t>
      </w:r>
      <w:r/>
    </w:p>
    <w:p>
      <w:pPr>
        <w:pStyle w:val="862"/>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62"/>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62"/>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62"/>
        <w:ind w:left="428" w:firstLine="14"/>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62"/>
        <w:ind w:firstLine="482"/>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862"/>
        <w:ind w:firstLine="480"/>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862"/>
        <w:ind w:firstLine="480"/>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862"/>
        <w:ind w:firstLine="480"/>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862"/>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u w:val="none"/>
        </w:rPr>
      </w:pPr>
      <w:r>
        <w:rPr>
          <w:rFonts w:hint="eastAsia" w:ascii="宋体" w:hAnsi="宋体" w:eastAsia="宋体" w:cs="宋体"/>
          <w:color w:val="000000"/>
          <w:sz w:val="24"/>
          <w:szCs w:val="24"/>
          <w:highlight w:val="none"/>
          <w:u w:val="none"/>
        </w:rPr>
        <w:t xml:space="preserve">8.1.1 预付款支付时间：</w:t>
      </w:r>
      <w:r>
        <w:rPr>
          <w:rFonts w:hint="eastAsia" w:ascii="宋体" w:hAnsi="宋体" w:eastAsia="宋体" w:cs="宋体"/>
          <w:color w:val="000000"/>
          <w:sz w:val="24"/>
          <w:szCs w:val="24"/>
          <w:highlight w:val="none"/>
          <w:lang w:val="en-US" w:eastAsia="zh-CN" w:bidi="ar-SA"/>
        </w:rPr>
        <w:t xml:space="preserve">合同签订后支付合同总额的30%作为预付款（中标人须提供合同总价30%的银行保函）。</w:t>
      </w:r>
      <w:r/>
    </w:p>
    <w:p>
      <w:pPr>
        <w:pStyle w:val="851"/>
        <w:ind w:firstLine="480"/>
        <w:jc w:val="both"/>
        <w:keepNext w:val="0"/>
        <w:spacing w:line="42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rPr>
        <w:t xml:space="preserve">8.1.2 尾款支付时间：</w:t>
      </w:r>
      <w:r>
        <w:rPr>
          <w:rFonts w:hint="eastAsia" w:ascii="宋体" w:hAnsi="宋体" w:eastAsia="宋体" w:cs="宋体"/>
          <w:color w:val="000000"/>
          <w:sz w:val="24"/>
          <w:szCs w:val="24"/>
          <w:highlight w:val="none"/>
          <w:lang w:val="en-US" w:eastAsia="zh-CN" w:bidi="ar-SA"/>
        </w:rPr>
        <w:t xml:space="preserve">居家社区智慧养老服务平台建设完成经招标人验收合格，经民政部门审核后，居家社区智慧养老服务平台的运营费用，按季度结算。</w:t>
      </w:r>
      <w:r/>
    </w:p>
    <w:p>
      <w:pPr>
        <w:pStyle w:val="862"/>
        <w:ind w:firstLine="482"/>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862"/>
        <w:ind w:firstLine="480"/>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862"/>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十、项目验收</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10.1甲方依法组织履约验收工作。</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2"/>
        <w:ind w:left="482" w:hanging="64"/>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10.3对于实际使用人和甲方分离的项目，甲方邀请实际使用人参与验收。</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olor w:val="auto"/>
          <w:sz w:val="24"/>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民法典》。乙方在履约过程中有政府采购法律法规规定的违法违规情形的,甲方将及时报告本级财政部门。</w:t>
      </w:r>
      <w:r/>
    </w:p>
    <w:p>
      <w:pPr>
        <w:pStyle w:val="859"/>
        <w:ind w:left="426" w:firstLine="12"/>
        <w:spacing w:before="120" w:after="120" w:line="440" w:lineRule="exact"/>
        <w:rPr>
          <w:rFonts w:hint="eastAsia" w:ascii="宋体" w:hAnsi="宋体" w:eastAsia="宋体" w:cs="宋体"/>
          <w:b/>
          <w:sz w:val="24"/>
          <w:szCs w:val="24"/>
        </w:rPr>
      </w:pP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sz w:val="24"/>
          <w:szCs w:val="24"/>
        </w:rPr>
        <w:t xml:space="preserve">双方的权利和义务</w:t>
      </w:r>
      <w:r/>
    </w:p>
    <w:p>
      <w:pPr>
        <w:pStyle w:val="859"/>
        <w:ind w:firstLine="480"/>
        <w:spacing w:before="120" w:after="120" w:line="440" w:lineRule="exact"/>
        <w:rPr>
          <w:rFonts w:hint="eastAsia" w:ascii="宋体" w:hAnsi="宋体" w:cs="宋体"/>
          <w:b w:val="0"/>
          <w:bCs/>
          <w:sz w:val="24"/>
          <w:szCs w:val="24"/>
        </w:rPr>
      </w:pPr>
      <w:r>
        <w:rPr>
          <w:rFonts w:hint="eastAsia" w:hAnsi="宋体" w:cs="宋体"/>
          <w:b w:val="0"/>
          <w:bCs/>
          <w:sz w:val="24"/>
          <w:szCs w:val="24"/>
          <w:lang w:val="en-US" w:eastAsia="zh-CN"/>
        </w:rPr>
        <w:t xml:space="preserve">11.1</w:t>
      </w:r>
      <w:r>
        <w:rPr>
          <w:rFonts w:hint="eastAsia" w:ascii="宋体" w:hAnsi="宋体" w:cs="宋体"/>
          <w:b w:val="0"/>
          <w:bCs/>
          <w:sz w:val="24"/>
          <w:szCs w:val="24"/>
        </w:rPr>
        <w:t xml:space="preserve">甲方的权利和义务</w:t>
      </w:r>
      <w:r/>
    </w:p>
    <w:p>
      <w:pPr>
        <w:pStyle w:val="859"/>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（1）指导和监督乙方规范开展</w:t>
      </w:r>
      <w:r>
        <w:rPr>
          <w:rFonts w:hint="eastAsia" w:hAnsi="宋体" w:cs="宋体"/>
          <w:b w:val="0"/>
          <w:bCs/>
          <w:sz w:val="24"/>
          <w:szCs w:val="24"/>
          <w:lang w:val="en-US" w:eastAsia="zh-CN"/>
        </w:rPr>
        <w:t xml:space="preserve">智慧养老服务平台建设</w:t>
      </w:r>
      <w:r>
        <w:rPr>
          <w:rFonts w:hint="eastAsia" w:ascii="宋体" w:hAnsi="宋体" w:cs="宋体"/>
          <w:b w:val="0"/>
          <w:bCs/>
          <w:sz w:val="24"/>
          <w:szCs w:val="24"/>
        </w:rPr>
        <w:t xml:space="preserve">工作，有效履行本协议的各项条款。</w:t>
      </w:r>
      <w:r/>
    </w:p>
    <w:p>
      <w:pPr>
        <w:pStyle w:val="859"/>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（2）组织相关人员或第三方机构对乙方工作进行督查考评。</w:t>
      </w:r>
      <w:r/>
    </w:p>
    <w:p>
      <w:pPr>
        <w:pStyle w:val="859"/>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（3）将滨海县智慧养老服务平台建设好，达到运营条件，交乙方运营。</w:t>
      </w:r>
      <w:r/>
    </w:p>
    <w:p>
      <w:pPr>
        <w:pStyle w:val="859"/>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（4）协调县、街道（区、镇）、社区等单位支持、配合乙方做好智慧养老服务平台</w:t>
      </w:r>
      <w:r>
        <w:rPr>
          <w:rFonts w:hint="eastAsia" w:ascii="宋体" w:hAnsi="宋体" w:cs="宋体"/>
          <w:b w:val="0"/>
          <w:bCs/>
          <w:sz w:val="24"/>
          <w:szCs w:val="24"/>
          <w:lang w:val="en-US" w:eastAsia="zh-CN"/>
        </w:rPr>
        <w:t xml:space="preserve">建设</w:t>
      </w:r>
      <w:r>
        <w:rPr>
          <w:rFonts w:hint="eastAsia" w:ascii="宋体" w:hAnsi="宋体" w:cs="宋体"/>
          <w:b w:val="0"/>
          <w:bCs/>
          <w:sz w:val="24"/>
          <w:szCs w:val="24"/>
        </w:rPr>
        <w:t xml:space="preserve">工作，确保乙方经营不受干扰。</w:t>
      </w:r>
      <w:r/>
    </w:p>
    <w:p>
      <w:pPr>
        <w:pStyle w:val="859"/>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（5）提供智慧养老服务平台系统，督促软件服务商根据乙方合理建议更新完善。</w:t>
      </w:r>
      <w:r/>
    </w:p>
    <w:p>
      <w:pPr>
        <w:pStyle w:val="859"/>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（6）协助乙方办理相关证照的审批手续。</w:t>
      </w:r>
      <w:r/>
    </w:p>
    <w:p>
      <w:pPr>
        <w:pStyle w:val="859"/>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（7）按招标文件规定结算乙方服务费用。</w:t>
      </w:r>
      <w:r/>
    </w:p>
    <w:p>
      <w:pPr>
        <w:pStyle w:val="859"/>
        <w:ind w:firstLine="482"/>
        <w:spacing w:before="120" w:after="120" w:line="440" w:lineRule="exact"/>
        <w:rPr>
          <w:rFonts w:hint="eastAsia" w:ascii="宋体" w:hAnsi="宋体" w:cs="宋体"/>
          <w:b/>
          <w:bCs w:val="0"/>
          <w:sz w:val="24"/>
          <w:szCs w:val="24"/>
        </w:rPr>
      </w:pPr>
      <w:r>
        <w:rPr>
          <w:rFonts w:hint="eastAsia" w:hAnsi="宋体" w:cs="宋体"/>
          <w:b/>
          <w:bCs w:val="0"/>
          <w:sz w:val="24"/>
          <w:szCs w:val="24"/>
          <w:lang w:val="en-US" w:eastAsia="zh-CN"/>
        </w:rPr>
        <w:t xml:space="preserve">11</w:t>
      </w:r>
      <w:r>
        <w:rPr>
          <w:rFonts w:hint="eastAsia" w:ascii="宋体" w:hAnsi="宋体" w:cs="宋体"/>
          <w:b/>
          <w:bCs w:val="0"/>
          <w:sz w:val="24"/>
          <w:szCs w:val="24"/>
        </w:rPr>
        <w:t xml:space="preserve">.2乙方的权利和义务</w:t>
      </w:r>
      <w:r/>
    </w:p>
    <w:p>
      <w:pPr>
        <w:pStyle w:val="859"/>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（1）乙方收到甲方需要增加到平台上的老人名单，以及需要核销修改的名单后，6个小时内服务到位。如未在规定时间内处理到位，有1次扣减费用500元。</w:t>
      </w:r>
      <w:r/>
    </w:p>
    <w:p>
      <w:pPr>
        <w:pStyle w:val="859"/>
        <w:ind w:firstLine="480"/>
        <w:spacing w:before="120" w:after="120" w:line="440" w:lineRule="exact"/>
        <w:rPr>
          <w:rFonts w:hint="eastAsia" w:hAnsi="宋体" w:cs="宋体"/>
          <w:b w:val="0"/>
          <w:bCs/>
          <w:sz w:val="24"/>
          <w:szCs w:val="24"/>
          <w:lang w:val="en-US" w:eastAsia="zh-CN"/>
        </w:rPr>
      </w:pPr>
      <w:r>
        <w:rPr>
          <w:rFonts w:hint="eastAsia" w:ascii="宋体" w:hAnsi="宋体" w:cs="宋体"/>
          <w:b w:val="0"/>
          <w:bCs/>
          <w:sz w:val="24"/>
          <w:szCs w:val="24"/>
        </w:rPr>
        <w:t xml:space="preserve">（2）</w:t>
      </w:r>
      <w:r>
        <w:rPr>
          <w:rFonts w:hint="eastAsia" w:hAnsi="宋体" w:cs="宋体"/>
          <w:b w:val="0"/>
          <w:bCs/>
          <w:sz w:val="24"/>
          <w:szCs w:val="24"/>
          <w:lang w:val="en-US" w:eastAsia="zh-CN"/>
        </w:rPr>
        <w:t xml:space="preserve">乙方接到线下服务商或招标人关于平台故障报告后，10分钟内解决到位的，单月不应多于2次。30分钟内解决到位的，单月不应多于1次。单月内故障次数超出上述范围，每超出1次，扣减费用1000元。如单月内故障超出8次，或单次故障超出2小时未解决到位的，扣除费用10000元。如连续2个月出现上述情况，招标人有权解除合同。</w:t>
      </w:r>
      <w:r/>
    </w:p>
    <w:p>
      <w:pPr>
        <w:pStyle w:val="859"/>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w:t>
      </w:r>
      <w:r>
        <w:rPr>
          <w:rFonts w:hint="eastAsia" w:hAnsi="宋体" w:cs="宋体"/>
          <w:b w:val="0"/>
          <w:bCs/>
          <w:sz w:val="24"/>
          <w:szCs w:val="24"/>
          <w:lang w:val="en-US" w:eastAsia="zh-CN"/>
        </w:rPr>
        <w:t xml:space="preserve">3</w:t>
      </w:r>
      <w:r>
        <w:rPr>
          <w:rFonts w:hint="eastAsia" w:ascii="宋体" w:hAnsi="宋体" w:cs="宋体"/>
          <w:b w:val="0"/>
          <w:bCs/>
          <w:sz w:val="24"/>
          <w:szCs w:val="24"/>
        </w:rPr>
        <w:t xml:space="preserve">）运营中所产生的水、电、燃气、物业费等与运营相关的费用由乙方承担，经甲方同意投入的与房屋相关的大宗维修、设备投入等由甲方负责。</w:t>
      </w:r>
      <w:r/>
    </w:p>
    <w:p>
      <w:pPr>
        <w:pStyle w:val="859"/>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w:t>
      </w:r>
      <w:r>
        <w:rPr>
          <w:rFonts w:hint="eastAsia" w:hAnsi="宋体" w:cs="宋体"/>
          <w:b w:val="0"/>
          <w:bCs/>
          <w:sz w:val="24"/>
          <w:szCs w:val="24"/>
          <w:lang w:val="en-US" w:eastAsia="zh-CN"/>
        </w:rPr>
        <w:t xml:space="preserve">4</w:t>
      </w:r>
      <w:r>
        <w:rPr>
          <w:rFonts w:hint="eastAsia" w:ascii="宋体" w:hAnsi="宋体" w:cs="宋体"/>
          <w:b w:val="0"/>
          <w:bCs/>
          <w:sz w:val="24"/>
          <w:szCs w:val="24"/>
        </w:rPr>
        <w:t xml:space="preserve">）乙方运营中须妥善保管甲方的设备，如有丢失或人为损坏，照价赔偿或修复。</w:t>
      </w:r>
      <w:r/>
    </w:p>
    <w:p>
      <w:pPr>
        <w:pStyle w:val="859"/>
        <w:ind w:firstLine="480"/>
        <w:spacing w:before="120" w:after="120" w:line="440" w:lineRule="exact"/>
        <w:rPr>
          <w:rFonts w:hint="eastAsia" w:ascii="宋体" w:hAnsi="宋体" w:cs="宋体"/>
          <w:b w:val="0"/>
          <w:bCs/>
          <w:sz w:val="24"/>
          <w:szCs w:val="24"/>
        </w:rPr>
      </w:pPr>
      <w:r>
        <w:rPr>
          <w:rFonts w:hint="eastAsia" w:ascii="宋体" w:hAnsi="宋体" w:cs="宋体"/>
          <w:b w:val="0"/>
          <w:bCs/>
          <w:sz w:val="24"/>
          <w:szCs w:val="24"/>
        </w:rPr>
        <w:t xml:space="preserve">（</w:t>
      </w:r>
      <w:r>
        <w:rPr>
          <w:rFonts w:hint="eastAsia" w:hAnsi="宋体" w:cs="宋体"/>
          <w:b w:val="0"/>
          <w:bCs/>
          <w:sz w:val="24"/>
          <w:szCs w:val="24"/>
          <w:lang w:val="en-US" w:eastAsia="zh-CN"/>
        </w:rPr>
        <w:t xml:space="preserve">5</w:t>
      </w:r>
      <w:r>
        <w:rPr>
          <w:rFonts w:hint="eastAsia" w:ascii="宋体" w:hAnsi="宋体" w:cs="宋体"/>
          <w:b w:val="0"/>
          <w:bCs/>
          <w:sz w:val="24"/>
          <w:szCs w:val="24"/>
        </w:rPr>
        <w:t xml:space="preserve">）乙方承担运营服务项目开展中的各种风险、赔偿和安全责任。乙方在本项目实施及服务过程中，发生的一切安全责任（包含但不限于工作人员工作和上下班期间、设备安装、服务对象安全等），均由乙方自行承担并负责处理，甲方不承担任何责任。  </w:t>
      </w:r>
      <w:r/>
    </w:p>
    <w:p>
      <w:pPr>
        <w:pStyle w:val="859"/>
        <w:ind w:firstLine="480"/>
        <w:spacing w:before="120" w:after="120" w:line="440" w:lineRule="exact"/>
        <w:rPr>
          <w:rFonts w:hint="eastAsia" w:hAnsi="宋体" w:cs="宋体"/>
          <w:b w:val="0"/>
          <w:bCs/>
          <w:sz w:val="24"/>
          <w:szCs w:val="24"/>
          <w:lang w:eastAsia="zh-CN"/>
        </w:rPr>
      </w:pPr>
      <w:r>
        <w:rPr>
          <w:rFonts w:hint="eastAsia" w:hAnsi="宋体" w:cs="宋体"/>
          <w:b w:val="0"/>
          <w:bCs/>
          <w:sz w:val="24"/>
          <w:szCs w:val="24"/>
          <w:lang w:eastAsia="zh-CN"/>
        </w:rPr>
        <w:t xml:space="preserve">（</w:t>
      </w:r>
      <w:r>
        <w:rPr>
          <w:rFonts w:hint="eastAsia" w:hAnsi="宋体" w:cs="宋体"/>
          <w:b w:val="0"/>
          <w:bCs/>
          <w:sz w:val="24"/>
          <w:szCs w:val="24"/>
          <w:lang w:val="en-US" w:eastAsia="zh-CN"/>
        </w:rPr>
        <w:t xml:space="preserve">6</w:t>
      </w:r>
      <w:r>
        <w:rPr>
          <w:rFonts w:hint="eastAsia" w:hAnsi="宋体" w:cs="宋体"/>
          <w:b w:val="0"/>
          <w:bCs/>
          <w:sz w:val="24"/>
          <w:szCs w:val="24"/>
          <w:lang w:eastAsia="zh-CN"/>
        </w:rPr>
        <w:t xml:space="preserve">）乙方提供全年 365 天，每天 24 小时服务响应。乙方落实专业技术人员负责与甲方、线下服务商对接工作。</w:t>
      </w:r>
      <w:r/>
    </w:p>
    <w:p>
      <w:pPr>
        <w:pStyle w:val="859"/>
        <w:ind w:firstLine="480"/>
        <w:spacing w:before="120" w:after="120" w:line="440" w:lineRule="exact"/>
        <w:rPr>
          <w:rFonts w:hint="eastAsia" w:hAnsi="宋体" w:cs="宋体"/>
          <w:b w:val="0"/>
          <w:bCs/>
          <w:sz w:val="24"/>
          <w:szCs w:val="24"/>
          <w:lang w:eastAsia="zh-CN"/>
        </w:rPr>
      </w:pPr>
      <w:r>
        <w:rPr>
          <w:rFonts w:hint="eastAsia" w:hAnsi="宋体" w:cs="宋体"/>
          <w:b w:val="0"/>
          <w:bCs/>
          <w:sz w:val="24"/>
          <w:szCs w:val="24"/>
          <w:lang w:eastAsia="zh-CN"/>
        </w:rPr>
        <w:t xml:space="preserve">（</w:t>
      </w:r>
      <w:r>
        <w:rPr>
          <w:rFonts w:hint="eastAsia" w:hAnsi="宋体" w:cs="宋体"/>
          <w:b w:val="0"/>
          <w:bCs/>
          <w:sz w:val="24"/>
          <w:szCs w:val="24"/>
          <w:lang w:val="en-US" w:eastAsia="zh-CN"/>
        </w:rPr>
        <w:t xml:space="preserve">7</w:t>
      </w:r>
      <w:r>
        <w:rPr>
          <w:rFonts w:hint="eastAsia" w:hAnsi="宋体" w:cs="宋体"/>
          <w:b w:val="0"/>
          <w:bCs/>
          <w:sz w:val="24"/>
          <w:szCs w:val="24"/>
          <w:lang w:eastAsia="zh-CN"/>
        </w:rPr>
        <w:t xml:space="preserve">）如居家上门服务评估未按时完成，未于每季度首月10号前形成上季度综合评估报告，每晚一天，扣减当季度总费用的万分之四（因不可抗力原因造成的除外）。</w:t>
      </w:r>
      <w:r/>
    </w:p>
    <w:p>
      <w:pPr>
        <w:pStyle w:val="859"/>
        <w:ind w:firstLine="480"/>
        <w:spacing w:before="120" w:after="120" w:line="440" w:lineRule="exact"/>
        <w:rPr>
          <w:rFonts w:hint="eastAsia" w:hAnsi="宋体" w:cs="宋体"/>
          <w:b w:val="0"/>
          <w:bCs/>
          <w:sz w:val="24"/>
          <w:szCs w:val="24"/>
          <w:lang w:eastAsia="zh-CN"/>
        </w:rPr>
      </w:pPr>
      <w:r>
        <w:rPr>
          <w:rFonts w:hint="eastAsia" w:hAnsi="宋体" w:cs="宋体"/>
          <w:b w:val="0"/>
          <w:bCs/>
          <w:sz w:val="24"/>
          <w:szCs w:val="24"/>
          <w:lang w:eastAsia="zh-CN"/>
        </w:rPr>
        <w:t xml:space="preserve">（</w:t>
      </w:r>
      <w:r>
        <w:rPr>
          <w:rFonts w:hint="eastAsia" w:hAnsi="宋体" w:cs="宋体"/>
          <w:b w:val="0"/>
          <w:bCs/>
          <w:sz w:val="24"/>
          <w:szCs w:val="24"/>
          <w:lang w:val="en-US" w:eastAsia="zh-CN"/>
        </w:rPr>
        <w:t xml:space="preserve">8</w:t>
      </w:r>
      <w:r>
        <w:rPr>
          <w:rFonts w:hint="eastAsia" w:hAnsi="宋体" w:cs="宋体"/>
          <w:b w:val="0"/>
          <w:bCs/>
          <w:sz w:val="24"/>
          <w:szCs w:val="24"/>
          <w:lang w:eastAsia="zh-CN"/>
        </w:rPr>
        <w:t xml:space="preserve">）对于乙方提供的回访材料进行抽查，误差率每达一个百分点，扣减当季度总费用1%。</w:t>
      </w:r>
      <w:r/>
    </w:p>
    <w:p>
      <w:pPr>
        <w:pStyle w:val="859"/>
        <w:ind w:firstLine="480"/>
        <w:spacing w:before="120" w:after="120" w:line="440" w:lineRule="exact"/>
        <w:rPr>
          <w:rFonts w:hint="eastAsia" w:hAnsi="宋体" w:cs="宋体"/>
          <w:b w:val="0"/>
          <w:bCs/>
          <w:sz w:val="24"/>
          <w:szCs w:val="24"/>
          <w:lang w:eastAsia="zh-CN"/>
        </w:rPr>
      </w:pPr>
      <w:r>
        <w:rPr>
          <w:rFonts w:hint="eastAsia" w:hAnsi="宋体" w:cs="宋体"/>
          <w:b w:val="0"/>
          <w:bCs/>
          <w:sz w:val="24"/>
          <w:szCs w:val="24"/>
          <w:lang w:eastAsia="zh-CN"/>
        </w:rPr>
        <w:t xml:space="preserve">（</w:t>
      </w:r>
      <w:r>
        <w:rPr>
          <w:rFonts w:hint="eastAsia" w:hAnsi="宋体" w:cs="宋体"/>
          <w:b w:val="0"/>
          <w:bCs/>
          <w:sz w:val="24"/>
          <w:szCs w:val="24"/>
          <w:lang w:val="en-US" w:eastAsia="zh-CN"/>
        </w:rPr>
        <w:t xml:space="preserve">9</w:t>
      </w:r>
      <w:r>
        <w:rPr>
          <w:rFonts w:hint="eastAsia" w:hAnsi="宋体" w:cs="宋体"/>
          <w:b w:val="0"/>
          <w:bCs/>
          <w:sz w:val="24"/>
          <w:szCs w:val="24"/>
          <w:lang w:eastAsia="zh-CN"/>
        </w:rPr>
        <w:t xml:space="preserve">）乙方需具备居家养老运营相关资质和经验，保证供货时的软件技术经过专业技术信息服务认证或经第三方专业测评机构测试并出具专业报告，保证专业技术的稳定性和可靠性。甲方不提供平台硬件和软件等设施设备，乙方自行解决。乙方确保甲方开展智慧养老服务平台和助老员手机 APP 等运行稳定、流畅，服务数据保存完整。</w:t>
      </w:r>
      <w:r/>
    </w:p>
    <w:p>
      <w:pPr>
        <w:pStyle w:val="859"/>
        <w:ind w:firstLine="480"/>
        <w:spacing w:before="120" w:after="120" w:line="440" w:lineRule="exact"/>
        <w:rPr>
          <w:rFonts w:hint="eastAsia" w:hAnsi="宋体" w:cs="宋体"/>
          <w:b w:val="0"/>
          <w:bCs/>
          <w:sz w:val="24"/>
          <w:szCs w:val="24"/>
          <w:lang w:val="en-US" w:eastAsia="zh-CN"/>
        </w:rPr>
      </w:pPr>
      <w:r>
        <w:rPr>
          <w:rFonts w:hint="eastAsia" w:hAnsi="宋体" w:cs="宋体"/>
          <w:b w:val="0"/>
          <w:bCs/>
          <w:sz w:val="24"/>
          <w:szCs w:val="24"/>
          <w:lang w:val="en-US" w:eastAsia="zh-CN"/>
        </w:rPr>
        <w:t xml:space="preserve">(10)乙方确保平台所有的服务数据，包括但不限于助老员服务老人时签入记录、签离记录、定位数据、服务项目、服务照片等，至少保存5年以上，甲方5年内随时可以查阅、调取。如5年内不能完整保存数据，不能提供甲方查阅、调取等，应按合同金额的 50%款项赔偿甲方，并承担由此产生的其它责任。</w:t>
      </w:r>
      <w:r/>
    </w:p>
    <w:p>
      <w:pPr>
        <w:pStyle w:val="859"/>
        <w:ind w:firstLine="480"/>
        <w:spacing w:before="120" w:after="120" w:line="440" w:lineRule="exact"/>
        <w:rPr>
          <w:rFonts w:hint="eastAsia" w:hAnsi="宋体" w:cs="宋体"/>
          <w:b w:val="0"/>
          <w:bCs/>
          <w:sz w:val="24"/>
          <w:szCs w:val="24"/>
          <w:lang w:val="en-US" w:eastAsia="zh-CN"/>
        </w:rPr>
      </w:pPr>
      <w:r>
        <w:rPr>
          <w:rFonts w:hint="eastAsia" w:hAnsi="宋体" w:cs="宋体"/>
          <w:b w:val="0"/>
          <w:bCs/>
          <w:sz w:val="24"/>
          <w:szCs w:val="24"/>
          <w:lang w:val="en-US" w:eastAsia="zh-CN"/>
        </w:rPr>
        <w:t xml:space="preserve">(11)根据滨海县居家社区养老服务平台运营情况以及使用过程中滨海县民政局提出的合理建议，就平台的功能进行优化，以确保平台满足包括民政监管需求、市民服务需求等目标。在运营过程中，运营团队要根据线上、线下业务需求，不断优化、完善平台的实用性及功能性。中标人根据工作量，在1-7天内完善到位。如未在规定时间内完善到位，有1次扣减费用1000元。如出现3次该现象，招标人有权解除合同。</w:t>
      </w:r>
      <w:r/>
    </w:p>
    <w:p>
      <w:pPr>
        <w:pStyle w:val="859"/>
        <w:ind w:firstLine="480"/>
        <w:spacing w:before="120" w:after="120" w:line="440" w:lineRule="exact"/>
        <w:rPr>
          <w:rFonts w:hint="eastAsia" w:hAnsi="宋体" w:cs="宋体"/>
          <w:b w:val="0"/>
          <w:bCs/>
          <w:sz w:val="24"/>
          <w:szCs w:val="24"/>
          <w:lang w:val="en-US" w:eastAsia="zh-CN"/>
        </w:rPr>
      </w:pPr>
      <w:r>
        <w:rPr>
          <w:rFonts w:hint="eastAsia" w:hAnsi="宋体" w:cs="宋体"/>
          <w:b w:val="0"/>
          <w:bCs/>
          <w:sz w:val="24"/>
          <w:szCs w:val="24"/>
          <w:lang w:val="en-US" w:eastAsia="zh-CN"/>
        </w:rPr>
        <w:t xml:space="preserve">(12)安排至少1名工作人员负责平台硬件、网络、机房维护工作，负责相关网络、机房的安全管理工作。制定机房安全巡查制度、机房故障应急机制，以保障机房稳定、安全，在出现故障时及时、有效的进行处理解决。</w:t>
      </w:r>
      <w:r/>
    </w:p>
    <w:p>
      <w:pPr>
        <w:pStyle w:val="859"/>
        <w:ind w:firstLine="480"/>
        <w:spacing w:before="120" w:after="120" w:line="440" w:lineRule="exact"/>
        <w:rPr>
          <w:rFonts w:hint="eastAsia" w:hAnsi="宋体" w:cs="宋体"/>
          <w:b w:val="0"/>
          <w:bCs/>
          <w:sz w:val="24"/>
          <w:szCs w:val="24"/>
          <w:lang w:val="en-US" w:eastAsia="zh-CN"/>
        </w:rPr>
      </w:pPr>
      <w:r>
        <w:rPr>
          <w:rFonts w:hint="eastAsia" w:hAnsi="宋体" w:cs="宋体"/>
          <w:b w:val="0"/>
          <w:bCs/>
          <w:sz w:val="24"/>
          <w:szCs w:val="24"/>
          <w:lang w:val="en-US" w:eastAsia="zh-CN"/>
        </w:rPr>
        <w:t xml:space="preserve">(13)乙方提供的智慧养老服务信息系统的软硬件，质量保证期限不少于两年。在质量保证期限内出现质量问题，由乙方免费维修或更换，且乙方应在接到通知后24小时内到达现场进行处理。</w:t>
      </w:r>
      <w:r/>
    </w:p>
    <w:p>
      <w:pPr>
        <w:pStyle w:val="859"/>
        <w:ind w:firstLine="480"/>
        <w:spacing w:before="120" w:after="120" w:line="440" w:lineRule="exact"/>
        <w:rPr>
          <w:rFonts w:hint="eastAsia" w:hAnsi="宋体" w:cs="宋体"/>
          <w:b w:val="0"/>
          <w:bCs/>
          <w:sz w:val="24"/>
          <w:szCs w:val="24"/>
          <w:lang w:val="en-US" w:eastAsia="zh-CN"/>
        </w:rPr>
      </w:pPr>
      <w:r>
        <w:rPr>
          <w:rFonts w:hint="eastAsia" w:hAnsi="宋体" w:cs="宋体"/>
          <w:b w:val="0"/>
          <w:bCs/>
          <w:sz w:val="24"/>
          <w:szCs w:val="24"/>
          <w:lang w:val="en-US" w:eastAsia="zh-CN"/>
        </w:rPr>
        <w:t xml:space="preserve">(14)中标人未能按招投标文件和合同约定提供服务，给招标人造成损失的，中标人予以赔偿.</w:t>
      </w:r>
      <w:r/>
    </w:p>
    <w:p>
      <w:pPr>
        <w:pStyle w:val="859"/>
        <w:ind w:firstLine="480"/>
        <w:spacing w:before="120" w:after="120" w:line="440" w:lineRule="exact"/>
        <w:rPr>
          <w:rFonts w:hint="eastAsia" w:ascii="宋体" w:hAnsi="宋体" w:eastAsia="宋体" w:cs="宋体"/>
          <w:b/>
          <w:color w:val="000000"/>
          <w:sz w:val="24"/>
          <w:szCs w:val="24"/>
          <w:highlight w:val="none"/>
          <w:lang w:val="en-US" w:eastAsia="zh-CN"/>
        </w:rPr>
      </w:pPr>
      <w:r>
        <w:rPr>
          <w:rFonts w:hint="eastAsia" w:hAnsi="宋体" w:cs="宋体"/>
          <w:b w:val="0"/>
          <w:bCs/>
          <w:sz w:val="24"/>
          <w:szCs w:val="24"/>
          <w:lang w:val="en-US" w:eastAsia="zh-CN"/>
        </w:rPr>
        <w:t xml:space="preserve">(15)如甲方抽查的不合格工单，乙方未发现反馈县民政局，按照每单扣减500元。</w:t>
      </w:r>
      <w:r/>
    </w:p>
    <w:p>
      <w:pPr>
        <w:pStyle w:val="862"/>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、违约责任</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.1甲方无正当理由拒绝接受乙方提供服务的，甲方向乙方偿付拒绝接受服务合同价款总值</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rPr>
        <w:t xml:space="preserve">的违约金。</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.2甲方无故逾期验收和办理合同款项支付手续的,甲方应按逾期付款总额</w:t>
      </w:r>
      <w:r>
        <w:rPr>
          <w:rFonts w:hint="eastAsia" w:ascii="宋体" w:hAnsi="宋体" w:eastAsia="宋体" w:cs="宋体"/>
          <w:color w:val="000000"/>
          <w:sz w:val="24"/>
          <w:szCs w:val="24"/>
          <w:highlight w:val="none"/>
          <w:u w:val="single"/>
          <w:lang w:val="en-US" w:eastAsia="zh-CN"/>
        </w:rPr>
        <w:t xml:space="preserve">0.5%</w:t>
      </w:r>
      <w:r>
        <w:rPr>
          <w:rFonts w:hint="eastAsia" w:ascii="宋体" w:hAnsi="宋体" w:eastAsia="宋体" w:cs="宋体"/>
          <w:color w:val="000000"/>
          <w:sz w:val="24"/>
          <w:szCs w:val="24"/>
          <w:highlight w:val="none"/>
        </w:rPr>
        <w:t xml:space="preserve">每日向乙方支付违约金。</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.4乙方所提供服务的标准不符合合同规定及招标文件规定标准的，甲方有权拒绝接受服务，并可单方面解除合同。</w:t>
      </w:r>
      <w:r/>
    </w:p>
    <w:p>
      <w:pPr>
        <w:pStyle w:val="862"/>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、不可抗力事件处理</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.1在合同有效期内，任何一方因不可抗力事件导致不能履行合同，则合同履行期可延长，其延长期与不可抗力影响期相同。</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.2不可抗力事件发生后，应立即通知对方，并寄送有关权威机构出具的证明。</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.3不可抗力事件延续120天以上，双方应通过友好协商，确定是否继续履行合同。</w:t>
      </w:r>
      <w:r/>
    </w:p>
    <w:p>
      <w:pPr>
        <w:pStyle w:val="862"/>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、解决争议的方法</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.1双方在签订、履行合同中所发生的一切争议，应通过友好协商解决。如协商不成，由甲方住所地人民法院管辖。</w:t>
      </w:r>
      <w:r/>
    </w:p>
    <w:p>
      <w:pPr>
        <w:pStyle w:val="862"/>
        <w:ind w:firstLine="48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.1合同经双方法定代表人或授权委托代表人签字并加盖单位公章后生效。</w:t>
      </w:r>
      <w:r/>
    </w:p>
    <w:p>
      <w:pPr>
        <w:pStyle w:val="862"/>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.2本合同未尽事宜，遵</w:t>
      </w:r>
      <w:r>
        <w:rPr>
          <w:rFonts w:hint="eastAsia" w:ascii="宋体" w:hAnsi="宋体" w:eastAsia="宋体" w:cs="宋体"/>
          <w:color w:val="auto"/>
          <w:sz w:val="24"/>
          <w:szCs w:val="24"/>
          <w:highlight w:val="none"/>
        </w:rPr>
        <w:t xml:space="preserve">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政</w:t>
      </w:r>
      <w:r>
        <w:rPr>
          <w:rFonts w:hint="eastAsia" w:ascii="宋体" w:hAnsi="宋体" w:eastAsia="宋体" w:cs="宋体"/>
          <w:color w:val="000000"/>
          <w:sz w:val="24"/>
          <w:szCs w:val="24"/>
          <w:highlight w:val="none"/>
        </w:rPr>
        <w:t xml:space="preserve">府采购法》有关条文执行。</w:t>
      </w:r>
      <w:r/>
    </w:p>
    <w:p>
      <w:pPr>
        <w:pStyle w:val="862"/>
        <w:ind w:left="482" w:hanging="64"/>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 本合同正本一式</w:t>
      </w:r>
      <w:r>
        <w:rPr>
          <w:rFonts w:hint="eastAsia" w:ascii="宋体" w:hAnsi="宋体" w:eastAsia="宋体" w:cs="宋体"/>
          <w:color w:val="000000"/>
          <w:sz w:val="24"/>
          <w:szCs w:val="24"/>
          <w:highlight w:val="none"/>
          <w:lang w:val="en-US" w:eastAsia="zh-CN"/>
        </w:rPr>
        <w:t xml:space="preserve">肆</w:t>
      </w:r>
      <w:r>
        <w:rPr>
          <w:rFonts w:hint="eastAsia" w:ascii="宋体" w:hAnsi="宋体" w:eastAsia="宋体" w:cs="宋体"/>
          <w:color w:val="000000"/>
          <w:sz w:val="24"/>
          <w:szCs w:val="24"/>
          <w:highlight w:val="none"/>
        </w:rPr>
        <w:t xml:space="preserve">份，具有同等法律效力，甲方、乙方各执</w:t>
      </w:r>
      <w:r>
        <w:rPr>
          <w:rFonts w:hint="eastAsia" w:ascii="宋体" w:hAnsi="宋体" w:eastAsia="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rPr>
        <w:t xml:space="preserve">份。</w:t>
      </w:r>
      <w:r/>
    </w:p>
    <w:p>
      <w:pPr>
        <w:pStyle w:val="862"/>
        <w:ind w:left="480" w:hanging="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  甲方：                        乙方： </w:t>
      </w:r>
      <w:r/>
    </w:p>
    <w:p>
      <w:pPr>
        <w:pStyle w:val="86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  地址：                        地址： </w:t>
      </w:r>
      <w:r/>
    </w:p>
    <w:p>
      <w:pPr>
        <w:pStyle w:val="862"/>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  法定代表人或授权代表：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法定代表人或授权代表：</w:t>
      </w:r>
      <w:r/>
    </w:p>
    <w:p>
      <w:pPr>
        <w:pStyle w:val="862"/>
        <w:ind w:firstLine="513"/>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p>
    <w:p>
      <w:pPr>
        <w:pStyle w:val="862"/>
        <w:jc w:val="center"/>
        <w:keepLines w:val="0"/>
        <w:keepNext w:val="0"/>
        <w:pageBreakBefore w:val="0"/>
        <w:spacing w:before="120" w:beforeAutospacing="0" w:after="120" w:afterAutospacing="0" w:line="360" w:lineRule="auto"/>
        <w:widowControl w:val="off"/>
        <w:rPr>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签订日期：   年    月   日</w:t>
      </w:r>
      <w:bookmarkStart w:id="175" w:name="_Toc479757211"/>
      <w:r/>
      <w:bookmarkStart w:id="176" w:name="_Toc16938590"/>
      <w:r/>
      <w:bookmarkStart w:id="177" w:name="_Toc462564139"/>
      <w:r/>
      <w:bookmarkStart w:id="178" w:name="_Hlt16619350"/>
      <w:r/>
      <w:bookmarkStart w:id="179" w:name="_Toc20823346"/>
      <w:r/>
      <w:bookmarkStart w:id="180" w:name="_Toc120614244"/>
      <w:r/>
      <w:bookmarkStart w:id="181" w:name="_Hlt16619369"/>
      <w:r>
        <w:rPr>
          <w:rFonts w:hint="eastAsia" w:ascii="黑体" w:hAnsi="宋体" w:eastAsia="黑体" w:cs="黑体"/>
          <w:color w:val="000000"/>
          <w:sz w:val="24"/>
          <w:szCs w:val="24"/>
          <w:highlight w:val="none"/>
        </w:rPr>
        <w:br w:type="page" w:clear="all"/>
      </w:r>
      <w:r>
        <w:rPr>
          <w:rFonts w:hint="eastAsia" w:ascii="黑体" w:hAnsi="宋体" w:eastAsia="黑体" w:cs="黑体"/>
          <w:color w:val="000000"/>
          <w:sz w:val="44"/>
          <w:szCs w:val="44"/>
          <w:highlight w:val="none"/>
        </w:rPr>
        <w:t xml:space="preserve"> 第</w:t>
      </w:r>
      <w:bookmarkEnd w:id="175"/>
      <w:r>
        <w:rPr>
          <w:rFonts w:hint="eastAsia" w:ascii="黑体" w:hAnsi="宋体" w:eastAsia="黑体" w:cs="黑体"/>
          <w:color w:val="000000"/>
          <w:sz w:val="44"/>
          <w:szCs w:val="44"/>
          <w:highlight w:val="none"/>
        </w:rPr>
        <w:t xml:space="preserve">四章 采购需求</w:t>
      </w:r>
      <w:bookmarkEnd w:id="176"/>
      <w:r/>
      <w:bookmarkEnd w:id="177"/>
      <w:r/>
      <w:bookmarkEnd w:id="178"/>
      <w:r/>
      <w:bookmarkEnd w:id="179"/>
      <w:r/>
      <w:bookmarkEnd w:id="180"/>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bookmarkStart w:id="182" w:name="_Toc26554093"/>
      <w:r/>
      <w:bookmarkStart w:id="183" w:name="_Toc49090575"/>
      <w:r>
        <w:rPr>
          <w:rFonts w:hint="eastAsia" w:ascii="宋体" w:hAnsi="宋体" w:eastAsia="宋体" w:cs="宋体"/>
          <w:color w:val="000000"/>
          <w:sz w:val="24"/>
          <w:szCs w:val="24"/>
          <w:highlight w:val="none"/>
        </w:rPr>
        <w:t xml:space="preserve">项目属性:服务类项目。</w:t>
      </w:r>
      <w:bookmarkEnd w:id="182"/>
      <w:r/>
      <w:bookmarkEnd w:id="183"/>
      <w:r/>
      <w:r/>
    </w:p>
    <w:p>
      <w:pPr>
        <w:pStyle w:val="851"/>
        <w:ind w:firstLine="482"/>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lang w:val="en-US" w:eastAsia="zh-CN"/>
        </w:rPr>
        <w:t xml:space="preserve">一、</w:t>
      </w:r>
      <w:r>
        <w:rPr>
          <w:rFonts w:hint="eastAsia" w:ascii="宋体" w:hAnsi="宋体" w:eastAsia="宋体" w:cs="宋体"/>
          <w:b/>
          <w:bCs w:val="0"/>
          <w:sz w:val="24"/>
          <w:szCs w:val="24"/>
          <w:highlight w:val="none"/>
        </w:rPr>
        <w:t xml:space="preserve">建设要求：</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本项目智慧健康养老运营监管平台主要由养老服务数据仓、数字驾驶舱、服务监管、养老服务移动端、服务商户管理系统、养老服务设施库、养老服务企业库、从业人员库、银发顾问、助餐系统、机构养老服务、家庭照护床位</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适老化改造、探访关爱、老年人能力评估监管系统和应用支撑体系等功能模块组成，实现对居家养老服务过程管理，居家养老服务机构、服务人员、志愿者及服务质量的全要素，全流程服务监管等功能。</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（2）平台系统维护</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收集平台运行中存在的问题，并结合养老服务工作的发展，对平台进行优化。一旦平台出现问题，要马上进行处理。确保信息平台的运行不中断。对软件系统出现故障，原则上要求10分钟内解决故障。</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（3）平台操作培训及指导</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按照民政局要求，对居家线下服务商培训，熟悉使用智慧健康养老运营监管平台。</w:t>
      </w:r>
      <w:r/>
    </w:p>
    <w:p>
      <w:pPr>
        <w:pStyle w:val="851"/>
        <w:ind w:firstLine="482"/>
        <w:jc w:val="both"/>
        <w:keepNext w:val="0"/>
        <w:spacing w:line="42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二</w:t>
      </w:r>
      <w:r>
        <w:rPr>
          <w:rFonts w:hint="eastAsia" w:ascii="宋体" w:hAnsi="宋体" w:eastAsia="宋体" w:cs="宋体"/>
          <w:b/>
          <w:bCs w:val="0"/>
          <w:sz w:val="24"/>
          <w:szCs w:val="24"/>
          <w:highlight w:val="none"/>
        </w:rPr>
        <w:t xml:space="preserve">、运营要求：</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（1）提供智慧养老服务统一热线电话，统一对外呼号，通过热线电话,主要提供以下服务：</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1）受理各类养老服务诉求，进行及时处理，并反馈到运营中心；</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紧急救援：呼叫中心在接到老人出现紧急情况的信息后，第一时间联络相关机构和人员，请相关机构和人员及时接送老人就医或实施紧急救援。对签约老人发出的紧急呼叫请求作出快速响应（联系亲属、子女、监护人、责任社工、120等），确保老年人的紧急情况得到处理。</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2）提供养老服务政策解答、针对养老服务的投诉等；</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3）对所有紧急呼叫服务进行质量跟踪和满意度调查；</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4）对生活服务进行质量跟踪和满意度调查；</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5）涉及养老机构、居家养老服务照料中心、老年食堂等基本信息咨询解答等；</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6）受理针对本区养老服务的各类投诉。</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基础数据维护：协助民政局，联系街道（镇）、社区（村）采集并上报相关信息，并对信息进行核查，确保基础数据真实有效、更新及时。主要信息包含：老年人基础信息、居家养老服务机构及人员信息等。</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（3）根据民政局要求对居家线下服务商和服务人员进行培训；</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1）对紧急呼叫请求、响应、服务、回访全过程数据进行掌握、分析；</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2）对生活服务的请求情况、服务过程、服务质量数据掌握、分析；</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3）每月对各服务商按3%的比例抽查服务记录，并形成监管统计、分析报告；</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4）每月接收民政局反馈的新增服务人员名单和退出人员名单，并协助进行死亡信息比对，将确定后的数据提交给各服务商；</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5）每月向采购人提交监管情况分析报告，可以通过文字、图形等形式，统计分析当月各服务商服务次数、满意度调查结果等各项数据；</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6）每季度对服务商进行考核，并将考核情况提交给民政局；</w:t>
      </w:r>
      <w:r/>
    </w:p>
    <w:p>
      <w:pPr>
        <w:pStyle w:val="851"/>
        <w:ind w:firstLine="480"/>
        <w:jc w:val="both"/>
        <w:keepNext w:val="0"/>
        <w:spacing w:line="420" w:lineRule="auto"/>
        <w:rPr>
          <w:rFonts w:hint="eastAsia"/>
          <w:highlight w:val="none"/>
        </w:rPr>
      </w:pPr>
      <w:r>
        <w:rPr>
          <w:rFonts w:hint="eastAsia" w:ascii="宋体" w:hAnsi="宋体" w:eastAsia="宋体" w:cs="宋体"/>
          <w:bCs/>
          <w:sz w:val="24"/>
          <w:szCs w:val="24"/>
          <w:highlight w:val="none"/>
        </w:rPr>
        <w:t xml:space="preserve">7）每日存疑工单的核实认定。</w:t>
      </w:r>
      <w:r/>
    </w:p>
    <w:p>
      <w:pPr>
        <w:pStyle w:val="851"/>
        <w:ind w:firstLine="482"/>
        <w:jc w:val="both"/>
        <w:keepNext w:val="0"/>
        <w:spacing w:line="420" w:lineRule="auto"/>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三</w:t>
      </w:r>
      <w:r>
        <w:rPr>
          <w:rFonts w:hint="eastAsia" w:ascii="宋体" w:hAnsi="宋体" w:eastAsia="宋体" w:cs="宋体"/>
          <w:b/>
          <w:bCs w:val="0"/>
          <w:sz w:val="24"/>
          <w:szCs w:val="24"/>
          <w:highlight w:val="none"/>
        </w:rPr>
        <w:t xml:space="preserve">、人员配备和具体工作事项</w:t>
      </w:r>
      <w:r>
        <w:rPr>
          <w:rFonts w:hint="eastAsia" w:ascii="宋体" w:hAnsi="宋体" w:eastAsia="宋体" w:cs="宋体"/>
          <w:b/>
          <w:bCs w:val="0"/>
          <w:sz w:val="24"/>
          <w:szCs w:val="24"/>
          <w:highlight w:val="none"/>
          <w:lang w:eastAsia="zh-CN"/>
        </w:rPr>
        <w:t xml:space="preserve">：</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为维持平台、话务中心全年365天，每天24小时服务运转，乙方预计配备9名或以上工作人员，包括：管理人员，主要</w:t>
      </w:r>
      <w:r>
        <w:rPr>
          <w:rFonts w:hint="eastAsia" w:ascii="宋体" w:hAnsi="宋体" w:eastAsia="宋体" w:cs="宋体"/>
          <w:bCs/>
          <w:sz w:val="24"/>
          <w:szCs w:val="24"/>
          <w:highlight w:val="none"/>
        </w:rPr>
        <w:t xml:space="preserve">负责服务管理、机构管理、调度协调、综合管理、投诉管理等；运营维护人员，主要负责开发运营维护、网站运营维护、设备运营维护、网络运营维护、技术支持等；客服座席专员，主要负责接单、派单、调度、质量反馈、居家上门服务评估等；平台信息维护人员，主要负责工单审核、老人新增核销、异常工单审核等，做好平台数据维护，及时向省市有关部门上传服务数据；监督员，主要负责对居家养老上门服务、养老机构运营和社区居家养老服务场所运营等进行质量监管。其中，居家上门服务评估内容主要包含两部分：分别为运营管理工作评估、服务过程和服务质量评估。</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、运营管理工作评估：每季度对运营团队开展一次工作评估，主要评估上门服务运营方的日常管理、用工规范、技能培训、内部质量检查等内容。</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、服务过程和服务质量评估：主要通过电话回访、上门回访、满意度测评、运营方电话回访、视频回访录音复听等方式，考核服务流程、服务规范、服务响应程度、服务质量和服务对象满意度等。</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（1）电话回访：配备回访设施设备，每季度抽取不少于3%服务对象进行电话回访（以接通并接受回访为准，且需留存回访录音）。</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（2）上门评估：每季度抽取不少于3%服务对象进行上门服务质量评估，包括开展满意度调查，并形成评估记录。开展电话回访的老年人与开展上门评估的老年人不得重复。</w:t>
      </w:r>
      <w:r/>
    </w:p>
    <w:p>
      <w:pPr>
        <w:pStyle w:val="851"/>
        <w:ind w:firstLine="24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（3）运营质量评估：对居家养老上门服务平台日常运营情况进行评估，并每季度调取运营方产出的300名回访电话录音（或回访视频）进行复听复看。</w:t>
      </w:r>
      <w:r/>
    </w:p>
    <w:p>
      <w:pPr>
        <w:pStyle w:val="851"/>
        <w:ind w:firstLine="480"/>
        <w:jc w:val="both"/>
        <w:keepNext w:val="0"/>
        <w:spacing w:line="42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上述“服务过程和服务质量评估”中3项工作量，基本平均分配到每月完成。每季度首月10号前形成上季度包括“运营管理工作评估”和“服务过程及服务质量评估”在内的综合评估报告。</w:t>
      </w:r>
      <w:r/>
    </w:p>
    <w:p>
      <w:pPr>
        <w:ind w:firstLine="480"/>
        <w:rPr>
          <w:rFonts w:hint="default" w:eastAsia="宋体"/>
          <w:lang w:val="en-US" w:eastAsia="zh-CN"/>
        </w:rPr>
      </w:pPr>
      <w:r>
        <w:rPr>
          <w:rFonts w:hint="eastAsia" w:ascii="宋体" w:hAnsi="宋体" w:eastAsia="宋体" w:cs="宋体"/>
          <w:bCs/>
          <w:sz w:val="24"/>
          <w:szCs w:val="24"/>
          <w:highlight w:val="none"/>
          <w:lang w:val="en-US" w:eastAsia="zh-CN"/>
        </w:rPr>
        <w:t xml:space="preserve">4、如甲方针对消费券项目有线下走访需求，应予以配合。</w:t>
      </w:r>
      <w:r/>
    </w:p>
    <w:p>
      <w:pPr>
        <w:pStyle w:val="851"/>
        <w:ind w:firstLine="480"/>
        <w:jc w:val="both"/>
        <w:keepNext w:val="0"/>
        <w:spacing w:line="42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Cs/>
          <w:sz w:val="24"/>
          <w:szCs w:val="24"/>
        </w:rPr>
        <w:t xml:space="preserve">在服务期限内，每组上门评估的人员不得少于2人。项目执行团队应保持稳定，如需更换，须向招标人提出书面申请，并确保更换人员符合采购文件要求。</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color w:val="000000"/>
          <w:sz w:val="24"/>
          <w:szCs w:val="24"/>
          <w:highlight w:val="none"/>
          <w:u w:val="single"/>
        </w:rPr>
        <w:t xml:space="preserve">本项目不接受</w:t>
      </w:r>
      <w:r>
        <w:rPr>
          <w:rFonts w:hint="eastAsia" w:ascii="宋体" w:hAnsi="宋体" w:eastAsia="宋体" w:cs="宋体"/>
          <w:color w:val="000000"/>
          <w:sz w:val="24"/>
          <w:szCs w:val="24"/>
          <w:highlight w:val="none"/>
          <w:lang w:val="en-US" w:eastAsia="zh-CN"/>
        </w:rPr>
        <w:t xml:space="preserve"> 进口产品投标。</w:t>
      </w:r>
      <w:r/>
    </w:p>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四、采购标的对应的中小企业划分标准所属行业一览表</w:t>
      </w:r>
      <w:r/>
    </w:p>
    <w:tbl>
      <w:tblPr>
        <w:tblStyle w:val="854"/>
        <w:tblW w:w="70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7"/>
        <w:gridCol w:w="3291"/>
        <w:gridCol w:w="2852"/>
      </w:tblGrid>
      <w:tr>
        <w:trPr>
          <w:jc w:val="center"/>
          <w:tblCellSpacing w:w="0" w:type="dxa"/>
          <w:trHeight w:val="1134"/>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62"/>
              <w:jc w:val="both"/>
              <w:pageBreakBefore w:val="0"/>
              <w:spacing w:beforeAutospacing="0" w:afterAutospacing="0"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2"/>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62"/>
              <w:ind w:firstLine="24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62"/>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滨海县智慧养老服务平台建设和运营维护采购项目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2"/>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软件和信息技术服务业</w:t>
            </w:r>
            <w:r/>
          </w:p>
        </w:tc>
      </w:tr>
    </w:tbl>
    <w:p>
      <w:pPr>
        <w:pStyle w:val="862"/>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862"/>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2"/>
        <w:ind w:firstLine="60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2"/>
        <w:jc w:val="both"/>
        <w:pageBreakBefore w:val="0"/>
        <w:spacing w:beforeAutospacing="0" w:afterAutospacing="0" w:line="360" w:lineRule="auto"/>
        <w:widowControl w:val="off"/>
        <w:rPr>
          <w:highlight w:val="none"/>
        </w:rPr>
      </w:pPr>
      <w:r/>
      <w:bookmarkStart w:id="184" w:name="_Toc120614281"/>
      <w:r/>
      <w:r/>
    </w:p>
    <w:p>
      <w:pPr>
        <w:pStyle w:val="862"/>
        <w:jc w:val="center"/>
        <w:keepNext/>
        <w:pageBreakBefore w:val="0"/>
        <w:spacing w:beforeAutospacing="0" w:afterAutospacing="0" w:line="360" w:lineRule="auto"/>
        <w:widowControl w:val="off"/>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62"/>
        <w:jc w:val="both"/>
        <w:pageBreakBefore w:val="0"/>
        <w:spacing w:beforeAutospacing="0" w:afterAutospacing="0" w:line="360" w:lineRule="auto"/>
        <w:widowControl w:val="off"/>
        <w:rPr>
          <w:highlight w:val="none"/>
        </w:rPr>
      </w:pPr>
      <w:r>
        <w:rPr>
          <w:highlight w:val="none"/>
        </w:rPr>
        <w:t xml:space="preserve"> </w:t>
      </w:r>
      <w:r/>
    </w:p>
    <w:p>
      <w:pPr>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62"/>
        <w:ind w:firstLine="441"/>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862"/>
        <w:ind w:firstLine="48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868"/>
        <w:ind w:firstLine="36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862"/>
        <w:ind w:firstLine="36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862"/>
        <w:ind w:firstLine="36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862"/>
        <w:ind w:firstLine="48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862"/>
        <w:ind w:left="120" w:firstLine="360"/>
        <w:pageBreakBefore w:val="0"/>
        <w:spacing w:before="120" w:beforeAutospacing="0" w:after="120" w:afterAutospacing="0" w:line="360" w:lineRule="auto"/>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62"/>
        <w:ind w:left="120" w:firstLine="36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862"/>
        <w:ind w:left="120" w:firstLine="36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862"/>
        <w:ind w:firstLine="48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862"/>
        <w:ind w:left="120" w:firstLine="360"/>
        <w:pageBreakBefore w:val="0"/>
        <w:spacing w:before="120" w:beforeAutospacing="0" w:after="120" w:afterAutospacing="0" w:line="360" w:lineRule="auto"/>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62"/>
        <w:ind w:firstLine="48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2"/>
        <w:ind w:firstLine="48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862"/>
        <w:ind w:firstLine="480"/>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862"/>
        <w:ind w:firstLine="480"/>
        <w:pageBreakBefore w:val="0"/>
        <w:spacing w:before="120" w:beforeAutospacing="0" w:after="12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862"/>
        <w:ind w:left="120" w:firstLine="360"/>
        <w:pageBreakBefore w:val="0"/>
        <w:spacing w:before="120" w:beforeAutospacing="0" w:after="120" w:afterAutospacing="0" w:line="360" w:lineRule="auto"/>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0"/>
        <w:jc w:val="left"/>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7、采购本国产品的支持政策</w:t>
      </w:r>
      <w:r/>
    </w:p>
    <w:p>
      <w:pPr>
        <w:ind w:firstLine="480"/>
        <w:jc w:val="left"/>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auto"/>
          <w:sz w:val="24"/>
          <w:szCs w:val="24"/>
          <w:highlight w:val="none"/>
          <w:u w:val="single"/>
        </w:rPr>
        <w:t xml:space="preserve">20%</w:t>
      </w:r>
      <w:r>
        <w:rPr>
          <w:rFonts w:hint="eastAsia" w:ascii="宋体" w:hAnsi="宋体" w:eastAsia="宋体" w:cs="宋体"/>
          <w:b w:val="0"/>
          <w:bCs w:val="0"/>
          <w:color w:val="auto"/>
          <w:sz w:val="24"/>
          <w:szCs w:val="24"/>
          <w:highlight w:val="none"/>
        </w:rPr>
        <w:t xml:space="preserve">的价格扣除，用扣除后的价格参与评审。</w:t>
      </w:r>
      <w:r/>
    </w:p>
    <w:p>
      <w:pPr>
        <w:ind w:firstLine="480"/>
        <w:jc w:val="left"/>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auto"/>
          <w:sz w:val="24"/>
          <w:szCs w:val="24"/>
          <w:highlight w:val="none"/>
          <w:u w:val="single"/>
        </w:rPr>
        <w:t xml:space="preserve">80%</w:t>
      </w:r>
      <w:r>
        <w:rPr>
          <w:rFonts w:hint="eastAsia" w:ascii="宋体" w:hAnsi="宋体" w:eastAsia="宋体" w:cs="宋体"/>
          <w:b w:val="0"/>
          <w:bCs w:val="0"/>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auto"/>
          <w:sz w:val="24"/>
          <w:szCs w:val="24"/>
          <w:highlight w:val="none"/>
          <w:u w:val="single"/>
        </w:rPr>
        <w:t xml:space="preserve">20%</w:t>
      </w:r>
      <w:r>
        <w:rPr>
          <w:rFonts w:hint="eastAsia" w:ascii="宋体" w:hAnsi="宋体" w:eastAsia="宋体" w:cs="宋体"/>
          <w:b w:val="0"/>
          <w:bCs w:val="0"/>
          <w:color w:val="auto"/>
          <w:sz w:val="24"/>
          <w:szCs w:val="24"/>
          <w:highlight w:val="none"/>
        </w:rPr>
        <w:t xml:space="preserve">的价格扣除，用扣除后的价格参与评审。供应商未填写比例数值，或比例数值未达到80%的，将不享受本国产品价格评审优惠。</w:t>
      </w:r>
      <w:r/>
    </w:p>
    <w:p>
      <w:pPr>
        <w:ind w:firstLine="480"/>
        <w:jc w:val="left"/>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7.4 供应商需在《声明函》中逐一、准确填写产品名称、厂名、生产厂址三项信息（《声明函》中用</w:t>
      </w:r>
      <w:r>
        <w:rPr>
          <w:rFonts w:hint="eastAsia" w:ascii="宋体" w:hAnsi="宋体" w:eastAsia="宋体" w:cs="宋体"/>
          <w:b w:val="0"/>
          <w:bCs w:val="0"/>
          <w:color w:val="auto"/>
          <w:sz w:val="24"/>
          <w:szCs w:val="24"/>
          <w:highlight w:val="none"/>
          <w:lang w:val="en-US" w:eastAsia="zh-CN"/>
        </w:rPr>
        <w:t xml:space="preserve">横</w:t>
      </w:r>
      <w:r>
        <w:rPr>
          <w:rFonts w:hint="eastAsia" w:ascii="宋体" w:hAnsi="宋体" w:eastAsia="宋体" w:cs="宋体"/>
          <w:b w:val="0"/>
          <w:bCs w:val="0"/>
          <w:color w:val="auto"/>
          <w:sz w:val="24"/>
          <w:szCs w:val="24"/>
          <w:highlight w:val="none"/>
        </w:rPr>
        <w:t xml:space="preserve">线划除的地方无需填写），三项信息中任意一项未填写的视为该项产品不符合本国产品标准，不享受本国产品价格评审优惠。</w:t>
      </w:r>
      <w:r/>
    </w:p>
    <w:p>
      <w:pPr>
        <w:ind w:firstLine="480"/>
        <w:jc w:val="left"/>
        <w:pageBreakBefore w:val="0"/>
        <w:spacing w:line="360" w:lineRule="auto"/>
        <w:widowControl w:val="off"/>
        <w:rPr>
          <w:rFonts w:hint="eastAsia" w:ascii="宋体" w:hAnsi="宋体" w:eastAsia="宋体" w:cs="宋体"/>
          <w:b w:val="0"/>
          <w:bCs w:val="0"/>
          <w:color w:val="auto"/>
          <w:highlight w:val="none"/>
          <w:u w:val="single"/>
          <w:lang w:eastAsia="zh-CN"/>
        </w:rPr>
      </w:pPr>
      <w:r>
        <w:rPr>
          <w:rFonts w:hint="eastAsia" w:ascii="宋体" w:hAnsi="宋体" w:eastAsia="宋体" w:cs="宋体"/>
          <w:b w:val="0"/>
          <w:bCs w:val="0"/>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auto"/>
          <w:sz w:val="24"/>
          <w:szCs w:val="24"/>
          <w:highlight w:val="none"/>
          <w:lang w:val="en-US" w:eastAsia="zh-CN"/>
        </w:rPr>
        <w:t xml:space="preserve">在苏采云系统</w:t>
      </w:r>
      <w:r>
        <w:rPr>
          <w:rFonts w:hint="eastAsia" w:ascii="宋体" w:hAnsi="宋体" w:eastAsia="宋体" w:cs="宋体"/>
          <w:b w:val="0"/>
          <w:bCs w:val="0"/>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lang w:val="en-US" w:eastAsia="zh-CN"/>
        </w:rPr>
        <w:t xml:space="preserve">8</w:t>
      </w:r>
      <w:r>
        <w:rPr>
          <w:rFonts w:hint="eastAsia" w:ascii="宋体" w:hAnsi="宋体" w:eastAsia="宋体" w:cs="宋体"/>
          <w:b w:val="0"/>
          <w:bCs w:val="0"/>
          <w:color w:val="auto"/>
          <w:sz w:val="24"/>
          <w:highlight w:val="none"/>
        </w:rPr>
        <w:t xml:space="preserve">、严格执行政府采购关于支持节能产品、环境标志产品的相关政策规定。如本次采购的产品属于财政部、国家发展</w:t>
      </w:r>
      <w:r>
        <w:rPr>
          <w:rFonts w:hint="eastAsia" w:ascii="宋体" w:hAnsi="宋体" w:eastAsia="宋体" w:cs="宋体"/>
          <w:color w:val="auto"/>
          <w:sz w:val="24"/>
          <w:highlight w:val="none"/>
        </w:rPr>
        <w:t xml:space="preserve">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62"/>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2"/>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2"/>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2"/>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2"/>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2"/>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2"/>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2"/>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2"/>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2"/>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2"/>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2"/>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2"/>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2"/>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2"/>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2"/>
        <w:ind w:firstLine="482"/>
        <w:pageBreakBefore w:val="0"/>
        <w:spacing w:before="120" w:beforeAutospacing="0" w:after="120" w:afterAutospacing="0" w:line="360"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2"/>
        <w:ind w:firstLine="482"/>
        <w:pageBreakBefore w:val="0"/>
        <w:spacing w:before="120" w:beforeAutospacing="0" w:after="120" w:afterAutospacing="0" w:line="360" w:lineRule="auto"/>
        <w:widowControl w:val="off"/>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p>
    <w:tbl>
      <w:tblPr>
        <w:tblStyle w:val="854"/>
        <w:tblW w:w="89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835"/>
        <w:gridCol w:w="7293"/>
      </w:tblGrid>
      <w:tr>
        <w:trPr/>
        <w:tc>
          <w:tcPr>
            <w:tcW w:w="807"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评分项目</w:t>
            </w:r>
            <w:r/>
          </w:p>
        </w:tc>
        <w:tc>
          <w:tcPr>
            <w:tcW w:w="835" w:type="dxa"/>
            <w:vAlign w:val="center"/>
            <w:textDirection w:val="lrTb"/>
            <w:noWrap w:val="false"/>
          </w:tcPr>
          <w:p>
            <w:pPr>
              <w:jc w:val="both"/>
              <w:rPr>
                <w:rFonts w:ascii="宋体" w:hAnsi="宋体"/>
                <w:sz w:val="24"/>
                <w:szCs w:val="24"/>
              </w:rPr>
            </w:pPr>
            <w:r>
              <w:rPr>
                <w:rFonts w:hint="eastAsia" w:ascii="宋体" w:hAnsi="宋体"/>
                <w:sz w:val="24"/>
                <w:szCs w:val="24"/>
              </w:rPr>
              <w:t xml:space="preserve">分值</w:t>
            </w:r>
            <w:r/>
          </w:p>
        </w:tc>
        <w:tc>
          <w:tcPr>
            <w:tcW w:w="729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评分标准</w:t>
            </w:r>
            <w:r/>
          </w:p>
        </w:tc>
      </w:tr>
      <w:tr>
        <w:trPr/>
        <w:tc>
          <w:tcPr>
            <w:tcW w:w="807" w:type="dxa"/>
            <w:vAlign w:val="center"/>
            <w:textDirection w:val="lrTb"/>
            <w:noWrap w:val="false"/>
          </w:tcPr>
          <w:p>
            <w:pPr>
              <w:jc w:val="center"/>
              <w:rPr>
                <w:sz w:val="24"/>
                <w:szCs w:val="24"/>
                <w:highlight w:val="none"/>
              </w:rPr>
            </w:pPr>
            <w:r>
              <w:rPr>
                <w:sz w:val="24"/>
                <w:szCs w:val="24"/>
                <w:highlight w:val="none"/>
              </w:rPr>
              <w:t xml:space="preserve">投标价格</w:t>
            </w:r>
            <w:r/>
          </w:p>
          <w:p>
            <w:pPr>
              <w:jc w:val="center"/>
              <w:rPr>
                <w:rFonts w:hint="eastAsia" w:ascii="宋体" w:hAnsi="宋体"/>
                <w:sz w:val="24"/>
                <w:szCs w:val="24"/>
                <w:highlight w:val="none"/>
              </w:rPr>
            </w:pPr>
            <w:r>
              <w:rPr>
                <w:rFonts w:hint="eastAsia" w:ascii="宋体" w:hAnsi="宋体"/>
                <w:sz w:val="24"/>
                <w:szCs w:val="24"/>
                <w:highlight w:val="none"/>
              </w:rPr>
            </w:r>
            <w:r/>
          </w:p>
        </w:tc>
        <w:tc>
          <w:tcPr>
            <w:tcW w:w="835" w:type="dxa"/>
            <w:vAlign w:val="center"/>
            <w:textDirection w:val="lrTb"/>
            <w:noWrap w:val="false"/>
          </w:tcPr>
          <w:p>
            <w:pPr>
              <w:jc w:val="center"/>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10</w:t>
            </w:r>
            <w:r>
              <w:rPr>
                <w:sz w:val="24"/>
                <w:szCs w:val="24"/>
                <w:highlight w:val="none"/>
              </w:rPr>
              <w:t xml:space="preserve">分</w:t>
            </w:r>
            <w:r/>
          </w:p>
        </w:tc>
        <w:tc>
          <w:tcPr>
            <w:tcW w:w="7293" w:type="dxa"/>
            <w:vAlign w:val="center"/>
            <w:textDirection w:val="lrTb"/>
            <w:noWrap w:val="false"/>
          </w:tcPr>
          <w:p>
            <w:pPr>
              <w:spacing w:line="400" w:lineRule="exact"/>
              <w:widowControl/>
              <w:rPr>
                <w:sz w:val="24"/>
                <w:szCs w:val="24"/>
                <w:highlight w:val="none"/>
              </w:rPr>
            </w:pPr>
            <w:r>
              <w:rPr>
                <w:rFonts w:eastAsia="宋体" w:cs="Times New Roman"/>
                <w:sz w:val="24"/>
                <w:szCs w:val="24"/>
                <w:highlight w:val="none"/>
              </w:rPr>
              <w:t xml:space="preserve">1.</w:t>
            </w:r>
            <w:r>
              <w:rPr>
                <w:sz w:val="24"/>
                <w:szCs w:val="24"/>
                <w:highlight w:val="none"/>
              </w:rPr>
              <w:t xml:space="preserve">评标总价是指通过资格审查、符合性检查且实质性响应招标文件要求，经</w:t>
            </w:r>
            <w:r>
              <w:rPr>
                <w:rFonts w:hint="eastAsia"/>
                <w:sz w:val="24"/>
                <w:szCs w:val="24"/>
                <w:highlight w:val="none"/>
              </w:rPr>
              <w:t xml:space="preserve">商务性评审</w:t>
            </w:r>
            <w:r>
              <w:rPr>
                <w:sz w:val="24"/>
                <w:szCs w:val="24"/>
                <w:highlight w:val="none"/>
              </w:rPr>
              <w:t xml:space="preserve">后的总价。</w:t>
            </w:r>
            <w:r/>
          </w:p>
          <w:p>
            <w:pPr>
              <w:spacing w:line="400" w:lineRule="exact"/>
              <w:widowControl/>
              <w:rPr>
                <w:sz w:val="24"/>
                <w:szCs w:val="24"/>
                <w:highlight w:val="none"/>
              </w:rPr>
            </w:pPr>
            <w:r>
              <w:rPr>
                <w:sz w:val="24"/>
                <w:szCs w:val="24"/>
                <w:highlight w:val="none"/>
              </w:rPr>
              <w:t xml:space="preserve">2.评标基准价=评标总价中的最低总价。</w:t>
            </w:r>
            <w:r/>
          </w:p>
          <w:p>
            <w:pPr>
              <w:spacing w:line="400" w:lineRule="exact"/>
              <w:rPr>
                <w:rFonts w:hint="eastAsia" w:ascii="宋体" w:hAnsi="宋体"/>
                <w:sz w:val="24"/>
                <w:szCs w:val="24"/>
                <w:highlight w:val="none"/>
              </w:rPr>
            </w:pPr>
            <w:r>
              <w:rPr>
                <w:sz w:val="24"/>
                <w:szCs w:val="24"/>
                <w:highlight w:val="none"/>
              </w:rPr>
              <w:t xml:space="preserve">3.当投标人的评标总价等于评标基准价的得</w:t>
            </w:r>
            <w:r>
              <w:rPr>
                <w:rFonts w:hint="eastAsia" w:eastAsia="宋体" w:cs="Times New Roman"/>
                <w:sz w:val="24"/>
                <w:szCs w:val="24"/>
                <w:highlight w:val="none"/>
                <w:lang w:val="en-US" w:eastAsia="zh-CN"/>
              </w:rPr>
              <w:t xml:space="preserve">10</w:t>
            </w:r>
            <w:r>
              <w:rPr>
                <w:sz w:val="24"/>
                <w:szCs w:val="24"/>
                <w:highlight w:val="none"/>
              </w:rPr>
              <w:t xml:space="preserve">分，其他投标人的价格分按照下列公式计算：评标总价得分=（评标基准价/评标总价）</w:t>
            </w:r>
            <w:r>
              <w:rPr>
                <w:rFonts w:hint="eastAsia" w:eastAsia="宋体" w:cs="Times New Roman"/>
                <w:sz w:val="24"/>
                <w:szCs w:val="24"/>
                <w:highlight w:val="none"/>
                <w:lang w:val="en-US" w:eastAsia="zh-CN"/>
              </w:rPr>
              <w:t xml:space="preserve">×10</w:t>
            </w:r>
            <w:r>
              <w:rPr>
                <w:sz w:val="24"/>
                <w:szCs w:val="24"/>
                <w:highlight w:val="none"/>
              </w:rPr>
              <w:t xml:space="preserve">分（计算结果保留2位小数，第三位四舍五入）。</w:t>
            </w:r>
            <w:r/>
          </w:p>
        </w:tc>
      </w:tr>
      <w:tr>
        <w:trPr/>
        <w:tc>
          <w:tcPr>
            <w:tcW w:w="807"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综合实力</w:t>
            </w:r>
            <w:r/>
          </w:p>
        </w:tc>
        <w:tc>
          <w:tcPr>
            <w:tcW w:w="83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分</w:t>
            </w:r>
            <w:r/>
          </w:p>
        </w:tc>
        <w:tc>
          <w:tcPr>
            <w:tcW w:w="7293" w:type="dxa"/>
            <w:vAlign w:val="top"/>
            <w:textDirection w:val="lrTb"/>
            <w:noWrap w:val="false"/>
          </w:tcPr>
          <w:p>
            <w:pPr>
              <w:spacing w:line="400" w:lineRule="exact"/>
              <w:rPr>
                <w:rFonts w:hint="eastAsia" w:ascii="宋体" w:hAnsi="宋体"/>
                <w:sz w:val="24"/>
                <w:szCs w:val="24"/>
                <w:highlight w:val="none"/>
              </w:rPr>
            </w:pPr>
            <w:r>
              <w:rPr>
                <w:rFonts w:hint="eastAsia" w:ascii="宋体" w:hAnsi="宋体"/>
                <w:sz w:val="24"/>
                <w:szCs w:val="24"/>
                <w:highlight w:val="none"/>
              </w:rPr>
              <w:t xml:space="preserve">投标人具有国家知识产权部门颁发的智慧养老相关的软件自主知识产权(软件著作权或专利),每提供一份得</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分，最高得</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分。</w:t>
            </w:r>
            <w:r/>
          </w:p>
          <w:p>
            <w:pPr>
              <w:spacing w:line="400" w:lineRule="exact"/>
              <w:rPr>
                <w:rFonts w:hint="eastAsia" w:ascii="宋体" w:hAnsi="宋体" w:eastAsia="宋体"/>
                <w:sz w:val="24"/>
                <w:szCs w:val="24"/>
                <w:highlight w:val="none"/>
                <w:lang w:eastAsia="zh-CN"/>
              </w:rPr>
            </w:pPr>
            <w:r>
              <w:rPr>
                <w:rFonts w:hint="eastAsia" w:ascii="宋体" w:hAnsi="宋体"/>
                <w:b/>
                <w:bCs/>
                <w:sz w:val="24"/>
                <w:szCs w:val="24"/>
                <w:highlight w:val="none"/>
                <w:lang w:val="en-US" w:eastAsia="zh-CN"/>
              </w:rPr>
              <w:t xml:space="preserve">注：</w:t>
            </w:r>
            <w:r>
              <w:rPr>
                <w:rFonts w:hint="eastAsia" w:ascii="宋体" w:hAnsi="宋体"/>
                <w:b/>
                <w:bCs/>
                <w:sz w:val="24"/>
                <w:szCs w:val="24"/>
                <w:highlight w:val="none"/>
              </w:rPr>
              <w:t xml:space="preserve">投标人投标时须提供软件著作权登记或获专利证书</w:t>
            </w:r>
            <w:r>
              <w:rPr>
                <w:rFonts w:hint="eastAsia" w:ascii="宋体" w:hAnsi="宋体"/>
                <w:b/>
                <w:bCs/>
                <w:sz w:val="24"/>
                <w:szCs w:val="24"/>
                <w:highlight w:val="none"/>
                <w:lang w:val="en-US" w:eastAsia="zh-CN"/>
              </w:rPr>
              <w:t xml:space="preserve">扫描件</w:t>
            </w:r>
            <w:r>
              <w:rPr>
                <w:rFonts w:hint="eastAsia" w:ascii="宋体" w:hAnsi="宋体"/>
                <w:b/>
                <w:bCs/>
                <w:sz w:val="24"/>
                <w:szCs w:val="24"/>
                <w:highlight w:val="none"/>
              </w:rPr>
              <w:t xml:space="preserve">，未提供或提供的证书不符合本项要求的不得分。</w:t>
            </w:r>
            <w:r/>
          </w:p>
        </w:tc>
      </w:tr>
      <w:tr>
        <w:trPr>
          <w:trHeight w:val="686"/>
        </w:trPr>
        <w:tc>
          <w:tcPr>
            <w:tcW w:w="807"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技术保障</w:t>
            </w:r>
            <w:r/>
          </w:p>
        </w:tc>
        <w:tc>
          <w:tcPr>
            <w:tcW w:w="83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lang w:val="en-US" w:eastAsia="zh-CN"/>
              </w:rPr>
              <w:t xml:space="preserve">16</w:t>
            </w:r>
            <w:r>
              <w:rPr>
                <w:rFonts w:hint="eastAsia" w:ascii="宋体" w:hAnsi="宋体"/>
                <w:sz w:val="24"/>
                <w:szCs w:val="24"/>
                <w:highlight w:val="none"/>
              </w:rPr>
              <w:t xml:space="preserve">分</w:t>
            </w:r>
            <w:r/>
          </w:p>
        </w:tc>
        <w:tc>
          <w:tcPr>
            <w:tcW w:w="7293" w:type="dxa"/>
            <w:vAlign w:val="top"/>
            <w:textDirection w:val="lrTb"/>
            <w:noWrap w:val="false"/>
          </w:tcPr>
          <w:p>
            <w:pPr>
              <w:spacing w:line="400" w:lineRule="exact"/>
              <w:rPr>
                <w:rFonts w:hint="eastAsia" w:ascii="宋体" w:hAnsi="宋体"/>
                <w:sz w:val="24"/>
                <w:szCs w:val="24"/>
                <w:highlight w:val="none"/>
                <w:lang w:eastAsia="zh-CN"/>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投标人具有有资质的第三方认证机构出具的有效期内</w:t>
            </w:r>
            <w:r>
              <w:rPr>
                <w:rFonts w:hint="eastAsia" w:ascii="宋体" w:hAnsi="宋体"/>
                <w:sz w:val="24"/>
                <w:szCs w:val="24"/>
                <w:highlight w:val="none"/>
                <w:lang w:val="en-US" w:eastAsia="zh-CN"/>
              </w:rPr>
              <w:t xml:space="preserve">的</w:t>
            </w:r>
            <w:r>
              <w:rPr>
                <w:rFonts w:hint="eastAsia" w:ascii="宋体" w:hAnsi="宋体"/>
                <w:sz w:val="24"/>
                <w:szCs w:val="24"/>
                <w:highlight w:val="none"/>
              </w:rPr>
              <w:t xml:space="preserve">质量管理体系认证证书、职业健康安全管理体系认证</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环境管理体系认证</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认证范围</w:t>
            </w:r>
            <w:r>
              <w:rPr>
                <w:rFonts w:hint="eastAsia" w:ascii="宋体" w:hAnsi="宋体"/>
                <w:sz w:val="24"/>
                <w:szCs w:val="24"/>
                <w:highlight w:val="none"/>
                <w:lang w:val="en-US" w:eastAsia="zh-CN"/>
              </w:rPr>
              <w:t xml:space="preserve">须</w:t>
            </w:r>
            <w:r>
              <w:rPr>
                <w:rFonts w:hint="eastAsia" w:ascii="宋体" w:hAnsi="宋体"/>
                <w:sz w:val="24"/>
                <w:szCs w:val="24"/>
                <w:highlight w:val="none"/>
              </w:rPr>
              <w:t xml:space="preserve">包含养老（托老）服务相关内容的， 每提供一种认证证书的</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得</w:t>
            </w:r>
            <w:r>
              <w:rPr>
                <w:rFonts w:hint="eastAsia" w:ascii="宋体" w:hAnsi="宋体"/>
                <w:sz w:val="24"/>
                <w:szCs w:val="24"/>
                <w:highlight w:val="none"/>
                <w:lang w:val="en-US" w:eastAsia="zh-CN"/>
              </w:rPr>
              <w:t xml:space="preserve">2分</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本项</w:t>
            </w:r>
            <w:r>
              <w:rPr>
                <w:rFonts w:hint="eastAsia" w:ascii="宋体" w:hAnsi="宋体"/>
                <w:sz w:val="24"/>
                <w:szCs w:val="24"/>
                <w:highlight w:val="none"/>
              </w:rPr>
              <w:t xml:space="preserve">最高得</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分</w:t>
            </w:r>
            <w:r>
              <w:rPr>
                <w:rFonts w:hint="eastAsia" w:ascii="宋体" w:hAnsi="宋体"/>
                <w:sz w:val="24"/>
                <w:szCs w:val="24"/>
                <w:highlight w:val="none"/>
                <w:lang w:eastAsia="zh-CN"/>
              </w:rPr>
              <w:t xml:space="preserve">。</w:t>
            </w:r>
            <w:r/>
          </w:p>
          <w:p>
            <w:pPr>
              <w:spacing w:line="400" w:lineRule="exact"/>
              <w:rPr>
                <w:rFonts w:hint="eastAsia" w:ascii="宋体" w:hAnsi="宋体"/>
                <w:b/>
                <w:bCs/>
                <w:sz w:val="24"/>
                <w:szCs w:val="24"/>
                <w:highlight w:val="none"/>
                <w:lang w:eastAsia="zh-CN"/>
              </w:rPr>
            </w:pPr>
            <w:r>
              <w:rPr>
                <w:rFonts w:hint="eastAsia" w:ascii="宋体" w:hAnsi="宋体"/>
                <w:b/>
                <w:bCs/>
                <w:sz w:val="24"/>
                <w:szCs w:val="24"/>
                <w:highlight w:val="none"/>
                <w:lang w:val="en-US" w:eastAsia="zh-CN"/>
              </w:rPr>
              <w:t xml:space="preserve">注：</w:t>
            </w:r>
            <w:r>
              <w:rPr>
                <w:rFonts w:hint="eastAsia" w:ascii="宋体" w:hAnsi="宋体"/>
                <w:b/>
                <w:bCs/>
                <w:sz w:val="24"/>
                <w:szCs w:val="24"/>
                <w:highlight w:val="none"/>
              </w:rPr>
              <w:t xml:space="preserve">投标人投标时</w:t>
            </w:r>
            <w:r>
              <w:rPr>
                <w:rFonts w:hint="eastAsia" w:ascii="宋体" w:hAnsi="宋体"/>
                <w:b/>
                <w:bCs/>
                <w:sz w:val="24"/>
                <w:szCs w:val="24"/>
                <w:highlight w:val="none"/>
                <w:lang w:val="en-US" w:eastAsia="zh-CN"/>
              </w:rPr>
              <w:t xml:space="preserve">须</w:t>
            </w:r>
            <w:r>
              <w:rPr>
                <w:rFonts w:hint="eastAsia" w:ascii="宋体" w:hAnsi="宋体"/>
                <w:b/>
                <w:bCs/>
                <w:sz w:val="24"/>
                <w:szCs w:val="24"/>
                <w:highlight w:val="none"/>
              </w:rPr>
              <w:t xml:space="preserve">提供认证证书</w:t>
            </w:r>
            <w:r>
              <w:rPr>
                <w:rFonts w:hint="eastAsia" w:ascii="宋体" w:hAnsi="宋体"/>
                <w:b/>
                <w:bCs/>
                <w:sz w:val="24"/>
                <w:szCs w:val="24"/>
                <w:highlight w:val="none"/>
                <w:lang w:val="en-US" w:eastAsia="zh-CN"/>
              </w:rPr>
              <w:t xml:space="preserve">扫描件</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未</w:t>
            </w:r>
            <w:r>
              <w:rPr>
                <w:rFonts w:hint="eastAsia" w:ascii="宋体" w:hAnsi="宋体"/>
                <w:b/>
                <w:bCs/>
                <w:sz w:val="24"/>
                <w:szCs w:val="24"/>
                <w:highlight w:val="none"/>
              </w:rPr>
              <w:t xml:space="preserve">提供或提供的认证证书不符合本项要求的不得分</w:t>
            </w:r>
            <w:r>
              <w:rPr>
                <w:rFonts w:hint="eastAsia" w:ascii="宋体" w:hAnsi="宋体"/>
                <w:b/>
                <w:bCs/>
                <w:sz w:val="24"/>
                <w:szCs w:val="24"/>
                <w:highlight w:val="none"/>
                <w:lang w:eastAsia="zh-CN"/>
              </w:rPr>
              <w:t xml:space="preserve">。</w:t>
            </w:r>
            <w:r/>
          </w:p>
          <w:p>
            <w:pPr>
              <w:numPr>
                <w:ilvl w:val="0"/>
                <w:numId w:val="3"/>
              </w:numPr>
              <w:spacing w:line="400" w:lineRule="exact"/>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投标人具有有资质的第三方认证机构出具</w:t>
            </w:r>
            <w:r>
              <w:rPr>
                <w:rFonts w:hint="eastAsia" w:ascii="宋体" w:hAnsi="宋体"/>
                <w:sz w:val="24"/>
                <w:szCs w:val="24"/>
                <w:highlight w:val="none"/>
              </w:rPr>
              <w:t xml:space="preserve">的有效期内</w:t>
            </w:r>
            <w:r>
              <w:rPr>
                <w:rFonts w:hint="eastAsia" w:ascii="宋体" w:hAnsi="宋体"/>
                <w:sz w:val="24"/>
                <w:szCs w:val="24"/>
                <w:highlight w:val="none"/>
                <w:lang w:val="en-US" w:eastAsia="zh-CN"/>
              </w:rPr>
              <w:t xml:space="preserve">的</w:t>
            </w:r>
            <w:r>
              <w:rPr>
                <w:rFonts w:hint="eastAsia" w:ascii="宋体" w:hAnsi="宋体"/>
                <w:b w:val="0"/>
                <w:bCs w:val="0"/>
                <w:sz w:val="24"/>
                <w:szCs w:val="24"/>
                <w:highlight w:val="none"/>
                <w:lang w:val="en-US" w:eastAsia="zh-CN"/>
              </w:rPr>
              <w:t xml:space="preserve">信息安全管理体系认证、信息技术服务管理体系认证，</w:t>
            </w:r>
            <w:r>
              <w:rPr>
                <w:rFonts w:hint="eastAsia" w:ascii="宋体" w:hAnsi="宋体"/>
                <w:sz w:val="24"/>
                <w:szCs w:val="24"/>
                <w:highlight w:val="none"/>
              </w:rPr>
              <w:t xml:space="preserve">每提供一种认证证书的</w:t>
            </w:r>
            <w:r>
              <w:rPr>
                <w:rFonts w:hint="eastAsia" w:ascii="宋体" w:hAnsi="宋体"/>
                <w:sz w:val="24"/>
                <w:szCs w:val="24"/>
                <w:highlight w:val="none"/>
                <w:lang w:eastAsia="zh-CN"/>
              </w:rPr>
              <w:t xml:space="preserve">，</w:t>
            </w:r>
            <w:r>
              <w:rPr>
                <w:rFonts w:hint="eastAsia" w:ascii="宋体" w:hAnsi="宋体"/>
                <w:b w:val="0"/>
                <w:bCs w:val="0"/>
                <w:sz w:val="24"/>
                <w:szCs w:val="24"/>
                <w:highlight w:val="none"/>
                <w:lang w:val="en-US" w:eastAsia="zh-CN"/>
              </w:rPr>
              <w:t xml:space="preserve">得2分，本项最高得4分。</w:t>
            </w:r>
            <w:r/>
          </w:p>
          <w:p>
            <w:pPr>
              <w:numPr>
                <w:ilvl w:val="0"/>
                <w:numId w:val="0"/>
              </w:numPr>
              <w:spacing w:line="40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注：投标人投标时须提供认证证书扫描件，未提供或提供的认证证书不符合本项要求的不得分。</w:t>
            </w:r>
            <w:r/>
          </w:p>
          <w:p>
            <w:pPr>
              <w:numPr>
                <w:ilvl w:val="0"/>
                <w:numId w:val="3"/>
              </w:numPr>
              <w:ind w:left="0" w:firstLine="0"/>
              <w:spacing w:line="400" w:lineRule="exact"/>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投标人</w:t>
            </w:r>
            <w:r>
              <w:rPr>
                <w:rFonts w:hint="eastAsia" w:ascii="宋体" w:hAnsi="宋体"/>
                <w:sz w:val="24"/>
                <w:szCs w:val="24"/>
                <w:highlight w:val="none"/>
              </w:rPr>
              <w:t xml:space="preserve">具有经第三方专业机构进行信用等级评定的信用报告</w:t>
            </w:r>
            <w:r>
              <w:rPr>
                <w:rFonts w:hint="eastAsia" w:ascii="宋体" w:hAnsi="宋体"/>
                <w:sz w:val="24"/>
                <w:szCs w:val="24"/>
                <w:highlight w:val="none"/>
                <w:lang w:eastAsia="zh-CN"/>
              </w:rPr>
              <w:t xml:space="preserve">，</w:t>
            </w:r>
            <w:r>
              <w:rPr>
                <w:rFonts w:hint="eastAsia" w:ascii="宋体" w:hAnsi="宋体" w:eastAsia="宋体"/>
                <w:sz w:val="24"/>
                <w:szCs w:val="24"/>
                <w:highlight w:val="none"/>
                <w:lang w:bidi="ar"/>
              </w:rPr>
              <w:t xml:space="preserve">信用等级为</w:t>
            </w:r>
            <w:r>
              <w:rPr>
                <w:rFonts w:hint="eastAsia" w:ascii="宋体" w:hAnsi="宋体"/>
                <w:b w:val="0"/>
                <w:bCs w:val="0"/>
                <w:sz w:val="24"/>
                <w:szCs w:val="24"/>
                <w:highlight w:val="none"/>
                <w:lang w:val="en-US" w:eastAsia="zh-CN"/>
              </w:rPr>
              <w:t xml:space="preserve">AAA级的，得3分；信用等级为AA级的，得2分；信用等级为A级的，得1分。</w:t>
            </w:r>
            <w:r/>
          </w:p>
          <w:p>
            <w:pPr>
              <w:numPr>
                <w:ilvl w:val="0"/>
                <w:numId w:val="0"/>
              </w:numPr>
              <w:spacing w:line="40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注：投标人投标时须提供信用等级证书扫描件，未提供或提供的证书不符合本项要求的不得分。</w:t>
            </w:r>
            <w:r/>
          </w:p>
          <w:p>
            <w:pPr>
              <w:numPr>
                <w:ilvl w:val="0"/>
                <w:numId w:val="3"/>
              </w:numPr>
              <w:ind w:left="0" w:firstLine="0"/>
              <w:spacing w:line="400" w:lineRule="exact"/>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投标人具有</w:t>
            </w:r>
            <w:r>
              <w:rPr>
                <w:rFonts w:hint="eastAsia" w:ascii="宋体" w:hAnsi="宋体"/>
                <w:sz w:val="24"/>
                <w:szCs w:val="24"/>
                <w:highlight w:val="none"/>
              </w:rPr>
              <w:t xml:space="preserve">有资质的第三方认证机构出具</w:t>
            </w:r>
            <w:r>
              <w:rPr>
                <w:rFonts w:hint="eastAsia" w:ascii="宋体" w:hAnsi="宋体"/>
                <w:sz w:val="24"/>
                <w:szCs w:val="24"/>
                <w:highlight w:val="none"/>
                <w:lang w:val="en-US" w:eastAsia="zh-CN"/>
              </w:rPr>
              <w:t xml:space="preserve">的</w:t>
            </w:r>
            <w:r>
              <w:rPr>
                <w:rFonts w:hint="eastAsia" w:ascii="宋体" w:hAnsi="宋体"/>
                <w:b w:val="0"/>
                <w:bCs w:val="0"/>
                <w:sz w:val="24"/>
                <w:szCs w:val="24"/>
                <w:highlight w:val="none"/>
                <w:lang w:val="en-US" w:eastAsia="zh-CN"/>
              </w:rPr>
              <w:t xml:space="preserve">5A级养老服务认证证书的，得3分；</w:t>
            </w:r>
            <w:r>
              <w:rPr>
                <w:rFonts w:hint="eastAsia" w:ascii="宋体" w:hAnsi="宋体"/>
                <w:sz w:val="24"/>
                <w:szCs w:val="24"/>
                <w:highlight w:val="none"/>
              </w:rPr>
              <w:t xml:space="preserve">4A级</w:t>
            </w:r>
            <w:r>
              <w:rPr>
                <w:rFonts w:hint="eastAsia" w:ascii="宋体" w:hAnsi="宋体"/>
                <w:sz w:val="24"/>
                <w:szCs w:val="24"/>
                <w:highlight w:val="none"/>
                <w:lang w:val="en-US" w:eastAsia="zh-CN"/>
              </w:rPr>
              <w:t xml:space="preserve">的，</w:t>
            </w:r>
            <w:r>
              <w:rPr>
                <w:rFonts w:hint="eastAsia" w:ascii="宋体" w:hAnsi="宋体"/>
                <w:sz w:val="24"/>
                <w:szCs w:val="24"/>
                <w:highlight w:val="none"/>
              </w:rPr>
              <w:t xml:space="preserve">得</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分；3A级</w:t>
            </w:r>
            <w:r>
              <w:rPr>
                <w:rFonts w:hint="eastAsia" w:ascii="宋体" w:hAnsi="宋体"/>
                <w:sz w:val="24"/>
                <w:szCs w:val="24"/>
                <w:highlight w:val="none"/>
                <w:lang w:val="en-US" w:eastAsia="zh-CN"/>
              </w:rPr>
              <w:t xml:space="preserve">的，</w:t>
            </w:r>
            <w:r>
              <w:rPr>
                <w:rFonts w:hint="eastAsia" w:ascii="宋体" w:hAnsi="宋体"/>
                <w:sz w:val="24"/>
                <w:szCs w:val="24"/>
                <w:highlight w:val="none"/>
              </w:rPr>
              <w:t xml:space="preserve">得1分</w:t>
            </w:r>
            <w:r>
              <w:rPr>
                <w:rFonts w:hint="eastAsia" w:ascii="宋体" w:hAnsi="宋体"/>
                <w:b w:val="0"/>
                <w:bCs w:val="0"/>
                <w:sz w:val="24"/>
                <w:szCs w:val="24"/>
                <w:highlight w:val="none"/>
                <w:lang w:val="en-US" w:eastAsia="zh-CN"/>
              </w:rPr>
              <w:t xml:space="preserve">。其余不得分。</w:t>
            </w:r>
            <w:r/>
          </w:p>
          <w:p>
            <w:pPr>
              <w:numPr>
                <w:ilvl w:val="0"/>
                <w:numId w:val="0"/>
              </w:numPr>
              <w:spacing w:line="400" w:lineRule="exact"/>
              <w:rPr>
                <w:rFonts w:hint="default" w:ascii="宋体" w:hAnsi="宋体"/>
                <w:b/>
                <w:bCs/>
                <w:sz w:val="24"/>
                <w:szCs w:val="24"/>
                <w:highlight w:val="none"/>
                <w:lang w:val="en-US" w:eastAsia="zh-CN"/>
              </w:rPr>
            </w:pPr>
            <w:r>
              <w:rPr>
                <w:rFonts w:hint="eastAsia" w:ascii="宋体" w:hAnsi="宋体"/>
                <w:b/>
                <w:bCs/>
                <w:sz w:val="24"/>
                <w:szCs w:val="24"/>
                <w:highlight w:val="none"/>
                <w:lang w:val="en-US" w:eastAsia="zh-CN"/>
              </w:rPr>
              <w:t xml:space="preserve">注：投标人投标时须提供认证证书扫描件，未提供或提供的认证证书不符合本项要求的不得分。</w:t>
            </w:r>
            <w:r/>
          </w:p>
        </w:tc>
      </w:tr>
      <w:tr>
        <w:trPr/>
        <w:tc>
          <w:tcPr>
            <w:tcW w:w="807"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项目团队能力</w:t>
            </w:r>
            <w:r/>
          </w:p>
        </w:tc>
        <w:tc>
          <w:tcPr>
            <w:tcW w:w="835"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分</w:t>
            </w:r>
            <w:r/>
          </w:p>
        </w:tc>
        <w:tc>
          <w:tcPr>
            <w:tcW w:w="7293" w:type="dxa"/>
            <w:vAlign w:val="top"/>
            <w:textDirection w:val="lrTb"/>
            <w:noWrap w:val="false"/>
          </w:tcPr>
          <w:p>
            <w:pPr>
              <w:numPr>
                <w:ilvl w:val="0"/>
                <w:numId w:val="0"/>
              </w:numPr>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针对本项目配备的项目负责人具有：①具备计算机科学与技术等IT类相关专业本科及以上学历 ②具有网络与信息安全管理相关证书</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以上</w:t>
            </w:r>
            <w:r>
              <w:rPr>
                <w:rFonts w:hint="eastAsia" w:ascii="宋体" w:hAnsi="宋体"/>
                <w:sz w:val="24"/>
                <w:szCs w:val="24"/>
                <w:highlight w:val="none"/>
                <w:lang w:val="en-US" w:eastAsia="zh-CN"/>
              </w:rPr>
              <w:t xml:space="preserve">两</w:t>
            </w:r>
            <w:r>
              <w:rPr>
                <w:rFonts w:hint="eastAsia" w:ascii="宋体" w:hAnsi="宋体"/>
                <w:sz w:val="24"/>
                <w:szCs w:val="24"/>
                <w:highlight w:val="none"/>
              </w:rPr>
              <w:t xml:space="preserve">条每满足1项得2分，本项</w:t>
            </w:r>
            <w:r>
              <w:rPr>
                <w:rFonts w:hint="eastAsia" w:ascii="宋体" w:hAnsi="宋体"/>
                <w:sz w:val="24"/>
                <w:szCs w:val="24"/>
                <w:highlight w:val="none"/>
                <w:lang w:val="en-US" w:eastAsia="zh-CN"/>
              </w:rPr>
              <w:t xml:space="preserve">最高得4</w:t>
            </w:r>
            <w:r>
              <w:rPr>
                <w:rFonts w:hint="eastAsia" w:ascii="宋体" w:hAnsi="宋体"/>
                <w:sz w:val="24"/>
                <w:szCs w:val="24"/>
                <w:highlight w:val="none"/>
              </w:rPr>
              <w:t xml:space="preserve">分。</w:t>
            </w:r>
            <w:r/>
          </w:p>
          <w:p>
            <w:pPr>
              <w:numPr>
                <w:ilvl w:val="0"/>
                <w:numId w:val="0"/>
              </w:numPr>
              <w:spacing w:line="400" w:lineRule="exact"/>
              <w:rPr>
                <w:rFonts w:hint="eastAsia" w:ascii="宋体" w:hAnsi="宋体"/>
                <w:sz w:val="24"/>
                <w:szCs w:val="24"/>
                <w:highlight w:val="none"/>
              </w:rPr>
            </w:pPr>
            <w:r>
              <w:rPr>
                <w:rFonts w:hint="eastAsia" w:ascii="宋体" w:hAnsi="宋体"/>
                <w:b/>
                <w:bCs/>
                <w:sz w:val="24"/>
                <w:szCs w:val="24"/>
                <w:highlight w:val="none"/>
                <w:lang w:val="en-US" w:eastAsia="zh-CN"/>
              </w:rPr>
              <w:t xml:space="preserve">注：</w:t>
            </w:r>
            <w:r>
              <w:rPr>
                <w:rFonts w:hint="eastAsia" w:ascii="宋体" w:hAnsi="宋体"/>
                <w:b/>
                <w:bCs/>
                <w:sz w:val="24"/>
                <w:szCs w:val="24"/>
                <w:highlight w:val="none"/>
              </w:rPr>
              <w:t xml:space="preserve">投标人</w:t>
            </w:r>
            <w:r>
              <w:rPr>
                <w:rFonts w:hint="eastAsia" w:ascii="宋体" w:hAnsi="宋体"/>
                <w:b/>
                <w:bCs/>
                <w:sz w:val="24"/>
                <w:szCs w:val="24"/>
                <w:highlight w:val="none"/>
                <w:lang w:val="en-US" w:eastAsia="zh-CN"/>
              </w:rPr>
              <w:t xml:space="preserve">投标时</w:t>
            </w:r>
            <w:r>
              <w:rPr>
                <w:rFonts w:hint="eastAsia" w:ascii="宋体" w:hAnsi="宋体"/>
                <w:b/>
                <w:bCs/>
                <w:sz w:val="24"/>
                <w:szCs w:val="24"/>
                <w:highlight w:val="none"/>
              </w:rPr>
              <w:t xml:space="preserve">须提供项目负责人学历证书扫描件以及投标人为其缴纳的近三个月中任意一个月的社保缴纳证明扫描件，未提供或提供不全的不得分。</w:t>
            </w:r>
            <w:r/>
          </w:p>
          <w:p>
            <w:pPr>
              <w:numPr>
                <w:ilvl w:val="0"/>
                <w:numId w:val="0"/>
              </w:numPr>
              <w:spacing w:line="400" w:lineRule="exac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为滨海县智慧养老服务平台配备具备专业人员支撑运营。每配备1名高新技术网络管理员</w:t>
            </w:r>
            <w:r>
              <w:rPr>
                <w:rFonts w:hint="eastAsia" w:ascii="宋体" w:hAnsi="宋体"/>
                <w:sz w:val="24"/>
                <w:szCs w:val="24"/>
                <w:highlight w:val="none"/>
                <w:lang w:val="en-US" w:eastAsia="zh-CN"/>
              </w:rPr>
              <w:t xml:space="preserve">或</w:t>
            </w:r>
            <w:r>
              <w:rPr>
                <w:rFonts w:hint="eastAsia" w:ascii="宋体" w:hAnsi="宋体"/>
                <w:sz w:val="24"/>
                <w:szCs w:val="24"/>
                <w:highlight w:val="none"/>
              </w:rPr>
              <w:t xml:space="preserve">系统分析师</w:t>
            </w:r>
            <w:r>
              <w:rPr>
                <w:rFonts w:hint="eastAsia" w:ascii="宋体" w:hAnsi="宋体"/>
                <w:sz w:val="24"/>
                <w:szCs w:val="24"/>
                <w:highlight w:val="none"/>
                <w:lang w:val="en-US" w:eastAsia="zh-CN"/>
              </w:rPr>
              <w:t xml:space="preserve">或</w:t>
            </w:r>
            <w:r>
              <w:rPr>
                <w:rFonts w:hint="eastAsia" w:ascii="宋体" w:hAnsi="宋体"/>
                <w:sz w:val="24"/>
                <w:szCs w:val="24"/>
                <w:highlight w:val="none"/>
              </w:rPr>
              <w:t xml:space="preserve">PMP项目管理师的，得2分，本项最高得</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分。</w:t>
            </w:r>
            <w:r/>
          </w:p>
          <w:p>
            <w:pPr>
              <w:numPr>
                <w:ilvl w:val="0"/>
                <w:numId w:val="0"/>
              </w:numPr>
              <w:spacing w:line="400" w:lineRule="exact"/>
              <w:rPr>
                <w:rFonts w:hint="eastAsia" w:ascii="宋体" w:hAnsi="宋体" w:eastAsia="宋体"/>
                <w:sz w:val="24"/>
                <w:szCs w:val="24"/>
                <w:highlight w:val="none"/>
                <w:lang w:eastAsia="zh-CN"/>
              </w:rPr>
            </w:pPr>
            <w:r>
              <w:rPr>
                <w:rFonts w:hint="eastAsia" w:ascii="宋体" w:hAnsi="宋体"/>
                <w:b/>
                <w:bCs/>
                <w:sz w:val="24"/>
                <w:szCs w:val="24"/>
                <w:highlight w:val="none"/>
                <w:lang w:val="en-US" w:eastAsia="zh-CN"/>
              </w:rPr>
              <w:t xml:space="preserve">注：</w:t>
            </w:r>
            <w:r>
              <w:rPr>
                <w:rFonts w:hint="eastAsia" w:ascii="宋体" w:hAnsi="宋体"/>
                <w:b/>
                <w:bCs/>
                <w:sz w:val="24"/>
                <w:szCs w:val="24"/>
                <w:highlight w:val="none"/>
              </w:rPr>
              <w:t xml:space="preserve">投标人投标时</w:t>
            </w:r>
            <w:r>
              <w:rPr>
                <w:rFonts w:hint="eastAsia" w:ascii="宋体" w:hAnsi="宋体"/>
                <w:b/>
                <w:bCs/>
                <w:sz w:val="24"/>
                <w:szCs w:val="24"/>
                <w:highlight w:val="none"/>
                <w:lang w:val="en-US" w:eastAsia="zh-CN"/>
              </w:rPr>
              <w:t xml:space="preserve">须</w:t>
            </w:r>
            <w:r>
              <w:rPr>
                <w:rFonts w:hint="eastAsia" w:ascii="宋体" w:hAnsi="宋体"/>
                <w:b/>
                <w:bCs/>
                <w:sz w:val="24"/>
                <w:szCs w:val="24"/>
                <w:highlight w:val="none"/>
              </w:rPr>
              <w:t xml:space="preserve">提供证书扫描件，以及投标人为其缴纳的近三个月中任意一个月的社保缴纳证明扫描件,未提供或提供不全的不得分</w:t>
            </w:r>
            <w:r>
              <w:rPr>
                <w:rFonts w:hint="eastAsia" w:ascii="宋体" w:hAnsi="宋体"/>
                <w:b/>
                <w:bCs/>
                <w:sz w:val="24"/>
                <w:szCs w:val="24"/>
                <w:highlight w:val="none"/>
                <w:lang w:eastAsia="zh-CN"/>
              </w:rPr>
              <w:t xml:space="preserve">。</w:t>
            </w:r>
            <w:r/>
          </w:p>
        </w:tc>
      </w:tr>
      <w:tr>
        <w:trPr/>
        <w:tc>
          <w:tcPr>
            <w:tcW w:w="807" w:type="dxa"/>
            <w:vAlign w:val="center"/>
            <w:textDirection w:val="lrTb"/>
            <w:noWrap w:val="false"/>
          </w:tcPr>
          <w:p>
            <w:pPr>
              <w:jc w:val="center"/>
              <w:rPr>
                <w:rFonts w:ascii="宋体" w:hAnsi="宋体"/>
                <w:sz w:val="24"/>
                <w:szCs w:val="24"/>
              </w:rPr>
            </w:pPr>
            <w:r>
              <w:rPr>
                <w:rFonts w:hint="eastAsia" w:ascii="宋体" w:hAnsi="宋体"/>
                <w:sz w:val="24"/>
                <w:szCs w:val="24"/>
              </w:rPr>
              <w:t xml:space="preserve">业绩</w:t>
            </w:r>
            <w:r/>
          </w:p>
        </w:tc>
        <w:tc>
          <w:tcPr>
            <w:tcW w:w="835" w:type="dxa"/>
            <w:vAlign w:val="center"/>
            <w:textDirection w:val="lrTb"/>
            <w:noWrap w:val="false"/>
          </w:tcPr>
          <w:p>
            <w:pPr>
              <w:jc w:val="center"/>
              <w:rPr>
                <w:rFonts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分</w:t>
            </w:r>
            <w:r/>
          </w:p>
        </w:tc>
        <w:tc>
          <w:tcPr>
            <w:tcW w:w="7293" w:type="dxa"/>
            <w:vAlign w:val="top"/>
            <w:textDirection w:val="lrTb"/>
            <w:noWrap w:val="false"/>
          </w:tcPr>
          <w:p>
            <w:pPr>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1.投标人</w:t>
            </w:r>
            <w:r>
              <w:rPr>
                <w:rFonts w:hint="eastAsia" w:ascii="宋体" w:hAnsi="宋体"/>
                <w:sz w:val="24"/>
                <w:szCs w:val="24"/>
                <w:highlight w:val="none"/>
                <w:lang w:eastAsia="zh-CN"/>
              </w:rPr>
              <w:t xml:space="preserve">承接过类似</w:t>
            </w:r>
            <w:r>
              <w:rPr>
                <w:rFonts w:hint="eastAsia" w:ascii="宋体" w:hAnsi="宋体"/>
                <w:sz w:val="24"/>
                <w:szCs w:val="24"/>
                <w:highlight w:val="none"/>
                <w:lang w:val="en-US" w:eastAsia="zh-CN"/>
              </w:rPr>
              <w:t xml:space="preserve">项目</w:t>
            </w:r>
            <w:r>
              <w:rPr>
                <w:rFonts w:hint="eastAsia" w:ascii="宋体" w:hAnsi="宋体"/>
                <w:sz w:val="24"/>
                <w:szCs w:val="24"/>
                <w:highlight w:val="none"/>
                <w:lang w:eastAsia="zh-CN"/>
              </w:rPr>
              <w:t xml:space="preserve">业绩的</w:t>
            </w:r>
            <w:r>
              <w:rPr>
                <w:rFonts w:hint="eastAsia" w:ascii="宋体" w:hAnsi="宋体"/>
                <w:sz w:val="24"/>
                <w:szCs w:val="24"/>
                <w:highlight w:val="none"/>
                <w:lang w:val="en-US" w:eastAsia="zh-CN"/>
              </w:rPr>
              <w:t xml:space="preserve">，</w:t>
            </w:r>
            <w:r>
              <w:rPr>
                <w:rFonts w:hint="eastAsia" w:ascii="宋体" w:hAnsi="宋体"/>
                <w:sz w:val="24"/>
                <w:szCs w:val="24"/>
                <w:highlight w:val="none"/>
              </w:rPr>
              <w:t xml:space="preserve">得</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分，本项最高得</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分。</w:t>
            </w:r>
            <w:r/>
          </w:p>
          <w:p>
            <w:pPr>
              <w:spacing w:line="400" w:lineRule="exact"/>
              <w:rPr>
                <w:rFonts w:hint="default" w:ascii="宋体" w:hAnsi="宋体"/>
                <w:sz w:val="24"/>
                <w:szCs w:val="24"/>
                <w:highlight w:val="none"/>
                <w:lang w:val="en-US" w:eastAsia="zh-CN"/>
              </w:rPr>
            </w:pPr>
            <w:r>
              <w:rPr>
                <w:rFonts w:hint="eastAsia" w:ascii="宋体" w:hAnsi="宋体"/>
                <w:b/>
                <w:bCs/>
                <w:sz w:val="24"/>
                <w:szCs w:val="24"/>
                <w:highlight w:val="none"/>
                <w:lang w:val="en-US" w:eastAsia="zh-CN"/>
              </w:rPr>
              <w:t xml:space="preserve">注：</w:t>
            </w:r>
            <w:r>
              <w:rPr>
                <w:rFonts w:hint="eastAsia" w:ascii="宋体" w:hAnsi="宋体"/>
                <w:b/>
                <w:bCs/>
                <w:sz w:val="24"/>
                <w:szCs w:val="24"/>
                <w:highlight w:val="none"/>
              </w:rPr>
              <w:t xml:space="preserve">投标人投标时</w:t>
            </w:r>
            <w:r>
              <w:rPr>
                <w:rFonts w:hint="eastAsia" w:ascii="宋体" w:hAnsi="宋体"/>
                <w:b/>
                <w:bCs/>
                <w:sz w:val="24"/>
                <w:szCs w:val="24"/>
                <w:highlight w:val="none"/>
                <w:lang w:val="en-US" w:eastAsia="zh-CN"/>
              </w:rPr>
              <w:t xml:space="preserve">须</w:t>
            </w:r>
            <w:r>
              <w:rPr>
                <w:rFonts w:hint="eastAsia" w:ascii="宋体" w:hAnsi="宋体"/>
                <w:b/>
                <w:bCs/>
                <w:sz w:val="24"/>
                <w:szCs w:val="24"/>
                <w:highlight w:val="none"/>
              </w:rPr>
              <w:t xml:space="preserve">提供合同</w:t>
            </w:r>
            <w:r>
              <w:rPr>
                <w:rFonts w:hint="eastAsia" w:ascii="宋体" w:hAnsi="宋体"/>
                <w:b/>
                <w:bCs/>
                <w:sz w:val="24"/>
                <w:szCs w:val="24"/>
                <w:highlight w:val="none"/>
                <w:lang w:val="en-US" w:eastAsia="zh-CN"/>
              </w:rPr>
              <w:t xml:space="preserve">扫描件</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未</w:t>
            </w:r>
            <w:r>
              <w:rPr>
                <w:rFonts w:hint="eastAsia" w:ascii="宋体" w:hAnsi="宋体"/>
                <w:b/>
                <w:bCs/>
                <w:sz w:val="24"/>
                <w:szCs w:val="24"/>
                <w:highlight w:val="none"/>
              </w:rPr>
              <w:t xml:space="preserve">提供或提供的合同不符本项要求的不得分</w:t>
            </w:r>
            <w:r>
              <w:rPr>
                <w:rFonts w:hint="eastAsia" w:ascii="宋体" w:hAnsi="宋体"/>
                <w:sz w:val="24"/>
                <w:szCs w:val="24"/>
                <w:highlight w:val="none"/>
                <w:lang w:eastAsia="zh-CN"/>
              </w:rPr>
              <w:t xml:space="preserve">。</w:t>
            </w:r>
            <w:r/>
          </w:p>
        </w:tc>
      </w:tr>
      <w:tr>
        <w:trPr/>
        <w:tc>
          <w:tcPr>
            <w:tcW w:w="8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服务方案</w:t>
            </w:r>
            <w:r/>
          </w:p>
        </w:tc>
        <w:tc>
          <w:tcPr>
            <w:tcW w:w="835" w:type="dxa"/>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53分</w:t>
            </w:r>
            <w:r/>
          </w:p>
        </w:tc>
        <w:tc>
          <w:tcPr>
            <w:tcW w:w="7293" w:type="dxa"/>
            <w:vAlign w:val="top"/>
            <w:textDirection w:val="lrTb"/>
            <w:noWrap w:val="false"/>
          </w:tcPr>
          <w:p>
            <w:pPr>
              <w:numPr>
                <w:ilvl w:val="0"/>
                <w:numId w:val="0"/>
              </w:numPr>
              <w:spacing w:line="400" w:lineRule="exact"/>
              <w:rPr>
                <w:rFonts w:hint="eastAsia" w:ascii="宋体" w:hAnsi="宋体"/>
                <w:sz w:val="24"/>
                <w:szCs w:val="24"/>
                <w:highlight w:val="none"/>
                <w:lang w:eastAsia="zh-CN"/>
              </w:rPr>
            </w:pPr>
            <w:r>
              <w:rPr>
                <w:rFonts w:hint="eastAsia" w:ascii="宋体" w:hAnsi="宋体"/>
                <w:sz w:val="24"/>
                <w:szCs w:val="24"/>
                <w:highlight w:val="none"/>
                <w:lang w:val="en-US" w:eastAsia="zh-CN"/>
              </w:rPr>
              <w:t xml:space="preserve">1.投标单位能结合当地的实际情况有明确且合理的目标定位，能结合目标定位制定科学的发展规划的，对未来的市场化发展有专门的规划，能展现未来服务产品提供的丰富性。</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（1）方案内容完整、具体、合理、切实可行优于本项目的项目需求的该项得7分；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（2）方案内容合理性一般、科学、较全面符合本项目的项目需求的该项得5分；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（3）方案内容不合理、不科学、不全面不能满足本项目的项目需求的该项得 3 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（4）不提供或者经评标委员会认定非常差的不得分。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2.能够结合项目情况制定符合发展规划与目标的服务宗旨和服务理念，且宗旨和理念具有较好可读性与宣传性。</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（1）方案内容完整、具体、合理、切实可行优于本项目的项目需求的该项得7分；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（2）方案内容合理性一般、科学、较全面符合本项目的项目需求的该项得5分；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（3）方案内容不合理、不科学、不全面不能满足本项目的项目需求的该项得 3 分；</w:t>
            </w:r>
            <w:r/>
          </w:p>
          <w:p>
            <w:pPr>
              <w:numPr>
                <w:ilvl w:val="0"/>
                <w:numId w:val="0"/>
              </w:numPr>
              <w:spacing w:line="400" w:lineRule="exact"/>
              <w:rPr>
                <w:rFonts w:hint="eastAsia"/>
                <w:lang w:val="en-US" w:eastAsia="zh-CN"/>
              </w:rPr>
            </w:pPr>
            <w:r>
              <w:rPr>
                <w:rFonts w:hint="eastAsia" w:ascii="宋体" w:hAnsi="宋体"/>
                <w:sz w:val="24"/>
                <w:szCs w:val="24"/>
                <w:highlight w:val="none"/>
                <w:lang w:val="en-US" w:eastAsia="zh-CN"/>
              </w:rPr>
              <w:t xml:space="preserve">（4）不提供或者经评标委员会认定非常差的不得分。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3.投标供应商针对本项目平台运营及呼叫中心管理提供管理制度方案，包括着装规范、行为规范、工作环境规范等，方案完善全面，适用性强。</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（1）方案内容完整、具体、合理、切实可行优于本项目的项目需求的该项得8分；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（2）方案内容合理性一般、科学、较全面符合本项目的项目需求的该项得6分；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（3）方案内容不合理、不科学、不全面不能满足本项目的项目需求的该项得 4 分；</w:t>
            </w:r>
            <w:r/>
          </w:p>
          <w:p>
            <w:pPr>
              <w:numPr>
                <w:ilvl w:val="0"/>
                <w:numId w:val="0"/>
              </w:numPr>
              <w:spacing w:line="400" w:lineRule="exact"/>
              <w:rPr>
                <w:rFonts w:hint="eastAsia"/>
                <w:lang w:val="en-US" w:eastAsia="zh-CN"/>
              </w:rPr>
            </w:pPr>
            <w:r>
              <w:rPr>
                <w:rFonts w:hint="eastAsia" w:ascii="宋体" w:hAnsi="宋体"/>
                <w:sz w:val="24"/>
                <w:szCs w:val="24"/>
                <w:highlight w:val="none"/>
                <w:lang w:val="en-US" w:eastAsia="zh-CN"/>
              </w:rPr>
              <w:t xml:space="preserve">（4）不提供或者经评标委员会认定非常差的不得分。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4.投标供应商针对本项目服务对象及服务特点，制定针对性话术规范方案，应考虑各种不同处理场景的应对话术。方案完善全面，适用性强。</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（1）方案内容完整、具体、合理、切实可行优于本项目的项目需求的该项得8分；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（2）方案内容合理性一般、科学、较全面符合本项目的项目需求的该项得6分；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（3）方案内容不合理、不科学、不全面不能满足本项目的项目需求的该项得 4分；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（4）不提供或者经评标委员会认定非常差的不得分。</w:t>
            </w:r>
            <w:r/>
          </w:p>
          <w:p>
            <w:pPr>
              <w:numPr>
                <w:ilvl w:val="0"/>
                <w:numId w:val="0"/>
              </w:numPr>
              <w:spacing w:line="400" w:lineRule="exact"/>
              <w:rPr>
                <w:rFonts w:hint="eastAsia" w:ascii="宋体" w:hAnsi="宋体"/>
                <w:sz w:val="24"/>
                <w:szCs w:val="24"/>
                <w:highlight w:val="none"/>
                <w:lang w:eastAsia="zh-CN"/>
              </w:rPr>
            </w:pPr>
            <w:r>
              <w:rPr>
                <w:rFonts w:hint="eastAsia" w:ascii="宋体" w:hAnsi="宋体" w:eastAsia="宋体" w:cs="Times New Roman"/>
                <w:sz w:val="24"/>
                <w:szCs w:val="24"/>
                <w:highlight w:val="none"/>
                <w:lang w:val="en-US" w:eastAsia="zh-CN"/>
              </w:rPr>
              <w:t xml:space="preserve">5.针对岗前培训方案、人员培训管理方案进行评审，从方案完整性、科学合理性、切实可行性等方面</w:t>
            </w:r>
            <w:r>
              <w:rPr>
                <w:rFonts w:hint="eastAsia" w:ascii="宋体" w:hAnsi="宋体"/>
                <w:sz w:val="24"/>
                <w:szCs w:val="24"/>
                <w:highlight w:val="none"/>
                <w:lang w:eastAsia="zh-CN"/>
              </w:rPr>
              <w:t xml:space="preserve">。</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（1）方案内容完整、具体、合理、切实可行优于本项目的项目需求的该项得7分；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（2）方案内容合理性一般、科学、较全面符合本项目的项目需求的该项得5分；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（3）方案内容不合理、不科学、不全面不能满足本项目的项目需求的该项得 3 分；</w:t>
            </w:r>
            <w:r/>
          </w:p>
          <w:p>
            <w:pPr>
              <w:numPr>
                <w:ilvl w:val="0"/>
                <w:numId w:val="0"/>
              </w:numPr>
              <w:spacing w:line="400" w:lineRule="exact"/>
              <w:rPr>
                <w:rFonts w:hint="eastAsia"/>
                <w:lang w:val="en-US" w:eastAsia="zh-CN"/>
              </w:rPr>
            </w:pPr>
            <w:r>
              <w:rPr>
                <w:rFonts w:hint="eastAsia" w:ascii="宋体" w:hAnsi="宋体"/>
                <w:sz w:val="24"/>
                <w:szCs w:val="24"/>
                <w:highlight w:val="none"/>
                <w:lang w:val="en-US" w:eastAsia="zh-CN"/>
              </w:rPr>
              <w:t xml:space="preserve">（4）不提供或者经评标委员会认定非常差的不得分。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6.投标人提供数据安全能力、数据安全标准、数据安全服务、数据安全管理等方面，方案全面完整、科学合理。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（1）方案内容完整、具体、合理、切实可行优于本项目的项目需求的该项得8分；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（2）方案内容合理性一般、科学、较全面符合本项目的项目需求的该项得6分；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（3）方案内容不合理、不科学、不全面不能满足本项目的项目需求的该项得4 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（4）不提供或者经评标委员会认定非常差的不得分。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7.投标人对应急管理总则、预警和预防机制、应急处理程序、保障措施方案全面完整、科学合理。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（1）方案内容完整、具体、合理、切实可行优于本项目的项目需求的该项得8分；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（2）方案内容合理性一般、科学、较全面符合本项目的项目需求的该项得6分；</w:t>
            </w:r>
            <w:r/>
          </w:p>
          <w:p>
            <w:pPr>
              <w:numPr>
                <w:ilvl w:val="0"/>
                <w:numId w:val="0"/>
              </w:numP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（3）方案内容不合理、不科学、不全面不能满足本项目的项目需求的该项得 4 分；</w:t>
            </w:r>
            <w:r/>
          </w:p>
          <w:p>
            <w:pPr>
              <w:numPr>
                <w:ilvl w:val="0"/>
                <w:numId w:val="0"/>
              </w:numPr>
              <w:spacing w:line="400" w:lineRule="exact"/>
              <w:rPr>
                <w:rFonts w:hint="eastAsia"/>
                <w:lang w:val="en-US" w:eastAsia="zh-CN"/>
              </w:rPr>
            </w:pPr>
            <w:r>
              <w:rPr>
                <w:rFonts w:hint="eastAsia" w:ascii="宋体" w:hAnsi="宋体"/>
                <w:sz w:val="24"/>
                <w:szCs w:val="24"/>
                <w:highlight w:val="none"/>
                <w:lang w:val="en-US" w:eastAsia="zh-CN"/>
              </w:rPr>
              <w:t xml:space="preserve">（4）不提供或者经评标委员会认定非常差的不得分。</w:t>
            </w:r>
            <w:r/>
          </w:p>
        </w:tc>
      </w:tr>
    </w:tbl>
    <w:p>
      <w:pPr>
        <w:pStyle w:val="862"/>
        <w:jc w:val="both"/>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pStyle w:val="86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t xml:space="preserve"> </w: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6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2"/>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862"/>
        <w:jc w:val="center"/>
        <w:spacing w:beforeAutospacing="0" w:afterAutospacing="0"/>
        <w:rPr>
          <w:highlight w:val="none"/>
        </w:rPr>
      </w:pPr>
      <w:r/>
      <w:bookmarkStart w:id="185" w:name="_Toc26554094"/>
      <w:r/>
      <w:bookmarkEnd w:id="185"/>
      <w:r/>
      <w:bookmarkStart w:id="186" w:name="_Hlt26671244"/>
      <w:r/>
      <w:bookmarkEnd w:id="186"/>
      <w:r/>
      <w:bookmarkStart w:id="187" w:name="_Hlt26955039"/>
      <w:r/>
      <w:bookmarkEnd w:id="187"/>
      <w:r/>
      <w:bookmarkStart w:id="188" w:name="_Toc120614282"/>
      <w:r/>
      <w:bookmarkStart w:id="189" w:name="_Toc49090576"/>
      <w:r>
        <w:rPr>
          <w:rFonts w:hint="eastAsia" w:ascii="宋体" w:hAnsi="宋体" w:eastAsia="宋体" w:cs="宋体"/>
          <w:b/>
          <w:color w:val="000000"/>
          <w:sz w:val="72"/>
          <w:szCs w:val="72"/>
          <w:highlight w:val="none"/>
        </w:rPr>
        <w:t xml:space="preserve">投  标  文  件</w:t>
      </w:r>
      <w:r/>
    </w:p>
    <w:p>
      <w:pPr>
        <w:pStyle w:val="862"/>
        <w:jc w:val="center"/>
        <w:spacing w:beforeAutospacing="0" w:afterAutospacing="0"/>
        <w:rPr>
          <w:highlight w:val="none"/>
        </w:rPr>
      </w:pPr>
      <w:r>
        <w:rPr>
          <w:highlight w:val="none"/>
        </w:rPr>
        <w:t xml:space="preserve"> </w:t>
      </w:r>
      <w:r/>
    </w:p>
    <w:p>
      <w:pPr>
        <w:pStyle w:val="862"/>
        <w:jc w:val="center"/>
        <w:spacing w:beforeAutospacing="0" w:afterAutospacing="0"/>
        <w:rPr>
          <w:highlight w:val="none"/>
        </w:rPr>
      </w:pPr>
      <w:r>
        <w:rPr>
          <w:highlight w:val="none"/>
        </w:rPr>
        <w:t xml:space="preserve"> </w:t>
      </w:r>
      <w:r/>
    </w:p>
    <w:p>
      <w:pPr>
        <w:pStyle w:val="862"/>
        <w:jc w:val="center"/>
        <w:spacing w:beforeAutospacing="0" w:afterAutospacing="0"/>
        <w:rPr>
          <w:highlight w:val="none"/>
        </w:rPr>
      </w:pPr>
      <w:r>
        <w:rPr>
          <w:highlight w:val="none"/>
        </w:rPr>
        <w:t xml:space="preserve"> </w:t>
      </w:r>
      <w:r/>
    </w:p>
    <w:p>
      <w:pPr>
        <w:pStyle w:val="862"/>
        <w:jc w:val="center"/>
        <w:spacing w:beforeAutospacing="0" w:afterAutospacing="0"/>
        <w:rPr>
          <w:highlight w:val="none"/>
        </w:rPr>
      </w:pPr>
      <w:r>
        <w:rPr>
          <w:highlight w:val="none"/>
        </w:rPr>
        <w:t xml:space="preserve"> </w:t>
      </w:r>
      <w:r/>
    </w:p>
    <w:p>
      <w:pPr>
        <w:pStyle w:val="862"/>
        <w:jc w:val="center"/>
        <w:spacing w:beforeAutospacing="0" w:afterAutospacing="0"/>
        <w:rPr>
          <w:highlight w:val="none"/>
        </w:rPr>
      </w:pPr>
      <w:r>
        <w:rPr>
          <w:highlight w:val="none"/>
        </w:rPr>
        <w:t xml:space="preserve"> </w:t>
      </w:r>
      <w:r/>
    </w:p>
    <w:p>
      <w:pPr>
        <w:pStyle w:val="862"/>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62"/>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862"/>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862"/>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62"/>
        <w:jc w:val="center"/>
        <w:spacing w:beforeAutospacing="0" w:afterAutospacing="0" w:line="0" w:lineRule="atLeast"/>
        <w:rPr>
          <w:highlight w:val="none"/>
        </w:rPr>
      </w:pPr>
      <w:r>
        <w:rPr>
          <w:highlight w:val="none"/>
        </w:rPr>
        <w:t xml:space="preserve"> </w:t>
      </w:r>
      <w:r/>
    </w:p>
    <w:p>
      <w:pPr>
        <w:pStyle w:val="862"/>
        <w:jc w:val="both"/>
        <w:spacing w:beforeAutospacing="0" w:afterAutospacing="0" w:line="0" w:lineRule="atLeast"/>
        <w:rPr>
          <w:highlight w:val="none"/>
        </w:rPr>
      </w:pPr>
      <w:r>
        <w:rPr>
          <w:highlight w:val="none"/>
        </w:rPr>
        <w:t xml:space="preserve"> </w:t>
      </w:r>
      <w:r/>
    </w:p>
    <w:p>
      <w:pPr>
        <w:pStyle w:val="86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clear="all"/>
      </w:r>
      <w:r/>
    </w:p>
    <w:p>
      <w:pPr>
        <w:pStyle w:val="86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2"/>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62"/>
        <w:jc w:val="center"/>
        <w:spacing w:beforeAutospacing="0" w:afterAutospacing="0" w:line="0" w:lineRule="atLeast"/>
        <w:rPr>
          <w:highlight w:val="none"/>
        </w:rPr>
      </w:pPr>
      <w:r>
        <w:rPr>
          <w:highlight w:val="none"/>
        </w:rPr>
        <w:t xml:space="preserve"> </w:t>
      </w:r>
      <w:r/>
    </w:p>
    <w:p>
      <w:pPr>
        <w:pStyle w:val="862"/>
        <w:ind w:left="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二、上一年度的财务状况报告（投标人成立不满一年无需提供）</w:t>
      </w:r>
      <w:r/>
    </w:p>
    <w:p>
      <w:pPr>
        <w:pStyle w:val="862"/>
        <w:ind w:left="480"/>
        <w:jc w:val="both"/>
        <w:keepLines w:val="0"/>
        <w:keepNext w:val="0"/>
        <w:pageBreakBefore w:val="0"/>
        <w:spacing w:beforeAutospacing="0" w:afterAutospacing="0" w:line="360" w:lineRule="auto"/>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62"/>
        <w:ind w:left="480"/>
        <w:jc w:val="both"/>
        <w:keepLines w:val="0"/>
        <w:keepNext w:val="0"/>
        <w:pageBreakBefore w:val="0"/>
        <w:spacing w:beforeAutospacing="0" w:afterAutospacing="0" w:line="360" w:lineRule="auto"/>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2"/>
        <w:ind w:left="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62"/>
        <w:ind w:left="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62"/>
        <w:ind w:left="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862"/>
        <w:ind w:left="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862"/>
        <w:ind w:firstLine="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62"/>
        <w:ind w:firstLine="480"/>
        <w:jc w:val="both"/>
        <w:keepLines w:val="0"/>
        <w:keepNext w:val="0"/>
        <w:pageBreakBefore w:val="0"/>
        <w:spacing w:beforeAutospacing="0" w:afterAutospacing="0" w:line="360" w:lineRule="auto"/>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62"/>
        <w:ind w:firstLine="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、投标分项报价表</w:t>
      </w:r>
      <w:r/>
    </w:p>
    <w:p>
      <w:pPr>
        <w:pStyle w:val="862"/>
        <w:ind w:firstLine="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、技术要求响应及偏离表</w:t>
      </w:r>
      <w:r/>
    </w:p>
    <w:p>
      <w:pPr>
        <w:pStyle w:val="862"/>
        <w:ind w:firstLine="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p>
    <w:p>
      <w:pPr>
        <w:pStyle w:val="862"/>
        <w:ind w:left="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pStyle w:val="862"/>
        <w:ind w:firstLine="480"/>
        <w:jc w:val="both"/>
        <w:keepLines w:val="0"/>
        <w:keepNext w:val="0"/>
        <w:pageBreakBefore w:val="0"/>
        <w:spacing w:beforeAutospacing="0" w:afterAutospacing="0" w:line="360" w:lineRule="auto"/>
        <w:widowControl w:val="off"/>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、盐城市政府采购事前信用承诺书</w:t>
      </w:r>
      <w:r/>
    </w:p>
    <w:p>
      <w:pPr>
        <w:pStyle w:val="862"/>
        <w:ind w:firstLine="480"/>
        <w:jc w:val="both"/>
        <w:keepLines w:val="0"/>
        <w:keepNext w:val="0"/>
        <w:pageBreakBefore w:val="0"/>
        <w:spacing w:beforeAutospacing="0" w:afterAutospacing="0" w:line="360" w:lineRule="auto"/>
        <w:widowControl w:val="off"/>
        <w:rPr>
          <w:rFonts w:ascii="宋体" w:hAnsi="宋体" w:eastAsia="宋体" w:cs="宋体"/>
          <w:color w:val="000000"/>
          <w:highlight w:val="none"/>
        </w:rPr>
      </w:pPr>
      <w:r>
        <w:rPr>
          <w:rFonts w:ascii="宋体" w:hAnsi="宋体" w:eastAsia="宋体" w:cs="宋体"/>
          <w:color w:val="000000"/>
          <w:highlight w:val="none"/>
        </w:rPr>
      </w:r>
      <w:r/>
    </w:p>
    <w:p>
      <w:pPr>
        <w:pStyle w:val="862"/>
        <w:ind w:firstLine="480"/>
        <w:jc w:val="both"/>
        <w:keepLines w:val="0"/>
        <w:keepNext w:val="0"/>
        <w:pageBreakBefore w:val="0"/>
        <w:spacing w:beforeAutospacing="0" w:afterAutospacing="0" w:line="360" w:lineRule="auto"/>
        <w:widowControl w:val="off"/>
        <w:rPr>
          <w:rFonts w:ascii="宋体" w:hAnsi="宋体" w:eastAsia="宋体" w:cs="宋体"/>
          <w:color w:val="000000"/>
          <w:highlight w:val="none"/>
        </w:rPr>
      </w:pPr>
      <w:r>
        <w:rPr>
          <w:rFonts w:ascii="宋体" w:hAnsi="宋体" w:eastAsia="宋体" w:cs="宋体"/>
          <w:color w:val="000000"/>
          <w:highlight w:val="none"/>
        </w:rPr>
      </w:r>
      <w:r/>
    </w:p>
    <w:p>
      <w:pPr>
        <w:pStyle w:val="862"/>
        <w:ind w:firstLine="480"/>
        <w:jc w:val="both"/>
        <w:spacing w:beforeAutospacing="0" w:afterAutospacing="0" w:line="0" w:lineRule="atLeast"/>
        <w:rPr>
          <w:highlight w:val="none"/>
        </w:rPr>
      </w:pPr>
      <w:r>
        <w:rPr>
          <w:highlight w:val="none"/>
        </w:rPr>
        <w:t xml:space="preserve"> </w:t>
      </w:r>
      <w:r/>
    </w:p>
    <w:p>
      <w:pPr>
        <w:pStyle w:val="862"/>
        <w:ind w:firstLine="480"/>
        <w:jc w:val="both"/>
        <w:spacing w:beforeAutospacing="0" w:afterAutospacing="0" w:line="0" w:lineRule="atLeast"/>
        <w:rPr>
          <w:highlight w:val="none"/>
        </w:rPr>
      </w:pPr>
      <w:r>
        <w:rPr>
          <w:highlight w:val="none"/>
        </w:rPr>
        <w:t xml:space="preserve"> </w:t>
      </w:r>
      <w:r/>
    </w:p>
    <w:p>
      <w:pPr>
        <w:pStyle w:val="862"/>
        <w:ind w:firstLine="480"/>
        <w:jc w:val="both"/>
        <w:spacing w:beforeAutospacing="0" w:afterAutospacing="0" w:line="0" w:lineRule="atLeast"/>
        <w:rPr>
          <w:highlight w:val="none"/>
        </w:rPr>
      </w:pPr>
      <w:r>
        <w:rPr>
          <w:highlight w:val="none"/>
        </w:rPr>
        <w:t xml:space="preserve"> </w:t>
      </w:r>
      <w:r/>
    </w:p>
    <w:p>
      <w:pPr>
        <w:pStyle w:val="862"/>
        <w:ind w:firstLine="480"/>
        <w:jc w:val="both"/>
        <w:spacing w:beforeAutospacing="0" w:afterAutospacing="0" w:line="0" w:lineRule="atLeast"/>
        <w:rPr>
          <w:highlight w:val="none"/>
        </w:rPr>
      </w:pPr>
      <w:r>
        <w:rPr>
          <w:highlight w:val="none"/>
        </w:rPr>
        <w:t xml:space="preserve"> </w:t>
      </w:r>
      <w:r/>
    </w:p>
    <w:p>
      <w:pPr>
        <w:pStyle w:val="862"/>
        <w:ind w:firstLine="480"/>
        <w:jc w:val="both"/>
        <w:spacing w:beforeAutospacing="0" w:afterAutospacing="0" w:line="0" w:lineRule="atLeast"/>
        <w:rPr>
          <w:highlight w:val="none"/>
        </w:rPr>
      </w:pPr>
      <w:r>
        <w:rPr>
          <w:highlight w:val="none"/>
        </w:rPr>
      </w:r>
      <w:r/>
    </w:p>
    <w:p>
      <w:pPr>
        <w:pStyle w:val="862"/>
        <w:ind w:firstLine="480"/>
        <w:jc w:val="both"/>
        <w:spacing w:beforeAutospacing="0" w:afterAutospacing="0" w:line="0" w:lineRule="atLeast"/>
        <w:rPr>
          <w:highlight w:val="none"/>
        </w:rPr>
      </w:pPr>
      <w:r>
        <w:rPr>
          <w:highlight w:val="none"/>
        </w:rPr>
      </w:r>
      <w:r/>
    </w:p>
    <w:p>
      <w:pPr>
        <w:pStyle w:val="862"/>
        <w:ind w:firstLine="480"/>
        <w:jc w:val="both"/>
        <w:spacing w:beforeAutospacing="0" w:afterAutospacing="0" w:line="0" w:lineRule="atLeast"/>
        <w:rPr>
          <w:highlight w:val="none"/>
        </w:rPr>
      </w:pPr>
      <w:r>
        <w:rPr>
          <w:highlight w:val="none"/>
        </w:rPr>
      </w:r>
      <w:r/>
    </w:p>
    <w:p>
      <w:pPr>
        <w:pStyle w:val="862"/>
        <w:ind w:firstLine="480"/>
        <w:jc w:val="both"/>
        <w:spacing w:beforeAutospacing="0" w:afterAutospacing="0" w:line="0" w:lineRule="atLeast"/>
        <w:rPr>
          <w:highlight w:val="none"/>
        </w:rPr>
      </w:pPr>
      <w:r>
        <w:rPr>
          <w:highlight w:val="none"/>
        </w:rPr>
      </w:r>
      <w:r/>
    </w:p>
    <w:p>
      <w:pPr>
        <w:pStyle w:val="862"/>
        <w:ind w:firstLine="480"/>
        <w:jc w:val="both"/>
        <w:spacing w:beforeAutospacing="0" w:afterAutospacing="0" w:line="0" w:lineRule="atLeast"/>
        <w:rPr>
          <w:highlight w:val="none"/>
        </w:rPr>
      </w:pPr>
      <w:r>
        <w:rPr>
          <w:highlight w:val="none"/>
        </w:rPr>
      </w:r>
      <w:r/>
    </w:p>
    <w:p>
      <w:pPr>
        <w:pStyle w:val="862"/>
        <w:ind w:firstLine="480"/>
        <w:jc w:val="both"/>
        <w:spacing w:beforeAutospacing="0" w:afterAutospacing="0" w:line="0" w:lineRule="atLeast"/>
        <w:rPr>
          <w:highlight w:val="none"/>
        </w:rPr>
      </w:pPr>
      <w:r>
        <w:rPr>
          <w:highlight w:val="none"/>
        </w:rPr>
      </w:r>
      <w:r/>
    </w:p>
    <w:p>
      <w:pPr>
        <w:pStyle w:val="862"/>
        <w:ind w:firstLine="480"/>
        <w:jc w:val="both"/>
        <w:spacing w:beforeAutospacing="0" w:afterAutospacing="0" w:line="0" w:lineRule="atLeast"/>
        <w:rPr>
          <w:highlight w:val="none"/>
        </w:rPr>
      </w:pPr>
      <w:r>
        <w:rPr>
          <w:highlight w:val="none"/>
        </w:rPr>
      </w:r>
      <w:r/>
    </w:p>
    <w:p>
      <w:pPr>
        <w:pStyle w:val="862"/>
        <w:ind w:firstLine="480"/>
        <w:jc w:val="both"/>
        <w:spacing w:beforeAutospacing="0" w:afterAutospacing="0" w:line="0" w:lineRule="atLeast"/>
        <w:rPr>
          <w:highlight w:val="none"/>
        </w:rPr>
      </w:pPr>
      <w:r>
        <w:rPr>
          <w:highlight w:val="none"/>
        </w:rPr>
      </w:r>
      <w:r/>
    </w:p>
    <w:p>
      <w:pPr>
        <w:pStyle w:val="862"/>
        <w:jc w:val="both"/>
        <w:spacing w:beforeAutospacing="0" w:afterAutospacing="0" w:line="0" w:lineRule="atLeast"/>
        <w:rPr>
          <w:highlight w:val="none"/>
        </w:rPr>
      </w:pPr>
      <w:r>
        <w:rPr>
          <w:highlight w:val="none"/>
        </w:rPr>
      </w:r>
      <w:r/>
    </w:p>
    <w:p>
      <w:pPr>
        <w:pStyle w:val="86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62"/>
        <w:ind w:firstLine="480"/>
        <w:jc w:val="both"/>
        <w:spacing w:beforeAutospacing="0" w:afterAutospacing="0" w:line="0" w:lineRule="atLeast"/>
        <w:rPr>
          <w:highlight w:val="none"/>
        </w:rPr>
      </w:pPr>
      <w:r>
        <w:rPr>
          <w:highlight w:val="none"/>
        </w:rPr>
        <w:t xml:space="preserve"> </w:t>
      </w:r>
      <w:r/>
    </w:p>
    <w:p>
      <w:pPr>
        <w:pStyle w:val="862"/>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862"/>
        <w:ind w:firstLine="480"/>
        <w:jc w:val="both"/>
        <w:spacing w:beforeAutospacing="0" w:afterAutospacing="0" w:line="0" w:lineRule="atLeast"/>
        <w:rPr>
          <w:highlight w:val="none"/>
        </w:rPr>
      </w:pPr>
      <w:r>
        <w:rPr>
          <w:highlight w:val="none"/>
        </w:rPr>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62"/>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62"/>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2"/>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62"/>
        <w:ind w:firstLine="480"/>
        <w:jc w:val="both"/>
        <w:spacing w:beforeAutospacing="0" w:afterAutospacing="0"/>
        <w:rPr>
          <w:highlight w:val="none"/>
        </w:rPr>
      </w:pPr>
      <w:r/>
      <w:bookmarkStart w:id="190"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0"/>
      <w:r/>
      <w:r/>
    </w:p>
    <w:p>
      <w:pPr>
        <w:pStyle w:val="86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6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62"/>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62"/>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62"/>
        <w:jc w:val="both"/>
        <w:spacing w:beforeAutospacing="0" w:afterAutospacing="0" w:line="0" w:lineRule="atLeast"/>
        <w:rPr>
          <w:highlight w:val="none"/>
        </w:rPr>
      </w:pPr>
      <w:r>
        <w:rPr>
          <w:highlight w:val="none"/>
        </w:rPr>
        <w:t xml:space="preserve"> </w:t>
      </w:r>
      <w:r/>
    </w:p>
    <w:p>
      <w:pPr>
        <w:pStyle w:val="86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2"/>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rPr>
          <w:rFonts w:ascii="黑体" w:hAnsi="宋体" w:eastAsia="黑体" w:cs="黑体"/>
          <w:i/>
          <w:color w:val="000000"/>
          <w:sz w:val="32"/>
          <w:szCs w:val="32"/>
          <w:highlight w:val="none"/>
          <w:u w:val="single"/>
        </w:rPr>
      </w:r>
      <w:r/>
    </w:p>
    <w:p>
      <w:pPr>
        <w:pStyle w:val="862"/>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r/>
    </w:p>
    <w:p>
      <w:pPr>
        <w:pStyle w:val="862"/>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r/>
    </w:p>
    <w:p>
      <w:pPr>
        <w:pStyle w:val="862"/>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r/>
    </w:p>
    <w:p>
      <w:pPr>
        <w:pStyle w:val="862"/>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r/>
    </w:p>
    <w:p>
      <w:pPr>
        <w:pStyle w:val="862"/>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r/>
    </w:p>
    <w:p>
      <w:pPr>
        <w:pStyle w:val="862"/>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p>
    <w:p>
      <w:pPr>
        <w:pStyle w:val="862"/>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862"/>
        <w:ind w:firstLine="480"/>
        <w:jc w:val="both"/>
        <w:keepLines w:val="0"/>
        <w:keepNext w:val="0"/>
        <w:pageBreakBefore w:val="0"/>
        <w:spacing w:beforeAutospacing="0" w:afterAutospacing="0" w:line="360" w:lineRule="auto"/>
        <w:widowControl w:val="off"/>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ascii="Times New Roman" w:hAnsi="Times New Roman"/>
          <w:color w:val="000000"/>
          <w:highlight w:val="none"/>
        </w:rPr>
        <w:t xml:space="preserve">JSZC-320922-YTGC-G2026-0014</w:t>
      </w:r>
      <w:r>
        <w:rPr>
          <w:rFonts w:ascii="Times New Roman" w:hAnsi="Times New Roman"/>
          <w:color w:val="000000"/>
          <w:highlight w:val="none"/>
        </w:rPr>
        <w:t xml:space="preserve">号项目采购活动的合法代理人，以本单位名义全权处理一切与该项目采购有关的事务。</w:t>
      </w:r>
      <w:r/>
    </w:p>
    <w:p>
      <w:pPr>
        <w:pStyle w:val="862"/>
        <w:ind w:firstLine="480"/>
        <w:jc w:val="both"/>
        <w:keepLines w:val="0"/>
        <w:keepNext w:val="0"/>
        <w:pageBreakBefore w:val="0"/>
        <w:spacing w:beforeAutospacing="0" w:afterAutospacing="0" w:line="360" w:lineRule="auto"/>
        <w:widowControl w:val="off"/>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62"/>
        <w:jc w:val="both"/>
        <w:keepLines w:val="0"/>
        <w:keepNext w:val="0"/>
        <w:pageBreakBefore w:val="0"/>
        <w:spacing w:beforeAutospacing="0" w:afterAutospacing="0" w:line="360" w:lineRule="auto"/>
        <w:widowControl w:val="off"/>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62"/>
        <w:jc w:val="both"/>
        <w:keepLines w:val="0"/>
        <w:keepNext w:val="0"/>
        <w:pageBreakBefore w:val="0"/>
        <w:spacing w:beforeAutospacing="0" w:afterAutospacing="0" w:line="360" w:lineRule="auto"/>
        <w:widowControl w:val="off"/>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62"/>
        <w:ind w:firstLine="720"/>
        <w:jc w:val="both"/>
        <w:keepLines w:val="0"/>
        <w:keepNext w:val="0"/>
        <w:pageBreakBefore w:val="0"/>
        <w:spacing w:beforeAutospacing="0" w:afterAutospacing="0" w:line="360" w:lineRule="auto"/>
        <w:widowControl w:val="off"/>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62"/>
        <w:ind w:firstLine="480"/>
        <w:jc w:val="both"/>
        <w:keepLines w:val="0"/>
        <w:keepNext w:val="0"/>
        <w:pageBreakBefore w:val="0"/>
        <w:spacing w:beforeAutospacing="0" w:afterAutospacing="0" w:line="360" w:lineRule="auto"/>
        <w:widowControl w:val="off"/>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62"/>
        <w:ind w:firstLine="480"/>
        <w:jc w:val="both"/>
        <w:keepLines w:val="0"/>
        <w:keepNext w:val="0"/>
        <w:pageBreakBefore w:val="0"/>
        <w:spacing w:beforeAutospacing="0" w:afterAutospacing="0" w:line="360" w:lineRule="auto"/>
        <w:widowControl w:val="off"/>
        <w:tabs>
          <w:tab w:val="left" w:pos="360" w:leader="none"/>
        </w:tabs>
        <w:rPr>
          <w:highlight w:val="none"/>
        </w:rPr>
      </w:pPr>
      <w:r>
        <w:rPr>
          <w:rFonts w:ascii="Times New Roman" w:hAnsi="Times New Roman"/>
          <w:color w:val="000000"/>
          <w:highlight w:val="none"/>
        </w:rPr>
        <w:t xml:space="preserve">      日期：</w:t>
      </w:r>
      <w:bookmarkStart w:id="191" w:name="_格式3__银行出具的资信证明"/>
      <w:r/>
      <w:bookmarkStart w:id="192" w:name="_Hlt26671380"/>
      <w:r/>
      <w:bookmarkStart w:id="193" w:name="_Hlt26955070"/>
      <w:r>
        <w:rPr>
          <w:rFonts w:ascii="Times New Roman" w:hAnsi="Times New Roman"/>
          <w:color w:val="000000"/>
          <w:highlight w:val="none"/>
          <w:u w:val="single"/>
        </w:rPr>
        <w:t xml:space="preserve">                                         </w:t>
      </w:r>
      <w:r/>
    </w:p>
    <w:p>
      <w:pPr>
        <w:pStyle w:val="862"/>
        <w:ind w:firstLine="420"/>
        <w:jc w:val="both"/>
        <w:keepLines w:val="0"/>
        <w:keepNext w:val="0"/>
        <w:pageBreakBefore w:val="0"/>
        <w:spacing w:beforeAutospacing="0" w:afterAutospacing="0" w:line="360" w:lineRule="auto"/>
        <w:widowControl w:val="off"/>
        <w:rPr>
          <w:highlight w:val="none"/>
        </w:rPr>
      </w:pPr>
      <w:r>
        <w:rPr>
          <w:highlight w:val="none"/>
        </w:rPr>
        <w:t xml:space="preserve"> </w:t>
      </w:r>
      <w:r/>
    </w:p>
    <w:p>
      <w:pPr>
        <w:pStyle w:val="862"/>
        <w:jc w:val="both"/>
        <w:keepLines w:val="0"/>
        <w:keepNext w:val="0"/>
        <w:pageBreakBefore w:val="0"/>
        <w:spacing w:beforeAutospacing="0" w:afterAutospacing="0" w:line="360" w:lineRule="auto"/>
        <w:widowControl w:val="off"/>
        <w:rPr>
          <w:highlight w:val="none"/>
        </w:rPr>
      </w:pPr>
      <w:r>
        <w:rPr>
          <w:highlight w:val="none"/>
        </w:rPr>
        <w:t xml:space="preserve"> </w:t>
      </w:r>
      <w:r/>
    </w:p>
    <w:p>
      <w:pPr>
        <w:pStyle w:val="862"/>
        <w:jc w:val="both"/>
        <w:spacing w:beforeAutospacing="0" w:afterAutospacing="0" w:line="0" w:lineRule="atLeast"/>
        <w:rPr>
          <w:highlight w:val="none"/>
        </w:rPr>
      </w:pPr>
      <w:r>
        <w:rPr>
          <w:highlight w:val="none"/>
        </w:rPr>
        <w:t xml:space="preserve"> </w:t>
      </w:r>
      <w:r/>
    </w:p>
    <w:p>
      <w:pPr>
        <w:pStyle w:val="862"/>
        <w:ind w:firstLine="3390"/>
        <w:jc w:val="both"/>
        <w:keepLines/>
        <w:keepNext/>
        <w:spacing w:before="260" w:beforeAutospacing="0" w:after="260" w:afterAutospacing="0" w:line="415"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62"/>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862"/>
        <w:keepLines w:val="0"/>
        <w:keepNext w:val="0"/>
        <w:pageBreakBefore w:val="0"/>
        <w:spacing w:beforeAutospacing="0" w:afterAutospacing="0" w:line="360" w:lineRule="auto"/>
        <w:widowControl w:val="off"/>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滨海县</w:t>
      </w:r>
      <w:r>
        <w:rPr>
          <w:rFonts w:hint="eastAsia" w:ascii="宋体" w:hAnsi="宋体" w:eastAsia="宋体" w:cs="宋体"/>
          <w:color w:val="000000"/>
          <w:highlight w:val="none"/>
          <w:lang w:eastAsia="zh-CN"/>
        </w:rPr>
        <w:t xml:space="preserve">民政局</w:t>
      </w:r>
      <w:r/>
    </w:p>
    <w:p>
      <w:pPr>
        <w:pStyle w:val="862"/>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rPr>
        <w:t xml:space="preserve">JSZC-320922-YTGC-G2026-0014</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862"/>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862"/>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862"/>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62"/>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62"/>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62"/>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62"/>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62"/>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7.与本投标有关的正式通讯地址为：</w:t>
      </w:r>
      <w:r/>
    </w:p>
    <w:p>
      <w:pPr>
        <w:pStyle w:val="862"/>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地          址：</w:t>
      </w:r>
      <w:r/>
    </w:p>
    <w:p>
      <w:pPr>
        <w:pStyle w:val="862"/>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邮          编：</w:t>
      </w:r>
      <w:r/>
    </w:p>
    <w:p>
      <w:pPr>
        <w:pStyle w:val="862"/>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电          话：</w:t>
      </w:r>
      <w:r/>
    </w:p>
    <w:p>
      <w:pPr>
        <w:pStyle w:val="862"/>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传          真：</w:t>
      </w:r>
      <w:r/>
    </w:p>
    <w:p>
      <w:pPr>
        <w:pStyle w:val="862"/>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投标人开户行：</w:t>
      </w:r>
      <w:r/>
    </w:p>
    <w:p>
      <w:pPr>
        <w:pStyle w:val="862"/>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账          号： </w:t>
      </w:r>
      <w:r/>
    </w:p>
    <w:p>
      <w:pPr>
        <w:pStyle w:val="862"/>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日           期：________年____月____日</w:t>
      </w:r>
      <w:r/>
    </w:p>
    <w:p>
      <w:pPr>
        <w:pStyle w:val="862"/>
        <w:ind w:firstLine="240"/>
        <w:jc w:val="center"/>
        <w:keepLines w:val="0"/>
        <w:keepNext w:val="0"/>
        <w:pageBreakBefore w:val="0"/>
        <w:spacing w:beforeAutospacing="0" w:afterAutospacing="0" w:line="360" w:lineRule="auto"/>
        <w:widowControl w:val="off"/>
        <w:rPr>
          <w:highlight w:val="none"/>
        </w:rPr>
      </w:pPr>
      <w:r>
        <w:rPr>
          <w:highlight w:val="none"/>
        </w:rPr>
        <w:t xml:space="preserve"> </w:t>
      </w:r>
      <w:r/>
    </w:p>
    <w:p>
      <w:pPr>
        <w:pStyle w:val="862"/>
        <w:ind w:firstLine="240"/>
        <w:jc w:val="center"/>
        <w:spacing w:beforeAutospacing="0" w:afterAutospacing="0" w:line="0" w:lineRule="atLeast"/>
        <w:rPr>
          <w:highlight w:val="none"/>
        </w:rPr>
      </w:pPr>
      <w:r>
        <w:rPr>
          <w:highlight w:val="none"/>
        </w:rPr>
        <w:t xml:space="preserve"> </w:t>
      </w:r>
      <w:r/>
    </w:p>
    <w:p>
      <w:pPr>
        <w:pStyle w:val="862"/>
        <w:ind w:firstLine="240"/>
        <w:jc w:val="center"/>
        <w:spacing w:beforeAutospacing="0" w:afterAutospacing="0" w:line="0" w:lineRule="atLeast"/>
        <w:rPr>
          <w:highlight w:val="none"/>
        </w:rPr>
      </w:pPr>
      <w:r>
        <w:rPr>
          <w:highlight w:val="none"/>
        </w:rPr>
        <w:t xml:space="preserve"> </w:t>
      </w:r>
      <w:r/>
    </w:p>
    <w:p>
      <w:pPr>
        <w:pStyle w:val="862"/>
        <w:ind w:firstLine="240"/>
        <w:jc w:val="center"/>
        <w:spacing w:beforeAutospacing="0" w:afterAutospacing="0" w:line="0" w:lineRule="atLeast"/>
        <w:rPr>
          <w:highlight w:val="none"/>
        </w:rPr>
      </w:pPr>
      <w:r>
        <w:rPr>
          <w:highlight w:val="none"/>
        </w:rPr>
        <w:t xml:space="preserve"> </w:t>
      </w:r>
      <w:r/>
    </w:p>
    <w:p>
      <w:pPr>
        <w:pStyle w:val="862"/>
        <w:ind w:firstLine="240"/>
        <w:jc w:val="center"/>
        <w:spacing w:beforeAutospacing="0" w:afterAutospacing="0" w:line="0" w:lineRule="atLeast"/>
        <w:rPr>
          <w:highlight w:val="none"/>
        </w:rPr>
      </w:pPr>
      <w:r>
        <w:rPr>
          <w:highlight w:val="none"/>
        </w:rPr>
        <w:t xml:space="preserve"> </w:t>
      </w:r>
      <w:r/>
    </w:p>
    <w:p>
      <w:pPr>
        <w:pStyle w:val="862"/>
        <w:ind w:firstLine="240"/>
        <w:jc w:val="center"/>
        <w:spacing w:beforeAutospacing="0" w:afterAutospacing="0" w:line="0" w:lineRule="atLeast"/>
        <w:rPr>
          <w:highlight w:val="none"/>
        </w:rPr>
      </w:pPr>
      <w:r>
        <w:rPr>
          <w:highlight w:val="none"/>
        </w:rPr>
      </w:r>
      <w:r/>
    </w:p>
    <w:p>
      <w:pPr>
        <w:pStyle w:val="862"/>
        <w:ind w:firstLine="240"/>
        <w:jc w:val="center"/>
        <w:spacing w:beforeAutospacing="0" w:afterAutospacing="0" w:line="0" w:lineRule="atLeast"/>
        <w:rPr>
          <w:highlight w:val="none"/>
        </w:rPr>
      </w:pPr>
      <w:r>
        <w:rPr>
          <w:highlight w:val="none"/>
        </w:rPr>
      </w:r>
      <w:r/>
    </w:p>
    <w:p>
      <w:pPr>
        <w:pStyle w:val="862"/>
        <w:ind w:firstLine="240"/>
        <w:jc w:val="center"/>
        <w:spacing w:beforeAutospacing="0" w:afterAutospacing="0" w:line="0" w:lineRule="atLeast"/>
        <w:rPr>
          <w:highlight w:val="none"/>
        </w:rPr>
      </w:pPr>
      <w:r>
        <w:rPr>
          <w:highlight w:val="none"/>
        </w:rPr>
      </w:r>
      <w:r/>
    </w:p>
    <w:p>
      <w:pPr>
        <w:pStyle w:val="862"/>
        <w:ind w:firstLine="240"/>
        <w:jc w:val="center"/>
        <w:spacing w:beforeAutospacing="0" w:afterAutospacing="0" w:line="0" w:lineRule="atLeast"/>
        <w:rPr>
          <w:highlight w:val="none"/>
        </w:rPr>
      </w:pPr>
      <w:r>
        <w:rPr>
          <w:highlight w:val="none"/>
        </w:rPr>
      </w:r>
      <w:r/>
    </w:p>
    <w:p>
      <w:pPr>
        <w:pStyle w:val="862"/>
        <w:ind w:firstLine="240"/>
        <w:jc w:val="center"/>
        <w:spacing w:beforeAutospacing="0" w:afterAutospacing="0" w:line="0" w:lineRule="atLeast"/>
        <w:rPr>
          <w:highlight w:val="none"/>
        </w:rPr>
      </w:pPr>
      <w:r>
        <w:rPr>
          <w:highlight w:val="none"/>
        </w:rPr>
      </w:r>
      <w:r/>
    </w:p>
    <w:p>
      <w:pPr>
        <w:pStyle w:val="862"/>
        <w:jc w:val="both"/>
        <w:spacing w:beforeAutospacing="0" w:afterAutospacing="0" w:line="0" w:lineRule="atLeast"/>
        <w:rPr>
          <w:highlight w:val="none"/>
        </w:rPr>
      </w:pPr>
      <w:r>
        <w:rPr>
          <w:highlight w:val="none"/>
        </w:rPr>
        <w:t xml:space="preserve"> </w:t>
      </w:r>
      <w:r/>
    </w:p>
    <w:p>
      <w:pPr>
        <w:pStyle w:val="862"/>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val="en-US" w:eastAsia="zh-CN"/>
        </w:rPr>
        <w:t xml:space="preserve">滨海县民政局</w:t>
      </w:r>
      <w:r>
        <w:rPr>
          <w:rFonts w:hint="eastAsia"/>
          <w:color w:val="auto"/>
          <w:sz w:val="24"/>
          <w:highlight w:val="none"/>
        </w:rPr>
        <w:t xml:space="preserve">组织的</w:t>
      </w:r>
      <w:r>
        <w:rPr>
          <w:rFonts w:hint="eastAsia"/>
          <w:color w:val="auto"/>
          <w:sz w:val="24"/>
          <w:highlight w:val="none"/>
        </w:rPr>
        <w:t xml:space="preserve">采购编号为</w:t>
      </w:r>
      <w:r>
        <w:rPr>
          <w:rFonts w:hint="eastAsia"/>
          <w:color w:val="auto"/>
          <w:sz w:val="24"/>
          <w:highlight w:val="none"/>
          <w:u w:val="single"/>
        </w:rPr>
        <w:t xml:space="preserve">JSZC-320922-YTGC-G2026-0014</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62"/>
        <w:ind w:right="720"/>
        <w:jc w:val="both"/>
        <w:spacing w:beforeAutospacing="0" w:afterAutospacing="0" w:line="0" w:lineRule="atLeast"/>
        <w:rPr>
          <w:color w:val="auto"/>
          <w:highlight w:val="none"/>
        </w:rPr>
      </w:pPr>
      <w:r>
        <w:rPr>
          <w:color w:val="auto"/>
          <w:highlight w:val="none"/>
        </w:rPr>
        <w:t xml:space="preserve"> </w:t>
      </w:r>
      <w:r/>
    </w:p>
    <w:p>
      <w:pPr>
        <w:pStyle w:val="862"/>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62"/>
        <w:ind w:right="480" w:firstLine="641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62"/>
        <w:ind w:firstLine="240"/>
        <w:jc w:val="both"/>
        <w:spacing w:beforeAutospacing="0" w:afterAutospacing="0" w:line="0" w:lineRule="atLeast"/>
        <w:rPr>
          <w:color w:val="auto"/>
          <w:highlight w:val="none"/>
        </w:rPr>
      </w:pPr>
      <w:r>
        <w:rPr>
          <w:color w:val="auto"/>
          <w:highlight w:val="none"/>
        </w:rPr>
        <w:t xml:space="preserve"> </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62"/>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62"/>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 </w:t>
      </w:r>
      <w:r/>
    </w:p>
    <w:p>
      <w:pPr>
        <w:pStyle w:val="862"/>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w:t>
      </w:r>
      <w:r/>
    </w:p>
    <w:p>
      <w:pPr>
        <w:pStyle w:val="862"/>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2"/>
        <w:ind w:firstLine="480"/>
        <w:jc w:val="both"/>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862"/>
        <w:ind w:firstLine="480"/>
        <w:jc w:val="both"/>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62"/>
        <w:ind w:firstLine="480"/>
        <w:jc w:val="both"/>
        <w:keepLines w:val="0"/>
        <w:keepNext w:val="0"/>
        <w:pageBreakBefore w:val="0"/>
        <w:spacing w:beforeAutospacing="0" w:afterAutospacing="0" w:line="360" w:lineRule="auto"/>
        <w:widowControl w:val="off"/>
        <w:rPr>
          <w:highlight w:val="none"/>
        </w:rPr>
      </w:pPr>
      <w:r>
        <w:rPr>
          <w:highlight w:val="none"/>
        </w:rPr>
        <w:t xml:space="preserve"> </w:t>
      </w:r>
      <w:r/>
    </w:p>
    <w:p>
      <w:pPr>
        <w:pStyle w:val="862"/>
        <w:ind w:firstLine="480"/>
        <w:jc w:val="both"/>
        <w:keepLines w:val="0"/>
        <w:keepNext w:val="0"/>
        <w:pageBreakBefore w:val="0"/>
        <w:spacing w:beforeAutospacing="0" w:afterAutospacing="0" w:line="360" w:lineRule="auto"/>
        <w:widowControl w:val="off"/>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62"/>
        <w:ind w:firstLine="480"/>
        <w:jc w:val="both"/>
        <w:keepLines w:val="0"/>
        <w:keepNext w:val="0"/>
        <w:pageBreakBefore w:val="0"/>
        <w:spacing w:beforeAutospacing="0" w:afterAutospacing="0" w:line="360" w:lineRule="auto"/>
        <w:widowControl w:val="off"/>
        <w:rPr>
          <w:rFonts w:hint="eastAsia" w:eastAsia="宋体"/>
          <w:highlight w:val="none"/>
          <w:lang w:eastAsia="zh-CN"/>
        </w:rPr>
      </w:pPr>
      <w:r>
        <w:rPr>
          <w:rFonts w:hint="eastAsia" w:ascii="宋体" w:hAnsi="宋体" w:eastAsia="宋体" w:cs="宋体"/>
          <w:color w:val="000000"/>
          <w:highlight w:val="none"/>
        </w:rPr>
        <w:t xml:space="preserve">2、中标人为残疾人福利单位的，此声明函将随中标结果同时公告，接受社会监督</w:t>
      </w:r>
      <w:r>
        <w:rPr>
          <w:rFonts w:hint="eastAsia" w:ascii="宋体" w:hAnsi="宋体" w:eastAsia="宋体" w:cs="宋体"/>
          <w:color w:val="000000"/>
          <w:highlight w:val="none"/>
          <w:lang w:eastAsia="zh-CN"/>
        </w:rPr>
        <w:t xml:space="preserve">。</w:t>
      </w:r>
      <w:r/>
    </w:p>
    <w:p>
      <w:pPr>
        <w:pStyle w:val="862"/>
        <w:ind w:firstLine="624"/>
        <w:jc w:val="both"/>
        <w:keepLines w:val="0"/>
        <w:keepNext w:val="0"/>
        <w:pageBreakBefore w:val="0"/>
        <w:spacing w:beforeAutospacing="0" w:afterAutospacing="0" w:line="360" w:lineRule="auto"/>
        <w:widowControl w:val="off"/>
        <w:rPr>
          <w:highlight w:val="none"/>
        </w:rPr>
      </w:pPr>
      <w:r>
        <w:rPr>
          <w:highlight w:val="none"/>
        </w:rPr>
        <w:t xml:space="preserve"> </w:t>
      </w:r>
      <w:r/>
    </w:p>
    <w:p>
      <w:pPr>
        <w:pStyle w:val="862"/>
        <w:ind w:right="1560" w:firstLine="624"/>
        <w:jc w:val="center"/>
        <w:keepLines w:val="0"/>
        <w:keepNext w:val="0"/>
        <w:pageBreakBefore w:val="0"/>
        <w:spacing w:beforeAutospacing="0" w:afterAutospacing="0" w:line="360" w:lineRule="auto"/>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62"/>
        <w:ind w:right="1560" w:firstLine="480"/>
        <w:jc w:val="center"/>
        <w:keepLines w:val="0"/>
        <w:keepNext w:val="0"/>
        <w:pageBreakBefore w:val="0"/>
        <w:spacing w:beforeAutospacing="0" w:afterAutospacing="0" w:line="360" w:lineRule="auto"/>
        <w:widowControl w:val="off"/>
        <w:tabs>
          <w:tab w:val="left" w:pos="4864" w:leader="none"/>
        </w:tabs>
        <w:rPr>
          <w:highlight w:val="none"/>
        </w:rPr>
      </w:pPr>
      <w:r>
        <w:rPr>
          <w:rFonts w:hint="eastAsia" w:ascii="宋体" w:hAnsi="宋体" w:eastAsia="宋体" w:cs="宋体"/>
          <w:color w:val="000000"/>
          <w:highlight w:val="none"/>
        </w:rPr>
        <w:t xml:space="preserve">        日  期：</w:t>
      </w:r>
      <w:r/>
    </w:p>
    <w:p>
      <w:pPr>
        <w:pStyle w:val="862"/>
        <w:jc w:val="center"/>
        <w:keepLines w:val="0"/>
        <w:keepNext w:val="0"/>
        <w:pageBreakBefore w:val="0"/>
        <w:spacing w:beforeAutospacing="0" w:afterAutospacing="0" w:line="360" w:lineRule="auto"/>
        <w:widowControl w:val="off"/>
        <w:rPr>
          <w:highlight w:val="none"/>
        </w:rPr>
      </w:pPr>
      <w:r>
        <w:rPr>
          <w:highlight w:val="none"/>
        </w:rPr>
        <w:t xml:space="preserve"> </w:t>
      </w:r>
      <w:r/>
    </w:p>
    <w:p>
      <w:pPr>
        <w:pStyle w:val="862"/>
        <w:jc w:val="center"/>
        <w:keepLines w:val="0"/>
        <w:keepNext w:val="0"/>
        <w:pageBreakBefore w:val="0"/>
        <w:spacing w:beforeAutospacing="0" w:afterAutospacing="0" w:line="360" w:lineRule="auto"/>
        <w:widowControl w:val="off"/>
        <w:rPr>
          <w:highlight w:val="none"/>
        </w:rPr>
      </w:pPr>
      <w:r>
        <w:rPr>
          <w:highlight w:val="none"/>
        </w:rPr>
        <w:t xml:space="preserve"> </w:t>
      </w:r>
      <w:r/>
    </w:p>
    <w:p>
      <w:pPr>
        <w:pStyle w:val="862"/>
        <w:jc w:val="center"/>
        <w:spacing w:beforeAutospacing="0" w:afterAutospacing="0" w:line="0" w:lineRule="atLeast"/>
        <w:rPr>
          <w:highlight w:val="none"/>
        </w:rPr>
      </w:pPr>
      <w:r>
        <w:rPr>
          <w:highlight w:val="none"/>
        </w:rPr>
        <w:t xml:space="preserve"> </w:t>
      </w:r>
      <w:r/>
    </w:p>
    <w:p>
      <w:pPr>
        <w:pStyle w:val="862"/>
        <w:jc w:val="center"/>
        <w:spacing w:beforeAutospacing="0" w:afterAutospacing="0" w:line="0" w:lineRule="atLeast"/>
        <w:rPr>
          <w:highlight w:val="none"/>
        </w:rPr>
      </w:pPr>
      <w:r>
        <w:rPr>
          <w:highlight w:val="none"/>
        </w:rPr>
        <w:t xml:space="preserve"> </w:t>
      </w:r>
      <w:r/>
    </w:p>
    <w:p>
      <w:pPr>
        <w:pStyle w:val="862"/>
        <w:jc w:val="center"/>
        <w:spacing w:beforeAutospacing="0" w:afterAutospacing="0" w:line="0" w:lineRule="atLeast"/>
        <w:rPr>
          <w:highlight w:val="none"/>
        </w:rPr>
      </w:pPr>
      <w:r>
        <w:rPr>
          <w:highlight w:val="none"/>
        </w:rPr>
        <w:t xml:space="preserve"> </w:t>
      </w:r>
      <w:r/>
    </w:p>
    <w:p>
      <w:pPr>
        <w:pStyle w:val="862"/>
        <w:jc w:val="center"/>
        <w:spacing w:beforeAutospacing="0" w:afterAutospacing="0" w:line="0" w:lineRule="atLeast"/>
        <w:rPr>
          <w:highlight w:val="none"/>
        </w:rPr>
      </w:pPr>
      <w:r>
        <w:rPr>
          <w:highlight w:val="none"/>
        </w:rPr>
        <w:t xml:space="preserve"> </w:t>
      </w:r>
      <w:r/>
    </w:p>
    <w:p>
      <w:pPr>
        <w:pStyle w:val="862"/>
        <w:jc w:val="center"/>
        <w:spacing w:beforeAutospacing="0" w:afterAutospacing="0" w:line="0" w:lineRule="atLeast"/>
        <w:rPr>
          <w:highlight w:val="none"/>
        </w:rPr>
      </w:pPr>
      <w:r>
        <w:rPr>
          <w:highlight w:val="none"/>
        </w:rPr>
        <w:t xml:space="preserve"> </w:t>
      </w:r>
      <w:r/>
    </w:p>
    <w:p>
      <w:pPr>
        <w:pStyle w:val="862"/>
        <w:jc w:val="center"/>
        <w:spacing w:beforeAutospacing="0" w:afterAutospacing="0" w:line="0" w:lineRule="atLeast"/>
        <w:rPr>
          <w:highlight w:val="none"/>
        </w:rPr>
      </w:pPr>
      <w:r>
        <w:rPr>
          <w:highlight w:val="none"/>
        </w:rPr>
        <w:t xml:space="preserve"> </w:t>
      </w:r>
      <w:r/>
    </w:p>
    <w:p>
      <w:pPr>
        <w:pStyle w:val="862"/>
        <w:jc w:val="center"/>
        <w:spacing w:beforeAutospacing="0" w:afterAutospacing="0" w:line="0" w:lineRule="atLeast"/>
        <w:rPr>
          <w:highlight w:val="none"/>
        </w:rPr>
      </w:pPr>
      <w:r>
        <w:rPr>
          <w:highlight w:val="none"/>
        </w:rPr>
      </w:r>
      <w:r/>
    </w:p>
    <w:p>
      <w:pPr>
        <w:pStyle w:val="862"/>
        <w:jc w:val="center"/>
        <w:spacing w:beforeAutospacing="0" w:afterAutospacing="0" w:line="0" w:lineRule="atLeast"/>
        <w:rPr>
          <w:highlight w:val="none"/>
        </w:rPr>
      </w:pPr>
      <w:r>
        <w:rPr>
          <w:highlight w:val="none"/>
        </w:rPr>
      </w:r>
      <w:r/>
    </w:p>
    <w:p>
      <w:pPr>
        <w:pStyle w:val="862"/>
        <w:jc w:val="center"/>
        <w:spacing w:beforeAutospacing="0" w:afterAutospacing="0" w:line="0" w:lineRule="atLeast"/>
        <w:rPr>
          <w:highlight w:val="none"/>
        </w:rPr>
      </w:pPr>
      <w:r>
        <w:rPr>
          <w:highlight w:val="none"/>
        </w:rPr>
      </w:r>
      <w:r/>
    </w:p>
    <w:p>
      <w:pPr>
        <w:pStyle w:val="862"/>
        <w:jc w:val="center"/>
        <w:spacing w:beforeAutospacing="0" w:afterAutospacing="0" w:line="0" w:lineRule="atLeast"/>
        <w:rPr>
          <w:highlight w:val="none"/>
        </w:rPr>
      </w:pPr>
      <w:r>
        <w:rPr>
          <w:highlight w:val="none"/>
        </w:rPr>
      </w:r>
      <w:r/>
    </w:p>
    <w:p>
      <w:pPr>
        <w:pStyle w:val="862"/>
        <w:jc w:val="center"/>
        <w:spacing w:beforeAutospacing="0" w:afterAutospacing="0" w:line="0" w:lineRule="atLeast"/>
        <w:rPr>
          <w:highlight w:val="none"/>
        </w:rPr>
      </w:pPr>
      <w:r>
        <w:rPr>
          <w:highlight w:val="none"/>
        </w:rPr>
      </w:r>
      <w:r/>
    </w:p>
    <w:p>
      <w:pPr>
        <w:pStyle w:val="862"/>
        <w:jc w:val="center"/>
        <w:spacing w:beforeAutospacing="0" w:afterAutospacing="0" w:line="0" w:lineRule="atLeast"/>
        <w:rPr>
          <w:highlight w:val="none"/>
        </w:rPr>
      </w:pPr>
      <w:r>
        <w:rPr>
          <w:highlight w:val="none"/>
        </w:rPr>
      </w:r>
      <w:r/>
    </w:p>
    <w:p>
      <w:pPr>
        <w:pStyle w:val="862"/>
        <w:jc w:val="center"/>
        <w:spacing w:beforeAutospacing="0" w:afterAutospacing="0" w:line="0" w:lineRule="atLeast"/>
        <w:rPr>
          <w:highlight w:val="none"/>
        </w:rPr>
      </w:pPr>
      <w:r>
        <w:rPr>
          <w:highlight w:val="none"/>
        </w:rPr>
      </w:r>
      <w:r/>
    </w:p>
    <w:p>
      <w:pPr>
        <w:pStyle w:val="862"/>
        <w:jc w:val="center"/>
        <w:spacing w:beforeAutospacing="0" w:afterAutospacing="0" w:line="0" w:lineRule="atLeast"/>
        <w:rPr>
          <w:highlight w:val="none"/>
        </w:rPr>
      </w:pPr>
      <w:r>
        <w:rPr>
          <w:highlight w:val="none"/>
        </w:rPr>
      </w:r>
      <w:r/>
    </w:p>
    <w:p>
      <w:pPr>
        <w:pStyle w:val="862"/>
        <w:jc w:val="center"/>
        <w:spacing w:beforeAutospacing="0" w:afterAutospacing="0" w:line="0" w:lineRule="atLeast"/>
        <w:rPr>
          <w:highlight w:val="none"/>
        </w:rPr>
      </w:pPr>
      <w:r>
        <w:rPr>
          <w:highlight w:val="none"/>
        </w:rPr>
      </w:r>
      <w:r/>
    </w:p>
    <w:p>
      <w:pPr>
        <w:pStyle w:val="862"/>
        <w:jc w:val="center"/>
        <w:spacing w:beforeAutospacing="0" w:afterAutospacing="0" w:line="0" w:lineRule="atLeast"/>
        <w:rPr>
          <w:highlight w:val="none"/>
        </w:rPr>
      </w:pPr>
      <w:r>
        <w:rPr>
          <w:highlight w:val="none"/>
        </w:rPr>
      </w:r>
      <w:r/>
    </w:p>
    <w:p>
      <w:pPr>
        <w:pStyle w:val="862"/>
        <w:jc w:val="center"/>
        <w:spacing w:beforeAutospacing="0" w:afterAutospacing="0" w:line="0" w:lineRule="atLeast"/>
        <w:rPr>
          <w:highlight w:val="none"/>
        </w:rPr>
      </w:pPr>
      <w:r>
        <w:rPr>
          <w:highlight w:val="none"/>
        </w:rPr>
      </w:r>
      <w:r/>
    </w:p>
    <w:p>
      <w:pPr>
        <w:pStyle w:val="862"/>
        <w:jc w:val="center"/>
        <w:spacing w:beforeAutospacing="0" w:afterAutospacing="0" w:line="0" w:lineRule="atLeast"/>
        <w:rPr>
          <w:highlight w:val="none"/>
        </w:rPr>
      </w:pPr>
      <w:r>
        <w:rPr>
          <w:highlight w:val="none"/>
        </w:rPr>
      </w:r>
      <w:r/>
    </w:p>
    <w:p>
      <w:pPr>
        <w:pStyle w:val="862"/>
        <w:jc w:val="center"/>
        <w:spacing w:beforeAutospacing="0" w:afterAutospacing="0" w:line="0" w:lineRule="atLeast"/>
        <w:rPr>
          <w:highlight w:val="none"/>
        </w:rPr>
      </w:pPr>
      <w:r>
        <w:rPr>
          <w:highlight w:val="none"/>
        </w:rPr>
      </w:r>
      <w:r/>
    </w:p>
    <w:p>
      <w:pPr>
        <w:pStyle w:val="862"/>
        <w:jc w:val="center"/>
        <w:spacing w:beforeAutospacing="0" w:afterAutospacing="0" w:line="0" w:lineRule="atLeast"/>
        <w:rPr>
          <w:highlight w:val="none"/>
        </w:rPr>
      </w:pPr>
      <w:r>
        <w:rPr>
          <w:highlight w:val="none"/>
        </w:rPr>
      </w:r>
      <w:r/>
    </w:p>
    <w:p>
      <w:pPr>
        <w:pStyle w:val="862"/>
        <w:jc w:val="center"/>
        <w:spacing w:beforeAutospacing="0" w:afterAutospacing="0" w:line="0" w:lineRule="atLeast"/>
        <w:rPr>
          <w:highlight w:val="none"/>
        </w:rPr>
      </w:pPr>
      <w:r>
        <w:rPr>
          <w:highlight w:val="none"/>
        </w:rPr>
      </w:r>
      <w:r/>
    </w:p>
    <w:p>
      <w:pPr>
        <w:pStyle w:val="862"/>
        <w:jc w:val="both"/>
        <w:spacing w:beforeAutospacing="0" w:afterAutospacing="0" w:line="0" w:lineRule="atLeast"/>
        <w:rPr>
          <w:highlight w:val="none"/>
        </w:rPr>
      </w:pPr>
      <w:r>
        <w:rPr>
          <w:highlight w:val="none"/>
        </w:rPr>
      </w:r>
      <w:r/>
    </w:p>
    <w:p>
      <w:pPr>
        <w:pStyle w:val="862"/>
        <w:jc w:val="both"/>
        <w:spacing w:beforeAutospacing="0" w:afterAutospacing="0"/>
        <w:rPr>
          <w:highlight w:val="none"/>
        </w:rPr>
      </w:pPr>
      <w:r>
        <w:rPr>
          <w:highlight w:val="none"/>
        </w:rPr>
        <w:t xml:space="preserve"> </w:t>
      </w:r>
      <w:r/>
    </w:p>
    <w:p>
      <w:pPr>
        <w:pStyle w:val="862"/>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一</w:t>
      </w:r>
      <w:r>
        <w:rPr>
          <w:rFonts w:hint="eastAsia" w:ascii="黑体" w:hAnsi="宋体" w:eastAsia="黑体" w:cs="黑体"/>
          <w:b/>
          <w:color w:val="000000"/>
          <w:sz w:val="32"/>
          <w:szCs w:val="32"/>
          <w:highlight w:val="none"/>
        </w:rPr>
        <w:t xml:space="preserve">、投标分项报价表</w:t>
      </w:r>
      <w:r/>
    </w:p>
    <w:tbl>
      <w:tblPr>
        <w:tblStyle w:val="854"/>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20"/>
        <w:gridCol w:w="1176"/>
        <w:gridCol w:w="1684"/>
        <w:gridCol w:w="2297"/>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862"/>
              <w:jc w:val="center"/>
              <w:spacing w:beforeAutospacing="0" w:afterAutospacing="0" w:line="0" w:lineRule="atLeast"/>
              <w:rPr>
                <w:highlight w:val="none"/>
              </w:rPr>
            </w:pPr>
            <w:r>
              <w:rPr>
                <w:highlight w:val="none"/>
              </w:rPr>
              <w:t xml:space="preserve"> </w:t>
            </w:r>
            <w:r/>
          </w:p>
        </w:tc>
      </w:tr>
      <w:tr>
        <w:trPr>
          <w:tblCellSpacing w:w="0" w:type="dxa"/>
          <w:trHeight w:val="487"/>
        </w:trPr>
        <w:tc>
          <w:tcPr>
            <w:gridSpan w:val="5"/>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pStyle w:val="862"/>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862"/>
              <w:jc w:val="both"/>
              <w:spacing w:beforeAutospacing="0" w:afterAutospacing="0" w:line="0" w:lineRule="atLeast"/>
              <w:rPr>
                <w:highlight w:val="none"/>
              </w:rPr>
            </w:pPr>
            <w:r>
              <w:rPr>
                <w:highlight w:val="none"/>
              </w:rPr>
              <w:t xml:space="preserve"> </w:t>
            </w:r>
            <w:r/>
          </w:p>
        </w:tc>
      </w:tr>
    </w:tbl>
    <w:p>
      <w:pPr>
        <w:pStyle w:val="862"/>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备注：1.</w:t>
      </w:r>
      <w:r>
        <w:rPr>
          <w:rFonts w:hint="eastAsia" w:ascii="宋体" w:hAnsi="宋体" w:eastAsia="宋体" w:cs="宋体"/>
          <w:b w:val="0"/>
          <w:bCs/>
          <w:color w:val="000000"/>
          <w:sz w:val="24"/>
          <w:szCs w:val="24"/>
          <w:highlight w:val="none"/>
        </w:rPr>
        <w:t xml:space="preserve">本项目合同价款采用固定总价形式，合同价款已包含滨海县智慧养老服务平台建设、运营维护及合同履行全过程所需的一切费用，包括但不限于：人工费、交通费、办公费、水电费、房租费、物业费、维修费、网络通讯费、投标费用、管理费、税金、利润、各类风险费、不可预见费及其他一切相关费用；同时包含合同履行过程中可能发</w:t>
      </w:r>
      <w:r>
        <w:rPr>
          <w:rFonts w:hint="eastAsia" w:ascii="宋体" w:hAnsi="宋体" w:eastAsia="宋体" w:cs="宋体"/>
          <w:color w:val="000000"/>
          <w:highlight w:val="none"/>
        </w:rPr>
        <w:t xml:space="preserve">生的一切意外风险、责任赔偿及相关费用。除招标文件另有明确规定外，采购人无需另行支付任何费用。</w:t>
      </w:r>
      <w:r/>
    </w:p>
    <w:p>
      <w:pPr>
        <w:pStyle w:val="862"/>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2.“投标分项报价表”中“投标总报价”数额应当与“开标一览表”中“投标总报价”数额一致。</w:t>
      </w:r>
      <w:r/>
    </w:p>
    <w:p>
      <w:pPr>
        <w:pStyle w:val="862"/>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62"/>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62"/>
        <w:jc w:val="center"/>
        <w:spacing w:beforeAutospacing="0" w:afterAutospacing="0"/>
        <w:rPr>
          <w:highlight w:val="none"/>
        </w:rPr>
      </w:pPr>
      <w:r>
        <w:rPr>
          <w:highlight w:val="none"/>
        </w:rPr>
        <w:t xml:space="preserve"> </w:t>
      </w:r>
      <w:r/>
    </w:p>
    <w:p>
      <w:pPr>
        <w:pStyle w:val="862"/>
        <w:jc w:val="center"/>
        <w:spacing w:beforeAutospacing="0" w:afterAutospacing="0"/>
        <w:rPr>
          <w:highlight w:val="none"/>
        </w:rPr>
      </w:pPr>
      <w:r>
        <w:rPr>
          <w:highlight w:val="none"/>
        </w:rPr>
      </w:r>
      <w:r/>
    </w:p>
    <w:p>
      <w:pPr>
        <w:pStyle w:val="862"/>
        <w:jc w:val="center"/>
        <w:spacing w:beforeAutospacing="0" w:afterAutospacing="0"/>
        <w:rPr>
          <w:highlight w:val="none"/>
        </w:rPr>
      </w:pPr>
      <w:r>
        <w:rPr>
          <w:highlight w:val="none"/>
        </w:rPr>
      </w:r>
      <w:r/>
    </w:p>
    <w:p>
      <w:pPr>
        <w:pStyle w:val="862"/>
        <w:jc w:val="center"/>
        <w:spacing w:beforeAutospacing="0" w:afterAutospacing="0"/>
        <w:rPr>
          <w:highlight w:val="none"/>
        </w:rPr>
      </w:pPr>
      <w:r>
        <w:rPr>
          <w:highlight w:val="none"/>
        </w:rPr>
      </w:r>
      <w:r/>
    </w:p>
    <w:p>
      <w:pPr>
        <w:pStyle w:val="862"/>
        <w:jc w:val="center"/>
        <w:spacing w:beforeAutospacing="0" w:afterAutospacing="0"/>
        <w:rPr>
          <w:highlight w:val="none"/>
        </w:rPr>
      </w:pPr>
      <w:r>
        <w:rPr>
          <w:highlight w:val="none"/>
        </w:rPr>
      </w:r>
      <w:r/>
    </w:p>
    <w:p>
      <w:pPr>
        <w:pStyle w:val="862"/>
        <w:jc w:val="center"/>
        <w:spacing w:beforeAutospacing="0" w:afterAutospacing="0"/>
        <w:rPr>
          <w:highlight w:val="none"/>
        </w:rPr>
      </w:pPr>
      <w:r>
        <w:rPr>
          <w:highlight w:val="none"/>
        </w:rPr>
      </w:r>
      <w:r/>
    </w:p>
    <w:p>
      <w:pPr>
        <w:pStyle w:val="862"/>
        <w:jc w:val="center"/>
        <w:spacing w:beforeAutospacing="0" w:afterAutospacing="0"/>
        <w:rPr>
          <w:highlight w:val="none"/>
        </w:rPr>
      </w:pPr>
      <w:r>
        <w:rPr>
          <w:highlight w:val="none"/>
        </w:rPr>
      </w:r>
      <w:r/>
    </w:p>
    <w:p>
      <w:pPr>
        <w:pStyle w:val="862"/>
        <w:jc w:val="center"/>
        <w:spacing w:beforeAutospacing="0" w:afterAutospacing="0"/>
        <w:rPr>
          <w:highlight w:val="none"/>
        </w:rPr>
      </w:pPr>
      <w:r>
        <w:rPr>
          <w:highlight w:val="none"/>
        </w:rPr>
      </w:r>
      <w:r/>
    </w:p>
    <w:p>
      <w:pPr>
        <w:pStyle w:val="862"/>
        <w:jc w:val="center"/>
        <w:spacing w:beforeAutospacing="0" w:afterAutospacing="0"/>
        <w:rPr>
          <w:highlight w:val="none"/>
        </w:rPr>
      </w:pPr>
      <w:r>
        <w:rPr>
          <w:highlight w:val="none"/>
        </w:rPr>
      </w:r>
      <w:r/>
    </w:p>
    <w:p>
      <w:pPr>
        <w:pStyle w:val="862"/>
        <w:jc w:val="center"/>
        <w:spacing w:beforeAutospacing="0" w:afterAutospacing="0"/>
        <w:rPr>
          <w:highlight w:val="none"/>
        </w:rPr>
      </w:pPr>
      <w:r>
        <w:rPr>
          <w:highlight w:val="none"/>
        </w:rPr>
      </w:r>
      <w:r/>
    </w:p>
    <w:p>
      <w:pPr>
        <w:pStyle w:val="862"/>
        <w:jc w:val="center"/>
        <w:spacing w:beforeAutospacing="0" w:afterAutospacing="0"/>
        <w:rPr>
          <w:rFonts w:hint="eastAsia" w:eastAsia="黑体"/>
          <w:highlight w:val="none"/>
          <w:lang w:val="en-US" w:eastAsia="zh-CN"/>
        </w:rPr>
      </w:pPr>
      <w:r>
        <w:rPr>
          <w:highlight w:val="none"/>
        </w:rPr>
        <w:t xml:space="preserve"> </w:t>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、技术要求响应及偏离表</w:t>
      </w:r>
      <w:r>
        <w:rPr>
          <w:rFonts w:hint="eastAsia" w:ascii="黑体" w:hAnsi="宋体" w:eastAsia="黑体" w:cs="黑体"/>
          <w:b/>
          <w:color w:val="000000"/>
          <w:sz w:val="32"/>
          <w:szCs w:val="32"/>
          <w:highlight w:val="none"/>
          <w:lang w:val="en-US" w:eastAsia="zh-CN"/>
        </w:rPr>
        <w:t xml:space="preserve"> </w:t>
      </w:r>
      <w:r/>
    </w:p>
    <w:tbl>
      <w:tblPr>
        <w:tblStyle w:val="854"/>
        <w:tblW w:w="907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03"/>
        <w:gridCol w:w="2761"/>
        <w:gridCol w:w="2608"/>
        <w:gridCol w:w="1247"/>
        <w:gridCol w:w="165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2"/>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862"/>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62"/>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2"/>
              <w:jc w:val="center"/>
              <w:spacing w:beforeAutospacing="0" w:afterAutospacing="0"/>
              <w:rPr>
                <w:rFonts w:hint="eastAsia" w:eastAsia="宋体"/>
                <w:highlight w:val="none"/>
                <w:lang w:eastAsia="zh-CN"/>
              </w:rPr>
            </w:pP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6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6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6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6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6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6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6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862"/>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62"/>
              <w:jc w:val="center"/>
              <w:spacing w:beforeAutospacing="0" w:afterAutospacing="0"/>
              <w:rPr>
                <w:highlight w:val="none"/>
              </w:rPr>
            </w:pPr>
            <w:r>
              <w:rPr>
                <w:highlight w:val="none"/>
              </w:rPr>
              <w:t xml:space="preserve"> </w:t>
            </w:r>
            <w:r/>
          </w:p>
        </w:tc>
      </w:tr>
    </w:tbl>
    <w:p>
      <w:pPr>
        <w:pStyle w:val="862"/>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 行数不够，可自行添加。</w:t>
      </w:r>
      <w:r/>
    </w:p>
    <w:p>
      <w:pPr>
        <w:pStyle w:val="862"/>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本表只填写有偏离的参数，无偏离的参数不填写。</w:t>
      </w:r>
      <w:r/>
    </w:p>
    <w:p>
      <w:pPr>
        <w:pStyle w:val="862"/>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2"/>
        <w:jc w:val="center"/>
        <w:spacing w:beforeAutospacing="0" w:afterAutospacing="0"/>
        <w:rPr>
          <w:highlight w:val="none"/>
        </w:rPr>
      </w:pPr>
      <w:r>
        <w:rPr>
          <w:highlight w:val="none"/>
        </w:rPr>
        <w:t xml:space="preserve"> </w:t>
      </w:r>
      <w:r/>
    </w:p>
    <w:p>
      <w:pPr>
        <w:pStyle w:val="862"/>
        <w:jc w:val="center"/>
        <w:spacing w:beforeAutospacing="0" w:afterAutospacing="0"/>
        <w:rPr>
          <w:highlight w:val="none"/>
        </w:rPr>
      </w:pPr>
      <w:r>
        <w:rPr>
          <w:highlight w:val="none"/>
        </w:rPr>
        <w:t xml:space="preserve"> </w:t>
      </w:r>
      <w:r/>
    </w:p>
    <w:p>
      <w:pPr>
        <w:pStyle w:val="862"/>
        <w:jc w:val="center"/>
        <w:spacing w:beforeAutospacing="0" w:afterAutospacing="0"/>
        <w:rPr>
          <w:highlight w:val="none"/>
        </w:rPr>
      </w:pPr>
      <w:r>
        <w:rPr>
          <w:highlight w:val="none"/>
        </w:rPr>
        <w:t xml:space="preserve"> </w:t>
      </w:r>
      <w:r/>
    </w:p>
    <w:p>
      <w:pPr>
        <w:pStyle w:val="862"/>
        <w:jc w:val="center"/>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t xml:space="preserve"> </w:t>
      </w:r>
      <w:r/>
    </w:p>
    <w:p>
      <w:pPr>
        <w:pStyle w:val="862"/>
        <w:jc w:val="center"/>
        <w:spacing w:beforeAutospacing="0" w:afterAutospacing="0"/>
        <w:rPr>
          <w:highlight w:val="none"/>
        </w:rPr>
      </w:pPr>
      <w:r/>
      <w:bookmarkStart w:id="194" w:name="_Hlt26955054"/>
      <w:r>
        <w:rPr>
          <w:rFonts w:hint="eastAsia" w:ascii="黑体" w:hAnsi="宋体" w:eastAsia="黑体" w:cs="黑体"/>
          <w:b/>
          <w:color w:val="000000"/>
          <w:sz w:val="32"/>
          <w:szCs w:val="32"/>
          <w:highlight w:val="none"/>
          <w:lang w:val="en-US" w:eastAsia="zh-CN"/>
        </w:rPr>
        <w:t xml:space="preserve">十三</w:t>
      </w:r>
      <w:r>
        <w:rPr>
          <w:rFonts w:hint="eastAsia" w:ascii="黑体" w:hAnsi="宋体" w:eastAsia="黑体" w:cs="黑体"/>
          <w:b/>
          <w:color w:val="000000"/>
          <w:sz w:val="32"/>
          <w:szCs w:val="32"/>
          <w:highlight w:val="none"/>
        </w:rPr>
        <w:t xml:space="preserve">、商务要求响应及偏离表</w:t>
      </w:r>
      <w:r/>
    </w:p>
    <w:tbl>
      <w:tblPr>
        <w:tblStyle w:val="8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2206"/>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rPr>
                <w:highlight w:val="none"/>
              </w:rPr>
            </w:pPr>
            <w:r/>
            <w:bookmarkStart w:id="195" w:name="_Hlt26671343"/>
            <w:r/>
            <w:bookmarkStart w:id="196" w:name="_Hlt26609391"/>
            <w:r/>
            <w:bookmarkStart w:id="197" w:name="_Hlt26671372"/>
            <w:r/>
            <w:bookmarkStart w:id="198" w:name="_Hlt26955056"/>
            <w:r/>
            <w:bookmarkStart w:id="199" w:name="_Hlt24879081"/>
            <w:r/>
            <w:bookmarkStart w:id="200" w:name="_Hlt26580838"/>
            <w:r/>
            <w:bookmarkStart w:id="201" w:name="_Hlt26955064"/>
            <w:r/>
            <w:bookmarkStart w:id="202" w:name="_Hlt26782999"/>
            <w:r>
              <w:rPr>
                <w:rFonts w:hint="eastAsia" w:ascii="宋体" w:hAnsi="宋体" w:eastAsia="宋体" w:cs="宋体"/>
                <w:color w:val="000000"/>
                <w:highlight w:val="none"/>
              </w:rPr>
              <w:t xml:space="preserve">序号</w:t>
            </w:r>
            <w:bookmarkEnd w:id="195"/>
            <w:r/>
            <w:bookmarkEnd w:id="196"/>
            <w:r/>
            <w:bookmarkEnd w:id="197"/>
            <w:r/>
            <w:bookmarkEnd w:id="198"/>
            <w:r/>
            <w:bookmarkEnd w:id="199"/>
            <w:r/>
            <w:bookmarkEnd w:id="200"/>
            <w:r/>
            <w:bookmarkEnd w:id="201"/>
            <w:r/>
            <w:bookmarkEnd w:id="202"/>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62"/>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2"/>
              <w:jc w:val="center"/>
              <w:spacing w:beforeAutospacing="0" w:afterAutospacing="0"/>
              <w:rPr>
                <w:rFonts w:hint="eastAsia" w:eastAsia="宋体"/>
                <w:highlight w:val="none"/>
                <w:lang w:eastAsia="zh-CN"/>
              </w:rPr>
            </w:pP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highlight w:val="none"/>
              </w:rPr>
            </w:pPr>
            <w:r>
              <w:rPr>
                <w:highlight w:val="none"/>
              </w:rPr>
              <w:t xml:space="preserve"> </w:t>
            </w:r>
            <w:r/>
          </w:p>
        </w:tc>
      </w:tr>
    </w:tbl>
    <w:p>
      <w:pPr>
        <w:pStyle w:val="862"/>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62"/>
        <w:jc w:val="both"/>
        <w:spacing w:beforeAutospacing="0" w:afterAutospacing="0" w:line="480" w:lineRule="auto"/>
        <w:rPr>
          <w:highlight w:val="none"/>
        </w:rPr>
      </w:pPr>
      <w:r>
        <w:rPr>
          <w:highlight w:val="none"/>
        </w:rPr>
        <w:t xml:space="preserve"> </w:t>
      </w:r>
      <w:r/>
    </w:p>
    <w:p>
      <w:pPr>
        <w:pStyle w:val="862"/>
        <w:jc w:val="both"/>
        <w:spacing w:beforeAutospacing="0" w:afterAutospacing="0" w:line="480" w:lineRule="auto"/>
        <w:rPr>
          <w:highlight w:val="none"/>
        </w:rPr>
      </w:pPr>
      <w:r>
        <w:rPr>
          <w:highlight w:val="none"/>
        </w:rPr>
        <w:t xml:space="preserve"> </w:t>
      </w:r>
      <w:r/>
    </w:p>
    <w:p>
      <w:pPr>
        <w:pStyle w:val="862"/>
        <w:jc w:val="center"/>
        <w:spacing w:beforeAutospacing="0" w:afterAutospacing="0"/>
        <w:rPr>
          <w:highlight w:val="none"/>
        </w:rPr>
      </w:pPr>
      <w:r/>
      <w:bookmarkStart w:id="203" w:name="_Hlt26609389"/>
      <w:r/>
      <w:bookmarkStart w:id="204" w:name="_Hlt26671374"/>
      <w:r/>
      <w:bookmarkStart w:id="205" w:name="_Hlt26955066"/>
      <w:r/>
      <w:bookmarkStart w:id="206" w:name="_格式2__法定代表人授权书"/>
      <w:r/>
      <w:bookmarkStart w:id="207" w:name="_Toc462564146"/>
      <w:r>
        <w:rPr>
          <w:highlight w:val="none"/>
        </w:rPr>
        <w:t xml:space="preserve"> </w:t>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t xml:space="preserve"> </w:t>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both"/>
        <w:spacing w:beforeAutospacing="0" w:afterAutospacing="0"/>
        <w:rPr>
          <w:highlight w:val="none"/>
        </w:rPr>
      </w:pPr>
      <w:r>
        <w:rPr>
          <w:highlight w:val="none"/>
        </w:rPr>
      </w:r>
      <w:r/>
    </w:p>
    <w:p>
      <w:pPr>
        <w:pStyle w:val="862"/>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、开标一览表</w:t>
      </w:r>
      <w:r/>
    </w:p>
    <w:p>
      <w:pPr>
        <w:pStyle w:val="862"/>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62"/>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6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85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2"/>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2"/>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2"/>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62"/>
        <w:jc w:val="both"/>
        <w:spacing w:beforeAutospacing="0" w:afterAutospacing="0"/>
        <w:rPr>
          <w:color w:val="auto"/>
          <w:highlight w:val="none"/>
        </w:rPr>
      </w:pPr>
      <w:r>
        <w:rPr>
          <w:color w:val="auto"/>
          <w:highlight w:val="none"/>
        </w:rPr>
        <w:t xml:space="preserve"> </w:t>
      </w:r>
      <w:r/>
    </w:p>
    <w:p>
      <w:pPr>
        <w:pStyle w:val="862"/>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62"/>
        <w:ind w:firstLine="480"/>
        <w:jc w:val="both"/>
        <w:spacing w:beforeAutospacing="0" w:afterAutospacing="0"/>
        <w:rPr>
          <w:highlight w:val="none"/>
        </w:rPr>
      </w:pPr>
      <w:r>
        <w:rPr>
          <w:highlight w:val="none"/>
        </w:rPr>
        <w:t xml:space="preserve"> </w:t>
      </w:r>
      <w:r/>
    </w:p>
    <w:p>
      <w:pPr>
        <w:jc w:val="center"/>
        <w:spacing w:before="50" w:after="50"/>
        <w:widowControl/>
        <w:rPr>
          <w:highlight w:val="none"/>
        </w:rPr>
      </w:pPr>
      <w:r>
        <w:rPr>
          <w:highlight w:val="none"/>
        </w:rPr>
      </w: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55"/>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56"/>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55"/>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56"/>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55"/>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56"/>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55"/>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56"/>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r/>
      <w:r/>
    </w:p>
    <w:p>
      <w:r/>
      <w:r/>
    </w:p>
    <w:p>
      <w:r/>
      <w:r/>
    </w:p>
    <w:p>
      <w:r/>
      <w:r/>
    </w:p>
    <w:p>
      <w:r/>
      <w:r/>
    </w:p>
    <w:p>
      <w:r/>
      <w:r/>
    </w:p>
    <w:p>
      <w:r/>
      <w:r/>
    </w:p>
    <w:p>
      <w:r/>
      <w:r/>
    </w:p>
    <w:p>
      <w:r/>
      <w:r/>
    </w:p>
    <w:p>
      <w:r/>
      <w:r/>
    </w:p>
    <w:p>
      <w:r/>
      <w:r/>
    </w:p>
    <w:p>
      <w:r/>
      <w:r/>
    </w:p>
    <w:p>
      <w:r/>
      <w:r/>
    </w:p>
    <w:p>
      <w:pPr>
        <w:ind w:firstLine="1600"/>
        <w:spacing w:line="499" w:lineRule="atLeast"/>
        <w:widowControl/>
        <w:rPr>
          <w:rFonts w:ascii="宋体" w:hAnsi="宋体" w:eastAsia="宋体" w:cs="宋体"/>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62"/>
        <w:jc w:val="center"/>
        <w:spacing w:beforeAutospacing="0" w:afterAutospacing="0"/>
        <w:rPr>
          <w:highlight w:val="none"/>
        </w:rPr>
      </w:pPr>
      <w:r>
        <w:rPr>
          <w:highlight w:val="none"/>
        </w:rPr>
      </w:r>
      <w:r/>
    </w:p>
    <w:p>
      <w:pPr>
        <w:pStyle w:val="862"/>
        <w:jc w:val="center"/>
        <w:spacing w:beforeAutospacing="0" w:afterAutospacing="0"/>
        <w:rPr>
          <w:highlight w:val="none"/>
        </w:rPr>
      </w:pPr>
      <w:r>
        <w:rPr>
          <w:highlight w:val="none"/>
        </w:rPr>
      </w:r>
      <w:r/>
    </w:p>
    <w:p>
      <w:pPr>
        <w:pStyle w:val="862"/>
        <w:jc w:val="center"/>
        <w:spacing w:beforeAutospacing="0" w:afterAutospacing="0"/>
        <w:rPr>
          <w:highlight w:val="none"/>
        </w:rPr>
      </w:pPr>
      <w:r>
        <w:rPr>
          <w:highlight w:val="none"/>
        </w:rPr>
      </w:r>
      <w:r/>
    </w:p>
    <w:p>
      <w:pPr>
        <w:pStyle w:val="862"/>
        <w:jc w:val="center"/>
        <w:spacing w:beforeAutospacing="0" w:afterAutospacing="0"/>
        <w:rPr>
          <w:highlight w:val="none"/>
        </w:rPr>
      </w:pPr>
      <w:r>
        <w:rPr>
          <w:highlight w:val="none"/>
        </w:rPr>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1"/>
      <w:r/>
      <w:bookmarkEnd w:id="184"/>
      <w:r/>
      <w:bookmarkEnd w:id="188"/>
      <w:r/>
      <w:bookmarkEnd w:id="189"/>
      <w:r/>
      <w:bookmarkEnd w:id="191"/>
      <w:r/>
      <w:bookmarkEnd w:id="192"/>
      <w:r/>
      <w:bookmarkEnd w:id="193"/>
      <w:r/>
      <w:bookmarkEnd w:id="194"/>
      <w:r/>
      <w:bookmarkEnd w:id="203"/>
      <w:r/>
      <w:bookmarkEnd w:id="204"/>
      <w:r/>
      <w:bookmarkEnd w:id="205"/>
      <w:r/>
      <w:bookmarkEnd w:id="206"/>
      <w:r/>
      <w:bookmarkEnd w:id="207"/>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p>
    <w:p>
      <w:pPr>
        <w:pStyle w:val="862"/>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62"/>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6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62"/>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6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62"/>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62"/>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6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6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6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6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6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2"/>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erReference w:type="default" r:id="rId9"/>
      <w:footnotePr/>
      <w:endnotePr/>
      <w:type w:val="nextPage"/>
      <w:pgSz w:w="11906" w:h="16838" w:orient="portrait"/>
      <w:pgMar w:top="1440" w:right="1349" w:bottom="1440" w:left="1349"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等线">
    <w:panose1 w:val="02010600030101010101"/>
  </w:font>
  <w:font w:name="仿宋">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7">
    <w:name w:val="Heading 1 Char"/>
    <w:basedOn w:val="853"/>
    <w:link w:val="851"/>
    <w:uiPriority w:val="9"/>
    <w:rPr>
      <w:rFonts w:ascii="Arial" w:hAnsi="Arial" w:eastAsia="Arial" w:cs="Arial"/>
      <w:sz w:val="40"/>
      <w:szCs w:val="40"/>
    </w:rPr>
  </w:style>
  <w:style w:type="character" w:styleId="678">
    <w:name w:val="Heading 2 Char"/>
    <w:basedOn w:val="853"/>
    <w:link w:val="852"/>
    <w:uiPriority w:val="9"/>
    <w:rPr>
      <w:rFonts w:ascii="Arial" w:hAnsi="Arial" w:eastAsia="Arial" w:cs="Arial"/>
      <w:sz w:val="34"/>
    </w:rPr>
  </w:style>
  <w:style w:type="paragraph" w:styleId="679">
    <w:name w:val="Heading 3"/>
    <w:basedOn w:val="850"/>
    <w:next w:val="850"/>
    <w:link w:val="680"/>
    <w:uiPriority w:val="9"/>
    <w:unhideWhenUsed/>
    <w:qFormat/>
    <w:pPr>
      <w:keepLines/>
      <w:keepNext/>
      <w:spacing w:before="320" w:after="200"/>
      <w:outlineLvl w:val="2"/>
    </w:pPr>
    <w:rPr>
      <w:rFonts w:ascii="Arial" w:hAnsi="Arial" w:eastAsia="Arial" w:cs="Arial"/>
      <w:sz w:val="30"/>
      <w:szCs w:val="30"/>
    </w:rPr>
  </w:style>
  <w:style w:type="character" w:styleId="680">
    <w:name w:val="Heading 3 Char"/>
    <w:basedOn w:val="853"/>
    <w:link w:val="679"/>
    <w:uiPriority w:val="9"/>
    <w:rPr>
      <w:rFonts w:ascii="Arial" w:hAnsi="Arial" w:eastAsia="Arial" w:cs="Arial"/>
      <w:sz w:val="30"/>
      <w:szCs w:val="30"/>
    </w:rPr>
  </w:style>
  <w:style w:type="paragraph" w:styleId="681">
    <w:name w:val="Heading 4"/>
    <w:basedOn w:val="850"/>
    <w:next w:val="850"/>
    <w:link w:val="682"/>
    <w:uiPriority w:val="9"/>
    <w:unhideWhenUsed/>
    <w:qFormat/>
    <w:pPr>
      <w:keepLines/>
      <w:keepNext/>
      <w:spacing w:before="320" w:after="200"/>
      <w:outlineLvl w:val="3"/>
    </w:pPr>
    <w:rPr>
      <w:rFonts w:ascii="Arial" w:hAnsi="Arial" w:eastAsia="Arial" w:cs="Arial"/>
      <w:b/>
      <w:bCs/>
      <w:sz w:val="26"/>
      <w:szCs w:val="26"/>
    </w:rPr>
  </w:style>
  <w:style w:type="character" w:styleId="682">
    <w:name w:val="Heading 4 Char"/>
    <w:basedOn w:val="853"/>
    <w:link w:val="681"/>
    <w:uiPriority w:val="9"/>
    <w:rPr>
      <w:rFonts w:ascii="Arial" w:hAnsi="Arial" w:eastAsia="Arial" w:cs="Arial"/>
      <w:b/>
      <w:bCs/>
      <w:sz w:val="26"/>
      <w:szCs w:val="26"/>
    </w:rPr>
  </w:style>
  <w:style w:type="paragraph" w:styleId="683">
    <w:name w:val="Heading 5"/>
    <w:basedOn w:val="850"/>
    <w:next w:val="850"/>
    <w:link w:val="684"/>
    <w:uiPriority w:val="9"/>
    <w:unhideWhenUsed/>
    <w:qFormat/>
    <w:pPr>
      <w:keepLines/>
      <w:keepNext/>
      <w:spacing w:before="320" w:after="200"/>
      <w:outlineLvl w:val="4"/>
    </w:pPr>
    <w:rPr>
      <w:rFonts w:ascii="Arial" w:hAnsi="Arial" w:eastAsia="Arial" w:cs="Arial"/>
      <w:b/>
      <w:bCs/>
      <w:sz w:val="24"/>
      <w:szCs w:val="24"/>
    </w:rPr>
  </w:style>
  <w:style w:type="character" w:styleId="684">
    <w:name w:val="Heading 5 Char"/>
    <w:basedOn w:val="853"/>
    <w:link w:val="683"/>
    <w:uiPriority w:val="9"/>
    <w:rPr>
      <w:rFonts w:ascii="Arial" w:hAnsi="Arial" w:eastAsia="Arial" w:cs="Arial"/>
      <w:b/>
      <w:bCs/>
      <w:sz w:val="24"/>
      <w:szCs w:val="24"/>
    </w:rPr>
  </w:style>
  <w:style w:type="paragraph" w:styleId="685">
    <w:name w:val="Heading 6"/>
    <w:basedOn w:val="850"/>
    <w:next w:val="850"/>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basedOn w:val="853"/>
    <w:link w:val="685"/>
    <w:uiPriority w:val="9"/>
    <w:rPr>
      <w:rFonts w:ascii="Arial" w:hAnsi="Arial" w:eastAsia="Arial" w:cs="Arial"/>
      <w:b/>
      <w:bCs/>
      <w:sz w:val="22"/>
      <w:szCs w:val="22"/>
    </w:rPr>
  </w:style>
  <w:style w:type="paragraph" w:styleId="687">
    <w:name w:val="Heading 7"/>
    <w:basedOn w:val="850"/>
    <w:next w:val="850"/>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basedOn w:val="853"/>
    <w:link w:val="687"/>
    <w:uiPriority w:val="9"/>
    <w:rPr>
      <w:rFonts w:ascii="Arial" w:hAnsi="Arial" w:eastAsia="Arial" w:cs="Arial"/>
      <w:b/>
      <w:bCs/>
      <w:i/>
      <w:iCs/>
      <w:sz w:val="22"/>
      <w:szCs w:val="22"/>
    </w:rPr>
  </w:style>
  <w:style w:type="paragraph" w:styleId="689">
    <w:name w:val="Heading 8"/>
    <w:basedOn w:val="850"/>
    <w:next w:val="850"/>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basedOn w:val="853"/>
    <w:link w:val="689"/>
    <w:uiPriority w:val="9"/>
    <w:rPr>
      <w:rFonts w:ascii="Arial" w:hAnsi="Arial" w:eastAsia="Arial" w:cs="Arial"/>
      <w:i/>
      <w:iCs/>
      <w:sz w:val="22"/>
      <w:szCs w:val="22"/>
    </w:rPr>
  </w:style>
  <w:style w:type="paragraph" w:styleId="691">
    <w:name w:val="Heading 9"/>
    <w:basedOn w:val="850"/>
    <w:next w:val="850"/>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basedOn w:val="853"/>
    <w:link w:val="691"/>
    <w:uiPriority w:val="9"/>
    <w:rPr>
      <w:rFonts w:ascii="Arial" w:hAnsi="Arial" w:eastAsia="Arial" w:cs="Arial"/>
      <w:i/>
      <w:iCs/>
      <w:sz w:val="21"/>
      <w:szCs w:val="21"/>
    </w:rPr>
  </w:style>
  <w:style w:type="paragraph" w:styleId="693">
    <w:name w:val="List Paragraph"/>
    <w:basedOn w:val="850"/>
    <w:uiPriority w:val="34"/>
    <w:qFormat/>
    <w:pPr>
      <w:contextualSpacing/>
      <w:ind w:left="720"/>
    </w:pPr>
  </w:style>
  <w:style w:type="paragraph" w:styleId="694">
    <w:name w:val="No Spacing"/>
    <w:uiPriority w:val="1"/>
    <w:qFormat/>
    <w:pPr>
      <w:spacing w:before="0" w:after="0" w:line="240" w:lineRule="auto"/>
    </w:pPr>
  </w:style>
  <w:style w:type="paragraph" w:styleId="695">
    <w:name w:val="Title"/>
    <w:basedOn w:val="850"/>
    <w:next w:val="850"/>
    <w:link w:val="696"/>
    <w:uiPriority w:val="10"/>
    <w:qFormat/>
    <w:pPr>
      <w:contextualSpacing/>
      <w:spacing w:before="300" w:after="200"/>
    </w:pPr>
    <w:rPr>
      <w:sz w:val="48"/>
      <w:szCs w:val="48"/>
    </w:rPr>
  </w:style>
  <w:style w:type="character" w:styleId="696">
    <w:name w:val="Title Char"/>
    <w:basedOn w:val="853"/>
    <w:link w:val="695"/>
    <w:uiPriority w:val="10"/>
    <w:rPr>
      <w:sz w:val="48"/>
      <w:szCs w:val="48"/>
    </w:rPr>
  </w:style>
  <w:style w:type="paragraph" w:styleId="697">
    <w:name w:val="Subtitle"/>
    <w:basedOn w:val="850"/>
    <w:next w:val="850"/>
    <w:link w:val="698"/>
    <w:uiPriority w:val="11"/>
    <w:qFormat/>
    <w:pPr>
      <w:spacing w:before="200" w:after="200"/>
    </w:pPr>
    <w:rPr>
      <w:sz w:val="24"/>
      <w:szCs w:val="24"/>
    </w:rPr>
  </w:style>
  <w:style w:type="character" w:styleId="698">
    <w:name w:val="Subtitle Char"/>
    <w:basedOn w:val="853"/>
    <w:link w:val="697"/>
    <w:uiPriority w:val="11"/>
    <w:rPr>
      <w:sz w:val="24"/>
      <w:szCs w:val="24"/>
    </w:rPr>
  </w:style>
  <w:style w:type="paragraph" w:styleId="699">
    <w:name w:val="Quote"/>
    <w:basedOn w:val="850"/>
    <w:next w:val="850"/>
    <w:link w:val="700"/>
    <w:uiPriority w:val="29"/>
    <w:qFormat/>
    <w:pPr>
      <w:ind w:left="720" w:right="720"/>
    </w:pPr>
    <w:rPr>
      <w:i/>
    </w:rPr>
  </w:style>
  <w:style w:type="character" w:styleId="700">
    <w:name w:val="Quote Char"/>
    <w:link w:val="699"/>
    <w:uiPriority w:val="29"/>
    <w:rPr>
      <w:i/>
    </w:rPr>
  </w:style>
  <w:style w:type="paragraph" w:styleId="701">
    <w:name w:val="Intense Quote"/>
    <w:basedOn w:val="850"/>
    <w:next w:val="850"/>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3"/>
    <w:link w:val="861"/>
    <w:uiPriority w:val="99"/>
  </w:style>
  <w:style w:type="character" w:styleId="704">
    <w:name w:val="Footer Char"/>
    <w:basedOn w:val="853"/>
    <w:link w:val="860"/>
    <w:uiPriority w:val="99"/>
  </w:style>
  <w:style w:type="paragraph" w:styleId="705">
    <w:name w:val="Caption"/>
    <w:basedOn w:val="850"/>
    <w:next w:val="850"/>
    <w:uiPriority w:val="35"/>
    <w:semiHidden/>
    <w:unhideWhenUsed/>
    <w:qFormat/>
    <w:pPr>
      <w:spacing w:line="276" w:lineRule="auto"/>
    </w:pPr>
    <w:rPr>
      <w:b/>
      <w:bCs/>
      <w:color w:val="4f81bd" w:themeColor="accent1"/>
      <w:sz w:val="18"/>
      <w:szCs w:val="18"/>
    </w:rPr>
  </w:style>
  <w:style w:type="character" w:styleId="706">
    <w:name w:val="Caption Char"/>
    <w:basedOn w:val="705"/>
    <w:link w:val="860"/>
    <w:uiPriority w:val="99"/>
  </w:style>
  <w:style w:type="table" w:styleId="707">
    <w:name w:val="Table Grid"/>
    <w:basedOn w:val="85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3">
    <w:name w:val="Hyperlink"/>
    <w:uiPriority w:val="99"/>
    <w:unhideWhenUsed/>
    <w:rPr>
      <w:color w:val="0000ff" w:themeColor="hyperlink"/>
      <w:u w:val="single"/>
    </w:rPr>
  </w:style>
  <w:style w:type="paragraph" w:styleId="834">
    <w:name w:val="footnote text"/>
    <w:basedOn w:val="850"/>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3"/>
    <w:uiPriority w:val="99"/>
    <w:unhideWhenUsed/>
    <w:rPr>
      <w:vertAlign w:val="superscript"/>
    </w:rPr>
  </w:style>
  <w:style w:type="paragraph" w:styleId="837">
    <w:name w:val="endnote text"/>
    <w:basedOn w:val="850"/>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3"/>
    <w:uiPriority w:val="99"/>
    <w:semiHidden/>
    <w:unhideWhenUsed/>
    <w:rPr>
      <w:vertAlign w:val="superscript"/>
    </w:rPr>
  </w:style>
  <w:style w:type="paragraph" w:styleId="840">
    <w:name w:val="toc 1"/>
    <w:basedOn w:val="850"/>
    <w:next w:val="850"/>
    <w:uiPriority w:val="39"/>
    <w:unhideWhenUsed/>
    <w:pPr>
      <w:ind w:left="0" w:right="0" w:firstLine="0"/>
      <w:spacing w:after="57"/>
    </w:pPr>
  </w:style>
  <w:style w:type="paragraph" w:styleId="841">
    <w:name w:val="toc 2"/>
    <w:basedOn w:val="850"/>
    <w:next w:val="850"/>
    <w:uiPriority w:val="39"/>
    <w:unhideWhenUsed/>
    <w:pPr>
      <w:ind w:left="283" w:right="0" w:firstLine="0"/>
      <w:spacing w:after="57"/>
    </w:pPr>
  </w:style>
  <w:style w:type="paragraph" w:styleId="842">
    <w:name w:val="toc 3"/>
    <w:basedOn w:val="850"/>
    <w:next w:val="850"/>
    <w:uiPriority w:val="39"/>
    <w:unhideWhenUsed/>
    <w:pPr>
      <w:ind w:left="567" w:right="0" w:firstLine="0"/>
      <w:spacing w:after="57"/>
    </w:pPr>
  </w:style>
  <w:style w:type="paragraph" w:styleId="843">
    <w:name w:val="toc 4"/>
    <w:basedOn w:val="850"/>
    <w:next w:val="850"/>
    <w:uiPriority w:val="39"/>
    <w:unhideWhenUsed/>
    <w:pPr>
      <w:ind w:left="850" w:right="0" w:firstLine="0"/>
      <w:spacing w:after="57"/>
    </w:pPr>
  </w:style>
  <w:style w:type="paragraph" w:styleId="844">
    <w:name w:val="toc 5"/>
    <w:basedOn w:val="850"/>
    <w:next w:val="850"/>
    <w:uiPriority w:val="39"/>
    <w:unhideWhenUsed/>
    <w:pPr>
      <w:ind w:left="1134"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next w:val="85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1">
    <w:name w:val="Heading 1"/>
    <w:basedOn w:val="850"/>
    <w:next w:val="850"/>
    <w:uiPriority w:val="0"/>
    <w:qFormat/>
    <w:pPr>
      <w:jc w:val="center"/>
      <w:keepNext/>
      <w:outlineLvl w:val="0"/>
    </w:pPr>
    <w:rPr>
      <w:rFonts w:ascii="楷体_GB2312" w:eastAsia="楷体_GB2312"/>
      <w:sz w:val="28"/>
      <w:szCs w:val="28"/>
    </w:rPr>
  </w:style>
  <w:style w:type="paragraph" w:styleId="852">
    <w:name w:val="Heading 2"/>
    <w:basedOn w:val="850"/>
    <w:next w:val="85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Body Text First Indent"/>
    <w:basedOn w:val="850"/>
    <w:next w:val="856"/>
    <w:uiPriority w:val="99"/>
    <w:unhideWhenUsed/>
    <w:qFormat/>
    <w:pPr>
      <w:ind w:firstLine="420"/>
    </w:pPr>
    <w:rPr>
      <w:rFonts w:hint="eastAsia"/>
      <w:sz w:val="21"/>
      <w:szCs w:val="24"/>
    </w:rPr>
  </w:style>
  <w:style w:type="paragraph" w:styleId="856">
    <w:name w:val="toc 6"/>
    <w:basedOn w:val="850"/>
    <w:next w:val="850"/>
    <w:uiPriority w:val="0"/>
    <w:qFormat/>
    <w:pPr>
      <w:ind w:left="2100"/>
    </w:pPr>
    <w:rPr>
      <w:rFonts w:ascii="Times New Roman" w:hAnsi="Times New Roman" w:eastAsia="宋体" w:cs="Times New Roman"/>
    </w:rPr>
  </w:style>
  <w:style w:type="paragraph" w:styleId="857">
    <w:name w:val="annotation text"/>
    <w:basedOn w:val="850"/>
    <w:uiPriority w:val="0"/>
    <w:qFormat/>
    <w:pPr>
      <w:jc w:val="left"/>
    </w:pPr>
  </w:style>
  <w:style w:type="paragraph" w:styleId="858">
    <w:name w:val="Body Text"/>
    <w:basedOn w:val="850"/>
    <w:next w:val="850"/>
    <w:uiPriority w:val="0"/>
    <w:semiHidden/>
    <w:qFormat/>
    <w:rPr>
      <w:rFonts w:ascii="仿宋" w:hAnsi="仿宋" w:eastAsia="仿宋" w:cs="仿宋"/>
      <w:sz w:val="31"/>
      <w:szCs w:val="31"/>
      <w:lang w:val="en-US" w:eastAsia="en-US" w:bidi="ar-SA"/>
    </w:rPr>
  </w:style>
  <w:style w:type="paragraph" w:styleId="859">
    <w:name w:val="Plain Text"/>
    <w:basedOn w:val="850"/>
    <w:uiPriority w:val="99"/>
    <w:qFormat/>
    <w:rPr>
      <w:rFonts w:ascii="宋体" w:hAnsi="Courier New"/>
    </w:rPr>
  </w:style>
  <w:style w:type="paragraph" w:styleId="860">
    <w:name w:val="Footer"/>
    <w:basedOn w:val="850"/>
    <w:link w:val="867"/>
    <w:uiPriority w:val="0"/>
    <w:qFormat/>
    <w:pPr>
      <w:jc w:val="left"/>
      <w:tabs>
        <w:tab w:val="center" w:pos="4153" w:leader="none"/>
        <w:tab w:val="right" w:pos="8306" w:leader="none"/>
      </w:tabs>
    </w:pPr>
    <w:rPr>
      <w:sz w:val="18"/>
      <w:szCs w:val="18"/>
    </w:rPr>
  </w:style>
  <w:style w:type="paragraph" w:styleId="861">
    <w:name w:val="Header"/>
    <w:basedOn w:val="850"/>
    <w:link w:val="866"/>
    <w:uiPriority w:val="0"/>
    <w:qFormat/>
    <w:pPr>
      <w:jc w:val="center"/>
      <w:tabs>
        <w:tab w:val="center" w:pos="4153" w:leader="none"/>
        <w:tab w:val="right" w:pos="8306" w:leader="none"/>
      </w:tabs>
      <w:pBdr>
        <w:bottom w:val="single" w:color="auto" w:sz="6" w:space="1"/>
      </w:pBdr>
    </w:pPr>
    <w:rPr>
      <w:sz w:val="18"/>
      <w:szCs w:val="18"/>
    </w:rPr>
  </w:style>
  <w:style w:type="paragraph" w:styleId="862">
    <w:name w:val="Normal (Web)"/>
    <w:basedOn w:val="850"/>
    <w:uiPriority w:val="0"/>
    <w:qFormat/>
    <w:pPr>
      <w:jc w:val="left"/>
      <w:spacing w:beforeAutospacing="1" w:afterAutospacing="1"/>
    </w:pPr>
    <w:rPr>
      <w:rFonts w:cs="Times New Roman"/>
      <w:sz w:val="24"/>
    </w:rPr>
  </w:style>
  <w:style w:type="character" w:styleId="863">
    <w:name w:val="Strong"/>
    <w:basedOn w:val="853"/>
    <w:uiPriority w:val="0"/>
    <w:qFormat/>
    <w:rPr>
      <w:b/>
    </w:rPr>
  </w:style>
  <w:style w:type="character" w:styleId="864">
    <w:name w:val="Emphasis"/>
    <w:uiPriority w:val="0"/>
    <w:qFormat/>
    <w:rPr>
      <w:i/>
    </w:rPr>
  </w:style>
  <w:style w:type="paragraph" w:styleId="865" w:customStyle="1">
    <w:name w:val="Default"/>
    <w:basedOn w:val="850"/>
    <w:uiPriority w:val="0"/>
    <w:semiHidden/>
    <w:qFormat/>
    <w:pPr>
      <w:jc w:val="left"/>
    </w:pPr>
    <w:rPr>
      <w:rFonts w:ascii="宋体" w:hAnsi="Calibri" w:cs="宋体"/>
      <w:color w:val="000000"/>
      <w:sz w:val="24"/>
    </w:rPr>
  </w:style>
  <w:style w:type="character" w:styleId="866" w:customStyle="1">
    <w:name w:val="页眉 Char"/>
    <w:basedOn w:val="853"/>
    <w:link w:val="861"/>
    <w:uiPriority w:val="0"/>
    <w:qFormat/>
    <w:rPr>
      <w:rFonts w:asciiTheme="minorHAnsi" w:hAnsiTheme="minorHAnsi" w:eastAsiaTheme="minorEastAsia" w:cstheme="minorBidi"/>
      <w:sz w:val="18"/>
      <w:szCs w:val="18"/>
    </w:rPr>
  </w:style>
  <w:style w:type="character" w:styleId="867" w:customStyle="1">
    <w:name w:val="页脚 Char"/>
    <w:basedOn w:val="853"/>
    <w:link w:val="860"/>
    <w:uiPriority w:val="0"/>
    <w:qFormat/>
    <w:rPr>
      <w:rFonts w:asciiTheme="minorHAnsi" w:hAnsiTheme="minorHAnsi" w:eastAsiaTheme="minorEastAsia" w:cstheme="minorBidi"/>
      <w:sz w:val="18"/>
      <w:szCs w:val="18"/>
    </w:rPr>
  </w:style>
  <w:style w:type="paragraph" w:styleId="868" w:customStyle="1">
    <w:name w:val="普通正文"/>
    <w:basedOn w:val="850"/>
    <w:uiPriority w:val="0"/>
    <w:qFormat/>
    <w:pPr>
      <w:ind w:firstLine="480"/>
      <w:jc w:val="left"/>
      <w:spacing w:before="120" w:after="120" w:line="360" w:lineRule="auto"/>
    </w:pPr>
    <w:rPr>
      <w:rFonts w:ascii="Arial" w:hAnsi="Arial" w:eastAsia="等线" w:cs="Arial"/>
      <w:sz w:val="24"/>
      <w:szCs w:val="24"/>
    </w:rPr>
  </w:style>
  <w:style w:type="paragraph" w:styleId="869" w:customStyle="1">
    <w:name w:val="正文首行缩进 21"/>
    <w:basedOn w:val="870"/>
    <w:uiPriority w:val="0"/>
    <w:qFormat/>
    <w:pPr>
      <w:ind w:firstLine="420"/>
    </w:pPr>
  </w:style>
  <w:style w:type="paragraph" w:styleId="870" w:customStyle="1">
    <w:name w:val="正文文本缩进1"/>
    <w:basedOn w:val="850"/>
    <w:uiPriority w:val="0"/>
    <w:qFormat/>
    <w:pPr>
      <w:ind w:left="420"/>
      <w:spacing w:after="120"/>
    </w:pPr>
  </w:style>
  <w:style w:type="paragraph" w:styleId="871" w:customStyle="1">
    <w:name w:val="文本块11"/>
    <w:basedOn w:val="850"/>
    <w:uiPriority w:val="99"/>
    <w:unhideWhenUsed/>
    <w:qFormat/>
    <w:pPr>
      <w:ind w:left="1440"/>
      <w:spacing w:after="120"/>
    </w:pPr>
    <w:rPr>
      <w:rFonts w:hint="eastAsia"/>
      <w:sz w:val="21"/>
    </w:rPr>
  </w:style>
  <w:style w:type="numbering" w:styleId="8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王莉亚</cp:lastModifiedBy>
  <cp:revision>274</cp:revision>
  <dcterms:created xsi:type="dcterms:W3CDTF">2014-10-29T12:08:00Z</dcterms:created>
  <dcterms:modified xsi:type="dcterms:W3CDTF">2026-05-06T00:34:13Z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86F243F6603940DA8BA9897AA9EB26CB_13</vt:lpwstr>
  </property>
  <property fmtid="{D5CDD505-2E9C-101B-9397-08002B2CF9AE}" pid="4" name="KSOTemplateDocerSaveRecord">
    <vt:lpwstr>eyJoZGlkIjoiMzgyMGIyNGIxNWY3ZmI1ZjUwNzVlMjNkOTQ3NGZlY2UiLCJ1c2VySWQiOiIxNzM0NDM5ODczIn0=</vt:lpwstr>
  </property>
</Properties>
</file>