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E324F2">
      <w:pPr>
        <w:jc w:val="center"/>
        <w:rPr>
          <w:b/>
          <w:color w:val="000000"/>
          <w:sz w:val="84"/>
        </w:rPr>
      </w:pPr>
    </w:p>
    <w:p w14:paraId="180D003A">
      <w:pPr>
        <w:jc w:val="center"/>
        <w:rPr>
          <w:color w:val="000000"/>
          <w:sz w:val="44"/>
          <w:szCs w:val="44"/>
        </w:rPr>
      </w:pPr>
      <w:r>
        <w:rPr>
          <w:rFonts w:hint="eastAsia"/>
          <w:b/>
          <w:color w:val="000000"/>
          <w:sz w:val="84"/>
        </w:rPr>
        <w:t>招</w:t>
      </w:r>
      <w:r>
        <w:rPr>
          <w:b/>
          <w:color w:val="000000"/>
          <w:sz w:val="84"/>
        </w:rPr>
        <w:t xml:space="preserve"> </w:t>
      </w:r>
      <w:r>
        <w:rPr>
          <w:rFonts w:hint="eastAsia"/>
          <w:b/>
          <w:color w:val="000000"/>
          <w:sz w:val="84"/>
        </w:rPr>
        <w:t>标</w:t>
      </w:r>
      <w:r>
        <w:rPr>
          <w:b/>
          <w:color w:val="000000"/>
          <w:sz w:val="84"/>
        </w:rPr>
        <w:t xml:space="preserve"> </w:t>
      </w:r>
      <w:r>
        <w:rPr>
          <w:rFonts w:hint="eastAsia"/>
          <w:b/>
          <w:color w:val="000000"/>
          <w:sz w:val="84"/>
        </w:rPr>
        <w:t>文</w:t>
      </w:r>
      <w:r>
        <w:rPr>
          <w:b/>
          <w:color w:val="000000"/>
          <w:sz w:val="84"/>
        </w:rPr>
        <w:t xml:space="preserve"> </w:t>
      </w:r>
      <w:r>
        <w:rPr>
          <w:rFonts w:hint="eastAsia"/>
          <w:b/>
          <w:color w:val="000000"/>
          <w:sz w:val="84"/>
        </w:rPr>
        <w:t>件</w:t>
      </w:r>
    </w:p>
    <w:p w14:paraId="45CE8045">
      <w:pPr>
        <w:rPr>
          <w:rFonts w:eastAsia="黑体"/>
          <w:b/>
          <w:color w:val="000000"/>
          <w:sz w:val="32"/>
        </w:rPr>
      </w:pPr>
    </w:p>
    <w:p w14:paraId="1E1BB0AF">
      <w:pPr>
        <w:rPr>
          <w:rFonts w:eastAsia="黑体"/>
          <w:b/>
          <w:color w:val="000000"/>
          <w:sz w:val="32"/>
        </w:rPr>
      </w:pPr>
    </w:p>
    <w:p w14:paraId="2755E658">
      <w:pPr>
        <w:jc w:val="center"/>
        <w:rPr>
          <w:rFonts w:eastAsia="黑体"/>
          <w:b/>
          <w:color w:val="000000"/>
          <w:sz w:val="32"/>
        </w:rPr>
      </w:pPr>
    </w:p>
    <w:p w14:paraId="25727D5C">
      <w:pPr>
        <w:jc w:val="center"/>
        <w:rPr>
          <w:rFonts w:ascii="宋体"/>
          <w:b/>
          <w:bCs/>
          <w:color w:val="000000"/>
          <w:sz w:val="36"/>
          <w:szCs w:val="36"/>
        </w:rPr>
      </w:pPr>
    </w:p>
    <w:p w14:paraId="7394D536">
      <w:pPr>
        <w:pStyle w:val="13"/>
      </w:pPr>
    </w:p>
    <w:p w14:paraId="343FFF86">
      <w:pPr>
        <w:ind w:firstLine="1084" w:firstLineChars="300"/>
        <w:jc w:val="both"/>
        <w:rPr>
          <w:rFonts w:hint="default" w:ascii="宋体" w:eastAsia="宋体"/>
          <w:b/>
          <w:bCs/>
          <w:color w:val="000000"/>
          <w:sz w:val="36"/>
          <w:szCs w:val="36"/>
          <w:highlight w:val="none"/>
          <w:lang w:val="en-US" w:eastAsia="zh-CN"/>
        </w:rPr>
      </w:pPr>
      <w:r>
        <w:rPr>
          <w:rFonts w:hint="eastAsia" w:ascii="宋体"/>
          <w:b/>
          <w:color w:val="000000"/>
          <w:sz w:val="36"/>
        </w:rPr>
        <w:t>项目编号：</w:t>
      </w:r>
      <w:r>
        <w:rPr>
          <w:rFonts w:hint="eastAsia" w:ascii="宋体"/>
          <w:b/>
          <w:color w:val="000000"/>
          <w:sz w:val="36"/>
          <w:lang w:eastAsia="zh-CN"/>
        </w:rPr>
        <w:t>JSZC-320922-ZAIX-G2026-0009</w:t>
      </w:r>
    </w:p>
    <w:p w14:paraId="163A8E00">
      <w:pPr>
        <w:rPr>
          <w:rFonts w:eastAsia="黑体"/>
          <w:b/>
          <w:color w:val="000000"/>
          <w:sz w:val="32"/>
        </w:rPr>
      </w:pPr>
    </w:p>
    <w:p w14:paraId="0A4A1504">
      <w:pPr>
        <w:jc w:val="center"/>
        <w:rPr>
          <w:rFonts w:ascii="宋体"/>
          <w:b/>
          <w:bCs/>
          <w:color w:val="000000"/>
          <w:sz w:val="36"/>
          <w:szCs w:val="36"/>
        </w:rPr>
      </w:pPr>
      <w:bookmarkStart w:id="0" w:name="OLE_LINK2"/>
    </w:p>
    <w:p w14:paraId="595770DD">
      <w:pPr>
        <w:ind w:firstLine="1084" w:firstLineChars="300"/>
        <w:jc w:val="both"/>
        <w:rPr>
          <w:rFonts w:hint="eastAsia" w:ascii="宋体" w:eastAsia="宋体"/>
          <w:b/>
          <w:color w:val="000000"/>
          <w:sz w:val="36"/>
          <w:lang w:eastAsia="zh-CN"/>
        </w:rPr>
      </w:pPr>
      <w:r>
        <w:rPr>
          <w:rFonts w:hint="eastAsia" w:ascii="宋体"/>
          <w:b/>
          <w:color w:val="000000"/>
          <w:sz w:val="36"/>
        </w:rPr>
        <w:t>项目名称：</w:t>
      </w:r>
      <w:bookmarkStart w:id="1" w:name="OLE_LINK16"/>
      <w:r>
        <w:rPr>
          <w:rFonts w:hint="eastAsia" w:ascii="宋体"/>
          <w:b/>
          <w:color w:val="000000"/>
          <w:sz w:val="36"/>
          <w:lang w:eastAsia="zh-CN"/>
        </w:rPr>
        <w:t>滨海县镇区（街道）空气质量监测网络运维服务项目</w:t>
      </w:r>
    </w:p>
    <w:bookmarkEnd w:id="0"/>
    <w:bookmarkEnd w:id="1"/>
    <w:p w14:paraId="0A91B923">
      <w:pPr>
        <w:rPr>
          <w:rFonts w:ascii="宋体"/>
          <w:b/>
          <w:color w:val="000000"/>
          <w:sz w:val="32"/>
        </w:rPr>
      </w:pPr>
    </w:p>
    <w:p w14:paraId="137827F1">
      <w:pPr>
        <w:pStyle w:val="4"/>
        <w:ind w:firstLine="118"/>
        <w:rPr>
          <w:rFonts w:hint="eastAsia"/>
          <w:color w:val="000000"/>
        </w:rPr>
      </w:pPr>
    </w:p>
    <w:p w14:paraId="03A1132F">
      <w:pPr>
        <w:rPr>
          <w:rFonts w:ascii="宋体"/>
          <w:b/>
          <w:color w:val="000000"/>
          <w:sz w:val="32"/>
        </w:rPr>
      </w:pPr>
    </w:p>
    <w:p w14:paraId="5569A241">
      <w:pPr>
        <w:jc w:val="center"/>
        <w:rPr>
          <w:rFonts w:ascii="黑体" w:eastAsia="黑体"/>
          <w:color w:val="000000"/>
          <w:sz w:val="36"/>
          <w:szCs w:val="36"/>
        </w:rPr>
      </w:pPr>
    </w:p>
    <w:p w14:paraId="50826996">
      <w:pPr>
        <w:jc w:val="center"/>
        <w:rPr>
          <w:rFonts w:ascii="黑体" w:eastAsia="黑体"/>
          <w:color w:val="000000"/>
          <w:sz w:val="36"/>
          <w:szCs w:val="36"/>
        </w:rPr>
      </w:pPr>
    </w:p>
    <w:p w14:paraId="4769CA1E">
      <w:pPr>
        <w:jc w:val="center"/>
        <w:rPr>
          <w:rFonts w:ascii="黑体" w:eastAsia="黑体"/>
          <w:color w:val="000000"/>
          <w:sz w:val="36"/>
          <w:szCs w:val="36"/>
        </w:rPr>
      </w:pPr>
    </w:p>
    <w:p w14:paraId="7DF745D3">
      <w:pPr>
        <w:jc w:val="center"/>
        <w:rPr>
          <w:rFonts w:ascii="黑体" w:eastAsia="黑体"/>
          <w:color w:val="000000"/>
          <w:sz w:val="36"/>
          <w:szCs w:val="36"/>
        </w:rPr>
      </w:pPr>
    </w:p>
    <w:p w14:paraId="36196E65">
      <w:pPr>
        <w:jc w:val="center"/>
        <w:rPr>
          <w:rFonts w:ascii="黑体" w:eastAsia="黑体"/>
          <w:color w:val="000000"/>
          <w:sz w:val="36"/>
          <w:szCs w:val="36"/>
        </w:rPr>
      </w:pPr>
    </w:p>
    <w:p w14:paraId="08ACD670">
      <w:pPr>
        <w:jc w:val="center"/>
        <w:rPr>
          <w:rFonts w:ascii="黑体" w:eastAsia="黑体"/>
          <w:color w:val="000000"/>
          <w:sz w:val="36"/>
          <w:szCs w:val="36"/>
        </w:rPr>
      </w:pPr>
    </w:p>
    <w:p w14:paraId="283D84EC">
      <w:pPr>
        <w:spacing w:line="480" w:lineRule="auto"/>
        <w:jc w:val="center"/>
        <w:rPr>
          <w:rFonts w:hint="default" w:ascii="黑体" w:eastAsia="黑体"/>
          <w:color w:val="000000"/>
          <w:sz w:val="36"/>
          <w:szCs w:val="36"/>
          <w:lang w:val="en-US" w:eastAsia="zh-CN"/>
        </w:rPr>
      </w:pPr>
      <w:r>
        <w:rPr>
          <w:rFonts w:hint="eastAsia" w:ascii="黑体" w:eastAsia="黑体"/>
          <w:color w:val="000000"/>
          <w:sz w:val="36"/>
          <w:szCs w:val="36"/>
          <w:lang w:val="en-US" w:eastAsia="zh-CN"/>
        </w:rPr>
        <w:t>盐城市滨海生态环境局</w:t>
      </w:r>
    </w:p>
    <w:p w14:paraId="670044A8">
      <w:pPr>
        <w:spacing w:line="480" w:lineRule="auto"/>
        <w:jc w:val="center"/>
        <w:rPr>
          <w:rFonts w:ascii="黑体" w:eastAsia="黑体"/>
          <w:color w:val="000000"/>
          <w:sz w:val="36"/>
          <w:szCs w:val="36"/>
        </w:rPr>
      </w:pPr>
      <w:r>
        <w:rPr>
          <w:rFonts w:hint="eastAsia" w:ascii="黑体" w:eastAsia="黑体"/>
          <w:color w:val="000000"/>
          <w:sz w:val="36"/>
          <w:szCs w:val="36"/>
        </w:rPr>
        <w:t>盐城载鑫项目管理咨询有限公司</w:t>
      </w:r>
    </w:p>
    <w:p w14:paraId="1056BC39">
      <w:pPr>
        <w:spacing w:line="480" w:lineRule="auto"/>
        <w:jc w:val="center"/>
        <w:rPr>
          <w:rFonts w:ascii="黑体" w:eastAsia="黑体"/>
          <w:color w:val="000000"/>
          <w:sz w:val="36"/>
          <w:szCs w:val="36"/>
        </w:rPr>
      </w:pPr>
      <w:r>
        <w:rPr>
          <w:rFonts w:hint="eastAsia" w:ascii="黑体" w:eastAsia="黑体"/>
          <w:color w:val="000000"/>
          <w:sz w:val="36"/>
          <w:szCs w:val="36"/>
          <w:lang w:val="en-US" w:eastAsia="zh-CN"/>
        </w:rPr>
        <w:t>2026</w:t>
      </w:r>
      <w:r>
        <w:rPr>
          <w:rFonts w:hint="eastAsia" w:ascii="黑体" w:eastAsia="黑体"/>
          <w:color w:val="000000"/>
          <w:sz w:val="36"/>
          <w:szCs w:val="36"/>
          <w:lang w:eastAsia="zh-CN"/>
        </w:rPr>
        <w:t>年</w:t>
      </w:r>
      <w:r>
        <w:rPr>
          <w:rFonts w:hint="eastAsia" w:ascii="黑体" w:eastAsia="黑体"/>
          <w:color w:val="000000"/>
          <w:sz w:val="36"/>
          <w:szCs w:val="36"/>
          <w:lang w:val="en-US" w:eastAsia="zh-CN"/>
        </w:rPr>
        <w:t>5</w:t>
      </w:r>
      <w:r>
        <w:rPr>
          <w:rFonts w:hint="eastAsia" w:ascii="黑体" w:eastAsia="黑体"/>
          <w:color w:val="000000"/>
          <w:sz w:val="36"/>
          <w:szCs w:val="36"/>
        </w:rPr>
        <w:t>月</w:t>
      </w:r>
    </w:p>
    <w:p w14:paraId="149ED932">
      <w:pPr>
        <w:jc w:val="center"/>
        <w:rPr>
          <w:rFonts w:ascii="黑体" w:hAnsi="Arial" w:eastAsia="黑体"/>
          <w:b/>
          <w:color w:val="000000"/>
          <w:sz w:val="36"/>
          <w:szCs w:val="36"/>
        </w:rPr>
        <w:sectPr>
          <w:footerReference r:id="rId3" w:type="default"/>
          <w:type w:val="continuous"/>
          <w:pgSz w:w="11907" w:h="16840"/>
          <w:pgMar w:top="1417" w:right="1134" w:bottom="1417" w:left="1134" w:header="624" w:footer="992" w:gutter="0"/>
          <w:pgNumType w:start="1"/>
          <w:cols w:space="1701" w:num="1"/>
          <w:docGrid w:linePitch="360" w:charSpace="0"/>
        </w:sectPr>
      </w:pPr>
      <w:r>
        <w:rPr>
          <w:rFonts w:hint="eastAsia" w:ascii="黑体" w:hAnsi="Arial" w:eastAsia="黑体"/>
          <w:b/>
          <w:color w:val="000000"/>
          <w:sz w:val="36"/>
          <w:szCs w:val="36"/>
        </w:rPr>
        <w:br w:type="page" w:clear="all"/>
      </w:r>
    </w:p>
    <w:p w14:paraId="3A385AFF">
      <w:pPr>
        <w:jc w:val="center"/>
        <w:rPr>
          <w:rFonts w:ascii="黑体" w:hAnsi="Arial" w:eastAsia="黑体"/>
          <w:b/>
          <w:color w:val="000000"/>
          <w:sz w:val="44"/>
        </w:rPr>
      </w:pPr>
      <w:r>
        <w:rPr>
          <w:rFonts w:hint="eastAsia" w:ascii="黑体" w:hAnsi="Arial" w:eastAsia="黑体"/>
          <w:b/>
          <w:color w:val="000000"/>
          <w:sz w:val="44"/>
        </w:rPr>
        <w:t>总</w:t>
      </w:r>
      <w:r>
        <w:rPr>
          <w:rFonts w:ascii="黑体" w:hAnsi="Arial" w:eastAsia="黑体"/>
          <w:b/>
          <w:color w:val="000000"/>
          <w:sz w:val="44"/>
        </w:rPr>
        <w:t xml:space="preserve">  </w:t>
      </w:r>
      <w:r>
        <w:rPr>
          <w:rFonts w:hint="eastAsia" w:ascii="黑体" w:hAnsi="Arial" w:eastAsia="黑体"/>
          <w:b/>
          <w:color w:val="000000"/>
          <w:sz w:val="44"/>
        </w:rPr>
        <w:t>目</w:t>
      </w:r>
      <w:r>
        <w:rPr>
          <w:rFonts w:ascii="黑体" w:hAnsi="Arial" w:eastAsia="黑体"/>
          <w:b/>
          <w:color w:val="000000"/>
          <w:sz w:val="44"/>
        </w:rPr>
        <w:t xml:space="preserve">  </w:t>
      </w:r>
      <w:r>
        <w:rPr>
          <w:rFonts w:hint="eastAsia" w:ascii="黑体" w:hAnsi="Arial" w:eastAsia="黑体"/>
          <w:b/>
          <w:color w:val="000000"/>
          <w:sz w:val="44"/>
        </w:rPr>
        <w:t>录</w:t>
      </w:r>
    </w:p>
    <w:p w14:paraId="1F07BD9C">
      <w:pPr>
        <w:spacing w:line="700" w:lineRule="exact"/>
        <w:outlineLvl w:val="0"/>
        <w:rPr>
          <w:rFonts w:ascii="黑体" w:hAnsi="Arial" w:eastAsia="黑体"/>
          <w:color w:val="000000"/>
          <w:sz w:val="36"/>
        </w:rPr>
      </w:pPr>
    </w:p>
    <w:p w14:paraId="0701BC67">
      <w:pPr>
        <w:spacing w:line="700" w:lineRule="exact"/>
        <w:outlineLvl w:val="0"/>
        <w:rPr>
          <w:rFonts w:ascii="Arial" w:hAnsi="Arial" w:eastAsia="黑体"/>
          <w:color w:val="000000"/>
          <w:sz w:val="36"/>
        </w:rPr>
      </w:pPr>
      <w:r>
        <w:rPr>
          <w:rFonts w:hint="eastAsia" w:ascii="黑体" w:hAnsi="Arial" w:eastAsia="黑体"/>
          <w:color w:val="000000"/>
          <w:sz w:val="36"/>
        </w:rPr>
        <w:t xml:space="preserve">     第一章</w:t>
      </w:r>
      <w:r>
        <w:rPr>
          <w:rFonts w:ascii="黑体" w:hAnsi="Arial" w:eastAsia="黑体"/>
          <w:color w:val="000000"/>
          <w:sz w:val="36"/>
        </w:rPr>
        <w:t xml:space="preserve">  </w:t>
      </w:r>
      <w:r>
        <w:rPr>
          <w:rFonts w:hint="eastAsia" w:ascii="黑体" w:hAnsi="Arial" w:eastAsia="黑体"/>
          <w:color w:val="000000"/>
          <w:sz w:val="36"/>
        </w:rPr>
        <w:t>招标公告</w:t>
      </w:r>
    </w:p>
    <w:p w14:paraId="68A56DC5">
      <w:pPr>
        <w:spacing w:line="700" w:lineRule="exact"/>
        <w:outlineLvl w:val="0"/>
        <w:rPr>
          <w:rFonts w:ascii="黑体" w:hAnsi="Arial" w:eastAsia="黑体"/>
          <w:color w:val="000000"/>
          <w:sz w:val="36"/>
        </w:rPr>
      </w:pPr>
      <w:r>
        <w:rPr>
          <w:rFonts w:hint="eastAsia" w:ascii="黑体" w:hAnsi="Arial" w:eastAsia="黑体"/>
          <w:color w:val="000000"/>
          <w:sz w:val="36"/>
        </w:rPr>
        <w:t xml:space="preserve">     第二章</w:t>
      </w:r>
      <w:r>
        <w:rPr>
          <w:rFonts w:ascii="黑体" w:hAnsi="Arial" w:eastAsia="黑体"/>
          <w:color w:val="000000"/>
          <w:sz w:val="36"/>
        </w:rPr>
        <w:t xml:space="preserve">  </w:t>
      </w:r>
      <w:r>
        <w:rPr>
          <w:rFonts w:hint="eastAsia" w:ascii="黑体" w:hAnsi="Arial" w:eastAsia="黑体"/>
          <w:color w:val="000000"/>
          <w:sz w:val="36"/>
        </w:rPr>
        <w:t>供应商须知</w:t>
      </w:r>
    </w:p>
    <w:p w14:paraId="2D70FACE">
      <w:pPr>
        <w:spacing w:line="700" w:lineRule="exact"/>
        <w:outlineLvl w:val="0"/>
        <w:rPr>
          <w:rFonts w:ascii="黑体" w:hAnsi="Showcard Gothic" w:eastAsia="黑体"/>
          <w:color w:val="000000"/>
          <w:sz w:val="36"/>
        </w:rPr>
      </w:pPr>
      <w:r>
        <w:rPr>
          <w:rFonts w:hint="eastAsia" w:ascii="黑体" w:hAnsi="Arial" w:eastAsia="黑体"/>
          <w:color w:val="000000"/>
          <w:sz w:val="36"/>
        </w:rPr>
        <w:t xml:space="preserve">     第三章</w:t>
      </w:r>
      <w:r>
        <w:rPr>
          <w:rFonts w:ascii="黑体" w:hAnsi="Arial" w:eastAsia="黑体"/>
          <w:color w:val="000000"/>
          <w:sz w:val="36"/>
        </w:rPr>
        <w:t xml:space="preserve">  </w:t>
      </w:r>
      <w:r>
        <w:rPr>
          <w:rFonts w:hint="eastAsia" w:ascii="黑体" w:hAnsi="宋体" w:eastAsia="黑体"/>
          <w:color w:val="000000"/>
          <w:sz w:val="36"/>
        </w:rPr>
        <w:t>合同文本</w:t>
      </w:r>
    </w:p>
    <w:p w14:paraId="62527B50">
      <w:pPr>
        <w:spacing w:line="700" w:lineRule="exact"/>
        <w:outlineLvl w:val="0"/>
        <w:rPr>
          <w:rFonts w:ascii="黑体" w:hAnsi="Arial" w:eastAsia="黑体"/>
          <w:color w:val="000000"/>
          <w:sz w:val="36"/>
        </w:rPr>
      </w:pPr>
      <w:r>
        <w:rPr>
          <w:rFonts w:hint="eastAsia" w:ascii="黑体" w:hAnsi="Arial" w:eastAsia="黑体"/>
          <w:color w:val="000000"/>
          <w:sz w:val="36"/>
        </w:rPr>
        <w:t xml:space="preserve">     第四章</w:t>
      </w:r>
      <w:r>
        <w:rPr>
          <w:rFonts w:ascii="黑体" w:hAnsi="Arial" w:eastAsia="黑体"/>
          <w:color w:val="000000"/>
          <w:sz w:val="36"/>
        </w:rPr>
        <w:t xml:space="preserve">  </w:t>
      </w:r>
      <w:r>
        <w:rPr>
          <w:rFonts w:hint="eastAsia" w:ascii="黑体" w:hAnsi="宋体" w:eastAsia="黑体"/>
          <w:color w:val="000000"/>
          <w:sz w:val="36"/>
        </w:rPr>
        <w:t>采购需求</w:t>
      </w:r>
    </w:p>
    <w:p w14:paraId="11519B09">
      <w:pPr>
        <w:spacing w:line="700" w:lineRule="exact"/>
        <w:outlineLvl w:val="0"/>
        <w:rPr>
          <w:rFonts w:ascii="??_GB2312" w:hAnsi="Arial" w:eastAsia="黑体"/>
          <w:color w:val="000000"/>
          <w:sz w:val="36"/>
        </w:rPr>
      </w:pPr>
      <w:r>
        <w:rPr>
          <w:rFonts w:hint="eastAsia" w:ascii="黑体" w:hAnsi="Arial" w:eastAsia="黑体"/>
          <w:color w:val="000000"/>
          <w:sz w:val="36"/>
        </w:rPr>
        <w:t xml:space="preserve">     第五章</w:t>
      </w:r>
      <w:r>
        <w:rPr>
          <w:rFonts w:ascii="黑体" w:hAnsi="Arial" w:eastAsia="黑体"/>
          <w:color w:val="000000"/>
          <w:sz w:val="36"/>
        </w:rPr>
        <w:t xml:space="preserve">  </w:t>
      </w:r>
      <w:r>
        <w:rPr>
          <w:rFonts w:hint="eastAsia" w:ascii="黑体" w:hAnsi="宋体" w:eastAsia="黑体"/>
          <w:bCs/>
          <w:color w:val="000000"/>
          <w:sz w:val="36"/>
          <w:szCs w:val="36"/>
        </w:rPr>
        <w:t>评标方法与评标标准</w:t>
      </w:r>
    </w:p>
    <w:p w14:paraId="02B55C20">
      <w:pPr>
        <w:spacing w:line="700" w:lineRule="exact"/>
        <w:jc w:val="left"/>
        <w:outlineLvl w:val="0"/>
        <w:rPr>
          <w:color w:val="000000"/>
        </w:rPr>
      </w:pPr>
      <w:r>
        <w:rPr>
          <w:rFonts w:hint="eastAsia" w:ascii="黑体" w:hAnsi="Arial" w:eastAsia="黑体"/>
          <w:color w:val="000000"/>
          <w:sz w:val="36"/>
          <w:szCs w:val="36"/>
        </w:rPr>
        <w:t xml:space="preserve">     </w:t>
      </w:r>
      <w:r>
        <w:rPr>
          <w:rFonts w:hint="eastAsia" w:ascii="黑体" w:hAnsi="Arial" w:eastAsia="黑体"/>
          <w:color w:val="000000"/>
          <w:sz w:val="36"/>
        </w:rPr>
        <w:t>第六章</w:t>
      </w:r>
      <w:r>
        <w:rPr>
          <w:rFonts w:hint="eastAsia" w:ascii="黑体" w:hAnsi="宋体" w:eastAsia="黑体"/>
          <w:color w:val="000000"/>
          <w:sz w:val="36"/>
        </w:rPr>
        <w:t xml:space="preserve">  投标文件格式</w:t>
      </w:r>
    </w:p>
    <w:p w14:paraId="029BDF6A">
      <w:pPr>
        <w:spacing w:line="700" w:lineRule="exact"/>
        <w:jc w:val="center"/>
        <w:outlineLvl w:val="0"/>
        <w:rPr>
          <w:color w:val="000000"/>
        </w:rPr>
      </w:pPr>
      <w:r>
        <w:rPr>
          <w:color w:val="000000"/>
        </w:rPr>
        <w:br w:type="page" w:clear="all"/>
      </w:r>
      <w:r>
        <w:rPr>
          <w:rFonts w:hint="eastAsia" w:ascii="黑体" w:hAnsi="Arial" w:eastAsia="黑体"/>
          <w:color w:val="000000"/>
          <w:sz w:val="44"/>
          <w:szCs w:val="44"/>
        </w:rPr>
        <w:t>第一章  招标公告</w:t>
      </w:r>
    </w:p>
    <w:tbl>
      <w:tblPr>
        <w:tblStyle w:val="4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28"/>
      </w:tblGrid>
      <w:tr w14:paraId="32448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8" w:type="dxa"/>
          </w:tcPr>
          <w:p w14:paraId="30D6AA4C">
            <w:pPr>
              <w:pStyle w:val="202"/>
              <w:spacing w:before="0" w:after="0"/>
              <w:jc w:val="both"/>
              <w:rPr>
                <w:rFonts w:ascii="Times New Roman" w:hAnsi="Times New Roman"/>
                <w:color w:val="000000"/>
              </w:rPr>
            </w:pPr>
            <w:r>
              <w:rPr>
                <w:rFonts w:ascii="Times New Roman" w:hAnsi="Times New Roman"/>
                <w:color w:val="000000"/>
              </w:rPr>
              <w:t>项目概况</w:t>
            </w:r>
          </w:p>
          <w:p w14:paraId="364FE658">
            <w:pPr>
              <w:pStyle w:val="202"/>
              <w:spacing w:before="0" w:after="0"/>
              <w:jc w:val="both"/>
              <w:rPr>
                <w:rFonts w:ascii="Times New Roman" w:hAnsi="Times New Roman"/>
                <w:color w:val="000000"/>
                <w:u w:val="single"/>
              </w:rPr>
            </w:pPr>
            <w:r>
              <w:rPr>
                <w:rFonts w:hint="eastAsia" w:ascii="宋体" w:hAnsi="宋体" w:cs="宋体"/>
                <w:color w:val="000000"/>
                <w:lang w:eastAsia="zh-CN"/>
              </w:rPr>
              <w:t>滨海县镇区（街道）空气质量监测网络运维服务项目</w:t>
            </w:r>
            <w:r>
              <w:rPr>
                <w:rFonts w:hint="eastAsia" w:ascii="Times New Roman" w:hAnsi="Times New Roman"/>
                <w:color w:val="000000"/>
              </w:rPr>
              <w:t>的潜在投标人可在“苏采云”系统内免费下载（投标人必须在苏采云系统中获取采购文件，方能参与政府采购项目），</w:t>
            </w:r>
            <w:r>
              <w:rPr>
                <w:rFonts w:ascii="Times New Roman" w:hAnsi="Times New Roman"/>
                <w:color w:val="000000"/>
              </w:rPr>
              <w:t>并于</w:t>
            </w:r>
            <w:r>
              <w:rPr>
                <w:rFonts w:hint="eastAsia" w:ascii="宋体" w:hAnsi="宋体"/>
                <w:b/>
                <w:bCs/>
                <w:color w:val="000000"/>
                <w:u w:val="single"/>
                <w:lang w:val="en-US" w:eastAsia="zh-CN"/>
              </w:rPr>
              <w:t>2026</w:t>
            </w:r>
            <w:r>
              <w:rPr>
                <w:rFonts w:hint="eastAsia" w:ascii="宋体" w:hAnsi="宋体"/>
                <w:b/>
                <w:bCs/>
                <w:color w:val="000000"/>
                <w:u w:val="single"/>
                <w:lang w:eastAsia="zh-CN"/>
              </w:rPr>
              <w:t>年</w:t>
            </w:r>
            <w:r>
              <w:rPr>
                <w:rFonts w:hint="eastAsia" w:ascii="宋体" w:hAnsi="宋体"/>
                <w:b/>
                <w:bCs/>
                <w:color w:val="000000"/>
                <w:u w:val="single"/>
                <w:lang w:val="en-US" w:eastAsia="zh-CN"/>
              </w:rPr>
              <w:t>6</w:t>
            </w:r>
            <w:r>
              <w:rPr>
                <w:rFonts w:ascii="宋体" w:hAnsi="宋体"/>
                <w:b/>
                <w:bCs/>
                <w:color w:val="000000"/>
                <w:u w:val="single"/>
              </w:rPr>
              <w:t>月</w:t>
            </w:r>
            <w:r>
              <w:rPr>
                <w:rFonts w:hint="eastAsia" w:ascii="宋体" w:hAnsi="宋体"/>
                <w:b/>
                <w:bCs/>
                <w:color w:val="000000"/>
                <w:u w:val="single"/>
                <w:lang w:val="en-US" w:eastAsia="zh-CN"/>
              </w:rPr>
              <w:t>9</w:t>
            </w:r>
            <w:r>
              <w:rPr>
                <w:rFonts w:ascii="宋体" w:hAnsi="宋体"/>
                <w:b/>
                <w:bCs/>
                <w:color w:val="000000"/>
                <w:u w:val="single"/>
              </w:rPr>
              <w:t>日</w:t>
            </w:r>
            <w:r>
              <w:rPr>
                <w:rFonts w:hint="eastAsia" w:ascii="宋体" w:hAnsi="宋体"/>
                <w:b/>
                <w:bCs/>
                <w:color w:val="000000"/>
                <w:u w:val="single"/>
                <w:lang w:val="en-US" w:eastAsia="zh-CN"/>
              </w:rPr>
              <w:t>15</w:t>
            </w:r>
            <w:r>
              <w:rPr>
                <w:rFonts w:ascii="宋体" w:hAnsi="宋体"/>
                <w:b/>
                <w:bCs/>
                <w:color w:val="000000"/>
                <w:u w:val="single"/>
              </w:rPr>
              <w:t>时00分</w:t>
            </w:r>
            <w:r>
              <w:rPr>
                <w:rFonts w:hint="eastAsia" w:ascii="宋体" w:hAnsi="宋体" w:cs="宋体"/>
                <w:b/>
                <w:bCs/>
                <w:color w:val="000000"/>
                <w:u w:val="single"/>
              </w:rPr>
              <w:t>00秒</w:t>
            </w:r>
            <w:r>
              <w:rPr>
                <w:rFonts w:ascii="Times New Roman" w:hAnsi="Times New Roman"/>
                <w:color w:val="000000"/>
              </w:rPr>
              <w:t>（北京时间）前递交投标文件。</w:t>
            </w:r>
          </w:p>
        </w:tc>
      </w:tr>
    </w:tbl>
    <w:p w14:paraId="0AFF8334">
      <w:pPr>
        <w:numPr>
          <w:ilvl w:val="0"/>
          <w:numId w:val="1"/>
        </w:numPr>
        <w:tabs>
          <w:tab w:val="left" w:pos="900"/>
        </w:tabs>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项目基本情况</w:t>
      </w:r>
    </w:p>
    <w:p w14:paraId="0759240E">
      <w:pPr>
        <w:tabs>
          <w:tab w:val="left" w:pos="900"/>
        </w:tabs>
        <w:spacing w:line="500" w:lineRule="exact"/>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1.项目编号：</w:t>
      </w:r>
      <w:r>
        <w:rPr>
          <w:rFonts w:hint="eastAsia" w:ascii="宋体" w:hAnsi="宋体" w:cs="宋体"/>
          <w:color w:val="000000"/>
          <w:sz w:val="24"/>
          <w:szCs w:val="24"/>
          <w:lang w:eastAsia="zh-CN"/>
        </w:rPr>
        <w:t>JSZC-320922-ZAIX-G2026-0009</w:t>
      </w:r>
    </w:p>
    <w:p w14:paraId="01C8EF7A">
      <w:pPr>
        <w:tabs>
          <w:tab w:val="left" w:pos="900"/>
        </w:tabs>
        <w:spacing w:line="500" w:lineRule="exact"/>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2.项目名称：</w:t>
      </w:r>
      <w:r>
        <w:rPr>
          <w:rFonts w:hint="eastAsia" w:ascii="宋体" w:hAnsi="宋体" w:cs="宋体"/>
          <w:color w:val="000000"/>
          <w:sz w:val="24"/>
          <w:szCs w:val="24"/>
          <w:lang w:eastAsia="zh-CN"/>
        </w:rPr>
        <w:t>滨海县镇区（街道）空气质量监测网络运维服务项目</w:t>
      </w:r>
    </w:p>
    <w:p w14:paraId="1497CC40">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3.采购方式：公开招标</w:t>
      </w:r>
    </w:p>
    <w:p w14:paraId="0EED1B50">
      <w:pPr>
        <w:tabs>
          <w:tab w:val="left" w:pos="900"/>
        </w:tabs>
        <w:spacing w:line="50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rPr>
        <w:t>4.预算金额：</w:t>
      </w:r>
      <w:r>
        <w:rPr>
          <w:rFonts w:hint="eastAsia" w:ascii="宋体" w:hAnsi="宋体" w:cs="宋体"/>
          <w:color w:val="000000"/>
          <w:sz w:val="24"/>
          <w:szCs w:val="24"/>
          <w:lang w:val="en-US" w:eastAsia="zh-CN"/>
        </w:rPr>
        <w:t>280</w:t>
      </w:r>
      <w:r>
        <w:rPr>
          <w:rFonts w:hint="eastAsia" w:ascii="宋体" w:hAnsi="宋体" w:cs="宋体"/>
          <w:color w:val="000000"/>
          <w:sz w:val="24"/>
          <w:szCs w:val="24"/>
        </w:rPr>
        <w:t>万元</w:t>
      </w:r>
      <w:r>
        <w:rPr>
          <w:rFonts w:hint="eastAsia" w:ascii="宋体" w:hAnsi="宋体" w:eastAsia="宋体" w:cs="宋体"/>
          <w:color w:val="auto"/>
          <w:sz w:val="24"/>
          <w:szCs w:val="24"/>
          <w:highlight w:val="none"/>
          <w:lang w:val="en-US" w:eastAsia="zh-CN"/>
        </w:rPr>
        <w:t>（其中包件一预算金额为140万元，包件二预算金额为140万元）</w:t>
      </w:r>
    </w:p>
    <w:p w14:paraId="6A56E988">
      <w:pPr>
        <w:tabs>
          <w:tab w:val="left" w:pos="900"/>
        </w:tabs>
        <w:spacing w:line="500"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最高限价：</w:t>
      </w:r>
      <w:r>
        <w:rPr>
          <w:rFonts w:hint="eastAsia" w:ascii="宋体" w:hAnsi="宋体" w:eastAsia="宋体" w:cs="宋体"/>
          <w:color w:val="000000"/>
          <w:sz w:val="24"/>
          <w:szCs w:val="24"/>
          <w:lang w:val="en-US" w:eastAsia="zh-CN"/>
        </w:rPr>
        <w:t>280</w:t>
      </w:r>
      <w:r>
        <w:rPr>
          <w:rFonts w:hint="eastAsia" w:ascii="宋体" w:hAnsi="宋体" w:eastAsia="宋体" w:cs="宋体"/>
          <w:color w:val="000000"/>
          <w:sz w:val="24"/>
          <w:szCs w:val="24"/>
        </w:rPr>
        <w:t>万元</w:t>
      </w:r>
      <w:r>
        <w:rPr>
          <w:rFonts w:hint="eastAsia" w:ascii="宋体" w:hAnsi="宋体" w:eastAsia="宋体" w:cs="宋体"/>
          <w:color w:val="000000"/>
          <w:sz w:val="24"/>
          <w:szCs w:val="24"/>
          <w:lang w:val="en-US" w:eastAsia="zh-CN"/>
        </w:rPr>
        <w:t>（其中包件一</w:t>
      </w:r>
      <w:r>
        <w:rPr>
          <w:rFonts w:hint="eastAsia" w:ascii="宋体" w:hAnsi="宋体" w:eastAsia="宋体" w:cs="宋体"/>
          <w:color w:val="000000"/>
          <w:sz w:val="24"/>
          <w:szCs w:val="24"/>
        </w:rPr>
        <w:t>最高限价</w:t>
      </w:r>
      <w:r>
        <w:rPr>
          <w:rFonts w:hint="eastAsia" w:ascii="宋体" w:hAnsi="宋体" w:eastAsia="宋体" w:cs="宋体"/>
          <w:color w:val="000000"/>
          <w:sz w:val="24"/>
          <w:szCs w:val="24"/>
          <w:lang w:val="en-US" w:eastAsia="zh-CN"/>
        </w:rPr>
        <w:t>为140万元，包件二</w:t>
      </w:r>
      <w:r>
        <w:rPr>
          <w:rFonts w:hint="eastAsia" w:ascii="宋体" w:hAnsi="宋体" w:eastAsia="宋体" w:cs="宋体"/>
          <w:color w:val="000000"/>
          <w:sz w:val="24"/>
          <w:szCs w:val="24"/>
        </w:rPr>
        <w:t>最高限价</w:t>
      </w:r>
      <w:r>
        <w:rPr>
          <w:rFonts w:hint="eastAsia" w:ascii="宋体" w:hAnsi="宋体" w:eastAsia="宋体" w:cs="宋体"/>
          <w:color w:val="000000"/>
          <w:sz w:val="24"/>
          <w:szCs w:val="24"/>
          <w:lang w:val="en-US" w:eastAsia="zh-CN"/>
        </w:rPr>
        <w:t>为140万元）</w:t>
      </w:r>
    </w:p>
    <w:p w14:paraId="6CAEDFCA">
      <w:pPr>
        <w:tabs>
          <w:tab w:val="left" w:pos="900"/>
        </w:tabs>
        <w:spacing w:line="500" w:lineRule="exact"/>
        <w:ind w:firstLine="480"/>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6.包件划分：本项目共两个包件，投标人可投其中任意一个或两个包件，但只能中其中一个包件；开标、评标、定标顺序，均为先包件一再包件二。</w:t>
      </w:r>
    </w:p>
    <w:p w14:paraId="023F82FB">
      <w:pPr>
        <w:tabs>
          <w:tab w:val="left" w:pos="900"/>
        </w:tabs>
        <w:spacing w:line="500" w:lineRule="exact"/>
        <w:ind w:firstLine="480"/>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7.采购需求：为规范环境空气自动监测站的运维管理，提高监测数据的准确性、稳定性，采购专业的环境空气自动站第三方单位开展运维服务等，具体详</w:t>
      </w:r>
      <w:r>
        <w:rPr>
          <w:rFonts w:hint="eastAsia" w:ascii="宋体" w:hAnsi="宋体" w:cs="宋体"/>
          <w:color w:val="000000"/>
          <w:sz w:val="24"/>
          <w:szCs w:val="24"/>
          <w:lang w:val="en-US" w:eastAsia="zh-CN"/>
        </w:rPr>
        <w:t>见招标文件第四章项目需求。</w:t>
      </w:r>
    </w:p>
    <w:p w14:paraId="71676470">
      <w:pPr>
        <w:tabs>
          <w:tab w:val="left" w:pos="900"/>
        </w:tabs>
        <w:spacing w:line="500" w:lineRule="exact"/>
        <w:ind w:left="42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8.每包件合同履行期限：两年（以签订合同时间为准）。</w:t>
      </w:r>
    </w:p>
    <w:p w14:paraId="16149177">
      <w:pPr>
        <w:tabs>
          <w:tab w:val="left" w:pos="900"/>
        </w:tabs>
        <w:spacing w:line="500" w:lineRule="exact"/>
        <w:ind w:left="42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9.每包件服务标准：合格。</w:t>
      </w:r>
    </w:p>
    <w:p w14:paraId="184A400B">
      <w:pPr>
        <w:tabs>
          <w:tab w:val="left" w:pos="900"/>
        </w:tabs>
        <w:spacing w:line="500" w:lineRule="exact"/>
        <w:ind w:left="42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10.每包件项目地点：位于盐城市滨海县境内。</w:t>
      </w:r>
    </w:p>
    <w:p w14:paraId="577125A6">
      <w:pPr>
        <w:tabs>
          <w:tab w:val="left" w:pos="900"/>
        </w:tabs>
        <w:spacing w:line="500" w:lineRule="exact"/>
        <w:ind w:left="42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11.本项目不接受联合体投标。</w:t>
      </w:r>
    </w:p>
    <w:p w14:paraId="20C8BB33">
      <w:pPr>
        <w:tabs>
          <w:tab w:val="left" w:pos="900"/>
        </w:tabs>
        <w:spacing w:line="500" w:lineRule="exact"/>
        <w:ind w:left="420"/>
        <w:rPr>
          <w:rFonts w:hint="eastAsia" w:ascii="宋体" w:hAnsi="宋体" w:cs="宋体"/>
          <w:b/>
          <w:bCs/>
          <w:color w:val="000000"/>
          <w:sz w:val="24"/>
          <w:szCs w:val="24"/>
        </w:rPr>
      </w:pPr>
      <w:r>
        <w:rPr>
          <w:rFonts w:hint="eastAsia" w:ascii="宋体" w:hAnsi="宋体" w:cs="宋体"/>
          <w:b/>
          <w:bCs/>
          <w:color w:val="000000"/>
          <w:sz w:val="24"/>
          <w:szCs w:val="24"/>
        </w:rPr>
        <w:t>二、</w:t>
      </w:r>
      <w:r>
        <w:rPr>
          <w:rFonts w:hint="eastAsia" w:ascii="宋体" w:hAnsi="宋体" w:cs="宋体"/>
          <w:b/>
          <w:bCs/>
          <w:color w:val="000000"/>
          <w:sz w:val="24"/>
          <w:szCs w:val="24"/>
          <w:lang w:val="en-US" w:eastAsia="zh-CN"/>
        </w:rPr>
        <w:t>每包件</w:t>
      </w:r>
      <w:r>
        <w:rPr>
          <w:rFonts w:hint="eastAsia" w:ascii="宋体" w:hAnsi="宋体" w:cs="宋体"/>
          <w:b/>
          <w:bCs/>
          <w:color w:val="000000"/>
          <w:sz w:val="24"/>
          <w:szCs w:val="24"/>
        </w:rPr>
        <w:t>申请人的资格要求</w:t>
      </w:r>
    </w:p>
    <w:p w14:paraId="5D187B09">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1.满足《中华人民共和国政府采购法》第二十二条规定并提供以下材料；</w:t>
      </w:r>
    </w:p>
    <w:p w14:paraId="19735817">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①法人或者其他组织的营业执照等证明文件，自然人的身份证明；</w:t>
      </w:r>
    </w:p>
    <w:p w14:paraId="693BCD36">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②财务状况报告（至少提供资产负债表、利润表、现金流量表，供应商成立不满一年无需提供），依法缴纳税收和社会保障资金的相关材料；</w:t>
      </w:r>
    </w:p>
    <w:p w14:paraId="7E856904">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③具备履行合同所必需的设备和专业技术能力的证明材料；</w:t>
      </w:r>
    </w:p>
    <w:p w14:paraId="326C43F5">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④参加政府采购活动前3年内在经营活动中没有重大违法记录的书面声明；</w:t>
      </w:r>
    </w:p>
    <w:p w14:paraId="0C7B8C00">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⑤具备法律、行政法规规定的其他条件的证明材料。</w:t>
      </w:r>
    </w:p>
    <w:p w14:paraId="4FD2F9C4">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2.落实政府采购政策需满足的资格要求：</w:t>
      </w:r>
      <w:r>
        <w:rPr>
          <w:rFonts w:hint="eastAsia" w:ascii="宋体" w:hAnsi="宋体" w:cs="宋体"/>
          <w:color w:val="000000"/>
          <w:sz w:val="24"/>
          <w:szCs w:val="24"/>
          <w:u w:val="single"/>
          <w:lang w:val="en-US" w:eastAsia="zh-CN"/>
        </w:rPr>
        <w:t>本项目为专门面向中小企业采购的项目,所属行业为其他未列明行业，本项目落实小微型企业、残疾人福利性单位及监狱企业扶持等相关政府采购政策</w:t>
      </w:r>
      <w:r>
        <w:rPr>
          <w:rFonts w:hint="eastAsia" w:ascii="宋体" w:hAnsi="宋体" w:cs="宋体"/>
          <w:color w:val="000000"/>
          <w:sz w:val="24"/>
          <w:szCs w:val="24"/>
        </w:rPr>
        <w:t>。</w:t>
      </w:r>
    </w:p>
    <w:p w14:paraId="17868C7A">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3.本项目的特定资格要求：</w:t>
      </w:r>
    </w:p>
    <w:p w14:paraId="075EF74C">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①单位负责人为同一人或者存在直接控股、管理关系的不同供应商，不得参加同一合同项下的政府采购活动。</w:t>
      </w:r>
    </w:p>
    <w:p w14:paraId="61448E27">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②投标人必须为未被列入“信用中国”网(www.creditchina.gov.cn)、中国政府采购网(www.ccgp.gov.cn)渠道信用记录失信被执行人、重大税收违法案件当事人名单、政府采购严重违法失信行为记录名单。</w:t>
      </w:r>
    </w:p>
    <w:p w14:paraId="6EC29D6F">
      <w:pPr>
        <w:spacing w:line="420" w:lineRule="exact"/>
        <w:ind w:firstLine="482" w:firstLineChars="200"/>
        <w:rPr>
          <w:rFonts w:hint="eastAsia" w:ascii="宋体" w:hAnsi="宋体" w:eastAsia="宋体"/>
          <w:b/>
          <w:bCs/>
          <w:sz w:val="24"/>
          <w:highlight w:val="none"/>
        </w:rPr>
      </w:pPr>
      <w:bookmarkStart w:id="2" w:name="_Toc28359084"/>
      <w:bookmarkStart w:id="3" w:name="_Toc28359007"/>
      <w:bookmarkStart w:id="4" w:name="_Toc35393794"/>
      <w:bookmarkStart w:id="5" w:name="_Toc35393625"/>
      <w:r>
        <w:rPr>
          <w:rFonts w:hint="eastAsia" w:ascii="宋体" w:hAnsi="宋体" w:eastAsia="宋体"/>
          <w:b/>
          <w:bCs/>
          <w:sz w:val="24"/>
          <w:highlight w:val="none"/>
        </w:rPr>
        <w:t>三、</w:t>
      </w:r>
      <w:r>
        <w:rPr>
          <w:rFonts w:hint="eastAsia" w:ascii="宋体" w:hAnsi="宋体" w:eastAsia="宋体" w:cs="宋体"/>
          <w:b/>
          <w:color w:val="auto"/>
          <w:sz w:val="24"/>
          <w:szCs w:val="24"/>
          <w:highlight w:val="none"/>
          <w:lang w:val="en-US" w:eastAsia="zh-CN"/>
        </w:rPr>
        <w:t>每包件</w:t>
      </w:r>
      <w:r>
        <w:rPr>
          <w:rFonts w:hint="eastAsia" w:ascii="宋体" w:hAnsi="宋体" w:eastAsia="宋体"/>
          <w:b/>
          <w:bCs/>
          <w:sz w:val="24"/>
          <w:highlight w:val="none"/>
        </w:rPr>
        <w:t>获取招标文件</w:t>
      </w:r>
    </w:p>
    <w:p w14:paraId="77F3E933">
      <w:pPr>
        <w:spacing w:line="420" w:lineRule="exact"/>
        <w:ind w:firstLine="480"/>
        <w:rPr>
          <w:rFonts w:hint="eastAsia" w:ascii="宋体" w:hAnsi="宋体" w:eastAsia="宋体"/>
          <w:sz w:val="24"/>
          <w:highlight w:val="none"/>
        </w:rPr>
      </w:pPr>
      <w:bookmarkStart w:id="6" w:name="_Toc28359005"/>
      <w:bookmarkStart w:id="7" w:name="_Toc28359082"/>
      <w:bookmarkStart w:id="8" w:name="_Toc35393624"/>
      <w:bookmarkStart w:id="9" w:name="_Toc35393793"/>
      <w:bookmarkStart w:id="10" w:name="_Toc38985266"/>
      <w:r>
        <w:rPr>
          <w:rFonts w:hint="eastAsia" w:ascii="宋体" w:hAnsi="宋体" w:eastAsia="宋体"/>
          <w:sz w:val="24"/>
          <w:highlight w:val="none"/>
        </w:rPr>
        <w:t>1.时间：</w:t>
      </w:r>
      <w:bookmarkEnd w:id="6"/>
      <w:bookmarkEnd w:id="7"/>
      <w:bookmarkEnd w:id="8"/>
      <w:bookmarkEnd w:id="9"/>
      <w:bookmarkEnd w:id="10"/>
      <w:r>
        <w:rPr>
          <w:rFonts w:hint="eastAsia" w:ascii="宋体" w:hAnsi="宋体" w:eastAsia="宋体"/>
          <w:sz w:val="24"/>
          <w:highlight w:val="none"/>
        </w:rPr>
        <w:t>自招标文件公告发布之日起5个工作日。</w:t>
      </w:r>
    </w:p>
    <w:p w14:paraId="240A4EE8">
      <w:pPr>
        <w:spacing w:line="420" w:lineRule="exact"/>
        <w:ind w:firstLine="480"/>
        <w:rPr>
          <w:rFonts w:hint="eastAsia" w:ascii="宋体" w:hAnsi="宋体" w:eastAsia="宋体"/>
          <w:sz w:val="24"/>
          <w:highlight w:val="none"/>
        </w:rPr>
      </w:pPr>
      <w:r>
        <w:rPr>
          <w:rFonts w:hint="eastAsia" w:ascii="宋体" w:hAnsi="宋体" w:eastAsia="宋体"/>
          <w:sz w:val="24"/>
          <w:highlight w:val="none"/>
        </w:rPr>
        <w:t>2.地点：“苏采云”系统内免费下载（投标人必须在苏采云系统中获取采购文件，方能参与政府采购项目）；</w:t>
      </w:r>
    </w:p>
    <w:p w14:paraId="3701E597">
      <w:pPr>
        <w:spacing w:line="420" w:lineRule="exact"/>
        <w:ind w:firstLine="480"/>
        <w:rPr>
          <w:rFonts w:hint="eastAsia" w:ascii="宋体" w:hAnsi="宋体" w:eastAsia="宋体"/>
          <w:sz w:val="24"/>
          <w:highlight w:val="none"/>
        </w:rPr>
      </w:pPr>
      <w:r>
        <w:rPr>
          <w:rFonts w:hint="eastAsia" w:ascii="宋体" w:hAnsi="宋体" w:eastAsia="宋体"/>
          <w:sz w:val="24"/>
          <w:highlight w:val="none"/>
        </w:rPr>
        <w:t>3.方式：本项目采用网上注册登记方式。</w:t>
      </w:r>
    </w:p>
    <w:p w14:paraId="7A61AA9B">
      <w:pPr>
        <w:spacing w:line="420" w:lineRule="exact"/>
        <w:ind w:firstLine="480"/>
        <w:rPr>
          <w:rFonts w:hint="eastAsia" w:ascii="宋体" w:hAnsi="宋体" w:eastAsia="宋体"/>
          <w:sz w:val="24"/>
          <w:highlight w:val="none"/>
        </w:rPr>
      </w:pPr>
      <w:r>
        <w:rPr>
          <w:rFonts w:hint="eastAsia" w:ascii="宋体" w:hAnsi="宋体" w:eastAsia="宋体"/>
          <w:sz w:val="24"/>
          <w:highlight w:val="none"/>
        </w:rPr>
        <w:t>4.售价：</w:t>
      </w:r>
      <w:r>
        <w:rPr>
          <w:rFonts w:hint="eastAsia" w:ascii="宋体" w:hAnsi="宋体" w:eastAsia="宋体"/>
          <w:sz w:val="24"/>
          <w:highlight w:val="none"/>
          <w:u w:val="single"/>
        </w:rPr>
        <w:t>0</w:t>
      </w:r>
      <w:r>
        <w:rPr>
          <w:rFonts w:hint="eastAsia" w:ascii="宋体" w:hAnsi="宋体" w:eastAsia="宋体"/>
          <w:sz w:val="24"/>
          <w:highlight w:val="none"/>
        </w:rPr>
        <w:t>元</w:t>
      </w:r>
    </w:p>
    <w:p w14:paraId="6D574C12">
      <w:pPr>
        <w:spacing w:line="420" w:lineRule="exact"/>
        <w:ind w:firstLine="482" w:firstLineChars="200"/>
        <w:rPr>
          <w:rFonts w:hint="eastAsia" w:ascii="宋体" w:hAnsi="宋体" w:eastAsia="宋体"/>
          <w:b/>
          <w:bCs/>
          <w:sz w:val="24"/>
          <w:highlight w:val="none"/>
        </w:rPr>
      </w:pPr>
      <w:r>
        <w:rPr>
          <w:rFonts w:hint="eastAsia" w:ascii="宋体" w:hAnsi="宋体" w:eastAsia="宋体"/>
          <w:b/>
          <w:bCs/>
          <w:sz w:val="24"/>
          <w:highlight w:val="none"/>
        </w:rPr>
        <w:t>四、</w:t>
      </w:r>
      <w:r>
        <w:rPr>
          <w:rFonts w:hint="eastAsia" w:ascii="宋体" w:hAnsi="宋体" w:eastAsia="宋体" w:cs="宋体"/>
          <w:b/>
          <w:color w:val="auto"/>
          <w:sz w:val="24"/>
          <w:szCs w:val="24"/>
          <w:highlight w:val="none"/>
          <w:lang w:val="en-US" w:eastAsia="zh-CN"/>
        </w:rPr>
        <w:t>每包件</w:t>
      </w:r>
      <w:r>
        <w:rPr>
          <w:rFonts w:hint="eastAsia" w:ascii="宋体" w:hAnsi="宋体" w:eastAsia="宋体"/>
          <w:b/>
          <w:bCs/>
          <w:sz w:val="24"/>
          <w:highlight w:val="none"/>
        </w:rPr>
        <w:t>提交投标文件截止时间、开标时间和地点</w:t>
      </w:r>
    </w:p>
    <w:p w14:paraId="7369FE96">
      <w:pPr>
        <w:spacing w:line="420" w:lineRule="exact"/>
        <w:ind w:firstLine="480"/>
        <w:rPr>
          <w:rFonts w:hint="eastAsia" w:ascii="宋体" w:hAnsi="宋体" w:eastAsia="宋体"/>
          <w:sz w:val="24"/>
          <w:highlight w:val="none"/>
        </w:rPr>
      </w:pPr>
      <w:r>
        <w:rPr>
          <w:rFonts w:hint="eastAsia" w:ascii="宋体" w:hAnsi="宋体" w:eastAsia="宋体"/>
          <w:sz w:val="24"/>
          <w:highlight w:val="none"/>
        </w:rPr>
        <w:t>1.时间：202</w:t>
      </w:r>
      <w:r>
        <w:rPr>
          <w:rFonts w:hint="eastAsia" w:ascii="宋体" w:hAnsi="宋体"/>
          <w:sz w:val="24"/>
          <w:highlight w:val="none"/>
          <w:lang w:val="en-US" w:eastAsia="zh-CN"/>
        </w:rPr>
        <w:t>6</w:t>
      </w:r>
      <w:r>
        <w:rPr>
          <w:rFonts w:hint="eastAsia" w:ascii="宋体" w:hAnsi="宋体" w:eastAsia="宋体"/>
          <w:sz w:val="24"/>
          <w:highlight w:val="none"/>
        </w:rPr>
        <w:t>年</w:t>
      </w:r>
      <w:r>
        <w:rPr>
          <w:rFonts w:hint="eastAsia" w:ascii="宋体" w:hAnsi="宋体"/>
          <w:sz w:val="24"/>
          <w:highlight w:val="none"/>
          <w:lang w:val="en-US" w:eastAsia="zh-CN"/>
        </w:rPr>
        <w:t>6</w:t>
      </w:r>
      <w:r>
        <w:rPr>
          <w:rFonts w:hint="eastAsia" w:ascii="宋体" w:hAnsi="宋体" w:eastAsia="宋体"/>
          <w:sz w:val="24"/>
          <w:highlight w:val="none"/>
        </w:rPr>
        <w:t>月</w:t>
      </w:r>
      <w:r>
        <w:rPr>
          <w:rFonts w:hint="eastAsia" w:ascii="宋体" w:hAnsi="宋体"/>
          <w:sz w:val="24"/>
          <w:highlight w:val="none"/>
          <w:lang w:val="en-US" w:eastAsia="zh-CN"/>
        </w:rPr>
        <w:t>9</w:t>
      </w:r>
      <w:r>
        <w:rPr>
          <w:rFonts w:hint="eastAsia" w:ascii="宋体" w:hAnsi="宋体" w:eastAsia="宋体"/>
          <w:sz w:val="24"/>
          <w:highlight w:val="none"/>
        </w:rPr>
        <w:t>日</w:t>
      </w:r>
      <w:r>
        <w:rPr>
          <w:rFonts w:hint="eastAsia" w:ascii="宋体" w:hAnsi="宋体"/>
          <w:sz w:val="24"/>
          <w:highlight w:val="none"/>
          <w:lang w:val="en-US" w:eastAsia="zh-CN"/>
        </w:rPr>
        <w:t>15</w:t>
      </w:r>
      <w:r>
        <w:rPr>
          <w:rFonts w:hint="eastAsia" w:ascii="宋体" w:hAnsi="宋体" w:eastAsia="宋体"/>
          <w:sz w:val="24"/>
          <w:highlight w:val="none"/>
        </w:rPr>
        <w:t>:00</w:t>
      </w:r>
      <w:r>
        <w:rPr>
          <w:rFonts w:hint="eastAsia" w:ascii="宋体" w:hAnsi="宋体" w:eastAsia="宋体"/>
          <w:sz w:val="24"/>
          <w:highlight w:val="none"/>
          <w:lang w:val="en-US" w:eastAsia="zh-CN"/>
        </w:rPr>
        <w:t>:00</w:t>
      </w:r>
      <w:r>
        <w:rPr>
          <w:rFonts w:hint="eastAsia" w:ascii="宋体" w:hAnsi="宋体" w:eastAsia="宋体"/>
          <w:sz w:val="24"/>
          <w:highlight w:val="none"/>
        </w:rPr>
        <w:t>（北京时间）。</w:t>
      </w:r>
    </w:p>
    <w:p w14:paraId="1783133D">
      <w:pPr>
        <w:tabs>
          <w:tab w:val="left" w:pos="900"/>
        </w:tabs>
        <w:spacing w:line="500" w:lineRule="exact"/>
        <w:ind w:firstLine="480"/>
        <w:rPr>
          <w:rFonts w:hint="eastAsia" w:ascii="宋体" w:hAnsi="宋体" w:cs="宋体"/>
          <w:color w:val="000000"/>
          <w:sz w:val="24"/>
          <w:szCs w:val="24"/>
        </w:rPr>
      </w:pPr>
      <w:r>
        <w:rPr>
          <w:rFonts w:hint="eastAsia" w:ascii="宋体" w:hAnsi="宋体" w:eastAsia="宋体"/>
          <w:sz w:val="24"/>
          <w:highlight w:val="none"/>
        </w:rPr>
        <w:t>2.地点：苏采云“不见面”开标大厅。</w:t>
      </w:r>
    </w:p>
    <w:bookmarkEnd w:id="2"/>
    <w:bookmarkEnd w:id="3"/>
    <w:bookmarkEnd w:id="4"/>
    <w:bookmarkEnd w:id="5"/>
    <w:p w14:paraId="310D8DE7">
      <w:pPr>
        <w:tabs>
          <w:tab w:val="left" w:pos="900"/>
        </w:tabs>
        <w:spacing w:line="500" w:lineRule="exact"/>
        <w:ind w:firstLine="482"/>
        <w:rPr>
          <w:b/>
          <w:bCs/>
          <w:color w:val="000000"/>
          <w:sz w:val="24"/>
          <w:szCs w:val="20"/>
        </w:rPr>
      </w:pPr>
      <w:bookmarkStart w:id="11" w:name="_Toc38985267"/>
      <w:bookmarkStart w:id="12" w:name="_Toc35393795"/>
      <w:bookmarkStart w:id="13" w:name="_Toc35393626"/>
      <w:r>
        <w:rPr>
          <w:rFonts w:hint="eastAsia"/>
          <w:b/>
          <w:bCs/>
          <w:color w:val="000000"/>
          <w:sz w:val="24"/>
          <w:szCs w:val="20"/>
        </w:rPr>
        <w:t>五、公告期限</w:t>
      </w:r>
      <w:bookmarkEnd w:id="11"/>
    </w:p>
    <w:p w14:paraId="7009B58D">
      <w:pPr>
        <w:tabs>
          <w:tab w:val="left" w:pos="900"/>
        </w:tabs>
        <w:spacing w:line="500" w:lineRule="exact"/>
        <w:ind w:firstLine="480"/>
        <w:rPr>
          <w:color w:val="000000"/>
          <w:sz w:val="24"/>
          <w:szCs w:val="20"/>
        </w:rPr>
      </w:pPr>
      <w:bookmarkStart w:id="14" w:name="_Toc38985268"/>
      <w:r>
        <w:rPr>
          <w:rFonts w:hint="eastAsia"/>
          <w:color w:val="000000"/>
          <w:sz w:val="24"/>
          <w:szCs w:val="20"/>
        </w:rPr>
        <w:t>自本公告发布之日起5个工作日。</w:t>
      </w:r>
      <w:bookmarkEnd w:id="14"/>
    </w:p>
    <w:p w14:paraId="3F86CBDF">
      <w:pPr>
        <w:tabs>
          <w:tab w:val="left" w:pos="900"/>
        </w:tabs>
        <w:spacing w:line="500" w:lineRule="exact"/>
        <w:ind w:firstLine="482"/>
        <w:rPr>
          <w:rFonts w:hint="eastAsia" w:ascii="宋体" w:hAnsi="宋体" w:cs="宋体"/>
          <w:color w:val="000000"/>
          <w:sz w:val="24"/>
          <w:szCs w:val="24"/>
        </w:rPr>
      </w:pPr>
      <w:r>
        <w:rPr>
          <w:rFonts w:hint="eastAsia" w:ascii="宋体" w:hAnsi="宋体" w:cs="宋体"/>
          <w:b/>
          <w:bCs/>
          <w:color w:val="000000"/>
          <w:sz w:val="24"/>
          <w:szCs w:val="24"/>
        </w:rPr>
        <w:t>六、其他补充事宜</w:t>
      </w:r>
      <w:bookmarkEnd w:id="12"/>
      <w:bookmarkEnd w:id="13"/>
    </w:p>
    <w:p w14:paraId="5513B6B0">
      <w:pPr>
        <w:spacing w:line="420" w:lineRule="exact"/>
        <w:ind w:firstLine="480"/>
        <w:rPr>
          <w:rFonts w:hint="eastAsia" w:ascii="宋体" w:hAnsi="宋体" w:eastAsia="宋体"/>
          <w:sz w:val="24"/>
          <w:highlight w:val="none"/>
        </w:rPr>
      </w:pPr>
      <w:bookmarkStart w:id="15" w:name="OLE_LINK63"/>
      <w:bookmarkStart w:id="16" w:name="_Toc28359085"/>
      <w:bookmarkStart w:id="17" w:name="_Toc35393627"/>
      <w:bookmarkStart w:id="18" w:name="_Toc28359008"/>
      <w:bookmarkStart w:id="19" w:name="_Toc35393796"/>
      <w:r>
        <w:rPr>
          <w:rFonts w:hint="eastAsia" w:ascii="宋体" w:hAnsi="宋体" w:eastAsia="宋体"/>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1621256">
      <w:pPr>
        <w:spacing w:line="420" w:lineRule="exact"/>
        <w:rPr>
          <w:rFonts w:hint="eastAsia" w:ascii="宋体" w:hAnsi="宋体" w:eastAsia="宋体"/>
          <w:sz w:val="24"/>
          <w:highlight w:val="none"/>
        </w:rPr>
      </w:pPr>
      <w:r>
        <w:rPr>
          <w:rFonts w:hint="eastAsia" w:ascii="宋体" w:hAnsi="宋体" w:eastAsia="宋体"/>
          <w:sz w:val="24"/>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1320E53">
      <w:pPr>
        <w:spacing w:line="420" w:lineRule="exact"/>
        <w:ind w:firstLine="480"/>
        <w:rPr>
          <w:rFonts w:hint="eastAsia" w:ascii="宋体" w:hAnsi="宋体" w:eastAsia="宋体"/>
          <w:sz w:val="24"/>
          <w:highlight w:val="none"/>
        </w:rPr>
      </w:pPr>
      <w:r>
        <w:rPr>
          <w:rFonts w:hint="eastAsia" w:ascii="宋体" w:hAnsi="宋体" w:eastAsia="宋体"/>
          <w:sz w:val="24"/>
          <w:highlight w:val="none"/>
        </w:rPr>
        <w:t>2.潜在供应商访问电子招标响应交易平台的网络地址和方法：</w:t>
      </w:r>
    </w:p>
    <w:p w14:paraId="28CFB878">
      <w:pPr>
        <w:spacing w:line="420" w:lineRule="exact"/>
        <w:ind w:firstLine="480"/>
        <w:rPr>
          <w:rFonts w:hint="eastAsia" w:ascii="宋体" w:hAnsi="宋体" w:eastAsia="宋体"/>
          <w:sz w:val="24"/>
          <w:highlight w:val="none"/>
        </w:rPr>
      </w:pPr>
      <w:r>
        <w:rPr>
          <w:rFonts w:hint="eastAsia" w:ascii="宋体" w:hAnsi="宋体" w:eastAsia="宋体"/>
          <w:sz w:val="24"/>
          <w:highlight w:val="none"/>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7E8A2679">
      <w:pPr>
        <w:spacing w:line="420" w:lineRule="exact"/>
        <w:ind w:firstLine="480"/>
        <w:rPr>
          <w:rFonts w:hint="eastAsia" w:ascii="宋体" w:hAnsi="宋体" w:eastAsia="宋体"/>
          <w:sz w:val="24"/>
          <w:highlight w:val="none"/>
        </w:rPr>
      </w:pPr>
      <w:r>
        <w:rPr>
          <w:rFonts w:hint="eastAsia" w:ascii="宋体" w:hAnsi="宋体" w:eastAsia="宋体"/>
          <w:sz w:val="24"/>
          <w:highlight w:val="none"/>
        </w:rPr>
        <w:t>2.2潜在投标人访问“苏采云”系统方法：江苏省政府采购网首页-“苏采云”链接。</w:t>
      </w:r>
    </w:p>
    <w:p w14:paraId="6B08B09D">
      <w:pPr>
        <w:spacing w:line="420" w:lineRule="exact"/>
        <w:ind w:firstLine="480"/>
        <w:rPr>
          <w:rFonts w:hint="eastAsia" w:ascii="宋体" w:hAnsi="宋体" w:eastAsia="宋体"/>
          <w:sz w:val="24"/>
          <w:highlight w:val="none"/>
        </w:rPr>
      </w:pPr>
      <w:r>
        <w:rPr>
          <w:rFonts w:hint="eastAsia" w:ascii="宋体" w:hAnsi="宋体" w:eastAsia="宋体"/>
          <w:sz w:val="24"/>
          <w:highlight w:val="none"/>
        </w:rPr>
        <w:t>2.3采购文件（后缀名为“.kedt”）、供应商操作手册及政府采购客户端工具可通过“苏采云”系统相应链接进行下载。</w:t>
      </w:r>
    </w:p>
    <w:p w14:paraId="1A8652BD">
      <w:pPr>
        <w:spacing w:line="420" w:lineRule="exact"/>
        <w:ind w:firstLine="480"/>
        <w:rPr>
          <w:rFonts w:hint="eastAsia" w:ascii="宋体" w:hAnsi="宋体" w:eastAsia="宋体"/>
          <w:sz w:val="24"/>
          <w:highlight w:val="none"/>
        </w:rPr>
      </w:pPr>
      <w:r>
        <w:rPr>
          <w:rFonts w:hint="eastAsia" w:ascii="宋体" w:hAnsi="宋体" w:eastAsia="宋体"/>
          <w:sz w:val="24"/>
          <w:highlight w:val="none"/>
        </w:rPr>
        <w:t>2.4采购代理机构将数据电文形式的采购文件加载至“苏采云”系统，供潜在供应商下载或者查阅。</w:t>
      </w:r>
    </w:p>
    <w:p w14:paraId="1430DAE2">
      <w:pPr>
        <w:spacing w:line="420" w:lineRule="exact"/>
        <w:ind w:firstLine="480"/>
        <w:rPr>
          <w:rFonts w:hint="eastAsia" w:ascii="宋体" w:hAnsi="宋体" w:eastAsia="宋体"/>
          <w:sz w:val="24"/>
          <w:highlight w:val="none"/>
        </w:rPr>
      </w:pPr>
      <w:r>
        <w:rPr>
          <w:rFonts w:hint="eastAsia" w:ascii="宋体" w:hAnsi="宋体" w:eastAsia="宋体"/>
          <w:sz w:val="24"/>
          <w:highlight w:val="none"/>
        </w:rPr>
        <w:t>2.5请潜在投标单位提前安装相应的控件（详见《“苏采云”系统供应商操作手册》）并使用谷歌浏览器登录“苏采云”系统参与不见面开评标。</w:t>
      </w:r>
    </w:p>
    <w:p w14:paraId="7D6E76A8">
      <w:pPr>
        <w:spacing w:line="420" w:lineRule="exact"/>
        <w:rPr>
          <w:rFonts w:hint="eastAsia" w:ascii="宋体" w:hAnsi="宋体" w:eastAsia="宋体"/>
          <w:sz w:val="24"/>
          <w:highlight w:val="none"/>
        </w:rPr>
      </w:pPr>
      <w:r>
        <w:rPr>
          <w:rFonts w:hint="eastAsia" w:ascii="宋体" w:hAnsi="宋体" w:eastAsia="宋体"/>
          <w:sz w:val="24"/>
          <w:highlight w:val="none"/>
        </w:rPr>
        <w:t>如潜在投标人未按上述要求操作，将自行承担所产生的风险。</w:t>
      </w:r>
    </w:p>
    <w:p w14:paraId="64F7160E">
      <w:pPr>
        <w:spacing w:line="420" w:lineRule="exact"/>
        <w:ind w:firstLine="480"/>
        <w:rPr>
          <w:rFonts w:hint="eastAsia" w:ascii="宋体" w:hAnsi="宋体" w:eastAsia="宋体"/>
          <w:sz w:val="24"/>
          <w:highlight w:val="none"/>
        </w:rPr>
      </w:pPr>
      <w:r>
        <w:rPr>
          <w:rFonts w:hint="eastAsia" w:ascii="宋体" w:hAnsi="宋体" w:eastAsia="宋体"/>
          <w:sz w:val="24"/>
          <w:highlight w:val="none"/>
        </w:rPr>
        <w:t>3.有关本次招标的事项若存在变动或修改，敬请及时关注</w:t>
      </w:r>
      <w:r>
        <w:rPr>
          <w:rFonts w:hint="eastAsia" w:ascii="宋体" w:hAnsi="宋体"/>
          <w:sz w:val="24"/>
          <w:highlight w:val="none"/>
          <w:lang w:val="en-US" w:eastAsia="zh-CN"/>
        </w:rPr>
        <w:t>采购人</w:t>
      </w:r>
      <w:r>
        <w:rPr>
          <w:rFonts w:hint="eastAsia" w:ascii="宋体" w:hAnsi="宋体" w:eastAsia="宋体"/>
          <w:sz w:val="24"/>
          <w:highlight w:val="none"/>
        </w:rPr>
        <w:t>在“中国政府采购网”、“江苏政府采购网”、“盐城市政府采购网”发布的更正公告。</w:t>
      </w:r>
    </w:p>
    <w:p w14:paraId="02096924">
      <w:pPr>
        <w:spacing w:line="420" w:lineRule="exact"/>
        <w:ind w:firstLine="480"/>
        <w:rPr>
          <w:rFonts w:hint="eastAsia" w:ascii="宋体" w:hAnsi="宋体" w:eastAsia="宋体"/>
          <w:sz w:val="24"/>
          <w:highlight w:val="none"/>
        </w:rPr>
      </w:pPr>
      <w:r>
        <w:rPr>
          <w:rFonts w:hint="eastAsia" w:ascii="宋体" w:hAnsi="宋体" w:eastAsia="宋体"/>
          <w:sz w:val="24"/>
          <w:highlight w:val="none"/>
        </w:rPr>
        <w:t>4.本次招标不收取投标保证金，不收取质量保证金。</w:t>
      </w:r>
      <w:bookmarkEnd w:id="15"/>
    </w:p>
    <w:p w14:paraId="3B9EA3D1">
      <w:pPr>
        <w:tabs>
          <w:tab w:val="left" w:pos="900"/>
        </w:tabs>
        <w:spacing w:line="500" w:lineRule="exact"/>
        <w:ind w:firstLine="482"/>
        <w:rPr>
          <w:rFonts w:hint="eastAsia" w:ascii="宋体" w:hAnsi="宋体" w:cs="宋体"/>
          <w:b/>
          <w:bCs/>
          <w:color w:val="000000"/>
          <w:sz w:val="24"/>
          <w:szCs w:val="24"/>
        </w:rPr>
      </w:pPr>
      <w:r>
        <w:rPr>
          <w:rFonts w:hint="eastAsia" w:ascii="宋体" w:hAnsi="宋体" w:cs="宋体"/>
          <w:b/>
          <w:bCs/>
          <w:color w:val="000000"/>
          <w:sz w:val="24"/>
          <w:szCs w:val="24"/>
        </w:rPr>
        <w:t>七、对本次招标提出询问，请按以下方式联系</w:t>
      </w:r>
      <w:bookmarkEnd w:id="16"/>
      <w:bookmarkEnd w:id="17"/>
      <w:bookmarkEnd w:id="18"/>
      <w:bookmarkEnd w:id="19"/>
    </w:p>
    <w:p w14:paraId="510E3394">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1.采购人信息</w:t>
      </w:r>
    </w:p>
    <w:p w14:paraId="42DE60DB">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名    称：盐城市滨海生态环境局</w:t>
      </w:r>
    </w:p>
    <w:p w14:paraId="644C806A">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地  址：滨海县港城路468号</w:t>
      </w:r>
    </w:p>
    <w:p w14:paraId="3C7A55B4">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联 系人：吴女士</w:t>
      </w:r>
    </w:p>
    <w:p w14:paraId="2D2C5520">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联系电话：15195106006</w:t>
      </w:r>
    </w:p>
    <w:p w14:paraId="6EA6ED26">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2.采购代理机构信息</w:t>
      </w:r>
    </w:p>
    <w:p w14:paraId="06605B53">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名    称：盐城载鑫项目管理咨询有限公司</w:t>
      </w:r>
    </w:p>
    <w:p w14:paraId="57FF85A6">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地    址：盐城市滨海县港城路358号华芳国际花园3号楼202室</w:t>
      </w:r>
    </w:p>
    <w:p w14:paraId="08F8F267">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联系人：南女士</w:t>
      </w:r>
    </w:p>
    <w:p w14:paraId="102C6741">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联系方式：13770130866　</w:t>
      </w:r>
    </w:p>
    <w:p w14:paraId="0629F813">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3、项目联系方式</w:t>
      </w:r>
    </w:p>
    <w:p w14:paraId="4C8E29C1">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项目联系人：吴女士、南女士</w:t>
      </w:r>
    </w:p>
    <w:p w14:paraId="1FD99024">
      <w:pPr>
        <w:tabs>
          <w:tab w:val="left" w:pos="900"/>
        </w:tabs>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 xml:space="preserve">电    话：15195106006、13770130866               </w:t>
      </w:r>
    </w:p>
    <w:p w14:paraId="138A9551">
      <w:pPr>
        <w:pageBreakBefore/>
        <w:spacing w:line="700" w:lineRule="exact"/>
        <w:jc w:val="center"/>
        <w:outlineLvl w:val="0"/>
        <w:rPr>
          <w:rFonts w:ascii="黑体" w:hAnsi="Arial" w:eastAsia="黑体"/>
          <w:color w:val="000000"/>
          <w:sz w:val="44"/>
          <w:szCs w:val="44"/>
        </w:rPr>
      </w:pPr>
      <w:r>
        <w:rPr>
          <w:rFonts w:hint="eastAsia" w:ascii="黑体" w:hAnsi="Arial" w:eastAsia="黑体"/>
          <w:color w:val="000000"/>
          <w:sz w:val="44"/>
          <w:szCs w:val="44"/>
        </w:rPr>
        <w:t>第二章</w:t>
      </w:r>
      <w:r>
        <w:rPr>
          <w:rFonts w:ascii="黑体" w:hAnsi="Arial" w:eastAsia="黑体"/>
          <w:color w:val="000000"/>
          <w:sz w:val="44"/>
          <w:szCs w:val="44"/>
        </w:rPr>
        <w:t xml:space="preserve">  </w:t>
      </w:r>
      <w:r>
        <w:rPr>
          <w:rFonts w:hint="eastAsia" w:ascii="黑体" w:hAnsi="Arial" w:eastAsia="黑体"/>
          <w:color w:val="000000"/>
          <w:sz w:val="44"/>
          <w:szCs w:val="44"/>
        </w:rPr>
        <w:t>供应商须知</w:t>
      </w:r>
    </w:p>
    <w:p w14:paraId="468F0DE5">
      <w:pPr>
        <w:pStyle w:val="4"/>
        <w:spacing w:before="203" w:after="203" w:line="360" w:lineRule="auto"/>
        <w:ind w:firstLine="118"/>
        <w:rPr>
          <w:rFonts w:hint="eastAsia" w:ascii="宋体" w:hAnsi="宋体" w:eastAsia="宋体"/>
          <w:b/>
          <w:color w:val="000000"/>
          <w:szCs w:val="24"/>
        </w:rPr>
      </w:pPr>
      <w:bookmarkStart w:id="20" w:name="_Toc16938519"/>
      <w:bookmarkStart w:id="21" w:name="_Toc120614214"/>
      <w:bookmarkStart w:id="22" w:name="_Toc20823275"/>
      <w:bookmarkStart w:id="23" w:name="_Toc513029203"/>
      <w:r>
        <w:rPr>
          <w:rFonts w:hint="eastAsia" w:ascii="宋体" w:hAnsi="宋体" w:eastAsia="宋体"/>
          <w:b/>
          <w:color w:val="000000"/>
          <w:szCs w:val="24"/>
        </w:rPr>
        <w:t>一、总则</w:t>
      </w:r>
      <w:bookmarkEnd w:id="20"/>
      <w:bookmarkEnd w:id="21"/>
      <w:bookmarkEnd w:id="22"/>
      <w:bookmarkEnd w:id="23"/>
    </w:p>
    <w:p w14:paraId="7914D4A1">
      <w:pPr>
        <w:pStyle w:val="6"/>
        <w:spacing w:before="0" w:after="0" w:line="360" w:lineRule="auto"/>
        <w:ind w:firstLine="361"/>
        <w:rPr>
          <w:rFonts w:hint="eastAsia" w:ascii="宋体" w:hAnsi="宋体" w:eastAsia="宋体"/>
          <w:bCs w:val="0"/>
          <w:color w:val="000000"/>
          <w:sz w:val="24"/>
          <w:szCs w:val="24"/>
        </w:rPr>
      </w:pPr>
      <w:bookmarkStart w:id="24" w:name="_Hlt16619475"/>
      <w:bookmarkEnd w:id="24"/>
      <w:bookmarkStart w:id="25" w:name="_Toc513029204"/>
      <w:bookmarkStart w:id="26" w:name="_Toc20823276"/>
      <w:bookmarkStart w:id="27" w:name="_Toc16938520"/>
      <w:r>
        <w:rPr>
          <w:rFonts w:hint="eastAsia" w:ascii="宋体" w:hAnsi="宋体" w:eastAsia="宋体"/>
          <w:bCs w:val="0"/>
          <w:color w:val="000000"/>
          <w:sz w:val="24"/>
          <w:szCs w:val="24"/>
        </w:rPr>
        <w:t>1.招标方式</w:t>
      </w:r>
      <w:bookmarkEnd w:id="25"/>
      <w:bookmarkEnd w:id="26"/>
      <w:bookmarkEnd w:id="27"/>
    </w:p>
    <w:p w14:paraId="2F2E231E">
      <w:pPr>
        <w:spacing w:line="360" w:lineRule="auto"/>
        <w:ind w:firstLine="480"/>
        <w:rPr>
          <w:rFonts w:hint="eastAsia" w:ascii="宋体" w:hAnsi="宋体"/>
          <w:color w:val="000000"/>
          <w:sz w:val="24"/>
          <w:szCs w:val="24"/>
        </w:rPr>
      </w:pPr>
      <w:r>
        <w:rPr>
          <w:rFonts w:hint="eastAsia" w:ascii="宋体" w:hAnsi="宋体"/>
          <w:color w:val="000000"/>
          <w:sz w:val="24"/>
          <w:szCs w:val="24"/>
        </w:rPr>
        <w:t>1.1 本次招标采取公开招标方式，本招标文件仅适用于招标公告中所述项目。</w:t>
      </w:r>
    </w:p>
    <w:p w14:paraId="18060ED7">
      <w:pPr>
        <w:pStyle w:val="6"/>
        <w:spacing w:before="0" w:after="0" w:line="360" w:lineRule="auto"/>
        <w:ind w:firstLine="361"/>
        <w:rPr>
          <w:rFonts w:hint="eastAsia" w:ascii="宋体" w:hAnsi="宋体" w:eastAsia="宋体"/>
          <w:bCs w:val="0"/>
          <w:color w:val="000000"/>
          <w:sz w:val="24"/>
          <w:szCs w:val="24"/>
        </w:rPr>
      </w:pPr>
      <w:bookmarkStart w:id="28" w:name="_Toc513029205"/>
      <w:bookmarkStart w:id="29" w:name="_Toc20823277"/>
      <w:bookmarkStart w:id="30" w:name="_Toc16938521"/>
      <w:r>
        <w:rPr>
          <w:rFonts w:hint="eastAsia" w:ascii="宋体" w:hAnsi="宋体" w:eastAsia="宋体"/>
          <w:bCs w:val="0"/>
          <w:color w:val="000000"/>
          <w:sz w:val="24"/>
          <w:szCs w:val="24"/>
        </w:rPr>
        <w:t>2.合格的</w:t>
      </w:r>
      <w:bookmarkEnd w:id="28"/>
      <w:bookmarkEnd w:id="29"/>
      <w:bookmarkEnd w:id="30"/>
      <w:r>
        <w:rPr>
          <w:rFonts w:hint="eastAsia" w:ascii="宋体" w:hAnsi="宋体" w:eastAsia="宋体"/>
          <w:bCs w:val="0"/>
          <w:color w:val="000000"/>
          <w:sz w:val="24"/>
          <w:szCs w:val="24"/>
        </w:rPr>
        <w:t>供应商</w:t>
      </w:r>
    </w:p>
    <w:p w14:paraId="3B7418E2">
      <w:pPr>
        <w:spacing w:line="360" w:lineRule="auto"/>
        <w:ind w:firstLine="480"/>
        <w:rPr>
          <w:rFonts w:hint="eastAsia" w:ascii="宋体" w:hAnsi="宋体"/>
          <w:color w:val="000000"/>
          <w:sz w:val="24"/>
          <w:szCs w:val="24"/>
        </w:rPr>
      </w:pPr>
      <w:r>
        <w:rPr>
          <w:rFonts w:hint="eastAsia" w:ascii="宋体" w:hAnsi="宋体"/>
          <w:color w:val="000000"/>
          <w:sz w:val="24"/>
          <w:szCs w:val="24"/>
        </w:rPr>
        <w:t>2.1满足招标公告中供应商的资格要求的规定。</w:t>
      </w:r>
    </w:p>
    <w:p w14:paraId="6FEB7A94">
      <w:pPr>
        <w:spacing w:line="360" w:lineRule="auto"/>
        <w:ind w:firstLine="480"/>
        <w:rPr>
          <w:rFonts w:hint="eastAsia" w:ascii="宋体" w:hAnsi="宋体"/>
          <w:color w:val="000000"/>
          <w:sz w:val="24"/>
          <w:szCs w:val="24"/>
        </w:rPr>
      </w:pPr>
      <w:r>
        <w:rPr>
          <w:rFonts w:hint="eastAsia" w:ascii="宋体" w:hAnsi="宋体"/>
          <w:color w:val="000000"/>
          <w:sz w:val="24"/>
          <w:szCs w:val="24"/>
        </w:rPr>
        <w:t>2.2 满足本文件实质性要求和条件的规定。</w:t>
      </w:r>
    </w:p>
    <w:p w14:paraId="37CA6FDC">
      <w:pPr>
        <w:pStyle w:val="6"/>
        <w:spacing w:before="0" w:after="0" w:line="360" w:lineRule="auto"/>
        <w:ind w:firstLine="361"/>
        <w:rPr>
          <w:rFonts w:hint="eastAsia" w:ascii="宋体" w:hAnsi="宋体" w:eastAsia="宋体"/>
          <w:bCs w:val="0"/>
          <w:color w:val="000000"/>
          <w:sz w:val="24"/>
          <w:szCs w:val="24"/>
        </w:rPr>
      </w:pPr>
      <w:bookmarkStart w:id="31" w:name="_Toc513029206"/>
      <w:bookmarkStart w:id="32" w:name="_Toc20823278"/>
      <w:bookmarkStart w:id="33" w:name="_Toc16938522"/>
      <w:r>
        <w:rPr>
          <w:rFonts w:hint="eastAsia" w:ascii="宋体" w:hAnsi="宋体" w:eastAsia="宋体"/>
          <w:bCs w:val="0"/>
          <w:color w:val="000000"/>
          <w:sz w:val="24"/>
          <w:szCs w:val="24"/>
        </w:rPr>
        <w:t>3.适用法律</w:t>
      </w:r>
      <w:bookmarkEnd w:id="31"/>
      <w:bookmarkEnd w:id="32"/>
      <w:bookmarkEnd w:id="33"/>
    </w:p>
    <w:p w14:paraId="6C321A91">
      <w:pPr>
        <w:spacing w:line="360" w:lineRule="auto"/>
        <w:ind w:firstLine="420"/>
        <w:rPr>
          <w:rFonts w:hint="eastAsia" w:ascii="宋体" w:hAnsi="宋体"/>
          <w:color w:val="000000"/>
          <w:sz w:val="24"/>
          <w:szCs w:val="24"/>
        </w:rPr>
      </w:pPr>
      <w:r>
        <w:rPr>
          <w:rFonts w:hint="eastAsia" w:ascii="宋体" w:hAnsi="宋体"/>
          <w:color w:val="000000"/>
          <w:sz w:val="24"/>
          <w:szCs w:val="24"/>
        </w:rPr>
        <w:t>3.1 本次招标及由此产生的合同受中华人民共和国有关的法律法规制约和保护</w:t>
      </w:r>
      <w:r>
        <w:rPr>
          <w:rFonts w:ascii="宋体" w:hAnsi="宋体"/>
          <w:color w:val="000000"/>
          <w:sz w:val="24"/>
          <w:szCs w:val="24"/>
        </w:rPr>
        <w:t>。</w:t>
      </w:r>
    </w:p>
    <w:p w14:paraId="59323019">
      <w:pPr>
        <w:pStyle w:val="6"/>
        <w:spacing w:before="0" w:after="0" w:line="360" w:lineRule="auto"/>
        <w:ind w:firstLine="361"/>
        <w:rPr>
          <w:rFonts w:hint="eastAsia" w:ascii="宋体" w:hAnsi="宋体" w:eastAsia="宋体"/>
          <w:bCs w:val="0"/>
          <w:color w:val="000000"/>
          <w:sz w:val="24"/>
          <w:szCs w:val="24"/>
        </w:rPr>
      </w:pPr>
      <w:bookmarkStart w:id="34" w:name="_Toc16938523"/>
      <w:bookmarkStart w:id="35" w:name="_Toc20823279"/>
      <w:bookmarkStart w:id="36" w:name="_Toc513029207"/>
      <w:bookmarkStart w:id="37" w:name="_Toc462564067"/>
      <w:r>
        <w:rPr>
          <w:rFonts w:hint="eastAsia" w:ascii="宋体" w:hAnsi="宋体" w:eastAsia="宋体"/>
          <w:bCs w:val="0"/>
          <w:color w:val="000000"/>
          <w:sz w:val="24"/>
          <w:szCs w:val="24"/>
        </w:rPr>
        <w:t>4.投标费用</w:t>
      </w:r>
      <w:bookmarkEnd w:id="34"/>
      <w:bookmarkEnd w:id="35"/>
      <w:bookmarkEnd w:id="36"/>
      <w:bookmarkEnd w:id="37"/>
    </w:p>
    <w:p w14:paraId="756C1FFF">
      <w:pPr>
        <w:spacing w:line="360" w:lineRule="auto"/>
        <w:ind w:firstLine="480"/>
        <w:rPr>
          <w:rFonts w:hint="eastAsia" w:ascii="宋体" w:hAnsi="宋体"/>
          <w:color w:val="000000"/>
          <w:sz w:val="24"/>
          <w:szCs w:val="24"/>
        </w:rPr>
      </w:pPr>
      <w:r>
        <w:rPr>
          <w:rFonts w:hint="eastAsia" w:ascii="宋体" w:hAnsi="宋体"/>
          <w:bCs/>
          <w:color w:val="000000"/>
          <w:sz w:val="24"/>
          <w:szCs w:val="24"/>
        </w:rPr>
        <w:t>4.1</w:t>
      </w:r>
      <w:r>
        <w:rPr>
          <w:rFonts w:hint="eastAsia" w:ascii="宋体" w:hAnsi="宋体"/>
          <w:color w:val="000000"/>
          <w:sz w:val="24"/>
          <w:szCs w:val="24"/>
        </w:rPr>
        <w:t xml:space="preserve"> 供应商应自行承担所有与参加投标有关的费用，无论投标过程中的做法和结果如何，采购代理机构在任何情况下均无义务和责任承担这些费用。</w:t>
      </w:r>
    </w:p>
    <w:p w14:paraId="50146F93">
      <w:pPr>
        <w:pStyle w:val="6"/>
        <w:spacing w:before="0" w:after="0" w:line="360" w:lineRule="auto"/>
        <w:ind w:firstLine="482"/>
        <w:rPr>
          <w:rFonts w:hint="eastAsia" w:ascii="宋体" w:hAnsi="宋体" w:eastAsia="宋体"/>
          <w:bCs w:val="0"/>
          <w:color w:val="000000"/>
          <w:sz w:val="24"/>
          <w:szCs w:val="24"/>
        </w:rPr>
      </w:pPr>
      <w:r>
        <w:rPr>
          <w:rFonts w:hint="eastAsia" w:ascii="宋体" w:hAnsi="宋体" w:eastAsia="宋体"/>
          <w:color w:val="000000"/>
          <w:sz w:val="24"/>
          <w:szCs w:val="24"/>
        </w:rPr>
        <w:t>5.</w:t>
      </w:r>
      <w:r>
        <w:rPr>
          <w:rFonts w:hint="eastAsia" w:ascii="宋体" w:hAnsi="宋体" w:eastAsia="宋体"/>
          <w:bCs w:val="0"/>
          <w:color w:val="000000"/>
          <w:sz w:val="24"/>
          <w:szCs w:val="24"/>
        </w:rPr>
        <w:t>招标文件的约束力</w:t>
      </w:r>
    </w:p>
    <w:p w14:paraId="3B0930A5">
      <w:pPr>
        <w:spacing w:line="360" w:lineRule="auto"/>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 xml:space="preserve"> 供应商一旦参加本项目采购活动，即被认为接受了本招标文件的规定和约束。</w:t>
      </w:r>
    </w:p>
    <w:p w14:paraId="6A9C0667">
      <w:pPr>
        <w:pStyle w:val="4"/>
        <w:spacing w:before="203" w:after="203" w:line="360" w:lineRule="auto"/>
        <w:ind w:firstLine="241"/>
        <w:rPr>
          <w:rFonts w:hint="eastAsia" w:ascii="宋体" w:hAnsi="宋体" w:eastAsia="宋体"/>
          <w:b/>
          <w:color w:val="000000"/>
          <w:szCs w:val="24"/>
        </w:rPr>
      </w:pPr>
      <w:bookmarkStart w:id="38" w:name="_Toc513029209"/>
      <w:bookmarkStart w:id="39" w:name="_Toc16938525"/>
      <w:bookmarkStart w:id="40" w:name="_Toc120614215"/>
      <w:bookmarkStart w:id="41" w:name="_Toc20823281"/>
      <w:r>
        <w:rPr>
          <w:rFonts w:hint="eastAsia" w:ascii="宋体" w:hAnsi="宋体" w:eastAsia="宋体"/>
          <w:b/>
          <w:color w:val="000000"/>
          <w:szCs w:val="24"/>
        </w:rPr>
        <w:t>二、招标文件</w:t>
      </w:r>
      <w:bookmarkEnd w:id="38"/>
      <w:bookmarkEnd w:id="39"/>
      <w:bookmarkEnd w:id="40"/>
      <w:bookmarkEnd w:id="41"/>
    </w:p>
    <w:p w14:paraId="7EAE7CCC">
      <w:pPr>
        <w:pStyle w:val="6"/>
        <w:spacing w:before="0" w:after="0" w:line="360" w:lineRule="auto"/>
        <w:ind w:firstLine="361"/>
        <w:rPr>
          <w:rFonts w:hint="eastAsia" w:ascii="宋体" w:hAnsi="宋体" w:eastAsia="宋体"/>
          <w:bCs w:val="0"/>
          <w:color w:val="000000"/>
          <w:sz w:val="24"/>
          <w:szCs w:val="24"/>
        </w:rPr>
      </w:pPr>
      <w:bookmarkStart w:id="42" w:name="_Toc16938526"/>
      <w:bookmarkStart w:id="43" w:name="_Toc20823282"/>
      <w:bookmarkStart w:id="44" w:name="_Toc513029210"/>
      <w:r>
        <w:rPr>
          <w:rFonts w:hint="eastAsia" w:ascii="宋体" w:hAnsi="宋体" w:eastAsia="宋体"/>
          <w:bCs w:val="0"/>
          <w:color w:val="000000"/>
          <w:sz w:val="24"/>
          <w:szCs w:val="24"/>
        </w:rPr>
        <w:t>6.招标文件构成</w:t>
      </w:r>
      <w:bookmarkEnd w:id="42"/>
      <w:bookmarkEnd w:id="43"/>
      <w:bookmarkEnd w:id="44"/>
    </w:p>
    <w:p w14:paraId="06F6A715">
      <w:pPr>
        <w:spacing w:line="360" w:lineRule="auto"/>
        <w:ind w:firstLine="480"/>
        <w:rPr>
          <w:rFonts w:hint="eastAsia" w:ascii="宋体" w:hAnsi="宋体"/>
          <w:color w:val="000000"/>
          <w:sz w:val="24"/>
          <w:szCs w:val="24"/>
        </w:rPr>
      </w:pPr>
      <w:r>
        <w:rPr>
          <w:rFonts w:hint="eastAsia" w:ascii="宋体" w:hAnsi="宋体"/>
          <w:bCs/>
          <w:color w:val="000000"/>
          <w:sz w:val="24"/>
          <w:szCs w:val="24"/>
        </w:rPr>
        <w:t>6.1</w:t>
      </w:r>
      <w:r>
        <w:rPr>
          <w:rFonts w:hint="eastAsia" w:ascii="宋体" w:hAnsi="宋体"/>
          <w:color w:val="000000"/>
          <w:sz w:val="24"/>
          <w:szCs w:val="24"/>
        </w:rPr>
        <w:t xml:space="preserve"> 招标文件有以下部分组成：</w:t>
      </w:r>
    </w:p>
    <w:p w14:paraId="3F74859B">
      <w:pPr>
        <w:spacing w:line="360" w:lineRule="auto"/>
        <w:ind w:firstLine="360"/>
        <w:rPr>
          <w:rFonts w:hint="eastAsia" w:ascii="宋体" w:hAnsi="宋体"/>
          <w:color w:val="000000"/>
          <w:sz w:val="24"/>
          <w:szCs w:val="24"/>
        </w:rPr>
      </w:pPr>
      <w:r>
        <w:rPr>
          <w:rFonts w:hint="eastAsia" w:ascii="宋体" w:hAnsi="宋体"/>
          <w:color w:val="000000"/>
          <w:sz w:val="24"/>
          <w:szCs w:val="24"/>
        </w:rPr>
        <w:t>（1）招标公告</w:t>
      </w:r>
    </w:p>
    <w:p w14:paraId="74364EE4">
      <w:pPr>
        <w:spacing w:line="360" w:lineRule="auto"/>
        <w:ind w:firstLine="360"/>
        <w:rPr>
          <w:rFonts w:hint="eastAsia" w:ascii="宋体" w:hAnsi="宋体"/>
          <w:color w:val="000000"/>
          <w:sz w:val="24"/>
          <w:szCs w:val="24"/>
        </w:rPr>
      </w:pPr>
      <w:r>
        <w:rPr>
          <w:rFonts w:hint="eastAsia" w:ascii="宋体" w:hAnsi="宋体"/>
          <w:color w:val="000000"/>
          <w:sz w:val="24"/>
          <w:szCs w:val="24"/>
        </w:rPr>
        <w:t>（2）供应商须知</w:t>
      </w:r>
    </w:p>
    <w:p w14:paraId="627D7AE2">
      <w:pPr>
        <w:spacing w:line="360" w:lineRule="auto"/>
        <w:ind w:firstLine="360"/>
        <w:rPr>
          <w:rFonts w:hint="eastAsia" w:ascii="宋体" w:hAnsi="宋体"/>
          <w:color w:val="000000"/>
          <w:sz w:val="24"/>
          <w:szCs w:val="24"/>
        </w:rPr>
      </w:pPr>
      <w:r>
        <w:rPr>
          <w:rFonts w:hint="eastAsia" w:ascii="宋体" w:hAnsi="宋体"/>
          <w:color w:val="000000"/>
          <w:sz w:val="24"/>
          <w:szCs w:val="24"/>
        </w:rPr>
        <w:t>（3）合同文本</w:t>
      </w:r>
    </w:p>
    <w:p w14:paraId="02E02C43">
      <w:pPr>
        <w:spacing w:line="360" w:lineRule="auto"/>
        <w:ind w:firstLine="360"/>
        <w:rPr>
          <w:rFonts w:hint="eastAsia" w:ascii="宋体" w:hAnsi="宋体"/>
          <w:color w:val="000000"/>
          <w:sz w:val="24"/>
          <w:szCs w:val="24"/>
        </w:rPr>
      </w:pPr>
      <w:r>
        <w:rPr>
          <w:rFonts w:hint="eastAsia" w:ascii="宋体" w:hAnsi="宋体"/>
          <w:color w:val="000000"/>
          <w:sz w:val="24"/>
          <w:szCs w:val="24"/>
        </w:rPr>
        <w:t>（4）采购需求</w:t>
      </w:r>
    </w:p>
    <w:p w14:paraId="6D0EB8FD">
      <w:pPr>
        <w:spacing w:line="360" w:lineRule="auto"/>
        <w:ind w:firstLine="360"/>
        <w:rPr>
          <w:rFonts w:hint="eastAsia" w:ascii="宋体" w:hAnsi="宋体"/>
          <w:color w:val="000000"/>
          <w:sz w:val="24"/>
          <w:szCs w:val="24"/>
        </w:rPr>
      </w:pPr>
      <w:r>
        <w:rPr>
          <w:rFonts w:hint="eastAsia" w:ascii="宋体" w:hAnsi="宋体"/>
          <w:color w:val="000000"/>
          <w:sz w:val="24"/>
          <w:szCs w:val="24"/>
        </w:rPr>
        <w:t>（5）评标方法与评标标准</w:t>
      </w:r>
    </w:p>
    <w:p w14:paraId="68DBBA05">
      <w:pPr>
        <w:spacing w:line="360" w:lineRule="auto"/>
        <w:ind w:firstLine="360"/>
        <w:rPr>
          <w:rFonts w:hint="eastAsia" w:ascii="宋体" w:hAnsi="宋体"/>
          <w:color w:val="000000"/>
          <w:sz w:val="24"/>
          <w:szCs w:val="24"/>
        </w:rPr>
      </w:pPr>
      <w:r>
        <w:rPr>
          <w:rFonts w:hint="eastAsia" w:ascii="宋体" w:hAnsi="宋体"/>
          <w:color w:val="000000"/>
          <w:sz w:val="24"/>
          <w:szCs w:val="24"/>
        </w:rPr>
        <w:t>（6）投标文件格式</w:t>
      </w:r>
    </w:p>
    <w:p w14:paraId="507C492D">
      <w:pPr>
        <w:spacing w:line="360" w:lineRule="auto"/>
        <w:ind w:firstLine="480"/>
        <w:rPr>
          <w:rFonts w:hint="eastAsia" w:ascii="宋体" w:hAnsi="宋体"/>
          <w:color w:val="000000"/>
          <w:sz w:val="24"/>
          <w:szCs w:val="24"/>
        </w:rPr>
      </w:pPr>
      <w:r>
        <w:rPr>
          <w:rFonts w:hint="eastAsia" w:ascii="宋体" w:hAnsi="宋体"/>
          <w:color w:val="000000"/>
          <w:sz w:val="24"/>
          <w:szCs w:val="24"/>
        </w:rPr>
        <w:t>请仔细检查招标文件是否齐全，如有缺漏请立即与采购代理机构联系解决。</w:t>
      </w:r>
    </w:p>
    <w:p w14:paraId="4B102AC0">
      <w:pPr>
        <w:spacing w:line="360" w:lineRule="auto"/>
        <w:ind w:firstLine="480"/>
        <w:rPr>
          <w:rFonts w:hint="eastAsia" w:ascii="宋体" w:hAnsi="宋体"/>
          <w:color w:val="000000"/>
          <w:sz w:val="24"/>
          <w:szCs w:val="24"/>
        </w:rPr>
      </w:pPr>
      <w:r>
        <w:rPr>
          <w:rFonts w:hint="eastAsia" w:ascii="宋体" w:hAnsi="宋体"/>
          <w:bCs/>
          <w:color w:val="000000"/>
          <w:sz w:val="24"/>
          <w:szCs w:val="24"/>
        </w:rPr>
        <w:t>6.2</w:t>
      </w:r>
      <w:r>
        <w:rPr>
          <w:rFonts w:hint="eastAsia" w:ascii="宋体" w:hAnsi="宋体"/>
          <w:color w:val="000000"/>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644D4B4">
      <w:pPr>
        <w:pStyle w:val="6"/>
        <w:spacing w:before="0" w:after="0" w:line="360" w:lineRule="auto"/>
        <w:ind w:firstLine="482"/>
        <w:rPr>
          <w:rFonts w:hint="eastAsia" w:ascii="宋体" w:hAnsi="宋体" w:eastAsia="宋体"/>
          <w:color w:val="000000"/>
          <w:sz w:val="24"/>
          <w:szCs w:val="24"/>
        </w:rPr>
      </w:pPr>
      <w:r>
        <w:rPr>
          <w:rFonts w:hint="eastAsia" w:ascii="宋体" w:hAnsi="宋体" w:eastAsia="宋体"/>
          <w:bCs w:val="0"/>
          <w:color w:val="000000"/>
          <w:sz w:val="24"/>
          <w:szCs w:val="24"/>
        </w:rPr>
        <w:t>7.</w:t>
      </w:r>
      <w:r>
        <w:rPr>
          <w:rFonts w:hint="eastAsia" w:ascii="宋体" w:hAnsi="宋体" w:eastAsia="宋体"/>
          <w:color w:val="000000"/>
          <w:sz w:val="24"/>
          <w:szCs w:val="24"/>
        </w:rPr>
        <w:t>招标文件的澄清</w:t>
      </w:r>
    </w:p>
    <w:p w14:paraId="59A0C5C5">
      <w:pPr>
        <w:spacing w:line="360" w:lineRule="auto"/>
        <w:ind w:firstLine="480"/>
        <w:rPr>
          <w:rFonts w:hint="eastAsia" w:ascii="宋体" w:hAnsi="宋体"/>
          <w:color w:val="000000"/>
          <w:sz w:val="24"/>
          <w:szCs w:val="24"/>
        </w:rPr>
      </w:pPr>
      <w:r>
        <w:rPr>
          <w:rFonts w:hint="eastAsia" w:ascii="宋体" w:hAnsi="宋体"/>
          <w:bCs/>
          <w:color w:val="000000"/>
          <w:sz w:val="24"/>
          <w:szCs w:val="24"/>
        </w:rPr>
        <w:t>7.1</w:t>
      </w:r>
      <w:r>
        <w:rPr>
          <w:rFonts w:hint="eastAsia" w:ascii="宋体" w:hAnsi="宋体"/>
          <w:color w:val="000000"/>
          <w:sz w:val="24"/>
          <w:szCs w:val="24"/>
        </w:rPr>
        <w:t xml:space="preserve"> </w:t>
      </w:r>
      <w:r>
        <w:rPr>
          <w:rFonts w:hint="eastAsia" w:ascii="宋体" w:hAnsi="宋体" w:cs="宋体"/>
          <w:color w:val="000000"/>
          <w:sz w:val="24"/>
          <w:szCs w:val="24"/>
        </w:rPr>
        <w:t>任何要求对招标文件进行澄清的供应商，应在投标截止期</w:t>
      </w:r>
      <w:r>
        <w:rPr>
          <w:rFonts w:hint="eastAsia" w:ascii="宋体" w:hAnsi="宋体" w:cs="宋体"/>
          <w:b/>
          <w:bCs/>
          <w:color w:val="000000"/>
          <w:sz w:val="24"/>
          <w:szCs w:val="24"/>
        </w:rPr>
        <w:t>十日</w:t>
      </w:r>
      <w:r>
        <w:rPr>
          <w:rFonts w:hint="eastAsia" w:ascii="宋体" w:hAnsi="宋体" w:cs="宋体"/>
          <w:color w:val="000000"/>
          <w:sz w:val="24"/>
          <w:szCs w:val="24"/>
        </w:rPr>
        <w:t>前按招标公告中的通讯地址，以书面形式通知</w:t>
      </w:r>
      <w:r>
        <w:rPr>
          <w:rFonts w:hint="eastAsia" w:ascii="宋体" w:hAnsi="宋体"/>
          <w:color w:val="000000"/>
          <w:sz w:val="24"/>
          <w:szCs w:val="24"/>
        </w:rPr>
        <w:t>采购代理机构。</w:t>
      </w:r>
    </w:p>
    <w:p w14:paraId="07D0023E">
      <w:pPr>
        <w:pStyle w:val="6"/>
        <w:spacing w:before="0" w:after="0" w:line="276" w:lineRule="auto"/>
        <w:ind w:firstLine="482"/>
        <w:rPr>
          <w:rFonts w:hint="eastAsia" w:ascii="宋体" w:hAnsi="宋体" w:eastAsia="宋体"/>
          <w:color w:val="000000"/>
          <w:sz w:val="24"/>
          <w:szCs w:val="24"/>
        </w:rPr>
      </w:pPr>
      <w:r>
        <w:rPr>
          <w:rFonts w:hint="eastAsia" w:ascii="宋体" w:hAnsi="宋体" w:eastAsia="宋体"/>
          <w:bCs w:val="0"/>
          <w:color w:val="000000"/>
          <w:sz w:val="24"/>
          <w:szCs w:val="24"/>
        </w:rPr>
        <w:t>8.</w:t>
      </w:r>
      <w:r>
        <w:rPr>
          <w:rFonts w:hint="eastAsia" w:ascii="宋体" w:hAnsi="宋体" w:eastAsia="宋体"/>
          <w:color w:val="000000"/>
          <w:sz w:val="24"/>
          <w:szCs w:val="24"/>
        </w:rPr>
        <w:t>招标文件的修改</w:t>
      </w:r>
    </w:p>
    <w:p w14:paraId="51F2B8AC">
      <w:pPr>
        <w:spacing w:line="360" w:lineRule="auto"/>
        <w:ind w:firstLine="480"/>
        <w:rPr>
          <w:rFonts w:hint="eastAsia" w:ascii="宋体" w:hAnsi="宋体"/>
          <w:bCs/>
          <w:color w:val="000000"/>
          <w:sz w:val="24"/>
          <w:szCs w:val="24"/>
        </w:rPr>
      </w:pPr>
      <w:r>
        <w:rPr>
          <w:rFonts w:hint="eastAsia" w:ascii="宋体" w:hAnsi="宋体"/>
          <w:bCs/>
          <w:color w:val="000000"/>
          <w:sz w:val="24"/>
          <w:szCs w:val="24"/>
        </w:rPr>
        <w:t>8.1 在投标截止时间前，</w:t>
      </w:r>
      <w:r>
        <w:rPr>
          <w:rFonts w:hint="eastAsia" w:ascii="宋体" w:hAnsi="宋体"/>
          <w:color w:val="000000"/>
          <w:sz w:val="24"/>
          <w:szCs w:val="24"/>
        </w:rPr>
        <w:t>采购代理机构</w:t>
      </w:r>
      <w:r>
        <w:rPr>
          <w:rFonts w:hint="eastAsia" w:ascii="宋体" w:hAnsi="宋体"/>
          <w:bCs/>
          <w:color w:val="000000"/>
          <w:sz w:val="24"/>
          <w:szCs w:val="24"/>
        </w:rPr>
        <w:t>可以对招标文件进行修改。</w:t>
      </w:r>
    </w:p>
    <w:p w14:paraId="67A38881">
      <w:pPr>
        <w:spacing w:line="360" w:lineRule="auto"/>
        <w:ind w:firstLine="480"/>
        <w:rPr>
          <w:rFonts w:hint="eastAsia" w:ascii="宋体" w:hAnsi="宋体"/>
          <w:bCs/>
          <w:color w:val="000000"/>
          <w:sz w:val="24"/>
          <w:szCs w:val="24"/>
        </w:rPr>
      </w:pPr>
      <w:r>
        <w:rPr>
          <w:rFonts w:hint="eastAsia" w:ascii="宋体" w:hAnsi="宋体"/>
          <w:bCs/>
          <w:color w:val="000000"/>
          <w:sz w:val="24"/>
          <w:szCs w:val="24"/>
        </w:rPr>
        <w:t>8.2</w:t>
      </w:r>
      <w:r>
        <w:rPr>
          <w:rFonts w:hint="eastAsia" w:ascii="宋体" w:hAnsi="宋体"/>
          <w:color w:val="000000"/>
          <w:sz w:val="24"/>
          <w:szCs w:val="24"/>
        </w:rPr>
        <w:t>采购代理机构</w:t>
      </w:r>
      <w:r>
        <w:rPr>
          <w:rFonts w:hint="eastAsia" w:ascii="宋体" w:hAnsi="宋体"/>
          <w:bCs/>
          <w:color w:val="000000"/>
          <w:sz w:val="24"/>
          <w:szCs w:val="24"/>
        </w:rPr>
        <w:t>有权按照法定的要求推迟投标截止日期和开标日期。</w:t>
      </w:r>
    </w:p>
    <w:p w14:paraId="07B8BDE5">
      <w:pPr>
        <w:spacing w:line="360" w:lineRule="auto"/>
        <w:ind w:firstLine="480"/>
        <w:rPr>
          <w:rFonts w:hint="eastAsia" w:ascii="宋体" w:hAnsi="宋体"/>
          <w:bCs/>
          <w:color w:val="000000"/>
          <w:sz w:val="24"/>
          <w:szCs w:val="24"/>
        </w:rPr>
      </w:pPr>
      <w:r>
        <w:rPr>
          <w:rFonts w:hint="eastAsia" w:ascii="宋体" w:hAnsi="宋体"/>
          <w:bCs/>
          <w:color w:val="000000"/>
          <w:sz w:val="24"/>
          <w:szCs w:val="24"/>
        </w:rPr>
        <w:t>8.3招标文件的修改将在“中国政府采购网”、“江苏政府采购网、盐城市政府采购网”公布，补充文件将作为招标文件的组成部分，并对供应商具有约束力。</w:t>
      </w:r>
    </w:p>
    <w:p w14:paraId="5559A56D">
      <w:pPr>
        <w:pStyle w:val="4"/>
        <w:spacing w:before="203" w:after="203" w:line="360" w:lineRule="auto"/>
        <w:ind w:firstLine="361"/>
        <w:rPr>
          <w:rFonts w:hint="eastAsia" w:ascii="宋体" w:hAnsi="宋体" w:eastAsia="宋体"/>
          <w:b/>
          <w:color w:val="000000"/>
          <w:szCs w:val="24"/>
        </w:rPr>
      </w:pPr>
      <w:bookmarkStart w:id="45" w:name="_Toc120614216"/>
      <w:bookmarkStart w:id="46" w:name="_Toc513029213"/>
      <w:bookmarkStart w:id="47" w:name="_Toc20823285"/>
      <w:bookmarkStart w:id="48" w:name="_Toc16938529"/>
      <w:bookmarkStart w:id="49" w:name="_Toc462564072"/>
      <w:r>
        <w:rPr>
          <w:rFonts w:hint="eastAsia" w:ascii="宋体" w:hAnsi="宋体" w:eastAsia="宋体"/>
          <w:b/>
          <w:color w:val="000000"/>
          <w:szCs w:val="24"/>
        </w:rPr>
        <w:t>三、投标文件的编制</w:t>
      </w:r>
      <w:bookmarkEnd w:id="45"/>
      <w:bookmarkEnd w:id="46"/>
      <w:bookmarkEnd w:id="47"/>
      <w:bookmarkEnd w:id="48"/>
      <w:bookmarkEnd w:id="49"/>
    </w:p>
    <w:p w14:paraId="6B2C1904">
      <w:pPr>
        <w:pStyle w:val="6"/>
        <w:spacing w:before="0" w:after="0" w:line="360" w:lineRule="auto"/>
        <w:ind w:firstLine="482"/>
        <w:rPr>
          <w:rFonts w:hint="eastAsia" w:ascii="宋体" w:hAnsi="宋体" w:eastAsia="宋体"/>
          <w:bCs w:val="0"/>
          <w:color w:val="000000"/>
          <w:sz w:val="24"/>
          <w:szCs w:val="24"/>
        </w:rPr>
      </w:pPr>
      <w:bookmarkStart w:id="50" w:name="_Toc513029214"/>
      <w:bookmarkStart w:id="51" w:name="_Toc20823286"/>
      <w:bookmarkStart w:id="52" w:name="_Toc462564073"/>
      <w:bookmarkStart w:id="53" w:name="_Toc16938530"/>
      <w:r>
        <w:rPr>
          <w:rFonts w:hint="eastAsia" w:ascii="宋体" w:hAnsi="宋体" w:eastAsia="宋体"/>
          <w:bCs w:val="0"/>
          <w:color w:val="000000"/>
          <w:sz w:val="24"/>
          <w:szCs w:val="24"/>
        </w:rPr>
        <w:t>9.投标文件的语言及度量衡单位</w:t>
      </w:r>
      <w:bookmarkEnd w:id="50"/>
      <w:bookmarkEnd w:id="51"/>
      <w:bookmarkEnd w:id="52"/>
      <w:bookmarkEnd w:id="53"/>
    </w:p>
    <w:p w14:paraId="15C8A72A">
      <w:pPr>
        <w:spacing w:line="360" w:lineRule="auto"/>
        <w:ind w:firstLine="480"/>
        <w:rPr>
          <w:rFonts w:hint="eastAsia" w:ascii="宋体" w:hAnsi="宋体"/>
          <w:color w:val="000000"/>
          <w:sz w:val="24"/>
          <w:szCs w:val="24"/>
        </w:rPr>
      </w:pPr>
      <w:r>
        <w:rPr>
          <w:rFonts w:hint="eastAsia" w:ascii="宋体" w:hAnsi="宋体"/>
          <w:bCs/>
          <w:color w:val="000000"/>
          <w:sz w:val="24"/>
          <w:szCs w:val="24"/>
        </w:rPr>
        <w:t>9.1</w:t>
      </w:r>
      <w:r>
        <w:rPr>
          <w:rFonts w:hint="eastAsia" w:ascii="宋体" w:hAnsi="宋体"/>
          <w:color w:val="000000"/>
          <w:sz w:val="24"/>
          <w:szCs w:val="24"/>
        </w:rPr>
        <w:t xml:space="preserve"> 供应商提交的投标文件以及供应商与采购人就有关投标的所有来往通知、函件和文件均应使用</w:t>
      </w:r>
      <w:r>
        <w:rPr>
          <w:rFonts w:hint="eastAsia" w:ascii="宋体" w:hAnsi="宋体"/>
          <w:bCs/>
          <w:color w:val="000000"/>
          <w:sz w:val="24"/>
          <w:szCs w:val="24"/>
        </w:rPr>
        <w:t>简体中文</w:t>
      </w:r>
      <w:r>
        <w:rPr>
          <w:rFonts w:hint="eastAsia" w:ascii="宋体" w:hAnsi="宋体"/>
          <w:color w:val="000000"/>
          <w:sz w:val="24"/>
          <w:szCs w:val="24"/>
        </w:rPr>
        <w:t>。</w:t>
      </w:r>
    </w:p>
    <w:p w14:paraId="4DC1C1B6">
      <w:pPr>
        <w:spacing w:line="360" w:lineRule="auto"/>
        <w:ind w:firstLine="480"/>
        <w:rPr>
          <w:rFonts w:hint="eastAsia" w:ascii="宋体" w:hAnsi="宋体"/>
          <w:color w:val="000000"/>
          <w:sz w:val="24"/>
          <w:szCs w:val="24"/>
        </w:rPr>
      </w:pPr>
      <w:r>
        <w:rPr>
          <w:rFonts w:hint="eastAsia" w:ascii="宋体" w:hAnsi="宋体"/>
          <w:bCs/>
          <w:color w:val="000000"/>
          <w:sz w:val="24"/>
          <w:szCs w:val="24"/>
        </w:rPr>
        <w:t>9.2</w:t>
      </w:r>
      <w:r>
        <w:rPr>
          <w:rFonts w:hint="eastAsia" w:ascii="宋体" w:hAnsi="宋体"/>
          <w:color w:val="000000"/>
          <w:sz w:val="24"/>
          <w:szCs w:val="24"/>
        </w:rPr>
        <w:t xml:space="preserve"> 除技术性能另有规定外，投标文件所使用的度量衡单位，均须采用国家法定计量单位。</w:t>
      </w:r>
    </w:p>
    <w:p w14:paraId="1D313996">
      <w:pPr>
        <w:pStyle w:val="6"/>
        <w:spacing w:before="0" w:after="0" w:line="360" w:lineRule="auto"/>
        <w:ind w:firstLine="482"/>
        <w:rPr>
          <w:rFonts w:hint="eastAsia" w:ascii="宋体" w:hAnsi="宋体" w:eastAsia="宋体"/>
          <w:color w:val="000000"/>
          <w:sz w:val="24"/>
          <w:szCs w:val="24"/>
        </w:rPr>
      </w:pPr>
      <w:bookmarkStart w:id="54" w:name="_Toc513029215"/>
      <w:bookmarkStart w:id="55" w:name="_Toc462564074"/>
      <w:bookmarkStart w:id="56" w:name="_Toc16938531"/>
      <w:bookmarkStart w:id="57" w:name="_Toc20823287"/>
      <w:r>
        <w:rPr>
          <w:rFonts w:hint="eastAsia" w:ascii="宋体" w:hAnsi="宋体" w:eastAsia="宋体"/>
          <w:color w:val="000000"/>
          <w:sz w:val="24"/>
          <w:szCs w:val="24"/>
        </w:rPr>
        <w:t>10.投标文件构成</w:t>
      </w:r>
      <w:bookmarkEnd w:id="54"/>
      <w:bookmarkEnd w:id="55"/>
      <w:bookmarkEnd w:id="56"/>
      <w:bookmarkEnd w:id="57"/>
    </w:p>
    <w:p w14:paraId="047AFA80">
      <w:pPr>
        <w:spacing w:line="360" w:lineRule="auto"/>
        <w:ind w:firstLine="480"/>
        <w:rPr>
          <w:rFonts w:hint="eastAsia" w:ascii="宋体" w:hAnsi="宋体"/>
          <w:bCs/>
          <w:color w:val="000000"/>
          <w:sz w:val="24"/>
          <w:szCs w:val="24"/>
          <w:lang w:val="zh-CN"/>
        </w:rPr>
      </w:pPr>
      <w:r>
        <w:rPr>
          <w:rFonts w:hint="eastAsia" w:ascii="宋体" w:hAnsi="宋体"/>
          <w:bCs/>
          <w:color w:val="000000"/>
          <w:sz w:val="24"/>
          <w:szCs w:val="24"/>
        </w:rPr>
        <w:t>10.1供应商编写的投标文件应包括资格证明文件、符合性证明文件、投标分项报价表、技术要求响应及偏离表、商务要求响应及偏离表、投标函、开标一览表、其他证明文件等部分</w:t>
      </w:r>
      <w:r>
        <w:rPr>
          <w:rFonts w:hint="eastAsia" w:ascii="宋体" w:hAnsi="宋体"/>
          <w:b/>
          <w:color w:val="000000"/>
          <w:sz w:val="24"/>
          <w:szCs w:val="24"/>
          <w:lang w:val="zh-CN"/>
        </w:rPr>
        <w:t>（格式详见招标文件“第六章  投标文件格式”）</w:t>
      </w:r>
      <w:r>
        <w:rPr>
          <w:rFonts w:hint="eastAsia" w:ascii="宋体" w:hAnsi="宋体"/>
          <w:bCs/>
          <w:color w:val="000000"/>
          <w:sz w:val="24"/>
          <w:szCs w:val="24"/>
          <w:lang w:val="zh-CN"/>
        </w:rPr>
        <w:t>。</w:t>
      </w:r>
    </w:p>
    <w:p w14:paraId="7CE8AD27">
      <w:pPr>
        <w:widowControl/>
        <w:spacing w:line="360" w:lineRule="auto"/>
        <w:ind w:firstLine="480"/>
        <w:jc w:val="left"/>
        <w:rPr>
          <w:rFonts w:hint="eastAsia" w:ascii="宋体" w:hAnsi="宋体"/>
          <w:b/>
          <w:color w:val="000000"/>
          <w:sz w:val="24"/>
          <w:szCs w:val="24"/>
        </w:rPr>
      </w:pPr>
      <w:bookmarkStart w:id="58" w:name="_Toc49090509"/>
      <w:bookmarkStart w:id="59" w:name="_Toc14577357"/>
      <w:bookmarkStart w:id="60" w:name="_Toc513029219"/>
      <w:bookmarkStart w:id="61" w:name="_Toc513029216"/>
      <w:bookmarkStart w:id="62" w:name="_Toc49090507"/>
      <w:bookmarkStart w:id="63" w:name="_Toc14577354"/>
      <w:r>
        <w:rPr>
          <w:rFonts w:hint="eastAsia" w:ascii="宋体" w:hAnsi="宋体" w:cs="宋体"/>
          <w:color w:val="000000"/>
          <w:sz w:val="24"/>
          <w:szCs w:val="24"/>
        </w:rPr>
        <w:t>10.2如标书制作工具中格式和内容与“中国政府采购网”、“江苏政府采购网”、“盐城市政府采购网”发布的招标文件不一致，请以“中国政府采购网”、“江苏政府采购网”、“盐城市政府采购网”发布的招标文件为准。</w:t>
      </w:r>
    </w:p>
    <w:p w14:paraId="0547BB44">
      <w:pPr>
        <w:pStyle w:val="6"/>
        <w:spacing w:before="0" w:after="0" w:line="360" w:lineRule="auto"/>
        <w:ind w:firstLine="361"/>
        <w:rPr>
          <w:rFonts w:hint="eastAsia" w:ascii="宋体" w:hAnsi="宋体" w:eastAsia="宋体"/>
          <w:color w:val="000000"/>
          <w:sz w:val="24"/>
          <w:szCs w:val="24"/>
        </w:rPr>
      </w:pPr>
      <w:r>
        <w:rPr>
          <w:rFonts w:hint="eastAsia" w:ascii="宋体" w:hAnsi="宋体" w:eastAsia="宋体"/>
          <w:color w:val="000000"/>
          <w:sz w:val="24"/>
          <w:szCs w:val="24"/>
        </w:rPr>
        <w:t>1</w:t>
      </w:r>
      <w:bookmarkEnd w:id="58"/>
      <w:bookmarkEnd w:id="59"/>
      <w:bookmarkEnd w:id="60"/>
      <w:r>
        <w:rPr>
          <w:rFonts w:hint="eastAsia" w:ascii="宋体" w:hAnsi="宋体" w:eastAsia="宋体"/>
          <w:color w:val="000000"/>
          <w:sz w:val="24"/>
          <w:szCs w:val="24"/>
        </w:rPr>
        <w:t>1.证明供应商及投标标的符合招标文件规定的文件</w:t>
      </w:r>
    </w:p>
    <w:p w14:paraId="2BE7CA30">
      <w:pPr>
        <w:widowControl/>
        <w:spacing w:line="360" w:lineRule="auto"/>
        <w:ind w:firstLine="480"/>
        <w:jc w:val="left"/>
        <w:rPr>
          <w:rFonts w:hint="eastAsia" w:ascii="宋体" w:hAnsi="宋体" w:cs="宋体"/>
          <w:color w:val="000000"/>
          <w:sz w:val="24"/>
          <w:szCs w:val="24"/>
        </w:rPr>
      </w:pPr>
      <w:r>
        <w:rPr>
          <w:rFonts w:hint="eastAsia" w:ascii="宋体" w:hAnsi="宋体" w:cs="宋体"/>
          <w:color w:val="000000"/>
          <w:sz w:val="24"/>
          <w:szCs w:val="24"/>
        </w:rPr>
        <w:t>11.1供应商应按照法律、法规、规章和规范性文件以及招标文件要求提交证明文件，证明其及投标标的符合招标文件规定。</w:t>
      </w:r>
    </w:p>
    <w:p w14:paraId="76446CE6">
      <w:pPr>
        <w:widowControl/>
        <w:spacing w:line="360" w:lineRule="auto"/>
        <w:ind w:firstLine="480"/>
        <w:jc w:val="left"/>
        <w:rPr>
          <w:rFonts w:hint="eastAsia" w:ascii="宋体" w:hAnsi="宋体" w:cs="宋体"/>
          <w:color w:val="000000"/>
          <w:sz w:val="24"/>
          <w:szCs w:val="24"/>
        </w:rPr>
      </w:pPr>
      <w:r>
        <w:rPr>
          <w:rFonts w:hint="eastAsia" w:ascii="宋体" w:hAnsi="宋体" w:cs="宋体"/>
          <w:color w:val="000000"/>
          <w:sz w:val="24"/>
          <w:szCs w:val="24"/>
        </w:rPr>
        <w:t>11.2招标文件对证明文件无明确形式要求的，证明文件可以以文字资料、图纸和数据等形式提交。</w:t>
      </w:r>
    </w:p>
    <w:bookmarkEnd w:id="61"/>
    <w:bookmarkEnd w:id="62"/>
    <w:bookmarkEnd w:id="63"/>
    <w:p w14:paraId="3A12AF1D">
      <w:pPr>
        <w:pStyle w:val="6"/>
        <w:spacing w:before="0" w:after="0" w:line="360" w:lineRule="auto"/>
        <w:ind w:firstLine="361"/>
        <w:rPr>
          <w:rFonts w:hint="eastAsia" w:ascii="宋体" w:hAnsi="宋体" w:eastAsia="宋体"/>
          <w:bCs w:val="0"/>
          <w:color w:val="000000"/>
          <w:sz w:val="24"/>
          <w:szCs w:val="24"/>
        </w:rPr>
      </w:pPr>
      <w:bookmarkStart w:id="64" w:name="_Toc14577355"/>
      <w:bookmarkStart w:id="65" w:name="_Toc49090508"/>
      <w:r>
        <w:rPr>
          <w:rFonts w:hint="eastAsia" w:ascii="宋体" w:hAnsi="宋体" w:eastAsia="宋体"/>
          <w:bCs w:val="0"/>
          <w:color w:val="000000"/>
          <w:sz w:val="24"/>
          <w:szCs w:val="24"/>
        </w:rPr>
        <w:t>12.投标报价</w:t>
      </w:r>
      <w:bookmarkEnd w:id="64"/>
      <w:bookmarkEnd w:id="65"/>
      <w:bookmarkStart w:id="66" w:name="_Hlt26670373"/>
      <w:bookmarkEnd w:id="66"/>
    </w:p>
    <w:p w14:paraId="2A152F23">
      <w:pPr>
        <w:spacing w:line="360" w:lineRule="auto"/>
        <w:ind w:firstLine="480"/>
        <w:rPr>
          <w:rFonts w:hint="eastAsia" w:ascii="宋体" w:hAnsi="宋体"/>
          <w:color w:val="000000"/>
          <w:sz w:val="24"/>
          <w:szCs w:val="24"/>
        </w:rPr>
      </w:pPr>
      <w:r>
        <w:rPr>
          <w:rFonts w:hint="eastAsia" w:ascii="宋体" w:hAnsi="宋体"/>
          <w:color w:val="000000"/>
          <w:sz w:val="24"/>
          <w:szCs w:val="24"/>
        </w:rPr>
        <w:t>12.1本项目不接受备选的投标方案或有选择的报价，只允许有一个报价。投标报价内容包括：包括站点运维费（含人工费、交通费、差旅费、食宿费、电费、网费、配件费、耗材费等）、质控费用（含标准物质、质控设备等）、数据平台的更新、重建、维护、专利技术、成交服务费、项目利润、税费及政策性文件规定和合同所包含的所有风险、责任等各项应有费用。</w:t>
      </w:r>
    </w:p>
    <w:p w14:paraId="09BE1B86">
      <w:pPr>
        <w:spacing w:line="360" w:lineRule="auto"/>
        <w:ind w:firstLine="480"/>
        <w:rPr>
          <w:rFonts w:hint="eastAsia" w:ascii="宋体" w:hAnsi="宋体"/>
          <w:color w:val="000000"/>
          <w:sz w:val="24"/>
          <w:szCs w:val="24"/>
        </w:rPr>
      </w:pPr>
      <w:r>
        <w:rPr>
          <w:rFonts w:hint="eastAsia" w:ascii="宋体" w:hAnsi="宋体"/>
          <w:color w:val="000000"/>
          <w:sz w:val="24"/>
          <w:szCs w:val="24"/>
        </w:rPr>
        <w:t>12.2报价注意事项：</w:t>
      </w:r>
    </w:p>
    <w:p w14:paraId="5D3293EF">
      <w:pPr>
        <w:spacing w:line="360" w:lineRule="auto"/>
        <w:ind w:firstLine="480"/>
        <w:rPr>
          <w:rFonts w:hint="eastAsia" w:ascii="宋体" w:hAnsi="宋体"/>
          <w:color w:val="000000"/>
          <w:sz w:val="24"/>
          <w:szCs w:val="24"/>
        </w:rPr>
      </w:pPr>
      <w:r>
        <w:rPr>
          <w:rFonts w:hint="eastAsia" w:ascii="宋体" w:hAnsi="宋体"/>
          <w:color w:val="000000"/>
          <w:sz w:val="24"/>
          <w:szCs w:val="24"/>
        </w:rPr>
        <w:t>12.2.1价格一律以人民币计算；</w:t>
      </w:r>
    </w:p>
    <w:p w14:paraId="28207AD4">
      <w:pPr>
        <w:spacing w:line="360" w:lineRule="auto"/>
        <w:ind w:firstLine="480"/>
        <w:rPr>
          <w:rFonts w:hint="eastAsia" w:ascii="宋体" w:hAnsi="宋体"/>
          <w:bCs/>
          <w:color w:val="000000"/>
          <w:sz w:val="24"/>
          <w:szCs w:val="24"/>
        </w:rPr>
      </w:pPr>
      <w:r>
        <w:rPr>
          <w:rFonts w:hint="eastAsia" w:ascii="宋体" w:hAnsi="宋体"/>
          <w:color w:val="000000"/>
          <w:sz w:val="24"/>
          <w:szCs w:val="24"/>
        </w:rPr>
        <w:t>12.2.2</w:t>
      </w:r>
      <w:r>
        <w:rPr>
          <w:rFonts w:hint="eastAsia" w:ascii="宋体" w:hAnsi="宋体"/>
          <w:bCs/>
          <w:color w:val="000000"/>
          <w:sz w:val="24"/>
          <w:szCs w:val="24"/>
        </w:rPr>
        <w:t>供应商报价时应充分考虑所有可能影响到报价的价格因素，一旦招标结束最终确定中标人，总价将包干，不予调整。如发生漏、缺、少项，都将被认为是中标人的报价让利行为，损失自负。</w:t>
      </w:r>
    </w:p>
    <w:p w14:paraId="0114CE04">
      <w:pPr>
        <w:spacing w:line="360" w:lineRule="auto"/>
        <w:ind w:firstLine="480"/>
        <w:rPr>
          <w:rFonts w:hint="eastAsia" w:ascii="宋体" w:hAnsi="宋体"/>
          <w:bCs/>
          <w:color w:val="000000"/>
          <w:sz w:val="24"/>
          <w:szCs w:val="24"/>
        </w:rPr>
      </w:pPr>
      <w:r>
        <w:rPr>
          <w:rFonts w:hint="eastAsia" w:ascii="宋体" w:hAnsi="宋体"/>
          <w:bCs/>
          <w:color w:val="000000"/>
          <w:sz w:val="24"/>
          <w:szCs w:val="24"/>
        </w:rPr>
        <w:t>12.3本项目</w:t>
      </w:r>
      <w:r>
        <w:rPr>
          <w:rFonts w:hint="eastAsia" w:ascii="宋体" w:hAnsi="宋体"/>
          <w:bCs/>
          <w:color w:val="000000"/>
          <w:sz w:val="24"/>
          <w:szCs w:val="24"/>
          <w:lang w:val="en-US" w:eastAsia="zh-CN"/>
        </w:rPr>
        <w:t>每包件</w:t>
      </w:r>
      <w:r>
        <w:rPr>
          <w:rFonts w:hint="eastAsia" w:ascii="宋体" w:hAnsi="宋体"/>
          <w:bCs/>
          <w:color w:val="000000"/>
          <w:sz w:val="24"/>
          <w:szCs w:val="24"/>
        </w:rPr>
        <w:t>招标代理服</w:t>
      </w:r>
      <w:r>
        <w:rPr>
          <w:rFonts w:hint="eastAsia" w:ascii="宋体" w:hAnsi="宋体"/>
          <w:bCs/>
          <w:color w:val="000000"/>
          <w:sz w:val="24"/>
          <w:szCs w:val="24"/>
          <w:highlight w:val="none"/>
        </w:rPr>
        <w:t>务费</w:t>
      </w:r>
      <w:r>
        <w:rPr>
          <w:rFonts w:hint="eastAsia" w:ascii="宋体" w:hAnsi="宋体"/>
          <w:bCs/>
          <w:color w:val="000000"/>
          <w:sz w:val="24"/>
          <w:szCs w:val="24"/>
          <w:highlight w:val="none"/>
          <w:lang w:val="en-US" w:eastAsia="zh-CN"/>
        </w:rPr>
        <w:t>参考【依据江苏省招标代理服务收费的指导意见-苏政采协[2024]20号文件标准收取】按人民币10000元</w:t>
      </w:r>
      <w:r>
        <w:rPr>
          <w:rFonts w:hint="eastAsia" w:ascii="宋体" w:hAnsi="宋体"/>
          <w:bCs/>
          <w:color w:val="000000"/>
          <w:sz w:val="24"/>
          <w:szCs w:val="24"/>
          <w:highlight w:val="none"/>
        </w:rPr>
        <w:t>收取，</w:t>
      </w:r>
      <w:r>
        <w:rPr>
          <w:rFonts w:hint="eastAsia" w:ascii="宋体" w:hAnsi="宋体"/>
          <w:bCs/>
          <w:color w:val="000000"/>
          <w:sz w:val="24"/>
          <w:szCs w:val="24"/>
        </w:rPr>
        <w:t>由中标单位代为支付给采购代理机构，中标人应在领取中标通知书前缴纳。</w:t>
      </w:r>
    </w:p>
    <w:p w14:paraId="16302F5F">
      <w:pPr>
        <w:spacing w:line="360" w:lineRule="auto"/>
        <w:ind w:firstLine="480"/>
        <w:rPr>
          <w:rFonts w:hint="eastAsia" w:ascii="宋体" w:hAnsi="宋体"/>
          <w:bCs/>
          <w:color w:val="000000"/>
          <w:sz w:val="24"/>
          <w:szCs w:val="24"/>
        </w:rPr>
      </w:pPr>
      <w:r>
        <w:rPr>
          <w:rFonts w:hint="eastAsia" w:ascii="宋体" w:hAnsi="宋体"/>
          <w:bCs/>
          <w:color w:val="000000"/>
          <w:sz w:val="24"/>
          <w:szCs w:val="24"/>
        </w:rPr>
        <w:t>12.4供应商根据招标内容的要求准确报价，一经报出，不得更改。</w:t>
      </w:r>
    </w:p>
    <w:p w14:paraId="519600AA">
      <w:pPr>
        <w:spacing w:line="360" w:lineRule="auto"/>
        <w:ind w:firstLine="480"/>
        <w:jc w:val="left"/>
        <w:rPr>
          <w:rFonts w:hint="eastAsia" w:ascii="宋体" w:hAnsi="宋体"/>
          <w:bCs/>
          <w:color w:val="000000"/>
          <w:sz w:val="24"/>
          <w:szCs w:val="24"/>
          <w:lang w:val="zh-CN"/>
        </w:rPr>
      </w:pPr>
      <w:r>
        <w:rPr>
          <w:rFonts w:hint="eastAsia" w:ascii="宋体" w:hAnsi="宋体"/>
          <w:bCs/>
          <w:color w:val="000000"/>
          <w:sz w:val="24"/>
          <w:szCs w:val="24"/>
        </w:rPr>
        <w:t>12.5 中标人如果未能按合同、招标投标文件履约的，终止合同，履约保证金不予退还，并不支付服务期间的保洁服务费用。采购人有权终止合同的履行，中标人应承担相应的完全责任，包括赔偿因此而给采购人及第三人带来的相应损失。</w:t>
      </w:r>
    </w:p>
    <w:p w14:paraId="77C71817">
      <w:pPr>
        <w:spacing w:line="360" w:lineRule="auto"/>
        <w:ind w:firstLine="480"/>
        <w:rPr>
          <w:rFonts w:hint="eastAsia" w:ascii="宋体" w:hAnsi="宋体"/>
          <w:bCs/>
          <w:color w:val="000000"/>
          <w:sz w:val="24"/>
          <w:szCs w:val="24"/>
        </w:rPr>
      </w:pPr>
      <w:r>
        <w:rPr>
          <w:rFonts w:hint="eastAsia" w:ascii="宋体" w:hAnsi="宋体"/>
          <w:bCs/>
          <w:color w:val="000000"/>
          <w:sz w:val="24"/>
          <w:szCs w:val="24"/>
        </w:rPr>
        <w:t>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预调整中标价。</w:t>
      </w:r>
    </w:p>
    <w:p w14:paraId="2BF42A69">
      <w:pPr>
        <w:spacing w:line="360" w:lineRule="auto"/>
        <w:ind w:firstLine="480"/>
        <w:rPr>
          <w:rFonts w:hint="eastAsia" w:ascii="宋体" w:hAnsi="宋体"/>
          <w:bCs/>
          <w:color w:val="000000"/>
          <w:sz w:val="24"/>
          <w:szCs w:val="24"/>
        </w:rPr>
      </w:pPr>
      <w:r>
        <w:rPr>
          <w:rFonts w:hint="eastAsia" w:ascii="宋体" w:hAnsi="宋体"/>
          <w:bCs/>
          <w:color w:val="000000"/>
          <w:sz w:val="24"/>
          <w:szCs w:val="24"/>
        </w:rPr>
        <w:t>12.6.1只允许有一个报价，任何有选择的报价将被拒绝。</w:t>
      </w:r>
    </w:p>
    <w:p w14:paraId="510BD8E2">
      <w:pPr>
        <w:spacing w:line="360" w:lineRule="auto"/>
        <w:ind w:firstLine="482"/>
        <w:rPr>
          <w:rFonts w:hint="eastAsia" w:ascii="宋体" w:hAnsi="宋体"/>
          <w:b/>
          <w:color w:val="000000"/>
          <w:sz w:val="24"/>
          <w:szCs w:val="24"/>
        </w:rPr>
      </w:pPr>
      <w:r>
        <w:rPr>
          <w:rFonts w:hint="eastAsia" w:ascii="宋体" w:hAnsi="宋体"/>
          <w:b/>
          <w:color w:val="000000"/>
          <w:sz w:val="24"/>
          <w:szCs w:val="24"/>
        </w:rPr>
        <w:t>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p>
    <w:p w14:paraId="4E8C2EAB">
      <w:pPr>
        <w:spacing w:line="360" w:lineRule="auto"/>
        <w:ind w:firstLine="482"/>
        <w:rPr>
          <w:rFonts w:hint="eastAsia" w:ascii="宋体" w:hAnsi="宋体"/>
          <w:b/>
          <w:color w:val="000000"/>
          <w:sz w:val="24"/>
          <w:szCs w:val="24"/>
        </w:rPr>
      </w:pPr>
      <w:bookmarkStart w:id="67" w:name="_Hlt26954731"/>
      <w:bookmarkEnd w:id="67"/>
      <w:bookmarkStart w:id="68" w:name="_Hlt26670482"/>
      <w:bookmarkEnd w:id="68"/>
      <w:bookmarkStart w:id="69" w:name="_Hlt26670486"/>
      <w:bookmarkEnd w:id="69"/>
      <w:bookmarkStart w:id="70" w:name="_Hlt26954846"/>
      <w:bookmarkEnd w:id="70"/>
      <w:bookmarkStart w:id="71" w:name="_Hlt26954848"/>
      <w:bookmarkEnd w:id="71"/>
      <w:r>
        <w:rPr>
          <w:rFonts w:hint="eastAsia" w:ascii="宋体" w:hAnsi="宋体"/>
          <w:b/>
          <w:bCs/>
          <w:color w:val="000000"/>
          <w:sz w:val="24"/>
          <w:szCs w:val="24"/>
        </w:rPr>
        <w:t>13.</w:t>
      </w:r>
      <w:r>
        <w:rPr>
          <w:rFonts w:hint="eastAsia" w:ascii="宋体" w:hAnsi="宋体"/>
          <w:b/>
          <w:color w:val="000000"/>
          <w:sz w:val="24"/>
          <w:szCs w:val="24"/>
        </w:rPr>
        <w:t>技术条款响应及偏离表、商务条款响应及偏离表</w:t>
      </w:r>
    </w:p>
    <w:p w14:paraId="72E7246B">
      <w:pPr>
        <w:spacing w:line="360" w:lineRule="auto"/>
        <w:ind w:firstLine="480"/>
        <w:rPr>
          <w:rFonts w:hint="eastAsia" w:ascii="宋体" w:hAnsi="宋体"/>
          <w:color w:val="000000"/>
          <w:sz w:val="24"/>
          <w:szCs w:val="24"/>
        </w:rPr>
      </w:pPr>
      <w:r>
        <w:rPr>
          <w:rFonts w:hint="eastAsia" w:ascii="宋体" w:hAnsi="宋体"/>
          <w:color w:val="000000"/>
          <w:sz w:val="24"/>
          <w:szCs w:val="24"/>
        </w:rPr>
        <w:t>13.1</w:t>
      </w:r>
      <w:r>
        <w:rPr>
          <w:rFonts w:hint="eastAsia" w:ascii="宋体" w:hAnsi="宋体" w:cs="宋体"/>
          <w:color w:val="000000"/>
          <w:sz w:val="24"/>
          <w:szCs w:val="24"/>
        </w:rPr>
        <w:t>供应商需对招标文件中的技术要求与商务要求逐项作出响应或偏离，并说明原因</w:t>
      </w:r>
      <w:r>
        <w:rPr>
          <w:rFonts w:hint="eastAsia" w:ascii="宋体" w:hAnsi="宋体"/>
          <w:color w:val="000000"/>
          <w:sz w:val="24"/>
          <w:szCs w:val="24"/>
        </w:rPr>
        <w:t>。</w:t>
      </w:r>
    </w:p>
    <w:p w14:paraId="286D15F5">
      <w:pPr>
        <w:spacing w:line="360" w:lineRule="auto"/>
        <w:ind w:firstLine="480"/>
        <w:rPr>
          <w:rFonts w:hint="eastAsia" w:ascii="宋体" w:hAnsi="宋体"/>
          <w:color w:val="000000"/>
          <w:sz w:val="24"/>
          <w:szCs w:val="24"/>
        </w:rPr>
      </w:pPr>
      <w:r>
        <w:rPr>
          <w:rFonts w:hint="eastAsia" w:ascii="宋体" w:hAnsi="宋体"/>
          <w:color w:val="000000"/>
          <w:sz w:val="24"/>
          <w:szCs w:val="24"/>
        </w:rPr>
        <w:t>13.2供应商可在投标文件中提供认为需要的其他技术文件或说明。</w:t>
      </w:r>
    </w:p>
    <w:p w14:paraId="7BF01FDB">
      <w:pPr>
        <w:spacing w:line="360" w:lineRule="auto"/>
        <w:ind w:firstLine="482"/>
        <w:rPr>
          <w:rFonts w:hint="eastAsia" w:ascii="宋体" w:hAnsi="宋体"/>
          <w:b/>
          <w:bCs/>
          <w:color w:val="000000"/>
          <w:sz w:val="24"/>
          <w:szCs w:val="24"/>
        </w:rPr>
      </w:pPr>
      <w:bookmarkStart w:id="72" w:name="_Toc14577359"/>
      <w:bookmarkStart w:id="73" w:name="_Toc49090510"/>
      <w:r>
        <w:rPr>
          <w:rFonts w:hint="eastAsia" w:ascii="宋体" w:hAnsi="宋体"/>
          <w:b/>
          <w:bCs/>
          <w:color w:val="000000"/>
          <w:sz w:val="24"/>
          <w:szCs w:val="24"/>
        </w:rPr>
        <w:t>14.投标函和开标一览表</w:t>
      </w:r>
    </w:p>
    <w:p w14:paraId="46031C2E">
      <w:pPr>
        <w:spacing w:line="360" w:lineRule="auto"/>
        <w:ind w:firstLine="480"/>
        <w:rPr>
          <w:rFonts w:hint="eastAsia" w:ascii="宋体" w:hAnsi="宋体"/>
          <w:color w:val="000000"/>
          <w:sz w:val="24"/>
          <w:szCs w:val="24"/>
        </w:rPr>
      </w:pPr>
      <w:r>
        <w:rPr>
          <w:rFonts w:hint="eastAsia" w:ascii="宋体" w:hAnsi="宋体"/>
          <w:bCs/>
          <w:color w:val="000000"/>
          <w:sz w:val="24"/>
          <w:szCs w:val="24"/>
        </w:rPr>
        <w:t>14.1</w:t>
      </w:r>
      <w:r>
        <w:rPr>
          <w:rFonts w:hint="eastAsia" w:ascii="宋体" w:hAnsi="宋体"/>
          <w:color w:val="000000"/>
          <w:sz w:val="24"/>
          <w:szCs w:val="24"/>
        </w:rPr>
        <w:t xml:space="preserve"> 供应商应按照招标文件中提供的格式完整、正确填写投标函、开标一览表。</w:t>
      </w:r>
    </w:p>
    <w:p w14:paraId="005CE1DD">
      <w:pPr>
        <w:spacing w:line="360" w:lineRule="auto"/>
        <w:ind w:firstLine="480"/>
        <w:rPr>
          <w:rFonts w:hint="eastAsia" w:ascii="宋体" w:hAnsi="宋体"/>
          <w:bCs/>
          <w:color w:val="000000"/>
          <w:sz w:val="24"/>
          <w:szCs w:val="24"/>
        </w:rPr>
      </w:pPr>
      <w:r>
        <w:rPr>
          <w:rFonts w:hint="eastAsia" w:ascii="宋体" w:hAnsi="宋体"/>
          <w:bCs/>
          <w:color w:val="000000"/>
          <w:sz w:val="24"/>
          <w:szCs w:val="24"/>
        </w:rPr>
        <w:t>14.2</w:t>
      </w:r>
      <w:r>
        <w:rPr>
          <w:rFonts w:hint="eastAsia" w:ascii="宋体" w:hAnsi="宋体"/>
          <w:color w:val="000000"/>
          <w:sz w:val="24"/>
          <w:szCs w:val="24"/>
        </w:rPr>
        <w:t xml:space="preserve"> </w:t>
      </w:r>
      <w:r>
        <w:rPr>
          <w:rFonts w:hint="eastAsia" w:ascii="宋体" w:hAnsi="宋体"/>
          <w:bCs/>
          <w:color w:val="000000"/>
          <w:sz w:val="24"/>
          <w:szCs w:val="24"/>
        </w:rPr>
        <w:t>对于采用货币报价的项目，开标一览表中的投标总报价应与投标分项报价表中的投标总报价一致，如不一致，不作为无效投标处理，但评标时按开标一览表中价格为准。</w:t>
      </w:r>
    </w:p>
    <w:p w14:paraId="065183E6">
      <w:pPr>
        <w:spacing w:line="360" w:lineRule="auto"/>
        <w:ind w:firstLine="480"/>
        <w:rPr>
          <w:rFonts w:hint="eastAsia" w:ascii="宋体" w:hAnsi="宋体"/>
          <w:bCs/>
          <w:color w:val="000000"/>
          <w:sz w:val="24"/>
          <w:szCs w:val="24"/>
        </w:rPr>
      </w:pPr>
      <w:r>
        <w:rPr>
          <w:rFonts w:hint="eastAsia" w:ascii="宋体" w:hAnsi="宋体" w:cs="宋体"/>
          <w:color w:val="000000"/>
          <w:sz w:val="24"/>
          <w:szCs w:val="24"/>
        </w:rPr>
        <w:t>14.3投标文件的大写金额和小写金额不一致的，以大写金额为准；对不同文字文本投标的解释发生异议的，以中文文本为准。</w:t>
      </w:r>
    </w:p>
    <w:bookmarkEnd w:id="72"/>
    <w:bookmarkEnd w:id="73"/>
    <w:p w14:paraId="003DD345">
      <w:pPr>
        <w:spacing w:line="360" w:lineRule="auto"/>
        <w:ind w:firstLine="482"/>
        <w:rPr>
          <w:rFonts w:hint="eastAsia" w:ascii="宋体" w:hAnsi="宋体"/>
          <w:b/>
          <w:bCs/>
          <w:color w:val="000000"/>
          <w:sz w:val="24"/>
          <w:szCs w:val="24"/>
        </w:rPr>
      </w:pPr>
      <w:bookmarkStart w:id="74" w:name="_Hlt26954850"/>
      <w:bookmarkEnd w:id="74"/>
      <w:bookmarkStart w:id="75" w:name="_Hlt26954734"/>
      <w:bookmarkEnd w:id="75"/>
      <w:bookmarkStart w:id="76" w:name="_Hlt26670489"/>
      <w:bookmarkEnd w:id="76"/>
      <w:bookmarkStart w:id="77" w:name="_Toc49090511"/>
      <w:bookmarkStart w:id="78" w:name="_Toc14577360"/>
      <w:r>
        <w:rPr>
          <w:rFonts w:hint="eastAsia" w:ascii="宋体" w:hAnsi="宋体"/>
          <w:b/>
          <w:bCs/>
          <w:color w:val="000000"/>
          <w:sz w:val="24"/>
          <w:szCs w:val="24"/>
        </w:rPr>
        <w:t>15.投标有效期</w:t>
      </w:r>
      <w:bookmarkEnd w:id="77"/>
      <w:bookmarkEnd w:id="78"/>
    </w:p>
    <w:p w14:paraId="5EDEAF34">
      <w:pPr>
        <w:spacing w:line="360" w:lineRule="auto"/>
        <w:ind w:firstLine="480"/>
        <w:rPr>
          <w:rFonts w:hint="eastAsia" w:ascii="宋体" w:hAnsi="宋体"/>
          <w:bCs/>
          <w:color w:val="000000"/>
          <w:sz w:val="24"/>
          <w:szCs w:val="24"/>
        </w:rPr>
      </w:pPr>
      <w:r>
        <w:rPr>
          <w:rFonts w:hint="eastAsia" w:ascii="宋体" w:hAnsi="宋体"/>
          <w:color w:val="000000"/>
          <w:sz w:val="24"/>
          <w:szCs w:val="24"/>
        </w:rPr>
        <w:t>15.1</w:t>
      </w:r>
      <w:r>
        <w:rPr>
          <w:rFonts w:hint="eastAsia" w:ascii="宋体" w:hAnsi="宋体"/>
          <w:bCs/>
          <w:color w:val="000000"/>
          <w:sz w:val="24"/>
          <w:szCs w:val="24"/>
        </w:rPr>
        <w:t xml:space="preserve"> 投标有效期为采购代理机构规定的开标之日后</w:t>
      </w:r>
      <w:r>
        <w:rPr>
          <w:rFonts w:hint="eastAsia" w:ascii="宋体" w:hAnsi="宋体"/>
          <w:color w:val="000000"/>
          <w:sz w:val="24"/>
          <w:szCs w:val="24"/>
          <w:u w:val="single"/>
        </w:rPr>
        <w:t>六十（60）天</w:t>
      </w:r>
      <w:r>
        <w:rPr>
          <w:rFonts w:hint="eastAsia" w:ascii="宋体" w:hAnsi="宋体"/>
          <w:bCs/>
          <w:color w:val="000000"/>
          <w:sz w:val="24"/>
          <w:szCs w:val="24"/>
        </w:rPr>
        <w:t>。投标有效期比规定短的将被视为非响应性投标而予以拒绝。</w:t>
      </w:r>
    </w:p>
    <w:p w14:paraId="1FF44D34">
      <w:pPr>
        <w:spacing w:line="360" w:lineRule="auto"/>
        <w:ind w:firstLine="482"/>
        <w:rPr>
          <w:rFonts w:hint="eastAsia" w:ascii="宋体" w:hAnsi="宋体"/>
          <w:b/>
          <w:bCs/>
          <w:color w:val="000000"/>
          <w:sz w:val="24"/>
          <w:szCs w:val="24"/>
        </w:rPr>
      </w:pPr>
      <w:r>
        <w:rPr>
          <w:rFonts w:hint="eastAsia" w:ascii="宋体" w:hAnsi="宋体"/>
          <w:b/>
          <w:bCs/>
          <w:color w:val="000000"/>
          <w:sz w:val="24"/>
          <w:szCs w:val="24"/>
        </w:rPr>
        <w:t>16.投标有效期的延长</w:t>
      </w:r>
    </w:p>
    <w:p w14:paraId="7A4299E8">
      <w:pPr>
        <w:spacing w:line="360" w:lineRule="auto"/>
        <w:ind w:firstLine="480"/>
        <w:rPr>
          <w:rFonts w:hint="eastAsia" w:ascii="宋体" w:hAnsi="宋体"/>
          <w:bCs/>
          <w:color w:val="000000"/>
          <w:sz w:val="24"/>
          <w:szCs w:val="24"/>
        </w:rPr>
      </w:pPr>
      <w:r>
        <w:rPr>
          <w:rFonts w:hint="eastAsia" w:ascii="宋体" w:hAnsi="宋体" w:cs="宋体"/>
          <w:color w:val="000000"/>
          <w:sz w:val="24"/>
          <w:szCs w:val="24"/>
        </w:rPr>
        <w:t>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bCs/>
          <w:color w:val="000000"/>
          <w:sz w:val="24"/>
          <w:szCs w:val="24"/>
        </w:rPr>
        <w:t>。</w:t>
      </w:r>
    </w:p>
    <w:p w14:paraId="68174733">
      <w:pPr>
        <w:widowControl/>
        <w:tabs>
          <w:tab w:val="left" w:pos="4120"/>
        </w:tabs>
        <w:spacing w:line="360" w:lineRule="auto"/>
        <w:ind w:firstLine="560"/>
        <w:jc w:val="left"/>
        <w:rPr>
          <w:rFonts w:hint="eastAsia" w:ascii="黑体" w:hAnsi="黑体" w:eastAsia="黑体" w:cs="黑体"/>
          <w:color w:val="000000"/>
          <w:szCs w:val="28"/>
        </w:rPr>
      </w:pPr>
      <w:bookmarkStart w:id="79" w:name="_Hlt26954852"/>
      <w:bookmarkEnd w:id="79"/>
      <w:bookmarkStart w:id="80" w:name="_Hlt26954739"/>
      <w:bookmarkEnd w:id="80"/>
      <w:r>
        <w:rPr>
          <w:rFonts w:hint="eastAsia" w:ascii="黑体" w:hAnsi="黑体" w:eastAsia="黑体" w:cs="黑体"/>
          <w:color w:val="000000"/>
          <w:szCs w:val="28"/>
        </w:rPr>
        <w:t>四、投标文件的递交</w:t>
      </w:r>
    </w:p>
    <w:p w14:paraId="60135B59">
      <w:pPr>
        <w:widowControl/>
        <w:spacing w:line="360" w:lineRule="auto"/>
        <w:ind w:firstLine="560"/>
        <w:jc w:val="left"/>
        <w:rPr>
          <w:rFonts w:hint="eastAsia" w:ascii="黑体" w:hAnsi="黑体" w:eastAsia="黑体" w:cs="黑体"/>
          <w:color w:val="000000"/>
          <w:szCs w:val="28"/>
        </w:rPr>
      </w:pPr>
      <w:bookmarkStart w:id="81" w:name="_Toc20823301"/>
      <w:bookmarkStart w:id="82" w:name="_Toc513029229"/>
      <w:bookmarkStart w:id="83" w:name="_Toc120614218"/>
      <w:bookmarkStart w:id="84" w:name="_Toc16938545"/>
      <w:r>
        <w:rPr>
          <w:rFonts w:ascii="黑体" w:hAnsi="黑体" w:eastAsia="黑体" w:cs="黑体"/>
          <w:color w:val="000000"/>
          <w:szCs w:val="28"/>
        </w:rPr>
        <w:t>1</w:t>
      </w:r>
      <w:r>
        <w:rPr>
          <w:rFonts w:hint="eastAsia" w:ascii="黑体" w:hAnsi="黑体" w:eastAsia="黑体" w:cs="黑体"/>
          <w:color w:val="000000"/>
          <w:szCs w:val="28"/>
        </w:rPr>
        <w:t>7.投标文件的递交</w:t>
      </w:r>
    </w:p>
    <w:p w14:paraId="61A44DC8">
      <w:pPr>
        <w:spacing w:line="360" w:lineRule="auto"/>
        <w:ind w:firstLine="600"/>
        <w:rPr>
          <w:rFonts w:hint="eastAsia" w:ascii="宋体" w:hAnsi="宋体" w:cs="宋体"/>
          <w:color w:val="000000"/>
          <w:sz w:val="24"/>
          <w:szCs w:val="24"/>
        </w:rPr>
      </w:pPr>
      <w:r>
        <w:rPr>
          <w:rFonts w:hint="eastAsia" w:ascii="宋体" w:hAnsi="宋体" w:cs="宋体"/>
          <w:color w:val="000000"/>
          <w:sz w:val="24"/>
          <w:szCs w:val="24"/>
        </w:rPr>
        <w:t>17.1 电子投标文件的递交</w:t>
      </w:r>
    </w:p>
    <w:p w14:paraId="7748D36F">
      <w:pPr>
        <w:spacing w:line="360" w:lineRule="auto"/>
        <w:ind w:firstLine="600"/>
        <w:rPr>
          <w:rFonts w:hint="eastAsia" w:ascii="宋体" w:hAnsi="宋体" w:cs="宋体"/>
          <w:color w:val="000000"/>
          <w:sz w:val="24"/>
          <w:szCs w:val="24"/>
        </w:rPr>
      </w:pPr>
      <w:r>
        <w:rPr>
          <w:rFonts w:hint="eastAsia" w:ascii="宋体" w:hAnsi="宋体" w:cs="宋体"/>
          <w:color w:val="000000"/>
          <w:sz w:val="24"/>
          <w:szCs w:val="24"/>
        </w:rPr>
        <w:t>供应商应当按照《操作手册》规定，在投标截止时间前制作并上传电子投标文件。</w:t>
      </w:r>
    </w:p>
    <w:p w14:paraId="3FE44B1A">
      <w:pPr>
        <w:widowControl/>
        <w:spacing w:line="360" w:lineRule="auto"/>
        <w:ind w:firstLine="560"/>
        <w:jc w:val="left"/>
        <w:rPr>
          <w:rFonts w:hint="eastAsia" w:ascii="黑体" w:hAnsi="黑体" w:eastAsia="黑体" w:cs="黑体"/>
          <w:color w:val="000000"/>
          <w:szCs w:val="28"/>
        </w:rPr>
      </w:pPr>
      <w:r>
        <w:rPr>
          <w:rFonts w:ascii="黑体" w:hAnsi="黑体" w:eastAsia="黑体" w:cs="黑体"/>
          <w:color w:val="000000"/>
          <w:szCs w:val="28"/>
        </w:rPr>
        <w:t>1</w:t>
      </w:r>
      <w:r>
        <w:rPr>
          <w:rFonts w:hint="eastAsia" w:ascii="黑体" w:hAnsi="黑体" w:eastAsia="黑体" w:cs="黑体"/>
          <w:color w:val="000000"/>
          <w:szCs w:val="28"/>
        </w:rPr>
        <w:t>8.投标截止时间</w:t>
      </w:r>
    </w:p>
    <w:p w14:paraId="3421EF00">
      <w:pPr>
        <w:spacing w:line="360" w:lineRule="auto"/>
        <w:ind w:firstLine="600"/>
        <w:rPr>
          <w:rFonts w:ascii="Calibri" w:hAnsi="Calibri"/>
          <w:i/>
          <w:color w:val="000000"/>
          <w:sz w:val="24"/>
          <w:szCs w:val="24"/>
        </w:rPr>
      </w:pPr>
      <w:r>
        <w:rPr>
          <w:rFonts w:hint="eastAsia" w:ascii="宋体" w:hAnsi="宋体" w:cs="宋体"/>
          <w:i/>
          <w:color w:val="000000"/>
          <w:sz w:val="24"/>
          <w:szCs w:val="24"/>
          <w:u w:val="single"/>
          <w:lang w:bidi="ar"/>
        </w:rPr>
        <w:t>18.1供应商上传电子投标文件的时间不得迟于招标公告中规定的投标截止时间。</w:t>
      </w:r>
    </w:p>
    <w:p w14:paraId="14DAA294">
      <w:pPr>
        <w:spacing w:line="360" w:lineRule="auto"/>
        <w:ind w:firstLine="600"/>
        <w:rPr>
          <w:rFonts w:ascii="Calibri" w:hAnsi="Calibri"/>
          <w:color w:val="000000"/>
          <w:sz w:val="24"/>
          <w:szCs w:val="24"/>
        </w:rPr>
      </w:pPr>
      <w:r>
        <w:rPr>
          <w:rFonts w:hint="eastAsia" w:ascii="宋体" w:hAnsi="宋体" w:cs="宋体"/>
          <w:color w:val="000000"/>
          <w:sz w:val="24"/>
          <w:szCs w:val="24"/>
          <w:lang w:bidi="ar"/>
        </w:rPr>
        <w:t>供应商应充分考虑到网络环境、网络带宽等风险因素，如因供应商自身原因造成的电子投标文件上传不成功的按照本招标文件第二章第26.1.2条规定做无效投标处理。</w:t>
      </w:r>
    </w:p>
    <w:p w14:paraId="229BB77F">
      <w:pPr>
        <w:spacing w:line="360" w:lineRule="auto"/>
        <w:ind w:firstLine="600"/>
        <w:rPr>
          <w:rFonts w:ascii="Calibri" w:hAnsi="Calibri"/>
          <w:color w:val="000000"/>
          <w:sz w:val="24"/>
          <w:szCs w:val="24"/>
        </w:rPr>
      </w:pPr>
      <w:r>
        <w:rPr>
          <w:rFonts w:hint="eastAsia" w:ascii="宋体" w:hAnsi="宋体" w:cs="宋体"/>
          <w:color w:val="000000"/>
          <w:sz w:val="24"/>
          <w:szCs w:val="24"/>
          <w:lang w:bidi="ar"/>
        </w:rPr>
        <w:t>18.2采购代理机构可以按照规定，通过修改招标文件酌情延长投标截止时间，在此情况下，供应商的所有权利和义务以及供应商受制的截止时间均应以延长后新的截止时间为准。</w:t>
      </w:r>
    </w:p>
    <w:p w14:paraId="4ADB51A9">
      <w:pPr>
        <w:widowControl/>
        <w:spacing w:line="360" w:lineRule="auto"/>
        <w:ind w:firstLine="560"/>
        <w:jc w:val="left"/>
        <w:rPr>
          <w:rFonts w:hint="eastAsia" w:ascii="黑体" w:hAnsi="黑体" w:eastAsia="黑体" w:cs="黑体"/>
          <w:color w:val="000000"/>
          <w:szCs w:val="28"/>
        </w:rPr>
      </w:pPr>
      <w:r>
        <w:rPr>
          <w:rFonts w:hint="eastAsia" w:ascii="黑体" w:hAnsi="黑体" w:eastAsia="黑体" w:cs="黑体"/>
          <w:color w:val="000000"/>
          <w:szCs w:val="28"/>
        </w:rPr>
        <w:t>19.投标文件的拒收</w:t>
      </w:r>
    </w:p>
    <w:p w14:paraId="5AD8A805">
      <w:pPr>
        <w:spacing w:line="360" w:lineRule="auto"/>
        <w:ind w:firstLine="600"/>
        <w:rPr>
          <w:rFonts w:ascii="Calibri" w:hAnsi="Calibri"/>
          <w:color w:val="000000"/>
          <w:sz w:val="24"/>
          <w:szCs w:val="24"/>
        </w:rPr>
      </w:pPr>
      <w:r>
        <w:rPr>
          <w:rFonts w:hint="eastAsia" w:ascii="宋体" w:hAnsi="宋体" w:cs="宋体"/>
          <w:color w:val="000000"/>
          <w:sz w:val="24"/>
          <w:szCs w:val="24"/>
          <w:lang w:bidi="ar"/>
        </w:rPr>
        <w:t>19.1采购代理机构拒绝接收在其规定的投标截止时间后上传的任何投标文件。</w:t>
      </w:r>
    </w:p>
    <w:p w14:paraId="44B2A9AC">
      <w:pPr>
        <w:widowControl/>
        <w:spacing w:line="360" w:lineRule="auto"/>
        <w:ind w:firstLine="560"/>
        <w:jc w:val="left"/>
        <w:rPr>
          <w:rFonts w:hint="eastAsia" w:ascii="黑体" w:hAnsi="黑体" w:eastAsia="黑体" w:cs="黑体"/>
          <w:color w:val="000000"/>
          <w:szCs w:val="28"/>
        </w:rPr>
      </w:pPr>
      <w:r>
        <w:rPr>
          <w:rFonts w:hint="eastAsia" w:ascii="黑体" w:hAnsi="黑体" w:eastAsia="黑体" w:cs="黑体"/>
          <w:color w:val="000000"/>
          <w:szCs w:val="28"/>
        </w:rPr>
        <w:t>20、投标文件的撤回和修改</w:t>
      </w:r>
    </w:p>
    <w:p w14:paraId="15240DDE">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20.1投标文件的撤回</w:t>
      </w:r>
    </w:p>
    <w:p w14:paraId="2334C415">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20.1.1电子投标文件的撤回</w:t>
      </w:r>
    </w:p>
    <w:p w14:paraId="3A532994">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供应商可在投标截止时间前，撤回其电子投标文件，具体操作方法见《操作手册》。</w:t>
      </w:r>
    </w:p>
    <w:p w14:paraId="236EE557">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20.1.2供应商撤回电子投标文件，则认为其不再参与本项目投标活动。</w:t>
      </w:r>
    </w:p>
    <w:p w14:paraId="7060F486">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20.2 投标文件的修改</w:t>
      </w:r>
    </w:p>
    <w:p w14:paraId="5291A22E">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20.2.1供应商可在投标截止时间前，对其电子投标文件进行修改，具体操作方法见《操作手册》。</w:t>
      </w:r>
    </w:p>
    <w:p w14:paraId="38078EF6">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20.2.2在投标截止时间之后，供应商不得对其电子投标文件作任何修改。</w:t>
      </w:r>
    </w:p>
    <w:p w14:paraId="15043B73">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20.3在投标截止时间至招标文件中规定的投标有效期满之间的这段时间内，供应商不得撤回其投标。</w:t>
      </w:r>
    </w:p>
    <w:p w14:paraId="5E697A93">
      <w:pPr>
        <w:widowControl/>
        <w:spacing w:line="360" w:lineRule="auto"/>
        <w:ind w:firstLine="560"/>
        <w:jc w:val="left"/>
        <w:rPr>
          <w:rFonts w:hint="eastAsia" w:ascii="黑体" w:hAnsi="黑体" w:eastAsia="黑体" w:cs="黑体"/>
          <w:color w:val="000000"/>
          <w:szCs w:val="28"/>
        </w:rPr>
      </w:pPr>
      <w:r>
        <w:rPr>
          <w:rFonts w:hint="eastAsia" w:ascii="黑体" w:hAnsi="黑体" w:eastAsia="黑体" w:cs="黑体"/>
          <w:color w:val="000000"/>
          <w:szCs w:val="28"/>
        </w:rPr>
        <w:t>五、开标与评标</w:t>
      </w:r>
      <w:bookmarkEnd w:id="81"/>
      <w:bookmarkEnd w:id="82"/>
      <w:bookmarkEnd w:id="83"/>
      <w:bookmarkEnd w:id="84"/>
    </w:p>
    <w:p w14:paraId="0F904467">
      <w:pPr>
        <w:widowControl/>
        <w:spacing w:line="360" w:lineRule="auto"/>
        <w:ind w:firstLine="560"/>
        <w:jc w:val="left"/>
        <w:rPr>
          <w:rFonts w:hint="eastAsia" w:ascii="黑体" w:hAnsi="黑体" w:eastAsia="黑体" w:cs="黑体"/>
          <w:color w:val="000000"/>
          <w:szCs w:val="28"/>
        </w:rPr>
      </w:pPr>
      <w:bookmarkStart w:id="85" w:name="_Toc513029230"/>
      <w:bookmarkStart w:id="86" w:name="_Toc20823302"/>
      <w:bookmarkStart w:id="87" w:name="_Toc16938546"/>
      <w:r>
        <w:rPr>
          <w:rFonts w:hint="eastAsia" w:ascii="黑体" w:hAnsi="黑体" w:eastAsia="黑体" w:cs="黑体"/>
          <w:color w:val="000000"/>
          <w:szCs w:val="28"/>
        </w:rPr>
        <w:t>21.开标</w:t>
      </w:r>
      <w:bookmarkEnd w:id="85"/>
      <w:bookmarkEnd w:id="86"/>
      <w:bookmarkEnd w:id="87"/>
    </w:p>
    <w:p w14:paraId="2C9CE595">
      <w:pPr>
        <w:spacing w:line="360" w:lineRule="auto"/>
        <w:ind w:firstLine="600"/>
        <w:rPr>
          <w:rFonts w:hint="eastAsia" w:ascii="宋体" w:hAnsi="宋体" w:cs="宋体"/>
          <w:color w:val="000000"/>
          <w:sz w:val="24"/>
          <w:szCs w:val="24"/>
          <w:lang w:bidi="ar"/>
        </w:rPr>
      </w:pPr>
      <w:bookmarkStart w:id="88" w:name="_Toc16938547"/>
      <w:bookmarkStart w:id="89" w:name="_Toc513029231"/>
      <w:bookmarkStart w:id="90" w:name="_Toc20823303"/>
      <w:r>
        <w:rPr>
          <w:rFonts w:hint="eastAsia" w:ascii="宋体" w:hAnsi="宋体" w:cs="宋体"/>
          <w:color w:val="000000"/>
          <w:sz w:val="24"/>
          <w:szCs w:val="24"/>
          <w:lang w:bidi="ar"/>
        </w:rPr>
        <w:t>21.1采购代理机构将在招标公告中规定的时间和地点组织公开开标。供应商应当按照《操作手册》规定，参加开标活动和在苏采云系统规定的时间内对投标文件进行解密。</w:t>
      </w:r>
    </w:p>
    <w:p w14:paraId="1A204785">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21.2开标仪式由采购代理机构组织。苏采云系统将自动对项目进行开标，并宣布各供应商名称和投标价格。</w:t>
      </w:r>
    </w:p>
    <w:p w14:paraId="63646A3E">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21.3供应商在开标过程中涉及到的投标文件解密、开标结果确认等工作，应按照《操作手册》规定执行。</w:t>
      </w:r>
    </w:p>
    <w:p w14:paraId="1E4CBDD1">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21.4供应商如果对开标过程和开标记录有疑义，应当根据《操作手册》规定提出，如苏采云系统中《开标记录表》宣布后5分钟内未提出的，视同认可开标结果。</w:t>
      </w:r>
    </w:p>
    <w:bookmarkEnd w:id="88"/>
    <w:bookmarkEnd w:id="89"/>
    <w:bookmarkEnd w:id="90"/>
    <w:p w14:paraId="011AC6FB">
      <w:pPr>
        <w:widowControl/>
        <w:spacing w:line="360" w:lineRule="auto"/>
        <w:ind w:firstLine="560"/>
        <w:jc w:val="left"/>
        <w:rPr>
          <w:rFonts w:hint="eastAsia" w:ascii="黑体" w:hAnsi="黑体" w:eastAsia="黑体" w:cs="黑体"/>
          <w:color w:val="000000"/>
          <w:szCs w:val="28"/>
        </w:rPr>
      </w:pPr>
      <w:r>
        <w:rPr>
          <w:rFonts w:ascii="黑体" w:hAnsi="黑体" w:eastAsia="黑体" w:cs="黑体"/>
          <w:color w:val="000000"/>
          <w:szCs w:val="28"/>
        </w:rPr>
        <w:t>2</w:t>
      </w:r>
      <w:r>
        <w:rPr>
          <w:rFonts w:hint="eastAsia" w:ascii="黑体" w:hAnsi="黑体" w:eastAsia="黑体" w:cs="黑体"/>
          <w:color w:val="000000"/>
          <w:szCs w:val="28"/>
        </w:rPr>
        <w:t>2.评标委员会</w:t>
      </w:r>
    </w:p>
    <w:p w14:paraId="7B504CAB">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22.1开标后，采购代理机构将立即组织评标委员会（以下简称评委会）进行评标。</w:t>
      </w:r>
    </w:p>
    <w:p w14:paraId="529A32E2">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22.2评委会由采购人代表和有关技术、经济等方面的专家组成，且人员构成符合政府采购有关规定。</w:t>
      </w:r>
    </w:p>
    <w:p w14:paraId="009EE9BD">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22.3评委会独立工作，负责评审所有投标文件并确定中标侯选人。</w:t>
      </w:r>
    </w:p>
    <w:p w14:paraId="6B799EC5">
      <w:pPr>
        <w:widowControl/>
        <w:spacing w:line="360" w:lineRule="auto"/>
        <w:ind w:firstLine="560"/>
        <w:jc w:val="left"/>
        <w:rPr>
          <w:rFonts w:hint="eastAsia" w:ascii="黑体" w:hAnsi="黑体" w:eastAsia="黑体" w:cs="黑体"/>
          <w:color w:val="000000"/>
          <w:szCs w:val="28"/>
        </w:rPr>
      </w:pPr>
      <w:r>
        <w:rPr>
          <w:rFonts w:hint="eastAsia" w:ascii="黑体" w:hAnsi="黑体" w:eastAsia="黑体" w:cs="黑体"/>
          <w:color w:val="000000"/>
          <w:szCs w:val="28"/>
        </w:rPr>
        <w:t>23.评标过程的保密与公正</w:t>
      </w:r>
    </w:p>
    <w:p w14:paraId="33CCE4BA">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23.1凡是与审查、澄清、评价和比较投标的有关资料以及授标建议等，采购人、评委、采购代理机构均不得向供应商或与评标无关的其他人员透露。</w:t>
      </w:r>
    </w:p>
    <w:p w14:paraId="566F8E02">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23.2在评标过程中，供应商不得以任何行为影响评标过程，否则其投标文件将被作为无效投标文件。</w:t>
      </w:r>
    </w:p>
    <w:p w14:paraId="10A7C5C9">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23.3采购代理机构和评标委员会不向未中标的供应商解释未中标原因，也不公布评标过程中的相关细节。</w:t>
      </w:r>
    </w:p>
    <w:p w14:paraId="0F5B6872">
      <w:pPr>
        <w:widowControl/>
        <w:spacing w:line="360" w:lineRule="auto"/>
        <w:ind w:firstLine="560"/>
        <w:jc w:val="left"/>
        <w:rPr>
          <w:rFonts w:hint="eastAsia" w:ascii="黑体" w:hAnsi="黑体" w:eastAsia="黑体" w:cs="黑体"/>
          <w:color w:val="000000"/>
          <w:szCs w:val="28"/>
        </w:rPr>
      </w:pPr>
      <w:r>
        <w:rPr>
          <w:rFonts w:ascii="黑体" w:hAnsi="黑体" w:eastAsia="黑体" w:cs="黑体"/>
          <w:color w:val="000000"/>
          <w:szCs w:val="28"/>
        </w:rPr>
        <w:t>2</w:t>
      </w:r>
      <w:r>
        <w:rPr>
          <w:rFonts w:hint="eastAsia" w:ascii="黑体" w:hAnsi="黑体" w:eastAsia="黑体" w:cs="黑体"/>
          <w:color w:val="000000"/>
          <w:szCs w:val="28"/>
        </w:rPr>
        <w:t>4.投标文件的澄清</w:t>
      </w:r>
    </w:p>
    <w:p w14:paraId="40C28846">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24.1评标期间，评委会对投标文件中含义不明确、同类问题表述不一致或者有明显文字和计算错误的内容 ，有权要求供应商作出必要的澄清、说明或者补正。</w:t>
      </w:r>
    </w:p>
    <w:p w14:paraId="01F2BB60">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供应商的澄清、说明或者补正不得超出投标文件的范围或者改变投标文件的实质性内容。</w:t>
      </w:r>
    </w:p>
    <w:p w14:paraId="580B1276">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评标委员会并非对每个供应商都做澄清要求。</w:t>
      </w:r>
    </w:p>
    <w:p w14:paraId="3BD028BD">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p>
    <w:p w14:paraId="3BB7AC68">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24.3接到评委会澄清、说明和补正要求的供应商如未按规定做出澄清、说明和补正，其风险由供应商自行承担。</w:t>
      </w:r>
    </w:p>
    <w:p w14:paraId="105DF224">
      <w:pPr>
        <w:widowControl/>
        <w:spacing w:line="360" w:lineRule="auto"/>
        <w:ind w:firstLine="560"/>
        <w:jc w:val="left"/>
        <w:rPr>
          <w:rFonts w:hint="eastAsia" w:ascii="黑体" w:hAnsi="黑体" w:eastAsia="黑体" w:cs="黑体"/>
          <w:color w:val="000000"/>
          <w:szCs w:val="28"/>
        </w:rPr>
      </w:pPr>
      <w:r>
        <w:rPr>
          <w:rFonts w:ascii="黑体" w:hAnsi="黑体" w:eastAsia="黑体" w:cs="黑体"/>
          <w:color w:val="000000"/>
          <w:szCs w:val="28"/>
        </w:rPr>
        <w:t>2</w:t>
      </w:r>
      <w:r>
        <w:rPr>
          <w:rFonts w:hint="eastAsia" w:ascii="黑体" w:hAnsi="黑体" w:eastAsia="黑体" w:cs="黑体"/>
          <w:color w:val="000000"/>
          <w:szCs w:val="28"/>
        </w:rPr>
        <w:t>5.对投标文件的初审</w:t>
      </w:r>
    </w:p>
    <w:p w14:paraId="7F1F192E">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25.1投标文件初审分为资格审查和符合性审查。</w:t>
      </w:r>
    </w:p>
    <w:p w14:paraId="6715EC33">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25.1.1资格审查：依据法律法规和招标文件的规定，由采购人对投标文件中的资格证明文件进行审查。资格审查的结论，采购人以书面形式向评委会进行反馈。</w:t>
      </w:r>
    </w:p>
    <w:p w14:paraId="4F134F58">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采购人在进行资格性审查的同时，将在“信用中国”网站（www.creditchina.gov.cn）查询供应商的信用记录，以确定供应商是否具备投标资格,查询结果留存并归档。</w:t>
      </w:r>
    </w:p>
    <w:p w14:paraId="32D7D59C">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接受联合体的项目，两个以上的自然人、法人或者其他组织组成一个联合体，以一个供应商的身份共同参加政府采购活动的,联合体成员存在不良信用记录的，视同联合体存在不良应用记录。</w:t>
      </w:r>
    </w:p>
    <w:p w14:paraId="1D2A9811">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25.1.2符合性审查：依据招标文件的规定，由评委会从投标文件的有效性、完整性和对招标文件的响应程度进行审查，以确定是否对招标文件的实质性要求作出响应。</w:t>
      </w:r>
    </w:p>
    <w:p w14:paraId="06188837">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25.1.3未通过资格审查或符合性审查的供应商，采购代理机构将在苏采云系统中告知未通过资格审查或符合性审查的原因，评标结束后，采购代理机构将不再告知未通过资格审查和符合性审查的原因。</w:t>
      </w:r>
    </w:p>
    <w:p w14:paraId="762E56C1">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25.2在详细评标之前，评委会将首先审查每份投标文件是否实质性响应了招标文件的要求。实质性响应的投标应该是与招标文件要求的全部条款、条件和规格相符，没有重大偏离或保留的投标。</w:t>
      </w:r>
    </w:p>
    <w:p w14:paraId="6AC333D4">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5DA846D2">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25.3如果投标文件实质上没有响应招标文件的要求，评委会将予以拒绝，供应商不得通过修改或撤销不合要求的偏离或保留而使其投标成为实质性响应的投标。</w:t>
      </w:r>
    </w:p>
    <w:p w14:paraId="1BB1DB54">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25.4评委会将对确定为实质性响应的投标进行进一步审核，确定其是否有计算上或累加上的算术错误，修正错误的原则如下：</w:t>
      </w:r>
    </w:p>
    <w:p w14:paraId="1137F4B8">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（1）投标文件中开标一览表内容与投标文件中相应内容不一致的，以开标一览表为准。</w:t>
      </w:r>
    </w:p>
    <w:p w14:paraId="2AB3EA19">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（2）大写金额和小写金额不一致的，以大写金额为准。</w:t>
      </w:r>
    </w:p>
    <w:p w14:paraId="53287DD9">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（3）单价金额小数点或者百分比有明显错位的，以开标一览表的总价为准，并修改单价。</w:t>
      </w:r>
    </w:p>
    <w:p w14:paraId="5370D395">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（4）总价金额与按单价汇总金额不一致的，以单价金额计算结果为准。</w:t>
      </w:r>
    </w:p>
    <w:p w14:paraId="2A71EE98">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同时出现两种以上错误的，按照前款规定的顺序修正。</w:t>
      </w:r>
    </w:p>
    <w:p w14:paraId="6FDB1389">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25.5评委会将按上述修正错误的方法调整投标文件中的投标报价，并通过苏采云系统告知供应商，调整后的价格应对供应商具有约束力。如果供应商不接受修正后的价格，则其投标将被拒绝。</w:t>
      </w:r>
    </w:p>
    <w:p w14:paraId="42895233">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25.6供应商在开、评标全过程中应保持通讯畅通，及时登录苏采云系统查阅、答复相关信息，并安排专人与采购代理机构及评标委员会联系。</w:t>
      </w:r>
    </w:p>
    <w:p w14:paraId="292349DE">
      <w:pPr>
        <w:widowControl/>
        <w:spacing w:line="360" w:lineRule="auto"/>
        <w:ind w:firstLine="560"/>
        <w:jc w:val="left"/>
        <w:rPr>
          <w:rFonts w:hint="eastAsia" w:ascii="黑体" w:hAnsi="黑体" w:eastAsia="黑体" w:cs="黑体"/>
          <w:color w:val="000000"/>
          <w:szCs w:val="28"/>
        </w:rPr>
      </w:pPr>
      <w:r>
        <w:rPr>
          <w:rFonts w:ascii="黑体" w:hAnsi="黑体" w:eastAsia="黑体" w:cs="黑体"/>
          <w:color w:val="000000"/>
          <w:szCs w:val="28"/>
        </w:rPr>
        <w:t>2</w:t>
      </w:r>
      <w:r>
        <w:rPr>
          <w:rFonts w:hint="eastAsia" w:ascii="黑体" w:hAnsi="黑体" w:eastAsia="黑体" w:cs="黑体"/>
          <w:color w:val="000000"/>
          <w:szCs w:val="28"/>
        </w:rPr>
        <w:t>6.无效投标条款和废标条款</w:t>
      </w:r>
    </w:p>
    <w:p w14:paraId="49D58D3C">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26.1无效投标条款</w:t>
      </w:r>
    </w:p>
    <w:p w14:paraId="31446064">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26.1.1 投标人在苏采云系统规定的时间内未成功解密电子投标文件的。</w:t>
      </w:r>
    </w:p>
    <w:p w14:paraId="54E317AB">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26.1.2 投标人未按照招标文件要求上传电子投标文件的。</w:t>
      </w:r>
    </w:p>
    <w:p w14:paraId="11E5AFA1">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26.1.3同一投标人提交两个（含两个）以上不同的投标报价的。</w:t>
      </w:r>
    </w:p>
    <w:p w14:paraId="0BD769AC">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26.1.4投标人不具备招标文件中规定资格要求的。</w:t>
      </w:r>
    </w:p>
    <w:p w14:paraId="4B40821F">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26.1.5投标人的报价超过了采购预算或最高限价的。</w:t>
      </w:r>
    </w:p>
    <w:p w14:paraId="2CA69065">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26.1.6未通过符合性审查的。</w:t>
      </w:r>
    </w:p>
    <w:p w14:paraId="5DC1B3AD">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26.1.7不符合招标文件中规定的实质性要求和条件的（本招标文件中斜体且有下划线部分为实质性要求和条件）。</w:t>
      </w:r>
    </w:p>
    <w:p w14:paraId="17EEBF99">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457925">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26.1.9投标文件含有采购人不能接受的附加条件的。</w:t>
      </w:r>
    </w:p>
    <w:p w14:paraId="57E7A32C">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26.1.10投标人不能证明其报价合理性的，评标委员会应当将其作为无效投标处理。</w:t>
      </w:r>
    </w:p>
    <w:p w14:paraId="7B60100B">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（一）评审过程中出现下列情形之一的，评标委员会应当启动异常低价投标审查程序：</w:t>
      </w:r>
    </w:p>
    <w:p w14:paraId="0D2B8AFD">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1.投标报价低于采购项目预算50%的，即投标报价&lt;采购项目预算×50%；</w:t>
      </w:r>
    </w:p>
    <w:p w14:paraId="5F647656">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2.投标报价低于采购项目最高限价45%的，即投标报价&lt;采购项目最高限价×45%；</w:t>
      </w:r>
    </w:p>
    <w:p w14:paraId="7B9FC857">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3.评标委员会认定的供应商报价过低、有可能影响产品质量或者不能诚信履约的其他情形。</w:t>
      </w:r>
    </w:p>
    <w:p w14:paraId="77516453">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548F1AD1">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26.1.11 投标文件未按照招标文件要求加盖CA电子公章的。</w:t>
      </w:r>
    </w:p>
    <w:p w14:paraId="15D1E481">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26.1.12 其他法律、法规及本招标文件规定的属无效投标的情形。</w:t>
      </w:r>
    </w:p>
    <w:p w14:paraId="27EB449B">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26.2废标条款</w:t>
      </w:r>
    </w:p>
    <w:p w14:paraId="07B3BF29">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26.2.1符合专业条件的供应商或者对招标文件作实质响应的供应商不足三家的。</w:t>
      </w:r>
    </w:p>
    <w:p w14:paraId="15B93B00">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26.2.2出现影响采购公正的违法、违规行为的。</w:t>
      </w:r>
    </w:p>
    <w:p w14:paraId="7E191DD4">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26.2.3因重大变故，采购任务取消的。</w:t>
      </w:r>
    </w:p>
    <w:p w14:paraId="249A3C03">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26.2.4评标委员会认定招标文件存在歧义、重大缺陷导致评审工作无法进行。</w:t>
      </w:r>
    </w:p>
    <w:p w14:paraId="4BFD0B71">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26.2.5因苏采云系统故障原因造成开标不成功的。</w:t>
      </w:r>
    </w:p>
    <w:p w14:paraId="45ACCB69">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26.3 投标截止时间结束后参加投标的供应商不足三家的处理：</w:t>
      </w:r>
    </w:p>
    <w:p w14:paraId="1104616D">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26.3.1如出现投标截止时间结束后参加投标的供应商或者在评标期间对招标文件做出实质响应的供应商不足三家情况，按政府采购相关规定执行。</w:t>
      </w:r>
    </w:p>
    <w:p w14:paraId="701A43BF">
      <w:pPr>
        <w:pStyle w:val="36"/>
        <w:keepNext/>
        <w:keepLines/>
        <w:spacing w:beforeAutospacing="0" w:afterAutospacing="0" w:line="360" w:lineRule="auto"/>
        <w:ind w:firstLine="643"/>
        <w:jc w:val="both"/>
        <w:rPr>
          <w:rFonts w:ascii="Calibri" w:hAnsi="Calibri"/>
          <w:color w:val="000000"/>
          <w:szCs w:val="24"/>
        </w:rPr>
      </w:pPr>
      <w:r>
        <w:rPr>
          <w:rFonts w:hint="eastAsia" w:ascii="宋体" w:hAnsi="宋体" w:cs="宋体"/>
          <w:b/>
          <w:color w:val="000000"/>
          <w:sz w:val="32"/>
          <w:szCs w:val="32"/>
          <w:lang w:bidi="ar"/>
        </w:rPr>
        <w:t>六、定标</w:t>
      </w:r>
    </w:p>
    <w:p w14:paraId="3AA5FC95">
      <w:pPr>
        <w:pStyle w:val="36"/>
        <w:keepNext/>
        <w:keepLines/>
        <w:spacing w:beforeAutospacing="0" w:afterAutospacing="0" w:line="360" w:lineRule="auto"/>
        <w:ind w:firstLine="600"/>
        <w:jc w:val="both"/>
        <w:rPr>
          <w:rFonts w:ascii="Calibri" w:hAnsi="Calibri"/>
          <w:color w:val="000000"/>
          <w:szCs w:val="24"/>
        </w:rPr>
      </w:pPr>
      <w:r>
        <w:rPr>
          <w:rFonts w:hint="eastAsia" w:ascii="黑体" w:hAnsi="宋体" w:eastAsia="黑体" w:cs="黑体"/>
          <w:color w:val="000000"/>
          <w:sz w:val="30"/>
          <w:szCs w:val="30"/>
          <w:lang w:bidi="ar"/>
        </w:rPr>
        <w:t>27.确定中标单位</w:t>
      </w:r>
    </w:p>
    <w:p w14:paraId="0CD7C642">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 xml:space="preserve">27.1中标候选人的选取原则和数量见招标文件第五章规定。 </w:t>
      </w:r>
    </w:p>
    <w:p w14:paraId="4CDD9B8E">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27.2采购人应根据评委会推荐的中标候选人确定中标人。</w:t>
      </w:r>
    </w:p>
    <w:p w14:paraId="6CA57EA9">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27.3采购代理机构将在“中国政府采购网”、“江苏政府采购网”、“盐城市政府采购网”发布中标公告，公告期限为1个工作日。</w:t>
      </w:r>
    </w:p>
    <w:p w14:paraId="23F8FEB3">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27.4若有充分证据证明，中标人出现下列情况之一的，一经查实，将被取消中标资格：</w:t>
      </w:r>
    </w:p>
    <w:p w14:paraId="224FE2AF">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27.4.1提供虚假材料谋取中标的。</w:t>
      </w:r>
    </w:p>
    <w:p w14:paraId="6DB81C41">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27.4.2向采购人、采购代理机构行贿或者提供其他不正当利益的。</w:t>
      </w:r>
    </w:p>
    <w:p w14:paraId="4B20CACC">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27.4.3属于本文件规定的无效条件，但在评标过程中又未被评委会发现的。</w:t>
      </w:r>
    </w:p>
    <w:p w14:paraId="4410BE37">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27.4.4与采购人或者其他供应商恶意串通的。</w:t>
      </w:r>
    </w:p>
    <w:p w14:paraId="515E101B">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27.4.5采取不正当手段诋毁、排挤其他供应商的。</w:t>
      </w:r>
    </w:p>
    <w:p w14:paraId="209CCAA1">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27.5 有下列情形之一的，视为供应商串通投标，投标无效：</w:t>
      </w:r>
    </w:p>
    <w:p w14:paraId="3A164EC4">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27.5.1不同供应商的投标文件由同一单位或者个人编制。</w:t>
      </w:r>
    </w:p>
    <w:p w14:paraId="04D88B99">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27.5.2不同供应商委托同一单位或者个人办理投标事宜。</w:t>
      </w:r>
    </w:p>
    <w:p w14:paraId="0270309F">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27.5.3不同供应商的投标文件载明的项目管理成员或者联系人员为同一人。</w:t>
      </w:r>
    </w:p>
    <w:p w14:paraId="2505F48B">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27.5.4不同供应商的投标文件异常一致或者投标报价呈规律性差异。</w:t>
      </w:r>
    </w:p>
    <w:p w14:paraId="7083357D">
      <w:pPr>
        <w:pStyle w:val="36"/>
        <w:keepNext/>
        <w:keepLines/>
        <w:spacing w:beforeAutospacing="0" w:afterAutospacing="0" w:line="360" w:lineRule="auto"/>
        <w:ind w:firstLine="600"/>
        <w:jc w:val="both"/>
        <w:rPr>
          <w:rFonts w:ascii="Calibri" w:hAnsi="Calibri"/>
          <w:color w:val="000000"/>
          <w:szCs w:val="24"/>
        </w:rPr>
      </w:pPr>
      <w:r>
        <w:rPr>
          <w:rFonts w:hint="eastAsia" w:ascii="黑体" w:hAnsi="宋体" w:eastAsia="黑体" w:cs="黑体"/>
          <w:color w:val="000000"/>
          <w:sz w:val="30"/>
          <w:szCs w:val="30"/>
          <w:lang w:bidi="ar"/>
        </w:rPr>
        <w:t>28.质疑处理</w:t>
      </w:r>
    </w:p>
    <w:p w14:paraId="74A7E7B4">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28.1提出质疑的供应商应当是参与所质疑项目采购活动的供应商。潜在供应商依法获取其可质疑的招标文件的，可以对招标文件提出质疑。</w:t>
      </w:r>
    </w:p>
    <w:p w14:paraId="6870E8C9">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4E9F65B9">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28.2.1对可以质疑的招标文件提出质疑的，为收到招标文件之日或者招标文件公告期限届满之日；</w:t>
      </w:r>
    </w:p>
    <w:p w14:paraId="540E49F7">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28.2.2对采购过程提出质疑的，为各采购程序环节结束之日；</w:t>
      </w:r>
    </w:p>
    <w:p w14:paraId="433867D1">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28.2.3对中标或者成交结果提出质疑的，为中标或者成交结果公告期限届满之日。</w:t>
      </w:r>
    </w:p>
    <w:p w14:paraId="65F383A8">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供应商应当在法定质疑期内一次性提出针对同一采购程序环节的质疑。供应商如在法定期限内对同一采购程序环节提出多次质疑的，采购代理机构、采购人将只对供应商第一次质疑作出答复。</w:t>
      </w:r>
    </w:p>
    <w:p w14:paraId="4A0EAFDA">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28.3质疑函必须按照本招标文件中《质疑函范本》要求的格式和内容进行填写。供应商如组成联合体参加投标，则《质疑函范本》中要求签字、盖章、加盖公章之处，联合体各方均须按要求签字、盖章、加盖公章。</w:t>
      </w:r>
    </w:p>
    <w:p w14:paraId="307D26A6">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4C4069B9">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采购代理机构及采购人只接收以纸质原件形式送达的质疑,采购人和采购代理机构不接受未填写快递运单的快件。</w:t>
      </w:r>
    </w:p>
    <w:p w14:paraId="5E24B99E">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28.5 以下情形的质疑不予受理</w:t>
      </w:r>
    </w:p>
    <w:p w14:paraId="41F1D351">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28.5.1内容不符合《政府采购质疑和投诉办法》第十二条规定的质疑。</w:t>
      </w:r>
    </w:p>
    <w:p w14:paraId="754499FF">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28.5.2超出政府采购法定期限的质疑。</w:t>
      </w:r>
    </w:p>
    <w:p w14:paraId="63D4C817">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28.5.3以传真、电子邮件等方式递交的非原件形式的质疑。</w:t>
      </w:r>
    </w:p>
    <w:p w14:paraId="750D0F51">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28.5.4未参加投标活动的供应商或在投标活动中自身权益未受到损害的供应商所提出的质疑。</w:t>
      </w:r>
    </w:p>
    <w:p w14:paraId="11118506">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28.5.5供应商组成联合体参加投标，联合体中任何一方或多方未按要求签字、盖章、加盖公章的质疑。</w:t>
      </w:r>
    </w:p>
    <w:p w14:paraId="6828EE8D">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55479FB">
      <w:pPr>
        <w:pStyle w:val="36"/>
        <w:keepNext/>
        <w:keepLines/>
        <w:spacing w:beforeAutospacing="0" w:afterAutospacing="0" w:line="360" w:lineRule="auto"/>
        <w:ind w:firstLine="600"/>
        <w:jc w:val="both"/>
        <w:rPr>
          <w:rFonts w:ascii="Calibri" w:hAnsi="Calibri"/>
          <w:color w:val="000000"/>
          <w:szCs w:val="24"/>
        </w:rPr>
      </w:pPr>
      <w:r>
        <w:rPr>
          <w:rFonts w:hint="eastAsia" w:ascii="黑体" w:hAnsi="宋体" w:eastAsia="黑体" w:cs="黑体"/>
          <w:color w:val="000000"/>
          <w:sz w:val="30"/>
          <w:szCs w:val="30"/>
          <w:lang w:bidi="ar"/>
        </w:rPr>
        <w:t>29.中标通知书</w:t>
      </w:r>
    </w:p>
    <w:p w14:paraId="14D85519">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29.l中标结果确定后，采购人或采购代理机构将向中标人发出中标通知书。</w:t>
      </w:r>
    </w:p>
    <w:p w14:paraId="4A455B6D">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29.2中标人应及时到招标代理机构领取中标通知书，中标通知书是签订合同的依据和组成部分。</w:t>
      </w:r>
    </w:p>
    <w:p w14:paraId="61D1390A">
      <w:pPr>
        <w:pStyle w:val="36"/>
        <w:keepNext/>
        <w:keepLines/>
        <w:spacing w:beforeAutospacing="0" w:afterAutospacing="0" w:line="360" w:lineRule="auto"/>
        <w:ind w:firstLine="643"/>
        <w:jc w:val="both"/>
        <w:rPr>
          <w:rFonts w:ascii="Calibri" w:hAnsi="Calibri"/>
          <w:color w:val="000000"/>
          <w:szCs w:val="24"/>
        </w:rPr>
      </w:pPr>
      <w:r>
        <w:rPr>
          <w:rFonts w:hint="eastAsia" w:ascii="宋体" w:hAnsi="宋体" w:cs="宋体"/>
          <w:b/>
          <w:color w:val="000000"/>
          <w:sz w:val="32"/>
          <w:szCs w:val="32"/>
          <w:lang w:bidi="ar"/>
        </w:rPr>
        <w:t>七、授予合同</w:t>
      </w:r>
    </w:p>
    <w:p w14:paraId="328629AC">
      <w:pPr>
        <w:pStyle w:val="36"/>
        <w:keepNext/>
        <w:keepLines/>
        <w:spacing w:beforeAutospacing="0" w:afterAutospacing="0" w:line="360" w:lineRule="auto"/>
        <w:ind w:firstLine="600"/>
        <w:jc w:val="both"/>
        <w:rPr>
          <w:rFonts w:ascii="Calibri" w:hAnsi="Calibri"/>
          <w:color w:val="000000"/>
          <w:szCs w:val="24"/>
        </w:rPr>
      </w:pPr>
      <w:r>
        <w:rPr>
          <w:rFonts w:hint="eastAsia" w:ascii="黑体" w:hAnsi="宋体" w:eastAsia="黑体" w:cs="黑体"/>
          <w:color w:val="000000"/>
          <w:sz w:val="30"/>
          <w:szCs w:val="30"/>
          <w:lang w:bidi="ar"/>
        </w:rPr>
        <w:t>30.签订合同</w:t>
      </w:r>
    </w:p>
    <w:p w14:paraId="5FF97AAF">
      <w:pPr>
        <w:spacing w:line="360" w:lineRule="auto"/>
        <w:ind w:firstLine="600"/>
        <w:rPr>
          <w:rFonts w:ascii="Calibri" w:hAnsi="Calibri"/>
          <w:color w:val="000000"/>
          <w:sz w:val="24"/>
          <w:szCs w:val="24"/>
        </w:rPr>
      </w:pPr>
      <w:r>
        <w:rPr>
          <w:rFonts w:hint="eastAsia" w:ascii="宋体" w:hAnsi="宋体" w:cs="宋体"/>
          <w:color w:val="000000"/>
          <w:sz w:val="24"/>
          <w:szCs w:val="24"/>
          <w:lang w:bidi="ar"/>
        </w:rPr>
        <w:t>30.l中标人应当在中标通知书发出之日起三十日内，按照招标文件确定的事项与采购人签订政府采购合同。</w:t>
      </w:r>
    </w:p>
    <w:p w14:paraId="00E46531">
      <w:pPr>
        <w:spacing w:line="360" w:lineRule="auto"/>
        <w:ind w:firstLine="600"/>
        <w:rPr>
          <w:rFonts w:ascii="Calibri" w:hAnsi="Calibri"/>
          <w:color w:val="000000"/>
          <w:sz w:val="24"/>
          <w:szCs w:val="24"/>
        </w:rPr>
      </w:pPr>
      <w:r>
        <w:rPr>
          <w:rFonts w:hint="eastAsia" w:ascii="宋体" w:hAnsi="宋体" w:cs="宋体"/>
          <w:color w:val="000000"/>
          <w:sz w:val="24"/>
          <w:szCs w:val="24"/>
          <w:lang w:bidi="ar"/>
        </w:rPr>
        <w:t>30.2招标文件、中标人的投标文件及招标过程中有关澄清、承诺文件均应作为合同附件。</w:t>
      </w:r>
    </w:p>
    <w:p w14:paraId="550AC591">
      <w:pPr>
        <w:spacing w:line="360" w:lineRule="auto"/>
        <w:ind w:firstLine="600"/>
        <w:rPr>
          <w:rFonts w:ascii="Calibri" w:hAnsi="Calibri"/>
          <w:color w:val="000000"/>
          <w:sz w:val="24"/>
          <w:szCs w:val="24"/>
        </w:rPr>
      </w:pPr>
      <w:r>
        <w:rPr>
          <w:rFonts w:hint="eastAsia" w:ascii="宋体" w:hAnsi="宋体" w:cs="宋体"/>
          <w:color w:val="000000"/>
          <w:sz w:val="24"/>
          <w:szCs w:val="24"/>
          <w:lang w:bidi="ar"/>
        </w:rPr>
        <w:t>30.3签订合同后，</w:t>
      </w:r>
      <w:r>
        <w:rPr>
          <w:rFonts w:hint="eastAsia" w:ascii="宋体" w:hAnsi="宋体" w:cs="宋体"/>
          <w:i/>
          <w:color w:val="000000"/>
          <w:sz w:val="24"/>
          <w:szCs w:val="24"/>
          <w:u w:val="single"/>
          <w:lang w:bidi="ar"/>
        </w:rPr>
        <w:t>中标人不得将合同标的进行转包</w:t>
      </w:r>
      <w:r>
        <w:rPr>
          <w:rFonts w:hint="eastAsia" w:ascii="宋体" w:hAnsi="宋体" w:cs="宋体"/>
          <w:color w:val="000000"/>
          <w:sz w:val="24"/>
          <w:szCs w:val="24"/>
          <w:lang w:bidi="ar"/>
        </w:rPr>
        <w:t>。未经采购人同意，中标人也不得采用分包的形式履行合同，否则采购人有权终止合同。转包或分包造成采购人损失的，中标人应承担相应赔偿责任。</w:t>
      </w:r>
    </w:p>
    <w:p w14:paraId="194A316F">
      <w:pPr>
        <w:pStyle w:val="36"/>
        <w:keepNext/>
        <w:keepLines/>
        <w:spacing w:beforeAutospacing="0" w:afterAutospacing="0" w:line="360" w:lineRule="auto"/>
        <w:ind w:firstLine="600"/>
        <w:jc w:val="both"/>
        <w:rPr>
          <w:rFonts w:ascii="Calibri" w:hAnsi="Calibri"/>
          <w:color w:val="000000"/>
          <w:szCs w:val="24"/>
        </w:rPr>
      </w:pPr>
      <w:r>
        <w:rPr>
          <w:rFonts w:hint="eastAsia" w:ascii="黑体" w:hAnsi="宋体" w:eastAsia="黑体" w:cs="黑体"/>
          <w:color w:val="000000"/>
          <w:sz w:val="30"/>
          <w:szCs w:val="30"/>
          <w:lang w:bidi="ar"/>
        </w:rPr>
        <w:t>31.服务（包含与服务相关的货物）的追加</w:t>
      </w:r>
    </w:p>
    <w:p w14:paraId="4E572187">
      <w:pPr>
        <w:spacing w:line="360" w:lineRule="auto"/>
        <w:ind w:firstLine="600"/>
        <w:rPr>
          <w:rFonts w:ascii="Calibri" w:hAnsi="Calibri"/>
          <w:color w:val="000000"/>
          <w:sz w:val="24"/>
          <w:szCs w:val="24"/>
        </w:rPr>
      </w:pPr>
      <w:r>
        <w:rPr>
          <w:rFonts w:hint="eastAsia" w:ascii="宋体" w:hAnsi="宋体" w:cs="宋体"/>
          <w:color w:val="000000"/>
          <w:sz w:val="24"/>
          <w:szCs w:val="24"/>
          <w:lang w:bidi="ar"/>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FAE0657">
      <w:pPr>
        <w:pStyle w:val="36"/>
        <w:keepNext/>
        <w:keepLines/>
        <w:spacing w:beforeAutospacing="0" w:afterAutospacing="0" w:line="360" w:lineRule="auto"/>
        <w:ind w:firstLine="600"/>
        <w:jc w:val="both"/>
        <w:rPr>
          <w:rFonts w:ascii="Calibri" w:hAnsi="Calibri"/>
          <w:color w:val="000000"/>
          <w:szCs w:val="24"/>
        </w:rPr>
      </w:pPr>
      <w:r>
        <w:rPr>
          <w:rFonts w:hint="eastAsia" w:ascii="黑体" w:hAnsi="宋体" w:eastAsia="黑体" w:cs="黑体"/>
          <w:color w:val="000000"/>
          <w:sz w:val="30"/>
          <w:szCs w:val="30"/>
          <w:lang w:bidi="ar"/>
        </w:rPr>
        <w:t>32.政府采购履约资金扶持政策</w:t>
      </w:r>
    </w:p>
    <w:p w14:paraId="523630B0">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p>
    <w:p w14:paraId="03F6BE29">
      <w:pPr>
        <w:pStyle w:val="36"/>
        <w:keepNext/>
        <w:keepLines/>
        <w:spacing w:beforeAutospacing="0" w:afterAutospacing="0" w:line="360" w:lineRule="auto"/>
        <w:ind w:firstLine="600"/>
        <w:jc w:val="both"/>
        <w:rPr>
          <w:rFonts w:ascii="Calibri" w:hAnsi="Calibri" w:eastAsia="黑体"/>
          <w:color w:val="000000"/>
          <w:szCs w:val="24"/>
        </w:rPr>
      </w:pPr>
      <w:r>
        <w:rPr>
          <w:rFonts w:hint="eastAsia" w:ascii="黑体" w:hAnsi="宋体" w:eastAsia="黑体" w:cs="黑体"/>
          <w:color w:val="000000"/>
          <w:sz w:val="30"/>
          <w:szCs w:val="30"/>
          <w:lang w:bidi="ar"/>
        </w:rPr>
        <w:t>33.其他</w:t>
      </w:r>
    </w:p>
    <w:p w14:paraId="2BE9E5CA">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33.1供应商对于投标产品的商品包装、快递包装应按照《关于印发《商品包装政府采购需求标准（试行）》、《快递包装政府采购需求标准（试行）》的通知》（财办库〔2020〕123号）执行。</w:t>
      </w:r>
    </w:p>
    <w:p w14:paraId="47214761">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33.2本文件中若涉及到数据中心采购，应按照《&lt;绿色数据中心政府采购需求标准（试行）&gt;的通知》（财库〔2023〕7号）执行。</w:t>
      </w:r>
    </w:p>
    <w:p w14:paraId="62BC3BA3">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33.3 本项目落实预付款制度，预付款比例为30%，支付预付款前，中标、成交供应商须先提供采购人认可的预付款同等金额银行保函。在签订合同时，中标、成交供应商明确书面表示无需预付款或者主动要求降低预付款比例的，采购人可就预付款比例作相应调整。</w:t>
      </w:r>
    </w:p>
    <w:p w14:paraId="6A48CF87">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33.4 确需收取履约保证金的，履约保证金的缴纳形式：</w:t>
      </w:r>
    </w:p>
    <w:p w14:paraId="064E5CCA">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74A76B2">
      <w:pPr>
        <w:spacing w:line="360" w:lineRule="auto"/>
        <w:ind w:firstLine="600"/>
        <w:rPr>
          <w:color w:val="000000"/>
        </w:rPr>
      </w:pPr>
      <w:r>
        <w:rPr>
          <w:rFonts w:hint="eastAsia" w:ascii="宋体" w:hAnsi="宋体" w:cs="宋体"/>
          <w:color w:val="000000"/>
          <w:sz w:val="24"/>
          <w:szCs w:val="24"/>
          <w:lang w:bidi="ar"/>
        </w:rPr>
        <w:t xml:space="preserve"> 如以履约保函（保险）形式缴纳履约保证金，供应商可通过政府采购电子履约保函（保险）平台（www.jsdzbh.com）在线申请履约保函（保险）。</w:t>
      </w:r>
    </w:p>
    <w:p w14:paraId="4EB83ED0">
      <w:pPr>
        <w:spacing w:line="360" w:lineRule="auto"/>
        <w:ind w:firstLine="600"/>
        <w:rPr>
          <w:rFonts w:hint="eastAsia" w:ascii="宋体" w:hAnsi="宋体" w:cs="宋体"/>
          <w:color w:val="000000"/>
          <w:sz w:val="24"/>
          <w:szCs w:val="24"/>
          <w:lang w:bidi="ar"/>
        </w:rPr>
      </w:pPr>
      <w:r>
        <w:rPr>
          <w:rFonts w:hint="eastAsia" w:ascii="宋体" w:hAnsi="宋体" w:cs="宋体"/>
          <w:color w:val="000000"/>
          <w:sz w:val="24"/>
          <w:szCs w:val="24"/>
          <w:lang w:bidi="ar"/>
        </w:rPr>
        <w:t>履约保证金，采购人对第三方信用服务机构依据标准规范评定为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cs="宋体"/>
          <w:color w:val="000000"/>
          <w:sz w:val="24"/>
          <w:szCs w:val="20"/>
        </w:rPr>
        <w:t>本项目约定降低履约保证金比例为5%</w:t>
      </w:r>
      <w:r>
        <w:rPr>
          <w:rFonts w:hint="eastAsia" w:ascii="宋体" w:hAnsi="宋体" w:cs="宋体"/>
          <w:color w:val="000000"/>
          <w:sz w:val="24"/>
          <w:szCs w:val="24"/>
          <w:lang w:bidi="ar"/>
        </w:rPr>
        <w:t>）。</w:t>
      </w:r>
    </w:p>
    <w:p w14:paraId="0D4E9B97">
      <w:pPr>
        <w:spacing w:line="360" w:lineRule="auto"/>
        <w:ind w:firstLine="602"/>
        <w:rPr>
          <w:rFonts w:hint="eastAsia" w:ascii="宋体" w:hAnsi="宋体" w:cs="宋体"/>
          <w:b/>
          <w:bCs/>
          <w:color w:val="000000"/>
          <w:sz w:val="24"/>
          <w:szCs w:val="20"/>
        </w:rPr>
      </w:pPr>
      <w:r>
        <w:rPr>
          <w:rFonts w:hint="eastAsia" w:ascii="宋体" w:hAnsi="宋体" w:cs="宋体"/>
          <w:b/>
          <w:bCs/>
          <w:color w:val="000000"/>
          <w:sz w:val="24"/>
          <w:szCs w:val="20"/>
        </w:rPr>
        <w:t>33.5 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p>
    <w:p w14:paraId="1BB3A428">
      <w:pPr>
        <w:spacing w:line="360" w:lineRule="auto"/>
        <w:ind w:right="185"/>
        <w:jc w:val="center"/>
        <w:rPr>
          <w:rFonts w:hint="eastAsia" w:ascii="宋体" w:hAnsi="宋体"/>
          <w:b/>
          <w:color w:val="000000"/>
          <w:sz w:val="24"/>
          <w:szCs w:val="24"/>
        </w:rPr>
      </w:pPr>
    </w:p>
    <w:p w14:paraId="38CA756D">
      <w:pPr>
        <w:pStyle w:val="198"/>
        <w:rPr>
          <w:rFonts w:hint="eastAsia"/>
        </w:rPr>
      </w:pPr>
    </w:p>
    <w:p w14:paraId="697420CB">
      <w:pPr>
        <w:pStyle w:val="198"/>
        <w:rPr>
          <w:rFonts w:hint="eastAsia"/>
        </w:rPr>
      </w:pPr>
    </w:p>
    <w:p w14:paraId="50E8A00E">
      <w:pPr>
        <w:pStyle w:val="198"/>
        <w:rPr>
          <w:rFonts w:hint="eastAsia"/>
        </w:rPr>
      </w:pPr>
    </w:p>
    <w:p w14:paraId="290E084E">
      <w:pPr>
        <w:pStyle w:val="198"/>
        <w:rPr>
          <w:rFonts w:hint="eastAsia"/>
        </w:rPr>
      </w:pPr>
    </w:p>
    <w:p w14:paraId="69E9B650">
      <w:pPr>
        <w:pStyle w:val="198"/>
        <w:rPr>
          <w:rFonts w:hint="eastAsia"/>
        </w:rPr>
      </w:pPr>
    </w:p>
    <w:p w14:paraId="2306C1BC">
      <w:pPr>
        <w:pStyle w:val="198"/>
        <w:rPr>
          <w:rFonts w:hint="eastAsia"/>
        </w:rPr>
      </w:pPr>
    </w:p>
    <w:p w14:paraId="4FDE0B33">
      <w:pPr>
        <w:pStyle w:val="198"/>
        <w:rPr>
          <w:rFonts w:hint="eastAsia"/>
        </w:rPr>
      </w:pPr>
    </w:p>
    <w:p w14:paraId="1FDCD3E2">
      <w:pPr>
        <w:pStyle w:val="198"/>
        <w:rPr>
          <w:rFonts w:hint="eastAsia"/>
        </w:rPr>
      </w:pPr>
    </w:p>
    <w:p w14:paraId="76056EF8">
      <w:pPr>
        <w:pStyle w:val="198"/>
        <w:rPr>
          <w:rFonts w:hint="eastAsia"/>
        </w:rPr>
      </w:pPr>
    </w:p>
    <w:p w14:paraId="2A27DA68">
      <w:pPr>
        <w:pStyle w:val="198"/>
        <w:rPr>
          <w:rFonts w:hint="eastAsia"/>
        </w:rPr>
      </w:pPr>
    </w:p>
    <w:p w14:paraId="29F25EE3">
      <w:pPr>
        <w:pStyle w:val="198"/>
        <w:rPr>
          <w:rFonts w:hint="eastAsia"/>
        </w:rPr>
      </w:pPr>
    </w:p>
    <w:p w14:paraId="50CE39D5">
      <w:pPr>
        <w:pStyle w:val="198"/>
        <w:rPr>
          <w:rFonts w:hint="eastAsia"/>
        </w:rPr>
      </w:pPr>
    </w:p>
    <w:p w14:paraId="589A8BC5">
      <w:pPr>
        <w:pStyle w:val="198"/>
        <w:rPr>
          <w:rFonts w:hint="eastAsia"/>
        </w:rPr>
      </w:pPr>
    </w:p>
    <w:p w14:paraId="619E993B">
      <w:pPr>
        <w:pStyle w:val="198"/>
        <w:rPr>
          <w:rFonts w:hint="eastAsia"/>
        </w:rPr>
      </w:pPr>
    </w:p>
    <w:p w14:paraId="4886A4DA">
      <w:pPr>
        <w:pStyle w:val="198"/>
        <w:rPr>
          <w:rFonts w:hint="eastAsia"/>
        </w:rPr>
      </w:pPr>
    </w:p>
    <w:p w14:paraId="37F2037F">
      <w:pPr>
        <w:pStyle w:val="198"/>
        <w:rPr>
          <w:rFonts w:hint="eastAsia"/>
        </w:rPr>
      </w:pPr>
    </w:p>
    <w:p w14:paraId="14088F40">
      <w:pPr>
        <w:pStyle w:val="198"/>
        <w:rPr>
          <w:rFonts w:hint="eastAsia"/>
        </w:rPr>
      </w:pPr>
    </w:p>
    <w:p w14:paraId="1802DED3">
      <w:pPr>
        <w:pStyle w:val="198"/>
        <w:rPr>
          <w:rFonts w:hint="eastAsia"/>
        </w:rPr>
      </w:pPr>
    </w:p>
    <w:p w14:paraId="62931A3D">
      <w:pPr>
        <w:pStyle w:val="198"/>
        <w:rPr>
          <w:rFonts w:hint="eastAsia"/>
        </w:rPr>
      </w:pPr>
    </w:p>
    <w:p w14:paraId="6D8D1298">
      <w:pPr>
        <w:pStyle w:val="198"/>
        <w:rPr>
          <w:rFonts w:hint="eastAsia"/>
        </w:rPr>
      </w:pPr>
    </w:p>
    <w:p w14:paraId="0E16C8E4">
      <w:pPr>
        <w:pStyle w:val="198"/>
        <w:rPr>
          <w:rFonts w:hint="eastAsia"/>
        </w:rPr>
      </w:pPr>
    </w:p>
    <w:p w14:paraId="67C13AE7">
      <w:pPr>
        <w:pStyle w:val="198"/>
        <w:rPr>
          <w:rFonts w:hint="eastAsia"/>
        </w:rPr>
      </w:pPr>
    </w:p>
    <w:p w14:paraId="3B8F2EBE">
      <w:pPr>
        <w:pStyle w:val="198"/>
        <w:rPr>
          <w:rFonts w:hint="eastAsia"/>
        </w:rPr>
      </w:pPr>
    </w:p>
    <w:p w14:paraId="0B8E801F">
      <w:pPr>
        <w:pStyle w:val="198"/>
        <w:rPr>
          <w:rFonts w:hint="eastAsia"/>
        </w:rPr>
      </w:pPr>
    </w:p>
    <w:p w14:paraId="652BE1BD">
      <w:pPr>
        <w:pStyle w:val="198"/>
        <w:rPr>
          <w:rFonts w:hint="eastAsia"/>
        </w:rPr>
      </w:pPr>
    </w:p>
    <w:p w14:paraId="77E71868">
      <w:pPr>
        <w:spacing w:line="360" w:lineRule="auto"/>
        <w:ind w:right="185"/>
        <w:jc w:val="center"/>
        <w:rPr>
          <w:rFonts w:ascii="黑体" w:hAnsi="Arial" w:eastAsia="黑体"/>
          <w:color w:val="000000"/>
          <w:sz w:val="44"/>
          <w:szCs w:val="44"/>
        </w:rPr>
      </w:pPr>
      <w:r>
        <w:rPr>
          <w:rFonts w:hint="eastAsia" w:ascii="黑体" w:hAnsi="Arial" w:eastAsia="黑体"/>
          <w:color w:val="000000"/>
          <w:sz w:val="44"/>
          <w:szCs w:val="44"/>
        </w:rPr>
        <w:t>第三章</w:t>
      </w:r>
      <w:r>
        <w:rPr>
          <w:rFonts w:ascii="黑体" w:hAnsi="Arial" w:eastAsia="黑体"/>
          <w:color w:val="000000"/>
          <w:sz w:val="44"/>
          <w:szCs w:val="44"/>
        </w:rPr>
        <w:t xml:space="preserve">  </w:t>
      </w:r>
      <w:r>
        <w:rPr>
          <w:rFonts w:hint="eastAsia" w:ascii="黑体" w:hAnsi="Arial" w:eastAsia="黑体"/>
          <w:color w:val="000000"/>
          <w:sz w:val="44"/>
          <w:szCs w:val="44"/>
        </w:rPr>
        <w:t>合同条款及格式</w:t>
      </w:r>
    </w:p>
    <w:p w14:paraId="30E39E07">
      <w:pPr>
        <w:spacing w:line="500" w:lineRule="exact"/>
        <w:ind w:firstLine="480" w:firstLineChars="200"/>
        <w:rPr>
          <w:rFonts w:hint="eastAsia" w:ascii="宋体" w:hAnsi="宋体"/>
          <w:bCs/>
          <w:sz w:val="24"/>
        </w:rPr>
      </w:pPr>
      <w:bookmarkStart w:id="91" w:name="_Toc16938559"/>
      <w:bookmarkStart w:id="92" w:name="_Toc513029243"/>
      <w:bookmarkStart w:id="93" w:name="_Toc20823315"/>
      <w:r>
        <w:rPr>
          <w:rFonts w:hint="eastAsia" w:ascii="宋体" w:hAnsi="宋体"/>
          <w:bCs/>
          <w:sz w:val="24"/>
        </w:rPr>
        <w:t>以下为中标后签定本项目合同的通用条款，中标供应商不得提出实质性的修改，关于专用条款将由采购人与中标供应商结合本项目具体情况协商后签订</w:t>
      </w:r>
    </w:p>
    <w:bookmarkEnd w:id="91"/>
    <w:bookmarkEnd w:id="92"/>
    <w:bookmarkEnd w:id="93"/>
    <w:p w14:paraId="515AD275">
      <w:pPr>
        <w:pStyle w:val="36"/>
        <w:spacing w:before="145" w:beforeAutospacing="0" w:after="145" w:afterAutospacing="0"/>
        <w:jc w:val="center"/>
        <w:rPr>
          <w:highlight w:val="none"/>
        </w:rPr>
      </w:pPr>
      <w:r>
        <w:rPr>
          <w:rFonts w:hint="eastAsia" w:ascii="宋体" w:hAnsi="宋体" w:eastAsia="宋体" w:cs="宋体"/>
          <w:b/>
          <w:color w:val="000000"/>
          <w:sz w:val="30"/>
          <w:szCs w:val="30"/>
          <w:highlight w:val="none"/>
        </w:rPr>
        <w:t>盐城市政府采购合同（服务）（合同编号）</w:t>
      </w:r>
    </w:p>
    <w:p w14:paraId="71D2BD05">
      <w:pPr>
        <w:pStyle w:val="36"/>
        <w:spacing w:before="120" w:beforeAutospacing="0" w:after="120" w:afterAutospacing="0"/>
        <w:jc w:val="both"/>
        <w:rPr>
          <w:rFonts w:hint="eastAsia" w:ascii="宋体" w:hAnsi="宋体" w:eastAsia="宋体" w:cs="宋体"/>
          <w:color w:val="000000"/>
          <w:highlight w:val="none"/>
          <w:lang w:eastAsia="zh-CN"/>
        </w:rPr>
      </w:pPr>
      <w:r>
        <w:rPr>
          <w:rFonts w:hint="eastAsia" w:ascii="宋体" w:hAnsi="宋体" w:eastAsia="宋体" w:cs="宋体"/>
          <w:color w:val="000000"/>
          <w:highlight w:val="none"/>
        </w:rPr>
        <w:t>项目名称：滨海县镇区（街道）空气质量监测网络运维服务项目</w:t>
      </w:r>
      <w:r>
        <w:rPr>
          <w:rFonts w:hint="eastAsia" w:ascii="宋体" w:hAnsi="宋体" w:cs="宋体"/>
          <w:color w:val="000000"/>
          <w:highlight w:val="none"/>
          <w:lang w:eastAsia="zh-CN"/>
        </w:rPr>
        <w:t>（</w:t>
      </w:r>
      <w:r>
        <w:rPr>
          <w:rFonts w:hint="eastAsia" w:ascii="宋体" w:hAnsi="宋体" w:cs="宋体"/>
          <w:color w:val="000000"/>
          <w:highlight w:val="none"/>
          <w:lang w:val="en-US" w:eastAsia="zh-CN"/>
        </w:rPr>
        <w:t>包件</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lang w:eastAsia="zh-CN"/>
        </w:rPr>
        <w:t>）</w:t>
      </w:r>
    </w:p>
    <w:p w14:paraId="08C12531">
      <w:pPr>
        <w:pStyle w:val="36"/>
        <w:spacing w:before="120" w:beforeAutospacing="0" w:after="120" w:afterAutospacing="0"/>
        <w:jc w:val="both"/>
        <w:rPr>
          <w:highlight w:val="none"/>
        </w:rPr>
      </w:pPr>
      <w:r>
        <w:rPr>
          <w:rFonts w:hint="eastAsia" w:ascii="宋体" w:hAnsi="宋体" w:eastAsia="宋体" w:cs="宋体"/>
          <w:color w:val="000000"/>
          <w:highlight w:val="none"/>
        </w:rPr>
        <w:t>项目编号：</w:t>
      </w:r>
    </w:p>
    <w:p w14:paraId="3229CF71">
      <w:pPr>
        <w:pStyle w:val="36"/>
        <w:spacing w:before="120" w:beforeAutospacing="0" w:after="120" w:afterAutospacing="0"/>
        <w:jc w:val="both"/>
        <w:rPr>
          <w:highlight w:val="none"/>
        </w:rPr>
      </w:pPr>
      <w:r>
        <w:rPr>
          <w:rFonts w:hint="eastAsia" w:ascii="宋体" w:hAnsi="宋体" w:eastAsia="宋体" w:cs="宋体"/>
          <w:color w:val="000000"/>
          <w:highlight w:val="none"/>
        </w:rPr>
        <w:t>甲方：（买方）_________</w:t>
      </w:r>
    </w:p>
    <w:p w14:paraId="65E6F252">
      <w:pPr>
        <w:pStyle w:val="36"/>
        <w:spacing w:before="120" w:beforeAutospacing="0" w:after="120" w:afterAutospacing="0"/>
        <w:jc w:val="both"/>
        <w:rPr>
          <w:highlight w:val="none"/>
        </w:rPr>
      </w:pPr>
      <w:r>
        <w:rPr>
          <w:rFonts w:hint="eastAsia" w:ascii="宋体" w:hAnsi="宋体" w:eastAsia="宋体" w:cs="宋体"/>
          <w:color w:val="000000"/>
          <w:highlight w:val="none"/>
        </w:rPr>
        <w:t>乙方：（卖方）_________</w:t>
      </w:r>
    </w:p>
    <w:p w14:paraId="3B4D9C00">
      <w:pPr>
        <w:pStyle w:val="36"/>
        <w:spacing w:before="120" w:beforeAutospacing="0" w:after="120" w:afterAutospacing="0"/>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甲、乙双方根据</w:t>
      </w:r>
      <w:r>
        <w:rPr>
          <w:rFonts w:hint="eastAsia" w:ascii="宋体" w:hAnsi="宋体" w:cs="宋体"/>
          <w:color w:val="000000"/>
          <w:highlight w:val="none"/>
          <w:lang w:eastAsia="zh-CN"/>
        </w:rPr>
        <w:t>盐城市滨海生态环境局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项目公开招标的结果，签署本合同。</w:t>
      </w:r>
    </w:p>
    <w:p w14:paraId="60E3B411">
      <w:pPr>
        <w:pStyle w:val="36"/>
        <w:spacing w:before="120" w:beforeAutospacing="0" w:after="120" w:afterAutospacing="0"/>
        <w:jc w:val="both"/>
        <w:rPr>
          <w:highlight w:val="none"/>
        </w:rPr>
      </w:pPr>
      <w:r>
        <w:rPr>
          <w:rFonts w:hint="eastAsia" w:ascii="宋体" w:hAnsi="宋体" w:eastAsia="宋体" w:cs="宋体"/>
          <w:b/>
          <w:color w:val="000000"/>
          <w:highlight w:val="none"/>
        </w:rPr>
        <w:t>一、合同内容</w:t>
      </w:r>
    </w:p>
    <w:p w14:paraId="7FD485F0">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1.1 标的名称：</w:t>
      </w:r>
    </w:p>
    <w:p w14:paraId="0C6C1FFC">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1.2标的质量：</w:t>
      </w:r>
    </w:p>
    <w:p w14:paraId="3C30E6BA">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1.3 标的数量（规模）：</w:t>
      </w:r>
    </w:p>
    <w:p w14:paraId="5034A0B7">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1.4 履行时间（期限）：</w:t>
      </w:r>
    </w:p>
    <w:p w14:paraId="41B94B71">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1.5 履行地点：</w:t>
      </w:r>
    </w:p>
    <w:p w14:paraId="393CE3F6">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1.6履行方式：</w:t>
      </w:r>
    </w:p>
    <w:p w14:paraId="4F452184">
      <w:pPr>
        <w:pStyle w:val="36"/>
        <w:spacing w:before="120" w:beforeAutospacing="0" w:after="120" w:afterAutospacing="0"/>
        <w:jc w:val="both"/>
        <w:rPr>
          <w:highlight w:val="none"/>
        </w:rPr>
      </w:pPr>
      <w:r>
        <w:rPr>
          <w:rFonts w:hint="eastAsia" w:ascii="宋体" w:hAnsi="宋体" w:eastAsia="宋体" w:cs="宋体"/>
          <w:b/>
          <w:color w:val="000000"/>
          <w:highlight w:val="none"/>
        </w:rPr>
        <w:t>二、合同金额</w:t>
      </w:r>
    </w:p>
    <w:p w14:paraId="41BE56DD">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2.1本合同金额为（大写）：__________________________圆（____________元）人民币或其他币种。</w:t>
      </w:r>
    </w:p>
    <w:p w14:paraId="1F71D191">
      <w:pPr>
        <w:pStyle w:val="36"/>
        <w:spacing w:before="120" w:beforeAutospacing="0" w:after="120" w:afterAutospacing="0"/>
        <w:jc w:val="both"/>
        <w:rPr>
          <w:highlight w:val="none"/>
        </w:rPr>
      </w:pPr>
      <w:r>
        <w:rPr>
          <w:rFonts w:hint="eastAsia" w:ascii="宋体" w:hAnsi="宋体" w:eastAsia="宋体" w:cs="宋体"/>
          <w:b/>
          <w:color w:val="000000"/>
          <w:highlight w:val="none"/>
        </w:rPr>
        <w:t>三、技术资料</w:t>
      </w:r>
    </w:p>
    <w:p w14:paraId="1D4F9FAC">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3.1乙方应按招标文件规定的时间向甲方提供服务（包含与服务相关的货物）的有关技术资料。</w:t>
      </w:r>
    </w:p>
    <w:p w14:paraId="580453C6">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73493BC">
      <w:pPr>
        <w:pStyle w:val="36"/>
        <w:spacing w:before="120" w:beforeAutospacing="0" w:after="120" w:afterAutospacing="0"/>
        <w:ind w:left="412" w:hanging="412"/>
        <w:jc w:val="both"/>
        <w:rPr>
          <w:highlight w:val="none"/>
        </w:rPr>
      </w:pPr>
      <w:r>
        <w:rPr>
          <w:rFonts w:hint="eastAsia" w:ascii="宋体" w:hAnsi="宋体" w:eastAsia="宋体" w:cs="宋体"/>
          <w:b/>
          <w:color w:val="000000"/>
          <w:highlight w:val="none"/>
        </w:rPr>
        <w:t>四、知识产权</w:t>
      </w:r>
    </w:p>
    <w:p w14:paraId="6ACA8E5F">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6EB3C313">
      <w:pPr>
        <w:pStyle w:val="36"/>
        <w:spacing w:before="120" w:beforeAutospacing="0" w:after="120" w:afterAutospacing="0"/>
        <w:jc w:val="both"/>
        <w:rPr>
          <w:highlight w:val="none"/>
        </w:rPr>
      </w:pPr>
      <w:r>
        <w:rPr>
          <w:rFonts w:hint="eastAsia" w:ascii="宋体" w:hAnsi="宋体" w:eastAsia="宋体" w:cs="宋体"/>
          <w:b/>
          <w:color w:val="000000"/>
          <w:highlight w:val="none"/>
        </w:rPr>
        <w:t>五、产权担保</w:t>
      </w:r>
    </w:p>
    <w:p w14:paraId="3E62D632">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5.1乙方保证所交付的服务（包含与服务相关的货物）的所有权完全属于乙方且无任何抵押、查封等产权瑕疵。</w:t>
      </w:r>
    </w:p>
    <w:p w14:paraId="5168E570">
      <w:pPr>
        <w:pStyle w:val="36"/>
        <w:numPr>
          <w:ilvl w:val="0"/>
          <w:numId w:val="2"/>
        </w:numPr>
        <w:spacing w:before="120" w:beforeAutospacing="0" w:after="120" w:afterAutospacing="0"/>
        <w:ind w:left="410" w:hanging="410"/>
        <w:jc w:val="both"/>
        <w:rPr>
          <w:rFonts w:hint="eastAsia" w:ascii="宋体" w:hAnsi="宋体" w:eastAsia="宋体" w:cs="宋体"/>
          <w:b/>
          <w:color w:val="000000"/>
          <w:highlight w:val="none"/>
        </w:rPr>
      </w:pPr>
      <w:r>
        <w:rPr>
          <w:rFonts w:hint="eastAsia" w:ascii="宋体" w:hAnsi="宋体" w:eastAsia="宋体" w:cs="宋体"/>
          <w:b/>
          <w:color w:val="000000"/>
          <w:highlight w:val="none"/>
        </w:rPr>
        <w:t>履约保证金</w:t>
      </w:r>
    </w:p>
    <w:p w14:paraId="5292D4DC">
      <w:pPr>
        <w:pStyle w:val="36"/>
        <w:numPr>
          <w:ilvl w:val="0"/>
          <w:numId w:val="0"/>
        </w:numPr>
        <w:spacing w:before="120" w:beforeAutospacing="0" w:after="120" w:afterAutospacing="0"/>
        <w:ind w:leftChars="0" w:firstLine="480" w:firstLineChars="200"/>
        <w:jc w:val="both"/>
        <w:rPr>
          <w:rFonts w:ascii="宋体" w:hAnsi="宋体" w:eastAsia="宋体" w:cs="宋体"/>
          <w:color w:val="000000"/>
          <w:highlight w:val="none"/>
        </w:rPr>
      </w:pPr>
      <w:r>
        <w:rPr>
          <w:rFonts w:hint="eastAsia" w:ascii="宋体" w:hAnsi="宋体" w:eastAsia="宋体" w:cs="宋体"/>
          <w:color w:val="000000"/>
          <w:highlight w:val="none"/>
        </w:rPr>
        <w:t>6.1乙方交纳人民币_________元作为本合同的履约保证金。</w:t>
      </w:r>
    </w:p>
    <w:p w14:paraId="3BB4C1CA">
      <w:pPr>
        <w:pStyle w:val="36"/>
        <w:spacing w:before="120" w:beforeAutospacing="0" w:after="120" w:afterAutospacing="0"/>
        <w:ind w:left="280" w:leftChars="100" w:firstLine="240" w:firstLineChars="100"/>
        <w:jc w:val="both"/>
        <w:rPr>
          <w:rFonts w:hint="eastAsia" w:ascii="宋体" w:hAnsi="宋体" w:eastAsia="宋体" w:cs="宋体"/>
          <w:color w:val="7030A0"/>
          <w:highlight w:val="none"/>
          <w:lang w:eastAsia="zh-CN"/>
        </w:rPr>
      </w:pPr>
      <w:r>
        <w:rPr>
          <w:rFonts w:hint="eastAsia" w:ascii="宋体" w:hAnsi="宋体" w:eastAsia="宋体" w:cs="宋体"/>
          <w:color w:val="7030A0"/>
          <w:highlight w:val="none"/>
        </w:rPr>
        <w:t>（备注：不得超过合同金额的10%，采购人</w:t>
      </w:r>
      <w:r>
        <w:rPr>
          <w:rFonts w:hint="eastAsia" w:ascii="宋体" w:hAnsi="宋体" w:eastAsia="宋体" w:cs="宋体"/>
          <w:color w:val="7030A0"/>
          <w:highlight w:val="none"/>
          <w:lang w:eastAsia="zh-CN"/>
        </w:rPr>
        <w:t>应当</w:t>
      </w:r>
      <w:r>
        <w:rPr>
          <w:rFonts w:hint="eastAsia" w:ascii="宋体" w:hAnsi="宋体" w:eastAsia="宋体" w:cs="宋体"/>
          <w:color w:val="7030A0"/>
          <w:highlight w:val="none"/>
        </w:rPr>
        <w:t>对AA评级及以上政府采购供应商（需提供信用管理部门备案的第三方信用报告）免收履约保证金或降低履约保证金缴纳比例。</w:t>
      </w:r>
      <w:r>
        <w:rPr>
          <w:rFonts w:hint="eastAsia" w:ascii="宋体" w:hAnsi="宋体" w:eastAsia="宋体" w:cs="宋体"/>
          <w:color w:val="7030A0"/>
          <w:highlight w:val="none"/>
          <w:lang w:eastAsia="zh-CN"/>
        </w:rPr>
        <w:t>）</w:t>
      </w:r>
    </w:p>
    <w:p w14:paraId="11E1642B">
      <w:pPr>
        <w:pStyle w:val="36"/>
        <w:spacing w:before="120" w:beforeAutospacing="0" w:after="120" w:afterAutospacing="0"/>
        <w:ind w:firstLine="48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2确需收取履约保证金的，</w:t>
      </w:r>
      <w:r>
        <w:rPr>
          <w:rFonts w:hint="eastAsia" w:ascii="宋体" w:hAnsi="宋体" w:eastAsia="宋体" w:cs="宋体"/>
          <w:color w:val="auto"/>
          <w:highlight w:val="none"/>
          <w:lang w:eastAsia="zh-CN"/>
        </w:rPr>
        <w:t>履约保证金的缴纳形式：</w:t>
      </w:r>
    </w:p>
    <w:p w14:paraId="3EDCFA05">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80" w:firstLineChars="20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6.2.1</w:t>
      </w:r>
      <w:r>
        <w:rPr>
          <w:rFonts w:hint="eastAsia" w:ascii="宋体" w:hAnsi="宋体" w:eastAsia="宋体" w:cs="宋体"/>
          <w:color w:val="auto"/>
          <w:highlight w:val="none"/>
        </w:rPr>
        <w:t>供应商应当以支票、汇票、本票或者金融机构、担保机构出具的保函等非现金形式提交</w:t>
      </w:r>
      <w:r>
        <w:rPr>
          <w:rFonts w:hint="eastAsia" w:ascii="宋体" w:hAnsi="宋体" w:eastAsia="宋体" w:cs="宋体"/>
          <w:color w:val="auto"/>
          <w:highlight w:val="none"/>
          <w:lang w:eastAsia="zh-CN"/>
        </w:rPr>
        <w:t>履约保证金</w:t>
      </w:r>
      <w:r>
        <w:rPr>
          <w:rFonts w:hint="eastAsia" w:ascii="宋体" w:hAnsi="宋体" w:eastAsia="宋体" w:cs="宋体"/>
          <w:color w:val="auto"/>
          <w:highlight w:val="none"/>
        </w:rPr>
        <w:t>。依据《关于在全省政府采购领域推行电子履约保函（保险）的通知》，鼓励供应商自愿使用</w:t>
      </w:r>
      <w:r>
        <w:rPr>
          <w:rFonts w:hint="eastAsia" w:ascii="宋体" w:hAnsi="宋体" w:eastAsia="宋体" w:cs="宋体"/>
          <w:color w:val="auto"/>
          <w:highlight w:val="none"/>
          <w:lang w:eastAsia="zh-CN"/>
        </w:rPr>
        <w:t>电子</w:t>
      </w:r>
      <w:r>
        <w:rPr>
          <w:rFonts w:hint="eastAsia" w:ascii="宋体" w:hAnsi="宋体" w:eastAsia="宋体" w:cs="宋体"/>
          <w:color w:val="auto"/>
          <w:highlight w:val="none"/>
        </w:rPr>
        <w:t>履约保函（保险）代替缴纳履约保证金</w:t>
      </w:r>
      <w:r>
        <w:rPr>
          <w:rFonts w:hint="eastAsia" w:ascii="宋体" w:hAnsi="宋体" w:eastAsia="宋体" w:cs="宋体"/>
          <w:color w:val="auto"/>
          <w:highlight w:val="none"/>
          <w:lang w:eastAsia="zh-CN"/>
        </w:rPr>
        <w:t>。</w:t>
      </w:r>
    </w:p>
    <w:p w14:paraId="37BA6E94">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80" w:firstLineChars="200"/>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6.2.2 如以履约保函（保险）形式缴纳履约保证金，供应商可通过政府采购电子履约保函（保险）平台（www.jsdzbh.com）在线申请履约保函（保险）。</w:t>
      </w:r>
    </w:p>
    <w:p w14:paraId="7DD7165C">
      <w:pPr>
        <w:pStyle w:val="36"/>
        <w:spacing w:before="120" w:beforeAutospacing="0" w:after="120" w:afterAutospacing="0"/>
        <w:ind w:firstLine="480" w:firstLineChars="200"/>
        <w:jc w:val="both"/>
        <w:rPr>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合同履行结束后，甲方应及时退还交纳的履约保证金。</w:t>
      </w:r>
    </w:p>
    <w:p w14:paraId="454CF72C">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履约保证金的退还：</w:t>
      </w:r>
    </w:p>
    <w:p w14:paraId="221D2B31">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.1方式：无息退还至投标人缴纳履约保证金的账户。如为保函，在到期时自行失效。</w:t>
      </w:r>
    </w:p>
    <w:p w14:paraId="6854AF51">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.2时间：验收合格且采购人收到发票后30日内。</w:t>
      </w:r>
    </w:p>
    <w:p w14:paraId="4295C4A4">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.3条件：按合同要求全部履约完成并经采购人验收合格，且采购人收到中标人出具的发票。</w:t>
      </w:r>
    </w:p>
    <w:p w14:paraId="37A87BC9">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.4不予退还情形：</w:t>
      </w:r>
    </w:p>
    <w:p w14:paraId="2DFF7CF7">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除不可抗力情况外，投标人出现下列情形之一的，其履约保证金，招标人将视情节决定不予退还或部分不予退还。</w:t>
      </w:r>
    </w:p>
    <w:p w14:paraId="4405B304">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（1）中标人无正当理由拒绝签订合同的，或者在签订合同时向采购人提出附加条件或者更改合同实质性内容要求的；</w:t>
      </w:r>
    </w:p>
    <w:p w14:paraId="4E2CD09A">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（2）中标人不履行与采购人订立的合同的；</w:t>
      </w:r>
    </w:p>
    <w:p w14:paraId="5D1924A1">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（3）中标人所供货物或服务不符合招标文件规定要求的；</w:t>
      </w:r>
    </w:p>
    <w:p w14:paraId="293A7E43">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（4）中标人采取欺骗、弄虚作假方式投标的或与其它投标人串通投标的；</w:t>
      </w:r>
    </w:p>
    <w:p w14:paraId="3210A1D8">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（5）中标人将合同内容转包、违法分包的；</w:t>
      </w:r>
    </w:p>
    <w:p w14:paraId="4139920D">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（6）中标人故意捏造事实或伪造证明材料，进行虚假恶意投诉或反映的。</w:t>
      </w:r>
    </w:p>
    <w:p w14:paraId="794E4FF8">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.5逾期退还的违约责任：采购人逾期无故未退还履约保证金的，按中国人民银行同期贷款基准利率上浮20%后的利率支付超期资金占用费，但因供应商自身原因导致无法及时退还的除外。</w:t>
      </w:r>
    </w:p>
    <w:p w14:paraId="3881BEE0">
      <w:pPr>
        <w:pStyle w:val="36"/>
        <w:spacing w:before="145" w:beforeAutospacing="0" w:after="145" w:afterAutospacing="0"/>
        <w:jc w:val="both"/>
        <w:rPr>
          <w:highlight w:val="none"/>
        </w:rPr>
      </w:pPr>
      <w:r>
        <w:rPr>
          <w:rFonts w:hint="eastAsia" w:ascii="宋体" w:hAnsi="宋体" w:eastAsia="宋体" w:cs="宋体"/>
          <w:b/>
          <w:color w:val="000000"/>
          <w:highlight w:val="none"/>
        </w:rPr>
        <w:t>七、合同转包或分包</w:t>
      </w:r>
    </w:p>
    <w:p w14:paraId="1C78E87B">
      <w:pPr>
        <w:pStyle w:val="36"/>
        <w:spacing w:before="145" w:beforeAutospacing="0" w:after="145" w:afterAutospacing="0"/>
        <w:ind w:firstLine="480" w:firstLineChars="200"/>
        <w:jc w:val="both"/>
        <w:rPr>
          <w:highlight w:val="none"/>
        </w:rPr>
      </w:pPr>
      <w:r>
        <w:rPr>
          <w:rFonts w:hint="eastAsia" w:ascii="宋体" w:hAnsi="宋体" w:eastAsia="宋体" w:cs="宋体"/>
          <w:color w:val="000000"/>
          <w:highlight w:val="none"/>
        </w:rPr>
        <w:t>7.1乙方不得将合同标的转包给他人履行。</w:t>
      </w:r>
    </w:p>
    <w:p w14:paraId="1DBA61EF">
      <w:pPr>
        <w:pStyle w:val="36"/>
        <w:spacing w:before="145" w:beforeAutospacing="0" w:after="145" w:afterAutospacing="0"/>
        <w:ind w:firstLine="480" w:firstLineChars="200"/>
        <w:jc w:val="both"/>
        <w:rPr>
          <w:highlight w:val="none"/>
        </w:rPr>
      </w:pPr>
      <w:r>
        <w:rPr>
          <w:rFonts w:hint="eastAsia" w:ascii="宋体" w:hAnsi="宋体" w:eastAsia="宋体" w:cs="宋体"/>
          <w:color w:val="000000"/>
          <w:highlight w:val="none"/>
        </w:rPr>
        <w:t>7.2乙方不得将合同标的分包给他人履行。</w:t>
      </w:r>
    </w:p>
    <w:p w14:paraId="6F12C20B">
      <w:pPr>
        <w:pStyle w:val="36"/>
        <w:spacing w:before="145" w:beforeAutospacing="0" w:after="145" w:afterAutospacing="0"/>
        <w:ind w:firstLine="480" w:firstLineChars="200"/>
        <w:jc w:val="both"/>
        <w:rPr>
          <w:highlight w:val="none"/>
        </w:rPr>
      </w:pPr>
      <w:r>
        <w:rPr>
          <w:rFonts w:hint="eastAsia" w:ascii="宋体" w:hAnsi="宋体" w:eastAsia="宋体" w:cs="宋体"/>
          <w:color w:val="000000"/>
          <w:highlight w:val="none"/>
        </w:rPr>
        <w:t>7.3乙方如有转包或未经甲方同意的分包行为，甲方有权解除合同。</w:t>
      </w:r>
    </w:p>
    <w:p w14:paraId="454C8284">
      <w:pPr>
        <w:pStyle w:val="36"/>
        <w:spacing w:before="120" w:beforeAutospacing="0" w:after="120" w:afterAutospacing="0"/>
        <w:jc w:val="both"/>
        <w:rPr>
          <w:highlight w:val="none"/>
        </w:rPr>
      </w:pPr>
      <w:r>
        <w:rPr>
          <w:rFonts w:hint="eastAsia" w:ascii="宋体" w:hAnsi="宋体" w:eastAsia="宋体" w:cs="宋体"/>
          <w:b/>
          <w:color w:val="000000"/>
          <w:highlight w:val="none"/>
        </w:rPr>
        <w:t>八、合同款项支付</w:t>
      </w:r>
    </w:p>
    <w:p w14:paraId="2B147193">
      <w:pPr>
        <w:pStyle w:val="36"/>
        <w:spacing w:before="145" w:beforeAutospacing="0" w:after="145" w:afterAutospacing="0"/>
        <w:ind w:firstLine="480" w:firstLineChars="200"/>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8</w:t>
      </w:r>
      <w:r>
        <w:rPr>
          <w:rFonts w:hint="eastAsia" w:ascii="宋体" w:hAnsi="宋体" w:eastAsia="宋体" w:cs="宋体"/>
          <w:color w:val="000000" w:themeColor="text1"/>
          <w:kern w:val="0"/>
          <w:sz w:val="24"/>
          <w:highlight w:val="none"/>
          <w14:textFill>
            <w14:solidFill>
              <w14:schemeClr w14:val="tx1"/>
            </w14:solidFill>
          </w14:textFill>
        </w:rPr>
        <w:t>.1.合同签订后10工作日内（自收到发票之日起），</w:t>
      </w:r>
      <w:r>
        <w:rPr>
          <w:rFonts w:hint="eastAsia" w:ascii="宋体" w:hAnsi="宋体" w:cs="宋体"/>
          <w:color w:val="000000" w:themeColor="text1"/>
          <w:kern w:val="0"/>
          <w:sz w:val="24"/>
          <w:highlight w:val="none"/>
          <w:lang w:val="en-US" w:eastAsia="zh-CN"/>
          <w14:textFill>
            <w14:solidFill>
              <w14:schemeClr w14:val="tx1"/>
            </w14:solidFill>
          </w14:textFill>
        </w:rPr>
        <w:t>甲方</w:t>
      </w:r>
      <w:r>
        <w:rPr>
          <w:rFonts w:hint="eastAsia" w:ascii="宋体" w:hAnsi="宋体" w:eastAsia="宋体" w:cs="宋体"/>
          <w:color w:val="000000" w:themeColor="text1"/>
          <w:kern w:val="0"/>
          <w:sz w:val="24"/>
          <w:highlight w:val="none"/>
          <w14:textFill>
            <w14:solidFill>
              <w14:schemeClr w14:val="tx1"/>
            </w14:solidFill>
          </w14:textFill>
        </w:rPr>
        <w:t>支付</w:t>
      </w:r>
      <w:r>
        <w:rPr>
          <w:rFonts w:hint="eastAsia" w:ascii="宋体" w:hAnsi="宋体" w:cs="宋体"/>
          <w:color w:val="000000" w:themeColor="text1"/>
          <w:kern w:val="0"/>
          <w:sz w:val="24"/>
          <w:highlight w:val="none"/>
          <w:lang w:val="en-US" w:eastAsia="zh-CN"/>
          <w14:textFill>
            <w14:solidFill>
              <w14:schemeClr w14:val="tx1"/>
            </w14:solidFill>
          </w14:textFill>
        </w:rPr>
        <w:t>乙方</w:t>
      </w:r>
      <w:r>
        <w:rPr>
          <w:rFonts w:hint="eastAsia" w:ascii="宋体" w:hAnsi="宋体" w:eastAsia="宋体" w:cs="宋体"/>
          <w:color w:val="000000" w:themeColor="text1"/>
          <w:kern w:val="0"/>
          <w:sz w:val="24"/>
          <w:highlight w:val="none"/>
          <w14:textFill>
            <w14:solidFill>
              <w14:schemeClr w14:val="tx1"/>
            </w14:solidFill>
          </w14:textFill>
        </w:rPr>
        <w:t>合同总价的30％作为预付款；</w:t>
      </w:r>
    </w:p>
    <w:p w14:paraId="6A41B7A7">
      <w:pPr>
        <w:pStyle w:val="36"/>
        <w:spacing w:before="145" w:beforeAutospacing="0" w:after="145" w:afterAutospacing="0"/>
        <w:ind w:firstLine="480" w:firstLineChars="200"/>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8</w:t>
      </w:r>
      <w:r>
        <w:rPr>
          <w:rFonts w:hint="eastAsia" w:ascii="宋体" w:hAnsi="宋体" w:eastAsia="宋体" w:cs="宋体"/>
          <w:color w:val="000000" w:themeColor="text1"/>
          <w:kern w:val="0"/>
          <w:sz w:val="24"/>
          <w:highlight w:val="none"/>
          <w14:textFill>
            <w14:solidFill>
              <w14:schemeClr w14:val="tx1"/>
            </w14:solidFill>
          </w14:textFill>
        </w:rPr>
        <w:t>.2.每半年对运维单位开展一次运维工作考核，以每个空气自动站为单位进行，单站点每半年运维费以运维总价/28计，依照运维考核情况支付运行维护经费。</w:t>
      </w:r>
    </w:p>
    <w:p w14:paraId="242BC581">
      <w:pPr>
        <w:pStyle w:val="36"/>
        <w:spacing w:before="145" w:beforeAutospacing="0" w:after="145" w:afterAutospacing="0"/>
        <w:ind w:firstLine="480" w:firstLineChars="200"/>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（1）空气站数据上传率必须高于95%(含)，否则不予支付当期运维费。</w:t>
      </w:r>
    </w:p>
    <w:p w14:paraId="6D1C0387">
      <w:pPr>
        <w:pStyle w:val="36"/>
        <w:spacing w:before="145" w:beforeAutospacing="0" w:after="145" w:afterAutospacing="0"/>
        <w:ind w:firstLine="480" w:firstLineChars="200"/>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（2）空气站数据有效率均应达到95%以上，否则不予支付当期运维费。</w:t>
      </w:r>
    </w:p>
    <w:p w14:paraId="1AE3C6C9">
      <w:pPr>
        <w:pStyle w:val="36"/>
        <w:spacing w:before="145" w:beforeAutospacing="0" w:after="145" w:afterAutospacing="0"/>
        <w:jc w:val="both"/>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注：以上付款均无银行利息，一律通过银行结转；</w:t>
      </w:r>
      <w:r>
        <w:rPr>
          <w:rFonts w:hint="eastAsia" w:ascii="宋体" w:hAnsi="宋体" w:cs="宋体"/>
          <w:color w:val="000000" w:themeColor="text1"/>
          <w:kern w:val="0"/>
          <w:sz w:val="24"/>
          <w:highlight w:val="none"/>
          <w:lang w:val="en-US" w:eastAsia="zh-CN"/>
          <w14:textFill>
            <w14:solidFill>
              <w14:schemeClr w14:val="tx1"/>
            </w14:solidFill>
          </w14:textFill>
        </w:rPr>
        <w:t>甲方</w:t>
      </w:r>
      <w:r>
        <w:rPr>
          <w:rFonts w:hint="eastAsia" w:ascii="宋体" w:hAnsi="宋体" w:eastAsia="宋体" w:cs="宋体"/>
          <w:color w:val="000000" w:themeColor="text1"/>
          <w:kern w:val="0"/>
          <w:sz w:val="24"/>
          <w:highlight w:val="none"/>
          <w14:textFill>
            <w14:solidFill>
              <w14:schemeClr w14:val="tx1"/>
            </w14:solidFill>
          </w14:textFill>
        </w:rPr>
        <w:t>在付款前，</w:t>
      </w:r>
      <w:r>
        <w:rPr>
          <w:rFonts w:hint="eastAsia" w:ascii="宋体" w:hAnsi="宋体" w:cs="宋体"/>
          <w:color w:val="000000" w:themeColor="text1"/>
          <w:kern w:val="0"/>
          <w:sz w:val="24"/>
          <w:highlight w:val="none"/>
          <w:lang w:val="en-US" w:eastAsia="zh-CN"/>
          <w14:textFill>
            <w14:solidFill>
              <w14:schemeClr w14:val="tx1"/>
            </w14:solidFill>
          </w14:textFill>
        </w:rPr>
        <w:t>乙方</w:t>
      </w:r>
      <w:r>
        <w:rPr>
          <w:rFonts w:hint="eastAsia" w:ascii="宋体" w:hAnsi="宋体" w:eastAsia="宋体" w:cs="宋体"/>
          <w:color w:val="000000" w:themeColor="text1"/>
          <w:kern w:val="0"/>
          <w:sz w:val="24"/>
          <w:highlight w:val="none"/>
          <w14:textFill>
            <w14:solidFill>
              <w14:schemeClr w14:val="tx1"/>
            </w14:solidFill>
          </w14:textFill>
        </w:rPr>
        <w:t>应先向</w:t>
      </w:r>
      <w:r>
        <w:rPr>
          <w:rFonts w:hint="eastAsia" w:ascii="宋体" w:hAnsi="宋体" w:cs="宋体"/>
          <w:color w:val="000000" w:themeColor="text1"/>
          <w:kern w:val="0"/>
          <w:sz w:val="24"/>
          <w:highlight w:val="none"/>
          <w:lang w:val="en-US" w:eastAsia="zh-CN"/>
          <w14:textFill>
            <w14:solidFill>
              <w14:schemeClr w14:val="tx1"/>
            </w14:solidFill>
          </w14:textFill>
        </w:rPr>
        <w:t>甲方</w:t>
      </w:r>
      <w:r>
        <w:rPr>
          <w:rFonts w:hint="eastAsia" w:ascii="宋体" w:hAnsi="宋体" w:eastAsia="宋体" w:cs="宋体"/>
          <w:color w:val="000000" w:themeColor="text1"/>
          <w:kern w:val="0"/>
          <w:sz w:val="24"/>
          <w:highlight w:val="none"/>
          <w14:textFill>
            <w14:solidFill>
              <w14:schemeClr w14:val="tx1"/>
            </w14:solidFill>
          </w14:textFill>
        </w:rPr>
        <w:t>提供等额有效的发票，否则</w:t>
      </w:r>
      <w:r>
        <w:rPr>
          <w:rFonts w:hint="eastAsia" w:ascii="宋体" w:hAnsi="宋体" w:cs="宋体"/>
          <w:color w:val="000000" w:themeColor="text1"/>
          <w:kern w:val="0"/>
          <w:sz w:val="24"/>
          <w:highlight w:val="none"/>
          <w:lang w:val="en-US" w:eastAsia="zh-CN"/>
          <w14:textFill>
            <w14:solidFill>
              <w14:schemeClr w14:val="tx1"/>
            </w14:solidFill>
          </w14:textFill>
        </w:rPr>
        <w:t>甲方</w:t>
      </w:r>
      <w:r>
        <w:rPr>
          <w:rFonts w:hint="eastAsia" w:ascii="宋体" w:hAnsi="宋体" w:eastAsia="宋体" w:cs="宋体"/>
          <w:color w:val="000000" w:themeColor="text1"/>
          <w:kern w:val="0"/>
          <w:sz w:val="24"/>
          <w:highlight w:val="none"/>
          <w14:textFill>
            <w14:solidFill>
              <w14:schemeClr w14:val="tx1"/>
            </w14:solidFill>
          </w14:textFill>
        </w:rPr>
        <w:t>有权拒付款项，且不承担任何责任。</w:t>
      </w:r>
    </w:p>
    <w:p w14:paraId="4146933B">
      <w:pPr>
        <w:pStyle w:val="36"/>
        <w:spacing w:before="145" w:beforeAutospacing="0" w:after="145" w:afterAutospacing="0"/>
        <w:jc w:val="both"/>
        <w:rPr>
          <w:highlight w:val="none"/>
        </w:rPr>
      </w:pPr>
      <w:r>
        <w:rPr>
          <w:rFonts w:hint="eastAsia" w:ascii="宋体" w:hAnsi="宋体" w:eastAsia="宋体" w:cs="宋体"/>
          <w:b/>
          <w:color w:val="000000"/>
          <w:highlight w:val="none"/>
        </w:rPr>
        <w:t>九、税费</w:t>
      </w:r>
    </w:p>
    <w:p w14:paraId="66F8CD9B">
      <w:pPr>
        <w:pStyle w:val="36"/>
        <w:spacing w:before="145" w:beforeAutospacing="0" w:after="145" w:afterAutospacing="0"/>
        <w:ind w:firstLine="480" w:firstLineChars="200"/>
        <w:jc w:val="both"/>
        <w:rPr>
          <w:highlight w:val="none"/>
        </w:rPr>
      </w:pPr>
      <w:r>
        <w:rPr>
          <w:rFonts w:hint="eastAsia" w:ascii="宋体" w:hAnsi="宋体" w:eastAsia="宋体" w:cs="宋体"/>
          <w:color w:val="000000"/>
          <w:highlight w:val="none"/>
        </w:rPr>
        <w:t>9.1本合同执行中相关的一切税费均由乙方负担。</w:t>
      </w:r>
    </w:p>
    <w:p w14:paraId="419A0B9D">
      <w:pPr>
        <w:pStyle w:val="36"/>
        <w:spacing w:before="120" w:beforeAutospacing="0" w:after="120" w:afterAutospacing="0"/>
        <w:jc w:val="both"/>
        <w:rPr>
          <w:highlight w:val="none"/>
        </w:rPr>
      </w:pPr>
      <w:r>
        <w:rPr>
          <w:rFonts w:hint="eastAsia" w:ascii="宋体" w:hAnsi="宋体" w:eastAsia="宋体" w:cs="宋体"/>
          <w:b/>
          <w:color w:val="000000"/>
          <w:highlight w:val="none"/>
        </w:rPr>
        <w:t>十、项目验收</w:t>
      </w:r>
    </w:p>
    <w:p w14:paraId="155CF5BB">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10.1乙方提交</w:t>
      </w:r>
      <w:r>
        <w:rPr>
          <w:rFonts w:hint="eastAsia" w:ascii="宋体" w:hAnsi="宋体" w:eastAsia="宋体" w:cs="宋体"/>
          <w:color w:val="auto"/>
          <w:sz w:val="24"/>
          <w:highlight w:val="none"/>
          <w:lang w:val="en-US" w:eastAsia="zh-CN"/>
        </w:rPr>
        <w:t>项目成果符合招标文件要求，并经采购人分期验收通过</w:t>
      </w:r>
      <w:r>
        <w:rPr>
          <w:rFonts w:hint="eastAsia" w:ascii="宋体" w:hAnsi="宋体" w:eastAsia="宋体" w:cs="宋体"/>
          <w:color w:val="000000"/>
          <w:highlight w:val="none"/>
        </w:rPr>
        <w:t>。</w:t>
      </w:r>
    </w:p>
    <w:p w14:paraId="2DF745AC">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D7FF1E4">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10.3对于实际使用人和甲方分离的项目，甲方邀请实际使用人参与验收。</w:t>
      </w:r>
    </w:p>
    <w:p w14:paraId="208D1F0B">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10.4如有必要，甲方邀请参加本项目的其他供应商或第三方专业机构及专家参与验收，相关意见将作为验收书的参考资料。</w:t>
      </w:r>
    </w:p>
    <w:p w14:paraId="41EC3EB9">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3FAAADC">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9DA7329">
      <w:pPr>
        <w:pStyle w:val="36"/>
        <w:spacing w:before="120" w:beforeAutospacing="0" w:after="120" w:afterAutospacing="0"/>
        <w:jc w:val="both"/>
        <w:rPr>
          <w:highlight w:val="none"/>
        </w:rPr>
      </w:pPr>
      <w:r>
        <w:rPr>
          <w:rFonts w:hint="eastAsia" w:ascii="宋体" w:hAnsi="宋体" w:eastAsia="宋体" w:cs="宋体"/>
          <w:b/>
          <w:color w:val="000000"/>
          <w:highlight w:val="none"/>
        </w:rPr>
        <w:t>十一、违约责任</w:t>
      </w:r>
    </w:p>
    <w:p w14:paraId="47573A26">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11.1甲方无正当理由拒绝接受乙方提供服务的，甲方向乙方偿付拒绝接受服务合同价款总值</w:t>
      </w:r>
      <w:r>
        <w:rPr>
          <w:rFonts w:hint="eastAsia" w:ascii="宋体" w:hAnsi="宋体" w:eastAsia="宋体" w:cs="宋体"/>
          <w:color w:val="000000"/>
          <w:highlight w:val="none"/>
          <w:u w:val="single"/>
          <w:lang w:val="en-US" w:eastAsia="zh-CN"/>
        </w:rPr>
        <w:t>百分之五</w:t>
      </w:r>
      <w:r>
        <w:rPr>
          <w:rFonts w:hint="eastAsia" w:ascii="宋体" w:hAnsi="宋体" w:eastAsia="宋体" w:cs="宋体"/>
          <w:color w:val="000000"/>
          <w:highlight w:val="none"/>
        </w:rPr>
        <w:t>的违约金。</w:t>
      </w:r>
    </w:p>
    <w:p w14:paraId="0088C9F2">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11.2甲方无故逾期验收和办理合同款项支付手续的,甲方应按逾期付款总额</w:t>
      </w:r>
      <w:r>
        <w:rPr>
          <w:rFonts w:hint="eastAsia" w:ascii="宋体" w:hAnsi="宋体" w:eastAsia="宋体" w:cs="宋体"/>
          <w:color w:val="000000"/>
          <w:highlight w:val="none"/>
          <w:u w:val="single"/>
        </w:rPr>
        <w:t>万分之五</w:t>
      </w:r>
      <w:r>
        <w:rPr>
          <w:rFonts w:hint="eastAsia" w:ascii="宋体" w:hAnsi="宋体" w:eastAsia="宋体" w:cs="宋体"/>
          <w:color w:val="000000"/>
          <w:highlight w:val="none"/>
        </w:rPr>
        <w:t>每日向乙方支付违约金。</w:t>
      </w:r>
    </w:p>
    <w:p w14:paraId="1AF79638">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highlight w:val="none"/>
          <w:u w:val="single"/>
        </w:rPr>
        <w:t>5%</w:t>
      </w:r>
      <w:r>
        <w:rPr>
          <w:rFonts w:hint="eastAsia" w:ascii="宋体" w:hAnsi="宋体" w:eastAsia="宋体" w:cs="宋体"/>
          <w:color w:val="000000"/>
          <w:highlight w:val="none"/>
        </w:rPr>
        <w:t xml:space="preserve">的违约金，如造成甲方损失超过违约金的，超出部分由乙方继续承担赔偿责任。 </w:t>
      </w:r>
    </w:p>
    <w:p w14:paraId="52212B84">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11.4乙方所提供服务的标准不符合合同规定及招标文件规定标准的，甲方有权拒绝接受服务，并可单方面解除合同。</w:t>
      </w:r>
    </w:p>
    <w:p w14:paraId="33F49882">
      <w:pPr>
        <w:pStyle w:val="36"/>
        <w:spacing w:before="120" w:beforeAutospacing="0" w:after="120" w:afterAutospacing="0"/>
        <w:jc w:val="both"/>
        <w:rPr>
          <w:highlight w:val="none"/>
        </w:rPr>
      </w:pPr>
      <w:r>
        <w:rPr>
          <w:rFonts w:hint="eastAsia" w:ascii="宋体" w:hAnsi="宋体" w:eastAsia="宋体" w:cs="宋体"/>
          <w:b/>
          <w:color w:val="000000"/>
          <w:highlight w:val="none"/>
        </w:rPr>
        <w:t>十二、不可抗力事件处理</w:t>
      </w:r>
    </w:p>
    <w:p w14:paraId="6AC8315C">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12.1在合同有效期内，任何一方因不可抗力事件导致不能履行合同，则合同履行期可延长，其延长期与不可抗力影响 期相同。</w:t>
      </w:r>
    </w:p>
    <w:p w14:paraId="06EEDF4B">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12.2不可抗力事件发生后，应立即通知对方，并寄送有关权威机构出具的证明。</w:t>
      </w:r>
    </w:p>
    <w:p w14:paraId="39C4AE17">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12.3不可抗力事件延续120天以上，双方应通过友好协商，确定是否继续履行合同。</w:t>
      </w:r>
    </w:p>
    <w:p w14:paraId="67AF7C86">
      <w:pPr>
        <w:pStyle w:val="36"/>
        <w:spacing w:before="120" w:beforeAutospacing="0" w:after="120" w:afterAutospacing="0"/>
        <w:jc w:val="both"/>
        <w:rPr>
          <w:highlight w:val="none"/>
        </w:rPr>
      </w:pPr>
      <w:r>
        <w:rPr>
          <w:rFonts w:hint="eastAsia" w:ascii="宋体" w:hAnsi="宋体" w:eastAsia="宋体" w:cs="宋体"/>
          <w:b/>
          <w:color w:val="000000"/>
          <w:highlight w:val="none"/>
        </w:rPr>
        <w:t>十三、解决争议的方法</w:t>
      </w:r>
    </w:p>
    <w:p w14:paraId="71315F29">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13.1双方在签订、履行合同中所发生的一切争议，应通过友好协商解决。如协商不成，由甲方住所地人民法院管辖。</w:t>
      </w:r>
    </w:p>
    <w:p w14:paraId="0E8DC9C2">
      <w:pPr>
        <w:pStyle w:val="36"/>
        <w:spacing w:before="120" w:beforeAutospacing="0" w:after="120" w:afterAutospacing="0"/>
        <w:jc w:val="both"/>
        <w:rPr>
          <w:highlight w:val="none"/>
        </w:rPr>
      </w:pPr>
      <w:r>
        <w:rPr>
          <w:rFonts w:hint="eastAsia" w:ascii="宋体" w:hAnsi="宋体" w:eastAsia="宋体" w:cs="宋体"/>
          <w:b/>
          <w:color w:val="000000"/>
          <w:highlight w:val="none"/>
        </w:rPr>
        <w:t>十四、合同生效及其它</w:t>
      </w:r>
    </w:p>
    <w:p w14:paraId="125BC0EA">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14.1合同经双方法定代表人或授权委托代表人签字并加盖单位公章后生效。</w:t>
      </w:r>
    </w:p>
    <w:p w14:paraId="0B680B96">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14.2本合同未尽事宜，遵照《民法典》、《政府采购法》有关条文执行。</w:t>
      </w:r>
    </w:p>
    <w:p w14:paraId="7AC8DAFE">
      <w:pPr>
        <w:pStyle w:val="36"/>
        <w:spacing w:before="120" w:beforeAutospacing="0" w:after="120" w:afterAutospacing="0"/>
        <w:ind w:firstLine="480" w:firstLineChars="200"/>
        <w:jc w:val="both"/>
        <w:rPr>
          <w:highlight w:val="none"/>
        </w:rPr>
      </w:pPr>
      <w:r>
        <w:rPr>
          <w:rFonts w:hint="eastAsia" w:ascii="宋体" w:hAnsi="宋体" w:eastAsia="宋体" w:cs="宋体"/>
          <w:color w:val="000000"/>
          <w:highlight w:val="none"/>
        </w:rPr>
        <w:t>14.3 本合同正本一式</w:t>
      </w:r>
      <w:r>
        <w:rPr>
          <w:rFonts w:hint="eastAsia" w:ascii="宋体" w:hAnsi="宋体" w:cs="宋体"/>
          <w:color w:val="000000"/>
          <w:highlight w:val="none"/>
          <w:lang w:val="en-US" w:eastAsia="zh-CN"/>
        </w:rPr>
        <w:t>五</w:t>
      </w:r>
      <w:r>
        <w:rPr>
          <w:rFonts w:hint="eastAsia" w:ascii="宋体" w:hAnsi="宋体" w:eastAsia="宋体" w:cs="宋体"/>
          <w:color w:val="000000"/>
          <w:highlight w:val="none"/>
        </w:rPr>
        <w:t>份，具有同等法律效力，甲方、乙方各执</w:t>
      </w:r>
      <w:r>
        <w:rPr>
          <w:rFonts w:hint="eastAsia" w:ascii="宋体" w:hAnsi="宋体" w:cs="宋体"/>
          <w:color w:val="000000"/>
          <w:highlight w:val="none"/>
          <w:lang w:val="en-US" w:eastAsia="zh-CN"/>
        </w:rPr>
        <w:t>二</w:t>
      </w:r>
      <w:r>
        <w:rPr>
          <w:rFonts w:hint="eastAsia" w:ascii="宋体" w:hAnsi="宋体" w:eastAsia="宋体" w:cs="宋体"/>
          <w:color w:val="000000"/>
          <w:highlight w:val="none"/>
        </w:rPr>
        <w:t>份</w:t>
      </w:r>
      <w:r>
        <w:rPr>
          <w:rFonts w:hint="eastAsia" w:ascii="宋体" w:hAnsi="宋体" w:cs="宋体"/>
          <w:color w:val="000000"/>
          <w:highlight w:val="none"/>
          <w:lang w:eastAsia="zh-CN"/>
        </w:rPr>
        <w:t>、</w:t>
      </w:r>
      <w:r>
        <w:rPr>
          <w:rFonts w:hint="eastAsia" w:ascii="宋体" w:hAnsi="宋体" w:cs="宋体"/>
          <w:color w:val="000000"/>
          <w:highlight w:val="none"/>
          <w:lang w:val="en-US" w:eastAsia="zh-CN"/>
        </w:rPr>
        <w:t>代理机构执一份</w:t>
      </w:r>
      <w:r>
        <w:rPr>
          <w:rFonts w:hint="eastAsia" w:ascii="宋体" w:hAnsi="宋体" w:eastAsia="宋体" w:cs="宋体"/>
          <w:color w:val="000000"/>
          <w:highlight w:val="none"/>
        </w:rPr>
        <w:t>。</w:t>
      </w:r>
    </w:p>
    <w:p w14:paraId="2428997F">
      <w:pPr>
        <w:pStyle w:val="36"/>
        <w:spacing w:before="120" w:beforeAutospacing="0" w:after="120" w:afterAutospacing="0" w:line="0" w:lineRule="atLeast"/>
        <w:ind w:left="480" w:hanging="480"/>
        <w:jc w:val="both"/>
        <w:rPr>
          <w:rFonts w:hint="eastAsia" w:ascii="宋体" w:hAnsi="宋体" w:eastAsia="宋体" w:cs="宋体"/>
          <w:color w:val="000000"/>
          <w:highlight w:val="none"/>
        </w:rPr>
      </w:pPr>
      <w:r>
        <w:rPr>
          <w:rFonts w:hint="eastAsia" w:ascii="宋体" w:hAnsi="宋体" w:eastAsia="宋体" w:cs="宋体"/>
          <w:color w:val="000000"/>
          <w:highlight w:val="none"/>
        </w:rPr>
        <w:t> </w:t>
      </w:r>
    </w:p>
    <w:p w14:paraId="2B85686E">
      <w:pPr>
        <w:pStyle w:val="36"/>
        <w:spacing w:before="120" w:beforeAutospacing="0" w:after="120" w:afterAutospacing="0" w:line="0" w:lineRule="atLeast"/>
        <w:ind w:left="480" w:hanging="480"/>
        <w:jc w:val="both"/>
        <w:rPr>
          <w:highlight w:val="none"/>
        </w:rPr>
      </w:pPr>
      <w:r>
        <w:rPr>
          <w:rFonts w:hint="eastAsia" w:ascii="宋体" w:hAnsi="宋体" w:eastAsia="宋体" w:cs="宋体"/>
          <w:color w:val="000000"/>
          <w:highlight w:val="none"/>
        </w:rPr>
        <w:t xml:space="preserve">甲方：                  乙方： </w:t>
      </w:r>
    </w:p>
    <w:p w14:paraId="28624A47">
      <w:pPr>
        <w:pStyle w:val="36"/>
        <w:spacing w:before="120" w:beforeAutospacing="0" w:after="120" w:afterAutospacing="0" w:line="0" w:lineRule="atLeast"/>
        <w:jc w:val="both"/>
        <w:rPr>
          <w:highlight w:val="none"/>
        </w:rPr>
      </w:pPr>
      <w:r>
        <w:rPr>
          <w:rFonts w:hint="eastAsia" w:ascii="宋体" w:hAnsi="宋体" w:eastAsia="宋体" w:cs="宋体"/>
          <w:color w:val="000000"/>
          <w:highlight w:val="none"/>
        </w:rPr>
        <w:t xml:space="preserve">地址：                  地址： </w:t>
      </w:r>
    </w:p>
    <w:p w14:paraId="31D6EC24">
      <w:pPr>
        <w:pStyle w:val="36"/>
        <w:spacing w:before="120" w:beforeAutospacing="0" w:after="120" w:afterAutospacing="0" w:line="0" w:lineRule="atLeast"/>
        <w:jc w:val="both"/>
        <w:rPr>
          <w:highlight w:val="none"/>
        </w:rPr>
      </w:pPr>
      <w:r>
        <w:rPr>
          <w:rFonts w:hint="eastAsia" w:ascii="宋体" w:hAnsi="宋体" w:eastAsia="宋体" w:cs="宋体"/>
          <w:color w:val="000000"/>
          <w:highlight w:val="none"/>
        </w:rPr>
        <w:t xml:space="preserve">法定代表人或授权代表：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法定代表人或授权代表：</w:t>
      </w:r>
    </w:p>
    <w:p w14:paraId="47E210A7">
      <w:pPr>
        <w:pStyle w:val="36"/>
        <w:spacing w:before="120" w:beforeAutospacing="0" w:after="120" w:afterAutospacing="0" w:line="0" w:lineRule="atLeast"/>
        <w:jc w:val="both"/>
        <w:rPr>
          <w:highlight w:val="none"/>
        </w:rPr>
      </w:pPr>
      <w:r>
        <w:rPr>
          <w:rFonts w:hint="eastAsia" w:ascii="宋体" w:hAnsi="宋体" w:eastAsia="宋体" w:cs="宋体"/>
          <w:color w:val="000000"/>
          <w:highlight w:val="none"/>
        </w:rPr>
        <w:t xml:space="preserve">联系电话：                联系电话：          </w:t>
      </w:r>
    </w:p>
    <w:p w14:paraId="49530D76">
      <w:pPr>
        <w:rPr>
          <w:rFonts w:ascii="黑体" w:hAnsi="Arial" w:eastAsia="黑体"/>
          <w:color w:val="000000"/>
          <w:sz w:val="44"/>
          <w:szCs w:val="44"/>
        </w:rPr>
      </w:pPr>
      <w:r>
        <w:rPr>
          <w:rFonts w:hint="eastAsia" w:ascii="宋体" w:hAnsi="宋体" w:eastAsia="宋体" w:cs="宋体"/>
          <w:color w:val="000000"/>
          <w:sz w:val="21"/>
          <w:szCs w:val="21"/>
          <w:highlight w:val="none"/>
        </w:rPr>
        <w:t>签订日期：      年    月   日</w:t>
      </w:r>
      <w:r>
        <w:rPr>
          <w:rFonts w:hint="eastAsia" w:ascii="黑体" w:hAnsi="宋体" w:eastAsia="黑体" w:cs="黑体"/>
          <w:color w:val="000000"/>
          <w:sz w:val="44"/>
          <w:szCs w:val="44"/>
          <w:highlight w:val="none"/>
        </w:rPr>
        <w:br w:type="page"/>
      </w: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黑体" w:hAnsi="Arial" w:eastAsia="黑体"/>
          <w:color w:val="000000"/>
          <w:sz w:val="44"/>
          <w:szCs w:val="44"/>
        </w:rPr>
        <w:t>第四章 项目需求</w:t>
      </w:r>
    </w:p>
    <w:p w14:paraId="12384036">
      <w:pPr>
        <w:widowControl/>
        <w:spacing w:line="560" w:lineRule="exact"/>
        <w:ind w:firstLine="480"/>
        <w:rPr>
          <w:rFonts w:hint="eastAsia" w:ascii="宋体" w:hAnsi="宋体" w:eastAsia="宋体" w:cs="宋体"/>
          <w:b/>
          <w:bCs/>
          <w:color w:val="000000"/>
          <w:sz w:val="24"/>
          <w:szCs w:val="24"/>
          <w:highlight w:val="none"/>
        </w:rPr>
      </w:pPr>
      <w:bookmarkStart w:id="94" w:name="_Toc26554093"/>
      <w:bookmarkStart w:id="95" w:name="_Toc49090575"/>
      <w:r>
        <w:rPr>
          <w:rFonts w:hint="eastAsia" w:ascii="宋体" w:hAnsi="宋体" w:eastAsia="宋体" w:cs="宋体"/>
          <w:b/>
          <w:bCs/>
          <w:color w:val="000000"/>
          <w:sz w:val="24"/>
          <w:szCs w:val="24"/>
          <w:highlight w:val="none"/>
        </w:rPr>
        <w:t>项目属性：服务类项目。</w:t>
      </w:r>
      <w:bookmarkEnd w:id="94"/>
      <w:bookmarkEnd w:id="95"/>
    </w:p>
    <w:p w14:paraId="3704FDD0">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zh-CN" w:eastAsia="zh-CN"/>
        </w:rPr>
      </w:pPr>
      <w:r>
        <w:rPr>
          <w:rFonts w:hint="eastAsia" w:ascii="宋体" w:hAnsi="宋体" w:eastAsia="宋体" w:cs="宋体"/>
          <w:b/>
          <w:bCs/>
          <w:spacing w:val="-4"/>
          <w:sz w:val="24"/>
          <w:szCs w:val="24"/>
          <w:highlight w:val="none"/>
        </w:rPr>
        <w:t>一、</w:t>
      </w:r>
      <w:r>
        <w:rPr>
          <w:rFonts w:hint="eastAsia" w:ascii="宋体" w:hAnsi="宋体" w:eastAsia="宋体" w:cs="宋体"/>
          <w:b/>
          <w:bCs/>
          <w:color w:val="auto"/>
          <w:sz w:val="24"/>
          <w:szCs w:val="24"/>
          <w:highlight w:val="none"/>
          <w:lang w:val="en-US" w:eastAsia="zh-CN"/>
        </w:rPr>
        <w:t>项目</w:t>
      </w:r>
      <w:r>
        <w:rPr>
          <w:rFonts w:hint="eastAsia" w:ascii="宋体" w:hAnsi="宋体" w:eastAsia="宋体" w:cs="宋体"/>
          <w:b/>
          <w:bCs/>
          <w:color w:val="auto"/>
          <w:sz w:val="24"/>
          <w:szCs w:val="24"/>
          <w:highlight w:val="none"/>
          <w:lang w:val="zh-CN" w:eastAsia="zh-CN"/>
        </w:rPr>
        <w:t>清单</w:t>
      </w:r>
    </w:p>
    <w:tbl>
      <w:tblPr>
        <w:tblStyle w:val="41"/>
        <w:tblW w:w="4932"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1941"/>
        <w:gridCol w:w="6918"/>
      </w:tblGrid>
      <w:tr w14:paraId="032D3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1" w:hRule="atLeast"/>
        </w:trPr>
        <w:tc>
          <w:tcPr>
            <w:tcW w:w="443" w:type="pct"/>
            <w:noWrap w:val="0"/>
            <w:vAlign w:val="center"/>
          </w:tcPr>
          <w:p w14:paraId="51E446D2">
            <w:pPr>
              <w:pStyle w:val="201"/>
              <w:keepNext w:val="0"/>
              <w:keepLines w:val="0"/>
              <w:pageBreakBefore w:val="0"/>
              <w:widowControl w:val="0"/>
              <w:spacing w:line="240" w:lineRule="auto"/>
              <w:ind w:firstLine="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序号</w:t>
            </w:r>
          </w:p>
        </w:tc>
        <w:tc>
          <w:tcPr>
            <w:tcW w:w="998" w:type="pct"/>
            <w:noWrap w:val="0"/>
            <w:vAlign w:val="center"/>
          </w:tcPr>
          <w:p w14:paraId="03F070CD">
            <w:pPr>
              <w:pStyle w:val="201"/>
              <w:keepNext w:val="0"/>
              <w:keepLines w:val="0"/>
              <w:pageBreakBefore w:val="0"/>
              <w:widowControl w:val="0"/>
              <w:spacing w:line="240" w:lineRule="auto"/>
              <w:ind w:firstLine="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标的名称</w:t>
            </w:r>
          </w:p>
        </w:tc>
        <w:tc>
          <w:tcPr>
            <w:tcW w:w="3557" w:type="pct"/>
            <w:noWrap w:val="0"/>
            <w:vAlign w:val="center"/>
          </w:tcPr>
          <w:p w14:paraId="45A4E242">
            <w:pPr>
              <w:pStyle w:val="201"/>
              <w:keepNext w:val="0"/>
              <w:keepLines w:val="0"/>
              <w:pageBreakBefore w:val="0"/>
              <w:widowControl w:val="0"/>
              <w:spacing w:line="240" w:lineRule="auto"/>
              <w:ind w:firstLine="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采购内容</w:t>
            </w:r>
          </w:p>
        </w:tc>
      </w:tr>
      <w:tr w14:paraId="2EFE4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trPr>
        <w:tc>
          <w:tcPr>
            <w:tcW w:w="443" w:type="pct"/>
            <w:noWrap w:val="0"/>
            <w:vAlign w:val="center"/>
          </w:tcPr>
          <w:p w14:paraId="77AAEE4F">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w:t>
            </w:r>
          </w:p>
        </w:tc>
        <w:tc>
          <w:tcPr>
            <w:tcW w:w="998" w:type="pct"/>
            <w:noWrap w:val="0"/>
            <w:vAlign w:val="center"/>
          </w:tcPr>
          <w:p w14:paraId="06F6434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包件一</w:t>
            </w:r>
          </w:p>
        </w:tc>
        <w:tc>
          <w:tcPr>
            <w:tcW w:w="3557" w:type="pct"/>
            <w:noWrap w:val="0"/>
            <w:vAlign w:val="center"/>
          </w:tcPr>
          <w:p w14:paraId="7012BE84">
            <w:pPr>
              <w:pStyle w:val="201"/>
              <w:keepNext w:val="0"/>
              <w:keepLines w:val="0"/>
              <w:pageBreakBefore w:val="0"/>
              <w:widowControl w:val="0"/>
              <w:spacing w:line="240" w:lineRule="auto"/>
              <w:ind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五汛镇、蔡桥镇、正红镇、天场镇、农业园区、通榆镇、坎北街道等7座大气站运维及提供大气质量管理</w:t>
            </w:r>
            <w:r>
              <w:rPr>
                <w:rFonts w:hint="eastAsia" w:ascii="宋体" w:hAnsi="宋体" w:eastAsia="宋体" w:cs="宋体"/>
                <w:b w:val="0"/>
                <w:bCs w:val="0"/>
                <w:color w:val="auto"/>
                <w:sz w:val="24"/>
                <w:szCs w:val="24"/>
                <w:highlight w:val="none"/>
              </w:rPr>
              <w:t>平台</w:t>
            </w:r>
            <w:r>
              <w:rPr>
                <w:rFonts w:hint="eastAsia" w:ascii="宋体" w:hAnsi="宋体" w:eastAsia="宋体" w:cs="宋体"/>
                <w:b w:val="0"/>
                <w:bCs w:val="0"/>
                <w:color w:val="auto"/>
                <w:sz w:val="24"/>
                <w:szCs w:val="24"/>
                <w:highlight w:val="none"/>
                <w:lang w:val="en-US" w:eastAsia="zh-CN"/>
              </w:rPr>
              <w:t>服务</w:t>
            </w:r>
          </w:p>
        </w:tc>
      </w:tr>
      <w:tr w14:paraId="033A8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443" w:type="pct"/>
            <w:shd w:val="clear" w:color="auto" w:fill="auto"/>
            <w:noWrap w:val="0"/>
            <w:vAlign w:val="center"/>
          </w:tcPr>
          <w:p w14:paraId="403A360E">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w:t>
            </w:r>
          </w:p>
        </w:tc>
        <w:tc>
          <w:tcPr>
            <w:tcW w:w="998" w:type="pct"/>
            <w:shd w:val="clear" w:color="auto" w:fill="auto"/>
            <w:noWrap w:val="0"/>
            <w:vAlign w:val="center"/>
          </w:tcPr>
          <w:p w14:paraId="4B3E5BF1">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包件二</w:t>
            </w:r>
          </w:p>
        </w:tc>
        <w:tc>
          <w:tcPr>
            <w:tcW w:w="3557" w:type="pct"/>
            <w:shd w:val="clear" w:color="auto" w:fill="auto"/>
            <w:noWrap w:val="0"/>
            <w:vAlign w:val="center"/>
          </w:tcPr>
          <w:p w14:paraId="2BE98584">
            <w:pPr>
              <w:pStyle w:val="201"/>
              <w:keepNext w:val="0"/>
              <w:keepLines w:val="0"/>
              <w:pageBreakBefore w:val="0"/>
              <w:widowControl w:val="0"/>
              <w:spacing w:line="240" w:lineRule="auto"/>
              <w:ind w:firstLine="0" w:firstLineChars="0"/>
              <w:jc w:val="center"/>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滨海港镇、陈涛镇、界牌镇、八巨镇、八滩镇、滨淮镇、滨海港经济区等7座大气站运维</w:t>
            </w:r>
          </w:p>
        </w:tc>
      </w:tr>
    </w:tbl>
    <w:p w14:paraId="30CA43E2">
      <w:pPr>
        <w:pStyle w:val="201"/>
        <w:keepNext w:val="0"/>
        <w:keepLines w:val="0"/>
        <w:pageBreakBefore w:val="0"/>
        <w:widowControl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二、项目执行的相关标准</w:t>
      </w:r>
    </w:p>
    <w:p w14:paraId="75C3F071">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（1）《江苏省省控环境空气质量自动监测站运行管理实施细则（试行）》</w:t>
      </w:r>
    </w:p>
    <w:p w14:paraId="31C08BFF">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（2）《环境空气质量标准》（GB3095-2012）</w:t>
      </w:r>
    </w:p>
    <w:p w14:paraId="324FD17D">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（3）《环境空气质量自动监测技术规范》（HJ/T 193-2005）</w:t>
      </w:r>
    </w:p>
    <w:p w14:paraId="2041F113">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（4）《环境空气质量评价技术规范》(HJ 633-2013)</w:t>
      </w:r>
    </w:p>
    <w:p w14:paraId="1B14FE9E">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（5）《环境空气颗粒物（PM10和PM2.5）连续自动监测系统运行和质控技术规范》（HJ 817-2018）</w:t>
      </w:r>
    </w:p>
    <w:p w14:paraId="25B5DA69">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（6）《环境空气气态污染物（SO2、NO2、O3、CO）连续自动监测系统运行和质控技术规范》（HJ 818-2018）</w:t>
      </w:r>
    </w:p>
    <w:p w14:paraId="274FDC78">
      <w:pPr>
        <w:pStyle w:val="201"/>
        <w:keepNext w:val="0"/>
        <w:keepLines w:val="0"/>
        <w:pageBreakBefore w:val="0"/>
        <w:widowControl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三、技术要求及服务工作要求</w:t>
      </w:r>
    </w:p>
    <w:p w14:paraId="509E3E62">
      <w:pPr>
        <w:pStyle w:val="201"/>
        <w:keepNext w:val="0"/>
        <w:keepLines w:val="0"/>
        <w:pageBreakBefore w:val="0"/>
        <w:widowControl w:val="0"/>
        <w:spacing w:line="44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3.1包件一设备清单</w:t>
      </w:r>
    </w:p>
    <w:tbl>
      <w:tblPr>
        <w:tblStyle w:val="41"/>
        <w:tblW w:w="50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2"/>
        <w:gridCol w:w="3438"/>
        <w:gridCol w:w="2998"/>
        <w:gridCol w:w="1388"/>
        <w:gridCol w:w="935"/>
      </w:tblGrid>
      <w:tr w14:paraId="10307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3F4AAAB2">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序号</w:t>
            </w:r>
          </w:p>
        </w:tc>
        <w:tc>
          <w:tcPr>
            <w:tcW w:w="1741" w:type="pct"/>
            <w:noWrap w:val="0"/>
            <w:vAlign w:val="center"/>
          </w:tcPr>
          <w:p w14:paraId="0FBF03F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货物名称</w:t>
            </w:r>
          </w:p>
        </w:tc>
        <w:tc>
          <w:tcPr>
            <w:tcW w:w="1518" w:type="pct"/>
            <w:noWrap w:val="0"/>
            <w:vAlign w:val="center"/>
          </w:tcPr>
          <w:p w14:paraId="2EB3F533">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型号</w:t>
            </w:r>
          </w:p>
        </w:tc>
        <w:tc>
          <w:tcPr>
            <w:tcW w:w="703" w:type="pct"/>
            <w:noWrap w:val="0"/>
            <w:vAlign w:val="center"/>
          </w:tcPr>
          <w:p w14:paraId="25FC609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数量</w:t>
            </w:r>
          </w:p>
        </w:tc>
        <w:tc>
          <w:tcPr>
            <w:tcW w:w="473" w:type="pct"/>
            <w:noWrap w:val="0"/>
            <w:vAlign w:val="center"/>
          </w:tcPr>
          <w:p w14:paraId="52A6B77B">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备注</w:t>
            </w:r>
          </w:p>
        </w:tc>
      </w:tr>
      <w:tr w14:paraId="30DF7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24E6BE91">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p>
        </w:tc>
        <w:tc>
          <w:tcPr>
            <w:tcW w:w="1741" w:type="pct"/>
            <w:noWrap w:val="0"/>
            <w:vAlign w:val="center"/>
          </w:tcPr>
          <w:p w14:paraId="505CED44">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N02 分析仪</w:t>
            </w:r>
          </w:p>
        </w:tc>
        <w:tc>
          <w:tcPr>
            <w:tcW w:w="1518" w:type="pct"/>
            <w:noWrap w:val="0"/>
            <w:vAlign w:val="center"/>
          </w:tcPr>
          <w:p w14:paraId="313D9B09">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Thermo、42i</w:t>
            </w:r>
          </w:p>
        </w:tc>
        <w:tc>
          <w:tcPr>
            <w:tcW w:w="703" w:type="pct"/>
            <w:noWrap w:val="0"/>
            <w:vAlign w:val="center"/>
          </w:tcPr>
          <w:p w14:paraId="1829D93A">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54355744">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6C7C1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5B3390A2">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w:t>
            </w:r>
          </w:p>
        </w:tc>
        <w:tc>
          <w:tcPr>
            <w:tcW w:w="1741" w:type="pct"/>
            <w:noWrap w:val="0"/>
            <w:vAlign w:val="center"/>
          </w:tcPr>
          <w:p w14:paraId="23DAB6FB">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S02 分析仪</w:t>
            </w:r>
          </w:p>
        </w:tc>
        <w:tc>
          <w:tcPr>
            <w:tcW w:w="1518" w:type="pct"/>
            <w:noWrap w:val="0"/>
            <w:vAlign w:val="center"/>
          </w:tcPr>
          <w:p w14:paraId="109BFD37">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Thermo、43i</w:t>
            </w:r>
          </w:p>
        </w:tc>
        <w:tc>
          <w:tcPr>
            <w:tcW w:w="703" w:type="pct"/>
            <w:noWrap w:val="0"/>
            <w:vAlign w:val="center"/>
          </w:tcPr>
          <w:p w14:paraId="7ADD9DF4">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6D427F53">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2B06A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236C2AD6">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w:t>
            </w:r>
          </w:p>
        </w:tc>
        <w:tc>
          <w:tcPr>
            <w:tcW w:w="1741" w:type="pct"/>
            <w:noWrap w:val="0"/>
            <w:vAlign w:val="center"/>
          </w:tcPr>
          <w:p w14:paraId="3360C8F5">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C0 分析仪</w:t>
            </w:r>
          </w:p>
        </w:tc>
        <w:tc>
          <w:tcPr>
            <w:tcW w:w="1518" w:type="pct"/>
            <w:noWrap w:val="0"/>
            <w:vAlign w:val="center"/>
          </w:tcPr>
          <w:p w14:paraId="03318808">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Thermo、48i</w:t>
            </w:r>
          </w:p>
        </w:tc>
        <w:tc>
          <w:tcPr>
            <w:tcW w:w="703" w:type="pct"/>
            <w:noWrap w:val="0"/>
            <w:vAlign w:val="center"/>
          </w:tcPr>
          <w:p w14:paraId="29DEF3C1">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619F5A62">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341CF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4CCC42E4">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4</w:t>
            </w:r>
          </w:p>
        </w:tc>
        <w:tc>
          <w:tcPr>
            <w:tcW w:w="1741" w:type="pct"/>
            <w:noWrap w:val="0"/>
            <w:vAlign w:val="center"/>
          </w:tcPr>
          <w:p w14:paraId="6E048253">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03 分析仪</w:t>
            </w:r>
          </w:p>
        </w:tc>
        <w:tc>
          <w:tcPr>
            <w:tcW w:w="1518" w:type="pct"/>
            <w:noWrap w:val="0"/>
            <w:vAlign w:val="center"/>
          </w:tcPr>
          <w:p w14:paraId="60AE37AC">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Thermo、49i</w:t>
            </w:r>
          </w:p>
        </w:tc>
        <w:tc>
          <w:tcPr>
            <w:tcW w:w="703" w:type="pct"/>
            <w:noWrap w:val="0"/>
            <w:vAlign w:val="center"/>
          </w:tcPr>
          <w:p w14:paraId="4BBE7D95">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18F63483">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3913B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315AA368">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w:t>
            </w:r>
          </w:p>
        </w:tc>
        <w:tc>
          <w:tcPr>
            <w:tcW w:w="1741" w:type="pct"/>
            <w:noWrap w:val="0"/>
            <w:vAlign w:val="center"/>
          </w:tcPr>
          <w:p w14:paraId="7DD68FE8">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PM10颗粒物监测仪</w:t>
            </w:r>
          </w:p>
        </w:tc>
        <w:tc>
          <w:tcPr>
            <w:tcW w:w="1518" w:type="pct"/>
            <w:noWrap w:val="0"/>
            <w:vAlign w:val="center"/>
          </w:tcPr>
          <w:p w14:paraId="274F0FF8">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Thermo、50</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val="zh-CN" w:eastAsia="zh-CN"/>
              </w:rPr>
              <w:t>i</w:t>
            </w:r>
          </w:p>
        </w:tc>
        <w:tc>
          <w:tcPr>
            <w:tcW w:w="703" w:type="pct"/>
            <w:noWrap w:val="0"/>
            <w:vAlign w:val="center"/>
          </w:tcPr>
          <w:p w14:paraId="5EA04BC7">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7B0B9C8B">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47BBA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7393519E">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6</w:t>
            </w:r>
          </w:p>
        </w:tc>
        <w:tc>
          <w:tcPr>
            <w:tcW w:w="1741" w:type="pct"/>
            <w:noWrap w:val="0"/>
            <w:vAlign w:val="center"/>
          </w:tcPr>
          <w:p w14:paraId="5E0E97AE">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PM2.5 颗粒物监测仪</w:t>
            </w:r>
          </w:p>
        </w:tc>
        <w:tc>
          <w:tcPr>
            <w:tcW w:w="1518" w:type="pct"/>
            <w:noWrap w:val="0"/>
            <w:vAlign w:val="center"/>
          </w:tcPr>
          <w:p w14:paraId="434E80A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Thermo、5030i</w:t>
            </w:r>
          </w:p>
        </w:tc>
        <w:tc>
          <w:tcPr>
            <w:tcW w:w="703" w:type="pct"/>
            <w:noWrap w:val="0"/>
            <w:vAlign w:val="center"/>
          </w:tcPr>
          <w:p w14:paraId="6D1AD66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36C64F44">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192BA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790EA63E">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7</w:t>
            </w:r>
          </w:p>
        </w:tc>
        <w:tc>
          <w:tcPr>
            <w:tcW w:w="1741" w:type="pct"/>
            <w:noWrap w:val="0"/>
            <w:vAlign w:val="center"/>
          </w:tcPr>
          <w:p w14:paraId="15603E52">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动态校准仪</w:t>
            </w:r>
          </w:p>
        </w:tc>
        <w:tc>
          <w:tcPr>
            <w:tcW w:w="1518" w:type="pct"/>
            <w:noWrap w:val="0"/>
            <w:vAlign w:val="center"/>
          </w:tcPr>
          <w:p w14:paraId="04B15EA8">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Thermo、146i</w:t>
            </w:r>
          </w:p>
        </w:tc>
        <w:tc>
          <w:tcPr>
            <w:tcW w:w="703" w:type="pct"/>
            <w:noWrap w:val="0"/>
            <w:vAlign w:val="center"/>
          </w:tcPr>
          <w:p w14:paraId="257B9FC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5DFD4B42">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21272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57873F18">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8</w:t>
            </w:r>
          </w:p>
        </w:tc>
        <w:tc>
          <w:tcPr>
            <w:tcW w:w="1741" w:type="pct"/>
            <w:noWrap w:val="0"/>
            <w:vAlign w:val="center"/>
          </w:tcPr>
          <w:p w14:paraId="109F8E13">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零气发生器</w:t>
            </w:r>
          </w:p>
        </w:tc>
        <w:tc>
          <w:tcPr>
            <w:tcW w:w="1518" w:type="pct"/>
            <w:noWrap w:val="0"/>
            <w:vAlign w:val="center"/>
          </w:tcPr>
          <w:p w14:paraId="7BD7A065">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Thermo、111</w:t>
            </w:r>
          </w:p>
        </w:tc>
        <w:tc>
          <w:tcPr>
            <w:tcW w:w="703" w:type="pct"/>
            <w:noWrap w:val="0"/>
            <w:vAlign w:val="center"/>
          </w:tcPr>
          <w:p w14:paraId="7DC40CC9">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12F02E16">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6D4CB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0B9BA1D9">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9</w:t>
            </w:r>
          </w:p>
        </w:tc>
        <w:tc>
          <w:tcPr>
            <w:tcW w:w="1741" w:type="pct"/>
            <w:noWrap w:val="0"/>
            <w:vAlign w:val="center"/>
          </w:tcPr>
          <w:p w14:paraId="01CC8023">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气象五参数</w:t>
            </w:r>
          </w:p>
        </w:tc>
        <w:tc>
          <w:tcPr>
            <w:tcW w:w="1518" w:type="pct"/>
            <w:noWrap w:val="0"/>
            <w:vAlign w:val="center"/>
          </w:tcPr>
          <w:p w14:paraId="3FB34772">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智翔宇、</w:t>
            </w:r>
            <w:r>
              <w:rPr>
                <w:rFonts w:hint="eastAsia" w:ascii="宋体" w:hAnsi="宋体" w:eastAsia="宋体" w:cs="宋体"/>
                <w:color w:val="auto"/>
                <w:sz w:val="24"/>
                <w:szCs w:val="24"/>
                <w:highlight w:val="none"/>
                <w:lang w:val="en-US" w:eastAsia="zh-CN"/>
              </w:rPr>
              <w:t>WS-6P</w:t>
            </w:r>
          </w:p>
        </w:tc>
        <w:tc>
          <w:tcPr>
            <w:tcW w:w="703" w:type="pct"/>
            <w:noWrap w:val="0"/>
            <w:vAlign w:val="center"/>
          </w:tcPr>
          <w:p w14:paraId="08B98F80">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3DC74C7E">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77389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2849D525">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10</w:t>
            </w:r>
          </w:p>
        </w:tc>
        <w:tc>
          <w:tcPr>
            <w:tcW w:w="1741" w:type="pct"/>
            <w:noWrap w:val="0"/>
            <w:vAlign w:val="center"/>
          </w:tcPr>
          <w:p w14:paraId="502FDC27">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配套采样系统</w:t>
            </w:r>
          </w:p>
        </w:tc>
        <w:tc>
          <w:tcPr>
            <w:tcW w:w="1518" w:type="pct"/>
            <w:noWrap w:val="0"/>
            <w:vAlign w:val="center"/>
          </w:tcPr>
          <w:p w14:paraId="00837BF8">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青岛绿杨LY2020</w:t>
            </w:r>
          </w:p>
        </w:tc>
        <w:tc>
          <w:tcPr>
            <w:tcW w:w="703" w:type="pct"/>
            <w:noWrap w:val="0"/>
            <w:vAlign w:val="center"/>
          </w:tcPr>
          <w:p w14:paraId="29EC5C7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77F53E6C">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65CB9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2916445B">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11</w:t>
            </w:r>
          </w:p>
        </w:tc>
        <w:tc>
          <w:tcPr>
            <w:tcW w:w="1741" w:type="pct"/>
            <w:noWrap w:val="0"/>
            <w:vAlign w:val="center"/>
          </w:tcPr>
          <w:p w14:paraId="25E67F11">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配套机柜</w:t>
            </w:r>
          </w:p>
        </w:tc>
        <w:tc>
          <w:tcPr>
            <w:tcW w:w="1518" w:type="pct"/>
            <w:noWrap w:val="0"/>
            <w:vAlign w:val="center"/>
          </w:tcPr>
          <w:p w14:paraId="14B436C0">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绿杨定制</w:t>
            </w:r>
          </w:p>
        </w:tc>
        <w:tc>
          <w:tcPr>
            <w:tcW w:w="703" w:type="pct"/>
            <w:noWrap w:val="0"/>
            <w:vAlign w:val="center"/>
          </w:tcPr>
          <w:p w14:paraId="38142CFC">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10BDC479">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40F7B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218D893C">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12</w:t>
            </w:r>
          </w:p>
        </w:tc>
        <w:tc>
          <w:tcPr>
            <w:tcW w:w="1741" w:type="pct"/>
            <w:noWrap w:val="0"/>
            <w:vAlign w:val="center"/>
          </w:tcPr>
          <w:p w14:paraId="5EC1BA9B">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稳压器</w:t>
            </w:r>
          </w:p>
        </w:tc>
        <w:tc>
          <w:tcPr>
            <w:tcW w:w="1518" w:type="pct"/>
            <w:noWrap w:val="0"/>
            <w:vAlign w:val="center"/>
          </w:tcPr>
          <w:p w14:paraId="28D0355B">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正泰、TND1-5</w:t>
            </w:r>
          </w:p>
        </w:tc>
        <w:tc>
          <w:tcPr>
            <w:tcW w:w="703" w:type="pct"/>
            <w:noWrap w:val="0"/>
            <w:vAlign w:val="center"/>
          </w:tcPr>
          <w:p w14:paraId="65D792EE">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67148CC8">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51423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7C495CC6">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13</w:t>
            </w:r>
          </w:p>
        </w:tc>
        <w:tc>
          <w:tcPr>
            <w:tcW w:w="1741" w:type="pct"/>
            <w:noWrap w:val="0"/>
            <w:vAlign w:val="center"/>
          </w:tcPr>
          <w:p w14:paraId="2C68F60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不间断电源 UPS</w:t>
            </w:r>
          </w:p>
        </w:tc>
        <w:tc>
          <w:tcPr>
            <w:tcW w:w="1518" w:type="pct"/>
            <w:noWrap w:val="0"/>
            <w:vAlign w:val="center"/>
          </w:tcPr>
          <w:p w14:paraId="19994302">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山特、</w:t>
            </w:r>
            <w:r>
              <w:rPr>
                <w:rFonts w:hint="eastAsia" w:ascii="宋体" w:hAnsi="宋体" w:eastAsia="宋体" w:cs="宋体"/>
                <w:color w:val="auto"/>
                <w:sz w:val="24"/>
                <w:szCs w:val="24"/>
                <w:highlight w:val="none"/>
                <w:lang w:val="en-US" w:eastAsia="zh-CN"/>
              </w:rPr>
              <w:t>6KVA</w:t>
            </w:r>
          </w:p>
        </w:tc>
        <w:tc>
          <w:tcPr>
            <w:tcW w:w="703" w:type="pct"/>
            <w:noWrap w:val="0"/>
            <w:vAlign w:val="center"/>
          </w:tcPr>
          <w:p w14:paraId="4145B2C9">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005555A8">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733EE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7432796A">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14</w:t>
            </w:r>
          </w:p>
        </w:tc>
        <w:tc>
          <w:tcPr>
            <w:tcW w:w="1741" w:type="pct"/>
            <w:noWrap w:val="0"/>
            <w:vAlign w:val="center"/>
          </w:tcPr>
          <w:p w14:paraId="44D9F4BF">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视频监控系统</w:t>
            </w:r>
          </w:p>
        </w:tc>
        <w:tc>
          <w:tcPr>
            <w:tcW w:w="1518" w:type="pct"/>
            <w:noWrap w:val="0"/>
            <w:vAlign w:val="center"/>
          </w:tcPr>
          <w:p w14:paraId="0A048523">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海康威视、</w:t>
            </w:r>
            <w:r>
              <w:rPr>
                <w:rFonts w:hint="eastAsia" w:ascii="宋体" w:hAnsi="宋体" w:eastAsia="宋体" w:cs="宋体"/>
                <w:color w:val="auto"/>
                <w:sz w:val="24"/>
                <w:szCs w:val="24"/>
                <w:highlight w:val="none"/>
                <w:lang w:val="en-US" w:eastAsia="zh-CN"/>
              </w:rPr>
              <w:t>7808-K2</w:t>
            </w:r>
          </w:p>
        </w:tc>
        <w:tc>
          <w:tcPr>
            <w:tcW w:w="703" w:type="pct"/>
            <w:noWrap w:val="0"/>
            <w:vAlign w:val="center"/>
          </w:tcPr>
          <w:p w14:paraId="146D5C11">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6CA2BF79">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70A02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noWrap w:val="0"/>
            <w:vAlign w:val="center"/>
          </w:tcPr>
          <w:p w14:paraId="702EA911">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15</w:t>
            </w:r>
          </w:p>
        </w:tc>
        <w:tc>
          <w:tcPr>
            <w:tcW w:w="1741" w:type="pct"/>
            <w:noWrap w:val="0"/>
            <w:vAlign w:val="center"/>
          </w:tcPr>
          <w:p w14:paraId="18F3E5AC">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工</w:t>
            </w:r>
            <w:r>
              <w:rPr>
                <w:rFonts w:hint="eastAsia" w:ascii="宋体" w:hAnsi="宋体" w:eastAsia="宋体" w:cs="宋体"/>
                <w:color w:val="auto"/>
                <w:sz w:val="24"/>
                <w:szCs w:val="24"/>
                <w:highlight w:val="none"/>
                <w:lang w:val="en-US" w:eastAsia="zh-CN"/>
              </w:rPr>
              <w:t>控机</w:t>
            </w:r>
          </w:p>
        </w:tc>
        <w:tc>
          <w:tcPr>
            <w:tcW w:w="1518" w:type="pct"/>
            <w:noWrap w:val="0"/>
            <w:vAlign w:val="center"/>
          </w:tcPr>
          <w:p w14:paraId="003185EE">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研祥</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IPC-820</w:t>
            </w:r>
          </w:p>
        </w:tc>
        <w:tc>
          <w:tcPr>
            <w:tcW w:w="703" w:type="pct"/>
            <w:noWrap w:val="0"/>
            <w:vAlign w:val="center"/>
          </w:tcPr>
          <w:p w14:paraId="06958E37">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noWrap w:val="0"/>
            <w:vAlign w:val="center"/>
          </w:tcPr>
          <w:p w14:paraId="774FFA9C">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63FD9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shd w:val="clear" w:color="auto" w:fill="auto"/>
            <w:noWrap w:val="0"/>
            <w:vAlign w:val="center"/>
          </w:tcPr>
          <w:p w14:paraId="72D78E7E">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16</w:t>
            </w:r>
          </w:p>
        </w:tc>
        <w:tc>
          <w:tcPr>
            <w:tcW w:w="1741" w:type="pct"/>
            <w:shd w:val="clear" w:color="auto" w:fill="auto"/>
            <w:noWrap w:val="0"/>
            <w:vAlign w:val="center"/>
          </w:tcPr>
          <w:p w14:paraId="205328CF">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空气质量监控管理平台</w:t>
            </w:r>
          </w:p>
        </w:tc>
        <w:tc>
          <w:tcPr>
            <w:tcW w:w="1518" w:type="pct"/>
            <w:shd w:val="clear" w:color="auto" w:fill="auto"/>
            <w:noWrap w:val="0"/>
            <w:vAlign w:val="center"/>
          </w:tcPr>
          <w:p w14:paraId="4B16544D">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en-US" w:eastAsia="zh-CN" w:bidi="ar-SA"/>
              </w:rPr>
            </w:pPr>
          </w:p>
        </w:tc>
        <w:tc>
          <w:tcPr>
            <w:tcW w:w="703" w:type="pct"/>
            <w:shd w:val="clear" w:color="auto" w:fill="auto"/>
            <w:noWrap w:val="0"/>
            <w:vAlign w:val="center"/>
          </w:tcPr>
          <w:p w14:paraId="08665C10">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rPr>
              <w:t>1套</w:t>
            </w:r>
          </w:p>
        </w:tc>
        <w:tc>
          <w:tcPr>
            <w:tcW w:w="473" w:type="pct"/>
            <w:shd w:val="clear" w:color="auto" w:fill="auto"/>
            <w:noWrap w:val="0"/>
            <w:vAlign w:val="center"/>
          </w:tcPr>
          <w:p w14:paraId="41C03C37">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zh-CN" w:eastAsia="zh-CN" w:bidi="ar-SA"/>
              </w:rPr>
            </w:pPr>
          </w:p>
        </w:tc>
      </w:tr>
      <w:tr w14:paraId="5DD09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63" w:type="pct"/>
            <w:shd w:val="clear" w:color="auto" w:fill="auto"/>
            <w:noWrap w:val="0"/>
            <w:vAlign w:val="center"/>
          </w:tcPr>
          <w:p w14:paraId="0FCFF586">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17</w:t>
            </w:r>
          </w:p>
        </w:tc>
        <w:tc>
          <w:tcPr>
            <w:tcW w:w="1741" w:type="pct"/>
            <w:shd w:val="clear" w:color="auto" w:fill="auto"/>
            <w:noWrap w:val="0"/>
            <w:vAlign w:val="center"/>
          </w:tcPr>
          <w:p w14:paraId="1FAB7F83">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手机APP程序</w:t>
            </w:r>
          </w:p>
        </w:tc>
        <w:tc>
          <w:tcPr>
            <w:tcW w:w="1518" w:type="pct"/>
            <w:shd w:val="clear" w:color="auto" w:fill="auto"/>
            <w:noWrap w:val="0"/>
            <w:vAlign w:val="center"/>
          </w:tcPr>
          <w:p w14:paraId="5CB27292">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en-US" w:eastAsia="zh-CN" w:bidi="ar-SA"/>
              </w:rPr>
            </w:pPr>
          </w:p>
        </w:tc>
        <w:tc>
          <w:tcPr>
            <w:tcW w:w="703" w:type="pct"/>
            <w:shd w:val="clear" w:color="auto" w:fill="auto"/>
            <w:noWrap w:val="0"/>
            <w:vAlign w:val="center"/>
          </w:tcPr>
          <w:p w14:paraId="00F5B0D2">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rPr>
              <w:t>1套</w:t>
            </w:r>
          </w:p>
        </w:tc>
        <w:tc>
          <w:tcPr>
            <w:tcW w:w="473" w:type="pct"/>
            <w:shd w:val="clear" w:color="auto" w:fill="auto"/>
            <w:noWrap w:val="0"/>
            <w:vAlign w:val="center"/>
          </w:tcPr>
          <w:p w14:paraId="16521998">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zh-CN" w:eastAsia="zh-CN" w:bidi="ar-SA"/>
              </w:rPr>
            </w:pPr>
          </w:p>
        </w:tc>
      </w:tr>
      <w:tr w14:paraId="30AD4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563" w:type="pct"/>
            <w:shd w:val="clear" w:color="auto" w:fill="auto"/>
            <w:noWrap w:val="0"/>
            <w:vAlign w:val="center"/>
          </w:tcPr>
          <w:p w14:paraId="7E5D3264">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p>
        </w:tc>
        <w:tc>
          <w:tcPr>
            <w:tcW w:w="1741" w:type="pct"/>
            <w:shd w:val="clear" w:color="auto" w:fill="auto"/>
            <w:noWrap w:val="0"/>
            <w:vAlign w:val="center"/>
          </w:tcPr>
          <w:p w14:paraId="4A6DAD39">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站房</w:t>
            </w:r>
          </w:p>
        </w:tc>
        <w:tc>
          <w:tcPr>
            <w:tcW w:w="1518" w:type="pct"/>
            <w:shd w:val="clear" w:color="auto" w:fill="auto"/>
            <w:noWrap w:val="0"/>
            <w:vAlign w:val="center"/>
          </w:tcPr>
          <w:p w14:paraId="0F1D505E">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定制</w:t>
            </w:r>
          </w:p>
        </w:tc>
        <w:tc>
          <w:tcPr>
            <w:tcW w:w="703" w:type="pct"/>
            <w:shd w:val="clear" w:color="auto" w:fill="auto"/>
            <w:noWrap w:val="0"/>
            <w:vAlign w:val="center"/>
          </w:tcPr>
          <w:p w14:paraId="2F4111DA">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473" w:type="pct"/>
            <w:shd w:val="clear" w:color="auto" w:fill="auto"/>
            <w:noWrap w:val="0"/>
            <w:vAlign w:val="center"/>
          </w:tcPr>
          <w:p w14:paraId="1419254D">
            <w:pPr>
              <w:pStyle w:val="201"/>
              <w:keepNext w:val="0"/>
              <w:keepLines w:val="0"/>
              <w:pageBreakBefore w:val="0"/>
              <w:widowControl w:val="0"/>
              <w:spacing w:line="240" w:lineRule="auto"/>
              <w:ind w:firstLine="0" w:firstLineChars="0"/>
              <w:jc w:val="center"/>
              <w:rPr>
                <w:rFonts w:hint="eastAsia" w:ascii="宋体" w:hAnsi="宋体" w:eastAsia="宋体" w:cs="宋体"/>
                <w:color w:val="auto"/>
                <w:sz w:val="24"/>
                <w:szCs w:val="24"/>
                <w:highlight w:val="none"/>
                <w:lang w:val="zh-CN" w:eastAsia="zh-CN" w:bidi="ar-SA"/>
              </w:rPr>
            </w:pPr>
          </w:p>
        </w:tc>
      </w:tr>
    </w:tbl>
    <w:p w14:paraId="3635B761">
      <w:pPr>
        <w:pStyle w:val="201"/>
        <w:keepNext w:val="0"/>
        <w:keepLines w:val="0"/>
        <w:pageBreakBefore w:val="0"/>
        <w:widowControl w:val="0"/>
        <w:spacing w:line="44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3.2包件二设备清单</w:t>
      </w:r>
    </w:p>
    <w:tbl>
      <w:tblPr>
        <w:tblStyle w:val="4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1"/>
        <w:gridCol w:w="3313"/>
        <w:gridCol w:w="2873"/>
        <w:gridCol w:w="1267"/>
        <w:gridCol w:w="1405"/>
      </w:tblGrid>
      <w:tr w14:paraId="70FC1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572D6460">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序号</w:t>
            </w:r>
          </w:p>
        </w:tc>
        <w:tc>
          <w:tcPr>
            <w:tcW w:w="1681" w:type="pct"/>
            <w:noWrap w:val="0"/>
            <w:vAlign w:val="center"/>
          </w:tcPr>
          <w:p w14:paraId="669ED8F5">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货物名称</w:t>
            </w:r>
          </w:p>
        </w:tc>
        <w:tc>
          <w:tcPr>
            <w:tcW w:w="1458" w:type="pct"/>
            <w:noWrap w:val="0"/>
            <w:vAlign w:val="center"/>
          </w:tcPr>
          <w:p w14:paraId="2D429E6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型号</w:t>
            </w:r>
          </w:p>
        </w:tc>
        <w:tc>
          <w:tcPr>
            <w:tcW w:w="643" w:type="pct"/>
            <w:noWrap w:val="0"/>
            <w:vAlign w:val="center"/>
          </w:tcPr>
          <w:p w14:paraId="6DA29ACA">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数量</w:t>
            </w:r>
          </w:p>
        </w:tc>
        <w:tc>
          <w:tcPr>
            <w:tcW w:w="713" w:type="pct"/>
            <w:noWrap w:val="0"/>
            <w:vAlign w:val="center"/>
          </w:tcPr>
          <w:p w14:paraId="7A9B85B1">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备注</w:t>
            </w:r>
          </w:p>
        </w:tc>
      </w:tr>
      <w:tr w14:paraId="4BA5D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2F804C3F">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p>
        </w:tc>
        <w:tc>
          <w:tcPr>
            <w:tcW w:w="1681" w:type="pct"/>
            <w:noWrap w:val="0"/>
            <w:vAlign w:val="center"/>
          </w:tcPr>
          <w:p w14:paraId="480A2857">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N02 分析仪</w:t>
            </w:r>
          </w:p>
        </w:tc>
        <w:tc>
          <w:tcPr>
            <w:tcW w:w="1458" w:type="pct"/>
            <w:noWrap w:val="0"/>
            <w:vAlign w:val="center"/>
          </w:tcPr>
          <w:p w14:paraId="35D2AC76">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Thermo、42i</w:t>
            </w:r>
          </w:p>
        </w:tc>
        <w:tc>
          <w:tcPr>
            <w:tcW w:w="643" w:type="pct"/>
            <w:noWrap w:val="0"/>
            <w:vAlign w:val="center"/>
          </w:tcPr>
          <w:p w14:paraId="746E9C1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5EEEC8FC">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2BE54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098BFEC7">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w:t>
            </w:r>
          </w:p>
        </w:tc>
        <w:tc>
          <w:tcPr>
            <w:tcW w:w="1681" w:type="pct"/>
            <w:noWrap w:val="0"/>
            <w:vAlign w:val="center"/>
          </w:tcPr>
          <w:p w14:paraId="2C387609">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S02 分析仪</w:t>
            </w:r>
          </w:p>
        </w:tc>
        <w:tc>
          <w:tcPr>
            <w:tcW w:w="1458" w:type="pct"/>
            <w:noWrap w:val="0"/>
            <w:vAlign w:val="center"/>
          </w:tcPr>
          <w:p w14:paraId="187048E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Thermo、43i</w:t>
            </w:r>
          </w:p>
        </w:tc>
        <w:tc>
          <w:tcPr>
            <w:tcW w:w="643" w:type="pct"/>
            <w:noWrap w:val="0"/>
            <w:vAlign w:val="center"/>
          </w:tcPr>
          <w:p w14:paraId="43B58542">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03E70036">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1174B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700DA27F">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w:t>
            </w:r>
          </w:p>
        </w:tc>
        <w:tc>
          <w:tcPr>
            <w:tcW w:w="1681" w:type="pct"/>
            <w:noWrap w:val="0"/>
            <w:vAlign w:val="center"/>
          </w:tcPr>
          <w:p w14:paraId="5DFB22EF">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C0 分析仪</w:t>
            </w:r>
          </w:p>
        </w:tc>
        <w:tc>
          <w:tcPr>
            <w:tcW w:w="1458" w:type="pct"/>
            <w:noWrap w:val="0"/>
            <w:vAlign w:val="center"/>
          </w:tcPr>
          <w:p w14:paraId="0048EAAF">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Thermo、48i</w:t>
            </w:r>
          </w:p>
        </w:tc>
        <w:tc>
          <w:tcPr>
            <w:tcW w:w="643" w:type="pct"/>
            <w:noWrap w:val="0"/>
            <w:vAlign w:val="center"/>
          </w:tcPr>
          <w:p w14:paraId="417CD9CF">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31F419BB">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7C4AD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31325A0F">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4</w:t>
            </w:r>
          </w:p>
        </w:tc>
        <w:tc>
          <w:tcPr>
            <w:tcW w:w="1681" w:type="pct"/>
            <w:noWrap w:val="0"/>
            <w:vAlign w:val="center"/>
          </w:tcPr>
          <w:p w14:paraId="02FDE2F7">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03 分析仪</w:t>
            </w:r>
          </w:p>
        </w:tc>
        <w:tc>
          <w:tcPr>
            <w:tcW w:w="1458" w:type="pct"/>
            <w:noWrap w:val="0"/>
            <w:vAlign w:val="center"/>
          </w:tcPr>
          <w:p w14:paraId="4778E645">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Thermo、49i</w:t>
            </w:r>
          </w:p>
        </w:tc>
        <w:tc>
          <w:tcPr>
            <w:tcW w:w="643" w:type="pct"/>
            <w:noWrap w:val="0"/>
            <w:vAlign w:val="center"/>
          </w:tcPr>
          <w:p w14:paraId="24D58EA0">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607FA4C3">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1F985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5BE93F2A">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w:t>
            </w:r>
          </w:p>
        </w:tc>
        <w:tc>
          <w:tcPr>
            <w:tcW w:w="1681" w:type="pct"/>
            <w:noWrap w:val="0"/>
            <w:vAlign w:val="center"/>
          </w:tcPr>
          <w:p w14:paraId="54F433D9">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PM10颗粒物监测仪</w:t>
            </w:r>
          </w:p>
        </w:tc>
        <w:tc>
          <w:tcPr>
            <w:tcW w:w="1458" w:type="pct"/>
            <w:noWrap w:val="0"/>
            <w:vAlign w:val="center"/>
          </w:tcPr>
          <w:p w14:paraId="489E5DD0">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Thermo、50</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val="zh-CN" w:eastAsia="zh-CN"/>
              </w:rPr>
              <w:t>i</w:t>
            </w:r>
          </w:p>
        </w:tc>
        <w:tc>
          <w:tcPr>
            <w:tcW w:w="643" w:type="pct"/>
            <w:noWrap w:val="0"/>
            <w:vAlign w:val="center"/>
          </w:tcPr>
          <w:p w14:paraId="384DD3F7">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400A3E9B">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20296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53EC7DD6">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6</w:t>
            </w:r>
          </w:p>
        </w:tc>
        <w:tc>
          <w:tcPr>
            <w:tcW w:w="1681" w:type="pct"/>
            <w:noWrap w:val="0"/>
            <w:vAlign w:val="center"/>
          </w:tcPr>
          <w:p w14:paraId="332EBD62">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PM2.5 颗粒物监测仪</w:t>
            </w:r>
          </w:p>
        </w:tc>
        <w:tc>
          <w:tcPr>
            <w:tcW w:w="1458" w:type="pct"/>
            <w:noWrap w:val="0"/>
            <w:vAlign w:val="center"/>
          </w:tcPr>
          <w:p w14:paraId="72F329F6">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Thermo、5030i</w:t>
            </w:r>
          </w:p>
        </w:tc>
        <w:tc>
          <w:tcPr>
            <w:tcW w:w="643" w:type="pct"/>
            <w:noWrap w:val="0"/>
            <w:vAlign w:val="center"/>
          </w:tcPr>
          <w:p w14:paraId="26290735">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7F65DFAA">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49AE5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2FC6C273">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7</w:t>
            </w:r>
          </w:p>
        </w:tc>
        <w:tc>
          <w:tcPr>
            <w:tcW w:w="1681" w:type="pct"/>
            <w:noWrap w:val="0"/>
            <w:vAlign w:val="center"/>
          </w:tcPr>
          <w:p w14:paraId="5AC96364">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动态校准仪</w:t>
            </w:r>
          </w:p>
        </w:tc>
        <w:tc>
          <w:tcPr>
            <w:tcW w:w="1458" w:type="pct"/>
            <w:noWrap w:val="0"/>
            <w:vAlign w:val="center"/>
          </w:tcPr>
          <w:p w14:paraId="4EC64452">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Thermo、146i</w:t>
            </w:r>
          </w:p>
        </w:tc>
        <w:tc>
          <w:tcPr>
            <w:tcW w:w="643" w:type="pct"/>
            <w:noWrap w:val="0"/>
            <w:vAlign w:val="center"/>
          </w:tcPr>
          <w:p w14:paraId="0BE0DD27">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215065A0">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2602F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1215131E">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8</w:t>
            </w:r>
          </w:p>
        </w:tc>
        <w:tc>
          <w:tcPr>
            <w:tcW w:w="1681" w:type="pct"/>
            <w:noWrap w:val="0"/>
            <w:vAlign w:val="center"/>
          </w:tcPr>
          <w:p w14:paraId="45B2CC7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零气发生器</w:t>
            </w:r>
          </w:p>
        </w:tc>
        <w:tc>
          <w:tcPr>
            <w:tcW w:w="1458" w:type="pct"/>
            <w:noWrap w:val="0"/>
            <w:vAlign w:val="center"/>
          </w:tcPr>
          <w:p w14:paraId="5E6C0A3C">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Thermo、111</w:t>
            </w:r>
          </w:p>
        </w:tc>
        <w:tc>
          <w:tcPr>
            <w:tcW w:w="643" w:type="pct"/>
            <w:noWrap w:val="0"/>
            <w:vAlign w:val="center"/>
          </w:tcPr>
          <w:p w14:paraId="5C6743AF">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06EB89D5">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2DB90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4C7F6146">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9</w:t>
            </w:r>
          </w:p>
        </w:tc>
        <w:tc>
          <w:tcPr>
            <w:tcW w:w="1681" w:type="pct"/>
            <w:noWrap w:val="0"/>
            <w:vAlign w:val="center"/>
          </w:tcPr>
          <w:p w14:paraId="09137565">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气象五参数</w:t>
            </w:r>
          </w:p>
        </w:tc>
        <w:tc>
          <w:tcPr>
            <w:tcW w:w="1458" w:type="pct"/>
            <w:noWrap w:val="0"/>
            <w:vAlign w:val="center"/>
          </w:tcPr>
          <w:p w14:paraId="7316CDF0">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智翔宇、</w:t>
            </w:r>
            <w:r>
              <w:rPr>
                <w:rFonts w:hint="eastAsia" w:ascii="宋体" w:hAnsi="宋体" w:eastAsia="宋体" w:cs="宋体"/>
                <w:color w:val="auto"/>
                <w:sz w:val="24"/>
                <w:szCs w:val="24"/>
                <w:highlight w:val="none"/>
                <w:lang w:val="en-US" w:eastAsia="zh-CN"/>
              </w:rPr>
              <w:t>WS-6P</w:t>
            </w:r>
          </w:p>
        </w:tc>
        <w:tc>
          <w:tcPr>
            <w:tcW w:w="643" w:type="pct"/>
            <w:noWrap w:val="0"/>
            <w:vAlign w:val="center"/>
          </w:tcPr>
          <w:p w14:paraId="56E1CB13">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0EDFDD06">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0437B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7835E48C">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10</w:t>
            </w:r>
          </w:p>
        </w:tc>
        <w:tc>
          <w:tcPr>
            <w:tcW w:w="1681" w:type="pct"/>
            <w:noWrap w:val="0"/>
            <w:vAlign w:val="center"/>
          </w:tcPr>
          <w:p w14:paraId="42057AB4">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配套采样系统</w:t>
            </w:r>
          </w:p>
        </w:tc>
        <w:tc>
          <w:tcPr>
            <w:tcW w:w="1458" w:type="pct"/>
            <w:noWrap w:val="0"/>
            <w:vAlign w:val="center"/>
          </w:tcPr>
          <w:p w14:paraId="3A8A5DE7">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青岛绿杨LY2020</w:t>
            </w:r>
          </w:p>
        </w:tc>
        <w:tc>
          <w:tcPr>
            <w:tcW w:w="643" w:type="pct"/>
            <w:noWrap w:val="0"/>
            <w:vAlign w:val="center"/>
          </w:tcPr>
          <w:p w14:paraId="284D29F0">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2B03BBF7">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4183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52EF7A98">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11</w:t>
            </w:r>
          </w:p>
        </w:tc>
        <w:tc>
          <w:tcPr>
            <w:tcW w:w="1681" w:type="pct"/>
            <w:noWrap w:val="0"/>
            <w:vAlign w:val="center"/>
          </w:tcPr>
          <w:p w14:paraId="2D888FB6">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配套机柜</w:t>
            </w:r>
          </w:p>
        </w:tc>
        <w:tc>
          <w:tcPr>
            <w:tcW w:w="1458" w:type="pct"/>
            <w:noWrap w:val="0"/>
            <w:vAlign w:val="center"/>
          </w:tcPr>
          <w:p w14:paraId="419813D3">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苏力定制</w:t>
            </w:r>
          </w:p>
        </w:tc>
        <w:tc>
          <w:tcPr>
            <w:tcW w:w="643" w:type="pct"/>
            <w:noWrap w:val="0"/>
            <w:vAlign w:val="center"/>
          </w:tcPr>
          <w:p w14:paraId="40BA1F6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5E1230F9">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13EE0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64F3F3CF">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12</w:t>
            </w:r>
          </w:p>
        </w:tc>
        <w:tc>
          <w:tcPr>
            <w:tcW w:w="1681" w:type="pct"/>
            <w:noWrap w:val="0"/>
            <w:vAlign w:val="center"/>
          </w:tcPr>
          <w:p w14:paraId="6BF26948">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稳压器</w:t>
            </w:r>
          </w:p>
        </w:tc>
        <w:tc>
          <w:tcPr>
            <w:tcW w:w="1458" w:type="pct"/>
            <w:noWrap w:val="0"/>
            <w:vAlign w:val="center"/>
          </w:tcPr>
          <w:p w14:paraId="668A0238">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正泰、TND1-5</w:t>
            </w:r>
          </w:p>
        </w:tc>
        <w:tc>
          <w:tcPr>
            <w:tcW w:w="643" w:type="pct"/>
            <w:noWrap w:val="0"/>
            <w:vAlign w:val="center"/>
          </w:tcPr>
          <w:p w14:paraId="756200C6">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4005AE21">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7454E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45A418D6">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13</w:t>
            </w:r>
          </w:p>
        </w:tc>
        <w:tc>
          <w:tcPr>
            <w:tcW w:w="1681" w:type="pct"/>
            <w:noWrap w:val="0"/>
            <w:vAlign w:val="center"/>
          </w:tcPr>
          <w:p w14:paraId="58C3693B">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不间断电源 UPS</w:t>
            </w:r>
          </w:p>
        </w:tc>
        <w:tc>
          <w:tcPr>
            <w:tcW w:w="1458" w:type="pct"/>
            <w:noWrap w:val="0"/>
            <w:vAlign w:val="center"/>
          </w:tcPr>
          <w:p w14:paraId="705462C4">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山特、C6KS</w:t>
            </w:r>
          </w:p>
        </w:tc>
        <w:tc>
          <w:tcPr>
            <w:tcW w:w="643" w:type="pct"/>
            <w:noWrap w:val="0"/>
            <w:vAlign w:val="center"/>
          </w:tcPr>
          <w:p w14:paraId="03EEB952">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676C5D04">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5A14A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528E6961">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14</w:t>
            </w:r>
          </w:p>
        </w:tc>
        <w:tc>
          <w:tcPr>
            <w:tcW w:w="1681" w:type="pct"/>
            <w:noWrap w:val="0"/>
            <w:vAlign w:val="center"/>
          </w:tcPr>
          <w:p w14:paraId="7C56A403">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视频监控系统</w:t>
            </w:r>
          </w:p>
        </w:tc>
        <w:tc>
          <w:tcPr>
            <w:tcW w:w="1458" w:type="pct"/>
            <w:noWrap w:val="0"/>
            <w:vAlign w:val="center"/>
          </w:tcPr>
          <w:p w14:paraId="25426086">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海康威视、</w:t>
            </w:r>
            <w:r>
              <w:rPr>
                <w:rFonts w:hint="eastAsia" w:ascii="宋体" w:hAnsi="宋体" w:eastAsia="宋体" w:cs="宋体"/>
                <w:color w:val="auto"/>
                <w:sz w:val="24"/>
                <w:szCs w:val="24"/>
                <w:highlight w:val="none"/>
                <w:lang w:val="en-US" w:eastAsia="zh-CN"/>
              </w:rPr>
              <w:t>DS-2DE722TH1W</w:t>
            </w:r>
          </w:p>
        </w:tc>
        <w:tc>
          <w:tcPr>
            <w:tcW w:w="643" w:type="pct"/>
            <w:noWrap w:val="0"/>
            <w:vAlign w:val="center"/>
          </w:tcPr>
          <w:p w14:paraId="441B456A">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350C435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3842E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3" w:type="pct"/>
            <w:noWrap w:val="0"/>
            <w:vAlign w:val="center"/>
          </w:tcPr>
          <w:p w14:paraId="081B1704">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15</w:t>
            </w:r>
          </w:p>
        </w:tc>
        <w:tc>
          <w:tcPr>
            <w:tcW w:w="1681" w:type="pct"/>
            <w:noWrap w:val="0"/>
            <w:vAlign w:val="center"/>
          </w:tcPr>
          <w:p w14:paraId="2C37B5DB">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工</w:t>
            </w:r>
            <w:r>
              <w:rPr>
                <w:rFonts w:hint="eastAsia" w:ascii="宋体" w:hAnsi="宋体" w:eastAsia="宋体" w:cs="宋体"/>
                <w:color w:val="auto"/>
                <w:sz w:val="24"/>
                <w:szCs w:val="24"/>
                <w:highlight w:val="none"/>
                <w:lang w:val="en-US" w:eastAsia="zh-CN"/>
              </w:rPr>
              <w:t>控机</w:t>
            </w:r>
          </w:p>
        </w:tc>
        <w:tc>
          <w:tcPr>
            <w:tcW w:w="1458" w:type="pct"/>
            <w:noWrap w:val="0"/>
            <w:vAlign w:val="center"/>
          </w:tcPr>
          <w:p w14:paraId="2E6A8D7D">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研华</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610</w:t>
            </w:r>
          </w:p>
        </w:tc>
        <w:tc>
          <w:tcPr>
            <w:tcW w:w="643" w:type="pct"/>
            <w:noWrap w:val="0"/>
            <w:vAlign w:val="center"/>
          </w:tcPr>
          <w:p w14:paraId="536DD3A0">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0FC85BF0">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r w14:paraId="3620D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03" w:type="pct"/>
            <w:noWrap w:val="0"/>
            <w:vAlign w:val="center"/>
          </w:tcPr>
          <w:p w14:paraId="7B403DF3">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val="en-US" w:eastAsia="zh-CN"/>
              </w:rPr>
              <w:t>6</w:t>
            </w:r>
          </w:p>
        </w:tc>
        <w:tc>
          <w:tcPr>
            <w:tcW w:w="1681" w:type="pct"/>
            <w:noWrap w:val="0"/>
            <w:vAlign w:val="center"/>
          </w:tcPr>
          <w:p w14:paraId="53475ECE">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站房</w:t>
            </w:r>
          </w:p>
        </w:tc>
        <w:tc>
          <w:tcPr>
            <w:tcW w:w="1458" w:type="pct"/>
            <w:noWrap w:val="0"/>
            <w:vAlign w:val="center"/>
          </w:tcPr>
          <w:p w14:paraId="24F70837">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定制</w:t>
            </w:r>
          </w:p>
        </w:tc>
        <w:tc>
          <w:tcPr>
            <w:tcW w:w="643" w:type="pct"/>
            <w:noWrap w:val="0"/>
            <w:vAlign w:val="center"/>
          </w:tcPr>
          <w:p w14:paraId="28F3DFBA">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套</w:t>
            </w:r>
          </w:p>
        </w:tc>
        <w:tc>
          <w:tcPr>
            <w:tcW w:w="713" w:type="pct"/>
            <w:noWrap w:val="0"/>
            <w:vAlign w:val="center"/>
          </w:tcPr>
          <w:p w14:paraId="6A3D5857">
            <w:pPr>
              <w:pStyle w:val="201"/>
              <w:keepNext w:val="0"/>
              <w:keepLines w:val="0"/>
              <w:pageBreakBefore w:val="0"/>
              <w:widowControl w:val="0"/>
              <w:spacing w:line="240" w:lineRule="auto"/>
              <w:ind w:firstLine="0"/>
              <w:jc w:val="center"/>
              <w:rPr>
                <w:rFonts w:hint="eastAsia" w:ascii="宋体" w:hAnsi="宋体" w:eastAsia="宋体" w:cs="宋体"/>
                <w:color w:val="auto"/>
                <w:sz w:val="24"/>
                <w:szCs w:val="24"/>
                <w:highlight w:val="none"/>
                <w:lang w:val="zh-CN" w:eastAsia="zh-CN"/>
              </w:rPr>
            </w:pPr>
          </w:p>
        </w:tc>
      </w:tr>
    </w:tbl>
    <w:p w14:paraId="61626D91">
      <w:pPr>
        <w:pStyle w:val="201"/>
        <w:keepNext w:val="0"/>
        <w:keepLines w:val="0"/>
        <w:pageBreakBefore w:val="0"/>
        <w:widowControl w:val="0"/>
        <w:spacing w:line="440" w:lineRule="exact"/>
        <w:ind w:firstLine="482"/>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（二）服务要求（包含但不局限于以下要求）</w:t>
      </w:r>
    </w:p>
    <w:p w14:paraId="50572B21">
      <w:pPr>
        <w:pStyle w:val="201"/>
        <w:spacing w:line="440" w:lineRule="exact"/>
        <w:ind w:firstLine="482"/>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1、总体要求</w:t>
      </w:r>
    </w:p>
    <w:p w14:paraId="2E2D8A05">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▲成交供应商需为</w:t>
      </w:r>
      <w:r>
        <w:rPr>
          <w:rFonts w:hint="eastAsia" w:ascii="宋体" w:hAnsi="宋体" w:eastAsia="宋体" w:cs="宋体"/>
          <w:color w:val="auto"/>
          <w:sz w:val="24"/>
          <w:szCs w:val="24"/>
          <w:lang w:val="en-US" w:eastAsia="zh-CN"/>
        </w:rPr>
        <w:t>滨海县</w:t>
      </w:r>
      <w:r>
        <w:rPr>
          <w:rFonts w:hint="eastAsia" w:ascii="宋体" w:hAnsi="宋体" w:eastAsia="宋体" w:cs="宋体"/>
          <w:color w:val="auto"/>
          <w:sz w:val="24"/>
          <w:szCs w:val="24"/>
          <w:lang w:val="zh-CN"/>
        </w:rPr>
        <w:t>镇区空气站点提供</w:t>
      </w:r>
      <w:r>
        <w:rPr>
          <w:rFonts w:hint="eastAsia" w:ascii="宋体" w:hAnsi="宋体" w:eastAsia="宋体" w:cs="宋体"/>
          <w:color w:val="auto"/>
          <w:sz w:val="24"/>
          <w:szCs w:val="24"/>
          <w:lang w:val="en-US" w:eastAsia="zh-CN"/>
        </w:rPr>
        <w:t>两</w:t>
      </w:r>
      <w:r>
        <w:rPr>
          <w:rFonts w:hint="eastAsia" w:ascii="宋体" w:hAnsi="宋体" w:eastAsia="宋体" w:cs="宋体"/>
          <w:color w:val="auto"/>
          <w:sz w:val="24"/>
          <w:szCs w:val="24"/>
          <w:lang w:val="zh-CN"/>
        </w:rPr>
        <w:t>年运维服务。运维服务期内，保障上述空气站设备清单内列明的设备设施，以及其他未列明但是保障空气站稳定运行的其他辅助设施，均能持续稳定运行，并根据要求对自动监测数据进行统计汇总，出具空气质量日报、月报、季报、年报等。</w:t>
      </w:r>
    </w:p>
    <w:p w14:paraId="64D987AD">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1.1成交供应商须为本项目在滨海县配备至少2名现场运维人员，现场运维人员从事空气自动站运维工作一年以上，具有国家总站颁发的环境空气自动监测运维培训合格证书，具备空气自动监测站的现场维护经验，熟悉系统和常规六参数等各类仪器的日常操作，有能力处理系统出现的问题和对监测数据分析的能力。运维人员必须为供应商正式员工，与供应商签订劳动合同并缴纳社会保险，鼓励在滨海设置驻点。</w:t>
      </w:r>
    </w:p>
    <w:p w14:paraId="1E680A8F">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1.2不论何时，供应商都应承担监测数据的保密责任，不得以任何方式向外界传递任何监测数据。</w:t>
      </w:r>
    </w:p>
    <w:p w14:paraId="38719088">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1.3服务期间，在合同约束范围内供应商拥有管理自主权。委托运行维护及管理的全部资产（包括建筑物、设备、软件、配套设施和监控系统产生的各类数据信息及相关文档资料）属采购人所有，供应商不得以任何方式对各类资产进行出售、抵押或转移，供应商有责任保证上述全部资产的完整、安全并处于良好状态。</w:t>
      </w:r>
    </w:p>
    <w:p w14:paraId="56DC5003">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1.4上级发布新的政策规范，工作要求会作相应调整；其他未明确的要求，根据实际运维工作确定，供应商必须服从安排。</w:t>
      </w:r>
    </w:p>
    <w:p w14:paraId="359C531D">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1.5响应文件中应提供完整的运维实施方案（含运维服务方案、质控方案、数据审核及异常数据判断方案、交接方案、应急预案等），明确维护方法、周期、内容及技术保障，明确质量控制的方法、周期、内容及技术保障，明确数据审核的方法、技术保障及管理措施等。</w:t>
      </w:r>
    </w:p>
    <w:p w14:paraId="20B854FE">
      <w:pPr>
        <w:pStyle w:val="201"/>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相关站点的电费、通讯费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环境空气质量联网管理平台运维费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运维耗材</w:t>
      </w:r>
      <w:r>
        <w:rPr>
          <w:rFonts w:hint="eastAsia" w:ascii="宋体" w:hAnsi="宋体" w:eastAsia="宋体" w:cs="宋体"/>
          <w:color w:val="auto"/>
          <w:sz w:val="24"/>
          <w:szCs w:val="24"/>
          <w:highlight w:val="none"/>
        </w:rPr>
        <w:t>以及站房基础设施、电力设施、通讯设施和防雷设施的日常维护费全部由投标人承担，并包含在本项目投标报价中。</w:t>
      </w:r>
    </w:p>
    <w:p w14:paraId="07190C23">
      <w:pPr>
        <w:pStyle w:val="201"/>
        <w:spacing w:line="440" w:lineRule="exact"/>
        <w:ind w:firstLine="482"/>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2、运行维护工作要求</w:t>
      </w:r>
    </w:p>
    <w:p w14:paraId="41A0B8AA">
      <w:pPr>
        <w:pStyle w:val="201"/>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zh-CN"/>
        </w:rPr>
        <w:t>2.1供应商应严格按照《环境空气颗粒物（PM10 和 PM2.5）连续自动监测系统运行和质控技术规范》HJ817-2018、《环境空气气态污染物（SO2、NO2、O3、CO）连续自动监测系统运行和质控技术规范》HJ818-2018、《环境空气质量标准》GB3095-2012、《环境空气颗粒物（PM10 和 PM2.5）连续自动监测系统技术要求及检测方法》HJ653-2021、《环境空气气态污染物（SO2、NO2、O3、CO）连续自动监测系统技术要求及检测方法》HJ654-2013、《国家环境空气质量监测网络城市站运行管理办法》</w:t>
      </w:r>
      <w:r>
        <w:rPr>
          <w:rFonts w:hint="eastAsia" w:ascii="宋体" w:hAnsi="宋体" w:eastAsia="宋体" w:cs="宋体"/>
          <w:color w:val="auto"/>
          <w:sz w:val="24"/>
          <w:szCs w:val="24"/>
        </w:rPr>
        <w:t>）《江苏省省控环境空气质量自动监测站运行管理实施细则（试行）》</w:t>
      </w:r>
      <w:r>
        <w:rPr>
          <w:rFonts w:hint="eastAsia" w:ascii="宋体" w:hAnsi="宋体" w:eastAsia="宋体" w:cs="宋体"/>
          <w:color w:val="auto"/>
          <w:sz w:val="24"/>
          <w:szCs w:val="24"/>
          <w:lang w:val="zh-CN"/>
        </w:rPr>
        <w:t>等现行有效的国家技术规范开展本项目工作。</w:t>
      </w:r>
    </w:p>
    <w:p w14:paraId="0D70487F">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2.2每天远程查看数据采集情况</w:t>
      </w:r>
      <w:r>
        <w:rPr>
          <w:rFonts w:hint="eastAsia" w:ascii="宋体" w:hAnsi="宋体" w:eastAsia="宋体" w:cs="宋体"/>
          <w:color w:val="auto"/>
          <w:sz w:val="24"/>
          <w:szCs w:val="24"/>
          <w:highlight w:val="none"/>
          <w:lang w:val="zh-CN"/>
        </w:rPr>
        <w:t>，</w:t>
      </w:r>
      <w:r>
        <w:rPr>
          <w:rFonts w:hint="eastAsia" w:ascii="宋体" w:hAnsi="宋体" w:eastAsia="宋体" w:cs="宋体"/>
          <w:b w:val="0"/>
          <w:bCs w:val="0"/>
          <w:color w:val="auto"/>
          <w:spacing w:val="0"/>
          <w:sz w:val="24"/>
          <w:szCs w:val="24"/>
          <w:highlight w:val="none"/>
          <w:lang w:val="zh-CN"/>
        </w:rPr>
        <w:t>各参数实时数据范围、仪器运行状态</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lang w:val="zh-CN"/>
        </w:rPr>
        <w:t>分析监测数据，对站点运行情况进行远程诊断和运行管理。每周一次对气象仪器的运行情况进行检查。</w:t>
      </w:r>
    </w:p>
    <w:p w14:paraId="010B71B6">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2.3气态监测仪运维</w:t>
      </w:r>
    </w:p>
    <w:p w14:paraId="3A44AD4D">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（1）检查监测仪器的运行状况和工作状态参数是否正常。</w:t>
      </w:r>
    </w:p>
    <w:p w14:paraId="781475D5">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（2）检查采样和排气管路是否有漏气或堵塞现象。</w:t>
      </w:r>
    </w:p>
    <w:p w14:paraId="6E3B3024">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（3）检查仪器数据采集仪和平台数据是否一致。</w:t>
      </w:r>
    </w:p>
    <w:p w14:paraId="5C807F04">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（4）每周一次检查保护范围内是否正常，有没有对测定结果或运行环境存在明显影响的情况。</w:t>
      </w:r>
    </w:p>
    <w:p w14:paraId="1112AB44">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（5）每周一次更换监测仪器的采样颗粒物过滤膜。</w:t>
      </w:r>
    </w:p>
    <w:p w14:paraId="7494B5E1">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（6）每周一次进行零点及标点检查，根据情况进行校准，并对仪器的状态进行记录。</w:t>
      </w:r>
    </w:p>
    <w:p w14:paraId="6AF0F6F4">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（7）每周一次对仪器显示数据和数据采集仪之间的一致性进行检查，并对数据进行备份。</w:t>
      </w:r>
    </w:p>
    <w:p w14:paraId="62133F76">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（8）每季度一次采样管路进行清洗。</w:t>
      </w:r>
    </w:p>
    <w:p w14:paraId="6A70D973">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（9）每季度一次进行流量及精密度、准确度检查。</w:t>
      </w:r>
    </w:p>
    <w:p w14:paraId="05FE778F">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（10）每季度一次进行多点线性检查。</w:t>
      </w:r>
    </w:p>
    <w:p w14:paraId="3BB93A29">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（11）半年一次对氮氧化物分析仪钼炉转化率进行检查。</w:t>
      </w:r>
    </w:p>
    <w:p w14:paraId="5D33C406">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（12）</w:t>
      </w:r>
      <w:r>
        <w:rPr>
          <w:rFonts w:hint="eastAsia" w:ascii="宋体" w:hAnsi="宋体" w:eastAsia="宋体" w:cs="宋体"/>
          <w:color w:val="auto"/>
          <w:sz w:val="24"/>
          <w:szCs w:val="24"/>
        </w:rPr>
        <w:t>检查钢瓶压力、灭火器压力等，检查钢瓶气的有效时间，保证在使用有效期，</w:t>
      </w:r>
      <w:r>
        <w:rPr>
          <w:rFonts w:hint="eastAsia" w:ascii="宋体" w:hAnsi="宋体" w:eastAsia="宋体" w:cs="宋体"/>
          <w:color w:val="auto"/>
          <w:sz w:val="24"/>
          <w:szCs w:val="24"/>
          <w:lang w:val="zh-CN"/>
        </w:rPr>
        <w:t>每年一次更换标气。</w:t>
      </w:r>
    </w:p>
    <w:p w14:paraId="68910E27">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（13）每年一次对所有的仪器进行预防性维护，包括线性、零点漂移、量程漂移、 精密度、准确度检查，按说明书的要求更换备件。</w:t>
      </w:r>
    </w:p>
    <w:p w14:paraId="165752A8">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2.4 颗粒物监测仪运维</w:t>
      </w:r>
    </w:p>
    <w:p w14:paraId="57F3A2B6">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（1）每日检查监测仪器的运行状况和工作状态参数是否正常。</w:t>
      </w:r>
    </w:p>
    <w:p w14:paraId="10B7CF89">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（2）每日检查采样和排气管路是否有漏气或堵塞现象。</w:t>
      </w:r>
    </w:p>
    <w:p w14:paraId="27509FF7">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（3）每日检查仪器数据采集仪与平台数据是否一致。</w:t>
      </w:r>
    </w:p>
    <w:p w14:paraId="1D4D7CAB">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（4）每周一次详细检查仪器各项参数包括温湿度、流量以及报警状态，</w:t>
      </w:r>
      <w:r>
        <w:rPr>
          <w:rFonts w:hint="eastAsia" w:ascii="宋体" w:hAnsi="宋体" w:eastAsia="宋体" w:cs="宋体"/>
          <w:color w:val="auto"/>
          <w:sz w:val="24"/>
          <w:szCs w:val="24"/>
        </w:rPr>
        <w:t>检查颗粒物纸带打点及</w:t>
      </w:r>
      <w:r>
        <w:rPr>
          <w:rFonts w:hint="eastAsia" w:ascii="宋体" w:hAnsi="宋体" w:eastAsia="宋体" w:cs="宋体"/>
          <w:color w:val="auto"/>
          <w:sz w:val="24"/>
          <w:szCs w:val="24"/>
          <w:lang w:val="zh-CN"/>
        </w:rPr>
        <w:t>纸带剩余情况。</w:t>
      </w:r>
    </w:p>
    <w:p w14:paraId="23754F10">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（5）</w:t>
      </w:r>
      <w:r>
        <w:rPr>
          <w:rFonts w:hint="eastAsia" w:ascii="宋体" w:hAnsi="宋体" w:eastAsia="宋体" w:cs="宋体"/>
          <w:color w:val="auto"/>
          <w:sz w:val="24"/>
          <w:szCs w:val="24"/>
        </w:rPr>
        <w:t>定期清理颗粒物采样头、切割器，定期清理颗粒物采样平台，</w:t>
      </w:r>
      <w:r>
        <w:rPr>
          <w:rFonts w:hint="eastAsia" w:ascii="宋体" w:hAnsi="宋体" w:eastAsia="宋体" w:cs="宋体"/>
          <w:color w:val="auto"/>
          <w:sz w:val="24"/>
          <w:szCs w:val="24"/>
          <w:lang w:val="zh-CN"/>
        </w:rPr>
        <w:t>每月一次对采样切割头进行清洗。</w:t>
      </w:r>
    </w:p>
    <w:p w14:paraId="11A95CDF">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（6）</w:t>
      </w:r>
      <w:r>
        <w:rPr>
          <w:rFonts w:hint="eastAsia" w:ascii="宋体" w:hAnsi="宋体" w:eastAsia="宋体" w:cs="宋体"/>
          <w:color w:val="auto"/>
          <w:sz w:val="24"/>
          <w:szCs w:val="24"/>
        </w:rPr>
        <w:t>每周校准颗粒物采样流量，对校准不合格的仪器进行现场校准。</w:t>
      </w:r>
    </w:p>
    <w:p w14:paraId="179301B5">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（7）每半年对采样管路进行清洗。</w:t>
      </w:r>
    </w:p>
    <w:p w14:paraId="03701011">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（8）每年用标准膜进行校准质量。</w:t>
      </w:r>
    </w:p>
    <w:p w14:paraId="41CCF3B0">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（9）每年对泵进行大保养（泵膜更换、碳刷更换）。</w:t>
      </w:r>
    </w:p>
    <w:p w14:paraId="28C9A16A">
      <w:pPr>
        <w:pStyle w:val="201"/>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zh-CN"/>
        </w:rPr>
        <w:t>（10）每年一次对所有的仪器进行预防性维护，按说明书的要求更换备件。</w:t>
      </w:r>
    </w:p>
    <w:p w14:paraId="737CADF5">
      <w:pPr>
        <w:pStyle w:val="201"/>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2.5站点环境检查</w:t>
      </w:r>
    </w:p>
    <w:p w14:paraId="152553E1">
      <w:pPr>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rPr>
        <w:t>（1）检查点位周围环境变化及安全隐患等，</w:t>
      </w:r>
      <w:r>
        <w:rPr>
          <w:rFonts w:hint="eastAsia" w:ascii="宋体" w:hAnsi="宋体" w:eastAsia="宋体" w:cs="宋体"/>
          <w:color w:val="auto"/>
          <w:sz w:val="24"/>
          <w:szCs w:val="24"/>
          <w:lang w:val="zh-CN"/>
        </w:rPr>
        <w:t>包括是否有污染源、是否存在人为干扰现象等，发现有影响空气站运行的情况应立即报告。</w:t>
      </w:r>
    </w:p>
    <w:p w14:paraId="7841161D">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（2）检查子站供电、接地线路等；</w:t>
      </w:r>
    </w:p>
    <w:p w14:paraId="05388CF5">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（3）雨天检查子站是否有漏水现象等</w:t>
      </w:r>
    </w:p>
    <w:p w14:paraId="770EC9CC">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（4）检查子站空调运行情况，室内温湿度是否符合要求，温度（15℃-35℃）、湿度（小于85%），进入夏季前，要对空调内外机灰尘进行全面清洗</w:t>
      </w:r>
    </w:p>
    <w:p w14:paraId="36E644DF">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（5）对站房周边影响数据的环境变化，及时拍照取证，并通知相关人员；</w:t>
      </w:r>
    </w:p>
    <w:p w14:paraId="5A16B217">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（6）保持站房内外卫生状况。</w:t>
      </w:r>
    </w:p>
    <w:p w14:paraId="44D1A52F">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（7）检查仪器采样总管及支路管路是否有冷凝现象；</w:t>
      </w:r>
    </w:p>
    <w:p w14:paraId="3A54B5F5">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（8）检查子站采样风机工作状况；</w:t>
      </w:r>
    </w:p>
    <w:p w14:paraId="65FD90B0">
      <w:pPr>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rPr>
        <w:t>（9）检查子站数据采集器工作状况及及通讯情况</w:t>
      </w:r>
    </w:p>
    <w:p w14:paraId="519B2875">
      <w:pPr>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2.6</w:t>
      </w:r>
      <w:r>
        <w:rPr>
          <w:rFonts w:hint="eastAsia" w:ascii="宋体" w:hAnsi="宋体" w:eastAsia="宋体" w:cs="宋体"/>
          <w:color w:val="auto"/>
          <w:sz w:val="24"/>
          <w:szCs w:val="24"/>
          <w:highlight w:val="none"/>
          <w:lang w:val="en-US" w:eastAsia="zh-CN"/>
        </w:rPr>
        <w:t>质量管理</w:t>
      </w:r>
      <w:r>
        <w:rPr>
          <w:rFonts w:hint="eastAsia" w:ascii="宋体" w:hAnsi="宋体" w:eastAsia="宋体" w:cs="宋体"/>
          <w:color w:val="auto"/>
          <w:sz w:val="24"/>
          <w:szCs w:val="24"/>
          <w:highlight w:val="none"/>
        </w:rPr>
        <w:t>平台及手机APP</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只需包件一提供</w:t>
      </w:r>
      <w:r>
        <w:rPr>
          <w:rFonts w:hint="eastAsia" w:ascii="宋体" w:hAnsi="宋体" w:eastAsia="宋体" w:cs="宋体"/>
          <w:b/>
          <w:bCs/>
          <w:color w:val="auto"/>
          <w:sz w:val="24"/>
          <w:szCs w:val="24"/>
          <w:highlight w:val="none"/>
          <w:lang w:eastAsia="zh-CN"/>
        </w:rPr>
        <w:t>）</w:t>
      </w:r>
    </w:p>
    <w:p w14:paraId="4F090B70">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系统能够对各类监测点数据</w:t>
      </w:r>
      <w:r>
        <w:rPr>
          <w:rFonts w:hint="eastAsia" w:ascii="宋体" w:hAnsi="宋体" w:eastAsia="宋体" w:cs="宋体"/>
          <w:b/>
          <w:bCs/>
          <w:color w:val="auto"/>
          <w:sz w:val="24"/>
          <w:szCs w:val="24"/>
          <w:lang w:val="zh-CN"/>
        </w:rPr>
        <w:t>（</w:t>
      </w:r>
      <w:r>
        <w:rPr>
          <w:rFonts w:hint="eastAsia" w:ascii="宋体" w:hAnsi="宋体" w:eastAsia="宋体" w:cs="宋体"/>
          <w:b/>
          <w:bCs/>
          <w:color w:val="auto"/>
          <w:sz w:val="24"/>
          <w:szCs w:val="24"/>
          <w:lang w:val="en-US" w:eastAsia="zh-CN"/>
        </w:rPr>
        <w:t>含历史数据</w:t>
      </w:r>
      <w:r>
        <w:rPr>
          <w:rFonts w:hint="eastAsia" w:ascii="宋体" w:hAnsi="宋体" w:eastAsia="宋体" w:cs="宋体"/>
          <w:b/>
          <w:bCs/>
          <w:color w:val="auto"/>
          <w:sz w:val="24"/>
          <w:szCs w:val="24"/>
          <w:lang w:val="zh-CN"/>
        </w:rPr>
        <w:t>）</w:t>
      </w:r>
      <w:r>
        <w:rPr>
          <w:rFonts w:hint="eastAsia" w:ascii="宋体" w:hAnsi="宋体" w:eastAsia="宋体" w:cs="宋体"/>
          <w:color w:val="auto"/>
          <w:sz w:val="24"/>
          <w:szCs w:val="24"/>
          <w:lang w:val="zh-CN"/>
        </w:rPr>
        <w:t>进行采集、接收，并按照业务需要进行数据管理及应用。平台软件功能要求如下：</w:t>
      </w:r>
    </w:p>
    <w:p w14:paraId="5DD652AF">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 1 \* GB3 </w:instrText>
      </w:r>
      <w:r>
        <w:rPr>
          <w:rFonts w:hint="eastAsia" w:ascii="宋体" w:hAnsi="宋体" w:eastAsia="宋体" w:cs="宋体"/>
          <w:color w:val="auto"/>
          <w:sz w:val="24"/>
          <w:szCs w:val="24"/>
          <w:lang w:val="zh-CN"/>
        </w:rPr>
        <w:fldChar w:fldCharType="separate"/>
      </w:r>
      <w:r>
        <w:rPr>
          <w:rFonts w:hint="eastAsia" w:ascii="宋体" w:hAnsi="宋体" w:eastAsia="宋体" w:cs="宋体"/>
          <w:color w:val="auto"/>
          <w:sz w:val="24"/>
          <w:szCs w:val="24"/>
          <w:lang w:val="zh-CN"/>
        </w:rPr>
        <w:t>①</w:t>
      </w:r>
      <w:r>
        <w:rPr>
          <w:rFonts w:hint="eastAsia" w:ascii="宋体" w:hAnsi="宋体" w:eastAsia="宋体" w:cs="宋体"/>
          <w:color w:val="auto"/>
          <w:sz w:val="24"/>
          <w:szCs w:val="24"/>
          <w:lang w:val="zh-CN"/>
        </w:rPr>
        <w:fldChar w:fldCharType="end"/>
      </w:r>
      <w:r>
        <w:rPr>
          <w:rFonts w:hint="eastAsia" w:ascii="宋体" w:hAnsi="宋体" w:eastAsia="宋体" w:cs="宋体"/>
          <w:color w:val="auto"/>
          <w:sz w:val="24"/>
          <w:szCs w:val="24"/>
          <w:lang w:val="zh-CN"/>
        </w:rPr>
        <w:t>数据查询：</w:t>
      </w:r>
      <w:bookmarkStart w:id="96" w:name="_Toc461025997"/>
      <w:r>
        <w:rPr>
          <w:rFonts w:hint="eastAsia" w:ascii="宋体" w:hAnsi="宋体" w:eastAsia="宋体" w:cs="宋体"/>
          <w:color w:val="auto"/>
          <w:sz w:val="24"/>
          <w:szCs w:val="24"/>
          <w:lang w:val="zh-CN"/>
        </w:rPr>
        <w:t>首页，可以查询到实时数据、原始数据、审核数据、气象数据、均值查询。</w:t>
      </w:r>
    </w:p>
    <w:p w14:paraId="699EA043">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首页中</w:t>
      </w:r>
      <w:bookmarkStart w:id="97" w:name="OLE_LINK1"/>
      <w:r>
        <w:rPr>
          <w:rFonts w:hint="eastAsia" w:ascii="宋体" w:hAnsi="宋体" w:eastAsia="宋体" w:cs="宋体"/>
          <w:color w:val="auto"/>
          <w:sz w:val="24"/>
          <w:szCs w:val="24"/>
          <w:lang w:val="zh-CN"/>
        </w:rPr>
        <w:t>考核目标序时进展模块,空气质量等级模块，近十日空气质量变化模块</w:t>
      </w:r>
      <w:bookmarkEnd w:id="97"/>
    </w:p>
    <w:bookmarkEnd w:id="96"/>
    <w:p w14:paraId="0455F8DA">
      <w:pPr>
        <w:pStyle w:val="201"/>
        <w:spacing w:line="440" w:lineRule="exact"/>
        <w:ind w:firstLine="480"/>
        <w:rPr>
          <w:rFonts w:hint="eastAsia" w:ascii="宋体" w:hAnsi="宋体" w:eastAsia="宋体" w:cs="宋体"/>
          <w:color w:val="auto"/>
          <w:sz w:val="24"/>
          <w:szCs w:val="24"/>
          <w:lang w:val="zh-CN"/>
        </w:rPr>
      </w:pPr>
      <w:bookmarkStart w:id="98" w:name="OLE_LINK5"/>
      <w:r>
        <w:rPr>
          <w:rFonts w:hint="eastAsia" w:ascii="宋体" w:hAnsi="宋体" w:eastAsia="宋体" w:cs="宋体"/>
          <w:color w:val="auto"/>
          <w:sz w:val="24"/>
          <w:szCs w:val="24"/>
          <w:lang w:val="zh-CN"/>
        </w:rPr>
        <w:t>实时数据：根据测点现场定义的上传间隔，得出实时数据值，通过此页面可以查到当前采购人下所有监测站点的最近一条数据</w:t>
      </w:r>
      <w:bookmarkEnd w:id="98"/>
      <w:r>
        <w:rPr>
          <w:rFonts w:hint="eastAsia" w:ascii="宋体" w:hAnsi="宋体" w:eastAsia="宋体" w:cs="宋体"/>
          <w:color w:val="auto"/>
          <w:sz w:val="24"/>
          <w:szCs w:val="24"/>
          <w:lang w:val="zh-CN"/>
        </w:rPr>
        <w:t>。</w:t>
      </w:r>
    </w:p>
    <w:p w14:paraId="04D52655">
      <w:pPr>
        <w:pStyle w:val="201"/>
        <w:spacing w:line="440" w:lineRule="exact"/>
        <w:ind w:firstLine="480"/>
        <w:rPr>
          <w:rFonts w:hint="eastAsia" w:ascii="宋体" w:hAnsi="宋体" w:eastAsia="宋体" w:cs="宋体"/>
          <w:color w:val="auto"/>
          <w:sz w:val="24"/>
          <w:szCs w:val="24"/>
          <w:lang w:val="zh-CN"/>
        </w:rPr>
      </w:pPr>
      <w:bookmarkStart w:id="99" w:name="OLE_LINK7"/>
      <w:r>
        <w:rPr>
          <w:rFonts w:hint="eastAsia" w:ascii="宋体" w:hAnsi="宋体" w:eastAsia="宋体" w:cs="宋体"/>
          <w:color w:val="auto"/>
          <w:sz w:val="24"/>
          <w:szCs w:val="24"/>
          <w:lang w:val="zh-CN"/>
        </w:rPr>
        <w:t>小时数据：为现场上传的数据，并未经过任何修约的数据。采购人可自己选择站点、时间段对小时数据进行查询和Excel导出。</w:t>
      </w:r>
      <w:bookmarkEnd w:id="99"/>
    </w:p>
    <w:p w14:paraId="2981BCD3">
      <w:pPr>
        <w:pStyle w:val="201"/>
        <w:spacing w:line="440" w:lineRule="exact"/>
        <w:ind w:firstLine="480"/>
        <w:rPr>
          <w:rFonts w:hint="eastAsia" w:ascii="宋体" w:hAnsi="宋体" w:eastAsia="宋体" w:cs="宋体"/>
          <w:color w:val="auto"/>
          <w:sz w:val="24"/>
          <w:szCs w:val="24"/>
          <w:lang w:val="zh-CN"/>
        </w:rPr>
      </w:pPr>
      <w:bookmarkStart w:id="100" w:name="OLE_LINK8"/>
      <w:r>
        <w:rPr>
          <w:rFonts w:hint="eastAsia" w:ascii="宋体" w:hAnsi="宋体" w:eastAsia="宋体" w:cs="宋体"/>
          <w:color w:val="auto"/>
          <w:sz w:val="24"/>
          <w:szCs w:val="24"/>
          <w:lang w:val="zh-CN"/>
        </w:rPr>
        <w:t>审核数据：是经过审核后的小时数据。</w:t>
      </w:r>
      <w:bookmarkEnd w:id="100"/>
      <w:r>
        <w:rPr>
          <w:rFonts w:hint="eastAsia" w:ascii="宋体" w:hAnsi="宋体" w:eastAsia="宋体" w:cs="宋体"/>
          <w:color w:val="auto"/>
          <w:sz w:val="24"/>
          <w:szCs w:val="24"/>
          <w:lang w:val="zh-CN"/>
        </w:rPr>
        <w:t>采购人可自己选择站点、时间段对历史数据进行查询和Excel导出。</w:t>
      </w:r>
    </w:p>
    <w:p w14:paraId="0679FD10">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 2 \* GB3 </w:instrText>
      </w:r>
      <w:r>
        <w:rPr>
          <w:rFonts w:hint="eastAsia" w:ascii="宋体" w:hAnsi="宋体" w:eastAsia="宋体" w:cs="宋体"/>
          <w:color w:val="auto"/>
          <w:sz w:val="24"/>
          <w:szCs w:val="24"/>
          <w:lang w:val="zh-CN"/>
        </w:rPr>
        <w:fldChar w:fldCharType="separate"/>
      </w:r>
      <w:r>
        <w:rPr>
          <w:rFonts w:hint="eastAsia" w:ascii="宋体" w:hAnsi="宋体" w:eastAsia="宋体" w:cs="宋体"/>
          <w:color w:val="auto"/>
          <w:sz w:val="24"/>
          <w:szCs w:val="24"/>
          <w:lang w:val="zh-CN"/>
        </w:rPr>
        <w:t>②</w:t>
      </w:r>
      <w:r>
        <w:rPr>
          <w:rFonts w:hint="eastAsia" w:ascii="宋体" w:hAnsi="宋体" w:eastAsia="宋体" w:cs="宋体"/>
          <w:color w:val="auto"/>
          <w:sz w:val="24"/>
          <w:szCs w:val="24"/>
          <w:lang w:val="zh-CN"/>
        </w:rPr>
        <w:fldChar w:fldCharType="end"/>
      </w:r>
      <w:r>
        <w:rPr>
          <w:rFonts w:hint="eastAsia" w:ascii="宋体" w:hAnsi="宋体" w:eastAsia="宋体" w:cs="宋体"/>
          <w:color w:val="auto"/>
          <w:sz w:val="24"/>
          <w:szCs w:val="24"/>
          <w:lang w:val="zh-CN"/>
        </w:rPr>
        <w:t>数据审核：包括数据审核、审核日历、审核日志。</w:t>
      </w:r>
    </w:p>
    <w:p w14:paraId="2A7C7BD9">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数据审核:采购人可通过对站点进行定位，再选择开始日期、截止日期，并点击“查询”按钮，查看该时间段内该站点所有监测因子的数据情况，将异常监测因子数据进行修改更新或者删除，并说明其原因对于查询结果支持Excel导出。</w:t>
      </w:r>
    </w:p>
    <w:p w14:paraId="58489753">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审核日历：按指定的日期，用日历的形式展现出各站点的审核情况，用不同颜色标注已审核、未审核和已发布。</w:t>
      </w:r>
    </w:p>
    <w:p w14:paraId="73E7AD3D">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审核日志：按指定的日期，用日历的形式展现出各站点的审核情况，用不同颜色标注已审核、未审核和已发布。</w:t>
      </w:r>
    </w:p>
    <w:p w14:paraId="25D7550A">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 3 \* GB3 </w:instrText>
      </w:r>
      <w:r>
        <w:rPr>
          <w:rFonts w:hint="eastAsia" w:ascii="宋体" w:hAnsi="宋体" w:eastAsia="宋体" w:cs="宋体"/>
          <w:color w:val="auto"/>
          <w:sz w:val="24"/>
          <w:szCs w:val="24"/>
          <w:lang w:val="zh-CN"/>
        </w:rPr>
        <w:fldChar w:fldCharType="separate"/>
      </w:r>
      <w:r>
        <w:rPr>
          <w:rFonts w:hint="eastAsia" w:ascii="宋体" w:hAnsi="宋体" w:eastAsia="宋体" w:cs="宋体"/>
          <w:color w:val="auto"/>
          <w:sz w:val="24"/>
          <w:szCs w:val="24"/>
          <w:lang w:val="zh-CN"/>
        </w:rPr>
        <w:t>③</w:t>
      </w:r>
      <w:r>
        <w:rPr>
          <w:rFonts w:hint="eastAsia" w:ascii="宋体" w:hAnsi="宋体" w:eastAsia="宋体" w:cs="宋体"/>
          <w:color w:val="auto"/>
          <w:sz w:val="24"/>
          <w:szCs w:val="24"/>
          <w:lang w:val="zh-CN"/>
        </w:rPr>
        <w:fldChar w:fldCharType="end"/>
      </w:r>
      <w:r>
        <w:rPr>
          <w:rFonts w:hint="eastAsia" w:ascii="宋体" w:hAnsi="宋体" w:eastAsia="宋体" w:cs="宋体"/>
          <w:color w:val="auto"/>
          <w:sz w:val="24"/>
          <w:szCs w:val="24"/>
          <w:lang w:val="zh-CN"/>
        </w:rPr>
        <w:t>数据报表：日报、周报、月报、年报</w:t>
      </w:r>
    </w:p>
    <w:p w14:paraId="71A8F75C">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月报：根据指定日期以及当前站点，快速查询当前指定日期所在月份的日均值，并对数据结果进行计算统计，对于查询结果支持Excel文件格式导出。</w:t>
      </w:r>
    </w:p>
    <w:p w14:paraId="5080C0DB">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eq \o\ac(</w:instrText>
      </w:r>
      <w:r>
        <w:rPr>
          <w:rFonts w:hint="eastAsia" w:ascii="宋体" w:hAnsi="宋体" w:eastAsia="宋体" w:cs="宋体"/>
          <w:color w:val="auto"/>
          <w:position w:val="-4"/>
          <w:sz w:val="36"/>
          <w:szCs w:val="24"/>
          <w:lang w:val="zh-CN"/>
        </w:rPr>
        <w:instrText xml:space="preserve">○</w:instrText>
      </w:r>
      <w:r>
        <w:rPr>
          <w:rFonts w:hint="eastAsia" w:ascii="宋体" w:hAnsi="宋体" w:eastAsia="宋体" w:cs="宋体"/>
          <w:color w:val="auto"/>
          <w:position w:val="0"/>
          <w:sz w:val="24"/>
          <w:szCs w:val="24"/>
          <w:lang w:val="zh-CN"/>
        </w:rPr>
        <w:instrText xml:space="preserve">,4)</w:instrText>
      </w:r>
      <w:r>
        <w:rPr>
          <w:rFonts w:hint="eastAsia" w:ascii="宋体" w:hAnsi="宋体" w:eastAsia="宋体" w:cs="宋体"/>
          <w:color w:val="auto"/>
          <w:sz w:val="24"/>
          <w:szCs w:val="24"/>
          <w:lang w:val="zh-CN"/>
        </w:rPr>
        <w:fldChar w:fldCharType="end"/>
      </w:r>
      <w:r>
        <w:rPr>
          <w:rFonts w:hint="eastAsia" w:ascii="宋体" w:hAnsi="宋体" w:eastAsia="宋体" w:cs="宋体"/>
          <w:color w:val="auto"/>
          <w:sz w:val="24"/>
          <w:szCs w:val="24"/>
          <w:lang w:val="zh-CN"/>
        </w:rPr>
        <w:t>数据分析:包括AQI统计、单站多参、多站单参、达标率、乡镇考核、六项浓度均值、月类别统计、综合指数、实时排名、风向玫瑰图、污染日历、沙尘天判断等</w:t>
      </w:r>
    </w:p>
    <w:p w14:paraId="49D9FAE6">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AQI统计:AQI统计根据时报和日报统计。时报是指时间周期为1小时，每一整点时刻后即可发布各监测点位的实时报数据。日报是指时间周期为24小时，时段为当日零点前24小时。</w:t>
      </w:r>
    </w:p>
    <w:p w14:paraId="195AE887">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达标率:根据选择站点监测因子的数据值，统计出原始数据和审核数据，达标天数或者数据是无效。</w:t>
      </w:r>
    </w:p>
    <w:p w14:paraId="6AFBD3BE">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单站多参:用于对一个站点多个监测项目的监测值进行比较（每个监测项目生成一个趋势图），以找出各监测项目监测值的相关性趋势，同时对监测值的数据粒度可进行选择，数据粒度包括：时、日、月、年。日粒度数据。</w:t>
      </w:r>
    </w:p>
    <w:p w14:paraId="2F6A0543">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多站单参：对多个站点的统一监测项目进行横向比较，同时对监测值的数据粒度可进行选择，数据粒度包括：年、月、日、时。</w:t>
      </w:r>
    </w:p>
    <w:p w14:paraId="7009B07F">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乡镇考核:各行政区域站点的空气监测因子质量，来源于各种污染的程度，进行一次比对，并参与考核。</w:t>
      </w:r>
    </w:p>
    <w:p w14:paraId="7D4FAC2A">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综合指数:指监测因子根据规则计算，分析空气指数。</w:t>
      </w:r>
    </w:p>
    <w:p w14:paraId="632A794D">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实时排名:指根据选择行政区域站点，对当前数值通过监测因子质量等级和污染情况的排名。</w:t>
      </w:r>
    </w:p>
    <w:p w14:paraId="2F58274C">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污染日历:指根据日历的形式展示数据情况，行政区域站点选择日期时间、监测因子,直观的呈现出污染情况。</w:t>
      </w:r>
    </w:p>
    <w:p w14:paraId="5F503038">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沙尘天判断：沙尘天根据规则判断及沙尘天剔除分析功能。</w:t>
      </w:r>
    </w:p>
    <w:p w14:paraId="37484FE5">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eq \o\ac(</w:instrText>
      </w:r>
      <w:r>
        <w:rPr>
          <w:rFonts w:hint="eastAsia" w:ascii="宋体" w:hAnsi="宋体" w:eastAsia="宋体" w:cs="宋体"/>
          <w:color w:val="auto"/>
          <w:position w:val="-4"/>
          <w:sz w:val="36"/>
          <w:szCs w:val="24"/>
          <w:lang w:val="zh-CN"/>
        </w:rPr>
        <w:instrText xml:space="preserve">○</w:instrText>
      </w:r>
      <w:r>
        <w:rPr>
          <w:rFonts w:hint="eastAsia" w:ascii="宋体" w:hAnsi="宋体" w:eastAsia="宋体" w:cs="宋体"/>
          <w:color w:val="auto"/>
          <w:position w:val="0"/>
          <w:sz w:val="24"/>
          <w:szCs w:val="24"/>
          <w:lang w:val="zh-CN"/>
        </w:rPr>
        <w:instrText xml:space="preserve">,5)</w:instrText>
      </w:r>
      <w:r>
        <w:rPr>
          <w:rFonts w:hint="eastAsia" w:ascii="宋体" w:hAnsi="宋体" w:eastAsia="宋体" w:cs="宋体"/>
          <w:color w:val="auto"/>
          <w:sz w:val="24"/>
          <w:szCs w:val="24"/>
          <w:lang w:val="zh-CN"/>
        </w:rPr>
        <w:fldChar w:fldCharType="end"/>
      </w:r>
      <w:r>
        <w:rPr>
          <w:rFonts w:hint="eastAsia" w:ascii="宋体" w:hAnsi="宋体" w:eastAsia="宋体" w:cs="宋体"/>
          <w:color w:val="auto"/>
          <w:sz w:val="24"/>
          <w:szCs w:val="24"/>
          <w:lang w:val="zh-CN"/>
        </w:rPr>
        <w:t>质控管理:手工录入等等</w:t>
      </w:r>
    </w:p>
    <w:p w14:paraId="25D65CAD">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eq \o\ac(</w:instrText>
      </w:r>
      <w:r>
        <w:rPr>
          <w:rFonts w:hint="eastAsia" w:ascii="宋体" w:hAnsi="宋体" w:eastAsia="宋体" w:cs="宋体"/>
          <w:color w:val="auto"/>
          <w:position w:val="-4"/>
          <w:sz w:val="36"/>
          <w:szCs w:val="24"/>
          <w:lang w:val="zh-CN"/>
        </w:rPr>
        <w:instrText xml:space="preserve">○</w:instrText>
      </w:r>
      <w:r>
        <w:rPr>
          <w:rFonts w:hint="eastAsia" w:ascii="宋体" w:hAnsi="宋体" w:eastAsia="宋体" w:cs="宋体"/>
          <w:color w:val="auto"/>
          <w:position w:val="0"/>
          <w:sz w:val="24"/>
          <w:szCs w:val="24"/>
          <w:lang w:val="zh-CN"/>
        </w:rPr>
        <w:instrText xml:space="preserve">,6)</w:instrText>
      </w:r>
      <w:r>
        <w:rPr>
          <w:rFonts w:hint="eastAsia" w:ascii="宋体" w:hAnsi="宋体" w:eastAsia="宋体" w:cs="宋体"/>
          <w:color w:val="auto"/>
          <w:sz w:val="24"/>
          <w:szCs w:val="24"/>
          <w:lang w:val="zh-CN"/>
        </w:rPr>
        <w:fldChar w:fldCharType="end"/>
      </w:r>
      <w:r>
        <w:rPr>
          <w:rFonts w:hint="eastAsia" w:ascii="宋体" w:hAnsi="宋体" w:eastAsia="宋体" w:cs="宋体"/>
          <w:color w:val="auto"/>
          <w:sz w:val="24"/>
          <w:szCs w:val="24"/>
          <w:lang w:val="zh-CN"/>
        </w:rPr>
        <w:t>基础数据:站点信息、设备管理等等</w:t>
      </w:r>
    </w:p>
    <w:p w14:paraId="4E5A75B2">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eq \o\ac(</w:instrText>
      </w:r>
      <w:r>
        <w:rPr>
          <w:rFonts w:hint="eastAsia" w:ascii="宋体" w:hAnsi="宋体" w:eastAsia="宋体" w:cs="宋体"/>
          <w:color w:val="auto"/>
          <w:position w:val="-4"/>
          <w:sz w:val="36"/>
          <w:szCs w:val="24"/>
          <w:lang w:val="zh-CN"/>
        </w:rPr>
        <w:instrText xml:space="preserve">○</w:instrText>
      </w:r>
      <w:r>
        <w:rPr>
          <w:rFonts w:hint="eastAsia" w:ascii="宋体" w:hAnsi="宋体" w:eastAsia="宋体" w:cs="宋体"/>
          <w:color w:val="auto"/>
          <w:position w:val="0"/>
          <w:sz w:val="24"/>
          <w:szCs w:val="24"/>
          <w:lang w:val="zh-CN"/>
        </w:rPr>
        <w:instrText xml:space="preserve">,7)</w:instrText>
      </w:r>
      <w:r>
        <w:rPr>
          <w:rFonts w:hint="eastAsia" w:ascii="宋体" w:hAnsi="宋体" w:eastAsia="宋体" w:cs="宋体"/>
          <w:color w:val="auto"/>
          <w:sz w:val="24"/>
          <w:szCs w:val="24"/>
          <w:lang w:val="zh-CN"/>
        </w:rPr>
        <w:fldChar w:fldCharType="end"/>
      </w:r>
      <w:r>
        <w:rPr>
          <w:rFonts w:hint="eastAsia" w:ascii="宋体" w:hAnsi="宋体" w:eastAsia="宋体" w:cs="宋体"/>
          <w:color w:val="auto"/>
          <w:sz w:val="24"/>
          <w:szCs w:val="24"/>
          <w:lang w:val="zh-CN"/>
        </w:rPr>
        <w:t>站点联网信息:采集率，联网在线率等等</w:t>
      </w:r>
    </w:p>
    <w:p w14:paraId="7654A8FF">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eq \o\ac(</w:instrText>
      </w:r>
      <w:r>
        <w:rPr>
          <w:rFonts w:hint="eastAsia" w:ascii="宋体" w:hAnsi="宋体" w:eastAsia="宋体" w:cs="宋体"/>
          <w:color w:val="auto"/>
          <w:position w:val="-4"/>
          <w:sz w:val="36"/>
          <w:szCs w:val="24"/>
          <w:lang w:val="zh-CN"/>
        </w:rPr>
        <w:instrText xml:space="preserve">○</w:instrText>
      </w:r>
      <w:r>
        <w:rPr>
          <w:rFonts w:hint="eastAsia" w:ascii="宋体" w:hAnsi="宋体" w:eastAsia="宋体" w:cs="宋体"/>
          <w:color w:val="auto"/>
          <w:position w:val="0"/>
          <w:sz w:val="24"/>
          <w:szCs w:val="24"/>
          <w:lang w:val="zh-CN"/>
        </w:rPr>
        <w:instrText xml:space="preserve">,8)</w:instrText>
      </w:r>
      <w:r>
        <w:rPr>
          <w:rFonts w:hint="eastAsia" w:ascii="宋体" w:hAnsi="宋体" w:eastAsia="宋体" w:cs="宋体"/>
          <w:color w:val="auto"/>
          <w:sz w:val="24"/>
          <w:szCs w:val="24"/>
          <w:lang w:val="zh-CN"/>
        </w:rPr>
        <w:fldChar w:fldCharType="end"/>
      </w:r>
      <w:r>
        <w:rPr>
          <w:rFonts w:hint="eastAsia" w:ascii="宋体" w:hAnsi="宋体" w:eastAsia="宋体" w:cs="宋体"/>
          <w:color w:val="auto"/>
          <w:sz w:val="24"/>
          <w:szCs w:val="24"/>
          <w:lang w:val="zh-CN"/>
        </w:rPr>
        <w:t>系统管理:支持对平台的浏览权限、系统基础数据、系统日志等进行维护管理。</w:t>
      </w:r>
    </w:p>
    <w:p w14:paraId="6F2051C7">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权限管理支持不同的采购人访问平台，可以具有不同的菜单和站点的访问权限配置。基础数据管理支持对站点信息、监测因子信息等数据进行维护。</w:t>
      </w:r>
    </w:p>
    <w:p w14:paraId="1DF9A185">
      <w:pPr>
        <w:pStyle w:val="201"/>
        <w:spacing w:line="440" w:lineRule="exact"/>
        <w:ind w:firstLine="48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特别要求：污染因子根据国家及地方环境质量标准的变化，实时更新评价依据并实施动态评价。</w:t>
      </w:r>
    </w:p>
    <w:p w14:paraId="3C222C3B">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rPr>
        <w:t>2.7</w:t>
      </w:r>
      <w:r>
        <w:rPr>
          <w:rFonts w:hint="eastAsia" w:ascii="宋体" w:hAnsi="宋体" w:eastAsia="宋体" w:cs="宋体"/>
          <w:color w:val="auto"/>
          <w:sz w:val="24"/>
          <w:szCs w:val="24"/>
          <w:lang w:val="zh-CN"/>
        </w:rPr>
        <w:t xml:space="preserve"> 质量控制</w:t>
      </w:r>
    </w:p>
    <w:p w14:paraId="3B81E3E9">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（1）供应商需根据国家及省市有关质量管理和质量控制规范，认真落实质量管理制度，做好质控工作并有相应记录。</w:t>
      </w:r>
    </w:p>
    <w:p w14:paraId="1DDAE354">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（2）供应商使用的标准物质必须是有证标准物质，且在有效使用期限内。</w:t>
      </w:r>
    </w:p>
    <w:p w14:paraId="0C2DB730">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（3）采购人将定期对站点运维质量进行考核，所需标准物质由供应商提供，采购人不承担任何费用。</w:t>
      </w:r>
    </w:p>
    <w:p w14:paraId="3129B43A">
      <w:pPr>
        <w:pStyle w:val="201"/>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每月1次单点校准（零点/跨度校准）；每季度对气体分析仪进行多点线性及精密度检查；每半年做一次颗粒物标准膜；每季度检查动态校准仪的MFC流量，每半年校准一次MFC流量；每半年子站现场对146I动态气体校准仪进行O3溯源传递工作；每年更换零气发生器的活性炭、氧化剂等，对分析仪进行多点线性、精密度检查，并形成报告。</w:t>
      </w:r>
    </w:p>
    <w:p w14:paraId="0FAF4F0E">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w:t>
      </w:r>
      <w:r>
        <w:rPr>
          <w:rFonts w:hint="eastAsia" w:ascii="宋体" w:hAnsi="宋体" w:eastAsia="宋体" w:cs="宋体"/>
          <w:color w:val="auto"/>
          <w:sz w:val="24"/>
          <w:szCs w:val="24"/>
        </w:rPr>
        <w:t>8</w:t>
      </w:r>
      <w:r>
        <w:rPr>
          <w:rFonts w:hint="eastAsia" w:ascii="宋体" w:hAnsi="宋体" w:eastAsia="宋体" w:cs="宋体"/>
          <w:color w:val="auto"/>
          <w:sz w:val="24"/>
          <w:szCs w:val="24"/>
          <w:lang w:val="zh-CN"/>
        </w:rPr>
        <w:t>运维记录</w:t>
      </w:r>
    </w:p>
    <w:p w14:paraId="448C0811">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根据采购人要求，认真填写相关运维记录表，确保信息完整、准确、可溯源，记录表包含但不限于：巡检记录表、空气自动监测系统仪器设备维修维护记录表、空气自动监测系统备品备件管理记录表、空气自动监测设备校准记录表、多点线性校准记录表、钼炉转化率记录表、标准物质使用记录表。供应商必须在响应文件中提供各类表格格式，用于体现各项工作的具体内容。</w:t>
      </w:r>
    </w:p>
    <w:p w14:paraId="298AAC24">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（2）更换耗材及备件、维修设备等情况，做好相应的记录，确保信息完整。</w:t>
      </w:r>
    </w:p>
    <w:p w14:paraId="76547E78">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（3）每月定期向采购人提交运维记录表，记录表上须有运维人员的签名；提交气站运维月度报告，陈述气站的运行状况和事件处理情况。</w:t>
      </w:r>
    </w:p>
    <w:p w14:paraId="73757B26">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（4）各种技术与质量文件应保持现行有效，可根据实际管理需要进行调整。</w:t>
      </w:r>
    </w:p>
    <w:p w14:paraId="72F6DEEB">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（5）各种记录表格可根据实际管理需要进行调整。</w:t>
      </w:r>
    </w:p>
    <w:p w14:paraId="4B392D73">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w:t>
      </w:r>
      <w:r>
        <w:rPr>
          <w:rFonts w:hint="eastAsia" w:ascii="宋体" w:hAnsi="宋体" w:eastAsia="宋体" w:cs="宋体"/>
          <w:color w:val="auto"/>
          <w:sz w:val="24"/>
          <w:szCs w:val="24"/>
        </w:rPr>
        <w:t>9</w:t>
      </w:r>
      <w:r>
        <w:rPr>
          <w:rFonts w:hint="eastAsia" w:ascii="宋体" w:hAnsi="宋体" w:eastAsia="宋体" w:cs="宋体"/>
          <w:color w:val="auto"/>
          <w:sz w:val="24"/>
          <w:szCs w:val="24"/>
          <w:lang w:val="zh-CN"/>
        </w:rPr>
        <w:t>数据审核</w:t>
      </w:r>
    </w:p>
    <w:p w14:paraId="1245391E">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（1）供应商应随时在监控平台上查看监测数据，对异常值进行分析，查明原因。</w:t>
      </w:r>
    </w:p>
    <w:p w14:paraId="2E50CC53">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（2）供应商每日检查数据是否及时上传至相关环境质量数据平台，发现数据掉线及时恢复。</w:t>
      </w:r>
    </w:p>
    <w:p w14:paraId="629CDE39">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（3）供应商按要求完成数据二级审核，对数据的审核内容、审核流程、审核规则，内部数据审核制度和数据复核以及运行服务相关视频、日志、关键参数日常审核等内容进行有效实施和管理。</w:t>
      </w:r>
    </w:p>
    <w:p w14:paraId="41F08117">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zh-CN"/>
        </w:rPr>
        <w:t>2.</w:t>
      </w:r>
      <w:r>
        <w:rPr>
          <w:rFonts w:hint="eastAsia" w:ascii="宋体" w:hAnsi="宋体" w:eastAsia="宋体" w:cs="宋体"/>
          <w:color w:val="auto"/>
          <w:sz w:val="24"/>
          <w:szCs w:val="24"/>
        </w:rPr>
        <w:t>10故障处置高效化：</w:t>
      </w:r>
    </w:p>
    <w:p w14:paraId="71E93E53">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建立“1小时响应、2小时到场、4小时恢复”机制，影响超过4小时启用备用仪器，避免数据缺失；7天内修复故障，维修后需做校准验证，合格后方可恢复运行。对数据异常情况，及时响应。</w:t>
      </w:r>
    </w:p>
    <w:p w14:paraId="0F16E88B">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w:t>
      </w:r>
      <w:r>
        <w:rPr>
          <w:rFonts w:hint="eastAsia" w:ascii="宋体" w:hAnsi="宋体" w:eastAsia="宋体" w:cs="宋体"/>
          <w:color w:val="auto"/>
          <w:sz w:val="24"/>
          <w:szCs w:val="24"/>
        </w:rPr>
        <w:t>11</w:t>
      </w:r>
      <w:r>
        <w:rPr>
          <w:rFonts w:hint="eastAsia" w:ascii="宋体" w:hAnsi="宋体" w:eastAsia="宋体" w:cs="宋体"/>
          <w:color w:val="auto"/>
          <w:sz w:val="24"/>
          <w:szCs w:val="24"/>
          <w:lang w:val="zh-CN"/>
        </w:rPr>
        <w:t xml:space="preserve"> 耗材及备件更换</w:t>
      </w:r>
    </w:p>
    <w:p w14:paraId="5CE3B048">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（1）耗材及备件均有成交供应商提供。</w:t>
      </w:r>
    </w:p>
    <w:p w14:paraId="2659A294">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（2）应根据仪器使用情况，制订耗材的更换周期。主要耗材及备件的更换严格按照更换周期更换，其他耗材及备件根据仪器具体情况确定。所有耗材及备件做到定期更换，确保监测数据准确可靠。</w:t>
      </w:r>
    </w:p>
    <w:p w14:paraId="1F647681">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w:t>
      </w:r>
      <w:r>
        <w:rPr>
          <w:rFonts w:hint="eastAsia" w:ascii="宋体" w:hAnsi="宋体" w:eastAsia="宋体" w:cs="宋体"/>
          <w:b w:val="0"/>
          <w:bCs w:val="0"/>
          <w:color w:val="auto"/>
          <w:sz w:val="24"/>
          <w:szCs w:val="24"/>
          <w:lang w:val="zh-CN"/>
        </w:rPr>
        <w:t>备机:</w:t>
      </w:r>
      <w:r>
        <w:rPr>
          <w:rFonts w:hint="eastAsia" w:ascii="宋体" w:hAnsi="宋体" w:eastAsia="宋体" w:cs="宋体"/>
          <w:color w:val="auto"/>
          <w:sz w:val="24"/>
          <w:szCs w:val="24"/>
          <w:lang w:val="zh-CN"/>
        </w:rPr>
        <w:t>投标人须为本项目配备SO</w:t>
      </w:r>
      <w:r>
        <w:rPr>
          <w:rFonts w:hint="eastAsia" w:ascii="宋体" w:hAnsi="宋体" w:eastAsia="宋体" w:cs="宋体"/>
          <w:color w:val="auto"/>
          <w:sz w:val="24"/>
          <w:szCs w:val="24"/>
          <w:vertAlign w:val="baseline"/>
          <w:lang w:val="zh-CN"/>
        </w:rPr>
        <w:t>2</w:t>
      </w:r>
      <w:r>
        <w:rPr>
          <w:rFonts w:hint="eastAsia" w:ascii="宋体" w:hAnsi="宋体" w:eastAsia="宋体" w:cs="宋体"/>
          <w:color w:val="auto"/>
          <w:sz w:val="24"/>
          <w:szCs w:val="24"/>
          <w:lang w:val="zh-CN"/>
        </w:rPr>
        <w:t>、NOx、CO、O</w:t>
      </w:r>
      <w:r>
        <w:rPr>
          <w:rFonts w:hint="eastAsia" w:ascii="宋体" w:hAnsi="宋体" w:eastAsia="宋体" w:cs="宋体"/>
          <w:color w:val="auto"/>
          <w:sz w:val="24"/>
          <w:szCs w:val="24"/>
          <w:vertAlign w:val="baseline"/>
          <w:lang w:val="zh-CN"/>
        </w:rPr>
        <w:t>3</w:t>
      </w:r>
      <w:r>
        <w:rPr>
          <w:rFonts w:hint="eastAsia" w:ascii="宋体" w:hAnsi="宋体" w:eastAsia="宋体" w:cs="宋体"/>
          <w:color w:val="auto"/>
          <w:sz w:val="24"/>
          <w:szCs w:val="24"/>
          <w:lang w:val="zh-CN"/>
        </w:rPr>
        <w:t>、PM</w:t>
      </w:r>
      <w:r>
        <w:rPr>
          <w:rFonts w:hint="eastAsia" w:ascii="宋体" w:hAnsi="宋体" w:eastAsia="宋体" w:cs="宋体"/>
          <w:color w:val="auto"/>
          <w:sz w:val="24"/>
          <w:szCs w:val="24"/>
          <w:vertAlign w:val="baseline"/>
          <w:lang w:val="zh-CN"/>
        </w:rPr>
        <w:t>2.5</w:t>
      </w:r>
      <w:r>
        <w:rPr>
          <w:rFonts w:hint="eastAsia" w:ascii="宋体" w:hAnsi="宋体" w:eastAsia="宋体" w:cs="宋体"/>
          <w:color w:val="auto"/>
          <w:sz w:val="24"/>
          <w:szCs w:val="24"/>
          <w:lang w:val="zh-CN"/>
        </w:rPr>
        <w:t>、PM</w:t>
      </w:r>
      <w:r>
        <w:rPr>
          <w:rFonts w:hint="eastAsia" w:ascii="宋体" w:hAnsi="宋体" w:eastAsia="宋体" w:cs="宋体"/>
          <w:color w:val="auto"/>
          <w:sz w:val="24"/>
          <w:szCs w:val="24"/>
          <w:vertAlign w:val="baseline"/>
          <w:lang w:val="zh-CN"/>
        </w:rPr>
        <w:t>10</w:t>
      </w:r>
      <w:r>
        <w:rPr>
          <w:rFonts w:hint="eastAsia" w:ascii="宋体" w:hAnsi="宋体" w:eastAsia="宋体" w:cs="宋体"/>
          <w:color w:val="auto"/>
          <w:sz w:val="24"/>
          <w:szCs w:val="24"/>
          <w:lang w:val="zh-CN"/>
        </w:rPr>
        <w:t>六项指标自动监测仪器各1套用作备机，原则上备机应与站点原设备同品牌，若非同品牌的，备机监测原理须与原机匹配，性能及功能应满足相关国家标准和技术要求。</w:t>
      </w:r>
    </w:p>
    <w:p w14:paraId="09EA69D1">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2.12硬件配备</w:t>
      </w:r>
    </w:p>
    <w:p w14:paraId="48BE281B">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供应商应配备用于本运维项目所需基本工具和（SO2、NOX、CO、O3、PM2.5、PM10）备机。</w:t>
      </w:r>
    </w:p>
    <w:p w14:paraId="5F19A3BF">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2.1</w:t>
      </w: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故障处理</w:t>
      </w:r>
    </w:p>
    <w:p w14:paraId="604D13C0">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当空气自动站数据异常或仪器出现故障时，保证在2小时内到达现场排查，如需使用现场快检设备开展周边环境溯源排查的，排查过程中所需设备由成交供应商负责，排查情况及时反馈采购人。如为仪器设备问题，及时开展维护维修，产生的费用由成交供应商负责，如故障无法及时排除，需更换备机的，对故障处理过程应有相应记录。</w:t>
      </w:r>
    </w:p>
    <w:p w14:paraId="61CFB881">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2.1</w:t>
      </w: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其他要求</w:t>
      </w:r>
    </w:p>
    <w:p w14:paraId="67EBD33A">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（1）供应商站房内部环境整洁，布置整齐，仪器设备干净清洁，设备标识清楚，指派专人维护，设备固定牢固，门窗关闭良好，人走关门，非工作人员未经许可不得入内。</w:t>
      </w:r>
    </w:p>
    <w:p w14:paraId="73DD7271">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（2）供应商应检查供电、通讯、防雷、消防、安全、空调等情况，保证系统的正常运行，检查站房内温度是否保持在(25±5)℃,相对湿度保持在85%以下。按要求定期对站房、监测设备及电源进行防雷检测。</w:t>
      </w:r>
    </w:p>
    <w:p w14:paraId="369F2F68">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（3）供应商进行维护时，应规范操作，注意安全，防止意外发生。</w:t>
      </w:r>
    </w:p>
    <w:p w14:paraId="3AC9828A">
      <w:pPr>
        <w:pStyle w:val="201"/>
        <w:spacing w:line="440" w:lineRule="exact"/>
        <w:ind w:firstLine="482"/>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3、管理目标</w:t>
      </w:r>
    </w:p>
    <w:p w14:paraId="5F413FD8">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3.1常规六参数自动监测仪，供应商提供服务期间应保证系统数据二级审核后有效率应达到9</w:t>
      </w: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%以上</w:t>
      </w:r>
      <w:r>
        <w:rPr>
          <w:rFonts w:hint="eastAsia" w:ascii="宋体" w:hAnsi="宋体" w:eastAsia="宋体" w:cs="宋体"/>
          <w:color w:val="auto"/>
          <w:sz w:val="24"/>
          <w:szCs w:val="24"/>
        </w:rPr>
        <w:t>(含)</w:t>
      </w:r>
      <w:r>
        <w:rPr>
          <w:rFonts w:hint="eastAsia" w:ascii="宋体" w:hAnsi="宋体" w:eastAsia="宋体" w:cs="宋体"/>
          <w:color w:val="auto"/>
          <w:sz w:val="24"/>
          <w:szCs w:val="24"/>
          <w:lang w:val="zh-CN"/>
        </w:rPr>
        <w:t>（以小时均值计）。污染物数据有效性最低要求如下：</w:t>
      </w:r>
    </w:p>
    <w:p w14:paraId="64BF3537">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（1）SO2、NO2、PM10、PM2.5、NOx等5项因子，每年至少有分布均匀的324个日平均浓度值，每月至少有分布均匀的27个日平均浓度值（二月至少有25个日平均浓度值）。</w:t>
      </w:r>
    </w:p>
    <w:p w14:paraId="3B5C4877">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（2）SO2、NO2、CO、PM10、PM2.5、NOx等6项因子，每日至少有20个小时的平均浓度值或采样时间。</w:t>
      </w:r>
    </w:p>
    <w:p w14:paraId="29E8D936">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（3）O3等1项因子，每8小时至少有6小时平均浓度值。</w:t>
      </w:r>
    </w:p>
    <w:p w14:paraId="6998298F">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（4）SO2、NO2、CO、O3、NOx等5项因子，每小时至少有45分钟的采样时间。</w:t>
      </w:r>
    </w:p>
    <w:p w14:paraId="4817A133">
      <w:pPr>
        <w:pStyle w:val="201"/>
        <w:spacing w:line="440" w:lineRule="exact"/>
        <w:ind w:firstLine="482"/>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4、工作考核</w:t>
      </w:r>
    </w:p>
    <w:p w14:paraId="561D25F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每半年由采购人组织对运维中标单位绩效(职责履行情况)进行考核，填写考核表。考核采取百分制、单站考核的方式进行，主要包括设备运行率、数据有效率(以下简称两率)、运行维护3部分内容，其中两率考核占50%，运行维护考核占50%。</w:t>
      </w:r>
    </w:p>
    <w:p w14:paraId="5553912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设备运行率是指已上传数据量与应上传数据量之比，数据有效率是指有效数据量与应上传数据量之比。</w:t>
      </w:r>
    </w:p>
    <w:p w14:paraId="7D1E556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每日各项目应获得小时值数据量均按24个计，考核时段天数按考核时段内日历天数计。计算应获得小时值数据量时，应扣除因不可抗力造成的停止监测的小时数。</w:t>
      </w:r>
    </w:p>
    <w:p w14:paraId="18F4AFB2">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4.1.</w:t>
      </w:r>
      <w:r>
        <w:rPr>
          <w:rFonts w:hint="eastAsia" w:ascii="宋体" w:hAnsi="宋体" w:eastAsia="宋体" w:cs="宋体"/>
          <w:sz w:val="24"/>
          <w:szCs w:val="24"/>
        </w:rPr>
        <w:t>数据有效性</w:t>
      </w:r>
    </w:p>
    <w:p w14:paraId="3FF1BB7F">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考核时段内单个站点任一监测项目有效数据量应满足《环境空气质量标准》（GB 3095-2012）</w:t>
      </w:r>
      <w:r>
        <w:rPr>
          <w:rFonts w:hint="eastAsia" w:ascii="宋体" w:hAnsi="宋体" w:eastAsia="宋体" w:cs="宋体"/>
          <w:sz w:val="24"/>
          <w:szCs w:val="24"/>
          <w:lang w:val="en-US" w:eastAsia="zh-CN"/>
        </w:rPr>
        <w:t>表4</w:t>
      </w:r>
      <w:r>
        <w:rPr>
          <w:rFonts w:hint="eastAsia" w:ascii="宋体" w:hAnsi="宋体" w:eastAsia="宋体" w:cs="宋体"/>
          <w:sz w:val="24"/>
          <w:szCs w:val="24"/>
        </w:rPr>
        <w:t>中规定的污染物浓度数据有效性的最低要求，否则考核总分为0分。</w:t>
      </w:r>
    </w:p>
    <w:p w14:paraId="11E19940">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单站设备</w:t>
      </w:r>
      <w:r>
        <w:rPr>
          <w:rFonts w:hint="eastAsia" w:ascii="宋体" w:hAnsi="宋体" w:eastAsia="宋体" w:cs="宋体"/>
          <w:sz w:val="24"/>
          <w:szCs w:val="24"/>
          <w:lang w:val="en-US" w:eastAsia="zh-CN"/>
        </w:rPr>
        <w:t>运行</w:t>
      </w:r>
      <w:r>
        <w:rPr>
          <w:rFonts w:hint="eastAsia" w:ascii="宋体" w:hAnsi="宋体" w:eastAsia="宋体" w:cs="宋体"/>
          <w:sz w:val="24"/>
          <w:szCs w:val="24"/>
        </w:rPr>
        <w:t>率必须≥90%，否则考核总分以0分计，不予支付运维费用。单站设备数据</w:t>
      </w:r>
      <w:r>
        <w:rPr>
          <w:rFonts w:hint="eastAsia" w:ascii="宋体" w:hAnsi="宋体" w:eastAsia="宋体" w:cs="宋体"/>
          <w:sz w:val="24"/>
          <w:szCs w:val="24"/>
          <w:lang w:val="en-US" w:eastAsia="zh-CN"/>
        </w:rPr>
        <w:t>有效</w:t>
      </w:r>
      <w:r>
        <w:rPr>
          <w:rFonts w:hint="eastAsia" w:ascii="宋体" w:hAnsi="宋体" w:eastAsia="宋体" w:cs="宋体"/>
          <w:sz w:val="24"/>
          <w:szCs w:val="24"/>
        </w:rPr>
        <w:t>率必须≥</w:t>
      </w:r>
      <w:r>
        <w:rPr>
          <w:rFonts w:hint="eastAsia" w:ascii="宋体" w:hAnsi="宋体" w:eastAsia="宋体" w:cs="宋体"/>
          <w:sz w:val="24"/>
          <w:szCs w:val="24"/>
          <w:lang w:val="en-US" w:eastAsia="zh-CN"/>
        </w:rPr>
        <w:t>90</w:t>
      </w:r>
      <w:r>
        <w:rPr>
          <w:rFonts w:hint="eastAsia" w:ascii="宋体" w:hAnsi="宋体" w:eastAsia="宋体" w:cs="宋体"/>
          <w:sz w:val="24"/>
          <w:szCs w:val="24"/>
        </w:rPr>
        <w:t>%，否则考核总分以0分计，不予支付运维费用。</w:t>
      </w:r>
    </w:p>
    <w:p w14:paraId="35ED365A">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4.2.</w:t>
      </w:r>
      <w:r>
        <w:rPr>
          <w:rFonts w:hint="eastAsia" w:ascii="宋体" w:hAnsi="宋体" w:eastAsia="宋体" w:cs="宋体"/>
          <w:sz w:val="24"/>
          <w:szCs w:val="24"/>
        </w:rPr>
        <w:t>两率及运行维护</w:t>
      </w:r>
    </w:p>
    <w:p w14:paraId="2C3AC182">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（1）两率部分(50分)</w:t>
      </w:r>
    </w:p>
    <w:p w14:paraId="7B5D4663">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考核时段内，</w:t>
      </w:r>
      <w:r>
        <w:rPr>
          <w:rFonts w:hint="eastAsia" w:ascii="宋体" w:hAnsi="宋体" w:eastAsia="宋体" w:cs="宋体"/>
          <w:sz w:val="24"/>
          <w:szCs w:val="24"/>
        </w:rPr>
        <w:t>单站设备</w:t>
      </w:r>
      <w:r>
        <w:rPr>
          <w:rFonts w:hint="eastAsia" w:ascii="宋体" w:hAnsi="宋体" w:eastAsia="宋体" w:cs="宋体"/>
          <w:sz w:val="24"/>
          <w:szCs w:val="24"/>
          <w:lang w:val="en-US" w:eastAsia="zh-CN"/>
        </w:rPr>
        <w:t>运行</w:t>
      </w:r>
      <w:r>
        <w:rPr>
          <w:rFonts w:hint="eastAsia" w:ascii="宋体" w:hAnsi="宋体" w:eastAsia="宋体" w:cs="宋体"/>
          <w:sz w:val="24"/>
          <w:szCs w:val="24"/>
        </w:rPr>
        <w:t>率≥9</w:t>
      </w: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且数据有效率≥</w:t>
      </w:r>
      <w:r>
        <w:rPr>
          <w:rFonts w:hint="eastAsia" w:ascii="宋体" w:hAnsi="宋体" w:eastAsia="宋体" w:cs="宋体"/>
          <w:sz w:val="24"/>
          <w:szCs w:val="24"/>
        </w:rPr>
        <w:t>95%的，得50分</w:t>
      </w:r>
      <w:r>
        <w:rPr>
          <w:rFonts w:hint="eastAsia" w:ascii="宋体" w:hAnsi="宋体" w:eastAsia="宋体" w:cs="宋体"/>
          <w:sz w:val="24"/>
          <w:szCs w:val="24"/>
          <w:lang w:eastAsia="zh-CN"/>
        </w:rPr>
        <w:t>；</w:t>
      </w:r>
    </w:p>
    <w:p w14:paraId="16D3B376">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考核时段内，95%≤</w:t>
      </w:r>
      <w:r>
        <w:rPr>
          <w:rFonts w:hint="eastAsia" w:ascii="宋体" w:hAnsi="宋体" w:eastAsia="宋体" w:cs="宋体"/>
          <w:sz w:val="24"/>
          <w:szCs w:val="24"/>
        </w:rPr>
        <w:t>单站设备</w:t>
      </w:r>
      <w:r>
        <w:rPr>
          <w:rFonts w:hint="eastAsia" w:ascii="宋体" w:hAnsi="宋体" w:eastAsia="宋体" w:cs="宋体"/>
          <w:sz w:val="24"/>
          <w:szCs w:val="24"/>
          <w:lang w:val="en-US" w:eastAsia="zh-CN"/>
        </w:rPr>
        <w:t>运行</w:t>
      </w:r>
      <w:r>
        <w:rPr>
          <w:rFonts w:hint="eastAsia" w:ascii="宋体" w:hAnsi="宋体" w:eastAsia="宋体" w:cs="宋体"/>
          <w:sz w:val="24"/>
          <w:szCs w:val="24"/>
        </w:rPr>
        <w:t>率＜9</w:t>
      </w: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且数据有效率≥</w:t>
      </w:r>
      <w:r>
        <w:rPr>
          <w:rFonts w:hint="eastAsia" w:ascii="宋体" w:hAnsi="宋体" w:eastAsia="宋体" w:cs="宋体"/>
          <w:sz w:val="24"/>
          <w:szCs w:val="24"/>
        </w:rPr>
        <w:t>95%的，</w:t>
      </w:r>
      <w:r>
        <w:rPr>
          <w:rFonts w:hint="eastAsia" w:ascii="宋体" w:hAnsi="宋体" w:eastAsia="宋体" w:cs="宋体"/>
          <w:sz w:val="24"/>
          <w:szCs w:val="24"/>
          <w:lang w:val="en-US" w:eastAsia="zh-CN"/>
        </w:rPr>
        <w:t>两率</w:t>
      </w:r>
      <w:r>
        <w:rPr>
          <w:rFonts w:hint="eastAsia" w:ascii="宋体" w:hAnsi="宋体" w:eastAsia="宋体" w:cs="宋体"/>
          <w:sz w:val="24"/>
          <w:szCs w:val="24"/>
        </w:rPr>
        <w:t>得分</w:t>
      </w:r>
      <w:r>
        <w:rPr>
          <w:rFonts w:hint="eastAsia" w:ascii="宋体" w:hAnsi="宋体" w:eastAsia="宋体" w:cs="宋体"/>
          <w:sz w:val="24"/>
          <w:szCs w:val="24"/>
          <w:lang w:val="en-US" w:eastAsia="zh-CN"/>
        </w:rPr>
        <w:t>=0.95</w:t>
      </w:r>
      <w:r>
        <w:rPr>
          <w:rFonts w:hint="eastAsia" w:ascii="宋体" w:hAnsi="宋体" w:eastAsia="宋体" w:cs="宋体"/>
          <w:sz w:val="24"/>
          <w:szCs w:val="24"/>
        </w:rPr>
        <w:t>×50分</w:t>
      </w:r>
      <w:r>
        <w:rPr>
          <w:rFonts w:hint="eastAsia" w:ascii="宋体" w:hAnsi="宋体" w:eastAsia="宋体" w:cs="宋体"/>
          <w:sz w:val="24"/>
          <w:szCs w:val="24"/>
          <w:lang w:eastAsia="zh-CN"/>
        </w:rPr>
        <w:t>；</w:t>
      </w:r>
    </w:p>
    <w:p w14:paraId="64FE6FA6">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考核时段内，90%≤</w:t>
      </w:r>
      <w:r>
        <w:rPr>
          <w:rFonts w:hint="eastAsia" w:ascii="宋体" w:hAnsi="宋体" w:eastAsia="宋体" w:cs="宋体"/>
          <w:sz w:val="24"/>
          <w:szCs w:val="24"/>
        </w:rPr>
        <w:t>单站设备</w:t>
      </w:r>
      <w:r>
        <w:rPr>
          <w:rFonts w:hint="eastAsia" w:ascii="宋体" w:hAnsi="宋体" w:eastAsia="宋体" w:cs="宋体"/>
          <w:sz w:val="24"/>
          <w:szCs w:val="24"/>
          <w:lang w:val="en-US" w:eastAsia="zh-CN"/>
        </w:rPr>
        <w:t>运行</w:t>
      </w:r>
      <w:r>
        <w:rPr>
          <w:rFonts w:hint="eastAsia" w:ascii="宋体" w:hAnsi="宋体" w:eastAsia="宋体" w:cs="宋体"/>
          <w:sz w:val="24"/>
          <w:szCs w:val="24"/>
        </w:rPr>
        <w:t>率＜9</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且90%≤数据有效率</w:t>
      </w:r>
      <w:r>
        <w:rPr>
          <w:rFonts w:hint="eastAsia" w:ascii="宋体" w:hAnsi="宋体" w:eastAsia="宋体" w:cs="宋体"/>
          <w:sz w:val="24"/>
          <w:szCs w:val="24"/>
        </w:rPr>
        <w:t>＜9</w:t>
      </w:r>
      <w:r>
        <w:rPr>
          <w:rFonts w:hint="eastAsia" w:ascii="宋体" w:hAnsi="宋体" w:eastAsia="宋体" w:cs="宋体"/>
          <w:sz w:val="24"/>
          <w:szCs w:val="24"/>
          <w:lang w:val="en-US" w:eastAsia="zh-CN"/>
        </w:rPr>
        <w:t>5</w:t>
      </w:r>
      <w:r>
        <w:rPr>
          <w:rFonts w:hint="eastAsia" w:ascii="宋体" w:hAnsi="宋体" w:eastAsia="宋体" w:cs="宋体"/>
          <w:sz w:val="24"/>
          <w:szCs w:val="24"/>
        </w:rPr>
        <w:t>%的，</w:t>
      </w:r>
      <w:r>
        <w:rPr>
          <w:rFonts w:hint="eastAsia" w:ascii="宋体" w:hAnsi="宋体" w:eastAsia="宋体" w:cs="宋体"/>
          <w:sz w:val="24"/>
          <w:szCs w:val="24"/>
          <w:lang w:val="en-US" w:eastAsia="zh-CN"/>
        </w:rPr>
        <w:t>两率</w:t>
      </w:r>
      <w:r>
        <w:rPr>
          <w:rFonts w:hint="eastAsia" w:ascii="宋体" w:hAnsi="宋体" w:eastAsia="宋体" w:cs="宋体"/>
          <w:sz w:val="24"/>
          <w:szCs w:val="24"/>
        </w:rPr>
        <w:t>得分</w:t>
      </w:r>
      <w:r>
        <w:rPr>
          <w:rFonts w:hint="eastAsia" w:ascii="宋体" w:hAnsi="宋体" w:eastAsia="宋体" w:cs="宋体"/>
          <w:sz w:val="24"/>
          <w:szCs w:val="24"/>
          <w:lang w:val="en-US" w:eastAsia="zh-CN"/>
        </w:rPr>
        <w:t>=0.90</w:t>
      </w:r>
      <w:r>
        <w:rPr>
          <w:rFonts w:hint="eastAsia" w:ascii="宋体" w:hAnsi="宋体" w:eastAsia="宋体" w:cs="宋体"/>
          <w:sz w:val="24"/>
          <w:szCs w:val="24"/>
        </w:rPr>
        <w:t>×</w:t>
      </w:r>
      <w:r>
        <w:rPr>
          <w:rFonts w:hint="eastAsia" w:ascii="宋体" w:hAnsi="宋体" w:eastAsia="宋体" w:cs="宋体"/>
          <w:sz w:val="24"/>
          <w:szCs w:val="24"/>
          <w:lang w:val="en-US" w:eastAsia="zh-CN"/>
        </w:rPr>
        <w:t>实际有效率</w:t>
      </w:r>
      <w:r>
        <w:rPr>
          <w:rFonts w:hint="eastAsia" w:ascii="宋体" w:hAnsi="宋体" w:eastAsia="宋体" w:cs="宋体"/>
          <w:sz w:val="24"/>
          <w:szCs w:val="24"/>
        </w:rPr>
        <w:t>×50分</w:t>
      </w:r>
      <w:r>
        <w:rPr>
          <w:rFonts w:hint="eastAsia" w:ascii="宋体" w:hAnsi="宋体" w:eastAsia="宋体" w:cs="宋体"/>
          <w:sz w:val="24"/>
          <w:szCs w:val="24"/>
          <w:lang w:eastAsia="zh-CN"/>
        </w:rPr>
        <w:t>；</w:t>
      </w:r>
    </w:p>
    <w:p w14:paraId="07E39A24">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考核时段内，90%≤</w:t>
      </w:r>
      <w:r>
        <w:rPr>
          <w:rFonts w:hint="eastAsia" w:ascii="宋体" w:hAnsi="宋体" w:eastAsia="宋体" w:cs="宋体"/>
          <w:sz w:val="24"/>
          <w:szCs w:val="24"/>
        </w:rPr>
        <w:t>单站设备</w:t>
      </w:r>
      <w:r>
        <w:rPr>
          <w:rFonts w:hint="eastAsia" w:ascii="宋体" w:hAnsi="宋体" w:eastAsia="宋体" w:cs="宋体"/>
          <w:sz w:val="24"/>
          <w:szCs w:val="24"/>
          <w:lang w:val="en-US" w:eastAsia="zh-CN"/>
        </w:rPr>
        <w:t>运行</w:t>
      </w:r>
      <w:r>
        <w:rPr>
          <w:rFonts w:hint="eastAsia" w:ascii="宋体" w:hAnsi="宋体" w:eastAsia="宋体" w:cs="宋体"/>
          <w:sz w:val="24"/>
          <w:szCs w:val="24"/>
        </w:rPr>
        <w:t>率</w:t>
      </w:r>
      <w:r>
        <w:rPr>
          <w:rFonts w:hint="eastAsia" w:ascii="宋体" w:hAnsi="宋体" w:eastAsia="宋体" w:cs="宋体"/>
          <w:sz w:val="24"/>
          <w:szCs w:val="24"/>
          <w:lang w:val="en-US" w:eastAsia="zh-CN"/>
        </w:rPr>
        <w:t>或85%≤数据有效率</w:t>
      </w:r>
      <w:r>
        <w:rPr>
          <w:rFonts w:hint="eastAsia" w:ascii="宋体" w:hAnsi="宋体" w:eastAsia="宋体" w:cs="宋体"/>
          <w:sz w:val="24"/>
          <w:szCs w:val="24"/>
        </w:rPr>
        <w:t>的，</w:t>
      </w:r>
      <w:r>
        <w:rPr>
          <w:rFonts w:hint="eastAsia" w:ascii="宋体" w:hAnsi="宋体" w:eastAsia="宋体" w:cs="宋体"/>
          <w:sz w:val="24"/>
          <w:szCs w:val="24"/>
          <w:lang w:val="en-US" w:eastAsia="zh-CN"/>
        </w:rPr>
        <w:t>两率得分</w:t>
      </w:r>
      <w:r>
        <w:rPr>
          <w:rFonts w:hint="eastAsia" w:ascii="宋体" w:hAnsi="宋体" w:eastAsia="宋体" w:cs="宋体"/>
          <w:sz w:val="24"/>
          <w:szCs w:val="24"/>
        </w:rPr>
        <w:t>以0分计</w:t>
      </w:r>
      <w:r>
        <w:rPr>
          <w:rFonts w:hint="eastAsia" w:ascii="宋体" w:hAnsi="宋体" w:eastAsia="宋体" w:cs="宋体"/>
          <w:sz w:val="24"/>
          <w:szCs w:val="24"/>
          <w:lang w:eastAsia="zh-CN"/>
        </w:rPr>
        <w:t>；</w:t>
      </w:r>
    </w:p>
    <w:p w14:paraId="6487E59A">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（2）运行维护部分(50分)</w:t>
      </w:r>
    </w:p>
    <w:p w14:paraId="3DD317EA">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运行维护部分每</w:t>
      </w:r>
      <w:r>
        <w:rPr>
          <w:rFonts w:hint="eastAsia" w:ascii="宋体" w:hAnsi="宋体" w:eastAsia="宋体" w:cs="宋体"/>
          <w:sz w:val="24"/>
          <w:szCs w:val="24"/>
          <w:lang w:val="en-US" w:eastAsia="zh-CN"/>
        </w:rPr>
        <w:t>半年</w:t>
      </w:r>
      <w:r>
        <w:rPr>
          <w:rFonts w:hint="eastAsia" w:ascii="宋体" w:hAnsi="宋体" w:eastAsia="宋体" w:cs="宋体"/>
          <w:sz w:val="24"/>
          <w:szCs w:val="24"/>
        </w:rPr>
        <w:t>由采购方组织检查，检查内容包括日常运维任务完成情况、异常情况处理情况、站房环境保障效果、采样系统维护效果、仪器日常维护效果、质量控制效果、通讯系统维护效果（数据上传发布情况）、人员与档案记录管理情况等。检查满分100分，考核时运维得分=检查得分×0.5。</w:t>
      </w:r>
    </w:p>
    <w:p w14:paraId="74B4013B">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4.3.</w:t>
      </w:r>
      <w:r>
        <w:rPr>
          <w:rFonts w:hint="eastAsia" w:ascii="宋体" w:hAnsi="宋体" w:eastAsia="宋体" w:cs="宋体"/>
          <w:sz w:val="24"/>
          <w:szCs w:val="24"/>
        </w:rPr>
        <w:t>考核总分（100分）</w:t>
      </w:r>
    </w:p>
    <w:p w14:paraId="6470FA45">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考核总分=两率得分+运维得分</w:t>
      </w:r>
    </w:p>
    <w:p w14:paraId="066BC48C">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4.4.</w:t>
      </w:r>
      <w:r>
        <w:rPr>
          <w:rFonts w:hint="eastAsia" w:ascii="宋体" w:hAnsi="宋体" w:eastAsia="宋体" w:cs="宋体"/>
          <w:sz w:val="24"/>
          <w:szCs w:val="24"/>
        </w:rPr>
        <w:t>运维费核算方法</w:t>
      </w:r>
    </w:p>
    <w:p w14:paraId="5168C703">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绩效考核总分95（含）分以上的，支付该站点当期全额运维费；绩效考核总分在80（含）-95分的，该站点当期运维费= (实际考核总分/100)×单站点当期全额运维费</w:t>
      </w:r>
      <w:r>
        <w:rPr>
          <w:rFonts w:hint="eastAsia" w:ascii="宋体" w:hAnsi="宋体" w:eastAsia="宋体" w:cs="宋体"/>
          <w:sz w:val="24"/>
          <w:szCs w:val="24"/>
          <w:lang w:eastAsia="zh-CN"/>
        </w:rPr>
        <w:t>；</w:t>
      </w:r>
      <w:r>
        <w:rPr>
          <w:rFonts w:hint="eastAsia" w:ascii="宋体" w:hAnsi="宋体" w:eastAsia="宋体" w:cs="宋体"/>
          <w:sz w:val="24"/>
          <w:szCs w:val="24"/>
        </w:rPr>
        <w:t>考核总分低于80分的，不予支付该站点当期运维费。</w:t>
      </w:r>
    </w:p>
    <w:p w14:paraId="5CD4A3E0">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其他规定</w:t>
      </w:r>
    </w:p>
    <w:p w14:paraId="39364FCE">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①</w:t>
      </w:r>
      <w:r>
        <w:rPr>
          <w:rFonts w:hint="eastAsia" w:ascii="宋体" w:hAnsi="宋体" w:eastAsia="宋体" w:cs="宋体"/>
          <w:sz w:val="24"/>
          <w:szCs w:val="24"/>
        </w:rPr>
        <w:t>运维机构有下列情形之一的，采购方将扣除相应站点当</w:t>
      </w:r>
      <w:r>
        <w:rPr>
          <w:rFonts w:hint="eastAsia" w:ascii="宋体" w:hAnsi="宋体" w:eastAsia="宋体" w:cs="宋体"/>
          <w:sz w:val="24"/>
          <w:szCs w:val="24"/>
          <w:lang w:val="en-US" w:eastAsia="zh-CN"/>
        </w:rPr>
        <w:t>年度20%</w:t>
      </w:r>
      <w:r>
        <w:rPr>
          <w:rFonts w:hint="eastAsia" w:ascii="宋体" w:hAnsi="宋体" w:eastAsia="宋体" w:cs="宋体"/>
          <w:sz w:val="24"/>
          <w:szCs w:val="24"/>
        </w:rPr>
        <w:t>运行经费：</w:t>
      </w:r>
      <w:r>
        <w:rPr>
          <w:rFonts w:hint="eastAsia" w:ascii="宋体" w:hAnsi="宋体" w:eastAsia="宋体" w:cs="宋体"/>
          <w:sz w:val="24"/>
          <w:szCs w:val="24"/>
          <w:lang w:val="en-US" w:eastAsia="zh-CN"/>
        </w:rPr>
        <w:t>两次及以上</w:t>
      </w:r>
      <w:r>
        <w:rPr>
          <w:rFonts w:hint="eastAsia" w:ascii="宋体" w:hAnsi="宋体" w:eastAsia="宋体" w:cs="宋体"/>
          <w:sz w:val="24"/>
          <w:szCs w:val="24"/>
        </w:rPr>
        <w:t>迟报、漏报或不报审核数据的；因工作疏漏，未发现采样、分析、数据采集和传输等过程人为干扰的；</w:t>
      </w:r>
      <w:r>
        <w:rPr>
          <w:rFonts w:hint="eastAsia" w:ascii="宋体" w:hAnsi="宋体" w:eastAsia="宋体" w:cs="宋体"/>
          <w:sz w:val="24"/>
          <w:szCs w:val="24"/>
          <w:lang w:val="en-US" w:eastAsia="zh-CN"/>
        </w:rPr>
        <w:t>未按要求及时运维导致站点数据异常的；</w:t>
      </w:r>
      <w:r>
        <w:rPr>
          <w:rFonts w:hint="eastAsia" w:ascii="宋体" w:hAnsi="宋体" w:eastAsia="宋体" w:cs="宋体"/>
          <w:sz w:val="24"/>
          <w:szCs w:val="24"/>
        </w:rPr>
        <w:t>其他不履行规定职责的情形。</w:t>
      </w:r>
    </w:p>
    <w:p w14:paraId="66A001FC">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②</w:t>
      </w:r>
      <w:r>
        <w:rPr>
          <w:rFonts w:hint="eastAsia" w:ascii="宋体" w:hAnsi="宋体" w:eastAsia="宋体" w:cs="宋体"/>
          <w:sz w:val="24"/>
          <w:szCs w:val="24"/>
        </w:rPr>
        <w:t>运维机构有下列情形之一的，采购方将扣除相应站点当</w:t>
      </w:r>
      <w:r>
        <w:rPr>
          <w:rFonts w:hint="eastAsia" w:ascii="宋体" w:hAnsi="宋体" w:eastAsia="宋体" w:cs="宋体"/>
          <w:sz w:val="24"/>
          <w:szCs w:val="24"/>
          <w:lang w:val="en-US" w:eastAsia="zh-CN"/>
        </w:rPr>
        <w:t>年度</w:t>
      </w:r>
      <w:r>
        <w:rPr>
          <w:rFonts w:hint="eastAsia" w:ascii="宋体" w:hAnsi="宋体" w:eastAsia="宋体" w:cs="宋体"/>
          <w:sz w:val="24"/>
          <w:szCs w:val="24"/>
        </w:rPr>
        <w:t>运行经费</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并有权提前解除运维合同</w:t>
      </w:r>
      <w:r>
        <w:rPr>
          <w:rFonts w:hint="eastAsia" w:ascii="宋体" w:hAnsi="宋体" w:eastAsia="宋体" w:cs="宋体"/>
          <w:sz w:val="24"/>
          <w:szCs w:val="24"/>
        </w:rPr>
        <w:t>：拖延、阻碍、拒绝质量检查或飞行检查的；发现采样、分析、数据采集和传输等过程人为干扰，未按要求及时报告的；</w:t>
      </w:r>
      <w:r>
        <w:rPr>
          <w:rFonts w:hint="eastAsia" w:ascii="宋体" w:hAnsi="宋体" w:eastAsia="宋体" w:cs="宋体"/>
          <w:sz w:val="24"/>
          <w:szCs w:val="24"/>
          <w:lang w:val="en-US" w:eastAsia="zh-CN"/>
        </w:rPr>
        <w:t>未按规范开展运维导致站点设备严重损坏的。</w:t>
      </w:r>
    </w:p>
    <w:p w14:paraId="2C02B0F4">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③在质量检查中，发现运维单位未达到运维质控要求，根据对数据质量造成的影响程度，扣减相应站点当季度</w:t>
      </w:r>
      <w:r>
        <w:rPr>
          <w:rFonts w:hint="eastAsia" w:ascii="宋体" w:hAnsi="宋体" w:eastAsia="宋体" w:cs="宋体"/>
          <w:sz w:val="24"/>
          <w:szCs w:val="24"/>
          <w:lang w:val="en-US" w:eastAsia="zh-CN"/>
        </w:rPr>
        <w:t>5</w:t>
      </w:r>
      <w:r>
        <w:rPr>
          <w:rFonts w:hint="eastAsia" w:ascii="宋体" w:hAnsi="宋体" w:eastAsia="宋体" w:cs="宋体"/>
          <w:sz w:val="24"/>
          <w:szCs w:val="24"/>
        </w:rPr>
        <w:t>0%运维经费。</w:t>
      </w:r>
    </w:p>
    <w:p w14:paraId="12E36A1D">
      <w:pPr>
        <w:pStyle w:val="201"/>
        <w:keepNext w:val="0"/>
        <w:keepLines w:val="0"/>
        <w:pageBreakBefore w:val="0"/>
        <w:widowControl w:val="0"/>
        <w:spacing w:line="440" w:lineRule="exact"/>
        <w:ind w:firstLine="482"/>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四、报价要求</w:t>
      </w:r>
    </w:p>
    <w:p w14:paraId="24913DDD">
      <w:pPr>
        <w:pStyle w:val="201"/>
        <w:keepNext w:val="0"/>
        <w:keepLines w:val="0"/>
        <w:pageBreakBefore w:val="0"/>
        <w:widowControl w:val="0"/>
        <w:spacing w:line="440" w:lineRule="exact"/>
        <w:ind w:firstLine="482"/>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运维服务费用包括完成该项目工作所需的所有费用，包括站点运维费（含人工费、交通费、差旅费、食宿费、电费、网费、配件费、耗材费等）、质控费用（含标准物质、质控设备等）、数据平台的更新、重建、维护、专利技术、成交服务费、项目利润、税费及政策性文件规定和合同所包含的所有风险、责任等各项应有费用。</w:t>
      </w:r>
    </w:p>
    <w:p w14:paraId="26113B1D">
      <w:pPr>
        <w:pStyle w:val="201"/>
        <w:keepNext w:val="0"/>
        <w:keepLines w:val="0"/>
        <w:pageBreakBefore w:val="0"/>
        <w:widowControl w:val="0"/>
        <w:spacing w:line="440" w:lineRule="exact"/>
        <w:ind w:firstLine="482"/>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五、其他要求</w:t>
      </w:r>
    </w:p>
    <w:p w14:paraId="58F7AEB3">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运维人员在履行工作职责期间（包括上下班途中），发生自身的人身伤害、伤亡以及事故等，均由成交供应商负责处理并承担经济和道义上的责任，采购人不承担任何责任。成交供应商与所派遣的运维人员发生纠纷，均由成交供应商负责调解与处理，采购人不承担责任。</w:t>
      </w:r>
    </w:p>
    <w:p w14:paraId="14C9A309">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2、若成交供应商非目前承担运维工作的公司，需做好与前承担运维工作的公司的交接工作。</w:t>
      </w:r>
    </w:p>
    <w:p w14:paraId="08B12C7F">
      <w:pPr>
        <w:pStyle w:val="201"/>
        <w:spacing w:line="440" w:lineRule="exact"/>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3、根据《江苏省政府采购履约验收管理办法》要求，成交供应商在合同期间，</w:t>
      </w:r>
      <w:r>
        <w:rPr>
          <w:rFonts w:hint="eastAsia" w:ascii="宋体" w:hAnsi="宋体" w:eastAsia="宋体" w:cs="宋体"/>
          <w:b/>
          <w:bCs/>
          <w:color w:val="auto"/>
          <w:sz w:val="24"/>
          <w:szCs w:val="24"/>
          <w:lang w:val="zh-CN"/>
        </w:rPr>
        <w:t>每</w:t>
      </w:r>
      <w:r>
        <w:rPr>
          <w:rFonts w:hint="eastAsia" w:ascii="宋体" w:hAnsi="宋体" w:eastAsia="宋体" w:cs="宋体"/>
          <w:b/>
          <w:bCs/>
          <w:color w:val="auto"/>
          <w:sz w:val="24"/>
          <w:szCs w:val="24"/>
          <w:lang w:val="en-US" w:eastAsia="zh-CN"/>
        </w:rPr>
        <w:t>年</w:t>
      </w:r>
      <w:r>
        <w:rPr>
          <w:rFonts w:hint="eastAsia" w:ascii="宋体" w:hAnsi="宋体" w:eastAsia="宋体" w:cs="宋体"/>
          <w:b/>
          <w:bCs/>
          <w:color w:val="auto"/>
          <w:sz w:val="24"/>
          <w:szCs w:val="24"/>
          <w:lang w:val="zh-CN"/>
        </w:rPr>
        <w:t>提交运维工作小结</w:t>
      </w:r>
      <w:r>
        <w:rPr>
          <w:rFonts w:hint="eastAsia" w:ascii="宋体" w:hAnsi="宋体" w:eastAsia="宋体" w:cs="宋体"/>
          <w:color w:val="auto"/>
          <w:sz w:val="24"/>
          <w:szCs w:val="24"/>
          <w:lang w:val="zh-CN"/>
        </w:rPr>
        <w:t>，（终期）需配合采购人完成履约验收工作，提供履约工作报告（报告需陈述运维期工作开展情况、目标达成情况、运维日志汇总等）并加盖公章，经</w:t>
      </w:r>
      <w:r>
        <w:rPr>
          <w:rFonts w:hint="eastAsia" w:ascii="宋体" w:hAnsi="宋体" w:eastAsia="宋体" w:cs="宋体"/>
          <w:b/>
          <w:bCs/>
          <w:color w:val="auto"/>
          <w:sz w:val="24"/>
          <w:szCs w:val="24"/>
          <w:lang w:val="zh-CN"/>
        </w:rPr>
        <w:t>验收合格</w:t>
      </w:r>
      <w:r>
        <w:rPr>
          <w:rFonts w:hint="eastAsia" w:ascii="宋体" w:hAnsi="宋体" w:eastAsia="宋体" w:cs="宋体"/>
          <w:color w:val="auto"/>
          <w:sz w:val="24"/>
          <w:szCs w:val="24"/>
          <w:lang w:val="zh-CN"/>
        </w:rPr>
        <w:t>后，作为成交供应商履约完成工作依据。</w:t>
      </w:r>
    </w:p>
    <w:p w14:paraId="7104D140">
      <w:pPr>
        <w:pStyle w:val="201"/>
        <w:keepNext w:val="0"/>
        <w:keepLines w:val="0"/>
        <w:pageBreakBefore w:val="0"/>
        <w:widowControl w:val="0"/>
        <w:spacing w:line="44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六、商务要求</w:t>
      </w:r>
    </w:p>
    <w:p w14:paraId="1F9B481B">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1、服务期限（合同履行期限）：两年（以签订合同时间为准）。</w:t>
      </w:r>
    </w:p>
    <w:p w14:paraId="54C92563">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2、服务</w:t>
      </w:r>
      <w:r>
        <w:rPr>
          <w:rFonts w:hint="eastAsia" w:ascii="宋体" w:hAnsi="宋体" w:eastAsia="宋体" w:cs="宋体"/>
          <w:color w:val="auto"/>
          <w:sz w:val="24"/>
          <w:szCs w:val="24"/>
          <w:highlight w:val="none"/>
          <w:lang w:val="zh-CN" w:eastAsia="zh-CN"/>
        </w:rPr>
        <w:t>地点：位于盐城市</w:t>
      </w:r>
      <w:r>
        <w:rPr>
          <w:rFonts w:hint="eastAsia" w:ascii="宋体" w:hAnsi="宋体" w:eastAsia="宋体" w:cs="宋体"/>
          <w:color w:val="auto"/>
          <w:sz w:val="24"/>
          <w:szCs w:val="24"/>
          <w:highlight w:val="none"/>
          <w:lang w:val="en-US" w:eastAsia="zh-CN"/>
        </w:rPr>
        <w:t>滨海县</w:t>
      </w:r>
      <w:r>
        <w:rPr>
          <w:rFonts w:hint="eastAsia" w:ascii="宋体" w:hAnsi="宋体" w:eastAsia="宋体" w:cs="宋体"/>
          <w:color w:val="auto"/>
          <w:sz w:val="24"/>
          <w:szCs w:val="24"/>
          <w:highlight w:val="none"/>
          <w:lang w:val="zh-CN" w:eastAsia="zh-CN"/>
        </w:rPr>
        <w:t>境内</w:t>
      </w:r>
      <w:r>
        <w:rPr>
          <w:rFonts w:hint="eastAsia" w:ascii="宋体" w:hAnsi="宋体" w:eastAsia="宋体" w:cs="宋体"/>
          <w:color w:val="auto"/>
          <w:sz w:val="24"/>
          <w:szCs w:val="24"/>
          <w:highlight w:val="none"/>
          <w:lang w:val="en-US" w:eastAsia="zh-CN"/>
        </w:rPr>
        <w:t>。</w:t>
      </w:r>
    </w:p>
    <w:p w14:paraId="485BC378">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付款方式：</w:t>
      </w:r>
    </w:p>
    <w:p w14:paraId="47D49963">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3.1.合同签订后10工作日内（自收到发票之日起），采购人支付供应商合同总价的30％作为预付款；</w:t>
      </w:r>
    </w:p>
    <w:p w14:paraId="2FB78E5D">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3.2.每半年对运维单位开展一次运维工作考核，以每个空气自动站为单位进行，单站点每半年运维费以运维总价/28计，依照运维考核情况支付运行维护经费。</w:t>
      </w:r>
    </w:p>
    <w:p w14:paraId="0CAFC2D3">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（1）空气站数据上传率必须高于95%(含)，否则不予支付当期运维费。</w:t>
      </w:r>
    </w:p>
    <w:p w14:paraId="10D5C704">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（2）空气站数据有效率均应达到95%以上，否则不予支付当期运维费。</w:t>
      </w:r>
    </w:p>
    <w:p w14:paraId="248E0333">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注：以上付款均无银行利息，一律通过银行结转；采购人在付款前，供应商应先向采购人提供等额有效的发票，否则采购人有权拒付款项，且不承担任何责任。</w:t>
      </w:r>
    </w:p>
    <w:p w14:paraId="01E5964E">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4、售后服务内容、要求和期限</w:t>
      </w:r>
    </w:p>
    <w:p w14:paraId="625A164C">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有关部门、单位进行调查、查阅报告所需的信息，供应商须进行配合。</w:t>
      </w:r>
    </w:p>
    <w:p w14:paraId="73A4E6F5">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结算方式：采购人应结算金额按中标供应商合同价结算。</w:t>
      </w:r>
    </w:p>
    <w:p w14:paraId="7B70425E">
      <w:pPr>
        <w:pStyle w:val="201"/>
        <w:keepNext w:val="0"/>
        <w:keepLines w:val="0"/>
        <w:pageBreakBefore w:val="0"/>
        <w:widowControl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6、成果要求：项目成果符合招标文件要求，并经采购人分期验收通过。</w:t>
      </w:r>
    </w:p>
    <w:p w14:paraId="793C3063">
      <w:pPr>
        <w:pStyle w:val="201"/>
        <w:keepNext w:val="0"/>
        <w:keepLines w:val="0"/>
        <w:pageBreakBefore w:val="0"/>
        <w:widowControl w:val="0"/>
        <w:spacing w:line="440" w:lineRule="exact"/>
        <w:ind w:firstLine="482"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七、其他要求</w:t>
      </w:r>
    </w:p>
    <w:p w14:paraId="504008ED">
      <w:pPr>
        <w:pStyle w:val="201"/>
        <w:spacing w:line="440" w:lineRule="exact"/>
        <w:ind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rPr>
        <w:t>1、技术部分要求</w:t>
      </w:r>
    </w:p>
    <w:p w14:paraId="7344149C">
      <w:pPr>
        <w:pStyle w:val="201"/>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投标人须根据自身实际情况与对本项目的理解，编制总体服务方案，至少包含运维服务方案、质控方案、数据审核及异常数据判断方案、交接方案、应急预案、运维服务质量保证6大项。服务方案内容清晰、全面、合理、可靠、结构完整优于项目需求的优先。</w:t>
      </w:r>
    </w:p>
    <w:p w14:paraId="36D5EE50">
      <w:pPr>
        <w:pStyle w:val="201"/>
        <w:spacing w:line="440" w:lineRule="exact"/>
        <w:ind w:firstLine="482"/>
        <w:rPr>
          <w:rFonts w:hint="eastAsia" w:ascii="宋体" w:hAnsi="宋体" w:eastAsia="宋体" w:cs="宋体"/>
          <w:color w:val="auto"/>
          <w:sz w:val="24"/>
          <w:szCs w:val="24"/>
        </w:rPr>
      </w:pPr>
      <w:r>
        <w:rPr>
          <w:rFonts w:hint="eastAsia" w:ascii="宋体" w:hAnsi="宋体" w:eastAsia="宋体" w:cs="宋体"/>
          <w:b/>
          <w:bCs/>
          <w:color w:val="auto"/>
          <w:sz w:val="24"/>
          <w:szCs w:val="24"/>
        </w:rPr>
        <w:t>运维服务方案：</w:t>
      </w:r>
      <w:r>
        <w:rPr>
          <w:rFonts w:hint="eastAsia" w:ascii="宋体" w:hAnsi="宋体" w:eastAsia="宋体" w:cs="宋体"/>
          <w:color w:val="auto"/>
          <w:sz w:val="24"/>
          <w:szCs w:val="24"/>
        </w:rPr>
        <w:t>为保证项目运维服务质量，投标人按照技术规范并结合项目的地域、仪器设备等情况，提供站点运行维护服务方案。运维方案应包括运维服务流程、日常管理维护的内容与频次（零部件的清洁与更换、站房及配套设备维护、校准校验等）、质量控制要求、运维台账填写、报表报告编制</w:t>
      </w:r>
      <w:r>
        <w:rPr>
          <w:rFonts w:hint="eastAsia" w:ascii="宋体" w:hAnsi="宋体" w:eastAsia="宋体" w:cs="宋体"/>
          <w:color w:val="auto"/>
          <w:sz w:val="24"/>
          <w:szCs w:val="24"/>
          <w:lang w:eastAsia="zh-CN"/>
        </w:rPr>
        <w:t>以及防范人为干扰</w:t>
      </w:r>
      <w:r>
        <w:rPr>
          <w:rFonts w:hint="eastAsia" w:ascii="宋体" w:hAnsi="宋体" w:eastAsia="宋体" w:cs="宋体"/>
          <w:color w:val="auto"/>
          <w:sz w:val="24"/>
          <w:szCs w:val="24"/>
        </w:rPr>
        <w:t>等方面提供详细的运维计划。</w:t>
      </w:r>
    </w:p>
    <w:p w14:paraId="7500F8C1">
      <w:pPr>
        <w:pStyle w:val="201"/>
        <w:spacing w:line="440" w:lineRule="exact"/>
        <w:ind w:firstLine="482"/>
        <w:rPr>
          <w:rFonts w:hint="eastAsia" w:ascii="宋体" w:hAnsi="宋体" w:eastAsia="宋体" w:cs="宋体"/>
          <w:color w:val="auto"/>
          <w:sz w:val="24"/>
          <w:szCs w:val="24"/>
        </w:rPr>
      </w:pPr>
      <w:r>
        <w:rPr>
          <w:rFonts w:hint="eastAsia" w:ascii="宋体" w:hAnsi="宋体" w:eastAsia="宋体" w:cs="宋体"/>
          <w:b/>
          <w:bCs/>
          <w:color w:val="auto"/>
          <w:sz w:val="24"/>
          <w:szCs w:val="24"/>
        </w:rPr>
        <w:t>质控方案：</w:t>
      </w:r>
      <w:r>
        <w:rPr>
          <w:rFonts w:hint="eastAsia" w:ascii="宋体" w:hAnsi="宋体" w:eastAsia="宋体" w:cs="宋体"/>
          <w:color w:val="auto"/>
          <w:sz w:val="24"/>
          <w:szCs w:val="24"/>
        </w:rPr>
        <w:t>投标人按照技术规范需提供质控方案，方案内容应包含质控措施、项目与频次安排等。</w:t>
      </w:r>
    </w:p>
    <w:p w14:paraId="01E8EB07">
      <w:pPr>
        <w:pStyle w:val="201"/>
        <w:spacing w:line="440" w:lineRule="exact"/>
        <w:ind w:firstLine="482"/>
        <w:rPr>
          <w:rFonts w:hint="eastAsia" w:ascii="宋体" w:hAnsi="宋体" w:eastAsia="宋体" w:cs="宋体"/>
          <w:color w:val="auto"/>
          <w:sz w:val="24"/>
          <w:szCs w:val="24"/>
        </w:rPr>
      </w:pPr>
      <w:r>
        <w:rPr>
          <w:rFonts w:hint="eastAsia" w:ascii="宋体" w:hAnsi="宋体" w:eastAsia="宋体" w:cs="宋体"/>
          <w:b/>
          <w:bCs/>
          <w:color w:val="auto"/>
          <w:sz w:val="24"/>
          <w:szCs w:val="24"/>
        </w:rPr>
        <w:t>数据审核及异常数据判断方案：</w:t>
      </w:r>
      <w:r>
        <w:rPr>
          <w:rFonts w:hint="eastAsia" w:ascii="宋体" w:hAnsi="宋体" w:eastAsia="宋体" w:cs="宋体"/>
          <w:color w:val="auto"/>
          <w:sz w:val="24"/>
          <w:szCs w:val="24"/>
        </w:rPr>
        <w:t>根据投标供应商提供的方案，是否提供了多种具体可行的异常数据判断方法，是否系统地阐述判断方法和依据，是否提出切实可行的问题核查方法及处理措施，是否制定完善的工作流程图。</w:t>
      </w:r>
    </w:p>
    <w:p w14:paraId="55AF31A8">
      <w:pPr>
        <w:pStyle w:val="36"/>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firstLine="482"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b/>
          <w:bCs/>
          <w:color w:val="auto"/>
          <w:sz w:val="24"/>
          <w:szCs w:val="24"/>
        </w:rPr>
        <w:t>交接方案：</w:t>
      </w:r>
      <w:r>
        <w:rPr>
          <w:rFonts w:hint="eastAsia" w:ascii="宋体" w:hAnsi="宋体" w:eastAsia="宋体" w:cs="宋体"/>
          <w:sz w:val="24"/>
          <w:szCs w:val="24"/>
          <w:lang w:val="en-US" w:eastAsia="zh-CN"/>
        </w:rPr>
        <w:t>投标人需根据运维站点情况制定交接实施方案，内容包括但不限于人员安排、职责分工、时间安排、交接内容、交接流程等，经采购人审核确认后，开展运维交接工作。在合同签订后1</w:t>
      </w:r>
      <w:r>
        <w:rPr>
          <w:rFonts w:hint="eastAsia" w:ascii="宋体" w:hAnsi="宋体" w:eastAsia="宋体" w:cs="宋体"/>
          <w:strike w:val="0"/>
          <w:dstrike w:val="0"/>
          <w:sz w:val="24"/>
          <w:szCs w:val="24"/>
          <w:highlight w:val="none"/>
          <w:lang w:val="en-US" w:eastAsia="zh-CN"/>
        </w:rPr>
        <w:t>5个自然</w:t>
      </w:r>
      <w:r>
        <w:rPr>
          <w:rFonts w:hint="eastAsia" w:ascii="宋体" w:hAnsi="宋体" w:eastAsia="宋体" w:cs="宋体"/>
          <w:sz w:val="24"/>
          <w:szCs w:val="24"/>
          <w:highlight w:val="none"/>
          <w:lang w:val="en-US" w:eastAsia="zh-CN"/>
        </w:rPr>
        <w:t>日内完成站点交接工作，因投标人原因导致交接工作未能按时完成的，应由投标人承担站点运行</w:t>
      </w:r>
      <w:r>
        <w:rPr>
          <w:rFonts w:hint="eastAsia" w:ascii="宋体" w:hAnsi="宋体" w:eastAsia="宋体" w:cs="宋体"/>
          <w:sz w:val="24"/>
          <w:szCs w:val="24"/>
          <w:lang w:val="en-US" w:eastAsia="zh-CN"/>
        </w:rPr>
        <w:t>产生的相关费用。</w:t>
      </w:r>
    </w:p>
    <w:p w14:paraId="097DDA1E">
      <w:pPr>
        <w:pStyle w:val="36"/>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firstLine="240" w:firstLineChars="1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（1）对需要交接的相关的文档、资料、系统、设备等形成清单；</w:t>
      </w:r>
    </w:p>
    <w:p w14:paraId="1DD840F2">
      <w:pPr>
        <w:pStyle w:val="36"/>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firstLine="240" w:firstLineChars="1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（2）设备性能开展测试，对基础设施具体情况进行确认；</w:t>
      </w:r>
    </w:p>
    <w:p w14:paraId="56F70839">
      <w:pPr>
        <w:pStyle w:val="36"/>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firstLine="240" w:firstLineChars="1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（3）需要更换备机的，相关备机性能测试和功能检查均须合格，需征得采购人同意后才能更换备机：</w:t>
      </w:r>
    </w:p>
    <w:p w14:paraId="251D6BEF">
      <w:pPr>
        <w:pStyle w:val="36"/>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firstLine="240" w:firstLineChars="1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（4）确认交接工作全部完成后，向采购人提交完整交接记录。</w:t>
      </w:r>
    </w:p>
    <w:p w14:paraId="01778494">
      <w:pPr>
        <w:pStyle w:val="201"/>
        <w:spacing w:line="440" w:lineRule="exact"/>
        <w:ind w:firstLine="482"/>
        <w:rPr>
          <w:rFonts w:hint="eastAsia" w:ascii="宋体" w:hAnsi="宋体" w:eastAsia="宋体" w:cs="宋体"/>
          <w:color w:val="auto"/>
          <w:sz w:val="24"/>
          <w:szCs w:val="24"/>
        </w:rPr>
      </w:pPr>
      <w:r>
        <w:rPr>
          <w:rFonts w:hint="eastAsia" w:ascii="宋体" w:hAnsi="宋体" w:eastAsia="宋体" w:cs="宋体"/>
          <w:b/>
          <w:bCs/>
          <w:color w:val="auto"/>
          <w:sz w:val="24"/>
          <w:szCs w:val="24"/>
        </w:rPr>
        <w:t>应急预案：</w:t>
      </w:r>
      <w:r>
        <w:rPr>
          <w:rFonts w:hint="eastAsia" w:ascii="宋体" w:hAnsi="宋体" w:eastAsia="宋体" w:cs="宋体"/>
          <w:color w:val="auto"/>
          <w:sz w:val="24"/>
          <w:szCs w:val="24"/>
        </w:rPr>
        <w:t>供应商对可能发生的问题，编制突发事件的应急预案，预案应尽量罗列可能发生的（如停电、设备故障、站房损坏等）突发问题，明确应急小组成员，确定应急响应时间，提出针对性应急措施。</w:t>
      </w:r>
    </w:p>
    <w:p w14:paraId="4BD09419">
      <w:pPr>
        <w:pStyle w:val="36"/>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eastAsia" w:ascii="宋体" w:hAnsi="宋体" w:eastAsia="宋体" w:cs="宋体"/>
          <w:color w:val="auto"/>
          <w:sz w:val="24"/>
          <w:szCs w:val="24"/>
        </w:rPr>
      </w:pPr>
      <w:r>
        <w:rPr>
          <w:rFonts w:hint="eastAsia" w:ascii="宋体" w:hAnsi="宋体" w:eastAsia="宋体" w:cs="宋体"/>
          <w:b/>
          <w:bCs/>
          <w:sz w:val="24"/>
          <w:szCs w:val="24"/>
        </w:rPr>
        <w:t>现场勘查</w:t>
      </w:r>
      <w:r>
        <w:rPr>
          <w:rFonts w:hint="eastAsia" w:ascii="宋体" w:hAnsi="宋体" w:eastAsia="宋体" w:cs="宋体"/>
          <w:b/>
          <w:bCs/>
          <w:sz w:val="24"/>
          <w:szCs w:val="24"/>
          <w:lang w:eastAsia="zh-CN"/>
        </w:rPr>
        <w:t>：</w:t>
      </w:r>
      <w:r>
        <w:rPr>
          <w:rFonts w:hint="eastAsia" w:ascii="宋体" w:hAnsi="宋体" w:eastAsia="宋体" w:cs="宋体"/>
          <w:sz w:val="24"/>
          <w:szCs w:val="24"/>
          <w:lang w:val="en-US" w:eastAsia="zh-CN"/>
        </w:rPr>
        <w:t>投标人</w:t>
      </w:r>
      <w:r>
        <w:rPr>
          <w:rFonts w:hint="eastAsia" w:ascii="宋体" w:hAnsi="宋体" w:eastAsia="宋体" w:cs="宋体"/>
          <w:sz w:val="24"/>
          <w:szCs w:val="24"/>
        </w:rPr>
        <w:t>需自行协调项目现场勘查，现场勘查联系</w:t>
      </w:r>
      <w:r>
        <w:rPr>
          <w:rFonts w:hint="eastAsia" w:ascii="宋体" w:hAnsi="宋体" w:eastAsia="宋体" w:cs="宋体"/>
          <w:sz w:val="24"/>
          <w:szCs w:val="24"/>
          <w:lang w:val="en-US" w:eastAsia="zh-CN"/>
        </w:rPr>
        <w:t>杜先生15351519892</w:t>
      </w:r>
      <w:r>
        <w:rPr>
          <w:rFonts w:hint="eastAsia" w:ascii="宋体" w:hAnsi="宋体" w:eastAsia="宋体" w:cs="宋体"/>
          <w:sz w:val="24"/>
          <w:szCs w:val="24"/>
        </w:rPr>
        <w:t>。</w:t>
      </w:r>
    </w:p>
    <w:p w14:paraId="5B47A5B8">
      <w:pPr>
        <w:pStyle w:val="201"/>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运维服务质量保证：</w:t>
      </w:r>
      <w:r>
        <w:rPr>
          <w:rFonts w:hint="eastAsia" w:ascii="宋体" w:hAnsi="宋体" w:eastAsia="宋体" w:cs="宋体"/>
          <w:color w:val="auto"/>
          <w:sz w:val="24"/>
          <w:szCs w:val="24"/>
          <w:highlight w:val="none"/>
        </w:rPr>
        <w:t>投标供应商需承诺提供与站点仪器设备相匹配的备品备件及备机，其中备机数量不低于</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套。</w:t>
      </w:r>
    </w:p>
    <w:p w14:paraId="14E55EE4">
      <w:pPr>
        <w:pStyle w:val="201"/>
        <w:spacing w:line="440" w:lineRule="exact"/>
        <w:ind w:firstLine="482"/>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2、履约能力要求</w:t>
      </w:r>
    </w:p>
    <w:p w14:paraId="162FC9CB">
      <w:pPr>
        <w:pStyle w:val="201"/>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响应时间</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对数据异常情况，及时响应。投标人接到采购人的售后服务需求后，做到“1小时响应、2小时到场、4小时恢复”的机制，影响超过4小时更换备机，避免数据缺失；7天内修复故障，维修后需做校准验证，合格后方可恢复运行。</w:t>
      </w:r>
    </w:p>
    <w:p w14:paraId="4AB34DA7">
      <w:pPr>
        <w:pStyle w:val="201"/>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车辆配备情况</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运维用车基础配备要求至少</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辆，用于日常巡检和发生突发事故时能及时赶到站点对仪器设备进行运维。</w:t>
      </w:r>
    </w:p>
    <w:p w14:paraId="504F94A3">
      <w:pPr>
        <w:pStyle w:val="201"/>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人员配备</w:t>
      </w:r>
    </w:p>
    <w:p w14:paraId="7E3D45E8">
      <w:pPr>
        <w:pStyle w:val="201"/>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投标人应为本项目配备具有丰富环境管理经验的服务团队，</w:t>
      </w:r>
      <w:r>
        <w:rPr>
          <w:rFonts w:hint="eastAsia" w:ascii="宋体" w:hAnsi="宋体" w:eastAsia="宋体" w:cs="宋体"/>
          <w:b/>
          <w:bCs/>
          <w:color w:val="auto"/>
          <w:sz w:val="24"/>
          <w:szCs w:val="24"/>
          <w:highlight w:val="none"/>
          <w:lang w:val="zh-CN"/>
        </w:rPr>
        <w:t>人员未经</w:t>
      </w:r>
      <w:r>
        <w:rPr>
          <w:rFonts w:hint="eastAsia" w:ascii="宋体" w:hAnsi="宋体" w:eastAsia="宋体" w:cs="宋体"/>
          <w:b/>
          <w:bCs/>
          <w:color w:val="auto"/>
          <w:sz w:val="24"/>
          <w:szCs w:val="24"/>
          <w:highlight w:val="none"/>
          <w:lang w:val="en-US" w:eastAsia="zh-CN"/>
        </w:rPr>
        <w:t>采购人</w:t>
      </w:r>
      <w:r>
        <w:rPr>
          <w:rFonts w:hint="eastAsia" w:ascii="宋体" w:hAnsi="宋体" w:eastAsia="宋体" w:cs="宋体"/>
          <w:b/>
          <w:bCs/>
          <w:color w:val="auto"/>
          <w:sz w:val="24"/>
          <w:szCs w:val="24"/>
          <w:highlight w:val="none"/>
          <w:lang w:val="zh-CN"/>
        </w:rPr>
        <w:t>许可，不可随意更换</w:t>
      </w:r>
      <w:r>
        <w:rPr>
          <w:rFonts w:hint="eastAsia" w:ascii="宋体" w:hAnsi="宋体" w:eastAsia="宋体" w:cs="宋体"/>
          <w:color w:val="auto"/>
          <w:sz w:val="24"/>
          <w:szCs w:val="24"/>
          <w:highlight w:val="none"/>
          <w:lang w:val="zh-CN"/>
        </w:rPr>
        <w:t>。</w:t>
      </w:r>
    </w:p>
    <w:p w14:paraId="0A35BC23">
      <w:pPr>
        <w:pStyle w:val="201"/>
        <w:keepNext w:val="0"/>
        <w:keepLines w:val="0"/>
        <w:pageBreakBefore w:val="0"/>
        <w:widowControl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六、采购标的对应的中小企业划分标准所属行业一览表</w:t>
      </w:r>
    </w:p>
    <w:tbl>
      <w:tblPr>
        <w:tblStyle w:val="40"/>
        <w:tblW w:w="5000" w:type="pct"/>
        <w:jc w:val="center"/>
        <w:tblCellSpacing w:w="0" w:type="dxa"/>
        <w:tblLayout w:type="autofit"/>
        <w:tblCellMar>
          <w:top w:w="0" w:type="dxa"/>
          <w:left w:w="108" w:type="dxa"/>
          <w:bottom w:w="0" w:type="dxa"/>
          <w:right w:w="108" w:type="dxa"/>
        </w:tblCellMar>
      </w:tblPr>
      <w:tblGrid>
        <w:gridCol w:w="668"/>
        <w:gridCol w:w="6074"/>
        <w:gridCol w:w="3133"/>
      </w:tblGrid>
      <w:tr w14:paraId="54CD42F8">
        <w:tblPrEx>
          <w:tblCellMar>
            <w:top w:w="0" w:type="dxa"/>
            <w:left w:w="108" w:type="dxa"/>
            <w:bottom w:w="0" w:type="dxa"/>
            <w:right w:w="108" w:type="dxa"/>
          </w:tblCellMar>
        </w:tblPrEx>
        <w:trPr>
          <w:trHeight w:val="567" w:hRule="atLeast"/>
          <w:tblCellSpacing w:w="0" w:type="dxa"/>
          <w:jc w:val="center"/>
        </w:trPr>
        <w:tc>
          <w:tcPr>
            <w:tcW w:w="3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3E5F95">
            <w:pPr>
              <w:pStyle w:val="36"/>
              <w:keepNext w:val="0"/>
              <w:keepLines w:val="0"/>
              <w:pageBreakBefore w:val="0"/>
              <w:spacing w:beforeAutospacing="0" w:afterAutospacing="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30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97DA8A">
            <w:pPr>
              <w:pStyle w:val="36"/>
              <w:keepNext w:val="0"/>
              <w:keepLines w:val="0"/>
              <w:pageBreakBefore w:val="0"/>
              <w:spacing w:beforeAutospacing="0" w:afterAutospacing="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采购标的</w:t>
            </w:r>
          </w:p>
        </w:tc>
        <w:tc>
          <w:tcPr>
            <w:tcW w:w="15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B196F">
            <w:pPr>
              <w:pStyle w:val="36"/>
              <w:keepNext w:val="0"/>
              <w:keepLines w:val="0"/>
              <w:pageBreakBefore w:val="0"/>
              <w:spacing w:beforeAutospacing="0" w:afterAutospacing="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对应中小企业划分标准所属行业</w:t>
            </w:r>
          </w:p>
        </w:tc>
      </w:tr>
      <w:tr w14:paraId="0A20A44C">
        <w:tblPrEx>
          <w:tblCellMar>
            <w:top w:w="0" w:type="dxa"/>
            <w:left w:w="108" w:type="dxa"/>
            <w:bottom w:w="0" w:type="dxa"/>
            <w:right w:w="108" w:type="dxa"/>
          </w:tblCellMar>
        </w:tblPrEx>
        <w:trPr>
          <w:trHeight w:val="567" w:hRule="atLeast"/>
          <w:tblCellSpacing w:w="0" w:type="dxa"/>
          <w:jc w:val="center"/>
        </w:trPr>
        <w:tc>
          <w:tcPr>
            <w:tcW w:w="33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619D6D">
            <w:pPr>
              <w:keepNext w:val="0"/>
              <w:keepLines w:val="0"/>
              <w:pageBreakBefore w:val="0"/>
              <w:widowControl/>
              <w:suppressLineNumbers w:val="0"/>
              <w:spacing w:line="240" w:lineRule="auto"/>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w:t>
            </w:r>
          </w:p>
        </w:tc>
        <w:tc>
          <w:tcPr>
            <w:tcW w:w="30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7269BB">
            <w:pPr>
              <w:keepNext w:val="0"/>
              <w:keepLines w:val="0"/>
              <w:pageBreakBefore w:val="0"/>
              <w:widowControl/>
              <w:suppressLineNumbers w:val="0"/>
              <w:spacing w:line="240" w:lineRule="auto"/>
              <w:jc w:val="center"/>
              <w:rPr>
                <w:rFonts w:hint="eastAsia" w:ascii="宋体" w:hAnsi="宋体" w:eastAsia="宋体" w:cs="宋体"/>
                <w:i w:val="0"/>
                <w:iCs w:val="0"/>
                <w:color w:val="auto"/>
                <w:sz w:val="24"/>
                <w:szCs w:val="24"/>
                <w:highlight w:val="none"/>
                <w:u w:val="none"/>
                <w:lang w:val="zh-CN" w:eastAsia="zh-CN" w:bidi="ar"/>
              </w:rPr>
            </w:pPr>
            <w:r>
              <w:rPr>
                <w:rFonts w:hint="eastAsia" w:ascii="宋体" w:hAnsi="宋体" w:eastAsia="宋体" w:cs="宋体"/>
                <w:color w:val="auto"/>
                <w:sz w:val="24"/>
                <w:szCs w:val="24"/>
                <w:highlight w:val="none"/>
                <w:lang w:val="en-US" w:eastAsia="zh-CN"/>
              </w:rPr>
              <w:t>滨海县镇区（街道）空气质量监测网络运维服务项目</w:t>
            </w:r>
          </w:p>
        </w:tc>
        <w:tc>
          <w:tcPr>
            <w:tcW w:w="15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1B8CFE">
            <w:pPr>
              <w:keepNext w:val="0"/>
              <w:keepLines w:val="0"/>
              <w:pageBreakBefore w:val="0"/>
              <w:widowControl/>
              <w:suppressLineNumbers w:val="0"/>
              <w:spacing w:line="240" w:lineRule="auto"/>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其他未列明行业</w:t>
            </w:r>
          </w:p>
        </w:tc>
      </w:tr>
    </w:tbl>
    <w:p w14:paraId="540A1D8E">
      <w:pPr>
        <w:adjustRightInd w:val="0"/>
        <w:snapToGrid w:val="0"/>
        <w:spacing w:line="360" w:lineRule="auto"/>
        <w:ind w:firstLine="480" w:firstLineChars="200"/>
        <w:textAlignment w:val="baseline"/>
        <w:rPr>
          <w:rFonts w:hint="eastAsia" w:ascii="宋体" w:hAnsi="宋体" w:eastAsia="宋体" w:cs="宋体"/>
          <w:bCs/>
          <w:sz w:val="24"/>
          <w:szCs w:val="24"/>
          <w:highlight w:val="none"/>
        </w:rPr>
      </w:pPr>
    </w:p>
    <w:p w14:paraId="193561EB">
      <w:pPr>
        <w:pageBreakBefore/>
        <w:spacing w:before="50" w:line="360" w:lineRule="auto"/>
        <w:jc w:val="center"/>
        <w:rPr>
          <w:rFonts w:ascii="黑体" w:hAnsi="Arial" w:eastAsia="黑体"/>
          <w:color w:val="000000"/>
          <w:sz w:val="44"/>
          <w:szCs w:val="44"/>
        </w:rPr>
      </w:pPr>
      <w:bookmarkStart w:id="101" w:name="OLE_LINK15"/>
      <w:r>
        <w:rPr>
          <w:rFonts w:hint="eastAsia" w:ascii="黑体" w:hAnsi="Arial" w:eastAsia="黑体"/>
          <w:color w:val="000000"/>
          <w:sz w:val="44"/>
          <w:szCs w:val="44"/>
        </w:rPr>
        <w:t>第五章</w:t>
      </w:r>
      <w:r>
        <w:rPr>
          <w:rFonts w:ascii="黑体" w:hAnsi="Arial" w:eastAsia="黑体"/>
          <w:color w:val="000000"/>
          <w:sz w:val="44"/>
          <w:szCs w:val="44"/>
        </w:rPr>
        <w:t xml:space="preserve">  </w:t>
      </w:r>
      <w:r>
        <w:rPr>
          <w:rFonts w:hint="eastAsia" w:ascii="黑体" w:hAnsi="Arial" w:eastAsia="黑体"/>
          <w:color w:val="000000"/>
          <w:sz w:val="44"/>
          <w:szCs w:val="44"/>
        </w:rPr>
        <w:t>评标方法与评标标准</w:t>
      </w:r>
    </w:p>
    <w:bookmarkEnd w:id="101"/>
    <w:p w14:paraId="56B26D9C">
      <w:pPr>
        <w:spacing w:line="360" w:lineRule="auto"/>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一、定标原则</w:t>
      </w:r>
    </w:p>
    <w:p w14:paraId="2A60413F">
      <w:pPr>
        <w:spacing w:line="360" w:lineRule="auto"/>
        <w:ind w:firstLine="48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本项目采用</w:t>
      </w:r>
      <w:r>
        <w:rPr>
          <w:rFonts w:hint="eastAsia" w:ascii="宋体" w:hAnsi="宋体" w:eastAsia="宋体" w:cs="宋体"/>
          <w:bCs/>
          <w:color w:val="000000"/>
          <w:sz w:val="24"/>
          <w:highlight w:val="none"/>
          <w:u w:val="single"/>
        </w:rPr>
        <w:t>综合评分</w:t>
      </w:r>
      <w:r>
        <w:rPr>
          <w:rFonts w:hint="eastAsia" w:ascii="宋体" w:hAnsi="宋体" w:eastAsia="宋体" w:cs="宋体"/>
          <w:bCs/>
          <w:color w:val="000000"/>
          <w:sz w:val="24"/>
          <w:highlight w:val="none"/>
        </w:rPr>
        <w:t>法。</w:t>
      </w:r>
      <w:r>
        <w:rPr>
          <w:rFonts w:hint="eastAsia" w:ascii="宋体" w:hAnsi="宋体" w:eastAsia="宋体" w:cs="宋体"/>
          <w:color w:val="000000"/>
          <w:sz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highlight w:val="none"/>
          <w:u w:val="single"/>
        </w:rPr>
        <w:t>1名</w:t>
      </w:r>
      <w:r>
        <w:rPr>
          <w:rFonts w:hint="eastAsia" w:ascii="宋体" w:hAnsi="宋体" w:eastAsia="宋体" w:cs="宋体"/>
          <w:color w:val="000000"/>
          <w:sz w:val="24"/>
          <w:highlight w:val="none"/>
        </w:rPr>
        <w:t>中标候选人。</w:t>
      </w:r>
    </w:p>
    <w:p w14:paraId="38743828">
      <w:pPr>
        <w:pStyle w:val="36"/>
        <w:spacing w:before="120" w:beforeAutospacing="0" w:after="120" w:afterAutospacing="0" w:line="360" w:lineRule="auto"/>
        <w:ind w:firstLine="482"/>
        <w:rPr>
          <w:rFonts w:hint="eastAsia" w:ascii="宋体" w:hAnsi="宋体" w:eastAsia="宋体" w:cs="宋体"/>
        </w:rPr>
      </w:pPr>
      <w:r>
        <w:rPr>
          <w:rFonts w:hint="eastAsia" w:ascii="宋体" w:hAnsi="宋体" w:eastAsia="宋体" w:cs="宋体"/>
          <w:b/>
          <w:color w:val="000000"/>
        </w:rPr>
        <w:t>政府采购政策功能落实</w:t>
      </w:r>
    </w:p>
    <w:p w14:paraId="509AB732">
      <w:pPr>
        <w:pStyle w:val="36"/>
        <w:spacing w:before="120" w:beforeAutospacing="0" w:after="120" w:afterAutospacing="0" w:line="0" w:lineRule="atLeast"/>
        <w:ind w:firstLine="480"/>
        <w:rPr>
          <w:rFonts w:hint="eastAsia" w:ascii="宋体" w:hAnsi="宋体"/>
        </w:rPr>
      </w:pPr>
      <w:bookmarkStart w:id="102" w:name="OLE_LINK9"/>
      <w:r>
        <w:rPr>
          <w:rFonts w:hint="eastAsia" w:ascii="宋体" w:hAnsi="宋体" w:cs="宋体"/>
          <w:color w:val="000000"/>
        </w:rPr>
        <w:t>1.小微型企业价格扣除</w:t>
      </w:r>
    </w:p>
    <w:p w14:paraId="5D257692">
      <w:pPr>
        <w:spacing w:line="360" w:lineRule="auto"/>
        <w:ind w:firstLine="480" w:firstLineChars="200"/>
        <w:rPr>
          <w:rFonts w:hint="eastAsia" w:ascii="宋体" w:hAnsi="宋体" w:cs="宋体"/>
          <w:sz w:val="24"/>
        </w:rPr>
      </w:pPr>
      <w:r>
        <w:rPr>
          <w:rFonts w:hint="eastAsia" w:ascii="宋体" w:hAnsi="宋体" w:cs="宋体"/>
          <w:sz w:val="24"/>
        </w:rPr>
        <w:t>（1）本项目专门面向中小企业采购，不再对小型和微型企业服务给予价格扣除。</w:t>
      </w:r>
    </w:p>
    <w:p w14:paraId="0142973C">
      <w:pPr>
        <w:spacing w:line="360" w:lineRule="auto"/>
        <w:ind w:firstLine="480" w:firstLineChars="200"/>
        <w:rPr>
          <w:rFonts w:hint="eastAsia" w:ascii="宋体" w:hAnsi="宋体" w:cs="宋体"/>
          <w:sz w:val="24"/>
        </w:rPr>
      </w:pPr>
      <w:r>
        <w:rPr>
          <w:rFonts w:hint="eastAsia" w:ascii="宋体" w:hAnsi="宋体" w:cs="宋体"/>
          <w:sz w:val="24"/>
        </w:rPr>
        <w:t>（2）供应商需按照采购文件的要求提供相应的《企业声明函》。</w:t>
      </w:r>
    </w:p>
    <w:p w14:paraId="72B08441">
      <w:pPr>
        <w:spacing w:line="360" w:lineRule="auto"/>
        <w:ind w:firstLine="480" w:firstLineChars="200"/>
        <w:rPr>
          <w:rFonts w:hint="eastAsia" w:ascii="宋体" w:hAnsi="宋体" w:cs="宋体"/>
          <w:sz w:val="24"/>
        </w:rPr>
      </w:pPr>
      <w:r>
        <w:rPr>
          <w:rFonts w:hint="eastAsia" w:ascii="宋体" w:hAnsi="宋体" w:cs="宋体"/>
          <w:sz w:val="24"/>
        </w:rPr>
        <w:t>（3）企业标准请参照《关于印发中小企业划型标准规定的通知》（工信部联企业[2011]300号）文件规定自行填写。</w:t>
      </w:r>
    </w:p>
    <w:p w14:paraId="78CE98F0">
      <w:pPr>
        <w:spacing w:line="360" w:lineRule="auto"/>
        <w:ind w:firstLine="480" w:firstLineChars="200"/>
        <w:rPr>
          <w:rFonts w:hint="eastAsia" w:ascii="宋体" w:hAnsi="宋体" w:cs="宋体"/>
          <w:sz w:val="24"/>
        </w:rPr>
      </w:pPr>
      <w:r>
        <w:rPr>
          <w:rFonts w:hint="eastAsia" w:ascii="宋体" w:hAnsi="宋体" w:cs="宋体"/>
          <w:sz w:val="24"/>
        </w:rPr>
        <w:t>2.残疾人福利单位</w:t>
      </w:r>
    </w:p>
    <w:p w14:paraId="28CE2726">
      <w:pPr>
        <w:spacing w:line="360" w:lineRule="auto"/>
        <w:ind w:firstLine="480" w:firstLineChars="200"/>
        <w:rPr>
          <w:rFonts w:hint="eastAsia" w:ascii="宋体" w:hAnsi="宋体" w:cs="宋体"/>
          <w:sz w:val="24"/>
        </w:rPr>
      </w:pPr>
      <w:r>
        <w:rPr>
          <w:rFonts w:hint="eastAsia" w:ascii="宋体" w:hAnsi="宋体" w:cs="宋体"/>
          <w:sz w:val="24"/>
        </w:rPr>
        <w:t>（1）本项目对残疾人福利性单位视同小型、微型企业。</w:t>
      </w:r>
    </w:p>
    <w:p w14:paraId="07C0AF4E">
      <w:pPr>
        <w:spacing w:line="360" w:lineRule="auto"/>
        <w:ind w:firstLine="480" w:firstLineChars="200"/>
        <w:rPr>
          <w:rFonts w:hint="eastAsia" w:ascii="宋体" w:hAnsi="宋体" w:cs="宋体"/>
          <w:sz w:val="24"/>
        </w:rPr>
      </w:pPr>
      <w:r>
        <w:rPr>
          <w:rFonts w:hint="eastAsia" w:ascii="宋体" w:hAnsi="宋体" w:cs="宋体"/>
          <w:sz w:val="24"/>
        </w:rPr>
        <w:t>（2）残疾人福利单位标准请参照《关于促进残疾人就业政府采购政策的通知》（财库〔2017〕141号），需提供《残疾人福利性单位声明函》。</w:t>
      </w:r>
    </w:p>
    <w:p w14:paraId="0611F64B">
      <w:pPr>
        <w:spacing w:line="360" w:lineRule="auto"/>
        <w:ind w:firstLine="480" w:firstLineChars="200"/>
        <w:rPr>
          <w:rFonts w:hint="eastAsia" w:ascii="宋体" w:hAnsi="宋体" w:cs="宋体"/>
          <w:sz w:val="24"/>
        </w:rPr>
      </w:pPr>
      <w:r>
        <w:rPr>
          <w:rFonts w:hint="eastAsia" w:ascii="宋体" w:hAnsi="宋体" w:cs="宋体"/>
          <w:sz w:val="24"/>
        </w:rPr>
        <w:t>3.监狱和戒毒企业</w:t>
      </w:r>
    </w:p>
    <w:p w14:paraId="7A223C23">
      <w:pPr>
        <w:spacing w:line="360" w:lineRule="auto"/>
        <w:ind w:firstLine="480" w:firstLineChars="200"/>
        <w:rPr>
          <w:rFonts w:hint="eastAsia" w:ascii="宋体" w:hAnsi="宋体" w:cs="宋体"/>
          <w:sz w:val="24"/>
        </w:rPr>
      </w:pPr>
      <w:r>
        <w:rPr>
          <w:rFonts w:hint="eastAsia" w:ascii="宋体" w:hAnsi="宋体" w:cs="宋体"/>
          <w:sz w:val="24"/>
        </w:rPr>
        <w:t>（1）本项目对监狱和戒毒企业（简称监狱企业）视同小型、微型企业。</w:t>
      </w:r>
    </w:p>
    <w:p w14:paraId="0E6A00F4">
      <w:pPr>
        <w:spacing w:line="360" w:lineRule="auto"/>
        <w:ind w:firstLine="480" w:firstLineChars="200"/>
        <w:rPr>
          <w:rFonts w:hint="eastAsia" w:ascii="宋体" w:hAnsi="宋体" w:cs="宋体"/>
          <w:sz w:val="24"/>
        </w:rPr>
      </w:pPr>
      <w:r>
        <w:rPr>
          <w:rFonts w:hint="eastAsia" w:ascii="宋体" w:hAnsi="宋体" w:cs="宋体"/>
          <w:sz w:val="24"/>
        </w:rPr>
        <w:t>（2）监狱企业参加政府采购活动时，需提供由省级以上监狱管理局、戒毒管理局(含新疆生产建设兵团)出具的属于监狱企业的证明文件。</w:t>
      </w:r>
    </w:p>
    <w:p w14:paraId="13B35C65">
      <w:pPr>
        <w:spacing w:line="360" w:lineRule="auto"/>
        <w:ind w:firstLine="480" w:firstLineChars="200"/>
        <w:rPr>
          <w:rFonts w:hint="eastAsia" w:ascii="宋体" w:hAnsi="宋体" w:cs="宋体"/>
          <w:sz w:val="24"/>
        </w:rPr>
      </w:pPr>
      <w:r>
        <w:rPr>
          <w:rFonts w:hint="eastAsia" w:ascii="宋体" w:hAnsi="宋体" w:cs="宋体"/>
          <w:sz w:val="24"/>
        </w:rPr>
        <w:t>（3）监狱企业标准请参照《关于政府采购支持监狱企业发展有关问题的通知》（财库[2014]68号）。</w:t>
      </w:r>
    </w:p>
    <w:p w14:paraId="2D9613DD">
      <w:pPr>
        <w:ind w:firstLine="480"/>
        <w:rPr>
          <w:rFonts w:hint="eastAsia" w:ascii="宋体" w:hAnsi="宋体" w:cs="宋体"/>
          <w:sz w:val="24"/>
        </w:rPr>
      </w:pPr>
      <w:r>
        <w:rPr>
          <w:rFonts w:hint="eastAsia" w:ascii="宋体" w:hAnsi="宋体" w:cs="宋体"/>
          <w:sz w:val="24"/>
        </w:rPr>
        <w:t>4.残疾人福利单位、监狱企业属于小型、微型企业的，不重复享受政策。</w:t>
      </w:r>
    </w:p>
    <w:p w14:paraId="5EC90E38">
      <w:pPr>
        <w:ind w:firstLine="480"/>
        <w:rPr>
          <w:rFonts w:hint="eastAsia" w:ascii="宋体" w:hAnsi="宋体" w:cs="宋体"/>
          <w:color w:val="FF0000"/>
          <w:sz w:val="24"/>
        </w:rPr>
      </w:pPr>
      <w:r>
        <w:rPr>
          <w:rFonts w:hint="eastAsia" w:ascii="宋体" w:hAnsi="宋体" w:cs="宋体"/>
          <w:color w:val="FF0000"/>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color w:val="FF0000"/>
          <w:sz w:val="24"/>
        </w:rPr>
        <w:t>如属政府强制采购产品未提供认证证书的或认证证书提供不全的将视为未实质性响应采购要求</w:t>
      </w:r>
      <w:r>
        <w:rPr>
          <w:rFonts w:hint="eastAsia" w:ascii="宋体" w:hAnsi="宋体" w:cs="宋体"/>
          <w:color w:val="FF0000"/>
          <w:sz w:val="24"/>
        </w:rPr>
        <w:t>。其他条件相同情况下，应当优先采购节能产品、环境标志产品。</w:t>
      </w:r>
    </w:p>
    <w:p w14:paraId="62335801">
      <w:pPr>
        <w:ind w:firstLine="480"/>
        <w:rPr>
          <w:rFonts w:hint="eastAsia" w:ascii="宋体" w:hAnsi="宋体" w:cs="宋体"/>
          <w:color w:val="FF0000"/>
          <w:sz w:val="24"/>
        </w:rPr>
      </w:pPr>
      <w:r>
        <w:rPr>
          <w:rFonts w:hint="eastAsia" w:ascii="宋体" w:hAnsi="宋体" w:cs="宋体"/>
          <w:color w:val="FF0000"/>
          <w:sz w:val="24"/>
        </w:rPr>
        <w:t>6.供应商对于投标产品的商品包装、快递包装应按照《关于印发《商品包装政府采购需求标准（试行）》、《快递包装政府采购需求标准（试行）》的通知》（财办库〔2020〕123号）执行。</w:t>
      </w:r>
    </w:p>
    <w:p w14:paraId="66C3FA26">
      <w:pPr>
        <w:spacing w:line="420" w:lineRule="exact"/>
        <w:ind w:firstLine="480" w:firstLineChars="200"/>
        <w:rPr>
          <w:rFonts w:hint="eastAsia" w:ascii="宋体" w:hAnsi="宋体" w:cs="宋体"/>
          <w:color w:val="FF0000"/>
          <w:sz w:val="24"/>
        </w:rPr>
      </w:pPr>
      <w:r>
        <w:rPr>
          <w:rFonts w:hint="eastAsia" w:ascii="宋体" w:hAnsi="宋体" w:cs="宋体"/>
          <w:color w:val="FF0000"/>
          <w:sz w:val="24"/>
        </w:rPr>
        <w:t>7.本文件中若涉及到数据中心采购，应按照《&lt;绿色数据中心政府采购需求标准（试行）&gt;的通知》（财库〔2023〕7号）执行。</w:t>
      </w:r>
      <w:bookmarkEnd w:id="102"/>
    </w:p>
    <w:p w14:paraId="45910C78">
      <w:pPr>
        <w:pStyle w:val="36"/>
        <w:rPr>
          <w:rFonts w:hint="eastAsia"/>
          <w:b/>
          <w:bCs/>
          <w:highlight w:val="none"/>
        </w:rPr>
      </w:pPr>
      <w:r>
        <w:rPr>
          <w:rFonts w:hint="eastAsia"/>
          <w:b/>
          <w:bCs/>
          <w:highlight w:val="none"/>
        </w:rPr>
        <w:t>二、评标方法与评标标准</w:t>
      </w:r>
    </w:p>
    <w:p w14:paraId="62983288">
      <w:pPr>
        <w:pStyle w:val="36"/>
        <w:keepNext w:val="0"/>
        <w:keepLines w:val="0"/>
        <w:pageBreakBefore w:val="0"/>
        <w:widowControl w:val="0"/>
        <w:spacing w:beforeAutospacing="0" w:afterAutospacing="0" w:line="360" w:lineRule="auto"/>
        <w:ind w:left="0" w:firstLine="482"/>
        <w:jc w:val="both"/>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包件一</w:t>
      </w:r>
      <w:r>
        <w:rPr>
          <w:rFonts w:hint="eastAsia" w:ascii="宋体" w:hAnsi="宋体" w:eastAsia="宋体" w:cs="宋体"/>
          <w:b/>
          <w:bCs/>
          <w:color w:val="auto"/>
          <w:highlight w:val="none"/>
        </w:rPr>
        <w:t>评标方法与评标标准</w:t>
      </w:r>
    </w:p>
    <w:tbl>
      <w:tblPr>
        <w:tblStyle w:val="40"/>
        <w:tblW w:w="10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014"/>
        <w:gridCol w:w="1305"/>
        <w:gridCol w:w="806"/>
        <w:gridCol w:w="6334"/>
      </w:tblGrid>
      <w:tr w14:paraId="5F53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blHeader/>
          <w:jc w:val="center"/>
        </w:trPr>
        <w:tc>
          <w:tcPr>
            <w:tcW w:w="738" w:type="dxa"/>
            <w:tcBorders>
              <w:top w:val="single" w:color="auto" w:sz="4" w:space="0"/>
              <w:left w:val="single" w:color="auto" w:sz="4" w:space="0"/>
              <w:bottom w:val="single" w:color="auto" w:sz="4" w:space="0"/>
              <w:right w:val="single" w:color="auto" w:sz="4" w:space="0"/>
            </w:tcBorders>
            <w:noWrap/>
            <w:vAlign w:val="center"/>
          </w:tcPr>
          <w:p w14:paraId="3323F831">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014" w:type="dxa"/>
            <w:tcBorders>
              <w:top w:val="single" w:color="auto" w:sz="4" w:space="0"/>
              <w:left w:val="single" w:color="auto" w:sz="4" w:space="0"/>
              <w:bottom w:val="single" w:color="auto" w:sz="4" w:space="0"/>
              <w:right w:val="single" w:color="auto" w:sz="4" w:space="0"/>
            </w:tcBorders>
            <w:noWrap/>
            <w:vAlign w:val="center"/>
          </w:tcPr>
          <w:p w14:paraId="3172486B">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分部内容</w:t>
            </w:r>
          </w:p>
        </w:tc>
        <w:tc>
          <w:tcPr>
            <w:tcW w:w="1305" w:type="dxa"/>
            <w:tcBorders>
              <w:top w:val="single" w:color="auto" w:sz="4" w:space="0"/>
              <w:left w:val="single" w:color="auto" w:sz="4" w:space="0"/>
              <w:bottom w:val="single" w:color="auto" w:sz="4" w:space="0"/>
              <w:right w:val="single" w:color="auto" w:sz="4" w:space="0"/>
            </w:tcBorders>
            <w:noWrap/>
            <w:vAlign w:val="center"/>
          </w:tcPr>
          <w:p w14:paraId="2D2D7BCC">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分项内容</w:t>
            </w:r>
          </w:p>
        </w:tc>
        <w:tc>
          <w:tcPr>
            <w:tcW w:w="806" w:type="dxa"/>
            <w:tcBorders>
              <w:top w:val="single" w:color="auto" w:sz="4" w:space="0"/>
              <w:left w:val="single" w:color="auto" w:sz="4" w:space="0"/>
              <w:bottom w:val="single" w:color="auto" w:sz="4" w:space="0"/>
              <w:right w:val="single" w:color="auto" w:sz="4" w:space="0"/>
            </w:tcBorders>
            <w:noWrap/>
            <w:vAlign w:val="center"/>
          </w:tcPr>
          <w:p w14:paraId="0910124E">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分值</w:t>
            </w:r>
          </w:p>
        </w:tc>
        <w:tc>
          <w:tcPr>
            <w:tcW w:w="6334" w:type="dxa"/>
            <w:tcBorders>
              <w:top w:val="single" w:color="auto" w:sz="4" w:space="0"/>
              <w:left w:val="single" w:color="auto" w:sz="4" w:space="0"/>
              <w:bottom w:val="single" w:color="auto" w:sz="4" w:space="0"/>
              <w:right w:val="single" w:color="auto" w:sz="4" w:space="0"/>
            </w:tcBorders>
            <w:noWrap/>
            <w:vAlign w:val="center"/>
          </w:tcPr>
          <w:p w14:paraId="00828C75">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打分要求</w:t>
            </w:r>
          </w:p>
        </w:tc>
      </w:tr>
      <w:tr w14:paraId="7975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tcBorders>
              <w:top w:val="single" w:color="auto" w:sz="4" w:space="0"/>
              <w:left w:val="single" w:color="auto" w:sz="4" w:space="0"/>
              <w:bottom w:val="single" w:color="auto" w:sz="4" w:space="0"/>
              <w:right w:val="single" w:color="auto" w:sz="4" w:space="0"/>
            </w:tcBorders>
            <w:noWrap/>
            <w:vAlign w:val="center"/>
          </w:tcPr>
          <w:p w14:paraId="20A1B71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014" w:type="dxa"/>
            <w:tcBorders>
              <w:top w:val="single" w:color="auto" w:sz="4" w:space="0"/>
              <w:left w:val="single" w:color="auto" w:sz="4" w:space="0"/>
              <w:bottom w:val="single" w:color="auto" w:sz="4" w:space="0"/>
              <w:right w:val="single" w:color="auto" w:sz="4" w:space="0"/>
            </w:tcBorders>
            <w:noWrap/>
            <w:vAlign w:val="center"/>
          </w:tcPr>
          <w:p w14:paraId="245B6CF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价格部分（</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0分）</w:t>
            </w:r>
          </w:p>
        </w:tc>
        <w:tc>
          <w:tcPr>
            <w:tcW w:w="1305" w:type="dxa"/>
            <w:tcBorders>
              <w:top w:val="single" w:color="auto" w:sz="4" w:space="0"/>
              <w:left w:val="single" w:color="auto" w:sz="4" w:space="0"/>
              <w:bottom w:val="single" w:color="auto" w:sz="4" w:space="0"/>
              <w:right w:val="single" w:color="auto" w:sz="4" w:space="0"/>
            </w:tcBorders>
            <w:noWrap/>
            <w:vAlign w:val="center"/>
          </w:tcPr>
          <w:p w14:paraId="0ACE99A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投标报价</w:t>
            </w:r>
          </w:p>
        </w:tc>
        <w:tc>
          <w:tcPr>
            <w:tcW w:w="806" w:type="dxa"/>
            <w:tcBorders>
              <w:top w:val="single" w:color="auto" w:sz="4" w:space="0"/>
              <w:left w:val="single" w:color="auto" w:sz="4" w:space="0"/>
              <w:bottom w:val="single" w:color="auto" w:sz="4" w:space="0"/>
              <w:right w:val="single" w:color="auto" w:sz="4" w:space="0"/>
            </w:tcBorders>
            <w:noWrap/>
            <w:vAlign w:val="center"/>
          </w:tcPr>
          <w:p w14:paraId="391DCE1B">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0</w:t>
            </w:r>
          </w:p>
        </w:tc>
        <w:tc>
          <w:tcPr>
            <w:tcW w:w="6334" w:type="dxa"/>
            <w:tcBorders>
              <w:top w:val="single" w:color="auto" w:sz="4" w:space="0"/>
              <w:left w:val="single" w:color="auto" w:sz="4" w:space="0"/>
              <w:bottom w:val="single" w:color="auto" w:sz="4" w:space="0"/>
              <w:right w:val="single" w:color="auto" w:sz="4" w:space="0"/>
            </w:tcBorders>
            <w:noWrap/>
            <w:vAlign w:val="center"/>
          </w:tcPr>
          <w:p w14:paraId="1745B4D5">
            <w:pPr>
              <w:jc w:val="left"/>
              <w:rPr>
                <w:rFonts w:hint="eastAsia" w:ascii="宋体" w:hAnsi="宋体" w:eastAsia="宋体" w:cs="宋体"/>
                <w:color w:val="auto"/>
                <w:sz w:val="24"/>
                <w:szCs w:val="24"/>
              </w:rPr>
            </w:pPr>
            <w:r>
              <w:rPr>
                <w:rFonts w:hint="eastAsia" w:ascii="宋体" w:hAnsi="宋体" w:eastAsia="宋体" w:cs="宋体"/>
                <w:color w:val="auto"/>
                <w:sz w:val="24"/>
                <w:szCs w:val="24"/>
              </w:rPr>
              <w:t>满足招标文件要求且投标价格最低的投标报价为基准价，其价格分为满分。报价得分=(评标基准价/投标报价)×</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0。</w:t>
            </w:r>
          </w:p>
          <w:p w14:paraId="63361796">
            <w:pPr>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注：因本项目为专门面向中小企业采购的项目，不再执行价格评审优惠的扶持政策。</w:t>
            </w:r>
          </w:p>
        </w:tc>
      </w:tr>
      <w:tr w14:paraId="676B9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Merge w:val="restart"/>
            <w:tcBorders>
              <w:top w:val="single" w:color="auto" w:sz="4" w:space="0"/>
              <w:left w:val="single" w:color="auto" w:sz="4" w:space="0"/>
              <w:right w:val="single" w:color="auto" w:sz="4" w:space="0"/>
            </w:tcBorders>
            <w:noWrap/>
            <w:vAlign w:val="center"/>
          </w:tcPr>
          <w:p w14:paraId="17F9E66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014" w:type="dxa"/>
            <w:vMerge w:val="restart"/>
            <w:tcBorders>
              <w:top w:val="single" w:color="auto" w:sz="4" w:space="0"/>
              <w:left w:val="single" w:color="auto" w:sz="4" w:space="0"/>
              <w:right w:val="single" w:color="auto" w:sz="4" w:space="0"/>
            </w:tcBorders>
            <w:noWrap/>
            <w:vAlign w:val="center"/>
          </w:tcPr>
          <w:p w14:paraId="24BAF4C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技术部分（</w:t>
            </w:r>
            <w:r>
              <w:rPr>
                <w:rFonts w:hint="eastAsia" w:ascii="宋体" w:hAnsi="宋体" w:eastAsia="宋体" w:cs="宋体"/>
                <w:color w:val="auto"/>
                <w:sz w:val="24"/>
                <w:szCs w:val="24"/>
                <w:lang w:val="en-US" w:eastAsia="zh-CN"/>
              </w:rPr>
              <w:t>56</w:t>
            </w:r>
            <w:r>
              <w:rPr>
                <w:rFonts w:hint="eastAsia" w:ascii="宋体" w:hAnsi="宋体" w:eastAsia="宋体" w:cs="宋体"/>
                <w:color w:val="auto"/>
                <w:sz w:val="24"/>
                <w:szCs w:val="24"/>
              </w:rPr>
              <w:t>分）</w:t>
            </w:r>
          </w:p>
        </w:tc>
        <w:tc>
          <w:tcPr>
            <w:tcW w:w="1305" w:type="dxa"/>
            <w:tcBorders>
              <w:top w:val="single" w:color="auto" w:sz="4" w:space="0"/>
              <w:left w:val="single" w:color="auto" w:sz="4" w:space="0"/>
              <w:right w:val="single" w:color="auto" w:sz="4" w:space="0"/>
            </w:tcBorders>
            <w:noWrap/>
            <w:vAlign w:val="center"/>
          </w:tcPr>
          <w:p w14:paraId="5665F81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运维服务方案</w:t>
            </w:r>
          </w:p>
        </w:tc>
        <w:tc>
          <w:tcPr>
            <w:tcW w:w="806" w:type="dxa"/>
            <w:tcBorders>
              <w:top w:val="single" w:color="auto" w:sz="4" w:space="0"/>
              <w:left w:val="single" w:color="auto" w:sz="4" w:space="0"/>
              <w:right w:val="single" w:color="auto" w:sz="4" w:space="0"/>
            </w:tcBorders>
            <w:noWrap/>
            <w:vAlign w:val="center"/>
          </w:tcPr>
          <w:p w14:paraId="0F6FCC01">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6334" w:type="dxa"/>
            <w:tcBorders>
              <w:top w:val="single" w:color="auto" w:sz="4" w:space="0"/>
              <w:left w:val="single" w:color="auto" w:sz="4" w:space="0"/>
              <w:bottom w:val="single" w:color="auto" w:sz="4" w:space="0"/>
              <w:right w:val="single" w:color="auto" w:sz="4" w:space="0"/>
            </w:tcBorders>
            <w:noWrap/>
            <w:vAlign w:val="center"/>
          </w:tcPr>
          <w:p w14:paraId="5C8AA072">
            <w:pPr>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投标人按照技术规范并结合项目的地域、仪器设备等情况，提供站点运行维护服务方案。运维方案应包括运维</w:t>
            </w:r>
            <w:r>
              <w:rPr>
                <w:rFonts w:hint="eastAsia" w:ascii="宋体" w:hAnsi="宋体" w:eastAsia="宋体" w:cs="宋体"/>
                <w:b/>
                <w:bCs/>
                <w:color w:val="auto"/>
                <w:sz w:val="24"/>
                <w:szCs w:val="24"/>
              </w:rPr>
              <w:t>服务流程</w:t>
            </w:r>
            <w:r>
              <w:rPr>
                <w:rFonts w:hint="eastAsia" w:ascii="宋体" w:hAnsi="宋体" w:eastAsia="宋体" w:cs="宋体"/>
                <w:color w:val="auto"/>
                <w:sz w:val="24"/>
                <w:szCs w:val="24"/>
              </w:rPr>
              <w:t>、日常管理维护的</w:t>
            </w:r>
            <w:r>
              <w:rPr>
                <w:rFonts w:hint="eastAsia" w:ascii="宋体" w:hAnsi="宋体" w:eastAsia="宋体" w:cs="宋体"/>
                <w:b/>
                <w:bCs/>
                <w:color w:val="auto"/>
                <w:sz w:val="24"/>
                <w:szCs w:val="24"/>
              </w:rPr>
              <w:t>内容与频次</w:t>
            </w:r>
            <w:r>
              <w:rPr>
                <w:rFonts w:hint="eastAsia" w:ascii="宋体" w:hAnsi="宋体" w:eastAsia="宋体" w:cs="宋体"/>
                <w:color w:val="auto"/>
                <w:sz w:val="24"/>
                <w:szCs w:val="24"/>
              </w:rPr>
              <w:t>（零部件的清洁与更换、站房及配套设备维护、校准校验等）、</w:t>
            </w:r>
            <w:r>
              <w:rPr>
                <w:rFonts w:hint="eastAsia" w:ascii="宋体" w:hAnsi="宋体" w:eastAsia="宋体" w:cs="宋体"/>
                <w:b/>
                <w:bCs/>
                <w:color w:val="auto"/>
                <w:sz w:val="24"/>
                <w:szCs w:val="24"/>
              </w:rPr>
              <w:t>质量控制</w:t>
            </w:r>
            <w:r>
              <w:rPr>
                <w:rFonts w:hint="eastAsia" w:ascii="宋体" w:hAnsi="宋体" w:eastAsia="宋体" w:cs="宋体"/>
                <w:color w:val="auto"/>
                <w:sz w:val="24"/>
                <w:szCs w:val="24"/>
              </w:rPr>
              <w:t>要求、运维</w:t>
            </w:r>
            <w:r>
              <w:rPr>
                <w:rFonts w:hint="eastAsia" w:ascii="宋体" w:hAnsi="宋体" w:eastAsia="宋体" w:cs="宋体"/>
                <w:b/>
                <w:bCs/>
                <w:color w:val="auto"/>
                <w:sz w:val="24"/>
                <w:szCs w:val="24"/>
              </w:rPr>
              <w:t>台账填写</w:t>
            </w:r>
            <w:r>
              <w:rPr>
                <w:rFonts w:hint="eastAsia" w:ascii="宋体" w:hAnsi="宋体" w:eastAsia="宋体" w:cs="宋体"/>
                <w:color w:val="auto"/>
                <w:sz w:val="24"/>
                <w:szCs w:val="24"/>
              </w:rPr>
              <w:t>、报表报告编制</w:t>
            </w:r>
            <w:r>
              <w:rPr>
                <w:rFonts w:hint="eastAsia" w:ascii="宋体" w:hAnsi="宋体" w:eastAsia="宋体" w:cs="宋体"/>
                <w:color w:val="auto"/>
                <w:sz w:val="24"/>
                <w:szCs w:val="24"/>
                <w:lang w:eastAsia="zh-CN"/>
              </w:rPr>
              <w:t>以及防范人为干扰</w:t>
            </w:r>
            <w:r>
              <w:rPr>
                <w:rFonts w:hint="eastAsia" w:ascii="宋体" w:hAnsi="宋体" w:eastAsia="宋体" w:cs="宋体"/>
                <w:color w:val="auto"/>
                <w:sz w:val="24"/>
                <w:szCs w:val="24"/>
              </w:rPr>
              <w:t>等方面提供详细的运维计划。</w:t>
            </w:r>
          </w:p>
          <w:p w14:paraId="1E8450F4">
            <w:pPr>
              <w:jc w:val="left"/>
              <w:rPr>
                <w:rFonts w:hint="eastAsia" w:ascii="宋体" w:hAnsi="宋体" w:eastAsia="宋体" w:cs="宋体"/>
                <w:color w:val="auto"/>
                <w:sz w:val="24"/>
                <w:szCs w:val="24"/>
              </w:rPr>
            </w:pPr>
            <w:r>
              <w:rPr>
                <w:rFonts w:hint="eastAsia" w:ascii="宋体" w:hAnsi="宋体" w:eastAsia="宋体" w:cs="宋体"/>
                <w:color w:val="auto"/>
                <w:sz w:val="24"/>
                <w:szCs w:val="24"/>
              </w:rPr>
              <w:t>完全满足本项目采购需求，能根据</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需求进行方案设计，制定的方案内容详细完整，有针对性、可行性强，得</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分；</w:t>
            </w:r>
          </w:p>
          <w:p w14:paraId="2E4D2ED8">
            <w:pPr>
              <w:jc w:val="left"/>
              <w:rPr>
                <w:rFonts w:hint="eastAsia" w:ascii="宋体" w:hAnsi="宋体" w:eastAsia="宋体" w:cs="宋体"/>
                <w:color w:val="auto"/>
                <w:sz w:val="24"/>
                <w:szCs w:val="24"/>
              </w:rPr>
            </w:pPr>
            <w:r>
              <w:rPr>
                <w:rFonts w:hint="eastAsia" w:ascii="宋体" w:hAnsi="宋体" w:eastAsia="宋体" w:cs="宋体"/>
                <w:color w:val="auto"/>
                <w:sz w:val="24"/>
                <w:szCs w:val="24"/>
              </w:rPr>
              <w:t>基本满足本项目采购需求，制定的方案内容较为完整，方案具有针对性、可行性，得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p w14:paraId="7346EBDB">
            <w:pPr>
              <w:jc w:val="left"/>
              <w:rPr>
                <w:rFonts w:hint="eastAsia" w:ascii="宋体" w:hAnsi="宋体" w:eastAsia="宋体" w:cs="宋体"/>
                <w:color w:val="auto"/>
                <w:sz w:val="24"/>
                <w:szCs w:val="24"/>
              </w:rPr>
            </w:pPr>
            <w:r>
              <w:rPr>
                <w:rFonts w:hint="eastAsia" w:ascii="宋体" w:hAnsi="宋体" w:eastAsia="宋体" w:cs="宋体"/>
                <w:color w:val="auto"/>
                <w:sz w:val="24"/>
                <w:szCs w:val="24"/>
              </w:rPr>
              <w:t>制定的方案内容简略，针对性、可行性有待提升，得</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w:t>
            </w:r>
          </w:p>
          <w:p w14:paraId="40BDC90F">
            <w:pPr>
              <w:pStyle w:val="17"/>
              <w:ind w:left="0" w:leftChars="0" w:firstLine="0" w:firstLineChars="0"/>
              <w:rPr>
                <w:rFonts w:hint="eastAsia" w:ascii="宋体" w:hAnsi="宋体" w:eastAsia="宋体" w:cs="宋体"/>
                <w:sz w:val="24"/>
                <w:szCs w:val="24"/>
                <w:lang w:val="zh-CN"/>
              </w:rPr>
            </w:pPr>
            <w:r>
              <w:rPr>
                <w:rFonts w:hint="eastAsia" w:ascii="宋体" w:hAnsi="宋体" w:eastAsia="宋体" w:cs="宋体"/>
                <w:color w:val="auto"/>
                <w:sz w:val="24"/>
                <w:szCs w:val="24"/>
              </w:rPr>
              <w:t>未提供相关内容的不得分。</w:t>
            </w:r>
          </w:p>
        </w:tc>
      </w:tr>
      <w:tr w14:paraId="3F7EB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Merge w:val="continue"/>
            <w:tcBorders>
              <w:left w:val="single" w:color="auto" w:sz="4" w:space="0"/>
              <w:right w:val="single" w:color="auto" w:sz="4" w:space="0"/>
            </w:tcBorders>
            <w:noWrap/>
            <w:vAlign w:val="center"/>
          </w:tcPr>
          <w:p w14:paraId="5695CE0E">
            <w:pPr>
              <w:jc w:val="center"/>
              <w:rPr>
                <w:rFonts w:hint="eastAsia" w:ascii="宋体" w:hAnsi="宋体" w:eastAsia="宋体" w:cs="宋体"/>
                <w:color w:val="auto"/>
                <w:sz w:val="24"/>
                <w:szCs w:val="24"/>
              </w:rPr>
            </w:pPr>
          </w:p>
        </w:tc>
        <w:tc>
          <w:tcPr>
            <w:tcW w:w="1014" w:type="dxa"/>
            <w:vMerge w:val="continue"/>
            <w:tcBorders>
              <w:left w:val="single" w:color="auto" w:sz="4" w:space="0"/>
              <w:right w:val="single" w:color="auto" w:sz="4" w:space="0"/>
            </w:tcBorders>
            <w:noWrap/>
            <w:vAlign w:val="center"/>
          </w:tcPr>
          <w:p w14:paraId="09211A2D">
            <w:pPr>
              <w:jc w:val="center"/>
              <w:rPr>
                <w:rFonts w:hint="eastAsia" w:ascii="宋体" w:hAnsi="宋体" w:eastAsia="宋体" w:cs="宋体"/>
                <w:color w:val="auto"/>
                <w:sz w:val="24"/>
                <w:szCs w:val="24"/>
              </w:rPr>
            </w:pPr>
          </w:p>
        </w:tc>
        <w:tc>
          <w:tcPr>
            <w:tcW w:w="1305" w:type="dxa"/>
            <w:tcBorders>
              <w:top w:val="single" w:color="auto" w:sz="4" w:space="0"/>
              <w:left w:val="single" w:color="auto" w:sz="4" w:space="0"/>
              <w:right w:val="single" w:color="auto" w:sz="4" w:space="0"/>
            </w:tcBorders>
            <w:noWrap/>
            <w:vAlign w:val="center"/>
          </w:tcPr>
          <w:p w14:paraId="670B795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质控方案</w:t>
            </w:r>
          </w:p>
        </w:tc>
        <w:tc>
          <w:tcPr>
            <w:tcW w:w="806" w:type="dxa"/>
            <w:tcBorders>
              <w:top w:val="single" w:color="auto" w:sz="4" w:space="0"/>
              <w:left w:val="single" w:color="auto" w:sz="4" w:space="0"/>
              <w:right w:val="single" w:color="auto" w:sz="4" w:space="0"/>
            </w:tcBorders>
            <w:noWrap/>
            <w:vAlign w:val="center"/>
          </w:tcPr>
          <w:p w14:paraId="03814DA3">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6334" w:type="dxa"/>
            <w:tcBorders>
              <w:top w:val="single" w:color="auto" w:sz="4" w:space="0"/>
              <w:left w:val="single" w:color="auto" w:sz="4" w:space="0"/>
              <w:bottom w:val="single" w:color="auto" w:sz="4" w:space="0"/>
              <w:right w:val="single" w:color="auto" w:sz="4" w:space="0"/>
            </w:tcBorders>
            <w:noWrap/>
            <w:vAlign w:val="center"/>
          </w:tcPr>
          <w:p w14:paraId="03340A4A">
            <w:pPr>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投标人按照技术规范需提供质控方案，方案内容应包含</w:t>
            </w:r>
            <w:r>
              <w:rPr>
                <w:rFonts w:hint="eastAsia" w:ascii="宋体" w:hAnsi="宋体" w:eastAsia="宋体" w:cs="宋体"/>
                <w:b/>
                <w:bCs/>
                <w:color w:val="auto"/>
                <w:sz w:val="24"/>
                <w:szCs w:val="24"/>
              </w:rPr>
              <w:t>质控措施</w:t>
            </w:r>
            <w:r>
              <w:rPr>
                <w:rFonts w:hint="eastAsia" w:ascii="宋体" w:hAnsi="宋体" w:eastAsia="宋体" w:cs="宋体"/>
                <w:color w:val="auto"/>
                <w:sz w:val="24"/>
                <w:szCs w:val="24"/>
              </w:rPr>
              <w:t>、</w:t>
            </w:r>
            <w:r>
              <w:rPr>
                <w:rFonts w:hint="eastAsia" w:ascii="宋体" w:hAnsi="宋体" w:eastAsia="宋体" w:cs="宋体"/>
                <w:b/>
                <w:bCs/>
                <w:color w:val="auto"/>
                <w:sz w:val="24"/>
                <w:szCs w:val="24"/>
              </w:rPr>
              <w:t>项目与频次安排</w:t>
            </w:r>
            <w:r>
              <w:rPr>
                <w:rFonts w:hint="eastAsia" w:ascii="宋体" w:hAnsi="宋体" w:eastAsia="宋体" w:cs="宋体"/>
                <w:color w:val="auto"/>
                <w:sz w:val="24"/>
                <w:szCs w:val="24"/>
              </w:rPr>
              <w:t>等。</w:t>
            </w:r>
          </w:p>
          <w:p w14:paraId="463B5270">
            <w:pPr>
              <w:jc w:val="left"/>
              <w:rPr>
                <w:rFonts w:hint="eastAsia" w:ascii="宋体" w:hAnsi="宋体" w:eastAsia="宋体" w:cs="宋体"/>
                <w:color w:val="auto"/>
                <w:sz w:val="24"/>
                <w:szCs w:val="24"/>
              </w:rPr>
            </w:pPr>
            <w:r>
              <w:rPr>
                <w:rFonts w:hint="eastAsia" w:ascii="宋体" w:hAnsi="宋体" w:eastAsia="宋体" w:cs="宋体"/>
                <w:color w:val="auto"/>
                <w:sz w:val="24"/>
                <w:szCs w:val="24"/>
              </w:rPr>
              <w:t>完全满足本项目采购需求，能根据</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需求进行方案设计，制定的方案内容详细完整，有针对性、可行性强，得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p w14:paraId="4216D0D8">
            <w:pPr>
              <w:jc w:val="left"/>
              <w:rPr>
                <w:rFonts w:hint="eastAsia" w:ascii="宋体" w:hAnsi="宋体" w:eastAsia="宋体" w:cs="宋体"/>
                <w:color w:val="auto"/>
                <w:sz w:val="24"/>
                <w:szCs w:val="24"/>
              </w:rPr>
            </w:pPr>
            <w:r>
              <w:rPr>
                <w:rFonts w:hint="eastAsia" w:ascii="宋体" w:hAnsi="宋体" w:eastAsia="宋体" w:cs="宋体"/>
                <w:color w:val="auto"/>
                <w:sz w:val="24"/>
                <w:szCs w:val="24"/>
              </w:rPr>
              <w:t>基本满足本项目采购需求，制定的方案内容较为完整，方案具有针对性、可行性，得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p w14:paraId="798DB4D5">
            <w:pPr>
              <w:jc w:val="left"/>
              <w:rPr>
                <w:rFonts w:hint="eastAsia" w:ascii="宋体" w:hAnsi="宋体" w:eastAsia="宋体" w:cs="宋体"/>
                <w:color w:val="auto"/>
                <w:sz w:val="24"/>
                <w:szCs w:val="24"/>
              </w:rPr>
            </w:pPr>
            <w:r>
              <w:rPr>
                <w:rFonts w:hint="eastAsia" w:ascii="宋体" w:hAnsi="宋体" w:eastAsia="宋体" w:cs="宋体"/>
                <w:color w:val="auto"/>
                <w:sz w:val="24"/>
                <w:szCs w:val="24"/>
              </w:rPr>
              <w:t>制定的方案内容简略，针对性、可行性有待提升，得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25D1A29C">
            <w:pPr>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rPr>
              <w:t>未提供相关内容的不得分。</w:t>
            </w:r>
          </w:p>
        </w:tc>
      </w:tr>
      <w:tr w14:paraId="31862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Merge w:val="continue"/>
            <w:tcBorders>
              <w:left w:val="single" w:color="auto" w:sz="4" w:space="0"/>
              <w:right w:val="single" w:color="auto" w:sz="4" w:space="0"/>
            </w:tcBorders>
            <w:noWrap/>
            <w:vAlign w:val="center"/>
          </w:tcPr>
          <w:p w14:paraId="223E7EBB">
            <w:pPr>
              <w:jc w:val="center"/>
              <w:rPr>
                <w:rFonts w:hint="eastAsia" w:ascii="宋体" w:hAnsi="宋体" w:eastAsia="宋体" w:cs="宋体"/>
                <w:color w:val="auto"/>
                <w:sz w:val="24"/>
                <w:szCs w:val="24"/>
              </w:rPr>
            </w:pPr>
          </w:p>
        </w:tc>
        <w:tc>
          <w:tcPr>
            <w:tcW w:w="1014" w:type="dxa"/>
            <w:vMerge w:val="continue"/>
            <w:tcBorders>
              <w:left w:val="single" w:color="auto" w:sz="4" w:space="0"/>
              <w:right w:val="single" w:color="auto" w:sz="4" w:space="0"/>
            </w:tcBorders>
            <w:noWrap/>
            <w:vAlign w:val="center"/>
          </w:tcPr>
          <w:p w14:paraId="2D439222">
            <w:pPr>
              <w:jc w:val="center"/>
              <w:rPr>
                <w:rFonts w:hint="eastAsia" w:ascii="宋体" w:hAnsi="宋体" w:eastAsia="宋体" w:cs="宋体"/>
                <w:color w:val="auto"/>
                <w:sz w:val="24"/>
                <w:szCs w:val="24"/>
              </w:rPr>
            </w:pPr>
          </w:p>
        </w:tc>
        <w:tc>
          <w:tcPr>
            <w:tcW w:w="1305" w:type="dxa"/>
            <w:tcBorders>
              <w:top w:val="single" w:color="auto" w:sz="4" w:space="0"/>
              <w:left w:val="single" w:color="auto" w:sz="4" w:space="0"/>
              <w:right w:val="single" w:color="auto" w:sz="4" w:space="0"/>
            </w:tcBorders>
            <w:noWrap/>
            <w:vAlign w:val="center"/>
          </w:tcPr>
          <w:p w14:paraId="22610197">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平台服务</w:t>
            </w:r>
          </w:p>
        </w:tc>
        <w:tc>
          <w:tcPr>
            <w:tcW w:w="806" w:type="dxa"/>
            <w:tcBorders>
              <w:top w:val="single" w:color="auto" w:sz="4" w:space="0"/>
              <w:left w:val="single" w:color="auto" w:sz="4" w:space="0"/>
              <w:right w:val="single" w:color="auto" w:sz="4" w:space="0"/>
            </w:tcBorders>
            <w:noWrap/>
            <w:vAlign w:val="center"/>
          </w:tcPr>
          <w:p w14:paraId="10F571CB">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6334" w:type="dxa"/>
            <w:tcBorders>
              <w:top w:val="single" w:color="auto" w:sz="4" w:space="0"/>
              <w:left w:val="single" w:color="auto" w:sz="4" w:space="0"/>
              <w:bottom w:val="single" w:color="auto" w:sz="4" w:space="0"/>
              <w:right w:val="single" w:color="auto" w:sz="4" w:space="0"/>
            </w:tcBorders>
            <w:noWrap/>
            <w:vAlign w:val="center"/>
          </w:tcPr>
          <w:p w14:paraId="3D8C9416">
            <w:pPr>
              <w:jc w:val="left"/>
              <w:rPr>
                <w:rFonts w:hint="eastAsia" w:ascii="宋体" w:hAnsi="宋体" w:eastAsia="宋体" w:cs="宋体"/>
                <w:color w:val="auto"/>
                <w:sz w:val="24"/>
                <w:szCs w:val="24"/>
              </w:rPr>
            </w:pPr>
            <w:r>
              <w:rPr>
                <w:rFonts w:hint="eastAsia" w:ascii="宋体" w:hAnsi="宋体" w:eastAsia="宋体" w:cs="宋体"/>
                <w:color w:val="auto"/>
                <w:sz w:val="24"/>
                <w:szCs w:val="24"/>
              </w:rPr>
              <w:t>标人按照技术规范需提供</w:t>
            </w:r>
            <w:r>
              <w:rPr>
                <w:rFonts w:hint="eastAsia" w:ascii="宋体" w:hAnsi="宋体" w:eastAsia="宋体" w:cs="宋体"/>
                <w:color w:val="auto"/>
                <w:sz w:val="24"/>
                <w:szCs w:val="24"/>
                <w:lang w:val="en-US" w:eastAsia="zh-CN"/>
              </w:rPr>
              <w:t>平台服务</w:t>
            </w:r>
            <w:r>
              <w:rPr>
                <w:rFonts w:hint="eastAsia" w:ascii="宋体" w:hAnsi="宋体" w:eastAsia="宋体" w:cs="宋体"/>
                <w:color w:val="auto"/>
                <w:sz w:val="24"/>
                <w:szCs w:val="24"/>
              </w:rPr>
              <w:t>方案。</w:t>
            </w:r>
          </w:p>
          <w:p w14:paraId="1A5C93D8">
            <w:pPr>
              <w:jc w:val="left"/>
              <w:rPr>
                <w:rFonts w:hint="eastAsia" w:ascii="宋体" w:hAnsi="宋体" w:eastAsia="宋体" w:cs="宋体"/>
                <w:color w:val="auto"/>
                <w:sz w:val="24"/>
                <w:szCs w:val="24"/>
              </w:rPr>
            </w:pPr>
            <w:r>
              <w:rPr>
                <w:rFonts w:hint="eastAsia" w:ascii="宋体" w:hAnsi="宋体" w:eastAsia="宋体" w:cs="宋体"/>
                <w:color w:val="auto"/>
                <w:sz w:val="24"/>
                <w:szCs w:val="24"/>
              </w:rPr>
              <w:t>完全满足本项目采购需求，制定的方案内容详细完整，有针对性、可行性强，得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p w14:paraId="6636C85D">
            <w:pPr>
              <w:jc w:val="left"/>
              <w:rPr>
                <w:rFonts w:hint="eastAsia" w:ascii="宋体" w:hAnsi="宋体" w:eastAsia="宋体" w:cs="宋体"/>
                <w:color w:val="auto"/>
                <w:sz w:val="24"/>
                <w:szCs w:val="24"/>
              </w:rPr>
            </w:pPr>
            <w:r>
              <w:rPr>
                <w:rFonts w:hint="eastAsia" w:ascii="宋体" w:hAnsi="宋体" w:eastAsia="宋体" w:cs="宋体"/>
                <w:color w:val="auto"/>
                <w:sz w:val="24"/>
                <w:szCs w:val="24"/>
              </w:rPr>
              <w:t>基本满足本项目采购需求，制定的方案内容较为完整，方案具有针对性、可行性，得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p w14:paraId="5ADB046B">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制定的方案内容简略，针对性、可行性有待提升，得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74A8DB08">
            <w:pPr>
              <w:pStyle w:val="17"/>
              <w:keepNext w:val="0"/>
              <w:keepLines w:val="0"/>
              <w:pageBreakBefore w:val="0"/>
              <w:widowControl w:val="0"/>
              <w:kinsoku/>
              <w:wordWrap/>
              <w:overflowPunct/>
              <w:topLinePunct w:val="0"/>
              <w:autoSpaceDE/>
              <w:autoSpaceDN/>
              <w:bidi w:val="0"/>
              <w:adjustRightInd/>
              <w:snapToGrid/>
              <w:spacing w:after="0"/>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未提供相关内容的不得分。</w:t>
            </w:r>
          </w:p>
          <w:p w14:paraId="1202AE7D">
            <w:pPr>
              <w:pStyle w:val="17"/>
              <w:keepNext w:val="0"/>
              <w:keepLines w:val="0"/>
              <w:pageBreakBefore w:val="0"/>
              <w:widowControl w:val="0"/>
              <w:kinsoku/>
              <w:wordWrap/>
              <w:overflowPunct/>
              <w:topLinePunct w:val="0"/>
              <w:autoSpaceDE/>
              <w:autoSpaceDN/>
              <w:bidi w:val="0"/>
              <w:adjustRightInd/>
              <w:snapToGrid/>
              <w:spacing w:after="0"/>
              <w:ind w:left="0" w:leftChars="0" w:firstLine="0" w:firstLineChars="0"/>
              <w:textAlignment w:val="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highlight w:val="none"/>
              </w:rPr>
              <w:t>注：投标人须提供</w:t>
            </w:r>
            <w:r>
              <w:rPr>
                <w:rFonts w:hint="eastAsia" w:ascii="宋体" w:hAnsi="宋体" w:eastAsia="宋体" w:cs="宋体"/>
                <w:b/>
                <w:bCs/>
                <w:color w:val="auto"/>
                <w:sz w:val="24"/>
                <w:szCs w:val="24"/>
                <w:lang w:val="en-US" w:eastAsia="zh-CN"/>
              </w:rPr>
              <w:t>平台服务实际使用界面截图</w:t>
            </w:r>
            <w:r>
              <w:rPr>
                <w:rFonts w:hint="eastAsia" w:ascii="宋体" w:hAnsi="宋体" w:eastAsia="宋体" w:cs="宋体"/>
                <w:b/>
                <w:bCs/>
                <w:color w:val="auto"/>
                <w:sz w:val="24"/>
                <w:szCs w:val="24"/>
                <w:highlight w:val="none"/>
              </w:rPr>
              <w:t>并加盖公章</w:t>
            </w:r>
            <w:r>
              <w:rPr>
                <w:rFonts w:hint="eastAsia" w:ascii="宋体" w:hAnsi="宋体" w:eastAsia="宋体" w:cs="宋体"/>
                <w:color w:val="auto"/>
                <w:sz w:val="24"/>
                <w:szCs w:val="24"/>
                <w:highlight w:val="none"/>
                <w:lang w:eastAsia="zh-CN"/>
              </w:rPr>
              <w:t>。</w:t>
            </w:r>
          </w:p>
        </w:tc>
      </w:tr>
      <w:tr w14:paraId="695C3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Merge w:val="continue"/>
            <w:tcBorders>
              <w:left w:val="single" w:color="auto" w:sz="4" w:space="0"/>
              <w:right w:val="single" w:color="auto" w:sz="4" w:space="0"/>
            </w:tcBorders>
            <w:noWrap/>
            <w:vAlign w:val="center"/>
          </w:tcPr>
          <w:p w14:paraId="07B58217">
            <w:pPr>
              <w:jc w:val="center"/>
              <w:rPr>
                <w:rFonts w:hint="eastAsia" w:ascii="宋体" w:hAnsi="宋体" w:eastAsia="宋体" w:cs="宋体"/>
                <w:color w:val="auto"/>
                <w:sz w:val="24"/>
                <w:szCs w:val="24"/>
              </w:rPr>
            </w:pPr>
          </w:p>
        </w:tc>
        <w:tc>
          <w:tcPr>
            <w:tcW w:w="1014" w:type="dxa"/>
            <w:vMerge w:val="continue"/>
            <w:tcBorders>
              <w:left w:val="single" w:color="auto" w:sz="4" w:space="0"/>
              <w:right w:val="single" w:color="auto" w:sz="4" w:space="0"/>
            </w:tcBorders>
            <w:noWrap/>
            <w:vAlign w:val="center"/>
          </w:tcPr>
          <w:p w14:paraId="6458253F">
            <w:pPr>
              <w:jc w:val="center"/>
              <w:rPr>
                <w:rFonts w:hint="eastAsia" w:ascii="宋体" w:hAnsi="宋体" w:eastAsia="宋体" w:cs="宋体"/>
                <w:color w:val="auto"/>
                <w:sz w:val="24"/>
                <w:szCs w:val="24"/>
              </w:rPr>
            </w:pPr>
          </w:p>
        </w:tc>
        <w:tc>
          <w:tcPr>
            <w:tcW w:w="1305" w:type="dxa"/>
            <w:tcBorders>
              <w:top w:val="single" w:color="auto" w:sz="4" w:space="0"/>
              <w:left w:val="single" w:color="auto" w:sz="4" w:space="0"/>
              <w:right w:val="single" w:color="auto" w:sz="4" w:space="0"/>
            </w:tcBorders>
            <w:noWrap/>
            <w:vAlign w:val="center"/>
          </w:tcPr>
          <w:p w14:paraId="6840F7E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数据审核及异常数据判断方案</w:t>
            </w:r>
          </w:p>
        </w:tc>
        <w:tc>
          <w:tcPr>
            <w:tcW w:w="806" w:type="dxa"/>
            <w:tcBorders>
              <w:top w:val="single" w:color="auto" w:sz="4" w:space="0"/>
              <w:left w:val="single" w:color="auto" w:sz="4" w:space="0"/>
              <w:right w:val="single" w:color="auto" w:sz="4" w:space="0"/>
            </w:tcBorders>
            <w:noWrap/>
            <w:vAlign w:val="center"/>
          </w:tcPr>
          <w:p w14:paraId="3C194168">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6334" w:type="dxa"/>
            <w:tcBorders>
              <w:top w:val="single" w:color="auto" w:sz="4" w:space="0"/>
              <w:left w:val="single" w:color="auto" w:sz="4" w:space="0"/>
              <w:bottom w:val="single" w:color="auto" w:sz="4" w:space="0"/>
              <w:right w:val="single" w:color="auto" w:sz="4" w:space="0"/>
            </w:tcBorders>
            <w:noWrap/>
            <w:vAlign w:val="center"/>
          </w:tcPr>
          <w:p w14:paraId="7F5791D4">
            <w:pPr>
              <w:jc w:val="left"/>
              <w:rPr>
                <w:rFonts w:hint="eastAsia" w:ascii="宋体" w:hAnsi="宋体" w:eastAsia="宋体" w:cs="宋体"/>
                <w:color w:val="auto"/>
                <w:sz w:val="24"/>
                <w:szCs w:val="24"/>
              </w:rPr>
            </w:pPr>
            <w:r>
              <w:rPr>
                <w:rFonts w:hint="eastAsia" w:ascii="宋体" w:hAnsi="宋体" w:eastAsia="宋体" w:cs="宋体"/>
                <w:color w:val="auto"/>
                <w:sz w:val="24"/>
                <w:szCs w:val="24"/>
              </w:rPr>
              <w:t>根据投标供应商提供的方案，是否提供了多种具体可行的异常数据</w:t>
            </w:r>
            <w:r>
              <w:rPr>
                <w:rFonts w:hint="eastAsia" w:ascii="宋体" w:hAnsi="宋体" w:eastAsia="宋体" w:cs="宋体"/>
                <w:b/>
                <w:bCs/>
                <w:color w:val="auto"/>
                <w:sz w:val="24"/>
                <w:szCs w:val="24"/>
              </w:rPr>
              <w:t>判断方法</w:t>
            </w:r>
            <w:r>
              <w:rPr>
                <w:rFonts w:hint="eastAsia" w:ascii="宋体" w:hAnsi="宋体" w:eastAsia="宋体" w:cs="宋体"/>
                <w:color w:val="auto"/>
                <w:sz w:val="24"/>
                <w:szCs w:val="24"/>
              </w:rPr>
              <w:t>，是否系统地阐述判断方法和依据，是否提出切实可行的问题</w:t>
            </w:r>
            <w:r>
              <w:rPr>
                <w:rFonts w:hint="eastAsia" w:ascii="宋体" w:hAnsi="宋体" w:eastAsia="宋体" w:cs="宋体"/>
                <w:b/>
                <w:bCs/>
                <w:color w:val="auto"/>
                <w:sz w:val="24"/>
                <w:szCs w:val="24"/>
              </w:rPr>
              <w:t>核查方法</w:t>
            </w:r>
            <w:r>
              <w:rPr>
                <w:rFonts w:hint="eastAsia" w:ascii="宋体" w:hAnsi="宋体" w:eastAsia="宋体" w:cs="宋体"/>
                <w:color w:val="auto"/>
                <w:sz w:val="24"/>
                <w:szCs w:val="24"/>
              </w:rPr>
              <w:t>及</w:t>
            </w:r>
            <w:r>
              <w:rPr>
                <w:rFonts w:hint="eastAsia" w:ascii="宋体" w:hAnsi="宋体" w:eastAsia="宋体" w:cs="宋体"/>
                <w:b/>
                <w:bCs/>
                <w:color w:val="auto"/>
                <w:sz w:val="24"/>
                <w:szCs w:val="24"/>
              </w:rPr>
              <w:t>处理措施</w:t>
            </w:r>
            <w:r>
              <w:rPr>
                <w:rFonts w:hint="eastAsia" w:ascii="宋体" w:hAnsi="宋体" w:eastAsia="宋体" w:cs="宋体"/>
                <w:color w:val="auto"/>
                <w:sz w:val="24"/>
                <w:szCs w:val="24"/>
              </w:rPr>
              <w:t>，是否制定完善的</w:t>
            </w:r>
            <w:r>
              <w:rPr>
                <w:rFonts w:hint="eastAsia" w:ascii="宋体" w:hAnsi="宋体" w:eastAsia="宋体" w:cs="宋体"/>
                <w:b/>
                <w:bCs/>
                <w:color w:val="auto"/>
                <w:sz w:val="24"/>
                <w:szCs w:val="24"/>
              </w:rPr>
              <w:t>工作流程图</w:t>
            </w:r>
            <w:r>
              <w:rPr>
                <w:rFonts w:hint="eastAsia" w:ascii="宋体" w:hAnsi="宋体" w:eastAsia="宋体" w:cs="宋体"/>
                <w:color w:val="auto"/>
                <w:sz w:val="24"/>
                <w:szCs w:val="24"/>
              </w:rPr>
              <w:t>。</w:t>
            </w:r>
          </w:p>
          <w:p w14:paraId="0BBFF320">
            <w:pPr>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rPr>
              <w:t>完全满足上述要求，内容全面详细、可行性强的得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分；内容不全面的每缺一项扣1分，方案措施针对性不强的扣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p>
        </w:tc>
      </w:tr>
      <w:tr w14:paraId="74C7A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Merge w:val="continue"/>
            <w:tcBorders>
              <w:left w:val="single" w:color="auto" w:sz="4" w:space="0"/>
              <w:right w:val="single" w:color="auto" w:sz="4" w:space="0"/>
            </w:tcBorders>
            <w:noWrap/>
            <w:vAlign w:val="center"/>
          </w:tcPr>
          <w:p w14:paraId="51518F5E">
            <w:pPr>
              <w:jc w:val="center"/>
              <w:rPr>
                <w:rFonts w:hint="eastAsia" w:ascii="宋体" w:hAnsi="宋体" w:eastAsia="宋体" w:cs="宋体"/>
                <w:color w:val="auto"/>
                <w:sz w:val="24"/>
                <w:szCs w:val="24"/>
              </w:rPr>
            </w:pPr>
          </w:p>
        </w:tc>
        <w:tc>
          <w:tcPr>
            <w:tcW w:w="1014" w:type="dxa"/>
            <w:vMerge w:val="continue"/>
            <w:tcBorders>
              <w:left w:val="single" w:color="auto" w:sz="4" w:space="0"/>
              <w:right w:val="single" w:color="auto" w:sz="4" w:space="0"/>
            </w:tcBorders>
            <w:noWrap/>
            <w:vAlign w:val="center"/>
          </w:tcPr>
          <w:p w14:paraId="6FCFD5DC">
            <w:pPr>
              <w:jc w:val="center"/>
              <w:rPr>
                <w:rFonts w:hint="eastAsia" w:ascii="宋体" w:hAnsi="宋体" w:eastAsia="宋体" w:cs="宋体"/>
                <w:color w:val="auto"/>
                <w:sz w:val="24"/>
                <w:szCs w:val="24"/>
              </w:rPr>
            </w:pPr>
          </w:p>
        </w:tc>
        <w:tc>
          <w:tcPr>
            <w:tcW w:w="1305" w:type="dxa"/>
            <w:tcBorders>
              <w:top w:val="single" w:color="auto" w:sz="4" w:space="0"/>
              <w:left w:val="single" w:color="auto" w:sz="4" w:space="0"/>
              <w:right w:val="single" w:color="auto" w:sz="4" w:space="0"/>
            </w:tcBorders>
            <w:noWrap/>
            <w:vAlign w:val="center"/>
          </w:tcPr>
          <w:p w14:paraId="1A731D7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交接方案</w:t>
            </w:r>
          </w:p>
        </w:tc>
        <w:tc>
          <w:tcPr>
            <w:tcW w:w="806" w:type="dxa"/>
            <w:tcBorders>
              <w:top w:val="single" w:color="auto" w:sz="4" w:space="0"/>
              <w:left w:val="single" w:color="auto" w:sz="4" w:space="0"/>
              <w:right w:val="single" w:color="auto" w:sz="4" w:space="0"/>
            </w:tcBorders>
            <w:noWrap/>
            <w:vAlign w:val="center"/>
          </w:tcPr>
          <w:p w14:paraId="0CF728BC">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6334" w:type="dxa"/>
            <w:tcBorders>
              <w:top w:val="single" w:color="auto" w:sz="4" w:space="0"/>
              <w:left w:val="single" w:color="auto" w:sz="4" w:space="0"/>
              <w:bottom w:val="single" w:color="auto" w:sz="4" w:space="0"/>
              <w:right w:val="single" w:color="auto" w:sz="4" w:space="0"/>
            </w:tcBorders>
            <w:noWrap/>
            <w:vAlign w:val="center"/>
          </w:tcPr>
          <w:p w14:paraId="1B50869F">
            <w:pPr>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rPr>
              <w:t>在本项目合同期满后，投标人需保证所有仪器设备符合本标书中的技术要求，并将站点完整交接给下一家运维服务单位。投标人应在投标文件中对交接方案进行简单描述，包含交接</w:t>
            </w:r>
            <w:r>
              <w:rPr>
                <w:rFonts w:hint="eastAsia" w:ascii="宋体" w:hAnsi="宋体" w:eastAsia="宋体" w:cs="宋体"/>
                <w:b/>
                <w:bCs/>
                <w:color w:val="auto"/>
                <w:sz w:val="24"/>
                <w:szCs w:val="24"/>
              </w:rPr>
              <w:t>责任人</w:t>
            </w:r>
            <w:r>
              <w:rPr>
                <w:rFonts w:hint="eastAsia" w:ascii="宋体" w:hAnsi="宋体" w:eastAsia="宋体" w:cs="宋体"/>
                <w:color w:val="auto"/>
                <w:sz w:val="24"/>
                <w:szCs w:val="24"/>
              </w:rPr>
              <w:t>、交接</w:t>
            </w:r>
            <w:r>
              <w:rPr>
                <w:rFonts w:hint="eastAsia" w:ascii="宋体" w:hAnsi="宋体" w:eastAsia="宋体" w:cs="宋体"/>
                <w:b/>
                <w:bCs/>
                <w:color w:val="auto"/>
                <w:sz w:val="24"/>
                <w:szCs w:val="24"/>
              </w:rPr>
              <w:t>进度安排</w:t>
            </w:r>
            <w:r>
              <w:rPr>
                <w:rFonts w:hint="eastAsia" w:ascii="宋体" w:hAnsi="宋体" w:eastAsia="宋体" w:cs="宋体"/>
                <w:color w:val="auto"/>
                <w:sz w:val="24"/>
                <w:szCs w:val="24"/>
              </w:rPr>
              <w:t>、交接</w:t>
            </w:r>
            <w:r>
              <w:rPr>
                <w:rFonts w:hint="eastAsia" w:ascii="宋体" w:hAnsi="宋体" w:eastAsia="宋体" w:cs="宋体"/>
                <w:b/>
                <w:bCs/>
                <w:color w:val="auto"/>
                <w:sz w:val="24"/>
                <w:szCs w:val="24"/>
              </w:rPr>
              <w:t>保障措施</w:t>
            </w:r>
            <w:r>
              <w:rPr>
                <w:rFonts w:hint="eastAsia" w:ascii="宋体" w:hAnsi="宋体" w:eastAsia="宋体" w:cs="宋体"/>
                <w:color w:val="auto"/>
                <w:sz w:val="24"/>
                <w:szCs w:val="24"/>
              </w:rPr>
              <w:t>、交接</w:t>
            </w:r>
            <w:r>
              <w:rPr>
                <w:rFonts w:hint="eastAsia" w:ascii="宋体" w:hAnsi="宋体" w:eastAsia="宋体" w:cs="宋体"/>
                <w:b/>
                <w:bCs/>
                <w:color w:val="auto"/>
                <w:sz w:val="24"/>
                <w:szCs w:val="24"/>
              </w:rPr>
              <w:t>承诺函</w:t>
            </w:r>
            <w:r>
              <w:rPr>
                <w:rFonts w:hint="eastAsia" w:ascii="宋体" w:hAnsi="宋体" w:eastAsia="宋体" w:cs="宋体"/>
                <w:color w:val="auto"/>
                <w:sz w:val="24"/>
                <w:szCs w:val="24"/>
              </w:rPr>
              <w:t>。交接方案包含内容全面、切实可行、措施针对性强的得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分，有偏差或不符合本项目实际情况的得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分，未提供承诺函的不得分。</w:t>
            </w:r>
          </w:p>
        </w:tc>
      </w:tr>
      <w:tr w14:paraId="2A062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Merge w:val="continue"/>
            <w:tcBorders>
              <w:left w:val="single" w:color="auto" w:sz="4" w:space="0"/>
              <w:right w:val="single" w:color="auto" w:sz="4" w:space="0"/>
            </w:tcBorders>
            <w:noWrap/>
            <w:vAlign w:val="center"/>
          </w:tcPr>
          <w:p w14:paraId="72E8EE74">
            <w:pPr>
              <w:jc w:val="center"/>
              <w:rPr>
                <w:rFonts w:hint="eastAsia" w:ascii="宋体" w:hAnsi="宋体" w:eastAsia="宋体" w:cs="宋体"/>
                <w:color w:val="auto"/>
                <w:sz w:val="24"/>
                <w:szCs w:val="24"/>
              </w:rPr>
            </w:pPr>
          </w:p>
        </w:tc>
        <w:tc>
          <w:tcPr>
            <w:tcW w:w="1014" w:type="dxa"/>
            <w:vMerge w:val="continue"/>
            <w:tcBorders>
              <w:left w:val="single" w:color="auto" w:sz="4" w:space="0"/>
              <w:right w:val="single" w:color="auto" w:sz="4" w:space="0"/>
            </w:tcBorders>
            <w:noWrap/>
            <w:vAlign w:val="center"/>
          </w:tcPr>
          <w:p w14:paraId="5D724498">
            <w:pPr>
              <w:jc w:val="center"/>
              <w:rPr>
                <w:rFonts w:hint="eastAsia" w:ascii="宋体" w:hAnsi="宋体" w:eastAsia="宋体" w:cs="宋体"/>
                <w:color w:val="auto"/>
                <w:sz w:val="24"/>
                <w:szCs w:val="24"/>
              </w:rPr>
            </w:pPr>
          </w:p>
        </w:tc>
        <w:tc>
          <w:tcPr>
            <w:tcW w:w="1305" w:type="dxa"/>
            <w:tcBorders>
              <w:top w:val="single" w:color="auto" w:sz="4" w:space="0"/>
              <w:left w:val="single" w:color="auto" w:sz="4" w:space="0"/>
              <w:right w:val="single" w:color="auto" w:sz="4" w:space="0"/>
            </w:tcBorders>
            <w:noWrap/>
            <w:vAlign w:val="center"/>
          </w:tcPr>
          <w:p w14:paraId="7C47136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应急预案</w:t>
            </w:r>
          </w:p>
        </w:tc>
        <w:tc>
          <w:tcPr>
            <w:tcW w:w="806" w:type="dxa"/>
            <w:tcBorders>
              <w:top w:val="single" w:color="auto" w:sz="4" w:space="0"/>
              <w:left w:val="single" w:color="auto" w:sz="4" w:space="0"/>
              <w:right w:val="single" w:color="auto" w:sz="4" w:space="0"/>
            </w:tcBorders>
            <w:noWrap/>
            <w:vAlign w:val="center"/>
          </w:tcPr>
          <w:p w14:paraId="5719806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6334" w:type="dxa"/>
            <w:tcBorders>
              <w:top w:val="single" w:color="auto" w:sz="4" w:space="0"/>
              <w:left w:val="single" w:color="auto" w:sz="4" w:space="0"/>
              <w:bottom w:val="single" w:color="auto" w:sz="4" w:space="0"/>
              <w:right w:val="single" w:color="auto" w:sz="4" w:space="0"/>
            </w:tcBorders>
            <w:noWrap/>
            <w:vAlign w:val="center"/>
          </w:tcPr>
          <w:p w14:paraId="4987F8A5">
            <w:pPr>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供应商对可能发生的问题，编制突发事件的应急预案，预案应尽量罗列可能发生的（如停电、设备故障、站房损坏等）</w:t>
            </w:r>
            <w:r>
              <w:rPr>
                <w:rFonts w:hint="eastAsia" w:ascii="宋体" w:hAnsi="宋体" w:eastAsia="宋体" w:cs="宋体"/>
                <w:b/>
                <w:bCs/>
                <w:color w:val="auto"/>
                <w:sz w:val="24"/>
                <w:szCs w:val="24"/>
              </w:rPr>
              <w:t>突发问题</w:t>
            </w:r>
            <w:r>
              <w:rPr>
                <w:rFonts w:hint="eastAsia" w:ascii="宋体" w:hAnsi="宋体" w:eastAsia="宋体" w:cs="宋体"/>
                <w:color w:val="auto"/>
                <w:sz w:val="24"/>
                <w:szCs w:val="24"/>
              </w:rPr>
              <w:t>，明确应急小组</w:t>
            </w:r>
            <w:r>
              <w:rPr>
                <w:rFonts w:hint="eastAsia" w:ascii="宋体" w:hAnsi="宋体" w:eastAsia="宋体" w:cs="宋体"/>
                <w:b/>
                <w:bCs/>
                <w:color w:val="auto"/>
                <w:sz w:val="24"/>
                <w:szCs w:val="24"/>
              </w:rPr>
              <w:t>成员</w:t>
            </w:r>
            <w:r>
              <w:rPr>
                <w:rFonts w:hint="eastAsia" w:ascii="宋体" w:hAnsi="宋体" w:eastAsia="宋体" w:cs="宋体"/>
                <w:color w:val="auto"/>
                <w:sz w:val="24"/>
                <w:szCs w:val="24"/>
              </w:rPr>
              <w:t>，确定应急</w:t>
            </w:r>
            <w:r>
              <w:rPr>
                <w:rFonts w:hint="eastAsia" w:ascii="宋体" w:hAnsi="宋体" w:eastAsia="宋体" w:cs="宋体"/>
                <w:b/>
                <w:bCs/>
                <w:color w:val="auto"/>
                <w:sz w:val="24"/>
                <w:szCs w:val="24"/>
              </w:rPr>
              <w:t>响应时间</w:t>
            </w:r>
            <w:r>
              <w:rPr>
                <w:rFonts w:hint="eastAsia" w:ascii="宋体" w:hAnsi="宋体" w:eastAsia="宋体" w:cs="宋体"/>
                <w:color w:val="auto"/>
                <w:sz w:val="24"/>
                <w:szCs w:val="24"/>
              </w:rPr>
              <w:t>，提出针对性</w:t>
            </w:r>
            <w:r>
              <w:rPr>
                <w:rFonts w:hint="eastAsia" w:ascii="宋体" w:hAnsi="宋体" w:eastAsia="宋体" w:cs="宋体"/>
                <w:b/>
                <w:bCs/>
                <w:color w:val="auto"/>
                <w:sz w:val="24"/>
                <w:szCs w:val="24"/>
              </w:rPr>
              <w:t>应急措施</w:t>
            </w:r>
            <w:r>
              <w:rPr>
                <w:rFonts w:hint="eastAsia" w:ascii="宋体" w:hAnsi="宋体" w:eastAsia="宋体" w:cs="宋体"/>
                <w:color w:val="auto"/>
                <w:sz w:val="24"/>
                <w:szCs w:val="24"/>
              </w:rPr>
              <w:t>。</w:t>
            </w:r>
          </w:p>
          <w:p w14:paraId="275578D9">
            <w:pPr>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rPr>
              <w:t>应急预案包含内容全面、措施针对性强的得6分，内容不全面的每缺一项扣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分，方案措施针对性不强的扣2分。</w:t>
            </w:r>
          </w:p>
        </w:tc>
      </w:tr>
      <w:tr w14:paraId="781A0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Merge w:val="continue"/>
            <w:tcBorders>
              <w:left w:val="single" w:color="auto" w:sz="4" w:space="0"/>
              <w:right w:val="single" w:color="auto" w:sz="4" w:space="0"/>
            </w:tcBorders>
            <w:noWrap/>
            <w:vAlign w:val="center"/>
          </w:tcPr>
          <w:p w14:paraId="4708082E">
            <w:pPr>
              <w:jc w:val="center"/>
              <w:rPr>
                <w:rFonts w:hint="eastAsia" w:ascii="宋体" w:hAnsi="宋体" w:eastAsia="宋体" w:cs="宋体"/>
                <w:color w:val="auto"/>
                <w:sz w:val="24"/>
                <w:szCs w:val="24"/>
              </w:rPr>
            </w:pPr>
          </w:p>
        </w:tc>
        <w:tc>
          <w:tcPr>
            <w:tcW w:w="1014" w:type="dxa"/>
            <w:vMerge w:val="continue"/>
            <w:tcBorders>
              <w:left w:val="single" w:color="auto" w:sz="4" w:space="0"/>
              <w:right w:val="single" w:color="auto" w:sz="4" w:space="0"/>
            </w:tcBorders>
            <w:noWrap/>
            <w:vAlign w:val="center"/>
          </w:tcPr>
          <w:p w14:paraId="3B26FBA1">
            <w:pPr>
              <w:jc w:val="center"/>
              <w:rPr>
                <w:rFonts w:hint="eastAsia" w:ascii="宋体" w:hAnsi="宋体" w:eastAsia="宋体" w:cs="宋体"/>
                <w:color w:val="auto"/>
                <w:sz w:val="24"/>
                <w:szCs w:val="24"/>
              </w:rPr>
            </w:pPr>
          </w:p>
        </w:tc>
        <w:tc>
          <w:tcPr>
            <w:tcW w:w="1305" w:type="dxa"/>
            <w:tcBorders>
              <w:top w:val="single" w:color="auto" w:sz="4" w:space="0"/>
              <w:left w:val="single" w:color="auto" w:sz="4" w:space="0"/>
              <w:right w:val="single" w:color="auto" w:sz="4" w:space="0"/>
            </w:tcBorders>
            <w:noWrap/>
            <w:vAlign w:val="center"/>
          </w:tcPr>
          <w:p w14:paraId="3C07D9D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运维服务质量保证</w:t>
            </w:r>
          </w:p>
        </w:tc>
        <w:tc>
          <w:tcPr>
            <w:tcW w:w="806" w:type="dxa"/>
            <w:tcBorders>
              <w:top w:val="single" w:color="auto" w:sz="4" w:space="0"/>
              <w:left w:val="single" w:color="auto" w:sz="4" w:space="0"/>
              <w:right w:val="single" w:color="auto" w:sz="4" w:space="0"/>
            </w:tcBorders>
            <w:noWrap/>
            <w:vAlign w:val="center"/>
          </w:tcPr>
          <w:p w14:paraId="4D4EB77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334" w:type="dxa"/>
            <w:tcBorders>
              <w:top w:val="single" w:color="auto" w:sz="4" w:space="0"/>
              <w:left w:val="single" w:color="auto" w:sz="4" w:space="0"/>
              <w:bottom w:val="single" w:color="auto" w:sz="4" w:space="0"/>
              <w:right w:val="single" w:color="auto" w:sz="4" w:space="0"/>
            </w:tcBorders>
            <w:noWrap/>
            <w:vAlign w:val="center"/>
          </w:tcPr>
          <w:p w14:paraId="185BE154">
            <w:pPr>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投标供应商需具有与站点相匹配的SO2、NOx、CO、O3、PM2.5、PM10六项指标自动监测仪器备机，此项满分为6分，不提供不得分。</w:t>
            </w:r>
            <w:r>
              <w:rPr>
                <w:rFonts w:hint="eastAsia" w:ascii="宋体" w:hAnsi="宋体" w:eastAsia="宋体" w:cs="宋体"/>
                <w:b/>
                <w:bCs/>
                <w:color w:val="auto"/>
                <w:sz w:val="24"/>
                <w:szCs w:val="24"/>
                <w:highlight w:val="none"/>
              </w:rPr>
              <w:t>注：需提供以下证明材料，否则不得分：①提供备机的采购</w:t>
            </w:r>
            <w:r>
              <w:rPr>
                <w:rFonts w:hint="eastAsia" w:ascii="宋体" w:hAnsi="宋体" w:cs="宋体"/>
                <w:b/>
                <w:bCs/>
                <w:color w:val="auto"/>
                <w:sz w:val="24"/>
                <w:szCs w:val="24"/>
                <w:highlight w:val="none"/>
                <w:lang w:val="en-US" w:eastAsia="zh-CN"/>
              </w:rPr>
              <w:t>或租赁合同</w:t>
            </w:r>
            <w:r>
              <w:rPr>
                <w:rFonts w:hint="eastAsia" w:ascii="宋体" w:hAnsi="宋体" w:eastAsia="宋体" w:cs="宋体"/>
                <w:b/>
                <w:bCs/>
                <w:color w:val="auto"/>
                <w:sz w:val="24"/>
                <w:szCs w:val="24"/>
                <w:highlight w:val="none"/>
                <w:lang w:val="en-US" w:eastAsia="zh-CN"/>
              </w:rPr>
              <w:t>扫描</w:t>
            </w:r>
            <w:r>
              <w:rPr>
                <w:rFonts w:hint="eastAsia" w:ascii="宋体" w:hAnsi="宋体" w:eastAsia="宋体" w:cs="宋体"/>
                <w:b/>
                <w:bCs/>
                <w:color w:val="auto"/>
                <w:sz w:val="24"/>
                <w:szCs w:val="24"/>
                <w:highlight w:val="none"/>
              </w:rPr>
              <w:t>件加盖公章（如为投标人自产产品可无需提供）；②提供备机配置情况清单：包括但不限于备机种类、数量、品牌、型号、来源、原理等；③提供备机有效期内的适用性检测证书</w:t>
            </w:r>
            <w:r>
              <w:rPr>
                <w:rFonts w:hint="eastAsia" w:ascii="宋体" w:hAnsi="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lang w:eastAsia="zh-CN"/>
              </w:rPr>
              <w:t>。</w:t>
            </w:r>
          </w:p>
        </w:tc>
      </w:tr>
      <w:tr w14:paraId="3560C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738" w:type="dxa"/>
            <w:vMerge w:val="restart"/>
            <w:tcBorders>
              <w:left w:val="single" w:color="auto" w:sz="4" w:space="0"/>
              <w:right w:val="single" w:color="auto" w:sz="4" w:space="0"/>
            </w:tcBorders>
            <w:noWrap/>
            <w:vAlign w:val="center"/>
          </w:tcPr>
          <w:p w14:paraId="2E8354C7">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1014" w:type="dxa"/>
            <w:vMerge w:val="restart"/>
            <w:tcBorders>
              <w:left w:val="single" w:color="auto" w:sz="4" w:space="0"/>
              <w:right w:val="single" w:color="auto" w:sz="4" w:space="0"/>
            </w:tcBorders>
            <w:noWrap/>
            <w:vAlign w:val="center"/>
          </w:tcPr>
          <w:p w14:paraId="4AFD40E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履约能力（</w:t>
            </w: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分）</w:t>
            </w:r>
          </w:p>
        </w:tc>
        <w:tc>
          <w:tcPr>
            <w:tcW w:w="1305" w:type="dxa"/>
            <w:tcBorders>
              <w:top w:val="single" w:color="auto" w:sz="4" w:space="0"/>
              <w:left w:val="single" w:color="auto" w:sz="4" w:space="0"/>
              <w:right w:val="single" w:color="auto" w:sz="4" w:space="0"/>
            </w:tcBorders>
            <w:noWrap/>
            <w:vAlign w:val="center"/>
          </w:tcPr>
          <w:p w14:paraId="7D5BEE2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体系认证</w:t>
            </w:r>
          </w:p>
        </w:tc>
        <w:tc>
          <w:tcPr>
            <w:tcW w:w="806" w:type="dxa"/>
            <w:tcBorders>
              <w:top w:val="single" w:color="auto" w:sz="4" w:space="0"/>
              <w:left w:val="single" w:color="auto" w:sz="4" w:space="0"/>
              <w:bottom w:val="single" w:color="auto" w:sz="4" w:space="0"/>
              <w:right w:val="single" w:color="auto" w:sz="4" w:space="0"/>
            </w:tcBorders>
            <w:noWrap/>
            <w:vAlign w:val="center"/>
          </w:tcPr>
          <w:p w14:paraId="78C8FCE1">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6334" w:type="dxa"/>
            <w:tcBorders>
              <w:top w:val="single" w:color="auto" w:sz="4" w:space="0"/>
              <w:left w:val="single" w:color="auto" w:sz="4" w:space="0"/>
              <w:bottom w:val="single" w:color="auto" w:sz="4" w:space="0"/>
              <w:right w:val="single" w:color="auto" w:sz="4" w:space="0"/>
            </w:tcBorders>
            <w:noWrap/>
            <w:vAlign w:val="center"/>
          </w:tcPr>
          <w:p w14:paraId="669D9E8A">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投标人具有经中国国家认证认可监督管理委员会认可的认证机构颁发的质量管理体系认证证书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环境管理体系认证证书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职业健康安全管理体系认证证书，</w:t>
            </w:r>
            <w:r>
              <w:rPr>
                <w:rFonts w:hint="eastAsia" w:ascii="宋体" w:hAnsi="宋体" w:eastAsia="宋体" w:cs="宋体"/>
                <w:color w:val="auto"/>
                <w:sz w:val="24"/>
                <w:szCs w:val="24"/>
                <w:highlight w:val="none"/>
                <w:lang w:val="en-US" w:eastAsia="zh-CN"/>
              </w:rPr>
              <w:t>每提供一项得</w:t>
            </w:r>
            <w:r>
              <w:rPr>
                <w:rFonts w:hint="eastAsia" w:ascii="宋体" w:hAnsi="宋体" w:eastAsia="宋体" w:cs="宋体"/>
                <w:color w:val="auto"/>
                <w:sz w:val="24"/>
                <w:szCs w:val="24"/>
                <w:highlight w:val="none"/>
              </w:rPr>
              <w:t>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本项最高得3分</w:t>
            </w:r>
          </w:p>
          <w:p w14:paraId="2160B634">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b/>
                <w:bCs/>
                <w:color w:val="auto"/>
                <w:sz w:val="24"/>
                <w:szCs w:val="24"/>
                <w:highlight w:val="none"/>
                <w:lang w:val="en-US" w:eastAsia="zh-CN"/>
              </w:rPr>
              <w:t>投标时</w:t>
            </w:r>
            <w:r>
              <w:rPr>
                <w:rFonts w:hint="eastAsia" w:ascii="宋体" w:hAnsi="宋体" w:eastAsia="宋体" w:cs="宋体"/>
                <w:b/>
                <w:bCs/>
                <w:color w:val="auto"/>
                <w:sz w:val="24"/>
                <w:szCs w:val="24"/>
                <w:highlight w:val="none"/>
              </w:rPr>
              <w:t>提供的有效证书及官网证书信息查询截图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未提供不得分</w:t>
            </w:r>
            <w:r>
              <w:rPr>
                <w:rFonts w:hint="eastAsia" w:ascii="宋体" w:hAnsi="宋体" w:eastAsia="宋体" w:cs="宋体"/>
                <w:b/>
                <w:bCs/>
                <w:color w:val="auto"/>
                <w:sz w:val="24"/>
                <w:szCs w:val="24"/>
                <w:highlight w:val="none"/>
              </w:rPr>
              <w:t>。</w:t>
            </w:r>
          </w:p>
        </w:tc>
      </w:tr>
      <w:tr w14:paraId="2EB1E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Merge w:val="continue"/>
            <w:tcBorders>
              <w:left w:val="single" w:color="auto" w:sz="4" w:space="0"/>
              <w:right w:val="single" w:color="auto" w:sz="4" w:space="0"/>
            </w:tcBorders>
            <w:noWrap/>
            <w:vAlign w:val="center"/>
          </w:tcPr>
          <w:p w14:paraId="7F3B6F00">
            <w:pPr>
              <w:jc w:val="center"/>
              <w:rPr>
                <w:rFonts w:hint="eastAsia" w:ascii="宋体" w:hAnsi="宋体" w:eastAsia="宋体" w:cs="宋体"/>
                <w:color w:val="auto"/>
                <w:sz w:val="24"/>
                <w:szCs w:val="24"/>
              </w:rPr>
            </w:pPr>
          </w:p>
        </w:tc>
        <w:tc>
          <w:tcPr>
            <w:tcW w:w="1014" w:type="dxa"/>
            <w:vMerge w:val="continue"/>
            <w:tcBorders>
              <w:left w:val="single" w:color="auto" w:sz="4" w:space="0"/>
              <w:right w:val="single" w:color="auto" w:sz="4" w:space="0"/>
            </w:tcBorders>
            <w:noWrap/>
            <w:vAlign w:val="center"/>
          </w:tcPr>
          <w:p w14:paraId="58F262A5">
            <w:pPr>
              <w:jc w:val="center"/>
              <w:rPr>
                <w:rFonts w:hint="eastAsia" w:ascii="宋体" w:hAnsi="宋体" w:eastAsia="宋体" w:cs="宋体"/>
                <w:color w:val="auto"/>
                <w:sz w:val="24"/>
                <w:szCs w:val="24"/>
              </w:rPr>
            </w:pPr>
          </w:p>
        </w:tc>
        <w:tc>
          <w:tcPr>
            <w:tcW w:w="1305" w:type="dxa"/>
            <w:tcBorders>
              <w:top w:val="single" w:color="auto" w:sz="4" w:space="0"/>
              <w:left w:val="single" w:color="auto" w:sz="4" w:space="0"/>
              <w:right w:val="single" w:color="auto" w:sz="4" w:space="0"/>
            </w:tcBorders>
            <w:noWrap/>
            <w:vAlign w:val="center"/>
          </w:tcPr>
          <w:p w14:paraId="1C5A9D41">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业绩能力</w:t>
            </w:r>
          </w:p>
        </w:tc>
        <w:tc>
          <w:tcPr>
            <w:tcW w:w="806" w:type="dxa"/>
            <w:tcBorders>
              <w:top w:val="single" w:color="auto" w:sz="4" w:space="0"/>
              <w:left w:val="single" w:color="auto" w:sz="4" w:space="0"/>
              <w:bottom w:val="single" w:color="auto" w:sz="4" w:space="0"/>
              <w:right w:val="single" w:color="auto" w:sz="4" w:space="0"/>
            </w:tcBorders>
            <w:noWrap/>
            <w:vAlign w:val="center"/>
          </w:tcPr>
          <w:p w14:paraId="6D2AE141">
            <w:pPr>
              <w:jc w:val="center"/>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6</w:t>
            </w:r>
          </w:p>
        </w:tc>
        <w:tc>
          <w:tcPr>
            <w:tcW w:w="633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2E84E3">
            <w:pPr>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w:t>
            </w:r>
            <w:r>
              <w:rPr>
                <w:rFonts w:hint="eastAsia" w:ascii="宋体" w:hAnsi="宋体" w:eastAsia="宋体" w:cs="宋体"/>
                <w:color w:val="auto"/>
                <w:sz w:val="24"/>
                <w:szCs w:val="24"/>
                <w:lang w:val="en-US" w:eastAsia="zh-CN"/>
              </w:rPr>
              <w:t>提供</w:t>
            </w:r>
            <w:r>
              <w:rPr>
                <w:rFonts w:hint="eastAsia" w:ascii="宋体" w:hAnsi="宋体" w:eastAsia="宋体" w:cs="宋体"/>
                <w:color w:val="auto"/>
                <w:sz w:val="24"/>
                <w:szCs w:val="24"/>
              </w:rPr>
              <w:t>自202</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年1月1日</w:t>
            </w:r>
            <w:r>
              <w:rPr>
                <w:rFonts w:hint="eastAsia" w:ascii="宋体" w:hAnsi="宋体" w:eastAsia="宋体" w:cs="宋体"/>
                <w:color w:val="auto"/>
                <w:sz w:val="24"/>
                <w:szCs w:val="24"/>
                <w:lang w:val="en-US" w:eastAsia="zh-CN"/>
              </w:rPr>
              <w:t>以来</w:t>
            </w:r>
            <w:r>
              <w:rPr>
                <w:rFonts w:hint="eastAsia" w:ascii="宋体" w:hAnsi="宋体" w:eastAsia="宋体" w:cs="宋体"/>
                <w:color w:val="auto"/>
                <w:sz w:val="24"/>
                <w:szCs w:val="24"/>
              </w:rPr>
              <w:t>（以合同签署日期为准）具有此类环境空气质量自动监测站点运维服务类似业绩的，每提供一份得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本项最高得6</w:t>
            </w:r>
            <w:r>
              <w:rPr>
                <w:rFonts w:hint="eastAsia" w:ascii="宋体" w:hAnsi="宋体" w:eastAsia="宋体" w:cs="宋体"/>
                <w:color w:val="auto"/>
                <w:sz w:val="24"/>
                <w:szCs w:val="24"/>
              </w:rPr>
              <w:t>分。</w:t>
            </w:r>
          </w:p>
          <w:p w14:paraId="14E82DA1">
            <w:pPr>
              <w:jc w:val="left"/>
              <w:rPr>
                <w:rFonts w:hint="eastAsia" w:ascii="宋体" w:hAnsi="宋体" w:eastAsia="宋体" w:cs="宋体"/>
                <w:color w:val="auto"/>
                <w:sz w:val="24"/>
                <w:szCs w:val="24"/>
                <w:lang w:val="en-US" w:eastAsia="zh-CN" w:bidi="ar-SA"/>
              </w:rPr>
            </w:pPr>
            <w:r>
              <w:rPr>
                <w:rFonts w:hint="eastAsia" w:ascii="宋体" w:hAnsi="宋体" w:cs="宋体"/>
                <w:b/>
                <w:bCs/>
                <w:color w:val="auto"/>
                <w:sz w:val="24"/>
                <w:szCs w:val="24"/>
                <w:lang w:val="en-US" w:eastAsia="zh-CN"/>
              </w:rPr>
              <w:t>投标时</w:t>
            </w:r>
            <w:r>
              <w:rPr>
                <w:rFonts w:hint="eastAsia" w:ascii="宋体" w:hAnsi="宋体" w:eastAsia="宋体" w:cs="宋体"/>
                <w:b/>
                <w:bCs/>
                <w:color w:val="auto"/>
                <w:sz w:val="24"/>
                <w:szCs w:val="24"/>
              </w:rPr>
              <w:t>提供合同扫描件。未提供不得分</w:t>
            </w:r>
            <w:r>
              <w:rPr>
                <w:rFonts w:hint="eastAsia" w:ascii="宋体" w:hAnsi="宋体" w:cs="宋体"/>
                <w:b/>
                <w:bCs/>
                <w:color w:val="auto"/>
                <w:sz w:val="24"/>
                <w:szCs w:val="24"/>
                <w:lang w:eastAsia="zh-CN"/>
              </w:rPr>
              <w:t>。</w:t>
            </w:r>
          </w:p>
        </w:tc>
      </w:tr>
      <w:tr w14:paraId="3072B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Merge w:val="continue"/>
            <w:tcBorders>
              <w:left w:val="single" w:color="auto" w:sz="4" w:space="0"/>
              <w:right w:val="single" w:color="auto" w:sz="4" w:space="0"/>
            </w:tcBorders>
            <w:noWrap/>
            <w:vAlign w:val="center"/>
          </w:tcPr>
          <w:p w14:paraId="0C7884D9">
            <w:pPr>
              <w:jc w:val="center"/>
              <w:rPr>
                <w:rFonts w:hint="eastAsia" w:ascii="宋体" w:hAnsi="宋体" w:eastAsia="宋体" w:cs="宋体"/>
                <w:color w:val="auto"/>
                <w:sz w:val="24"/>
                <w:szCs w:val="24"/>
              </w:rPr>
            </w:pPr>
          </w:p>
        </w:tc>
        <w:tc>
          <w:tcPr>
            <w:tcW w:w="1014" w:type="dxa"/>
            <w:vMerge w:val="continue"/>
            <w:tcBorders>
              <w:left w:val="single" w:color="auto" w:sz="4" w:space="0"/>
              <w:right w:val="single" w:color="auto" w:sz="4" w:space="0"/>
            </w:tcBorders>
            <w:noWrap/>
            <w:vAlign w:val="center"/>
          </w:tcPr>
          <w:p w14:paraId="6AE6981B">
            <w:pPr>
              <w:jc w:val="center"/>
              <w:rPr>
                <w:rFonts w:hint="eastAsia" w:ascii="宋体" w:hAnsi="宋体" w:eastAsia="宋体" w:cs="宋体"/>
                <w:color w:val="auto"/>
                <w:sz w:val="24"/>
                <w:szCs w:val="24"/>
              </w:rPr>
            </w:pPr>
          </w:p>
        </w:tc>
        <w:tc>
          <w:tcPr>
            <w:tcW w:w="1305" w:type="dxa"/>
            <w:tcBorders>
              <w:top w:val="single" w:color="auto" w:sz="4" w:space="0"/>
              <w:left w:val="single" w:color="auto" w:sz="4" w:space="0"/>
              <w:right w:val="single" w:color="auto" w:sz="4" w:space="0"/>
            </w:tcBorders>
            <w:noWrap/>
            <w:vAlign w:val="center"/>
          </w:tcPr>
          <w:p w14:paraId="173F83C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车辆配备情况</w:t>
            </w:r>
          </w:p>
        </w:tc>
        <w:tc>
          <w:tcPr>
            <w:tcW w:w="806" w:type="dxa"/>
            <w:tcBorders>
              <w:top w:val="single" w:color="auto" w:sz="4" w:space="0"/>
              <w:left w:val="single" w:color="auto" w:sz="4" w:space="0"/>
              <w:bottom w:val="single" w:color="auto" w:sz="4" w:space="0"/>
              <w:right w:val="single" w:color="auto" w:sz="4" w:space="0"/>
            </w:tcBorders>
            <w:noWrap/>
            <w:vAlign w:val="center"/>
          </w:tcPr>
          <w:p w14:paraId="28423ABA">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6334" w:type="dxa"/>
            <w:tcBorders>
              <w:top w:val="single" w:color="auto" w:sz="4" w:space="0"/>
              <w:left w:val="single" w:color="auto" w:sz="4" w:space="0"/>
              <w:bottom w:val="single" w:color="auto" w:sz="4" w:space="0"/>
              <w:right w:val="single" w:color="auto" w:sz="4" w:space="0"/>
            </w:tcBorders>
            <w:noWrap/>
            <w:vAlign w:val="center"/>
          </w:tcPr>
          <w:p w14:paraId="61CE3492">
            <w:pPr>
              <w:jc w:val="left"/>
              <w:rPr>
                <w:rFonts w:hint="eastAsia" w:ascii="宋体" w:hAnsi="宋体" w:eastAsia="宋体" w:cs="宋体"/>
                <w:color w:val="auto"/>
                <w:sz w:val="24"/>
                <w:szCs w:val="24"/>
              </w:rPr>
            </w:pPr>
            <w:r>
              <w:rPr>
                <w:rFonts w:hint="eastAsia" w:ascii="宋体" w:hAnsi="宋体" w:eastAsia="宋体" w:cs="宋体"/>
                <w:color w:val="auto"/>
                <w:sz w:val="24"/>
                <w:szCs w:val="24"/>
              </w:rPr>
              <w:t>运维用车基础配备要求</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辆，得2分；满足基础要求后，增加1辆运维用车，再加</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分。满分</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708D3DEC">
            <w:pPr>
              <w:jc w:val="lef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投标时</w:t>
            </w:r>
            <w:r>
              <w:rPr>
                <w:rFonts w:hint="eastAsia" w:ascii="宋体" w:hAnsi="宋体" w:eastAsia="宋体" w:cs="宋体"/>
                <w:b/>
                <w:bCs/>
                <w:color w:val="auto"/>
                <w:sz w:val="24"/>
                <w:szCs w:val="24"/>
              </w:rPr>
              <w:t>提供车辆保障承诺函</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承诺函格式自拟</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，未提供不得分。</w:t>
            </w:r>
          </w:p>
        </w:tc>
      </w:tr>
      <w:tr w14:paraId="039AF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vMerge w:val="continue"/>
            <w:tcBorders>
              <w:left w:val="single" w:color="auto" w:sz="4" w:space="0"/>
              <w:right w:val="single" w:color="auto" w:sz="4" w:space="0"/>
            </w:tcBorders>
            <w:noWrap/>
            <w:vAlign w:val="center"/>
          </w:tcPr>
          <w:p w14:paraId="6C194F8D">
            <w:pPr>
              <w:jc w:val="center"/>
              <w:rPr>
                <w:rFonts w:hint="eastAsia" w:ascii="宋体" w:hAnsi="宋体" w:eastAsia="宋体" w:cs="宋体"/>
                <w:color w:val="auto"/>
                <w:sz w:val="24"/>
                <w:szCs w:val="24"/>
              </w:rPr>
            </w:pPr>
          </w:p>
        </w:tc>
        <w:tc>
          <w:tcPr>
            <w:tcW w:w="1014" w:type="dxa"/>
            <w:vMerge w:val="continue"/>
            <w:tcBorders>
              <w:left w:val="single" w:color="auto" w:sz="4" w:space="0"/>
              <w:right w:val="single" w:color="auto" w:sz="4" w:space="0"/>
            </w:tcBorders>
            <w:noWrap/>
            <w:vAlign w:val="center"/>
          </w:tcPr>
          <w:p w14:paraId="6BF7972F">
            <w:pPr>
              <w:jc w:val="center"/>
              <w:rPr>
                <w:rFonts w:hint="eastAsia" w:ascii="宋体" w:hAnsi="宋体" w:eastAsia="宋体" w:cs="宋体"/>
                <w:color w:val="auto"/>
                <w:sz w:val="24"/>
                <w:szCs w:val="24"/>
              </w:rPr>
            </w:pPr>
          </w:p>
        </w:tc>
        <w:tc>
          <w:tcPr>
            <w:tcW w:w="1305" w:type="dxa"/>
            <w:tcBorders>
              <w:top w:val="single" w:color="auto" w:sz="4" w:space="0"/>
              <w:left w:val="single" w:color="auto" w:sz="4" w:space="0"/>
              <w:right w:val="single" w:color="auto" w:sz="4" w:space="0"/>
            </w:tcBorders>
            <w:noWrap/>
            <w:vAlign w:val="center"/>
          </w:tcPr>
          <w:p w14:paraId="03C9574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人员配备</w:t>
            </w:r>
          </w:p>
        </w:tc>
        <w:tc>
          <w:tcPr>
            <w:tcW w:w="806" w:type="dxa"/>
            <w:tcBorders>
              <w:top w:val="single" w:color="auto" w:sz="4" w:space="0"/>
              <w:left w:val="single" w:color="auto" w:sz="4" w:space="0"/>
              <w:bottom w:val="single" w:color="auto" w:sz="4" w:space="0"/>
              <w:right w:val="single" w:color="auto" w:sz="4" w:space="0"/>
            </w:tcBorders>
            <w:noWrap/>
            <w:vAlign w:val="center"/>
          </w:tcPr>
          <w:p w14:paraId="456C94CA">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p>
        </w:tc>
        <w:tc>
          <w:tcPr>
            <w:tcW w:w="6334" w:type="dxa"/>
            <w:tcBorders>
              <w:top w:val="single" w:color="auto" w:sz="4" w:space="0"/>
              <w:left w:val="single" w:color="auto" w:sz="4" w:space="0"/>
              <w:bottom w:val="single" w:color="auto" w:sz="4" w:space="0"/>
              <w:right w:val="single" w:color="auto" w:sz="4" w:space="0"/>
            </w:tcBorders>
            <w:noWrap/>
            <w:vAlign w:val="center"/>
          </w:tcPr>
          <w:p w14:paraId="5E6FE1A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投标人为本项目派遣的项目负责人须具备环保或仪器仪表类中级及以上技术职称证书和省级及以上生态环境部门颁发的环境空气自动监测站运维技术培训合格证书的，得3分；未提供的不得分。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证书</w:t>
            </w:r>
            <w:r>
              <w:rPr>
                <w:rFonts w:hint="eastAsia" w:ascii="宋体" w:hAnsi="宋体" w:eastAsia="宋体" w:cs="宋体"/>
                <w:color w:val="auto"/>
                <w:sz w:val="24"/>
                <w:szCs w:val="24"/>
                <w:highlight w:val="none"/>
              </w:rPr>
              <w:t>须在有效期内）</w:t>
            </w:r>
          </w:p>
          <w:p w14:paraId="192BFF5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2.为本项目配备的项目组成员中（不包括项目负责人）具有国家环境监测总站颁发的环境空气自动监测运维培训合格证书（须在有效期内），每提供1人得3分，本项最高得6分。</w:t>
            </w:r>
          </w:p>
          <w:p w14:paraId="4F900DB8">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注：投标时</w:t>
            </w:r>
            <w:r>
              <w:rPr>
                <w:rFonts w:hint="eastAsia" w:ascii="宋体" w:hAnsi="宋体" w:eastAsia="宋体" w:cs="宋体"/>
                <w:b/>
                <w:bCs/>
                <w:color w:val="auto"/>
                <w:sz w:val="24"/>
                <w:szCs w:val="24"/>
                <w:highlight w:val="none"/>
              </w:rPr>
              <w:t>上述条款需提供专职人员一览表，至少包含人员姓名、联系电话、职位等（格式自拟）、相应的证书扫描件、投标单位为其缴纳的近三个月任意一个月的社保证明材料或退休返聘证明扫描件）</w:t>
            </w:r>
          </w:p>
        </w:tc>
      </w:tr>
      <w:tr w14:paraId="436A9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8" w:type="dxa"/>
            <w:tcBorders>
              <w:left w:val="single" w:color="auto" w:sz="4" w:space="0"/>
              <w:right w:val="single" w:color="auto" w:sz="4" w:space="0"/>
            </w:tcBorders>
            <w:noWrap/>
            <w:vAlign w:val="center"/>
          </w:tcPr>
          <w:p w14:paraId="070EA600">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1014" w:type="dxa"/>
            <w:tcBorders>
              <w:left w:val="single" w:color="auto" w:sz="4" w:space="0"/>
              <w:right w:val="single" w:color="auto" w:sz="4" w:space="0"/>
            </w:tcBorders>
            <w:noWrap/>
            <w:vAlign w:val="center"/>
          </w:tcPr>
          <w:p w14:paraId="1914337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p w14:paraId="2852A1E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c>
          <w:tcPr>
            <w:tcW w:w="1305" w:type="dxa"/>
            <w:tcBorders>
              <w:top w:val="single" w:color="auto" w:sz="4" w:space="0"/>
              <w:left w:val="single" w:color="auto" w:sz="4" w:space="0"/>
              <w:right w:val="single" w:color="auto" w:sz="4" w:space="0"/>
            </w:tcBorders>
            <w:noWrap/>
            <w:vAlign w:val="center"/>
          </w:tcPr>
          <w:p w14:paraId="3C1C1AA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节能环保</w:t>
            </w:r>
          </w:p>
        </w:tc>
        <w:tc>
          <w:tcPr>
            <w:tcW w:w="806" w:type="dxa"/>
            <w:tcBorders>
              <w:top w:val="single" w:color="auto" w:sz="4" w:space="0"/>
              <w:left w:val="single" w:color="auto" w:sz="4" w:space="0"/>
              <w:right w:val="single" w:color="auto" w:sz="4" w:space="0"/>
            </w:tcBorders>
            <w:noWrap/>
            <w:vAlign w:val="center"/>
          </w:tcPr>
          <w:p w14:paraId="1ED8E00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334" w:type="dxa"/>
            <w:tcBorders>
              <w:top w:val="single" w:color="auto" w:sz="4" w:space="0"/>
              <w:left w:val="single" w:color="auto" w:sz="4" w:space="0"/>
              <w:right w:val="single" w:color="auto" w:sz="4" w:space="0"/>
            </w:tcBorders>
            <w:noWrap/>
            <w:vAlign w:val="center"/>
          </w:tcPr>
          <w:p w14:paraId="2737D84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1.响应产品属于财政部、国家发展改革委公布的“节能产品品目清单”范围内的，供应商提供国家确定的认证机构出具的、处于有效期之内的该节能产品认证证书</w:t>
            </w:r>
            <w:r>
              <w:rPr>
                <w:rFonts w:hint="eastAsia" w:ascii="宋体" w:hAnsi="宋体" w:cs="宋体"/>
                <w:color w:val="auto"/>
                <w:sz w:val="24"/>
                <w:szCs w:val="24"/>
                <w:highlight w:val="none"/>
                <w:lang w:val="en-US" w:eastAsia="zh-CN"/>
              </w:rPr>
              <w:t>扫描</w:t>
            </w:r>
            <w:r>
              <w:rPr>
                <w:rFonts w:hint="eastAsia" w:ascii="宋体" w:hAnsi="宋体" w:eastAsia="宋体" w:cs="宋体"/>
                <w:color w:val="auto"/>
                <w:sz w:val="24"/>
                <w:szCs w:val="24"/>
                <w:highlight w:val="none"/>
              </w:rPr>
              <w:t>件的，有1个得0.5分，最多得1分。如响应产品均属于政府强制采购节能产品品目清单范围内，本项不得分。</w:t>
            </w:r>
          </w:p>
          <w:p w14:paraId="7C66ED8F">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2.响应产品属于财政部、生态环境部公布的“环境标志产品品目清单”范围内的，供应商提供国家确定的认证机构出具的、处于有效期内的该环保产品认证证书</w:t>
            </w:r>
            <w:r>
              <w:rPr>
                <w:rFonts w:hint="eastAsia" w:ascii="宋体" w:hAnsi="宋体" w:cs="宋体"/>
                <w:color w:val="auto"/>
                <w:sz w:val="24"/>
                <w:szCs w:val="24"/>
                <w:highlight w:val="none"/>
                <w:lang w:val="en-US" w:eastAsia="zh-CN"/>
              </w:rPr>
              <w:t>扫描</w:t>
            </w:r>
            <w:r>
              <w:rPr>
                <w:rFonts w:hint="eastAsia" w:ascii="宋体" w:hAnsi="宋体" w:eastAsia="宋体" w:cs="宋体"/>
                <w:color w:val="auto"/>
                <w:sz w:val="24"/>
                <w:szCs w:val="24"/>
                <w:highlight w:val="none"/>
              </w:rPr>
              <w:t>件的，有1个得0.5分，最多得1分。</w:t>
            </w:r>
          </w:p>
        </w:tc>
      </w:tr>
    </w:tbl>
    <w:p w14:paraId="7ADBD1AD">
      <w:pPr>
        <w:pStyle w:val="36"/>
        <w:keepNext w:val="0"/>
        <w:keepLines w:val="0"/>
        <w:pageBreakBefore w:val="0"/>
        <w:widowControl w:val="0"/>
        <w:spacing w:beforeAutospacing="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包件二</w:t>
      </w:r>
      <w:r>
        <w:rPr>
          <w:rFonts w:hint="eastAsia" w:ascii="宋体" w:hAnsi="宋体" w:eastAsia="宋体" w:cs="宋体"/>
          <w:b/>
          <w:bCs/>
          <w:color w:val="auto"/>
          <w:sz w:val="24"/>
          <w:szCs w:val="24"/>
          <w:highlight w:val="none"/>
        </w:rPr>
        <w:t>评标方法与评标标准</w:t>
      </w:r>
    </w:p>
    <w:tbl>
      <w:tblPr>
        <w:tblStyle w:val="40"/>
        <w:tblW w:w="10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972"/>
        <w:gridCol w:w="1347"/>
        <w:gridCol w:w="778"/>
        <w:gridCol w:w="6287"/>
      </w:tblGrid>
      <w:tr w14:paraId="70695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691" w:type="dxa"/>
            <w:tcBorders>
              <w:top w:val="single" w:color="auto" w:sz="4" w:space="0"/>
              <w:left w:val="single" w:color="auto" w:sz="4" w:space="0"/>
              <w:bottom w:val="single" w:color="auto" w:sz="4" w:space="0"/>
              <w:right w:val="single" w:color="auto" w:sz="4" w:space="0"/>
            </w:tcBorders>
            <w:noWrap/>
            <w:vAlign w:val="center"/>
          </w:tcPr>
          <w:p w14:paraId="38A5CCB9">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972" w:type="dxa"/>
            <w:tcBorders>
              <w:top w:val="single" w:color="auto" w:sz="4" w:space="0"/>
              <w:left w:val="single" w:color="auto" w:sz="4" w:space="0"/>
              <w:bottom w:val="single" w:color="auto" w:sz="4" w:space="0"/>
              <w:right w:val="single" w:color="auto" w:sz="4" w:space="0"/>
            </w:tcBorders>
            <w:noWrap/>
            <w:vAlign w:val="center"/>
          </w:tcPr>
          <w:p w14:paraId="544672D3">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分部内容</w:t>
            </w:r>
          </w:p>
        </w:tc>
        <w:tc>
          <w:tcPr>
            <w:tcW w:w="1347" w:type="dxa"/>
            <w:tcBorders>
              <w:top w:val="single" w:color="auto" w:sz="4" w:space="0"/>
              <w:left w:val="single" w:color="auto" w:sz="4" w:space="0"/>
              <w:bottom w:val="single" w:color="auto" w:sz="4" w:space="0"/>
              <w:right w:val="single" w:color="auto" w:sz="4" w:space="0"/>
            </w:tcBorders>
            <w:noWrap/>
            <w:vAlign w:val="center"/>
          </w:tcPr>
          <w:p w14:paraId="4690590C">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分项内容</w:t>
            </w:r>
          </w:p>
        </w:tc>
        <w:tc>
          <w:tcPr>
            <w:tcW w:w="778" w:type="dxa"/>
            <w:tcBorders>
              <w:top w:val="single" w:color="auto" w:sz="4" w:space="0"/>
              <w:left w:val="single" w:color="auto" w:sz="4" w:space="0"/>
              <w:bottom w:val="single" w:color="auto" w:sz="4" w:space="0"/>
              <w:right w:val="single" w:color="auto" w:sz="4" w:space="0"/>
            </w:tcBorders>
            <w:noWrap/>
            <w:vAlign w:val="center"/>
          </w:tcPr>
          <w:p w14:paraId="670BD436">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分值</w:t>
            </w:r>
          </w:p>
        </w:tc>
        <w:tc>
          <w:tcPr>
            <w:tcW w:w="6287" w:type="dxa"/>
            <w:tcBorders>
              <w:top w:val="single" w:color="auto" w:sz="4" w:space="0"/>
              <w:left w:val="single" w:color="auto" w:sz="4" w:space="0"/>
              <w:bottom w:val="single" w:color="auto" w:sz="4" w:space="0"/>
              <w:right w:val="single" w:color="auto" w:sz="4" w:space="0"/>
            </w:tcBorders>
            <w:noWrap/>
            <w:vAlign w:val="center"/>
          </w:tcPr>
          <w:p w14:paraId="31AB3E41">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打分要求</w:t>
            </w:r>
          </w:p>
        </w:tc>
      </w:tr>
      <w:tr w14:paraId="0D961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tcBorders>
              <w:top w:val="single" w:color="auto" w:sz="4" w:space="0"/>
              <w:left w:val="single" w:color="auto" w:sz="4" w:space="0"/>
              <w:bottom w:val="single" w:color="auto" w:sz="4" w:space="0"/>
              <w:right w:val="single" w:color="auto" w:sz="4" w:space="0"/>
            </w:tcBorders>
            <w:noWrap/>
            <w:vAlign w:val="center"/>
          </w:tcPr>
          <w:p w14:paraId="0217FB3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972" w:type="dxa"/>
            <w:tcBorders>
              <w:top w:val="single" w:color="auto" w:sz="4" w:space="0"/>
              <w:left w:val="single" w:color="auto" w:sz="4" w:space="0"/>
              <w:bottom w:val="single" w:color="auto" w:sz="4" w:space="0"/>
              <w:right w:val="single" w:color="auto" w:sz="4" w:space="0"/>
            </w:tcBorders>
            <w:noWrap/>
            <w:vAlign w:val="center"/>
          </w:tcPr>
          <w:p w14:paraId="58083E8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价格部分（</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0分）</w:t>
            </w:r>
          </w:p>
        </w:tc>
        <w:tc>
          <w:tcPr>
            <w:tcW w:w="1347" w:type="dxa"/>
            <w:tcBorders>
              <w:top w:val="single" w:color="auto" w:sz="4" w:space="0"/>
              <w:left w:val="single" w:color="auto" w:sz="4" w:space="0"/>
              <w:bottom w:val="single" w:color="auto" w:sz="4" w:space="0"/>
              <w:right w:val="single" w:color="auto" w:sz="4" w:space="0"/>
            </w:tcBorders>
            <w:noWrap/>
            <w:vAlign w:val="center"/>
          </w:tcPr>
          <w:p w14:paraId="56A5952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投标报价</w:t>
            </w:r>
          </w:p>
        </w:tc>
        <w:tc>
          <w:tcPr>
            <w:tcW w:w="778" w:type="dxa"/>
            <w:tcBorders>
              <w:top w:val="single" w:color="auto" w:sz="4" w:space="0"/>
              <w:left w:val="single" w:color="auto" w:sz="4" w:space="0"/>
              <w:bottom w:val="single" w:color="auto" w:sz="4" w:space="0"/>
              <w:right w:val="single" w:color="auto" w:sz="4" w:space="0"/>
            </w:tcBorders>
            <w:noWrap/>
            <w:vAlign w:val="center"/>
          </w:tcPr>
          <w:p w14:paraId="42FCDF13">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0</w:t>
            </w:r>
          </w:p>
        </w:tc>
        <w:tc>
          <w:tcPr>
            <w:tcW w:w="6287" w:type="dxa"/>
            <w:tcBorders>
              <w:top w:val="single" w:color="auto" w:sz="4" w:space="0"/>
              <w:left w:val="single" w:color="auto" w:sz="4" w:space="0"/>
              <w:bottom w:val="single" w:color="auto" w:sz="4" w:space="0"/>
              <w:right w:val="single" w:color="auto" w:sz="4" w:space="0"/>
            </w:tcBorders>
            <w:noWrap/>
            <w:vAlign w:val="center"/>
          </w:tcPr>
          <w:p w14:paraId="602CDA1D">
            <w:pPr>
              <w:jc w:val="left"/>
              <w:rPr>
                <w:rFonts w:hint="eastAsia" w:ascii="宋体" w:hAnsi="宋体" w:eastAsia="宋体" w:cs="宋体"/>
                <w:color w:val="auto"/>
                <w:sz w:val="24"/>
                <w:szCs w:val="24"/>
              </w:rPr>
            </w:pPr>
            <w:r>
              <w:rPr>
                <w:rFonts w:hint="eastAsia" w:ascii="宋体" w:hAnsi="宋体" w:eastAsia="宋体" w:cs="宋体"/>
                <w:color w:val="auto"/>
                <w:sz w:val="24"/>
                <w:szCs w:val="24"/>
              </w:rPr>
              <w:t>满足招标文件要求且投标价格最低的投标报价为基准价，其价格分为满分。报价得分=(评标基准价/投标报价)×</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0。</w:t>
            </w:r>
          </w:p>
          <w:p w14:paraId="465B6A1C">
            <w:pPr>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注：因本项目为专门面向中小企业采购的项目，不再执行价格评审优惠的扶持政策。</w:t>
            </w:r>
          </w:p>
        </w:tc>
      </w:tr>
      <w:tr w14:paraId="455D6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Merge w:val="restart"/>
            <w:tcBorders>
              <w:top w:val="single" w:color="auto" w:sz="4" w:space="0"/>
              <w:left w:val="single" w:color="auto" w:sz="4" w:space="0"/>
              <w:right w:val="single" w:color="auto" w:sz="4" w:space="0"/>
            </w:tcBorders>
            <w:noWrap/>
            <w:vAlign w:val="center"/>
          </w:tcPr>
          <w:p w14:paraId="1BBD3D8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972" w:type="dxa"/>
            <w:vMerge w:val="restart"/>
            <w:tcBorders>
              <w:top w:val="single" w:color="auto" w:sz="4" w:space="0"/>
              <w:left w:val="single" w:color="auto" w:sz="4" w:space="0"/>
              <w:right w:val="single" w:color="auto" w:sz="4" w:space="0"/>
            </w:tcBorders>
            <w:noWrap/>
            <w:vAlign w:val="center"/>
          </w:tcPr>
          <w:p w14:paraId="57D28CF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技术部分（</w:t>
            </w:r>
            <w:r>
              <w:rPr>
                <w:rFonts w:hint="eastAsia" w:ascii="宋体" w:hAnsi="宋体" w:eastAsia="宋体" w:cs="宋体"/>
                <w:color w:val="auto"/>
                <w:sz w:val="24"/>
                <w:szCs w:val="24"/>
                <w:lang w:val="en-US" w:eastAsia="zh-CN"/>
              </w:rPr>
              <w:t>53</w:t>
            </w:r>
            <w:r>
              <w:rPr>
                <w:rFonts w:hint="eastAsia" w:ascii="宋体" w:hAnsi="宋体" w:eastAsia="宋体" w:cs="宋体"/>
                <w:color w:val="auto"/>
                <w:sz w:val="24"/>
                <w:szCs w:val="24"/>
              </w:rPr>
              <w:t>分）</w:t>
            </w:r>
          </w:p>
        </w:tc>
        <w:tc>
          <w:tcPr>
            <w:tcW w:w="1347" w:type="dxa"/>
            <w:tcBorders>
              <w:top w:val="single" w:color="auto" w:sz="4" w:space="0"/>
              <w:left w:val="single" w:color="auto" w:sz="4" w:space="0"/>
              <w:right w:val="single" w:color="auto" w:sz="4" w:space="0"/>
            </w:tcBorders>
            <w:noWrap/>
            <w:vAlign w:val="center"/>
          </w:tcPr>
          <w:p w14:paraId="2ACD90C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运维服务方案</w:t>
            </w:r>
          </w:p>
        </w:tc>
        <w:tc>
          <w:tcPr>
            <w:tcW w:w="778" w:type="dxa"/>
            <w:tcBorders>
              <w:top w:val="single" w:color="auto" w:sz="4" w:space="0"/>
              <w:left w:val="single" w:color="auto" w:sz="4" w:space="0"/>
              <w:right w:val="single" w:color="auto" w:sz="4" w:space="0"/>
            </w:tcBorders>
            <w:noWrap/>
            <w:vAlign w:val="center"/>
          </w:tcPr>
          <w:p w14:paraId="64F721A7">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w:t>
            </w:r>
          </w:p>
        </w:tc>
        <w:tc>
          <w:tcPr>
            <w:tcW w:w="6287" w:type="dxa"/>
            <w:tcBorders>
              <w:top w:val="single" w:color="auto" w:sz="4" w:space="0"/>
              <w:left w:val="single" w:color="auto" w:sz="4" w:space="0"/>
              <w:bottom w:val="single" w:color="auto" w:sz="4" w:space="0"/>
              <w:right w:val="single" w:color="auto" w:sz="4" w:space="0"/>
            </w:tcBorders>
            <w:noWrap/>
            <w:vAlign w:val="center"/>
          </w:tcPr>
          <w:p w14:paraId="348561A3">
            <w:pPr>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投标人按照技术规范并结合项目的地域、仪器设备等情况，提供站点运行维护服务方案。运维方案应包括运维</w:t>
            </w:r>
            <w:r>
              <w:rPr>
                <w:rFonts w:hint="eastAsia" w:ascii="宋体" w:hAnsi="宋体" w:eastAsia="宋体" w:cs="宋体"/>
                <w:b/>
                <w:bCs/>
                <w:color w:val="auto"/>
                <w:sz w:val="24"/>
                <w:szCs w:val="24"/>
              </w:rPr>
              <w:t>服务流程</w:t>
            </w:r>
            <w:r>
              <w:rPr>
                <w:rFonts w:hint="eastAsia" w:ascii="宋体" w:hAnsi="宋体" w:eastAsia="宋体" w:cs="宋体"/>
                <w:color w:val="auto"/>
                <w:sz w:val="24"/>
                <w:szCs w:val="24"/>
              </w:rPr>
              <w:t>、</w:t>
            </w:r>
            <w:r>
              <w:rPr>
                <w:rFonts w:hint="eastAsia" w:ascii="宋体" w:hAnsi="宋体" w:eastAsia="宋体" w:cs="宋体"/>
                <w:b/>
                <w:bCs/>
                <w:color w:val="auto"/>
                <w:sz w:val="24"/>
                <w:szCs w:val="24"/>
              </w:rPr>
              <w:t>日常管理维护的内容与频次</w:t>
            </w:r>
            <w:r>
              <w:rPr>
                <w:rFonts w:hint="eastAsia" w:ascii="宋体" w:hAnsi="宋体" w:eastAsia="宋体" w:cs="宋体"/>
                <w:color w:val="auto"/>
                <w:sz w:val="24"/>
                <w:szCs w:val="24"/>
              </w:rPr>
              <w:t>（零部件的清洁与更换、站房及配套设备维护、校准校验等）、</w:t>
            </w:r>
            <w:r>
              <w:rPr>
                <w:rFonts w:hint="eastAsia" w:ascii="宋体" w:hAnsi="宋体" w:eastAsia="宋体" w:cs="宋体"/>
                <w:b/>
                <w:bCs/>
                <w:color w:val="auto"/>
                <w:sz w:val="24"/>
                <w:szCs w:val="24"/>
              </w:rPr>
              <w:t>质量控制</w:t>
            </w:r>
            <w:r>
              <w:rPr>
                <w:rFonts w:hint="eastAsia" w:ascii="宋体" w:hAnsi="宋体" w:eastAsia="宋体" w:cs="宋体"/>
                <w:color w:val="auto"/>
                <w:sz w:val="24"/>
                <w:szCs w:val="24"/>
              </w:rPr>
              <w:t>要求、运维台账填写、报表报告编制</w:t>
            </w:r>
            <w:r>
              <w:rPr>
                <w:rFonts w:hint="eastAsia" w:ascii="宋体" w:hAnsi="宋体" w:eastAsia="宋体" w:cs="宋体"/>
                <w:color w:val="auto"/>
                <w:sz w:val="24"/>
                <w:szCs w:val="24"/>
                <w:lang w:eastAsia="zh-CN"/>
              </w:rPr>
              <w:t>以及防范人为干扰</w:t>
            </w:r>
            <w:r>
              <w:rPr>
                <w:rFonts w:hint="eastAsia" w:ascii="宋体" w:hAnsi="宋体" w:eastAsia="宋体" w:cs="宋体"/>
                <w:color w:val="auto"/>
                <w:sz w:val="24"/>
                <w:szCs w:val="24"/>
              </w:rPr>
              <w:t>等方面提供详细的运维计划。</w:t>
            </w:r>
          </w:p>
          <w:p w14:paraId="4ABBEEB0">
            <w:pPr>
              <w:jc w:val="left"/>
              <w:rPr>
                <w:rFonts w:hint="eastAsia" w:ascii="宋体" w:hAnsi="宋体" w:eastAsia="宋体" w:cs="宋体"/>
                <w:color w:val="auto"/>
                <w:sz w:val="24"/>
                <w:szCs w:val="24"/>
              </w:rPr>
            </w:pPr>
            <w:r>
              <w:rPr>
                <w:rFonts w:hint="eastAsia" w:ascii="宋体" w:hAnsi="宋体" w:eastAsia="宋体" w:cs="宋体"/>
                <w:color w:val="auto"/>
                <w:sz w:val="24"/>
                <w:szCs w:val="24"/>
              </w:rPr>
              <w:t>完全满足本项目采购需求，能根据</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需求进行方案设计，制定的方案内容详细完整，有针对性、可行性强，得</w:t>
            </w:r>
            <w:r>
              <w:rPr>
                <w:rFonts w:hint="eastAsia" w:ascii="宋体" w:hAnsi="宋体" w:eastAsia="宋体" w:cs="宋体"/>
                <w:color w:val="auto"/>
                <w:sz w:val="24"/>
                <w:szCs w:val="24"/>
                <w:lang w:val="en-US" w:eastAsia="zh-CN"/>
              </w:rPr>
              <w:t>16</w:t>
            </w:r>
            <w:r>
              <w:rPr>
                <w:rFonts w:hint="eastAsia" w:ascii="宋体" w:hAnsi="宋体" w:eastAsia="宋体" w:cs="宋体"/>
                <w:color w:val="auto"/>
                <w:sz w:val="24"/>
                <w:szCs w:val="24"/>
              </w:rPr>
              <w:t>分；</w:t>
            </w:r>
          </w:p>
          <w:p w14:paraId="539B6888">
            <w:pPr>
              <w:jc w:val="left"/>
              <w:rPr>
                <w:rFonts w:hint="eastAsia" w:ascii="宋体" w:hAnsi="宋体" w:eastAsia="宋体" w:cs="宋体"/>
                <w:color w:val="auto"/>
                <w:sz w:val="24"/>
                <w:szCs w:val="24"/>
              </w:rPr>
            </w:pPr>
            <w:r>
              <w:rPr>
                <w:rFonts w:hint="eastAsia" w:ascii="宋体" w:hAnsi="宋体" w:eastAsia="宋体" w:cs="宋体"/>
                <w:color w:val="auto"/>
                <w:sz w:val="24"/>
                <w:szCs w:val="24"/>
              </w:rPr>
              <w:t>基本满足本项目采购需求，制定的方案内容较为完整，方案具有针对性、可行性，得</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分；</w:t>
            </w:r>
          </w:p>
          <w:p w14:paraId="5526C503">
            <w:pPr>
              <w:jc w:val="left"/>
              <w:rPr>
                <w:rFonts w:hint="eastAsia" w:ascii="宋体" w:hAnsi="宋体" w:eastAsia="宋体" w:cs="宋体"/>
                <w:color w:val="auto"/>
                <w:sz w:val="24"/>
                <w:szCs w:val="24"/>
              </w:rPr>
            </w:pPr>
            <w:r>
              <w:rPr>
                <w:rFonts w:hint="eastAsia" w:ascii="宋体" w:hAnsi="宋体" w:eastAsia="宋体" w:cs="宋体"/>
                <w:color w:val="auto"/>
                <w:sz w:val="24"/>
                <w:szCs w:val="24"/>
              </w:rPr>
              <w:t>制定的方案内容简略，针对性、可行性有待提升，得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p w14:paraId="16797D5D">
            <w:pPr>
              <w:pStyle w:val="17"/>
              <w:ind w:left="0" w:leftChars="0" w:firstLine="0" w:firstLineChars="0"/>
              <w:rPr>
                <w:rFonts w:hint="eastAsia" w:ascii="宋体" w:hAnsi="宋体" w:eastAsia="宋体" w:cs="宋体"/>
                <w:sz w:val="24"/>
                <w:szCs w:val="24"/>
                <w:lang w:val="zh-CN"/>
              </w:rPr>
            </w:pPr>
            <w:r>
              <w:rPr>
                <w:rFonts w:hint="eastAsia" w:ascii="宋体" w:hAnsi="宋体" w:eastAsia="宋体" w:cs="宋体"/>
                <w:color w:val="auto"/>
                <w:sz w:val="24"/>
                <w:szCs w:val="24"/>
              </w:rPr>
              <w:t>未提供相关内容的不得分。</w:t>
            </w:r>
          </w:p>
        </w:tc>
      </w:tr>
      <w:tr w14:paraId="3CA06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Merge w:val="continue"/>
            <w:tcBorders>
              <w:left w:val="single" w:color="auto" w:sz="4" w:space="0"/>
              <w:right w:val="single" w:color="auto" w:sz="4" w:space="0"/>
            </w:tcBorders>
            <w:noWrap/>
            <w:vAlign w:val="center"/>
          </w:tcPr>
          <w:p w14:paraId="17CA2797">
            <w:pPr>
              <w:jc w:val="center"/>
              <w:rPr>
                <w:rFonts w:hint="eastAsia" w:ascii="宋体" w:hAnsi="宋体" w:eastAsia="宋体" w:cs="宋体"/>
                <w:color w:val="auto"/>
                <w:sz w:val="24"/>
                <w:szCs w:val="24"/>
              </w:rPr>
            </w:pPr>
          </w:p>
        </w:tc>
        <w:tc>
          <w:tcPr>
            <w:tcW w:w="972" w:type="dxa"/>
            <w:vMerge w:val="continue"/>
            <w:tcBorders>
              <w:left w:val="single" w:color="auto" w:sz="4" w:space="0"/>
              <w:right w:val="single" w:color="auto" w:sz="4" w:space="0"/>
            </w:tcBorders>
            <w:noWrap/>
            <w:vAlign w:val="center"/>
          </w:tcPr>
          <w:p w14:paraId="7FA50244">
            <w:pPr>
              <w:jc w:val="center"/>
              <w:rPr>
                <w:rFonts w:hint="eastAsia" w:ascii="宋体" w:hAnsi="宋体" w:eastAsia="宋体" w:cs="宋体"/>
                <w:color w:val="auto"/>
                <w:sz w:val="24"/>
                <w:szCs w:val="24"/>
              </w:rPr>
            </w:pPr>
          </w:p>
        </w:tc>
        <w:tc>
          <w:tcPr>
            <w:tcW w:w="1347" w:type="dxa"/>
            <w:tcBorders>
              <w:top w:val="single" w:color="auto" w:sz="4" w:space="0"/>
              <w:left w:val="single" w:color="auto" w:sz="4" w:space="0"/>
              <w:right w:val="single" w:color="auto" w:sz="4" w:space="0"/>
            </w:tcBorders>
            <w:noWrap/>
            <w:vAlign w:val="center"/>
          </w:tcPr>
          <w:p w14:paraId="7911F23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质控方案</w:t>
            </w:r>
          </w:p>
        </w:tc>
        <w:tc>
          <w:tcPr>
            <w:tcW w:w="778" w:type="dxa"/>
            <w:tcBorders>
              <w:top w:val="single" w:color="auto" w:sz="4" w:space="0"/>
              <w:left w:val="single" w:color="auto" w:sz="4" w:space="0"/>
              <w:right w:val="single" w:color="auto" w:sz="4" w:space="0"/>
            </w:tcBorders>
            <w:noWrap/>
            <w:vAlign w:val="center"/>
          </w:tcPr>
          <w:p w14:paraId="2FEAF959">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6287" w:type="dxa"/>
            <w:tcBorders>
              <w:top w:val="single" w:color="auto" w:sz="4" w:space="0"/>
              <w:left w:val="single" w:color="auto" w:sz="4" w:space="0"/>
              <w:bottom w:val="single" w:color="auto" w:sz="4" w:space="0"/>
              <w:right w:val="single" w:color="auto" w:sz="4" w:space="0"/>
            </w:tcBorders>
            <w:noWrap/>
            <w:vAlign w:val="center"/>
          </w:tcPr>
          <w:p w14:paraId="7BE21B90">
            <w:pPr>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投标人按照技术规范需提供质控方案，方案内容应包含</w:t>
            </w:r>
            <w:r>
              <w:rPr>
                <w:rFonts w:hint="eastAsia" w:ascii="宋体" w:hAnsi="宋体" w:eastAsia="宋体" w:cs="宋体"/>
                <w:b/>
                <w:bCs/>
                <w:color w:val="auto"/>
                <w:sz w:val="24"/>
                <w:szCs w:val="24"/>
              </w:rPr>
              <w:t>质控措施、项目与频次</w:t>
            </w:r>
            <w:r>
              <w:rPr>
                <w:rFonts w:hint="eastAsia" w:ascii="宋体" w:hAnsi="宋体" w:eastAsia="宋体" w:cs="宋体"/>
                <w:color w:val="auto"/>
                <w:sz w:val="24"/>
                <w:szCs w:val="24"/>
              </w:rPr>
              <w:t>安排等。</w:t>
            </w:r>
          </w:p>
          <w:p w14:paraId="00705717">
            <w:pPr>
              <w:jc w:val="left"/>
              <w:rPr>
                <w:rFonts w:hint="eastAsia" w:ascii="宋体" w:hAnsi="宋体" w:eastAsia="宋体" w:cs="宋体"/>
                <w:color w:val="auto"/>
                <w:sz w:val="24"/>
                <w:szCs w:val="24"/>
              </w:rPr>
            </w:pPr>
            <w:r>
              <w:rPr>
                <w:rFonts w:hint="eastAsia" w:ascii="宋体" w:hAnsi="宋体" w:eastAsia="宋体" w:cs="宋体"/>
                <w:color w:val="auto"/>
                <w:sz w:val="24"/>
                <w:szCs w:val="24"/>
              </w:rPr>
              <w:t>完全满足本项目采购需求，能根据</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需求进行方案设计，制定的方案内容详细完整，有针对性、可行性强，得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p w14:paraId="35121E84">
            <w:pPr>
              <w:jc w:val="left"/>
              <w:rPr>
                <w:rFonts w:hint="eastAsia" w:ascii="宋体" w:hAnsi="宋体" w:eastAsia="宋体" w:cs="宋体"/>
                <w:color w:val="auto"/>
                <w:sz w:val="24"/>
                <w:szCs w:val="24"/>
              </w:rPr>
            </w:pPr>
            <w:r>
              <w:rPr>
                <w:rFonts w:hint="eastAsia" w:ascii="宋体" w:hAnsi="宋体" w:eastAsia="宋体" w:cs="宋体"/>
                <w:color w:val="auto"/>
                <w:sz w:val="24"/>
                <w:szCs w:val="24"/>
              </w:rPr>
              <w:t>基本满足本项目采购需求，制定的方案内容较为完整，方案具有针对性、可行性，得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p w14:paraId="1259D5A8">
            <w:pPr>
              <w:jc w:val="left"/>
              <w:rPr>
                <w:rFonts w:hint="eastAsia" w:ascii="宋体" w:hAnsi="宋体" w:eastAsia="宋体" w:cs="宋体"/>
                <w:color w:val="auto"/>
                <w:sz w:val="24"/>
                <w:szCs w:val="24"/>
              </w:rPr>
            </w:pPr>
            <w:r>
              <w:rPr>
                <w:rFonts w:hint="eastAsia" w:ascii="宋体" w:hAnsi="宋体" w:eastAsia="宋体" w:cs="宋体"/>
                <w:color w:val="auto"/>
                <w:sz w:val="24"/>
                <w:szCs w:val="24"/>
              </w:rPr>
              <w:t>制定的方案内容简略，针对性、可行性有待提升，得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50ABEF99">
            <w:pPr>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rPr>
              <w:t>未提供相关内容的不得分。</w:t>
            </w:r>
          </w:p>
        </w:tc>
      </w:tr>
      <w:tr w14:paraId="55450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Merge w:val="continue"/>
            <w:tcBorders>
              <w:left w:val="single" w:color="auto" w:sz="4" w:space="0"/>
              <w:right w:val="single" w:color="auto" w:sz="4" w:space="0"/>
            </w:tcBorders>
            <w:noWrap/>
            <w:vAlign w:val="center"/>
          </w:tcPr>
          <w:p w14:paraId="564BA03C">
            <w:pPr>
              <w:jc w:val="center"/>
              <w:rPr>
                <w:rFonts w:hint="eastAsia" w:ascii="宋体" w:hAnsi="宋体" w:eastAsia="宋体" w:cs="宋体"/>
                <w:color w:val="auto"/>
                <w:sz w:val="24"/>
                <w:szCs w:val="24"/>
              </w:rPr>
            </w:pPr>
          </w:p>
        </w:tc>
        <w:tc>
          <w:tcPr>
            <w:tcW w:w="972" w:type="dxa"/>
            <w:vMerge w:val="continue"/>
            <w:tcBorders>
              <w:left w:val="single" w:color="auto" w:sz="4" w:space="0"/>
              <w:right w:val="single" w:color="auto" w:sz="4" w:space="0"/>
            </w:tcBorders>
            <w:noWrap/>
            <w:vAlign w:val="center"/>
          </w:tcPr>
          <w:p w14:paraId="03C6BA2D">
            <w:pPr>
              <w:jc w:val="center"/>
              <w:rPr>
                <w:rFonts w:hint="eastAsia" w:ascii="宋体" w:hAnsi="宋体" w:eastAsia="宋体" w:cs="宋体"/>
                <w:color w:val="auto"/>
                <w:sz w:val="24"/>
                <w:szCs w:val="24"/>
              </w:rPr>
            </w:pPr>
          </w:p>
        </w:tc>
        <w:tc>
          <w:tcPr>
            <w:tcW w:w="1347" w:type="dxa"/>
            <w:tcBorders>
              <w:top w:val="single" w:color="auto" w:sz="4" w:space="0"/>
              <w:left w:val="single" w:color="auto" w:sz="4" w:space="0"/>
              <w:right w:val="single" w:color="auto" w:sz="4" w:space="0"/>
            </w:tcBorders>
            <w:noWrap/>
            <w:vAlign w:val="center"/>
          </w:tcPr>
          <w:p w14:paraId="3F599C2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数据审核及异常数据判断方案</w:t>
            </w:r>
          </w:p>
        </w:tc>
        <w:tc>
          <w:tcPr>
            <w:tcW w:w="778" w:type="dxa"/>
            <w:tcBorders>
              <w:top w:val="single" w:color="auto" w:sz="4" w:space="0"/>
              <w:left w:val="single" w:color="auto" w:sz="4" w:space="0"/>
              <w:right w:val="single" w:color="auto" w:sz="4" w:space="0"/>
            </w:tcBorders>
            <w:noWrap/>
            <w:vAlign w:val="center"/>
          </w:tcPr>
          <w:p w14:paraId="4044C0DF">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6287" w:type="dxa"/>
            <w:tcBorders>
              <w:top w:val="single" w:color="auto" w:sz="4" w:space="0"/>
              <w:left w:val="single" w:color="auto" w:sz="4" w:space="0"/>
              <w:bottom w:val="single" w:color="auto" w:sz="4" w:space="0"/>
              <w:right w:val="single" w:color="auto" w:sz="4" w:space="0"/>
            </w:tcBorders>
            <w:noWrap/>
            <w:vAlign w:val="center"/>
          </w:tcPr>
          <w:p w14:paraId="6C6CC70E">
            <w:pPr>
              <w:jc w:val="left"/>
              <w:rPr>
                <w:rFonts w:hint="eastAsia" w:ascii="宋体" w:hAnsi="宋体" w:eastAsia="宋体" w:cs="宋体"/>
                <w:color w:val="auto"/>
                <w:sz w:val="24"/>
                <w:szCs w:val="24"/>
              </w:rPr>
            </w:pPr>
            <w:r>
              <w:rPr>
                <w:rFonts w:hint="eastAsia" w:ascii="宋体" w:hAnsi="宋体" w:eastAsia="宋体" w:cs="宋体"/>
                <w:color w:val="auto"/>
                <w:sz w:val="24"/>
                <w:szCs w:val="24"/>
              </w:rPr>
              <w:t>根据投标供应商提供的方案，是否提供了多种具体可行的异常数据</w:t>
            </w:r>
            <w:r>
              <w:rPr>
                <w:rFonts w:hint="eastAsia" w:ascii="宋体" w:hAnsi="宋体" w:eastAsia="宋体" w:cs="宋体"/>
                <w:b/>
                <w:bCs/>
                <w:color w:val="auto"/>
                <w:sz w:val="24"/>
                <w:szCs w:val="24"/>
              </w:rPr>
              <w:t>判断方法</w:t>
            </w:r>
            <w:r>
              <w:rPr>
                <w:rFonts w:hint="eastAsia" w:ascii="宋体" w:hAnsi="宋体" w:eastAsia="宋体" w:cs="宋体"/>
                <w:color w:val="auto"/>
                <w:sz w:val="24"/>
                <w:szCs w:val="24"/>
              </w:rPr>
              <w:t>，是否系统地阐述判断方法和依据，是否提出切实可行的问题核查方法及</w:t>
            </w:r>
            <w:r>
              <w:rPr>
                <w:rFonts w:hint="eastAsia" w:ascii="宋体" w:hAnsi="宋体" w:eastAsia="宋体" w:cs="宋体"/>
                <w:b/>
                <w:bCs/>
                <w:color w:val="auto"/>
                <w:sz w:val="24"/>
                <w:szCs w:val="24"/>
              </w:rPr>
              <w:t>处理措施</w:t>
            </w:r>
            <w:r>
              <w:rPr>
                <w:rFonts w:hint="eastAsia" w:ascii="宋体" w:hAnsi="宋体" w:eastAsia="宋体" w:cs="宋体"/>
                <w:color w:val="auto"/>
                <w:sz w:val="24"/>
                <w:szCs w:val="24"/>
              </w:rPr>
              <w:t>，是否制定完善的工</w:t>
            </w:r>
            <w:r>
              <w:rPr>
                <w:rFonts w:hint="eastAsia" w:ascii="宋体" w:hAnsi="宋体" w:eastAsia="宋体" w:cs="宋体"/>
                <w:b/>
                <w:bCs/>
                <w:color w:val="auto"/>
                <w:sz w:val="24"/>
                <w:szCs w:val="24"/>
              </w:rPr>
              <w:t>作流程图</w:t>
            </w:r>
            <w:r>
              <w:rPr>
                <w:rFonts w:hint="eastAsia" w:ascii="宋体" w:hAnsi="宋体" w:eastAsia="宋体" w:cs="宋体"/>
                <w:color w:val="auto"/>
                <w:sz w:val="24"/>
                <w:szCs w:val="24"/>
              </w:rPr>
              <w:t>。</w:t>
            </w:r>
          </w:p>
          <w:p w14:paraId="6240119C">
            <w:pPr>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rPr>
              <w:t>完全满足上述要求，内容全面详细、可行性强的得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分；内容不全面的每缺一项扣1分，方案措施针对性不强的扣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p>
        </w:tc>
      </w:tr>
      <w:tr w14:paraId="2F73D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Merge w:val="continue"/>
            <w:tcBorders>
              <w:left w:val="single" w:color="auto" w:sz="4" w:space="0"/>
              <w:right w:val="single" w:color="auto" w:sz="4" w:space="0"/>
            </w:tcBorders>
            <w:noWrap/>
            <w:vAlign w:val="center"/>
          </w:tcPr>
          <w:p w14:paraId="42AC4A37">
            <w:pPr>
              <w:jc w:val="center"/>
              <w:rPr>
                <w:rFonts w:hint="eastAsia" w:ascii="宋体" w:hAnsi="宋体" w:eastAsia="宋体" w:cs="宋体"/>
                <w:color w:val="auto"/>
                <w:sz w:val="24"/>
                <w:szCs w:val="24"/>
              </w:rPr>
            </w:pPr>
          </w:p>
        </w:tc>
        <w:tc>
          <w:tcPr>
            <w:tcW w:w="972" w:type="dxa"/>
            <w:vMerge w:val="continue"/>
            <w:tcBorders>
              <w:left w:val="single" w:color="auto" w:sz="4" w:space="0"/>
              <w:right w:val="single" w:color="auto" w:sz="4" w:space="0"/>
            </w:tcBorders>
            <w:noWrap/>
            <w:vAlign w:val="center"/>
          </w:tcPr>
          <w:p w14:paraId="58DDC2BA">
            <w:pPr>
              <w:jc w:val="center"/>
              <w:rPr>
                <w:rFonts w:hint="eastAsia" w:ascii="宋体" w:hAnsi="宋体" w:eastAsia="宋体" w:cs="宋体"/>
                <w:color w:val="auto"/>
                <w:sz w:val="24"/>
                <w:szCs w:val="24"/>
              </w:rPr>
            </w:pPr>
          </w:p>
        </w:tc>
        <w:tc>
          <w:tcPr>
            <w:tcW w:w="1347" w:type="dxa"/>
            <w:tcBorders>
              <w:top w:val="single" w:color="auto" w:sz="4" w:space="0"/>
              <w:left w:val="single" w:color="auto" w:sz="4" w:space="0"/>
              <w:right w:val="single" w:color="auto" w:sz="4" w:space="0"/>
            </w:tcBorders>
            <w:noWrap/>
            <w:vAlign w:val="center"/>
          </w:tcPr>
          <w:p w14:paraId="7AA6B2F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交接方案</w:t>
            </w:r>
          </w:p>
        </w:tc>
        <w:tc>
          <w:tcPr>
            <w:tcW w:w="778" w:type="dxa"/>
            <w:tcBorders>
              <w:top w:val="single" w:color="auto" w:sz="4" w:space="0"/>
              <w:left w:val="single" w:color="auto" w:sz="4" w:space="0"/>
              <w:right w:val="single" w:color="auto" w:sz="4" w:space="0"/>
            </w:tcBorders>
            <w:noWrap/>
            <w:vAlign w:val="center"/>
          </w:tcPr>
          <w:p w14:paraId="7E808DE1">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6287" w:type="dxa"/>
            <w:tcBorders>
              <w:top w:val="single" w:color="auto" w:sz="4" w:space="0"/>
              <w:left w:val="single" w:color="auto" w:sz="4" w:space="0"/>
              <w:bottom w:val="single" w:color="auto" w:sz="4" w:space="0"/>
              <w:right w:val="single" w:color="auto" w:sz="4" w:space="0"/>
            </w:tcBorders>
            <w:noWrap/>
            <w:vAlign w:val="center"/>
          </w:tcPr>
          <w:p w14:paraId="6E72C40F">
            <w:pPr>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rPr>
              <w:t>在本项目合同期满后，投标人需保证所有仪器设备符合本标书中的技术要求，并将站点完整交接给下一家运维服务单位。投标人应在投标文件中对交接方案进行简单描述，包含</w:t>
            </w:r>
            <w:r>
              <w:rPr>
                <w:rFonts w:hint="eastAsia" w:ascii="宋体" w:hAnsi="宋体" w:eastAsia="宋体" w:cs="宋体"/>
                <w:b/>
                <w:bCs/>
                <w:color w:val="auto"/>
                <w:sz w:val="24"/>
                <w:szCs w:val="24"/>
              </w:rPr>
              <w:t>交接责任人</w:t>
            </w:r>
            <w:r>
              <w:rPr>
                <w:rFonts w:hint="eastAsia" w:ascii="宋体" w:hAnsi="宋体" w:eastAsia="宋体" w:cs="宋体"/>
                <w:color w:val="auto"/>
                <w:sz w:val="24"/>
                <w:szCs w:val="24"/>
              </w:rPr>
              <w:t>、交接</w:t>
            </w:r>
            <w:r>
              <w:rPr>
                <w:rFonts w:hint="eastAsia" w:ascii="宋体" w:hAnsi="宋体" w:eastAsia="宋体" w:cs="宋体"/>
                <w:b/>
                <w:bCs/>
                <w:color w:val="auto"/>
                <w:sz w:val="24"/>
                <w:szCs w:val="24"/>
              </w:rPr>
              <w:t>进度安排</w:t>
            </w:r>
            <w:r>
              <w:rPr>
                <w:rFonts w:hint="eastAsia" w:ascii="宋体" w:hAnsi="宋体" w:eastAsia="宋体" w:cs="宋体"/>
                <w:color w:val="auto"/>
                <w:sz w:val="24"/>
                <w:szCs w:val="24"/>
              </w:rPr>
              <w:t>、交接</w:t>
            </w:r>
            <w:r>
              <w:rPr>
                <w:rFonts w:hint="eastAsia" w:ascii="宋体" w:hAnsi="宋体" w:eastAsia="宋体" w:cs="宋体"/>
                <w:b/>
                <w:bCs/>
                <w:color w:val="auto"/>
                <w:sz w:val="24"/>
                <w:szCs w:val="24"/>
              </w:rPr>
              <w:t>保障措施</w:t>
            </w:r>
            <w:r>
              <w:rPr>
                <w:rFonts w:hint="eastAsia" w:ascii="宋体" w:hAnsi="宋体" w:eastAsia="宋体" w:cs="宋体"/>
                <w:color w:val="auto"/>
                <w:sz w:val="24"/>
                <w:szCs w:val="24"/>
              </w:rPr>
              <w:t>、交接</w:t>
            </w:r>
            <w:r>
              <w:rPr>
                <w:rFonts w:hint="eastAsia" w:ascii="宋体" w:hAnsi="宋体" w:eastAsia="宋体" w:cs="宋体"/>
                <w:b/>
                <w:bCs/>
                <w:color w:val="auto"/>
                <w:sz w:val="24"/>
                <w:szCs w:val="24"/>
              </w:rPr>
              <w:t>承诺函</w:t>
            </w:r>
            <w:r>
              <w:rPr>
                <w:rFonts w:hint="eastAsia" w:ascii="宋体" w:hAnsi="宋体" w:eastAsia="宋体" w:cs="宋体"/>
                <w:color w:val="auto"/>
                <w:sz w:val="24"/>
                <w:szCs w:val="24"/>
              </w:rPr>
              <w:t>。交接方案包含内容全面、切实可行、措施针对性强的得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分，有偏差或不符合本项目实际情况的得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分，未提供承诺函的不得分。</w:t>
            </w:r>
          </w:p>
        </w:tc>
      </w:tr>
      <w:tr w14:paraId="60DF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Merge w:val="continue"/>
            <w:tcBorders>
              <w:left w:val="single" w:color="auto" w:sz="4" w:space="0"/>
              <w:right w:val="single" w:color="auto" w:sz="4" w:space="0"/>
            </w:tcBorders>
            <w:noWrap/>
            <w:vAlign w:val="center"/>
          </w:tcPr>
          <w:p w14:paraId="2F0F1D89">
            <w:pPr>
              <w:jc w:val="center"/>
              <w:rPr>
                <w:rFonts w:hint="eastAsia" w:ascii="宋体" w:hAnsi="宋体" w:eastAsia="宋体" w:cs="宋体"/>
                <w:color w:val="auto"/>
                <w:sz w:val="24"/>
                <w:szCs w:val="24"/>
              </w:rPr>
            </w:pPr>
          </w:p>
        </w:tc>
        <w:tc>
          <w:tcPr>
            <w:tcW w:w="972" w:type="dxa"/>
            <w:vMerge w:val="continue"/>
            <w:tcBorders>
              <w:left w:val="single" w:color="auto" w:sz="4" w:space="0"/>
              <w:right w:val="single" w:color="auto" w:sz="4" w:space="0"/>
            </w:tcBorders>
            <w:noWrap/>
            <w:vAlign w:val="center"/>
          </w:tcPr>
          <w:p w14:paraId="5D003AFD">
            <w:pPr>
              <w:jc w:val="center"/>
              <w:rPr>
                <w:rFonts w:hint="eastAsia" w:ascii="宋体" w:hAnsi="宋体" w:eastAsia="宋体" w:cs="宋体"/>
                <w:color w:val="auto"/>
                <w:sz w:val="24"/>
                <w:szCs w:val="24"/>
              </w:rPr>
            </w:pPr>
          </w:p>
        </w:tc>
        <w:tc>
          <w:tcPr>
            <w:tcW w:w="1347" w:type="dxa"/>
            <w:tcBorders>
              <w:top w:val="single" w:color="auto" w:sz="4" w:space="0"/>
              <w:left w:val="single" w:color="auto" w:sz="4" w:space="0"/>
              <w:right w:val="single" w:color="auto" w:sz="4" w:space="0"/>
            </w:tcBorders>
            <w:noWrap/>
            <w:vAlign w:val="center"/>
          </w:tcPr>
          <w:p w14:paraId="0F1FC8A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应急预案</w:t>
            </w:r>
          </w:p>
        </w:tc>
        <w:tc>
          <w:tcPr>
            <w:tcW w:w="778" w:type="dxa"/>
            <w:tcBorders>
              <w:top w:val="single" w:color="auto" w:sz="4" w:space="0"/>
              <w:left w:val="single" w:color="auto" w:sz="4" w:space="0"/>
              <w:right w:val="single" w:color="auto" w:sz="4" w:space="0"/>
            </w:tcBorders>
            <w:noWrap/>
            <w:vAlign w:val="center"/>
          </w:tcPr>
          <w:p w14:paraId="555C5F5F">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6287" w:type="dxa"/>
            <w:tcBorders>
              <w:top w:val="single" w:color="auto" w:sz="4" w:space="0"/>
              <w:left w:val="single" w:color="auto" w:sz="4" w:space="0"/>
              <w:bottom w:val="single" w:color="auto" w:sz="4" w:space="0"/>
              <w:right w:val="single" w:color="auto" w:sz="4" w:space="0"/>
            </w:tcBorders>
            <w:noWrap/>
            <w:vAlign w:val="center"/>
          </w:tcPr>
          <w:p w14:paraId="765B4773">
            <w:pPr>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供应商对可能发生的问题，编制突发事件的应急预案，预案应尽量罗列可能发生的（如停电、设备故障、站房损坏等）</w:t>
            </w:r>
            <w:r>
              <w:rPr>
                <w:rFonts w:hint="eastAsia" w:ascii="宋体" w:hAnsi="宋体" w:eastAsia="宋体" w:cs="宋体"/>
                <w:b/>
                <w:bCs/>
                <w:color w:val="auto"/>
                <w:sz w:val="24"/>
                <w:szCs w:val="24"/>
              </w:rPr>
              <w:t>突发问题</w:t>
            </w:r>
            <w:r>
              <w:rPr>
                <w:rFonts w:hint="eastAsia" w:ascii="宋体" w:hAnsi="宋体" w:eastAsia="宋体" w:cs="宋体"/>
                <w:color w:val="auto"/>
                <w:sz w:val="24"/>
                <w:szCs w:val="24"/>
              </w:rPr>
              <w:t>，明确应急小组成员，确定</w:t>
            </w:r>
            <w:r>
              <w:rPr>
                <w:rFonts w:hint="eastAsia" w:ascii="宋体" w:hAnsi="宋体" w:eastAsia="宋体" w:cs="宋体"/>
                <w:b w:val="0"/>
                <w:bCs w:val="0"/>
                <w:color w:val="auto"/>
                <w:sz w:val="24"/>
                <w:szCs w:val="24"/>
              </w:rPr>
              <w:t>应急</w:t>
            </w:r>
            <w:r>
              <w:rPr>
                <w:rFonts w:hint="eastAsia" w:ascii="宋体" w:hAnsi="宋体" w:eastAsia="宋体" w:cs="宋体"/>
                <w:b/>
                <w:bCs/>
                <w:color w:val="auto"/>
                <w:sz w:val="24"/>
                <w:szCs w:val="24"/>
              </w:rPr>
              <w:t>响应时间</w:t>
            </w:r>
            <w:r>
              <w:rPr>
                <w:rFonts w:hint="eastAsia" w:ascii="宋体" w:hAnsi="宋体" w:eastAsia="宋体" w:cs="宋体"/>
                <w:color w:val="auto"/>
                <w:sz w:val="24"/>
                <w:szCs w:val="24"/>
              </w:rPr>
              <w:t>，提出针对性</w:t>
            </w:r>
            <w:r>
              <w:rPr>
                <w:rFonts w:hint="eastAsia" w:ascii="宋体" w:hAnsi="宋体" w:eastAsia="宋体" w:cs="宋体"/>
                <w:b/>
                <w:bCs/>
                <w:color w:val="auto"/>
                <w:sz w:val="24"/>
                <w:szCs w:val="24"/>
              </w:rPr>
              <w:t>应急措施</w:t>
            </w:r>
            <w:r>
              <w:rPr>
                <w:rFonts w:hint="eastAsia" w:ascii="宋体" w:hAnsi="宋体" w:eastAsia="宋体" w:cs="宋体"/>
                <w:color w:val="auto"/>
                <w:sz w:val="24"/>
                <w:szCs w:val="24"/>
              </w:rPr>
              <w:t>。</w:t>
            </w:r>
          </w:p>
          <w:p w14:paraId="18993EF8">
            <w:pPr>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rPr>
              <w:t>应急预案包含内容全面、措施针对性强的得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分，内容不全面的每缺一项扣</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分，方案措施针对性不强的扣2分。</w:t>
            </w:r>
          </w:p>
        </w:tc>
      </w:tr>
      <w:tr w14:paraId="227DA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Merge w:val="continue"/>
            <w:tcBorders>
              <w:left w:val="single" w:color="auto" w:sz="4" w:space="0"/>
              <w:right w:val="single" w:color="auto" w:sz="4" w:space="0"/>
            </w:tcBorders>
            <w:noWrap/>
            <w:vAlign w:val="center"/>
          </w:tcPr>
          <w:p w14:paraId="6997BE24">
            <w:pPr>
              <w:jc w:val="center"/>
              <w:rPr>
                <w:rFonts w:hint="eastAsia" w:ascii="宋体" w:hAnsi="宋体" w:eastAsia="宋体" w:cs="宋体"/>
                <w:color w:val="auto"/>
                <w:sz w:val="24"/>
                <w:szCs w:val="24"/>
              </w:rPr>
            </w:pPr>
          </w:p>
        </w:tc>
        <w:tc>
          <w:tcPr>
            <w:tcW w:w="972" w:type="dxa"/>
            <w:vMerge w:val="continue"/>
            <w:tcBorders>
              <w:left w:val="single" w:color="auto" w:sz="4" w:space="0"/>
              <w:right w:val="single" w:color="auto" w:sz="4" w:space="0"/>
            </w:tcBorders>
            <w:noWrap/>
            <w:vAlign w:val="center"/>
          </w:tcPr>
          <w:p w14:paraId="769D7208">
            <w:pPr>
              <w:jc w:val="center"/>
              <w:rPr>
                <w:rFonts w:hint="eastAsia" w:ascii="宋体" w:hAnsi="宋体" w:eastAsia="宋体" w:cs="宋体"/>
                <w:color w:val="auto"/>
                <w:sz w:val="24"/>
                <w:szCs w:val="24"/>
              </w:rPr>
            </w:pPr>
          </w:p>
        </w:tc>
        <w:tc>
          <w:tcPr>
            <w:tcW w:w="1347" w:type="dxa"/>
            <w:tcBorders>
              <w:top w:val="single" w:color="auto" w:sz="4" w:space="0"/>
              <w:left w:val="single" w:color="auto" w:sz="4" w:space="0"/>
              <w:right w:val="single" w:color="auto" w:sz="4" w:space="0"/>
            </w:tcBorders>
            <w:noWrap/>
            <w:vAlign w:val="center"/>
          </w:tcPr>
          <w:p w14:paraId="4B86E81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运维服务质量保证</w:t>
            </w:r>
          </w:p>
        </w:tc>
        <w:tc>
          <w:tcPr>
            <w:tcW w:w="778" w:type="dxa"/>
            <w:tcBorders>
              <w:top w:val="single" w:color="auto" w:sz="4" w:space="0"/>
              <w:left w:val="single" w:color="auto" w:sz="4" w:space="0"/>
              <w:right w:val="single" w:color="auto" w:sz="4" w:space="0"/>
            </w:tcBorders>
            <w:noWrap/>
            <w:vAlign w:val="center"/>
          </w:tcPr>
          <w:p w14:paraId="33F0B3D1">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6287" w:type="dxa"/>
            <w:tcBorders>
              <w:top w:val="single" w:color="auto" w:sz="4" w:space="0"/>
              <w:left w:val="single" w:color="auto" w:sz="4" w:space="0"/>
              <w:bottom w:val="single" w:color="auto" w:sz="4" w:space="0"/>
              <w:right w:val="single" w:color="auto" w:sz="4" w:space="0"/>
            </w:tcBorders>
            <w:noWrap/>
            <w:vAlign w:val="center"/>
          </w:tcPr>
          <w:p w14:paraId="58AD7FC4">
            <w:pPr>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投标供应商需具有与站点相匹配的SO2、NOx、CO、O3、PM2.5、PM10六项指标自动监测仪器备机，此项满分为</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分，不提供不得分。</w:t>
            </w:r>
            <w:r>
              <w:rPr>
                <w:rFonts w:hint="eastAsia" w:ascii="宋体" w:hAnsi="宋体" w:eastAsia="宋体" w:cs="宋体"/>
                <w:b/>
                <w:bCs/>
                <w:color w:val="auto"/>
                <w:sz w:val="24"/>
                <w:szCs w:val="24"/>
                <w:highlight w:val="none"/>
              </w:rPr>
              <w:t>注：需提供以下证明材料，否则不得分：①提供备机的采购</w:t>
            </w:r>
            <w:r>
              <w:rPr>
                <w:rFonts w:hint="eastAsia" w:ascii="宋体" w:hAnsi="宋体" w:cs="宋体"/>
                <w:b/>
                <w:bCs/>
                <w:color w:val="auto"/>
                <w:sz w:val="24"/>
                <w:szCs w:val="24"/>
                <w:highlight w:val="none"/>
                <w:lang w:val="en-US" w:eastAsia="zh-CN"/>
              </w:rPr>
              <w:t>或租赁合同</w:t>
            </w:r>
            <w:r>
              <w:rPr>
                <w:rFonts w:hint="eastAsia" w:ascii="宋体" w:hAnsi="宋体" w:eastAsia="宋体" w:cs="宋体"/>
                <w:b/>
                <w:bCs/>
                <w:color w:val="auto"/>
                <w:sz w:val="24"/>
                <w:szCs w:val="24"/>
                <w:highlight w:val="none"/>
                <w:lang w:val="en-US" w:eastAsia="zh-CN"/>
              </w:rPr>
              <w:t>扫描</w:t>
            </w:r>
            <w:r>
              <w:rPr>
                <w:rFonts w:hint="eastAsia" w:ascii="宋体" w:hAnsi="宋体" w:eastAsia="宋体" w:cs="宋体"/>
                <w:b/>
                <w:bCs/>
                <w:color w:val="auto"/>
                <w:sz w:val="24"/>
                <w:szCs w:val="24"/>
                <w:highlight w:val="none"/>
              </w:rPr>
              <w:t>件加盖公章（如为投标人自产产品可无需提供）；②提供备机配置情况清单：包括但不限于备机种类、数量、品牌、型号、来源、原理等；③提供备机有效期内的适用性检测证书</w:t>
            </w:r>
            <w:r>
              <w:rPr>
                <w:rFonts w:hint="eastAsia" w:ascii="宋体" w:hAnsi="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lang w:eastAsia="zh-CN"/>
              </w:rPr>
              <w:t>。</w:t>
            </w:r>
          </w:p>
        </w:tc>
      </w:tr>
      <w:tr w14:paraId="6918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Merge w:val="restart"/>
            <w:tcBorders>
              <w:left w:val="single" w:color="auto" w:sz="4" w:space="0"/>
              <w:right w:val="single" w:color="auto" w:sz="4" w:space="0"/>
            </w:tcBorders>
            <w:noWrap/>
            <w:vAlign w:val="center"/>
          </w:tcPr>
          <w:p w14:paraId="62137877">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972" w:type="dxa"/>
            <w:vMerge w:val="restart"/>
            <w:tcBorders>
              <w:left w:val="single" w:color="auto" w:sz="4" w:space="0"/>
              <w:right w:val="single" w:color="auto" w:sz="4" w:space="0"/>
            </w:tcBorders>
            <w:noWrap/>
            <w:vAlign w:val="center"/>
          </w:tcPr>
          <w:p w14:paraId="2ACC6E1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履约能力（</w:t>
            </w: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分）</w:t>
            </w:r>
          </w:p>
        </w:tc>
        <w:tc>
          <w:tcPr>
            <w:tcW w:w="1347" w:type="dxa"/>
            <w:tcBorders>
              <w:top w:val="single" w:color="auto" w:sz="4" w:space="0"/>
              <w:left w:val="single" w:color="auto" w:sz="4" w:space="0"/>
              <w:right w:val="single" w:color="auto" w:sz="4" w:space="0"/>
            </w:tcBorders>
            <w:noWrap/>
            <w:vAlign w:val="center"/>
          </w:tcPr>
          <w:p w14:paraId="04312E9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体系认证</w:t>
            </w:r>
          </w:p>
        </w:tc>
        <w:tc>
          <w:tcPr>
            <w:tcW w:w="778" w:type="dxa"/>
            <w:tcBorders>
              <w:top w:val="single" w:color="auto" w:sz="4" w:space="0"/>
              <w:left w:val="single" w:color="auto" w:sz="4" w:space="0"/>
              <w:bottom w:val="single" w:color="auto" w:sz="4" w:space="0"/>
              <w:right w:val="single" w:color="auto" w:sz="4" w:space="0"/>
            </w:tcBorders>
            <w:noWrap/>
            <w:vAlign w:val="center"/>
          </w:tcPr>
          <w:p w14:paraId="445D0B66">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6287" w:type="dxa"/>
            <w:tcBorders>
              <w:top w:val="single" w:color="auto" w:sz="4" w:space="0"/>
              <w:left w:val="single" w:color="auto" w:sz="4" w:space="0"/>
              <w:bottom w:val="single" w:color="auto" w:sz="4" w:space="0"/>
              <w:right w:val="single" w:color="auto" w:sz="4" w:space="0"/>
            </w:tcBorders>
            <w:noWrap/>
            <w:vAlign w:val="center"/>
          </w:tcPr>
          <w:p w14:paraId="5216FF27">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投标人具有经中国国家认证认可监督管理委员会认可的认证机构颁发的质量管理体系认证证书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环境管理体系认证证书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职业健康安全管理体系认证证书，</w:t>
            </w:r>
            <w:r>
              <w:rPr>
                <w:rFonts w:hint="eastAsia" w:ascii="宋体" w:hAnsi="宋体" w:eastAsia="宋体" w:cs="宋体"/>
                <w:color w:val="auto"/>
                <w:sz w:val="24"/>
                <w:szCs w:val="24"/>
                <w:highlight w:val="none"/>
                <w:lang w:val="en-US" w:eastAsia="zh-CN"/>
              </w:rPr>
              <w:t>每提供一项得</w:t>
            </w:r>
            <w:r>
              <w:rPr>
                <w:rFonts w:hint="eastAsia" w:ascii="宋体" w:hAnsi="宋体" w:eastAsia="宋体" w:cs="宋体"/>
                <w:color w:val="auto"/>
                <w:sz w:val="24"/>
                <w:szCs w:val="24"/>
                <w:highlight w:val="none"/>
              </w:rPr>
              <w:t>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本项最高得3分</w:t>
            </w:r>
          </w:p>
          <w:p w14:paraId="5AAAC5B3">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b/>
                <w:bCs/>
                <w:color w:val="auto"/>
                <w:sz w:val="24"/>
                <w:szCs w:val="24"/>
                <w:highlight w:val="none"/>
                <w:lang w:val="en-US" w:eastAsia="zh-CN"/>
              </w:rPr>
              <w:t>投标时</w:t>
            </w:r>
            <w:r>
              <w:rPr>
                <w:rFonts w:hint="eastAsia" w:ascii="宋体" w:hAnsi="宋体" w:eastAsia="宋体" w:cs="宋体"/>
                <w:b/>
                <w:bCs/>
                <w:color w:val="auto"/>
                <w:sz w:val="24"/>
                <w:szCs w:val="24"/>
                <w:highlight w:val="none"/>
              </w:rPr>
              <w:t>提供的有效证书及官网证书信息查询截图</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未提供不得分</w:t>
            </w:r>
            <w:r>
              <w:rPr>
                <w:rFonts w:hint="eastAsia" w:ascii="宋体" w:hAnsi="宋体" w:eastAsia="宋体" w:cs="宋体"/>
                <w:b/>
                <w:bCs/>
                <w:color w:val="auto"/>
                <w:sz w:val="24"/>
                <w:szCs w:val="24"/>
                <w:highlight w:val="none"/>
              </w:rPr>
              <w:t>。</w:t>
            </w:r>
          </w:p>
        </w:tc>
      </w:tr>
      <w:tr w14:paraId="23CEE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Merge w:val="continue"/>
            <w:tcBorders>
              <w:left w:val="single" w:color="auto" w:sz="4" w:space="0"/>
              <w:right w:val="single" w:color="auto" w:sz="4" w:space="0"/>
            </w:tcBorders>
            <w:noWrap/>
            <w:vAlign w:val="center"/>
          </w:tcPr>
          <w:p w14:paraId="151DDD2C">
            <w:pPr>
              <w:jc w:val="center"/>
              <w:rPr>
                <w:rFonts w:hint="eastAsia" w:ascii="宋体" w:hAnsi="宋体" w:eastAsia="宋体" w:cs="宋体"/>
                <w:color w:val="auto"/>
                <w:sz w:val="24"/>
                <w:szCs w:val="24"/>
              </w:rPr>
            </w:pPr>
          </w:p>
        </w:tc>
        <w:tc>
          <w:tcPr>
            <w:tcW w:w="972" w:type="dxa"/>
            <w:vMerge w:val="continue"/>
            <w:tcBorders>
              <w:left w:val="single" w:color="auto" w:sz="4" w:space="0"/>
              <w:right w:val="single" w:color="auto" w:sz="4" w:space="0"/>
            </w:tcBorders>
            <w:noWrap/>
            <w:vAlign w:val="center"/>
          </w:tcPr>
          <w:p w14:paraId="40521C40">
            <w:pPr>
              <w:jc w:val="center"/>
              <w:rPr>
                <w:rFonts w:hint="eastAsia" w:ascii="宋体" w:hAnsi="宋体" w:eastAsia="宋体" w:cs="宋体"/>
                <w:color w:val="auto"/>
                <w:sz w:val="24"/>
                <w:szCs w:val="24"/>
              </w:rPr>
            </w:pPr>
          </w:p>
        </w:tc>
        <w:tc>
          <w:tcPr>
            <w:tcW w:w="1347" w:type="dxa"/>
            <w:tcBorders>
              <w:top w:val="single" w:color="auto" w:sz="4" w:space="0"/>
              <w:left w:val="single" w:color="auto" w:sz="4" w:space="0"/>
              <w:right w:val="single" w:color="auto" w:sz="4" w:space="0"/>
            </w:tcBorders>
            <w:noWrap/>
            <w:vAlign w:val="center"/>
          </w:tcPr>
          <w:p w14:paraId="6F68807D">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业绩能力</w:t>
            </w:r>
          </w:p>
        </w:tc>
        <w:tc>
          <w:tcPr>
            <w:tcW w:w="778" w:type="dxa"/>
            <w:tcBorders>
              <w:top w:val="single" w:color="auto" w:sz="4" w:space="0"/>
              <w:left w:val="single" w:color="auto" w:sz="4" w:space="0"/>
              <w:bottom w:val="single" w:color="auto" w:sz="4" w:space="0"/>
              <w:right w:val="single" w:color="auto" w:sz="4" w:space="0"/>
            </w:tcBorders>
            <w:noWrap/>
            <w:vAlign w:val="center"/>
          </w:tcPr>
          <w:p w14:paraId="28730349">
            <w:pPr>
              <w:jc w:val="center"/>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9</w:t>
            </w:r>
          </w:p>
        </w:tc>
        <w:tc>
          <w:tcPr>
            <w:tcW w:w="628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E90151">
            <w:pPr>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w:t>
            </w:r>
            <w:r>
              <w:rPr>
                <w:rFonts w:hint="eastAsia" w:ascii="宋体" w:hAnsi="宋体" w:eastAsia="宋体" w:cs="宋体"/>
                <w:color w:val="auto"/>
                <w:sz w:val="24"/>
                <w:szCs w:val="24"/>
                <w:lang w:val="en-US" w:eastAsia="zh-CN"/>
              </w:rPr>
              <w:t>提供</w:t>
            </w:r>
            <w:r>
              <w:rPr>
                <w:rFonts w:hint="eastAsia" w:ascii="宋体" w:hAnsi="宋体" w:eastAsia="宋体" w:cs="宋体"/>
                <w:color w:val="auto"/>
                <w:sz w:val="24"/>
                <w:szCs w:val="24"/>
              </w:rPr>
              <w:t>自202</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年1月1日</w:t>
            </w:r>
            <w:r>
              <w:rPr>
                <w:rFonts w:hint="eastAsia" w:ascii="宋体" w:hAnsi="宋体" w:eastAsia="宋体" w:cs="宋体"/>
                <w:color w:val="auto"/>
                <w:sz w:val="24"/>
                <w:szCs w:val="24"/>
                <w:lang w:val="en-US" w:eastAsia="zh-CN"/>
              </w:rPr>
              <w:t>以来</w:t>
            </w:r>
            <w:r>
              <w:rPr>
                <w:rFonts w:hint="eastAsia" w:ascii="宋体" w:hAnsi="宋体" w:eastAsia="宋体" w:cs="宋体"/>
                <w:color w:val="auto"/>
                <w:sz w:val="24"/>
                <w:szCs w:val="24"/>
              </w:rPr>
              <w:t>（以合同签署日期为准）具有此类环境空气质量自动监测站点运维服务类似业绩的，每提供一份得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分，满分</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分。</w:t>
            </w:r>
          </w:p>
          <w:p w14:paraId="7BC36ED9">
            <w:pPr>
              <w:jc w:val="left"/>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rPr>
              <w:t>投标时</w:t>
            </w:r>
            <w:r>
              <w:rPr>
                <w:rFonts w:hint="eastAsia" w:ascii="宋体" w:hAnsi="宋体" w:eastAsia="宋体" w:cs="宋体"/>
                <w:b/>
                <w:bCs/>
                <w:color w:val="auto"/>
                <w:sz w:val="24"/>
                <w:szCs w:val="24"/>
              </w:rPr>
              <w:t>提供合同扫描件。未提供不得分</w:t>
            </w:r>
            <w:r>
              <w:rPr>
                <w:rFonts w:hint="eastAsia" w:ascii="宋体" w:hAnsi="宋体" w:eastAsia="宋体" w:cs="宋体"/>
                <w:b/>
                <w:bCs/>
                <w:color w:val="auto"/>
                <w:sz w:val="24"/>
                <w:szCs w:val="24"/>
                <w:lang w:eastAsia="zh-CN"/>
              </w:rPr>
              <w:t>。</w:t>
            </w:r>
          </w:p>
        </w:tc>
      </w:tr>
      <w:tr w14:paraId="6A58E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Merge w:val="continue"/>
            <w:tcBorders>
              <w:left w:val="single" w:color="auto" w:sz="4" w:space="0"/>
              <w:right w:val="single" w:color="auto" w:sz="4" w:space="0"/>
            </w:tcBorders>
            <w:noWrap/>
            <w:vAlign w:val="center"/>
          </w:tcPr>
          <w:p w14:paraId="01AA80D6">
            <w:pPr>
              <w:jc w:val="center"/>
              <w:rPr>
                <w:rFonts w:hint="eastAsia" w:ascii="宋体" w:hAnsi="宋体" w:eastAsia="宋体" w:cs="宋体"/>
                <w:color w:val="auto"/>
                <w:sz w:val="24"/>
                <w:szCs w:val="24"/>
              </w:rPr>
            </w:pPr>
          </w:p>
        </w:tc>
        <w:tc>
          <w:tcPr>
            <w:tcW w:w="972" w:type="dxa"/>
            <w:vMerge w:val="continue"/>
            <w:tcBorders>
              <w:left w:val="single" w:color="auto" w:sz="4" w:space="0"/>
              <w:right w:val="single" w:color="auto" w:sz="4" w:space="0"/>
            </w:tcBorders>
            <w:noWrap/>
            <w:vAlign w:val="center"/>
          </w:tcPr>
          <w:p w14:paraId="511BDA82">
            <w:pPr>
              <w:jc w:val="center"/>
              <w:rPr>
                <w:rFonts w:hint="eastAsia" w:ascii="宋体" w:hAnsi="宋体" w:eastAsia="宋体" w:cs="宋体"/>
                <w:color w:val="auto"/>
                <w:sz w:val="24"/>
                <w:szCs w:val="24"/>
              </w:rPr>
            </w:pPr>
          </w:p>
        </w:tc>
        <w:tc>
          <w:tcPr>
            <w:tcW w:w="1347" w:type="dxa"/>
            <w:tcBorders>
              <w:top w:val="single" w:color="auto" w:sz="4" w:space="0"/>
              <w:left w:val="single" w:color="auto" w:sz="4" w:space="0"/>
              <w:right w:val="single" w:color="auto" w:sz="4" w:space="0"/>
            </w:tcBorders>
            <w:noWrap/>
            <w:vAlign w:val="center"/>
          </w:tcPr>
          <w:p w14:paraId="4B8FF0E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车辆配备情况</w:t>
            </w:r>
          </w:p>
        </w:tc>
        <w:tc>
          <w:tcPr>
            <w:tcW w:w="778" w:type="dxa"/>
            <w:tcBorders>
              <w:top w:val="single" w:color="auto" w:sz="4" w:space="0"/>
              <w:left w:val="single" w:color="auto" w:sz="4" w:space="0"/>
              <w:bottom w:val="single" w:color="auto" w:sz="4" w:space="0"/>
              <w:right w:val="single" w:color="auto" w:sz="4" w:space="0"/>
            </w:tcBorders>
            <w:noWrap/>
            <w:vAlign w:val="center"/>
          </w:tcPr>
          <w:p w14:paraId="4E5788D9">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6287" w:type="dxa"/>
            <w:tcBorders>
              <w:top w:val="single" w:color="auto" w:sz="4" w:space="0"/>
              <w:left w:val="single" w:color="auto" w:sz="4" w:space="0"/>
              <w:bottom w:val="single" w:color="auto" w:sz="4" w:space="0"/>
              <w:right w:val="single" w:color="auto" w:sz="4" w:space="0"/>
            </w:tcBorders>
            <w:noWrap/>
            <w:vAlign w:val="center"/>
          </w:tcPr>
          <w:p w14:paraId="326FC1C4">
            <w:pPr>
              <w:jc w:val="left"/>
              <w:rPr>
                <w:rFonts w:hint="eastAsia" w:ascii="宋体" w:hAnsi="宋体" w:eastAsia="宋体" w:cs="宋体"/>
                <w:color w:val="auto"/>
                <w:sz w:val="24"/>
                <w:szCs w:val="24"/>
              </w:rPr>
            </w:pPr>
            <w:r>
              <w:rPr>
                <w:rFonts w:hint="eastAsia" w:ascii="宋体" w:hAnsi="宋体" w:eastAsia="宋体" w:cs="宋体"/>
                <w:color w:val="auto"/>
                <w:sz w:val="24"/>
                <w:szCs w:val="24"/>
              </w:rPr>
              <w:t>运维用车基础配备要求</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辆，得分；满足基础要求后，增加1辆运维用车，再加</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分。满分</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r>
              <w:rPr>
                <w:rFonts w:hint="eastAsia" w:ascii="宋体" w:hAnsi="宋体" w:eastAsia="宋体" w:cs="宋体"/>
                <w:b/>
                <w:bCs/>
                <w:color w:val="auto"/>
                <w:sz w:val="24"/>
                <w:szCs w:val="24"/>
                <w:lang w:val="en-US" w:eastAsia="zh-CN"/>
              </w:rPr>
              <w:t>投标时</w:t>
            </w:r>
            <w:r>
              <w:rPr>
                <w:rFonts w:hint="eastAsia" w:ascii="宋体" w:hAnsi="宋体" w:eastAsia="宋体" w:cs="宋体"/>
                <w:b/>
                <w:bCs/>
                <w:color w:val="auto"/>
                <w:sz w:val="24"/>
                <w:szCs w:val="24"/>
              </w:rPr>
              <w:t>提供车辆保障承诺函</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承诺函格式自拟</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，未提供不得分。</w:t>
            </w:r>
          </w:p>
        </w:tc>
      </w:tr>
      <w:tr w14:paraId="7DD12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vMerge w:val="continue"/>
            <w:tcBorders>
              <w:left w:val="single" w:color="auto" w:sz="4" w:space="0"/>
              <w:right w:val="single" w:color="auto" w:sz="4" w:space="0"/>
            </w:tcBorders>
            <w:noWrap/>
            <w:vAlign w:val="center"/>
          </w:tcPr>
          <w:p w14:paraId="3918558E">
            <w:pPr>
              <w:jc w:val="center"/>
              <w:rPr>
                <w:rFonts w:hint="eastAsia" w:ascii="宋体" w:hAnsi="宋体" w:eastAsia="宋体" w:cs="宋体"/>
                <w:color w:val="auto"/>
                <w:sz w:val="24"/>
                <w:szCs w:val="24"/>
              </w:rPr>
            </w:pPr>
          </w:p>
        </w:tc>
        <w:tc>
          <w:tcPr>
            <w:tcW w:w="972" w:type="dxa"/>
            <w:vMerge w:val="continue"/>
            <w:tcBorders>
              <w:left w:val="single" w:color="auto" w:sz="4" w:space="0"/>
              <w:right w:val="single" w:color="auto" w:sz="4" w:space="0"/>
            </w:tcBorders>
            <w:noWrap/>
            <w:vAlign w:val="center"/>
          </w:tcPr>
          <w:p w14:paraId="5B4E8DFB">
            <w:pPr>
              <w:jc w:val="center"/>
              <w:rPr>
                <w:rFonts w:hint="eastAsia" w:ascii="宋体" w:hAnsi="宋体" w:eastAsia="宋体" w:cs="宋体"/>
                <w:color w:val="auto"/>
                <w:sz w:val="24"/>
                <w:szCs w:val="24"/>
              </w:rPr>
            </w:pPr>
          </w:p>
        </w:tc>
        <w:tc>
          <w:tcPr>
            <w:tcW w:w="1347" w:type="dxa"/>
            <w:tcBorders>
              <w:top w:val="single" w:color="auto" w:sz="4" w:space="0"/>
              <w:left w:val="single" w:color="auto" w:sz="4" w:space="0"/>
              <w:right w:val="single" w:color="auto" w:sz="4" w:space="0"/>
            </w:tcBorders>
            <w:noWrap/>
            <w:vAlign w:val="center"/>
          </w:tcPr>
          <w:p w14:paraId="0E1F984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人员配备</w:t>
            </w:r>
          </w:p>
        </w:tc>
        <w:tc>
          <w:tcPr>
            <w:tcW w:w="778" w:type="dxa"/>
            <w:tcBorders>
              <w:top w:val="single" w:color="auto" w:sz="4" w:space="0"/>
              <w:left w:val="single" w:color="auto" w:sz="4" w:space="0"/>
              <w:bottom w:val="single" w:color="auto" w:sz="4" w:space="0"/>
              <w:right w:val="single" w:color="auto" w:sz="4" w:space="0"/>
            </w:tcBorders>
            <w:noWrap/>
            <w:vAlign w:val="center"/>
          </w:tcPr>
          <w:p w14:paraId="54CFA945">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p>
        </w:tc>
        <w:tc>
          <w:tcPr>
            <w:tcW w:w="6287" w:type="dxa"/>
            <w:tcBorders>
              <w:top w:val="single" w:color="auto" w:sz="4" w:space="0"/>
              <w:left w:val="single" w:color="auto" w:sz="4" w:space="0"/>
              <w:bottom w:val="single" w:color="auto" w:sz="4" w:space="0"/>
              <w:right w:val="single" w:color="auto" w:sz="4" w:space="0"/>
            </w:tcBorders>
            <w:noWrap/>
            <w:vAlign w:val="center"/>
          </w:tcPr>
          <w:p w14:paraId="7F7A4EB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投标人为本项目派遣的项目负责人须具备环保或仪器仪表类中级及以上技术职称证书和中国环境监测总站颁发的环境空气自动监测站运维技术培训合格证书的，得3分；未提供的不得分。</w:t>
            </w:r>
            <w:r>
              <w:rPr>
                <w:rFonts w:hint="eastAsia" w:ascii="宋体" w:hAnsi="宋体" w:eastAsia="宋体" w:cs="宋体"/>
                <w:color w:val="auto"/>
                <w:sz w:val="24"/>
                <w:szCs w:val="24"/>
                <w:highlight w:val="none"/>
              </w:rPr>
              <w:t>（须在有效期内）</w:t>
            </w:r>
          </w:p>
          <w:p w14:paraId="56F8AEA8">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2.为本项目配备的项目组成员中（不包括项目负责人）具有国家环境监测总站颁发的环境空气自动监测运维培训合格证书（须在有效期内），每提供1人得3分，本项最高得6分。</w:t>
            </w:r>
          </w:p>
          <w:p w14:paraId="3C58492E">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投标时提供</w:t>
            </w:r>
            <w:r>
              <w:rPr>
                <w:rFonts w:hint="eastAsia" w:ascii="宋体" w:hAnsi="宋体" w:eastAsia="宋体" w:cs="宋体"/>
                <w:b/>
                <w:bCs/>
                <w:color w:val="auto"/>
                <w:sz w:val="24"/>
                <w:szCs w:val="24"/>
                <w:highlight w:val="none"/>
              </w:rPr>
              <w:t>上述条款需提供专职人员一览表，至少包含人员姓名、联系电话、职位等（格式自拟）、相应的证书扫描件、投标单位为其缴纳的近三个月任意一个月（不含投标当月）的社保证明材料或退休返聘证明扫描件）</w:t>
            </w:r>
          </w:p>
        </w:tc>
      </w:tr>
      <w:tr w14:paraId="63892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1" w:type="dxa"/>
            <w:tcBorders>
              <w:left w:val="single" w:color="auto" w:sz="4" w:space="0"/>
              <w:right w:val="single" w:color="auto" w:sz="4" w:space="0"/>
            </w:tcBorders>
            <w:noWrap/>
            <w:vAlign w:val="center"/>
          </w:tcPr>
          <w:p w14:paraId="48B03356">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972" w:type="dxa"/>
            <w:tcBorders>
              <w:left w:val="single" w:color="auto" w:sz="4" w:space="0"/>
              <w:right w:val="single" w:color="auto" w:sz="4" w:space="0"/>
            </w:tcBorders>
            <w:noWrap/>
            <w:vAlign w:val="center"/>
          </w:tcPr>
          <w:p w14:paraId="25DBC8A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w:t>
            </w:r>
          </w:p>
          <w:p w14:paraId="5523C4E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tc>
        <w:tc>
          <w:tcPr>
            <w:tcW w:w="1347" w:type="dxa"/>
            <w:tcBorders>
              <w:top w:val="single" w:color="auto" w:sz="4" w:space="0"/>
              <w:left w:val="single" w:color="auto" w:sz="4" w:space="0"/>
              <w:right w:val="single" w:color="auto" w:sz="4" w:space="0"/>
            </w:tcBorders>
            <w:noWrap/>
            <w:vAlign w:val="center"/>
          </w:tcPr>
          <w:p w14:paraId="239DBF0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节能环保</w:t>
            </w:r>
          </w:p>
        </w:tc>
        <w:tc>
          <w:tcPr>
            <w:tcW w:w="778" w:type="dxa"/>
            <w:tcBorders>
              <w:top w:val="single" w:color="auto" w:sz="4" w:space="0"/>
              <w:left w:val="single" w:color="auto" w:sz="4" w:space="0"/>
              <w:right w:val="single" w:color="auto" w:sz="4" w:space="0"/>
            </w:tcBorders>
            <w:noWrap/>
            <w:vAlign w:val="center"/>
          </w:tcPr>
          <w:p w14:paraId="18DAE29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287" w:type="dxa"/>
            <w:tcBorders>
              <w:top w:val="single" w:color="auto" w:sz="4" w:space="0"/>
              <w:left w:val="single" w:color="auto" w:sz="4" w:space="0"/>
              <w:right w:val="single" w:color="auto" w:sz="4" w:space="0"/>
            </w:tcBorders>
            <w:noWrap/>
            <w:vAlign w:val="center"/>
          </w:tcPr>
          <w:p w14:paraId="6F176B8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1.响应产品属于财政部、国家发展改革委公布的“节能产品品目清单”范围内的，供应商提供国家确定的认证机构出具的、处于有效期之内的该节能产品认证证书</w:t>
            </w:r>
            <w:r>
              <w:rPr>
                <w:rFonts w:hint="eastAsia" w:ascii="宋体" w:hAnsi="宋体" w:cs="宋体"/>
                <w:color w:val="auto"/>
                <w:sz w:val="24"/>
                <w:szCs w:val="24"/>
                <w:highlight w:val="none"/>
                <w:lang w:val="en-US" w:eastAsia="zh-CN"/>
              </w:rPr>
              <w:t>扫描</w:t>
            </w:r>
            <w:r>
              <w:rPr>
                <w:rFonts w:hint="eastAsia" w:ascii="宋体" w:hAnsi="宋体" w:eastAsia="宋体" w:cs="宋体"/>
                <w:color w:val="auto"/>
                <w:sz w:val="24"/>
                <w:szCs w:val="24"/>
                <w:highlight w:val="none"/>
              </w:rPr>
              <w:t>件的，有1个得0.5分，最多得1分。如响应产品均属于政府强制采购节能产品品目清单范围内，本项不得分。</w:t>
            </w:r>
          </w:p>
          <w:p w14:paraId="0CC0BBB6">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2.响应产品属于财政部、生态环境部公布的“环境标志产品品目清单”范围内的，供应商提供国家确定的认证机构出具的、处于有效期内的该环保产品认证证书</w:t>
            </w:r>
            <w:r>
              <w:rPr>
                <w:rFonts w:hint="eastAsia" w:ascii="宋体" w:hAnsi="宋体" w:cs="宋体"/>
                <w:color w:val="auto"/>
                <w:sz w:val="24"/>
                <w:szCs w:val="24"/>
                <w:highlight w:val="none"/>
                <w:lang w:val="en-US" w:eastAsia="zh-CN"/>
              </w:rPr>
              <w:t>扫描</w:t>
            </w:r>
            <w:bookmarkStart w:id="107" w:name="_GoBack"/>
            <w:bookmarkEnd w:id="107"/>
            <w:r>
              <w:rPr>
                <w:rFonts w:hint="eastAsia" w:ascii="宋体" w:hAnsi="宋体" w:eastAsia="宋体" w:cs="宋体"/>
                <w:color w:val="auto"/>
                <w:sz w:val="24"/>
                <w:szCs w:val="24"/>
                <w:highlight w:val="none"/>
              </w:rPr>
              <w:t>件的，有1个得0.5分，最多得1分。</w:t>
            </w:r>
          </w:p>
        </w:tc>
      </w:tr>
    </w:tbl>
    <w:p w14:paraId="5CC9B9E2">
      <w:pPr>
        <w:pStyle w:val="36"/>
        <w:rPr>
          <w:rFonts w:hint="eastAsia"/>
          <w:b/>
          <w:bCs/>
          <w:highlight w:val="none"/>
        </w:rPr>
      </w:pPr>
    </w:p>
    <w:p w14:paraId="17B20DA8">
      <w:pPr>
        <w:pStyle w:val="2"/>
        <w:pageBreakBefore/>
        <w:spacing w:line="579" w:lineRule="auto"/>
        <w:jc w:val="center"/>
        <w:rPr>
          <w:rFonts w:ascii="黑体" w:hAnsi="Arial" w:eastAsia="黑体"/>
          <w:b w:val="0"/>
          <w:bCs w:val="0"/>
          <w:color w:val="000000"/>
        </w:rPr>
      </w:pPr>
      <w:r>
        <w:rPr>
          <w:rFonts w:hint="eastAsia" w:ascii="黑体" w:hAnsi="Arial" w:eastAsia="黑体"/>
          <w:b w:val="0"/>
          <w:bCs w:val="0"/>
          <w:color w:val="000000"/>
        </w:rPr>
        <w:t>第六章  投标文件格式</w:t>
      </w:r>
    </w:p>
    <w:p w14:paraId="24C2B3E2">
      <w:pPr>
        <w:jc w:val="center"/>
        <w:rPr>
          <w:rFonts w:hint="eastAsia" w:ascii="宋体" w:hAnsi="宋体"/>
          <w:b/>
          <w:color w:val="000000"/>
          <w:sz w:val="72"/>
        </w:rPr>
      </w:pPr>
      <w:bookmarkStart w:id="103" w:name="_Hlt26955039"/>
      <w:bookmarkEnd w:id="103"/>
      <w:bookmarkStart w:id="104" w:name="_Hlt26671244"/>
      <w:bookmarkEnd w:id="104"/>
    </w:p>
    <w:p w14:paraId="3A063B0A">
      <w:pPr>
        <w:jc w:val="center"/>
        <w:rPr>
          <w:rFonts w:hint="eastAsia" w:ascii="宋体" w:hAnsi="宋体"/>
          <w:b/>
          <w:color w:val="000000"/>
          <w:sz w:val="72"/>
        </w:rPr>
      </w:pPr>
    </w:p>
    <w:p w14:paraId="5C7BB460">
      <w:pPr>
        <w:jc w:val="center"/>
        <w:rPr>
          <w:rFonts w:hint="eastAsia" w:ascii="宋体" w:hAnsi="宋体"/>
          <w:b/>
          <w:color w:val="000000"/>
          <w:sz w:val="72"/>
        </w:rPr>
      </w:pPr>
      <w:r>
        <w:rPr>
          <w:rFonts w:hint="eastAsia" w:ascii="宋体" w:hAnsi="宋体"/>
          <w:b/>
          <w:color w:val="000000"/>
          <w:sz w:val="72"/>
        </w:rPr>
        <w:t>投 标 文 件（包件</w:t>
      </w:r>
      <w:r>
        <w:rPr>
          <w:rFonts w:hint="eastAsia" w:ascii="宋体" w:hAnsi="宋体"/>
          <w:b/>
          <w:color w:val="000000"/>
          <w:sz w:val="72"/>
          <w:u w:val="single"/>
        </w:rPr>
        <w:t xml:space="preserve">   </w:t>
      </w:r>
      <w:r>
        <w:rPr>
          <w:rFonts w:hint="eastAsia" w:ascii="宋体" w:hAnsi="宋体"/>
          <w:b/>
          <w:color w:val="000000"/>
          <w:sz w:val="72"/>
        </w:rPr>
        <w:t>）</w:t>
      </w:r>
    </w:p>
    <w:p w14:paraId="10C3A776">
      <w:pPr>
        <w:jc w:val="center"/>
        <w:rPr>
          <w:rFonts w:hint="eastAsia" w:ascii="宋体" w:hAnsi="宋体"/>
          <w:b/>
          <w:color w:val="000000"/>
          <w:sz w:val="72"/>
        </w:rPr>
      </w:pPr>
      <w:r>
        <w:rPr>
          <w:rFonts w:hint="eastAsia" w:ascii="黑体" w:hAnsi="黑体" w:eastAsia="黑体"/>
          <w:b/>
          <w:color w:val="000000"/>
          <w:sz w:val="36"/>
        </w:rPr>
        <w:t>（正或副本）</w:t>
      </w:r>
    </w:p>
    <w:p w14:paraId="3CFC1283">
      <w:pPr>
        <w:jc w:val="center"/>
        <w:rPr>
          <w:rFonts w:hint="eastAsia" w:ascii="宋体" w:hAnsi="宋体"/>
          <w:b/>
          <w:color w:val="000000"/>
          <w:sz w:val="72"/>
        </w:rPr>
      </w:pPr>
    </w:p>
    <w:p w14:paraId="2D5F11B8">
      <w:pPr>
        <w:jc w:val="center"/>
        <w:rPr>
          <w:rFonts w:hint="eastAsia" w:ascii="宋体" w:hAnsi="宋体"/>
          <w:b/>
          <w:color w:val="000000"/>
          <w:sz w:val="36"/>
        </w:rPr>
      </w:pPr>
    </w:p>
    <w:p w14:paraId="3337896D">
      <w:pPr>
        <w:jc w:val="center"/>
        <w:rPr>
          <w:rFonts w:hint="eastAsia" w:ascii="宋体" w:hAnsi="宋体"/>
          <w:b/>
          <w:color w:val="000000"/>
          <w:sz w:val="36"/>
        </w:rPr>
      </w:pPr>
    </w:p>
    <w:p w14:paraId="41E383FF">
      <w:pPr>
        <w:jc w:val="center"/>
        <w:rPr>
          <w:rFonts w:hint="eastAsia" w:ascii="宋体" w:hAnsi="宋体"/>
          <w:b/>
          <w:color w:val="000000"/>
          <w:sz w:val="36"/>
        </w:rPr>
      </w:pPr>
    </w:p>
    <w:p w14:paraId="295BBC26">
      <w:pPr>
        <w:jc w:val="center"/>
        <w:rPr>
          <w:rFonts w:hint="eastAsia" w:ascii="宋体" w:hAnsi="宋体"/>
          <w:b/>
          <w:color w:val="000000"/>
          <w:sz w:val="36"/>
        </w:rPr>
      </w:pPr>
    </w:p>
    <w:p w14:paraId="16C5C1C3">
      <w:pPr>
        <w:jc w:val="center"/>
        <w:rPr>
          <w:rFonts w:hint="eastAsia" w:ascii="宋体" w:hAnsi="宋体"/>
          <w:b/>
          <w:color w:val="000000"/>
          <w:sz w:val="36"/>
        </w:rPr>
      </w:pPr>
    </w:p>
    <w:p w14:paraId="749FDC4F">
      <w:pPr>
        <w:jc w:val="center"/>
        <w:rPr>
          <w:rFonts w:hint="eastAsia" w:ascii="宋体" w:hAnsi="宋体"/>
          <w:b/>
          <w:color w:val="000000"/>
          <w:sz w:val="36"/>
        </w:rPr>
      </w:pPr>
    </w:p>
    <w:p w14:paraId="33D3A801">
      <w:pPr>
        <w:ind w:firstLine="1084"/>
        <w:rPr>
          <w:rFonts w:hint="eastAsia" w:ascii="宋体" w:hAnsi="宋体"/>
          <w:b/>
          <w:color w:val="000000"/>
          <w:sz w:val="36"/>
        </w:rPr>
      </w:pPr>
      <w:r>
        <w:rPr>
          <w:rFonts w:hint="eastAsia" w:ascii="宋体" w:hAnsi="宋体"/>
          <w:b/>
          <w:color w:val="000000"/>
          <w:sz w:val="36"/>
        </w:rPr>
        <w:t>项 目 名 称：</w:t>
      </w:r>
      <w:r>
        <w:rPr>
          <w:rFonts w:hint="eastAsia" w:ascii="宋体" w:hAnsi="宋体"/>
          <w:b/>
          <w:color w:val="000000"/>
          <w:sz w:val="36"/>
          <w:u w:val="single"/>
        </w:rPr>
        <w:t xml:space="preserve">               </w:t>
      </w:r>
    </w:p>
    <w:p w14:paraId="59E0F804">
      <w:pPr>
        <w:ind w:firstLine="1084"/>
        <w:rPr>
          <w:rFonts w:hint="eastAsia" w:ascii="宋体" w:hAnsi="宋体"/>
          <w:b/>
          <w:color w:val="000000"/>
          <w:sz w:val="36"/>
          <w:u w:val="single"/>
        </w:rPr>
      </w:pPr>
      <w:r>
        <w:rPr>
          <w:rFonts w:hint="eastAsia" w:ascii="宋体" w:hAnsi="宋体"/>
          <w:b/>
          <w:color w:val="000000"/>
          <w:sz w:val="36"/>
        </w:rPr>
        <w:t>招 标 编 号：</w:t>
      </w:r>
      <w:r>
        <w:rPr>
          <w:rFonts w:hint="eastAsia" w:ascii="宋体" w:hAnsi="宋体"/>
          <w:b/>
          <w:color w:val="000000"/>
          <w:sz w:val="36"/>
          <w:u w:val="single"/>
        </w:rPr>
        <w:t xml:space="preserve">               </w:t>
      </w:r>
    </w:p>
    <w:p w14:paraId="2697A080">
      <w:pPr>
        <w:rPr>
          <w:rFonts w:hint="eastAsia" w:ascii="宋体" w:hAnsi="宋体"/>
          <w:b/>
          <w:color w:val="000000"/>
          <w:sz w:val="36"/>
          <w:u w:val="single"/>
        </w:rPr>
      </w:pPr>
      <w:r>
        <w:rPr>
          <w:rFonts w:hint="eastAsia" w:ascii="宋体" w:hAnsi="宋体"/>
          <w:b/>
          <w:color w:val="000000"/>
          <w:sz w:val="36"/>
        </w:rPr>
        <w:t xml:space="preserve">      供应商名称 ：</w:t>
      </w:r>
      <w:r>
        <w:rPr>
          <w:rFonts w:hint="eastAsia"/>
          <w:b/>
          <w:color w:val="000000"/>
          <w:sz w:val="36"/>
          <w:szCs w:val="36"/>
          <w:u w:val="single"/>
        </w:rPr>
        <w:t>（加盖CA电子公章）</w:t>
      </w:r>
    </w:p>
    <w:p w14:paraId="21F50952">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p>
    <w:p w14:paraId="507358D1">
      <w:pPr>
        <w:spacing w:line="440" w:lineRule="exact"/>
        <w:jc w:val="center"/>
        <w:rPr>
          <w:rFonts w:hint="eastAsia" w:ascii="宋体" w:hAnsi="宋体"/>
          <w:b/>
          <w:bCs/>
          <w:color w:val="000000"/>
          <w:sz w:val="32"/>
          <w:szCs w:val="32"/>
        </w:rPr>
      </w:pPr>
    </w:p>
    <w:p w14:paraId="74233572">
      <w:pPr>
        <w:spacing w:line="440" w:lineRule="exact"/>
        <w:ind w:firstLine="480"/>
        <w:rPr>
          <w:rFonts w:hint="eastAsia" w:ascii="宋体" w:hAnsi="宋体"/>
          <w:color w:val="000000"/>
          <w:sz w:val="24"/>
        </w:rPr>
      </w:pPr>
    </w:p>
    <w:p w14:paraId="05C6495C">
      <w:pPr>
        <w:spacing w:line="440" w:lineRule="exact"/>
        <w:ind w:firstLine="480"/>
        <w:rPr>
          <w:rFonts w:hint="eastAsia" w:ascii="宋体" w:hAnsi="宋体"/>
          <w:color w:val="000000"/>
          <w:sz w:val="24"/>
        </w:rPr>
      </w:pPr>
    </w:p>
    <w:p w14:paraId="22F8F41D">
      <w:pPr>
        <w:spacing w:line="440" w:lineRule="exact"/>
        <w:jc w:val="center"/>
        <w:rPr>
          <w:rFonts w:ascii="宋体"/>
          <w:b/>
          <w:bCs/>
          <w:color w:val="000000"/>
          <w:sz w:val="36"/>
          <w:szCs w:val="36"/>
        </w:rPr>
      </w:pPr>
      <w:r>
        <w:rPr>
          <w:rFonts w:ascii="宋体" w:hAnsi="宋体"/>
          <w:color w:val="000000"/>
          <w:sz w:val="24"/>
        </w:rPr>
        <w:br w:type="page" w:clear="all"/>
      </w:r>
      <w:r>
        <w:rPr>
          <w:rFonts w:hint="eastAsia" w:ascii="宋体" w:hAnsi="宋体"/>
          <w:b/>
          <w:bCs/>
          <w:color w:val="000000"/>
          <w:sz w:val="36"/>
          <w:szCs w:val="36"/>
        </w:rPr>
        <w:t>投标主要文件目录</w:t>
      </w:r>
    </w:p>
    <w:p w14:paraId="43B9BE06">
      <w:pPr>
        <w:ind w:firstLine="480"/>
        <w:rPr>
          <w:rFonts w:ascii="宋体"/>
          <w:color w:val="000000"/>
          <w:sz w:val="24"/>
        </w:rPr>
      </w:pPr>
    </w:p>
    <w:p w14:paraId="47BBBC94">
      <w:pPr>
        <w:spacing w:line="520" w:lineRule="exact"/>
        <w:ind w:firstLine="480"/>
        <w:rPr>
          <w:i/>
          <w:iCs/>
          <w:color w:val="000000"/>
          <w:sz w:val="24"/>
          <w:u w:val="single"/>
        </w:rPr>
      </w:pPr>
      <w:r>
        <w:rPr>
          <w:rFonts w:hint="eastAsia"/>
          <w:i/>
          <w:iCs/>
          <w:color w:val="000000"/>
          <w:sz w:val="24"/>
          <w:u w:val="single"/>
        </w:rPr>
        <w:t>一、法人或者其他组织的营业执照等证明文件，自然人的身份证明</w:t>
      </w:r>
    </w:p>
    <w:p w14:paraId="083E4FC9">
      <w:pPr>
        <w:spacing w:line="520" w:lineRule="exact"/>
        <w:ind w:firstLine="480"/>
        <w:rPr>
          <w:i/>
          <w:iCs/>
          <w:color w:val="000000"/>
          <w:sz w:val="24"/>
          <w:u w:val="single"/>
        </w:rPr>
      </w:pPr>
      <w:r>
        <w:rPr>
          <w:rFonts w:hint="eastAsia"/>
          <w:i/>
          <w:iCs/>
          <w:color w:val="000000"/>
          <w:sz w:val="24"/>
          <w:u w:val="single"/>
        </w:rPr>
        <w:t>二、上一年度的财务状况报表（至少提供资产负债表、利润表、现金流量表，供应商成立不满一年无需提供）</w:t>
      </w:r>
    </w:p>
    <w:p w14:paraId="59879993">
      <w:pPr>
        <w:spacing w:line="520" w:lineRule="exact"/>
        <w:ind w:firstLine="480"/>
        <w:rPr>
          <w:i/>
          <w:iCs/>
          <w:color w:val="000000"/>
          <w:sz w:val="24"/>
          <w:u w:val="single"/>
        </w:rPr>
      </w:pPr>
      <w:r>
        <w:rPr>
          <w:rFonts w:hint="eastAsia"/>
          <w:i/>
          <w:iCs/>
          <w:color w:val="000000"/>
          <w:sz w:val="24"/>
          <w:u w:val="single"/>
        </w:rPr>
        <w:t>三、具备履行合同所必需的设备和专业技术能力的书面声明</w:t>
      </w:r>
    </w:p>
    <w:p w14:paraId="421B8826">
      <w:pPr>
        <w:spacing w:line="520" w:lineRule="exact"/>
        <w:ind w:firstLine="480"/>
        <w:rPr>
          <w:i/>
          <w:iCs/>
          <w:color w:val="000000"/>
          <w:sz w:val="24"/>
          <w:u w:val="single"/>
        </w:rPr>
      </w:pPr>
      <w:r>
        <w:rPr>
          <w:rFonts w:hint="eastAsia"/>
          <w:i/>
          <w:iCs/>
          <w:color w:val="000000"/>
          <w:sz w:val="24"/>
          <w:u w:val="single"/>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3542FB4A">
      <w:pPr>
        <w:spacing w:line="520" w:lineRule="exact"/>
        <w:ind w:firstLine="480"/>
        <w:rPr>
          <w:i/>
          <w:iCs/>
          <w:color w:val="000000"/>
          <w:sz w:val="24"/>
          <w:u w:val="single"/>
        </w:rPr>
      </w:pPr>
      <w:r>
        <w:rPr>
          <w:rFonts w:hint="eastAsia"/>
          <w:i/>
          <w:iCs/>
          <w:color w:val="000000"/>
          <w:sz w:val="24"/>
          <w:u w:val="single"/>
        </w:rPr>
        <w:t>五、参加政府采购活动前 3 年内在经营活动中没有重大违法记录的书面声明</w:t>
      </w:r>
    </w:p>
    <w:p w14:paraId="0CBA3883">
      <w:pPr>
        <w:pStyle w:val="39"/>
        <w:ind w:firstLine="480"/>
        <w:rPr>
          <w:rFonts w:ascii="Times New Roman" w:eastAsia="宋体"/>
          <w:i/>
          <w:iCs/>
          <w:color w:val="000000"/>
          <w:sz w:val="24"/>
          <w:szCs w:val="22"/>
          <w:u w:val="single"/>
        </w:rPr>
      </w:pPr>
      <w:r>
        <w:rPr>
          <w:rFonts w:hint="eastAsia" w:ascii="Times New Roman" w:eastAsia="宋体"/>
          <w:i/>
          <w:iCs/>
          <w:color w:val="000000"/>
          <w:sz w:val="24"/>
          <w:szCs w:val="22"/>
          <w:u w:val="single"/>
        </w:rPr>
        <w:t>六、单位负责人为同一人或者存在直接控股、服务关系的不同供应商，不得参加同一合同项下的政府采购活动证明文件</w:t>
      </w:r>
    </w:p>
    <w:p w14:paraId="7808EF5A">
      <w:pPr>
        <w:spacing w:line="520" w:lineRule="exact"/>
        <w:ind w:firstLine="480"/>
        <w:rPr>
          <w:i/>
          <w:iCs/>
          <w:color w:val="000000"/>
          <w:sz w:val="24"/>
          <w:u w:val="single"/>
        </w:rPr>
      </w:pPr>
      <w:r>
        <w:rPr>
          <w:rFonts w:hint="eastAsia"/>
          <w:i/>
          <w:iCs/>
          <w:color w:val="000000"/>
          <w:sz w:val="24"/>
          <w:u w:val="single"/>
        </w:rPr>
        <w:t>七、特定资格要求的证明文件（如果本项目设置特定资格要求，则需要提供）</w:t>
      </w:r>
    </w:p>
    <w:p w14:paraId="35EFB09A">
      <w:pPr>
        <w:spacing w:line="520" w:lineRule="exact"/>
        <w:ind w:firstLine="480"/>
        <w:rPr>
          <w:i/>
          <w:iCs/>
          <w:color w:val="000000"/>
          <w:sz w:val="24"/>
          <w:u w:val="single"/>
        </w:rPr>
      </w:pPr>
      <w:r>
        <w:rPr>
          <w:rFonts w:hint="eastAsia"/>
          <w:i/>
          <w:iCs/>
          <w:color w:val="000000"/>
          <w:sz w:val="24"/>
          <w:u w:val="single"/>
        </w:rPr>
        <w:t>八、法人授权书</w:t>
      </w:r>
    </w:p>
    <w:p w14:paraId="432857FC">
      <w:pPr>
        <w:spacing w:line="520" w:lineRule="exact"/>
        <w:ind w:firstLine="480"/>
        <w:rPr>
          <w:i/>
          <w:iCs/>
          <w:color w:val="000000"/>
          <w:sz w:val="24"/>
          <w:u w:val="single"/>
        </w:rPr>
      </w:pPr>
      <w:r>
        <w:rPr>
          <w:rFonts w:hint="eastAsia"/>
          <w:i/>
          <w:iCs/>
          <w:color w:val="000000"/>
          <w:sz w:val="24"/>
          <w:u w:val="single"/>
        </w:rPr>
        <w:t>九、投标函</w:t>
      </w:r>
    </w:p>
    <w:p w14:paraId="65B1AC66">
      <w:pPr>
        <w:spacing w:line="520" w:lineRule="exact"/>
        <w:ind w:firstLine="480"/>
        <w:rPr>
          <w:color w:val="000000"/>
          <w:sz w:val="24"/>
        </w:rPr>
      </w:pPr>
      <w:r>
        <w:rPr>
          <w:rFonts w:hint="eastAsia"/>
          <w:color w:val="000000"/>
          <w:sz w:val="24"/>
        </w:rPr>
        <w:t>十、中小微企业声明函</w:t>
      </w:r>
    </w:p>
    <w:p w14:paraId="39A935C3">
      <w:pPr>
        <w:spacing w:line="520" w:lineRule="exact"/>
        <w:ind w:firstLine="480"/>
        <w:rPr>
          <w:color w:val="000000"/>
          <w:sz w:val="24"/>
        </w:rPr>
      </w:pPr>
      <w:r>
        <w:rPr>
          <w:rFonts w:hint="eastAsia"/>
          <w:color w:val="000000"/>
          <w:sz w:val="24"/>
        </w:rPr>
        <w:t>十一、残疾人福利性单位声明函</w:t>
      </w:r>
    </w:p>
    <w:p w14:paraId="131F0180">
      <w:pPr>
        <w:spacing w:line="520" w:lineRule="exact"/>
        <w:ind w:firstLine="480"/>
        <w:rPr>
          <w:color w:val="000000"/>
          <w:sz w:val="24"/>
        </w:rPr>
      </w:pPr>
      <w:r>
        <w:rPr>
          <w:rFonts w:hint="eastAsia"/>
          <w:color w:val="000000"/>
          <w:sz w:val="24"/>
        </w:rPr>
        <w:t>十二、投标分项报价表</w:t>
      </w:r>
    </w:p>
    <w:p w14:paraId="2FAF699B">
      <w:pPr>
        <w:spacing w:line="520" w:lineRule="exact"/>
        <w:ind w:firstLine="480"/>
        <w:rPr>
          <w:rFonts w:hint="eastAsia"/>
          <w:color w:val="000000"/>
          <w:sz w:val="24"/>
        </w:rPr>
      </w:pPr>
      <w:r>
        <w:rPr>
          <w:rFonts w:hint="eastAsia"/>
          <w:color w:val="000000"/>
          <w:sz w:val="24"/>
        </w:rPr>
        <w:t>十三、技术要求响应及偏离表</w:t>
      </w:r>
    </w:p>
    <w:p w14:paraId="46DC4A5F">
      <w:pPr>
        <w:spacing w:line="520" w:lineRule="exact"/>
        <w:ind w:firstLine="480"/>
        <w:rPr>
          <w:rFonts w:hint="eastAsia"/>
          <w:color w:val="000000"/>
          <w:sz w:val="24"/>
        </w:rPr>
      </w:pPr>
      <w:r>
        <w:rPr>
          <w:rFonts w:hint="eastAsia"/>
          <w:color w:val="000000"/>
          <w:sz w:val="24"/>
        </w:rPr>
        <w:t>十四、项目组成员一览表</w:t>
      </w:r>
    </w:p>
    <w:p w14:paraId="065A291B">
      <w:pPr>
        <w:spacing w:line="520" w:lineRule="exact"/>
        <w:ind w:firstLine="480"/>
        <w:rPr>
          <w:rFonts w:hint="eastAsia"/>
          <w:color w:val="000000"/>
          <w:sz w:val="24"/>
        </w:rPr>
      </w:pPr>
      <w:r>
        <w:rPr>
          <w:rFonts w:hint="eastAsia"/>
          <w:color w:val="000000"/>
          <w:sz w:val="24"/>
        </w:rPr>
        <w:t>十</w:t>
      </w:r>
      <w:r>
        <w:rPr>
          <w:rFonts w:hint="eastAsia"/>
          <w:color w:val="000000"/>
          <w:sz w:val="24"/>
          <w:lang w:val="en-US" w:eastAsia="zh-CN"/>
        </w:rPr>
        <w:t>五</w:t>
      </w:r>
      <w:r>
        <w:rPr>
          <w:rFonts w:hint="eastAsia"/>
          <w:color w:val="000000"/>
          <w:sz w:val="24"/>
        </w:rPr>
        <w:t>、资格性审查响应对照表</w:t>
      </w:r>
    </w:p>
    <w:p w14:paraId="2AB667BB">
      <w:pPr>
        <w:spacing w:line="520" w:lineRule="exact"/>
        <w:ind w:firstLine="480"/>
        <w:rPr>
          <w:color w:val="000000"/>
          <w:sz w:val="24"/>
        </w:rPr>
      </w:pPr>
      <w:r>
        <w:rPr>
          <w:rFonts w:hint="eastAsia"/>
          <w:color w:val="000000"/>
          <w:sz w:val="24"/>
        </w:rPr>
        <w:t>十</w:t>
      </w:r>
      <w:r>
        <w:rPr>
          <w:rFonts w:hint="eastAsia"/>
          <w:color w:val="000000"/>
          <w:sz w:val="24"/>
          <w:lang w:val="en-US" w:eastAsia="zh-CN"/>
        </w:rPr>
        <w:t>六</w:t>
      </w:r>
      <w:r>
        <w:rPr>
          <w:rFonts w:hint="eastAsia"/>
          <w:color w:val="000000"/>
          <w:sz w:val="24"/>
        </w:rPr>
        <w:t>、符合性检查响应对照表</w:t>
      </w:r>
    </w:p>
    <w:p w14:paraId="36D3D421">
      <w:pPr>
        <w:spacing w:line="520" w:lineRule="exact"/>
        <w:ind w:firstLine="480"/>
        <w:rPr>
          <w:i/>
          <w:iCs/>
          <w:color w:val="000000"/>
          <w:sz w:val="24"/>
          <w:u w:val="single"/>
        </w:rPr>
      </w:pPr>
      <w:r>
        <w:rPr>
          <w:rFonts w:hint="eastAsia"/>
          <w:i/>
          <w:iCs/>
          <w:color w:val="000000"/>
          <w:sz w:val="24"/>
          <w:u w:val="single"/>
        </w:rPr>
        <w:t>十</w:t>
      </w:r>
      <w:r>
        <w:rPr>
          <w:rFonts w:hint="eastAsia"/>
          <w:i/>
          <w:iCs/>
          <w:color w:val="000000"/>
          <w:sz w:val="24"/>
          <w:u w:val="single"/>
          <w:lang w:val="en-US" w:eastAsia="zh-CN"/>
        </w:rPr>
        <w:t>七</w:t>
      </w:r>
      <w:r>
        <w:rPr>
          <w:rFonts w:hint="eastAsia"/>
          <w:i/>
          <w:iCs/>
          <w:color w:val="000000"/>
          <w:sz w:val="24"/>
          <w:u w:val="single"/>
        </w:rPr>
        <w:t>、开标一览表</w:t>
      </w:r>
    </w:p>
    <w:p w14:paraId="5DB9AA90">
      <w:pPr>
        <w:spacing w:line="520" w:lineRule="exact"/>
        <w:ind w:firstLine="480"/>
        <w:rPr>
          <w:color w:val="000000"/>
          <w:sz w:val="24"/>
        </w:rPr>
      </w:pPr>
      <w:r>
        <w:rPr>
          <w:rFonts w:hint="eastAsia"/>
          <w:color w:val="000000"/>
          <w:sz w:val="24"/>
        </w:rPr>
        <w:t>十</w:t>
      </w:r>
      <w:r>
        <w:rPr>
          <w:rFonts w:hint="eastAsia"/>
          <w:color w:val="000000"/>
          <w:sz w:val="24"/>
          <w:lang w:val="en-US" w:eastAsia="zh-CN"/>
        </w:rPr>
        <w:t>八</w:t>
      </w:r>
      <w:r>
        <w:rPr>
          <w:rFonts w:hint="eastAsia"/>
          <w:color w:val="000000"/>
          <w:sz w:val="24"/>
        </w:rPr>
        <w:t>、盐城市政府采购事前信用承诺书</w:t>
      </w:r>
    </w:p>
    <w:p w14:paraId="300155E1">
      <w:pPr>
        <w:spacing w:line="520" w:lineRule="exact"/>
        <w:ind w:firstLine="480"/>
        <w:rPr>
          <w:rFonts w:hint="eastAsia" w:ascii="宋体" w:hAnsi="宋体" w:cs="宋体"/>
          <w:color w:val="000000"/>
          <w:sz w:val="24"/>
        </w:rPr>
      </w:pPr>
      <w:r>
        <w:rPr>
          <w:rFonts w:hint="eastAsia" w:ascii="宋体" w:hAnsi="宋体" w:cs="宋体"/>
          <w:color w:val="000000"/>
          <w:sz w:val="24"/>
        </w:rPr>
        <w:t>十</w:t>
      </w:r>
      <w:r>
        <w:rPr>
          <w:rFonts w:hint="eastAsia" w:ascii="宋体" w:hAnsi="宋体" w:cs="宋体"/>
          <w:color w:val="000000"/>
          <w:sz w:val="24"/>
          <w:lang w:val="en-US" w:eastAsia="zh-CN"/>
        </w:rPr>
        <w:t>九</w:t>
      </w:r>
      <w:r>
        <w:rPr>
          <w:rFonts w:hint="eastAsia" w:ascii="宋体" w:hAnsi="宋体" w:cs="宋体"/>
          <w:color w:val="000000"/>
          <w:sz w:val="24"/>
        </w:rPr>
        <w:t>、</w:t>
      </w:r>
      <w:r>
        <w:rPr>
          <w:rFonts w:hint="eastAsia"/>
          <w:color w:val="000000"/>
          <w:sz w:val="24"/>
        </w:rPr>
        <w:t>其他材料（如有）</w:t>
      </w:r>
    </w:p>
    <w:p w14:paraId="3E4865EA">
      <w:pPr>
        <w:jc w:val="center"/>
        <w:rPr>
          <w:color w:val="000000"/>
        </w:rPr>
      </w:pPr>
    </w:p>
    <w:p w14:paraId="7A7A9F4A">
      <w:pPr>
        <w:pStyle w:val="205"/>
        <w:ind w:firstLine="560"/>
        <w:jc w:val="center"/>
        <w:rPr>
          <w:color w:val="000000"/>
        </w:rPr>
      </w:pPr>
      <w:r>
        <w:rPr>
          <w:color w:val="000000"/>
        </w:rPr>
        <w:br w:type="page" w:clear="all"/>
      </w:r>
      <w:r>
        <w:rPr>
          <w:rFonts w:hint="eastAsia" w:ascii="黑体" w:hAnsi="黑体" w:eastAsia="黑体" w:cs="黑体"/>
          <w:i/>
          <w:color w:val="000000"/>
          <w:sz w:val="32"/>
          <w:szCs w:val="32"/>
          <w:u w:val="single"/>
        </w:rPr>
        <w:t>一、法人或者其他组织的营业执照等证明文件，自然人的身份证明</w:t>
      </w:r>
    </w:p>
    <w:p w14:paraId="4D3DDF8E">
      <w:pPr>
        <w:pStyle w:val="208"/>
        <w:ind w:firstLine="480"/>
        <w:rPr>
          <w:rFonts w:hint="eastAsia"/>
          <w:color w:val="000000"/>
        </w:rPr>
      </w:pPr>
      <w:r>
        <w:rPr>
          <w:rFonts w:hint="eastAsia"/>
          <w:color w:val="000000"/>
        </w:rPr>
        <w:t> </w:t>
      </w:r>
    </w:p>
    <w:p w14:paraId="59B62639">
      <w:pPr>
        <w:ind w:firstLine="440"/>
        <w:rPr>
          <w:color w:val="000000"/>
        </w:rPr>
      </w:pPr>
    </w:p>
    <w:p w14:paraId="3BE5382B">
      <w:pPr>
        <w:ind w:firstLine="440"/>
        <w:rPr>
          <w:color w:val="000000"/>
        </w:rPr>
      </w:pPr>
    </w:p>
    <w:p w14:paraId="63A88CD4">
      <w:pPr>
        <w:ind w:firstLine="440"/>
        <w:rPr>
          <w:color w:val="000000"/>
        </w:rPr>
      </w:pPr>
      <w:r>
        <w:rPr>
          <w:rFonts w:hint="eastAsia"/>
          <w:color w:val="000000"/>
        </w:rPr>
        <w:t xml:space="preserve">                                      </w:t>
      </w:r>
    </w:p>
    <w:p w14:paraId="542F9E98">
      <w:pPr>
        <w:pStyle w:val="208"/>
        <w:spacing w:beforeAutospacing="0" w:afterAutospacing="0" w:line="500" w:lineRule="exact"/>
        <w:jc w:val="center"/>
        <w:outlineLvl w:val="1"/>
        <w:rPr>
          <w:rFonts w:hint="eastAsia" w:ascii="黑体" w:hAnsi="黑体" w:eastAsia="黑体" w:cs="黑体"/>
          <w:i/>
          <w:color w:val="000000"/>
          <w:sz w:val="32"/>
          <w:szCs w:val="32"/>
          <w:u w:val="single"/>
        </w:rPr>
      </w:pPr>
      <w:r>
        <w:rPr>
          <w:rFonts w:hint="eastAsia"/>
          <w:color w:val="000000"/>
        </w:rPr>
        <w:br w:type="page" w:clear="all"/>
      </w:r>
      <w:r>
        <w:rPr>
          <w:rFonts w:hint="eastAsia" w:ascii="黑体" w:hAnsi="黑体" w:eastAsia="黑体" w:cs="黑体"/>
          <w:i/>
          <w:color w:val="000000"/>
          <w:sz w:val="32"/>
          <w:szCs w:val="32"/>
          <w:u w:val="single"/>
        </w:rPr>
        <w:t>二、上一年度的财务状况报表</w:t>
      </w:r>
    </w:p>
    <w:p w14:paraId="41E4178B">
      <w:pPr>
        <w:pStyle w:val="209"/>
        <w:spacing w:beforeAutospacing="0" w:afterAutospacing="0" w:line="360" w:lineRule="auto"/>
        <w:ind w:firstLine="480"/>
        <w:jc w:val="both"/>
        <w:rPr>
          <w:color w:val="000000"/>
        </w:rPr>
      </w:pPr>
      <w:r>
        <w:rPr>
          <w:rFonts w:hint="eastAsia"/>
          <w:color w:val="000000"/>
        </w:rPr>
        <w:t>（</w:t>
      </w:r>
      <w:r>
        <w:rPr>
          <w:rFonts w:hint="eastAsia" w:ascii="宋体" w:hAnsi="宋体" w:cs="宋体"/>
          <w:color w:val="000000"/>
        </w:rPr>
        <w:t>至少提供资产负债表、利润表、现金流量表，供应商成立不满一年不需提供。</w:t>
      </w:r>
      <w:r>
        <w:rPr>
          <w:rFonts w:hint="eastAsia"/>
          <w:color w:val="000000"/>
        </w:rPr>
        <w:t>）</w:t>
      </w:r>
    </w:p>
    <w:p w14:paraId="6667FFAB">
      <w:pPr>
        <w:pStyle w:val="210"/>
        <w:spacing w:line="400" w:lineRule="exact"/>
        <w:ind w:firstLine="480"/>
        <w:jc w:val="center"/>
        <w:rPr>
          <w:color w:val="000000"/>
          <w:sz w:val="24"/>
          <w:szCs w:val="21"/>
        </w:rPr>
      </w:pPr>
    </w:p>
    <w:p w14:paraId="3EC82A99">
      <w:pPr>
        <w:ind w:firstLine="440"/>
        <w:rPr>
          <w:color w:val="000000"/>
        </w:rPr>
      </w:pPr>
    </w:p>
    <w:p w14:paraId="20170381">
      <w:pPr>
        <w:ind w:firstLine="440"/>
        <w:rPr>
          <w:color w:val="000000"/>
        </w:rPr>
      </w:pPr>
    </w:p>
    <w:p w14:paraId="2DEE3020">
      <w:pPr>
        <w:ind w:firstLine="440"/>
        <w:rPr>
          <w:color w:val="000000"/>
        </w:rPr>
      </w:pPr>
      <w:r>
        <w:rPr>
          <w:rFonts w:hint="eastAsia"/>
          <w:color w:val="000000"/>
        </w:rPr>
        <w:t xml:space="preserve">                                      </w:t>
      </w:r>
    </w:p>
    <w:p w14:paraId="25B9014F">
      <w:pPr>
        <w:ind w:firstLine="440"/>
        <w:rPr>
          <w:color w:val="000000"/>
        </w:rPr>
      </w:pPr>
    </w:p>
    <w:p w14:paraId="45740AB1">
      <w:pPr>
        <w:ind w:firstLine="440"/>
        <w:rPr>
          <w:color w:val="000000"/>
        </w:rPr>
      </w:pPr>
    </w:p>
    <w:p w14:paraId="0FCAFDB9">
      <w:pPr>
        <w:pStyle w:val="205"/>
        <w:ind w:firstLine="560"/>
        <w:rPr>
          <w:color w:val="000000"/>
        </w:rPr>
      </w:pPr>
    </w:p>
    <w:p w14:paraId="79745861">
      <w:pPr>
        <w:pStyle w:val="205"/>
        <w:ind w:firstLine="560"/>
        <w:rPr>
          <w:color w:val="000000"/>
        </w:rPr>
      </w:pPr>
    </w:p>
    <w:p w14:paraId="7F6F6796">
      <w:pPr>
        <w:pStyle w:val="205"/>
        <w:ind w:firstLine="560"/>
        <w:rPr>
          <w:color w:val="000000"/>
        </w:rPr>
      </w:pPr>
    </w:p>
    <w:p w14:paraId="6FE5EA7D">
      <w:pPr>
        <w:pStyle w:val="205"/>
        <w:ind w:firstLine="560"/>
        <w:rPr>
          <w:color w:val="000000"/>
        </w:rPr>
      </w:pPr>
    </w:p>
    <w:p w14:paraId="6261A722">
      <w:pPr>
        <w:pStyle w:val="205"/>
        <w:ind w:firstLine="560"/>
        <w:rPr>
          <w:color w:val="000000"/>
        </w:rPr>
      </w:pPr>
    </w:p>
    <w:p w14:paraId="5755A894">
      <w:pPr>
        <w:pStyle w:val="205"/>
        <w:ind w:firstLine="560"/>
        <w:rPr>
          <w:color w:val="000000"/>
        </w:rPr>
      </w:pPr>
    </w:p>
    <w:p w14:paraId="0C311ED2">
      <w:pPr>
        <w:pStyle w:val="205"/>
        <w:ind w:firstLine="560"/>
        <w:rPr>
          <w:color w:val="000000"/>
        </w:rPr>
      </w:pPr>
    </w:p>
    <w:p w14:paraId="537804BA">
      <w:pPr>
        <w:pStyle w:val="205"/>
        <w:ind w:firstLine="560"/>
        <w:rPr>
          <w:color w:val="000000"/>
        </w:rPr>
      </w:pPr>
    </w:p>
    <w:p w14:paraId="3E5A3461">
      <w:pPr>
        <w:pStyle w:val="205"/>
        <w:ind w:firstLine="560"/>
        <w:rPr>
          <w:color w:val="000000"/>
        </w:rPr>
      </w:pPr>
    </w:p>
    <w:p w14:paraId="25983ACA">
      <w:pPr>
        <w:pStyle w:val="205"/>
        <w:ind w:firstLine="560"/>
        <w:rPr>
          <w:color w:val="000000"/>
        </w:rPr>
      </w:pPr>
    </w:p>
    <w:p w14:paraId="5C143125">
      <w:pPr>
        <w:pStyle w:val="205"/>
        <w:ind w:firstLine="560"/>
        <w:rPr>
          <w:color w:val="000000"/>
        </w:rPr>
      </w:pPr>
    </w:p>
    <w:p w14:paraId="0DAE4983">
      <w:pPr>
        <w:ind w:firstLine="440"/>
        <w:rPr>
          <w:color w:val="000000"/>
        </w:rPr>
      </w:pPr>
    </w:p>
    <w:p w14:paraId="7246DDBC">
      <w:pPr>
        <w:ind w:firstLine="440"/>
        <w:rPr>
          <w:color w:val="000000"/>
        </w:rPr>
      </w:pPr>
    </w:p>
    <w:p w14:paraId="23B56983">
      <w:pPr>
        <w:ind w:firstLine="440"/>
        <w:rPr>
          <w:color w:val="000000"/>
        </w:rPr>
      </w:pPr>
    </w:p>
    <w:p w14:paraId="019D95F1">
      <w:pPr>
        <w:ind w:firstLine="440"/>
        <w:rPr>
          <w:color w:val="000000"/>
        </w:rPr>
      </w:pPr>
    </w:p>
    <w:p w14:paraId="158DFFBE">
      <w:pPr>
        <w:ind w:firstLine="440"/>
        <w:rPr>
          <w:color w:val="000000"/>
        </w:rPr>
      </w:pPr>
    </w:p>
    <w:p w14:paraId="0398D08E">
      <w:pPr>
        <w:ind w:firstLine="440"/>
        <w:rPr>
          <w:color w:val="000000"/>
        </w:rPr>
      </w:pPr>
    </w:p>
    <w:p w14:paraId="18857CDE">
      <w:pPr>
        <w:pStyle w:val="4"/>
        <w:ind w:firstLine="118"/>
        <w:rPr>
          <w:rFonts w:hint="eastAsia"/>
          <w:color w:val="000000"/>
        </w:rPr>
      </w:pPr>
    </w:p>
    <w:p w14:paraId="5413FEFE">
      <w:pPr>
        <w:pStyle w:val="5"/>
        <w:rPr>
          <w:color w:val="000000"/>
        </w:rPr>
      </w:pPr>
    </w:p>
    <w:p w14:paraId="1E2A2A28">
      <w:pPr>
        <w:pStyle w:val="5"/>
        <w:rPr>
          <w:color w:val="000000"/>
        </w:rPr>
      </w:pPr>
    </w:p>
    <w:p w14:paraId="52A01473">
      <w:pPr>
        <w:pStyle w:val="5"/>
        <w:rPr>
          <w:color w:val="000000"/>
        </w:rPr>
      </w:pPr>
    </w:p>
    <w:p w14:paraId="623D6A66">
      <w:pPr>
        <w:pStyle w:val="208"/>
        <w:ind w:firstLine="480"/>
        <w:rPr>
          <w:rFonts w:hint="eastAsia"/>
          <w:color w:val="000000"/>
        </w:rPr>
      </w:pPr>
    </w:p>
    <w:p w14:paraId="6927B719">
      <w:pPr>
        <w:pStyle w:val="208"/>
        <w:ind w:firstLine="480"/>
        <w:rPr>
          <w:rFonts w:hint="eastAsia"/>
          <w:color w:val="000000"/>
        </w:rPr>
      </w:pPr>
    </w:p>
    <w:p w14:paraId="33A83770">
      <w:pPr>
        <w:pStyle w:val="208"/>
        <w:ind w:firstLine="480"/>
        <w:rPr>
          <w:rFonts w:hint="eastAsia"/>
          <w:color w:val="000000"/>
        </w:rPr>
      </w:pPr>
    </w:p>
    <w:p w14:paraId="5763991B">
      <w:pPr>
        <w:pStyle w:val="208"/>
        <w:ind w:firstLine="480"/>
        <w:rPr>
          <w:rFonts w:hint="eastAsia"/>
          <w:color w:val="000000"/>
        </w:rPr>
      </w:pPr>
    </w:p>
    <w:p w14:paraId="22F57D59">
      <w:pPr>
        <w:pStyle w:val="208"/>
        <w:ind w:firstLine="480"/>
        <w:rPr>
          <w:rFonts w:hint="eastAsia"/>
          <w:color w:val="000000"/>
        </w:rPr>
      </w:pPr>
    </w:p>
    <w:p w14:paraId="3ED67F52">
      <w:pPr>
        <w:pStyle w:val="208"/>
        <w:ind w:firstLine="480"/>
        <w:rPr>
          <w:rFonts w:hint="eastAsia"/>
          <w:color w:val="000000"/>
        </w:rPr>
      </w:pPr>
    </w:p>
    <w:p w14:paraId="45DF4B46">
      <w:pPr>
        <w:pStyle w:val="208"/>
        <w:spacing w:beforeAutospacing="0" w:afterAutospacing="0" w:line="500" w:lineRule="exact"/>
        <w:jc w:val="center"/>
        <w:outlineLvl w:val="1"/>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三、具备履行合同所必需的设备和专业技术能力的书面声明</w:t>
      </w:r>
    </w:p>
    <w:p w14:paraId="22579825">
      <w:pPr>
        <w:pStyle w:val="208"/>
        <w:spacing w:beforeAutospacing="0" w:afterAutospacing="0" w:line="500" w:lineRule="exact"/>
        <w:ind w:firstLine="480"/>
        <w:jc w:val="both"/>
        <w:rPr>
          <w:rFonts w:hint="eastAsia"/>
          <w:color w:val="000000"/>
        </w:rPr>
      </w:pPr>
      <w:r>
        <w:rPr>
          <w:rFonts w:hint="eastAsia"/>
          <w:color w:val="000000"/>
        </w:rPr>
        <w:t>我单位郑重声明：我单位具备履行本项采购合同所必需的设备和专业技术能力，为履行本项采购合同我公司具备如下主要设备和主要专业技术能力：</w:t>
      </w:r>
    </w:p>
    <w:p w14:paraId="15748382">
      <w:pPr>
        <w:pStyle w:val="208"/>
        <w:spacing w:beforeAutospacing="0" w:afterAutospacing="0" w:line="500" w:lineRule="exact"/>
        <w:ind w:firstLine="480"/>
        <w:jc w:val="both"/>
        <w:rPr>
          <w:rFonts w:hint="eastAsia"/>
          <w:color w:val="000000"/>
        </w:rPr>
      </w:pPr>
      <w:r>
        <w:rPr>
          <w:rFonts w:hint="eastAsia"/>
          <w:color w:val="000000"/>
        </w:rPr>
        <w:t>主要设备有：</w:t>
      </w:r>
      <w:r>
        <w:rPr>
          <w:rFonts w:hint="eastAsia"/>
          <w:color w:val="000000"/>
          <w:u w:val="single"/>
        </w:rPr>
        <w:t xml:space="preserve">            </w:t>
      </w:r>
      <w:r>
        <w:rPr>
          <w:rFonts w:hint="eastAsia"/>
          <w:color w:val="000000"/>
        </w:rPr>
        <w:t>。</w:t>
      </w:r>
    </w:p>
    <w:p w14:paraId="31E5D151">
      <w:pPr>
        <w:pStyle w:val="208"/>
        <w:spacing w:beforeAutospacing="0" w:afterAutospacing="0" w:line="500" w:lineRule="exact"/>
        <w:ind w:firstLine="480"/>
        <w:jc w:val="both"/>
        <w:rPr>
          <w:rFonts w:hint="eastAsia"/>
          <w:color w:val="000000"/>
        </w:rPr>
      </w:pPr>
      <w:r>
        <w:rPr>
          <w:rFonts w:hint="eastAsia"/>
          <w:color w:val="000000"/>
        </w:rPr>
        <w:t>主要专业技术能力有：</w:t>
      </w:r>
      <w:r>
        <w:rPr>
          <w:rFonts w:hint="eastAsia"/>
          <w:color w:val="000000"/>
          <w:u w:val="single"/>
        </w:rPr>
        <w:t xml:space="preserve">   </w:t>
      </w:r>
      <w:r>
        <w:rPr>
          <w:rFonts w:hint="eastAsia"/>
          <w:color w:val="000000"/>
        </w:rPr>
        <w:t>。</w:t>
      </w:r>
    </w:p>
    <w:p w14:paraId="589BE804">
      <w:pPr>
        <w:pStyle w:val="208"/>
        <w:spacing w:beforeAutospacing="0" w:afterAutospacing="0" w:line="500" w:lineRule="exact"/>
        <w:ind w:firstLine="480"/>
        <w:jc w:val="both"/>
        <w:rPr>
          <w:rFonts w:hint="eastAsia"/>
          <w:color w:val="000000"/>
        </w:rPr>
      </w:pPr>
      <w:r>
        <w:rPr>
          <w:rFonts w:hint="eastAsia"/>
          <w:color w:val="000000"/>
        </w:rPr>
        <w:t>                </w:t>
      </w:r>
    </w:p>
    <w:p w14:paraId="7020C841">
      <w:pPr>
        <w:jc w:val="center"/>
        <w:rPr>
          <w:rFonts w:hint="eastAsia" w:ascii="黑体" w:hAnsi="黑体" w:eastAsia="黑体" w:cs="黑体"/>
          <w:i/>
          <w:color w:val="000000"/>
          <w:sz w:val="32"/>
          <w:szCs w:val="32"/>
          <w:u w:val="single"/>
        </w:rPr>
      </w:pPr>
      <w:r>
        <w:rPr>
          <w:rFonts w:hint="eastAsia"/>
          <w:color w:val="000000"/>
        </w:rPr>
        <w:br w:type="page" w:clear="all"/>
      </w:r>
      <w:r>
        <w:rPr>
          <w:rFonts w:hint="eastAsia" w:ascii="黑体" w:hAnsi="黑体" w:eastAsia="黑体" w:cs="黑体"/>
          <w:i/>
          <w:color w:val="000000"/>
          <w:sz w:val="32"/>
          <w:szCs w:val="32"/>
          <w:u w:val="single"/>
        </w:rPr>
        <w:t>四、依法缴纳税收和社会保障资金的相关材料</w:t>
      </w:r>
    </w:p>
    <w:p w14:paraId="34AF478C">
      <w:pPr>
        <w:pStyle w:val="208"/>
        <w:spacing w:beforeAutospacing="0" w:afterAutospacing="0" w:line="440" w:lineRule="exact"/>
        <w:ind w:firstLine="480"/>
        <w:jc w:val="both"/>
        <w:rPr>
          <w:rFonts w:hint="eastAsia"/>
          <w:color w:val="000000"/>
          <w:szCs w:val="24"/>
        </w:rPr>
      </w:pPr>
      <w:r>
        <w:rPr>
          <w:rFonts w:hint="eastAsia"/>
          <w:color w:val="000000"/>
          <w:szCs w:val="24"/>
        </w:rPr>
        <w:t>提供提交投标文件截止时间前一年内至少一个月依法缴纳税收及缴纳社会保障资金的证明材料。供应商依法享受缓缴、免缴税收、社会保障资金的提供证明材料。</w:t>
      </w:r>
    </w:p>
    <w:p w14:paraId="435888EC">
      <w:pPr>
        <w:pStyle w:val="208"/>
        <w:ind w:firstLine="480"/>
        <w:rPr>
          <w:rFonts w:hint="eastAsia"/>
          <w:color w:val="000000"/>
        </w:rPr>
      </w:pPr>
    </w:p>
    <w:p w14:paraId="36898F04">
      <w:pPr>
        <w:pStyle w:val="211"/>
        <w:ind w:firstLine="643"/>
        <w:rPr>
          <w:color w:val="000000"/>
        </w:rPr>
      </w:pPr>
    </w:p>
    <w:p w14:paraId="564058A7">
      <w:pPr>
        <w:pStyle w:val="205"/>
        <w:ind w:firstLine="560"/>
        <w:rPr>
          <w:color w:val="000000"/>
        </w:rPr>
      </w:pPr>
    </w:p>
    <w:p w14:paraId="7D95F474">
      <w:pPr>
        <w:pStyle w:val="205"/>
        <w:ind w:firstLine="560"/>
        <w:rPr>
          <w:color w:val="000000"/>
        </w:rPr>
      </w:pPr>
    </w:p>
    <w:p w14:paraId="7CCFF4A8">
      <w:pPr>
        <w:pStyle w:val="205"/>
        <w:ind w:firstLine="560"/>
        <w:rPr>
          <w:color w:val="000000"/>
        </w:rPr>
      </w:pPr>
    </w:p>
    <w:p w14:paraId="50E9CE3C">
      <w:pPr>
        <w:pStyle w:val="205"/>
        <w:ind w:firstLine="560"/>
        <w:rPr>
          <w:color w:val="000000"/>
        </w:rPr>
      </w:pPr>
    </w:p>
    <w:p w14:paraId="3499C1B8">
      <w:pPr>
        <w:pStyle w:val="205"/>
        <w:ind w:firstLine="560"/>
        <w:rPr>
          <w:color w:val="000000"/>
        </w:rPr>
      </w:pPr>
    </w:p>
    <w:p w14:paraId="09A9753B">
      <w:pPr>
        <w:pStyle w:val="205"/>
        <w:ind w:firstLine="560"/>
        <w:rPr>
          <w:color w:val="000000"/>
        </w:rPr>
      </w:pPr>
    </w:p>
    <w:p w14:paraId="4503138D">
      <w:pPr>
        <w:pStyle w:val="205"/>
        <w:ind w:firstLine="560"/>
        <w:rPr>
          <w:color w:val="000000"/>
        </w:rPr>
      </w:pPr>
    </w:p>
    <w:p w14:paraId="2211EE21">
      <w:pPr>
        <w:ind w:firstLine="440"/>
        <w:rPr>
          <w:color w:val="000000"/>
        </w:rPr>
      </w:pPr>
    </w:p>
    <w:p w14:paraId="24E91CAA">
      <w:pPr>
        <w:ind w:firstLine="440"/>
        <w:rPr>
          <w:color w:val="000000"/>
        </w:rPr>
      </w:pPr>
    </w:p>
    <w:p w14:paraId="1DFD73D6">
      <w:pPr>
        <w:ind w:firstLine="440"/>
        <w:rPr>
          <w:color w:val="000000"/>
        </w:rPr>
      </w:pPr>
    </w:p>
    <w:p w14:paraId="1F51968F">
      <w:pPr>
        <w:ind w:firstLine="440"/>
        <w:rPr>
          <w:color w:val="000000"/>
        </w:rPr>
      </w:pPr>
    </w:p>
    <w:p w14:paraId="1809C02C">
      <w:pPr>
        <w:ind w:firstLine="440"/>
        <w:rPr>
          <w:color w:val="000000"/>
        </w:rPr>
      </w:pPr>
    </w:p>
    <w:p w14:paraId="491E11C1">
      <w:pPr>
        <w:ind w:firstLine="440"/>
        <w:rPr>
          <w:color w:val="000000"/>
        </w:rPr>
      </w:pPr>
    </w:p>
    <w:p w14:paraId="219BF4AE">
      <w:pPr>
        <w:ind w:firstLine="440"/>
        <w:rPr>
          <w:color w:val="000000"/>
        </w:rPr>
      </w:pPr>
    </w:p>
    <w:p w14:paraId="77066956">
      <w:pPr>
        <w:ind w:firstLine="440"/>
        <w:rPr>
          <w:color w:val="000000"/>
        </w:rPr>
      </w:pPr>
    </w:p>
    <w:p w14:paraId="4C03F5F0">
      <w:pPr>
        <w:ind w:firstLine="440"/>
        <w:rPr>
          <w:color w:val="000000"/>
        </w:rPr>
      </w:pPr>
    </w:p>
    <w:p w14:paraId="4EFECF07">
      <w:pPr>
        <w:rPr>
          <w:color w:val="000000"/>
          <w:sz w:val="24"/>
        </w:rPr>
      </w:pPr>
    </w:p>
    <w:p w14:paraId="20592D64">
      <w:pPr>
        <w:ind w:firstLine="480"/>
        <w:rPr>
          <w:color w:val="000000"/>
          <w:sz w:val="24"/>
        </w:rPr>
      </w:pPr>
    </w:p>
    <w:p w14:paraId="182F13BF">
      <w:pPr>
        <w:ind w:firstLine="480"/>
        <w:rPr>
          <w:color w:val="000000"/>
          <w:sz w:val="24"/>
        </w:rPr>
      </w:pPr>
    </w:p>
    <w:p w14:paraId="611545A0">
      <w:pPr>
        <w:ind w:firstLine="440"/>
        <w:rPr>
          <w:color w:val="000000"/>
        </w:rPr>
      </w:pPr>
    </w:p>
    <w:p w14:paraId="081CF0A8">
      <w:pPr>
        <w:ind w:firstLine="440"/>
        <w:rPr>
          <w:color w:val="000000"/>
        </w:rPr>
      </w:pPr>
    </w:p>
    <w:p w14:paraId="5949153A">
      <w:pPr>
        <w:ind w:firstLine="440"/>
        <w:rPr>
          <w:color w:val="000000"/>
        </w:rPr>
      </w:pPr>
    </w:p>
    <w:p w14:paraId="63C034C0">
      <w:pPr>
        <w:pStyle w:val="208"/>
        <w:ind w:firstLine="480"/>
        <w:rPr>
          <w:rFonts w:hint="eastAsia"/>
          <w:color w:val="000000"/>
        </w:rPr>
      </w:pPr>
    </w:p>
    <w:p w14:paraId="5FB48C0E">
      <w:pPr>
        <w:pStyle w:val="208"/>
        <w:ind w:firstLine="480"/>
        <w:rPr>
          <w:rFonts w:hint="eastAsia"/>
          <w:color w:val="000000"/>
        </w:rPr>
      </w:pPr>
    </w:p>
    <w:p w14:paraId="2C6DDAEA">
      <w:pPr>
        <w:pStyle w:val="208"/>
        <w:ind w:firstLine="480"/>
        <w:rPr>
          <w:rFonts w:hint="eastAsia"/>
          <w:color w:val="000000"/>
        </w:rPr>
      </w:pPr>
    </w:p>
    <w:p w14:paraId="0D741715">
      <w:pPr>
        <w:pStyle w:val="208"/>
        <w:ind w:firstLine="480"/>
        <w:rPr>
          <w:rFonts w:hint="eastAsia"/>
          <w:color w:val="000000"/>
        </w:rPr>
      </w:pPr>
    </w:p>
    <w:p w14:paraId="39A62C76">
      <w:pPr>
        <w:pStyle w:val="208"/>
        <w:ind w:firstLine="480"/>
        <w:rPr>
          <w:rFonts w:hint="eastAsia"/>
          <w:color w:val="000000"/>
        </w:rPr>
      </w:pPr>
    </w:p>
    <w:p w14:paraId="37048EAC">
      <w:pPr>
        <w:pStyle w:val="208"/>
        <w:spacing w:beforeAutospacing="0" w:afterAutospacing="0" w:line="500" w:lineRule="exact"/>
        <w:jc w:val="center"/>
        <w:outlineLvl w:val="1"/>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五、参加政府采购活动前 3 年内在经营活动中没有重大违法记录的书面声明</w:t>
      </w:r>
    </w:p>
    <w:p w14:paraId="44E2343A">
      <w:pPr>
        <w:pStyle w:val="208"/>
        <w:spacing w:beforeAutospacing="0" w:afterAutospacing="0" w:line="500" w:lineRule="exact"/>
        <w:ind w:firstLine="3618"/>
        <w:jc w:val="both"/>
        <w:rPr>
          <w:rFonts w:hint="eastAsia"/>
          <w:color w:val="000000"/>
        </w:rPr>
      </w:pPr>
      <w:r>
        <w:rPr>
          <w:rFonts w:hint="eastAsia"/>
          <w:b/>
          <w:color w:val="000000"/>
          <w:sz w:val="44"/>
          <w:szCs w:val="44"/>
        </w:rPr>
        <w:t>声  明</w:t>
      </w:r>
    </w:p>
    <w:p w14:paraId="34FA6372">
      <w:pPr>
        <w:pStyle w:val="208"/>
        <w:spacing w:beforeAutospacing="0" w:afterAutospacing="0" w:line="500" w:lineRule="exact"/>
        <w:ind w:firstLine="482"/>
        <w:jc w:val="both"/>
        <w:rPr>
          <w:rFonts w:hint="eastAsia"/>
          <w:color w:val="000000"/>
        </w:rPr>
      </w:pPr>
      <w:r>
        <w:rPr>
          <w:rFonts w:hint="eastAsia"/>
          <w:color w:val="000000"/>
        </w:rPr>
        <w:t>我单位郑重声明：参加本次政府采购活动前 3 年内，我单位在经营活动中没有因违法经营受到刑事处罚或者责令停产停业、吊销许可证或者执照、较大数额罚款等行政处罚。</w:t>
      </w:r>
    </w:p>
    <w:p w14:paraId="04C5E61B">
      <w:pPr>
        <w:pStyle w:val="208"/>
        <w:ind w:firstLine="480"/>
        <w:rPr>
          <w:rFonts w:hint="eastAsia"/>
          <w:color w:val="000000"/>
        </w:rPr>
      </w:pPr>
    </w:p>
    <w:p w14:paraId="51289460">
      <w:pPr>
        <w:pStyle w:val="208"/>
        <w:ind w:firstLine="480"/>
        <w:rPr>
          <w:rFonts w:hint="eastAsia"/>
          <w:color w:val="000000"/>
        </w:rPr>
      </w:pPr>
    </w:p>
    <w:p w14:paraId="130F4C17">
      <w:pPr>
        <w:pStyle w:val="208"/>
        <w:ind w:firstLine="480"/>
        <w:rPr>
          <w:rFonts w:hint="eastAsia"/>
          <w:color w:val="000000"/>
        </w:rPr>
      </w:pPr>
    </w:p>
    <w:p w14:paraId="52F681A1">
      <w:pPr>
        <w:pStyle w:val="208"/>
        <w:ind w:firstLine="480"/>
        <w:rPr>
          <w:rFonts w:hint="eastAsia"/>
          <w:color w:val="000000"/>
        </w:rPr>
      </w:pPr>
    </w:p>
    <w:p w14:paraId="348899A3">
      <w:pPr>
        <w:pStyle w:val="208"/>
        <w:ind w:firstLine="480"/>
        <w:rPr>
          <w:rFonts w:hint="eastAsia"/>
          <w:color w:val="000000"/>
        </w:rPr>
      </w:pPr>
    </w:p>
    <w:p w14:paraId="276FBA66">
      <w:pPr>
        <w:pStyle w:val="208"/>
        <w:ind w:firstLine="480"/>
        <w:rPr>
          <w:rFonts w:hint="eastAsia"/>
          <w:color w:val="000000"/>
        </w:rPr>
      </w:pPr>
    </w:p>
    <w:p w14:paraId="30134A46">
      <w:pPr>
        <w:pStyle w:val="208"/>
        <w:ind w:firstLine="480"/>
        <w:rPr>
          <w:rFonts w:hint="eastAsia"/>
          <w:color w:val="000000"/>
        </w:rPr>
      </w:pPr>
    </w:p>
    <w:p w14:paraId="375DAC56">
      <w:pPr>
        <w:pStyle w:val="208"/>
        <w:ind w:firstLine="480"/>
        <w:rPr>
          <w:rFonts w:hint="eastAsia"/>
          <w:color w:val="000000"/>
        </w:rPr>
      </w:pPr>
    </w:p>
    <w:p w14:paraId="3AE496CA">
      <w:pPr>
        <w:pStyle w:val="208"/>
        <w:ind w:firstLine="480"/>
        <w:rPr>
          <w:rFonts w:hint="eastAsia"/>
          <w:color w:val="000000"/>
        </w:rPr>
      </w:pPr>
    </w:p>
    <w:p w14:paraId="0EA809D5">
      <w:pPr>
        <w:pStyle w:val="208"/>
        <w:ind w:firstLine="480"/>
        <w:rPr>
          <w:rFonts w:hint="eastAsia"/>
          <w:color w:val="000000"/>
        </w:rPr>
      </w:pPr>
    </w:p>
    <w:p w14:paraId="4CF91C90">
      <w:pPr>
        <w:pStyle w:val="208"/>
        <w:ind w:firstLine="480"/>
        <w:rPr>
          <w:rFonts w:hint="eastAsia"/>
          <w:color w:val="000000"/>
        </w:rPr>
      </w:pPr>
    </w:p>
    <w:p w14:paraId="42FD72CD">
      <w:pPr>
        <w:pStyle w:val="208"/>
        <w:ind w:firstLine="480"/>
        <w:rPr>
          <w:rFonts w:hint="eastAsia"/>
          <w:color w:val="000000"/>
        </w:rPr>
      </w:pPr>
    </w:p>
    <w:p w14:paraId="7C6C65B6">
      <w:pPr>
        <w:pStyle w:val="208"/>
        <w:ind w:firstLine="480"/>
        <w:rPr>
          <w:rFonts w:hint="eastAsia"/>
          <w:color w:val="000000"/>
        </w:rPr>
      </w:pPr>
    </w:p>
    <w:p w14:paraId="50F8D094">
      <w:pPr>
        <w:pStyle w:val="208"/>
        <w:ind w:firstLine="480"/>
        <w:rPr>
          <w:rFonts w:hint="eastAsia"/>
          <w:color w:val="000000"/>
        </w:rPr>
      </w:pPr>
    </w:p>
    <w:p w14:paraId="1AFE3D8C">
      <w:pPr>
        <w:pStyle w:val="208"/>
        <w:ind w:firstLine="480"/>
        <w:rPr>
          <w:rFonts w:hint="eastAsia"/>
          <w:color w:val="000000"/>
        </w:rPr>
      </w:pPr>
    </w:p>
    <w:p w14:paraId="68604600">
      <w:pPr>
        <w:pStyle w:val="208"/>
        <w:ind w:firstLine="480"/>
        <w:rPr>
          <w:rFonts w:hint="eastAsia"/>
          <w:color w:val="000000"/>
        </w:rPr>
      </w:pPr>
    </w:p>
    <w:p w14:paraId="0E1DFA15">
      <w:pPr>
        <w:pStyle w:val="208"/>
        <w:ind w:firstLine="480"/>
        <w:rPr>
          <w:rFonts w:hint="eastAsia"/>
          <w:color w:val="000000"/>
        </w:rPr>
      </w:pPr>
    </w:p>
    <w:p w14:paraId="49FA0477">
      <w:pPr>
        <w:pStyle w:val="208"/>
        <w:ind w:firstLine="480"/>
        <w:rPr>
          <w:rFonts w:hint="eastAsia"/>
          <w:color w:val="000000"/>
        </w:rPr>
      </w:pPr>
    </w:p>
    <w:p w14:paraId="02ED4316">
      <w:pPr>
        <w:pStyle w:val="36"/>
        <w:spacing w:beforeAutospacing="0" w:afterAutospacing="0"/>
        <w:jc w:val="both"/>
        <w:rPr>
          <w:rFonts w:hint="eastAsia" w:ascii="宋体" w:hAnsi="宋体" w:cs="宋体"/>
          <w:b/>
          <w:bCs/>
          <w:i/>
          <w:iCs/>
        </w:rPr>
      </w:pPr>
      <w:r>
        <w:rPr>
          <w:rFonts w:hint="eastAsia" w:ascii="宋体" w:hAnsi="宋体" w:cs="宋体"/>
          <w:b/>
          <w:bCs/>
          <w:i/>
          <w:iCs/>
          <w:color w:val="000000"/>
          <w:sz w:val="32"/>
          <w:szCs w:val="32"/>
          <w:u w:val="single"/>
        </w:rPr>
        <w:t>六、单位负责人为同一人或者存在直接控股、服务关系的不同供应商，不得参加同一合同项下的政府采购活动证明文件</w:t>
      </w:r>
    </w:p>
    <w:p w14:paraId="05CE0D2C">
      <w:pPr>
        <w:pStyle w:val="36"/>
        <w:spacing w:beforeAutospacing="0" w:afterAutospacing="0" w:line="0" w:lineRule="atLeast"/>
        <w:ind w:firstLine="1680"/>
        <w:jc w:val="both"/>
        <w:rPr>
          <w:rFonts w:hint="eastAsia" w:ascii="宋体" w:hAnsi="宋体" w:cs="宋体"/>
          <w:b/>
          <w:bCs/>
          <w:color w:val="000000"/>
          <w:sz w:val="44"/>
          <w:szCs w:val="44"/>
        </w:rPr>
      </w:pPr>
      <w:r>
        <w:rPr>
          <w:rFonts w:hint="eastAsia" w:ascii="宋体" w:hAnsi="宋体" w:cs="宋体"/>
          <w:color w:val="000000"/>
          <w:szCs w:val="24"/>
        </w:rPr>
        <w:t xml:space="preserve">       </w:t>
      </w:r>
      <w:r>
        <w:rPr>
          <w:rFonts w:hint="eastAsia" w:ascii="宋体" w:hAnsi="宋体" w:cs="宋体"/>
          <w:b/>
          <w:bCs/>
          <w:color w:val="000000"/>
          <w:sz w:val="44"/>
          <w:szCs w:val="44"/>
        </w:rPr>
        <w:t xml:space="preserve">   </w:t>
      </w:r>
    </w:p>
    <w:p w14:paraId="31DCB859">
      <w:pPr>
        <w:pStyle w:val="36"/>
        <w:spacing w:beforeAutospacing="0" w:afterAutospacing="0" w:line="0" w:lineRule="atLeast"/>
        <w:jc w:val="center"/>
      </w:pPr>
      <w:r>
        <w:rPr>
          <w:rFonts w:hint="eastAsia" w:ascii="宋体" w:hAnsi="宋体" w:cs="宋体"/>
          <w:b/>
          <w:bCs/>
          <w:color w:val="000000"/>
          <w:sz w:val="44"/>
          <w:szCs w:val="44"/>
        </w:rPr>
        <w:t>声  明</w:t>
      </w:r>
    </w:p>
    <w:p w14:paraId="568F0614">
      <w:pPr>
        <w:pStyle w:val="36"/>
        <w:spacing w:beforeAutospacing="0" w:afterAutospacing="0" w:line="0" w:lineRule="atLeast"/>
        <w:jc w:val="both"/>
      </w:pPr>
      <w:r>
        <w:rPr>
          <w:rFonts w:hint="eastAsia" w:ascii="宋体" w:hAnsi="宋体" w:cs="宋体"/>
          <w:color w:val="000000"/>
          <w:szCs w:val="24"/>
        </w:rPr>
        <w:t>我单位不存在：单位负责人为同一人或者存在直接控股、管理关系的不同供应商，同时参加同一合同项下的政府采购活动。</w:t>
      </w:r>
    </w:p>
    <w:p w14:paraId="0C6EAEC1">
      <w:pPr>
        <w:pStyle w:val="36"/>
        <w:spacing w:beforeAutospacing="0" w:afterAutospacing="0"/>
        <w:jc w:val="center"/>
      </w:pPr>
      <w:r>
        <w:t>  </w:t>
      </w:r>
    </w:p>
    <w:p w14:paraId="5D09D7DD">
      <w:pPr>
        <w:spacing w:line="460" w:lineRule="exact"/>
        <w:ind w:firstLine="3840" w:firstLineChars="1600"/>
        <w:rPr>
          <w:rFonts w:hint="eastAsia" w:ascii="宋体" w:hAnsi="宋体"/>
          <w:bCs/>
          <w:sz w:val="24"/>
        </w:rPr>
      </w:pPr>
      <w:r>
        <w:rPr>
          <w:rFonts w:hint="eastAsia" w:ascii="宋体" w:hAnsi="宋体"/>
          <w:bCs/>
          <w:sz w:val="24"/>
        </w:rPr>
        <w:t>供应商名称（公章）：</w:t>
      </w:r>
    </w:p>
    <w:p w14:paraId="7F66F737">
      <w:pPr>
        <w:spacing w:line="460" w:lineRule="exact"/>
        <w:rPr>
          <w:rFonts w:hint="eastAsia" w:ascii="宋体" w:hAnsi="宋体"/>
          <w:bCs/>
          <w:sz w:val="24"/>
        </w:rPr>
      </w:pPr>
      <w:r>
        <w:rPr>
          <w:rFonts w:hint="eastAsia" w:ascii="宋体" w:hAnsi="宋体"/>
          <w:bCs/>
          <w:sz w:val="24"/>
        </w:rPr>
        <w:t xml:space="preserve">                                      授权代表签字：______________________</w:t>
      </w:r>
    </w:p>
    <w:p w14:paraId="74C681A6">
      <w:pPr>
        <w:spacing w:line="460" w:lineRule="exact"/>
        <w:rPr>
          <w:rFonts w:hint="eastAsia" w:ascii="宋体" w:hAnsi="宋体"/>
          <w:bCs/>
          <w:sz w:val="24"/>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2EE66B6A">
      <w:pPr>
        <w:pStyle w:val="208"/>
        <w:ind w:firstLine="480"/>
        <w:rPr>
          <w:rFonts w:hint="eastAsia"/>
          <w:color w:val="000000"/>
        </w:rPr>
      </w:pPr>
    </w:p>
    <w:p w14:paraId="37195D8B">
      <w:pPr>
        <w:pStyle w:val="208"/>
        <w:ind w:firstLine="480"/>
        <w:rPr>
          <w:rFonts w:hint="eastAsia"/>
          <w:color w:val="000000"/>
        </w:rPr>
      </w:pPr>
    </w:p>
    <w:p w14:paraId="63267F20">
      <w:pPr>
        <w:pStyle w:val="208"/>
        <w:ind w:firstLine="480"/>
        <w:rPr>
          <w:rFonts w:hint="eastAsia"/>
          <w:color w:val="000000"/>
        </w:rPr>
      </w:pPr>
    </w:p>
    <w:p w14:paraId="56E7E277">
      <w:pPr>
        <w:pStyle w:val="208"/>
        <w:ind w:firstLine="480"/>
        <w:rPr>
          <w:rFonts w:hint="eastAsia"/>
          <w:color w:val="000000"/>
        </w:rPr>
      </w:pPr>
    </w:p>
    <w:p w14:paraId="18E7C207">
      <w:pPr>
        <w:pStyle w:val="208"/>
        <w:ind w:firstLine="480"/>
        <w:rPr>
          <w:rFonts w:hint="eastAsia"/>
          <w:color w:val="000000"/>
        </w:rPr>
      </w:pPr>
    </w:p>
    <w:p w14:paraId="0E0B555F">
      <w:pPr>
        <w:pStyle w:val="208"/>
        <w:ind w:firstLine="480"/>
        <w:rPr>
          <w:rFonts w:hint="eastAsia"/>
          <w:color w:val="000000"/>
        </w:rPr>
      </w:pPr>
    </w:p>
    <w:p w14:paraId="63D6D448">
      <w:pPr>
        <w:pStyle w:val="208"/>
        <w:ind w:firstLine="480"/>
        <w:rPr>
          <w:rFonts w:hint="eastAsia"/>
          <w:color w:val="000000"/>
        </w:rPr>
      </w:pPr>
    </w:p>
    <w:p w14:paraId="439AC5E4">
      <w:pPr>
        <w:pStyle w:val="208"/>
        <w:ind w:firstLine="480"/>
        <w:rPr>
          <w:rFonts w:hint="eastAsia"/>
          <w:color w:val="000000"/>
        </w:rPr>
      </w:pPr>
    </w:p>
    <w:p w14:paraId="23A69FB6">
      <w:pPr>
        <w:pStyle w:val="208"/>
        <w:ind w:firstLine="480"/>
        <w:rPr>
          <w:rFonts w:hint="eastAsia"/>
          <w:color w:val="000000"/>
        </w:rPr>
      </w:pPr>
    </w:p>
    <w:p w14:paraId="4A49C177">
      <w:pPr>
        <w:pStyle w:val="208"/>
        <w:ind w:firstLine="480"/>
        <w:rPr>
          <w:rFonts w:hint="eastAsia"/>
          <w:color w:val="000000"/>
        </w:rPr>
      </w:pPr>
    </w:p>
    <w:p w14:paraId="0A8FBC7D">
      <w:pPr>
        <w:pStyle w:val="208"/>
        <w:ind w:firstLine="480"/>
        <w:rPr>
          <w:rFonts w:hint="eastAsia"/>
          <w:color w:val="000000"/>
        </w:rPr>
      </w:pPr>
    </w:p>
    <w:p w14:paraId="473EBB1C">
      <w:pPr>
        <w:pStyle w:val="208"/>
        <w:ind w:firstLine="480"/>
        <w:rPr>
          <w:rFonts w:hint="eastAsia"/>
          <w:color w:val="000000"/>
        </w:rPr>
      </w:pPr>
    </w:p>
    <w:p w14:paraId="4C9D07C0">
      <w:pPr>
        <w:ind w:firstLine="440"/>
        <w:rPr>
          <w:color w:val="000000"/>
        </w:rPr>
      </w:pPr>
      <w:r>
        <w:rPr>
          <w:rFonts w:hint="eastAsia"/>
          <w:color w:val="000000"/>
        </w:rPr>
        <w:br w:type="page" w:clear="all"/>
      </w:r>
    </w:p>
    <w:p w14:paraId="3F3F1DC7">
      <w:pPr>
        <w:pStyle w:val="208"/>
        <w:spacing w:beforeAutospacing="0" w:afterAutospacing="0" w:line="500" w:lineRule="exact"/>
        <w:jc w:val="center"/>
        <w:outlineLvl w:val="1"/>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七、特定资格要求的证明文件</w:t>
      </w:r>
    </w:p>
    <w:p w14:paraId="73662AA4">
      <w:pPr>
        <w:pStyle w:val="208"/>
        <w:spacing w:beforeAutospacing="0" w:afterAutospacing="0" w:line="500" w:lineRule="exact"/>
        <w:ind w:firstLine="480"/>
        <w:jc w:val="center"/>
        <w:rPr>
          <w:rFonts w:hint="eastAsia"/>
          <w:color w:val="000000"/>
        </w:rPr>
      </w:pPr>
      <w:r>
        <w:rPr>
          <w:rFonts w:hint="eastAsia"/>
          <w:color w:val="000000"/>
        </w:rPr>
        <w:t>如果本项目申请人的特定资格要求中要求提供的，必须提供。</w:t>
      </w:r>
    </w:p>
    <w:p w14:paraId="317EBD21">
      <w:pPr>
        <w:pStyle w:val="212"/>
        <w:spacing w:line="240" w:lineRule="auto"/>
        <w:ind w:firstLine="883"/>
        <w:rPr>
          <w:color w:val="000000"/>
        </w:rPr>
      </w:pPr>
    </w:p>
    <w:p w14:paraId="662A7606">
      <w:pPr>
        <w:ind w:firstLine="440"/>
        <w:rPr>
          <w:color w:val="000000"/>
        </w:rPr>
      </w:pPr>
    </w:p>
    <w:p w14:paraId="05FEB89F">
      <w:pPr>
        <w:pStyle w:val="213"/>
        <w:ind w:firstLine="440"/>
        <w:rPr>
          <w:color w:val="000000"/>
        </w:rPr>
      </w:pPr>
    </w:p>
    <w:p w14:paraId="17FD6995">
      <w:pPr>
        <w:ind w:firstLine="440"/>
        <w:rPr>
          <w:color w:val="000000"/>
        </w:rPr>
      </w:pPr>
    </w:p>
    <w:p w14:paraId="6FC826FC">
      <w:pPr>
        <w:ind w:firstLine="440"/>
        <w:rPr>
          <w:color w:val="000000"/>
        </w:rPr>
      </w:pPr>
    </w:p>
    <w:p w14:paraId="6C8C71AD">
      <w:pPr>
        <w:ind w:firstLine="440"/>
        <w:rPr>
          <w:color w:val="000000"/>
        </w:rPr>
      </w:pPr>
    </w:p>
    <w:p w14:paraId="62F1FBD9">
      <w:pPr>
        <w:ind w:firstLine="440"/>
        <w:rPr>
          <w:color w:val="000000"/>
        </w:rPr>
      </w:pPr>
    </w:p>
    <w:p w14:paraId="7857935D">
      <w:pPr>
        <w:ind w:firstLine="440"/>
        <w:rPr>
          <w:color w:val="000000"/>
        </w:rPr>
      </w:pPr>
    </w:p>
    <w:p w14:paraId="52BD4754">
      <w:pPr>
        <w:ind w:firstLine="440"/>
        <w:rPr>
          <w:color w:val="000000"/>
        </w:rPr>
      </w:pPr>
    </w:p>
    <w:p w14:paraId="426634C3">
      <w:pPr>
        <w:ind w:firstLine="440"/>
        <w:rPr>
          <w:color w:val="000000"/>
        </w:rPr>
      </w:pPr>
    </w:p>
    <w:p w14:paraId="6602EF1C">
      <w:pPr>
        <w:ind w:firstLine="440"/>
        <w:rPr>
          <w:color w:val="000000"/>
        </w:rPr>
      </w:pPr>
    </w:p>
    <w:p w14:paraId="199BEFF3">
      <w:pPr>
        <w:ind w:firstLine="440"/>
        <w:rPr>
          <w:color w:val="000000"/>
        </w:rPr>
      </w:pPr>
    </w:p>
    <w:p w14:paraId="0E50EA8A">
      <w:pPr>
        <w:ind w:firstLine="440"/>
        <w:rPr>
          <w:color w:val="000000"/>
        </w:rPr>
      </w:pPr>
    </w:p>
    <w:p w14:paraId="51425885">
      <w:pPr>
        <w:ind w:firstLine="440"/>
        <w:rPr>
          <w:color w:val="000000"/>
        </w:rPr>
      </w:pPr>
    </w:p>
    <w:p w14:paraId="794ABC7B">
      <w:pPr>
        <w:ind w:firstLine="440"/>
        <w:rPr>
          <w:color w:val="000000"/>
        </w:rPr>
      </w:pPr>
    </w:p>
    <w:p w14:paraId="432DB68A">
      <w:pPr>
        <w:ind w:firstLine="440"/>
        <w:rPr>
          <w:color w:val="000000"/>
        </w:rPr>
      </w:pPr>
    </w:p>
    <w:p w14:paraId="4BC0AFB6">
      <w:pPr>
        <w:ind w:firstLine="440"/>
        <w:rPr>
          <w:color w:val="000000"/>
        </w:rPr>
      </w:pPr>
    </w:p>
    <w:p w14:paraId="3A21C251">
      <w:pPr>
        <w:ind w:firstLine="440"/>
        <w:rPr>
          <w:color w:val="000000"/>
        </w:rPr>
      </w:pPr>
    </w:p>
    <w:p w14:paraId="3C28782A">
      <w:pPr>
        <w:ind w:firstLine="440"/>
        <w:rPr>
          <w:color w:val="000000"/>
        </w:rPr>
      </w:pPr>
    </w:p>
    <w:p w14:paraId="7796BBD2">
      <w:pPr>
        <w:ind w:firstLine="440"/>
        <w:rPr>
          <w:color w:val="000000"/>
        </w:rPr>
      </w:pPr>
    </w:p>
    <w:p w14:paraId="6CB05BF3">
      <w:pPr>
        <w:pStyle w:val="208"/>
        <w:ind w:firstLine="480"/>
        <w:rPr>
          <w:rFonts w:hint="eastAsia"/>
          <w:color w:val="000000"/>
        </w:rPr>
      </w:pPr>
    </w:p>
    <w:p w14:paraId="44C47270">
      <w:pPr>
        <w:pStyle w:val="208"/>
        <w:ind w:firstLine="480"/>
        <w:rPr>
          <w:rFonts w:hint="eastAsia"/>
          <w:color w:val="000000"/>
        </w:rPr>
      </w:pPr>
    </w:p>
    <w:p w14:paraId="3F670196">
      <w:pPr>
        <w:pStyle w:val="208"/>
        <w:ind w:firstLine="480"/>
        <w:rPr>
          <w:rFonts w:hint="eastAsia"/>
          <w:color w:val="000000"/>
        </w:rPr>
      </w:pPr>
    </w:p>
    <w:p w14:paraId="6DB4BB98">
      <w:pPr>
        <w:ind w:firstLine="560"/>
        <w:rPr>
          <w:color w:val="000000"/>
        </w:rPr>
      </w:pPr>
      <w:r>
        <w:rPr>
          <w:rFonts w:hint="eastAsia"/>
          <w:color w:val="000000"/>
        </w:rPr>
        <w:br w:type="page" w:clear="all"/>
      </w:r>
    </w:p>
    <w:p w14:paraId="498DA9D5">
      <w:pPr>
        <w:pStyle w:val="208"/>
        <w:spacing w:beforeAutospacing="0" w:afterAutospacing="0" w:line="500" w:lineRule="exact"/>
        <w:jc w:val="center"/>
        <w:outlineLvl w:val="1"/>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八、法人授权书</w:t>
      </w:r>
    </w:p>
    <w:p w14:paraId="5AB934B5">
      <w:pPr>
        <w:pStyle w:val="208"/>
        <w:ind w:firstLine="480"/>
        <w:rPr>
          <w:rFonts w:hint="eastAsia"/>
          <w:color w:val="000000"/>
        </w:rPr>
      </w:pPr>
      <w:r>
        <w:rPr>
          <w:rFonts w:hint="eastAsia"/>
          <w:color w:val="000000"/>
        </w:rPr>
        <w:t>本授权书声明：____________（供应商名称）授权________________（被授权人的姓名）为我方就</w:t>
      </w:r>
      <w:r>
        <w:rPr>
          <w:rFonts w:hint="eastAsia"/>
          <w:color w:val="000000"/>
          <w:u w:val="single"/>
          <w:lang w:eastAsia="zh-CN"/>
        </w:rPr>
        <w:t>JSZC-320922-ZAIX-G2026-0009</w:t>
      </w:r>
      <w:r>
        <w:rPr>
          <w:rFonts w:hint="eastAsia"/>
          <w:color w:val="000000"/>
          <w:u w:val="single"/>
        </w:rPr>
        <w:t xml:space="preserve">   </w:t>
      </w:r>
      <w:r>
        <w:rPr>
          <w:rFonts w:hint="eastAsia"/>
          <w:color w:val="000000"/>
        </w:rPr>
        <w:t>号</w:t>
      </w:r>
      <w:r>
        <w:rPr>
          <w:rFonts w:hint="eastAsia"/>
          <w:color w:val="000000"/>
          <w:szCs w:val="20"/>
          <w:u w:val="single"/>
          <w:lang w:eastAsia="zh-CN"/>
        </w:rPr>
        <w:t>滨海县镇区（街道）空气质量监测网络运维服务项目</w:t>
      </w:r>
      <w:r>
        <w:rPr>
          <w:rFonts w:hint="eastAsia"/>
          <w:color w:val="000000"/>
        </w:rPr>
        <w:t>采购活动的合法代理人，以本单位名义全权处理一切与该项目采购有关的事务。</w:t>
      </w:r>
    </w:p>
    <w:p w14:paraId="0E27E5EA">
      <w:pPr>
        <w:pStyle w:val="208"/>
        <w:ind w:firstLine="480"/>
        <w:rPr>
          <w:rFonts w:hint="eastAsia"/>
          <w:color w:val="000000"/>
        </w:rPr>
      </w:pPr>
      <w:r>
        <w:rPr>
          <w:rFonts w:hint="eastAsia"/>
          <w:color w:val="000000"/>
        </w:rPr>
        <w:t>本授权书于______年____月____日起生效，特此声明。</w:t>
      </w:r>
    </w:p>
    <w:p w14:paraId="2BABF389">
      <w:pPr>
        <w:pStyle w:val="208"/>
        <w:ind w:firstLine="480"/>
        <w:rPr>
          <w:rFonts w:hint="eastAsia"/>
          <w:color w:val="000000"/>
        </w:rPr>
      </w:pPr>
      <w:r>
        <w:rPr>
          <w:rFonts w:hint="eastAsia"/>
          <w:color w:val="000000"/>
        </w:rPr>
        <w:t>被授权人身份证号码：</w:t>
      </w:r>
      <w:r>
        <w:rPr>
          <w:rFonts w:hint="eastAsia"/>
          <w:color w:val="000000"/>
          <w:u w:val="single"/>
        </w:rPr>
        <w:t xml:space="preserve">                 </w:t>
      </w:r>
      <w:r>
        <w:rPr>
          <w:rFonts w:hint="eastAsia"/>
          <w:color w:val="000000"/>
        </w:rPr>
        <w:t>             </w:t>
      </w:r>
    </w:p>
    <w:p w14:paraId="7EAAAB14">
      <w:pPr>
        <w:pStyle w:val="208"/>
        <w:ind w:firstLine="480"/>
        <w:rPr>
          <w:rFonts w:hint="eastAsia"/>
          <w:color w:val="000000"/>
        </w:rPr>
      </w:pPr>
      <w:r>
        <w:rPr>
          <w:rFonts w:hint="eastAsia"/>
          <w:color w:val="000000"/>
        </w:rPr>
        <w:t>被授权人联系电话：</w:t>
      </w:r>
      <w:r>
        <w:rPr>
          <w:rFonts w:hint="eastAsia"/>
          <w:color w:val="000000"/>
          <w:u w:val="single"/>
        </w:rPr>
        <w:t xml:space="preserve">  （手机）              </w:t>
      </w:r>
      <w:r>
        <w:rPr>
          <w:rFonts w:hint="eastAsia"/>
          <w:color w:val="000000"/>
        </w:rPr>
        <w:t xml:space="preserve">                   </w:t>
      </w:r>
    </w:p>
    <w:p w14:paraId="74721613">
      <w:pPr>
        <w:pStyle w:val="208"/>
        <w:ind w:firstLine="480"/>
        <w:rPr>
          <w:rFonts w:hint="eastAsia"/>
          <w:color w:val="000000"/>
        </w:rPr>
      </w:pPr>
      <w:r>
        <w:rPr>
          <w:rFonts w:hint="eastAsia"/>
          <w:color w:val="000000"/>
        </w:rPr>
        <w:t>授权单位名称：</w:t>
      </w:r>
      <w:r>
        <w:rPr>
          <w:rFonts w:hint="eastAsia"/>
          <w:color w:val="000000"/>
          <w:u w:val="single"/>
        </w:rPr>
        <w:t xml:space="preserve">（加盖CA电子公章）          </w:t>
      </w:r>
      <w:r>
        <w:rPr>
          <w:rFonts w:hint="eastAsia"/>
          <w:color w:val="000000"/>
        </w:rPr>
        <w:t xml:space="preserve">            </w:t>
      </w:r>
    </w:p>
    <w:p w14:paraId="57C5C1D3">
      <w:pPr>
        <w:pStyle w:val="208"/>
        <w:ind w:firstLine="480"/>
        <w:rPr>
          <w:rFonts w:hint="eastAsia"/>
          <w:color w:val="000000"/>
        </w:rPr>
      </w:pPr>
      <w:r>
        <w:rPr>
          <w:rFonts w:hint="eastAsia"/>
          <w:color w:val="000000"/>
        </w:rPr>
        <w:t>单 位 地 址：</w:t>
      </w:r>
      <w:r>
        <w:rPr>
          <w:rFonts w:hint="eastAsia"/>
          <w:color w:val="000000"/>
          <w:u w:val="single"/>
        </w:rPr>
        <w:t xml:space="preserve">                      </w:t>
      </w:r>
      <w:r>
        <w:rPr>
          <w:rFonts w:hint="eastAsia"/>
          <w:color w:val="000000"/>
        </w:rPr>
        <w:t xml:space="preserve">          </w:t>
      </w:r>
    </w:p>
    <w:p w14:paraId="58A99D48">
      <w:pPr>
        <w:pStyle w:val="208"/>
        <w:ind w:firstLine="480"/>
        <w:rPr>
          <w:rFonts w:hint="eastAsia"/>
          <w:color w:val="000000"/>
        </w:rPr>
      </w:pPr>
      <w:r>
        <w:rPr>
          <w:rFonts w:hint="eastAsia"/>
          <w:color w:val="000000"/>
        </w:rPr>
        <w:t>日       期：</w:t>
      </w:r>
      <w:r>
        <w:rPr>
          <w:rFonts w:hint="eastAsia"/>
          <w:color w:val="000000"/>
          <w:u w:val="single"/>
        </w:rPr>
        <w:t xml:space="preserve">                           </w:t>
      </w:r>
    </w:p>
    <w:p w14:paraId="7E03C6FE">
      <w:pPr>
        <w:pStyle w:val="208"/>
        <w:jc w:val="both"/>
        <w:rPr>
          <w:rFonts w:hint="eastAsia"/>
          <w:color w:val="000000"/>
        </w:rPr>
      </w:pPr>
      <w:r>
        <w:rPr>
          <w:rFonts w:hint="eastAsia"/>
          <w:color w:val="000000"/>
        </w:rPr>
        <w:t>                            </w:t>
      </w:r>
    </w:p>
    <w:p w14:paraId="71F5F76E">
      <w:pPr>
        <w:ind w:firstLine="440"/>
        <w:rPr>
          <w:color w:val="000000"/>
        </w:rPr>
      </w:pPr>
    </w:p>
    <w:p w14:paraId="04222C3A">
      <w:pPr>
        <w:ind w:firstLine="440"/>
        <w:rPr>
          <w:color w:val="000000"/>
        </w:rPr>
      </w:pPr>
      <w:r>
        <w:rPr>
          <w:rFonts w:hint="eastAsia"/>
          <w:color w:val="000000"/>
        </w:rPr>
        <w:t xml:space="preserve"> </w:t>
      </w:r>
    </w:p>
    <w:p w14:paraId="2E076AE3">
      <w:pPr>
        <w:ind w:firstLine="480"/>
        <w:jc w:val="center"/>
        <w:rPr>
          <w:color w:val="000000"/>
        </w:rPr>
      </w:pPr>
      <w:r>
        <w:rPr>
          <w:rFonts w:hint="eastAsia"/>
          <w:color w:val="000000"/>
          <w:sz w:val="24"/>
        </w:rPr>
        <w:br w:type="page" w:clear="all"/>
      </w:r>
      <w:r>
        <w:rPr>
          <w:rFonts w:hint="eastAsia" w:ascii="黑体" w:hAnsi="黑体" w:eastAsia="黑体" w:cs="黑体"/>
          <w:i/>
          <w:color w:val="000000"/>
          <w:sz w:val="32"/>
          <w:szCs w:val="32"/>
          <w:u w:val="single"/>
        </w:rPr>
        <w:t>九、投标函</w:t>
      </w:r>
    </w:p>
    <w:p w14:paraId="6D9C5AAF">
      <w:pPr>
        <w:ind w:firstLine="480"/>
        <w:rPr>
          <w:rFonts w:hint="eastAsia" w:eastAsia="宋体"/>
          <w:color w:val="000000"/>
          <w:sz w:val="24"/>
          <w:szCs w:val="24"/>
          <w:lang w:eastAsia="zh-CN"/>
        </w:rPr>
      </w:pPr>
      <w:r>
        <w:rPr>
          <w:rFonts w:hint="eastAsia"/>
          <w:color w:val="000000"/>
          <w:sz w:val="24"/>
          <w:szCs w:val="24"/>
        </w:rPr>
        <w:t>致：</w:t>
      </w:r>
      <w:r>
        <w:rPr>
          <w:rFonts w:hint="eastAsia"/>
          <w:color w:val="000000"/>
          <w:sz w:val="24"/>
          <w:szCs w:val="24"/>
          <w:lang w:eastAsia="zh-CN"/>
        </w:rPr>
        <w:t>盐城市滨海生态环境局</w:t>
      </w:r>
    </w:p>
    <w:p w14:paraId="224FCBB6">
      <w:pPr>
        <w:ind w:firstLine="480"/>
        <w:rPr>
          <w:color w:val="000000"/>
          <w:sz w:val="24"/>
          <w:szCs w:val="24"/>
        </w:rPr>
      </w:pPr>
      <w:r>
        <w:rPr>
          <w:rFonts w:hint="eastAsia"/>
          <w:color w:val="000000"/>
          <w:sz w:val="24"/>
          <w:szCs w:val="24"/>
        </w:rPr>
        <w:t>根据贵方的</w:t>
      </w:r>
      <w:r>
        <w:rPr>
          <w:rFonts w:hint="eastAsia"/>
          <w:color w:val="000000"/>
          <w:sz w:val="24"/>
          <w:szCs w:val="24"/>
          <w:u w:val="single"/>
          <w:lang w:eastAsia="zh-CN"/>
        </w:rPr>
        <w:t>JSZC-320922-ZAIX-G2026-0009</w:t>
      </w:r>
      <w:r>
        <w:rPr>
          <w:rFonts w:hint="eastAsia"/>
          <w:color w:val="000000"/>
          <w:sz w:val="24"/>
          <w:szCs w:val="24"/>
        </w:rPr>
        <w:t>号招标文件，正式授权下述签字人______(姓名)代表我方______________（供应商的名称），全权处理本次项目投标的有关事宜。</w:t>
      </w:r>
    </w:p>
    <w:p w14:paraId="6A46BA64">
      <w:pPr>
        <w:ind w:firstLine="480"/>
        <w:rPr>
          <w:color w:val="000000"/>
          <w:sz w:val="24"/>
          <w:szCs w:val="24"/>
        </w:rPr>
      </w:pPr>
      <w:r>
        <w:rPr>
          <w:rFonts w:hint="eastAsia"/>
          <w:color w:val="000000"/>
          <w:sz w:val="24"/>
          <w:szCs w:val="24"/>
        </w:rPr>
        <w:t>据此函，__________签字人兹宣布同意如下：</w:t>
      </w:r>
    </w:p>
    <w:p w14:paraId="238C62DE">
      <w:pPr>
        <w:ind w:firstLine="480"/>
        <w:rPr>
          <w:color w:val="000000"/>
          <w:sz w:val="24"/>
          <w:szCs w:val="24"/>
        </w:rPr>
      </w:pPr>
      <w:r>
        <w:rPr>
          <w:rFonts w:hint="eastAsia"/>
          <w:color w:val="000000"/>
          <w:sz w:val="24"/>
          <w:szCs w:val="24"/>
        </w:rPr>
        <w:t>我单位承诺</w:t>
      </w:r>
      <w:r>
        <w:rPr>
          <w:rFonts w:hint="eastAsia"/>
          <w:color w:val="000000"/>
          <w:sz w:val="24"/>
          <w:szCs w:val="24"/>
          <w:lang w:val="en-US" w:eastAsia="zh-CN"/>
        </w:rPr>
        <w:t>合同履行</w:t>
      </w:r>
      <w:r>
        <w:rPr>
          <w:rFonts w:hint="eastAsia"/>
          <w:color w:val="000000"/>
          <w:sz w:val="24"/>
          <w:szCs w:val="24"/>
        </w:rPr>
        <w:t>期限：</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color w:val="000000"/>
          <w:sz w:val="24"/>
          <w:szCs w:val="24"/>
        </w:rPr>
        <w:t>，服务标准：</w:t>
      </w:r>
      <w:r>
        <w:rPr>
          <w:rFonts w:hint="eastAsia"/>
          <w:color w:val="000000"/>
          <w:sz w:val="24"/>
          <w:szCs w:val="24"/>
          <w:u w:val="single"/>
        </w:rPr>
        <w:t>合格</w:t>
      </w:r>
      <w:r>
        <w:rPr>
          <w:rFonts w:hint="eastAsia"/>
          <w:color w:val="000000"/>
          <w:sz w:val="24"/>
          <w:szCs w:val="24"/>
        </w:rPr>
        <w:t>。</w:t>
      </w:r>
    </w:p>
    <w:p w14:paraId="36696DCA">
      <w:pPr>
        <w:ind w:firstLine="480"/>
        <w:rPr>
          <w:color w:val="000000"/>
          <w:sz w:val="24"/>
          <w:szCs w:val="24"/>
        </w:rPr>
      </w:pPr>
      <w:r>
        <w:rPr>
          <w:rFonts w:hint="eastAsia"/>
          <w:color w:val="000000"/>
          <w:sz w:val="24"/>
          <w:szCs w:val="24"/>
        </w:rPr>
        <w:t>1.按招标文件规定的各项要求，向买方提供所需服务（包含与服务相关的货物）。</w:t>
      </w:r>
    </w:p>
    <w:p w14:paraId="05A5A199">
      <w:pPr>
        <w:ind w:firstLine="480"/>
        <w:rPr>
          <w:color w:val="000000"/>
          <w:sz w:val="24"/>
          <w:szCs w:val="24"/>
        </w:rPr>
      </w:pPr>
      <w:r>
        <w:rPr>
          <w:rFonts w:hint="eastAsia"/>
          <w:color w:val="000000"/>
          <w:sz w:val="24"/>
          <w:szCs w:val="24"/>
        </w:rPr>
        <w:t>2.我们完全理解贵方不一定将合同授予最低报价的供应商。</w:t>
      </w:r>
    </w:p>
    <w:p w14:paraId="3E351B70">
      <w:pPr>
        <w:ind w:firstLine="480"/>
        <w:rPr>
          <w:color w:val="000000"/>
          <w:sz w:val="24"/>
          <w:szCs w:val="24"/>
        </w:rPr>
      </w:pPr>
      <w:r>
        <w:rPr>
          <w:rFonts w:hint="eastAsia"/>
          <w:color w:val="000000"/>
          <w:sz w:val="24"/>
          <w:szCs w:val="24"/>
        </w:rPr>
        <w:t>3.我们已详细审核全部招标文件及其有效补充文件，我们知道必须放弃提出含糊不清或误解问题的权利。</w:t>
      </w:r>
    </w:p>
    <w:p w14:paraId="166A5BA6">
      <w:pPr>
        <w:ind w:firstLine="480"/>
        <w:rPr>
          <w:color w:val="000000"/>
          <w:sz w:val="24"/>
          <w:szCs w:val="24"/>
        </w:rPr>
      </w:pPr>
      <w:r>
        <w:rPr>
          <w:rFonts w:hint="eastAsia"/>
          <w:color w:val="000000"/>
          <w:sz w:val="24"/>
          <w:szCs w:val="24"/>
        </w:rPr>
        <w:t>4.我们同意从规定的开标日期起遵循本投标文件，并在规定的投标有效期期满之前均具有约束力。</w:t>
      </w:r>
    </w:p>
    <w:p w14:paraId="094ABF7B">
      <w:pPr>
        <w:ind w:firstLine="480"/>
        <w:rPr>
          <w:color w:val="000000"/>
          <w:sz w:val="24"/>
          <w:szCs w:val="24"/>
        </w:rPr>
      </w:pPr>
      <w:r>
        <w:rPr>
          <w:rFonts w:hint="eastAsia"/>
          <w:color w:val="000000"/>
          <w:sz w:val="24"/>
          <w:szCs w:val="24"/>
        </w:rPr>
        <w:t>5.同意向贵方提供贵方可能另外要求的与投标有关的任何证据或资料，并保证我方已提供和将要提供的文件是真实的、准确的。</w:t>
      </w:r>
    </w:p>
    <w:p w14:paraId="13A092CD">
      <w:pPr>
        <w:ind w:firstLine="480"/>
        <w:rPr>
          <w:color w:val="000000"/>
          <w:sz w:val="24"/>
          <w:szCs w:val="24"/>
        </w:rPr>
      </w:pPr>
      <w:r>
        <w:rPr>
          <w:rFonts w:hint="eastAsia"/>
          <w:color w:val="000000"/>
          <w:sz w:val="24"/>
          <w:szCs w:val="24"/>
        </w:rPr>
        <w:t>6.一旦我方中标,我方将根据招标文件的规定，严格履行合同的责任和义务,并保证在招标文件规定的时间完成项目，交付买方验收、使用。</w:t>
      </w:r>
    </w:p>
    <w:p w14:paraId="122C7008">
      <w:pPr>
        <w:ind w:firstLine="480"/>
        <w:rPr>
          <w:color w:val="000000"/>
          <w:sz w:val="24"/>
          <w:szCs w:val="24"/>
        </w:rPr>
      </w:pPr>
      <w:r>
        <w:rPr>
          <w:rFonts w:hint="eastAsia"/>
          <w:color w:val="000000"/>
          <w:sz w:val="24"/>
          <w:szCs w:val="24"/>
        </w:rPr>
        <w:t>7.与本投标有关的正式通讯地址为：</w:t>
      </w:r>
    </w:p>
    <w:p w14:paraId="4DD2A72A">
      <w:pPr>
        <w:ind w:firstLine="480"/>
        <w:rPr>
          <w:color w:val="000000"/>
          <w:sz w:val="24"/>
          <w:szCs w:val="24"/>
        </w:rPr>
      </w:pPr>
      <w:r>
        <w:rPr>
          <w:rFonts w:hint="eastAsia"/>
          <w:color w:val="000000"/>
          <w:sz w:val="24"/>
          <w:szCs w:val="24"/>
        </w:rPr>
        <w:t>地     址：</w:t>
      </w:r>
    </w:p>
    <w:p w14:paraId="2563E24E">
      <w:pPr>
        <w:ind w:firstLine="480"/>
        <w:rPr>
          <w:color w:val="000000"/>
          <w:sz w:val="24"/>
          <w:szCs w:val="24"/>
        </w:rPr>
      </w:pPr>
      <w:r>
        <w:rPr>
          <w:rFonts w:hint="eastAsia"/>
          <w:color w:val="000000"/>
          <w:sz w:val="24"/>
          <w:szCs w:val="24"/>
        </w:rPr>
        <w:t>邮    编：</w:t>
      </w:r>
    </w:p>
    <w:p w14:paraId="03EDA155">
      <w:pPr>
        <w:ind w:firstLine="480"/>
        <w:rPr>
          <w:color w:val="000000"/>
          <w:sz w:val="24"/>
          <w:szCs w:val="24"/>
        </w:rPr>
      </w:pPr>
      <w:r>
        <w:rPr>
          <w:rFonts w:hint="eastAsia"/>
          <w:color w:val="000000"/>
          <w:sz w:val="24"/>
          <w:szCs w:val="24"/>
        </w:rPr>
        <w:t>电     话：</w:t>
      </w:r>
    </w:p>
    <w:p w14:paraId="4E52E8EF">
      <w:pPr>
        <w:ind w:firstLine="480"/>
        <w:rPr>
          <w:color w:val="000000"/>
          <w:sz w:val="24"/>
          <w:szCs w:val="24"/>
        </w:rPr>
      </w:pPr>
      <w:r>
        <w:rPr>
          <w:rFonts w:hint="eastAsia"/>
          <w:color w:val="000000"/>
          <w:sz w:val="24"/>
          <w:szCs w:val="24"/>
        </w:rPr>
        <w:t>传     真：</w:t>
      </w:r>
    </w:p>
    <w:p w14:paraId="5DBEF55C">
      <w:pPr>
        <w:ind w:firstLine="480"/>
        <w:rPr>
          <w:color w:val="000000"/>
          <w:sz w:val="24"/>
          <w:szCs w:val="24"/>
        </w:rPr>
      </w:pPr>
      <w:r>
        <w:rPr>
          <w:rFonts w:hint="eastAsia"/>
          <w:color w:val="000000"/>
          <w:sz w:val="24"/>
          <w:szCs w:val="24"/>
        </w:rPr>
        <w:t>供应商开户行：</w:t>
      </w:r>
    </w:p>
    <w:p w14:paraId="01D7B0C7">
      <w:pPr>
        <w:ind w:firstLine="480"/>
        <w:rPr>
          <w:color w:val="000000"/>
          <w:sz w:val="24"/>
          <w:szCs w:val="24"/>
        </w:rPr>
      </w:pPr>
      <w:r>
        <w:rPr>
          <w:rFonts w:hint="eastAsia"/>
          <w:color w:val="000000"/>
          <w:sz w:val="24"/>
          <w:szCs w:val="24"/>
        </w:rPr>
        <w:t xml:space="preserve">账     号： </w:t>
      </w:r>
    </w:p>
    <w:p w14:paraId="4AA57A6A">
      <w:pPr>
        <w:ind w:firstLine="480"/>
        <w:rPr>
          <w:color w:val="000000"/>
          <w:sz w:val="24"/>
          <w:szCs w:val="24"/>
        </w:rPr>
      </w:pPr>
      <w:r>
        <w:rPr>
          <w:rFonts w:hint="eastAsia"/>
          <w:color w:val="000000"/>
          <w:sz w:val="24"/>
          <w:szCs w:val="24"/>
        </w:rPr>
        <w:t>日     期：______年____月____日</w:t>
      </w:r>
    </w:p>
    <w:p w14:paraId="49561039">
      <w:pPr>
        <w:ind w:firstLine="480"/>
        <w:rPr>
          <w:color w:val="000000"/>
          <w:sz w:val="24"/>
          <w:szCs w:val="24"/>
        </w:rPr>
      </w:pPr>
    </w:p>
    <w:p w14:paraId="05B931C7">
      <w:pPr>
        <w:ind w:firstLine="440"/>
        <w:rPr>
          <w:color w:val="000000"/>
        </w:rPr>
      </w:pPr>
    </w:p>
    <w:p w14:paraId="2CB75551">
      <w:pPr>
        <w:ind w:firstLine="440"/>
        <w:rPr>
          <w:color w:val="000000"/>
        </w:rPr>
      </w:pPr>
    </w:p>
    <w:p w14:paraId="1050DCD8">
      <w:pPr>
        <w:ind w:firstLine="440"/>
        <w:rPr>
          <w:color w:val="000000"/>
        </w:rPr>
      </w:pPr>
    </w:p>
    <w:p w14:paraId="09350AD6">
      <w:pPr>
        <w:rPr>
          <w:color w:val="000000"/>
        </w:rPr>
      </w:pPr>
    </w:p>
    <w:p w14:paraId="52ED6857">
      <w:pPr>
        <w:pStyle w:val="4"/>
        <w:ind w:firstLine="118"/>
        <w:rPr>
          <w:rFonts w:hint="eastAsia"/>
          <w:color w:val="000000"/>
        </w:rPr>
      </w:pPr>
    </w:p>
    <w:p w14:paraId="78C8BF13">
      <w:pPr>
        <w:pStyle w:val="5"/>
        <w:rPr>
          <w:color w:val="000000"/>
        </w:rPr>
      </w:pPr>
    </w:p>
    <w:p w14:paraId="48572434">
      <w:pPr>
        <w:pStyle w:val="5"/>
        <w:rPr>
          <w:color w:val="000000"/>
        </w:rPr>
      </w:pPr>
    </w:p>
    <w:p w14:paraId="5214B2BC">
      <w:pPr>
        <w:pStyle w:val="5"/>
        <w:rPr>
          <w:color w:val="000000"/>
        </w:rPr>
      </w:pPr>
    </w:p>
    <w:p w14:paraId="7F19B9F3">
      <w:pPr>
        <w:pStyle w:val="5"/>
        <w:rPr>
          <w:color w:val="000000"/>
        </w:rPr>
      </w:pPr>
    </w:p>
    <w:p w14:paraId="18FF8F73">
      <w:pPr>
        <w:pStyle w:val="5"/>
        <w:rPr>
          <w:color w:val="000000"/>
        </w:rPr>
      </w:pPr>
    </w:p>
    <w:p w14:paraId="1F2EDF1C">
      <w:pPr>
        <w:pStyle w:val="5"/>
        <w:rPr>
          <w:color w:val="000000"/>
        </w:rPr>
      </w:pPr>
    </w:p>
    <w:p w14:paraId="6431EEB7">
      <w:pPr>
        <w:pStyle w:val="5"/>
        <w:rPr>
          <w:color w:val="000000"/>
        </w:rPr>
      </w:pPr>
    </w:p>
    <w:p w14:paraId="6A9FCF80">
      <w:pPr>
        <w:pStyle w:val="5"/>
        <w:rPr>
          <w:color w:val="000000"/>
        </w:rPr>
      </w:pPr>
    </w:p>
    <w:p w14:paraId="0FE8465B">
      <w:pPr>
        <w:pStyle w:val="5"/>
        <w:rPr>
          <w:color w:val="000000"/>
        </w:rPr>
      </w:pPr>
    </w:p>
    <w:p w14:paraId="5CDFD744">
      <w:pPr>
        <w:pStyle w:val="5"/>
        <w:rPr>
          <w:color w:val="000000"/>
        </w:rPr>
      </w:pPr>
    </w:p>
    <w:p w14:paraId="12522D1D">
      <w:pPr>
        <w:pStyle w:val="5"/>
        <w:rPr>
          <w:color w:val="000000"/>
        </w:rPr>
      </w:pPr>
    </w:p>
    <w:p w14:paraId="75996A1A">
      <w:pPr>
        <w:pStyle w:val="5"/>
        <w:rPr>
          <w:color w:val="000000"/>
        </w:rPr>
      </w:pPr>
    </w:p>
    <w:p w14:paraId="19886CF8">
      <w:pPr>
        <w:pStyle w:val="5"/>
        <w:rPr>
          <w:color w:val="000000"/>
        </w:rPr>
      </w:pPr>
    </w:p>
    <w:p w14:paraId="21C933F2">
      <w:pPr>
        <w:rPr>
          <w:color w:val="000000"/>
        </w:rPr>
      </w:pPr>
    </w:p>
    <w:p w14:paraId="3EDA9A30">
      <w:pPr>
        <w:ind w:firstLine="56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十、中小微企业声明函（服务）</w:t>
      </w:r>
    </w:p>
    <w:p w14:paraId="635A0405">
      <w:pPr>
        <w:spacing w:line="500" w:lineRule="exact"/>
        <w:ind w:firstLine="480"/>
        <w:rPr>
          <w:color w:val="000000"/>
          <w:sz w:val="24"/>
        </w:rPr>
      </w:pPr>
      <w:r>
        <w:rPr>
          <w:rFonts w:hint="eastAsia"/>
          <w:color w:val="000000"/>
          <w:sz w:val="24"/>
        </w:rPr>
        <w:t>本公司（联合体）郑重声明，根据《政府采购促进中小企业发展管理办法》(财库</w:t>
      </w:r>
      <w:r>
        <w:rPr>
          <w:rFonts w:hint="eastAsia" w:ascii="宋体" w:hAnsi="宋体"/>
          <w:bCs/>
          <w:color w:val="000000"/>
          <w:sz w:val="24"/>
          <w:szCs w:val="24"/>
        </w:rPr>
        <w:t>〔2020〕</w:t>
      </w:r>
      <w:r>
        <w:rPr>
          <w:rFonts w:hint="eastAsia"/>
          <w:color w:val="000000"/>
          <w:sz w:val="24"/>
        </w:rPr>
        <w:t>46号)的规定，本公司（联合体）参加</w:t>
      </w:r>
      <w:r>
        <w:rPr>
          <w:rFonts w:hint="eastAsia"/>
          <w:color w:val="000000"/>
          <w:sz w:val="24"/>
          <w:szCs w:val="20"/>
          <w:u w:val="single"/>
          <w:lang w:eastAsia="zh-CN"/>
        </w:rPr>
        <w:t>盐城市滨海生态环境局</w:t>
      </w:r>
      <w:r>
        <w:rPr>
          <w:rFonts w:hint="eastAsia"/>
          <w:color w:val="000000"/>
          <w:sz w:val="24"/>
        </w:rPr>
        <w:t>组织的采购编号为</w:t>
      </w:r>
      <w:r>
        <w:rPr>
          <w:rFonts w:hint="eastAsia"/>
          <w:color w:val="000000"/>
          <w:sz w:val="24"/>
          <w:u w:val="single"/>
          <w:lang w:eastAsia="zh-CN"/>
        </w:rPr>
        <w:t>JSZC-320922-ZAIX-G2026-0009</w:t>
      </w:r>
      <w:r>
        <w:rPr>
          <w:rFonts w:hint="eastAsia"/>
          <w:color w:val="000000"/>
          <w:sz w:val="24"/>
          <w:u w:val="single"/>
        </w:rPr>
        <w:t xml:space="preserve">  </w:t>
      </w:r>
      <w:r>
        <w:rPr>
          <w:rFonts w:hint="eastAsia"/>
          <w:color w:val="000000"/>
          <w:sz w:val="24"/>
        </w:rPr>
        <w:t>，</w:t>
      </w:r>
      <w:r>
        <w:rPr>
          <w:rFonts w:hint="eastAsia"/>
          <w:color w:val="000000"/>
          <w:sz w:val="24"/>
          <w:szCs w:val="20"/>
          <w:u w:val="single"/>
          <w:lang w:eastAsia="zh-CN"/>
        </w:rPr>
        <w:t>滨海县镇区（街道）空气质量监测网络运维服务项目</w:t>
      </w:r>
      <w:r>
        <w:rPr>
          <w:rFonts w:hint="eastAsia"/>
          <w:color w:val="000000"/>
          <w:sz w:val="24"/>
        </w:rPr>
        <w:t>的采购活动，服务全部由符合政策的中小微企业承接。根据《工业和信息化部、国家统计局、国家发展和改革委员会、财政部关于印发中小企业划型标准规定的通知》(工信部联企业</w:t>
      </w:r>
      <w:r>
        <w:rPr>
          <w:rFonts w:hint="eastAsia" w:ascii="宋体" w:hAnsi="宋体"/>
          <w:bCs/>
          <w:color w:val="000000"/>
          <w:sz w:val="24"/>
          <w:szCs w:val="24"/>
        </w:rPr>
        <w:t>〔2011〕</w:t>
      </w:r>
      <w:r>
        <w:rPr>
          <w:rFonts w:hint="eastAsia"/>
          <w:color w:val="000000"/>
          <w:sz w:val="24"/>
        </w:rPr>
        <w:t>300号)的规定，相关企业（含联合体中的中小微企业、签订分包意向协议的中小微企业）的具体情况如下：</w:t>
      </w:r>
    </w:p>
    <w:p w14:paraId="0F5912D4">
      <w:pPr>
        <w:spacing w:line="500" w:lineRule="exact"/>
        <w:ind w:firstLine="480"/>
        <w:rPr>
          <w:color w:val="000000"/>
          <w:sz w:val="24"/>
        </w:rPr>
      </w:pPr>
      <w:r>
        <w:rPr>
          <w:rFonts w:hint="eastAsia"/>
          <w:color w:val="000000"/>
          <w:sz w:val="24"/>
        </w:rPr>
        <w:t>1.</w:t>
      </w:r>
      <w:r>
        <w:rPr>
          <w:rFonts w:hint="eastAsia"/>
          <w:i/>
          <w:iCs/>
          <w:color w:val="000000"/>
          <w:sz w:val="24"/>
          <w:u w:val="single"/>
        </w:rPr>
        <w:t>（标的名称）</w:t>
      </w:r>
      <w:r>
        <w:rPr>
          <w:rFonts w:hint="eastAsia"/>
          <w:color w:val="000000"/>
          <w:sz w:val="24"/>
        </w:rPr>
        <w:t>，属于</w:t>
      </w:r>
      <w:r>
        <w:rPr>
          <w:rFonts w:hint="eastAsia"/>
          <w:i/>
          <w:iCs/>
          <w:color w:val="000000"/>
          <w:sz w:val="24"/>
          <w:u w:val="single"/>
        </w:rPr>
        <w:t>（采购文件中明确的所属行业）</w:t>
      </w:r>
      <w:r>
        <w:rPr>
          <w:rFonts w:hint="eastAsia"/>
          <w:color w:val="000000"/>
          <w:sz w:val="24"/>
        </w:rPr>
        <w:t>行业；承接企业为（</w:t>
      </w:r>
      <w:r>
        <w:rPr>
          <w:rFonts w:hint="eastAsia"/>
          <w:i/>
          <w:iCs/>
          <w:color w:val="000000"/>
          <w:sz w:val="24"/>
          <w:u w:val="single"/>
        </w:rPr>
        <w:t>企业名称</w:t>
      </w:r>
      <w:r>
        <w:rPr>
          <w:rFonts w:hint="eastAsia"/>
          <w:color w:val="000000"/>
          <w:sz w:val="24"/>
        </w:rPr>
        <w:t>），从业人员</w:t>
      </w:r>
      <w:r>
        <w:rPr>
          <w:rFonts w:hint="eastAsia"/>
          <w:color w:val="000000"/>
          <w:sz w:val="24"/>
          <w:u w:val="single"/>
        </w:rPr>
        <w:t xml:space="preserve">     </w:t>
      </w:r>
      <w:r>
        <w:rPr>
          <w:rFonts w:hint="eastAsia"/>
          <w:color w:val="000000"/>
          <w:sz w:val="24"/>
        </w:rPr>
        <w:t>人，营业收入为</w:t>
      </w:r>
      <w:r>
        <w:rPr>
          <w:rFonts w:hint="eastAsia"/>
          <w:color w:val="000000"/>
          <w:sz w:val="24"/>
          <w:u w:val="single"/>
        </w:rPr>
        <w:t>     </w:t>
      </w:r>
      <w:r>
        <w:rPr>
          <w:rFonts w:hint="eastAsia"/>
          <w:color w:val="000000"/>
          <w:sz w:val="24"/>
        </w:rPr>
        <w:t>万元，资产总额为</w:t>
      </w:r>
      <w:r>
        <w:rPr>
          <w:rFonts w:hint="eastAsia"/>
          <w:color w:val="000000"/>
          <w:sz w:val="24"/>
          <w:u w:val="single"/>
        </w:rPr>
        <w:t>    </w:t>
      </w:r>
      <w:r>
        <w:rPr>
          <w:rFonts w:hint="eastAsia"/>
          <w:color w:val="000000"/>
          <w:sz w:val="24"/>
        </w:rPr>
        <w:t>万元，属于（</w:t>
      </w:r>
      <w:r>
        <w:rPr>
          <w:rFonts w:hint="eastAsia"/>
          <w:i/>
          <w:iCs/>
          <w:color w:val="000000"/>
          <w:sz w:val="24"/>
          <w:u w:val="single"/>
        </w:rPr>
        <w:t>中型企业、小型企业、微型企业</w:t>
      </w:r>
      <w:r>
        <w:rPr>
          <w:rFonts w:hint="eastAsia"/>
          <w:color w:val="000000"/>
          <w:sz w:val="24"/>
        </w:rPr>
        <w:t>）；</w:t>
      </w:r>
    </w:p>
    <w:p w14:paraId="67340EC7">
      <w:pPr>
        <w:spacing w:line="500" w:lineRule="exact"/>
        <w:ind w:firstLine="480"/>
        <w:rPr>
          <w:color w:val="000000"/>
          <w:sz w:val="24"/>
        </w:rPr>
      </w:pPr>
      <w:r>
        <w:rPr>
          <w:rFonts w:hint="eastAsia"/>
          <w:color w:val="000000"/>
          <w:sz w:val="24"/>
        </w:rPr>
        <w:t>2.</w:t>
      </w:r>
      <w:r>
        <w:rPr>
          <w:rFonts w:hint="eastAsia"/>
          <w:i/>
          <w:iCs/>
          <w:color w:val="000000"/>
          <w:sz w:val="24"/>
          <w:u w:val="single"/>
        </w:rPr>
        <w:t>（标的名称）</w:t>
      </w:r>
      <w:r>
        <w:rPr>
          <w:rFonts w:hint="eastAsia"/>
          <w:color w:val="000000"/>
          <w:sz w:val="24"/>
        </w:rPr>
        <w:t>，属于</w:t>
      </w:r>
      <w:r>
        <w:rPr>
          <w:rFonts w:hint="eastAsia"/>
          <w:i/>
          <w:iCs/>
          <w:color w:val="000000"/>
          <w:sz w:val="24"/>
          <w:u w:val="single"/>
        </w:rPr>
        <w:t>（采购文件中明确的所属行业）</w:t>
      </w:r>
      <w:r>
        <w:rPr>
          <w:rFonts w:hint="eastAsia"/>
          <w:color w:val="000000"/>
          <w:sz w:val="24"/>
        </w:rPr>
        <w:t>行业；承接企业为（</w:t>
      </w:r>
      <w:r>
        <w:rPr>
          <w:rFonts w:hint="eastAsia"/>
          <w:i/>
          <w:iCs/>
          <w:color w:val="000000"/>
          <w:sz w:val="24"/>
          <w:u w:val="single"/>
        </w:rPr>
        <w:t>企业名称</w:t>
      </w:r>
      <w:r>
        <w:rPr>
          <w:rFonts w:hint="eastAsia"/>
          <w:color w:val="000000"/>
          <w:sz w:val="24"/>
        </w:rPr>
        <w:t>），从业人员</w:t>
      </w:r>
      <w:r>
        <w:rPr>
          <w:rFonts w:hint="eastAsia"/>
          <w:color w:val="000000"/>
          <w:sz w:val="24"/>
          <w:u w:val="single"/>
        </w:rPr>
        <w:t xml:space="preserve">     </w:t>
      </w:r>
      <w:r>
        <w:rPr>
          <w:rFonts w:hint="eastAsia"/>
          <w:color w:val="000000"/>
          <w:sz w:val="24"/>
        </w:rPr>
        <w:t>人，营业收入为</w:t>
      </w:r>
      <w:r>
        <w:rPr>
          <w:rFonts w:hint="eastAsia"/>
          <w:color w:val="000000"/>
          <w:sz w:val="24"/>
          <w:u w:val="single"/>
        </w:rPr>
        <w:t>     </w:t>
      </w:r>
      <w:r>
        <w:rPr>
          <w:rFonts w:hint="eastAsia"/>
          <w:color w:val="000000"/>
          <w:sz w:val="24"/>
        </w:rPr>
        <w:t>万元，资产总额为</w:t>
      </w:r>
      <w:r>
        <w:rPr>
          <w:rFonts w:hint="eastAsia"/>
          <w:color w:val="000000"/>
          <w:sz w:val="24"/>
          <w:u w:val="single"/>
        </w:rPr>
        <w:t>    </w:t>
      </w:r>
      <w:r>
        <w:rPr>
          <w:rFonts w:hint="eastAsia"/>
          <w:color w:val="000000"/>
          <w:sz w:val="24"/>
        </w:rPr>
        <w:t>万元，属于（</w:t>
      </w:r>
      <w:r>
        <w:rPr>
          <w:rFonts w:hint="eastAsia"/>
          <w:i/>
          <w:iCs/>
          <w:color w:val="000000"/>
          <w:sz w:val="24"/>
          <w:u w:val="single"/>
        </w:rPr>
        <w:t>中型企业、小型企业、微型企业</w:t>
      </w:r>
      <w:r>
        <w:rPr>
          <w:rFonts w:hint="eastAsia"/>
          <w:color w:val="000000"/>
          <w:sz w:val="24"/>
        </w:rPr>
        <w:t>）；</w:t>
      </w:r>
    </w:p>
    <w:p w14:paraId="5327D83C">
      <w:pPr>
        <w:spacing w:line="500" w:lineRule="exact"/>
        <w:ind w:firstLine="480"/>
        <w:rPr>
          <w:color w:val="000000"/>
          <w:sz w:val="24"/>
        </w:rPr>
      </w:pPr>
      <w:r>
        <w:rPr>
          <w:rFonts w:hint="eastAsia"/>
          <w:color w:val="000000"/>
          <w:sz w:val="24"/>
        </w:rPr>
        <w:t>……</w:t>
      </w:r>
    </w:p>
    <w:p w14:paraId="3A9F5DDF">
      <w:pPr>
        <w:spacing w:line="500" w:lineRule="exact"/>
        <w:ind w:firstLine="480"/>
        <w:rPr>
          <w:color w:val="000000"/>
          <w:sz w:val="24"/>
        </w:rPr>
      </w:pPr>
      <w:r>
        <w:rPr>
          <w:rFonts w:hint="eastAsia"/>
          <w:color w:val="000000"/>
          <w:sz w:val="24"/>
        </w:rPr>
        <w:t>以上企业，不属于大企业的分支机构，不存在控股股东为大企业的情形，也不存在与大企业的负责人为同一人的情形。</w:t>
      </w:r>
    </w:p>
    <w:p w14:paraId="0EE11951">
      <w:pPr>
        <w:spacing w:line="500" w:lineRule="exact"/>
        <w:ind w:firstLine="480"/>
        <w:rPr>
          <w:color w:val="000000"/>
          <w:sz w:val="24"/>
        </w:rPr>
      </w:pPr>
      <w:r>
        <w:rPr>
          <w:rFonts w:hint="eastAsia"/>
          <w:color w:val="000000"/>
          <w:sz w:val="24"/>
        </w:rPr>
        <w:t>本企业对上述声明内容的真实性负责。如有虚假，将依法承担相应责任</w:t>
      </w:r>
    </w:p>
    <w:p w14:paraId="6C950214">
      <w:pPr>
        <w:spacing w:line="500" w:lineRule="exact"/>
        <w:ind w:firstLine="480"/>
        <w:rPr>
          <w:color w:val="000000"/>
          <w:sz w:val="24"/>
        </w:rPr>
      </w:pPr>
      <w:r>
        <w:rPr>
          <w:rFonts w:hint="eastAsia"/>
          <w:color w:val="000000"/>
          <w:sz w:val="24"/>
        </w:rPr>
        <w:t> </w:t>
      </w:r>
    </w:p>
    <w:p w14:paraId="2B7DA850">
      <w:pPr>
        <w:spacing w:line="500" w:lineRule="exact"/>
        <w:ind w:firstLine="480"/>
        <w:jc w:val="right"/>
        <w:rPr>
          <w:color w:val="000000"/>
          <w:sz w:val="24"/>
        </w:rPr>
      </w:pPr>
      <w:r>
        <w:rPr>
          <w:rFonts w:hint="eastAsia"/>
          <w:color w:val="000000"/>
          <w:sz w:val="24"/>
        </w:rPr>
        <w:t xml:space="preserve">企业名称（加盖CA电子公章）：        </w:t>
      </w:r>
    </w:p>
    <w:p w14:paraId="0EAEC009">
      <w:pPr>
        <w:spacing w:line="500" w:lineRule="exact"/>
        <w:ind w:right="960" w:firstLine="6480" w:firstLineChars="2700"/>
        <w:rPr>
          <w:color w:val="000000"/>
          <w:sz w:val="24"/>
        </w:rPr>
      </w:pPr>
      <w:r>
        <w:rPr>
          <w:rFonts w:hint="eastAsia"/>
          <w:color w:val="000000"/>
          <w:sz w:val="24"/>
        </w:rPr>
        <w:t xml:space="preserve">日  期：        </w:t>
      </w:r>
    </w:p>
    <w:p w14:paraId="6109CADF">
      <w:pPr>
        <w:spacing w:line="500" w:lineRule="exact"/>
        <w:ind w:firstLine="480"/>
        <w:rPr>
          <w:color w:val="000000"/>
          <w:sz w:val="24"/>
        </w:rPr>
      </w:pPr>
      <w:r>
        <w:rPr>
          <w:rFonts w:hint="eastAsia"/>
          <w:color w:val="000000"/>
          <w:sz w:val="24"/>
        </w:rPr>
        <w:t> </w:t>
      </w:r>
    </w:p>
    <w:p w14:paraId="4FB8B04B">
      <w:pPr>
        <w:spacing w:line="500" w:lineRule="exact"/>
        <w:ind w:firstLine="480"/>
        <w:rPr>
          <w:color w:val="000000"/>
          <w:sz w:val="24"/>
        </w:rPr>
      </w:pPr>
      <w:r>
        <w:rPr>
          <w:rFonts w:hint="eastAsia"/>
          <w:color w:val="000000"/>
          <w:sz w:val="24"/>
        </w:rPr>
        <w:t>备注1：从业人员、营业收入、资产总额填报上一年度数据，无上一年度数据的新成立企业可不填报。</w:t>
      </w:r>
    </w:p>
    <w:p w14:paraId="7B4FFA92">
      <w:pPr>
        <w:spacing w:line="500" w:lineRule="exact"/>
        <w:ind w:firstLine="480"/>
        <w:rPr>
          <w:rFonts w:cs="黑体"/>
          <w:i/>
          <w:color w:val="000000"/>
          <w:sz w:val="32"/>
          <w:szCs w:val="32"/>
          <w:u w:val="single"/>
        </w:rPr>
      </w:pPr>
      <w:r>
        <w:rPr>
          <w:rFonts w:hint="eastAsia"/>
          <w:color w:val="000000"/>
          <w:sz w:val="24"/>
        </w:rPr>
        <w:t>备注2：供应商如不提供此声明函，价格将不做相应扣除（如项目全面面向中小企业，则资格审查不通过）。</w:t>
      </w:r>
    </w:p>
    <w:p w14:paraId="464C9E43">
      <w:pPr>
        <w:widowControl/>
        <w:rPr>
          <w:rFonts w:hint="eastAsia" w:ascii="黑体" w:hAnsi="黑体" w:eastAsia="黑体" w:cs="黑体"/>
          <w:i/>
          <w:color w:val="000000"/>
          <w:sz w:val="32"/>
          <w:szCs w:val="32"/>
        </w:rPr>
      </w:pPr>
      <w:r>
        <w:rPr>
          <w:rFonts w:ascii="黑体" w:hAnsi="黑体" w:eastAsia="黑体" w:cs="黑体"/>
          <w:i/>
          <w:color w:val="000000"/>
          <w:sz w:val="32"/>
          <w:szCs w:val="32"/>
        </w:rPr>
        <w:br w:type="page" w:clear="all"/>
      </w:r>
    </w:p>
    <w:p w14:paraId="0460477C">
      <w:pPr>
        <w:pStyle w:val="203"/>
        <w:ind w:firstLine="6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十一、残疾人福利性单位声明函</w:t>
      </w:r>
    </w:p>
    <w:p w14:paraId="1A83466E">
      <w:pPr>
        <w:ind w:firstLine="480"/>
        <w:rPr>
          <w:rFonts w:hint="eastAsia"/>
          <w:color w:val="000000"/>
          <w:sz w:val="24"/>
          <w:szCs w:val="24"/>
        </w:rPr>
      </w:pPr>
    </w:p>
    <w:p w14:paraId="7CA31D09">
      <w:pPr>
        <w:ind w:firstLine="480"/>
        <w:rPr>
          <w:color w:val="000000"/>
          <w:sz w:val="24"/>
          <w:szCs w:val="24"/>
        </w:rPr>
      </w:pPr>
      <w:r>
        <w:rPr>
          <w:rFonts w:hint="eastAsia"/>
          <w:color w:val="000000"/>
          <w:sz w:val="24"/>
          <w:szCs w:val="24"/>
        </w:rPr>
        <w:t>本单位郑重声明，根据《财政部 民政部 中国残疾人联合会关于促进残疾人就业政府采购政策的通知》（财库〔2017〕 141号）的规定，本单位为符合条件的残疾人福利性单位，且本单位参加</w:t>
      </w:r>
      <w:r>
        <w:rPr>
          <w:rFonts w:hint="eastAsia"/>
          <w:color w:val="000000"/>
          <w:sz w:val="24"/>
          <w:szCs w:val="20"/>
          <w:u w:val="single"/>
          <w:lang w:eastAsia="zh-CN"/>
        </w:rPr>
        <w:t>盐城市滨海生态环境局</w:t>
      </w:r>
      <w:r>
        <w:rPr>
          <w:rFonts w:hint="eastAsia"/>
          <w:color w:val="000000"/>
          <w:sz w:val="24"/>
          <w:szCs w:val="24"/>
        </w:rPr>
        <w:t>单位的采购文件编号为</w:t>
      </w:r>
      <w:r>
        <w:rPr>
          <w:rFonts w:hint="eastAsia"/>
          <w:color w:val="000000"/>
          <w:sz w:val="24"/>
          <w:u w:val="single"/>
          <w:lang w:eastAsia="zh-CN"/>
        </w:rPr>
        <w:t>JSZC-320922-ZAIX-G2026-0009</w:t>
      </w:r>
      <w:r>
        <w:rPr>
          <w:rFonts w:hint="eastAsia"/>
          <w:color w:val="000000"/>
          <w:sz w:val="24"/>
          <w:u w:val="single"/>
        </w:rPr>
        <w:t xml:space="preserve">   </w:t>
      </w:r>
      <w:r>
        <w:rPr>
          <w:rFonts w:hint="eastAsia"/>
          <w:color w:val="000000"/>
          <w:sz w:val="24"/>
          <w:szCs w:val="24"/>
        </w:rPr>
        <w:t>的</w:t>
      </w:r>
      <w:r>
        <w:rPr>
          <w:rFonts w:hint="eastAsia"/>
          <w:color w:val="000000"/>
          <w:sz w:val="24"/>
          <w:szCs w:val="24"/>
          <w:u w:val="single"/>
          <w:lang w:eastAsia="zh-CN"/>
        </w:rPr>
        <w:t>滨海县镇区（街道）空气质量监测网络运维服务项目</w:t>
      </w:r>
      <w:r>
        <w:rPr>
          <w:rFonts w:hint="eastAsia"/>
          <w:color w:val="000000"/>
          <w:sz w:val="24"/>
          <w:szCs w:val="24"/>
        </w:rPr>
        <w:t>采购活动由本单位提供服务。</w:t>
      </w:r>
    </w:p>
    <w:p w14:paraId="189DDCEE">
      <w:pPr>
        <w:ind w:firstLine="480"/>
        <w:rPr>
          <w:color w:val="000000"/>
          <w:sz w:val="24"/>
          <w:szCs w:val="24"/>
        </w:rPr>
      </w:pPr>
      <w:r>
        <w:rPr>
          <w:rFonts w:hint="eastAsia"/>
          <w:color w:val="000000"/>
          <w:sz w:val="24"/>
          <w:szCs w:val="24"/>
        </w:rPr>
        <w:t>本单位对上述声明的真实性负责。如有虚假，将依法承担相应责任。</w:t>
      </w:r>
    </w:p>
    <w:p w14:paraId="7B315745">
      <w:pPr>
        <w:ind w:firstLine="480"/>
        <w:rPr>
          <w:color w:val="000000"/>
          <w:sz w:val="24"/>
          <w:szCs w:val="24"/>
        </w:rPr>
      </w:pPr>
      <w:r>
        <w:rPr>
          <w:rFonts w:hint="eastAsia"/>
          <w:color w:val="000000"/>
          <w:sz w:val="24"/>
          <w:szCs w:val="24"/>
        </w:rPr>
        <w:t> </w:t>
      </w:r>
    </w:p>
    <w:p w14:paraId="2EEDF6D7">
      <w:pPr>
        <w:ind w:firstLine="480"/>
        <w:rPr>
          <w:color w:val="000000"/>
          <w:sz w:val="24"/>
          <w:szCs w:val="24"/>
        </w:rPr>
      </w:pPr>
      <w:r>
        <w:rPr>
          <w:rFonts w:hint="eastAsia"/>
          <w:color w:val="000000"/>
          <w:sz w:val="24"/>
          <w:szCs w:val="24"/>
        </w:rPr>
        <w:t>备注：1.供应商如不提供此声明函，价格将不做相应扣除</w:t>
      </w:r>
      <w:r>
        <w:rPr>
          <w:rFonts w:hint="eastAsia"/>
          <w:color w:val="000000"/>
          <w:sz w:val="24"/>
        </w:rPr>
        <w:t>（如项目全面面向中小企业，则资格审查不通过）</w:t>
      </w:r>
      <w:r>
        <w:rPr>
          <w:rFonts w:hint="eastAsia"/>
          <w:color w:val="000000"/>
          <w:sz w:val="24"/>
          <w:szCs w:val="24"/>
        </w:rPr>
        <w:t>。2.中标人为残疾人福利单位的，此声明函将随中标结果同时公告，接受社会监督</w:t>
      </w:r>
    </w:p>
    <w:p w14:paraId="7A236AD9">
      <w:pPr>
        <w:ind w:firstLine="480"/>
        <w:rPr>
          <w:color w:val="000000"/>
          <w:sz w:val="24"/>
          <w:szCs w:val="24"/>
        </w:rPr>
      </w:pPr>
      <w:r>
        <w:rPr>
          <w:rFonts w:hint="eastAsia"/>
          <w:color w:val="000000"/>
          <w:sz w:val="24"/>
          <w:szCs w:val="24"/>
        </w:rPr>
        <w:t> </w:t>
      </w:r>
    </w:p>
    <w:p w14:paraId="3BC6F161">
      <w:pPr>
        <w:ind w:firstLine="480"/>
        <w:rPr>
          <w:color w:val="000000"/>
          <w:sz w:val="24"/>
          <w:szCs w:val="24"/>
        </w:rPr>
      </w:pPr>
      <w:r>
        <w:rPr>
          <w:rFonts w:hint="eastAsia"/>
          <w:color w:val="000000"/>
          <w:sz w:val="24"/>
          <w:szCs w:val="24"/>
        </w:rPr>
        <w:t xml:space="preserve">                     </w:t>
      </w:r>
      <w:r>
        <w:rPr>
          <w:rFonts w:hint="eastAsia"/>
          <w:color w:val="000000"/>
          <w:sz w:val="24"/>
          <w:szCs w:val="24"/>
          <w:lang w:val="en-US" w:eastAsia="zh-CN"/>
        </w:rPr>
        <w:t xml:space="preserve">                      </w:t>
      </w:r>
      <w:r>
        <w:rPr>
          <w:rFonts w:hint="eastAsia"/>
          <w:color w:val="000000"/>
          <w:sz w:val="24"/>
          <w:szCs w:val="24"/>
        </w:rPr>
        <w:t>企业名称（加盖CA电子公章）：</w:t>
      </w:r>
    </w:p>
    <w:p w14:paraId="5A26FB77">
      <w:pPr>
        <w:ind w:firstLine="7200"/>
        <w:rPr>
          <w:color w:val="000000"/>
          <w:sz w:val="24"/>
          <w:szCs w:val="24"/>
        </w:rPr>
      </w:pPr>
      <w:r>
        <w:rPr>
          <w:rFonts w:hint="eastAsia"/>
          <w:color w:val="000000"/>
          <w:sz w:val="24"/>
          <w:szCs w:val="24"/>
        </w:rPr>
        <w:t xml:space="preserve"> 日  期：</w:t>
      </w:r>
    </w:p>
    <w:p w14:paraId="2489ED48">
      <w:pPr>
        <w:ind w:firstLine="480"/>
        <w:rPr>
          <w:color w:val="000000"/>
          <w:sz w:val="24"/>
          <w:szCs w:val="24"/>
        </w:rPr>
      </w:pPr>
    </w:p>
    <w:p w14:paraId="5A60AFF5">
      <w:pPr>
        <w:ind w:firstLine="480"/>
        <w:rPr>
          <w:color w:val="000000"/>
          <w:sz w:val="24"/>
          <w:szCs w:val="24"/>
        </w:rPr>
      </w:pPr>
      <w:r>
        <w:rPr>
          <w:rFonts w:hint="eastAsia"/>
          <w:color w:val="000000"/>
          <w:sz w:val="24"/>
          <w:szCs w:val="24"/>
        </w:rPr>
        <w:t> </w:t>
      </w:r>
    </w:p>
    <w:p w14:paraId="4A4B2AD0">
      <w:pPr>
        <w:ind w:firstLine="480"/>
        <w:rPr>
          <w:color w:val="000000"/>
          <w:sz w:val="24"/>
          <w:szCs w:val="24"/>
        </w:rPr>
      </w:pPr>
    </w:p>
    <w:p w14:paraId="40B63B1D">
      <w:pPr>
        <w:ind w:firstLine="440"/>
        <w:rPr>
          <w:color w:val="000000"/>
        </w:rPr>
      </w:pPr>
    </w:p>
    <w:p w14:paraId="2A06A14D">
      <w:pPr>
        <w:ind w:firstLine="440"/>
        <w:rPr>
          <w:color w:val="000000"/>
        </w:rPr>
      </w:pPr>
    </w:p>
    <w:p w14:paraId="5B66D1AD">
      <w:pPr>
        <w:ind w:firstLine="440"/>
        <w:rPr>
          <w:color w:val="000000"/>
        </w:rPr>
      </w:pPr>
    </w:p>
    <w:p w14:paraId="1286B75C">
      <w:pPr>
        <w:ind w:firstLine="440"/>
        <w:rPr>
          <w:color w:val="000000"/>
        </w:rPr>
      </w:pPr>
    </w:p>
    <w:p w14:paraId="55351245">
      <w:pPr>
        <w:ind w:firstLine="440"/>
        <w:rPr>
          <w:color w:val="000000"/>
        </w:rPr>
      </w:pPr>
    </w:p>
    <w:p w14:paraId="700AD6B4">
      <w:pPr>
        <w:ind w:firstLine="440"/>
        <w:rPr>
          <w:color w:val="000000"/>
        </w:rPr>
      </w:pPr>
    </w:p>
    <w:p w14:paraId="6ADB97F9">
      <w:pPr>
        <w:ind w:firstLine="440"/>
        <w:rPr>
          <w:color w:val="000000"/>
        </w:rPr>
      </w:pPr>
    </w:p>
    <w:p w14:paraId="05620A8C">
      <w:pPr>
        <w:ind w:firstLine="440"/>
        <w:rPr>
          <w:color w:val="000000"/>
        </w:rPr>
      </w:pPr>
    </w:p>
    <w:p w14:paraId="1D3B3D4E">
      <w:pPr>
        <w:ind w:firstLine="440"/>
        <w:rPr>
          <w:color w:val="000000"/>
        </w:rPr>
      </w:pPr>
    </w:p>
    <w:p w14:paraId="04ABA5C4">
      <w:pPr>
        <w:ind w:firstLine="440"/>
        <w:rPr>
          <w:color w:val="000000"/>
        </w:rPr>
      </w:pPr>
    </w:p>
    <w:p w14:paraId="48030E2B">
      <w:pPr>
        <w:ind w:firstLine="440"/>
        <w:rPr>
          <w:color w:val="000000"/>
        </w:rPr>
      </w:pPr>
    </w:p>
    <w:p w14:paraId="384369C7">
      <w:pPr>
        <w:pStyle w:val="198"/>
        <w:tabs>
          <w:tab w:val="left" w:pos="180"/>
        </w:tabs>
        <w:rPr>
          <w:rFonts w:hint="eastAsia"/>
          <w:color w:val="000000"/>
        </w:rPr>
      </w:pPr>
    </w:p>
    <w:p w14:paraId="0D3DCF30">
      <w:pPr>
        <w:pStyle w:val="198"/>
        <w:tabs>
          <w:tab w:val="left" w:pos="180"/>
        </w:tabs>
        <w:rPr>
          <w:rFonts w:hint="eastAsia"/>
          <w:color w:val="000000"/>
        </w:rPr>
      </w:pPr>
    </w:p>
    <w:p w14:paraId="17421A64">
      <w:pPr>
        <w:pStyle w:val="198"/>
        <w:tabs>
          <w:tab w:val="left" w:pos="180"/>
        </w:tabs>
        <w:rPr>
          <w:rFonts w:hint="eastAsia"/>
          <w:color w:val="000000"/>
        </w:rPr>
      </w:pPr>
    </w:p>
    <w:p w14:paraId="5DFB1969">
      <w:pPr>
        <w:pStyle w:val="198"/>
        <w:tabs>
          <w:tab w:val="left" w:pos="180"/>
        </w:tabs>
        <w:rPr>
          <w:rFonts w:hint="eastAsia"/>
          <w:color w:val="000000"/>
        </w:rPr>
      </w:pPr>
    </w:p>
    <w:p w14:paraId="050ABBFF">
      <w:pPr>
        <w:pStyle w:val="198"/>
        <w:tabs>
          <w:tab w:val="left" w:pos="180"/>
        </w:tabs>
        <w:rPr>
          <w:rFonts w:hint="eastAsia"/>
          <w:color w:val="000000"/>
        </w:rPr>
      </w:pPr>
    </w:p>
    <w:p w14:paraId="07DAD9DE">
      <w:pPr>
        <w:pStyle w:val="198"/>
        <w:tabs>
          <w:tab w:val="left" w:pos="180"/>
        </w:tabs>
        <w:rPr>
          <w:rFonts w:hint="eastAsia"/>
          <w:color w:val="000000"/>
        </w:rPr>
      </w:pPr>
    </w:p>
    <w:p w14:paraId="71E4BDE9">
      <w:pPr>
        <w:pStyle w:val="198"/>
        <w:tabs>
          <w:tab w:val="left" w:pos="180"/>
        </w:tabs>
        <w:rPr>
          <w:rFonts w:hint="eastAsia"/>
          <w:color w:val="000000"/>
        </w:rPr>
      </w:pPr>
    </w:p>
    <w:p w14:paraId="6F56908C">
      <w:pPr>
        <w:pStyle w:val="198"/>
        <w:tabs>
          <w:tab w:val="left" w:pos="180"/>
        </w:tabs>
        <w:rPr>
          <w:rFonts w:hint="eastAsia"/>
          <w:color w:val="000000"/>
        </w:rPr>
      </w:pPr>
    </w:p>
    <w:p w14:paraId="66F44344">
      <w:pPr>
        <w:pStyle w:val="198"/>
        <w:tabs>
          <w:tab w:val="left" w:pos="180"/>
        </w:tabs>
        <w:rPr>
          <w:rFonts w:hint="eastAsia"/>
          <w:color w:val="000000"/>
        </w:rPr>
      </w:pPr>
    </w:p>
    <w:p w14:paraId="43C58402">
      <w:pPr>
        <w:pStyle w:val="198"/>
        <w:tabs>
          <w:tab w:val="left" w:pos="180"/>
        </w:tabs>
        <w:rPr>
          <w:rFonts w:hint="eastAsia"/>
          <w:color w:val="000000"/>
        </w:rPr>
      </w:pPr>
    </w:p>
    <w:p w14:paraId="0B6627AE">
      <w:pPr>
        <w:pStyle w:val="198"/>
        <w:tabs>
          <w:tab w:val="left" w:pos="180"/>
        </w:tabs>
        <w:rPr>
          <w:rFonts w:hint="eastAsia"/>
          <w:color w:val="000000"/>
        </w:rPr>
      </w:pPr>
    </w:p>
    <w:p w14:paraId="690D07B7">
      <w:pPr>
        <w:pStyle w:val="198"/>
        <w:tabs>
          <w:tab w:val="left" w:pos="180"/>
        </w:tabs>
        <w:rPr>
          <w:rFonts w:hint="eastAsia"/>
          <w:color w:val="000000"/>
        </w:rPr>
      </w:pPr>
    </w:p>
    <w:p w14:paraId="33EDD897">
      <w:pPr>
        <w:pStyle w:val="198"/>
        <w:tabs>
          <w:tab w:val="left" w:pos="180"/>
        </w:tabs>
        <w:rPr>
          <w:rFonts w:hint="eastAsia"/>
          <w:color w:val="000000"/>
        </w:rPr>
      </w:pPr>
    </w:p>
    <w:p w14:paraId="469ADBEB">
      <w:pPr>
        <w:ind w:firstLine="3200" w:firstLineChars="1000"/>
        <w:rPr>
          <w:rFonts w:hint="eastAsia" w:ascii="黑体" w:hAnsi="黑体" w:eastAsia="黑体" w:cs="黑体"/>
          <w:i/>
          <w:color w:val="000000"/>
          <w:sz w:val="32"/>
          <w:szCs w:val="32"/>
          <w:highlight w:val="none"/>
          <w:u w:val="single"/>
          <w:lang w:eastAsia="zh-CN"/>
        </w:rPr>
      </w:pPr>
      <w:r>
        <w:rPr>
          <w:rFonts w:hint="eastAsia" w:ascii="黑体" w:hAnsi="黑体" w:eastAsia="黑体" w:cs="黑体"/>
          <w:i/>
          <w:color w:val="000000"/>
          <w:sz w:val="32"/>
          <w:szCs w:val="32"/>
          <w:highlight w:val="none"/>
          <w:u w:val="single"/>
        </w:rPr>
        <w:t>十二、投标分项报价表</w:t>
      </w:r>
    </w:p>
    <w:tbl>
      <w:tblPr>
        <w:tblStyle w:val="40"/>
        <w:tblW w:w="9087" w:type="dxa"/>
        <w:tblInd w:w="39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14"/>
        <w:gridCol w:w="2315"/>
        <w:gridCol w:w="1840"/>
        <w:gridCol w:w="2077"/>
        <w:gridCol w:w="1841"/>
      </w:tblGrid>
      <w:tr w14:paraId="4F7BA5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1014" w:type="dxa"/>
            <w:tcBorders>
              <w:top w:val="single" w:color="auto" w:sz="4" w:space="0"/>
              <w:left w:val="single" w:color="auto" w:sz="4" w:space="0"/>
              <w:bottom w:val="single" w:color="auto" w:sz="4" w:space="0"/>
              <w:right w:val="single" w:color="auto" w:sz="4" w:space="0"/>
            </w:tcBorders>
            <w:vAlign w:val="center"/>
          </w:tcPr>
          <w:p w14:paraId="72AAE8EA">
            <w:pPr>
              <w:tabs>
                <w:tab w:val="left" w:pos="1418"/>
              </w:tabs>
              <w:snapToGrid w:val="0"/>
              <w:spacing w:before="50" w:after="50"/>
              <w:jc w:val="center"/>
              <w:rPr>
                <w:rFonts w:hint="eastAsia" w:ascii="宋体" w:hAnsi="宋体"/>
                <w:spacing w:val="20"/>
                <w:sz w:val="24"/>
              </w:rPr>
            </w:pPr>
            <w:bookmarkStart w:id="105" w:name="_Hlk192060670"/>
            <w:r>
              <w:rPr>
                <w:rFonts w:hint="eastAsia" w:ascii="宋体" w:hAnsi="宋体"/>
                <w:sz w:val="24"/>
              </w:rPr>
              <w:t>序号</w:t>
            </w:r>
          </w:p>
        </w:tc>
        <w:tc>
          <w:tcPr>
            <w:tcW w:w="2315" w:type="dxa"/>
            <w:tcBorders>
              <w:top w:val="single" w:color="auto" w:sz="4" w:space="0"/>
              <w:left w:val="single" w:color="auto" w:sz="4" w:space="0"/>
              <w:bottom w:val="single" w:color="auto" w:sz="4" w:space="0"/>
              <w:right w:val="single" w:color="auto" w:sz="4" w:space="0"/>
            </w:tcBorders>
            <w:vAlign w:val="center"/>
          </w:tcPr>
          <w:p w14:paraId="21B64641">
            <w:pPr>
              <w:tabs>
                <w:tab w:val="left" w:pos="1418"/>
              </w:tabs>
              <w:snapToGrid w:val="0"/>
              <w:spacing w:before="50" w:after="50"/>
              <w:jc w:val="center"/>
              <w:rPr>
                <w:rFonts w:hint="eastAsia" w:ascii="宋体" w:hAnsi="宋体"/>
                <w:spacing w:val="20"/>
                <w:sz w:val="24"/>
              </w:rPr>
            </w:pPr>
            <w:r>
              <w:rPr>
                <w:rFonts w:hint="eastAsia" w:ascii="宋体" w:hAnsi="宋体"/>
                <w:sz w:val="24"/>
              </w:rPr>
              <w:t>各项费用组成</w:t>
            </w:r>
          </w:p>
        </w:tc>
        <w:tc>
          <w:tcPr>
            <w:tcW w:w="1840" w:type="dxa"/>
            <w:tcBorders>
              <w:top w:val="single" w:color="auto" w:sz="4" w:space="0"/>
              <w:left w:val="single" w:color="auto" w:sz="4" w:space="0"/>
              <w:bottom w:val="single" w:color="auto" w:sz="4" w:space="0"/>
              <w:right w:val="single" w:color="auto" w:sz="4" w:space="0"/>
            </w:tcBorders>
            <w:vAlign w:val="center"/>
          </w:tcPr>
          <w:p w14:paraId="68B1FF28">
            <w:pPr>
              <w:tabs>
                <w:tab w:val="left" w:pos="1418"/>
              </w:tabs>
              <w:snapToGrid w:val="0"/>
              <w:spacing w:before="50" w:after="50"/>
              <w:jc w:val="center"/>
              <w:rPr>
                <w:rFonts w:hint="eastAsia" w:ascii="宋体" w:hAnsi="宋体"/>
                <w:spacing w:val="20"/>
                <w:sz w:val="24"/>
              </w:rPr>
            </w:pPr>
            <w:r>
              <w:rPr>
                <w:rFonts w:hint="eastAsia" w:ascii="宋体" w:hAnsi="宋体"/>
                <w:sz w:val="24"/>
              </w:rPr>
              <w:t>单位及数量</w:t>
            </w:r>
          </w:p>
        </w:tc>
        <w:tc>
          <w:tcPr>
            <w:tcW w:w="2077" w:type="dxa"/>
            <w:tcBorders>
              <w:top w:val="single" w:color="auto" w:sz="4" w:space="0"/>
              <w:left w:val="single" w:color="auto" w:sz="4" w:space="0"/>
              <w:bottom w:val="single" w:color="auto" w:sz="4" w:space="0"/>
              <w:right w:val="single" w:color="auto" w:sz="4" w:space="0"/>
            </w:tcBorders>
            <w:vAlign w:val="center"/>
          </w:tcPr>
          <w:p w14:paraId="0F968FAE">
            <w:pPr>
              <w:tabs>
                <w:tab w:val="left" w:pos="1418"/>
              </w:tabs>
              <w:snapToGrid w:val="0"/>
              <w:spacing w:before="50" w:after="50"/>
              <w:jc w:val="center"/>
              <w:rPr>
                <w:rFonts w:hint="eastAsia" w:ascii="宋体" w:hAnsi="宋体"/>
                <w:spacing w:val="20"/>
                <w:sz w:val="24"/>
              </w:rPr>
            </w:pPr>
            <w:r>
              <w:rPr>
                <w:rFonts w:hint="eastAsia" w:ascii="宋体" w:hAnsi="宋体"/>
                <w:sz w:val="24"/>
              </w:rPr>
              <w:t>单价</w:t>
            </w:r>
          </w:p>
        </w:tc>
        <w:tc>
          <w:tcPr>
            <w:tcW w:w="1841" w:type="dxa"/>
            <w:tcBorders>
              <w:top w:val="single" w:color="auto" w:sz="4" w:space="0"/>
              <w:left w:val="single" w:color="auto" w:sz="4" w:space="0"/>
              <w:bottom w:val="single" w:color="auto" w:sz="4" w:space="0"/>
              <w:right w:val="single" w:color="auto" w:sz="4" w:space="0"/>
            </w:tcBorders>
            <w:vAlign w:val="center"/>
          </w:tcPr>
          <w:p w14:paraId="1E12BA23">
            <w:pPr>
              <w:tabs>
                <w:tab w:val="left" w:pos="1418"/>
              </w:tabs>
              <w:snapToGrid w:val="0"/>
              <w:spacing w:before="50" w:after="50"/>
              <w:jc w:val="center"/>
              <w:rPr>
                <w:rFonts w:hint="eastAsia" w:ascii="宋体" w:hAnsi="宋体" w:eastAsia="宋体"/>
                <w:spacing w:val="20"/>
                <w:sz w:val="24"/>
                <w:lang w:eastAsia="zh-CN"/>
              </w:rPr>
            </w:pPr>
            <w:r>
              <w:rPr>
                <w:rFonts w:hint="eastAsia" w:ascii="宋体" w:hAnsi="宋体"/>
                <w:sz w:val="24"/>
                <w:lang w:val="en-US" w:eastAsia="zh-CN"/>
              </w:rPr>
              <w:t>总价</w:t>
            </w:r>
          </w:p>
        </w:tc>
      </w:tr>
      <w:tr w14:paraId="516E10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1014" w:type="dxa"/>
            <w:tcBorders>
              <w:top w:val="single" w:color="auto" w:sz="4" w:space="0"/>
              <w:left w:val="single" w:color="auto" w:sz="4" w:space="0"/>
              <w:bottom w:val="single" w:color="auto" w:sz="4" w:space="0"/>
              <w:right w:val="single" w:color="auto" w:sz="4" w:space="0"/>
            </w:tcBorders>
            <w:vAlign w:val="center"/>
          </w:tcPr>
          <w:p w14:paraId="5595C368">
            <w:pPr>
              <w:tabs>
                <w:tab w:val="left" w:pos="1418"/>
              </w:tabs>
              <w:snapToGrid w:val="0"/>
              <w:spacing w:before="50" w:after="50"/>
              <w:jc w:val="center"/>
              <w:rPr>
                <w:rFonts w:hint="eastAsia" w:ascii="宋体" w:hAnsi="宋体"/>
                <w:sz w:val="24"/>
              </w:rPr>
            </w:pPr>
          </w:p>
        </w:tc>
        <w:tc>
          <w:tcPr>
            <w:tcW w:w="2315" w:type="dxa"/>
            <w:tcBorders>
              <w:top w:val="single" w:color="auto" w:sz="4" w:space="0"/>
              <w:left w:val="single" w:color="auto" w:sz="4" w:space="0"/>
              <w:bottom w:val="single" w:color="auto" w:sz="4" w:space="0"/>
              <w:right w:val="single" w:color="auto" w:sz="4" w:space="0"/>
            </w:tcBorders>
            <w:vAlign w:val="center"/>
          </w:tcPr>
          <w:p w14:paraId="6D763D40">
            <w:pPr>
              <w:tabs>
                <w:tab w:val="left" w:pos="1418"/>
              </w:tabs>
              <w:snapToGrid w:val="0"/>
              <w:spacing w:before="50" w:after="50"/>
              <w:jc w:val="center"/>
              <w:rPr>
                <w:rFonts w:hint="eastAsia" w:ascii="宋体" w:hAnsi="宋体"/>
                <w:sz w:val="24"/>
              </w:rPr>
            </w:pPr>
          </w:p>
        </w:tc>
        <w:tc>
          <w:tcPr>
            <w:tcW w:w="1840" w:type="dxa"/>
            <w:tcBorders>
              <w:top w:val="single" w:color="auto" w:sz="4" w:space="0"/>
              <w:left w:val="single" w:color="auto" w:sz="4" w:space="0"/>
              <w:bottom w:val="single" w:color="auto" w:sz="4" w:space="0"/>
              <w:right w:val="single" w:color="auto" w:sz="4" w:space="0"/>
            </w:tcBorders>
            <w:vAlign w:val="center"/>
          </w:tcPr>
          <w:p w14:paraId="6C18C399">
            <w:pPr>
              <w:tabs>
                <w:tab w:val="left" w:pos="1418"/>
              </w:tabs>
              <w:snapToGrid w:val="0"/>
              <w:spacing w:before="50" w:after="50"/>
              <w:jc w:val="center"/>
              <w:rPr>
                <w:rFonts w:hint="eastAsia" w:ascii="宋体" w:hAnsi="宋体"/>
                <w:sz w:val="24"/>
              </w:rPr>
            </w:pPr>
          </w:p>
        </w:tc>
        <w:tc>
          <w:tcPr>
            <w:tcW w:w="2077" w:type="dxa"/>
            <w:tcBorders>
              <w:top w:val="single" w:color="auto" w:sz="4" w:space="0"/>
              <w:left w:val="single" w:color="auto" w:sz="4" w:space="0"/>
              <w:bottom w:val="single" w:color="auto" w:sz="4" w:space="0"/>
              <w:right w:val="single" w:color="auto" w:sz="4" w:space="0"/>
            </w:tcBorders>
            <w:vAlign w:val="center"/>
          </w:tcPr>
          <w:p w14:paraId="0D14AE76">
            <w:pPr>
              <w:tabs>
                <w:tab w:val="left" w:pos="1418"/>
              </w:tabs>
              <w:snapToGrid w:val="0"/>
              <w:spacing w:before="50" w:after="50"/>
              <w:jc w:val="center"/>
              <w:rPr>
                <w:rFonts w:hint="eastAsia" w:ascii="宋体" w:hAnsi="宋体"/>
                <w:sz w:val="24"/>
              </w:rPr>
            </w:pPr>
          </w:p>
        </w:tc>
        <w:tc>
          <w:tcPr>
            <w:tcW w:w="1841" w:type="dxa"/>
            <w:tcBorders>
              <w:top w:val="single" w:color="auto" w:sz="4" w:space="0"/>
              <w:left w:val="single" w:color="auto" w:sz="4" w:space="0"/>
              <w:bottom w:val="single" w:color="auto" w:sz="4" w:space="0"/>
              <w:right w:val="single" w:color="auto" w:sz="4" w:space="0"/>
            </w:tcBorders>
            <w:vAlign w:val="center"/>
          </w:tcPr>
          <w:p w14:paraId="6D758B4E">
            <w:pPr>
              <w:tabs>
                <w:tab w:val="left" w:pos="1418"/>
              </w:tabs>
              <w:snapToGrid w:val="0"/>
              <w:spacing w:before="50" w:after="50"/>
              <w:jc w:val="center"/>
              <w:rPr>
                <w:rFonts w:hint="eastAsia" w:ascii="宋体" w:hAnsi="宋体"/>
                <w:sz w:val="24"/>
              </w:rPr>
            </w:pPr>
          </w:p>
        </w:tc>
      </w:tr>
      <w:tr w14:paraId="5DF14C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1" w:hRule="atLeast"/>
        </w:trPr>
        <w:tc>
          <w:tcPr>
            <w:tcW w:w="1014" w:type="dxa"/>
            <w:tcBorders>
              <w:top w:val="single" w:color="auto" w:sz="4" w:space="0"/>
              <w:left w:val="single" w:color="auto" w:sz="4" w:space="0"/>
              <w:bottom w:val="single" w:color="auto" w:sz="4" w:space="0"/>
              <w:right w:val="single" w:color="auto" w:sz="4" w:space="0"/>
            </w:tcBorders>
            <w:vAlign w:val="center"/>
          </w:tcPr>
          <w:p w14:paraId="066E28FF">
            <w:pPr>
              <w:tabs>
                <w:tab w:val="left" w:pos="1418"/>
              </w:tabs>
              <w:snapToGrid w:val="0"/>
              <w:spacing w:before="50" w:after="50"/>
              <w:jc w:val="center"/>
              <w:rPr>
                <w:rFonts w:hint="eastAsia" w:ascii="宋体" w:hAnsi="宋体"/>
                <w:sz w:val="24"/>
              </w:rPr>
            </w:pPr>
          </w:p>
        </w:tc>
        <w:tc>
          <w:tcPr>
            <w:tcW w:w="2315" w:type="dxa"/>
            <w:tcBorders>
              <w:top w:val="single" w:color="auto" w:sz="4" w:space="0"/>
              <w:left w:val="single" w:color="auto" w:sz="4" w:space="0"/>
              <w:bottom w:val="single" w:color="auto" w:sz="4" w:space="0"/>
              <w:right w:val="single" w:color="auto" w:sz="4" w:space="0"/>
            </w:tcBorders>
            <w:vAlign w:val="center"/>
          </w:tcPr>
          <w:p w14:paraId="4B27720A">
            <w:pPr>
              <w:tabs>
                <w:tab w:val="left" w:pos="1418"/>
              </w:tabs>
              <w:snapToGrid w:val="0"/>
              <w:spacing w:before="50" w:after="50"/>
              <w:jc w:val="center"/>
              <w:rPr>
                <w:rFonts w:hint="eastAsia" w:ascii="宋体" w:hAnsi="宋体"/>
                <w:sz w:val="24"/>
              </w:rPr>
            </w:pPr>
          </w:p>
        </w:tc>
        <w:tc>
          <w:tcPr>
            <w:tcW w:w="1840" w:type="dxa"/>
            <w:tcBorders>
              <w:top w:val="single" w:color="auto" w:sz="4" w:space="0"/>
              <w:left w:val="single" w:color="auto" w:sz="4" w:space="0"/>
              <w:bottom w:val="single" w:color="auto" w:sz="4" w:space="0"/>
              <w:right w:val="single" w:color="auto" w:sz="4" w:space="0"/>
            </w:tcBorders>
            <w:vAlign w:val="center"/>
          </w:tcPr>
          <w:p w14:paraId="434EB456">
            <w:pPr>
              <w:tabs>
                <w:tab w:val="left" w:pos="1418"/>
              </w:tabs>
              <w:snapToGrid w:val="0"/>
              <w:spacing w:before="50" w:after="50"/>
              <w:jc w:val="center"/>
              <w:rPr>
                <w:rFonts w:hint="eastAsia" w:ascii="宋体" w:hAnsi="宋体"/>
                <w:sz w:val="24"/>
              </w:rPr>
            </w:pPr>
          </w:p>
        </w:tc>
        <w:tc>
          <w:tcPr>
            <w:tcW w:w="2077" w:type="dxa"/>
            <w:tcBorders>
              <w:top w:val="single" w:color="auto" w:sz="4" w:space="0"/>
              <w:left w:val="single" w:color="auto" w:sz="4" w:space="0"/>
              <w:bottom w:val="single" w:color="auto" w:sz="4" w:space="0"/>
              <w:right w:val="single" w:color="auto" w:sz="4" w:space="0"/>
            </w:tcBorders>
            <w:vAlign w:val="center"/>
          </w:tcPr>
          <w:p w14:paraId="3D6924C1">
            <w:pPr>
              <w:tabs>
                <w:tab w:val="left" w:pos="1418"/>
              </w:tabs>
              <w:snapToGrid w:val="0"/>
              <w:spacing w:before="50" w:after="50"/>
              <w:jc w:val="center"/>
              <w:rPr>
                <w:rFonts w:hint="eastAsia" w:ascii="宋体" w:hAnsi="宋体"/>
                <w:sz w:val="24"/>
              </w:rPr>
            </w:pPr>
          </w:p>
        </w:tc>
        <w:tc>
          <w:tcPr>
            <w:tcW w:w="1841" w:type="dxa"/>
            <w:tcBorders>
              <w:top w:val="single" w:color="auto" w:sz="4" w:space="0"/>
              <w:left w:val="single" w:color="auto" w:sz="4" w:space="0"/>
              <w:bottom w:val="single" w:color="auto" w:sz="4" w:space="0"/>
              <w:right w:val="single" w:color="auto" w:sz="4" w:space="0"/>
            </w:tcBorders>
            <w:vAlign w:val="center"/>
          </w:tcPr>
          <w:p w14:paraId="05B3CDF8">
            <w:pPr>
              <w:tabs>
                <w:tab w:val="left" w:pos="1418"/>
              </w:tabs>
              <w:snapToGrid w:val="0"/>
              <w:spacing w:before="50" w:after="50"/>
              <w:jc w:val="center"/>
              <w:rPr>
                <w:rFonts w:hint="eastAsia" w:ascii="宋体" w:hAnsi="宋体"/>
                <w:sz w:val="24"/>
              </w:rPr>
            </w:pPr>
          </w:p>
        </w:tc>
      </w:tr>
      <w:tr w14:paraId="646DB0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014" w:type="dxa"/>
            <w:tcBorders>
              <w:top w:val="single" w:color="auto" w:sz="4" w:space="0"/>
              <w:left w:val="single" w:color="auto" w:sz="4" w:space="0"/>
              <w:bottom w:val="single" w:color="auto" w:sz="4" w:space="0"/>
              <w:right w:val="single" w:color="auto" w:sz="4" w:space="0"/>
            </w:tcBorders>
            <w:vAlign w:val="center"/>
          </w:tcPr>
          <w:p w14:paraId="0CFDA2F3">
            <w:pPr>
              <w:tabs>
                <w:tab w:val="left" w:pos="1418"/>
              </w:tabs>
              <w:snapToGrid w:val="0"/>
              <w:spacing w:before="50" w:after="50"/>
              <w:jc w:val="center"/>
              <w:rPr>
                <w:rFonts w:hint="eastAsia" w:ascii="宋体" w:hAnsi="宋体"/>
                <w:sz w:val="24"/>
              </w:rPr>
            </w:pPr>
          </w:p>
        </w:tc>
        <w:tc>
          <w:tcPr>
            <w:tcW w:w="2315" w:type="dxa"/>
            <w:tcBorders>
              <w:top w:val="single" w:color="auto" w:sz="4" w:space="0"/>
              <w:left w:val="single" w:color="auto" w:sz="4" w:space="0"/>
              <w:bottom w:val="single" w:color="auto" w:sz="4" w:space="0"/>
              <w:right w:val="single" w:color="auto" w:sz="4" w:space="0"/>
            </w:tcBorders>
            <w:vAlign w:val="center"/>
          </w:tcPr>
          <w:p w14:paraId="7960FCEC">
            <w:pPr>
              <w:tabs>
                <w:tab w:val="left" w:pos="1418"/>
              </w:tabs>
              <w:snapToGrid w:val="0"/>
              <w:spacing w:before="50" w:after="50"/>
              <w:jc w:val="center"/>
              <w:rPr>
                <w:rFonts w:hint="eastAsia" w:ascii="宋体" w:hAnsi="宋体"/>
                <w:sz w:val="24"/>
              </w:rPr>
            </w:pPr>
          </w:p>
        </w:tc>
        <w:tc>
          <w:tcPr>
            <w:tcW w:w="1840" w:type="dxa"/>
            <w:tcBorders>
              <w:top w:val="single" w:color="auto" w:sz="4" w:space="0"/>
              <w:left w:val="single" w:color="auto" w:sz="4" w:space="0"/>
              <w:bottom w:val="single" w:color="auto" w:sz="4" w:space="0"/>
              <w:right w:val="single" w:color="auto" w:sz="4" w:space="0"/>
            </w:tcBorders>
            <w:vAlign w:val="center"/>
          </w:tcPr>
          <w:p w14:paraId="18D3CFDD">
            <w:pPr>
              <w:tabs>
                <w:tab w:val="left" w:pos="1418"/>
              </w:tabs>
              <w:snapToGrid w:val="0"/>
              <w:spacing w:before="50" w:after="50"/>
              <w:jc w:val="center"/>
              <w:rPr>
                <w:rFonts w:hint="eastAsia" w:ascii="宋体" w:hAnsi="宋体"/>
                <w:sz w:val="24"/>
              </w:rPr>
            </w:pPr>
          </w:p>
        </w:tc>
        <w:tc>
          <w:tcPr>
            <w:tcW w:w="2077" w:type="dxa"/>
            <w:tcBorders>
              <w:top w:val="single" w:color="auto" w:sz="4" w:space="0"/>
              <w:left w:val="single" w:color="auto" w:sz="4" w:space="0"/>
              <w:bottom w:val="single" w:color="auto" w:sz="4" w:space="0"/>
              <w:right w:val="single" w:color="auto" w:sz="4" w:space="0"/>
            </w:tcBorders>
            <w:vAlign w:val="center"/>
          </w:tcPr>
          <w:p w14:paraId="10DA1AF1">
            <w:pPr>
              <w:tabs>
                <w:tab w:val="left" w:pos="1418"/>
              </w:tabs>
              <w:snapToGrid w:val="0"/>
              <w:spacing w:before="50" w:after="50"/>
              <w:jc w:val="center"/>
              <w:rPr>
                <w:rFonts w:hint="eastAsia" w:ascii="宋体" w:hAnsi="宋体"/>
                <w:sz w:val="24"/>
              </w:rPr>
            </w:pPr>
          </w:p>
        </w:tc>
        <w:tc>
          <w:tcPr>
            <w:tcW w:w="1841" w:type="dxa"/>
            <w:tcBorders>
              <w:top w:val="single" w:color="auto" w:sz="4" w:space="0"/>
              <w:left w:val="single" w:color="auto" w:sz="4" w:space="0"/>
              <w:bottom w:val="single" w:color="auto" w:sz="4" w:space="0"/>
              <w:right w:val="single" w:color="auto" w:sz="4" w:space="0"/>
            </w:tcBorders>
            <w:vAlign w:val="center"/>
          </w:tcPr>
          <w:p w14:paraId="1A48583C">
            <w:pPr>
              <w:tabs>
                <w:tab w:val="left" w:pos="1418"/>
              </w:tabs>
              <w:snapToGrid w:val="0"/>
              <w:spacing w:before="50" w:after="50"/>
              <w:jc w:val="center"/>
              <w:rPr>
                <w:rFonts w:hint="eastAsia" w:ascii="宋体" w:hAnsi="宋体"/>
                <w:sz w:val="24"/>
              </w:rPr>
            </w:pPr>
          </w:p>
        </w:tc>
      </w:tr>
      <w:tr w14:paraId="6B60FF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1014" w:type="dxa"/>
            <w:tcBorders>
              <w:top w:val="single" w:color="auto" w:sz="4" w:space="0"/>
              <w:left w:val="single" w:color="auto" w:sz="4" w:space="0"/>
              <w:bottom w:val="single" w:color="auto" w:sz="4" w:space="0"/>
              <w:right w:val="single" w:color="auto" w:sz="4" w:space="0"/>
            </w:tcBorders>
            <w:vAlign w:val="center"/>
          </w:tcPr>
          <w:p w14:paraId="5F1D676D">
            <w:pPr>
              <w:tabs>
                <w:tab w:val="left" w:pos="1418"/>
              </w:tabs>
              <w:snapToGrid w:val="0"/>
              <w:spacing w:before="50" w:after="50"/>
              <w:jc w:val="center"/>
              <w:rPr>
                <w:rFonts w:hint="eastAsia" w:ascii="宋体" w:hAnsi="宋体"/>
                <w:sz w:val="24"/>
              </w:rPr>
            </w:pPr>
          </w:p>
        </w:tc>
        <w:tc>
          <w:tcPr>
            <w:tcW w:w="2315" w:type="dxa"/>
            <w:tcBorders>
              <w:top w:val="single" w:color="auto" w:sz="4" w:space="0"/>
              <w:left w:val="single" w:color="auto" w:sz="4" w:space="0"/>
              <w:bottom w:val="single" w:color="auto" w:sz="4" w:space="0"/>
              <w:right w:val="single" w:color="auto" w:sz="4" w:space="0"/>
            </w:tcBorders>
            <w:vAlign w:val="center"/>
          </w:tcPr>
          <w:p w14:paraId="0615AC20">
            <w:pPr>
              <w:tabs>
                <w:tab w:val="left" w:pos="1418"/>
              </w:tabs>
              <w:snapToGrid w:val="0"/>
              <w:spacing w:before="50" w:after="50"/>
              <w:jc w:val="center"/>
              <w:rPr>
                <w:rFonts w:hint="eastAsia" w:ascii="宋体" w:hAnsi="宋体"/>
                <w:sz w:val="24"/>
              </w:rPr>
            </w:pPr>
          </w:p>
        </w:tc>
        <w:tc>
          <w:tcPr>
            <w:tcW w:w="1840" w:type="dxa"/>
            <w:tcBorders>
              <w:top w:val="single" w:color="auto" w:sz="4" w:space="0"/>
              <w:left w:val="single" w:color="auto" w:sz="4" w:space="0"/>
              <w:bottom w:val="single" w:color="auto" w:sz="4" w:space="0"/>
              <w:right w:val="single" w:color="auto" w:sz="4" w:space="0"/>
            </w:tcBorders>
            <w:vAlign w:val="center"/>
          </w:tcPr>
          <w:p w14:paraId="0878EDD8">
            <w:pPr>
              <w:tabs>
                <w:tab w:val="left" w:pos="1418"/>
              </w:tabs>
              <w:snapToGrid w:val="0"/>
              <w:spacing w:before="50" w:after="50"/>
              <w:jc w:val="center"/>
              <w:rPr>
                <w:rFonts w:hint="eastAsia" w:ascii="宋体" w:hAnsi="宋体"/>
                <w:sz w:val="24"/>
              </w:rPr>
            </w:pPr>
          </w:p>
        </w:tc>
        <w:tc>
          <w:tcPr>
            <w:tcW w:w="2077" w:type="dxa"/>
            <w:tcBorders>
              <w:top w:val="single" w:color="auto" w:sz="4" w:space="0"/>
              <w:left w:val="single" w:color="auto" w:sz="4" w:space="0"/>
              <w:bottom w:val="single" w:color="auto" w:sz="4" w:space="0"/>
              <w:right w:val="single" w:color="auto" w:sz="4" w:space="0"/>
            </w:tcBorders>
            <w:vAlign w:val="center"/>
          </w:tcPr>
          <w:p w14:paraId="22491D03">
            <w:pPr>
              <w:tabs>
                <w:tab w:val="left" w:pos="1418"/>
              </w:tabs>
              <w:snapToGrid w:val="0"/>
              <w:spacing w:before="50" w:after="50"/>
              <w:jc w:val="center"/>
              <w:rPr>
                <w:rFonts w:hint="eastAsia" w:ascii="宋体" w:hAnsi="宋体"/>
                <w:sz w:val="24"/>
              </w:rPr>
            </w:pPr>
          </w:p>
        </w:tc>
        <w:tc>
          <w:tcPr>
            <w:tcW w:w="1841" w:type="dxa"/>
            <w:tcBorders>
              <w:top w:val="single" w:color="auto" w:sz="4" w:space="0"/>
              <w:left w:val="single" w:color="auto" w:sz="4" w:space="0"/>
              <w:bottom w:val="single" w:color="auto" w:sz="4" w:space="0"/>
              <w:right w:val="single" w:color="auto" w:sz="4" w:space="0"/>
            </w:tcBorders>
            <w:vAlign w:val="center"/>
          </w:tcPr>
          <w:p w14:paraId="69EAAFA3">
            <w:pPr>
              <w:tabs>
                <w:tab w:val="left" w:pos="1418"/>
              </w:tabs>
              <w:snapToGrid w:val="0"/>
              <w:spacing w:before="50" w:after="50"/>
              <w:jc w:val="center"/>
              <w:rPr>
                <w:rFonts w:hint="eastAsia" w:ascii="宋体" w:hAnsi="宋体"/>
                <w:sz w:val="24"/>
              </w:rPr>
            </w:pPr>
          </w:p>
        </w:tc>
      </w:tr>
      <w:tr w14:paraId="0EA0AB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1014" w:type="dxa"/>
            <w:tcBorders>
              <w:top w:val="single" w:color="auto" w:sz="4" w:space="0"/>
              <w:left w:val="single" w:color="auto" w:sz="4" w:space="0"/>
              <w:bottom w:val="single" w:color="auto" w:sz="4" w:space="0"/>
              <w:right w:val="single" w:color="auto" w:sz="4" w:space="0"/>
            </w:tcBorders>
            <w:vAlign w:val="center"/>
          </w:tcPr>
          <w:p w14:paraId="032BDC9E">
            <w:pPr>
              <w:tabs>
                <w:tab w:val="left" w:pos="1418"/>
              </w:tabs>
              <w:snapToGrid w:val="0"/>
              <w:spacing w:before="50" w:after="50"/>
              <w:jc w:val="center"/>
              <w:rPr>
                <w:rFonts w:hint="eastAsia" w:ascii="宋体" w:hAnsi="宋体"/>
                <w:sz w:val="24"/>
              </w:rPr>
            </w:pPr>
          </w:p>
        </w:tc>
        <w:tc>
          <w:tcPr>
            <w:tcW w:w="2315" w:type="dxa"/>
            <w:tcBorders>
              <w:top w:val="single" w:color="auto" w:sz="4" w:space="0"/>
              <w:left w:val="single" w:color="auto" w:sz="4" w:space="0"/>
              <w:bottom w:val="single" w:color="auto" w:sz="4" w:space="0"/>
              <w:right w:val="single" w:color="auto" w:sz="4" w:space="0"/>
            </w:tcBorders>
            <w:vAlign w:val="center"/>
          </w:tcPr>
          <w:p w14:paraId="44BB41C9">
            <w:pPr>
              <w:tabs>
                <w:tab w:val="left" w:pos="1418"/>
              </w:tabs>
              <w:snapToGrid w:val="0"/>
              <w:spacing w:before="50" w:after="50"/>
              <w:jc w:val="center"/>
              <w:rPr>
                <w:rFonts w:hint="eastAsia" w:ascii="宋体" w:hAnsi="宋体"/>
                <w:sz w:val="24"/>
              </w:rPr>
            </w:pPr>
          </w:p>
        </w:tc>
        <w:tc>
          <w:tcPr>
            <w:tcW w:w="1840" w:type="dxa"/>
            <w:tcBorders>
              <w:top w:val="single" w:color="auto" w:sz="4" w:space="0"/>
              <w:left w:val="single" w:color="auto" w:sz="4" w:space="0"/>
              <w:bottom w:val="single" w:color="auto" w:sz="4" w:space="0"/>
              <w:right w:val="single" w:color="auto" w:sz="4" w:space="0"/>
            </w:tcBorders>
            <w:vAlign w:val="center"/>
          </w:tcPr>
          <w:p w14:paraId="5ED79230">
            <w:pPr>
              <w:tabs>
                <w:tab w:val="left" w:pos="1418"/>
              </w:tabs>
              <w:snapToGrid w:val="0"/>
              <w:spacing w:before="50" w:after="50"/>
              <w:jc w:val="center"/>
              <w:rPr>
                <w:rFonts w:hint="eastAsia" w:ascii="宋体" w:hAnsi="宋体"/>
                <w:sz w:val="24"/>
              </w:rPr>
            </w:pPr>
          </w:p>
        </w:tc>
        <w:tc>
          <w:tcPr>
            <w:tcW w:w="2077" w:type="dxa"/>
            <w:tcBorders>
              <w:top w:val="single" w:color="auto" w:sz="4" w:space="0"/>
              <w:left w:val="single" w:color="auto" w:sz="4" w:space="0"/>
              <w:bottom w:val="single" w:color="auto" w:sz="4" w:space="0"/>
              <w:right w:val="single" w:color="auto" w:sz="4" w:space="0"/>
            </w:tcBorders>
            <w:vAlign w:val="center"/>
          </w:tcPr>
          <w:p w14:paraId="0F1027F0">
            <w:pPr>
              <w:tabs>
                <w:tab w:val="left" w:pos="1418"/>
              </w:tabs>
              <w:snapToGrid w:val="0"/>
              <w:spacing w:before="50" w:after="50"/>
              <w:jc w:val="center"/>
              <w:rPr>
                <w:rFonts w:hint="eastAsia" w:ascii="宋体" w:hAnsi="宋体"/>
                <w:sz w:val="24"/>
              </w:rPr>
            </w:pPr>
          </w:p>
        </w:tc>
        <w:tc>
          <w:tcPr>
            <w:tcW w:w="1841" w:type="dxa"/>
            <w:tcBorders>
              <w:top w:val="single" w:color="auto" w:sz="4" w:space="0"/>
              <w:left w:val="single" w:color="auto" w:sz="4" w:space="0"/>
              <w:bottom w:val="single" w:color="auto" w:sz="4" w:space="0"/>
              <w:right w:val="single" w:color="auto" w:sz="4" w:space="0"/>
            </w:tcBorders>
            <w:vAlign w:val="center"/>
          </w:tcPr>
          <w:p w14:paraId="79D8D642">
            <w:pPr>
              <w:tabs>
                <w:tab w:val="left" w:pos="1418"/>
              </w:tabs>
              <w:snapToGrid w:val="0"/>
              <w:spacing w:before="50" w:after="50"/>
              <w:jc w:val="center"/>
              <w:rPr>
                <w:rFonts w:hint="eastAsia" w:ascii="宋体" w:hAnsi="宋体"/>
                <w:sz w:val="24"/>
              </w:rPr>
            </w:pPr>
          </w:p>
        </w:tc>
      </w:tr>
      <w:tr w14:paraId="3AF317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1014" w:type="dxa"/>
            <w:tcBorders>
              <w:top w:val="single" w:color="auto" w:sz="4" w:space="0"/>
              <w:left w:val="single" w:color="auto" w:sz="4" w:space="0"/>
              <w:bottom w:val="single" w:color="auto" w:sz="4" w:space="0"/>
              <w:right w:val="single" w:color="auto" w:sz="4" w:space="0"/>
            </w:tcBorders>
            <w:vAlign w:val="center"/>
          </w:tcPr>
          <w:p w14:paraId="44DC20A0">
            <w:pPr>
              <w:tabs>
                <w:tab w:val="left" w:pos="1418"/>
              </w:tabs>
              <w:snapToGrid w:val="0"/>
              <w:spacing w:before="50" w:after="50"/>
              <w:jc w:val="center"/>
              <w:rPr>
                <w:rFonts w:hint="eastAsia" w:ascii="宋体" w:hAnsi="宋体"/>
                <w:sz w:val="24"/>
              </w:rPr>
            </w:pPr>
          </w:p>
        </w:tc>
        <w:tc>
          <w:tcPr>
            <w:tcW w:w="2315" w:type="dxa"/>
            <w:tcBorders>
              <w:top w:val="single" w:color="auto" w:sz="4" w:space="0"/>
              <w:left w:val="single" w:color="auto" w:sz="4" w:space="0"/>
              <w:bottom w:val="single" w:color="auto" w:sz="4" w:space="0"/>
              <w:right w:val="single" w:color="auto" w:sz="4" w:space="0"/>
            </w:tcBorders>
            <w:vAlign w:val="center"/>
          </w:tcPr>
          <w:p w14:paraId="4BDC7949">
            <w:pPr>
              <w:tabs>
                <w:tab w:val="left" w:pos="1418"/>
              </w:tabs>
              <w:snapToGrid w:val="0"/>
              <w:spacing w:before="50" w:after="50"/>
              <w:jc w:val="center"/>
              <w:rPr>
                <w:rFonts w:hint="eastAsia" w:ascii="宋体" w:hAnsi="宋体"/>
                <w:sz w:val="24"/>
              </w:rPr>
            </w:pPr>
          </w:p>
        </w:tc>
        <w:tc>
          <w:tcPr>
            <w:tcW w:w="1840" w:type="dxa"/>
            <w:tcBorders>
              <w:top w:val="single" w:color="auto" w:sz="4" w:space="0"/>
              <w:left w:val="single" w:color="auto" w:sz="4" w:space="0"/>
              <w:bottom w:val="single" w:color="auto" w:sz="4" w:space="0"/>
              <w:right w:val="single" w:color="auto" w:sz="4" w:space="0"/>
            </w:tcBorders>
            <w:vAlign w:val="center"/>
          </w:tcPr>
          <w:p w14:paraId="6425B338">
            <w:pPr>
              <w:tabs>
                <w:tab w:val="left" w:pos="1418"/>
              </w:tabs>
              <w:snapToGrid w:val="0"/>
              <w:spacing w:before="50" w:after="50"/>
              <w:jc w:val="center"/>
              <w:rPr>
                <w:rFonts w:hint="eastAsia" w:ascii="宋体" w:hAnsi="宋体"/>
                <w:sz w:val="24"/>
              </w:rPr>
            </w:pPr>
          </w:p>
        </w:tc>
        <w:tc>
          <w:tcPr>
            <w:tcW w:w="2077" w:type="dxa"/>
            <w:tcBorders>
              <w:top w:val="single" w:color="auto" w:sz="4" w:space="0"/>
              <w:left w:val="single" w:color="auto" w:sz="4" w:space="0"/>
              <w:bottom w:val="single" w:color="auto" w:sz="4" w:space="0"/>
              <w:right w:val="single" w:color="auto" w:sz="4" w:space="0"/>
            </w:tcBorders>
            <w:vAlign w:val="center"/>
          </w:tcPr>
          <w:p w14:paraId="1559530C">
            <w:pPr>
              <w:tabs>
                <w:tab w:val="left" w:pos="1418"/>
              </w:tabs>
              <w:snapToGrid w:val="0"/>
              <w:spacing w:before="50" w:after="50"/>
              <w:jc w:val="center"/>
              <w:rPr>
                <w:rFonts w:hint="eastAsia" w:ascii="宋体" w:hAnsi="宋体"/>
                <w:sz w:val="24"/>
              </w:rPr>
            </w:pPr>
          </w:p>
        </w:tc>
        <w:tc>
          <w:tcPr>
            <w:tcW w:w="1841" w:type="dxa"/>
            <w:tcBorders>
              <w:top w:val="single" w:color="auto" w:sz="4" w:space="0"/>
              <w:left w:val="single" w:color="auto" w:sz="4" w:space="0"/>
              <w:bottom w:val="single" w:color="auto" w:sz="4" w:space="0"/>
              <w:right w:val="single" w:color="auto" w:sz="4" w:space="0"/>
            </w:tcBorders>
            <w:vAlign w:val="center"/>
          </w:tcPr>
          <w:p w14:paraId="1ED3B5D3">
            <w:pPr>
              <w:tabs>
                <w:tab w:val="left" w:pos="1418"/>
              </w:tabs>
              <w:snapToGrid w:val="0"/>
              <w:spacing w:before="50" w:after="50"/>
              <w:jc w:val="center"/>
              <w:rPr>
                <w:rFonts w:hint="eastAsia" w:ascii="宋体" w:hAnsi="宋体"/>
                <w:sz w:val="24"/>
              </w:rPr>
            </w:pPr>
          </w:p>
        </w:tc>
      </w:tr>
      <w:tr w14:paraId="070DBF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1014" w:type="dxa"/>
            <w:tcBorders>
              <w:top w:val="single" w:color="auto" w:sz="4" w:space="0"/>
              <w:left w:val="single" w:color="auto" w:sz="4" w:space="0"/>
              <w:bottom w:val="single" w:color="auto" w:sz="4" w:space="0"/>
              <w:right w:val="single" w:color="auto" w:sz="4" w:space="0"/>
            </w:tcBorders>
            <w:vAlign w:val="center"/>
          </w:tcPr>
          <w:p w14:paraId="1ADB4308">
            <w:pPr>
              <w:tabs>
                <w:tab w:val="left" w:pos="1418"/>
              </w:tabs>
              <w:snapToGrid w:val="0"/>
              <w:spacing w:before="50" w:after="50"/>
              <w:jc w:val="center"/>
              <w:rPr>
                <w:rFonts w:hint="eastAsia" w:ascii="宋体" w:hAnsi="宋体"/>
                <w:sz w:val="24"/>
              </w:rPr>
            </w:pPr>
          </w:p>
        </w:tc>
        <w:tc>
          <w:tcPr>
            <w:tcW w:w="2315" w:type="dxa"/>
            <w:tcBorders>
              <w:top w:val="single" w:color="auto" w:sz="4" w:space="0"/>
              <w:left w:val="single" w:color="auto" w:sz="4" w:space="0"/>
              <w:bottom w:val="single" w:color="auto" w:sz="4" w:space="0"/>
              <w:right w:val="single" w:color="auto" w:sz="4" w:space="0"/>
            </w:tcBorders>
            <w:vAlign w:val="center"/>
          </w:tcPr>
          <w:p w14:paraId="68A75655">
            <w:pPr>
              <w:tabs>
                <w:tab w:val="left" w:pos="1418"/>
              </w:tabs>
              <w:snapToGrid w:val="0"/>
              <w:spacing w:before="50" w:after="50"/>
              <w:jc w:val="center"/>
              <w:rPr>
                <w:rFonts w:hint="eastAsia" w:ascii="宋体" w:hAnsi="宋体"/>
                <w:sz w:val="24"/>
              </w:rPr>
            </w:pPr>
          </w:p>
        </w:tc>
        <w:tc>
          <w:tcPr>
            <w:tcW w:w="1840" w:type="dxa"/>
            <w:tcBorders>
              <w:top w:val="single" w:color="auto" w:sz="4" w:space="0"/>
              <w:left w:val="single" w:color="auto" w:sz="4" w:space="0"/>
              <w:bottom w:val="single" w:color="auto" w:sz="4" w:space="0"/>
              <w:right w:val="single" w:color="auto" w:sz="4" w:space="0"/>
            </w:tcBorders>
            <w:vAlign w:val="center"/>
          </w:tcPr>
          <w:p w14:paraId="76A7DF34">
            <w:pPr>
              <w:tabs>
                <w:tab w:val="left" w:pos="1418"/>
              </w:tabs>
              <w:snapToGrid w:val="0"/>
              <w:spacing w:before="50" w:after="50"/>
              <w:jc w:val="center"/>
              <w:rPr>
                <w:rFonts w:hint="eastAsia" w:ascii="宋体" w:hAnsi="宋体"/>
                <w:sz w:val="24"/>
              </w:rPr>
            </w:pPr>
          </w:p>
        </w:tc>
        <w:tc>
          <w:tcPr>
            <w:tcW w:w="2077" w:type="dxa"/>
            <w:tcBorders>
              <w:top w:val="single" w:color="auto" w:sz="4" w:space="0"/>
              <w:left w:val="single" w:color="auto" w:sz="4" w:space="0"/>
              <w:bottom w:val="single" w:color="auto" w:sz="4" w:space="0"/>
              <w:right w:val="single" w:color="auto" w:sz="4" w:space="0"/>
            </w:tcBorders>
            <w:vAlign w:val="center"/>
          </w:tcPr>
          <w:p w14:paraId="212AD66A">
            <w:pPr>
              <w:tabs>
                <w:tab w:val="left" w:pos="1418"/>
              </w:tabs>
              <w:snapToGrid w:val="0"/>
              <w:spacing w:before="50" w:after="50"/>
              <w:jc w:val="center"/>
              <w:rPr>
                <w:rFonts w:hint="eastAsia" w:ascii="宋体" w:hAnsi="宋体"/>
                <w:sz w:val="24"/>
              </w:rPr>
            </w:pPr>
          </w:p>
        </w:tc>
        <w:tc>
          <w:tcPr>
            <w:tcW w:w="1841" w:type="dxa"/>
            <w:tcBorders>
              <w:top w:val="single" w:color="auto" w:sz="4" w:space="0"/>
              <w:left w:val="single" w:color="auto" w:sz="4" w:space="0"/>
              <w:bottom w:val="single" w:color="auto" w:sz="4" w:space="0"/>
              <w:right w:val="single" w:color="auto" w:sz="4" w:space="0"/>
            </w:tcBorders>
            <w:vAlign w:val="center"/>
          </w:tcPr>
          <w:p w14:paraId="03705230">
            <w:pPr>
              <w:tabs>
                <w:tab w:val="left" w:pos="1418"/>
              </w:tabs>
              <w:snapToGrid w:val="0"/>
              <w:spacing w:before="50" w:after="50"/>
              <w:jc w:val="center"/>
              <w:rPr>
                <w:rFonts w:hint="eastAsia" w:ascii="宋体" w:hAnsi="宋体"/>
                <w:sz w:val="24"/>
              </w:rPr>
            </w:pPr>
          </w:p>
        </w:tc>
      </w:tr>
      <w:tr w14:paraId="1C999E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1014" w:type="dxa"/>
            <w:tcBorders>
              <w:top w:val="single" w:color="auto" w:sz="4" w:space="0"/>
              <w:left w:val="single" w:color="auto" w:sz="4" w:space="0"/>
              <w:bottom w:val="single" w:color="auto" w:sz="4" w:space="0"/>
              <w:right w:val="single" w:color="auto" w:sz="4" w:space="0"/>
            </w:tcBorders>
            <w:vAlign w:val="center"/>
          </w:tcPr>
          <w:p w14:paraId="35719C5C">
            <w:pPr>
              <w:tabs>
                <w:tab w:val="left" w:pos="1418"/>
              </w:tabs>
              <w:snapToGrid w:val="0"/>
              <w:spacing w:before="50" w:after="50"/>
              <w:jc w:val="center"/>
              <w:rPr>
                <w:rFonts w:hint="eastAsia" w:ascii="宋体" w:hAnsi="宋体"/>
                <w:sz w:val="24"/>
              </w:rPr>
            </w:pPr>
            <w:r>
              <w:rPr>
                <w:rFonts w:hint="eastAsia" w:ascii="宋体" w:hAnsi="宋体"/>
                <w:sz w:val="24"/>
              </w:rPr>
              <w:t>……</w:t>
            </w:r>
          </w:p>
        </w:tc>
        <w:tc>
          <w:tcPr>
            <w:tcW w:w="2315" w:type="dxa"/>
            <w:tcBorders>
              <w:top w:val="single" w:color="auto" w:sz="4" w:space="0"/>
              <w:left w:val="single" w:color="auto" w:sz="4" w:space="0"/>
              <w:bottom w:val="single" w:color="auto" w:sz="4" w:space="0"/>
              <w:right w:val="single" w:color="auto" w:sz="4" w:space="0"/>
            </w:tcBorders>
            <w:vAlign w:val="center"/>
          </w:tcPr>
          <w:p w14:paraId="62883AA7">
            <w:pPr>
              <w:tabs>
                <w:tab w:val="left" w:pos="1418"/>
              </w:tabs>
              <w:snapToGrid w:val="0"/>
              <w:spacing w:before="50" w:after="50"/>
              <w:jc w:val="center"/>
              <w:rPr>
                <w:rFonts w:hint="eastAsia" w:ascii="宋体" w:hAnsi="宋体"/>
                <w:sz w:val="24"/>
              </w:rPr>
            </w:pPr>
            <w:r>
              <w:rPr>
                <w:rFonts w:hint="eastAsia" w:ascii="宋体" w:hAnsi="宋体"/>
                <w:sz w:val="24"/>
              </w:rPr>
              <w:t>……</w:t>
            </w:r>
          </w:p>
        </w:tc>
        <w:tc>
          <w:tcPr>
            <w:tcW w:w="1840" w:type="dxa"/>
            <w:tcBorders>
              <w:top w:val="single" w:color="auto" w:sz="4" w:space="0"/>
              <w:left w:val="single" w:color="auto" w:sz="4" w:space="0"/>
              <w:bottom w:val="single" w:color="auto" w:sz="4" w:space="0"/>
              <w:right w:val="single" w:color="auto" w:sz="4" w:space="0"/>
            </w:tcBorders>
            <w:vAlign w:val="center"/>
          </w:tcPr>
          <w:p w14:paraId="1F3F1294">
            <w:pPr>
              <w:tabs>
                <w:tab w:val="left" w:pos="1418"/>
              </w:tabs>
              <w:snapToGrid w:val="0"/>
              <w:spacing w:before="50" w:after="50"/>
              <w:jc w:val="center"/>
              <w:rPr>
                <w:rFonts w:hint="eastAsia" w:ascii="宋体" w:hAnsi="宋体"/>
                <w:sz w:val="24"/>
              </w:rPr>
            </w:pPr>
          </w:p>
        </w:tc>
        <w:tc>
          <w:tcPr>
            <w:tcW w:w="2077" w:type="dxa"/>
            <w:tcBorders>
              <w:top w:val="single" w:color="auto" w:sz="4" w:space="0"/>
              <w:left w:val="single" w:color="auto" w:sz="4" w:space="0"/>
              <w:bottom w:val="single" w:color="auto" w:sz="4" w:space="0"/>
              <w:right w:val="single" w:color="auto" w:sz="4" w:space="0"/>
            </w:tcBorders>
            <w:vAlign w:val="center"/>
          </w:tcPr>
          <w:p w14:paraId="51B87F8C">
            <w:pPr>
              <w:tabs>
                <w:tab w:val="left" w:pos="1418"/>
              </w:tabs>
              <w:snapToGrid w:val="0"/>
              <w:spacing w:before="50" w:after="50"/>
              <w:jc w:val="center"/>
              <w:rPr>
                <w:rFonts w:hint="eastAsia" w:ascii="宋体" w:hAnsi="宋体"/>
                <w:sz w:val="24"/>
              </w:rPr>
            </w:pPr>
          </w:p>
        </w:tc>
        <w:tc>
          <w:tcPr>
            <w:tcW w:w="1841" w:type="dxa"/>
            <w:tcBorders>
              <w:top w:val="single" w:color="auto" w:sz="4" w:space="0"/>
              <w:left w:val="single" w:color="auto" w:sz="4" w:space="0"/>
              <w:bottom w:val="single" w:color="auto" w:sz="4" w:space="0"/>
              <w:right w:val="single" w:color="auto" w:sz="4" w:space="0"/>
            </w:tcBorders>
            <w:vAlign w:val="center"/>
          </w:tcPr>
          <w:p w14:paraId="2E01F826">
            <w:pPr>
              <w:tabs>
                <w:tab w:val="left" w:pos="1418"/>
              </w:tabs>
              <w:snapToGrid w:val="0"/>
              <w:spacing w:before="50" w:after="50"/>
              <w:jc w:val="center"/>
              <w:rPr>
                <w:rFonts w:hint="eastAsia" w:ascii="宋体" w:hAnsi="宋体"/>
                <w:sz w:val="24"/>
              </w:rPr>
            </w:pPr>
          </w:p>
        </w:tc>
      </w:tr>
      <w:tr w14:paraId="3A3D99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5169" w:type="dxa"/>
            <w:gridSpan w:val="3"/>
            <w:tcBorders>
              <w:top w:val="single" w:color="auto" w:sz="4" w:space="0"/>
              <w:left w:val="single" w:color="auto" w:sz="4" w:space="0"/>
              <w:bottom w:val="single" w:color="auto" w:sz="4" w:space="0"/>
              <w:right w:val="single" w:color="auto" w:sz="4" w:space="0"/>
            </w:tcBorders>
            <w:vAlign w:val="center"/>
          </w:tcPr>
          <w:p w14:paraId="4C72AAC3">
            <w:pPr>
              <w:tabs>
                <w:tab w:val="left" w:pos="1418"/>
              </w:tabs>
              <w:snapToGrid w:val="0"/>
              <w:spacing w:before="50" w:after="50"/>
              <w:jc w:val="center"/>
              <w:rPr>
                <w:rFonts w:hint="eastAsia" w:ascii="宋体" w:hAnsi="宋体"/>
                <w:spacing w:val="20"/>
                <w:sz w:val="24"/>
              </w:rPr>
            </w:pPr>
            <w:r>
              <w:rPr>
                <w:rFonts w:hint="eastAsia" w:ascii="宋体" w:hAnsi="宋体"/>
                <w:spacing w:val="20"/>
                <w:sz w:val="24"/>
              </w:rPr>
              <w:t>投标总报价</w:t>
            </w:r>
          </w:p>
        </w:tc>
        <w:tc>
          <w:tcPr>
            <w:tcW w:w="3918" w:type="dxa"/>
            <w:gridSpan w:val="2"/>
            <w:tcBorders>
              <w:top w:val="single" w:color="auto" w:sz="4" w:space="0"/>
              <w:left w:val="single" w:color="auto" w:sz="4" w:space="0"/>
              <w:bottom w:val="single" w:color="auto" w:sz="4" w:space="0"/>
              <w:right w:val="single" w:color="auto" w:sz="4" w:space="0"/>
            </w:tcBorders>
          </w:tcPr>
          <w:p w14:paraId="660DCB50">
            <w:pPr>
              <w:tabs>
                <w:tab w:val="left" w:pos="1418"/>
              </w:tabs>
              <w:snapToGrid w:val="0"/>
              <w:spacing w:before="50" w:after="50"/>
              <w:jc w:val="center"/>
              <w:rPr>
                <w:rFonts w:hint="eastAsia" w:ascii="宋体" w:hAnsi="宋体"/>
                <w:spacing w:val="20"/>
                <w:sz w:val="24"/>
              </w:rPr>
            </w:pPr>
          </w:p>
        </w:tc>
      </w:tr>
      <w:bookmarkEnd w:id="105"/>
    </w:tbl>
    <w:p w14:paraId="1C1FF9DC">
      <w:pPr>
        <w:spacing w:line="360" w:lineRule="auto"/>
        <w:ind w:firstLine="482"/>
        <w:rPr>
          <w:rFonts w:hint="eastAsia" w:ascii="宋体" w:hAnsi="宋体" w:cs="宋体"/>
          <w:b/>
          <w:sz w:val="24"/>
        </w:rPr>
      </w:pPr>
    </w:p>
    <w:p w14:paraId="2FD9FE38">
      <w:pPr>
        <w:spacing w:line="360" w:lineRule="auto"/>
        <w:ind w:firstLine="482"/>
        <w:rPr>
          <w:rFonts w:hint="eastAsia" w:ascii="宋体" w:hAnsi="宋体" w:cs="宋体"/>
          <w:bCs/>
          <w:sz w:val="24"/>
        </w:rPr>
      </w:pPr>
      <w:r>
        <w:rPr>
          <w:rFonts w:hint="eastAsia" w:ascii="宋体" w:hAnsi="宋体" w:cs="宋体"/>
          <w:b/>
          <w:sz w:val="24"/>
        </w:rPr>
        <w:t>注：</w:t>
      </w:r>
      <w:r>
        <w:rPr>
          <w:rFonts w:hint="eastAsia" w:ascii="宋体" w:hAnsi="宋体" w:cs="宋体"/>
          <w:bCs/>
          <w:sz w:val="24"/>
        </w:rPr>
        <w:t>1、本项目采用固定单价合同。综合单价是指投标人负责为完成本次运维服务费用包括完成该项目工作所需的所有费用，包括站点运维费（含人工费、交通费、差旅费、食宿费、电费、网费、配件费、耗材费等）、质控费用（含标准物质、质控设备等）、数据平台的更新、重建、维护、专利技术、成交服务费、项目利润、税费及政策性文件规定和合同所包含的所有风险、责任等各项应有费用。除中标价外，采购单位不再支付其他任何费用。</w:t>
      </w:r>
    </w:p>
    <w:p w14:paraId="368292FC">
      <w:pPr>
        <w:spacing w:line="360" w:lineRule="auto"/>
        <w:ind w:firstLine="480"/>
        <w:rPr>
          <w:rFonts w:hint="eastAsia" w:ascii="宋体" w:hAnsi="宋体" w:cs="宋体"/>
          <w:bCs/>
          <w:sz w:val="24"/>
        </w:rPr>
      </w:pPr>
      <w:r>
        <w:rPr>
          <w:rFonts w:hint="eastAsia" w:ascii="宋体" w:hAnsi="宋体" w:cs="宋体"/>
          <w:bCs/>
          <w:sz w:val="24"/>
        </w:rPr>
        <w:t>2、中标人收到中标通知书</w:t>
      </w:r>
      <w:r>
        <w:rPr>
          <w:rFonts w:hint="eastAsia" w:ascii="宋体" w:hAnsi="宋体" w:cs="宋体"/>
          <w:bCs/>
          <w:sz w:val="24"/>
          <w:lang w:val="en-US" w:eastAsia="zh-CN"/>
        </w:rPr>
        <w:t>三十</w:t>
      </w:r>
      <w:r>
        <w:rPr>
          <w:rFonts w:hint="eastAsia" w:ascii="宋体" w:hAnsi="宋体" w:cs="宋体"/>
          <w:bCs/>
          <w:sz w:val="24"/>
        </w:rPr>
        <w:t>日内须凭中标通知书与招标人签订合同。</w:t>
      </w:r>
    </w:p>
    <w:p w14:paraId="137FE819">
      <w:pPr>
        <w:pStyle w:val="198"/>
        <w:ind w:left="-140" w:firstLine="600"/>
        <w:rPr>
          <w:rFonts w:hint="eastAsia" w:ascii="宋体" w:hAnsi="宋体" w:cs="宋体"/>
          <w:bCs/>
          <w:sz w:val="24"/>
        </w:rPr>
      </w:pPr>
      <w:r>
        <w:rPr>
          <w:rFonts w:hint="eastAsia" w:ascii="宋体" w:hAnsi="宋体" w:cs="宋体"/>
          <w:bCs/>
          <w:sz w:val="24"/>
        </w:rPr>
        <w:t>3、行数不够，自行添加。</w:t>
      </w:r>
    </w:p>
    <w:p w14:paraId="23FF4FFD">
      <w:pPr>
        <w:spacing w:line="360" w:lineRule="auto"/>
        <w:ind w:firstLine="5040" w:firstLineChars="1800"/>
        <w:rPr>
          <w:rFonts w:ascii="宋体" w:hAnsi="宋体" w:cs="宋体"/>
          <w:szCs w:val="28"/>
        </w:rPr>
      </w:pPr>
      <w:r>
        <w:rPr>
          <w:rFonts w:hint="eastAsia" w:ascii="宋体" w:hAnsi="宋体" w:cs="宋体"/>
          <w:szCs w:val="28"/>
        </w:rPr>
        <w:t>投标单位（</w:t>
      </w:r>
      <w:r>
        <w:rPr>
          <w:rFonts w:hint="eastAsia"/>
          <w:color w:val="000000"/>
          <w:sz w:val="24"/>
          <w:szCs w:val="24"/>
        </w:rPr>
        <w:t>加盖CA电子公章</w:t>
      </w:r>
      <w:r>
        <w:rPr>
          <w:rFonts w:hint="eastAsia" w:ascii="宋体" w:hAnsi="宋体" w:cs="宋体"/>
          <w:szCs w:val="28"/>
        </w:rPr>
        <w:t>）：</w:t>
      </w:r>
    </w:p>
    <w:p w14:paraId="3CECF863">
      <w:pPr>
        <w:spacing w:line="360" w:lineRule="auto"/>
        <w:jc w:val="center"/>
        <w:rPr>
          <w:rFonts w:ascii="宋体" w:hAnsi="宋体" w:cs="宋体"/>
          <w:szCs w:val="28"/>
        </w:rPr>
      </w:pPr>
      <w:r>
        <w:rPr>
          <w:rFonts w:hint="eastAsia" w:ascii="宋体" w:hAnsi="宋体" w:cs="宋体"/>
          <w:szCs w:val="28"/>
        </w:rPr>
        <w:t xml:space="preserve">                            法定代表人或委托代理人（签字或盖章）：</w:t>
      </w:r>
    </w:p>
    <w:p w14:paraId="0CD72A0B">
      <w:pPr>
        <w:ind w:firstLine="440"/>
        <w:jc w:val="both"/>
        <w:rPr>
          <w:rFonts w:hint="eastAsia" w:ascii="黑体" w:hAnsi="黑体" w:eastAsia="黑体" w:cs="黑体"/>
          <w:i/>
          <w:color w:val="000000"/>
          <w:sz w:val="32"/>
          <w:szCs w:val="32"/>
          <w:u w:val="single"/>
        </w:rPr>
      </w:pPr>
      <w:r>
        <w:rPr>
          <w:rFonts w:hint="eastAsia" w:ascii="宋体" w:hAnsi="宋体" w:cs="宋体"/>
          <w:szCs w:val="28"/>
        </w:rPr>
        <w:t xml:space="preserve">                         </w:t>
      </w:r>
      <w:r>
        <w:rPr>
          <w:rFonts w:hint="eastAsia" w:ascii="宋体" w:hAnsi="宋体" w:cs="宋体"/>
          <w:szCs w:val="28"/>
          <w:lang w:val="en-US" w:eastAsia="zh-CN"/>
        </w:rPr>
        <w:t xml:space="preserve">                   </w:t>
      </w:r>
      <w:r>
        <w:rPr>
          <w:rFonts w:hint="eastAsia" w:ascii="宋体" w:hAnsi="宋体" w:cs="宋体"/>
          <w:szCs w:val="28"/>
        </w:rPr>
        <w:t xml:space="preserve"> 年  月  日</w:t>
      </w:r>
    </w:p>
    <w:p w14:paraId="35749B66">
      <w:pPr>
        <w:ind w:firstLine="440"/>
        <w:jc w:val="center"/>
        <w:rPr>
          <w:rFonts w:hint="eastAsia" w:ascii="黑体" w:hAnsi="黑体" w:eastAsia="黑体" w:cs="黑体"/>
          <w:i/>
          <w:color w:val="000000"/>
          <w:sz w:val="32"/>
          <w:szCs w:val="32"/>
          <w:u w:val="single"/>
        </w:rPr>
      </w:pPr>
    </w:p>
    <w:p w14:paraId="18D35192">
      <w:pPr>
        <w:pStyle w:val="16"/>
        <w:rPr>
          <w:rFonts w:hint="eastAsia"/>
        </w:rPr>
      </w:pPr>
    </w:p>
    <w:p w14:paraId="1D66AE38">
      <w:pPr>
        <w:ind w:firstLine="440"/>
        <w:jc w:val="center"/>
        <w:rPr>
          <w:rFonts w:hint="eastAsia" w:ascii="黑体" w:hAnsi="黑体" w:eastAsia="黑体" w:cs="黑体"/>
          <w:i/>
          <w:color w:val="000000"/>
          <w:sz w:val="32"/>
          <w:szCs w:val="32"/>
          <w:u w:val="single"/>
        </w:rPr>
      </w:pPr>
    </w:p>
    <w:p w14:paraId="2979A8E6">
      <w:pPr>
        <w:ind w:firstLine="440"/>
        <w:jc w:val="center"/>
        <w:rPr>
          <w:rFonts w:hint="eastAsia" w:ascii="黑体" w:hAnsi="黑体" w:eastAsia="黑体" w:cs="黑体"/>
          <w:i/>
          <w:color w:val="000000"/>
          <w:sz w:val="32"/>
          <w:szCs w:val="32"/>
          <w:u w:val="single"/>
        </w:rPr>
      </w:pPr>
    </w:p>
    <w:p w14:paraId="457DC5A5">
      <w:pPr>
        <w:ind w:firstLine="440"/>
        <w:jc w:val="center"/>
        <w:rPr>
          <w:rFonts w:hint="eastAsia" w:ascii="黑体" w:hAnsi="黑体" w:eastAsia="黑体" w:cs="黑体"/>
          <w:i/>
          <w:color w:val="000000"/>
          <w:sz w:val="32"/>
          <w:szCs w:val="32"/>
          <w:u w:val="single"/>
        </w:rPr>
      </w:pPr>
    </w:p>
    <w:p w14:paraId="2AEC9050">
      <w:pPr>
        <w:pStyle w:val="16"/>
        <w:rPr>
          <w:rFonts w:hint="eastAsia" w:ascii="黑体" w:hAnsi="黑体" w:eastAsia="黑体" w:cs="黑体"/>
          <w:i/>
          <w:color w:val="000000"/>
          <w:sz w:val="32"/>
          <w:szCs w:val="32"/>
          <w:u w:val="single"/>
        </w:rPr>
      </w:pPr>
    </w:p>
    <w:p w14:paraId="6D50FC92">
      <w:pPr>
        <w:pStyle w:val="16"/>
        <w:rPr>
          <w:rFonts w:hint="eastAsia" w:ascii="黑体" w:hAnsi="黑体" w:eastAsia="黑体" w:cs="黑体"/>
          <w:i/>
          <w:color w:val="000000"/>
          <w:sz w:val="32"/>
          <w:szCs w:val="32"/>
          <w:u w:val="single"/>
        </w:rPr>
      </w:pPr>
    </w:p>
    <w:p w14:paraId="4303E73B">
      <w:pPr>
        <w:pStyle w:val="16"/>
        <w:rPr>
          <w:rFonts w:hint="eastAsia" w:ascii="黑体" w:hAnsi="黑体" w:eastAsia="黑体" w:cs="黑体"/>
          <w:i/>
          <w:color w:val="000000"/>
          <w:sz w:val="32"/>
          <w:szCs w:val="32"/>
          <w:u w:val="single"/>
        </w:rPr>
      </w:pPr>
    </w:p>
    <w:p w14:paraId="20FB7934">
      <w:pPr>
        <w:ind w:firstLine="440"/>
        <w:jc w:val="center"/>
        <w:rPr>
          <w:color w:val="000000"/>
          <w:sz w:val="24"/>
          <w:szCs w:val="24"/>
        </w:rPr>
      </w:pPr>
      <w:r>
        <w:rPr>
          <w:rFonts w:hint="eastAsia" w:ascii="黑体" w:hAnsi="黑体" w:eastAsia="黑体" w:cs="黑体"/>
          <w:i/>
          <w:color w:val="000000"/>
          <w:sz w:val="32"/>
          <w:szCs w:val="32"/>
          <w:u w:val="single"/>
        </w:rPr>
        <w:t>十三、技术要求响应及偏离表</w:t>
      </w:r>
    </w:p>
    <w:tbl>
      <w:tblPr>
        <w:tblStyle w:val="40"/>
        <w:tblW w:w="9297" w:type="dxa"/>
        <w:jc w:val="center"/>
        <w:tblCellSpacing w:w="0" w:type="dxa"/>
        <w:tblLayout w:type="fixed"/>
        <w:tblCellMar>
          <w:top w:w="0" w:type="dxa"/>
          <w:left w:w="108" w:type="dxa"/>
          <w:bottom w:w="0" w:type="dxa"/>
          <w:right w:w="108" w:type="dxa"/>
        </w:tblCellMar>
      </w:tblPr>
      <w:tblGrid>
        <w:gridCol w:w="858"/>
        <w:gridCol w:w="2509"/>
        <w:gridCol w:w="2372"/>
        <w:gridCol w:w="1779"/>
        <w:gridCol w:w="1779"/>
      </w:tblGrid>
      <w:tr w14:paraId="7E2F5338">
        <w:tblPrEx>
          <w:tblCellMar>
            <w:top w:w="0" w:type="dxa"/>
            <w:left w:w="108" w:type="dxa"/>
            <w:bottom w:w="0" w:type="dxa"/>
            <w:right w:w="108" w:type="dxa"/>
          </w:tblCellMar>
        </w:tblPrEx>
        <w:trPr>
          <w:trHeight w:val="90"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6A65826D">
            <w:pPr>
              <w:pStyle w:val="208"/>
              <w:spacing w:line="500" w:lineRule="exact"/>
              <w:jc w:val="center"/>
              <w:rPr>
                <w:rFonts w:hint="eastAsia"/>
                <w:color w:val="000000"/>
                <w:szCs w:val="24"/>
              </w:rPr>
            </w:pPr>
            <w:r>
              <w:rPr>
                <w:rFonts w:hint="eastAsia"/>
                <w:color w:val="000000"/>
                <w:szCs w:val="24"/>
              </w:rPr>
              <w:t>序号</w:t>
            </w:r>
          </w:p>
        </w:tc>
        <w:tc>
          <w:tcPr>
            <w:tcW w:w="2509" w:type="dxa"/>
            <w:tcBorders>
              <w:top w:val="single" w:color="000000" w:sz="4" w:space="0"/>
              <w:left w:val="single" w:color="000000" w:sz="4" w:space="0"/>
              <w:bottom w:val="single" w:color="000000" w:sz="4" w:space="0"/>
              <w:right w:val="single" w:color="000000" w:sz="4" w:space="0"/>
            </w:tcBorders>
            <w:vAlign w:val="center"/>
          </w:tcPr>
          <w:p w14:paraId="534974D3">
            <w:pPr>
              <w:pStyle w:val="208"/>
              <w:spacing w:line="500" w:lineRule="exact"/>
              <w:jc w:val="center"/>
              <w:rPr>
                <w:rFonts w:hint="eastAsia"/>
                <w:color w:val="000000"/>
                <w:szCs w:val="24"/>
              </w:rPr>
            </w:pPr>
            <w:r>
              <w:rPr>
                <w:rFonts w:hint="eastAsia"/>
                <w:color w:val="000000"/>
                <w:szCs w:val="24"/>
              </w:rPr>
              <w:t>招标文件要求</w:t>
            </w:r>
          </w:p>
        </w:tc>
        <w:tc>
          <w:tcPr>
            <w:tcW w:w="2372" w:type="dxa"/>
            <w:tcBorders>
              <w:top w:val="single" w:color="000000" w:sz="4" w:space="0"/>
              <w:left w:val="single" w:color="000000" w:sz="4" w:space="0"/>
              <w:bottom w:val="single" w:color="000000" w:sz="4" w:space="0"/>
              <w:right w:val="single" w:color="000000" w:sz="4" w:space="0"/>
            </w:tcBorders>
            <w:vAlign w:val="center"/>
          </w:tcPr>
          <w:p w14:paraId="4413ABB4">
            <w:pPr>
              <w:pStyle w:val="208"/>
              <w:spacing w:line="500" w:lineRule="exact"/>
              <w:jc w:val="center"/>
              <w:rPr>
                <w:rFonts w:hint="eastAsia"/>
                <w:color w:val="000000"/>
                <w:szCs w:val="24"/>
              </w:rPr>
            </w:pPr>
            <w:r>
              <w:rPr>
                <w:rFonts w:hint="eastAsia"/>
                <w:color w:val="000000"/>
                <w:szCs w:val="24"/>
              </w:rPr>
              <w:t>投标响应情况</w:t>
            </w:r>
          </w:p>
        </w:tc>
        <w:tc>
          <w:tcPr>
            <w:tcW w:w="1779" w:type="dxa"/>
            <w:tcBorders>
              <w:top w:val="single" w:color="000000" w:sz="4" w:space="0"/>
              <w:left w:val="single" w:color="000000" w:sz="4" w:space="0"/>
              <w:bottom w:val="single" w:color="000000" w:sz="4" w:space="0"/>
              <w:right w:val="single" w:color="000000" w:sz="4" w:space="0"/>
            </w:tcBorders>
            <w:vAlign w:val="center"/>
          </w:tcPr>
          <w:p w14:paraId="41AEE531">
            <w:pPr>
              <w:pStyle w:val="208"/>
              <w:spacing w:line="500" w:lineRule="exact"/>
              <w:jc w:val="center"/>
              <w:rPr>
                <w:rFonts w:hint="eastAsia"/>
                <w:color w:val="000000"/>
                <w:szCs w:val="24"/>
              </w:rPr>
            </w:pPr>
            <w:r>
              <w:rPr>
                <w:rFonts w:hint="eastAsia"/>
                <w:color w:val="000000"/>
                <w:szCs w:val="24"/>
              </w:rPr>
              <w:t>超出、符合或偏离</w:t>
            </w:r>
          </w:p>
        </w:tc>
        <w:tc>
          <w:tcPr>
            <w:tcW w:w="1779" w:type="dxa"/>
            <w:tcBorders>
              <w:top w:val="single" w:color="000000" w:sz="4" w:space="0"/>
              <w:left w:val="single" w:color="000000" w:sz="4" w:space="0"/>
              <w:bottom w:val="single" w:color="000000" w:sz="4" w:space="0"/>
              <w:right w:val="single" w:color="000000" w:sz="4" w:space="0"/>
            </w:tcBorders>
            <w:vAlign w:val="center"/>
          </w:tcPr>
          <w:p w14:paraId="6D9B699B">
            <w:pPr>
              <w:pStyle w:val="208"/>
              <w:spacing w:line="500" w:lineRule="exact"/>
              <w:jc w:val="center"/>
              <w:rPr>
                <w:rFonts w:hint="eastAsia"/>
                <w:color w:val="000000"/>
                <w:szCs w:val="24"/>
              </w:rPr>
            </w:pPr>
            <w:r>
              <w:rPr>
                <w:rFonts w:hint="eastAsia"/>
                <w:color w:val="000000"/>
                <w:szCs w:val="24"/>
              </w:rPr>
              <w:t>证明材料</w:t>
            </w:r>
          </w:p>
        </w:tc>
      </w:tr>
      <w:tr w14:paraId="782ADCED">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78988B8B">
            <w:pPr>
              <w:pStyle w:val="208"/>
              <w:spacing w:line="500" w:lineRule="exact"/>
              <w:ind w:firstLine="480"/>
              <w:rPr>
                <w:rFonts w:hint="eastAsia"/>
                <w:color w:val="000000"/>
                <w:szCs w:val="24"/>
              </w:rPr>
            </w:pPr>
          </w:p>
        </w:tc>
        <w:tc>
          <w:tcPr>
            <w:tcW w:w="2509" w:type="dxa"/>
            <w:tcBorders>
              <w:top w:val="single" w:color="000000" w:sz="4" w:space="0"/>
              <w:left w:val="single" w:color="000000" w:sz="4" w:space="0"/>
              <w:bottom w:val="single" w:color="000000" w:sz="4" w:space="0"/>
              <w:right w:val="single" w:color="000000" w:sz="4" w:space="0"/>
            </w:tcBorders>
            <w:vAlign w:val="center"/>
          </w:tcPr>
          <w:p w14:paraId="0F2E4B9C">
            <w:pPr>
              <w:pStyle w:val="208"/>
              <w:spacing w:line="500" w:lineRule="exact"/>
              <w:ind w:firstLine="480"/>
              <w:rPr>
                <w:rFonts w:hint="eastAsia"/>
                <w:color w:val="000000"/>
                <w:szCs w:val="24"/>
              </w:rPr>
            </w:pPr>
          </w:p>
        </w:tc>
        <w:tc>
          <w:tcPr>
            <w:tcW w:w="2372" w:type="dxa"/>
            <w:tcBorders>
              <w:top w:val="single" w:color="000000" w:sz="4" w:space="0"/>
              <w:left w:val="single" w:color="000000" w:sz="4" w:space="0"/>
              <w:bottom w:val="single" w:color="000000" w:sz="4" w:space="0"/>
              <w:right w:val="single" w:color="000000" w:sz="4" w:space="0"/>
            </w:tcBorders>
            <w:vAlign w:val="center"/>
          </w:tcPr>
          <w:p w14:paraId="7E1759BD">
            <w:pPr>
              <w:pStyle w:val="208"/>
              <w:spacing w:line="500" w:lineRule="exact"/>
              <w:ind w:firstLine="480"/>
              <w:rPr>
                <w:rFonts w:hint="eastAsia"/>
                <w:color w:val="000000"/>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60DA9F18">
            <w:pPr>
              <w:pStyle w:val="208"/>
              <w:spacing w:line="500" w:lineRule="exact"/>
              <w:ind w:firstLine="480"/>
              <w:rPr>
                <w:rFonts w:hint="eastAsia"/>
                <w:color w:val="000000"/>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3E164A3D">
            <w:pPr>
              <w:pStyle w:val="208"/>
              <w:spacing w:line="500" w:lineRule="exact"/>
              <w:ind w:firstLine="480"/>
              <w:rPr>
                <w:rFonts w:hint="eastAsia"/>
                <w:color w:val="000000"/>
                <w:szCs w:val="24"/>
              </w:rPr>
            </w:pPr>
          </w:p>
        </w:tc>
      </w:tr>
      <w:tr w14:paraId="6E50F948">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1F6A56FA">
            <w:pPr>
              <w:pStyle w:val="208"/>
              <w:spacing w:line="500" w:lineRule="exact"/>
              <w:ind w:firstLine="480"/>
              <w:rPr>
                <w:rFonts w:hint="eastAsia"/>
                <w:color w:val="000000"/>
                <w:szCs w:val="24"/>
              </w:rPr>
            </w:pPr>
          </w:p>
        </w:tc>
        <w:tc>
          <w:tcPr>
            <w:tcW w:w="2509" w:type="dxa"/>
            <w:tcBorders>
              <w:top w:val="single" w:color="000000" w:sz="4" w:space="0"/>
              <w:left w:val="single" w:color="000000" w:sz="4" w:space="0"/>
              <w:bottom w:val="single" w:color="000000" w:sz="4" w:space="0"/>
              <w:right w:val="single" w:color="000000" w:sz="4" w:space="0"/>
            </w:tcBorders>
            <w:vAlign w:val="center"/>
          </w:tcPr>
          <w:p w14:paraId="4D97776E">
            <w:pPr>
              <w:pStyle w:val="208"/>
              <w:spacing w:line="500" w:lineRule="exact"/>
              <w:ind w:firstLine="480"/>
              <w:rPr>
                <w:rFonts w:hint="eastAsia"/>
                <w:color w:val="000000"/>
                <w:szCs w:val="24"/>
              </w:rPr>
            </w:pPr>
          </w:p>
        </w:tc>
        <w:tc>
          <w:tcPr>
            <w:tcW w:w="2372" w:type="dxa"/>
            <w:tcBorders>
              <w:top w:val="single" w:color="000000" w:sz="4" w:space="0"/>
              <w:left w:val="single" w:color="000000" w:sz="4" w:space="0"/>
              <w:bottom w:val="single" w:color="000000" w:sz="4" w:space="0"/>
              <w:right w:val="single" w:color="000000" w:sz="4" w:space="0"/>
            </w:tcBorders>
            <w:vAlign w:val="center"/>
          </w:tcPr>
          <w:p w14:paraId="46CDA328">
            <w:pPr>
              <w:pStyle w:val="208"/>
              <w:spacing w:line="500" w:lineRule="exact"/>
              <w:ind w:firstLine="480"/>
              <w:rPr>
                <w:rFonts w:hint="eastAsia"/>
                <w:color w:val="000000"/>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59F91A75">
            <w:pPr>
              <w:pStyle w:val="208"/>
              <w:spacing w:line="500" w:lineRule="exact"/>
              <w:ind w:firstLine="480"/>
              <w:rPr>
                <w:rFonts w:hint="eastAsia"/>
                <w:color w:val="000000"/>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4478EE0B">
            <w:pPr>
              <w:pStyle w:val="208"/>
              <w:spacing w:line="500" w:lineRule="exact"/>
              <w:ind w:firstLine="480"/>
              <w:rPr>
                <w:rFonts w:hint="eastAsia"/>
                <w:color w:val="000000"/>
                <w:szCs w:val="24"/>
              </w:rPr>
            </w:pPr>
          </w:p>
        </w:tc>
      </w:tr>
      <w:tr w14:paraId="1764511F">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33781E77">
            <w:pPr>
              <w:pStyle w:val="208"/>
              <w:spacing w:line="500" w:lineRule="exact"/>
              <w:ind w:firstLine="480"/>
              <w:jc w:val="center"/>
              <w:rPr>
                <w:rFonts w:hint="eastAsia"/>
                <w:color w:val="000000"/>
                <w:szCs w:val="24"/>
              </w:rPr>
            </w:pPr>
          </w:p>
        </w:tc>
        <w:tc>
          <w:tcPr>
            <w:tcW w:w="2509" w:type="dxa"/>
            <w:tcBorders>
              <w:top w:val="single" w:color="000000" w:sz="4" w:space="0"/>
              <w:left w:val="single" w:color="000000" w:sz="4" w:space="0"/>
              <w:bottom w:val="single" w:color="000000" w:sz="4" w:space="0"/>
              <w:right w:val="single" w:color="000000" w:sz="4" w:space="0"/>
            </w:tcBorders>
            <w:vAlign w:val="center"/>
          </w:tcPr>
          <w:p w14:paraId="223596DF">
            <w:pPr>
              <w:pStyle w:val="208"/>
              <w:spacing w:line="500" w:lineRule="exact"/>
              <w:ind w:firstLine="480"/>
              <w:jc w:val="center"/>
              <w:rPr>
                <w:rFonts w:hint="eastAsia"/>
                <w:color w:val="000000"/>
                <w:szCs w:val="24"/>
              </w:rPr>
            </w:pPr>
          </w:p>
        </w:tc>
        <w:tc>
          <w:tcPr>
            <w:tcW w:w="2372" w:type="dxa"/>
            <w:tcBorders>
              <w:top w:val="single" w:color="000000" w:sz="4" w:space="0"/>
              <w:left w:val="single" w:color="000000" w:sz="4" w:space="0"/>
              <w:bottom w:val="single" w:color="000000" w:sz="4" w:space="0"/>
              <w:right w:val="single" w:color="000000" w:sz="4" w:space="0"/>
            </w:tcBorders>
            <w:vAlign w:val="center"/>
          </w:tcPr>
          <w:p w14:paraId="7CE9A21B">
            <w:pPr>
              <w:pStyle w:val="208"/>
              <w:spacing w:line="500" w:lineRule="exact"/>
              <w:ind w:firstLine="480"/>
              <w:jc w:val="center"/>
              <w:rPr>
                <w:rFonts w:hint="eastAsia"/>
                <w:color w:val="000000"/>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29FCCF62">
            <w:pPr>
              <w:pStyle w:val="208"/>
              <w:spacing w:line="500" w:lineRule="exact"/>
              <w:ind w:firstLine="480"/>
              <w:jc w:val="center"/>
              <w:rPr>
                <w:rFonts w:hint="eastAsia"/>
                <w:color w:val="000000"/>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62ACB9E4">
            <w:pPr>
              <w:pStyle w:val="208"/>
              <w:spacing w:line="500" w:lineRule="exact"/>
              <w:ind w:firstLine="480"/>
              <w:jc w:val="center"/>
              <w:rPr>
                <w:rFonts w:hint="eastAsia"/>
                <w:color w:val="000000"/>
                <w:szCs w:val="24"/>
              </w:rPr>
            </w:pPr>
          </w:p>
        </w:tc>
      </w:tr>
      <w:tr w14:paraId="20462AB3">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7E88DE4F">
            <w:pPr>
              <w:pStyle w:val="208"/>
              <w:spacing w:line="500" w:lineRule="exact"/>
              <w:ind w:firstLine="480"/>
              <w:rPr>
                <w:rFonts w:hint="eastAsia"/>
                <w:color w:val="000000"/>
              </w:rPr>
            </w:pPr>
            <w:r>
              <w:rPr>
                <w:rFonts w:hint="eastAsia"/>
                <w:color w:val="000000"/>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63C58AE9">
            <w:pPr>
              <w:pStyle w:val="208"/>
              <w:spacing w:line="500" w:lineRule="exact"/>
              <w:ind w:firstLine="480"/>
              <w:rPr>
                <w:rFonts w:hint="eastAsia"/>
                <w:color w:val="000000"/>
              </w:rPr>
            </w:pPr>
            <w:r>
              <w:rPr>
                <w:rFonts w:hint="eastAsia"/>
                <w:color w:val="000000"/>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2C6F038F">
            <w:pPr>
              <w:pStyle w:val="208"/>
              <w:spacing w:line="500" w:lineRule="exact"/>
              <w:ind w:firstLine="480"/>
              <w:rPr>
                <w:rFonts w:hint="eastAsia"/>
                <w:color w:val="000000"/>
              </w:rPr>
            </w:pPr>
            <w:r>
              <w:rPr>
                <w:rFonts w:hint="eastAsia"/>
                <w:color w:val="000000"/>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39E8428A">
            <w:pPr>
              <w:pStyle w:val="208"/>
              <w:spacing w:line="500" w:lineRule="exact"/>
              <w:ind w:firstLine="480"/>
              <w:rPr>
                <w:rFonts w:hint="eastAsia"/>
                <w:color w:val="000000"/>
              </w:rPr>
            </w:pPr>
            <w:r>
              <w:rPr>
                <w:rFonts w:hint="eastAsia"/>
                <w:color w:val="000000"/>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1E4D8DD0">
            <w:pPr>
              <w:pStyle w:val="208"/>
              <w:spacing w:line="500" w:lineRule="exact"/>
              <w:ind w:firstLine="480"/>
              <w:rPr>
                <w:rFonts w:hint="eastAsia"/>
                <w:color w:val="000000"/>
              </w:rPr>
            </w:pPr>
            <w:r>
              <w:rPr>
                <w:rFonts w:hint="eastAsia"/>
                <w:color w:val="000000"/>
              </w:rPr>
              <w:t> </w:t>
            </w:r>
          </w:p>
        </w:tc>
      </w:tr>
      <w:tr w14:paraId="729467AE">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3EE0C91A">
            <w:pPr>
              <w:pStyle w:val="208"/>
              <w:spacing w:line="500" w:lineRule="exact"/>
              <w:ind w:firstLine="480"/>
              <w:rPr>
                <w:rFonts w:hint="eastAsia"/>
                <w:color w:val="000000"/>
              </w:rPr>
            </w:pPr>
            <w:r>
              <w:rPr>
                <w:rFonts w:hint="eastAsia"/>
                <w:color w:val="000000"/>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508FCD80">
            <w:pPr>
              <w:pStyle w:val="208"/>
              <w:spacing w:line="500" w:lineRule="exact"/>
              <w:ind w:firstLine="480"/>
              <w:rPr>
                <w:rFonts w:hint="eastAsia"/>
                <w:color w:val="000000"/>
              </w:rPr>
            </w:pPr>
            <w:r>
              <w:rPr>
                <w:rFonts w:hint="eastAsia"/>
                <w:color w:val="000000"/>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37CB8649">
            <w:pPr>
              <w:pStyle w:val="208"/>
              <w:spacing w:line="500" w:lineRule="exact"/>
              <w:ind w:firstLine="480"/>
              <w:rPr>
                <w:rFonts w:hint="eastAsia"/>
                <w:color w:val="000000"/>
              </w:rPr>
            </w:pPr>
            <w:r>
              <w:rPr>
                <w:rFonts w:hint="eastAsia"/>
                <w:color w:val="000000"/>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15EB6FBF">
            <w:pPr>
              <w:pStyle w:val="208"/>
              <w:spacing w:line="500" w:lineRule="exact"/>
              <w:ind w:firstLine="480"/>
              <w:rPr>
                <w:rFonts w:hint="eastAsia"/>
                <w:color w:val="000000"/>
              </w:rPr>
            </w:pPr>
            <w:r>
              <w:rPr>
                <w:rFonts w:hint="eastAsia"/>
                <w:color w:val="000000"/>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042AA1F8">
            <w:pPr>
              <w:pStyle w:val="208"/>
              <w:spacing w:line="500" w:lineRule="exact"/>
              <w:ind w:firstLine="480"/>
              <w:rPr>
                <w:rFonts w:hint="eastAsia"/>
                <w:color w:val="000000"/>
              </w:rPr>
            </w:pPr>
            <w:r>
              <w:rPr>
                <w:rFonts w:hint="eastAsia"/>
                <w:color w:val="000000"/>
              </w:rPr>
              <w:t> </w:t>
            </w:r>
          </w:p>
        </w:tc>
      </w:tr>
      <w:tr w14:paraId="7590B2E6">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425A6E14">
            <w:pPr>
              <w:pStyle w:val="208"/>
              <w:spacing w:line="500" w:lineRule="exact"/>
              <w:ind w:firstLine="480"/>
              <w:rPr>
                <w:rFonts w:hint="eastAsia"/>
                <w:color w:val="000000"/>
              </w:rPr>
            </w:pPr>
            <w:r>
              <w:rPr>
                <w:rFonts w:hint="eastAsia"/>
                <w:color w:val="000000"/>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223DD673">
            <w:pPr>
              <w:pStyle w:val="208"/>
              <w:spacing w:line="500" w:lineRule="exact"/>
              <w:ind w:firstLine="480"/>
              <w:rPr>
                <w:rFonts w:hint="eastAsia"/>
                <w:color w:val="000000"/>
              </w:rPr>
            </w:pPr>
            <w:r>
              <w:rPr>
                <w:rFonts w:hint="eastAsia"/>
                <w:color w:val="000000"/>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3958C3CF">
            <w:pPr>
              <w:pStyle w:val="208"/>
              <w:spacing w:line="500" w:lineRule="exact"/>
              <w:ind w:firstLine="480"/>
              <w:rPr>
                <w:rFonts w:hint="eastAsia"/>
                <w:color w:val="000000"/>
              </w:rPr>
            </w:pPr>
            <w:r>
              <w:rPr>
                <w:rFonts w:hint="eastAsia"/>
                <w:color w:val="000000"/>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1D5CA15C">
            <w:pPr>
              <w:pStyle w:val="208"/>
              <w:spacing w:line="500" w:lineRule="exact"/>
              <w:ind w:firstLine="480"/>
              <w:rPr>
                <w:rFonts w:hint="eastAsia"/>
                <w:color w:val="000000"/>
              </w:rPr>
            </w:pPr>
            <w:r>
              <w:rPr>
                <w:rFonts w:hint="eastAsia"/>
                <w:color w:val="000000"/>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05A71301">
            <w:pPr>
              <w:pStyle w:val="208"/>
              <w:spacing w:line="500" w:lineRule="exact"/>
              <w:ind w:firstLine="480"/>
              <w:rPr>
                <w:rFonts w:hint="eastAsia"/>
                <w:color w:val="000000"/>
              </w:rPr>
            </w:pPr>
            <w:r>
              <w:rPr>
                <w:rFonts w:hint="eastAsia"/>
                <w:color w:val="000000"/>
              </w:rPr>
              <w:t> </w:t>
            </w:r>
          </w:p>
        </w:tc>
      </w:tr>
      <w:tr w14:paraId="36D0C44B">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4B2C21D5">
            <w:pPr>
              <w:pStyle w:val="208"/>
              <w:spacing w:line="500" w:lineRule="exact"/>
              <w:ind w:firstLine="480"/>
              <w:rPr>
                <w:rFonts w:hint="eastAsia"/>
                <w:color w:val="000000"/>
              </w:rPr>
            </w:pPr>
            <w:r>
              <w:rPr>
                <w:rFonts w:hint="eastAsia"/>
                <w:color w:val="000000"/>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771AC104">
            <w:pPr>
              <w:pStyle w:val="208"/>
              <w:spacing w:line="500" w:lineRule="exact"/>
              <w:ind w:firstLine="480"/>
              <w:rPr>
                <w:rFonts w:hint="eastAsia"/>
                <w:color w:val="000000"/>
              </w:rPr>
            </w:pPr>
            <w:r>
              <w:rPr>
                <w:rFonts w:hint="eastAsia"/>
                <w:color w:val="000000"/>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586BB215">
            <w:pPr>
              <w:pStyle w:val="208"/>
              <w:spacing w:line="500" w:lineRule="exact"/>
              <w:ind w:firstLine="480"/>
              <w:rPr>
                <w:rFonts w:hint="eastAsia"/>
                <w:color w:val="000000"/>
              </w:rPr>
            </w:pPr>
            <w:r>
              <w:rPr>
                <w:rFonts w:hint="eastAsia"/>
                <w:color w:val="000000"/>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369BC4BE">
            <w:pPr>
              <w:pStyle w:val="208"/>
              <w:spacing w:line="500" w:lineRule="exact"/>
              <w:ind w:firstLine="480"/>
              <w:rPr>
                <w:rFonts w:hint="eastAsia"/>
                <w:color w:val="000000"/>
              </w:rPr>
            </w:pPr>
            <w:r>
              <w:rPr>
                <w:rFonts w:hint="eastAsia"/>
                <w:color w:val="000000"/>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10D78332">
            <w:pPr>
              <w:pStyle w:val="208"/>
              <w:spacing w:line="500" w:lineRule="exact"/>
              <w:ind w:firstLine="480"/>
              <w:rPr>
                <w:rFonts w:hint="eastAsia"/>
                <w:color w:val="000000"/>
              </w:rPr>
            </w:pPr>
            <w:r>
              <w:rPr>
                <w:rFonts w:hint="eastAsia"/>
                <w:color w:val="000000"/>
              </w:rPr>
              <w:t> </w:t>
            </w:r>
          </w:p>
        </w:tc>
      </w:tr>
      <w:tr w14:paraId="6073BDA0">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020754C1">
            <w:pPr>
              <w:pStyle w:val="208"/>
              <w:spacing w:line="500" w:lineRule="exact"/>
              <w:ind w:firstLine="480"/>
              <w:rPr>
                <w:rFonts w:hint="eastAsia"/>
                <w:color w:val="000000"/>
              </w:rPr>
            </w:pPr>
            <w:r>
              <w:rPr>
                <w:rFonts w:hint="eastAsia"/>
                <w:color w:val="000000"/>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6E4B2BFA">
            <w:pPr>
              <w:pStyle w:val="208"/>
              <w:spacing w:line="500" w:lineRule="exact"/>
              <w:ind w:firstLine="480"/>
              <w:rPr>
                <w:rFonts w:hint="eastAsia"/>
                <w:color w:val="000000"/>
              </w:rPr>
            </w:pPr>
            <w:r>
              <w:rPr>
                <w:rFonts w:hint="eastAsia"/>
                <w:color w:val="000000"/>
              </w:rPr>
              <w:t>……</w:t>
            </w:r>
          </w:p>
        </w:tc>
        <w:tc>
          <w:tcPr>
            <w:tcW w:w="2372" w:type="dxa"/>
            <w:tcBorders>
              <w:top w:val="single" w:color="000000" w:sz="4" w:space="0"/>
              <w:left w:val="single" w:color="000000" w:sz="4" w:space="0"/>
              <w:bottom w:val="single" w:color="000000" w:sz="4" w:space="0"/>
              <w:right w:val="single" w:color="000000" w:sz="4" w:space="0"/>
            </w:tcBorders>
            <w:vAlign w:val="center"/>
          </w:tcPr>
          <w:p w14:paraId="54E31B0B">
            <w:pPr>
              <w:pStyle w:val="208"/>
              <w:spacing w:line="500" w:lineRule="exact"/>
              <w:ind w:firstLine="480"/>
              <w:rPr>
                <w:rFonts w:hint="eastAsia"/>
                <w:color w:val="000000"/>
              </w:rPr>
            </w:pPr>
            <w:r>
              <w:rPr>
                <w:rFonts w:hint="eastAsia"/>
                <w:color w:val="000000"/>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27916444">
            <w:pPr>
              <w:pStyle w:val="208"/>
              <w:spacing w:line="500" w:lineRule="exact"/>
              <w:ind w:firstLine="480"/>
              <w:rPr>
                <w:rFonts w:hint="eastAsia"/>
                <w:color w:val="000000"/>
              </w:rPr>
            </w:pPr>
            <w:r>
              <w:rPr>
                <w:rFonts w:hint="eastAsia"/>
                <w:color w:val="000000"/>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0FC0546E">
            <w:pPr>
              <w:pStyle w:val="208"/>
              <w:spacing w:line="500" w:lineRule="exact"/>
              <w:ind w:firstLine="480"/>
              <w:rPr>
                <w:rFonts w:hint="eastAsia"/>
                <w:color w:val="000000"/>
              </w:rPr>
            </w:pPr>
            <w:r>
              <w:rPr>
                <w:rFonts w:hint="eastAsia"/>
                <w:color w:val="000000"/>
              </w:rPr>
              <w:t> </w:t>
            </w:r>
          </w:p>
        </w:tc>
      </w:tr>
    </w:tbl>
    <w:p w14:paraId="533E8FC5">
      <w:pPr>
        <w:pStyle w:val="208"/>
        <w:ind w:firstLine="480"/>
        <w:rPr>
          <w:rFonts w:hint="eastAsia"/>
          <w:color w:val="000000"/>
        </w:rPr>
      </w:pPr>
      <w:r>
        <w:rPr>
          <w:rFonts w:hint="eastAsia"/>
          <w:color w:val="000000"/>
        </w:rPr>
        <w:t>注： 行数不够，可自行添加。</w:t>
      </w:r>
    </w:p>
    <w:p w14:paraId="221E60F2">
      <w:pPr>
        <w:pStyle w:val="208"/>
        <w:ind w:firstLine="480"/>
        <w:rPr>
          <w:rFonts w:hint="eastAsia"/>
          <w:color w:val="000000"/>
        </w:rPr>
      </w:pPr>
      <w:r>
        <w:rPr>
          <w:rFonts w:hint="eastAsia"/>
          <w:color w:val="000000"/>
        </w:rPr>
        <w:t> </w:t>
      </w:r>
    </w:p>
    <w:p w14:paraId="0279D85E">
      <w:pPr>
        <w:ind w:firstLine="440"/>
        <w:rPr>
          <w:color w:val="000000"/>
        </w:rPr>
      </w:pPr>
    </w:p>
    <w:p w14:paraId="176E4752">
      <w:pPr>
        <w:ind w:firstLine="440"/>
        <w:rPr>
          <w:color w:val="000000"/>
        </w:rPr>
      </w:pPr>
    </w:p>
    <w:p w14:paraId="7CB2DEF8">
      <w:pPr>
        <w:ind w:firstLine="440"/>
        <w:rPr>
          <w:color w:val="000000"/>
        </w:rPr>
      </w:pPr>
    </w:p>
    <w:p w14:paraId="7520BA30">
      <w:pPr>
        <w:ind w:firstLine="440"/>
        <w:rPr>
          <w:color w:val="000000"/>
        </w:rPr>
      </w:pPr>
    </w:p>
    <w:p w14:paraId="0393CB70">
      <w:pPr>
        <w:ind w:firstLine="440"/>
        <w:rPr>
          <w:color w:val="000000"/>
        </w:rPr>
      </w:pPr>
    </w:p>
    <w:p w14:paraId="6A24610C">
      <w:pPr>
        <w:pStyle w:val="46"/>
        <w:rPr>
          <w:color w:val="000000"/>
        </w:rPr>
      </w:pPr>
    </w:p>
    <w:p w14:paraId="358B3938">
      <w:pPr>
        <w:pStyle w:val="47"/>
        <w:rPr>
          <w:color w:val="000000"/>
        </w:rPr>
      </w:pPr>
    </w:p>
    <w:p w14:paraId="1AB12DED">
      <w:pPr>
        <w:pStyle w:val="46"/>
        <w:rPr>
          <w:color w:val="000000"/>
        </w:rPr>
      </w:pPr>
    </w:p>
    <w:p w14:paraId="168520F9">
      <w:pPr>
        <w:pStyle w:val="47"/>
        <w:rPr>
          <w:color w:val="000000"/>
        </w:rPr>
      </w:pPr>
    </w:p>
    <w:p w14:paraId="06E8A82D">
      <w:pPr>
        <w:pStyle w:val="46"/>
        <w:rPr>
          <w:color w:val="000000"/>
        </w:rPr>
      </w:pPr>
    </w:p>
    <w:p w14:paraId="43E80571">
      <w:pPr>
        <w:pStyle w:val="47"/>
        <w:rPr>
          <w:color w:val="000000"/>
        </w:rPr>
      </w:pPr>
    </w:p>
    <w:p w14:paraId="7AC0150D">
      <w:pPr>
        <w:pStyle w:val="47"/>
        <w:rPr>
          <w:color w:val="000000"/>
        </w:rPr>
      </w:pPr>
    </w:p>
    <w:p w14:paraId="37EEFC80">
      <w:pPr>
        <w:pStyle w:val="48"/>
      </w:pPr>
    </w:p>
    <w:p w14:paraId="4D33DBA6">
      <w:pPr>
        <w:snapToGrid w:val="0"/>
        <w:spacing w:before="50" w:after="50"/>
        <w:jc w:val="center"/>
        <w:rPr>
          <w:rFonts w:ascii="宋体" w:hAnsi="宋体" w:cs="宋体"/>
          <w:b/>
          <w:bCs/>
          <w:color w:val="000000"/>
          <w:sz w:val="24"/>
          <w:szCs w:val="24"/>
        </w:rPr>
      </w:pPr>
      <w:r>
        <w:rPr>
          <w:rFonts w:hint="eastAsia" w:ascii="宋体" w:hAnsi="宋体" w:cs="宋体"/>
          <w:b/>
          <w:bCs/>
          <w:color w:val="000000"/>
          <w:sz w:val="32"/>
          <w:szCs w:val="32"/>
          <w:lang w:val="en-US" w:eastAsia="zh-CN"/>
        </w:rPr>
        <w:t>十四、</w:t>
      </w:r>
      <w:r>
        <w:rPr>
          <w:rFonts w:hint="eastAsia" w:ascii="宋体" w:hAnsi="宋体" w:cs="宋体"/>
          <w:b/>
          <w:bCs/>
          <w:color w:val="000000"/>
          <w:sz w:val="32"/>
          <w:szCs w:val="32"/>
        </w:rPr>
        <w:t>项目组成员一览表</w:t>
      </w:r>
    </w:p>
    <w:p w14:paraId="3C0A926D">
      <w:pPr>
        <w:rPr>
          <w:rFonts w:hint="eastAsia" w:ascii="宋体" w:hAnsi="宋体" w:cs="宋体"/>
          <w:color w:val="000000"/>
          <w:sz w:val="24"/>
          <w:szCs w:val="24"/>
        </w:rPr>
      </w:pPr>
    </w:p>
    <w:p w14:paraId="4D74D5D2">
      <w:pPr>
        <w:rPr>
          <w:rFonts w:hint="eastAsia" w:ascii="宋体" w:hAnsi="宋体" w:cs="宋体"/>
          <w:color w:val="000000"/>
          <w:sz w:val="24"/>
          <w:szCs w:val="24"/>
        </w:rPr>
      </w:pPr>
      <w:r>
        <w:rPr>
          <w:rFonts w:hint="eastAsia" w:ascii="宋体" w:hAnsi="宋体" w:cs="宋体"/>
          <w:color w:val="000000"/>
          <w:sz w:val="24"/>
          <w:szCs w:val="24"/>
        </w:rPr>
        <w:t xml:space="preserve">投标人全称（加盖公章）：  </w:t>
      </w:r>
    </w:p>
    <w:p w14:paraId="7BD3F150">
      <w:pPr>
        <w:rPr>
          <w:rFonts w:ascii="宋体" w:hAnsi="宋体" w:cs="宋体"/>
          <w:color w:val="000000"/>
          <w:sz w:val="24"/>
          <w:szCs w:val="24"/>
        </w:rPr>
      </w:pPr>
      <w:r>
        <w:rPr>
          <w:rFonts w:hint="eastAsia" w:ascii="宋体" w:hAnsi="宋体" w:cs="宋体"/>
          <w:color w:val="000000"/>
          <w:sz w:val="24"/>
          <w:szCs w:val="24"/>
        </w:rPr>
        <w:t xml:space="preserve">     </w:t>
      </w:r>
    </w:p>
    <w:tbl>
      <w:tblPr>
        <w:tblStyle w:val="40"/>
        <w:tblW w:w="7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751"/>
        <w:gridCol w:w="1237"/>
        <w:gridCol w:w="1944"/>
        <w:gridCol w:w="1205"/>
      </w:tblGrid>
      <w:tr w14:paraId="043A2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1080" w:type="dxa"/>
            <w:noWrap w:val="0"/>
            <w:vAlign w:val="center"/>
          </w:tcPr>
          <w:p w14:paraId="2AC4D3BC">
            <w:pPr>
              <w:jc w:val="center"/>
              <w:rPr>
                <w:rFonts w:hint="eastAsia" w:ascii="宋体" w:hAnsi="宋体" w:eastAsia="宋体"/>
                <w:b/>
                <w:bCs/>
                <w:sz w:val="24"/>
                <w:szCs w:val="24"/>
                <w:lang w:val="en-US" w:eastAsia="zh-CN"/>
              </w:rPr>
            </w:pPr>
            <w:r>
              <w:rPr>
                <w:rFonts w:hint="eastAsia" w:ascii="宋体" w:hAnsi="宋体"/>
                <w:b/>
                <w:bCs/>
                <w:sz w:val="24"/>
                <w:szCs w:val="24"/>
                <w:lang w:val="en-US" w:eastAsia="zh-CN"/>
              </w:rPr>
              <w:t>……</w:t>
            </w:r>
          </w:p>
        </w:tc>
        <w:tc>
          <w:tcPr>
            <w:tcW w:w="1751" w:type="dxa"/>
            <w:noWrap w:val="0"/>
            <w:vAlign w:val="center"/>
          </w:tcPr>
          <w:p w14:paraId="2BB1791F">
            <w:pPr>
              <w:jc w:val="center"/>
              <w:rPr>
                <w:rFonts w:hint="eastAsia" w:ascii="宋体" w:hAnsi="宋体" w:eastAsia="宋体"/>
                <w:b/>
                <w:bCs/>
                <w:sz w:val="24"/>
                <w:szCs w:val="24"/>
                <w:lang w:val="en-US" w:eastAsia="zh-CN"/>
              </w:rPr>
            </w:pPr>
          </w:p>
        </w:tc>
        <w:tc>
          <w:tcPr>
            <w:tcW w:w="1237" w:type="dxa"/>
            <w:noWrap w:val="0"/>
            <w:vAlign w:val="center"/>
          </w:tcPr>
          <w:p w14:paraId="6F135E0A">
            <w:pPr>
              <w:jc w:val="center"/>
              <w:rPr>
                <w:rFonts w:hint="eastAsia" w:ascii="宋体" w:hAnsi="宋体" w:eastAsia="宋体"/>
                <w:b/>
                <w:bCs/>
                <w:sz w:val="24"/>
                <w:szCs w:val="24"/>
                <w:lang w:val="en-US" w:eastAsia="zh-CN"/>
              </w:rPr>
            </w:pPr>
          </w:p>
        </w:tc>
        <w:tc>
          <w:tcPr>
            <w:tcW w:w="1944" w:type="dxa"/>
            <w:noWrap w:val="0"/>
            <w:vAlign w:val="center"/>
          </w:tcPr>
          <w:p w14:paraId="7A955517">
            <w:pPr>
              <w:jc w:val="center"/>
              <w:rPr>
                <w:rFonts w:hint="eastAsia" w:ascii="宋体" w:hAnsi="宋体" w:eastAsia="宋体"/>
                <w:b/>
                <w:bCs/>
                <w:sz w:val="24"/>
                <w:szCs w:val="24"/>
                <w:lang w:val="en-US" w:eastAsia="zh-CN"/>
              </w:rPr>
            </w:pPr>
          </w:p>
        </w:tc>
        <w:tc>
          <w:tcPr>
            <w:tcW w:w="1205" w:type="dxa"/>
            <w:noWrap w:val="0"/>
            <w:vAlign w:val="top"/>
          </w:tcPr>
          <w:p w14:paraId="573F6AC7">
            <w:pPr>
              <w:jc w:val="center"/>
              <w:rPr>
                <w:rFonts w:hint="eastAsia" w:ascii="宋体" w:hAnsi="宋体" w:eastAsia="宋体"/>
                <w:b/>
                <w:bCs/>
                <w:sz w:val="24"/>
                <w:szCs w:val="24"/>
                <w:lang w:eastAsia="zh-CN"/>
              </w:rPr>
            </w:pPr>
            <w:r>
              <w:rPr>
                <w:rFonts w:hint="eastAsia" w:ascii="宋体" w:hAnsi="宋体"/>
                <w:b/>
                <w:bCs/>
                <w:sz w:val="24"/>
                <w:szCs w:val="24"/>
                <w:lang w:eastAsia="zh-CN"/>
              </w:rPr>
              <w:t>……</w:t>
            </w:r>
          </w:p>
        </w:tc>
      </w:tr>
      <w:tr w14:paraId="239D2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18F37285">
            <w:pPr>
              <w:rPr>
                <w:rFonts w:ascii="宋体" w:hAnsi="宋体"/>
                <w:sz w:val="24"/>
                <w:szCs w:val="24"/>
              </w:rPr>
            </w:pPr>
          </w:p>
        </w:tc>
        <w:tc>
          <w:tcPr>
            <w:tcW w:w="1751" w:type="dxa"/>
            <w:noWrap w:val="0"/>
            <w:vAlign w:val="center"/>
          </w:tcPr>
          <w:p w14:paraId="365E13C2">
            <w:pPr>
              <w:rPr>
                <w:rFonts w:ascii="宋体" w:hAnsi="宋体"/>
                <w:sz w:val="24"/>
                <w:szCs w:val="24"/>
              </w:rPr>
            </w:pPr>
          </w:p>
        </w:tc>
        <w:tc>
          <w:tcPr>
            <w:tcW w:w="1237" w:type="dxa"/>
            <w:noWrap w:val="0"/>
            <w:vAlign w:val="center"/>
          </w:tcPr>
          <w:p w14:paraId="6C804161">
            <w:pPr>
              <w:rPr>
                <w:rFonts w:ascii="宋体" w:hAnsi="宋体"/>
                <w:sz w:val="24"/>
                <w:szCs w:val="24"/>
              </w:rPr>
            </w:pPr>
          </w:p>
        </w:tc>
        <w:tc>
          <w:tcPr>
            <w:tcW w:w="1944" w:type="dxa"/>
            <w:noWrap w:val="0"/>
            <w:vAlign w:val="center"/>
          </w:tcPr>
          <w:p w14:paraId="3EA9E623">
            <w:pPr>
              <w:rPr>
                <w:rFonts w:ascii="宋体" w:hAnsi="宋体"/>
                <w:sz w:val="24"/>
                <w:szCs w:val="24"/>
              </w:rPr>
            </w:pPr>
          </w:p>
        </w:tc>
        <w:tc>
          <w:tcPr>
            <w:tcW w:w="1205" w:type="dxa"/>
            <w:noWrap w:val="0"/>
            <w:vAlign w:val="top"/>
          </w:tcPr>
          <w:p w14:paraId="3ABB34D1">
            <w:pPr>
              <w:rPr>
                <w:rFonts w:ascii="宋体" w:hAnsi="宋体"/>
                <w:sz w:val="24"/>
                <w:szCs w:val="24"/>
              </w:rPr>
            </w:pPr>
          </w:p>
        </w:tc>
      </w:tr>
      <w:tr w14:paraId="7A25A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4C4FA1B7">
            <w:pPr>
              <w:rPr>
                <w:rFonts w:ascii="宋体" w:hAnsi="宋体"/>
                <w:sz w:val="24"/>
                <w:szCs w:val="24"/>
              </w:rPr>
            </w:pPr>
          </w:p>
        </w:tc>
        <w:tc>
          <w:tcPr>
            <w:tcW w:w="1751" w:type="dxa"/>
            <w:noWrap w:val="0"/>
            <w:vAlign w:val="center"/>
          </w:tcPr>
          <w:p w14:paraId="502DBE52">
            <w:pPr>
              <w:rPr>
                <w:rFonts w:ascii="宋体" w:hAnsi="宋体"/>
                <w:sz w:val="24"/>
                <w:szCs w:val="24"/>
              </w:rPr>
            </w:pPr>
          </w:p>
        </w:tc>
        <w:tc>
          <w:tcPr>
            <w:tcW w:w="1237" w:type="dxa"/>
            <w:noWrap w:val="0"/>
            <w:vAlign w:val="center"/>
          </w:tcPr>
          <w:p w14:paraId="5644BB8B">
            <w:pPr>
              <w:rPr>
                <w:rFonts w:ascii="宋体" w:hAnsi="宋体"/>
                <w:sz w:val="24"/>
                <w:szCs w:val="24"/>
              </w:rPr>
            </w:pPr>
          </w:p>
        </w:tc>
        <w:tc>
          <w:tcPr>
            <w:tcW w:w="1944" w:type="dxa"/>
            <w:noWrap w:val="0"/>
            <w:vAlign w:val="center"/>
          </w:tcPr>
          <w:p w14:paraId="2E48445A">
            <w:pPr>
              <w:rPr>
                <w:rFonts w:ascii="宋体" w:hAnsi="宋体"/>
                <w:sz w:val="24"/>
                <w:szCs w:val="24"/>
              </w:rPr>
            </w:pPr>
          </w:p>
        </w:tc>
        <w:tc>
          <w:tcPr>
            <w:tcW w:w="1205" w:type="dxa"/>
            <w:noWrap w:val="0"/>
            <w:vAlign w:val="top"/>
          </w:tcPr>
          <w:p w14:paraId="2367E89D">
            <w:pPr>
              <w:rPr>
                <w:rFonts w:ascii="宋体" w:hAnsi="宋体"/>
                <w:sz w:val="24"/>
                <w:szCs w:val="24"/>
              </w:rPr>
            </w:pPr>
          </w:p>
        </w:tc>
      </w:tr>
      <w:tr w14:paraId="57B14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468317AB">
            <w:pPr>
              <w:rPr>
                <w:rFonts w:ascii="宋体" w:hAnsi="宋体"/>
                <w:sz w:val="24"/>
                <w:szCs w:val="24"/>
              </w:rPr>
            </w:pPr>
          </w:p>
        </w:tc>
        <w:tc>
          <w:tcPr>
            <w:tcW w:w="1751" w:type="dxa"/>
            <w:noWrap w:val="0"/>
            <w:vAlign w:val="center"/>
          </w:tcPr>
          <w:p w14:paraId="5BA08433">
            <w:pPr>
              <w:rPr>
                <w:rFonts w:ascii="宋体" w:hAnsi="宋体"/>
                <w:sz w:val="24"/>
                <w:szCs w:val="24"/>
              </w:rPr>
            </w:pPr>
          </w:p>
        </w:tc>
        <w:tc>
          <w:tcPr>
            <w:tcW w:w="1237" w:type="dxa"/>
            <w:noWrap w:val="0"/>
            <w:vAlign w:val="center"/>
          </w:tcPr>
          <w:p w14:paraId="74C16A94">
            <w:pPr>
              <w:rPr>
                <w:rFonts w:ascii="宋体" w:hAnsi="宋体"/>
                <w:sz w:val="24"/>
                <w:szCs w:val="24"/>
              </w:rPr>
            </w:pPr>
          </w:p>
        </w:tc>
        <w:tc>
          <w:tcPr>
            <w:tcW w:w="1944" w:type="dxa"/>
            <w:noWrap w:val="0"/>
            <w:vAlign w:val="center"/>
          </w:tcPr>
          <w:p w14:paraId="112A7D04">
            <w:pPr>
              <w:rPr>
                <w:rFonts w:ascii="宋体" w:hAnsi="宋体"/>
                <w:sz w:val="24"/>
                <w:szCs w:val="24"/>
              </w:rPr>
            </w:pPr>
          </w:p>
        </w:tc>
        <w:tc>
          <w:tcPr>
            <w:tcW w:w="1205" w:type="dxa"/>
            <w:noWrap w:val="0"/>
            <w:vAlign w:val="top"/>
          </w:tcPr>
          <w:p w14:paraId="0C1D47D6">
            <w:pPr>
              <w:rPr>
                <w:rFonts w:ascii="宋体" w:hAnsi="宋体"/>
                <w:sz w:val="24"/>
                <w:szCs w:val="24"/>
              </w:rPr>
            </w:pPr>
          </w:p>
        </w:tc>
      </w:tr>
      <w:tr w14:paraId="21EF6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2187AF1D">
            <w:pPr>
              <w:rPr>
                <w:rFonts w:ascii="宋体" w:hAnsi="宋体"/>
                <w:sz w:val="24"/>
                <w:szCs w:val="24"/>
              </w:rPr>
            </w:pPr>
          </w:p>
        </w:tc>
        <w:tc>
          <w:tcPr>
            <w:tcW w:w="1751" w:type="dxa"/>
            <w:noWrap w:val="0"/>
            <w:vAlign w:val="center"/>
          </w:tcPr>
          <w:p w14:paraId="70C88661">
            <w:pPr>
              <w:rPr>
                <w:rFonts w:ascii="宋体" w:hAnsi="宋体"/>
                <w:sz w:val="24"/>
                <w:szCs w:val="24"/>
              </w:rPr>
            </w:pPr>
          </w:p>
        </w:tc>
        <w:tc>
          <w:tcPr>
            <w:tcW w:w="1237" w:type="dxa"/>
            <w:noWrap w:val="0"/>
            <w:vAlign w:val="center"/>
          </w:tcPr>
          <w:p w14:paraId="6DF1D014">
            <w:pPr>
              <w:rPr>
                <w:rFonts w:ascii="宋体" w:hAnsi="宋体"/>
                <w:sz w:val="24"/>
                <w:szCs w:val="24"/>
              </w:rPr>
            </w:pPr>
          </w:p>
        </w:tc>
        <w:tc>
          <w:tcPr>
            <w:tcW w:w="1944" w:type="dxa"/>
            <w:noWrap w:val="0"/>
            <w:vAlign w:val="center"/>
          </w:tcPr>
          <w:p w14:paraId="5BE9DE12">
            <w:pPr>
              <w:rPr>
                <w:rFonts w:ascii="宋体" w:hAnsi="宋体"/>
                <w:sz w:val="24"/>
                <w:szCs w:val="24"/>
              </w:rPr>
            </w:pPr>
          </w:p>
        </w:tc>
        <w:tc>
          <w:tcPr>
            <w:tcW w:w="1205" w:type="dxa"/>
            <w:noWrap w:val="0"/>
            <w:vAlign w:val="top"/>
          </w:tcPr>
          <w:p w14:paraId="2A313D28">
            <w:pPr>
              <w:rPr>
                <w:rFonts w:ascii="宋体" w:hAnsi="宋体"/>
                <w:sz w:val="24"/>
                <w:szCs w:val="24"/>
              </w:rPr>
            </w:pPr>
          </w:p>
        </w:tc>
      </w:tr>
      <w:tr w14:paraId="360C6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0C270A00">
            <w:pPr>
              <w:rPr>
                <w:rFonts w:ascii="宋体" w:hAnsi="宋体"/>
                <w:sz w:val="24"/>
                <w:szCs w:val="24"/>
              </w:rPr>
            </w:pPr>
          </w:p>
        </w:tc>
        <w:tc>
          <w:tcPr>
            <w:tcW w:w="1751" w:type="dxa"/>
            <w:noWrap w:val="0"/>
            <w:vAlign w:val="center"/>
          </w:tcPr>
          <w:p w14:paraId="0281A34C">
            <w:pPr>
              <w:rPr>
                <w:rFonts w:ascii="宋体" w:hAnsi="宋体"/>
                <w:sz w:val="24"/>
                <w:szCs w:val="24"/>
              </w:rPr>
            </w:pPr>
          </w:p>
        </w:tc>
        <w:tc>
          <w:tcPr>
            <w:tcW w:w="1237" w:type="dxa"/>
            <w:noWrap w:val="0"/>
            <w:vAlign w:val="center"/>
          </w:tcPr>
          <w:p w14:paraId="0C6C509D">
            <w:pPr>
              <w:rPr>
                <w:rFonts w:ascii="宋体" w:hAnsi="宋体"/>
                <w:sz w:val="24"/>
                <w:szCs w:val="24"/>
              </w:rPr>
            </w:pPr>
          </w:p>
        </w:tc>
        <w:tc>
          <w:tcPr>
            <w:tcW w:w="1944" w:type="dxa"/>
            <w:noWrap w:val="0"/>
            <w:vAlign w:val="center"/>
          </w:tcPr>
          <w:p w14:paraId="33BF5CB5">
            <w:pPr>
              <w:rPr>
                <w:rFonts w:ascii="宋体" w:hAnsi="宋体"/>
                <w:sz w:val="24"/>
                <w:szCs w:val="24"/>
              </w:rPr>
            </w:pPr>
          </w:p>
        </w:tc>
        <w:tc>
          <w:tcPr>
            <w:tcW w:w="1205" w:type="dxa"/>
            <w:noWrap w:val="0"/>
            <w:vAlign w:val="top"/>
          </w:tcPr>
          <w:p w14:paraId="1012055C">
            <w:pPr>
              <w:rPr>
                <w:rFonts w:ascii="宋体" w:hAnsi="宋体"/>
                <w:sz w:val="24"/>
                <w:szCs w:val="24"/>
              </w:rPr>
            </w:pPr>
          </w:p>
        </w:tc>
      </w:tr>
      <w:tr w14:paraId="6341A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196E7A9B">
            <w:pPr>
              <w:rPr>
                <w:rFonts w:ascii="宋体" w:hAnsi="宋体"/>
                <w:sz w:val="24"/>
                <w:szCs w:val="24"/>
              </w:rPr>
            </w:pPr>
          </w:p>
        </w:tc>
        <w:tc>
          <w:tcPr>
            <w:tcW w:w="1751" w:type="dxa"/>
            <w:noWrap w:val="0"/>
            <w:vAlign w:val="center"/>
          </w:tcPr>
          <w:p w14:paraId="15AB34E0">
            <w:pPr>
              <w:rPr>
                <w:rFonts w:ascii="宋体" w:hAnsi="宋体"/>
                <w:sz w:val="24"/>
                <w:szCs w:val="24"/>
              </w:rPr>
            </w:pPr>
          </w:p>
        </w:tc>
        <w:tc>
          <w:tcPr>
            <w:tcW w:w="1237" w:type="dxa"/>
            <w:noWrap w:val="0"/>
            <w:vAlign w:val="center"/>
          </w:tcPr>
          <w:p w14:paraId="77815A34">
            <w:pPr>
              <w:rPr>
                <w:rFonts w:ascii="宋体" w:hAnsi="宋体"/>
                <w:sz w:val="24"/>
                <w:szCs w:val="24"/>
              </w:rPr>
            </w:pPr>
          </w:p>
        </w:tc>
        <w:tc>
          <w:tcPr>
            <w:tcW w:w="1944" w:type="dxa"/>
            <w:noWrap w:val="0"/>
            <w:vAlign w:val="center"/>
          </w:tcPr>
          <w:p w14:paraId="06A29CBC">
            <w:pPr>
              <w:rPr>
                <w:rFonts w:ascii="宋体" w:hAnsi="宋体"/>
                <w:sz w:val="24"/>
                <w:szCs w:val="24"/>
              </w:rPr>
            </w:pPr>
          </w:p>
        </w:tc>
        <w:tc>
          <w:tcPr>
            <w:tcW w:w="1205" w:type="dxa"/>
            <w:noWrap w:val="0"/>
            <w:vAlign w:val="top"/>
          </w:tcPr>
          <w:p w14:paraId="0918CD36">
            <w:pPr>
              <w:rPr>
                <w:rFonts w:ascii="宋体" w:hAnsi="宋体"/>
                <w:sz w:val="24"/>
                <w:szCs w:val="24"/>
              </w:rPr>
            </w:pPr>
          </w:p>
        </w:tc>
      </w:tr>
      <w:tr w14:paraId="7F040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080" w:type="dxa"/>
            <w:noWrap w:val="0"/>
            <w:vAlign w:val="center"/>
          </w:tcPr>
          <w:p w14:paraId="24A01514">
            <w:pPr>
              <w:rPr>
                <w:rFonts w:ascii="宋体" w:hAnsi="宋体"/>
                <w:sz w:val="24"/>
                <w:szCs w:val="24"/>
              </w:rPr>
            </w:pPr>
          </w:p>
        </w:tc>
        <w:tc>
          <w:tcPr>
            <w:tcW w:w="1751" w:type="dxa"/>
            <w:noWrap w:val="0"/>
            <w:vAlign w:val="center"/>
          </w:tcPr>
          <w:p w14:paraId="43BC854B">
            <w:pPr>
              <w:rPr>
                <w:rFonts w:ascii="宋体" w:hAnsi="宋体"/>
                <w:sz w:val="24"/>
                <w:szCs w:val="24"/>
              </w:rPr>
            </w:pPr>
          </w:p>
        </w:tc>
        <w:tc>
          <w:tcPr>
            <w:tcW w:w="1237" w:type="dxa"/>
            <w:noWrap w:val="0"/>
            <w:vAlign w:val="center"/>
          </w:tcPr>
          <w:p w14:paraId="2A5C1103">
            <w:pPr>
              <w:rPr>
                <w:rFonts w:ascii="宋体" w:hAnsi="宋体"/>
                <w:sz w:val="24"/>
                <w:szCs w:val="24"/>
              </w:rPr>
            </w:pPr>
          </w:p>
        </w:tc>
        <w:tc>
          <w:tcPr>
            <w:tcW w:w="1944" w:type="dxa"/>
            <w:noWrap w:val="0"/>
            <w:vAlign w:val="center"/>
          </w:tcPr>
          <w:p w14:paraId="344B2386">
            <w:pPr>
              <w:rPr>
                <w:rFonts w:ascii="宋体" w:hAnsi="宋体"/>
                <w:sz w:val="24"/>
                <w:szCs w:val="24"/>
              </w:rPr>
            </w:pPr>
          </w:p>
        </w:tc>
        <w:tc>
          <w:tcPr>
            <w:tcW w:w="1205" w:type="dxa"/>
            <w:noWrap w:val="0"/>
            <w:vAlign w:val="top"/>
          </w:tcPr>
          <w:p w14:paraId="69A0A619">
            <w:pPr>
              <w:rPr>
                <w:rFonts w:ascii="宋体" w:hAnsi="宋体"/>
                <w:sz w:val="24"/>
                <w:szCs w:val="24"/>
              </w:rPr>
            </w:pPr>
          </w:p>
        </w:tc>
      </w:tr>
      <w:tr w14:paraId="29769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80" w:type="dxa"/>
            <w:noWrap w:val="0"/>
            <w:vAlign w:val="center"/>
          </w:tcPr>
          <w:p w14:paraId="11883302">
            <w:pPr>
              <w:rPr>
                <w:rFonts w:ascii="宋体" w:hAnsi="宋体"/>
                <w:sz w:val="24"/>
                <w:szCs w:val="24"/>
              </w:rPr>
            </w:pPr>
          </w:p>
        </w:tc>
        <w:tc>
          <w:tcPr>
            <w:tcW w:w="1751" w:type="dxa"/>
            <w:noWrap w:val="0"/>
            <w:vAlign w:val="center"/>
          </w:tcPr>
          <w:p w14:paraId="451602A2">
            <w:pPr>
              <w:rPr>
                <w:rFonts w:ascii="宋体" w:hAnsi="宋体"/>
                <w:sz w:val="24"/>
                <w:szCs w:val="24"/>
              </w:rPr>
            </w:pPr>
          </w:p>
        </w:tc>
        <w:tc>
          <w:tcPr>
            <w:tcW w:w="1237" w:type="dxa"/>
            <w:noWrap w:val="0"/>
            <w:vAlign w:val="center"/>
          </w:tcPr>
          <w:p w14:paraId="1B9E80F9">
            <w:pPr>
              <w:rPr>
                <w:rFonts w:ascii="宋体" w:hAnsi="宋体"/>
                <w:sz w:val="24"/>
                <w:szCs w:val="24"/>
              </w:rPr>
            </w:pPr>
          </w:p>
        </w:tc>
        <w:tc>
          <w:tcPr>
            <w:tcW w:w="1944" w:type="dxa"/>
            <w:noWrap w:val="0"/>
            <w:vAlign w:val="center"/>
          </w:tcPr>
          <w:p w14:paraId="282D8CA8">
            <w:pPr>
              <w:rPr>
                <w:rFonts w:ascii="宋体" w:hAnsi="宋体"/>
                <w:sz w:val="24"/>
                <w:szCs w:val="24"/>
              </w:rPr>
            </w:pPr>
          </w:p>
        </w:tc>
        <w:tc>
          <w:tcPr>
            <w:tcW w:w="1205" w:type="dxa"/>
            <w:noWrap w:val="0"/>
            <w:vAlign w:val="top"/>
          </w:tcPr>
          <w:p w14:paraId="503F5FC1">
            <w:pPr>
              <w:rPr>
                <w:rFonts w:ascii="宋体" w:hAnsi="宋体"/>
                <w:sz w:val="24"/>
                <w:szCs w:val="24"/>
              </w:rPr>
            </w:pPr>
          </w:p>
        </w:tc>
      </w:tr>
      <w:tr w14:paraId="5C9ED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080" w:type="dxa"/>
            <w:noWrap w:val="0"/>
            <w:vAlign w:val="center"/>
          </w:tcPr>
          <w:p w14:paraId="5F78B764">
            <w:pPr>
              <w:rPr>
                <w:rFonts w:ascii="宋体" w:hAnsi="宋体"/>
                <w:sz w:val="24"/>
                <w:szCs w:val="24"/>
              </w:rPr>
            </w:pPr>
          </w:p>
        </w:tc>
        <w:tc>
          <w:tcPr>
            <w:tcW w:w="1751" w:type="dxa"/>
            <w:noWrap w:val="0"/>
            <w:vAlign w:val="center"/>
          </w:tcPr>
          <w:p w14:paraId="6E6753E2">
            <w:pPr>
              <w:rPr>
                <w:rFonts w:ascii="宋体" w:hAnsi="宋体"/>
                <w:sz w:val="24"/>
                <w:szCs w:val="24"/>
              </w:rPr>
            </w:pPr>
          </w:p>
        </w:tc>
        <w:tc>
          <w:tcPr>
            <w:tcW w:w="1237" w:type="dxa"/>
            <w:noWrap w:val="0"/>
            <w:vAlign w:val="center"/>
          </w:tcPr>
          <w:p w14:paraId="2ECA1C04">
            <w:pPr>
              <w:rPr>
                <w:rFonts w:ascii="宋体" w:hAnsi="宋体"/>
                <w:sz w:val="24"/>
                <w:szCs w:val="24"/>
              </w:rPr>
            </w:pPr>
          </w:p>
        </w:tc>
        <w:tc>
          <w:tcPr>
            <w:tcW w:w="1944" w:type="dxa"/>
            <w:noWrap w:val="0"/>
            <w:vAlign w:val="center"/>
          </w:tcPr>
          <w:p w14:paraId="1E713AC7">
            <w:pPr>
              <w:rPr>
                <w:rFonts w:ascii="宋体" w:hAnsi="宋体"/>
                <w:sz w:val="24"/>
                <w:szCs w:val="24"/>
              </w:rPr>
            </w:pPr>
          </w:p>
        </w:tc>
        <w:tc>
          <w:tcPr>
            <w:tcW w:w="1205" w:type="dxa"/>
            <w:noWrap w:val="0"/>
            <w:vAlign w:val="top"/>
          </w:tcPr>
          <w:p w14:paraId="483C1577">
            <w:pPr>
              <w:rPr>
                <w:rFonts w:ascii="宋体" w:hAnsi="宋体"/>
                <w:sz w:val="24"/>
                <w:szCs w:val="24"/>
              </w:rPr>
            </w:pPr>
          </w:p>
        </w:tc>
      </w:tr>
      <w:tr w14:paraId="24468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080" w:type="dxa"/>
            <w:noWrap w:val="0"/>
            <w:vAlign w:val="center"/>
          </w:tcPr>
          <w:p w14:paraId="71F33A13">
            <w:pPr>
              <w:rPr>
                <w:rFonts w:ascii="宋体" w:hAnsi="宋体"/>
                <w:sz w:val="24"/>
                <w:szCs w:val="24"/>
              </w:rPr>
            </w:pPr>
            <w:r>
              <w:rPr>
                <w:rFonts w:ascii="宋体" w:hAnsi="宋体"/>
                <w:sz w:val="24"/>
                <w:szCs w:val="24"/>
              </w:rPr>
              <w:t>…</w:t>
            </w:r>
          </w:p>
        </w:tc>
        <w:tc>
          <w:tcPr>
            <w:tcW w:w="1751" w:type="dxa"/>
            <w:noWrap w:val="0"/>
            <w:vAlign w:val="center"/>
          </w:tcPr>
          <w:p w14:paraId="083E4ADC">
            <w:pPr>
              <w:rPr>
                <w:rFonts w:ascii="宋体" w:hAnsi="宋体"/>
                <w:sz w:val="24"/>
                <w:szCs w:val="24"/>
              </w:rPr>
            </w:pPr>
          </w:p>
        </w:tc>
        <w:tc>
          <w:tcPr>
            <w:tcW w:w="1237" w:type="dxa"/>
            <w:noWrap w:val="0"/>
            <w:vAlign w:val="center"/>
          </w:tcPr>
          <w:p w14:paraId="783A307E">
            <w:pPr>
              <w:rPr>
                <w:rFonts w:ascii="宋体" w:hAnsi="宋体"/>
                <w:sz w:val="24"/>
                <w:szCs w:val="24"/>
              </w:rPr>
            </w:pPr>
          </w:p>
        </w:tc>
        <w:tc>
          <w:tcPr>
            <w:tcW w:w="1944" w:type="dxa"/>
            <w:noWrap w:val="0"/>
            <w:vAlign w:val="center"/>
          </w:tcPr>
          <w:p w14:paraId="07343218">
            <w:pPr>
              <w:rPr>
                <w:rFonts w:ascii="宋体" w:hAnsi="宋体"/>
                <w:sz w:val="24"/>
                <w:szCs w:val="24"/>
              </w:rPr>
            </w:pPr>
          </w:p>
        </w:tc>
        <w:tc>
          <w:tcPr>
            <w:tcW w:w="1205" w:type="dxa"/>
            <w:noWrap w:val="0"/>
            <w:vAlign w:val="top"/>
          </w:tcPr>
          <w:p w14:paraId="3FBE0D89">
            <w:pPr>
              <w:rPr>
                <w:rFonts w:ascii="宋体" w:hAnsi="宋体"/>
                <w:sz w:val="24"/>
                <w:szCs w:val="24"/>
              </w:rPr>
            </w:pPr>
            <w:r>
              <w:rPr>
                <w:rFonts w:ascii="宋体" w:hAnsi="宋体"/>
                <w:sz w:val="24"/>
                <w:szCs w:val="24"/>
              </w:rPr>
              <w:t>…</w:t>
            </w:r>
          </w:p>
        </w:tc>
      </w:tr>
    </w:tbl>
    <w:p w14:paraId="313E8A5C">
      <w:pPr>
        <w:ind w:left="239" w:firstLine="960" w:firstLineChars="400"/>
        <w:rPr>
          <w:rFonts w:ascii="宋体" w:hAnsi="宋体"/>
          <w:sz w:val="24"/>
          <w:szCs w:val="24"/>
        </w:rPr>
      </w:pPr>
      <w:r>
        <w:rPr>
          <w:rFonts w:hint="eastAsia" w:ascii="宋体" w:hAnsi="宋体"/>
          <w:sz w:val="24"/>
          <w:szCs w:val="24"/>
        </w:rPr>
        <w:t>注:1、行数不够,自行添加</w:t>
      </w:r>
    </w:p>
    <w:p w14:paraId="6EFA31A5">
      <w:pPr>
        <w:ind w:left="238" w:leftChars="85" w:firstLine="1320" w:firstLineChars="550"/>
        <w:rPr>
          <w:rFonts w:ascii="宋体" w:hAnsi="宋体"/>
          <w:sz w:val="24"/>
          <w:szCs w:val="24"/>
        </w:rPr>
      </w:pPr>
      <w:r>
        <w:rPr>
          <w:rFonts w:hint="eastAsia" w:ascii="宋体" w:hAnsi="宋体"/>
          <w:sz w:val="24"/>
          <w:szCs w:val="24"/>
        </w:rPr>
        <w:t>2、证明材料附后</w:t>
      </w:r>
    </w:p>
    <w:p w14:paraId="3906AC65">
      <w:pPr>
        <w:snapToGrid w:val="0"/>
        <w:spacing w:before="50" w:after="50"/>
        <w:rPr>
          <w:rFonts w:ascii="宋体" w:hAnsi="宋体"/>
          <w:sz w:val="24"/>
          <w:szCs w:val="24"/>
        </w:rPr>
      </w:pPr>
    </w:p>
    <w:p w14:paraId="0E6E2DBE">
      <w:pPr>
        <w:snapToGrid w:val="0"/>
        <w:spacing w:before="50" w:after="50"/>
        <w:ind w:firstLine="120" w:firstLineChars="50"/>
        <w:jc w:val="right"/>
        <w:rPr>
          <w:rFonts w:ascii="宋体" w:hAnsi="宋体"/>
          <w:spacing w:val="20"/>
          <w:sz w:val="24"/>
          <w:u w:val="single"/>
        </w:rPr>
      </w:pPr>
      <w:r>
        <w:rPr>
          <w:rFonts w:hint="eastAsia" w:ascii="宋体" w:hAnsi="宋体"/>
          <w:sz w:val="24"/>
        </w:rPr>
        <w:t xml:space="preserve">               法定代表人</w:t>
      </w:r>
      <w:r>
        <w:rPr>
          <w:rFonts w:ascii="宋体" w:hAnsi="宋体"/>
          <w:sz w:val="24"/>
        </w:rPr>
        <w:t>或授权委托人</w:t>
      </w:r>
      <w:r>
        <w:rPr>
          <w:rFonts w:hint="eastAsia" w:ascii="宋体" w:hAnsi="宋体"/>
          <w:spacing w:val="20"/>
          <w:sz w:val="24"/>
        </w:rPr>
        <w:t>：</w:t>
      </w:r>
      <w:r>
        <w:rPr>
          <w:rFonts w:hint="eastAsia" w:ascii="宋体" w:hAnsi="宋体"/>
          <w:sz w:val="24"/>
          <w:u w:val="single"/>
        </w:rPr>
        <w:t>（签字或盖章）</w:t>
      </w:r>
    </w:p>
    <w:p w14:paraId="3332EEC5">
      <w:pPr>
        <w:snapToGrid w:val="0"/>
        <w:spacing w:before="50" w:after="50"/>
        <w:ind w:firstLine="5040" w:firstLineChars="1800"/>
        <w:rPr>
          <w:rFonts w:ascii="宋体" w:hAnsi="宋体"/>
          <w:spacing w:val="20"/>
          <w:sz w:val="24"/>
        </w:rPr>
      </w:pPr>
      <w:r>
        <w:rPr>
          <w:rFonts w:hint="eastAsia" w:ascii="宋体" w:hAnsi="宋体"/>
          <w:spacing w:val="20"/>
          <w:sz w:val="24"/>
        </w:rPr>
        <w:t>投标人：</w:t>
      </w:r>
      <w:r>
        <w:rPr>
          <w:rFonts w:hint="eastAsia" w:ascii="宋体" w:hAnsi="宋体"/>
          <w:spacing w:val="20"/>
          <w:sz w:val="24"/>
          <w:u w:val="single"/>
        </w:rPr>
        <w:t>（盖章）</w:t>
      </w:r>
    </w:p>
    <w:p w14:paraId="60526A35">
      <w:pPr>
        <w:snapToGrid w:val="0"/>
        <w:spacing w:before="50" w:after="50"/>
        <w:ind w:firstLine="5040" w:firstLineChars="1800"/>
        <w:rPr>
          <w:rFonts w:ascii="宋体" w:hAnsi="宋体" w:cs="宋体"/>
          <w:color w:val="000000"/>
          <w:sz w:val="32"/>
          <w:szCs w:val="32"/>
        </w:rPr>
      </w:pPr>
      <w:r>
        <w:rPr>
          <w:rFonts w:hint="eastAsia" w:ascii="宋体" w:hAnsi="宋体"/>
          <w:spacing w:val="20"/>
          <w:sz w:val="24"/>
        </w:rPr>
        <w:t>日</w:t>
      </w:r>
      <w:r>
        <w:rPr>
          <w:rFonts w:hint="eastAsia" w:ascii="宋体" w:hAnsi="宋体"/>
          <w:spacing w:val="20"/>
          <w:sz w:val="24"/>
          <w:lang w:val="en-US" w:eastAsia="zh-CN"/>
        </w:rPr>
        <w:t xml:space="preserve">  </w:t>
      </w:r>
      <w:r>
        <w:rPr>
          <w:rFonts w:hint="eastAsia" w:ascii="宋体" w:hAnsi="宋体"/>
          <w:spacing w:val="20"/>
          <w:sz w:val="24"/>
        </w:rPr>
        <w:t>期：</w:t>
      </w:r>
    </w:p>
    <w:p w14:paraId="1ED84CD0">
      <w:pPr>
        <w:pStyle w:val="208"/>
        <w:ind w:firstLine="480"/>
        <w:rPr>
          <w:rFonts w:hint="eastAsia"/>
          <w:color w:val="000000"/>
        </w:rPr>
      </w:pPr>
    </w:p>
    <w:p w14:paraId="6C69B234">
      <w:pPr>
        <w:jc w:val="center"/>
        <w:rPr>
          <w:rFonts w:hint="eastAsia" w:ascii="黑体" w:hAnsi="黑体" w:eastAsia="黑体" w:cs="黑体"/>
          <w:i/>
          <w:color w:val="000000"/>
          <w:sz w:val="32"/>
          <w:szCs w:val="32"/>
          <w:u w:val="single"/>
        </w:rPr>
      </w:pPr>
    </w:p>
    <w:p w14:paraId="3588D57E">
      <w:pPr>
        <w:jc w:val="center"/>
        <w:rPr>
          <w:rFonts w:hint="eastAsia" w:ascii="黑体" w:hAnsi="黑体" w:eastAsia="黑体" w:cs="黑体"/>
          <w:i/>
          <w:color w:val="000000"/>
          <w:sz w:val="32"/>
          <w:szCs w:val="32"/>
          <w:u w:val="single"/>
        </w:rPr>
      </w:pPr>
    </w:p>
    <w:p w14:paraId="580AF334">
      <w:pPr>
        <w:jc w:val="center"/>
        <w:rPr>
          <w:rFonts w:hint="eastAsia" w:ascii="黑体" w:hAnsi="黑体" w:eastAsia="黑体" w:cs="黑体"/>
          <w:i/>
          <w:color w:val="000000"/>
          <w:sz w:val="32"/>
          <w:szCs w:val="32"/>
          <w:u w:val="single"/>
        </w:rPr>
      </w:pPr>
    </w:p>
    <w:p w14:paraId="609A1D37">
      <w:pPr>
        <w:jc w:val="both"/>
        <w:rPr>
          <w:rFonts w:hint="eastAsia" w:ascii="黑体" w:hAnsi="黑体" w:eastAsia="黑体" w:cs="黑体"/>
          <w:i/>
          <w:color w:val="000000"/>
          <w:sz w:val="32"/>
          <w:szCs w:val="32"/>
          <w:u w:val="single"/>
        </w:rPr>
      </w:pPr>
    </w:p>
    <w:p w14:paraId="58CE7BE0">
      <w:pPr>
        <w:jc w:val="center"/>
        <w:rPr>
          <w:rFonts w:hint="eastAsia" w:ascii="黑体" w:hAnsi="黑体" w:eastAsia="黑体" w:cs="黑体"/>
          <w:i/>
          <w:color w:val="000000"/>
          <w:sz w:val="32"/>
          <w:szCs w:val="32"/>
          <w:u w:val="single"/>
        </w:rPr>
      </w:pPr>
    </w:p>
    <w:p w14:paraId="7FF04C5B">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十</w:t>
      </w:r>
      <w:r>
        <w:rPr>
          <w:rFonts w:hint="eastAsia" w:ascii="黑体" w:hAnsi="黑体" w:eastAsia="黑体" w:cs="黑体"/>
          <w:i/>
          <w:color w:val="000000"/>
          <w:sz w:val="32"/>
          <w:szCs w:val="32"/>
          <w:u w:val="single"/>
          <w:lang w:val="en-US" w:eastAsia="zh-CN"/>
        </w:rPr>
        <w:t>五</w:t>
      </w:r>
      <w:r>
        <w:rPr>
          <w:rFonts w:hint="eastAsia" w:ascii="黑体" w:hAnsi="黑体" w:eastAsia="黑体" w:cs="黑体"/>
          <w:i/>
          <w:color w:val="000000"/>
          <w:sz w:val="32"/>
          <w:szCs w:val="32"/>
          <w:u w:val="single"/>
        </w:rPr>
        <w:t>、资格性审查响应对照表</w:t>
      </w:r>
    </w:p>
    <w:tbl>
      <w:tblPr>
        <w:tblStyle w:val="4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528E9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40AE445B">
            <w:pPr>
              <w:snapToGrid w:val="0"/>
              <w:spacing w:line="240" w:lineRule="atLeast"/>
              <w:jc w:val="center"/>
              <w:rPr>
                <w:rFonts w:ascii="幼圆" w:eastAsia="幼圆"/>
                <w:b/>
              </w:rPr>
            </w:pPr>
            <w:r>
              <w:rPr>
                <w:rFonts w:hint="eastAsia" w:ascii="幼圆" w:eastAsia="幼圆"/>
                <w:b/>
              </w:rPr>
              <w:t>序号</w:t>
            </w:r>
          </w:p>
        </w:tc>
        <w:tc>
          <w:tcPr>
            <w:tcW w:w="5447" w:type="dxa"/>
            <w:vAlign w:val="center"/>
          </w:tcPr>
          <w:p w14:paraId="7881364A">
            <w:pPr>
              <w:snapToGrid w:val="0"/>
              <w:spacing w:line="240" w:lineRule="atLeast"/>
              <w:jc w:val="center"/>
              <w:rPr>
                <w:rFonts w:ascii="幼圆" w:eastAsia="幼圆"/>
                <w:b/>
              </w:rPr>
            </w:pPr>
            <w:r>
              <w:rPr>
                <w:rFonts w:hint="eastAsia" w:ascii="幼圆" w:eastAsia="幼圆"/>
                <w:b/>
              </w:rPr>
              <w:t>资格性审查响应内容</w:t>
            </w:r>
          </w:p>
        </w:tc>
        <w:tc>
          <w:tcPr>
            <w:tcW w:w="1680" w:type="dxa"/>
            <w:vAlign w:val="center"/>
          </w:tcPr>
          <w:p w14:paraId="100CAFEB">
            <w:pPr>
              <w:snapToGrid w:val="0"/>
              <w:spacing w:line="240" w:lineRule="atLeast"/>
              <w:jc w:val="center"/>
              <w:rPr>
                <w:rFonts w:ascii="幼圆" w:eastAsia="幼圆"/>
                <w:b/>
              </w:rPr>
            </w:pPr>
            <w:r>
              <w:rPr>
                <w:rFonts w:hint="eastAsia" w:ascii="幼圆" w:eastAsia="幼圆"/>
                <w:b/>
              </w:rPr>
              <w:t>是否响应</w:t>
            </w:r>
          </w:p>
          <w:p w14:paraId="51C587BD">
            <w:pPr>
              <w:snapToGrid w:val="0"/>
              <w:spacing w:line="240" w:lineRule="atLeast"/>
              <w:jc w:val="center"/>
              <w:rPr>
                <w:rFonts w:ascii="幼圆" w:eastAsia="幼圆"/>
                <w:b/>
              </w:rPr>
            </w:pPr>
            <w:r>
              <w:rPr>
                <w:rFonts w:hint="eastAsia" w:ascii="幼圆" w:eastAsia="幼圆"/>
                <w:b/>
              </w:rPr>
              <w:t>（填是或者否）</w:t>
            </w:r>
          </w:p>
        </w:tc>
        <w:tc>
          <w:tcPr>
            <w:tcW w:w="1785" w:type="dxa"/>
            <w:vAlign w:val="center"/>
          </w:tcPr>
          <w:p w14:paraId="21F52E6F">
            <w:pPr>
              <w:snapToGrid w:val="0"/>
              <w:spacing w:line="240" w:lineRule="atLeast"/>
              <w:jc w:val="center"/>
              <w:rPr>
                <w:rFonts w:ascii="幼圆" w:eastAsia="幼圆"/>
                <w:b/>
              </w:rPr>
            </w:pPr>
            <w:r>
              <w:rPr>
                <w:rFonts w:hint="eastAsia" w:ascii="幼圆" w:eastAsia="幼圆"/>
                <w:b/>
              </w:rPr>
              <w:t>投标文件中的</w:t>
            </w:r>
          </w:p>
          <w:p w14:paraId="56032AD2">
            <w:pPr>
              <w:snapToGrid w:val="0"/>
              <w:spacing w:line="240" w:lineRule="atLeast"/>
              <w:jc w:val="center"/>
              <w:rPr>
                <w:rFonts w:ascii="幼圆" w:eastAsia="幼圆"/>
                <w:b/>
              </w:rPr>
            </w:pPr>
            <w:r>
              <w:rPr>
                <w:rFonts w:hint="eastAsia" w:ascii="幼圆" w:eastAsia="幼圆"/>
                <w:b/>
              </w:rPr>
              <w:t>页码位置</w:t>
            </w:r>
          </w:p>
        </w:tc>
      </w:tr>
      <w:tr w14:paraId="14C57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42C16891">
            <w:pPr>
              <w:rPr>
                <w:rFonts w:hint="eastAsia" w:hAnsi="宋体"/>
                <w:b/>
              </w:rPr>
            </w:pPr>
            <w:r>
              <w:rPr>
                <w:rFonts w:hint="eastAsia" w:hAnsi="宋体"/>
                <w:b w:val="0"/>
                <w:bCs/>
              </w:rPr>
              <w:t>1</w:t>
            </w:r>
          </w:p>
        </w:tc>
        <w:tc>
          <w:tcPr>
            <w:tcW w:w="5447" w:type="dxa"/>
          </w:tcPr>
          <w:p w14:paraId="10D5528D">
            <w:pPr>
              <w:spacing w:line="340" w:lineRule="exact"/>
              <w:rPr>
                <w:rFonts w:hint="eastAsia" w:hAnsi="宋体"/>
                <w:iCs/>
                <w:sz w:val="24"/>
              </w:rPr>
            </w:pPr>
            <w:r>
              <w:rPr>
                <w:rFonts w:hint="eastAsia" w:ascii="宋体" w:hAnsi="宋体"/>
                <w:szCs w:val="21"/>
              </w:rPr>
              <w:t>法人或者其他组织的营业执照等证明文件</w:t>
            </w:r>
          </w:p>
        </w:tc>
        <w:tc>
          <w:tcPr>
            <w:tcW w:w="1680" w:type="dxa"/>
            <w:vAlign w:val="center"/>
          </w:tcPr>
          <w:p w14:paraId="62CCB6D3">
            <w:pPr>
              <w:rPr>
                <w:rFonts w:hint="eastAsia" w:hAnsi="宋体"/>
                <w:b/>
              </w:rPr>
            </w:pPr>
          </w:p>
        </w:tc>
        <w:tc>
          <w:tcPr>
            <w:tcW w:w="1785" w:type="dxa"/>
            <w:vAlign w:val="center"/>
          </w:tcPr>
          <w:p w14:paraId="628EA10E">
            <w:pPr>
              <w:rPr>
                <w:rFonts w:hint="eastAsia" w:hAnsi="宋体"/>
                <w:b/>
              </w:rPr>
            </w:pPr>
          </w:p>
        </w:tc>
      </w:tr>
      <w:tr w14:paraId="76333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77AE0E62">
            <w:pPr>
              <w:rPr>
                <w:rFonts w:hint="eastAsia" w:hAnsi="宋体"/>
              </w:rPr>
            </w:pPr>
            <w:r>
              <w:rPr>
                <w:rFonts w:hint="eastAsia" w:hAnsi="宋体"/>
              </w:rPr>
              <w:t>2</w:t>
            </w:r>
          </w:p>
        </w:tc>
        <w:tc>
          <w:tcPr>
            <w:tcW w:w="5447" w:type="dxa"/>
            <w:vAlign w:val="center"/>
          </w:tcPr>
          <w:p w14:paraId="6B6AC8A6">
            <w:pPr>
              <w:spacing w:line="340" w:lineRule="exact"/>
              <w:ind w:right="224" w:rightChars="80"/>
              <w:rPr>
                <w:rFonts w:hint="eastAsia" w:ascii="宋体" w:hAnsi="宋体"/>
                <w:szCs w:val="21"/>
              </w:rPr>
            </w:pPr>
            <w:r>
              <w:rPr>
                <w:rFonts w:hint="eastAsia" w:ascii="宋体" w:hAnsi="宋体"/>
                <w:szCs w:val="21"/>
              </w:rPr>
              <w:t>财务状况报告（表）</w:t>
            </w:r>
          </w:p>
        </w:tc>
        <w:tc>
          <w:tcPr>
            <w:tcW w:w="1680" w:type="dxa"/>
            <w:vAlign w:val="center"/>
          </w:tcPr>
          <w:p w14:paraId="7AA07CAA">
            <w:pPr>
              <w:rPr>
                <w:rFonts w:hint="eastAsia" w:hAnsi="宋体"/>
              </w:rPr>
            </w:pPr>
          </w:p>
        </w:tc>
        <w:tc>
          <w:tcPr>
            <w:tcW w:w="1785" w:type="dxa"/>
            <w:vAlign w:val="center"/>
          </w:tcPr>
          <w:p w14:paraId="79DB8967">
            <w:pPr>
              <w:rPr>
                <w:rFonts w:hint="eastAsia" w:hAnsi="宋体"/>
              </w:rPr>
            </w:pPr>
          </w:p>
        </w:tc>
      </w:tr>
      <w:tr w14:paraId="7FF6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264B3FF1">
            <w:pPr>
              <w:rPr>
                <w:rFonts w:hint="eastAsia" w:hAnsi="宋体"/>
              </w:rPr>
            </w:pPr>
            <w:r>
              <w:rPr>
                <w:rFonts w:hint="eastAsia" w:hAnsi="宋体"/>
              </w:rPr>
              <w:t>3</w:t>
            </w:r>
          </w:p>
        </w:tc>
        <w:tc>
          <w:tcPr>
            <w:tcW w:w="5447" w:type="dxa"/>
            <w:vAlign w:val="center"/>
          </w:tcPr>
          <w:p w14:paraId="2FE0BC92">
            <w:pPr>
              <w:spacing w:line="340" w:lineRule="exact"/>
              <w:ind w:right="224" w:rightChars="80"/>
              <w:rPr>
                <w:rFonts w:hint="eastAsia" w:ascii="宋体" w:hAnsi="宋体"/>
                <w:szCs w:val="21"/>
              </w:rPr>
            </w:pPr>
            <w:r>
              <w:rPr>
                <w:rFonts w:hint="eastAsia" w:ascii="宋体" w:hAnsi="宋体"/>
                <w:szCs w:val="21"/>
              </w:rPr>
              <w:t>依法缴纳税收的相关材料</w:t>
            </w:r>
          </w:p>
        </w:tc>
        <w:tc>
          <w:tcPr>
            <w:tcW w:w="1680" w:type="dxa"/>
            <w:vAlign w:val="center"/>
          </w:tcPr>
          <w:p w14:paraId="5BAEF378">
            <w:pPr>
              <w:rPr>
                <w:rFonts w:hint="eastAsia" w:hAnsi="宋体"/>
              </w:rPr>
            </w:pPr>
          </w:p>
        </w:tc>
        <w:tc>
          <w:tcPr>
            <w:tcW w:w="1785" w:type="dxa"/>
            <w:vAlign w:val="center"/>
          </w:tcPr>
          <w:p w14:paraId="61BF38E7">
            <w:pPr>
              <w:rPr>
                <w:rFonts w:hint="eastAsia" w:hAnsi="宋体"/>
              </w:rPr>
            </w:pPr>
          </w:p>
        </w:tc>
      </w:tr>
      <w:tr w14:paraId="6E5B8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vAlign w:val="center"/>
          </w:tcPr>
          <w:p w14:paraId="3F36017B">
            <w:pPr>
              <w:rPr>
                <w:rFonts w:hint="eastAsia" w:hAnsi="宋体"/>
              </w:rPr>
            </w:pPr>
            <w:r>
              <w:rPr>
                <w:rFonts w:hint="eastAsia" w:hAnsi="宋体"/>
              </w:rPr>
              <w:t>4</w:t>
            </w:r>
          </w:p>
        </w:tc>
        <w:tc>
          <w:tcPr>
            <w:tcW w:w="5447" w:type="dxa"/>
            <w:vAlign w:val="center"/>
          </w:tcPr>
          <w:p w14:paraId="15E38EE6">
            <w:pPr>
              <w:spacing w:line="340" w:lineRule="exact"/>
              <w:ind w:right="224" w:rightChars="80"/>
              <w:rPr>
                <w:rFonts w:hint="eastAsia" w:ascii="宋体" w:hAnsi="宋体"/>
                <w:szCs w:val="21"/>
              </w:rPr>
            </w:pPr>
            <w:r>
              <w:rPr>
                <w:rFonts w:hint="eastAsia" w:ascii="宋体" w:hAnsi="宋体"/>
                <w:szCs w:val="21"/>
              </w:rPr>
              <w:t>社会保障资金的相关材料</w:t>
            </w:r>
          </w:p>
        </w:tc>
        <w:tc>
          <w:tcPr>
            <w:tcW w:w="1680" w:type="dxa"/>
            <w:vAlign w:val="center"/>
          </w:tcPr>
          <w:p w14:paraId="55EDBE68">
            <w:pPr>
              <w:rPr>
                <w:rFonts w:hint="eastAsia" w:hAnsi="宋体"/>
              </w:rPr>
            </w:pPr>
          </w:p>
        </w:tc>
        <w:tc>
          <w:tcPr>
            <w:tcW w:w="1785" w:type="dxa"/>
            <w:vAlign w:val="center"/>
          </w:tcPr>
          <w:p w14:paraId="1CAE861B">
            <w:pPr>
              <w:rPr>
                <w:rFonts w:hint="eastAsia" w:hAnsi="宋体"/>
              </w:rPr>
            </w:pPr>
          </w:p>
        </w:tc>
      </w:tr>
      <w:tr w14:paraId="512A2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48C949A9">
            <w:pPr>
              <w:rPr>
                <w:rFonts w:hint="eastAsia" w:hAnsi="宋体"/>
              </w:rPr>
            </w:pPr>
            <w:r>
              <w:rPr>
                <w:rFonts w:hint="eastAsia" w:hAnsi="宋体"/>
              </w:rPr>
              <w:t>5</w:t>
            </w:r>
          </w:p>
        </w:tc>
        <w:tc>
          <w:tcPr>
            <w:tcW w:w="5447" w:type="dxa"/>
            <w:vAlign w:val="center"/>
          </w:tcPr>
          <w:p w14:paraId="6D1BAC63">
            <w:pPr>
              <w:spacing w:line="340" w:lineRule="exact"/>
              <w:ind w:right="224" w:rightChars="80"/>
              <w:rPr>
                <w:rFonts w:hint="eastAsia" w:ascii="宋体" w:hAnsi="宋体"/>
                <w:szCs w:val="21"/>
              </w:rPr>
            </w:pPr>
            <w:r>
              <w:rPr>
                <w:rFonts w:hint="eastAsia" w:ascii="宋体" w:hAnsi="宋体"/>
                <w:szCs w:val="21"/>
              </w:rPr>
              <w:t>具备履行合同所必需的设备和专业技术能力的书面声明</w:t>
            </w:r>
          </w:p>
        </w:tc>
        <w:tc>
          <w:tcPr>
            <w:tcW w:w="1680" w:type="dxa"/>
            <w:vAlign w:val="center"/>
          </w:tcPr>
          <w:p w14:paraId="59B1438E">
            <w:pPr>
              <w:rPr>
                <w:rFonts w:hint="eastAsia" w:hAnsi="宋体"/>
              </w:rPr>
            </w:pPr>
          </w:p>
        </w:tc>
        <w:tc>
          <w:tcPr>
            <w:tcW w:w="1785" w:type="dxa"/>
            <w:vAlign w:val="center"/>
          </w:tcPr>
          <w:p w14:paraId="00798684">
            <w:pPr>
              <w:rPr>
                <w:rFonts w:hint="eastAsia" w:hAnsi="宋体"/>
              </w:rPr>
            </w:pPr>
          </w:p>
        </w:tc>
      </w:tr>
      <w:tr w14:paraId="32026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592556E7">
            <w:pPr>
              <w:rPr>
                <w:rFonts w:hint="eastAsia" w:hAnsi="宋体"/>
              </w:rPr>
            </w:pPr>
            <w:r>
              <w:rPr>
                <w:rFonts w:hint="eastAsia" w:hAnsi="宋体"/>
              </w:rPr>
              <w:t>6</w:t>
            </w:r>
          </w:p>
        </w:tc>
        <w:tc>
          <w:tcPr>
            <w:tcW w:w="5447" w:type="dxa"/>
            <w:vAlign w:val="center"/>
          </w:tcPr>
          <w:p w14:paraId="0883AF51">
            <w:pPr>
              <w:spacing w:line="340" w:lineRule="exact"/>
              <w:ind w:right="224" w:rightChars="80"/>
              <w:rPr>
                <w:rFonts w:hint="eastAsia" w:ascii="宋体" w:hAnsi="宋体"/>
                <w:szCs w:val="21"/>
              </w:rPr>
            </w:pPr>
            <w:r>
              <w:rPr>
                <w:rFonts w:hint="eastAsia" w:ascii="宋体" w:hAnsi="宋体"/>
                <w:szCs w:val="21"/>
              </w:rPr>
              <w:t>参加政府采购活动前3年内在经营活动中没有重大违法记录的书面声明</w:t>
            </w:r>
          </w:p>
        </w:tc>
        <w:tc>
          <w:tcPr>
            <w:tcW w:w="1680" w:type="dxa"/>
            <w:vAlign w:val="center"/>
          </w:tcPr>
          <w:p w14:paraId="3EE97045">
            <w:pPr>
              <w:rPr>
                <w:rFonts w:hint="eastAsia" w:hAnsi="宋体"/>
              </w:rPr>
            </w:pPr>
          </w:p>
        </w:tc>
        <w:tc>
          <w:tcPr>
            <w:tcW w:w="1785" w:type="dxa"/>
            <w:vAlign w:val="center"/>
          </w:tcPr>
          <w:p w14:paraId="1C84E999">
            <w:pPr>
              <w:rPr>
                <w:rFonts w:hint="eastAsia" w:hAnsi="宋体"/>
              </w:rPr>
            </w:pPr>
          </w:p>
        </w:tc>
      </w:tr>
      <w:tr w14:paraId="697B7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21346659">
            <w:pPr>
              <w:rPr>
                <w:rFonts w:hint="eastAsia" w:hAnsi="宋体"/>
              </w:rPr>
            </w:pPr>
            <w:r>
              <w:rPr>
                <w:rFonts w:hint="eastAsia" w:hAnsi="宋体"/>
                <w:highlight w:val="none"/>
              </w:rPr>
              <w:t>7</w:t>
            </w:r>
          </w:p>
        </w:tc>
        <w:tc>
          <w:tcPr>
            <w:tcW w:w="5447" w:type="dxa"/>
            <w:vAlign w:val="center"/>
          </w:tcPr>
          <w:p w14:paraId="724737A6">
            <w:pPr>
              <w:spacing w:line="340" w:lineRule="exact"/>
              <w:ind w:right="224" w:rightChars="80"/>
              <w:rPr>
                <w:rFonts w:hint="eastAsia" w:ascii="宋体" w:hAnsi="宋体"/>
                <w:szCs w:val="21"/>
              </w:rPr>
            </w:pPr>
            <w:r>
              <w:rPr>
                <w:rFonts w:hint="eastAsia" w:ascii="宋体" w:hAnsi="宋体"/>
                <w:szCs w:val="21"/>
                <w:highlight w:val="none"/>
              </w:rPr>
              <w:t>中小企业声明函</w:t>
            </w:r>
          </w:p>
        </w:tc>
        <w:tc>
          <w:tcPr>
            <w:tcW w:w="1680" w:type="dxa"/>
            <w:vAlign w:val="center"/>
          </w:tcPr>
          <w:p w14:paraId="312EDAE9">
            <w:pPr>
              <w:rPr>
                <w:rFonts w:hint="eastAsia" w:hAnsi="宋体"/>
              </w:rPr>
            </w:pPr>
          </w:p>
        </w:tc>
        <w:tc>
          <w:tcPr>
            <w:tcW w:w="1785" w:type="dxa"/>
            <w:vAlign w:val="center"/>
          </w:tcPr>
          <w:p w14:paraId="6D90DD01">
            <w:pPr>
              <w:rPr>
                <w:rFonts w:hint="eastAsia" w:hAnsi="宋体"/>
              </w:rPr>
            </w:pPr>
          </w:p>
        </w:tc>
      </w:tr>
      <w:tr w14:paraId="1B5E5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3F9EFD8F">
            <w:pPr>
              <w:rPr>
                <w:rFonts w:hint="eastAsia" w:hAnsi="宋体"/>
                <w:highlight w:val="yellow"/>
              </w:rPr>
            </w:pPr>
            <w:r>
              <w:rPr>
                <w:rFonts w:hint="eastAsia" w:hAnsi="宋体"/>
                <w:highlight w:val="none"/>
              </w:rPr>
              <w:t>8</w:t>
            </w:r>
          </w:p>
        </w:tc>
        <w:tc>
          <w:tcPr>
            <w:tcW w:w="5447" w:type="dxa"/>
            <w:vAlign w:val="center"/>
          </w:tcPr>
          <w:p w14:paraId="517226D2">
            <w:pPr>
              <w:spacing w:line="340" w:lineRule="exact"/>
              <w:ind w:right="224" w:rightChars="80"/>
              <w:rPr>
                <w:rFonts w:hint="eastAsia" w:ascii="宋体" w:hAnsi="宋体"/>
                <w:szCs w:val="21"/>
              </w:rPr>
            </w:pPr>
            <w:r>
              <w:rPr>
                <w:rFonts w:hint="eastAsia" w:ascii="宋体" w:hAnsi="宋体"/>
                <w:szCs w:val="21"/>
                <w:highlight w:val="none"/>
              </w:rPr>
              <w:t>单位负责人为同一人或存在控股、管理关系的不同单位，不得同时参加本项目投标，否则相关投标均无效。</w:t>
            </w:r>
          </w:p>
        </w:tc>
        <w:tc>
          <w:tcPr>
            <w:tcW w:w="1680" w:type="dxa"/>
            <w:vAlign w:val="center"/>
          </w:tcPr>
          <w:p w14:paraId="23483842">
            <w:pPr>
              <w:rPr>
                <w:rFonts w:hint="eastAsia" w:hAnsi="宋体"/>
              </w:rPr>
            </w:pPr>
          </w:p>
        </w:tc>
        <w:tc>
          <w:tcPr>
            <w:tcW w:w="1785" w:type="dxa"/>
            <w:vAlign w:val="center"/>
          </w:tcPr>
          <w:p w14:paraId="24A2FA05">
            <w:pPr>
              <w:rPr>
                <w:rFonts w:hint="eastAsia" w:hAnsi="宋体"/>
              </w:rPr>
            </w:pPr>
          </w:p>
        </w:tc>
      </w:tr>
      <w:tr w14:paraId="5B646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1D2EE718">
            <w:pPr>
              <w:rPr>
                <w:rFonts w:hint="eastAsia" w:hAnsi="宋体"/>
                <w:highlight w:val="none"/>
              </w:rPr>
            </w:pPr>
            <w:r>
              <w:rPr>
                <w:rFonts w:hint="eastAsia" w:hAnsi="宋体"/>
                <w:highlight w:val="none"/>
              </w:rPr>
              <w:t>9</w:t>
            </w:r>
          </w:p>
        </w:tc>
        <w:tc>
          <w:tcPr>
            <w:tcW w:w="5447" w:type="dxa"/>
            <w:vAlign w:val="center"/>
          </w:tcPr>
          <w:p w14:paraId="36D3D7A9">
            <w:pPr>
              <w:spacing w:line="340" w:lineRule="exact"/>
              <w:ind w:right="224" w:rightChars="80"/>
              <w:rPr>
                <w:rFonts w:hint="eastAsia" w:ascii="宋体" w:hAnsi="宋体"/>
                <w:szCs w:val="21"/>
                <w:highlight w:val="none"/>
              </w:rPr>
            </w:pPr>
            <w:r>
              <w:rPr>
                <w:rFonts w:hint="eastAsia" w:ascii="宋体" w:hAnsi="宋体"/>
                <w:szCs w:val="21"/>
                <w:highlight w:val="none"/>
              </w:rPr>
              <w:t>参加本次采购活动前3年，投标人必须为未被列入信用中国网站、中国政府采购网渠道信用记录失信被执行人、重大税收违法案件当事人名单、政府采购严重违法失信行为记录名单。</w:t>
            </w:r>
          </w:p>
        </w:tc>
        <w:tc>
          <w:tcPr>
            <w:tcW w:w="1680" w:type="dxa"/>
            <w:vAlign w:val="center"/>
          </w:tcPr>
          <w:p w14:paraId="2898D0F7">
            <w:pPr>
              <w:rPr>
                <w:rFonts w:hint="eastAsia" w:hAnsi="宋体"/>
              </w:rPr>
            </w:pPr>
          </w:p>
        </w:tc>
        <w:tc>
          <w:tcPr>
            <w:tcW w:w="1785" w:type="dxa"/>
            <w:vAlign w:val="center"/>
          </w:tcPr>
          <w:p w14:paraId="369E6957">
            <w:pPr>
              <w:rPr>
                <w:rFonts w:hint="eastAsia" w:hAnsi="宋体"/>
              </w:rPr>
            </w:pPr>
          </w:p>
        </w:tc>
      </w:tr>
      <w:tr w14:paraId="24556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169EEBC8">
            <w:pPr>
              <w:rPr>
                <w:rFonts w:hint="default" w:hAnsi="宋体" w:eastAsia="宋体"/>
                <w:highlight w:val="none"/>
                <w:lang w:val="en-US" w:eastAsia="zh-CN"/>
              </w:rPr>
            </w:pPr>
            <w:r>
              <w:rPr>
                <w:rFonts w:hint="eastAsia" w:hAnsi="宋体"/>
                <w:highlight w:val="none"/>
                <w:lang w:val="en-US" w:eastAsia="zh-CN"/>
              </w:rPr>
              <w:t>10</w:t>
            </w:r>
          </w:p>
        </w:tc>
        <w:tc>
          <w:tcPr>
            <w:tcW w:w="5447" w:type="dxa"/>
            <w:vAlign w:val="center"/>
          </w:tcPr>
          <w:p w14:paraId="6165A79C">
            <w:pPr>
              <w:spacing w:line="340" w:lineRule="exact"/>
              <w:ind w:right="224" w:rightChars="80"/>
              <w:rPr>
                <w:rFonts w:hint="default" w:ascii="宋体" w:hAnsi="宋体" w:eastAsia="宋体"/>
                <w:szCs w:val="21"/>
                <w:highlight w:val="none"/>
                <w:lang w:val="en-US" w:eastAsia="zh-CN"/>
              </w:rPr>
            </w:pPr>
            <w:r>
              <w:rPr>
                <w:rFonts w:hint="eastAsia" w:ascii="宋体" w:hAnsi="宋体"/>
                <w:szCs w:val="21"/>
                <w:highlight w:val="none"/>
                <w:lang w:val="en-US" w:eastAsia="zh-CN"/>
              </w:rPr>
              <w:t>中小企业声明函</w:t>
            </w:r>
          </w:p>
        </w:tc>
        <w:tc>
          <w:tcPr>
            <w:tcW w:w="1680" w:type="dxa"/>
            <w:vAlign w:val="center"/>
          </w:tcPr>
          <w:p w14:paraId="7E948D65">
            <w:pPr>
              <w:rPr>
                <w:rFonts w:hint="eastAsia" w:hAnsi="宋体"/>
              </w:rPr>
            </w:pPr>
          </w:p>
        </w:tc>
        <w:tc>
          <w:tcPr>
            <w:tcW w:w="1785" w:type="dxa"/>
            <w:vAlign w:val="center"/>
          </w:tcPr>
          <w:p w14:paraId="3F48516D">
            <w:pPr>
              <w:rPr>
                <w:rFonts w:hint="eastAsia" w:hAnsi="宋体"/>
              </w:rPr>
            </w:pPr>
          </w:p>
        </w:tc>
      </w:tr>
    </w:tbl>
    <w:p w14:paraId="18D27760">
      <w:pPr>
        <w:autoSpaceDE w:val="0"/>
        <w:autoSpaceDN w:val="0"/>
        <w:ind w:firstLine="210"/>
        <w:rPr>
          <w:rFonts w:cs="宋体"/>
          <w:szCs w:val="28"/>
          <w:lang w:val="zh-CN"/>
        </w:rPr>
      </w:pPr>
    </w:p>
    <w:p w14:paraId="24A81209">
      <w:pPr>
        <w:autoSpaceDE w:val="0"/>
        <w:autoSpaceDN w:val="0"/>
        <w:ind w:firstLine="210"/>
        <w:rPr>
          <w:rFonts w:cs="宋体"/>
          <w:szCs w:val="28"/>
          <w:lang w:val="zh-CN"/>
        </w:rPr>
      </w:pPr>
      <w:r>
        <w:rPr>
          <w:rFonts w:hint="eastAsia" w:cs="宋体"/>
          <w:color w:val="FF0000"/>
          <w:szCs w:val="28"/>
          <w:lang w:val="zh-CN"/>
        </w:rPr>
        <w:t>注：本表须明确填写并按招标文件要求提供材料，否则资格性检查无法通过。</w:t>
      </w:r>
    </w:p>
    <w:p w14:paraId="5EC8BA1C">
      <w:pPr>
        <w:autoSpaceDE w:val="0"/>
        <w:autoSpaceDN w:val="0"/>
        <w:spacing w:line="360" w:lineRule="auto"/>
        <w:ind w:firstLine="4060" w:firstLineChars="1450"/>
        <w:rPr>
          <w:rFonts w:hint="eastAsia" w:hAnsi="宋体"/>
          <w:bCs/>
          <w:szCs w:val="28"/>
        </w:rPr>
      </w:pPr>
    </w:p>
    <w:p w14:paraId="5598B204">
      <w:pPr>
        <w:autoSpaceDE w:val="0"/>
        <w:autoSpaceDN w:val="0"/>
        <w:spacing w:line="360" w:lineRule="auto"/>
        <w:ind w:firstLine="4060" w:firstLineChars="1450"/>
        <w:rPr>
          <w:rFonts w:hint="eastAsia" w:hAnsi="宋体"/>
          <w:bCs/>
          <w:szCs w:val="28"/>
        </w:rPr>
      </w:pPr>
      <w:r>
        <w:rPr>
          <w:rFonts w:hint="eastAsia" w:hAnsi="宋体"/>
          <w:bCs/>
          <w:szCs w:val="28"/>
        </w:rPr>
        <w:t>投标人</w:t>
      </w:r>
      <w:r>
        <w:rPr>
          <w:rFonts w:hint="eastAsia" w:ascii="宋体" w:hAnsi="宋体"/>
          <w:color w:val="000000"/>
          <w:sz w:val="24"/>
        </w:rPr>
        <w:t>（加盖CA电子签章）</w:t>
      </w:r>
      <w:r>
        <w:rPr>
          <w:rFonts w:hint="eastAsia" w:hAnsi="宋体"/>
          <w:bCs/>
          <w:szCs w:val="28"/>
        </w:rPr>
        <w:t>：</w:t>
      </w:r>
    </w:p>
    <w:p w14:paraId="62504FC7">
      <w:pPr>
        <w:autoSpaceDE w:val="0"/>
        <w:autoSpaceDN w:val="0"/>
        <w:spacing w:line="360" w:lineRule="auto"/>
        <w:ind w:firstLine="4060" w:firstLineChars="1450"/>
      </w:pPr>
      <w:r>
        <w:rPr>
          <w:rFonts w:hint="eastAsia" w:hAnsi="宋体"/>
          <w:bCs/>
          <w:szCs w:val="28"/>
        </w:rPr>
        <w:t>日期：   年  月   日</w:t>
      </w:r>
    </w:p>
    <w:p w14:paraId="3E116B1F">
      <w:pPr>
        <w:snapToGrid w:val="0"/>
        <w:spacing w:before="50" w:after="50"/>
        <w:rPr>
          <w:rFonts w:hint="eastAsia" w:hAnsi="宋体"/>
          <w:b/>
          <w:bCs/>
          <w:sz w:val="32"/>
          <w:szCs w:val="32"/>
        </w:rPr>
      </w:pPr>
    </w:p>
    <w:p w14:paraId="6ED51024">
      <w:pPr>
        <w:pStyle w:val="49"/>
        <w:rPr>
          <w:rFonts w:hint="eastAsia" w:hAnsi="宋体"/>
          <w:b/>
          <w:bCs/>
          <w:sz w:val="32"/>
          <w:szCs w:val="32"/>
        </w:rPr>
      </w:pPr>
    </w:p>
    <w:p w14:paraId="1A646D58">
      <w:pPr>
        <w:pStyle w:val="49"/>
        <w:rPr>
          <w:rFonts w:hint="eastAsia" w:hAnsi="宋体"/>
          <w:b/>
          <w:bCs/>
          <w:sz w:val="32"/>
          <w:szCs w:val="32"/>
        </w:rPr>
      </w:pPr>
    </w:p>
    <w:p w14:paraId="78B4ABF1">
      <w:pPr>
        <w:pStyle w:val="49"/>
        <w:rPr>
          <w:rFonts w:hint="eastAsia" w:hAnsi="宋体"/>
          <w:b/>
          <w:bCs/>
          <w:sz w:val="32"/>
          <w:szCs w:val="32"/>
        </w:rPr>
      </w:pPr>
    </w:p>
    <w:p w14:paraId="391FD4A0">
      <w:pPr>
        <w:pStyle w:val="49"/>
        <w:rPr>
          <w:rFonts w:hint="eastAsia" w:hAnsi="宋体"/>
          <w:b/>
          <w:bCs/>
          <w:sz w:val="32"/>
          <w:szCs w:val="32"/>
        </w:rPr>
      </w:pPr>
    </w:p>
    <w:p w14:paraId="5E747899">
      <w:pPr>
        <w:pStyle w:val="49"/>
        <w:rPr>
          <w:rFonts w:hint="eastAsia" w:hAnsi="宋体"/>
          <w:b/>
          <w:bCs/>
          <w:sz w:val="32"/>
          <w:szCs w:val="32"/>
        </w:rPr>
      </w:pPr>
    </w:p>
    <w:p w14:paraId="7994EE75">
      <w:pPr>
        <w:pStyle w:val="49"/>
        <w:rPr>
          <w:rFonts w:hint="eastAsia" w:hAnsi="宋体"/>
          <w:b/>
          <w:bCs/>
          <w:sz w:val="32"/>
          <w:szCs w:val="32"/>
        </w:rPr>
      </w:pPr>
    </w:p>
    <w:p w14:paraId="01D16388">
      <w:pPr>
        <w:pStyle w:val="49"/>
        <w:rPr>
          <w:rFonts w:hint="eastAsia" w:hAnsi="宋体"/>
          <w:b/>
          <w:bCs/>
          <w:sz w:val="32"/>
          <w:szCs w:val="32"/>
        </w:rPr>
      </w:pPr>
    </w:p>
    <w:p w14:paraId="3D475855">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十</w:t>
      </w:r>
      <w:r>
        <w:rPr>
          <w:rFonts w:hint="eastAsia" w:ascii="黑体" w:hAnsi="黑体" w:eastAsia="黑体" w:cs="黑体"/>
          <w:i/>
          <w:color w:val="000000"/>
          <w:sz w:val="32"/>
          <w:szCs w:val="32"/>
          <w:u w:val="single"/>
          <w:lang w:val="en-US" w:eastAsia="zh-CN"/>
        </w:rPr>
        <w:t>六</w:t>
      </w:r>
      <w:r>
        <w:rPr>
          <w:rFonts w:hint="eastAsia" w:ascii="黑体" w:hAnsi="黑体" w:eastAsia="黑体" w:cs="黑体"/>
          <w:i/>
          <w:color w:val="000000"/>
          <w:sz w:val="32"/>
          <w:szCs w:val="32"/>
          <w:u w:val="single"/>
        </w:rPr>
        <w:t>、符合性检查响应对照表</w:t>
      </w:r>
    </w:p>
    <w:tbl>
      <w:tblPr>
        <w:tblStyle w:val="4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0A1DE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75148713">
            <w:pPr>
              <w:snapToGrid w:val="0"/>
              <w:spacing w:line="240" w:lineRule="atLeast"/>
              <w:jc w:val="center"/>
              <w:rPr>
                <w:rFonts w:ascii="幼圆" w:eastAsia="幼圆"/>
                <w:b/>
              </w:rPr>
            </w:pPr>
            <w:r>
              <w:rPr>
                <w:rFonts w:hint="eastAsia" w:ascii="幼圆" w:eastAsia="幼圆"/>
                <w:b/>
              </w:rPr>
              <w:t>序号</w:t>
            </w:r>
          </w:p>
        </w:tc>
        <w:tc>
          <w:tcPr>
            <w:tcW w:w="5447" w:type="dxa"/>
            <w:vAlign w:val="center"/>
          </w:tcPr>
          <w:p w14:paraId="2F8EC7B5">
            <w:pPr>
              <w:snapToGrid w:val="0"/>
              <w:spacing w:line="240" w:lineRule="atLeast"/>
              <w:jc w:val="center"/>
              <w:rPr>
                <w:rFonts w:ascii="幼圆" w:eastAsia="幼圆"/>
                <w:b/>
              </w:rPr>
            </w:pPr>
            <w:r>
              <w:rPr>
                <w:rFonts w:hint="eastAsia" w:ascii="幼圆" w:eastAsia="幼圆"/>
                <w:b/>
              </w:rPr>
              <w:t>符合性检查响应内容</w:t>
            </w:r>
          </w:p>
        </w:tc>
        <w:tc>
          <w:tcPr>
            <w:tcW w:w="1680" w:type="dxa"/>
            <w:vAlign w:val="center"/>
          </w:tcPr>
          <w:p w14:paraId="1390427F">
            <w:pPr>
              <w:snapToGrid w:val="0"/>
              <w:spacing w:line="240" w:lineRule="atLeast"/>
              <w:jc w:val="center"/>
              <w:rPr>
                <w:rFonts w:ascii="幼圆" w:eastAsia="幼圆"/>
                <w:b/>
              </w:rPr>
            </w:pPr>
            <w:r>
              <w:rPr>
                <w:rFonts w:hint="eastAsia" w:ascii="幼圆" w:eastAsia="幼圆"/>
                <w:b/>
              </w:rPr>
              <w:t>是否响应</w:t>
            </w:r>
          </w:p>
          <w:p w14:paraId="2053D084">
            <w:pPr>
              <w:snapToGrid w:val="0"/>
              <w:spacing w:line="240" w:lineRule="atLeast"/>
              <w:jc w:val="center"/>
              <w:rPr>
                <w:rFonts w:ascii="幼圆" w:eastAsia="幼圆"/>
                <w:b/>
              </w:rPr>
            </w:pPr>
            <w:r>
              <w:rPr>
                <w:rFonts w:hint="eastAsia" w:ascii="幼圆" w:eastAsia="幼圆"/>
                <w:b/>
              </w:rPr>
              <w:t>（填是或者否）</w:t>
            </w:r>
          </w:p>
        </w:tc>
        <w:tc>
          <w:tcPr>
            <w:tcW w:w="1785" w:type="dxa"/>
            <w:vAlign w:val="center"/>
          </w:tcPr>
          <w:p w14:paraId="4A730B47">
            <w:pPr>
              <w:snapToGrid w:val="0"/>
              <w:spacing w:line="240" w:lineRule="atLeast"/>
              <w:jc w:val="center"/>
              <w:rPr>
                <w:rFonts w:ascii="幼圆" w:eastAsia="幼圆"/>
                <w:b/>
              </w:rPr>
            </w:pPr>
            <w:r>
              <w:rPr>
                <w:rFonts w:hint="eastAsia" w:ascii="幼圆" w:eastAsia="幼圆"/>
                <w:b/>
              </w:rPr>
              <w:t>投标文件中的</w:t>
            </w:r>
          </w:p>
          <w:p w14:paraId="3A848CE4">
            <w:pPr>
              <w:snapToGrid w:val="0"/>
              <w:spacing w:line="240" w:lineRule="atLeast"/>
              <w:jc w:val="center"/>
              <w:rPr>
                <w:rFonts w:ascii="幼圆" w:eastAsia="幼圆"/>
                <w:b/>
              </w:rPr>
            </w:pPr>
            <w:r>
              <w:rPr>
                <w:rFonts w:hint="eastAsia" w:ascii="幼圆" w:eastAsia="幼圆"/>
                <w:b/>
              </w:rPr>
              <w:t>页码位置</w:t>
            </w:r>
          </w:p>
        </w:tc>
      </w:tr>
      <w:tr w14:paraId="6E8AE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6C8DF902">
            <w:pPr>
              <w:rPr>
                <w:rFonts w:hint="eastAsia" w:hAnsi="宋体"/>
                <w:iCs/>
                <w:sz w:val="24"/>
              </w:rPr>
            </w:pPr>
            <w:r>
              <w:rPr>
                <w:rFonts w:hint="eastAsia" w:hAnsi="宋体"/>
                <w:iCs/>
                <w:sz w:val="24"/>
              </w:rPr>
              <w:t>1</w:t>
            </w:r>
          </w:p>
        </w:tc>
        <w:tc>
          <w:tcPr>
            <w:tcW w:w="5447" w:type="dxa"/>
            <w:vAlign w:val="center"/>
          </w:tcPr>
          <w:p w14:paraId="1D96A070">
            <w:pPr>
              <w:rPr>
                <w:rFonts w:hint="default" w:hAnsi="宋体" w:eastAsia="宋体"/>
                <w:iCs/>
                <w:sz w:val="24"/>
                <w:lang w:val="en-US" w:eastAsia="zh-CN"/>
              </w:rPr>
            </w:pPr>
            <w:r>
              <w:rPr>
                <w:rFonts w:hint="eastAsia" w:hAnsi="宋体"/>
                <w:iCs/>
                <w:sz w:val="24"/>
                <w:lang w:val="en-US" w:eastAsia="zh-CN"/>
              </w:rPr>
              <w:t>合同履行期限</w:t>
            </w:r>
          </w:p>
        </w:tc>
        <w:tc>
          <w:tcPr>
            <w:tcW w:w="1680" w:type="dxa"/>
            <w:vAlign w:val="center"/>
          </w:tcPr>
          <w:p w14:paraId="3695B2F1">
            <w:pPr>
              <w:rPr>
                <w:rFonts w:hint="eastAsia" w:hAnsi="宋体"/>
              </w:rPr>
            </w:pPr>
          </w:p>
        </w:tc>
        <w:tc>
          <w:tcPr>
            <w:tcW w:w="1785" w:type="dxa"/>
            <w:vAlign w:val="center"/>
          </w:tcPr>
          <w:p w14:paraId="27FEA19E">
            <w:pPr>
              <w:rPr>
                <w:rFonts w:hint="eastAsia" w:hAnsi="宋体"/>
              </w:rPr>
            </w:pPr>
          </w:p>
        </w:tc>
      </w:tr>
      <w:tr w14:paraId="71044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6257560F">
            <w:pPr>
              <w:rPr>
                <w:rFonts w:hint="eastAsia" w:hAnsi="宋体"/>
                <w:iCs/>
                <w:sz w:val="24"/>
              </w:rPr>
            </w:pPr>
            <w:r>
              <w:rPr>
                <w:rFonts w:hint="eastAsia" w:hAnsi="宋体"/>
                <w:iCs/>
                <w:sz w:val="24"/>
              </w:rPr>
              <w:t>2</w:t>
            </w:r>
          </w:p>
        </w:tc>
        <w:tc>
          <w:tcPr>
            <w:tcW w:w="5447" w:type="dxa"/>
            <w:vAlign w:val="center"/>
          </w:tcPr>
          <w:p w14:paraId="4B8D7329">
            <w:pPr>
              <w:rPr>
                <w:rFonts w:hint="eastAsia" w:hAnsi="宋体"/>
                <w:iCs/>
                <w:sz w:val="24"/>
              </w:rPr>
            </w:pPr>
            <w:r>
              <w:rPr>
                <w:rFonts w:hint="eastAsia" w:hAnsi="宋体"/>
                <w:iCs/>
                <w:sz w:val="24"/>
              </w:rPr>
              <w:t>其他实质性响应内容</w:t>
            </w:r>
          </w:p>
        </w:tc>
        <w:tc>
          <w:tcPr>
            <w:tcW w:w="1680" w:type="dxa"/>
            <w:vAlign w:val="center"/>
          </w:tcPr>
          <w:p w14:paraId="0C87D373">
            <w:pPr>
              <w:rPr>
                <w:rFonts w:hint="eastAsia" w:hAnsi="宋体"/>
                <w:iCs/>
                <w:sz w:val="24"/>
              </w:rPr>
            </w:pPr>
          </w:p>
        </w:tc>
        <w:tc>
          <w:tcPr>
            <w:tcW w:w="1785" w:type="dxa"/>
            <w:vAlign w:val="center"/>
          </w:tcPr>
          <w:p w14:paraId="51C7974D">
            <w:pPr>
              <w:rPr>
                <w:rFonts w:hint="eastAsia" w:hAnsi="宋体"/>
                <w:iCs/>
                <w:sz w:val="24"/>
              </w:rPr>
            </w:pPr>
          </w:p>
        </w:tc>
      </w:tr>
      <w:tr w14:paraId="6C9F1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46" w:type="dxa"/>
            <w:vAlign w:val="center"/>
          </w:tcPr>
          <w:p w14:paraId="4CD04D61">
            <w:pPr>
              <w:rPr>
                <w:rFonts w:hint="eastAsia" w:hAnsi="宋体"/>
              </w:rPr>
            </w:pPr>
          </w:p>
        </w:tc>
        <w:tc>
          <w:tcPr>
            <w:tcW w:w="5447" w:type="dxa"/>
            <w:vAlign w:val="center"/>
          </w:tcPr>
          <w:p w14:paraId="6E3555C8">
            <w:pPr>
              <w:rPr>
                <w:rFonts w:hint="eastAsia" w:hAnsi="宋体"/>
                <w:iCs/>
                <w:sz w:val="24"/>
              </w:rPr>
            </w:pPr>
          </w:p>
        </w:tc>
        <w:tc>
          <w:tcPr>
            <w:tcW w:w="1680" w:type="dxa"/>
            <w:vAlign w:val="center"/>
          </w:tcPr>
          <w:p w14:paraId="0F28C7CE">
            <w:pPr>
              <w:rPr>
                <w:rFonts w:hint="eastAsia" w:hAnsi="宋体"/>
              </w:rPr>
            </w:pPr>
          </w:p>
        </w:tc>
        <w:tc>
          <w:tcPr>
            <w:tcW w:w="1785" w:type="dxa"/>
            <w:vAlign w:val="center"/>
          </w:tcPr>
          <w:p w14:paraId="2A85DDEA">
            <w:pPr>
              <w:rPr>
                <w:rFonts w:hint="eastAsia" w:hAnsi="宋体"/>
              </w:rPr>
            </w:pPr>
          </w:p>
        </w:tc>
      </w:tr>
      <w:tr w14:paraId="2D390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646" w:type="dxa"/>
            <w:vAlign w:val="center"/>
          </w:tcPr>
          <w:p w14:paraId="2E36AFD0">
            <w:pPr>
              <w:rPr>
                <w:rFonts w:hint="eastAsia" w:hAnsi="宋体"/>
              </w:rPr>
            </w:pPr>
          </w:p>
        </w:tc>
        <w:tc>
          <w:tcPr>
            <w:tcW w:w="5447" w:type="dxa"/>
            <w:vAlign w:val="center"/>
          </w:tcPr>
          <w:p w14:paraId="03038FDD">
            <w:pPr>
              <w:snapToGrid w:val="0"/>
              <w:spacing w:line="590" w:lineRule="atLeast"/>
              <w:rPr>
                <w:rFonts w:hint="eastAsia" w:hAnsi="宋体"/>
                <w:iCs/>
                <w:sz w:val="24"/>
              </w:rPr>
            </w:pPr>
          </w:p>
        </w:tc>
        <w:tc>
          <w:tcPr>
            <w:tcW w:w="1680" w:type="dxa"/>
            <w:vAlign w:val="center"/>
          </w:tcPr>
          <w:p w14:paraId="3AB2C7D5">
            <w:pPr>
              <w:rPr>
                <w:rFonts w:hint="eastAsia" w:hAnsi="宋体"/>
              </w:rPr>
            </w:pPr>
          </w:p>
        </w:tc>
        <w:tc>
          <w:tcPr>
            <w:tcW w:w="1785" w:type="dxa"/>
            <w:vAlign w:val="center"/>
          </w:tcPr>
          <w:p w14:paraId="77A91935">
            <w:pPr>
              <w:rPr>
                <w:rFonts w:hint="eastAsia" w:hAnsi="宋体"/>
              </w:rPr>
            </w:pPr>
          </w:p>
        </w:tc>
      </w:tr>
      <w:tr w14:paraId="52518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46" w:type="dxa"/>
            <w:vAlign w:val="center"/>
          </w:tcPr>
          <w:p w14:paraId="00C7BC19">
            <w:pPr>
              <w:rPr>
                <w:rFonts w:hint="eastAsia" w:hAnsi="宋体"/>
              </w:rPr>
            </w:pPr>
          </w:p>
        </w:tc>
        <w:tc>
          <w:tcPr>
            <w:tcW w:w="5447" w:type="dxa"/>
            <w:vAlign w:val="center"/>
          </w:tcPr>
          <w:p w14:paraId="0987C155">
            <w:pPr>
              <w:snapToGrid w:val="0"/>
              <w:spacing w:line="590" w:lineRule="atLeast"/>
              <w:rPr>
                <w:rFonts w:hint="eastAsia" w:hAnsi="宋体"/>
                <w:iCs/>
                <w:sz w:val="24"/>
              </w:rPr>
            </w:pPr>
          </w:p>
        </w:tc>
        <w:tc>
          <w:tcPr>
            <w:tcW w:w="1680" w:type="dxa"/>
            <w:vAlign w:val="center"/>
          </w:tcPr>
          <w:p w14:paraId="3810A0D7">
            <w:pPr>
              <w:rPr>
                <w:rFonts w:hint="eastAsia" w:hAnsi="宋体"/>
              </w:rPr>
            </w:pPr>
          </w:p>
        </w:tc>
        <w:tc>
          <w:tcPr>
            <w:tcW w:w="1785" w:type="dxa"/>
            <w:vAlign w:val="center"/>
          </w:tcPr>
          <w:p w14:paraId="70F7179B">
            <w:pPr>
              <w:rPr>
                <w:rFonts w:hint="eastAsia" w:hAnsi="宋体"/>
              </w:rPr>
            </w:pPr>
          </w:p>
        </w:tc>
      </w:tr>
      <w:tr w14:paraId="34149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1BA89961">
            <w:pPr>
              <w:rPr>
                <w:rFonts w:hint="eastAsia" w:hAnsi="宋体"/>
              </w:rPr>
            </w:pPr>
          </w:p>
        </w:tc>
        <w:tc>
          <w:tcPr>
            <w:tcW w:w="5447" w:type="dxa"/>
            <w:vAlign w:val="center"/>
          </w:tcPr>
          <w:p w14:paraId="2E10F11C">
            <w:pPr>
              <w:snapToGrid w:val="0"/>
              <w:spacing w:line="590" w:lineRule="atLeast"/>
              <w:rPr>
                <w:rFonts w:hint="eastAsia" w:hAnsi="宋体"/>
                <w:iCs/>
                <w:sz w:val="24"/>
              </w:rPr>
            </w:pPr>
          </w:p>
        </w:tc>
        <w:tc>
          <w:tcPr>
            <w:tcW w:w="1680" w:type="dxa"/>
            <w:vAlign w:val="center"/>
          </w:tcPr>
          <w:p w14:paraId="5AFE94F7">
            <w:pPr>
              <w:rPr>
                <w:rFonts w:hint="eastAsia" w:hAnsi="宋体"/>
              </w:rPr>
            </w:pPr>
          </w:p>
        </w:tc>
        <w:tc>
          <w:tcPr>
            <w:tcW w:w="1785" w:type="dxa"/>
            <w:vAlign w:val="center"/>
          </w:tcPr>
          <w:p w14:paraId="73A5A0BE">
            <w:pPr>
              <w:rPr>
                <w:rFonts w:hint="eastAsia" w:hAnsi="宋体"/>
              </w:rPr>
            </w:pPr>
          </w:p>
        </w:tc>
      </w:tr>
    </w:tbl>
    <w:p w14:paraId="1410A5CA">
      <w:pPr>
        <w:autoSpaceDE w:val="0"/>
        <w:autoSpaceDN w:val="0"/>
        <w:ind w:firstLine="210"/>
        <w:rPr>
          <w:rFonts w:cs="宋体"/>
          <w:szCs w:val="28"/>
          <w:lang w:val="zh-CN"/>
        </w:rPr>
      </w:pPr>
    </w:p>
    <w:p w14:paraId="5DB4E117">
      <w:pPr>
        <w:autoSpaceDE w:val="0"/>
        <w:autoSpaceDN w:val="0"/>
        <w:ind w:firstLine="210"/>
        <w:rPr>
          <w:rFonts w:cs="宋体"/>
          <w:color w:val="FF0000"/>
          <w:szCs w:val="28"/>
          <w:lang w:val="zh-CN"/>
        </w:rPr>
      </w:pPr>
      <w:r>
        <w:rPr>
          <w:rFonts w:hint="eastAsia" w:cs="宋体"/>
          <w:color w:val="FF0000"/>
          <w:szCs w:val="28"/>
          <w:lang w:val="zh-CN"/>
        </w:rPr>
        <w:t>注：本表须明确填写并按招标文件要求提供材料，否则符合性检查无法通过。</w:t>
      </w:r>
    </w:p>
    <w:p w14:paraId="7F2C1DB9">
      <w:pPr>
        <w:autoSpaceDE w:val="0"/>
        <w:autoSpaceDN w:val="0"/>
        <w:ind w:firstLine="210"/>
        <w:rPr>
          <w:rFonts w:cs="宋体"/>
          <w:szCs w:val="28"/>
          <w:lang w:val="zh-CN"/>
        </w:rPr>
      </w:pPr>
    </w:p>
    <w:p w14:paraId="5A7D3166">
      <w:pPr>
        <w:autoSpaceDE w:val="0"/>
        <w:autoSpaceDN w:val="0"/>
        <w:ind w:firstLine="210"/>
        <w:rPr>
          <w:rFonts w:cs="宋体"/>
          <w:szCs w:val="28"/>
          <w:lang w:val="zh-CN"/>
        </w:rPr>
      </w:pPr>
    </w:p>
    <w:p w14:paraId="0FDD052D">
      <w:pPr>
        <w:autoSpaceDE w:val="0"/>
        <w:autoSpaceDN w:val="0"/>
        <w:spacing w:line="360" w:lineRule="auto"/>
        <w:ind w:firstLine="4060" w:firstLineChars="1450"/>
        <w:rPr>
          <w:rFonts w:hint="eastAsia" w:hAnsi="宋体"/>
          <w:bCs/>
          <w:szCs w:val="28"/>
        </w:rPr>
      </w:pPr>
      <w:r>
        <w:rPr>
          <w:rFonts w:hint="eastAsia" w:hAnsi="宋体"/>
          <w:bCs/>
          <w:szCs w:val="28"/>
        </w:rPr>
        <w:t>投标人</w:t>
      </w:r>
      <w:r>
        <w:rPr>
          <w:rFonts w:hint="eastAsia" w:ascii="宋体" w:hAnsi="宋体"/>
          <w:color w:val="000000"/>
          <w:sz w:val="24"/>
        </w:rPr>
        <w:t>（加盖CA电子签章）</w:t>
      </w:r>
      <w:r>
        <w:rPr>
          <w:rFonts w:hint="eastAsia" w:hAnsi="宋体"/>
          <w:bCs/>
          <w:szCs w:val="28"/>
        </w:rPr>
        <w:t>：</w:t>
      </w:r>
    </w:p>
    <w:p w14:paraId="2D1C5123">
      <w:pPr>
        <w:autoSpaceDE w:val="0"/>
        <w:autoSpaceDN w:val="0"/>
        <w:spacing w:line="360" w:lineRule="auto"/>
        <w:ind w:firstLine="4060" w:firstLineChars="1450"/>
        <w:rPr>
          <w:rFonts w:hint="eastAsia" w:hAnsi="宋体"/>
          <w:bCs/>
          <w:szCs w:val="28"/>
        </w:rPr>
      </w:pPr>
      <w:r>
        <w:rPr>
          <w:rFonts w:hint="eastAsia" w:hAnsi="宋体"/>
          <w:bCs/>
          <w:szCs w:val="28"/>
        </w:rPr>
        <w:t>日期：   年  月   日</w:t>
      </w:r>
    </w:p>
    <w:p w14:paraId="326171A0">
      <w:pPr>
        <w:ind w:left="560" w:leftChars="200"/>
        <w:jc w:val="center"/>
        <w:outlineLvl w:val="1"/>
        <w:rPr>
          <w:rFonts w:hint="eastAsia" w:ascii="宋体" w:hAnsi="宋体"/>
          <w:b/>
          <w:sz w:val="32"/>
          <w:szCs w:val="32"/>
        </w:rPr>
      </w:pPr>
    </w:p>
    <w:p w14:paraId="5F50CCA8">
      <w:pPr>
        <w:pStyle w:val="2"/>
        <w:rPr>
          <w:rFonts w:hint="eastAsia" w:hAnsi="宋体"/>
          <w:b w:val="0"/>
          <w:bCs w:val="0"/>
          <w:sz w:val="32"/>
          <w:szCs w:val="32"/>
        </w:rPr>
      </w:pPr>
    </w:p>
    <w:p w14:paraId="41AACF4A">
      <w:pPr>
        <w:ind w:firstLine="480"/>
        <w:jc w:val="center"/>
        <w:rPr>
          <w:color w:val="000000"/>
        </w:rPr>
      </w:pPr>
      <w:r>
        <w:rPr>
          <w:color w:val="000000"/>
        </w:rPr>
        <w:t> </w:t>
      </w:r>
    </w:p>
    <w:p w14:paraId="50DF2705">
      <w:pPr>
        <w:pStyle w:val="208"/>
        <w:ind w:firstLine="480"/>
        <w:rPr>
          <w:rFonts w:hint="eastAsia"/>
          <w:color w:val="000000"/>
        </w:rPr>
      </w:pPr>
      <w:r>
        <w:rPr>
          <w:color w:val="000000"/>
        </w:rPr>
        <w:t> </w:t>
      </w:r>
    </w:p>
    <w:p w14:paraId="1BE8BC31">
      <w:pPr>
        <w:pStyle w:val="208"/>
        <w:ind w:firstLine="480"/>
        <w:rPr>
          <w:color w:val="000000"/>
        </w:rPr>
      </w:pPr>
      <w:r>
        <w:rPr>
          <w:color w:val="000000"/>
        </w:rPr>
        <w:t> </w:t>
      </w:r>
    </w:p>
    <w:p w14:paraId="30096D95">
      <w:pPr>
        <w:pStyle w:val="208"/>
        <w:ind w:firstLine="480"/>
        <w:rPr>
          <w:color w:val="000000"/>
        </w:rPr>
      </w:pPr>
    </w:p>
    <w:p w14:paraId="75A918E2">
      <w:pPr>
        <w:pStyle w:val="208"/>
        <w:ind w:firstLine="480"/>
        <w:rPr>
          <w:color w:val="000000"/>
        </w:rPr>
      </w:pPr>
    </w:p>
    <w:p w14:paraId="66D0DEDD">
      <w:pPr>
        <w:pStyle w:val="208"/>
        <w:ind w:firstLine="480"/>
        <w:rPr>
          <w:rFonts w:hint="eastAsia"/>
          <w:color w:val="000000"/>
        </w:rPr>
      </w:pPr>
    </w:p>
    <w:p w14:paraId="4A886151">
      <w:pPr>
        <w:pStyle w:val="208"/>
        <w:ind w:firstLine="480"/>
        <w:rPr>
          <w:rFonts w:hint="eastAsia"/>
          <w:color w:val="000000"/>
        </w:rPr>
      </w:pPr>
      <w:r>
        <w:rPr>
          <w:color w:val="000000"/>
        </w:rPr>
        <w:t> </w:t>
      </w:r>
    </w:p>
    <w:p w14:paraId="6D0A3F22">
      <w:pPr>
        <w:ind w:firstLine="3200" w:firstLineChars="1000"/>
        <w:rPr>
          <w:rFonts w:hint="eastAsia" w:eastAsia="黑体"/>
          <w:color w:val="000000"/>
          <w:lang w:eastAsia="zh-CN"/>
        </w:rPr>
      </w:pPr>
      <w:r>
        <w:rPr>
          <w:rFonts w:hint="eastAsia" w:ascii="黑体" w:hAnsi="黑体" w:eastAsia="黑体" w:cs="黑体"/>
          <w:i/>
          <w:color w:val="000000"/>
          <w:sz w:val="32"/>
          <w:szCs w:val="32"/>
          <w:u w:val="single"/>
        </w:rPr>
        <w:t>十</w:t>
      </w:r>
      <w:r>
        <w:rPr>
          <w:rFonts w:hint="eastAsia" w:ascii="黑体" w:hAnsi="黑体" w:eastAsia="黑体" w:cs="黑体"/>
          <w:i/>
          <w:color w:val="000000"/>
          <w:sz w:val="32"/>
          <w:szCs w:val="32"/>
          <w:u w:val="single"/>
          <w:lang w:val="en-US" w:eastAsia="zh-CN"/>
        </w:rPr>
        <w:t>七</w:t>
      </w:r>
      <w:r>
        <w:rPr>
          <w:rFonts w:hint="eastAsia" w:ascii="黑体" w:hAnsi="黑体" w:eastAsia="黑体" w:cs="黑体"/>
          <w:i/>
          <w:color w:val="000000"/>
          <w:sz w:val="32"/>
          <w:szCs w:val="32"/>
          <w:u w:val="single"/>
        </w:rPr>
        <w:t>、开标一览表</w:t>
      </w:r>
    </w:p>
    <w:p w14:paraId="3D24EBF8">
      <w:pPr>
        <w:pStyle w:val="208"/>
        <w:spacing w:line="280" w:lineRule="exact"/>
        <w:ind w:firstLine="480"/>
        <w:rPr>
          <w:rFonts w:hint="eastAsia"/>
          <w:color w:val="000000"/>
        </w:rPr>
      </w:pPr>
      <w:r>
        <w:rPr>
          <w:rFonts w:hint="eastAsia"/>
          <w:color w:val="000000"/>
        </w:rPr>
        <w:t>供应商全称（加盖CA电子签章）：</w:t>
      </w:r>
    </w:p>
    <w:p w14:paraId="4C7D633B">
      <w:pPr>
        <w:pStyle w:val="208"/>
        <w:spacing w:line="280" w:lineRule="exact"/>
        <w:ind w:firstLine="480"/>
        <w:rPr>
          <w:rFonts w:hint="eastAsia" w:eastAsia="宋体"/>
          <w:color w:val="000000"/>
          <w:lang w:eastAsia="zh-CN"/>
        </w:rPr>
      </w:pPr>
      <w:r>
        <w:rPr>
          <w:rFonts w:hint="eastAsia"/>
          <w:color w:val="000000"/>
        </w:rPr>
        <w:t>项目名称：</w:t>
      </w:r>
      <w:r>
        <w:rPr>
          <w:rFonts w:hint="eastAsia"/>
          <w:color w:val="000000"/>
          <w:lang w:eastAsia="zh-CN"/>
        </w:rPr>
        <w:t>滨海县镇区（街道）空气质量监测网络运维服务项目</w:t>
      </w:r>
    </w:p>
    <w:p w14:paraId="0154BBFC">
      <w:pPr>
        <w:pStyle w:val="208"/>
        <w:spacing w:line="280" w:lineRule="exact"/>
        <w:ind w:firstLine="480"/>
        <w:rPr>
          <w:rFonts w:hint="eastAsia"/>
          <w:color w:val="000000"/>
        </w:rPr>
      </w:pPr>
      <w:r>
        <w:rPr>
          <w:rFonts w:hint="eastAsia"/>
          <w:color w:val="000000"/>
        </w:rPr>
        <w:t>招标编号：</w:t>
      </w:r>
      <w:r>
        <w:rPr>
          <w:rFonts w:hint="eastAsia"/>
          <w:color w:val="000000"/>
          <w:lang w:eastAsia="zh-CN"/>
        </w:rPr>
        <w:t>JSZC-320922-ZAIX-G2026-0009</w:t>
      </w:r>
      <w:r>
        <w:rPr>
          <w:rFonts w:hint="eastAsia"/>
          <w:color w:val="000000"/>
        </w:rPr>
        <w:t>        </w:t>
      </w:r>
    </w:p>
    <w:tbl>
      <w:tblPr>
        <w:tblStyle w:val="40"/>
        <w:tblW w:w="9563" w:type="dxa"/>
        <w:tblCellSpacing w:w="0" w:type="dxa"/>
        <w:tblInd w:w="216" w:type="dxa"/>
        <w:tblLayout w:type="fixed"/>
        <w:tblCellMar>
          <w:top w:w="0" w:type="dxa"/>
          <w:left w:w="108" w:type="dxa"/>
          <w:bottom w:w="0" w:type="dxa"/>
          <w:right w:w="108" w:type="dxa"/>
        </w:tblCellMar>
      </w:tblPr>
      <w:tblGrid>
        <w:gridCol w:w="9563"/>
      </w:tblGrid>
      <w:tr w14:paraId="16192315">
        <w:tblPrEx>
          <w:tblCellMar>
            <w:top w:w="0" w:type="dxa"/>
            <w:left w:w="108" w:type="dxa"/>
            <w:bottom w:w="0" w:type="dxa"/>
            <w:right w:w="108" w:type="dxa"/>
          </w:tblCellMar>
        </w:tblPrEx>
        <w:trPr>
          <w:trHeight w:val="1073" w:hRule="atLeast"/>
          <w:tblCellSpacing w:w="0" w:type="dxa"/>
        </w:trPr>
        <w:tc>
          <w:tcPr>
            <w:tcW w:w="9563" w:type="dxa"/>
            <w:tcBorders>
              <w:top w:val="single" w:color="000000" w:sz="4" w:space="0"/>
              <w:left w:val="single" w:color="000000" w:sz="4" w:space="0"/>
              <w:bottom w:val="single" w:color="000000" w:sz="4" w:space="0"/>
              <w:right w:val="single" w:color="000000" w:sz="4" w:space="0"/>
            </w:tcBorders>
            <w:vAlign w:val="center"/>
          </w:tcPr>
          <w:p w14:paraId="2ABC5517">
            <w:pPr>
              <w:pStyle w:val="208"/>
              <w:ind w:firstLine="480" w:firstLineChars="200"/>
              <w:rPr>
                <w:rFonts w:hint="default" w:eastAsia="宋体"/>
                <w:color w:val="000000"/>
                <w:lang w:val="en-US" w:eastAsia="zh-CN"/>
              </w:rPr>
            </w:pPr>
            <w:r>
              <w:rPr>
                <w:rFonts w:hint="eastAsia"/>
                <w:color w:val="000000"/>
              </w:rPr>
              <w:t>投标报价：</w:t>
            </w:r>
            <w:r>
              <w:rPr>
                <w:rFonts w:hint="eastAsia"/>
                <w:sz w:val="28"/>
                <w:szCs w:val="28"/>
                <w:u w:val="single"/>
              </w:rPr>
              <w:t xml:space="preserve">       </w:t>
            </w:r>
            <w:r>
              <w:rPr>
                <w:rFonts w:hint="eastAsia"/>
                <w:sz w:val="28"/>
                <w:szCs w:val="28"/>
                <w:u w:val="single"/>
                <w:lang w:val="en-US" w:eastAsia="zh-CN"/>
              </w:rPr>
              <w:t xml:space="preserve">    </w:t>
            </w:r>
            <w:r>
              <w:rPr>
                <w:rFonts w:hint="eastAsia"/>
                <w:color w:val="000000"/>
                <w:lang w:val="en-US" w:eastAsia="zh-CN"/>
              </w:rPr>
              <w:t>万元</w:t>
            </w:r>
          </w:p>
        </w:tc>
      </w:tr>
    </w:tbl>
    <w:p w14:paraId="6A2A6061">
      <w:pPr>
        <w:pStyle w:val="208"/>
        <w:rPr>
          <w:rFonts w:hint="eastAsia"/>
          <w:color w:val="000000"/>
        </w:rPr>
      </w:pPr>
    </w:p>
    <w:p w14:paraId="76C066E4">
      <w:pPr>
        <w:pStyle w:val="208"/>
        <w:ind w:firstLine="480"/>
        <w:jc w:val="right"/>
        <w:rPr>
          <w:rFonts w:hint="eastAsia"/>
          <w:color w:val="000000"/>
        </w:rPr>
      </w:pPr>
      <w:r>
        <w:rPr>
          <w:rFonts w:hint="eastAsia"/>
          <w:color w:val="000000"/>
        </w:rPr>
        <w:t>                                         日期：</w:t>
      </w:r>
      <w:r>
        <w:rPr>
          <w:rFonts w:hint="eastAsia"/>
          <w:color w:val="000000"/>
          <w:u w:val="single"/>
        </w:rPr>
        <w:t xml:space="preserve">    </w:t>
      </w:r>
      <w:r>
        <w:rPr>
          <w:rFonts w:hint="eastAsia"/>
          <w:color w:val="000000"/>
        </w:rPr>
        <w:t>年</w:t>
      </w:r>
      <w:r>
        <w:rPr>
          <w:rFonts w:hint="eastAsia"/>
          <w:color w:val="000000"/>
          <w:u w:val="single"/>
        </w:rPr>
        <w:t xml:space="preserve">   </w:t>
      </w:r>
      <w:r>
        <w:rPr>
          <w:rFonts w:hint="eastAsia"/>
          <w:color w:val="000000"/>
        </w:rPr>
        <w:t>月</w:t>
      </w:r>
      <w:r>
        <w:rPr>
          <w:rFonts w:hint="eastAsia"/>
          <w:color w:val="000000"/>
          <w:u w:val="single"/>
        </w:rPr>
        <w:t xml:space="preserve">   </w:t>
      </w:r>
      <w:r>
        <w:rPr>
          <w:rFonts w:hint="eastAsia"/>
          <w:color w:val="000000"/>
        </w:rPr>
        <w:t>日</w:t>
      </w:r>
    </w:p>
    <w:p w14:paraId="4E382A1F">
      <w:pPr>
        <w:pStyle w:val="208"/>
        <w:ind w:firstLine="480"/>
        <w:rPr>
          <w:rFonts w:hint="eastAsia"/>
          <w:color w:val="000000"/>
        </w:rPr>
      </w:pPr>
      <w:r>
        <w:rPr>
          <w:rFonts w:hint="eastAsia"/>
          <w:color w:val="000000"/>
        </w:rPr>
        <w:t> </w:t>
      </w:r>
    </w:p>
    <w:p w14:paraId="5BB4B350">
      <w:pPr>
        <w:ind w:firstLine="440"/>
        <w:rPr>
          <w:color w:val="000000"/>
        </w:rPr>
      </w:pPr>
    </w:p>
    <w:p w14:paraId="3E4FEBEA">
      <w:pPr>
        <w:ind w:firstLine="440"/>
        <w:rPr>
          <w:color w:val="000000"/>
        </w:rPr>
      </w:pPr>
    </w:p>
    <w:p w14:paraId="1B1A4069">
      <w:pPr>
        <w:ind w:firstLine="440"/>
        <w:rPr>
          <w:color w:val="000000"/>
        </w:rPr>
      </w:pPr>
    </w:p>
    <w:p w14:paraId="5925ABCC">
      <w:pPr>
        <w:ind w:firstLine="440"/>
        <w:rPr>
          <w:color w:val="000000"/>
        </w:rPr>
      </w:pPr>
    </w:p>
    <w:p w14:paraId="153C9F08">
      <w:pPr>
        <w:ind w:firstLine="440"/>
        <w:rPr>
          <w:color w:val="000000"/>
        </w:rPr>
      </w:pPr>
    </w:p>
    <w:p w14:paraId="51ADBB4A">
      <w:pPr>
        <w:ind w:firstLine="440"/>
        <w:rPr>
          <w:color w:val="000000"/>
        </w:rPr>
      </w:pPr>
    </w:p>
    <w:p w14:paraId="10F6E75E">
      <w:pPr>
        <w:ind w:firstLine="440"/>
        <w:rPr>
          <w:color w:val="000000"/>
        </w:rPr>
      </w:pPr>
    </w:p>
    <w:p w14:paraId="6B16C0AF">
      <w:pPr>
        <w:ind w:firstLine="440"/>
        <w:rPr>
          <w:color w:val="000000"/>
        </w:rPr>
      </w:pPr>
    </w:p>
    <w:p w14:paraId="62EAFAF9">
      <w:pPr>
        <w:ind w:firstLine="440"/>
        <w:rPr>
          <w:color w:val="000000"/>
        </w:rPr>
      </w:pPr>
    </w:p>
    <w:p w14:paraId="6BAB16F8">
      <w:pPr>
        <w:ind w:firstLine="440"/>
        <w:rPr>
          <w:color w:val="000000"/>
        </w:rPr>
      </w:pPr>
    </w:p>
    <w:p w14:paraId="1D9D133E">
      <w:pPr>
        <w:ind w:firstLine="440"/>
        <w:rPr>
          <w:color w:val="000000"/>
        </w:rPr>
      </w:pPr>
    </w:p>
    <w:p w14:paraId="2DF801C6">
      <w:pPr>
        <w:ind w:firstLine="440"/>
        <w:rPr>
          <w:color w:val="000000"/>
        </w:rPr>
      </w:pPr>
    </w:p>
    <w:p w14:paraId="1E68D103">
      <w:pPr>
        <w:ind w:firstLine="440"/>
        <w:rPr>
          <w:color w:val="000000"/>
        </w:rPr>
      </w:pPr>
    </w:p>
    <w:p w14:paraId="03DD557C">
      <w:pPr>
        <w:pStyle w:val="39"/>
      </w:pPr>
    </w:p>
    <w:p w14:paraId="36272FE4">
      <w:pPr>
        <w:ind w:firstLine="440"/>
        <w:rPr>
          <w:color w:val="000000"/>
        </w:rPr>
      </w:pPr>
    </w:p>
    <w:p w14:paraId="18650277">
      <w:pPr>
        <w:ind w:firstLine="440"/>
        <w:rPr>
          <w:color w:val="000000"/>
        </w:rPr>
      </w:pPr>
    </w:p>
    <w:p w14:paraId="761C5164">
      <w:pPr>
        <w:ind w:firstLine="440"/>
        <w:rPr>
          <w:color w:val="000000"/>
        </w:rPr>
      </w:pPr>
    </w:p>
    <w:p w14:paraId="090E07B5">
      <w:pPr>
        <w:pStyle w:val="39"/>
        <w:ind w:firstLine="640"/>
        <w:rPr>
          <w:color w:val="000000"/>
        </w:rPr>
      </w:pPr>
    </w:p>
    <w:p w14:paraId="204ADB4D"/>
    <w:p w14:paraId="376B5214">
      <w:pPr>
        <w:ind w:firstLine="440"/>
        <w:rPr>
          <w:color w:val="000000"/>
        </w:rPr>
      </w:pPr>
    </w:p>
    <w:p w14:paraId="050F4F93">
      <w:pPr>
        <w:rPr>
          <w:color w:val="000000"/>
        </w:rPr>
      </w:pPr>
    </w:p>
    <w:p w14:paraId="474FE0F1">
      <w:pPr>
        <w:rPr>
          <w:color w:val="000000"/>
          <w:sz w:val="24"/>
          <w:szCs w:val="24"/>
          <w:highlight w:val="yellow"/>
        </w:rPr>
      </w:pPr>
    </w:p>
    <w:p w14:paraId="5995310D">
      <w:pPr>
        <w:ind w:firstLine="2240" w:firstLineChars="700"/>
        <w:rPr>
          <w:rFonts w:hint="eastAsia" w:ascii="黑体" w:hAnsi="黑体" w:eastAsia="黑体" w:cs="黑体"/>
          <w:i/>
          <w:color w:val="000000"/>
          <w:sz w:val="32"/>
          <w:szCs w:val="32"/>
          <w:u w:val="single"/>
        </w:rPr>
      </w:pPr>
      <w:bookmarkStart w:id="106" w:name="_Hlt26955054"/>
      <w:bookmarkEnd w:id="106"/>
      <w:r>
        <w:rPr>
          <w:rFonts w:hint="eastAsia" w:ascii="黑体" w:hAnsi="黑体" w:eastAsia="黑体" w:cs="黑体"/>
          <w:i/>
          <w:color w:val="000000"/>
          <w:sz w:val="32"/>
          <w:szCs w:val="32"/>
          <w:u w:val="single"/>
        </w:rPr>
        <w:t>十</w:t>
      </w:r>
      <w:r>
        <w:rPr>
          <w:rFonts w:hint="eastAsia" w:ascii="黑体" w:hAnsi="黑体" w:eastAsia="黑体" w:cs="黑体"/>
          <w:i/>
          <w:color w:val="000000"/>
          <w:sz w:val="32"/>
          <w:szCs w:val="32"/>
          <w:u w:val="single"/>
          <w:lang w:val="en-US" w:eastAsia="zh-CN"/>
        </w:rPr>
        <w:t>八</w:t>
      </w:r>
      <w:r>
        <w:rPr>
          <w:rFonts w:hint="eastAsia" w:ascii="黑体" w:hAnsi="黑体" w:eastAsia="黑体" w:cs="黑体"/>
          <w:i/>
          <w:color w:val="000000"/>
          <w:sz w:val="32"/>
          <w:szCs w:val="32"/>
          <w:u w:val="single"/>
        </w:rPr>
        <w:t>、盐城市政府采购事前信用承诺书</w:t>
      </w:r>
    </w:p>
    <w:p w14:paraId="4B87AF11">
      <w:pPr>
        <w:widowControl/>
        <w:spacing w:line="500" w:lineRule="exact"/>
        <w:ind w:firstLine="480" w:firstLineChars="200"/>
        <w:jc w:val="left"/>
        <w:rPr>
          <w:rFonts w:hint="eastAsia" w:ascii="宋体" w:hAnsi="宋体"/>
          <w:color w:val="000000"/>
          <w:sz w:val="24"/>
        </w:rPr>
      </w:pPr>
      <w:r>
        <w:rPr>
          <w:rFonts w:hint="eastAsia" w:ascii="宋体" w:hAnsi="宋体"/>
          <w:color w:val="000000"/>
          <w:sz w:val="24"/>
        </w:rPr>
        <w:t>为营造我市公开、公平、公正、诚实守信的政府采购交易环境，树立诚信守法的供应商形象，本人代表本单位作出以下承诺：</w:t>
      </w:r>
    </w:p>
    <w:p w14:paraId="2F53F5DF">
      <w:pPr>
        <w:widowControl/>
        <w:spacing w:line="500" w:lineRule="exact"/>
        <w:jc w:val="left"/>
        <w:rPr>
          <w:rFonts w:hint="eastAsia" w:ascii="宋体" w:hAnsi="宋体"/>
          <w:color w:val="000000"/>
          <w:sz w:val="24"/>
        </w:rPr>
      </w:pPr>
      <w:r>
        <w:rPr>
          <w:rFonts w:hint="eastAsia" w:ascii="宋体" w:hAnsi="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430C258F">
      <w:pPr>
        <w:widowControl/>
        <w:spacing w:line="500" w:lineRule="exact"/>
        <w:ind w:firstLine="480" w:firstLineChars="200"/>
        <w:jc w:val="left"/>
        <w:rPr>
          <w:rFonts w:hint="eastAsia" w:ascii="宋体" w:hAnsi="宋体"/>
          <w:color w:val="000000"/>
          <w:sz w:val="24"/>
        </w:rPr>
      </w:pPr>
      <w:r>
        <w:rPr>
          <w:rFonts w:hint="eastAsia" w:ascii="宋体" w:hAnsi="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409A59B">
      <w:pPr>
        <w:widowControl/>
        <w:spacing w:line="500" w:lineRule="exact"/>
        <w:jc w:val="left"/>
        <w:rPr>
          <w:rFonts w:hint="eastAsia" w:ascii="宋体" w:hAnsi="宋体"/>
          <w:color w:val="000000"/>
          <w:sz w:val="24"/>
        </w:rPr>
      </w:pPr>
      <w:r>
        <w:rPr>
          <w:rFonts w:hint="eastAsia" w:ascii="宋体" w:hAnsi="宋体"/>
          <w:color w:val="000000"/>
          <w:sz w:val="24"/>
        </w:rPr>
        <w:t xml:space="preserve">   （三）严格依照国家和省、市关于政府采购的法律、法规、规章、规范性文件，参加政府采购投标活动；积极履行社会责任，促进廉政建设； </w:t>
      </w:r>
    </w:p>
    <w:p w14:paraId="4123102A">
      <w:pPr>
        <w:widowControl/>
        <w:spacing w:line="500" w:lineRule="exact"/>
        <w:jc w:val="left"/>
        <w:rPr>
          <w:rFonts w:hint="eastAsia" w:ascii="宋体" w:hAnsi="宋体"/>
          <w:color w:val="000000"/>
          <w:sz w:val="24"/>
        </w:rPr>
      </w:pPr>
      <w:r>
        <w:rPr>
          <w:rFonts w:hint="eastAsia" w:ascii="宋体" w:hAnsi="宋体"/>
          <w:color w:val="000000"/>
          <w:sz w:val="24"/>
        </w:rPr>
        <w:t>   （四）严格遵守即时信息公示规定，及时维护和更新盐城市政府采购网中与本单位相关的信息；</w:t>
      </w:r>
    </w:p>
    <w:p w14:paraId="792FE176">
      <w:pPr>
        <w:widowControl/>
        <w:spacing w:line="500" w:lineRule="exact"/>
        <w:jc w:val="left"/>
        <w:rPr>
          <w:rFonts w:hint="eastAsia" w:ascii="宋体" w:hAnsi="宋体"/>
          <w:color w:val="000000"/>
          <w:sz w:val="24"/>
        </w:rPr>
      </w:pPr>
      <w:r>
        <w:rPr>
          <w:rFonts w:hint="eastAsia" w:ascii="宋体" w:hAnsi="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CE973A3">
      <w:pPr>
        <w:widowControl/>
        <w:spacing w:line="500" w:lineRule="exact"/>
        <w:jc w:val="left"/>
        <w:rPr>
          <w:rFonts w:hint="eastAsia" w:ascii="宋体" w:hAnsi="宋体"/>
          <w:color w:val="000000"/>
          <w:sz w:val="24"/>
        </w:rPr>
      </w:pPr>
      <w:r>
        <w:rPr>
          <w:rFonts w:hint="eastAsia" w:ascii="宋体" w:hAnsi="宋体"/>
          <w:color w:val="000000"/>
          <w:sz w:val="24"/>
        </w:rPr>
        <w:t>   （六）自觉接受政府、行业组织、社会公众、新闻舆论的监督；</w:t>
      </w:r>
    </w:p>
    <w:p w14:paraId="63061326">
      <w:pPr>
        <w:widowControl/>
        <w:spacing w:line="500" w:lineRule="exact"/>
        <w:ind w:firstLine="480" w:firstLineChars="200"/>
        <w:jc w:val="left"/>
        <w:rPr>
          <w:rFonts w:hint="eastAsia" w:ascii="宋体" w:hAnsi="宋体"/>
          <w:color w:val="000000"/>
          <w:sz w:val="24"/>
        </w:rPr>
      </w:pPr>
      <w:r>
        <w:rPr>
          <w:rFonts w:hint="eastAsia" w:ascii="宋体" w:hAnsi="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B1977F6">
      <w:pPr>
        <w:widowControl/>
        <w:spacing w:line="500" w:lineRule="exact"/>
        <w:jc w:val="left"/>
        <w:rPr>
          <w:rFonts w:hint="eastAsia" w:ascii="宋体" w:hAnsi="宋体"/>
          <w:color w:val="000000"/>
          <w:sz w:val="24"/>
        </w:rPr>
      </w:pPr>
      <w:r>
        <w:rPr>
          <w:rFonts w:hint="eastAsia" w:ascii="宋体" w:hAnsi="宋体"/>
          <w:color w:val="000000"/>
          <w:sz w:val="24"/>
        </w:rPr>
        <w:t>   （八）本人已认真阅读了上述承诺，并向本单位员工作了宣传教育。</w:t>
      </w:r>
    </w:p>
    <w:p w14:paraId="1B1C0C6F">
      <w:pPr>
        <w:widowControl/>
        <w:spacing w:line="500" w:lineRule="exact"/>
        <w:jc w:val="left"/>
        <w:rPr>
          <w:rFonts w:hint="eastAsia" w:ascii="宋体" w:hAnsi="宋体"/>
          <w:color w:val="000000"/>
          <w:sz w:val="24"/>
        </w:rPr>
      </w:pPr>
    </w:p>
    <w:p w14:paraId="1E15BFBD">
      <w:pPr>
        <w:widowControl/>
        <w:spacing w:line="500" w:lineRule="exact"/>
        <w:jc w:val="center"/>
        <w:rPr>
          <w:rFonts w:hint="eastAsia" w:ascii="宋体" w:hAnsi="宋体"/>
          <w:color w:val="000000"/>
          <w:sz w:val="24"/>
        </w:rPr>
      </w:pPr>
      <w:r>
        <w:rPr>
          <w:rFonts w:hint="eastAsia" w:ascii="宋体" w:hAnsi="宋体"/>
          <w:color w:val="000000"/>
          <w:sz w:val="24"/>
        </w:rPr>
        <w:t xml:space="preserve">                 法定代表人签名：</w:t>
      </w:r>
    </w:p>
    <w:p w14:paraId="43697F17">
      <w:pPr>
        <w:widowControl/>
        <w:spacing w:line="500" w:lineRule="exact"/>
        <w:jc w:val="center"/>
        <w:rPr>
          <w:rFonts w:hint="eastAsia" w:ascii="宋体" w:hAnsi="宋体"/>
          <w:color w:val="000000"/>
          <w:sz w:val="24"/>
        </w:rPr>
      </w:pPr>
      <w:r>
        <w:rPr>
          <w:rFonts w:hint="eastAsia" w:ascii="宋体" w:hAnsi="宋体"/>
          <w:color w:val="000000"/>
          <w:sz w:val="24"/>
        </w:rPr>
        <w:t xml:space="preserve">                   单位名称（盖章）：</w:t>
      </w:r>
    </w:p>
    <w:p w14:paraId="413D6F7F">
      <w:pPr>
        <w:widowControl/>
        <w:spacing w:line="500" w:lineRule="exact"/>
        <w:jc w:val="center"/>
        <w:rPr>
          <w:rFonts w:hint="eastAsia" w:ascii="宋体" w:hAnsi="宋体"/>
          <w:color w:val="000000"/>
          <w:sz w:val="24"/>
        </w:rPr>
      </w:pPr>
      <w:r>
        <w:rPr>
          <w:rFonts w:hint="eastAsia" w:ascii="宋体" w:hAnsi="宋体"/>
          <w:color w:val="000000"/>
          <w:sz w:val="24"/>
        </w:rPr>
        <w:t xml:space="preserve">                      年    月    日</w:t>
      </w:r>
    </w:p>
    <w:p w14:paraId="6CEB2251">
      <w:pPr>
        <w:pStyle w:val="205"/>
        <w:wordWrap w:val="0"/>
        <w:ind w:firstLine="480"/>
        <w:jc w:val="left"/>
        <w:rPr>
          <w:rFonts w:hint="eastAsia" w:ascii="宋体" w:hAnsi="宋体"/>
          <w:sz w:val="24"/>
          <w:szCs w:val="21"/>
        </w:rPr>
      </w:pPr>
    </w:p>
    <w:p w14:paraId="13906CB3">
      <w:pPr>
        <w:pStyle w:val="205"/>
        <w:wordWrap w:val="0"/>
        <w:ind w:firstLine="480"/>
        <w:jc w:val="left"/>
        <w:rPr>
          <w:rFonts w:hint="eastAsia" w:ascii="宋体" w:hAnsi="宋体"/>
          <w:sz w:val="24"/>
          <w:szCs w:val="21"/>
        </w:rPr>
      </w:pPr>
      <w:r>
        <w:rPr>
          <w:rFonts w:hint="eastAsia" w:ascii="宋体" w:hAnsi="宋体"/>
          <w:sz w:val="24"/>
          <w:szCs w:val="21"/>
        </w:rPr>
        <w:t>（此材料须签名盖章后放进投标文件中）</w:t>
      </w:r>
    </w:p>
    <w:p w14:paraId="376EB4F2">
      <w:pPr>
        <w:pStyle w:val="4"/>
        <w:ind w:firstLine="3520" w:firstLineChars="1100"/>
        <w:rPr>
          <w:rFonts w:hint="eastAsia"/>
          <w:color w:val="000000"/>
        </w:rPr>
      </w:pPr>
      <w:r>
        <w:rPr>
          <w:rFonts w:hint="eastAsia" w:ascii="黑体" w:cs="黑体"/>
          <w:i/>
          <w:color w:val="000000"/>
          <w:sz w:val="32"/>
          <w:szCs w:val="32"/>
          <w:u w:val="single"/>
        </w:rPr>
        <w:t>十</w:t>
      </w:r>
      <w:r>
        <w:rPr>
          <w:rFonts w:hint="eastAsia" w:ascii="黑体" w:cs="黑体"/>
          <w:i/>
          <w:color w:val="000000"/>
          <w:sz w:val="32"/>
          <w:szCs w:val="32"/>
          <w:u w:val="single"/>
          <w:lang w:val="en-US" w:eastAsia="zh-CN"/>
        </w:rPr>
        <w:t>九</w:t>
      </w:r>
      <w:r>
        <w:rPr>
          <w:rFonts w:hint="eastAsia" w:ascii="黑体" w:cs="黑体"/>
          <w:i/>
          <w:color w:val="000000"/>
          <w:sz w:val="32"/>
          <w:szCs w:val="32"/>
          <w:u w:val="single"/>
        </w:rPr>
        <w:t>、其他材料（如有）</w:t>
      </w:r>
    </w:p>
    <w:p w14:paraId="2D207458">
      <w:pPr>
        <w:pStyle w:val="5"/>
        <w:rPr>
          <w:color w:val="000000"/>
        </w:rPr>
      </w:pPr>
    </w:p>
    <w:p w14:paraId="511C11EF">
      <w:pPr>
        <w:pStyle w:val="5"/>
        <w:rPr>
          <w:color w:val="000000"/>
        </w:rPr>
      </w:pPr>
    </w:p>
    <w:p w14:paraId="3CE8DFFB">
      <w:pPr>
        <w:pStyle w:val="5"/>
        <w:rPr>
          <w:color w:val="000000"/>
        </w:rPr>
      </w:pPr>
    </w:p>
    <w:p w14:paraId="4CE57813">
      <w:pPr>
        <w:pStyle w:val="5"/>
        <w:rPr>
          <w:color w:val="000000"/>
        </w:rPr>
      </w:pPr>
    </w:p>
    <w:p w14:paraId="1A3C4D37">
      <w:pPr>
        <w:pStyle w:val="5"/>
        <w:rPr>
          <w:color w:val="000000"/>
        </w:rPr>
      </w:pPr>
    </w:p>
    <w:p w14:paraId="166B086E">
      <w:pPr>
        <w:pStyle w:val="5"/>
        <w:rPr>
          <w:color w:val="000000"/>
        </w:rPr>
      </w:pPr>
    </w:p>
    <w:p w14:paraId="232F2873">
      <w:pPr>
        <w:pStyle w:val="5"/>
        <w:rPr>
          <w:color w:val="000000"/>
        </w:rPr>
      </w:pPr>
    </w:p>
    <w:p w14:paraId="632F7800">
      <w:pPr>
        <w:pStyle w:val="5"/>
        <w:rPr>
          <w:color w:val="000000"/>
        </w:rPr>
      </w:pPr>
    </w:p>
    <w:p w14:paraId="2F1B88FE">
      <w:pPr>
        <w:pStyle w:val="5"/>
        <w:rPr>
          <w:color w:val="000000"/>
        </w:rPr>
      </w:pPr>
    </w:p>
    <w:p w14:paraId="4E634ED1">
      <w:pPr>
        <w:pStyle w:val="5"/>
        <w:rPr>
          <w:color w:val="000000"/>
        </w:rPr>
      </w:pPr>
    </w:p>
    <w:p w14:paraId="52D379E6">
      <w:pPr>
        <w:pStyle w:val="5"/>
        <w:rPr>
          <w:color w:val="000000"/>
        </w:rPr>
      </w:pPr>
    </w:p>
    <w:p w14:paraId="15F83B75">
      <w:pPr>
        <w:pStyle w:val="5"/>
        <w:rPr>
          <w:color w:val="000000"/>
        </w:rPr>
      </w:pPr>
    </w:p>
    <w:p w14:paraId="6F0DB53E">
      <w:pPr>
        <w:pStyle w:val="5"/>
        <w:rPr>
          <w:color w:val="000000"/>
        </w:rPr>
      </w:pPr>
    </w:p>
    <w:p w14:paraId="7BEEFF22">
      <w:pPr>
        <w:pStyle w:val="5"/>
        <w:rPr>
          <w:color w:val="000000"/>
        </w:rPr>
      </w:pPr>
    </w:p>
    <w:p w14:paraId="1ABEC60C">
      <w:pPr>
        <w:pStyle w:val="5"/>
        <w:rPr>
          <w:color w:val="000000"/>
        </w:rPr>
      </w:pPr>
    </w:p>
    <w:p w14:paraId="23C0763B">
      <w:pPr>
        <w:pStyle w:val="5"/>
        <w:rPr>
          <w:color w:val="000000"/>
        </w:rPr>
      </w:pPr>
    </w:p>
    <w:p w14:paraId="29846DEE">
      <w:pPr>
        <w:pStyle w:val="5"/>
        <w:rPr>
          <w:color w:val="000000"/>
        </w:rPr>
      </w:pPr>
    </w:p>
    <w:p w14:paraId="587A1BA6">
      <w:pPr>
        <w:pStyle w:val="5"/>
        <w:rPr>
          <w:color w:val="000000"/>
        </w:rPr>
      </w:pPr>
    </w:p>
    <w:p w14:paraId="5F83A77D">
      <w:pPr>
        <w:pStyle w:val="5"/>
        <w:rPr>
          <w:color w:val="000000"/>
        </w:rPr>
      </w:pPr>
    </w:p>
    <w:p w14:paraId="58BD4DBC">
      <w:pPr>
        <w:pStyle w:val="5"/>
        <w:rPr>
          <w:color w:val="000000"/>
        </w:rPr>
      </w:pPr>
    </w:p>
    <w:p w14:paraId="715C11A4">
      <w:pPr>
        <w:pStyle w:val="5"/>
        <w:rPr>
          <w:color w:val="000000"/>
        </w:rPr>
      </w:pPr>
    </w:p>
    <w:p w14:paraId="741DB371">
      <w:pPr>
        <w:pStyle w:val="5"/>
        <w:rPr>
          <w:color w:val="000000"/>
        </w:rPr>
      </w:pPr>
    </w:p>
    <w:p w14:paraId="3279E16D">
      <w:pPr>
        <w:pStyle w:val="5"/>
        <w:rPr>
          <w:color w:val="000000"/>
        </w:rPr>
      </w:pPr>
    </w:p>
    <w:p w14:paraId="08C9D151">
      <w:pPr>
        <w:pStyle w:val="5"/>
        <w:rPr>
          <w:color w:val="000000"/>
        </w:rPr>
      </w:pPr>
    </w:p>
    <w:p w14:paraId="416FC52D">
      <w:pPr>
        <w:pStyle w:val="5"/>
        <w:rPr>
          <w:color w:val="000000"/>
        </w:rPr>
      </w:pPr>
    </w:p>
    <w:p w14:paraId="77EC2463">
      <w:pPr>
        <w:pStyle w:val="5"/>
        <w:rPr>
          <w:color w:val="000000"/>
        </w:rPr>
      </w:pPr>
    </w:p>
    <w:p w14:paraId="393CF063">
      <w:pPr>
        <w:pStyle w:val="5"/>
        <w:rPr>
          <w:color w:val="000000"/>
        </w:rPr>
      </w:pPr>
    </w:p>
    <w:p w14:paraId="71DEDAB5">
      <w:pPr>
        <w:pStyle w:val="5"/>
        <w:rPr>
          <w:color w:val="000000"/>
        </w:rPr>
      </w:pPr>
    </w:p>
    <w:p w14:paraId="0D793C4E">
      <w:pPr>
        <w:pStyle w:val="5"/>
        <w:rPr>
          <w:color w:val="000000"/>
        </w:rPr>
      </w:pPr>
    </w:p>
    <w:p w14:paraId="7F0B3B32">
      <w:pPr>
        <w:pStyle w:val="5"/>
        <w:rPr>
          <w:color w:val="000000"/>
        </w:rPr>
      </w:pPr>
    </w:p>
    <w:p w14:paraId="6CEAFC93">
      <w:pPr>
        <w:pStyle w:val="5"/>
        <w:rPr>
          <w:color w:val="000000"/>
        </w:rPr>
      </w:pPr>
    </w:p>
    <w:p w14:paraId="0DE886B8">
      <w:pPr>
        <w:pStyle w:val="5"/>
        <w:rPr>
          <w:color w:val="000000"/>
        </w:rPr>
      </w:pPr>
    </w:p>
    <w:p w14:paraId="2C85094D">
      <w:pPr>
        <w:pStyle w:val="5"/>
        <w:rPr>
          <w:color w:val="000000"/>
        </w:rPr>
      </w:pPr>
    </w:p>
    <w:p w14:paraId="06C29B41">
      <w:pPr>
        <w:pStyle w:val="5"/>
        <w:rPr>
          <w:color w:val="000000"/>
        </w:rPr>
      </w:pPr>
    </w:p>
    <w:p w14:paraId="72CABCA4">
      <w:pPr>
        <w:pStyle w:val="5"/>
        <w:rPr>
          <w:color w:val="000000"/>
        </w:rPr>
      </w:pPr>
    </w:p>
    <w:p w14:paraId="66B3C9F9">
      <w:pPr>
        <w:pStyle w:val="5"/>
        <w:rPr>
          <w:color w:val="000000"/>
        </w:rPr>
      </w:pPr>
    </w:p>
    <w:p w14:paraId="1A5852F7">
      <w:pPr>
        <w:pStyle w:val="5"/>
        <w:rPr>
          <w:color w:val="000000"/>
        </w:rPr>
      </w:pPr>
    </w:p>
    <w:p w14:paraId="49738AB9">
      <w:pPr>
        <w:pStyle w:val="5"/>
        <w:rPr>
          <w:color w:val="000000"/>
        </w:rPr>
      </w:pPr>
    </w:p>
    <w:p w14:paraId="21504B75">
      <w:pPr>
        <w:pStyle w:val="5"/>
        <w:rPr>
          <w:color w:val="000000"/>
        </w:rPr>
      </w:pPr>
    </w:p>
    <w:p w14:paraId="49ED5022">
      <w:pPr>
        <w:pStyle w:val="5"/>
        <w:rPr>
          <w:color w:val="000000"/>
        </w:rPr>
      </w:pPr>
    </w:p>
    <w:p w14:paraId="709DAF80">
      <w:pPr>
        <w:pStyle w:val="5"/>
        <w:rPr>
          <w:color w:val="000000"/>
        </w:rPr>
      </w:pPr>
    </w:p>
    <w:p w14:paraId="6C62A899">
      <w:pPr>
        <w:pStyle w:val="5"/>
        <w:rPr>
          <w:color w:val="000000"/>
        </w:rPr>
      </w:pPr>
    </w:p>
    <w:p w14:paraId="1FEAF364">
      <w:pPr>
        <w:pStyle w:val="36"/>
        <w:spacing w:beforeAutospacing="0" w:afterAutospacing="0"/>
        <w:jc w:val="center"/>
        <w:rPr>
          <w:b/>
          <w:bCs/>
          <w:color w:val="000000"/>
          <w:sz w:val="36"/>
          <w:szCs w:val="36"/>
        </w:rPr>
      </w:pPr>
      <w:r>
        <w:rPr>
          <w:rFonts w:hint="eastAsia"/>
          <w:b/>
          <w:bCs/>
          <w:color w:val="000000"/>
          <w:sz w:val="36"/>
          <w:szCs w:val="36"/>
        </w:rPr>
        <w:t>质疑函范本</w:t>
      </w:r>
    </w:p>
    <w:p w14:paraId="1387F5E8">
      <w:pPr>
        <w:pStyle w:val="36"/>
        <w:spacing w:before="290" w:beforeAutospacing="0" w:afterAutospacing="0"/>
        <w:jc w:val="both"/>
        <w:rPr>
          <w:bCs/>
          <w:color w:val="000000"/>
          <w:szCs w:val="24"/>
        </w:rPr>
      </w:pPr>
      <w:r>
        <w:rPr>
          <w:rFonts w:hint="eastAsia"/>
          <w:bCs/>
          <w:color w:val="000000"/>
          <w:szCs w:val="24"/>
        </w:rPr>
        <w:t>一、质疑供应商基本信息</w:t>
      </w:r>
    </w:p>
    <w:p w14:paraId="61F1900F">
      <w:pPr>
        <w:pStyle w:val="36"/>
        <w:spacing w:beforeAutospacing="0" w:afterAutospacing="0"/>
        <w:jc w:val="both"/>
        <w:rPr>
          <w:bCs/>
          <w:color w:val="000000"/>
          <w:szCs w:val="24"/>
        </w:rPr>
      </w:pPr>
      <w:r>
        <w:rPr>
          <w:rFonts w:hint="eastAsia"/>
          <w:bCs/>
          <w:color w:val="000000"/>
          <w:szCs w:val="24"/>
        </w:rPr>
        <w:t>质疑供应商：</w:t>
      </w:r>
      <w:r>
        <w:rPr>
          <w:rFonts w:hint="eastAsia"/>
          <w:bCs/>
          <w:color w:val="000000"/>
          <w:szCs w:val="24"/>
          <w:u w:val="single"/>
        </w:rPr>
        <w:t>                    </w:t>
      </w:r>
      <w:r>
        <w:rPr>
          <w:rFonts w:hint="eastAsia"/>
          <w:bCs/>
          <w:color w:val="000000"/>
          <w:szCs w:val="24"/>
          <w:u w:val="single"/>
        </w:rPr>
        <w:tab/>
      </w:r>
      <w:r>
        <w:rPr>
          <w:rFonts w:hint="eastAsia"/>
          <w:bCs/>
          <w:color w:val="000000"/>
          <w:szCs w:val="24"/>
          <w:u w:val="single"/>
        </w:rPr>
        <w:t> </w:t>
      </w:r>
      <w:r>
        <w:rPr>
          <w:rFonts w:hint="eastAsia"/>
          <w:bCs/>
          <w:color w:val="000000"/>
          <w:szCs w:val="24"/>
          <w:u w:val="single"/>
        </w:rPr>
        <w:tab/>
      </w:r>
    </w:p>
    <w:p w14:paraId="0B3073EE">
      <w:pPr>
        <w:pStyle w:val="36"/>
        <w:spacing w:beforeAutospacing="0" w:afterAutospacing="0"/>
        <w:jc w:val="both"/>
        <w:rPr>
          <w:bCs/>
          <w:color w:val="000000"/>
          <w:szCs w:val="24"/>
          <w:u w:val="single"/>
        </w:rPr>
      </w:pPr>
      <w:r>
        <w:rPr>
          <w:rFonts w:hint="eastAsia"/>
          <w:bCs/>
          <w:color w:val="000000"/>
          <w:szCs w:val="24"/>
        </w:rPr>
        <w:t>地址：</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5CDC3B30">
      <w:pPr>
        <w:pStyle w:val="36"/>
        <w:spacing w:beforeAutospacing="0" w:afterAutospacing="0"/>
        <w:jc w:val="both"/>
        <w:rPr>
          <w:bCs/>
          <w:color w:val="000000"/>
          <w:szCs w:val="24"/>
        </w:rPr>
      </w:pPr>
      <w:r>
        <w:rPr>
          <w:rFonts w:hint="eastAsia"/>
          <w:bCs/>
          <w:color w:val="000000"/>
          <w:szCs w:val="24"/>
        </w:rPr>
        <w:t>邮编：</w:t>
      </w:r>
      <w:r>
        <w:rPr>
          <w:rFonts w:hint="eastAsia"/>
          <w:bCs/>
          <w:color w:val="000000"/>
          <w:szCs w:val="24"/>
          <w:u w:val="single"/>
        </w:rPr>
        <w:t>                       </w:t>
      </w:r>
      <w:r>
        <w:rPr>
          <w:rFonts w:hint="eastAsia"/>
          <w:bCs/>
          <w:color w:val="000000"/>
          <w:szCs w:val="24"/>
          <w:u w:val="single"/>
        </w:rPr>
        <w:tab/>
      </w:r>
    </w:p>
    <w:p w14:paraId="07D79674">
      <w:pPr>
        <w:pStyle w:val="36"/>
        <w:spacing w:beforeAutospacing="0" w:afterAutospacing="0"/>
        <w:jc w:val="both"/>
        <w:rPr>
          <w:bCs/>
          <w:color w:val="000000"/>
          <w:szCs w:val="24"/>
          <w:u w:val="single"/>
        </w:rPr>
      </w:pPr>
      <w:r>
        <w:rPr>
          <w:rFonts w:hint="eastAsia"/>
          <w:bCs/>
          <w:color w:val="000000"/>
          <w:szCs w:val="24"/>
        </w:rPr>
        <w:t>联系人：</w:t>
      </w:r>
      <w:r>
        <w:rPr>
          <w:rFonts w:hint="eastAsia"/>
          <w:bCs/>
          <w:color w:val="000000"/>
          <w:szCs w:val="24"/>
          <w:u w:val="single"/>
        </w:rPr>
        <w:t>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74B396D6">
      <w:pPr>
        <w:pStyle w:val="36"/>
        <w:spacing w:beforeAutospacing="0" w:afterAutospacing="0"/>
        <w:jc w:val="both"/>
        <w:rPr>
          <w:bCs/>
          <w:color w:val="000000"/>
          <w:szCs w:val="24"/>
        </w:rPr>
      </w:pPr>
      <w:r>
        <w:rPr>
          <w:rFonts w:hint="eastAsia"/>
          <w:bCs/>
          <w:color w:val="000000"/>
          <w:szCs w:val="24"/>
        </w:rPr>
        <w:t>联系电话：</w:t>
      </w:r>
      <w:r>
        <w:rPr>
          <w:rFonts w:hint="eastAsia"/>
          <w:bCs/>
          <w:color w:val="000000"/>
          <w:szCs w:val="24"/>
          <w:u w:val="single"/>
        </w:rPr>
        <w:t xml:space="preserve">                                </w:t>
      </w:r>
    </w:p>
    <w:p w14:paraId="28AE8083">
      <w:pPr>
        <w:pStyle w:val="36"/>
        <w:spacing w:beforeAutospacing="0" w:afterAutospacing="0"/>
        <w:jc w:val="both"/>
        <w:rPr>
          <w:bCs/>
          <w:color w:val="000000"/>
          <w:szCs w:val="24"/>
        </w:rPr>
      </w:pPr>
      <w:r>
        <w:rPr>
          <w:rFonts w:hint="eastAsia"/>
          <w:bCs/>
          <w:color w:val="000000"/>
          <w:szCs w:val="24"/>
        </w:rPr>
        <w:t>授权代表：</w:t>
      </w:r>
      <w:r>
        <w:rPr>
          <w:rFonts w:hint="eastAsia"/>
          <w:bCs/>
          <w:color w:val="000000"/>
          <w:szCs w:val="24"/>
          <w:u w:val="single"/>
        </w:rPr>
        <w:t>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4984E34D">
      <w:pPr>
        <w:pStyle w:val="36"/>
        <w:spacing w:beforeAutospacing="0" w:afterAutospacing="0"/>
        <w:jc w:val="both"/>
        <w:rPr>
          <w:bCs/>
          <w:color w:val="000000"/>
          <w:szCs w:val="24"/>
        </w:rPr>
      </w:pPr>
      <w:r>
        <w:rPr>
          <w:rFonts w:hint="eastAsia"/>
          <w:bCs/>
          <w:color w:val="000000"/>
          <w:szCs w:val="24"/>
        </w:rPr>
        <w:t>联系电话：</w:t>
      </w:r>
      <w:r>
        <w:rPr>
          <w:rFonts w:hint="eastAsia"/>
          <w:bCs/>
          <w:color w:val="000000"/>
          <w:szCs w:val="24"/>
          <w:u w:val="single"/>
        </w:rPr>
        <w:t>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0A10E648">
      <w:pPr>
        <w:pStyle w:val="36"/>
        <w:spacing w:beforeAutospacing="0" w:afterAutospacing="0"/>
        <w:jc w:val="both"/>
        <w:rPr>
          <w:bCs/>
          <w:color w:val="000000"/>
          <w:szCs w:val="24"/>
          <w:u w:val="single"/>
        </w:rPr>
      </w:pPr>
      <w:r>
        <w:rPr>
          <w:rFonts w:hint="eastAsia"/>
          <w:bCs/>
          <w:color w:val="000000"/>
          <w:szCs w:val="24"/>
        </w:rPr>
        <w:t>地址： </w:t>
      </w:r>
      <w:r>
        <w:rPr>
          <w:rFonts w:hint="eastAsia"/>
          <w:bCs/>
          <w:color w:val="000000"/>
          <w:szCs w:val="24"/>
          <w:u w:val="single"/>
        </w:rPr>
        <w:t>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455EFB73">
      <w:pPr>
        <w:pStyle w:val="36"/>
        <w:spacing w:beforeAutospacing="0" w:afterAutospacing="0"/>
        <w:jc w:val="both"/>
        <w:rPr>
          <w:bCs/>
          <w:color w:val="000000"/>
          <w:szCs w:val="24"/>
        </w:rPr>
      </w:pPr>
      <w:r>
        <w:rPr>
          <w:rFonts w:hint="eastAsia"/>
          <w:bCs/>
          <w:color w:val="000000"/>
          <w:szCs w:val="24"/>
        </w:rPr>
        <w:t>邮编：</w:t>
      </w:r>
      <w:r>
        <w:rPr>
          <w:rFonts w:hint="eastAsia"/>
          <w:bCs/>
          <w:color w:val="000000"/>
          <w:szCs w:val="24"/>
          <w:u w:val="single"/>
        </w:rPr>
        <w:t>                         </w:t>
      </w:r>
    </w:p>
    <w:p w14:paraId="67E13375">
      <w:pPr>
        <w:pStyle w:val="36"/>
        <w:spacing w:beforeAutospacing="0" w:afterAutospacing="0"/>
        <w:jc w:val="both"/>
        <w:rPr>
          <w:bCs/>
          <w:color w:val="000000"/>
          <w:szCs w:val="24"/>
        </w:rPr>
      </w:pPr>
      <w:r>
        <w:rPr>
          <w:rFonts w:hint="eastAsia"/>
          <w:bCs/>
          <w:color w:val="000000"/>
          <w:szCs w:val="24"/>
        </w:rPr>
        <w:t>二、质疑项目基本情况</w:t>
      </w:r>
    </w:p>
    <w:p w14:paraId="457FF0B0">
      <w:pPr>
        <w:pStyle w:val="36"/>
        <w:spacing w:beforeAutospacing="0" w:afterAutospacing="0"/>
        <w:jc w:val="both"/>
        <w:rPr>
          <w:bCs/>
          <w:color w:val="000000"/>
          <w:szCs w:val="24"/>
        </w:rPr>
      </w:pPr>
      <w:r>
        <w:rPr>
          <w:rFonts w:hint="eastAsia"/>
          <w:bCs/>
          <w:color w:val="000000"/>
          <w:szCs w:val="24"/>
        </w:rPr>
        <w:t>质疑项目的名称：</w:t>
      </w:r>
      <w:r>
        <w:rPr>
          <w:rFonts w:hint="eastAsia"/>
          <w:bCs/>
          <w:color w:val="000000"/>
          <w:szCs w:val="24"/>
          <w:u w:val="single"/>
        </w:rPr>
        <w:t xml:space="preserve">                      </w:t>
      </w:r>
    </w:p>
    <w:p w14:paraId="584159F7">
      <w:pPr>
        <w:pStyle w:val="36"/>
        <w:spacing w:beforeAutospacing="0" w:afterAutospacing="0"/>
        <w:jc w:val="both"/>
        <w:rPr>
          <w:bCs/>
          <w:color w:val="000000"/>
          <w:szCs w:val="24"/>
          <w:u w:val="single"/>
        </w:rPr>
      </w:pPr>
      <w:r>
        <w:rPr>
          <w:rFonts w:hint="eastAsia"/>
          <w:bCs/>
          <w:color w:val="000000"/>
          <w:szCs w:val="24"/>
        </w:rPr>
        <w:t>质疑项目的编号：</w:t>
      </w:r>
      <w:r>
        <w:rPr>
          <w:rFonts w:hint="eastAsia"/>
          <w:bCs/>
          <w:color w:val="000000"/>
          <w:szCs w:val="24"/>
          <w:u w:val="single"/>
        </w:rPr>
        <w:t>                    </w:t>
      </w:r>
    </w:p>
    <w:p w14:paraId="5E254440">
      <w:pPr>
        <w:pStyle w:val="36"/>
        <w:spacing w:beforeAutospacing="0" w:afterAutospacing="0"/>
        <w:jc w:val="both"/>
        <w:rPr>
          <w:bCs/>
          <w:color w:val="000000"/>
          <w:szCs w:val="24"/>
        </w:rPr>
      </w:pPr>
      <w:r>
        <w:rPr>
          <w:rFonts w:hint="eastAsia"/>
          <w:bCs/>
          <w:color w:val="000000"/>
          <w:szCs w:val="24"/>
        </w:rPr>
        <w:t>包号：</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p>
    <w:p w14:paraId="56B83E30">
      <w:pPr>
        <w:pStyle w:val="36"/>
        <w:spacing w:beforeAutospacing="0" w:afterAutospacing="0"/>
        <w:jc w:val="both"/>
        <w:rPr>
          <w:bCs/>
          <w:color w:val="000000"/>
          <w:szCs w:val="24"/>
        </w:rPr>
      </w:pPr>
      <w:r>
        <w:rPr>
          <w:rFonts w:hint="eastAsia"/>
          <w:bCs/>
          <w:color w:val="000000"/>
          <w:szCs w:val="24"/>
        </w:rPr>
        <w:t>采购人名称：</w:t>
      </w:r>
      <w:r>
        <w:rPr>
          <w:rFonts w:hint="eastAsia"/>
          <w:bCs/>
          <w:color w:val="000000"/>
          <w:szCs w:val="24"/>
          <w:u w:val="single"/>
        </w:rPr>
        <w:t>                      </w:t>
      </w:r>
    </w:p>
    <w:p w14:paraId="7536A9B3">
      <w:pPr>
        <w:pStyle w:val="36"/>
        <w:spacing w:beforeAutospacing="0" w:afterAutospacing="0"/>
        <w:jc w:val="both"/>
        <w:rPr>
          <w:bCs/>
          <w:color w:val="000000"/>
          <w:szCs w:val="24"/>
        </w:rPr>
      </w:pPr>
      <w:r>
        <w:rPr>
          <w:rFonts w:hint="eastAsia"/>
          <w:bCs/>
          <w:color w:val="000000"/>
          <w:szCs w:val="24"/>
        </w:rPr>
        <w:t>采购文件获取日期：</w:t>
      </w:r>
      <w:r>
        <w:rPr>
          <w:rFonts w:hint="eastAsia"/>
          <w:bCs/>
          <w:color w:val="000000"/>
          <w:szCs w:val="24"/>
          <w:u w:val="single"/>
        </w:rPr>
        <w:t>                       </w:t>
      </w:r>
    </w:p>
    <w:p w14:paraId="4D19384E">
      <w:pPr>
        <w:pStyle w:val="36"/>
        <w:spacing w:beforeAutospacing="0" w:afterAutospacing="0"/>
        <w:jc w:val="both"/>
        <w:rPr>
          <w:bCs/>
          <w:color w:val="000000"/>
          <w:szCs w:val="24"/>
        </w:rPr>
      </w:pPr>
      <w:r>
        <w:rPr>
          <w:rFonts w:hint="eastAsia"/>
          <w:bCs/>
          <w:color w:val="000000"/>
          <w:szCs w:val="24"/>
        </w:rPr>
        <w:t>三、质疑事项具体内容</w:t>
      </w:r>
    </w:p>
    <w:p w14:paraId="5B91E0FA">
      <w:pPr>
        <w:pStyle w:val="36"/>
        <w:spacing w:beforeAutospacing="0" w:afterAutospacing="0"/>
        <w:jc w:val="both"/>
        <w:rPr>
          <w:bCs/>
          <w:color w:val="000000"/>
          <w:szCs w:val="24"/>
        </w:rPr>
      </w:pPr>
      <w:r>
        <w:rPr>
          <w:rFonts w:hint="eastAsia"/>
          <w:bCs/>
          <w:color w:val="000000"/>
          <w:szCs w:val="24"/>
        </w:rPr>
        <w:t>质疑事项1：</w:t>
      </w:r>
      <w:r>
        <w:rPr>
          <w:rFonts w:hint="eastAsia"/>
          <w:bCs/>
          <w:color w:val="000000"/>
          <w:szCs w:val="24"/>
          <w:u w:val="single"/>
        </w:rPr>
        <w:t>                      </w:t>
      </w:r>
    </w:p>
    <w:p w14:paraId="0670AC18">
      <w:pPr>
        <w:pStyle w:val="36"/>
        <w:spacing w:beforeAutospacing="0" w:afterAutospacing="0"/>
        <w:rPr>
          <w:bCs/>
          <w:color w:val="000000"/>
          <w:szCs w:val="24"/>
        </w:rPr>
      </w:pPr>
      <w:r>
        <w:rPr>
          <w:rFonts w:hint="eastAsia"/>
          <w:bCs/>
          <w:color w:val="000000"/>
          <w:szCs w:val="24"/>
        </w:rPr>
        <w:t>事实依据：</w:t>
      </w:r>
      <w:r>
        <w:rPr>
          <w:rFonts w:hint="eastAsia"/>
          <w:bCs/>
          <w:color w:val="000000"/>
          <w:szCs w:val="24"/>
          <w:u w:val="single"/>
        </w:rPr>
        <w:t xml:space="preserve">                                        </w:t>
      </w:r>
    </w:p>
    <w:p w14:paraId="2B86BCF5">
      <w:pPr>
        <w:pStyle w:val="36"/>
        <w:spacing w:beforeAutospacing="0" w:afterAutospacing="0"/>
        <w:jc w:val="both"/>
        <w:rPr>
          <w:bCs/>
          <w:color w:val="000000"/>
          <w:szCs w:val="24"/>
        </w:rPr>
      </w:pPr>
      <w:r>
        <w:rPr>
          <w:rFonts w:hint="eastAsia"/>
          <w:bCs/>
          <w:color w:val="000000"/>
          <w:szCs w:val="24"/>
        </w:rPr>
        <w:t>法律依据：</w:t>
      </w:r>
      <w:r>
        <w:rPr>
          <w:rFonts w:hint="eastAsia"/>
          <w:bCs/>
          <w:color w:val="000000"/>
          <w:szCs w:val="24"/>
          <w:u w:val="single"/>
        </w:rPr>
        <w:t xml:space="preserve">                                          </w:t>
      </w:r>
    </w:p>
    <w:p w14:paraId="6B0BCB3C">
      <w:pPr>
        <w:pStyle w:val="36"/>
        <w:spacing w:beforeAutospacing="0" w:afterAutospacing="0"/>
        <w:jc w:val="both"/>
        <w:rPr>
          <w:bCs/>
          <w:color w:val="000000"/>
          <w:szCs w:val="24"/>
        </w:rPr>
      </w:pPr>
      <w:r>
        <w:rPr>
          <w:rFonts w:hint="eastAsia"/>
          <w:bCs/>
          <w:color w:val="000000"/>
          <w:szCs w:val="24"/>
        </w:rPr>
        <w:t>质疑事项2</w:t>
      </w:r>
    </w:p>
    <w:p w14:paraId="3E809A88">
      <w:pPr>
        <w:pStyle w:val="36"/>
        <w:spacing w:beforeAutospacing="0" w:afterAutospacing="0"/>
        <w:jc w:val="both"/>
        <w:rPr>
          <w:bCs/>
          <w:color w:val="000000"/>
          <w:szCs w:val="24"/>
        </w:rPr>
      </w:pPr>
      <w:r>
        <w:rPr>
          <w:rFonts w:hint="eastAsia"/>
          <w:bCs/>
          <w:color w:val="000000"/>
          <w:szCs w:val="24"/>
        </w:rPr>
        <w:t>……</w:t>
      </w:r>
    </w:p>
    <w:p w14:paraId="66B5363C">
      <w:pPr>
        <w:pStyle w:val="36"/>
        <w:spacing w:beforeAutospacing="0" w:afterAutospacing="0"/>
        <w:jc w:val="both"/>
        <w:rPr>
          <w:bCs/>
          <w:color w:val="000000"/>
          <w:szCs w:val="24"/>
        </w:rPr>
      </w:pPr>
      <w:r>
        <w:rPr>
          <w:rFonts w:hint="eastAsia"/>
          <w:bCs/>
          <w:color w:val="000000"/>
          <w:szCs w:val="24"/>
        </w:rPr>
        <w:t>四、与质疑事项相关的质疑请求</w:t>
      </w:r>
    </w:p>
    <w:p w14:paraId="50EE8C0A">
      <w:pPr>
        <w:pStyle w:val="36"/>
        <w:spacing w:beforeAutospacing="0" w:afterAutospacing="0"/>
        <w:jc w:val="both"/>
        <w:rPr>
          <w:bCs/>
          <w:color w:val="000000"/>
          <w:szCs w:val="24"/>
        </w:rPr>
      </w:pPr>
      <w:r>
        <w:rPr>
          <w:rFonts w:hint="eastAsia"/>
          <w:bCs/>
          <w:color w:val="000000"/>
          <w:szCs w:val="24"/>
        </w:rPr>
        <w:t>请求：</w:t>
      </w:r>
      <w:r>
        <w:rPr>
          <w:rFonts w:hint="eastAsia"/>
          <w:bCs/>
          <w:color w:val="000000"/>
          <w:szCs w:val="24"/>
          <w:u w:val="single"/>
        </w:rPr>
        <w:t xml:space="preserve">                                               </w:t>
      </w:r>
    </w:p>
    <w:p w14:paraId="6A7F3937">
      <w:pPr>
        <w:pStyle w:val="36"/>
        <w:spacing w:beforeAutospacing="0" w:afterAutospacing="0"/>
        <w:jc w:val="both"/>
        <w:rPr>
          <w:bCs/>
          <w:color w:val="000000"/>
          <w:szCs w:val="24"/>
        </w:rPr>
      </w:pPr>
      <w:r>
        <w:rPr>
          <w:rFonts w:hint="eastAsia"/>
          <w:bCs/>
          <w:color w:val="000000"/>
          <w:szCs w:val="24"/>
        </w:rPr>
        <w:t xml:space="preserve">签字(签章)：                 公章：               日期：    </w:t>
      </w:r>
    </w:p>
    <w:p w14:paraId="2DC2EE2A">
      <w:pPr>
        <w:pStyle w:val="36"/>
        <w:spacing w:beforeAutospacing="0" w:afterAutospacing="0"/>
        <w:jc w:val="both"/>
        <w:rPr>
          <w:bCs/>
          <w:color w:val="000000"/>
          <w:szCs w:val="24"/>
        </w:rPr>
      </w:pPr>
      <w:r>
        <w:rPr>
          <w:rFonts w:hint="eastAsia"/>
          <w:bCs/>
          <w:color w:val="000000"/>
          <w:szCs w:val="24"/>
        </w:rPr>
        <w:t>质疑函制作说明：</w:t>
      </w:r>
    </w:p>
    <w:p w14:paraId="2A378C6A">
      <w:pPr>
        <w:pStyle w:val="36"/>
        <w:widowControl/>
        <w:spacing w:beforeAutospacing="0" w:afterAutospacing="0"/>
        <w:ind w:firstLine="480"/>
        <w:rPr>
          <w:bCs/>
          <w:color w:val="000000"/>
          <w:szCs w:val="24"/>
        </w:rPr>
      </w:pPr>
      <w:r>
        <w:rPr>
          <w:rFonts w:hint="eastAsia"/>
          <w:bCs/>
          <w:color w:val="000000"/>
          <w:szCs w:val="24"/>
        </w:rPr>
        <w:t>1.供应商提出质疑时，应提交质疑函和必要的证明材料。</w:t>
      </w:r>
    </w:p>
    <w:p w14:paraId="3012791A">
      <w:pPr>
        <w:pStyle w:val="36"/>
        <w:widowControl/>
        <w:spacing w:beforeAutospacing="0" w:afterAutospacing="0"/>
        <w:ind w:firstLine="480"/>
        <w:rPr>
          <w:bCs/>
          <w:color w:val="000000"/>
          <w:szCs w:val="24"/>
        </w:rPr>
      </w:pPr>
      <w:r>
        <w:rPr>
          <w:rFonts w:hint="eastAsia"/>
          <w:bCs/>
          <w:color w:val="000000"/>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FBCB5EF">
      <w:pPr>
        <w:pStyle w:val="36"/>
        <w:widowControl/>
        <w:spacing w:beforeAutospacing="0" w:afterAutospacing="0"/>
        <w:ind w:firstLine="480"/>
        <w:rPr>
          <w:bCs/>
          <w:color w:val="000000"/>
          <w:szCs w:val="24"/>
        </w:rPr>
      </w:pPr>
      <w:r>
        <w:rPr>
          <w:rFonts w:hint="eastAsia"/>
          <w:bCs/>
          <w:color w:val="000000"/>
          <w:szCs w:val="24"/>
        </w:rPr>
        <w:t>3.质疑供应商若对项目的某一分包进行质疑，质疑函中应列明具体分包号。</w:t>
      </w:r>
    </w:p>
    <w:p w14:paraId="159C6359">
      <w:pPr>
        <w:pStyle w:val="36"/>
        <w:widowControl/>
        <w:spacing w:beforeAutospacing="0" w:afterAutospacing="0"/>
        <w:ind w:firstLine="480"/>
        <w:rPr>
          <w:bCs/>
          <w:color w:val="000000"/>
          <w:szCs w:val="24"/>
        </w:rPr>
      </w:pPr>
      <w:r>
        <w:rPr>
          <w:rFonts w:hint="eastAsia"/>
          <w:bCs/>
          <w:color w:val="000000"/>
          <w:szCs w:val="24"/>
        </w:rPr>
        <w:t>4.质疑函的质疑事项应具体、明确，并有必要的事实依据和法律依据。</w:t>
      </w:r>
    </w:p>
    <w:p w14:paraId="2B9C18C9">
      <w:pPr>
        <w:pStyle w:val="36"/>
        <w:widowControl/>
        <w:spacing w:beforeAutospacing="0" w:afterAutospacing="0"/>
        <w:ind w:firstLine="480"/>
        <w:rPr>
          <w:bCs/>
          <w:color w:val="000000"/>
          <w:szCs w:val="24"/>
        </w:rPr>
      </w:pPr>
      <w:r>
        <w:rPr>
          <w:rFonts w:hint="eastAsia"/>
          <w:bCs/>
          <w:color w:val="000000"/>
          <w:szCs w:val="24"/>
        </w:rPr>
        <w:t>5.质疑函的质疑请求应与质疑事项相关。</w:t>
      </w:r>
    </w:p>
    <w:p w14:paraId="1E6FAD7D">
      <w:pPr>
        <w:pStyle w:val="36"/>
        <w:widowControl/>
        <w:spacing w:beforeAutospacing="0" w:afterAutospacing="0"/>
        <w:ind w:firstLine="480"/>
        <w:rPr>
          <w:bCs/>
          <w:color w:val="000000"/>
          <w:szCs w:val="24"/>
        </w:rPr>
      </w:pPr>
      <w:r>
        <w:rPr>
          <w:rFonts w:hint="eastAsia"/>
          <w:bCs/>
          <w:color w:val="000000"/>
          <w:szCs w:val="24"/>
        </w:rPr>
        <w:t>6.质疑供应商为自然人的，质疑函应由本人签字；质疑供应商为法人或者其他组织的，质疑函应由法定代表人、主要负责人，或者其授权代表签字或者盖章，并加盖公章。</w:t>
      </w:r>
    </w:p>
    <w:p w14:paraId="24AAE2A3">
      <w:pPr>
        <w:pStyle w:val="36"/>
        <w:spacing w:beforeAutospacing="0" w:afterAutospacing="0"/>
        <w:rPr>
          <w:color w:val="000000"/>
          <w:szCs w:val="28"/>
        </w:rPr>
      </w:pPr>
    </w:p>
    <w:sectPr>
      <w:headerReference r:id="rId4" w:type="default"/>
      <w:footerReference r:id="rId5" w:type="default"/>
      <w:type w:val="continuous"/>
      <w:pgSz w:w="11907" w:h="16840"/>
      <w:pgMar w:top="1417" w:right="1134" w:bottom="1417" w:left="1134" w:header="624"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Showcard Gothic">
    <w:panose1 w:val="04020904020102020604"/>
    <w:charset w:val="00"/>
    <w:family w:val="decorative"/>
    <w:pitch w:val="default"/>
    <w:sig w:usb0="00000003" w:usb1="00000000" w:usb2="00000000" w:usb3="00000000" w:csb0="20000001" w:csb1="00000000"/>
  </w:font>
  <w:font w:name="??_GB2312">
    <w:altName w:val="Calibri"/>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91615">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651FE">
    <w:pPr>
      <w:pStyle w:val="25"/>
      <w:jc w:val="center"/>
    </w:pPr>
    <w:r>
      <w:fldChar w:fldCharType="begin"/>
    </w:r>
    <w:r>
      <w:instrText xml:space="preserve">PAGE \* MERGEFORMAT</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6B336">
    <w:pPr>
      <w:pStyle w:val="27"/>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C9D983"/>
    <w:multiLevelType w:val="singleLevel"/>
    <w:tmpl w:val="FFC9D983"/>
    <w:lvl w:ilvl="0" w:tentative="0">
      <w:start w:val="6"/>
      <w:numFmt w:val="chineseCounting"/>
      <w:suff w:val="nothing"/>
      <w:lvlText w:val="%1、"/>
      <w:lvlJc w:val="left"/>
      <w:rPr>
        <w:rFonts w:hint="eastAsia"/>
      </w:rPr>
    </w:lvl>
  </w:abstractNum>
  <w:abstractNum w:abstractNumId="1">
    <w:nsid w:val="79B0191D"/>
    <w:multiLevelType w:val="multilevel"/>
    <w:tmpl w:val="79B0191D"/>
    <w:lvl w:ilvl="0" w:tentative="0">
      <w:start w:val="1"/>
      <w:numFmt w:val="decimal"/>
      <w:lvlText w:val="一、"/>
      <w:lvlJc w:val="left"/>
      <w:pPr>
        <w:ind w:left="1140" w:hanging="7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Y2ZjdiNzI2MDE5MzhkMzczYjNmODJjODg2ZDUxZDMifQ=="/>
  </w:docVars>
  <w:rsids>
    <w:rsidRoot w:val="008B5ED0"/>
    <w:rsid w:val="00030885"/>
    <w:rsid w:val="000540FB"/>
    <w:rsid w:val="00057A56"/>
    <w:rsid w:val="002D608F"/>
    <w:rsid w:val="002E3F15"/>
    <w:rsid w:val="00462CD5"/>
    <w:rsid w:val="004A2978"/>
    <w:rsid w:val="00506725"/>
    <w:rsid w:val="006A02D6"/>
    <w:rsid w:val="00724D87"/>
    <w:rsid w:val="007B7D1A"/>
    <w:rsid w:val="008B5ED0"/>
    <w:rsid w:val="008D6353"/>
    <w:rsid w:val="00964134"/>
    <w:rsid w:val="009B5DCE"/>
    <w:rsid w:val="009E57B2"/>
    <w:rsid w:val="00BD7576"/>
    <w:rsid w:val="00C413FC"/>
    <w:rsid w:val="00C67DD3"/>
    <w:rsid w:val="00CE7F0C"/>
    <w:rsid w:val="00E36D03"/>
    <w:rsid w:val="00F34D9D"/>
    <w:rsid w:val="00F37C58"/>
    <w:rsid w:val="00F40C69"/>
    <w:rsid w:val="00F87C68"/>
    <w:rsid w:val="03030FF6"/>
    <w:rsid w:val="03B665E3"/>
    <w:rsid w:val="04F75A05"/>
    <w:rsid w:val="059B1D9E"/>
    <w:rsid w:val="05B62452"/>
    <w:rsid w:val="06D42F85"/>
    <w:rsid w:val="077D0624"/>
    <w:rsid w:val="079274FA"/>
    <w:rsid w:val="0A0855DF"/>
    <w:rsid w:val="0A3D479A"/>
    <w:rsid w:val="0B835849"/>
    <w:rsid w:val="0BA82404"/>
    <w:rsid w:val="0C9153AE"/>
    <w:rsid w:val="0C9E18F3"/>
    <w:rsid w:val="0CDC3B85"/>
    <w:rsid w:val="0CEC3655"/>
    <w:rsid w:val="0D632650"/>
    <w:rsid w:val="0DDF276A"/>
    <w:rsid w:val="0FEF4EA2"/>
    <w:rsid w:val="10B97124"/>
    <w:rsid w:val="10BC0900"/>
    <w:rsid w:val="12296A3A"/>
    <w:rsid w:val="12696E37"/>
    <w:rsid w:val="143C7BC5"/>
    <w:rsid w:val="14B13394"/>
    <w:rsid w:val="1677558F"/>
    <w:rsid w:val="168B7CC4"/>
    <w:rsid w:val="16B630D7"/>
    <w:rsid w:val="175C4FC4"/>
    <w:rsid w:val="176F1196"/>
    <w:rsid w:val="186220A2"/>
    <w:rsid w:val="1890336F"/>
    <w:rsid w:val="18B353B6"/>
    <w:rsid w:val="19D62976"/>
    <w:rsid w:val="1BDC5238"/>
    <w:rsid w:val="1D5E0055"/>
    <w:rsid w:val="1F1D665C"/>
    <w:rsid w:val="21373C74"/>
    <w:rsid w:val="21556A3C"/>
    <w:rsid w:val="22E9606A"/>
    <w:rsid w:val="232718FD"/>
    <w:rsid w:val="24855D52"/>
    <w:rsid w:val="27F00971"/>
    <w:rsid w:val="28B62441"/>
    <w:rsid w:val="292F00A1"/>
    <w:rsid w:val="29A357FD"/>
    <w:rsid w:val="2BA80578"/>
    <w:rsid w:val="2BC44A8F"/>
    <w:rsid w:val="2F175463"/>
    <w:rsid w:val="2F3820C0"/>
    <w:rsid w:val="30775F32"/>
    <w:rsid w:val="30E71C6F"/>
    <w:rsid w:val="32021DEB"/>
    <w:rsid w:val="33D17B6B"/>
    <w:rsid w:val="347029D5"/>
    <w:rsid w:val="34E818FC"/>
    <w:rsid w:val="3A5A0BD5"/>
    <w:rsid w:val="3B77208F"/>
    <w:rsid w:val="3BA649A6"/>
    <w:rsid w:val="3C421D86"/>
    <w:rsid w:val="3D7F0098"/>
    <w:rsid w:val="3DF90165"/>
    <w:rsid w:val="3E496774"/>
    <w:rsid w:val="3F1613BE"/>
    <w:rsid w:val="3FC44F3A"/>
    <w:rsid w:val="400521FA"/>
    <w:rsid w:val="41E314E2"/>
    <w:rsid w:val="42595160"/>
    <w:rsid w:val="43B84329"/>
    <w:rsid w:val="445A1BC4"/>
    <w:rsid w:val="44FF14E1"/>
    <w:rsid w:val="453118FA"/>
    <w:rsid w:val="45902223"/>
    <w:rsid w:val="46C23332"/>
    <w:rsid w:val="477F1A9C"/>
    <w:rsid w:val="48C4659A"/>
    <w:rsid w:val="49534B12"/>
    <w:rsid w:val="49A869DF"/>
    <w:rsid w:val="49FE245B"/>
    <w:rsid w:val="4C8A3F8B"/>
    <w:rsid w:val="4C940979"/>
    <w:rsid w:val="4D1072CE"/>
    <w:rsid w:val="4D2F05E3"/>
    <w:rsid w:val="4FD91881"/>
    <w:rsid w:val="515F4FCA"/>
    <w:rsid w:val="51E44568"/>
    <w:rsid w:val="533D74FB"/>
    <w:rsid w:val="533E7766"/>
    <w:rsid w:val="54440075"/>
    <w:rsid w:val="55BC0DCB"/>
    <w:rsid w:val="57254B62"/>
    <w:rsid w:val="5744553B"/>
    <w:rsid w:val="5B8F6EDB"/>
    <w:rsid w:val="5C0D167A"/>
    <w:rsid w:val="5D415733"/>
    <w:rsid w:val="5DB9023F"/>
    <w:rsid w:val="5E377F6F"/>
    <w:rsid w:val="5F3D4C6E"/>
    <w:rsid w:val="60310547"/>
    <w:rsid w:val="62483940"/>
    <w:rsid w:val="63FB308E"/>
    <w:rsid w:val="64BB0109"/>
    <w:rsid w:val="64D4595F"/>
    <w:rsid w:val="660D434F"/>
    <w:rsid w:val="67226879"/>
    <w:rsid w:val="67510E99"/>
    <w:rsid w:val="6ACA27BA"/>
    <w:rsid w:val="6B394838"/>
    <w:rsid w:val="6B5E51CF"/>
    <w:rsid w:val="6C8B6B0A"/>
    <w:rsid w:val="6D2D6433"/>
    <w:rsid w:val="6DDF51C0"/>
    <w:rsid w:val="6E275571"/>
    <w:rsid w:val="6F5345DD"/>
    <w:rsid w:val="70211D68"/>
    <w:rsid w:val="702F3123"/>
    <w:rsid w:val="71B42DA0"/>
    <w:rsid w:val="727E76BD"/>
    <w:rsid w:val="73BB6668"/>
    <w:rsid w:val="74537733"/>
    <w:rsid w:val="74632E64"/>
    <w:rsid w:val="748C3B60"/>
    <w:rsid w:val="74904B40"/>
    <w:rsid w:val="74945A29"/>
    <w:rsid w:val="76DD5257"/>
    <w:rsid w:val="785C0AF5"/>
    <w:rsid w:val="78867B34"/>
    <w:rsid w:val="7A0A26D6"/>
    <w:rsid w:val="7B5E22FE"/>
    <w:rsid w:val="7BD209F2"/>
    <w:rsid w:val="7BFA7F90"/>
    <w:rsid w:val="7D574687"/>
    <w:rsid w:val="7F3B094E"/>
    <w:rsid w:val="7F947D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8"/>
      <w:szCs w:val="22"/>
      <w:lang w:val="en-US" w:eastAsia="zh-CN" w:bidi="ar-SA"/>
    </w:rPr>
  </w:style>
  <w:style w:type="paragraph" w:styleId="2">
    <w:name w:val="heading 1"/>
    <w:basedOn w:val="1"/>
    <w:next w:val="1"/>
    <w:link w:val="51"/>
    <w:qFormat/>
    <w:uiPriority w:val="0"/>
    <w:pPr>
      <w:keepNext/>
      <w:keepLines/>
      <w:spacing w:before="340" w:after="330" w:line="578" w:lineRule="auto"/>
      <w:outlineLvl w:val="0"/>
    </w:pPr>
    <w:rPr>
      <w:b/>
      <w:bCs/>
      <w:sz w:val="44"/>
      <w:szCs w:val="44"/>
    </w:rPr>
  </w:style>
  <w:style w:type="paragraph" w:styleId="3">
    <w:name w:val="heading 2"/>
    <w:basedOn w:val="1"/>
    <w:next w:val="1"/>
    <w:link w:val="52"/>
    <w:qFormat/>
    <w:uiPriority w:val="0"/>
    <w:pPr>
      <w:keepNext/>
      <w:keepLines/>
      <w:spacing w:before="120" w:line="300" w:lineRule="auto"/>
      <w:jc w:val="center"/>
      <w:outlineLvl w:val="1"/>
    </w:pPr>
    <w:rPr>
      <w:rFonts w:ascii="Arial" w:hAnsi="Arial" w:eastAsia="黑体"/>
      <w:sz w:val="30"/>
    </w:rPr>
  </w:style>
  <w:style w:type="paragraph" w:styleId="4">
    <w:name w:val="heading 3"/>
    <w:basedOn w:val="1"/>
    <w:next w:val="5"/>
    <w:link w:val="53"/>
    <w:qFormat/>
    <w:uiPriority w:val="99"/>
    <w:pPr>
      <w:keepNext/>
      <w:keepLines/>
      <w:spacing w:line="415" w:lineRule="auto"/>
      <w:ind w:firstLine="137"/>
      <w:outlineLvl w:val="2"/>
    </w:pPr>
    <w:rPr>
      <w:rFonts w:hAnsi="黑体" w:eastAsia="黑体"/>
      <w:sz w:val="24"/>
      <w:szCs w:val="20"/>
    </w:rPr>
  </w:style>
  <w:style w:type="paragraph" w:styleId="6">
    <w:name w:val="heading 4"/>
    <w:basedOn w:val="1"/>
    <w:next w:val="5"/>
    <w:link w:val="54"/>
    <w:qFormat/>
    <w:uiPriority w:val="0"/>
    <w:pPr>
      <w:keepNext/>
      <w:keepLines/>
      <w:spacing w:before="280" w:after="290" w:line="376" w:lineRule="auto"/>
      <w:outlineLvl w:val="3"/>
    </w:pPr>
    <w:rPr>
      <w:rFonts w:ascii="Arial" w:hAnsi="Arial" w:eastAsia="黑体" w:cs="Arial"/>
      <w:b/>
      <w:bCs/>
      <w:szCs w:val="28"/>
    </w:rPr>
  </w:style>
  <w:style w:type="paragraph" w:styleId="7">
    <w:name w:val="heading 5"/>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6"/>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57"/>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58"/>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unhideWhenUsed/>
    <w:qFormat/>
    <w:uiPriority w:val="99"/>
    <w:pPr>
      <w:ind w:firstLine="420"/>
      <w:jc w:val="left"/>
    </w:pPr>
    <w:rPr>
      <w:rFonts w:ascii="宋体"/>
      <w:sz w:val="24"/>
    </w:rPr>
  </w:style>
  <w:style w:type="paragraph" w:styleId="12">
    <w:name w:val="toc 7"/>
    <w:basedOn w:val="1"/>
    <w:next w:val="1"/>
    <w:unhideWhenUsed/>
    <w:qFormat/>
    <w:uiPriority w:val="39"/>
    <w:pPr>
      <w:spacing w:after="57"/>
      <w:ind w:left="1701"/>
    </w:pPr>
  </w:style>
  <w:style w:type="paragraph" w:styleId="13">
    <w:name w:val="table of authorities"/>
    <w:basedOn w:val="1"/>
    <w:next w:val="1"/>
    <w:qFormat/>
    <w:uiPriority w:val="0"/>
    <w:pPr>
      <w:ind w:left="420" w:leftChars="200"/>
    </w:pPr>
    <w:rPr>
      <w:rFonts w:ascii="Times New Roman" w:hAnsi="Times New Roman" w:eastAsia="宋体" w:cs="Times New Roman"/>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link w:val="219"/>
    <w:qFormat/>
    <w:uiPriority w:val="0"/>
    <w:pPr>
      <w:spacing w:after="120" w:line="278" w:lineRule="auto"/>
    </w:pPr>
    <w:rPr>
      <w:rFonts w:asciiTheme="minorHAnsi" w:hAnsiTheme="minorHAnsi" w:eastAsiaTheme="minorEastAsia" w:cstheme="minorBidi"/>
      <w:kern w:val="2"/>
      <w:sz w:val="21"/>
      <w:szCs w:val="24"/>
    </w:rPr>
  </w:style>
  <w:style w:type="paragraph" w:styleId="17">
    <w:name w:val="Body Text Indent"/>
    <w:basedOn w:val="1"/>
    <w:qFormat/>
    <w:uiPriority w:val="99"/>
    <w:pPr>
      <w:ind w:firstLine="645"/>
    </w:pPr>
    <w:rPr>
      <w:rFonts w:ascii="楷体_GB2312" w:eastAsia="楷体_GB2312"/>
      <w:sz w:val="32"/>
      <w:szCs w:val="32"/>
    </w:rPr>
  </w:style>
  <w:style w:type="paragraph" w:styleId="18">
    <w:name w:val="Block Text"/>
    <w:basedOn w:val="1"/>
    <w:qFormat/>
    <w:uiPriority w:val="99"/>
    <w:pPr>
      <w:spacing w:after="120"/>
      <w:ind w:left="1440" w:right="1440"/>
    </w:pPr>
  </w:style>
  <w:style w:type="paragraph" w:styleId="19">
    <w:name w:val="index 4"/>
    <w:basedOn w:val="1"/>
    <w:next w:val="1"/>
    <w:qFormat/>
    <w:uiPriority w:val="99"/>
    <w:pPr>
      <w:ind w:left="600"/>
    </w:pPr>
    <w:rPr>
      <w:szCs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endnote text"/>
    <w:basedOn w:val="1"/>
    <w:link w:val="196"/>
    <w:semiHidden/>
    <w:unhideWhenUsed/>
    <w:qFormat/>
    <w:uiPriority w:val="99"/>
    <w:rPr>
      <w:sz w:val="20"/>
    </w:rPr>
  </w:style>
  <w:style w:type="paragraph" w:styleId="25">
    <w:name w:val="footer"/>
    <w:basedOn w:val="1"/>
    <w:link w:val="69"/>
    <w:qFormat/>
    <w:uiPriority w:val="99"/>
    <w:pPr>
      <w:tabs>
        <w:tab w:val="center" w:pos="4153"/>
        <w:tab w:val="right" w:pos="8306"/>
      </w:tabs>
      <w:jc w:val="left"/>
    </w:pPr>
    <w:rPr>
      <w:sz w:val="18"/>
    </w:rPr>
  </w:style>
  <w:style w:type="paragraph" w:styleId="26">
    <w:name w:val="envelope return"/>
    <w:basedOn w:val="1"/>
    <w:unhideWhenUsed/>
    <w:qFormat/>
    <w:uiPriority w:val="99"/>
    <w:rPr>
      <w:rFonts w:ascii="Arial" w:hAnsi="Arial"/>
    </w:rPr>
  </w:style>
  <w:style w:type="paragraph" w:styleId="27">
    <w:name w:val="header"/>
    <w:basedOn w:val="1"/>
    <w:link w:val="67"/>
    <w:qFormat/>
    <w:uiPriority w:val="99"/>
    <w:pPr>
      <w:pBdr>
        <w:bottom w:val="single" w:color="000000" w:sz="6" w:space="1"/>
      </w:pBdr>
      <w:tabs>
        <w:tab w:val="center" w:pos="4153"/>
        <w:tab w:val="right" w:pos="8306"/>
      </w:tabs>
      <w:jc w:val="center"/>
    </w:pPr>
    <w:rPr>
      <w:sz w:val="18"/>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62"/>
    <w:qFormat/>
    <w:uiPriority w:val="11"/>
    <w:pPr>
      <w:spacing w:before="200" w:after="200"/>
    </w:pPr>
    <w:rPr>
      <w:sz w:val="24"/>
      <w:szCs w:val="24"/>
    </w:rPr>
  </w:style>
  <w:style w:type="paragraph" w:styleId="31">
    <w:name w:val="footnote text"/>
    <w:basedOn w:val="1"/>
    <w:link w:val="195"/>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0"/>
    <w:pPr>
      <w:spacing w:beforeAutospacing="1" w:afterAutospacing="1"/>
      <w:jc w:val="left"/>
    </w:pPr>
    <w:rPr>
      <w:sz w:val="24"/>
    </w:rPr>
  </w:style>
  <w:style w:type="paragraph" w:styleId="37">
    <w:name w:val="Title"/>
    <w:basedOn w:val="1"/>
    <w:next w:val="1"/>
    <w:link w:val="61"/>
    <w:qFormat/>
    <w:uiPriority w:val="10"/>
    <w:pPr>
      <w:spacing w:before="300" w:after="200"/>
      <w:contextualSpacing/>
    </w:pPr>
    <w:rPr>
      <w:sz w:val="48"/>
      <w:szCs w:val="48"/>
    </w:rPr>
  </w:style>
  <w:style w:type="paragraph" w:styleId="38">
    <w:name w:val="Body Text First Indent"/>
    <w:basedOn w:val="16"/>
    <w:unhideWhenUsed/>
    <w:qFormat/>
    <w:uiPriority w:val="99"/>
    <w:pPr>
      <w:ind w:firstLine="420" w:firstLineChars="100"/>
    </w:pPr>
    <w:rPr>
      <w:rFonts w:ascii="Times New Roman" w:hAnsi="Times New Roman" w:eastAsia="宋体"/>
      <w:szCs w:val="22"/>
    </w:rPr>
  </w:style>
  <w:style w:type="paragraph" w:styleId="39">
    <w:name w:val="Body Text First Indent 2"/>
    <w:basedOn w:val="17"/>
    <w:next w:val="1"/>
    <w:qFormat/>
    <w:uiPriority w:val="0"/>
    <w:pPr>
      <w:ind w:firstLine="420" w:firstLineChars="200"/>
    </w:p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semiHidden/>
    <w:unhideWhenUsed/>
    <w:qFormat/>
    <w:uiPriority w:val="99"/>
    <w:rPr>
      <w:vertAlign w:val="superscript"/>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footnote reference"/>
    <w:unhideWhenUsed/>
    <w:qFormat/>
    <w:uiPriority w:val="99"/>
    <w:rPr>
      <w:vertAlign w:val="superscript"/>
    </w:rPr>
  </w:style>
  <w:style w:type="paragraph" w:customStyle="1" w:styleId="46">
    <w:name w:val="段"/>
    <w:next w:val="1"/>
    <w:qFormat/>
    <w:uiPriority w:val="99"/>
    <w:pPr>
      <w:autoSpaceDE w:val="0"/>
      <w:autoSpaceDN w:val="0"/>
      <w:ind w:firstLine="200" w:firstLineChars="200"/>
      <w:jc w:val="both"/>
    </w:pPr>
    <w:rPr>
      <w:rFonts w:ascii="宋体" w:hAnsi="Times New Roman" w:eastAsia="宋体" w:cs="Times New Roman"/>
      <w:kern w:val="2"/>
      <w:sz w:val="22"/>
      <w:lang w:val="en-US" w:eastAsia="zh-CN" w:bidi="ar-SA"/>
    </w:rPr>
  </w:style>
  <w:style w:type="paragraph" w:customStyle="1" w:styleId="47">
    <w:name w:val="正文 A"/>
    <w:next w:val="48"/>
    <w:qFormat/>
    <w:uiPriority w:val="0"/>
    <w:pPr>
      <w:widowControl w:val="0"/>
      <w:jc w:val="both"/>
    </w:pPr>
    <w:rPr>
      <w:rFonts w:ascii="Arial Unicode MS" w:hAnsi="Arial Unicode MS" w:eastAsia="Arial Unicode MS" w:cs="Arial Unicode MS"/>
      <w:color w:val="000000"/>
      <w:kern w:val="2"/>
      <w:sz w:val="21"/>
      <w:szCs w:val="21"/>
      <w:u w:val="none" w:color="000000"/>
      <w:lang w:val="en-US" w:eastAsia="zh-CN" w:bidi="ar-SA"/>
    </w:rPr>
  </w:style>
  <w:style w:type="paragraph" w:customStyle="1" w:styleId="48">
    <w:name w:val="正文1"/>
    <w:basedOn w:val="21"/>
    <w:next w:val="1"/>
    <w:qFormat/>
    <w:uiPriority w:val="0"/>
    <w:pPr>
      <w:adjustRightInd/>
      <w:spacing w:before="156"/>
      <w:ind w:firstLine="510" w:firstLineChars="200"/>
      <w:textAlignment w:val="auto"/>
    </w:pPr>
    <w:rPr>
      <w:rFonts w:ascii="Times New Roman" w:eastAsia="宋体"/>
      <w:kern w:val="2"/>
      <w:szCs w:val="20"/>
    </w:rPr>
  </w:style>
  <w:style w:type="paragraph" w:customStyle="1" w:styleId="49">
    <w:name w:val="纯文本1"/>
    <w:basedOn w:val="1"/>
    <w:qFormat/>
    <w:uiPriority w:val="0"/>
    <w:rPr>
      <w:rFonts w:ascii="宋体" w:hAnsi="Courier New" w:eastAsia="楷体_GB2312"/>
      <w:szCs w:val="20"/>
    </w:rPr>
  </w:style>
  <w:style w:type="paragraph" w:customStyle="1" w:styleId="50">
    <w:name w:val="标题 31"/>
    <w:basedOn w:val="1"/>
    <w:next w:val="1"/>
    <w:autoRedefine/>
    <w:qFormat/>
    <w:uiPriority w:val="0"/>
    <w:pPr>
      <w:keepNext/>
      <w:keepLines/>
      <w:spacing w:before="260" w:after="260" w:line="416" w:lineRule="auto"/>
      <w:outlineLvl w:val="2"/>
    </w:pPr>
    <w:rPr>
      <w:b/>
      <w:bCs/>
      <w:sz w:val="32"/>
      <w:szCs w:val="32"/>
    </w:rPr>
  </w:style>
  <w:style w:type="character" w:customStyle="1" w:styleId="51">
    <w:name w:val="标题 1 字符"/>
    <w:link w:val="2"/>
    <w:qFormat/>
    <w:uiPriority w:val="9"/>
    <w:rPr>
      <w:rFonts w:ascii="Arial" w:hAnsi="Arial" w:eastAsia="Arial" w:cs="Arial"/>
      <w:sz w:val="40"/>
      <w:szCs w:val="40"/>
    </w:rPr>
  </w:style>
  <w:style w:type="character" w:customStyle="1" w:styleId="52">
    <w:name w:val="标题 2 字符"/>
    <w:link w:val="3"/>
    <w:qFormat/>
    <w:uiPriority w:val="9"/>
    <w:rPr>
      <w:rFonts w:ascii="Arial" w:hAnsi="Arial" w:eastAsia="Arial" w:cs="Arial"/>
      <w:sz w:val="34"/>
    </w:rPr>
  </w:style>
  <w:style w:type="character" w:customStyle="1" w:styleId="53">
    <w:name w:val="标题 3 字符"/>
    <w:link w:val="4"/>
    <w:qFormat/>
    <w:uiPriority w:val="9"/>
    <w:rPr>
      <w:rFonts w:ascii="Arial" w:hAnsi="Arial" w:eastAsia="Arial" w:cs="Arial"/>
      <w:sz w:val="30"/>
      <w:szCs w:val="30"/>
    </w:rPr>
  </w:style>
  <w:style w:type="character" w:customStyle="1" w:styleId="54">
    <w:name w:val="标题 4 字符"/>
    <w:link w:val="6"/>
    <w:qFormat/>
    <w:uiPriority w:val="9"/>
    <w:rPr>
      <w:rFonts w:ascii="Arial" w:hAnsi="Arial" w:eastAsia="Arial" w:cs="Arial"/>
      <w:b/>
      <w:bCs/>
      <w:sz w:val="26"/>
      <w:szCs w:val="26"/>
    </w:rPr>
  </w:style>
  <w:style w:type="character" w:customStyle="1" w:styleId="55">
    <w:name w:val="标题 5 字符"/>
    <w:link w:val="7"/>
    <w:qFormat/>
    <w:uiPriority w:val="9"/>
    <w:rPr>
      <w:rFonts w:ascii="Arial" w:hAnsi="Arial" w:eastAsia="Arial" w:cs="Arial"/>
      <w:b/>
      <w:bCs/>
      <w:sz w:val="24"/>
      <w:szCs w:val="24"/>
    </w:rPr>
  </w:style>
  <w:style w:type="character" w:customStyle="1" w:styleId="56">
    <w:name w:val="标题 6 字符"/>
    <w:link w:val="8"/>
    <w:qFormat/>
    <w:uiPriority w:val="9"/>
    <w:rPr>
      <w:rFonts w:ascii="Arial" w:hAnsi="Arial" w:eastAsia="Arial" w:cs="Arial"/>
      <w:b/>
      <w:bCs/>
      <w:sz w:val="22"/>
      <w:szCs w:val="22"/>
    </w:rPr>
  </w:style>
  <w:style w:type="character" w:customStyle="1" w:styleId="57">
    <w:name w:val="标题 7 字符"/>
    <w:link w:val="9"/>
    <w:qFormat/>
    <w:uiPriority w:val="9"/>
    <w:rPr>
      <w:rFonts w:ascii="Arial" w:hAnsi="Arial" w:eastAsia="Arial" w:cs="Arial"/>
      <w:b/>
      <w:bCs/>
      <w:i/>
      <w:iCs/>
      <w:sz w:val="22"/>
      <w:szCs w:val="22"/>
    </w:rPr>
  </w:style>
  <w:style w:type="character" w:customStyle="1" w:styleId="58">
    <w:name w:val="标题 8 字符"/>
    <w:link w:val="10"/>
    <w:qFormat/>
    <w:uiPriority w:val="9"/>
    <w:rPr>
      <w:rFonts w:ascii="Arial" w:hAnsi="Arial" w:eastAsia="Arial" w:cs="Arial"/>
      <w:i/>
      <w:iCs/>
      <w:sz w:val="22"/>
      <w:szCs w:val="22"/>
    </w:rPr>
  </w:style>
  <w:style w:type="character" w:customStyle="1" w:styleId="59">
    <w:name w:val="标题 9 字符"/>
    <w:link w:val="11"/>
    <w:qFormat/>
    <w:uiPriority w:val="9"/>
    <w:rPr>
      <w:rFonts w:ascii="Arial" w:hAnsi="Arial" w:eastAsia="Arial" w:cs="Arial"/>
      <w:i/>
      <w:iCs/>
      <w:sz w:val="21"/>
      <w:szCs w:val="21"/>
    </w:rPr>
  </w:style>
  <w:style w:type="paragraph" w:styleId="60">
    <w:name w:val="No Spacing"/>
    <w:qFormat/>
    <w:uiPriority w:val="1"/>
    <w:rPr>
      <w:rFonts w:ascii="Calibri" w:hAnsi="Calibri" w:eastAsia="宋体" w:cs="Times New Roman"/>
      <w:lang w:val="en-US" w:eastAsia="zh-CN" w:bidi="ar-SA"/>
    </w:rPr>
  </w:style>
  <w:style w:type="character" w:customStyle="1" w:styleId="61">
    <w:name w:val="标题 字符"/>
    <w:link w:val="37"/>
    <w:qFormat/>
    <w:uiPriority w:val="10"/>
    <w:rPr>
      <w:sz w:val="48"/>
      <w:szCs w:val="48"/>
    </w:rPr>
  </w:style>
  <w:style w:type="character" w:customStyle="1" w:styleId="62">
    <w:name w:val="副标题 字符"/>
    <w:link w:val="30"/>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字符"/>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字符"/>
    <w:link w:val="65"/>
    <w:qFormat/>
    <w:uiPriority w:val="30"/>
    <w:rPr>
      <w:i/>
    </w:rPr>
  </w:style>
  <w:style w:type="character" w:customStyle="1" w:styleId="67">
    <w:name w:val="页眉 字符"/>
    <w:link w:val="27"/>
    <w:qFormat/>
    <w:uiPriority w:val="99"/>
  </w:style>
  <w:style w:type="character" w:customStyle="1" w:styleId="68">
    <w:name w:val="Footer Char"/>
    <w:qFormat/>
    <w:uiPriority w:val="99"/>
  </w:style>
  <w:style w:type="character" w:customStyle="1" w:styleId="69">
    <w:name w:val="页脚 字符"/>
    <w:link w:val="25"/>
    <w:qFormat/>
    <w:uiPriority w:val="99"/>
  </w:style>
  <w:style w:type="table" w:customStyle="1" w:styleId="7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0">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5">
    <w:name w:val="脚注文本 字符"/>
    <w:link w:val="31"/>
    <w:qFormat/>
    <w:uiPriority w:val="99"/>
    <w:rPr>
      <w:sz w:val="18"/>
    </w:rPr>
  </w:style>
  <w:style w:type="character" w:customStyle="1" w:styleId="196">
    <w:name w:val="尾注文本 字符"/>
    <w:link w:val="24"/>
    <w:qFormat/>
    <w:uiPriority w:val="99"/>
    <w:rPr>
      <w:sz w:val="20"/>
    </w:rPr>
  </w:style>
  <w:style w:type="paragraph" w:customStyle="1" w:styleId="197">
    <w:name w:val="TOC 标题1"/>
    <w:unhideWhenUsed/>
    <w:qFormat/>
    <w:uiPriority w:val="39"/>
    <w:rPr>
      <w:rFonts w:ascii="Calibri" w:hAnsi="Calibri" w:eastAsia="宋体" w:cs="Times New Roman"/>
      <w:lang w:val="en-US" w:eastAsia="zh-CN" w:bidi="ar-SA"/>
    </w:rPr>
  </w:style>
  <w:style w:type="paragraph" w:customStyle="1" w:styleId="198">
    <w:name w:val="正文首行缩进 21"/>
    <w:basedOn w:val="199"/>
    <w:qFormat/>
    <w:uiPriority w:val="99"/>
    <w:pPr>
      <w:spacing w:line="360" w:lineRule="auto"/>
      <w:ind w:firstLine="420"/>
    </w:pPr>
    <w:rPr>
      <w:rFonts w:ascii="宋体" w:hAnsi="宋体" w:eastAsia="宋体"/>
      <w:sz w:val="21"/>
      <w:szCs w:val="20"/>
    </w:rPr>
  </w:style>
  <w:style w:type="paragraph" w:customStyle="1" w:styleId="199">
    <w:name w:val="正文文本缩进1"/>
    <w:basedOn w:val="1"/>
    <w:qFormat/>
    <w:uiPriority w:val="0"/>
    <w:pPr>
      <w:spacing w:line="360" w:lineRule="auto"/>
      <w:ind w:firstLine="600"/>
    </w:pPr>
    <w:rPr>
      <w:rFonts w:ascii="仿宋_GB2312" w:eastAsia="仿宋_GB2312"/>
      <w:sz w:val="30"/>
    </w:rPr>
  </w:style>
  <w:style w:type="paragraph" w:customStyle="1" w:styleId="200">
    <w:name w:val="正文首行缩进1"/>
    <w:basedOn w:val="1"/>
    <w:next w:val="1"/>
    <w:qFormat/>
    <w:uiPriority w:val="0"/>
    <w:pPr>
      <w:ind w:firstLine="420"/>
    </w:pPr>
    <w:rPr>
      <w:sz w:val="21"/>
      <w:szCs w:val="24"/>
    </w:rPr>
  </w:style>
  <w:style w:type="paragraph" w:customStyle="1" w:styleId="201">
    <w:name w:val="Default"/>
    <w:qFormat/>
    <w:uiPriority w:val="0"/>
    <w:pPr>
      <w:widowControl w:val="0"/>
    </w:pPr>
    <w:rPr>
      <w:rFonts w:ascii="仿宋_GB2312" w:hAnsi="Times New Roman" w:eastAsia="仿宋_GB2312" w:cs="仿宋_GB2312"/>
      <w:color w:val="000000"/>
      <w:sz w:val="24"/>
      <w:szCs w:val="24"/>
      <w:lang w:val="en-US" w:eastAsia="zh-CN" w:bidi="ar-SA"/>
    </w:rPr>
  </w:style>
  <w:style w:type="paragraph" w:customStyle="1" w:styleId="202">
    <w:name w:val="普通正文"/>
    <w:basedOn w:val="1"/>
    <w:qFormat/>
    <w:uiPriority w:val="99"/>
    <w:pPr>
      <w:spacing w:before="120" w:after="120" w:line="360" w:lineRule="auto"/>
      <w:ind w:firstLine="480"/>
      <w:jc w:val="left"/>
    </w:pPr>
    <w:rPr>
      <w:rFonts w:ascii="Arial" w:hAnsi="Arial"/>
      <w:sz w:val="24"/>
      <w:szCs w:val="24"/>
    </w:rPr>
  </w:style>
  <w:style w:type="paragraph" w:styleId="203">
    <w:name w:val="List Paragraph"/>
    <w:basedOn w:val="1"/>
    <w:qFormat/>
    <w:uiPriority w:val="0"/>
    <w:pPr>
      <w:ind w:firstLine="420"/>
    </w:pPr>
    <w:rPr>
      <w:sz w:val="21"/>
    </w:rPr>
  </w:style>
  <w:style w:type="paragraph" w:customStyle="1" w:styleId="204">
    <w:name w:val="列出段落1"/>
    <w:basedOn w:val="1"/>
    <w:qFormat/>
    <w:uiPriority w:val="0"/>
    <w:pPr>
      <w:widowControl/>
      <w:ind w:left="720"/>
      <w:contextualSpacing/>
      <w:jc w:val="left"/>
    </w:pPr>
    <w:rPr>
      <w:sz w:val="24"/>
      <w:szCs w:val="24"/>
      <w:lang w:eastAsia="en-US" w:bidi="en-US"/>
    </w:rPr>
  </w:style>
  <w:style w:type="paragraph" w:customStyle="1" w:styleId="205">
    <w:name w:val="Char"/>
    <w:basedOn w:val="1"/>
    <w:qFormat/>
    <w:uiPriority w:val="0"/>
    <w:pPr>
      <w:tabs>
        <w:tab w:val="left" w:pos="360"/>
      </w:tabs>
      <w:ind w:firstLine="200"/>
    </w:pPr>
    <w:rPr>
      <w:szCs w:val="30"/>
    </w:rPr>
  </w:style>
  <w:style w:type="character" w:customStyle="1" w:styleId="206">
    <w:name w:val="NormalCharacter1"/>
    <w:qFormat/>
    <w:uiPriority w:val="0"/>
  </w:style>
  <w:style w:type="character" w:customStyle="1" w:styleId="207">
    <w:name w:val="apple-converted-space"/>
    <w:basedOn w:val="42"/>
    <w:qFormat/>
    <w:uiPriority w:val="0"/>
  </w:style>
  <w:style w:type="paragraph" w:customStyle="1" w:styleId="208">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09">
    <w:name w:val="普通(网站)111"/>
    <w:basedOn w:val="1"/>
    <w:qFormat/>
    <w:uiPriority w:val="0"/>
    <w:pPr>
      <w:spacing w:beforeAutospacing="1" w:afterAutospacing="1"/>
      <w:jc w:val="left"/>
    </w:pPr>
    <w:rPr>
      <w:sz w:val="24"/>
    </w:rPr>
  </w:style>
  <w:style w:type="paragraph" w:customStyle="1" w:styleId="210">
    <w:name w:val="正文缩进11"/>
    <w:basedOn w:val="1"/>
    <w:qFormat/>
    <w:uiPriority w:val="0"/>
    <w:rPr>
      <w:szCs w:val="20"/>
    </w:rPr>
  </w:style>
  <w:style w:type="paragraph" w:customStyle="1" w:styleId="211">
    <w:name w:val="标题 311"/>
    <w:basedOn w:val="1"/>
    <w:next w:val="1"/>
    <w:qFormat/>
    <w:uiPriority w:val="0"/>
    <w:pPr>
      <w:keepNext/>
      <w:keepLines/>
      <w:spacing w:before="260" w:after="260" w:line="416" w:lineRule="auto"/>
      <w:outlineLvl w:val="2"/>
    </w:pPr>
    <w:rPr>
      <w:b/>
      <w:sz w:val="32"/>
      <w:szCs w:val="20"/>
    </w:rPr>
  </w:style>
  <w:style w:type="paragraph" w:customStyle="1" w:styleId="212">
    <w:name w:val="标题 21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13">
    <w:name w:val="文本块1"/>
    <w:basedOn w:val="1"/>
    <w:qFormat/>
    <w:uiPriority w:val="99"/>
    <w:pPr>
      <w:tabs>
        <w:tab w:val="left" w:pos="9000"/>
      </w:tabs>
      <w:spacing w:after="120"/>
      <w:ind w:left="1440" w:right="1440"/>
    </w:pPr>
  </w:style>
  <w:style w:type="paragraph" w:customStyle="1" w:styleId="214">
    <w:name w:val="普通(网站)11"/>
    <w:basedOn w:val="1"/>
    <w:unhideWhenUsed/>
    <w:qFormat/>
    <w:uiPriority w:val="0"/>
    <w:pPr>
      <w:widowControl/>
      <w:spacing w:before="100" w:beforeAutospacing="1" w:after="100" w:afterAutospacing="1"/>
      <w:ind w:firstLine="5742"/>
      <w:jc w:val="center"/>
    </w:pPr>
    <w:rPr>
      <w:rFonts w:ascii="宋体" w:hAnsi="宋体"/>
      <w:b/>
      <w:sz w:val="44"/>
    </w:rPr>
  </w:style>
  <w:style w:type="character" w:customStyle="1" w:styleId="215">
    <w:name w:val="NormalCharacter11"/>
    <w:qFormat/>
    <w:uiPriority w:val="99"/>
    <w:rPr>
      <w:rFonts w:ascii="Calibri" w:hAnsi="Calibri" w:eastAsia="宋体"/>
    </w:rPr>
  </w:style>
  <w:style w:type="paragraph" w:customStyle="1" w:styleId="216">
    <w:name w:val="Heading11"/>
    <w:basedOn w:val="1"/>
    <w:qFormat/>
    <w:uiPriority w:val="0"/>
    <w:rPr>
      <w:rFonts w:ascii="等线 Light" w:eastAsia="等线 Light"/>
      <w:szCs w:val="20"/>
    </w:rPr>
  </w:style>
  <w:style w:type="paragraph" w:customStyle="1" w:styleId="217">
    <w:name w:val="正文样式"/>
    <w:basedOn w:val="1"/>
    <w:qFormat/>
    <w:uiPriority w:val="7"/>
    <w:pPr>
      <w:ind w:firstLine="480"/>
    </w:pPr>
    <w:rPr>
      <w:sz w:val="24"/>
      <w:szCs w:val="24"/>
    </w:rPr>
  </w:style>
  <w:style w:type="character" w:customStyle="1" w:styleId="218">
    <w:name w:val="NormalCharacter"/>
    <w:qFormat/>
    <w:uiPriority w:val="0"/>
  </w:style>
  <w:style w:type="character" w:customStyle="1" w:styleId="219">
    <w:name w:val="正文文本 字符"/>
    <w:basedOn w:val="42"/>
    <w:link w:val="16"/>
    <w:qFormat/>
    <w:uiPriority w:val="0"/>
    <w:rPr>
      <w:rFonts w:asciiTheme="minorHAnsi" w:hAnsiTheme="minorHAnsi" w:eastAsiaTheme="minorEastAsia" w:cstheme="minorBidi"/>
      <w:kern w:val="2"/>
      <w:sz w:val="21"/>
      <w:szCs w:val="24"/>
    </w:rPr>
  </w:style>
  <w:style w:type="paragraph" w:customStyle="1" w:styleId="220">
    <w:name w:val="正文缩进1"/>
    <w:basedOn w:val="1"/>
    <w:qFormat/>
    <w:uiPriority w:val="0"/>
    <w:pPr>
      <w:ind w:firstLine="420"/>
    </w:pPr>
  </w:style>
  <w:style w:type="character" w:customStyle="1" w:styleId="221">
    <w:name w:val="font31"/>
    <w:basedOn w:val="42"/>
    <w:qFormat/>
    <w:uiPriority w:val="0"/>
    <w:rPr>
      <w:rFonts w:hint="eastAsia" w:ascii="宋体" w:hAnsi="宋体" w:eastAsia="宋体" w:cs="宋体"/>
      <w:b/>
      <w:bCs/>
      <w:color w:val="000000"/>
      <w:sz w:val="24"/>
      <w:szCs w:val="24"/>
      <w:u w:val="none"/>
    </w:rPr>
  </w:style>
  <w:style w:type="character" w:customStyle="1" w:styleId="222">
    <w:name w:val="font51"/>
    <w:basedOn w:val="42"/>
    <w:qFormat/>
    <w:uiPriority w:val="0"/>
    <w:rPr>
      <w:rFonts w:hint="eastAsia" w:ascii="宋体" w:hAnsi="宋体" w:eastAsia="宋体" w:cs="宋体"/>
      <w:color w:val="000000"/>
      <w:sz w:val="28"/>
      <w:szCs w:val="28"/>
      <w:u w:val="none"/>
    </w:rPr>
  </w:style>
  <w:style w:type="character" w:customStyle="1" w:styleId="223">
    <w:name w:val="font01"/>
    <w:basedOn w:val="42"/>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62</Pages>
  <Words>14055</Words>
  <Characters>15419</Characters>
  <Lines>198</Lines>
  <Paragraphs>55</Paragraphs>
  <TotalTime>130</TotalTime>
  <ScaleCrop>false</ScaleCrop>
  <LinksUpToDate>false</LinksUpToDate>
  <CharactersWithSpaces>15701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2024-10-05T08:46:00Z</dcterms:created>
  <dc:creator>Adminis</dc:creator>
  <cp:lastModifiedBy>王洪林</cp:lastModifiedBy>
  <cp:lastPrinted>2025-12-29T07:05:00Z</cp:lastPrinted>
  <dcterms:modified xsi:type="dcterms:W3CDTF">2026-05-19T06:05:00Z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A81627E94E3E4E99917E4373A8435F03_13</vt:lpwstr>
  </property>
  <property fmtid="{D5CDD505-2E9C-101B-9397-08002B2CF9AE}" pid="4" name="KSOTemplateDocerSaveRecord">
    <vt:lpwstr>eyJoZGlkIjoiZWQ2NDZhYjNhNTVjNDhmZTMwYzExZDFmNzgxMTE2NmQiLCJ1c2VySWQiOiI3MjMzNTE5ODgifQ==</vt:lpwstr>
  </property>
</Properties>
</file>