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0AE7A5">
      <w:pPr>
        <w:rPr>
          <w:rFonts w:ascii="宋体" w:hAnsi="宋体" w:cs="宋体"/>
          <w:b/>
          <w:bCs/>
          <w:sz w:val="84"/>
          <w:szCs w:val="84"/>
          <w:highlight w:val="none"/>
        </w:rPr>
      </w:pPr>
    </w:p>
    <w:p w14:paraId="0E614B85">
      <w:pPr>
        <w:jc w:val="center"/>
        <w:rPr>
          <w:rFonts w:ascii="宋体" w:hAnsi="宋体" w:cs="宋体"/>
          <w:b/>
          <w:bCs/>
          <w:sz w:val="84"/>
          <w:szCs w:val="84"/>
          <w:highlight w:val="none"/>
        </w:rPr>
      </w:pPr>
      <w:r>
        <w:rPr>
          <w:rFonts w:hint="eastAsia" w:ascii="宋体" w:hAnsi="宋体" w:cs="宋体"/>
          <w:b/>
          <w:bCs/>
          <w:sz w:val="84"/>
          <w:szCs w:val="84"/>
          <w:highlight w:val="none"/>
        </w:rPr>
        <w:t>招 标 文 件</w:t>
      </w:r>
    </w:p>
    <w:p w14:paraId="7DD9E602">
      <w:pPr>
        <w:jc w:val="center"/>
        <w:rPr>
          <w:rFonts w:ascii="宋体" w:hAnsi="宋体" w:cs="宋体"/>
          <w:sz w:val="32"/>
          <w:szCs w:val="32"/>
          <w:highlight w:val="none"/>
        </w:rPr>
      </w:pPr>
    </w:p>
    <w:p w14:paraId="5F6EF030">
      <w:pPr>
        <w:rPr>
          <w:rFonts w:ascii="宋体" w:hAnsi="宋体" w:cs="宋体"/>
          <w:sz w:val="36"/>
          <w:szCs w:val="36"/>
          <w:highlight w:val="none"/>
        </w:rPr>
      </w:pPr>
    </w:p>
    <w:p w14:paraId="629F9AA9">
      <w:pPr>
        <w:pStyle w:val="7"/>
        <w:rPr>
          <w:highlight w:val="none"/>
        </w:rPr>
      </w:pPr>
    </w:p>
    <w:p w14:paraId="3A9422BE">
      <w:pPr>
        <w:rPr>
          <w:highlight w:val="none"/>
        </w:rPr>
      </w:pPr>
    </w:p>
    <w:p w14:paraId="15F8D9E9">
      <w:pPr>
        <w:spacing w:line="360" w:lineRule="auto"/>
        <w:jc w:val="center"/>
        <w:rPr>
          <w:rFonts w:ascii="宋体" w:hAnsi="宋体" w:cs="宋体"/>
          <w:b/>
          <w:sz w:val="32"/>
          <w:szCs w:val="32"/>
          <w:highlight w:val="none"/>
        </w:rPr>
      </w:pPr>
      <w:r>
        <w:rPr>
          <w:rFonts w:hint="eastAsia" w:ascii="宋体" w:hAnsi="宋体" w:cs="宋体"/>
          <w:b/>
          <w:sz w:val="32"/>
          <w:szCs w:val="32"/>
          <w:highlight w:val="none"/>
        </w:rPr>
        <w:t xml:space="preserve"> 项目名称：警务中心智能化系统维保项目</w:t>
      </w:r>
    </w:p>
    <w:p w14:paraId="724C9A89">
      <w:pPr>
        <w:spacing w:line="360" w:lineRule="auto"/>
        <w:rPr>
          <w:rFonts w:hint="eastAsia" w:ascii="宋体" w:hAnsi="宋体" w:cs="宋体"/>
          <w:b/>
          <w:sz w:val="32"/>
          <w:szCs w:val="32"/>
          <w:highlight w:val="none"/>
        </w:rPr>
      </w:pPr>
    </w:p>
    <w:p w14:paraId="10EF0339">
      <w:pPr>
        <w:spacing w:line="240" w:lineRule="auto"/>
        <w:ind w:firstLine="1928" w:firstLineChars="600"/>
        <w:rPr>
          <w:rFonts w:ascii="宋体" w:hAnsi="宋体" w:cs="宋体"/>
          <w:b/>
          <w:sz w:val="32"/>
          <w:szCs w:val="32"/>
          <w:highlight w:val="none"/>
        </w:rPr>
      </w:pPr>
      <w:r>
        <w:rPr>
          <w:rFonts w:hint="eastAsia" w:ascii="宋体" w:hAnsi="宋体" w:cs="宋体"/>
          <w:b/>
          <w:sz w:val="32"/>
          <w:szCs w:val="32"/>
          <w:highlight w:val="none"/>
        </w:rPr>
        <w:t>项目编号：JSZC-320991-YLGC-G2025-0001</w:t>
      </w:r>
    </w:p>
    <w:p w14:paraId="7CE6EB8D">
      <w:pPr>
        <w:jc w:val="center"/>
        <w:rPr>
          <w:rFonts w:ascii="宋体" w:hAnsi="宋体" w:cs="宋体"/>
          <w:sz w:val="30"/>
          <w:szCs w:val="30"/>
          <w:highlight w:val="none"/>
        </w:rPr>
      </w:pPr>
    </w:p>
    <w:p w14:paraId="3F35AB23">
      <w:pPr>
        <w:jc w:val="center"/>
        <w:rPr>
          <w:rFonts w:ascii="宋体" w:hAnsi="宋体" w:cs="宋体"/>
          <w:sz w:val="30"/>
          <w:szCs w:val="30"/>
          <w:highlight w:val="none"/>
        </w:rPr>
      </w:pPr>
    </w:p>
    <w:p w14:paraId="23CE275B">
      <w:pPr>
        <w:jc w:val="center"/>
        <w:rPr>
          <w:rFonts w:ascii="宋体" w:hAnsi="宋体" w:cs="宋体"/>
          <w:sz w:val="30"/>
          <w:szCs w:val="30"/>
          <w:highlight w:val="none"/>
        </w:rPr>
      </w:pPr>
    </w:p>
    <w:p w14:paraId="4381ACCD">
      <w:pPr>
        <w:pStyle w:val="312"/>
        <w:ind w:firstLine="420"/>
        <w:rPr>
          <w:rFonts w:ascii="宋体" w:hAnsi="宋体" w:cs="宋体"/>
          <w:highlight w:val="none"/>
        </w:rPr>
      </w:pPr>
    </w:p>
    <w:p w14:paraId="24BE9DA6">
      <w:pPr>
        <w:pStyle w:val="312"/>
        <w:ind w:firstLine="0"/>
        <w:rPr>
          <w:rFonts w:ascii="宋体" w:hAnsi="宋体" w:cs="宋体"/>
          <w:highlight w:val="none"/>
        </w:rPr>
      </w:pPr>
    </w:p>
    <w:p w14:paraId="4AEC0A6F">
      <w:pPr>
        <w:spacing w:line="360" w:lineRule="auto"/>
        <w:ind w:firstLine="1285"/>
        <w:rPr>
          <w:rFonts w:ascii="宋体" w:hAnsi="宋体" w:cs="宋体"/>
          <w:b/>
          <w:bCs/>
          <w:sz w:val="32"/>
          <w:szCs w:val="32"/>
          <w:highlight w:val="none"/>
        </w:rPr>
      </w:pPr>
    </w:p>
    <w:p w14:paraId="4716E41F">
      <w:pPr>
        <w:spacing w:line="360" w:lineRule="auto"/>
        <w:ind w:firstLine="1285"/>
        <w:rPr>
          <w:rFonts w:ascii="宋体" w:hAnsi="宋体" w:cs="宋体"/>
          <w:b/>
          <w:bCs/>
          <w:sz w:val="32"/>
          <w:szCs w:val="32"/>
          <w:highlight w:val="none"/>
        </w:rPr>
      </w:pPr>
    </w:p>
    <w:p w14:paraId="050E9980">
      <w:pPr>
        <w:spacing w:line="360" w:lineRule="auto"/>
        <w:ind w:firstLine="1285"/>
        <w:rPr>
          <w:rFonts w:ascii="宋体" w:hAnsi="宋体" w:cs="宋体"/>
          <w:b/>
          <w:sz w:val="32"/>
          <w:szCs w:val="32"/>
          <w:highlight w:val="none"/>
        </w:rPr>
      </w:pPr>
    </w:p>
    <w:p w14:paraId="5F8F4835">
      <w:pPr>
        <w:spacing w:line="360" w:lineRule="auto"/>
        <w:ind w:firstLine="1285"/>
        <w:rPr>
          <w:rFonts w:hint="eastAsia" w:ascii="宋体" w:hAnsi="宋体" w:eastAsia="宋体" w:cs="宋体"/>
          <w:b/>
          <w:bCs/>
          <w:sz w:val="32"/>
          <w:szCs w:val="32"/>
          <w:highlight w:val="none"/>
          <w:lang w:eastAsia="zh-CN"/>
        </w:rPr>
      </w:pPr>
      <w:r>
        <w:rPr>
          <w:rFonts w:hint="eastAsia" w:ascii="宋体" w:hAnsi="宋体" w:cs="宋体"/>
          <w:b/>
          <w:sz w:val="32"/>
          <w:szCs w:val="32"/>
          <w:highlight w:val="none"/>
        </w:rPr>
        <w:t>采购单位：</w:t>
      </w:r>
      <w:r>
        <w:rPr>
          <w:rFonts w:hint="eastAsia" w:ascii="宋体" w:hAnsi="宋体" w:cs="宋体"/>
          <w:b/>
          <w:sz w:val="32"/>
          <w:szCs w:val="32"/>
          <w:highlight w:val="none"/>
          <w:lang w:eastAsia="zh-CN"/>
        </w:rPr>
        <w:t>盐城市公安局盐城经济技术开发区分局</w:t>
      </w:r>
    </w:p>
    <w:p w14:paraId="402D65C7">
      <w:pPr>
        <w:spacing w:line="360" w:lineRule="auto"/>
        <w:ind w:firstLine="1285"/>
        <w:jc w:val="center"/>
        <w:rPr>
          <w:rFonts w:ascii="宋体" w:hAnsi="宋体" w:cs="宋体"/>
          <w:b/>
          <w:sz w:val="32"/>
          <w:szCs w:val="32"/>
          <w:highlight w:val="none"/>
        </w:rPr>
      </w:pPr>
    </w:p>
    <w:p w14:paraId="194D2AE6">
      <w:pPr>
        <w:spacing w:line="360" w:lineRule="auto"/>
        <w:jc w:val="center"/>
        <w:rPr>
          <w:b/>
          <w:bCs/>
          <w:sz w:val="30"/>
          <w:szCs w:val="30"/>
          <w:highlight w:val="none"/>
        </w:rPr>
      </w:pPr>
      <w:r>
        <w:rPr>
          <w:rFonts w:hint="eastAsia" w:ascii="宋体" w:hAnsi="宋体" w:cs="宋体"/>
          <w:b/>
          <w:sz w:val="32"/>
          <w:szCs w:val="32"/>
          <w:highlight w:val="none"/>
        </w:rPr>
        <w:t>2025</w:t>
      </w:r>
      <w:r>
        <w:rPr>
          <w:rFonts w:ascii="宋体" w:hAnsi="宋体" w:cs="宋体"/>
          <w:b/>
          <w:sz w:val="32"/>
          <w:szCs w:val="32"/>
          <w:highlight w:val="none"/>
        </w:rPr>
        <w:t>年</w:t>
      </w:r>
      <w:r>
        <w:rPr>
          <w:rFonts w:hint="eastAsia" w:ascii="宋体" w:hAnsi="宋体" w:cs="宋体"/>
          <w:b/>
          <w:sz w:val="32"/>
          <w:szCs w:val="32"/>
          <w:highlight w:val="none"/>
          <w:lang w:val="en-US" w:eastAsia="zh-CN"/>
        </w:rPr>
        <w:t>12</w:t>
      </w:r>
      <w:r>
        <w:rPr>
          <w:rFonts w:ascii="宋体" w:hAnsi="宋体" w:cs="宋体"/>
          <w:b/>
          <w:sz w:val="32"/>
          <w:szCs w:val="32"/>
          <w:highlight w:val="none"/>
        </w:rPr>
        <w:t>月</w:t>
      </w:r>
    </w:p>
    <w:p w14:paraId="7BD94476">
      <w:pPr>
        <w:spacing w:line="576" w:lineRule="exact"/>
        <w:rPr>
          <w:rFonts w:ascii="宋体" w:hAnsi="宋体" w:cs="宋体"/>
          <w:sz w:val="44"/>
          <w:szCs w:val="44"/>
          <w:highlight w:val="none"/>
        </w:rPr>
      </w:pPr>
    </w:p>
    <w:p w14:paraId="55E8E240">
      <w:pPr>
        <w:tabs>
          <w:tab w:val="left" w:pos="7474"/>
        </w:tabs>
        <w:spacing w:line="576" w:lineRule="exact"/>
        <w:jc w:val="left"/>
        <w:rPr>
          <w:highlight w:val="none"/>
        </w:rPr>
        <w:sectPr>
          <w:footerReference r:id="rId3" w:type="default"/>
          <w:pgSz w:w="11906" w:h="16838"/>
          <w:pgMar w:top="1134" w:right="1247" w:bottom="1134" w:left="1247" w:header="851" w:footer="992" w:gutter="0"/>
          <w:pgNumType w:fmt="numberInDash"/>
          <w:cols w:space="720" w:num="1"/>
          <w:docGrid w:type="lines" w:linePitch="312" w:charSpace="0"/>
        </w:sectPr>
      </w:pPr>
    </w:p>
    <w:p w14:paraId="05233B60">
      <w:pPr>
        <w:tabs>
          <w:tab w:val="left" w:pos="7474"/>
        </w:tabs>
        <w:spacing w:line="576" w:lineRule="exact"/>
        <w:jc w:val="left"/>
        <w:rPr>
          <w:rFonts w:ascii="宋体" w:hAnsi="宋体" w:cs="宋体"/>
          <w:sz w:val="44"/>
          <w:szCs w:val="44"/>
          <w:highlight w:val="none"/>
        </w:rPr>
      </w:pPr>
      <w:r>
        <w:rPr>
          <w:highlight w:val="none"/>
        </w:rPr>
        <w:tab/>
      </w:r>
    </w:p>
    <w:p w14:paraId="3DA30282">
      <w:pPr>
        <w:spacing w:line="576" w:lineRule="exact"/>
        <w:jc w:val="center"/>
        <w:rPr>
          <w:rFonts w:ascii="宋体" w:hAnsi="宋体" w:cs="宋体"/>
          <w:sz w:val="44"/>
          <w:szCs w:val="44"/>
          <w:highlight w:val="none"/>
        </w:rPr>
      </w:pPr>
    </w:p>
    <w:p w14:paraId="7FEC77AB">
      <w:pPr>
        <w:spacing w:line="576" w:lineRule="exact"/>
        <w:jc w:val="center"/>
        <w:rPr>
          <w:rFonts w:ascii="宋体" w:hAnsi="宋体" w:cs="宋体"/>
          <w:sz w:val="44"/>
          <w:szCs w:val="44"/>
          <w:highlight w:val="none"/>
        </w:rPr>
      </w:pPr>
      <w:r>
        <w:rPr>
          <w:rFonts w:hint="eastAsia" w:ascii="宋体" w:hAnsi="宋体" w:cs="宋体"/>
          <w:sz w:val="44"/>
          <w:szCs w:val="44"/>
          <w:highlight w:val="none"/>
        </w:rPr>
        <w:t>目  录</w:t>
      </w:r>
    </w:p>
    <w:p w14:paraId="6FD1B24D">
      <w:pPr>
        <w:spacing w:line="576" w:lineRule="exact"/>
        <w:jc w:val="left"/>
        <w:rPr>
          <w:rFonts w:ascii="宋体" w:hAnsi="宋体" w:cs="宋体"/>
          <w:sz w:val="28"/>
          <w:szCs w:val="28"/>
          <w:highlight w:val="none"/>
        </w:rPr>
      </w:pPr>
    </w:p>
    <w:p w14:paraId="539C73D8">
      <w:pPr>
        <w:spacing w:line="720" w:lineRule="auto"/>
        <w:jc w:val="lef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 第一部分  投标公告………………………………………………</w:t>
      </w:r>
      <w:r>
        <w:rPr>
          <w:rFonts w:hint="eastAsia" w:ascii="宋体" w:hAnsi="宋体" w:cs="宋体"/>
          <w:sz w:val="30"/>
          <w:szCs w:val="30"/>
          <w:highlight w:val="none"/>
          <w:lang w:val="en-US" w:eastAsia="zh-CN"/>
        </w:rPr>
        <w:t>1</w:t>
      </w:r>
    </w:p>
    <w:p w14:paraId="065A02A0">
      <w:pPr>
        <w:spacing w:line="720" w:lineRule="auto"/>
        <w:jc w:val="lef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 第二部分  投标人须知……………………………………………</w:t>
      </w:r>
      <w:r>
        <w:rPr>
          <w:rFonts w:hint="eastAsia" w:ascii="宋体" w:hAnsi="宋体" w:cs="宋体"/>
          <w:sz w:val="30"/>
          <w:szCs w:val="30"/>
          <w:highlight w:val="none"/>
          <w:lang w:val="en-US" w:eastAsia="zh-CN"/>
        </w:rPr>
        <w:t>5</w:t>
      </w:r>
    </w:p>
    <w:p w14:paraId="7E5C7CD5">
      <w:pPr>
        <w:spacing w:line="720" w:lineRule="auto"/>
        <w:jc w:val="left"/>
        <w:rPr>
          <w:rStyle w:val="90"/>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 第三部分  合同文本 ……………………………………………1</w:t>
      </w:r>
      <w:r>
        <w:rPr>
          <w:rFonts w:hint="eastAsia" w:ascii="宋体" w:hAnsi="宋体" w:cs="宋体"/>
          <w:sz w:val="30"/>
          <w:szCs w:val="30"/>
          <w:highlight w:val="none"/>
          <w:lang w:val="en-US" w:eastAsia="zh-CN"/>
        </w:rPr>
        <w:t>8</w:t>
      </w:r>
    </w:p>
    <w:p w14:paraId="7DC594A3">
      <w:pPr>
        <w:spacing w:line="720" w:lineRule="auto"/>
        <w:jc w:val="lef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 第四部分  采购需求 ……………………………………………2</w:t>
      </w:r>
      <w:r>
        <w:rPr>
          <w:rFonts w:hint="eastAsia" w:ascii="宋体" w:hAnsi="宋体" w:cs="宋体"/>
          <w:sz w:val="30"/>
          <w:szCs w:val="30"/>
          <w:highlight w:val="none"/>
          <w:lang w:val="en-US" w:eastAsia="zh-CN"/>
        </w:rPr>
        <w:t>8</w:t>
      </w:r>
    </w:p>
    <w:p w14:paraId="11126CBB">
      <w:pPr>
        <w:spacing w:line="720" w:lineRule="auto"/>
        <w:jc w:val="left"/>
        <w:rPr>
          <w:rFonts w:hint="default" w:ascii="宋体" w:hAnsi="宋体" w:eastAsia="宋体" w:cs="宋体"/>
          <w:sz w:val="30"/>
          <w:szCs w:val="30"/>
          <w:highlight w:val="none"/>
          <w:lang w:val="en-US" w:eastAsia="zh-CN"/>
        </w:rPr>
      </w:pPr>
      <w:r>
        <w:rPr>
          <w:rFonts w:hint="eastAsia" w:ascii="宋体" w:hAnsi="宋体" w:cs="宋体"/>
          <w:sz w:val="30"/>
          <w:szCs w:val="30"/>
          <w:highlight w:val="none"/>
        </w:rPr>
        <w:t xml:space="preserve"> 第五部分  评标方式与评标标准…………………………………</w:t>
      </w:r>
      <w:r>
        <w:rPr>
          <w:rFonts w:hint="eastAsia" w:ascii="宋体" w:hAnsi="宋体" w:cs="宋体"/>
          <w:sz w:val="30"/>
          <w:szCs w:val="30"/>
          <w:highlight w:val="none"/>
          <w:lang w:val="en-US" w:eastAsia="zh-CN"/>
        </w:rPr>
        <w:t>35</w:t>
      </w:r>
    </w:p>
    <w:p w14:paraId="1C94EBBF">
      <w:pPr>
        <w:spacing w:line="720" w:lineRule="auto"/>
        <w:jc w:val="left"/>
        <w:rPr>
          <w:rFonts w:ascii="宋体" w:hAnsi="宋体" w:cs="宋体"/>
          <w:sz w:val="30"/>
          <w:szCs w:val="30"/>
          <w:highlight w:val="none"/>
        </w:rPr>
      </w:pPr>
      <w:r>
        <w:rPr>
          <w:rFonts w:hint="eastAsia" w:ascii="宋体" w:hAnsi="宋体" w:cs="宋体"/>
          <w:sz w:val="30"/>
          <w:szCs w:val="30"/>
          <w:highlight w:val="none"/>
        </w:rPr>
        <w:t xml:space="preserve"> 第六部分  投标文件格式…………………………………………</w:t>
      </w:r>
      <w:r>
        <w:rPr>
          <w:rFonts w:hint="eastAsia" w:ascii="宋体" w:hAnsi="宋体" w:cs="宋体"/>
          <w:sz w:val="30"/>
          <w:szCs w:val="30"/>
          <w:highlight w:val="none"/>
          <w:lang w:val="en-US" w:eastAsia="zh-CN"/>
        </w:rPr>
        <w:t>4</w:t>
      </w:r>
      <w:r>
        <w:rPr>
          <w:rFonts w:hint="eastAsia" w:ascii="宋体" w:hAnsi="宋体" w:cs="宋体"/>
          <w:sz w:val="30"/>
          <w:szCs w:val="30"/>
          <w:highlight w:val="none"/>
        </w:rPr>
        <w:t>0</w:t>
      </w:r>
    </w:p>
    <w:p w14:paraId="0E8B1467">
      <w:pPr>
        <w:spacing w:line="360" w:lineRule="auto"/>
        <w:jc w:val="center"/>
        <w:outlineLvl w:val="0"/>
        <w:rPr>
          <w:rFonts w:hint="eastAsia" w:ascii="宋体" w:hAnsi="宋体" w:cs="宋体"/>
          <w:b/>
          <w:bCs/>
          <w:sz w:val="32"/>
          <w:szCs w:val="32"/>
          <w:highlight w:val="none"/>
        </w:rPr>
        <w:sectPr>
          <w:footerReference r:id="rId4" w:type="default"/>
          <w:pgSz w:w="11906" w:h="16838"/>
          <w:pgMar w:top="1134" w:right="1247" w:bottom="1134" w:left="1247" w:header="851" w:footer="992" w:gutter="0"/>
          <w:pgNumType w:fmt="numberInDash" w:start="1"/>
          <w:cols w:space="720" w:num="1"/>
          <w:docGrid w:type="lines" w:linePitch="312" w:charSpace="0"/>
        </w:sectPr>
      </w:pPr>
    </w:p>
    <w:p w14:paraId="5C08F0FB">
      <w:pPr>
        <w:spacing w:line="360" w:lineRule="auto"/>
        <w:jc w:val="center"/>
        <w:outlineLvl w:val="0"/>
        <w:rPr>
          <w:rFonts w:ascii="宋体" w:hAnsi="宋体" w:cs="宋体"/>
          <w:b/>
          <w:bCs/>
          <w:sz w:val="32"/>
          <w:szCs w:val="32"/>
          <w:highlight w:val="none"/>
        </w:rPr>
      </w:pPr>
      <w:r>
        <w:rPr>
          <w:rFonts w:hint="eastAsia" w:ascii="宋体" w:hAnsi="宋体" w:cs="宋体"/>
          <w:b/>
          <w:bCs/>
          <w:sz w:val="32"/>
          <w:szCs w:val="32"/>
          <w:highlight w:val="none"/>
        </w:rPr>
        <w:t>第一部分  招标公告</w:t>
      </w:r>
    </w:p>
    <w:p w14:paraId="4E7A92E0">
      <w:pPr>
        <w:pBdr>
          <w:top w:val="single" w:color="000000" w:sz="4" w:space="1"/>
          <w:left w:val="single" w:color="000000" w:sz="4" w:space="4"/>
          <w:bottom w:val="single" w:color="000000" w:sz="4" w:space="1"/>
          <w:right w:val="single" w:color="000000" w:sz="4" w:space="4"/>
        </w:pBdr>
        <w:spacing w:line="360" w:lineRule="auto"/>
        <w:rPr>
          <w:rFonts w:ascii="宋体" w:hAnsi="宋体" w:cs="宋体"/>
          <w:sz w:val="24"/>
          <w:highlight w:val="none"/>
        </w:rPr>
      </w:pPr>
      <w:r>
        <w:rPr>
          <w:rFonts w:hint="eastAsia" w:ascii="宋体" w:hAnsi="宋体" w:cs="宋体"/>
          <w:sz w:val="24"/>
          <w:highlight w:val="none"/>
        </w:rPr>
        <w:t>项目概况</w:t>
      </w:r>
    </w:p>
    <w:p w14:paraId="09C94A4C">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s="宋体"/>
          <w:sz w:val="24"/>
          <w:highlight w:val="none"/>
        </w:rPr>
      </w:pPr>
      <w:r>
        <w:rPr>
          <w:rFonts w:hint="eastAsia" w:ascii="宋体" w:hAnsi="宋体" w:cs="宋体"/>
          <w:sz w:val="24"/>
          <w:highlight w:val="none"/>
          <w:u w:val="single"/>
        </w:rPr>
        <w:t>警务中心智能化系统维保项目（JSZC-320991-YLGC-G2025-0001）招标项目的潜在投标人</w:t>
      </w:r>
      <w:r>
        <w:rPr>
          <w:rFonts w:hint="eastAsia" w:ascii="宋体" w:hAnsi="宋体" w:cs="宋体"/>
          <w:sz w:val="24"/>
          <w:highlight w:val="none"/>
        </w:rPr>
        <w:t>可在“苏采云”系统内免费下载（投标人必须在苏采云系统中获取采购文件，方能参与政府采购项目）获取招标文件</w:t>
      </w:r>
      <w:r>
        <w:rPr>
          <w:rFonts w:hint="eastAsia" w:ascii="宋体" w:hAnsi="宋体" w:cs="宋体"/>
          <w:sz w:val="24"/>
          <w:highlight w:val="none"/>
          <w:u w:val="single"/>
        </w:rPr>
        <w:t>，并于202</w:t>
      </w:r>
      <w:r>
        <w:rPr>
          <w:rFonts w:hint="eastAsia" w:ascii="宋体" w:hAnsi="宋体" w:cs="宋体"/>
          <w:sz w:val="24"/>
          <w:highlight w:val="none"/>
          <w:u w:val="single"/>
          <w:lang w:val="en-US" w:eastAsia="zh-CN"/>
        </w:rPr>
        <w:t>6</w:t>
      </w:r>
      <w:r>
        <w:rPr>
          <w:rFonts w:hint="eastAsia" w:ascii="宋体" w:hAnsi="宋体" w:cs="宋体"/>
          <w:sz w:val="24"/>
          <w:highlight w:val="none"/>
          <w:u w:val="single"/>
        </w:rPr>
        <w:t>年0</w:t>
      </w:r>
      <w:r>
        <w:rPr>
          <w:rFonts w:hint="eastAsia" w:ascii="宋体" w:hAnsi="宋体" w:cs="宋体"/>
          <w:sz w:val="24"/>
          <w:highlight w:val="none"/>
          <w:u w:val="single"/>
          <w:lang w:val="en-US" w:eastAsia="zh-CN"/>
        </w:rPr>
        <w:t>1</w:t>
      </w:r>
      <w:r>
        <w:rPr>
          <w:rFonts w:hint="eastAsia" w:ascii="宋体" w:hAnsi="宋体" w:cs="宋体"/>
          <w:sz w:val="24"/>
          <w:highlight w:val="none"/>
          <w:u w:val="single"/>
        </w:rPr>
        <w:t>月</w:t>
      </w:r>
      <w:r>
        <w:rPr>
          <w:rFonts w:hint="eastAsia" w:ascii="宋体" w:hAnsi="宋体" w:cs="宋体"/>
          <w:sz w:val="24"/>
          <w:highlight w:val="none"/>
          <w:u w:val="single"/>
          <w:lang w:val="en-US" w:eastAsia="zh-CN"/>
        </w:rPr>
        <w:t>27</w:t>
      </w:r>
      <w:r>
        <w:rPr>
          <w:rFonts w:hint="eastAsia" w:ascii="宋体" w:hAnsi="宋体" w:cs="宋体"/>
          <w:sz w:val="24"/>
          <w:highlight w:val="none"/>
          <w:u w:val="single"/>
        </w:rPr>
        <w:t>日0</w:t>
      </w:r>
      <w:r>
        <w:rPr>
          <w:rFonts w:hint="eastAsia" w:ascii="宋体" w:hAnsi="宋体" w:cs="宋体"/>
          <w:sz w:val="24"/>
          <w:highlight w:val="none"/>
          <w:u w:val="single"/>
          <w:lang w:val="en-US" w:eastAsia="zh-CN"/>
        </w:rPr>
        <w:t>9</w:t>
      </w:r>
      <w:r>
        <w:rPr>
          <w:rFonts w:hint="eastAsia" w:ascii="宋体" w:hAnsi="宋体" w:cs="宋体"/>
          <w:sz w:val="24"/>
          <w:highlight w:val="none"/>
          <w:u w:val="single"/>
        </w:rPr>
        <w:t>:00（北京时间）前递交投标文件。</w:t>
      </w:r>
    </w:p>
    <w:p w14:paraId="532DE402">
      <w:pPr>
        <w:spacing w:line="440" w:lineRule="exact"/>
        <w:ind w:firstLine="482"/>
        <w:rPr>
          <w:rFonts w:ascii="宋体" w:hAnsi="宋体" w:cs="宋体"/>
          <w:b/>
          <w:bCs/>
          <w:sz w:val="24"/>
          <w:highlight w:val="none"/>
        </w:rPr>
      </w:pPr>
      <w:r>
        <w:rPr>
          <w:rFonts w:hint="eastAsia" w:ascii="宋体" w:hAnsi="宋体" w:cs="宋体"/>
          <w:b/>
          <w:bCs/>
          <w:sz w:val="24"/>
          <w:highlight w:val="none"/>
        </w:rPr>
        <w:t>一、项目基本情况</w:t>
      </w:r>
    </w:p>
    <w:p w14:paraId="0F4861D4">
      <w:pPr>
        <w:spacing w:line="440" w:lineRule="exact"/>
        <w:ind w:firstLine="480"/>
        <w:rPr>
          <w:rFonts w:ascii="宋体" w:hAnsi="宋体" w:cs="宋体"/>
          <w:sz w:val="24"/>
          <w:highlight w:val="none"/>
        </w:rPr>
      </w:pPr>
      <w:r>
        <w:rPr>
          <w:rFonts w:hint="eastAsia" w:ascii="宋体" w:hAnsi="宋体" w:cs="宋体"/>
          <w:sz w:val="24"/>
          <w:highlight w:val="none"/>
        </w:rPr>
        <w:t>1.项目编号：JSZC-320991-YLGC-G2025-0001</w:t>
      </w:r>
    </w:p>
    <w:p w14:paraId="4D6C2B79">
      <w:pPr>
        <w:spacing w:line="440" w:lineRule="exact"/>
        <w:ind w:firstLine="480"/>
        <w:rPr>
          <w:rFonts w:ascii="宋体" w:hAnsi="宋体" w:cs="宋体"/>
          <w:sz w:val="24"/>
          <w:highlight w:val="none"/>
        </w:rPr>
      </w:pPr>
      <w:r>
        <w:rPr>
          <w:rFonts w:hint="eastAsia" w:ascii="宋体" w:hAnsi="宋体" w:cs="宋体"/>
          <w:sz w:val="24"/>
          <w:highlight w:val="none"/>
        </w:rPr>
        <w:t>2.项目名称：警务中心智能化系统维保项目</w:t>
      </w:r>
    </w:p>
    <w:p w14:paraId="04473B5E">
      <w:pPr>
        <w:spacing w:line="440" w:lineRule="exact"/>
        <w:ind w:firstLine="480"/>
        <w:rPr>
          <w:rFonts w:ascii="宋体" w:hAnsi="宋体" w:cs="宋体"/>
          <w:sz w:val="24"/>
          <w:highlight w:val="none"/>
        </w:rPr>
      </w:pPr>
      <w:r>
        <w:rPr>
          <w:rFonts w:hint="eastAsia" w:ascii="宋体" w:hAnsi="宋体" w:cs="宋体"/>
          <w:sz w:val="24"/>
          <w:highlight w:val="none"/>
          <w:shd w:val="clear" w:color="auto" w:fill="FFFFFF"/>
        </w:rPr>
        <w:t>3.采购方式：公开招标</w:t>
      </w:r>
    </w:p>
    <w:p w14:paraId="3FCC1957">
      <w:pPr>
        <w:spacing w:line="440" w:lineRule="exact"/>
        <w:ind w:firstLine="480"/>
        <w:rPr>
          <w:rFonts w:ascii="宋体" w:hAnsi="宋体" w:cs="宋体"/>
          <w:sz w:val="24"/>
          <w:highlight w:val="none"/>
        </w:rPr>
      </w:pPr>
      <w:r>
        <w:rPr>
          <w:rFonts w:hint="eastAsia" w:ascii="宋体" w:hAnsi="宋体" w:cs="宋体"/>
          <w:sz w:val="24"/>
          <w:highlight w:val="none"/>
        </w:rPr>
        <w:t>4.预算金额：人民币</w:t>
      </w:r>
      <w:r>
        <w:rPr>
          <w:rFonts w:hint="eastAsia" w:ascii="宋体" w:hAnsi="宋体" w:cs="宋体"/>
          <w:sz w:val="24"/>
          <w:highlight w:val="none"/>
          <w:u w:val="single"/>
        </w:rPr>
        <w:t>210.25</w:t>
      </w:r>
      <w:r>
        <w:rPr>
          <w:rFonts w:hint="eastAsia" w:ascii="宋体" w:hAnsi="宋体" w:cs="宋体"/>
          <w:sz w:val="24"/>
          <w:highlight w:val="none"/>
        </w:rPr>
        <w:t>万元/年。</w:t>
      </w:r>
    </w:p>
    <w:p w14:paraId="19732310">
      <w:pPr>
        <w:spacing w:line="440" w:lineRule="exact"/>
        <w:ind w:firstLine="480"/>
        <w:rPr>
          <w:b/>
          <w:bCs/>
          <w:sz w:val="24"/>
          <w:highlight w:val="none"/>
          <w:shd w:val="clear" w:color="auto" w:fill="FFFFFF"/>
        </w:rPr>
      </w:pPr>
      <w:r>
        <w:rPr>
          <w:rFonts w:hint="eastAsia" w:ascii="宋体" w:hAnsi="宋体" w:cs="宋体"/>
          <w:sz w:val="24"/>
          <w:highlight w:val="none"/>
        </w:rPr>
        <w:t>5.最高限价：人民币</w:t>
      </w:r>
      <w:r>
        <w:rPr>
          <w:rFonts w:hint="eastAsia" w:ascii="宋体" w:hAnsi="宋体" w:cs="宋体"/>
          <w:sz w:val="24"/>
          <w:highlight w:val="none"/>
          <w:u w:val="single"/>
        </w:rPr>
        <w:t>210.25</w:t>
      </w:r>
      <w:r>
        <w:rPr>
          <w:rFonts w:hint="eastAsia" w:ascii="宋体" w:hAnsi="宋体" w:cs="宋体"/>
          <w:sz w:val="24"/>
          <w:highlight w:val="none"/>
        </w:rPr>
        <w:t>万元/年</w:t>
      </w:r>
      <w:r>
        <w:rPr>
          <w:rFonts w:hint="eastAsia"/>
          <w:sz w:val="24"/>
          <w:highlight w:val="none"/>
          <w:shd w:val="clear" w:color="auto" w:fill="FFFFFF"/>
        </w:rPr>
        <w:t>，采购人不接收高于最高限价的投标报价，投标报价高于最高限价的视为无效标书</w:t>
      </w:r>
      <w:r>
        <w:rPr>
          <w:rFonts w:hint="eastAsia"/>
          <w:b/>
          <w:bCs/>
          <w:sz w:val="24"/>
          <w:highlight w:val="none"/>
          <w:shd w:val="clear" w:color="auto" w:fill="FFFFFF"/>
        </w:rPr>
        <w:t>。</w:t>
      </w:r>
    </w:p>
    <w:p w14:paraId="2967E64B">
      <w:pPr>
        <w:spacing w:line="440" w:lineRule="exact"/>
        <w:ind w:firstLine="480"/>
        <w:rPr>
          <w:rFonts w:ascii="宋体" w:hAnsi="宋体" w:cs="宋体"/>
          <w:sz w:val="24"/>
          <w:highlight w:val="none"/>
        </w:rPr>
      </w:pPr>
      <w:r>
        <w:rPr>
          <w:rFonts w:hint="eastAsia" w:ascii="宋体" w:hAnsi="宋体" w:cs="宋体"/>
          <w:sz w:val="24"/>
          <w:highlight w:val="none"/>
        </w:rPr>
        <w:t>6.采购需求：警务中心智能化系统维保项目，主要包括（但不仅限于）对分局警务中心系统建设与设备进行相关维保服务，确保设施正常运行。</w:t>
      </w:r>
      <w:r>
        <w:rPr>
          <w:rFonts w:hint="eastAsia" w:ascii="宋体" w:hAnsi="宋体" w:cs="宋体"/>
          <w:sz w:val="24"/>
          <w:highlight w:val="none"/>
          <w:lang w:val="en-US" w:eastAsia="zh-CN"/>
        </w:rPr>
        <w:t>服务内容</w:t>
      </w:r>
      <w:r>
        <w:rPr>
          <w:rFonts w:hint="eastAsia" w:ascii="宋体" w:hAnsi="宋体" w:cs="宋体"/>
          <w:sz w:val="24"/>
          <w:highlight w:val="none"/>
        </w:rPr>
        <w:t>包括:</w:t>
      </w:r>
      <w:r>
        <w:rPr>
          <w:rFonts w:hint="eastAsia" w:ascii="宋体" w:hAnsi="宋体" w:cs="宋体"/>
          <w:sz w:val="24"/>
          <w:highlight w:val="none"/>
          <w:lang w:val="en-US" w:eastAsia="zh-CN"/>
        </w:rPr>
        <w:t>警务中心</w:t>
      </w:r>
      <w:r>
        <w:rPr>
          <w:rFonts w:hint="eastAsia" w:ascii="宋体" w:hAnsi="宋体" w:cs="宋体"/>
          <w:sz w:val="24"/>
          <w:highlight w:val="none"/>
        </w:rPr>
        <w:t>的计算机网络、安防监控、大屏幕显示、分布式坐席管理、数据机房等系统建设与设备进行运维及驻场等服务。具体技术要求详见项目需求，采购人保留对上述采购规模进行调整的权利。</w:t>
      </w:r>
    </w:p>
    <w:p w14:paraId="4119E032">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rPr>
        <w:t>7.服务期限：本项目采用一年一签的方式，总服务期限不超过三年，每年服务期满后，依据年度考核结果及预算安排决定是否续签下一年服务合同，最多续签两次。</w:t>
      </w:r>
    </w:p>
    <w:p w14:paraId="5C228080">
      <w:pPr>
        <w:spacing w:line="440" w:lineRule="exact"/>
        <w:ind w:firstLine="480"/>
        <w:rPr>
          <w:rFonts w:ascii="宋体" w:hAnsi="宋体" w:cs="宋体"/>
          <w:sz w:val="24"/>
          <w:highlight w:val="none"/>
        </w:rPr>
      </w:pPr>
      <w:r>
        <w:rPr>
          <w:rFonts w:hint="eastAsia" w:ascii="宋体" w:hAnsi="宋体" w:cs="宋体"/>
          <w:sz w:val="24"/>
          <w:highlight w:val="none"/>
        </w:rPr>
        <w:t>8.工期（供货期）：中标后接到招标人通知30个日历天内，完成全部</w:t>
      </w:r>
      <w:r>
        <w:rPr>
          <w:rFonts w:hint="eastAsia" w:ascii="宋体" w:hAnsi="宋体" w:cs="宋体"/>
          <w:sz w:val="24"/>
          <w:highlight w:val="none"/>
          <w:lang w:val="en-US" w:eastAsia="zh-CN"/>
        </w:rPr>
        <w:t>服务内容</w:t>
      </w:r>
      <w:r>
        <w:rPr>
          <w:rFonts w:hint="eastAsia" w:ascii="宋体" w:hAnsi="宋体" w:cs="宋体"/>
          <w:sz w:val="24"/>
          <w:highlight w:val="none"/>
        </w:rPr>
        <w:t>并通过验收。</w:t>
      </w:r>
    </w:p>
    <w:p w14:paraId="49927B5F">
      <w:pPr>
        <w:spacing w:line="440" w:lineRule="exact"/>
        <w:ind w:firstLine="480"/>
        <w:rPr>
          <w:rFonts w:ascii="宋体" w:hAnsi="宋体" w:cs="宋体"/>
          <w:sz w:val="24"/>
          <w:highlight w:val="none"/>
        </w:rPr>
      </w:pPr>
      <w:r>
        <w:rPr>
          <w:rFonts w:hint="eastAsia" w:ascii="宋体" w:hAnsi="宋体" w:cs="宋体"/>
          <w:sz w:val="24"/>
          <w:highlight w:val="none"/>
          <w:lang w:val="en-US" w:eastAsia="zh-CN"/>
        </w:rPr>
        <w:t>9</w:t>
      </w:r>
      <w:r>
        <w:rPr>
          <w:rFonts w:hint="eastAsia" w:ascii="宋体" w:hAnsi="宋体" w:cs="宋体"/>
          <w:sz w:val="24"/>
          <w:highlight w:val="none"/>
        </w:rPr>
        <w:t>.本项目</w:t>
      </w:r>
      <w:r>
        <w:rPr>
          <w:rFonts w:hint="eastAsia" w:ascii="宋体" w:hAnsi="宋体" w:cs="宋体"/>
          <w:b/>
          <w:sz w:val="24"/>
          <w:highlight w:val="none"/>
        </w:rPr>
        <w:t>不接受</w:t>
      </w:r>
      <w:r>
        <w:rPr>
          <w:rFonts w:hint="eastAsia" w:ascii="宋体" w:hAnsi="宋体" w:cs="宋体"/>
          <w:sz w:val="24"/>
          <w:highlight w:val="none"/>
        </w:rPr>
        <w:t>联合体投标。</w:t>
      </w:r>
    </w:p>
    <w:p w14:paraId="6F0E175C">
      <w:pPr>
        <w:spacing w:line="440" w:lineRule="exact"/>
        <w:ind w:firstLine="482"/>
        <w:rPr>
          <w:rFonts w:ascii="宋体" w:hAnsi="宋体" w:cs="宋体"/>
          <w:b/>
          <w:bCs/>
          <w:sz w:val="24"/>
          <w:highlight w:val="none"/>
        </w:rPr>
      </w:pPr>
      <w:r>
        <w:rPr>
          <w:rFonts w:hint="eastAsia" w:ascii="宋体" w:hAnsi="宋体" w:cs="宋体"/>
          <w:b/>
          <w:bCs/>
          <w:sz w:val="24"/>
          <w:highlight w:val="none"/>
        </w:rPr>
        <w:t>二、申请人资格要求</w:t>
      </w:r>
    </w:p>
    <w:p w14:paraId="3DD739D7">
      <w:pPr>
        <w:spacing w:line="440" w:lineRule="exact"/>
        <w:ind w:firstLine="480"/>
        <w:rPr>
          <w:rFonts w:ascii="宋体" w:hAnsi="宋体" w:cs="宋体"/>
          <w:sz w:val="24"/>
          <w:highlight w:val="none"/>
        </w:rPr>
      </w:pPr>
      <w:r>
        <w:rPr>
          <w:rFonts w:hint="eastAsia" w:ascii="宋体" w:hAnsi="宋体" w:cs="宋体"/>
          <w:sz w:val="24"/>
          <w:highlight w:val="none"/>
        </w:rPr>
        <w:t>（一）满足《中华人民共和国政府采购法》第二十二条规定，并提供下列材料：</w:t>
      </w:r>
    </w:p>
    <w:p w14:paraId="41EEAF5D">
      <w:pPr>
        <w:spacing w:line="440" w:lineRule="exact"/>
        <w:ind w:firstLine="480"/>
        <w:rPr>
          <w:rFonts w:ascii="宋体" w:hAnsi="宋体" w:cs="宋体"/>
          <w:sz w:val="24"/>
          <w:highlight w:val="none"/>
        </w:rPr>
      </w:pPr>
      <w:r>
        <w:rPr>
          <w:rFonts w:hint="eastAsia" w:ascii="宋体" w:hAnsi="宋体" w:cs="宋体"/>
          <w:sz w:val="24"/>
          <w:highlight w:val="none"/>
        </w:rPr>
        <w:t>1.法人或者其他组织的营业执照等证明文件，自然人的身份证明。</w:t>
      </w:r>
    </w:p>
    <w:p w14:paraId="71B40ADD">
      <w:pPr>
        <w:spacing w:line="440" w:lineRule="exact"/>
        <w:ind w:firstLine="480"/>
        <w:rPr>
          <w:rFonts w:ascii="宋体" w:hAnsi="宋体" w:cs="宋体"/>
          <w:sz w:val="24"/>
          <w:highlight w:val="none"/>
        </w:rPr>
      </w:pPr>
      <w:r>
        <w:rPr>
          <w:rFonts w:hint="eastAsia" w:ascii="宋体" w:hAnsi="宋体" w:cs="宋体"/>
          <w:sz w:val="24"/>
          <w:highlight w:val="none"/>
        </w:rPr>
        <w:t>2.上一年度的财务状况报表（成立不满一年无需提供）。</w:t>
      </w:r>
    </w:p>
    <w:p w14:paraId="1CC991AE">
      <w:pPr>
        <w:spacing w:line="440" w:lineRule="exact"/>
        <w:ind w:firstLine="480"/>
        <w:rPr>
          <w:rFonts w:ascii="宋体" w:hAnsi="宋体" w:cs="宋体"/>
          <w:sz w:val="24"/>
          <w:highlight w:val="none"/>
        </w:rPr>
      </w:pPr>
      <w:r>
        <w:rPr>
          <w:rFonts w:hint="eastAsia" w:ascii="宋体" w:hAnsi="宋体" w:cs="宋体"/>
          <w:sz w:val="24"/>
          <w:highlight w:val="none"/>
        </w:rPr>
        <w:t>3.具备履行合同所必需的设备和专业技术能力的书面声明。</w:t>
      </w:r>
    </w:p>
    <w:p w14:paraId="7393F01C">
      <w:pPr>
        <w:spacing w:line="440" w:lineRule="exact"/>
        <w:ind w:firstLine="480"/>
        <w:rPr>
          <w:rFonts w:ascii="宋体" w:hAnsi="宋体" w:cs="宋体"/>
          <w:sz w:val="24"/>
          <w:highlight w:val="none"/>
        </w:rPr>
      </w:pPr>
      <w:r>
        <w:rPr>
          <w:rFonts w:hint="eastAsia" w:ascii="宋体" w:hAnsi="宋体" w:cs="宋体"/>
          <w:sz w:val="24"/>
          <w:highlight w:val="none"/>
        </w:rPr>
        <w:t>4.依法缴纳税收和社会保障资金的相关材料（提供提交投标文件截止时间前一年内至少一个月依法缴纳税收及缴纳社会保障资金的证明材料。供应商依法享受缓缴、免缴税收、社会保障资金的提供证明材料。）</w:t>
      </w:r>
    </w:p>
    <w:p w14:paraId="36DD00B5">
      <w:pPr>
        <w:spacing w:line="440" w:lineRule="exact"/>
        <w:ind w:firstLine="480"/>
        <w:rPr>
          <w:rFonts w:ascii="宋体" w:hAnsi="宋体" w:cs="宋体"/>
          <w:sz w:val="24"/>
          <w:highlight w:val="none"/>
        </w:rPr>
      </w:pPr>
      <w:r>
        <w:rPr>
          <w:rFonts w:hint="eastAsia" w:ascii="宋体" w:hAnsi="宋体" w:cs="宋体"/>
          <w:sz w:val="24"/>
          <w:highlight w:val="none"/>
        </w:rPr>
        <w:t>5.参加政府采购活动前3年内在经营活动中没有重大违法记录的书面声明。</w:t>
      </w:r>
    </w:p>
    <w:p w14:paraId="6C1FEE35">
      <w:pPr>
        <w:spacing w:line="440" w:lineRule="exact"/>
        <w:ind w:firstLine="480"/>
        <w:rPr>
          <w:rFonts w:ascii="宋体" w:hAnsi="宋体" w:cs="宋体"/>
          <w:sz w:val="24"/>
          <w:highlight w:val="none"/>
        </w:rPr>
      </w:pPr>
      <w:r>
        <w:rPr>
          <w:rFonts w:hint="eastAsia" w:ascii="宋体" w:hAnsi="宋体" w:cs="宋体"/>
          <w:sz w:val="24"/>
          <w:highlight w:val="none"/>
        </w:rPr>
        <w:t>6.法律、行政法规规定的其他条件。</w:t>
      </w:r>
    </w:p>
    <w:p w14:paraId="2FF18DBE">
      <w:pPr>
        <w:spacing w:line="440" w:lineRule="exact"/>
        <w:ind w:firstLine="480"/>
        <w:rPr>
          <w:rFonts w:ascii="宋体" w:hAnsi="宋体" w:cs="宋体"/>
          <w:sz w:val="24"/>
          <w:highlight w:val="none"/>
        </w:rPr>
      </w:pPr>
      <w:r>
        <w:rPr>
          <w:rFonts w:hint="eastAsia" w:ascii="宋体" w:hAnsi="宋体" w:cs="宋体"/>
          <w:sz w:val="24"/>
          <w:highlight w:val="none"/>
        </w:rPr>
        <w:t>（二）落实政府采购政策需满足的资格要求：</w:t>
      </w:r>
    </w:p>
    <w:p w14:paraId="04FC6A93">
      <w:pPr>
        <w:spacing w:line="440" w:lineRule="exact"/>
        <w:ind w:firstLine="480"/>
        <w:rPr>
          <w:rFonts w:hint="eastAsia" w:ascii="宋体" w:hAnsi="宋体" w:cs="宋体"/>
          <w:bCs/>
          <w:sz w:val="24"/>
          <w:szCs w:val="20"/>
          <w:highlight w:val="none"/>
          <w:lang w:val="en-US" w:eastAsia="zh-CN"/>
        </w:rPr>
      </w:pPr>
      <w:r>
        <w:rPr>
          <w:rFonts w:hint="eastAsia" w:ascii="宋体" w:hAnsi="宋体" w:cs="宋体"/>
          <w:bCs/>
          <w:sz w:val="24"/>
          <w:szCs w:val="20"/>
          <w:highlight w:val="none"/>
          <w:lang w:val="en-US" w:eastAsia="zh-CN"/>
        </w:rPr>
        <w:t>无</w:t>
      </w:r>
    </w:p>
    <w:p w14:paraId="038A3F20">
      <w:pPr>
        <w:spacing w:line="440" w:lineRule="exact"/>
        <w:ind w:firstLine="480"/>
        <w:rPr>
          <w:rFonts w:ascii="宋体" w:hAnsi="宋体" w:cs="宋体"/>
          <w:sz w:val="24"/>
          <w:highlight w:val="none"/>
        </w:rPr>
      </w:pPr>
      <w:r>
        <w:rPr>
          <w:rFonts w:hint="eastAsia" w:ascii="宋体" w:hAnsi="宋体" w:cs="宋体"/>
          <w:sz w:val="24"/>
          <w:highlight w:val="none"/>
        </w:rPr>
        <w:t>（三）本项目其他特定资格条件</w:t>
      </w:r>
    </w:p>
    <w:p w14:paraId="1FA1F7AA">
      <w:pPr>
        <w:spacing w:line="440" w:lineRule="exact"/>
        <w:ind w:firstLine="480"/>
        <w:rPr>
          <w:rFonts w:ascii="宋体" w:hAnsi="宋体" w:cs="宋体"/>
          <w:sz w:val="24"/>
          <w:highlight w:val="none"/>
        </w:rPr>
      </w:pPr>
      <w:r>
        <w:rPr>
          <w:rFonts w:hint="eastAsia" w:ascii="宋体" w:hAnsi="宋体" w:cs="宋体"/>
          <w:sz w:val="24"/>
          <w:highlight w:val="none"/>
        </w:rPr>
        <w:t>1.未被“信用中国”网站（www.creditchina.gov.cn）列入失信被执行人、重大税收违法案件当事人名单、政府采购严重失信行为记录名单；</w:t>
      </w:r>
    </w:p>
    <w:p w14:paraId="0B315760">
      <w:pPr>
        <w:spacing w:line="440" w:lineRule="exact"/>
        <w:ind w:firstLine="480"/>
        <w:rPr>
          <w:rFonts w:ascii="宋体" w:hAnsi="宋体" w:cs="宋体"/>
          <w:sz w:val="24"/>
          <w:highlight w:val="none"/>
        </w:rPr>
      </w:pPr>
      <w:r>
        <w:rPr>
          <w:rFonts w:hint="eastAsia" w:ascii="宋体" w:hAnsi="宋体" w:cs="宋体"/>
          <w:sz w:val="24"/>
          <w:highlight w:val="none"/>
        </w:rPr>
        <w:t>2.单位负责人为同一人或者存在直接控股、管理关系的不同供应商，不得参加同一合同项下的政府采购活动。</w:t>
      </w:r>
    </w:p>
    <w:p w14:paraId="279BFA3D">
      <w:pPr>
        <w:spacing w:line="440" w:lineRule="exact"/>
        <w:ind w:firstLine="482"/>
        <w:rPr>
          <w:rFonts w:ascii="宋体" w:hAnsi="宋体" w:cs="宋体"/>
          <w:b/>
          <w:bCs/>
          <w:sz w:val="24"/>
          <w:highlight w:val="none"/>
        </w:rPr>
      </w:pPr>
      <w:r>
        <w:rPr>
          <w:rFonts w:hint="eastAsia" w:ascii="宋体" w:hAnsi="宋体" w:cs="宋体"/>
          <w:b/>
          <w:bCs/>
          <w:sz w:val="24"/>
          <w:highlight w:val="none"/>
        </w:rPr>
        <w:t>三、</w:t>
      </w:r>
      <w:r>
        <w:rPr>
          <w:rFonts w:hint="eastAsia" w:ascii="宋体" w:hAnsi="宋体" w:cs="宋体"/>
          <w:b/>
          <w:sz w:val="24"/>
          <w:highlight w:val="none"/>
        </w:rPr>
        <w:t>获取招标文件</w:t>
      </w:r>
    </w:p>
    <w:p w14:paraId="2952572E">
      <w:pPr>
        <w:spacing w:line="440" w:lineRule="exact"/>
        <w:ind w:firstLine="480"/>
        <w:rPr>
          <w:rFonts w:ascii="宋体" w:hAnsi="宋体" w:cs="宋体"/>
          <w:sz w:val="24"/>
          <w:highlight w:val="none"/>
        </w:rPr>
      </w:pPr>
      <w:r>
        <w:rPr>
          <w:rFonts w:hint="eastAsia" w:ascii="宋体" w:hAnsi="宋体" w:cs="宋体"/>
          <w:sz w:val="24"/>
          <w:highlight w:val="none"/>
        </w:rPr>
        <w:t>1.时间：自招标文件公告发布之日起5个工作日。</w:t>
      </w:r>
    </w:p>
    <w:p w14:paraId="274C7286">
      <w:pPr>
        <w:spacing w:line="440" w:lineRule="exact"/>
        <w:ind w:firstLine="480"/>
        <w:rPr>
          <w:rFonts w:ascii="宋体" w:hAnsi="宋体" w:cs="宋体"/>
          <w:sz w:val="24"/>
          <w:highlight w:val="none"/>
        </w:rPr>
      </w:pPr>
      <w:r>
        <w:rPr>
          <w:rFonts w:hint="eastAsia" w:ascii="宋体" w:hAnsi="宋体" w:cs="宋体"/>
          <w:sz w:val="24"/>
          <w:highlight w:val="none"/>
        </w:rPr>
        <w:t>2.地点：“苏采云”系统内免费下载（投标人必须在苏采云系统中获取采购文件，方能参与政府采购项目）；</w:t>
      </w:r>
    </w:p>
    <w:p w14:paraId="4133C133">
      <w:pPr>
        <w:spacing w:line="440" w:lineRule="exact"/>
        <w:ind w:firstLine="480"/>
        <w:rPr>
          <w:rFonts w:ascii="宋体" w:hAnsi="宋体" w:cs="宋体"/>
          <w:sz w:val="24"/>
          <w:highlight w:val="none"/>
        </w:rPr>
      </w:pPr>
      <w:r>
        <w:rPr>
          <w:rFonts w:hint="eastAsia" w:ascii="宋体" w:hAnsi="宋体" w:cs="宋体"/>
          <w:sz w:val="24"/>
          <w:highlight w:val="none"/>
        </w:rPr>
        <w:t>3.方式：本项目采用网上注册登记方式。</w:t>
      </w:r>
    </w:p>
    <w:p w14:paraId="54A9878D">
      <w:pPr>
        <w:spacing w:line="440" w:lineRule="exact"/>
        <w:ind w:firstLine="480"/>
        <w:rPr>
          <w:rFonts w:ascii="宋体" w:hAnsi="宋体" w:cs="宋体"/>
          <w:sz w:val="24"/>
          <w:highlight w:val="none"/>
        </w:rPr>
      </w:pPr>
      <w:r>
        <w:rPr>
          <w:rFonts w:hint="eastAsia" w:ascii="宋体" w:hAnsi="宋体" w:cs="宋体"/>
          <w:sz w:val="24"/>
          <w:highlight w:val="none"/>
        </w:rPr>
        <w:t>4.文件售价：0.00元</w:t>
      </w:r>
    </w:p>
    <w:p w14:paraId="594675B3">
      <w:pPr>
        <w:widowControl/>
        <w:shd w:val="clear" w:color="auto" w:fill="FFFFFF"/>
        <w:spacing w:line="440" w:lineRule="exact"/>
        <w:ind w:firstLine="480"/>
        <w:rPr>
          <w:rFonts w:ascii="宋体" w:hAnsi="宋体" w:cs="宋体"/>
          <w:bCs/>
          <w:sz w:val="24"/>
          <w:highlight w:val="none"/>
        </w:rPr>
      </w:pPr>
      <w:r>
        <w:rPr>
          <w:rFonts w:hint="eastAsia" w:ascii="宋体" w:hAnsi="宋体" w:cs="宋体"/>
          <w:b/>
          <w:bCs/>
          <w:sz w:val="24"/>
          <w:highlight w:val="none"/>
        </w:rPr>
        <w:t>四、提交投标文件截止时间、开标时间和地点</w:t>
      </w:r>
    </w:p>
    <w:p w14:paraId="5C60F55C">
      <w:pPr>
        <w:widowControl/>
        <w:shd w:val="clear" w:color="auto" w:fill="FFFFFF"/>
        <w:spacing w:line="440" w:lineRule="exact"/>
        <w:ind w:firstLine="480"/>
        <w:rPr>
          <w:rFonts w:ascii="宋体" w:hAnsi="宋体" w:cs="宋体"/>
          <w:sz w:val="24"/>
          <w:highlight w:val="none"/>
        </w:rPr>
      </w:pPr>
      <w:r>
        <w:rPr>
          <w:rFonts w:hint="eastAsia" w:ascii="宋体" w:hAnsi="宋体" w:cs="宋体"/>
          <w:sz w:val="24"/>
          <w:highlight w:val="none"/>
        </w:rPr>
        <w:t>1.时间：</w:t>
      </w:r>
      <w:r>
        <w:rPr>
          <w:rFonts w:ascii="宋体" w:hAnsi="宋体" w:cs="宋体"/>
          <w:sz w:val="24"/>
          <w:highlight w:val="none"/>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u w:val="single"/>
        </w:rPr>
        <w:t xml:space="preserve"> 0</w:t>
      </w:r>
      <w:r>
        <w:rPr>
          <w:rFonts w:hint="eastAsia" w:ascii="宋体" w:hAnsi="宋体" w:cs="宋体"/>
          <w:sz w:val="24"/>
          <w:highlight w:val="none"/>
          <w:u w:val="single"/>
          <w:lang w:val="en-US" w:eastAsia="zh-CN"/>
        </w:rPr>
        <w:t>1</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27</w:t>
      </w:r>
      <w:r>
        <w:rPr>
          <w:rFonts w:hint="eastAsia" w:ascii="宋体" w:hAnsi="宋体" w:cs="宋体"/>
          <w:sz w:val="24"/>
          <w:highlight w:val="none"/>
          <w:u w:val="single"/>
        </w:rPr>
        <w:t xml:space="preserve">  </w:t>
      </w:r>
      <w:r>
        <w:rPr>
          <w:rFonts w:hint="eastAsia" w:ascii="宋体" w:hAnsi="宋体" w:cs="宋体"/>
          <w:sz w:val="24"/>
          <w:highlight w:val="none"/>
        </w:rPr>
        <w:t xml:space="preserve">日 </w:t>
      </w:r>
      <w:r>
        <w:rPr>
          <w:rFonts w:hint="eastAsia" w:ascii="宋体" w:hAnsi="宋体" w:cs="宋体"/>
          <w:sz w:val="24"/>
          <w:highlight w:val="none"/>
          <w:u w:val="single"/>
        </w:rPr>
        <w:t xml:space="preserve"> 09 </w:t>
      </w:r>
      <w:r>
        <w:rPr>
          <w:rFonts w:ascii="宋体" w:hAnsi="宋体" w:cs="宋体"/>
          <w:sz w:val="24"/>
          <w:highlight w:val="none"/>
        </w:rPr>
        <w:t>:00</w:t>
      </w:r>
      <w:r>
        <w:rPr>
          <w:rFonts w:hint="eastAsia" w:ascii="宋体" w:hAnsi="宋体" w:cs="宋体"/>
          <w:sz w:val="24"/>
          <w:highlight w:val="none"/>
        </w:rPr>
        <w:t xml:space="preserve">（北京时间） </w:t>
      </w:r>
    </w:p>
    <w:p w14:paraId="53DA3D0D">
      <w:pPr>
        <w:widowControl/>
        <w:shd w:val="clear" w:color="auto" w:fill="FFFFFF"/>
        <w:spacing w:line="440" w:lineRule="exact"/>
        <w:ind w:firstLine="480"/>
        <w:rPr>
          <w:rFonts w:ascii="宋体" w:hAnsi="宋体" w:cs="宋体"/>
          <w:sz w:val="24"/>
          <w:highlight w:val="none"/>
        </w:rPr>
      </w:pPr>
      <w:r>
        <w:rPr>
          <w:rFonts w:hint="eastAsia" w:ascii="宋体" w:hAnsi="宋体" w:cs="宋体"/>
          <w:sz w:val="24"/>
          <w:highlight w:val="none"/>
          <w:shd w:val="clear" w:color="auto" w:fill="FFFFFF"/>
        </w:rPr>
        <w:t>2.地点：“苏采云”政府采购交易系统网上开标大厅</w:t>
      </w:r>
      <w:r>
        <w:rPr>
          <w:rFonts w:hint="eastAsia" w:ascii="宋体" w:hAnsi="宋体" w:cs="宋体"/>
          <w:sz w:val="24"/>
          <w:highlight w:val="none"/>
        </w:rPr>
        <w:t>。</w:t>
      </w:r>
    </w:p>
    <w:p w14:paraId="0D8F8702">
      <w:pPr>
        <w:spacing w:line="440" w:lineRule="exact"/>
        <w:ind w:firstLine="482"/>
        <w:rPr>
          <w:rFonts w:ascii="宋体" w:hAnsi="宋体" w:cs="宋体"/>
          <w:b/>
          <w:bCs/>
          <w:sz w:val="24"/>
          <w:highlight w:val="none"/>
        </w:rPr>
      </w:pPr>
      <w:r>
        <w:rPr>
          <w:rFonts w:hint="eastAsia" w:ascii="宋体" w:hAnsi="宋体" w:cs="宋体"/>
          <w:b/>
          <w:bCs/>
          <w:sz w:val="24"/>
          <w:highlight w:val="none"/>
        </w:rPr>
        <w:t>五、公告期限</w:t>
      </w:r>
    </w:p>
    <w:p w14:paraId="33887AA9">
      <w:pPr>
        <w:widowControl/>
        <w:shd w:val="clear" w:color="auto" w:fill="FFFFFF"/>
        <w:spacing w:line="440" w:lineRule="exact"/>
        <w:ind w:firstLine="480"/>
        <w:rPr>
          <w:rFonts w:ascii="宋体" w:hAnsi="宋体" w:cs="宋体"/>
          <w:sz w:val="24"/>
          <w:highlight w:val="none"/>
        </w:rPr>
      </w:pPr>
      <w:r>
        <w:rPr>
          <w:rFonts w:hint="eastAsia" w:ascii="宋体" w:hAnsi="宋体" w:cs="宋体"/>
          <w:sz w:val="24"/>
          <w:highlight w:val="none"/>
        </w:rPr>
        <w:t>自本公告发布之日起5个工作日。</w:t>
      </w:r>
    </w:p>
    <w:p w14:paraId="19516846">
      <w:pPr>
        <w:spacing w:line="440" w:lineRule="exact"/>
        <w:ind w:firstLine="482"/>
        <w:rPr>
          <w:rFonts w:ascii="宋体" w:hAnsi="宋体" w:cs="宋体"/>
          <w:sz w:val="24"/>
          <w:highlight w:val="none"/>
          <w:shd w:val="clear" w:color="auto" w:fill="FFFFFF"/>
        </w:rPr>
      </w:pPr>
      <w:r>
        <w:rPr>
          <w:rFonts w:hint="eastAsia" w:ascii="宋体" w:hAnsi="宋体" w:cs="宋体"/>
          <w:b/>
          <w:bCs/>
          <w:sz w:val="24"/>
          <w:highlight w:val="none"/>
        </w:rPr>
        <w:t>六、其他补充事宜</w:t>
      </w:r>
    </w:p>
    <w:p w14:paraId="0706B4D6">
      <w:pPr>
        <w:spacing w:line="500" w:lineRule="exact"/>
        <w:ind w:firstLine="420" w:firstLineChars="175"/>
        <w:rPr>
          <w:rFonts w:ascii="宋体" w:hAnsi="宋体"/>
          <w:sz w:val="24"/>
          <w:highlight w:val="none"/>
        </w:rPr>
      </w:pPr>
      <w:r>
        <w:rPr>
          <w:rFonts w:hint="eastAsia" w:ascii="宋体" w:hAnsi="宋体"/>
          <w:sz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DBCFE08">
      <w:pPr>
        <w:spacing w:line="500" w:lineRule="exact"/>
        <w:ind w:firstLine="420" w:firstLineChars="175"/>
        <w:rPr>
          <w:rFonts w:ascii="宋体" w:hAnsi="宋体"/>
          <w:sz w:val="24"/>
          <w:highlight w:val="none"/>
        </w:rPr>
      </w:pPr>
      <w:r>
        <w:rPr>
          <w:rFonts w:hint="eastAsia" w:ascii="宋体" w:hAnsi="宋体"/>
          <w:sz w:val="24"/>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14010D94">
      <w:pPr>
        <w:spacing w:line="500" w:lineRule="exact"/>
        <w:ind w:firstLine="420" w:firstLineChars="175"/>
        <w:rPr>
          <w:rFonts w:ascii="宋体" w:hAnsi="宋体"/>
          <w:sz w:val="24"/>
          <w:highlight w:val="none"/>
        </w:rPr>
      </w:pPr>
      <w:r>
        <w:rPr>
          <w:rFonts w:hint="eastAsia" w:ascii="宋体" w:hAnsi="宋体"/>
          <w:sz w:val="24"/>
          <w:highlight w:val="none"/>
        </w:rPr>
        <w:t>2.潜在供应商访问电子招标响应交易平台的网络地址和方法：</w:t>
      </w:r>
    </w:p>
    <w:p w14:paraId="21C6A64B">
      <w:pPr>
        <w:spacing w:line="500" w:lineRule="exact"/>
        <w:ind w:firstLine="420" w:firstLineChars="175"/>
        <w:rPr>
          <w:rFonts w:ascii="宋体" w:hAnsi="宋体"/>
          <w:sz w:val="24"/>
          <w:highlight w:val="none"/>
        </w:rPr>
      </w:pPr>
      <w:r>
        <w:rPr>
          <w:rFonts w:hint="eastAsia" w:ascii="宋体" w:hAnsi="宋体"/>
          <w:sz w:val="24"/>
          <w:highlight w:val="none"/>
        </w:rPr>
        <w:t>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p>
    <w:p w14:paraId="6BFDCE8B">
      <w:pPr>
        <w:spacing w:line="500" w:lineRule="exact"/>
        <w:ind w:firstLine="420" w:firstLineChars="175"/>
        <w:rPr>
          <w:rFonts w:ascii="宋体" w:hAnsi="宋体"/>
          <w:sz w:val="24"/>
          <w:highlight w:val="none"/>
        </w:rPr>
      </w:pPr>
      <w:r>
        <w:rPr>
          <w:rFonts w:hint="eastAsia" w:ascii="宋体" w:hAnsi="宋体"/>
          <w:sz w:val="24"/>
          <w:highlight w:val="none"/>
        </w:rPr>
        <w:t>2.2潜在投标人访问“苏采云”系统方法：江苏省政府采购网首页－“苏采云”链接。</w:t>
      </w:r>
    </w:p>
    <w:p w14:paraId="4014E6E5">
      <w:pPr>
        <w:spacing w:line="500" w:lineRule="exact"/>
        <w:ind w:firstLine="420" w:firstLineChars="175"/>
        <w:rPr>
          <w:rFonts w:ascii="宋体" w:hAnsi="宋体"/>
          <w:sz w:val="24"/>
          <w:highlight w:val="none"/>
        </w:rPr>
      </w:pPr>
      <w:r>
        <w:rPr>
          <w:rFonts w:hint="eastAsia" w:ascii="宋体" w:hAnsi="宋体"/>
          <w:sz w:val="24"/>
          <w:highlight w:val="none"/>
        </w:rPr>
        <w:t>2.3采购文件（后缀名为“.kedt”）、供应商操作手册及政府采购客户端工具可通过“苏采云”系统相应链接进行下载。</w:t>
      </w:r>
    </w:p>
    <w:p w14:paraId="446656F8">
      <w:pPr>
        <w:spacing w:line="500" w:lineRule="exact"/>
        <w:ind w:firstLine="420" w:firstLineChars="175"/>
        <w:rPr>
          <w:rFonts w:ascii="宋体" w:hAnsi="宋体"/>
          <w:sz w:val="24"/>
          <w:highlight w:val="none"/>
        </w:rPr>
      </w:pPr>
      <w:r>
        <w:rPr>
          <w:rFonts w:hint="eastAsia" w:ascii="宋体" w:hAnsi="宋体"/>
          <w:sz w:val="24"/>
          <w:highlight w:val="none"/>
        </w:rPr>
        <w:t xml:space="preserve">2.4采购代理机构将数据电文形式的采购文件加载至“苏采云”系统，供潜在供应商下载或者查阅。 </w:t>
      </w:r>
    </w:p>
    <w:p w14:paraId="08E4C27B">
      <w:pPr>
        <w:spacing w:line="500" w:lineRule="exact"/>
        <w:ind w:firstLine="420" w:firstLineChars="175"/>
        <w:rPr>
          <w:rFonts w:ascii="宋体" w:hAnsi="宋体"/>
          <w:sz w:val="24"/>
          <w:highlight w:val="none"/>
        </w:rPr>
      </w:pPr>
      <w:r>
        <w:rPr>
          <w:rFonts w:hint="eastAsia" w:ascii="宋体" w:hAnsi="宋体"/>
          <w:sz w:val="24"/>
          <w:highlight w:val="none"/>
        </w:rPr>
        <w:t>2.5请潜在投标单位提前安装相应的控件（详见《“苏采云”系统供应商操作手册》）并使用谷歌浏览器登录“苏采云”系统参与不见面开评标。</w:t>
      </w:r>
    </w:p>
    <w:p w14:paraId="09B160D4">
      <w:pPr>
        <w:spacing w:line="500" w:lineRule="exact"/>
        <w:ind w:firstLine="420" w:firstLineChars="175"/>
        <w:rPr>
          <w:rFonts w:ascii="宋体" w:hAnsi="宋体"/>
          <w:sz w:val="24"/>
          <w:highlight w:val="none"/>
        </w:rPr>
      </w:pPr>
      <w:r>
        <w:rPr>
          <w:rFonts w:hint="eastAsia" w:ascii="宋体" w:hAnsi="宋体"/>
          <w:sz w:val="24"/>
          <w:highlight w:val="none"/>
        </w:rPr>
        <w:t>如潜在投标人未按上述要求操作，将自行承担所产生的风险。</w:t>
      </w:r>
    </w:p>
    <w:p w14:paraId="4A54CA50">
      <w:pPr>
        <w:numPr>
          <w:ilvl w:val="0"/>
          <w:numId w:val="8"/>
        </w:numPr>
        <w:spacing w:line="500" w:lineRule="exact"/>
        <w:ind w:firstLine="420" w:firstLineChars="175"/>
        <w:rPr>
          <w:rFonts w:ascii="宋体" w:hAnsi="宋体"/>
          <w:sz w:val="24"/>
          <w:highlight w:val="none"/>
        </w:rPr>
      </w:pPr>
      <w:r>
        <w:rPr>
          <w:rFonts w:hint="eastAsia" w:ascii="宋体" w:hAnsi="宋体"/>
          <w:sz w:val="24"/>
          <w:highlight w:val="none"/>
        </w:rPr>
        <w:t>有关本次招标的事项若存在变动或修改，敬请及时关注采购人在“中国政府采购网”、“江苏政府采购网”、“盐城市政府采购网”发布的更正公告。</w:t>
      </w:r>
    </w:p>
    <w:p w14:paraId="0FC8826C">
      <w:pPr>
        <w:spacing w:line="360" w:lineRule="auto"/>
        <w:ind w:firstLine="480"/>
        <w:rPr>
          <w:highlight w:val="none"/>
        </w:rPr>
      </w:pPr>
      <w:r>
        <w:rPr>
          <w:rFonts w:hint="eastAsia" w:ascii="宋体" w:hAnsi="宋体" w:cs="宋体"/>
          <w:sz w:val="24"/>
          <w:highlight w:val="none"/>
        </w:rPr>
        <w:t>4.本次招标不收取投标保证金，不收取质量保证金。</w:t>
      </w:r>
    </w:p>
    <w:p w14:paraId="37FE706B">
      <w:pPr>
        <w:tabs>
          <w:tab w:val="left" w:pos="900"/>
        </w:tabs>
        <w:spacing w:line="440" w:lineRule="exact"/>
        <w:ind w:firstLine="482"/>
        <w:rPr>
          <w:rFonts w:ascii="宋体" w:hAnsi="宋体" w:cs="宋体"/>
          <w:b/>
          <w:bCs/>
          <w:sz w:val="24"/>
          <w:highlight w:val="none"/>
        </w:rPr>
      </w:pPr>
      <w:r>
        <w:rPr>
          <w:rFonts w:hint="eastAsia" w:ascii="宋体" w:hAnsi="宋体" w:cs="宋体"/>
          <w:b/>
          <w:bCs/>
          <w:sz w:val="24"/>
          <w:highlight w:val="none"/>
        </w:rPr>
        <w:t>七、本次采购联系方式</w:t>
      </w:r>
    </w:p>
    <w:p w14:paraId="5ED33399">
      <w:pPr>
        <w:widowControl/>
        <w:shd w:val="clear" w:color="auto" w:fill="FFFFFF"/>
        <w:spacing w:line="440" w:lineRule="exact"/>
        <w:ind w:firstLine="480"/>
        <w:rPr>
          <w:rFonts w:ascii="宋体" w:hAnsi="宋体" w:cs="宋体"/>
          <w:sz w:val="24"/>
          <w:highlight w:val="none"/>
        </w:rPr>
      </w:pPr>
      <w:r>
        <w:rPr>
          <w:rFonts w:hint="eastAsia" w:ascii="宋体" w:hAnsi="宋体" w:cs="宋体"/>
          <w:bCs/>
          <w:sz w:val="24"/>
          <w:highlight w:val="none"/>
        </w:rPr>
        <w:t>1.采购人信息</w:t>
      </w:r>
    </w:p>
    <w:p w14:paraId="46283389">
      <w:pPr>
        <w:widowControl/>
        <w:shd w:val="clear" w:color="auto" w:fill="FFFFFF"/>
        <w:spacing w:line="440" w:lineRule="exact"/>
        <w:ind w:firstLine="480"/>
        <w:rPr>
          <w:rFonts w:hint="eastAsia" w:ascii="宋体" w:hAnsi="宋体" w:eastAsia="宋体" w:cs="宋体"/>
          <w:bCs/>
          <w:sz w:val="24"/>
          <w:highlight w:val="none"/>
          <w:lang w:eastAsia="zh-CN"/>
        </w:rPr>
      </w:pPr>
      <w:r>
        <w:rPr>
          <w:rFonts w:hint="eastAsia" w:ascii="宋体" w:hAnsi="宋体" w:cs="宋体"/>
          <w:bCs/>
          <w:sz w:val="24"/>
          <w:highlight w:val="none"/>
        </w:rPr>
        <w:t>名    称：</w:t>
      </w:r>
      <w:r>
        <w:rPr>
          <w:rFonts w:hint="eastAsia" w:ascii="宋体" w:hAnsi="宋体" w:cs="宋体"/>
          <w:bCs/>
          <w:sz w:val="24"/>
          <w:highlight w:val="none"/>
          <w:lang w:eastAsia="zh-CN"/>
        </w:rPr>
        <w:t>盐城市公安局盐城经济技术开发区分局</w:t>
      </w:r>
    </w:p>
    <w:p w14:paraId="5320E537">
      <w:pPr>
        <w:widowControl/>
        <w:shd w:val="clear" w:color="auto" w:fill="FFFFFF"/>
        <w:spacing w:line="440" w:lineRule="exact"/>
        <w:ind w:firstLine="480"/>
        <w:rPr>
          <w:rFonts w:ascii="宋体" w:hAnsi="宋体" w:cs="宋体"/>
          <w:bCs/>
          <w:sz w:val="24"/>
          <w:highlight w:val="none"/>
        </w:rPr>
      </w:pPr>
      <w:r>
        <w:rPr>
          <w:rFonts w:hint="eastAsia" w:ascii="宋体" w:hAnsi="宋体" w:cs="宋体"/>
          <w:bCs/>
          <w:sz w:val="24"/>
          <w:highlight w:val="none"/>
        </w:rPr>
        <w:t>地    址：盐城市盐渎东路86号</w:t>
      </w:r>
    </w:p>
    <w:p w14:paraId="0FE7F078">
      <w:pPr>
        <w:widowControl/>
        <w:shd w:val="clear" w:color="auto" w:fill="FFFFFF"/>
        <w:spacing w:line="440" w:lineRule="exact"/>
        <w:ind w:firstLine="480"/>
        <w:rPr>
          <w:rFonts w:ascii="宋体" w:hAnsi="宋体" w:cs="宋体"/>
          <w:bCs/>
          <w:sz w:val="24"/>
          <w:highlight w:val="none"/>
        </w:rPr>
      </w:pPr>
      <w:r>
        <w:rPr>
          <w:rFonts w:hint="eastAsia" w:ascii="宋体" w:hAnsi="宋体" w:cs="宋体"/>
          <w:bCs/>
          <w:sz w:val="24"/>
          <w:highlight w:val="none"/>
        </w:rPr>
        <w:t>联 系 人：</w:t>
      </w:r>
      <w:r>
        <w:rPr>
          <w:rFonts w:ascii="宋体" w:hAnsi="宋体" w:cs="宋体"/>
          <w:bCs/>
          <w:sz w:val="24"/>
          <w:highlight w:val="none"/>
        </w:rPr>
        <w:t>吴警官</w:t>
      </w:r>
    </w:p>
    <w:p w14:paraId="303C6DFB">
      <w:pPr>
        <w:widowControl/>
        <w:shd w:val="clear" w:color="auto" w:fill="FFFFFF"/>
        <w:spacing w:line="440" w:lineRule="exact"/>
        <w:ind w:firstLine="480"/>
        <w:rPr>
          <w:rFonts w:ascii="宋体" w:hAnsi="宋体" w:cs="宋体"/>
          <w:bCs/>
          <w:sz w:val="24"/>
          <w:highlight w:val="none"/>
        </w:rPr>
      </w:pPr>
      <w:r>
        <w:rPr>
          <w:rFonts w:hint="eastAsia" w:ascii="宋体" w:hAnsi="宋体" w:cs="宋体"/>
          <w:bCs/>
          <w:sz w:val="24"/>
          <w:highlight w:val="none"/>
        </w:rPr>
        <w:t>联系电话：</w:t>
      </w:r>
      <w:r>
        <w:rPr>
          <w:rFonts w:ascii="宋体" w:hAnsi="宋体" w:cs="宋体"/>
          <w:bCs/>
          <w:sz w:val="24"/>
          <w:highlight w:val="none"/>
        </w:rPr>
        <w:t>0515-66872830</w:t>
      </w:r>
    </w:p>
    <w:p w14:paraId="78E50168">
      <w:pPr>
        <w:widowControl/>
        <w:shd w:val="clear" w:color="auto" w:fill="FFFFFF"/>
        <w:spacing w:line="440" w:lineRule="exact"/>
        <w:ind w:firstLine="480"/>
        <w:rPr>
          <w:rFonts w:ascii="宋体" w:hAnsi="宋体" w:cs="宋体"/>
          <w:bCs/>
          <w:sz w:val="24"/>
          <w:highlight w:val="none"/>
        </w:rPr>
      </w:pPr>
      <w:r>
        <w:rPr>
          <w:rFonts w:hint="eastAsia" w:ascii="宋体" w:hAnsi="宋体" w:cs="宋体"/>
          <w:bCs/>
          <w:sz w:val="24"/>
          <w:highlight w:val="none"/>
        </w:rPr>
        <w:t>2.采购代理机构信息（如有）</w:t>
      </w:r>
    </w:p>
    <w:p w14:paraId="727BFBB6">
      <w:pPr>
        <w:widowControl/>
        <w:shd w:val="clear" w:color="auto" w:fill="FFFFFF"/>
        <w:spacing w:line="440" w:lineRule="exact"/>
        <w:ind w:firstLine="480"/>
        <w:rPr>
          <w:rFonts w:ascii="宋体" w:hAnsi="宋体" w:cs="宋体"/>
          <w:bCs/>
          <w:sz w:val="24"/>
          <w:highlight w:val="none"/>
        </w:rPr>
      </w:pPr>
      <w:r>
        <w:rPr>
          <w:rFonts w:hint="eastAsia" w:ascii="宋体" w:hAnsi="宋体" w:cs="宋体"/>
          <w:bCs/>
          <w:sz w:val="24"/>
          <w:highlight w:val="none"/>
        </w:rPr>
        <w:t>名    称：远瓴工程咨询集团有限公司</w:t>
      </w:r>
    </w:p>
    <w:p w14:paraId="2444E219">
      <w:pPr>
        <w:widowControl/>
        <w:shd w:val="clear" w:color="auto" w:fill="FFFFFF"/>
        <w:spacing w:line="440" w:lineRule="exact"/>
        <w:ind w:firstLine="480"/>
        <w:rPr>
          <w:rFonts w:hint="eastAsia" w:ascii="宋体" w:hAnsi="宋体" w:cs="宋体"/>
          <w:bCs/>
          <w:sz w:val="24"/>
          <w:highlight w:val="none"/>
          <w:lang w:val="en-US" w:eastAsia="zh-CN"/>
        </w:rPr>
      </w:pPr>
      <w:r>
        <w:rPr>
          <w:rFonts w:hint="eastAsia" w:ascii="宋体" w:hAnsi="宋体" w:cs="宋体"/>
          <w:bCs/>
          <w:sz w:val="24"/>
          <w:highlight w:val="none"/>
        </w:rPr>
        <w:t>地　  址：</w:t>
      </w:r>
      <w:r>
        <w:rPr>
          <w:rFonts w:hint="eastAsia" w:ascii="宋体" w:hAnsi="宋体" w:cs="宋体"/>
          <w:bCs/>
          <w:sz w:val="24"/>
          <w:highlight w:val="none"/>
          <w:lang w:val="en-US" w:eastAsia="zh-CN"/>
        </w:rPr>
        <w:t>盐城市亭湖区人民中路188号飞驰国际2715室</w:t>
      </w:r>
    </w:p>
    <w:p w14:paraId="094AD24B">
      <w:pPr>
        <w:widowControl/>
        <w:shd w:val="clear" w:color="auto" w:fill="FFFFFF"/>
        <w:spacing w:line="440" w:lineRule="exact"/>
        <w:ind w:firstLine="480"/>
        <w:rPr>
          <w:rFonts w:hint="default" w:ascii="宋体" w:hAnsi="宋体" w:eastAsia="宋体" w:cs="宋体"/>
          <w:bCs/>
          <w:sz w:val="24"/>
          <w:highlight w:val="none"/>
          <w:lang w:val="en-US" w:eastAsia="zh-CN"/>
        </w:rPr>
      </w:pPr>
      <w:r>
        <w:rPr>
          <w:rFonts w:hint="eastAsia" w:ascii="宋体" w:hAnsi="宋体" w:cs="宋体"/>
          <w:bCs/>
          <w:sz w:val="24"/>
          <w:highlight w:val="none"/>
        </w:rPr>
        <w:t>联 系 人：</w:t>
      </w:r>
      <w:r>
        <w:rPr>
          <w:rFonts w:hint="eastAsia" w:ascii="宋体" w:hAnsi="宋体" w:cs="宋体"/>
          <w:bCs/>
          <w:sz w:val="24"/>
          <w:highlight w:val="none"/>
          <w:lang w:val="en-US" w:eastAsia="zh-CN"/>
        </w:rPr>
        <w:t>周女士</w:t>
      </w:r>
    </w:p>
    <w:p w14:paraId="5A447CAC">
      <w:pPr>
        <w:widowControl/>
        <w:shd w:val="clear" w:color="auto" w:fill="FFFFFF"/>
        <w:spacing w:line="440" w:lineRule="exact"/>
        <w:ind w:firstLine="480"/>
        <w:rPr>
          <w:rFonts w:hint="default" w:ascii="宋体" w:hAnsi="宋体" w:eastAsia="宋体" w:cs="宋体"/>
          <w:bCs/>
          <w:sz w:val="24"/>
          <w:highlight w:val="none"/>
          <w:lang w:val="en-US" w:eastAsia="zh-CN"/>
        </w:rPr>
      </w:pPr>
      <w:r>
        <w:rPr>
          <w:rFonts w:hint="eastAsia" w:ascii="宋体" w:hAnsi="宋体" w:cs="宋体"/>
          <w:bCs/>
          <w:sz w:val="24"/>
          <w:highlight w:val="none"/>
        </w:rPr>
        <w:t>联系电话：</w:t>
      </w:r>
      <w:r>
        <w:rPr>
          <w:rFonts w:hint="eastAsia" w:ascii="宋体" w:hAnsi="宋体" w:cs="宋体"/>
          <w:bCs/>
          <w:sz w:val="24"/>
          <w:highlight w:val="none"/>
          <w:lang w:val="en-US" w:eastAsia="zh-CN"/>
        </w:rPr>
        <w:t>15961988047</w:t>
      </w:r>
    </w:p>
    <w:p w14:paraId="75794F31">
      <w:pPr>
        <w:widowControl/>
        <w:shd w:val="clear" w:color="auto" w:fill="FFFFFF"/>
        <w:spacing w:line="440" w:lineRule="exact"/>
        <w:ind w:firstLine="480"/>
        <w:rPr>
          <w:rFonts w:ascii="宋体" w:hAnsi="宋体" w:cs="宋体"/>
          <w:bCs/>
          <w:sz w:val="24"/>
          <w:highlight w:val="none"/>
        </w:rPr>
      </w:pPr>
      <w:r>
        <w:rPr>
          <w:rFonts w:hint="eastAsia" w:ascii="宋体" w:hAnsi="宋体" w:cs="宋体"/>
          <w:bCs/>
          <w:sz w:val="24"/>
          <w:highlight w:val="none"/>
        </w:rPr>
        <w:t>3.项目联系方式</w:t>
      </w:r>
    </w:p>
    <w:p w14:paraId="7CB30D1A">
      <w:pPr>
        <w:widowControl/>
        <w:shd w:val="clear" w:color="auto" w:fill="FFFFFF"/>
        <w:spacing w:line="440" w:lineRule="exact"/>
        <w:ind w:firstLine="480"/>
        <w:rPr>
          <w:rFonts w:hint="default" w:ascii="宋体" w:hAnsi="宋体" w:eastAsia="宋体" w:cs="宋体"/>
          <w:bCs/>
          <w:sz w:val="24"/>
          <w:highlight w:val="none"/>
          <w:lang w:val="en-US" w:eastAsia="zh-CN"/>
        </w:rPr>
      </w:pPr>
      <w:r>
        <w:rPr>
          <w:rFonts w:hint="eastAsia" w:ascii="宋体" w:hAnsi="宋体" w:cs="宋体"/>
          <w:bCs/>
          <w:sz w:val="24"/>
          <w:highlight w:val="none"/>
        </w:rPr>
        <w:t>联 系 人：</w:t>
      </w:r>
      <w:r>
        <w:rPr>
          <w:rFonts w:hint="eastAsia" w:ascii="宋体" w:hAnsi="宋体" w:cs="宋体"/>
          <w:bCs/>
          <w:sz w:val="24"/>
          <w:highlight w:val="none"/>
          <w:lang w:val="en-US" w:eastAsia="zh-CN"/>
        </w:rPr>
        <w:t>周女士</w:t>
      </w:r>
    </w:p>
    <w:p w14:paraId="4C3448FB">
      <w:pPr>
        <w:widowControl/>
        <w:shd w:val="clear" w:color="auto" w:fill="FFFFFF"/>
        <w:spacing w:line="440" w:lineRule="exact"/>
        <w:ind w:firstLine="480"/>
        <w:rPr>
          <w:rFonts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lang w:val="en-US" w:eastAsia="zh-CN"/>
        </w:rPr>
        <w:t>15961988047</w:t>
      </w:r>
    </w:p>
    <w:p w14:paraId="130F0F84">
      <w:pPr>
        <w:spacing w:line="480" w:lineRule="exact"/>
        <w:jc w:val="center"/>
        <w:rPr>
          <w:rFonts w:ascii="宋体" w:hAnsi="宋体" w:cs="宋体"/>
          <w:b/>
          <w:bCs/>
          <w:sz w:val="32"/>
          <w:szCs w:val="32"/>
          <w:highlight w:val="none"/>
        </w:rPr>
      </w:pPr>
    </w:p>
    <w:p w14:paraId="617C44F9">
      <w:pPr>
        <w:spacing w:line="480" w:lineRule="exact"/>
        <w:jc w:val="left"/>
        <w:rPr>
          <w:rFonts w:ascii="宋体" w:hAnsi="宋体" w:cs="宋体"/>
          <w:b/>
          <w:bCs/>
          <w:sz w:val="32"/>
          <w:szCs w:val="32"/>
          <w:highlight w:val="none"/>
        </w:rPr>
      </w:pPr>
      <w:r>
        <w:rPr>
          <w:rFonts w:ascii="宋体" w:hAnsi="宋体" w:cs="宋体"/>
          <w:b/>
          <w:bCs/>
          <w:sz w:val="32"/>
          <w:szCs w:val="32"/>
          <w:highlight w:val="none"/>
        </w:rPr>
        <w:t>说明：因系统原因，如招标文件中的公告与“苏采云”系统中的招标公告不一致的，以系统中的为准。</w:t>
      </w:r>
    </w:p>
    <w:p w14:paraId="285399F4">
      <w:pPr>
        <w:spacing w:line="480" w:lineRule="exact"/>
        <w:jc w:val="center"/>
        <w:rPr>
          <w:rFonts w:ascii="宋体" w:hAnsi="宋体" w:cs="宋体"/>
          <w:b/>
          <w:bCs/>
          <w:sz w:val="32"/>
          <w:szCs w:val="32"/>
          <w:highlight w:val="none"/>
        </w:rPr>
      </w:pPr>
      <w:r>
        <w:rPr>
          <w:rFonts w:ascii="宋体" w:hAnsi="宋体" w:cs="宋体"/>
          <w:b/>
          <w:bCs/>
          <w:sz w:val="32"/>
          <w:szCs w:val="32"/>
          <w:highlight w:val="none"/>
        </w:rPr>
        <w:br w:type="page" w:clear="all"/>
      </w:r>
      <w:r>
        <w:rPr>
          <w:rFonts w:hint="eastAsia" w:ascii="宋体" w:hAnsi="宋体" w:cs="宋体"/>
          <w:b/>
          <w:bCs/>
          <w:sz w:val="32"/>
          <w:szCs w:val="32"/>
          <w:highlight w:val="none"/>
        </w:rPr>
        <w:t>第二部分  投标人须知</w:t>
      </w:r>
    </w:p>
    <w:p w14:paraId="4C262718">
      <w:pPr>
        <w:widowControl/>
        <w:spacing w:line="520" w:lineRule="exact"/>
        <w:ind w:firstLine="480"/>
        <w:outlineLvl w:val="1"/>
        <w:rPr>
          <w:rFonts w:eastAsia="Arial"/>
          <w:b/>
          <w:bCs/>
          <w:sz w:val="24"/>
          <w:szCs w:val="20"/>
          <w:highlight w:val="none"/>
          <w:lang w:val="zh-CN"/>
        </w:rPr>
      </w:pPr>
      <w:r>
        <w:rPr>
          <w:rFonts w:hint="eastAsia" w:eastAsia="Arial"/>
          <w:b/>
          <w:bCs/>
          <w:sz w:val="24"/>
          <w:szCs w:val="20"/>
          <w:highlight w:val="none"/>
          <w:lang w:val="zh-CN"/>
        </w:rPr>
        <w:t>一、总则</w:t>
      </w:r>
    </w:p>
    <w:p w14:paraId="06A6671C">
      <w:pPr>
        <w:widowControl/>
        <w:spacing w:line="520" w:lineRule="exact"/>
        <w:ind w:firstLine="480"/>
        <w:outlineLvl w:val="2"/>
        <w:rPr>
          <w:rFonts w:eastAsia="Arial"/>
          <w:b/>
          <w:bCs/>
          <w:sz w:val="24"/>
          <w:szCs w:val="20"/>
          <w:highlight w:val="none"/>
          <w:lang w:val="zh-CN"/>
        </w:rPr>
      </w:pPr>
      <w:r>
        <w:rPr>
          <w:rFonts w:hint="eastAsia" w:eastAsia="Arial"/>
          <w:b/>
          <w:bCs/>
          <w:sz w:val="24"/>
          <w:szCs w:val="20"/>
          <w:highlight w:val="none"/>
          <w:lang w:val="zh-CN"/>
        </w:rPr>
        <w:t>1、招标方式</w:t>
      </w:r>
    </w:p>
    <w:p w14:paraId="2993BA74">
      <w:pPr>
        <w:widowControl/>
        <w:spacing w:line="520" w:lineRule="exact"/>
        <w:ind w:firstLine="480"/>
        <w:rPr>
          <w:rFonts w:eastAsia="Arial"/>
          <w:sz w:val="24"/>
          <w:szCs w:val="20"/>
          <w:highlight w:val="none"/>
        </w:rPr>
      </w:pPr>
      <w:r>
        <w:rPr>
          <w:rFonts w:hint="eastAsia" w:eastAsia="Arial"/>
          <w:sz w:val="24"/>
          <w:szCs w:val="20"/>
          <w:highlight w:val="none"/>
        </w:rPr>
        <w:t>1.1本次招标采取公开招标方式，本招标文件仅适用于招标公告中所述项目。</w:t>
      </w:r>
    </w:p>
    <w:p w14:paraId="66B2D01A">
      <w:pPr>
        <w:widowControl/>
        <w:spacing w:line="520" w:lineRule="exact"/>
        <w:ind w:firstLine="480"/>
        <w:outlineLvl w:val="2"/>
        <w:rPr>
          <w:rFonts w:eastAsia="Arial"/>
          <w:b/>
          <w:bCs/>
          <w:sz w:val="24"/>
          <w:szCs w:val="20"/>
          <w:highlight w:val="none"/>
          <w:lang w:val="zh-CN"/>
        </w:rPr>
      </w:pPr>
      <w:r>
        <w:rPr>
          <w:rFonts w:hint="eastAsia" w:eastAsia="Arial"/>
          <w:b/>
          <w:bCs/>
          <w:sz w:val="24"/>
          <w:szCs w:val="20"/>
          <w:highlight w:val="none"/>
          <w:lang w:val="zh-CN"/>
        </w:rPr>
        <w:t>2、合格的投标人</w:t>
      </w:r>
    </w:p>
    <w:p w14:paraId="6323B7AB">
      <w:pPr>
        <w:widowControl/>
        <w:spacing w:line="520" w:lineRule="exact"/>
        <w:ind w:firstLine="480"/>
        <w:rPr>
          <w:rFonts w:eastAsia="Arial"/>
          <w:sz w:val="24"/>
          <w:szCs w:val="20"/>
          <w:highlight w:val="none"/>
        </w:rPr>
      </w:pPr>
      <w:r>
        <w:rPr>
          <w:rFonts w:hint="eastAsia" w:eastAsia="Arial"/>
          <w:sz w:val="24"/>
          <w:szCs w:val="20"/>
          <w:highlight w:val="none"/>
        </w:rPr>
        <w:t>2.1满足招标公告中供应商的资格要求的规定。</w:t>
      </w:r>
    </w:p>
    <w:p w14:paraId="2F3B3481">
      <w:pPr>
        <w:widowControl/>
        <w:spacing w:line="520" w:lineRule="exact"/>
        <w:ind w:firstLine="480"/>
        <w:rPr>
          <w:rFonts w:eastAsia="Arial"/>
          <w:sz w:val="24"/>
          <w:szCs w:val="20"/>
          <w:highlight w:val="none"/>
        </w:rPr>
      </w:pPr>
      <w:r>
        <w:rPr>
          <w:rFonts w:hint="eastAsia" w:eastAsia="Arial"/>
          <w:sz w:val="24"/>
          <w:szCs w:val="20"/>
          <w:highlight w:val="none"/>
        </w:rPr>
        <w:t>2.2满足本文件实质性要求和条件的规定。</w:t>
      </w:r>
    </w:p>
    <w:p w14:paraId="0B334A26">
      <w:pPr>
        <w:widowControl/>
        <w:spacing w:line="520" w:lineRule="exact"/>
        <w:ind w:firstLine="480"/>
        <w:outlineLvl w:val="2"/>
        <w:rPr>
          <w:rFonts w:eastAsia="Arial"/>
          <w:b/>
          <w:bCs/>
          <w:sz w:val="24"/>
          <w:szCs w:val="20"/>
          <w:highlight w:val="none"/>
          <w:lang w:val="zh-CN"/>
        </w:rPr>
      </w:pPr>
      <w:r>
        <w:rPr>
          <w:rFonts w:hint="eastAsia" w:eastAsia="Arial"/>
          <w:b/>
          <w:bCs/>
          <w:sz w:val="24"/>
          <w:szCs w:val="20"/>
          <w:highlight w:val="none"/>
          <w:lang w:val="zh-CN"/>
        </w:rPr>
        <w:t>3、适用法律</w:t>
      </w:r>
    </w:p>
    <w:p w14:paraId="02AFF7EF">
      <w:pPr>
        <w:widowControl/>
        <w:spacing w:line="520" w:lineRule="exact"/>
        <w:ind w:firstLine="480"/>
        <w:rPr>
          <w:rFonts w:eastAsia="Arial"/>
          <w:sz w:val="24"/>
          <w:szCs w:val="20"/>
          <w:highlight w:val="none"/>
        </w:rPr>
      </w:pPr>
      <w:r>
        <w:rPr>
          <w:rFonts w:hint="eastAsia" w:eastAsia="Arial"/>
          <w:sz w:val="24"/>
          <w:szCs w:val="20"/>
          <w:highlight w:val="none"/>
        </w:rPr>
        <w:t>3.1本次招标及由此产生的合同受中华人民共和国有关的法律法规制约和保护。</w:t>
      </w:r>
    </w:p>
    <w:p w14:paraId="73C594D3">
      <w:pPr>
        <w:widowControl/>
        <w:spacing w:line="520" w:lineRule="exact"/>
        <w:ind w:firstLine="480"/>
        <w:outlineLvl w:val="2"/>
        <w:rPr>
          <w:rFonts w:eastAsia="Arial"/>
          <w:b/>
          <w:bCs/>
          <w:sz w:val="24"/>
          <w:szCs w:val="20"/>
          <w:highlight w:val="none"/>
          <w:lang w:val="zh-CN"/>
        </w:rPr>
      </w:pPr>
      <w:r>
        <w:rPr>
          <w:rFonts w:hint="eastAsia" w:eastAsia="Arial"/>
          <w:b/>
          <w:bCs/>
          <w:sz w:val="24"/>
          <w:szCs w:val="20"/>
          <w:highlight w:val="none"/>
          <w:lang w:val="zh-CN"/>
        </w:rPr>
        <w:t>4、投标费用</w:t>
      </w:r>
    </w:p>
    <w:p w14:paraId="618D7D77">
      <w:pPr>
        <w:widowControl/>
        <w:spacing w:line="520" w:lineRule="exact"/>
        <w:ind w:firstLine="480"/>
        <w:rPr>
          <w:rFonts w:eastAsia="Arial"/>
          <w:sz w:val="24"/>
          <w:szCs w:val="20"/>
          <w:highlight w:val="none"/>
        </w:rPr>
      </w:pPr>
      <w:r>
        <w:rPr>
          <w:rFonts w:hint="eastAsia" w:eastAsia="Arial"/>
          <w:sz w:val="24"/>
          <w:szCs w:val="20"/>
          <w:highlight w:val="none"/>
        </w:rPr>
        <w:t>4.1投标人应自行承担所有与参加投标有关的费用，无论投标过程中的做法和结果如何，</w:t>
      </w:r>
      <w:r>
        <w:rPr>
          <w:rFonts w:hint="eastAsia"/>
          <w:sz w:val="24"/>
          <w:szCs w:val="20"/>
          <w:highlight w:val="none"/>
        </w:rPr>
        <w:t>采购代理</w:t>
      </w:r>
      <w:r>
        <w:rPr>
          <w:rFonts w:hint="eastAsia" w:eastAsia="Arial"/>
          <w:sz w:val="24"/>
          <w:szCs w:val="20"/>
          <w:highlight w:val="none"/>
        </w:rPr>
        <w:t>在任何情况下均无义务和责任承担这些费用。</w:t>
      </w:r>
    </w:p>
    <w:p w14:paraId="30ABA3FB">
      <w:pPr>
        <w:pStyle w:val="102"/>
        <w:ind w:firstLine="480" w:firstLineChars="200"/>
        <w:rPr>
          <w:rFonts w:ascii="Calibri" w:hAnsi="Calibri" w:eastAsia="Arial" w:cs="Times New Roman"/>
          <w:color w:val="auto"/>
          <w:szCs w:val="20"/>
          <w:highlight w:val="none"/>
        </w:rPr>
      </w:pPr>
      <w:r>
        <w:rPr>
          <w:rFonts w:hint="eastAsia" w:ascii="Calibri" w:hAnsi="Calibri" w:eastAsia="Arial" w:cs="Times New Roman"/>
          <w:color w:val="auto"/>
          <w:szCs w:val="20"/>
          <w:highlight w:val="none"/>
        </w:rPr>
        <w:t>4.2本次招标采购代理和采购人不收取标书工本费。</w:t>
      </w:r>
    </w:p>
    <w:p w14:paraId="5013E89B">
      <w:pPr>
        <w:widowControl/>
        <w:spacing w:line="520" w:lineRule="exact"/>
        <w:ind w:firstLine="480"/>
        <w:rPr>
          <w:rFonts w:eastAsia="Arial"/>
          <w:sz w:val="24"/>
          <w:szCs w:val="20"/>
          <w:highlight w:val="none"/>
        </w:rPr>
      </w:pPr>
      <w:r>
        <w:rPr>
          <w:rFonts w:hint="eastAsia" w:eastAsia="Arial"/>
          <w:sz w:val="24"/>
          <w:szCs w:val="20"/>
          <w:highlight w:val="none"/>
        </w:rPr>
        <w:t>4.3招标代理服务费：根据《招标代理服务收费管理暂行办法》(计价格[2002]1980号)收费标准6折计算。投标人投标时综合考虑进报价中，此项费用不得单列。中标后由中标单位在领取中标通知书前直接向招标代理服务机构一次性付清。。</w:t>
      </w:r>
    </w:p>
    <w:p w14:paraId="461BB117">
      <w:pPr>
        <w:widowControl/>
        <w:spacing w:line="520" w:lineRule="exact"/>
        <w:ind w:firstLine="480"/>
        <w:rPr>
          <w:b/>
          <w:bCs/>
          <w:sz w:val="24"/>
          <w:szCs w:val="20"/>
          <w:highlight w:val="none"/>
        </w:rPr>
      </w:pPr>
      <w:r>
        <w:rPr>
          <w:rFonts w:hint="eastAsia"/>
          <w:b/>
          <w:bCs/>
          <w:sz w:val="24"/>
          <w:szCs w:val="20"/>
          <w:highlight w:val="none"/>
        </w:rPr>
        <w:t>5</w:t>
      </w:r>
      <w:r>
        <w:rPr>
          <w:rFonts w:hint="eastAsia" w:eastAsia="Arial"/>
          <w:b/>
          <w:bCs/>
          <w:sz w:val="24"/>
          <w:szCs w:val="20"/>
          <w:highlight w:val="none"/>
          <w:lang w:val="zh-CN"/>
        </w:rPr>
        <w:t>、投标分项报价表</w:t>
      </w:r>
      <w:r>
        <w:rPr>
          <w:rFonts w:hint="eastAsia"/>
          <w:b/>
          <w:bCs/>
          <w:sz w:val="24"/>
          <w:szCs w:val="20"/>
          <w:highlight w:val="none"/>
        </w:rPr>
        <w:t xml:space="preserve"> </w:t>
      </w:r>
    </w:p>
    <w:p w14:paraId="04AE4767">
      <w:pPr>
        <w:pStyle w:val="509"/>
        <w:spacing w:beforeAutospacing="0" w:afterAutospacing="0" w:line="0" w:lineRule="atLeast"/>
        <w:ind w:firstLine="480"/>
        <w:jc w:val="both"/>
        <w:rPr>
          <w:highlight w:val="none"/>
        </w:rPr>
      </w:pPr>
      <w:r>
        <w:rPr>
          <w:rFonts w:hint="eastAsia"/>
          <w:highlight w:val="none"/>
        </w:rPr>
        <w:t>5.1投标人应按照招标文件规定格式填报投标分项报价表。</w:t>
      </w:r>
    </w:p>
    <w:p w14:paraId="48948344">
      <w:pPr>
        <w:widowControl/>
        <w:spacing w:line="520" w:lineRule="exact"/>
        <w:ind w:firstLine="480"/>
        <w:rPr>
          <w:rFonts w:ascii="宋体" w:hAnsi="宋体" w:cs="宋体"/>
          <w:sz w:val="24"/>
          <w:highlight w:val="none"/>
        </w:rPr>
      </w:pPr>
      <w:r>
        <w:rPr>
          <w:rFonts w:hint="eastAsia"/>
          <w:sz w:val="24"/>
          <w:highlight w:val="none"/>
        </w:rPr>
        <w:t>5.2</w:t>
      </w:r>
      <w:r>
        <w:rPr>
          <w:rFonts w:hint="eastAsia" w:ascii="宋体" w:hAnsi="宋体" w:cs="宋体"/>
          <w:sz w:val="24"/>
          <w:highlight w:val="none"/>
        </w:rPr>
        <w:t>投标货币。投标文件中的单价和总价无特殊规定的采用人民币报价，以元为单位标注。招标文件中另有规定的按规定执行。</w:t>
      </w:r>
    </w:p>
    <w:p w14:paraId="551F9DA6">
      <w:pPr>
        <w:pStyle w:val="79"/>
        <w:spacing w:beforeAutospacing="0" w:afterAutospacing="0" w:line="520" w:lineRule="exact"/>
        <w:ind w:firstLine="482"/>
        <w:jc w:val="both"/>
        <w:rPr>
          <w:rFonts w:ascii="Calibri" w:hAnsi="Calibri" w:cs="Times New Roman"/>
          <w:highlight w:val="none"/>
        </w:rPr>
      </w:pPr>
      <w:r>
        <w:rPr>
          <w:rFonts w:hint="eastAsia" w:ascii="Calibri" w:hAnsi="Calibri" w:cs="Times New Roman"/>
          <w:highlight w:val="none"/>
        </w:rPr>
        <w:t>5.3投标配置和分项明细报价，包含但不限于分局警务中心系统、设备、材料及软件【设备（包括主设备、配套设备、附件等）、材料、备品备件、专用工具、技术资料等】采购费、生产费、设计优化费（如有）、包装费、运杂费（含运输费）、装卸费、实施场地提升改造费用（含现状拆除）、调试（含试运行）费、保修费、保险费、配合费、施工安装及相关费用、机械投入费（含吊装费）、安全防护措施费、相关单位及人员配合协调费用、技术（含操作、维护等）培训、运行、维护、保密、人员驻场服务费用及售后服务费、管理费、利润、规费、税金（开具符合招标人要求的发票）、招标代理费（由中标人在开具中标通知书前向代理机构交纳）、不可预见费及其他相关所有费用，各类风险和政策性调整等风险已包括在投标报价的综合单价中。</w:t>
      </w:r>
    </w:p>
    <w:p w14:paraId="463878AB">
      <w:pPr>
        <w:pStyle w:val="79"/>
        <w:spacing w:beforeAutospacing="0" w:afterAutospacing="0" w:line="520" w:lineRule="exact"/>
        <w:ind w:firstLine="482"/>
        <w:jc w:val="both"/>
        <w:rPr>
          <w:rFonts w:ascii="Calibri" w:hAnsi="Calibri" w:cs="Times New Roman"/>
          <w:highlight w:val="none"/>
        </w:rPr>
      </w:pPr>
      <w:r>
        <w:rPr>
          <w:rFonts w:hint="eastAsia" w:ascii="Calibri" w:hAnsi="Calibri" w:cs="Times New Roman"/>
          <w:highlight w:val="none"/>
        </w:rPr>
        <w:t>投标人在投标报价中须综合考虑项目前期及实施过程中发生的一切费用，项目实施过程中所有事宜须由中标人自行协调解决。</w:t>
      </w:r>
    </w:p>
    <w:p w14:paraId="74A8C8AF">
      <w:pPr>
        <w:widowControl/>
        <w:spacing w:line="520" w:lineRule="exact"/>
        <w:ind w:firstLine="480"/>
        <w:rPr>
          <w:rFonts w:eastAsia="Arial"/>
          <w:b/>
          <w:bCs/>
          <w:sz w:val="24"/>
          <w:szCs w:val="20"/>
          <w:highlight w:val="none"/>
          <w:lang w:val="zh-CN"/>
        </w:rPr>
      </w:pPr>
      <w:r>
        <w:rPr>
          <w:rFonts w:hint="eastAsia"/>
          <w:b/>
          <w:bCs/>
          <w:sz w:val="24"/>
          <w:szCs w:val="20"/>
          <w:highlight w:val="none"/>
        </w:rPr>
        <w:t>6</w:t>
      </w:r>
      <w:r>
        <w:rPr>
          <w:rFonts w:hint="eastAsia" w:eastAsia="Arial"/>
          <w:b/>
          <w:bCs/>
          <w:sz w:val="24"/>
          <w:szCs w:val="20"/>
          <w:highlight w:val="none"/>
          <w:lang w:val="zh-CN"/>
        </w:rPr>
        <w:t>、技术要求响应及偏离表、商务要求响应及偏离表</w:t>
      </w:r>
    </w:p>
    <w:p w14:paraId="41D13F81">
      <w:pPr>
        <w:widowControl/>
        <w:spacing w:line="520" w:lineRule="exact"/>
        <w:ind w:firstLine="480"/>
        <w:rPr>
          <w:rFonts w:eastAsia="Arial"/>
          <w:sz w:val="24"/>
          <w:szCs w:val="20"/>
          <w:highlight w:val="none"/>
          <w:lang w:val="zh-CN"/>
        </w:rPr>
      </w:pPr>
      <w:r>
        <w:rPr>
          <w:rFonts w:hint="eastAsia"/>
          <w:sz w:val="24"/>
          <w:szCs w:val="20"/>
          <w:highlight w:val="none"/>
        </w:rPr>
        <w:t>6</w:t>
      </w:r>
      <w:r>
        <w:rPr>
          <w:rFonts w:hint="eastAsia" w:eastAsia="Arial"/>
          <w:sz w:val="24"/>
          <w:szCs w:val="20"/>
          <w:highlight w:val="none"/>
          <w:lang w:val="zh-CN"/>
        </w:rPr>
        <w:t>.1投标人需对招标文件中的技术要求与商务要求逐项作出响应或偏离，并说明原因。</w:t>
      </w:r>
    </w:p>
    <w:p w14:paraId="561ED5EF">
      <w:pPr>
        <w:widowControl/>
        <w:spacing w:line="520" w:lineRule="exact"/>
        <w:ind w:firstLine="480"/>
        <w:rPr>
          <w:rFonts w:eastAsia="Arial"/>
          <w:sz w:val="24"/>
          <w:szCs w:val="20"/>
          <w:highlight w:val="none"/>
          <w:lang w:val="zh-CN"/>
        </w:rPr>
      </w:pPr>
      <w:r>
        <w:rPr>
          <w:rFonts w:hint="eastAsia"/>
          <w:sz w:val="24"/>
          <w:szCs w:val="20"/>
          <w:highlight w:val="none"/>
        </w:rPr>
        <w:t>6</w:t>
      </w:r>
      <w:r>
        <w:rPr>
          <w:rFonts w:hint="eastAsia" w:eastAsia="Arial"/>
          <w:sz w:val="24"/>
          <w:szCs w:val="20"/>
          <w:highlight w:val="none"/>
          <w:lang w:val="zh-CN"/>
        </w:rPr>
        <w:t>.2投标人可在投标文件中提供认为需要的其他技术文件或说明。</w:t>
      </w:r>
    </w:p>
    <w:p w14:paraId="2E0B8FD4">
      <w:pPr>
        <w:widowControl/>
        <w:spacing w:line="520" w:lineRule="exact"/>
        <w:ind w:firstLine="480"/>
        <w:rPr>
          <w:rFonts w:eastAsia="Arial"/>
          <w:b/>
          <w:bCs/>
          <w:sz w:val="24"/>
          <w:szCs w:val="20"/>
          <w:highlight w:val="none"/>
          <w:lang w:val="zh-CN"/>
        </w:rPr>
      </w:pPr>
      <w:r>
        <w:rPr>
          <w:rFonts w:hint="eastAsia"/>
          <w:b/>
          <w:bCs/>
          <w:sz w:val="24"/>
          <w:szCs w:val="20"/>
          <w:highlight w:val="none"/>
        </w:rPr>
        <w:t>7</w:t>
      </w:r>
      <w:r>
        <w:rPr>
          <w:rFonts w:hint="eastAsia" w:eastAsia="Arial"/>
          <w:b/>
          <w:bCs/>
          <w:sz w:val="24"/>
          <w:szCs w:val="20"/>
          <w:highlight w:val="none"/>
          <w:lang w:val="zh-CN"/>
        </w:rPr>
        <w:t>、投标函和开标一览表</w:t>
      </w:r>
    </w:p>
    <w:p w14:paraId="79C34D1D">
      <w:pPr>
        <w:widowControl/>
        <w:spacing w:line="520" w:lineRule="exact"/>
        <w:ind w:firstLine="480"/>
        <w:rPr>
          <w:rFonts w:eastAsia="Arial"/>
          <w:sz w:val="24"/>
          <w:szCs w:val="20"/>
          <w:highlight w:val="none"/>
          <w:lang w:val="zh-CN"/>
        </w:rPr>
      </w:pPr>
      <w:r>
        <w:rPr>
          <w:rFonts w:hint="eastAsia"/>
          <w:sz w:val="24"/>
          <w:szCs w:val="20"/>
          <w:highlight w:val="none"/>
        </w:rPr>
        <w:t>7</w:t>
      </w:r>
      <w:r>
        <w:rPr>
          <w:rFonts w:hint="eastAsia" w:eastAsia="Arial"/>
          <w:sz w:val="24"/>
          <w:szCs w:val="20"/>
          <w:highlight w:val="none"/>
          <w:lang w:val="zh-CN"/>
        </w:rPr>
        <w:t>.1投标人应按照招标文件中提供的格式完整、正确填写投标函、开标一览表。</w:t>
      </w:r>
    </w:p>
    <w:p w14:paraId="756A2427">
      <w:pPr>
        <w:widowControl/>
        <w:spacing w:line="520" w:lineRule="exact"/>
        <w:ind w:firstLine="480"/>
        <w:rPr>
          <w:rFonts w:eastAsia="Arial"/>
          <w:sz w:val="24"/>
          <w:szCs w:val="20"/>
          <w:highlight w:val="none"/>
          <w:lang w:val="zh-CN"/>
        </w:rPr>
      </w:pPr>
      <w:r>
        <w:rPr>
          <w:rFonts w:hint="eastAsia"/>
          <w:sz w:val="24"/>
          <w:szCs w:val="20"/>
          <w:highlight w:val="none"/>
        </w:rPr>
        <w:t>7</w:t>
      </w:r>
      <w:r>
        <w:rPr>
          <w:rFonts w:hint="eastAsia" w:eastAsia="Arial"/>
          <w:sz w:val="24"/>
          <w:szCs w:val="20"/>
          <w:highlight w:val="none"/>
          <w:lang w:val="zh-CN"/>
        </w:rPr>
        <w:t>.2对于采用货币报价的项目，开标一览表中的投标总报价应与投标分项报价表中的投标总报价一致，如不一致，不作为无效投标处理，但评标时按开标一览表中价格为准。</w:t>
      </w:r>
    </w:p>
    <w:p w14:paraId="0AAEDC57">
      <w:pPr>
        <w:widowControl/>
        <w:spacing w:line="520" w:lineRule="exact"/>
        <w:ind w:firstLine="480"/>
        <w:rPr>
          <w:rFonts w:eastAsia="Arial"/>
          <w:b/>
          <w:bCs/>
          <w:sz w:val="24"/>
          <w:szCs w:val="20"/>
          <w:highlight w:val="none"/>
          <w:lang w:val="zh-CN"/>
        </w:rPr>
      </w:pPr>
      <w:r>
        <w:rPr>
          <w:rFonts w:hint="eastAsia"/>
          <w:b/>
          <w:bCs/>
          <w:sz w:val="24"/>
          <w:szCs w:val="20"/>
          <w:highlight w:val="none"/>
        </w:rPr>
        <w:t>8</w:t>
      </w:r>
      <w:r>
        <w:rPr>
          <w:rFonts w:hint="eastAsia" w:eastAsia="Arial"/>
          <w:b/>
          <w:bCs/>
          <w:sz w:val="24"/>
          <w:szCs w:val="20"/>
          <w:highlight w:val="none"/>
          <w:lang w:val="zh-CN"/>
        </w:rPr>
        <w:t>、投标有效期</w:t>
      </w:r>
    </w:p>
    <w:p w14:paraId="4789BC53">
      <w:pPr>
        <w:widowControl/>
        <w:spacing w:line="520" w:lineRule="exact"/>
        <w:ind w:firstLine="480"/>
        <w:rPr>
          <w:rFonts w:eastAsia="Arial"/>
          <w:sz w:val="24"/>
          <w:szCs w:val="20"/>
          <w:highlight w:val="none"/>
          <w:lang w:val="zh-CN"/>
        </w:rPr>
      </w:pPr>
      <w:r>
        <w:rPr>
          <w:rFonts w:hint="eastAsia"/>
          <w:sz w:val="24"/>
          <w:szCs w:val="20"/>
          <w:highlight w:val="none"/>
        </w:rPr>
        <w:t>8</w:t>
      </w:r>
      <w:r>
        <w:rPr>
          <w:rFonts w:hint="eastAsia" w:eastAsia="Arial"/>
          <w:sz w:val="24"/>
          <w:szCs w:val="20"/>
          <w:highlight w:val="none"/>
          <w:lang w:val="zh-CN"/>
        </w:rPr>
        <w:t>.1投标有效期为采购人规定的开标之日后</w:t>
      </w:r>
      <w:r>
        <w:rPr>
          <w:rFonts w:hint="eastAsia" w:eastAsia="Arial"/>
          <w:b/>
          <w:bCs/>
          <w:sz w:val="24"/>
          <w:szCs w:val="20"/>
          <w:highlight w:val="none"/>
          <w:u w:val="single"/>
          <w:lang w:val="zh-CN"/>
        </w:rPr>
        <w:t>九十（90）天</w:t>
      </w:r>
      <w:r>
        <w:rPr>
          <w:rFonts w:hint="eastAsia" w:eastAsia="Arial"/>
          <w:sz w:val="24"/>
          <w:szCs w:val="20"/>
          <w:highlight w:val="none"/>
          <w:lang w:val="zh-CN"/>
        </w:rPr>
        <w:t>。投标有效期比规定短的将被视为未实质性响应招标文件而予以拒绝。</w:t>
      </w:r>
    </w:p>
    <w:p w14:paraId="3599D7DE">
      <w:pPr>
        <w:widowControl/>
        <w:spacing w:line="520" w:lineRule="exact"/>
        <w:ind w:firstLine="480"/>
        <w:rPr>
          <w:rFonts w:eastAsia="Arial"/>
          <w:b/>
          <w:bCs/>
          <w:sz w:val="24"/>
          <w:szCs w:val="20"/>
          <w:highlight w:val="none"/>
          <w:lang w:val="zh-CN"/>
        </w:rPr>
      </w:pPr>
      <w:r>
        <w:rPr>
          <w:rFonts w:hint="eastAsia"/>
          <w:b/>
          <w:bCs/>
          <w:sz w:val="24"/>
          <w:szCs w:val="20"/>
          <w:highlight w:val="none"/>
        </w:rPr>
        <w:t>9</w:t>
      </w:r>
      <w:r>
        <w:rPr>
          <w:rFonts w:hint="eastAsia" w:eastAsia="Arial"/>
          <w:b/>
          <w:bCs/>
          <w:sz w:val="24"/>
          <w:szCs w:val="20"/>
          <w:highlight w:val="none"/>
          <w:lang w:val="zh-CN"/>
        </w:rPr>
        <w:t>、投标有效期的延长</w:t>
      </w:r>
    </w:p>
    <w:p w14:paraId="16D85FA1">
      <w:pPr>
        <w:widowControl/>
        <w:spacing w:line="520" w:lineRule="exact"/>
        <w:ind w:firstLine="480"/>
        <w:rPr>
          <w:rFonts w:eastAsia="Arial"/>
          <w:sz w:val="24"/>
          <w:szCs w:val="20"/>
          <w:highlight w:val="none"/>
          <w:lang w:val="zh-CN"/>
        </w:rPr>
      </w:pPr>
      <w:r>
        <w:rPr>
          <w:rFonts w:hint="eastAsia"/>
          <w:sz w:val="24"/>
          <w:szCs w:val="20"/>
          <w:highlight w:val="none"/>
        </w:rPr>
        <w:t>9</w:t>
      </w:r>
      <w:r>
        <w:rPr>
          <w:rFonts w:hint="eastAsia" w:eastAsia="Arial"/>
          <w:sz w:val="24"/>
          <w:szCs w:val="20"/>
          <w:highlight w:val="none"/>
          <w:lang w:val="zh-CN"/>
        </w:rPr>
        <w:t>.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w:t>
      </w:r>
    </w:p>
    <w:p w14:paraId="03F446FF">
      <w:pPr>
        <w:widowControl/>
        <w:spacing w:line="520" w:lineRule="exact"/>
        <w:ind w:firstLine="480"/>
        <w:outlineLvl w:val="1"/>
        <w:rPr>
          <w:rFonts w:eastAsia="Arial"/>
          <w:b/>
          <w:bCs/>
          <w:sz w:val="24"/>
          <w:szCs w:val="20"/>
          <w:highlight w:val="none"/>
          <w:lang w:val="zh-CN"/>
        </w:rPr>
      </w:pPr>
      <w:r>
        <w:rPr>
          <w:rFonts w:hint="eastAsia" w:eastAsia="Arial"/>
          <w:b/>
          <w:bCs/>
          <w:sz w:val="24"/>
          <w:szCs w:val="20"/>
          <w:highlight w:val="none"/>
          <w:lang w:val="zh-CN"/>
        </w:rPr>
        <w:t>四、投标文件的递交</w:t>
      </w:r>
    </w:p>
    <w:p w14:paraId="481DA3BE">
      <w:pPr>
        <w:widowControl/>
        <w:spacing w:line="520" w:lineRule="exact"/>
        <w:ind w:firstLine="480"/>
        <w:rPr>
          <w:rFonts w:eastAsia="Arial"/>
          <w:b/>
          <w:bCs/>
          <w:sz w:val="24"/>
          <w:szCs w:val="20"/>
          <w:highlight w:val="none"/>
          <w:lang w:val="zh-CN"/>
        </w:rPr>
      </w:pPr>
      <w:r>
        <w:rPr>
          <w:rFonts w:hint="eastAsia" w:eastAsia="Arial"/>
          <w:b/>
          <w:bCs/>
          <w:sz w:val="24"/>
          <w:szCs w:val="20"/>
          <w:highlight w:val="none"/>
          <w:lang w:val="zh-CN"/>
        </w:rPr>
        <w:t>1</w:t>
      </w:r>
      <w:r>
        <w:rPr>
          <w:rFonts w:hint="eastAsia"/>
          <w:b/>
          <w:bCs/>
          <w:sz w:val="24"/>
          <w:szCs w:val="20"/>
          <w:highlight w:val="none"/>
        </w:rPr>
        <w:t>0</w:t>
      </w:r>
      <w:r>
        <w:rPr>
          <w:rFonts w:hint="eastAsia" w:eastAsia="Arial"/>
          <w:b/>
          <w:bCs/>
          <w:sz w:val="24"/>
          <w:szCs w:val="20"/>
          <w:highlight w:val="none"/>
          <w:lang w:val="zh-CN"/>
        </w:rPr>
        <w:t>、投标文件的递交</w:t>
      </w:r>
    </w:p>
    <w:p w14:paraId="29724D14">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w:t>
      </w:r>
      <w:r>
        <w:rPr>
          <w:rFonts w:hint="eastAsia"/>
          <w:sz w:val="24"/>
          <w:szCs w:val="20"/>
          <w:highlight w:val="none"/>
        </w:rPr>
        <w:t>0</w:t>
      </w:r>
      <w:r>
        <w:rPr>
          <w:rFonts w:hint="eastAsia" w:eastAsia="Arial"/>
          <w:sz w:val="24"/>
          <w:szCs w:val="20"/>
          <w:highlight w:val="none"/>
          <w:lang w:val="zh-CN"/>
        </w:rPr>
        <w:t>.1 电子投标文件的递交</w:t>
      </w:r>
    </w:p>
    <w:p w14:paraId="5F254821">
      <w:pPr>
        <w:widowControl/>
        <w:spacing w:line="520" w:lineRule="exact"/>
        <w:ind w:firstLine="480"/>
        <w:rPr>
          <w:sz w:val="24"/>
          <w:szCs w:val="20"/>
          <w:highlight w:val="none"/>
        </w:rPr>
      </w:pPr>
      <w:r>
        <w:rPr>
          <w:rFonts w:hint="eastAsia" w:eastAsia="Arial"/>
          <w:sz w:val="24"/>
          <w:szCs w:val="20"/>
          <w:highlight w:val="none"/>
          <w:lang w:val="zh-CN"/>
        </w:rPr>
        <w:t>投标人应当按照《操作手册》规定，在投标截止时间前制作并上传电子投标</w:t>
      </w:r>
      <w:r>
        <w:rPr>
          <w:rFonts w:hint="eastAsia"/>
          <w:sz w:val="24"/>
          <w:szCs w:val="20"/>
          <w:highlight w:val="none"/>
        </w:rPr>
        <w:t>文件。</w:t>
      </w:r>
    </w:p>
    <w:p w14:paraId="7E91CB73">
      <w:pPr>
        <w:widowControl/>
        <w:spacing w:line="520" w:lineRule="exact"/>
        <w:ind w:firstLine="480"/>
        <w:rPr>
          <w:rFonts w:eastAsia="Arial"/>
          <w:b/>
          <w:bCs/>
          <w:sz w:val="24"/>
          <w:szCs w:val="20"/>
          <w:highlight w:val="none"/>
          <w:lang w:val="zh-CN"/>
        </w:rPr>
      </w:pPr>
      <w:r>
        <w:rPr>
          <w:rFonts w:hint="eastAsia" w:eastAsia="Arial"/>
          <w:b/>
          <w:bCs/>
          <w:sz w:val="24"/>
          <w:szCs w:val="20"/>
          <w:highlight w:val="none"/>
          <w:lang w:val="zh-CN"/>
        </w:rPr>
        <w:t>1</w:t>
      </w:r>
      <w:r>
        <w:rPr>
          <w:rFonts w:hint="eastAsia"/>
          <w:b/>
          <w:bCs/>
          <w:sz w:val="24"/>
          <w:szCs w:val="20"/>
          <w:highlight w:val="none"/>
        </w:rPr>
        <w:t>1</w:t>
      </w:r>
      <w:r>
        <w:rPr>
          <w:rFonts w:hint="eastAsia" w:eastAsia="Arial"/>
          <w:b/>
          <w:bCs/>
          <w:sz w:val="24"/>
          <w:szCs w:val="20"/>
          <w:highlight w:val="none"/>
          <w:lang w:val="zh-CN"/>
        </w:rPr>
        <w:t>、投标截止时间</w:t>
      </w:r>
    </w:p>
    <w:p w14:paraId="7913ED26">
      <w:pPr>
        <w:widowControl/>
        <w:spacing w:line="520" w:lineRule="exact"/>
        <w:ind w:firstLine="480"/>
        <w:rPr>
          <w:rFonts w:eastAsia="Arial"/>
          <w:sz w:val="24"/>
          <w:szCs w:val="20"/>
          <w:highlight w:val="none"/>
          <w:lang w:val="zh-CN"/>
        </w:rPr>
      </w:pPr>
      <w:r>
        <w:rPr>
          <w:rFonts w:hint="eastAsia" w:eastAsia="Arial"/>
          <w:i/>
          <w:iCs/>
          <w:sz w:val="24"/>
          <w:szCs w:val="20"/>
          <w:highlight w:val="none"/>
          <w:u w:val="single"/>
          <w:lang w:val="zh-CN"/>
        </w:rPr>
        <w:t>1</w:t>
      </w:r>
      <w:r>
        <w:rPr>
          <w:rFonts w:hint="eastAsia"/>
          <w:i/>
          <w:iCs/>
          <w:sz w:val="24"/>
          <w:szCs w:val="20"/>
          <w:highlight w:val="none"/>
          <w:u w:val="single"/>
        </w:rPr>
        <w:t>1</w:t>
      </w:r>
      <w:r>
        <w:rPr>
          <w:rFonts w:hint="eastAsia" w:eastAsia="Arial"/>
          <w:i/>
          <w:iCs/>
          <w:sz w:val="24"/>
          <w:szCs w:val="20"/>
          <w:highlight w:val="none"/>
          <w:u w:val="single"/>
          <w:lang w:val="zh-CN"/>
        </w:rPr>
        <w:t>.1投标人上传电子投标文件的时间不得迟于招标公告中规定的投标截止时间。</w:t>
      </w:r>
    </w:p>
    <w:p w14:paraId="65BCC352">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投标人应充分考虑到网络环境、网络带宽等风险因素，如因投标人自身原因造成的电子投标文件上传不成功的按照本招标文件第二章第26.1.2条规定做无效投标处理。</w:t>
      </w:r>
    </w:p>
    <w:p w14:paraId="1378ADA9">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w:t>
      </w:r>
      <w:r>
        <w:rPr>
          <w:rFonts w:hint="eastAsia"/>
          <w:sz w:val="24"/>
          <w:szCs w:val="20"/>
          <w:highlight w:val="none"/>
        </w:rPr>
        <w:t>1</w:t>
      </w:r>
      <w:r>
        <w:rPr>
          <w:rFonts w:hint="eastAsia" w:eastAsia="Arial"/>
          <w:sz w:val="24"/>
          <w:szCs w:val="20"/>
          <w:highlight w:val="none"/>
          <w:lang w:val="zh-CN"/>
        </w:rPr>
        <w:t>.2采购代理可以按照规定，通过修改招标文件酌情延长投标截止时间，在此情况下，投标人的所有权利和义务以及投标人受制的截止时间均应以延长后新的截止时间为准。</w:t>
      </w:r>
    </w:p>
    <w:p w14:paraId="7277E1F9">
      <w:pPr>
        <w:widowControl/>
        <w:spacing w:line="520" w:lineRule="exact"/>
        <w:ind w:firstLine="480"/>
        <w:rPr>
          <w:rFonts w:eastAsia="Arial"/>
          <w:b/>
          <w:bCs/>
          <w:sz w:val="24"/>
          <w:szCs w:val="20"/>
          <w:highlight w:val="none"/>
          <w:lang w:val="zh-CN"/>
        </w:rPr>
      </w:pPr>
      <w:r>
        <w:rPr>
          <w:rFonts w:hint="eastAsia" w:eastAsia="Arial"/>
          <w:b/>
          <w:bCs/>
          <w:sz w:val="24"/>
          <w:szCs w:val="20"/>
          <w:highlight w:val="none"/>
          <w:lang w:val="zh-CN"/>
        </w:rPr>
        <w:t>1</w:t>
      </w:r>
      <w:r>
        <w:rPr>
          <w:rFonts w:hint="eastAsia"/>
          <w:b/>
          <w:bCs/>
          <w:sz w:val="24"/>
          <w:szCs w:val="20"/>
          <w:highlight w:val="none"/>
        </w:rPr>
        <w:t>2</w:t>
      </w:r>
      <w:r>
        <w:rPr>
          <w:rFonts w:hint="eastAsia" w:eastAsia="Arial"/>
          <w:b/>
          <w:bCs/>
          <w:sz w:val="24"/>
          <w:szCs w:val="20"/>
          <w:highlight w:val="none"/>
          <w:lang w:val="zh-CN"/>
        </w:rPr>
        <w:t>、投标文件的拒收</w:t>
      </w:r>
    </w:p>
    <w:p w14:paraId="70CA1CD8">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w:t>
      </w:r>
      <w:r>
        <w:rPr>
          <w:rFonts w:hint="eastAsia"/>
          <w:sz w:val="24"/>
          <w:szCs w:val="20"/>
          <w:highlight w:val="none"/>
        </w:rPr>
        <w:t>2</w:t>
      </w:r>
      <w:r>
        <w:rPr>
          <w:rFonts w:hint="eastAsia" w:eastAsia="Arial"/>
          <w:sz w:val="24"/>
          <w:szCs w:val="20"/>
          <w:highlight w:val="none"/>
          <w:lang w:val="zh-CN"/>
        </w:rPr>
        <w:t>.1采购代理拒绝接收在其规定的投标截止时间后上传的任何投标文件。</w:t>
      </w:r>
    </w:p>
    <w:p w14:paraId="3C424787">
      <w:pPr>
        <w:widowControl/>
        <w:spacing w:line="520" w:lineRule="exact"/>
        <w:ind w:firstLine="480"/>
        <w:rPr>
          <w:rFonts w:eastAsia="Arial"/>
          <w:b/>
          <w:bCs/>
          <w:sz w:val="24"/>
          <w:szCs w:val="20"/>
          <w:highlight w:val="none"/>
          <w:lang w:val="zh-CN"/>
        </w:rPr>
      </w:pPr>
      <w:r>
        <w:rPr>
          <w:rFonts w:hint="eastAsia"/>
          <w:b/>
          <w:bCs/>
          <w:sz w:val="24"/>
          <w:szCs w:val="20"/>
          <w:highlight w:val="none"/>
        </w:rPr>
        <w:t>13</w:t>
      </w:r>
      <w:r>
        <w:rPr>
          <w:rFonts w:hint="eastAsia" w:eastAsia="Arial"/>
          <w:b/>
          <w:bCs/>
          <w:sz w:val="24"/>
          <w:szCs w:val="20"/>
          <w:highlight w:val="none"/>
          <w:lang w:val="zh-CN"/>
        </w:rPr>
        <w:t>、投标文件的撤回和修改</w:t>
      </w:r>
    </w:p>
    <w:p w14:paraId="3EDBC38E">
      <w:pPr>
        <w:widowControl/>
        <w:spacing w:line="520" w:lineRule="exact"/>
        <w:ind w:firstLine="480"/>
        <w:rPr>
          <w:rFonts w:eastAsia="Arial"/>
          <w:sz w:val="24"/>
          <w:szCs w:val="20"/>
          <w:highlight w:val="none"/>
          <w:lang w:val="zh-CN"/>
        </w:rPr>
      </w:pPr>
      <w:r>
        <w:rPr>
          <w:rFonts w:hint="eastAsia"/>
          <w:sz w:val="24"/>
          <w:szCs w:val="20"/>
          <w:highlight w:val="none"/>
        </w:rPr>
        <w:t>13</w:t>
      </w:r>
      <w:r>
        <w:rPr>
          <w:rFonts w:hint="eastAsia" w:eastAsia="Arial"/>
          <w:sz w:val="24"/>
          <w:szCs w:val="20"/>
          <w:highlight w:val="none"/>
          <w:lang w:val="zh-CN"/>
        </w:rPr>
        <w:t>.1投标文件的撤回</w:t>
      </w:r>
    </w:p>
    <w:p w14:paraId="7F7A012F">
      <w:pPr>
        <w:widowControl/>
        <w:spacing w:line="520" w:lineRule="exact"/>
        <w:ind w:firstLine="480"/>
        <w:rPr>
          <w:rFonts w:eastAsia="Arial"/>
          <w:sz w:val="24"/>
          <w:szCs w:val="20"/>
          <w:highlight w:val="none"/>
          <w:lang w:val="zh-CN"/>
        </w:rPr>
      </w:pPr>
      <w:r>
        <w:rPr>
          <w:rFonts w:hint="eastAsia"/>
          <w:sz w:val="24"/>
          <w:szCs w:val="20"/>
          <w:highlight w:val="none"/>
        </w:rPr>
        <w:t>13</w:t>
      </w:r>
      <w:r>
        <w:rPr>
          <w:rFonts w:hint="eastAsia" w:eastAsia="Arial"/>
          <w:sz w:val="24"/>
          <w:szCs w:val="20"/>
          <w:highlight w:val="none"/>
          <w:lang w:val="zh-CN"/>
        </w:rPr>
        <w:t>.1.1电子投标文件的撤回</w:t>
      </w:r>
    </w:p>
    <w:p w14:paraId="24172C5C">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投标人可在投标截止时间前，撤回其电子投标文件，具体操作方法见《操作手册》。</w:t>
      </w:r>
    </w:p>
    <w:p w14:paraId="04559E9C">
      <w:pPr>
        <w:widowControl/>
        <w:spacing w:line="520" w:lineRule="exact"/>
        <w:ind w:firstLine="480"/>
        <w:rPr>
          <w:rFonts w:eastAsia="Arial"/>
          <w:sz w:val="24"/>
          <w:szCs w:val="20"/>
          <w:highlight w:val="none"/>
          <w:lang w:val="zh-CN"/>
        </w:rPr>
      </w:pPr>
      <w:r>
        <w:rPr>
          <w:rFonts w:hint="eastAsia"/>
          <w:sz w:val="24"/>
          <w:szCs w:val="20"/>
          <w:highlight w:val="none"/>
        </w:rPr>
        <w:t>13</w:t>
      </w:r>
      <w:r>
        <w:rPr>
          <w:rFonts w:hint="eastAsia" w:eastAsia="Arial"/>
          <w:sz w:val="24"/>
          <w:szCs w:val="20"/>
          <w:highlight w:val="none"/>
          <w:lang w:val="zh-CN"/>
        </w:rPr>
        <w:t>.1.2投标人撤回电子投标文件，则认为其不再参与本项目投标活动。</w:t>
      </w:r>
    </w:p>
    <w:p w14:paraId="5D3EAB5E">
      <w:pPr>
        <w:widowControl/>
        <w:spacing w:line="520" w:lineRule="exact"/>
        <w:ind w:firstLine="480"/>
        <w:rPr>
          <w:rFonts w:eastAsia="Arial"/>
          <w:sz w:val="24"/>
          <w:szCs w:val="20"/>
          <w:highlight w:val="none"/>
          <w:lang w:val="zh-CN"/>
        </w:rPr>
      </w:pPr>
      <w:r>
        <w:rPr>
          <w:rFonts w:hint="eastAsia"/>
          <w:sz w:val="24"/>
          <w:szCs w:val="20"/>
          <w:highlight w:val="none"/>
        </w:rPr>
        <w:t>13</w:t>
      </w:r>
      <w:r>
        <w:rPr>
          <w:rFonts w:hint="eastAsia" w:eastAsia="Arial"/>
          <w:sz w:val="24"/>
          <w:szCs w:val="20"/>
          <w:highlight w:val="none"/>
          <w:lang w:val="zh-CN"/>
        </w:rPr>
        <w:t>.2 投标文件的修改</w:t>
      </w:r>
    </w:p>
    <w:p w14:paraId="58673E96">
      <w:pPr>
        <w:widowControl/>
        <w:spacing w:line="520" w:lineRule="exact"/>
        <w:ind w:firstLine="480"/>
        <w:rPr>
          <w:rFonts w:eastAsia="Arial"/>
          <w:sz w:val="24"/>
          <w:szCs w:val="20"/>
          <w:highlight w:val="none"/>
          <w:lang w:val="zh-CN"/>
        </w:rPr>
      </w:pPr>
      <w:r>
        <w:rPr>
          <w:rFonts w:hint="eastAsia"/>
          <w:sz w:val="24"/>
          <w:szCs w:val="20"/>
          <w:highlight w:val="none"/>
        </w:rPr>
        <w:t>13</w:t>
      </w:r>
      <w:r>
        <w:rPr>
          <w:rFonts w:hint="eastAsia" w:eastAsia="Arial"/>
          <w:sz w:val="24"/>
          <w:szCs w:val="20"/>
          <w:highlight w:val="none"/>
          <w:lang w:val="zh-CN"/>
        </w:rPr>
        <w:t>.2.1投标人可在投标截止时间前，对其电子投标文件进行修改，具体操作方法见《操作手册》。</w:t>
      </w:r>
    </w:p>
    <w:p w14:paraId="7B4DA55A">
      <w:pPr>
        <w:widowControl/>
        <w:spacing w:line="520" w:lineRule="exact"/>
        <w:ind w:firstLine="480"/>
        <w:rPr>
          <w:rFonts w:eastAsia="Arial"/>
          <w:sz w:val="24"/>
          <w:szCs w:val="20"/>
          <w:highlight w:val="none"/>
          <w:lang w:val="zh-CN"/>
        </w:rPr>
      </w:pPr>
      <w:r>
        <w:rPr>
          <w:rFonts w:hint="eastAsia"/>
          <w:sz w:val="24"/>
          <w:szCs w:val="20"/>
          <w:highlight w:val="none"/>
        </w:rPr>
        <w:t>13</w:t>
      </w:r>
      <w:r>
        <w:rPr>
          <w:rFonts w:hint="eastAsia" w:eastAsia="Arial"/>
          <w:sz w:val="24"/>
          <w:szCs w:val="20"/>
          <w:highlight w:val="none"/>
          <w:lang w:val="zh-CN"/>
        </w:rPr>
        <w:t>.2.2在投标截止时间之后，投标人不得对其电子投标文件作任何修改。</w:t>
      </w:r>
    </w:p>
    <w:p w14:paraId="232DA79C">
      <w:pPr>
        <w:widowControl/>
        <w:spacing w:line="520" w:lineRule="exact"/>
        <w:ind w:firstLine="480"/>
        <w:rPr>
          <w:rFonts w:eastAsia="Arial"/>
          <w:sz w:val="24"/>
          <w:szCs w:val="20"/>
          <w:highlight w:val="none"/>
          <w:lang w:val="zh-CN"/>
        </w:rPr>
      </w:pPr>
      <w:r>
        <w:rPr>
          <w:rFonts w:hint="eastAsia"/>
          <w:sz w:val="24"/>
          <w:szCs w:val="20"/>
          <w:highlight w:val="none"/>
        </w:rPr>
        <w:t>13</w:t>
      </w:r>
      <w:r>
        <w:rPr>
          <w:rFonts w:hint="eastAsia" w:eastAsia="Arial"/>
          <w:sz w:val="24"/>
          <w:szCs w:val="20"/>
          <w:highlight w:val="none"/>
          <w:lang w:val="zh-CN"/>
        </w:rPr>
        <w:t>.3在投标截止时间至招标文件中规定的投标有效期满之间的这段时间内，投标人不得撤回其投标。</w:t>
      </w:r>
    </w:p>
    <w:p w14:paraId="2A30BE42">
      <w:pPr>
        <w:widowControl/>
        <w:spacing w:line="520" w:lineRule="exact"/>
        <w:ind w:firstLine="480"/>
        <w:outlineLvl w:val="1"/>
        <w:rPr>
          <w:rFonts w:eastAsia="Arial"/>
          <w:b/>
          <w:bCs/>
          <w:sz w:val="24"/>
          <w:szCs w:val="20"/>
          <w:highlight w:val="none"/>
          <w:lang w:val="zh-CN"/>
        </w:rPr>
      </w:pPr>
      <w:r>
        <w:rPr>
          <w:rFonts w:hint="eastAsia" w:eastAsia="Arial"/>
          <w:b/>
          <w:bCs/>
          <w:sz w:val="24"/>
          <w:szCs w:val="20"/>
          <w:highlight w:val="none"/>
          <w:lang w:val="zh-CN"/>
        </w:rPr>
        <w:t>五、开标与评标</w:t>
      </w:r>
    </w:p>
    <w:p w14:paraId="03B64605">
      <w:pPr>
        <w:widowControl/>
        <w:spacing w:line="520" w:lineRule="exact"/>
        <w:ind w:firstLine="480"/>
        <w:rPr>
          <w:rFonts w:eastAsia="Arial"/>
          <w:b/>
          <w:bCs/>
          <w:sz w:val="24"/>
          <w:szCs w:val="20"/>
          <w:highlight w:val="none"/>
          <w:lang w:val="zh-CN"/>
        </w:rPr>
      </w:pPr>
      <w:r>
        <w:rPr>
          <w:rFonts w:hint="eastAsia"/>
          <w:b/>
          <w:bCs/>
          <w:sz w:val="24"/>
          <w:szCs w:val="20"/>
          <w:highlight w:val="none"/>
        </w:rPr>
        <w:t>14</w:t>
      </w:r>
      <w:r>
        <w:rPr>
          <w:rFonts w:hint="eastAsia" w:eastAsia="Arial"/>
          <w:b/>
          <w:bCs/>
          <w:sz w:val="24"/>
          <w:szCs w:val="20"/>
          <w:highlight w:val="none"/>
          <w:lang w:val="zh-CN"/>
        </w:rPr>
        <w:t>、开标</w:t>
      </w:r>
    </w:p>
    <w:p w14:paraId="12323F40">
      <w:pPr>
        <w:widowControl/>
        <w:spacing w:line="520" w:lineRule="exact"/>
        <w:ind w:firstLine="480"/>
        <w:rPr>
          <w:rFonts w:eastAsia="Arial"/>
          <w:sz w:val="24"/>
          <w:szCs w:val="20"/>
          <w:highlight w:val="none"/>
          <w:lang w:val="zh-CN"/>
        </w:rPr>
      </w:pPr>
      <w:r>
        <w:rPr>
          <w:rFonts w:hint="eastAsia"/>
          <w:sz w:val="24"/>
          <w:szCs w:val="20"/>
          <w:highlight w:val="none"/>
        </w:rPr>
        <w:t>14</w:t>
      </w:r>
      <w:r>
        <w:rPr>
          <w:rFonts w:hint="eastAsia" w:eastAsia="Arial"/>
          <w:sz w:val="24"/>
          <w:szCs w:val="20"/>
          <w:highlight w:val="none"/>
          <w:lang w:val="zh-CN"/>
        </w:rPr>
        <w:t>.1采购代理将在招标公告中规定的时间和地点组织公开开标。投标人应当按照《操作手册》规定，参加开标活动和在苏采云系统规定的时间内对投标文件进行解密。</w:t>
      </w:r>
    </w:p>
    <w:p w14:paraId="0C39F38C">
      <w:pPr>
        <w:widowControl/>
        <w:spacing w:line="520" w:lineRule="exact"/>
        <w:ind w:firstLine="480"/>
        <w:rPr>
          <w:rFonts w:eastAsia="Arial"/>
          <w:sz w:val="24"/>
          <w:szCs w:val="20"/>
          <w:highlight w:val="none"/>
          <w:lang w:val="zh-CN"/>
        </w:rPr>
      </w:pPr>
      <w:r>
        <w:rPr>
          <w:rFonts w:hint="eastAsia"/>
          <w:sz w:val="24"/>
          <w:szCs w:val="20"/>
          <w:highlight w:val="none"/>
        </w:rPr>
        <w:t>14</w:t>
      </w:r>
      <w:r>
        <w:rPr>
          <w:rFonts w:hint="eastAsia" w:eastAsia="Arial"/>
          <w:sz w:val="24"/>
          <w:szCs w:val="20"/>
          <w:highlight w:val="none"/>
          <w:lang w:val="zh-CN"/>
        </w:rPr>
        <w:t>.2开标仪式由采购代理组织。苏采云系统将自动对项目进行开标，并宣布各投标人名称和投标价格。</w:t>
      </w:r>
    </w:p>
    <w:p w14:paraId="7822AAE0">
      <w:pPr>
        <w:widowControl/>
        <w:spacing w:line="520" w:lineRule="exact"/>
        <w:ind w:firstLine="480"/>
        <w:rPr>
          <w:rFonts w:eastAsia="Arial"/>
          <w:sz w:val="24"/>
          <w:szCs w:val="20"/>
          <w:highlight w:val="none"/>
          <w:lang w:val="zh-CN"/>
        </w:rPr>
      </w:pPr>
      <w:r>
        <w:rPr>
          <w:rFonts w:hint="eastAsia"/>
          <w:sz w:val="24"/>
          <w:szCs w:val="20"/>
          <w:highlight w:val="none"/>
        </w:rPr>
        <w:t>14</w:t>
      </w:r>
      <w:r>
        <w:rPr>
          <w:rFonts w:hint="eastAsia" w:eastAsia="Arial"/>
          <w:sz w:val="24"/>
          <w:szCs w:val="20"/>
          <w:highlight w:val="none"/>
          <w:lang w:val="zh-CN"/>
        </w:rPr>
        <w:t>.3投标人在开标过程中涉及到的投标文件解密、开标结果确认等工作，应按照《操作手册》规定执行。</w:t>
      </w:r>
    </w:p>
    <w:p w14:paraId="60C75CBD">
      <w:pPr>
        <w:widowControl/>
        <w:spacing w:line="520" w:lineRule="exact"/>
        <w:ind w:firstLine="480"/>
        <w:rPr>
          <w:rFonts w:eastAsia="Arial"/>
          <w:sz w:val="24"/>
          <w:szCs w:val="20"/>
          <w:highlight w:val="none"/>
          <w:lang w:val="zh-CN"/>
        </w:rPr>
      </w:pPr>
      <w:r>
        <w:rPr>
          <w:rFonts w:hint="eastAsia"/>
          <w:sz w:val="24"/>
          <w:szCs w:val="20"/>
          <w:highlight w:val="none"/>
        </w:rPr>
        <w:t>14</w:t>
      </w:r>
      <w:r>
        <w:rPr>
          <w:rFonts w:hint="eastAsia" w:eastAsia="Arial"/>
          <w:sz w:val="24"/>
          <w:szCs w:val="20"/>
          <w:highlight w:val="none"/>
          <w:lang w:val="zh-CN"/>
        </w:rPr>
        <w:t>.4投标人如果对开标过程和开标记录有疑义，应当根据《操作手册》规定提出，如苏采云系统中《开标记录表》宣布后5分钟内未提出的，视同认可开标结果。</w:t>
      </w:r>
    </w:p>
    <w:p w14:paraId="26872B22">
      <w:pPr>
        <w:widowControl/>
        <w:spacing w:line="520" w:lineRule="exact"/>
        <w:ind w:firstLine="480"/>
        <w:rPr>
          <w:rFonts w:eastAsia="Arial"/>
          <w:b/>
          <w:bCs/>
          <w:sz w:val="24"/>
          <w:szCs w:val="20"/>
          <w:highlight w:val="none"/>
          <w:lang w:val="zh-CN"/>
        </w:rPr>
      </w:pPr>
      <w:r>
        <w:rPr>
          <w:rFonts w:hint="eastAsia"/>
          <w:b/>
          <w:bCs/>
          <w:sz w:val="24"/>
          <w:szCs w:val="20"/>
          <w:highlight w:val="none"/>
        </w:rPr>
        <w:t>15</w:t>
      </w:r>
      <w:r>
        <w:rPr>
          <w:rFonts w:hint="eastAsia" w:eastAsia="Arial"/>
          <w:b/>
          <w:bCs/>
          <w:sz w:val="24"/>
          <w:szCs w:val="20"/>
          <w:highlight w:val="none"/>
          <w:lang w:val="zh-CN"/>
        </w:rPr>
        <w:t>、评标委员会</w:t>
      </w:r>
    </w:p>
    <w:p w14:paraId="3C39C160">
      <w:pPr>
        <w:widowControl/>
        <w:spacing w:line="520" w:lineRule="exact"/>
        <w:ind w:firstLine="480"/>
        <w:rPr>
          <w:rFonts w:eastAsia="Arial"/>
          <w:sz w:val="24"/>
          <w:szCs w:val="20"/>
          <w:highlight w:val="none"/>
          <w:lang w:val="zh-CN"/>
        </w:rPr>
      </w:pPr>
      <w:r>
        <w:rPr>
          <w:rFonts w:hint="eastAsia"/>
          <w:sz w:val="24"/>
          <w:szCs w:val="20"/>
          <w:highlight w:val="none"/>
        </w:rPr>
        <w:t>15</w:t>
      </w:r>
      <w:r>
        <w:rPr>
          <w:rFonts w:hint="eastAsia" w:eastAsia="Arial"/>
          <w:sz w:val="24"/>
          <w:szCs w:val="20"/>
          <w:highlight w:val="none"/>
          <w:lang w:val="zh-CN"/>
        </w:rPr>
        <w:t>.1开标后，采购代理将立即组织评标委员会（以下简称评委会）进行评标。</w:t>
      </w:r>
    </w:p>
    <w:p w14:paraId="529FF9A8">
      <w:pPr>
        <w:widowControl/>
        <w:spacing w:line="520" w:lineRule="exact"/>
        <w:ind w:firstLine="480"/>
        <w:rPr>
          <w:rFonts w:eastAsia="Arial"/>
          <w:sz w:val="24"/>
          <w:szCs w:val="20"/>
          <w:highlight w:val="none"/>
          <w:lang w:val="zh-CN"/>
        </w:rPr>
      </w:pPr>
      <w:r>
        <w:rPr>
          <w:rFonts w:hint="eastAsia"/>
          <w:sz w:val="24"/>
          <w:szCs w:val="20"/>
          <w:highlight w:val="none"/>
        </w:rPr>
        <w:t>15</w:t>
      </w:r>
      <w:r>
        <w:rPr>
          <w:rFonts w:hint="eastAsia" w:eastAsia="Arial"/>
          <w:sz w:val="24"/>
          <w:szCs w:val="20"/>
          <w:highlight w:val="none"/>
          <w:lang w:val="zh-CN"/>
        </w:rPr>
        <w:t>.2评委会由采购人代表和有关技术、经济等方面的专家组成，且人员构成符合政府采购有关规定。</w:t>
      </w:r>
    </w:p>
    <w:p w14:paraId="45297280">
      <w:pPr>
        <w:widowControl/>
        <w:spacing w:line="520" w:lineRule="exact"/>
        <w:ind w:firstLine="480"/>
        <w:rPr>
          <w:rFonts w:eastAsia="Arial"/>
          <w:sz w:val="24"/>
          <w:szCs w:val="20"/>
          <w:highlight w:val="none"/>
          <w:lang w:val="zh-CN"/>
        </w:rPr>
      </w:pPr>
      <w:r>
        <w:rPr>
          <w:rFonts w:hint="eastAsia"/>
          <w:sz w:val="24"/>
          <w:szCs w:val="20"/>
          <w:highlight w:val="none"/>
        </w:rPr>
        <w:t>15</w:t>
      </w:r>
      <w:r>
        <w:rPr>
          <w:rFonts w:hint="eastAsia" w:eastAsia="Arial"/>
          <w:sz w:val="24"/>
          <w:szCs w:val="20"/>
          <w:highlight w:val="none"/>
          <w:lang w:val="zh-CN"/>
        </w:rPr>
        <w:t>.3评委会独立工作，负责评审所有投标文件并确定中标侯选人。</w:t>
      </w:r>
    </w:p>
    <w:p w14:paraId="5DF0DE47">
      <w:pPr>
        <w:widowControl/>
        <w:spacing w:line="520" w:lineRule="exact"/>
        <w:ind w:firstLine="480"/>
        <w:rPr>
          <w:rFonts w:eastAsia="Arial"/>
          <w:b/>
          <w:bCs/>
          <w:sz w:val="24"/>
          <w:szCs w:val="20"/>
          <w:highlight w:val="none"/>
          <w:lang w:val="zh-CN"/>
        </w:rPr>
      </w:pPr>
      <w:r>
        <w:rPr>
          <w:rFonts w:hint="eastAsia"/>
          <w:b/>
          <w:bCs/>
          <w:sz w:val="24"/>
          <w:szCs w:val="20"/>
          <w:highlight w:val="none"/>
        </w:rPr>
        <w:t>16</w:t>
      </w:r>
      <w:r>
        <w:rPr>
          <w:rFonts w:hint="eastAsia" w:eastAsia="Arial"/>
          <w:b/>
          <w:bCs/>
          <w:sz w:val="24"/>
          <w:szCs w:val="20"/>
          <w:highlight w:val="none"/>
          <w:lang w:val="zh-CN"/>
        </w:rPr>
        <w:t>、评标过程的保密与公正</w:t>
      </w:r>
    </w:p>
    <w:p w14:paraId="43BBD0C5">
      <w:pPr>
        <w:widowControl/>
        <w:spacing w:line="520" w:lineRule="exact"/>
        <w:ind w:firstLine="480"/>
        <w:rPr>
          <w:rFonts w:eastAsia="Arial"/>
          <w:sz w:val="24"/>
          <w:szCs w:val="20"/>
          <w:highlight w:val="none"/>
          <w:lang w:val="zh-CN"/>
        </w:rPr>
      </w:pPr>
      <w:r>
        <w:rPr>
          <w:rFonts w:hint="eastAsia"/>
          <w:sz w:val="24"/>
          <w:szCs w:val="20"/>
          <w:highlight w:val="none"/>
        </w:rPr>
        <w:t>16</w:t>
      </w:r>
      <w:r>
        <w:rPr>
          <w:rFonts w:hint="eastAsia" w:eastAsia="Arial"/>
          <w:sz w:val="24"/>
          <w:szCs w:val="20"/>
          <w:highlight w:val="none"/>
          <w:lang w:val="zh-CN"/>
        </w:rPr>
        <w:t>.1凡是与审查、澄清、评价和比较投标的有关资料以及授标建议等，采购人、评委、采购代理均不得向投标人或与评标无关的其他人员透露。</w:t>
      </w:r>
    </w:p>
    <w:p w14:paraId="63972AF7">
      <w:pPr>
        <w:widowControl/>
        <w:spacing w:line="520" w:lineRule="exact"/>
        <w:ind w:firstLine="480"/>
        <w:rPr>
          <w:rFonts w:eastAsia="Arial"/>
          <w:sz w:val="24"/>
          <w:szCs w:val="20"/>
          <w:highlight w:val="none"/>
          <w:lang w:val="zh-CN"/>
        </w:rPr>
      </w:pPr>
      <w:r>
        <w:rPr>
          <w:rFonts w:hint="eastAsia"/>
          <w:sz w:val="24"/>
          <w:szCs w:val="20"/>
          <w:highlight w:val="none"/>
        </w:rPr>
        <w:t>16</w:t>
      </w:r>
      <w:r>
        <w:rPr>
          <w:rFonts w:hint="eastAsia" w:eastAsia="Arial"/>
          <w:sz w:val="24"/>
          <w:szCs w:val="20"/>
          <w:highlight w:val="none"/>
          <w:lang w:val="zh-CN"/>
        </w:rPr>
        <w:t>.2在评标过程中，投标人不得以任何行为影响评标过程，否则其投标文件将被作为无效投标文件。</w:t>
      </w:r>
    </w:p>
    <w:p w14:paraId="27261622">
      <w:pPr>
        <w:widowControl/>
        <w:spacing w:line="520" w:lineRule="exact"/>
        <w:ind w:firstLine="480"/>
        <w:rPr>
          <w:rFonts w:eastAsia="Arial"/>
          <w:sz w:val="24"/>
          <w:szCs w:val="20"/>
          <w:highlight w:val="none"/>
          <w:lang w:val="zh-CN"/>
        </w:rPr>
      </w:pPr>
      <w:r>
        <w:rPr>
          <w:rFonts w:hint="eastAsia"/>
          <w:sz w:val="24"/>
          <w:szCs w:val="20"/>
          <w:highlight w:val="none"/>
        </w:rPr>
        <w:t>16</w:t>
      </w:r>
      <w:r>
        <w:rPr>
          <w:rFonts w:hint="eastAsia" w:eastAsia="Arial"/>
          <w:sz w:val="24"/>
          <w:szCs w:val="20"/>
          <w:highlight w:val="none"/>
          <w:lang w:val="zh-CN"/>
        </w:rPr>
        <w:t>.3采购代理和评标委员会不向未中标的投标人解释未中标原因，也不公布评标过程中的相关细节。</w:t>
      </w:r>
    </w:p>
    <w:p w14:paraId="67A28156">
      <w:pPr>
        <w:widowControl/>
        <w:spacing w:line="520" w:lineRule="exact"/>
        <w:ind w:firstLine="480"/>
        <w:rPr>
          <w:rFonts w:eastAsia="Arial"/>
          <w:sz w:val="24"/>
          <w:szCs w:val="20"/>
          <w:highlight w:val="none"/>
          <w:lang w:val="zh-CN"/>
        </w:rPr>
      </w:pPr>
      <w:r>
        <w:rPr>
          <w:rFonts w:hint="eastAsia"/>
          <w:sz w:val="24"/>
          <w:szCs w:val="20"/>
          <w:highlight w:val="none"/>
        </w:rPr>
        <w:t>16</w:t>
      </w:r>
      <w:r>
        <w:rPr>
          <w:rFonts w:hint="eastAsia" w:eastAsia="Arial"/>
          <w:sz w:val="24"/>
          <w:szCs w:val="20"/>
          <w:highlight w:val="none"/>
          <w:lang w:val="zh-CN"/>
        </w:rPr>
        <w:t>.4采用综合评分法的项目，未中标的投标人可于中标结果公告期限届满之日起通过苏采云系统查看自己的评审得分及排序情况。</w:t>
      </w:r>
    </w:p>
    <w:p w14:paraId="1F4F2591">
      <w:pPr>
        <w:widowControl/>
        <w:spacing w:line="520" w:lineRule="exact"/>
        <w:ind w:firstLine="480"/>
        <w:rPr>
          <w:rFonts w:eastAsia="Arial"/>
          <w:b/>
          <w:bCs/>
          <w:sz w:val="24"/>
          <w:szCs w:val="20"/>
          <w:highlight w:val="none"/>
          <w:lang w:val="zh-CN"/>
        </w:rPr>
      </w:pPr>
      <w:r>
        <w:rPr>
          <w:rFonts w:hint="eastAsia"/>
          <w:b/>
          <w:bCs/>
          <w:sz w:val="24"/>
          <w:szCs w:val="20"/>
          <w:highlight w:val="none"/>
        </w:rPr>
        <w:t>17</w:t>
      </w:r>
      <w:r>
        <w:rPr>
          <w:rFonts w:hint="eastAsia" w:eastAsia="Arial"/>
          <w:b/>
          <w:bCs/>
          <w:sz w:val="24"/>
          <w:szCs w:val="20"/>
          <w:highlight w:val="none"/>
          <w:lang w:val="zh-CN"/>
        </w:rPr>
        <w:t>、投标文件的澄清</w:t>
      </w:r>
    </w:p>
    <w:p w14:paraId="60FFD839">
      <w:pPr>
        <w:widowControl/>
        <w:spacing w:line="520" w:lineRule="exact"/>
        <w:ind w:firstLine="480"/>
        <w:rPr>
          <w:rFonts w:eastAsia="Arial"/>
          <w:sz w:val="24"/>
          <w:szCs w:val="20"/>
          <w:highlight w:val="none"/>
          <w:lang w:val="zh-CN"/>
        </w:rPr>
      </w:pPr>
      <w:r>
        <w:rPr>
          <w:rFonts w:hint="eastAsia"/>
          <w:sz w:val="24"/>
          <w:szCs w:val="20"/>
          <w:highlight w:val="none"/>
        </w:rPr>
        <w:t>17</w:t>
      </w:r>
      <w:r>
        <w:rPr>
          <w:rFonts w:hint="eastAsia" w:eastAsia="Arial"/>
          <w:sz w:val="24"/>
          <w:szCs w:val="20"/>
          <w:highlight w:val="none"/>
          <w:lang w:val="zh-CN"/>
        </w:rPr>
        <w:t>.1评标期间，评委会对投标文件中含义不明确、同类问题表述不一致或者有明显文字和计算错误的内容，有权要求投标人作出必要的澄清、说明或者补正。</w:t>
      </w:r>
    </w:p>
    <w:p w14:paraId="62C73FE7">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投标人的澄清、说明或者补正不得超出投标文件的范围或者改变投标文件的实质性内容。</w:t>
      </w:r>
    </w:p>
    <w:p w14:paraId="140D7BB7">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评标委员会并非对每个投标人都做澄清要求。</w:t>
      </w:r>
    </w:p>
    <w:p w14:paraId="1BA6BB48">
      <w:pPr>
        <w:widowControl/>
        <w:spacing w:line="520" w:lineRule="exact"/>
        <w:ind w:firstLine="480"/>
        <w:rPr>
          <w:rFonts w:eastAsia="Arial"/>
          <w:sz w:val="24"/>
          <w:szCs w:val="20"/>
          <w:highlight w:val="none"/>
          <w:lang w:val="zh-CN"/>
        </w:rPr>
      </w:pPr>
      <w:r>
        <w:rPr>
          <w:rFonts w:hint="eastAsia"/>
          <w:sz w:val="24"/>
          <w:szCs w:val="20"/>
          <w:highlight w:val="none"/>
        </w:rPr>
        <w:t>17</w:t>
      </w:r>
      <w:r>
        <w:rPr>
          <w:rFonts w:hint="eastAsia" w:eastAsia="Arial"/>
          <w:sz w:val="24"/>
          <w:szCs w:val="20"/>
          <w:highlight w:val="none"/>
          <w:lang w:val="zh-CN"/>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950A5CA">
      <w:pPr>
        <w:widowControl/>
        <w:spacing w:line="520" w:lineRule="exact"/>
        <w:ind w:firstLine="480"/>
        <w:rPr>
          <w:rFonts w:eastAsia="Arial"/>
          <w:sz w:val="24"/>
          <w:szCs w:val="20"/>
          <w:highlight w:val="none"/>
          <w:lang w:val="zh-CN"/>
        </w:rPr>
      </w:pPr>
      <w:r>
        <w:rPr>
          <w:rFonts w:hint="eastAsia"/>
          <w:sz w:val="24"/>
          <w:szCs w:val="20"/>
          <w:highlight w:val="none"/>
        </w:rPr>
        <w:t>17</w:t>
      </w:r>
      <w:r>
        <w:rPr>
          <w:rFonts w:hint="eastAsia" w:eastAsia="Arial"/>
          <w:sz w:val="24"/>
          <w:szCs w:val="20"/>
          <w:highlight w:val="none"/>
          <w:lang w:val="zh-CN"/>
        </w:rPr>
        <w:t>.3接到评委会澄清、说明和补正要求的投标人如未按规定做出澄清、说明和补正，其风险由投标人自行承担。</w:t>
      </w:r>
    </w:p>
    <w:p w14:paraId="00A173C8">
      <w:pPr>
        <w:widowControl/>
        <w:spacing w:line="520" w:lineRule="exact"/>
        <w:ind w:firstLine="480"/>
        <w:rPr>
          <w:rFonts w:eastAsia="Arial"/>
          <w:sz w:val="24"/>
          <w:szCs w:val="20"/>
          <w:highlight w:val="none"/>
          <w:lang w:val="zh-CN"/>
        </w:rPr>
      </w:pPr>
      <w:r>
        <w:rPr>
          <w:rFonts w:hint="eastAsia"/>
          <w:b/>
          <w:bCs/>
          <w:sz w:val="24"/>
          <w:szCs w:val="20"/>
          <w:highlight w:val="none"/>
        </w:rPr>
        <w:t>18</w:t>
      </w:r>
      <w:r>
        <w:rPr>
          <w:rFonts w:hint="eastAsia" w:eastAsia="Arial"/>
          <w:b/>
          <w:bCs/>
          <w:sz w:val="24"/>
          <w:szCs w:val="20"/>
          <w:highlight w:val="none"/>
          <w:lang w:val="zh-CN"/>
        </w:rPr>
        <w:t>、对投标文件的初审</w:t>
      </w:r>
    </w:p>
    <w:p w14:paraId="1E581727">
      <w:pPr>
        <w:widowControl/>
        <w:spacing w:line="520" w:lineRule="exact"/>
        <w:ind w:firstLine="480"/>
        <w:rPr>
          <w:rFonts w:eastAsia="Arial"/>
          <w:sz w:val="24"/>
          <w:szCs w:val="20"/>
          <w:highlight w:val="none"/>
          <w:lang w:val="zh-CN"/>
        </w:rPr>
      </w:pPr>
      <w:r>
        <w:rPr>
          <w:rFonts w:hint="eastAsia"/>
          <w:sz w:val="24"/>
          <w:szCs w:val="20"/>
          <w:highlight w:val="none"/>
        </w:rPr>
        <w:t>18</w:t>
      </w:r>
      <w:r>
        <w:rPr>
          <w:rFonts w:hint="eastAsia" w:eastAsia="Arial"/>
          <w:sz w:val="24"/>
          <w:szCs w:val="20"/>
          <w:highlight w:val="none"/>
          <w:lang w:val="zh-CN"/>
        </w:rPr>
        <w:t>.1投标文件初审分为资格审查和符合性审查。</w:t>
      </w:r>
    </w:p>
    <w:p w14:paraId="10CA5730">
      <w:pPr>
        <w:widowControl/>
        <w:spacing w:line="520" w:lineRule="exact"/>
        <w:ind w:firstLine="480"/>
        <w:rPr>
          <w:rFonts w:eastAsia="Arial"/>
          <w:sz w:val="24"/>
          <w:szCs w:val="20"/>
          <w:highlight w:val="none"/>
          <w:lang w:val="zh-CN"/>
        </w:rPr>
      </w:pPr>
      <w:r>
        <w:rPr>
          <w:rFonts w:hint="eastAsia"/>
          <w:sz w:val="24"/>
          <w:szCs w:val="20"/>
          <w:highlight w:val="none"/>
        </w:rPr>
        <w:t>18</w:t>
      </w:r>
      <w:r>
        <w:rPr>
          <w:rFonts w:hint="eastAsia" w:eastAsia="Arial"/>
          <w:sz w:val="24"/>
          <w:szCs w:val="20"/>
          <w:highlight w:val="none"/>
          <w:lang w:val="zh-CN"/>
        </w:rPr>
        <w:t>.1.1资格审查：依据法律法规和招标文件的规定，由采购人对投标文件中的资格证明文件进行审查。资格审查的结论，采购人以书面形式向评委会进行反馈。</w:t>
      </w:r>
    </w:p>
    <w:p w14:paraId="40455332">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采购人在进行资格性审查的同时，将在“信用中国”网站（www.creditchina.gov.cn）查询投标人的信用记录，以确定投标人是否具备投标资格，查询结果留存并归档。</w:t>
      </w:r>
    </w:p>
    <w:p w14:paraId="6FCA923F">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接受联合体的项目，两个以上的自然人、法人或者其他组织组成一个联合体，以一个供应商的身份共同参加政府采购活动的，联合体成员存在不良信用记录的，视同联合体存在不良应用记录。</w:t>
      </w:r>
    </w:p>
    <w:p w14:paraId="0D8A3898">
      <w:pPr>
        <w:widowControl/>
        <w:spacing w:line="520" w:lineRule="exact"/>
        <w:ind w:firstLine="480"/>
        <w:rPr>
          <w:rFonts w:eastAsia="Arial"/>
          <w:sz w:val="24"/>
          <w:szCs w:val="20"/>
          <w:highlight w:val="none"/>
          <w:lang w:val="zh-CN"/>
        </w:rPr>
      </w:pPr>
      <w:r>
        <w:rPr>
          <w:rFonts w:hint="eastAsia"/>
          <w:sz w:val="24"/>
          <w:szCs w:val="20"/>
          <w:highlight w:val="none"/>
        </w:rPr>
        <w:t>18</w:t>
      </w:r>
      <w:r>
        <w:rPr>
          <w:rFonts w:hint="eastAsia" w:eastAsia="Arial"/>
          <w:sz w:val="24"/>
          <w:szCs w:val="20"/>
          <w:highlight w:val="none"/>
          <w:lang w:val="zh-CN"/>
        </w:rPr>
        <w:t>.1.2符合性审查：依据招标文件的规定，由评委会从投标文件的有效性、完整性和对招标文件的响应程度进行审查，以确定是否对招标文件的实质性要求作出响应。</w:t>
      </w:r>
    </w:p>
    <w:p w14:paraId="076EC69C">
      <w:pPr>
        <w:widowControl/>
        <w:spacing w:line="520" w:lineRule="exact"/>
        <w:ind w:firstLine="480"/>
        <w:rPr>
          <w:rFonts w:eastAsia="Arial"/>
          <w:sz w:val="24"/>
          <w:szCs w:val="20"/>
          <w:highlight w:val="none"/>
          <w:lang w:val="zh-CN"/>
        </w:rPr>
      </w:pPr>
      <w:r>
        <w:rPr>
          <w:rFonts w:hint="eastAsia"/>
          <w:sz w:val="24"/>
          <w:szCs w:val="20"/>
          <w:highlight w:val="none"/>
        </w:rPr>
        <w:t>18</w:t>
      </w:r>
      <w:r>
        <w:rPr>
          <w:rFonts w:hint="eastAsia" w:eastAsia="Arial"/>
          <w:sz w:val="24"/>
          <w:szCs w:val="20"/>
          <w:highlight w:val="none"/>
          <w:lang w:val="zh-CN"/>
        </w:rPr>
        <w:t>.1.3未通过资格审查或符合性审查的投标人，采购代理将在苏采云系统中告知未通过资格审查或符合性审查的原因，评标结束后，采购代理将不再告知未通过资格审查和符合性审查的原因。</w:t>
      </w:r>
    </w:p>
    <w:p w14:paraId="7E8DB33B">
      <w:pPr>
        <w:widowControl/>
        <w:spacing w:line="520" w:lineRule="exact"/>
        <w:ind w:firstLine="480"/>
        <w:rPr>
          <w:rFonts w:eastAsia="Arial"/>
          <w:sz w:val="24"/>
          <w:szCs w:val="20"/>
          <w:highlight w:val="none"/>
          <w:lang w:val="zh-CN"/>
        </w:rPr>
      </w:pPr>
      <w:r>
        <w:rPr>
          <w:rFonts w:hint="eastAsia"/>
          <w:sz w:val="24"/>
          <w:szCs w:val="20"/>
          <w:highlight w:val="none"/>
        </w:rPr>
        <w:t>18</w:t>
      </w:r>
      <w:r>
        <w:rPr>
          <w:rFonts w:hint="eastAsia" w:eastAsia="Arial"/>
          <w:sz w:val="24"/>
          <w:szCs w:val="20"/>
          <w:highlight w:val="none"/>
          <w:lang w:val="zh-CN"/>
        </w:rPr>
        <w:t>.2在详细评标之前，评委会将首先审查每份投标文件是否实质性响应了招标文件的要求。实质性响应的投标应该是与招标文件要求的全部条款、条件和规格相符，没有重大偏离或保留的投标。</w:t>
      </w:r>
    </w:p>
    <w:p w14:paraId="3DC9456D">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9271F4E">
      <w:pPr>
        <w:widowControl/>
        <w:spacing w:line="520" w:lineRule="exact"/>
        <w:ind w:firstLine="480"/>
        <w:rPr>
          <w:rFonts w:eastAsia="Arial"/>
          <w:sz w:val="24"/>
          <w:szCs w:val="20"/>
          <w:highlight w:val="none"/>
          <w:lang w:val="zh-CN"/>
        </w:rPr>
      </w:pPr>
      <w:r>
        <w:rPr>
          <w:rFonts w:hint="eastAsia"/>
          <w:sz w:val="24"/>
          <w:szCs w:val="20"/>
          <w:highlight w:val="none"/>
        </w:rPr>
        <w:t>18</w:t>
      </w:r>
      <w:r>
        <w:rPr>
          <w:rFonts w:hint="eastAsia" w:eastAsia="Arial"/>
          <w:sz w:val="24"/>
          <w:szCs w:val="20"/>
          <w:highlight w:val="none"/>
          <w:lang w:val="zh-CN"/>
        </w:rPr>
        <w:t>.3如果投标文件实质上没有响应招标文件的要求，评委会将予以拒绝，投标人不得通过修改或撤销不合要求的偏离或保留而使其投标成为实质性响应的投标。</w:t>
      </w:r>
    </w:p>
    <w:p w14:paraId="6D307E7B">
      <w:pPr>
        <w:widowControl/>
        <w:spacing w:line="520" w:lineRule="exact"/>
        <w:ind w:firstLine="480"/>
        <w:rPr>
          <w:rFonts w:eastAsia="Arial"/>
          <w:sz w:val="24"/>
          <w:szCs w:val="20"/>
          <w:highlight w:val="none"/>
          <w:lang w:val="zh-CN"/>
        </w:rPr>
      </w:pPr>
      <w:r>
        <w:rPr>
          <w:rFonts w:hint="eastAsia"/>
          <w:sz w:val="24"/>
          <w:szCs w:val="20"/>
          <w:highlight w:val="none"/>
        </w:rPr>
        <w:t>18</w:t>
      </w:r>
      <w:r>
        <w:rPr>
          <w:rFonts w:hint="eastAsia" w:eastAsia="Arial"/>
          <w:sz w:val="24"/>
          <w:szCs w:val="20"/>
          <w:highlight w:val="none"/>
          <w:lang w:val="zh-CN"/>
        </w:rPr>
        <w:t>.4评委会将对确定为实质性响应的投标进行进一步审核，确定其是否有计算上或累加上的算术错误，修正错误的原则如下：</w:t>
      </w:r>
    </w:p>
    <w:p w14:paraId="6344B3FA">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（1）投标文件中开标一览表内容与投标文件中相应内容不一致的，以开标一览表为准。</w:t>
      </w:r>
    </w:p>
    <w:p w14:paraId="622E266E">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（2）大写金额和小写金额不一致的，以大写金额为准。</w:t>
      </w:r>
    </w:p>
    <w:p w14:paraId="7E287F87">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（3）单价金额小数点或者百分比有明显错位的，以开标一览表的总价为准，并修改单价。</w:t>
      </w:r>
    </w:p>
    <w:p w14:paraId="4CD8213F">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（4）总价金额与按单价汇总金额不一致的，以单价金额计算结果为准。</w:t>
      </w:r>
    </w:p>
    <w:p w14:paraId="75BA52F1">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同时出现两种以上错误的，按照前款规定的顺序修正。</w:t>
      </w:r>
    </w:p>
    <w:p w14:paraId="21390EED">
      <w:pPr>
        <w:widowControl/>
        <w:spacing w:line="520" w:lineRule="exact"/>
        <w:ind w:firstLine="480"/>
        <w:rPr>
          <w:rFonts w:eastAsia="Arial"/>
          <w:sz w:val="24"/>
          <w:szCs w:val="20"/>
          <w:highlight w:val="none"/>
          <w:lang w:val="zh-CN"/>
        </w:rPr>
      </w:pPr>
      <w:r>
        <w:rPr>
          <w:rFonts w:hint="eastAsia"/>
          <w:sz w:val="24"/>
          <w:szCs w:val="20"/>
          <w:highlight w:val="none"/>
        </w:rPr>
        <w:t>18</w:t>
      </w:r>
      <w:r>
        <w:rPr>
          <w:rFonts w:hint="eastAsia" w:eastAsia="Arial"/>
          <w:sz w:val="24"/>
          <w:szCs w:val="20"/>
          <w:highlight w:val="none"/>
          <w:lang w:val="zh-CN"/>
        </w:rPr>
        <w:t>.5评委会将按上述修正错误的方法调整投标文件中的投标报价，并通过苏采云系统告知投标人，调整后的价格应对投标人具有约束力。如果投标人不接受修正后的价格，则其投标将被拒绝。</w:t>
      </w:r>
    </w:p>
    <w:p w14:paraId="01232DEC">
      <w:pPr>
        <w:widowControl/>
        <w:spacing w:line="520" w:lineRule="exact"/>
        <w:ind w:firstLine="480"/>
        <w:rPr>
          <w:rFonts w:eastAsia="Arial"/>
          <w:sz w:val="24"/>
          <w:szCs w:val="20"/>
          <w:highlight w:val="none"/>
          <w:lang w:val="zh-CN"/>
        </w:rPr>
      </w:pPr>
      <w:r>
        <w:rPr>
          <w:rFonts w:hint="eastAsia"/>
          <w:sz w:val="24"/>
          <w:szCs w:val="20"/>
          <w:highlight w:val="none"/>
        </w:rPr>
        <w:t>18</w:t>
      </w:r>
      <w:r>
        <w:rPr>
          <w:rFonts w:hint="eastAsia" w:eastAsia="Arial"/>
          <w:sz w:val="24"/>
          <w:szCs w:val="20"/>
          <w:highlight w:val="none"/>
          <w:lang w:val="zh-CN"/>
        </w:rPr>
        <w:t>.6投标人在开、评标全过程中应保持通讯畅通，及时登录苏采云系统查阅、答复相关信息，并安排专人与采购代理及评标委员会联系。</w:t>
      </w:r>
    </w:p>
    <w:p w14:paraId="0A196F1C">
      <w:pPr>
        <w:widowControl/>
        <w:spacing w:line="520" w:lineRule="exact"/>
        <w:ind w:firstLine="480"/>
        <w:rPr>
          <w:rFonts w:eastAsia="Arial"/>
          <w:b/>
          <w:bCs/>
          <w:sz w:val="24"/>
          <w:szCs w:val="20"/>
          <w:highlight w:val="none"/>
          <w:lang w:val="zh-CN"/>
        </w:rPr>
      </w:pPr>
      <w:r>
        <w:rPr>
          <w:rFonts w:hint="eastAsia"/>
          <w:b/>
          <w:bCs/>
          <w:sz w:val="24"/>
          <w:szCs w:val="20"/>
          <w:highlight w:val="none"/>
        </w:rPr>
        <w:t>19</w:t>
      </w:r>
      <w:r>
        <w:rPr>
          <w:rFonts w:hint="eastAsia" w:eastAsia="Arial"/>
          <w:b/>
          <w:bCs/>
          <w:sz w:val="24"/>
          <w:szCs w:val="20"/>
          <w:highlight w:val="none"/>
          <w:lang w:val="zh-CN"/>
        </w:rPr>
        <w:t>、无效投标条款和废标条款</w:t>
      </w:r>
    </w:p>
    <w:p w14:paraId="3D70F6A3">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.1无效投标条款</w:t>
      </w:r>
    </w:p>
    <w:p w14:paraId="5A2A7D2A">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.1.1投标人在苏采云系统规定的时间内未成功解密电子投标文件的。</w:t>
      </w:r>
    </w:p>
    <w:p w14:paraId="09265BB9">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.1.2投标人未按照招标文件要求上传电子投标文件的。</w:t>
      </w:r>
    </w:p>
    <w:p w14:paraId="421F0E49">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.1.3同一投标人提交两个（含两个）以上不同的投标报价的。</w:t>
      </w:r>
    </w:p>
    <w:p w14:paraId="5DE9F757">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.1.4投标人不具备招标文件中规定资格要求的。</w:t>
      </w:r>
    </w:p>
    <w:p w14:paraId="61077C8D">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.1.5投标人的报价超过了采购预算或最高限价的。</w:t>
      </w:r>
    </w:p>
    <w:p w14:paraId="25E8691D">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.1.6未通过符合性审查的。</w:t>
      </w:r>
    </w:p>
    <w:p w14:paraId="4AC93A8F">
      <w:pPr>
        <w:widowControl/>
        <w:spacing w:line="520" w:lineRule="exact"/>
        <w:ind w:firstLine="480"/>
        <w:rPr>
          <w:sz w:val="24"/>
          <w:highlight w:val="none"/>
        </w:rPr>
      </w:pPr>
      <w:r>
        <w:rPr>
          <w:rFonts w:hint="eastAsia"/>
          <w:sz w:val="24"/>
          <w:szCs w:val="20"/>
          <w:highlight w:val="none"/>
        </w:rPr>
        <w:t>19</w:t>
      </w:r>
      <w:r>
        <w:rPr>
          <w:rFonts w:hint="eastAsia" w:eastAsia="Arial"/>
          <w:sz w:val="24"/>
          <w:szCs w:val="20"/>
          <w:highlight w:val="none"/>
          <w:lang w:val="zh-CN"/>
        </w:rPr>
        <w:t>.1.7不符合招标文件中规定的实质性要求和条件的</w:t>
      </w:r>
      <w:r>
        <w:rPr>
          <w:rFonts w:hint="eastAsia"/>
          <w:i/>
          <w:iCs/>
          <w:sz w:val="24"/>
          <w:highlight w:val="none"/>
          <w:u w:val="single"/>
        </w:rPr>
        <w:t>（本招标文件中斜体且有下划线部分为实质性要求和条件）</w:t>
      </w:r>
      <w:r>
        <w:rPr>
          <w:rFonts w:hint="eastAsia"/>
          <w:sz w:val="24"/>
          <w:highlight w:val="none"/>
        </w:rPr>
        <w:t>。</w:t>
      </w:r>
    </w:p>
    <w:p w14:paraId="64014797">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rPr>
        <w:t>.1.8</w:t>
      </w:r>
      <w:r>
        <w:rPr>
          <w:rFonts w:hint="eastAsia" w:eastAsia="Arial"/>
          <w:sz w:val="24"/>
          <w:szCs w:val="20"/>
          <w:highlight w:val="none"/>
          <w:lang w:val="zh-CN"/>
        </w:rPr>
        <w:t>投标人被</w:t>
      </w:r>
      <w:r>
        <w:rPr>
          <w:rFonts w:hint="eastAsia" w:eastAsia="Arial"/>
          <w:sz w:val="24"/>
          <w:szCs w:val="20"/>
          <w:highlight w:val="none"/>
        </w:rPr>
        <w:t>“</w:t>
      </w:r>
      <w:r>
        <w:rPr>
          <w:rFonts w:hint="eastAsia" w:eastAsia="Arial"/>
          <w:sz w:val="24"/>
          <w:szCs w:val="20"/>
          <w:highlight w:val="none"/>
          <w:lang w:val="zh-CN"/>
        </w:rPr>
        <w:t>信用中国</w:t>
      </w:r>
      <w:r>
        <w:rPr>
          <w:rFonts w:hint="eastAsia" w:eastAsia="Arial"/>
          <w:sz w:val="24"/>
          <w:szCs w:val="20"/>
          <w:highlight w:val="none"/>
        </w:rPr>
        <w:t>”</w:t>
      </w:r>
      <w:r>
        <w:rPr>
          <w:rFonts w:hint="eastAsia" w:eastAsia="Arial"/>
          <w:sz w:val="24"/>
          <w:szCs w:val="20"/>
          <w:highlight w:val="none"/>
          <w:lang w:val="zh-CN"/>
        </w:rPr>
        <w:t>网站</w:t>
      </w:r>
      <w:r>
        <w:rPr>
          <w:rFonts w:hint="eastAsia" w:eastAsia="Arial"/>
          <w:sz w:val="24"/>
          <w:szCs w:val="20"/>
          <w:highlight w:val="none"/>
        </w:rPr>
        <w:t>（www.creditchina.gov.cn）</w:t>
      </w:r>
      <w:r>
        <w:rPr>
          <w:rFonts w:hint="eastAsia" w:eastAsia="Arial"/>
          <w:sz w:val="24"/>
          <w:szCs w:val="20"/>
          <w:highlight w:val="none"/>
          <w:lang w:val="zh-CN"/>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290B017A">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.1.9投标文件含有采购人不能接受的附加条件的。</w:t>
      </w:r>
    </w:p>
    <w:p w14:paraId="4F145678">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AD4CD85">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.1.11投标文件未按照招标文件要求加盖CA电子公章的。</w:t>
      </w:r>
    </w:p>
    <w:p w14:paraId="05E43984">
      <w:pPr>
        <w:widowControl/>
        <w:spacing w:line="520" w:lineRule="exact"/>
        <w:ind w:firstLine="480"/>
        <w:rPr>
          <w:rFonts w:eastAsia="Arial"/>
          <w:sz w:val="24"/>
          <w:szCs w:val="20"/>
          <w:highlight w:val="none"/>
          <w:lang w:val="zh-CN"/>
        </w:rPr>
      </w:pPr>
      <w:r>
        <w:rPr>
          <w:rFonts w:hint="eastAsia"/>
          <w:sz w:val="24"/>
          <w:szCs w:val="20"/>
          <w:highlight w:val="none"/>
        </w:rPr>
        <w:t>19</w:t>
      </w:r>
      <w:r>
        <w:rPr>
          <w:rFonts w:hint="eastAsia" w:eastAsia="Arial"/>
          <w:sz w:val="24"/>
          <w:szCs w:val="20"/>
          <w:highlight w:val="none"/>
          <w:lang w:val="zh-CN"/>
        </w:rPr>
        <w:t>.1.12其他法律、法规及本招标文件规定的属无效投标的情形。</w:t>
      </w:r>
    </w:p>
    <w:p w14:paraId="324A7950">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19.2废标条款</w:t>
      </w:r>
    </w:p>
    <w:p w14:paraId="345E0DE1">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19.2.1符合专业条件的供应商或者对招标文件作实质响应的供应商不足三家的。</w:t>
      </w:r>
    </w:p>
    <w:p w14:paraId="0D3C1A69">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19.2.2出现影响采购公正的违法、违规行为的。</w:t>
      </w:r>
    </w:p>
    <w:p w14:paraId="63D32C7C">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19.2.3因重大变故，采购任务取消的。</w:t>
      </w:r>
    </w:p>
    <w:p w14:paraId="36A113C5">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19.2.4评标委员会认定招标文件存在歧义、重大缺陷导致评审工作无法进行。</w:t>
      </w:r>
    </w:p>
    <w:p w14:paraId="3A1071A2">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19.2.5因苏采云系统系统故障原因造成开标不成功的。</w:t>
      </w:r>
    </w:p>
    <w:p w14:paraId="1BEB9D59">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19.3 投标截止时间结束后参加投标的供应商不足三家的处理：</w:t>
      </w:r>
    </w:p>
    <w:p w14:paraId="14D9E246">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19.3.1如出现投标截止时间结束后参加投标的供应商或者在评标期间对招标文件做出实质响应的供应商不足三家情况，按政府采购相关规定执行。</w:t>
      </w:r>
    </w:p>
    <w:p w14:paraId="0C1055BA">
      <w:pPr>
        <w:widowControl/>
        <w:spacing w:line="520" w:lineRule="exact"/>
        <w:ind w:firstLine="480"/>
        <w:outlineLvl w:val="1"/>
        <w:rPr>
          <w:rFonts w:eastAsia="Arial"/>
          <w:b/>
          <w:bCs/>
          <w:sz w:val="24"/>
          <w:szCs w:val="20"/>
          <w:highlight w:val="none"/>
          <w:lang w:val="zh-CN"/>
        </w:rPr>
      </w:pPr>
      <w:r>
        <w:rPr>
          <w:rFonts w:hint="eastAsia" w:eastAsia="Arial"/>
          <w:b/>
          <w:bCs/>
          <w:sz w:val="24"/>
          <w:szCs w:val="20"/>
          <w:highlight w:val="none"/>
          <w:lang w:val="zh-CN"/>
        </w:rPr>
        <w:t>六、定标</w:t>
      </w:r>
    </w:p>
    <w:p w14:paraId="32FAFC71">
      <w:pPr>
        <w:widowControl/>
        <w:spacing w:line="520" w:lineRule="exact"/>
        <w:ind w:firstLine="480"/>
        <w:rPr>
          <w:rFonts w:eastAsia="Arial"/>
          <w:b/>
          <w:bCs/>
          <w:sz w:val="24"/>
          <w:szCs w:val="20"/>
          <w:highlight w:val="none"/>
          <w:lang w:val="zh-CN"/>
        </w:rPr>
      </w:pPr>
      <w:r>
        <w:rPr>
          <w:rFonts w:hint="eastAsia"/>
          <w:b/>
          <w:bCs/>
          <w:sz w:val="24"/>
          <w:szCs w:val="20"/>
          <w:highlight w:val="none"/>
        </w:rPr>
        <w:t>20</w:t>
      </w:r>
      <w:r>
        <w:rPr>
          <w:rFonts w:hint="eastAsia" w:eastAsia="Arial"/>
          <w:b/>
          <w:bCs/>
          <w:sz w:val="24"/>
          <w:szCs w:val="20"/>
          <w:highlight w:val="none"/>
          <w:lang w:val="zh-CN"/>
        </w:rPr>
        <w:t>、确定中标单位</w:t>
      </w:r>
    </w:p>
    <w:p w14:paraId="19A1E15C">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 xml:space="preserve">20.1中标候选人的选取原则和数量见招标文件第五章规定。 </w:t>
      </w:r>
    </w:p>
    <w:p w14:paraId="7168E44D">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20.2采购人应根据评委会推荐的中标候选人确定中标人。</w:t>
      </w:r>
    </w:p>
    <w:p w14:paraId="6CE40DFA">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20.3采购代理将在</w:t>
      </w:r>
      <w:r>
        <w:rPr>
          <w:rFonts w:hint="eastAsia"/>
          <w:sz w:val="24"/>
          <w:szCs w:val="20"/>
          <w:highlight w:val="none"/>
        </w:rPr>
        <w:t>“中国政府采购网”、“江苏政府采购网、盐城市政府采购网”</w:t>
      </w:r>
      <w:r>
        <w:rPr>
          <w:rFonts w:hint="eastAsia" w:eastAsia="Arial"/>
          <w:sz w:val="24"/>
          <w:szCs w:val="20"/>
          <w:highlight w:val="none"/>
          <w:lang w:val="zh-CN"/>
        </w:rPr>
        <w:t>发布中标公告，公告期限为1个工作日。</w:t>
      </w:r>
    </w:p>
    <w:p w14:paraId="12A3A1A9">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20.4若有充分证据证明，中标人出现下列情况之一的，一经查实，将被取消中标资格：</w:t>
      </w:r>
    </w:p>
    <w:p w14:paraId="5BF5C9FD">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20.4.1提供虚假材料谋取中标的。</w:t>
      </w:r>
    </w:p>
    <w:p w14:paraId="49DADE43">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20.4.2向采购人、采购代理行贿或者提供其他不正当利益的。</w:t>
      </w:r>
    </w:p>
    <w:p w14:paraId="50762E81">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20.4.3属于本文件规定的无效条件，但在评标过程中又未被评委会发现的。</w:t>
      </w:r>
    </w:p>
    <w:p w14:paraId="68DE0701">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20.4.4与采购人或者其他供应商恶意串通的。</w:t>
      </w:r>
    </w:p>
    <w:p w14:paraId="03046883">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20.4.5采取不正当手段诋毁、排挤其他供应商的。</w:t>
      </w:r>
    </w:p>
    <w:p w14:paraId="72B54AA8">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20.5 有下列情形之一的，视为投标人串通投标，投标无效：</w:t>
      </w:r>
    </w:p>
    <w:p w14:paraId="015D01FD">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20.5.1不同投标人的投标文件由同一单位或者个人编制。</w:t>
      </w:r>
    </w:p>
    <w:p w14:paraId="5968A491">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20.5.2不同投标人委托同一单位或者个人办理投标事宜。</w:t>
      </w:r>
    </w:p>
    <w:p w14:paraId="45551D14">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20.5.3不同投标人的投标文件载明的项目管理成员或者联系人员为同一人。</w:t>
      </w:r>
    </w:p>
    <w:p w14:paraId="7215BB74">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20.5.4不同投标人的投标文件异常一致或者投标报价呈规律性差异。</w:t>
      </w:r>
    </w:p>
    <w:p w14:paraId="21F73BA2">
      <w:pPr>
        <w:widowControl/>
        <w:spacing w:line="520" w:lineRule="exact"/>
        <w:ind w:firstLine="480"/>
        <w:rPr>
          <w:rFonts w:eastAsia="Arial"/>
          <w:b/>
          <w:bCs/>
          <w:sz w:val="24"/>
          <w:szCs w:val="20"/>
          <w:highlight w:val="none"/>
          <w:lang w:val="zh-CN"/>
        </w:rPr>
      </w:pPr>
      <w:r>
        <w:rPr>
          <w:rFonts w:hint="eastAsia"/>
          <w:b/>
          <w:bCs/>
          <w:sz w:val="24"/>
          <w:szCs w:val="20"/>
          <w:highlight w:val="none"/>
        </w:rPr>
        <w:t>21</w:t>
      </w:r>
      <w:r>
        <w:rPr>
          <w:rFonts w:hint="eastAsia" w:eastAsia="Arial"/>
          <w:b/>
          <w:bCs/>
          <w:sz w:val="24"/>
          <w:szCs w:val="20"/>
          <w:highlight w:val="none"/>
          <w:lang w:val="zh-CN"/>
        </w:rPr>
        <w:t>、质疑处理</w:t>
      </w:r>
    </w:p>
    <w:p w14:paraId="4357442C">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21.1提出质疑的供应商应当是参与所质疑项目采购活动的供应商。潜在供应商依法获取其可质疑的采购文件的，可以对采购文件提出质疑。</w:t>
      </w:r>
    </w:p>
    <w:p w14:paraId="4D0E6A28">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21.2供应商认为采购文件、采购过程和采购结果使自己的权益受到损害的，可以在知道或应知其权益受到损害之日起七个工作日内，以书面形式根据下述条款的规定向采购代理或采购人提出质疑。上述应知其权益受到损害之日，是指：</w:t>
      </w:r>
    </w:p>
    <w:p w14:paraId="68885A56">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21.2.1对可以质疑的采购文件提出质疑的，为收到采购文件之日或者采购文件公告期限届满之日；</w:t>
      </w:r>
    </w:p>
    <w:p w14:paraId="080A348C">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21.2.2对采购过程提出质疑的，为各采购程序环节结束之日；</w:t>
      </w:r>
    </w:p>
    <w:p w14:paraId="3281E417">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21.2.3对中标或者成交结果提出质疑的，为中标或者成交结果公告期限届满之日。</w:t>
      </w:r>
    </w:p>
    <w:p w14:paraId="67B49173">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供应商应当在法定质疑期内一次性提出针对同一采购程序环节的质疑。供应商如在法定期限内对同一采购程序环节提出多次质疑的，采购代理、采购人将只对供应商第一次质疑作出答复。</w:t>
      </w:r>
    </w:p>
    <w:p w14:paraId="3A755AD3">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21.3质疑函必须按照本招标文件中《质疑函范本》要求的格式和内容进行填写。供应商如组成联合体参加投标，则《质疑函范本》中要求签字、盖章、加盖公章之处，联合体各方均须按要求签字、盖章、加盖公章。</w:t>
      </w:r>
    </w:p>
    <w:p w14:paraId="08E3E2A4">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21.4供应商（含潜在供应商）对采购方式、采购需求、供应商资格条件及审查结果、评标方法和评标标准、合同文本的询问、质疑请向采购人提出，由采购人负责答复。供应商对除上述事项以外其他事项的询问、质疑请向采购代理提出，由采购代理负责答复。</w:t>
      </w:r>
    </w:p>
    <w:p w14:paraId="4BAD2DD5">
      <w:pPr>
        <w:widowControl/>
        <w:spacing w:line="520" w:lineRule="exact"/>
        <w:ind w:firstLine="480"/>
        <w:rPr>
          <w:rFonts w:hint="eastAsia" w:eastAsia="Arial"/>
          <w:sz w:val="24"/>
          <w:szCs w:val="20"/>
          <w:highlight w:val="none"/>
          <w:lang w:val="zh-CN"/>
        </w:rPr>
      </w:pPr>
      <w:r>
        <w:rPr>
          <w:rFonts w:hint="eastAsia" w:eastAsia="Arial"/>
          <w:sz w:val="24"/>
          <w:szCs w:val="20"/>
          <w:highlight w:val="none"/>
          <w:lang w:val="zh-CN"/>
        </w:rPr>
        <w:t>采购代理及采购人只接收以纸质原件形式送达的质疑，采购人和采购代理不接受未填写快递运单的快件。</w:t>
      </w:r>
    </w:p>
    <w:p w14:paraId="4835485E">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21.5 以下情形的质疑不予受理</w:t>
      </w:r>
    </w:p>
    <w:p w14:paraId="5747C04A">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21.5.1内容不符合《政府采购质疑和投诉办法》第十二条规定的质疑。</w:t>
      </w:r>
    </w:p>
    <w:p w14:paraId="57A88325">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21.5.2超出政府采购法定期限的质疑。</w:t>
      </w:r>
    </w:p>
    <w:p w14:paraId="7AD5E271">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21.5.3以传真、电子邮件等方式递交的非原件形式的质疑。</w:t>
      </w:r>
    </w:p>
    <w:p w14:paraId="5BDFC0D3">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21.5.4未参加投标活动的供应商或在投标活动中自身权益未受到损害的供应商所提出的质疑。</w:t>
      </w:r>
    </w:p>
    <w:p w14:paraId="3F028C25">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21.5.5供应商组成联合体参加投标，联合体中任何一方或多方未按要求签字、盖章、加盖公章的质疑。</w:t>
      </w:r>
    </w:p>
    <w:p w14:paraId="0D2E80B9">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21.6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p>
    <w:p w14:paraId="4ED3CBBF">
      <w:pPr>
        <w:widowControl/>
        <w:spacing w:line="520" w:lineRule="exact"/>
        <w:ind w:firstLine="480"/>
        <w:rPr>
          <w:rFonts w:eastAsia="Arial"/>
          <w:b/>
          <w:bCs/>
          <w:sz w:val="24"/>
          <w:szCs w:val="20"/>
          <w:highlight w:val="none"/>
          <w:lang w:val="zh-CN"/>
        </w:rPr>
      </w:pPr>
      <w:r>
        <w:rPr>
          <w:rFonts w:hint="eastAsia"/>
          <w:b/>
          <w:bCs/>
          <w:sz w:val="24"/>
          <w:szCs w:val="20"/>
          <w:highlight w:val="none"/>
        </w:rPr>
        <w:t>22</w:t>
      </w:r>
      <w:r>
        <w:rPr>
          <w:rFonts w:hint="eastAsia" w:eastAsia="Arial"/>
          <w:b/>
          <w:bCs/>
          <w:sz w:val="24"/>
          <w:szCs w:val="20"/>
          <w:highlight w:val="none"/>
          <w:lang w:val="zh-CN"/>
        </w:rPr>
        <w:t>、中标通知书</w:t>
      </w:r>
    </w:p>
    <w:p w14:paraId="6668B741">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22.</w:t>
      </w:r>
      <w:r>
        <w:rPr>
          <w:rFonts w:hint="eastAsia"/>
          <w:sz w:val="24"/>
          <w:szCs w:val="20"/>
          <w:highlight w:val="none"/>
        </w:rPr>
        <w:t>1</w:t>
      </w:r>
      <w:r>
        <w:rPr>
          <w:rFonts w:hint="eastAsia" w:eastAsia="Arial"/>
          <w:sz w:val="24"/>
          <w:szCs w:val="20"/>
          <w:highlight w:val="none"/>
          <w:lang w:val="zh-CN"/>
        </w:rPr>
        <w:t>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BAF1493">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22.2中标通知书将是合同的一个组成部分。对采购人和中标人均具有法律效力。中标通知书发出后，采购人改变中标结果的，或者中标人放弃中标项目的，应当依法承担法律责任。</w:t>
      </w:r>
    </w:p>
    <w:p w14:paraId="129B20AE">
      <w:pPr>
        <w:widowControl/>
        <w:spacing w:line="520" w:lineRule="exact"/>
        <w:ind w:firstLine="480"/>
        <w:outlineLvl w:val="1"/>
        <w:rPr>
          <w:rFonts w:eastAsia="Arial"/>
          <w:b/>
          <w:bCs/>
          <w:sz w:val="24"/>
          <w:szCs w:val="20"/>
          <w:highlight w:val="none"/>
          <w:lang w:val="zh-CN"/>
        </w:rPr>
      </w:pPr>
      <w:r>
        <w:rPr>
          <w:rFonts w:hint="eastAsia" w:eastAsia="Arial"/>
          <w:b/>
          <w:bCs/>
          <w:sz w:val="24"/>
          <w:szCs w:val="20"/>
          <w:highlight w:val="none"/>
          <w:lang w:val="zh-CN"/>
        </w:rPr>
        <w:t>七、授予合同</w:t>
      </w:r>
    </w:p>
    <w:p w14:paraId="347207AF">
      <w:pPr>
        <w:widowControl/>
        <w:spacing w:line="520" w:lineRule="exact"/>
        <w:ind w:firstLine="480"/>
        <w:rPr>
          <w:rFonts w:eastAsia="Arial"/>
          <w:b/>
          <w:bCs/>
          <w:sz w:val="24"/>
          <w:szCs w:val="20"/>
          <w:highlight w:val="none"/>
          <w:lang w:val="zh-CN"/>
        </w:rPr>
      </w:pPr>
      <w:r>
        <w:rPr>
          <w:rFonts w:hint="eastAsia"/>
          <w:b/>
          <w:bCs/>
          <w:sz w:val="24"/>
          <w:szCs w:val="20"/>
          <w:highlight w:val="none"/>
        </w:rPr>
        <w:t>23</w:t>
      </w:r>
      <w:r>
        <w:rPr>
          <w:rFonts w:hint="eastAsia" w:eastAsia="Arial"/>
          <w:b/>
          <w:bCs/>
          <w:sz w:val="24"/>
          <w:szCs w:val="20"/>
          <w:highlight w:val="none"/>
          <w:lang w:val="zh-CN"/>
        </w:rPr>
        <w:t>.签订合同</w:t>
      </w:r>
    </w:p>
    <w:p w14:paraId="1E96029D">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23.</w:t>
      </w:r>
      <w:r>
        <w:rPr>
          <w:rFonts w:hint="eastAsia"/>
          <w:sz w:val="24"/>
          <w:szCs w:val="20"/>
          <w:highlight w:val="none"/>
        </w:rPr>
        <w:t>1</w:t>
      </w:r>
      <w:r>
        <w:rPr>
          <w:rFonts w:hint="eastAsia" w:eastAsia="Arial"/>
          <w:sz w:val="24"/>
          <w:szCs w:val="20"/>
          <w:highlight w:val="none"/>
          <w:lang w:val="zh-CN"/>
        </w:rPr>
        <w:t>中标人应当在中标通知书发出之日起三十日内，按照招标文件确定的事项与采购人签订政府采购合同。</w:t>
      </w:r>
    </w:p>
    <w:p w14:paraId="3DD2FE50">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23.2招标文件、中标人的投标文件及招标过程中有关澄清、承诺文件均应作为合同附件。</w:t>
      </w:r>
    </w:p>
    <w:p w14:paraId="16513A8F">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23.3签订合同后，</w:t>
      </w:r>
      <w:r>
        <w:rPr>
          <w:rFonts w:hint="eastAsia"/>
          <w:i/>
          <w:iCs/>
          <w:sz w:val="24"/>
          <w:highlight w:val="none"/>
          <w:u w:val="single"/>
        </w:rPr>
        <w:t>中标人不得将合同标的进行转包</w:t>
      </w:r>
      <w:r>
        <w:rPr>
          <w:rFonts w:hint="eastAsia"/>
          <w:sz w:val="24"/>
          <w:highlight w:val="none"/>
        </w:rPr>
        <w:t>。</w:t>
      </w:r>
      <w:r>
        <w:rPr>
          <w:rFonts w:hint="eastAsia" w:eastAsia="Arial"/>
          <w:sz w:val="24"/>
          <w:szCs w:val="20"/>
          <w:highlight w:val="none"/>
          <w:lang w:val="zh-CN"/>
        </w:rPr>
        <w:t>未经采购人同意，中标人</w:t>
      </w:r>
      <w:r>
        <w:rPr>
          <w:rFonts w:hint="eastAsia"/>
          <w:sz w:val="24"/>
          <w:szCs w:val="20"/>
          <w:highlight w:val="none"/>
        </w:rPr>
        <w:t>更</w:t>
      </w:r>
      <w:r>
        <w:rPr>
          <w:rFonts w:hint="eastAsia" w:eastAsia="Arial"/>
          <w:sz w:val="24"/>
          <w:szCs w:val="20"/>
          <w:highlight w:val="none"/>
          <w:lang w:val="zh-CN"/>
        </w:rPr>
        <w:t>不得采用</w:t>
      </w:r>
      <w:r>
        <w:rPr>
          <w:rFonts w:hint="eastAsia"/>
          <w:sz w:val="24"/>
          <w:szCs w:val="20"/>
          <w:highlight w:val="none"/>
        </w:rPr>
        <w:t>违法</w:t>
      </w:r>
      <w:r>
        <w:rPr>
          <w:rFonts w:hint="eastAsia" w:eastAsia="Arial"/>
          <w:sz w:val="24"/>
          <w:szCs w:val="20"/>
          <w:highlight w:val="none"/>
          <w:lang w:val="zh-CN"/>
        </w:rPr>
        <w:t>分包的形式履行合同，否则采购人有权终止合同。转包或</w:t>
      </w:r>
      <w:r>
        <w:rPr>
          <w:rFonts w:hint="eastAsia"/>
          <w:sz w:val="24"/>
          <w:szCs w:val="20"/>
          <w:highlight w:val="none"/>
        </w:rPr>
        <w:t>违法</w:t>
      </w:r>
      <w:r>
        <w:rPr>
          <w:rFonts w:hint="eastAsia" w:eastAsia="Arial"/>
          <w:sz w:val="24"/>
          <w:szCs w:val="20"/>
          <w:highlight w:val="none"/>
          <w:lang w:val="zh-CN"/>
        </w:rPr>
        <w:t>分包造成采购人损失的，中标人应承担相应赔偿责任。</w:t>
      </w:r>
    </w:p>
    <w:p w14:paraId="40A4556F">
      <w:pPr>
        <w:widowControl/>
        <w:spacing w:line="520" w:lineRule="exact"/>
        <w:ind w:firstLine="480"/>
        <w:rPr>
          <w:rFonts w:eastAsia="Arial"/>
          <w:b/>
          <w:bCs/>
          <w:sz w:val="24"/>
          <w:szCs w:val="20"/>
          <w:highlight w:val="none"/>
          <w:lang w:val="zh-CN"/>
        </w:rPr>
      </w:pPr>
      <w:r>
        <w:rPr>
          <w:rFonts w:hint="eastAsia"/>
          <w:b/>
          <w:bCs/>
          <w:sz w:val="24"/>
          <w:szCs w:val="20"/>
          <w:highlight w:val="none"/>
        </w:rPr>
        <w:t>24</w:t>
      </w:r>
      <w:r>
        <w:rPr>
          <w:rFonts w:hint="eastAsia" w:eastAsia="Arial"/>
          <w:b/>
          <w:bCs/>
          <w:sz w:val="24"/>
          <w:szCs w:val="20"/>
          <w:highlight w:val="none"/>
          <w:lang w:val="zh-CN"/>
        </w:rPr>
        <w:t>、服务（包含与服务相关的货物）的追加</w:t>
      </w:r>
    </w:p>
    <w:p w14:paraId="4F6206D8">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24.1政府采购合同履行中，采购人需追加与合同标的相同的服务（包含与服务相关的货物），在不改变合同其他条款的前提下，可以与中标人协商签订补充合同，但所有补充合同的采购金额不超过原合同金额10%。</w:t>
      </w:r>
    </w:p>
    <w:p w14:paraId="7859176A">
      <w:pPr>
        <w:widowControl/>
        <w:spacing w:line="520" w:lineRule="exact"/>
        <w:ind w:firstLine="480"/>
        <w:rPr>
          <w:rFonts w:eastAsia="Arial"/>
          <w:b/>
          <w:bCs/>
          <w:sz w:val="24"/>
          <w:szCs w:val="20"/>
          <w:highlight w:val="none"/>
          <w:lang w:val="zh-CN"/>
        </w:rPr>
      </w:pPr>
      <w:r>
        <w:rPr>
          <w:rFonts w:hint="eastAsia"/>
          <w:b/>
          <w:bCs/>
          <w:sz w:val="24"/>
          <w:szCs w:val="20"/>
          <w:highlight w:val="none"/>
        </w:rPr>
        <w:t>25</w:t>
      </w:r>
      <w:r>
        <w:rPr>
          <w:rFonts w:hint="eastAsia" w:eastAsia="Arial"/>
          <w:b/>
          <w:bCs/>
          <w:sz w:val="24"/>
          <w:szCs w:val="20"/>
          <w:highlight w:val="none"/>
          <w:lang w:val="zh-CN"/>
        </w:rPr>
        <w:t>、政府采购线上合同信用融资政策</w:t>
      </w:r>
    </w:p>
    <w:p w14:paraId="2E408202">
      <w:pPr>
        <w:widowControl/>
        <w:spacing w:line="520" w:lineRule="exact"/>
        <w:ind w:firstLine="480"/>
        <w:rPr>
          <w:rFonts w:eastAsia="Arial"/>
          <w:sz w:val="24"/>
          <w:szCs w:val="20"/>
          <w:highlight w:val="none"/>
          <w:lang w:val="zh-CN"/>
        </w:rPr>
      </w:pPr>
      <w:r>
        <w:rPr>
          <w:rFonts w:hint="eastAsia"/>
          <w:sz w:val="24"/>
          <w:szCs w:val="20"/>
          <w:highlight w:val="none"/>
        </w:rPr>
        <w:t>25.1</w:t>
      </w:r>
      <w:r>
        <w:rPr>
          <w:rFonts w:hint="eastAsia" w:eastAsia="Arial"/>
          <w:sz w:val="24"/>
          <w:szCs w:val="20"/>
          <w:highlight w:val="none"/>
          <w:lang w:val="zh-CN"/>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sz w:val="24"/>
          <w:szCs w:val="20"/>
          <w:highlight w:val="none"/>
        </w:rPr>
        <w:t>江苏</w:t>
      </w:r>
      <w:r>
        <w:rPr>
          <w:rFonts w:hint="eastAsia" w:eastAsia="Arial"/>
          <w:sz w:val="24"/>
          <w:szCs w:val="20"/>
          <w:highlight w:val="none"/>
          <w:lang w:val="zh-CN"/>
        </w:rPr>
        <w:t>政府采购网“政采贷”栏目）申请贷款，相关金融机构按照双方自愿的原则提供便捷、优惠的贷款服务；具体操作流程请参考苏采云系统中操作手册。</w:t>
      </w:r>
    </w:p>
    <w:p w14:paraId="3C294E39">
      <w:pPr>
        <w:widowControl/>
        <w:spacing w:line="520" w:lineRule="exact"/>
        <w:ind w:firstLine="480"/>
        <w:rPr>
          <w:sz w:val="24"/>
          <w:szCs w:val="20"/>
          <w:highlight w:val="none"/>
        </w:rPr>
      </w:pPr>
      <w:r>
        <w:rPr>
          <w:rFonts w:hint="eastAsia"/>
          <w:sz w:val="24"/>
          <w:szCs w:val="20"/>
          <w:highlight w:val="none"/>
        </w:rPr>
        <w:t>25.2进口产品</w:t>
      </w:r>
    </w:p>
    <w:p w14:paraId="73A820FE">
      <w:pPr>
        <w:widowControl/>
        <w:spacing w:line="520" w:lineRule="exact"/>
        <w:ind w:firstLine="480"/>
        <w:rPr>
          <w:sz w:val="24"/>
          <w:szCs w:val="20"/>
          <w:highlight w:val="none"/>
          <w:lang w:val="zh-CN"/>
        </w:rPr>
      </w:pPr>
      <w:r>
        <w:rPr>
          <w:rFonts w:hint="eastAsia"/>
          <w:sz w:val="24"/>
          <w:szCs w:val="20"/>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64E0402">
      <w:pPr>
        <w:widowControl/>
        <w:spacing w:line="520" w:lineRule="exact"/>
        <w:ind w:firstLine="480"/>
        <w:rPr>
          <w:rFonts w:eastAsia="Arial"/>
          <w:b/>
          <w:bCs/>
          <w:sz w:val="24"/>
          <w:szCs w:val="20"/>
          <w:highlight w:val="none"/>
          <w:lang w:val="zh-CN"/>
        </w:rPr>
      </w:pPr>
      <w:r>
        <w:rPr>
          <w:rFonts w:hint="eastAsia" w:eastAsia="Arial"/>
          <w:sz w:val="24"/>
          <w:szCs w:val="20"/>
          <w:highlight w:val="none"/>
          <w:lang w:val="zh-CN"/>
        </w:rPr>
        <w:t>25.3中小企业、监狱企业及残疾人福利性单位</w:t>
      </w:r>
    </w:p>
    <w:p w14:paraId="32FE8370">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25.3.1中小企业定义：</w:t>
      </w:r>
    </w:p>
    <w:p w14:paraId="7703BB01">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860F2DD">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25.3.2供应商提供的货物、工程或者服务符合下列情形的，享受中小企业扶持政策：</w:t>
      </w:r>
    </w:p>
    <w:p w14:paraId="2503F6F2">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25.3.2.1在货物采购项目中，货物由中小企业制造，即货物由中小企业生产且使用该中小企业商号或者注册商标；</w:t>
      </w:r>
    </w:p>
    <w:p w14:paraId="40443A35">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25.3.2.2在工程采购项目中，工程由中小企业承建，即工程施工单位为中小企业；</w:t>
      </w:r>
    </w:p>
    <w:p w14:paraId="5ED3B52B">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25.3.2.3在服务采购项目中，服务由中小企业承接，即提供服务的人员为中小企业依照《中华人民共和国劳动合同法》订立劳动合同的从业人员。</w:t>
      </w:r>
    </w:p>
    <w:p w14:paraId="26CB9A82">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25.3.3在货物采购项目中，供应商提供的货物既有中小企业制造货物，也有大型企业制造货物的，不享受中小企业扶持政策。</w:t>
      </w:r>
    </w:p>
    <w:p w14:paraId="1DEBEB01">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25.3.4以联合体形式参加政府采购活动，联合体各方均为中小企业的，联合体视同中小企业。其中，联合体各方均为小微企业的，联合体视同小微企业。</w:t>
      </w:r>
    </w:p>
    <w:p w14:paraId="069CAA08">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2622E4C">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25.3.6残疾人福利单位定义：享受政府采购支持政策的残疾人福利性单位应当同时满足以下条件：</w:t>
      </w:r>
    </w:p>
    <w:p w14:paraId="46E27F7A">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25.3.6.1安置的残疾人占本单位在职职工人数的比例不低于25%（含25%），并且安置的残疾人人数不少于10 人（含10 人）；</w:t>
      </w:r>
    </w:p>
    <w:p w14:paraId="0896C775">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25.3.6.2依法与安置的每位残疾人签订了一年以上（含一年）的劳动合同或服务协议；</w:t>
      </w:r>
    </w:p>
    <w:p w14:paraId="0BC8CEDA">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25.3.6.3为安置的每位残疾人按月足额缴纳了基本养老保险、基本医疗保险、失业保险、工伤保险和生育保险等社会保险费；</w:t>
      </w:r>
    </w:p>
    <w:p w14:paraId="33E0433C">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25.3.6.4通过银行等金融机构向安置的每位残疾人，按月支付了不低于单位所在区县适用的经省级人民政府批准的月最低工资标准的工资；</w:t>
      </w:r>
    </w:p>
    <w:p w14:paraId="1787A546">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25.3.6.5提供本单位制造的货物、承担的工程或者服务（以下简称产品），或者提供其他残疾人福利性单位制造的货物（不包括使用非残疾人福利性单位注册商标的货物）；</w:t>
      </w:r>
    </w:p>
    <w:p w14:paraId="6B2AC0DE">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8008002">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25.3.7本项目是否专门面向中小企业预留采购份额见第一章《招标公告》。</w:t>
      </w:r>
    </w:p>
    <w:p w14:paraId="2B78BDEA">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25.3.8采购标的对应的中小企业划分标准所属行业见第四章《采购需求》。</w:t>
      </w:r>
    </w:p>
    <w:p w14:paraId="1377237E">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25.3.9小微企业价格评审优惠的政策：见第五章《评标方法和评标标准》。</w:t>
      </w:r>
    </w:p>
    <w:p w14:paraId="0CA5F5B9">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25.4政府采购节能产品、环境标志产品</w:t>
      </w:r>
    </w:p>
    <w:p w14:paraId="55628CEE">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E156B8E">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003B3C0">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25.5绿色包装</w:t>
      </w:r>
    </w:p>
    <w:p w14:paraId="0CFE45E5">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E2767ED">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25.6政府采购创新产品</w:t>
      </w:r>
    </w:p>
    <w:p w14:paraId="5E0A3437">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采购人优先采购各级政府部门公开发布的有效期内的创新产品、创新服务、首台套、首购首用等《目录》的创新产品。</w:t>
      </w:r>
    </w:p>
    <w:p w14:paraId="52AE0561">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 xml:space="preserve">25.7绿色数据中心政策 </w:t>
      </w:r>
    </w:p>
    <w:p w14:paraId="27E2D126">
      <w:pPr>
        <w:widowControl/>
        <w:spacing w:line="520" w:lineRule="exact"/>
        <w:ind w:firstLine="480"/>
        <w:rPr>
          <w:rFonts w:eastAsia="Arial"/>
          <w:sz w:val="24"/>
          <w:szCs w:val="20"/>
          <w:highlight w:val="none"/>
          <w:lang w:val="zh-CN"/>
        </w:rPr>
      </w:pPr>
      <w:r>
        <w:rPr>
          <w:rFonts w:hint="eastAsia" w:eastAsia="Arial"/>
          <w:sz w:val="24"/>
          <w:szCs w:val="20"/>
          <w:highlight w:val="none"/>
          <w:lang w:val="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A01614D">
      <w:pPr>
        <w:tabs>
          <w:tab w:val="left" w:pos="900"/>
        </w:tabs>
        <w:spacing w:line="500" w:lineRule="exact"/>
        <w:ind w:firstLine="480"/>
        <w:rPr>
          <w:rFonts w:ascii="宋体" w:hAnsi="宋体"/>
          <w:sz w:val="24"/>
          <w:szCs w:val="21"/>
          <w:highlight w:val="none"/>
        </w:rPr>
      </w:pPr>
      <w:r>
        <w:rPr>
          <w:rFonts w:hint="eastAsia" w:ascii="宋体" w:hAnsi="宋体"/>
          <w:sz w:val="24"/>
          <w:szCs w:val="21"/>
          <w:highlight w:val="none"/>
        </w:rPr>
        <w:t>25.8履约保证金政策</w:t>
      </w:r>
    </w:p>
    <w:p w14:paraId="37E7210F">
      <w:pPr>
        <w:tabs>
          <w:tab w:val="left" w:pos="900"/>
        </w:tabs>
        <w:spacing w:line="500" w:lineRule="exact"/>
        <w:ind w:firstLine="480"/>
        <w:rPr>
          <w:rFonts w:ascii="宋体" w:hAnsi="宋体"/>
          <w:sz w:val="24"/>
          <w:szCs w:val="21"/>
          <w:highlight w:val="none"/>
        </w:rPr>
      </w:pPr>
      <w:r>
        <w:rPr>
          <w:rFonts w:hint="eastAsia" w:ascii="宋体" w:hAnsi="宋体"/>
          <w:sz w:val="24"/>
          <w:szCs w:val="21"/>
          <w:highlight w:val="none"/>
        </w:rPr>
        <w:t>确需收取履约保证金的，履约保证金的缴纳形式：</w:t>
      </w:r>
    </w:p>
    <w:p w14:paraId="424980CE">
      <w:pPr>
        <w:tabs>
          <w:tab w:val="left" w:pos="900"/>
        </w:tabs>
        <w:spacing w:line="500" w:lineRule="exact"/>
        <w:ind w:firstLine="480"/>
        <w:rPr>
          <w:rFonts w:ascii="宋体" w:hAnsi="宋体"/>
          <w:sz w:val="24"/>
          <w:szCs w:val="21"/>
          <w:highlight w:val="none"/>
        </w:rPr>
      </w:pPr>
      <w:r>
        <w:rPr>
          <w:rFonts w:hint="eastAsia" w:ascii="宋体" w:hAnsi="宋体"/>
          <w:sz w:val="24"/>
          <w:szCs w:val="21"/>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325F09E">
      <w:pPr>
        <w:tabs>
          <w:tab w:val="left" w:pos="900"/>
        </w:tabs>
        <w:spacing w:line="500" w:lineRule="exact"/>
        <w:ind w:firstLine="480"/>
        <w:rPr>
          <w:rFonts w:ascii="宋体" w:hAnsi="宋体"/>
          <w:sz w:val="24"/>
          <w:szCs w:val="21"/>
          <w:highlight w:val="none"/>
        </w:rPr>
      </w:pPr>
      <w:r>
        <w:rPr>
          <w:rFonts w:hint="eastAsia" w:ascii="宋体" w:hAnsi="宋体"/>
          <w:sz w:val="24"/>
          <w:szCs w:val="21"/>
          <w:highlight w:val="none"/>
        </w:rPr>
        <w:t xml:space="preserve"> 如以履约保函（保险）形式缴纳履约保证金，供应商可通过政府采购电子履约保函（保险）平台（www.jsdzbh.com）在线申请履约保函（保险）。</w:t>
      </w:r>
    </w:p>
    <w:p w14:paraId="2E1CCCF1">
      <w:pPr>
        <w:tabs>
          <w:tab w:val="left" w:pos="900"/>
        </w:tabs>
        <w:spacing w:line="500" w:lineRule="exact"/>
        <w:ind w:firstLine="480"/>
        <w:rPr>
          <w:rFonts w:ascii="宋体" w:hAnsi="宋体"/>
          <w:sz w:val="24"/>
          <w:szCs w:val="21"/>
          <w:highlight w:val="none"/>
        </w:rPr>
      </w:pPr>
      <w:r>
        <w:rPr>
          <w:rFonts w:hint="eastAsia" w:ascii="宋体" w:hAnsi="宋体"/>
          <w:sz w:val="24"/>
          <w:szCs w:val="21"/>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s="宋体"/>
          <w:sz w:val="24"/>
          <w:highlight w:val="none"/>
        </w:rPr>
        <w:t>（</w:t>
      </w:r>
      <w:r>
        <w:rPr>
          <w:rFonts w:hint="eastAsia" w:ascii="宋体" w:hAnsi="宋体" w:cs="宋体"/>
          <w:sz w:val="24"/>
          <w:szCs w:val="20"/>
          <w:highlight w:val="none"/>
        </w:rPr>
        <w:t>本项目约定降低履约保证金比例为5%</w:t>
      </w:r>
      <w:r>
        <w:rPr>
          <w:rFonts w:hint="eastAsia" w:ascii="宋体" w:hAnsi="宋体" w:cs="宋体"/>
          <w:sz w:val="24"/>
          <w:highlight w:val="none"/>
        </w:rPr>
        <w:t>）</w:t>
      </w:r>
      <w:r>
        <w:rPr>
          <w:rFonts w:hint="eastAsia" w:ascii="宋体" w:hAnsi="宋体"/>
          <w:sz w:val="24"/>
          <w:szCs w:val="21"/>
          <w:highlight w:val="none"/>
        </w:rPr>
        <w:t xml:space="preserve">。 </w:t>
      </w:r>
    </w:p>
    <w:p w14:paraId="6D2D5A0B">
      <w:pPr>
        <w:widowControl/>
        <w:spacing w:line="520" w:lineRule="exact"/>
        <w:ind w:firstLine="480"/>
        <w:rPr>
          <w:rFonts w:eastAsia="Arial"/>
          <w:b/>
          <w:bCs/>
          <w:sz w:val="24"/>
          <w:szCs w:val="20"/>
          <w:highlight w:val="none"/>
          <w:lang w:val="zh-CN"/>
        </w:rPr>
      </w:pPr>
      <w:r>
        <w:rPr>
          <w:rFonts w:hint="eastAsia" w:eastAsia="Arial"/>
          <w:b/>
          <w:bCs/>
          <w:sz w:val="24"/>
          <w:szCs w:val="20"/>
          <w:highlight w:val="none"/>
        </w:rPr>
        <w:t>26、预付款制度</w:t>
      </w:r>
    </w:p>
    <w:p w14:paraId="4292C8DE">
      <w:pPr>
        <w:spacing w:line="520" w:lineRule="exact"/>
        <w:ind w:firstLine="480" w:firstLineChars="200"/>
        <w:jc w:val="center"/>
        <w:rPr>
          <w:rFonts w:ascii="Times New Roman" w:hAnsi="Times New Roman"/>
          <w:b/>
          <w:bCs/>
          <w:sz w:val="24"/>
          <w:highlight w:val="none"/>
        </w:rPr>
      </w:pPr>
      <w:r>
        <w:rPr>
          <w:rFonts w:hint="eastAsia" w:ascii="宋体" w:hAnsi="宋体"/>
          <w:sz w:val="24"/>
          <w:szCs w:val="21"/>
          <w:highlight w:val="none"/>
        </w:rPr>
        <w:t>本项目落实预付款制度，预付款比例为30%。在签订合同时，中标、成交供应商明确书面表示无需预付款或者主动要求降低预付款比例的，采购人可就预付款比例作相应调整。</w:t>
      </w:r>
      <w:r>
        <w:rPr>
          <w:rFonts w:hint="eastAsia" w:ascii="宋体" w:hAnsi="宋体"/>
          <w:sz w:val="24"/>
          <w:szCs w:val="21"/>
          <w:highlight w:val="none"/>
        </w:rPr>
        <w:br w:type="page"/>
      </w:r>
      <w:r>
        <w:rPr>
          <w:rFonts w:hint="eastAsia" w:ascii="宋体" w:hAnsi="宋体" w:cs="宋体"/>
          <w:b/>
          <w:bCs/>
          <w:sz w:val="32"/>
          <w:szCs w:val="32"/>
          <w:highlight w:val="none"/>
        </w:rPr>
        <w:t xml:space="preserve"> 第三部分  </w:t>
      </w:r>
      <w:r>
        <w:rPr>
          <w:rFonts w:ascii="宋体" w:hAnsi="宋体" w:cs="宋体"/>
          <w:b/>
          <w:bCs/>
          <w:sz w:val="32"/>
          <w:szCs w:val="32"/>
          <w:highlight w:val="none"/>
        </w:rPr>
        <w:t>合同文本</w:t>
      </w:r>
    </w:p>
    <w:p w14:paraId="098FCB51">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以下为中标后签定本项目合同的通用条款，中标人不得提出实质性的修改，关于专用条款将由采购人与中标人结合本项目具体情况协商后签订。</w:t>
      </w:r>
    </w:p>
    <w:p w14:paraId="453C5E58">
      <w:pPr>
        <w:spacing w:line="520" w:lineRule="exact"/>
        <w:ind w:firstLine="482" w:firstLineChars="200"/>
        <w:jc w:val="center"/>
        <w:rPr>
          <w:rStyle w:val="331"/>
          <w:rFonts w:ascii="Times New Roman" w:hAnsi="Times New Roman"/>
          <w:sz w:val="24"/>
          <w:highlight w:val="none"/>
        </w:rPr>
      </w:pPr>
      <w:r>
        <w:rPr>
          <w:rStyle w:val="331"/>
          <w:rFonts w:ascii="Times New Roman" w:hAnsi="Times New Roman"/>
          <w:b/>
          <w:bCs/>
          <w:sz w:val="24"/>
          <w:highlight w:val="none"/>
        </w:rPr>
        <w:t>政府采购合同（合同编号）</w:t>
      </w:r>
    </w:p>
    <w:p w14:paraId="65C77F1C">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项目编号：</w:t>
      </w:r>
      <w:r>
        <w:rPr>
          <w:rFonts w:ascii="Times New Roman" w:hAnsi="Times New Roman"/>
          <w:sz w:val="24"/>
          <w:highlight w:val="none"/>
          <w:u w:val="single"/>
        </w:rPr>
        <w:t xml:space="preserve">                          </w:t>
      </w:r>
    </w:p>
    <w:p w14:paraId="64A964F3">
      <w:pPr>
        <w:pStyle w:val="46"/>
        <w:spacing w:line="520" w:lineRule="exact"/>
        <w:ind w:firstLine="480" w:firstLineChars="200"/>
        <w:rPr>
          <w:rFonts w:ascii="Times New Roman" w:hAnsi="Times New Roman" w:eastAsia="宋体"/>
          <w:sz w:val="24"/>
          <w:highlight w:val="none"/>
          <w:u w:val="single"/>
        </w:rPr>
      </w:pPr>
      <w:r>
        <w:rPr>
          <w:rFonts w:ascii="Times New Roman" w:hAnsi="Times New Roman" w:eastAsia="宋体"/>
          <w:sz w:val="24"/>
          <w:highlight w:val="none"/>
        </w:rPr>
        <w:t>项目名称：</w:t>
      </w:r>
      <w:r>
        <w:rPr>
          <w:rFonts w:ascii="Times New Roman" w:hAnsi="Times New Roman" w:eastAsia="宋体"/>
          <w:sz w:val="24"/>
          <w:highlight w:val="none"/>
          <w:u w:val="single"/>
        </w:rPr>
        <w:t>警务中心智能化系统维保项目</w:t>
      </w:r>
    </w:p>
    <w:p w14:paraId="6112AEB6">
      <w:pPr>
        <w:pStyle w:val="46"/>
        <w:spacing w:line="520" w:lineRule="exact"/>
        <w:ind w:firstLine="480" w:firstLineChars="200"/>
        <w:rPr>
          <w:rFonts w:ascii="Times New Roman" w:hAnsi="Times New Roman" w:eastAsia="宋体"/>
          <w:sz w:val="24"/>
          <w:highlight w:val="none"/>
          <w:u w:val="single"/>
        </w:rPr>
      </w:pPr>
      <w:r>
        <w:rPr>
          <w:rFonts w:ascii="Times New Roman" w:hAnsi="Times New Roman" w:eastAsia="宋体"/>
          <w:sz w:val="24"/>
          <w:highlight w:val="none"/>
        </w:rPr>
        <w:t>甲方：</w:t>
      </w:r>
      <w:r>
        <w:rPr>
          <w:rFonts w:ascii="Times New Roman" w:hAnsi="Times New Roman" w:eastAsia="宋体"/>
          <w:sz w:val="24"/>
          <w:highlight w:val="none"/>
          <w:u w:val="single"/>
        </w:rPr>
        <w:t xml:space="preserve">                              </w:t>
      </w:r>
    </w:p>
    <w:p w14:paraId="660523E9">
      <w:pPr>
        <w:pStyle w:val="46"/>
        <w:spacing w:line="520" w:lineRule="exact"/>
        <w:ind w:firstLine="480" w:firstLineChars="200"/>
        <w:rPr>
          <w:rFonts w:ascii="Times New Roman" w:hAnsi="Times New Roman" w:eastAsia="宋体"/>
          <w:sz w:val="24"/>
          <w:highlight w:val="none"/>
          <w:u w:val="single"/>
        </w:rPr>
      </w:pPr>
      <w:r>
        <w:rPr>
          <w:rFonts w:ascii="Times New Roman" w:hAnsi="Times New Roman" w:eastAsia="宋体"/>
          <w:sz w:val="24"/>
          <w:highlight w:val="none"/>
        </w:rPr>
        <w:t>乙方：</w:t>
      </w:r>
      <w:r>
        <w:rPr>
          <w:rFonts w:ascii="Times New Roman" w:hAnsi="Times New Roman" w:eastAsia="宋体"/>
          <w:sz w:val="24"/>
          <w:highlight w:val="none"/>
          <w:u w:val="single"/>
        </w:rPr>
        <w:t xml:space="preserve">                              </w:t>
      </w:r>
    </w:p>
    <w:p w14:paraId="40F4CD0E">
      <w:pPr>
        <w:pStyle w:val="46"/>
        <w:spacing w:line="520" w:lineRule="exact"/>
        <w:ind w:firstLine="480" w:firstLineChars="200"/>
        <w:rPr>
          <w:rFonts w:ascii="Times New Roman" w:hAnsi="Times New Roman" w:eastAsia="宋体"/>
          <w:b/>
          <w:sz w:val="24"/>
          <w:highlight w:val="none"/>
        </w:rPr>
      </w:pPr>
      <w:r>
        <w:rPr>
          <w:rFonts w:ascii="Times New Roman" w:hAnsi="Times New Roman" w:eastAsia="宋体"/>
          <w:sz w:val="24"/>
          <w:highlight w:val="none"/>
        </w:rPr>
        <w:t>根据我国《民法典》和《政府采购法》及有关规定，在平等、自愿、协商一致的基础上，就甲、乙双方根据</w:t>
      </w:r>
      <w:r>
        <w:rPr>
          <w:rFonts w:ascii="Times New Roman" w:hAnsi="Times New Roman" w:eastAsia="宋体"/>
          <w:sz w:val="24"/>
          <w:highlight w:val="none"/>
          <w:u w:val="single"/>
        </w:rPr>
        <w:t>警务中心智能化系统维保项目</w:t>
      </w:r>
      <w:r>
        <w:rPr>
          <w:rFonts w:ascii="Times New Roman" w:hAnsi="Times New Roman" w:eastAsia="宋体"/>
          <w:sz w:val="24"/>
          <w:highlight w:val="none"/>
        </w:rPr>
        <w:t>公开招标的结果，签署本合同。</w:t>
      </w:r>
    </w:p>
    <w:p w14:paraId="77FA54FB">
      <w:pPr>
        <w:pStyle w:val="46"/>
        <w:spacing w:line="520" w:lineRule="exact"/>
        <w:ind w:firstLine="482" w:firstLineChars="200"/>
        <w:rPr>
          <w:rFonts w:ascii="Times New Roman" w:hAnsi="Times New Roman" w:eastAsia="宋体"/>
          <w:b/>
          <w:sz w:val="24"/>
          <w:highlight w:val="none"/>
        </w:rPr>
      </w:pPr>
      <w:r>
        <w:rPr>
          <w:rFonts w:ascii="Times New Roman" w:hAnsi="Times New Roman" w:eastAsia="宋体"/>
          <w:b/>
          <w:sz w:val="24"/>
          <w:highlight w:val="none"/>
        </w:rPr>
        <w:t>一、服务内容</w:t>
      </w:r>
    </w:p>
    <w:p w14:paraId="05862A93">
      <w:pPr>
        <w:pStyle w:val="46"/>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1.服务名称：</w:t>
      </w:r>
      <w:r>
        <w:rPr>
          <w:rFonts w:ascii="Times New Roman" w:hAnsi="Times New Roman" w:eastAsia="宋体"/>
          <w:sz w:val="24"/>
          <w:highlight w:val="none"/>
          <w:u w:val="single"/>
        </w:rPr>
        <w:t>警务中心智能化系统维保项目</w:t>
      </w:r>
    </w:p>
    <w:p w14:paraId="38ADCF21">
      <w:pPr>
        <w:spacing w:line="520" w:lineRule="exact"/>
        <w:ind w:firstLine="480" w:firstLineChars="200"/>
        <w:rPr>
          <w:rFonts w:ascii="Times New Roman" w:hAnsi="Times New Roman"/>
          <w:sz w:val="24"/>
          <w:highlight w:val="none"/>
        </w:rPr>
      </w:pPr>
      <w:r>
        <w:rPr>
          <w:rFonts w:ascii="Times New Roman" w:hAnsi="Times New Roman"/>
          <w:sz w:val="24"/>
          <w:highlight w:val="none"/>
        </w:rPr>
        <w:t>2.服务内容：警务中心智能化系统维保项目，主要包括（但不仅限于）对分局警务中心系统建设与设备进行相关维保服务，确保设施正常运行。</w:t>
      </w:r>
      <w:r>
        <w:rPr>
          <w:rFonts w:hint="eastAsia" w:ascii="Times New Roman" w:hAnsi="Times New Roman"/>
          <w:sz w:val="24"/>
          <w:highlight w:val="none"/>
          <w:lang w:val="en-US" w:eastAsia="zh-CN"/>
        </w:rPr>
        <w:t>服务内容</w:t>
      </w:r>
      <w:r>
        <w:rPr>
          <w:rFonts w:ascii="Times New Roman" w:hAnsi="Times New Roman"/>
          <w:sz w:val="24"/>
          <w:highlight w:val="none"/>
        </w:rPr>
        <w:t>包括</w:t>
      </w:r>
      <w:r>
        <w:rPr>
          <w:rFonts w:hint="eastAsia" w:ascii="Times New Roman" w:hAnsi="Times New Roman"/>
          <w:sz w:val="24"/>
          <w:highlight w:val="none"/>
        </w:rPr>
        <w:t>：</w:t>
      </w:r>
      <w:r>
        <w:rPr>
          <w:rFonts w:hint="eastAsia" w:ascii="Times New Roman" w:hAnsi="Times New Roman"/>
          <w:sz w:val="24"/>
          <w:highlight w:val="none"/>
          <w:lang w:val="en-US" w:eastAsia="zh-CN"/>
        </w:rPr>
        <w:t>警务中心的计算机网络、安防监控、大屏幕显示、分布式坐席管理、数据机房等系统建设与设备进行运维及驻场等服务。</w:t>
      </w:r>
      <w:r>
        <w:rPr>
          <w:rFonts w:ascii="Times New Roman" w:hAnsi="Times New Roman"/>
          <w:sz w:val="24"/>
          <w:highlight w:val="none"/>
        </w:rPr>
        <w:t>具体技术要求详见项目需求。</w:t>
      </w:r>
    </w:p>
    <w:p w14:paraId="790272AE">
      <w:pPr>
        <w:pStyle w:val="79"/>
        <w:spacing w:before="0" w:beforeAutospacing="0" w:after="0" w:afterAutospacing="0" w:line="520" w:lineRule="exact"/>
        <w:ind w:firstLine="480" w:firstLineChars="200"/>
        <w:jc w:val="both"/>
        <w:rPr>
          <w:rFonts w:hint="eastAsia" w:ascii="Times New Roman" w:hAnsi="Times New Roman" w:cs="Times New Roman"/>
          <w:highlight w:val="none"/>
          <w:lang w:val="en-US" w:eastAsia="zh-CN"/>
        </w:rPr>
      </w:pPr>
      <w:r>
        <w:rPr>
          <w:rFonts w:ascii="Times New Roman" w:hAnsi="Times New Roman" w:cs="Times New Roman"/>
          <w:highlight w:val="none"/>
        </w:rPr>
        <w:t>3.合同</w:t>
      </w:r>
      <w:r>
        <w:rPr>
          <w:rFonts w:hint="eastAsia" w:ascii="Times New Roman" w:hAnsi="Times New Roman" w:cs="Times New Roman"/>
          <w:highlight w:val="none"/>
          <w:lang w:val="en-US" w:eastAsia="zh-CN"/>
        </w:rPr>
        <w:t>服务</w:t>
      </w:r>
      <w:r>
        <w:rPr>
          <w:rFonts w:ascii="Times New Roman" w:hAnsi="Times New Roman" w:cs="Times New Roman"/>
          <w:highlight w:val="none"/>
        </w:rPr>
        <w:t>期限：</w:t>
      </w:r>
      <w:r>
        <w:rPr>
          <w:rFonts w:hint="eastAsia" w:ascii="Times New Roman" w:hAnsi="Times New Roman" w:cs="Times New Roman"/>
          <w:highlight w:val="none"/>
          <w:lang w:val="en-US" w:eastAsia="zh-CN"/>
        </w:rPr>
        <w:t>一年（服务开始时间从验收当天开始计算）。合同结束后，如履约能力强、服务质量优，考核合格，经双方协商，可以续签一年，最多续签两次。</w:t>
      </w:r>
    </w:p>
    <w:p w14:paraId="252C1D0B">
      <w:pPr>
        <w:pStyle w:val="79"/>
        <w:spacing w:before="0" w:beforeAutospacing="0" w:after="0" w:afterAutospacing="0" w:line="520" w:lineRule="exact"/>
        <w:ind w:firstLine="480" w:firstLineChars="200"/>
        <w:jc w:val="both"/>
        <w:rPr>
          <w:rFonts w:ascii="Times New Roman" w:hAnsi="Times New Roman" w:cs="Times New Roman"/>
          <w:highlight w:val="none"/>
        </w:rPr>
      </w:pPr>
      <w:r>
        <w:rPr>
          <w:rFonts w:ascii="Times New Roman" w:hAnsi="Times New Roman" w:cs="Times New Roman"/>
          <w:highlight w:val="none"/>
        </w:rPr>
        <w:t>4.工期（供货期）：中标后接到招标人通知30个日历天内，完成全部设备的供应、安装、调试并通过验收（中标人不得以合同未签订无法供货为由延长工期）。</w:t>
      </w:r>
    </w:p>
    <w:p w14:paraId="2DB41FEE">
      <w:pPr>
        <w:pStyle w:val="79"/>
        <w:spacing w:before="0" w:beforeAutospacing="0" w:after="0" w:afterAutospacing="0" w:line="520" w:lineRule="exact"/>
        <w:ind w:firstLine="480" w:firstLineChars="200"/>
        <w:jc w:val="both"/>
        <w:rPr>
          <w:rFonts w:ascii="Times New Roman" w:hAnsi="Times New Roman" w:cs="Times New Roman"/>
          <w:highlight w:val="none"/>
        </w:rPr>
      </w:pPr>
      <w:r>
        <w:rPr>
          <w:rFonts w:ascii="Times New Roman" w:hAnsi="Times New Roman" w:cs="Times New Roman"/>
          <w:highlight w:val="none"/>
        </w:rPr>
        <w:t>5.履行方式：甲方指定地点并通过甲方审查。</w:t>
      </w:r>
    </w:p>
    <w:p w14:paraId="3F603066">
      <w:pPr>
        <w:pStyle w:val="46"/>
        <w:spacing w:line="520" w:lineRule="exact"/>
        <w:ind w:firstLine="482" w:firstLineChars="200"/>
        <w:rPr>
          <w:rFonts w:ascii="Times New Roman" w:hAnsi="Times New Roman" w:eastAsia="宋体"/>
          <w:b/>
          <w:sz w:val="24"/>
          <w:highlight w:val="none"/>
        </w:rPr>
      </w:pPr>
      <w:r>
        <w:rPr>
          <w:rFonts w:ascii="Times New Roman" w:hAnsi="Times New Roman" w:eastAsia="宋体"/>
          <w:b/>
          <w:sz w:val="24"/>
          <w:highlight w:val="none"/>
        </w:rPr>
        <w:t>二、合同金额</w:t>
      </w:r>
    </w:p>
    <w:p w14:paraId="74787CF3">
      <w:pPr>
        <w:widowControl/>
        <w:spacing w:line="520" w:lineRule="exact"/>
        <w:ind w:firstLine="480" w:firstLineChars="200"/>
        <w:jc w:val="left"/>
        <w:rPr>
          <w:rFonts w:ascii="Times New Roman" w:hAnsi="Times New Roman"/>
          <w:sz w:val="24"/>
          <w:highlight w:val="none"/>
        </w:rPr>
      </w:pPr>
      <w:r>
        <w:rPr>
          <w:rFonts w:ascii="Times New Roman" w:hAnsi="Times New Roman"/>
          <w:sz w:val="24"/>
          <w:highlight w:val="none"/>
        </w:rPr>
        <w:t>本合同金额为：人民币（大写）</w:t>
      </w:r>
      <w:r>
        <w:rPr>
          <w:rFonts w:ascii="Times New Roman" w:hAnsi="Times New Roman"/>
          <w:sz w:val="24"/>
          <w:highlight w:val="none"/>
          <w:u w:val="single"/>
        </w:rPr>
        <w:t xml:space="preserve">         </w:t>
      </w:r>
      <w:r>
        <w:rPr>
          <w:rFonts w:hint="eastAsia" w:ascii="Times New Roman" w:hAnsi="Times New Roman"/>
          <w:sz w:val="24"/>
          <w:highlight w:val="none"/>
          <w:lang w:eastAsia="zh-CN"/>
        </w:rPr>
        <w:t>元</w:t>
      </w:r>
      <w:r>
        <w:rPr>
          <w:rFonts w:ascii="Times New Roman" w:hAnsi="Times New Roman"/>
          <w:sz w:val="24"/>
          <w:highlight w:val="none"/>
        </w:rPr>
        <w:t>整（¥</w:t>
      </w:r>
      <w:r>
        <w:rPr>
          <w:rFonts w:ascii="Times New Roman" w:hAnsi="Times New Roman"/>
          <w:sz w:val="24"/>
          <w:highlight w:val="none"/>
          <w:u w:val="single"/>
        </w:rPr>
        <w:t xml:space="preserve">         元</w:t>
      </w:r>
      <w:r>
        <w:rPr>
          <w:rFonts w:ascii="Times New Roman" w:hAnsi="Times New Roman"/>
          <w:sz w:val="24"/>
          <w:highlight w:val="none"/>
        </w:rPr>
        <w:t>）。</w:t>
      </w:r>
    </w:p>
    <w:p w14:paraId="7B0691C6">
      <w:pPr>
        <w:pStyle w:val="46"/>
        <w:spacing w:line="520" w:lineRule="exact"/>
        <w:ind w:firstLine="482" w:firstLineChars="200"/>
        <w:rPr>
          <w:rFonts w:ascii="Times New Roman" w:hAnsi="Times New Roman" w:eastAsia="宋体"/>
          <w:b/>
          <w:sz w:val="24"/>
          <w:highlight w:val="none"/>
        </w:rPr>
      </w:pPr>
      <w:r>
        <w:rPr>
          <w:rFonts w:ascii="Times New Roman" w:hAnsi="Times New Roman" w:eastAsia="宋体"/>
          <w:b/>
          <w:sz w:val="24"/>
          <w:highlight w:val="none"/>
        </w:rPr>
        <w:t>三、质量要求、技术资料及售后服务</w:t>
      </w:r>
    </w:p>
    <w:p w14:paraId="565F8F9B">
      <w:pPr>
        <w:spacing w:line="520" w:lineRule="exact"/>
        <w:ind w:firstLine="480" w:firstLineChars="200"/>
        <w:rPr>
          <w:rFonts w:ascii="Times New Roman" w:hAnsi="Times New Roman"/>
          <w:sz w:val="24"/>
          <w:highlight w:val="none"/>
        </w:rPr>
      </w:pPr>
      <w:r>
        <w:rPr>
          <w:rFonts w:ascii="Times New Roman" w:hAnsi="Times New Roman"/>
          <w:sz w:val="24"/>
          <w:highlight w:val="none"/>
        </w:rPr>
        <w:t>乙方所提供的服务及服务内容必须与投标文件承诺相一致，有国家强制性标准的，还必须符合国家强制性标准的规定，没有国家强制性标准但有其他强制性标准的，必须符合其他强制性标准的规定。</w:t>
      </w:r>
    </w:p>
    <w:p w14:paraId="6B7D6673">
      <w:pPr>
        <w:spacing w:line="520" w:lineRule="exact"/>
        <w:ind w:firstLine="480" w:firstLineChars="200"/>
        <w:rPr>
          <w:rFonts w:ascii="Times New Roman" w:hAnsi="Times New Roman"/>
          <w:sz w:val="24"/>
          <w:highlight w:val="none"/>
        </w:rPr>
      </w:pPr>
      <w:r>
        <w:rPr>
          <w:rFonts w:ascii="Times New Roman" w:hAnsi="Times New Roman"/>
          <w:sz w:val="24"/>
          <w:highlight w:val="none"/>
        </w:rPr>
        <w:t>1.乙方按照国家规定的标准和标书规定的标准执行。本项目涉及的所有设备、材料须从生产厂家（或经生产厂家授权的代理商）采购，未按上述要求执行的，所采购的设备、材料一律清退出场，且每发生一次乙方须支付违约金10000元（从合同款或履约保证金中直接扣除），发生二次以上甲方有权终止合同、已实施合格工程量只按中标综合单价的50%进行支付工程款。</w:t>
      </w:r>
    </w:p>
    <w:p w14:paraId="5E3ED7F9">
      <w:pPr>
        <w:spacing w:line="520" w:lineRule="exact"/>
        <w:ind w:firstLine="480" w:firstLineChars="200"/>
        <w:rPr>
          <w:rFonts w:ascii="Times New Roman" w:hAnsi="Times New Roman"/>
          <w:sz w:val="24"/>
          <w:highlight w:val="none"/>
        </w:rPr>
      </w:pPr>
      <w:r>
        <w:rPr>
          <w:rFonts w:ascii="Times New Roman" w:hAnsi="Times New Roman"/>
          <w:sz w:val="24"/>
          <w:highlight w:val="none"/>
        </w:rPr>
        <w:t>2.本项目涉及的设备、材料必须具有产品质量合格证、性能可靠，设备、材料技术参数及规格等不得出现负偏离。乙方须严格按照设计文件、技术方案、招标要求及现行的相关规范标准或有关部门最新颁布的相应标准执行。本项目质量达合格等级并确保验收通过。如在验货或使用过程中发现乙方弄虚作假，则承担一切经济和法律责任。</w:t>
      </w:r>
    </w:p>
    <w:p w14:paraId="37E8E060">
      <w:pPr>
        <w:spacing w:line="520" w:lineRule="exact"/>
        <w:ind w:firstLine="480" w:firstLineChars="200"/>
        <w:rPr>
          <w:rFonts w:ascii="Times New Roman" w:hAnsi="Times New Roman"/>
          <w:sz w:val="24"/>
          <w:highlight w:val="none"/>
        </w:rPr>
      </w:pPr>
      <w:r>
        <w:rPr>
          <w:rFonts w:ascii="Times New Roman" w:hAnsi="Times New Roman"/>
          <w:sz w:val="24"/>
          <w:highlight w:val="none"/>
        </w:rPr>
        <w:t>3.乙方须保证所提供设备、材料包括相关附件为相应货物厂家原装正品，符合国家有关规定；有义务保证甲方系统的完整性，部分连接运行配件未在招标材料中明示的，乙方应在投标时予以补充，如项目实施过程中因缺少设备、配件或服务导致甲方系统无法正常运行，乙方须承诺免费提供；除甲方明确提出的变更外，本项目不再增加任何费用，报价风险由其自行承担。本项目软件及升级服务均由乙方免费提供。</w:t>
      </w:r>
    </w:p>
    <w:p w14:paraId="3B003455">
      <w:pPr>
        <w:spacing w:line="520" w:lineRule="exact"/>
        <w:ind w:firstLine="480" w:firstLineChars="200"/>
        <w:rPr>
          <w:rFonts w:ascii="Times New Roman" w:hAnsi="Times New Roman"/>
          <w:sz w:val="24"/>
          <w:highlight w:val="none"/>
        </w:rPr>
      </w:pPr>
      <w:r>
        <w:rPr>
          <w:rFonts w:ascii="Times New Roman" w:hAnsi="Times New Roman"/>
          <w:sz w:val="24"/>
          <w:highlight w:val="none"/>
        </w:rPr>
        <w:t>4.合同质量按乙方投标时的承诺质量目标执行；如果达不到承诺质量目标，乙方必须无偿整改达到承诺质量目标，甲方还将对乙方按中标价1.0%进行扣罚工程款，并从工程款中直接扣除。由此造成的工期延误将不予顺延，给甲方造成实际损失的还将承担经济赔偿责任。</w:t>
      </w:r>
    </w:p>
    <w:p w14:paraId="46C3353C">
      <w:pPr>
        <w:spacing w:line="520" w:lineRule="exact"/>
        <w:ind w:firstLine="480" w:firstLineChars="200"/>
        <w:rPr>
          <w:rFonts w:ascii="Times New Roman" w:hAnsi="Times New Roman"/>
          <w:sz w:val="24"/>
          <w:highlight w:val="none"/>
        </w:rPr>
      </w:pPr>
      <w:r>
        <w:rPr>
          <w:rFonts w:ascii="Times New Roman" w:hAnsi="Times New Roman"/>
          <w:sz w:val="24"/>
          <w:highlight w:val="none"/>
        </w:rPr>
        <w:t>5.乙方供货时须提供：产品的质量保证书、技术性能说明书、国家有关部门的检测测试报告、质量标准认证证书等相关材料。否则甲方将拒绝验收，一切责任均由乙方承担。</w:t>
      </w:r>
    </w:p>
    <w:p w14:paraId="73F2CAE5">
      <w:pPr>
        <w:spacing w:line="520" w:lineRule="exact"/>
        <w:ind w:firstLine="480" w:firstLineChars="200"/>
        <w:rPr>
          <w:rFonts w:ascii="Times New Roman" w:hAnsi="Times New Roman"/>
          <w:sz w:val="24"/>
          <w:highlight w:val="none"/>
        </w:rPr>
      </w:pPr>
      <w:r>
        <w:rPr>
          <w:rFonts w:ascii="Times New Roman" w:hAnsi="Times New Roman"/>
          <w:sz w:val="24"/>
          <w:highlight w:val="none"/>
        </w:rPr>
        <w:t xml:space="preserve">6.乙方应按招标文件规定的货物性能、技术要求、质量标准向甲方提供未经使用的全新产品。 </w:t>
      </w:r>
    </w:p>
    <w:p w14:paraId="3B373965">
      <w:pPr>
        <w:spacing w:line="520" w:lineRule="exact"/>
        <w:ind w:firstLine="480" w:firstLineChars="200"/>
        <w:rPr>
          <w:rFonts w:ascii="Times New Roman" w:hAnsi="Times New Roman"/>
          <w:sz w:val="24"/>
          <w:highlight w:val="none"/>
        </w:rPr>
      </w:pPr>
      <w:r>
        <w:rPr>
          <w:rFonts w:ascii="Times New Roman" w:hAnsi="Times New Roman"/>
          <w:sz w:val="24"/>
          <w:highlight w:val="none"/>
        </w:rPr>
        <w:t>7.对达不到技术要求者，根据实际情况，经双方协商，可按以下办法处理：⑴更换：由乙方承担所发生的全部费用。</w:t>
      </w:r>
    </w:p>
    <w:p w14:paraId="69108A8E">
      <w:pPr>
        <w:spacing w:line="520" w:lineRule="exact"/>
        <w:ind w:firstLine="480" w:firstLineChars="200"/>
        <w:rPr>
          <w:rFonts w:ascii="Times New Roman" w:hAnsi="Times New Roman"/>
          <w:sz w:val="24"/>
          <w:highlight w:val="none"/>
        </w:rPr>
      </w:pPr>
      <w:r>
        <w:rPr>
          <w:rFonts w:ascii="Times New Roman" w:hAnsi="Times New Roman"/>
          <w:sz w:val="24"/>
          <w:highlight w:val="none"/>
        </w:rPr>
        <w:t>8.在维保期内，乙方应对货物出现的质量及安全问题负责处理解决并承担一切费用。</w:t>
      </w:r>
    </w:p>
    <w:p w14:paraId="45ABB356">
      <w:pPr>
        <w:spacing w:line="520" w:lineRule="exact"/>
        <w:ind w:firstLine="480" w:firstLineChars="200"/>
        <w:rPr>
          <w:rFonts w:ascii="Times New Roman" w:hAnsi="Times New Roman"/>
          <w:sz w:val="24"/>
          <w:highlight w:val="none"/>
        </w:rPr>
      </w:pPr>
      <w:r>
        <w:rPr>
          <w:rFonts w:ascii="Times New Roman" w:hAnsi="Times New Roman"/>
          <w:sz w:val="24"/>
          <w:highlight w:val="none"/>
        </w:rPr>
        <w:t>9.本采购项目如因非甲方原因导致部分设备材料无法供货的，则在最终结算时扣除该部分设备材料的对应费用，设备材料费用以投标报价、市场价中高价为准进行扣除，同时造成的损失甲方保留索赔的权利。</w:t>
      </w:r>
    </w:p>
    <w:p w14:paraId="0186D8FD">
      <w:pPr>
        <w:spacing w:line="520" w:lineRule="exact"/>
        <w:ind w:firstLine="480" w:firstLineChars="200"/>
        <w:rPr>
          <w:rFonts w:ascii="Times New Roman" w:hAnsi="Times New Roman"/>
          <w:sz w:val="24"/>
          <w:highlight w:val="none"/>
        </w:rPr>
      </w:pPr>
      <w:r>
        <w:rPr>
          <w:rFonts w:ascii="Times New Roman" w:hAnsi="Times New Roman"/>
          <w:sz w:val="24"/>
          <w:highlight w:val="none"/>
        </w:rPr>
        <w:t>10.乙方提供的货物在使用期内因货物本身的质量问题发生故障，乙方应负责免费更换。</w:t>
      </w:r>
    </w:p>
    <w:p w14:paraId="4A5DC0FC">
      <w:pPr>
        <w:spacing w:line="520" w:lineRule="exact"/>
        <w:ind w:firstLine="480" w:firstLineChars="200"/>
        <w:rPr>
          <w:rFonts w:ascii="Times New Roman" w:hAnsi="Times New Roman"/>
          <w:sz w:val="24"/>
          <w:highlight w:val="none"/>
        </w:rPr>
      </w:pPr>
      <w:r>
        <w:rPr>
          <w:rFonts w:ascii="Times New Roman" w:hAnsi="Times New Roman"/>
          <w:sz w:val="24"/>
          <w:highlight w:val="none"/>
        </w:rPr>
        <w:t>11.乙方必须按照甲方下达的供货指令单供货，如在指令单规定的时间不能供货到现场的，甲方将自行委托第三方进行该批次货物的采购，并按采购货款的1.5倍在乙方应付合同价款中扣除，乙方须无条件执行。</w:t>
      </w:r>
    </w:p>
    <w:p w14:paraId="68E30126">
      <w:pPr>
        <w:spacing w:line="520" w:lineRule="exact"/>
        <w:ind w:firstLine="482" w:firstLineChars="200"/>
        <w:rPr>
          <w:rFonts w:ascii="Times New Roman" w:hAnsi="Times New Roman"/>
          <w:sz w:val="24"/>
          <w:highlight w:val="none"/>
        </w:rPr>
      </w:pPr>
      <w:r>
        <w:rPr>
          <w:rFonts w:ascii="Times New Roman" w:hAnsi="Times New Roman"/>
          <w:b/>
          <w:sz w:val="24"/>
          <w:highlight w:val="none"/>
        </w:rPr>
        <w:t>四、付款方式和发票开具方式</w:t>
      </w:r>
    </w:p>
    <w:p w14:paraId="4BEA88E2">
      <w:pPr>
        <w:spacing w:line="520" w:lineRule="exact"/>
        <w:ind w:firstLine="482" w:firstLineChars="200"/>
        <w:rPr>
          <w:rFonts w:ascii="Times New Roman" w:hAnsi="Times New Roman"/>
          <w:sz w:val="24"/>
          <w:highlight w:val="none"/>
        </w:rPr>
      </w:pPr>
      <w:r>
        <w:rPr>
          <w:rFonts w:ascii="Times New Roman" w:hAnsi="Times New Roman"/>
          <w:b/>
          <w:sz w:val="24"/>
          <w:highlight w:val="none"/>
        </w:rPr>
        <w:t>1.付款方式：</w:t>
      </w:r>
      <w:r>
        <w:rPr>
          <w:rFonts w:ascii="Times New Roman" w:hAnsi="Times New Roman"/>
          <w:sz w:val="24"/>
          <w:highlight w:val="none"/>
        </w:rPr>
        <w:t>合同签订后，甲方收到乙方发票后10个工作日内支付合同总价30%作为预付款</w:t>
      </w:r>
      <w:r>
        <w:rPr>
          <w:rFonts w:hint="eastAsia" w:ascii="Times New Roman" w:hAnsi="Times New Roman"/>
          <w:sz w:val="24"/>
          <w:highlight w:val="none"/>
          <w:lang w:eastAsia="zh-CN"/>
        </w:rPr>
        <w:t>（如甲乙双方协商一致，乙方并出具书面无需支付预付款说明</w:t>
      </w:r>
      <w:r>
        <w:rPr>
          <w:rFonts w:hint="eastAsia" w:ascii="Times New Roman" w:hAnsi="Times New Roman"/>
          <w:sz w:val="24"/>
          <w:highlight w:val="none"/>
          <w:lang w:val="en-US" w:eastAsia="zh-CN"/>
        </w:rPr>
        <w:t>或降低预付款支付比例说明</w:t>
      </w:r>
      <w:r>
        <w:rPr>
          <w:rFonts w:hint="eastAsia" w:ascii="Times New Roman" w:hAnsi="Times New Roman"/>
          <w:sz w:val="24"/>
          <w:highlight w:val="none"/>
          <w:lang w:eastAsia="zh-CN"/>
        </w:rPr>
        <w:t>，可不支付本项目的预付款</w:t>
      </w:r>
      <w:r>
        <w:rPr>
          <w:rFonts w:hint="eastAsia" w:ascii="Times New Roman" w:hAnsi="Times New Roman"/>
          <w:sz w:val="24"/>
          <w:highlight w:val="none"/>
          <w:lang w:val="en-US" w:eastAsia="zh-CN"/>
        </w:rPr>
        <w:t>或降低支付预付款</w:t>
      </w:r>
      <w:r>
        <w:rPr>
          <w:rFonts w:hint="eastAsia" w:ascii="Times New Roman" w:hAnsi="Times New Roman"/>
          <w:sz w:val="24"/>
          <w:highlight w:val="none"/>
          <w:lang w:eastAsia="zh-CN"/>
        </w:rPr>
        <w:t>），</w:t>
      </w:r>
      <w:r>
        <w:rPr>
          <w:rFonts w:ascii="Times New Roman" w:hAnsi="Times New Roman"/>
          <w:sz w:val="24"/>
          <w:highlight w:val="none"/>
        </w:rPr>
        <w:t>每年服务期满后根据当年考核结果支付当年剩余费用</w:t>
      </w:r>
      <w:r>
        <w:rPr>
          <w:rFonts w:hint="eastAsia" w:ascii="Times New Roman" w:hAnsi="Times New Roman"/>
          <w:sz w:val="24"/>
          <w:highlight w:val="none"/>
        </w:rPr>
        <w:t>(上述付款均无银行利息)。</w:t>
      </w:r>
      <w:r>
        <w:rPr>
          <w:rFonts w:ascii="Times New Roman" w:hAnsi="Times New Roman"/>
          <w:sz w:val="24"/>
          <w:highlight w:val="none"/>
        </w:rPr>
        <w:t>（上述付款均以合同考核条款为依据，扣除相关考核金进行计算，具体考核如下）</w:t>
      </w:r>
    </w:p>
    <w:p w14:paraId="0A5D9A01">
      <w:pPr>
        <w:spacing w:line="520" w:lineRule="exact"/>
        <w:ind w:firstLine="480" w:firstLineChars="200"/>
        <w:rPr>
          <w:rFonts w:ascii="Times New Roman" w:hAnsi="Times New Roman"/>
          <w:sz w:val="24"/>
          <w:highlight w:val="none"/>
        </w:rPr>
      </w:pPr>
      <w:r>
        <w:rPr>
          <w:rFonts w:ascii="Times New Roman" w:hAnsi="Times New Roman"/>
          <w:sz w:val="24"/>
          <w:highlight w:val="none"/>
        </w:rPr>
        <w:t>注：考评计分每季度汇总一次，年度计分为4次总分的平均值作为最终评定依据</w:t>
      </w:r>
    </w:p>
    <w:p w14:paraId="12D84469">
      <w:pPr>
        <w:spacing w:line="520" w:lineRule="exact"/>
        <w:ind w:firstLine="480" w:firstLineChars="200"/>
        <w:rPr>
          <w:rFonts w:ascii="Times New Roman" w:hAnsi="Times New Roman"/>
          <w:sz w:val="24"/>
          <w:highlight w:val="none"/>
        </w:rPr>
      </w:pPr>
      <w:r>
        <w:rPr>
          <w:rFonts w:ascii="Times New Roman" w:hAnsi="Times New Roman"/>
          <w:sz w:val="24"/>
          <w:highlight w:val="none"/>
        </w:rPr>
        <w:t>①当95分≤考评结果，实际付款金额=应付金额*100%；</w:t>
      </w:r>
    </w:p>
    <w:p w14:paraId="4AB96175">
      <w:pPr>
        <w:spacing w:line="520" w:lineRule="exact"/>
        <w:ind w:firstLine="480" w:firstLineChars="200"/>
        <w:rPr>
          <w:rFonts w:ascii="Times New Roman" w:hAnsi="Times New Roman"/>
          <w:sz w:val="24"/>
          <w:highlight w:val="none"/>
        </w:rPr>
      </w:pPr>
      <w:r>
        <w:rPr>
          <w:rFonts w:ascii="Times New Roman" w:hAnsi="Times New Roman"/>
          <w:sz w:val="24"/>
          <w:highlight w:val="none"/>
        </w:rPr>
        <w:t>②当90分≤考评结果＜95分，实际付款金额=应付金额*95%；</w:t>
      </w:r>
    </w:p>
    <w:p w14:paraId="2212865E">
      <w:pPr>
        <w:spacing w:line="520" w:lineRule="exact"/>
        <w:ind w:firstLine="480" w:firstLineChars="200"/>
        <w:rPr>
          <w:rFonts w:ascii="Times New Roman" w:hAnsi="Times New Roman"/>
          <w:sz w:val="24"/>
          <w:highlight w:val="none"/>
        </w:rPr>
      </w:pPr>
      <w:r>
        <w:rPr>
          <w:rFonts w:ascii="Times New Roman" w:hAnsi="Times New Roman"/>
          <w:sz w:val="24"/>
          <w:highlight w:val="none"/>
        </w:rPr>
        <w:t>③当80分≤考评结果＜90分，实际付款金额=应付金额*90%；</w:t>
      </w:r>
    </w:p>
    <w:p w14:paraId="22160E99">
      <w:pPr>
        <w:spacing w:line="520" w:lineRule="exact"/>
        <w:ind w:firstLine="480" w:firstLineChars="200"/>
        <w:rPr>
          <w:rFonts w:ascii="Times New Roman" w:hAnsi="Times New Roman"/>
          <w:sz w:val="24"/>
          <w:highlight w:val="none"/>
        </w:rPr>
      </w:pPr>
      <w:r>
        <w:rPr>
          <w:rFonts w:ascii="Times New Roman" w:hAnsi="Times New Roman"/>
          <w:sz w:val="24"/>
          <w:highlight w:val="none"/>
        </w:rPr>
        <w:t>④当70分≤考评结果＜80分，实际付款金额=应付金额*80%；</w:t>
      </w:r>
    </w:p>
    <w:p w14:paraId="02029E15">
      <w:pPr>
        <w:spacing w:line="520" w:lineRule="exact"/>
        <w:ind w:firstLine="480" w:firstLineChars="200"/>
        <w:rPr>
          <w:rFonts w:ascii="Times New Roman" w:hAnsi="Times New Roman"/>
          <w:sz w:val="24"/>
          <w:highlight w:val="none"/>
        </w:rPr>
      </w:pPr>
      <w:r>
        <w:rPr>
          <w:rFonts w:ascii="Times New Roman" w:hAnsi="Times New Roman"/>
          <w:sz w:val="24"/>
          <w:highlight w:val="none"/>
        </w:rPr>
        <w:t>⑤当60分≤考评结果＜70分，实际付款金额=应付金额*70%；</w:t>
      </w:r>
    </w:p>
    <w:p w14:paraId="4F9B53CD">
      <w:pPr>
        <w:spacing w:line="520" w:lineRule="exact"/>
        <w:ind w:firstLine="480" w:firstLineChars="200"/>
        <w:rPr>
          <w:rFonts w:ascii="Times New Roman" w:hAnsi="Times New Roman"/>
          <w:sz w:val="24"/>
          <w:highlight w:val="none"/>
        </w:rPr>
      </w:pPr>
      <w:r>
        <w:rPr>
          <w:rFonts w:ascii="Times New Roman" w:hAnsi="Times New Roman"/>
          <w:sz w:val="24"/>
          <w:highlight w:val="none"/>
        </w:rPr>
        <w:t>注：当考评结果＜60分，招标人有权拒绝付款（视为未达到招标人最基本的服务要求）。连续两个季度考核分值低于60分，终止合同，并扣除当年剩余费用。</w:t>
      </w:r>
    </w:p>
    <w:p w14:paraId="72FECFD0">
      <w:pPr>
        <w:spacing w:line="520" w:lineRule="exact"/>
        <w:ind w:firstLine="482" w:firstLineChars="200"/>
        <w:rPr>
          <w:rFonts w:ascii="Times New Roman" w:hAnsi="Times New Roman"/>
          <w:sz w:val="24"/>
          <w:highlight w:val="none"/>
        </w:rPr>
      </w:pPr>
      <w:r>
        <w:rPr>
          <w:rFonts w:ascii="Times New Roman" w:hAnsi="Times New Roman"/>
          <w:b/>
          <w:bCs/>
          <w:sz w:val="24"/>
          <w:highlight w:val="none"/>
        </w:rPr>
        <w:t>2.发票开具方式：</w:t>
      </w:r>
      <w:r>
        <w:rPr>
          <w:rFonts w:ascii="Times New Roman" w:hAnsi="Times New Roman"/>
          <w:sz w:val="24"/>
          <w:highlight w:val="none"/>
        </w:rPr>
        <w:t>按照甲方财务规定执行。</w:t>
      </w:r>
    </w:p>
    <w:p w14:paraId="63FFCA67">
      <w:pPr>
        <w:spacing w:line="520" w:lineRule="exact"/>
        <w:ind w:firstLine="480" w:firstLineChars="200"/>
        <w:rPr>
          <w:rFonts w:ascii="Times New Roman" w:hAnsi="Times New Roman"/>
          <w:sz w:val="24"/>
          <w:highlight w:val="none"/>
        </w:rPr>
      </w:pPr>
      <w:r>
        <w:rPr>
          <w:rFonts w:ascii="Times New Roman" w:hAnsi="Times New Roman"/>
          <w:sz w:val="24"/>
          <w:highlight w:val="none"/>
        </w:rPr>
        <w:t>3.当采购数量与实际使用数量不一致时，乙方根据实际使用量提供产品和服务，合同的最终结算金额按实际使用量乘以成交单价进行计算。</w:t>
      </w:r>
    </w:p>
    <w:p w14:paraId="3999B2B3">
      <w:pPr>
        <w:pStyle w:val="46"/>
        <w:spacing w:line="520" w:lineRule="exact"/>
        <w:ind w:firstLine="482" w:firstLineChars="200"/>
        <w:rPr>
          <w:rFonts w:ascii="Times New Roman" w:hAnsi="Times New Roman" w:eastAsia="宋体"/>
          <w:b/>
          <w:sz w:val="24"/>
          <w:highlight w:val="none"/>
        </w:rPr>
      </w:pPr>
      <w:r>
        <w:rPr>
          <w:rFonts w:ascii="Times New Roman" w:hAnsi="Times New Roman" w:eastAsia="宋体"/>
          <w:b/>
          <w:sz w:val="24"/>
          <w:highlight w:val="none"/>
        </w:rPr>
        <w:t>五、知识产权</w:t>
      </w:r>
    </w:p>
    <w:p w14:paraId="224E7D26">
      <w:pPr>
        <w:pStyle w:val="46"/>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1.乙方应保证甲方在使用、接受本合同服务（包含与服务相关的货物）或其任何一部分时不受第三方提出侵犯其专利权、版权、商标权和工业设计权等知识产权的起诉。一旦出现侵权，由乙方负全部责任。</w:t>
      </w:r>
    </w:p>
    <w:p w14:paraId="3C3F3FAF">
      <w:pPr>
        <w:pStyle w:val="46"/>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2.乙方应保证提供的平台研发成果的版权归甲方所有，在</w:t>
      </w:r>
      <w:r>
        <w:rPr>
          <w:rFonts w:hint="eastAsia" w:ascii="Times New Roman" w:hAnsi="Times New Roman" w:eastAsia="宋体"/>
          <w:sz w:val="24"/>
          <w:highlight w:val="none"/>
          <w:lang w:val="en-US" w:eastAsia="zh-CN"/>
        </w:rPr>
        <w:t>服务</w:t>
      </w:r>
      <w:r>
        <w:rPr>
          <w:rFonts w:ascii="Times New Roman" w:hAnsi="Times New Roman" w:eastAsia="宋体"/>
          <w:sz w:val="24"/>
          <w:highlight w:val="none"/>
        </w:rPr>
        <w:t>期满后乙方须无条件无保留的向甲方提供全部源代码等。</w:t>
      </w:r>
    </w:p>
    <w:p w14:paraId="465A2BB8">
      <w:pPr>
        <w:pStyle w:val="46"/>
        <w:spacing w:line="520" w:lineRule="exact"/>
        <w:ind w:firstLine="482" w:firstLineChars="200"/>
        <w:rPr>
          <w:rFonts w:ascii="Times New Roman" w:hAnsi="Times New Roman" w:eastAsia="宋体"/>
          <w:sz w:val="24"/>
          <w:highlight w:val="none"/>
          <w:u w:val="single"/>
        </w:rPr>
      </w:pPr>
      <w:r>
        <w:rPr>
          <w:rFonts w:ascii="Times New Roman" w:hAnsi="Times New Roman" w:eastAsia="宋体"/>
          <w:b/>
          <w:sz w:val="24"/>
          <w:highlight w:val="none"/>
        </w:rPr>
        <w:t>六、产权担保</w:t>
      </w:r>
    </w:p>
    <w:p w14:paraId="2622FD66">
      <w:pPr>
        <w:pStyle w:val="46"/>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乙方保证所交付的服务（包含与服务相关的货物）的所有权完全属于乙方且无任何抵押、查封等产权瑕疵。</w:t>
      </w:r>
    </w:p>
    <w:p w14:paraId="57ED78EF">
      <w:pPr>
        <w:pStyle w:val="46"/>
        <w:spacing w:line="520" w:lineRule="exact"/>
        <w:ind w:firstLine="482" w:firstLineChars="200"/>
        <w:rPr>
          <w:rFonts w:ascii="Times New Roman" w:hAnsi="Times New Roman" w:eastAsia="宋体"/>
          <w:b/>
          <w:sz w:val="24"/>
          <w:highlight w:val="none"/>
        </w:rPr>
      </w:pPr>
      <w:r>
        <w:rPr>
          <w:rFonts w:ascii="Times New Roman" w:hAnsi="Times New Roman" w:eastAsia="宋体"/>
          <w:b/>
          <w:sz w:val="24"/>
          <w:highlight w:val="none"/>
        </w:rPr>
        <w:t>七、履约保证金</w:t>
      </w:r>
    </w:p>
    <w:p w14:paraId="7825F168">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1.乙方交纳人民币_________元作为本合同的履约保证金（合同金额的10%）。</w:t>
      </w:r>
      <w:r>
        <w:rPr>
          <w:rStyle w:val="331"/>
          <w:rFonts w:hint="eastAsia" w:ascii="Times New Roman" w:hAnsi="Times New Roman"/>
          <w:sz w:val="24"/>
          <w:highlight w:val="none"/>
          <w:lang w:val="en-US" w:eastAsia="zh-CN"/>
        </w:rPr>
        <w:t>AAA的乙方</w:t>
      </w:r>
      <w:r>
        <w:rPr>
          <w:rStyle w:val="331"/>
          <w:rFonts w:hint="eastAsia" w:ascii="Times New Roman" w:hAnsi="Times New Roman"/>
          <w:sz w:val="24"/>
          <w:highlight w:val="none"/>
        </w:rPr>
        <w:t>免交履约保证金，</w:t>
      </w:r>
      <w:r>
        <w:rPr>
          <w:rStyle w:val="331"/>
          <w:rFonts w:hint="eastAsia" w:ascii="Times New Roman" w:hAnsi="Times New Roman"/>
          <w:sz w:val="24"/>
          <w:highlight w:val="none"/>
          <w:lang w:val="en-US" w:eastAsia="zh-CN"/>
        </w:rPr>
        <w:t>AA</w:t>
      </w:r>
      <w:r>
        <w:rPr>
          <w:rStyle w:val="331"/>
          <w:rFonts w:hint="eastAsia" w:ascii="Times New Roman" w:hAnsi="Times New Roman"/>
          <w:sz w:val="24"/>
          <w:highlight w:val="none"/>
        </w:rPr>
        <w:t>的</w:t>
      </w:r>
      <w:r>
        <w:rPr>
          <w:rStyle w:val="331"/>
          <w:rFonts w:hint="eastAsia" w:ascii="Times New Roman" w:hAnsi="Times New Roman"/>
          <w:sz w:val="24"/>
          <w:highlight w:val="none"/>
          <w:lang w:val="en-US" w:eastAsia="zh-CN"/>
        </w:rPr>
        <w:t>乙方</w:t>
      </w:r>
      <w:r>
        <w:rPr>
          <w:rStyle w:val="331"/>
          <w:rFonts w:hint="eastAsia" w:ascii="Times New Roman" w:hAnsi="Times New Roman"/>
          <w:sz w:val="24"/>
          <w:highlight w:val="none"/>
        </w:rPr>
        <w:t>按中标价款5%缴纳</w:t>
      </w:r>
      <w:r>
        <w:rPr>
          <w:rStyle w:val="331"/>
          <w:rFonts w:ascii="Times New Roman" w:hAnsi="Times New Roman"/>
          <w:sz w:val="24"/>
          <w:highlight w:val="none"/>
        </w:rPr>
        <w:t>；乙方的信用报告应满足盐城市信用办《关于执行&lt;江苏省企业信用评价指引（试行）&gt;落实信用报告互认互用的通知》（盐信用办〔2021〕16号）规定，且信用报告概述页等内容通过“信用盐城”网站可查实。）</w:t>
      </w:r>
    </w:p>
    <w:p w14:paraId="7DF659F8">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2.确需收取履约保证金的，履约保证金的缴纳形式：</w:t>
      </w:r>
    </w:p>
    <w:p w14:paraId="6AFEA765">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C2407F2">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2.2 如以履约保函（保险）形式缴纳履约保证金，供应商可通过政府采购电子履约保函（保险）平台（www.jsdzbh.com）在线申请履约保函（保险）。</w:t>
      </w:r>
    </w:p>
    <w:p w14:paraId="41D1D8C5">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3.</w:t>
      </w:r>
      <w:r>
        <w:rPr>
          <w:rFonts w:ascii="Times New Roman" w:hAnsi="Times New Roman"/>
          <w:bCs/>
          <w:sz w:val="24"/>
          <w:highlight w:val="none"/>
        </w:rPr>
        <w:t>签订合同前，乙方须向甲方提交履约保证金。</w:t>
      </w:r>
    </w:p>
    <w:p w14:paraId="76698556">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4.履约保证金的退还：</w:t>
      </w:r>
    </w:p>
    <w:p w14:paraId="0BA1BFEB">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4.1方式：无息退还至投标人缴纳履约保证金的账户。如为保函，在到期时自行失效。</w:t>
      </w:r>
    </w:p>
    <w:p w14:paraId="531243B5">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4.2时间：合同履行结束后。</w:t>
      </w:r>
    </w:p>
    <w:p w14:paraId="340045EE">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4.3条件：按合同要求全部履约完成，</w:t>
      </w:r>
      <w:r>
        <w:rPr>
          <w:rFonts w:ascii="Times New Roman" w:hAnsi="Times New Roman"/>
          <w:bCs/>
          <w:sz w:val="24"/>
          <w:highlight w:val="none"/>
        </w:rPr>
        <w:t>无质量服务问题，</w:t>
      </w:r>
      <w:r>
        <w:rPr>
          <w:rStyle w:val="331"/>
          <w:rFonts w:ascii="Times New Roman" w:hAnsi="Times New Roman"/>
          <w:sz w:val="24"/>
          <w:highlight w:val="none"/>
        </w:rPr>
        <w:t>且采购人收到中标人出具的发票。</w:t>
      </w:r>
    </w:p>
    <w:p w14:paraId="4FA13144">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4.4不予退还情形：</w:t>
      </w:r>
    </w:p>
    <w:p w14:paraId="6B6E3B24">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除不可抗力情况外，投标人出现下列情形之一的，其履约保证金，招标人将视情节决定不予退还或部分不予退还。</w:t>
      </w:r>
    </w:p>
    <w:p w14:paraId="0D688875">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（1）中标人无正当理由拒绝签订合同的，或者在签订合同时向采购人提出附加条件或者更改合同实质性内容要求的；</w:t>
      </w:r>
    </w:p>
    <w:p w14:paraId="54D9F4E0">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（2）中标人不履行与采购人订立的合同的；</w:t>
      </w:r>
    </w:p>
    <w:p w14:paraId="0B1175BB">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（3）中标人所供货物或服务不符合招标文件规定要求的；</w:t>
      </w:r>
    </w:p>
    <w:p w14:paraId="56E3FBA9">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（4）中标人采取欺骗、弄虚作假方式投标的或与其它投标人串通投标的；</w:t>
      </w:r>
    </w:p>
    <w:p w14:paraId="11D4A428">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（5）中标人将合同内容转包、违法分包的；</w:t>
      </w:r>
    </w:p>
    <w:p w14:paraId="7E04ED36">
      <w:pPr>
        <w:spacing w:line="520" w:lineRule="exact"/>
        <w:ind w:firstLine="480" w:firstLineChars="200"/>
        <w:rPr>
          <w:rStyle w:val="331"/>
          <w:rFonts w:ascii="Times New Roman" w:hAnsi="Times New Roman"/>
          <w:sz w:val="24"/>
          <w:highlight w:val="none"/>
        </w:rPr>
      </w:pPr>
      <w:r>
        <w:rPr>
          <w:rStyle w:val="331"/>
          <w:rFonts w:ascii="Times New Roman" w:hAnsi="Times New Roman"/>
          <w:sz w:val="24"/>
          <w:highlight w:val="none"/>
        </w:rPr>
        <w:t>（6）中标人故意捏造事实或伪造证明材料，进行虚假恶意投诉或反映的。</w:t>
      </w:r>
    </w:p>
    <w:p w14:paraId="4C0BC475">
      <w:pPr>
        <w:spacing w:line="520" w:lineRule="exact"/>
        <w:ind w:firstLine="480" w:firstLineChars="200"/>
        <w:rPr>
          <w:rFonts w:ascii="Times New Roman" w:hAnsi="Times New Roman"/>
          <w:sz w:val="24"/>
          <w:highlight w:val="none"/>
        </w:rPr>
      </w:pPr>
      <w:r>
        <w:rPr>
          <w:rStyle w:val="331"/>
          <w:rFonts w:ascii="Times New Roman" w:hAnsi="Times New Roman"/>
          <w:sz w:val="24"/>
          <w:highlight w:val="none"/>
        </w:rPr>
        <w:t>4.5逾期退还的违约责任：采购人逾期无故未退还履约保证金的，按中国人民银行同期贷款基准利率上浮20%后的利率支付超期资金占用费，但因供应商自身原因导致无法及时退还的除外。</w:t>
      </w:r>
    </w:p>
    <w:p w14:paraId="6A9C3BD5">
      <w:pPr>
        <w:spacing w:line="520" w:lineRule="exact"/>
        <w:ind w:firstLine="482" w:firstLineChars="200"/>
        <w:rPr>
          <w:rFonts w:ascii="Times New Roman" w:hAnsi="Times New Roman"/>
          <w:b/>
          <w:sz w:val="24"/>
          <w:highlight w:val="none"/>
        </w:rPr>
      </w:pPr>
      <w:r>
        <w:rPr>
          <w:rFonts w:ascii="Times New Roman" w:hAnsi="Times New Roman"/>
          <w:b/>
          <w:sz w:val="24"/>
          <w:highlight w:val="none"/>
        </w:rPr>
        <w:t>八、合同转包或分包</w:t>
      </w:r>
    </w:p>
    <w:p w14:paraId="58A0701A">
      <w:pPr>
        <w:pStyle w:val="46"/>
        <w:numPr>
          <w:ilvl w:val="0"/>
          <w:numId w:val="9"/>
        </w:numPr>
        <w:tabs>
          <w:tab w:val="left" w:pos="454"/>
        </w:tabs>
        <w:spacing w:line="520" w:lineRule="exact"/>
        <w:ind w:left="0" w:firstLine="480" w:firstLineChars="200"/>
        <w:rPr>
          <w:rFonts w:ascii="Times New Roman" w:hAnsi="Times New Roman" w:eastAsia="宋体"/>
          <w:sz w:val="24"/>
          <w:highlight w:val="none"/>
        </w:rPr>
      </w:pPr>
      <w:r>
        <w:rPr>
          <w:rFonts w:ascii="Times New Roman" w:hAnsi="Times New Roman" w:eastAsia="宋体"/>
          <w:sz w:val="24"/>
          <w:highlight w:val="none"/>
        </w:rPr>
        <w:t>乙方不得将合同标的转包给他人履行。</w:t>
      </w:r>
    </w:p>
    <w:p w14:paraId="04E3C0D6">
      <w:pPr>
        <w:pStyle w:val="46"/>
        <w:numPr>
          <w:ilvl w:val="0"/>
          <w:numId w:val="9"/>
        </w:numPr>
        <w:tabs>
          <w:tab w:val="left" w:pos="454"/>
        </w:tabs>
        <w:spacing w:line="520" w:lineRule="exact"/>
        <w:ind w:left="0" w:firstLine="480" w:firstLineChars="200"/>
        <w:rPr>
          <w:rFonts w:ascii="Times New Roman" w:hAnsi="Times New Roman" w:eastAsia="宋体"/>
          <w:sz w:val="24"/>
          <w:highlight w:val="none"/>
        </w:rPr>
      </w:pPr>
      <w:r>
        <w:rPr>
          <w:rFonts w:ascii="Times New Roman" w:hAnsi="Times New Roman" w:eastAsia="宋体"/>
          <w:sz w:val="24"/>
          <w:highlight w:val="none"/>
        </w:rPr>
        <w:t>除非得到甲方的书面同意，乙方不得部分分包给他人供应。</w:t>
      </w:r>
    </w:p>
    <w:p w14:paraId="6D3E8D5E">
      <w:pPr>
        <w:pStyle w:val="46"/>
        <w:numPr>
          <w:ilvl w:val="0"/>
          <w:numId w:val="9"/>
        </w:numPr>
        <w:tabs>
          <w:tab w:val="left" w:pos="454"/>
        </w:tabs>
        <w:spacing w:line="520" w:lineRule="exact"/>
        <w:ind w:left="0" w:firstLine="480" w:firstLineChars="200"/>
        <w:rPr>
          <w:rFonts w:ascii="Times New Roman" w:hAnsi="Times New Roman" w:eastAsia="宋体"/>
          <w:sz w:val="24"/>
          <w:highlight w:val="none"/>
        </w:rPr>
      </w:pPr>
      <w:r>
        <w:rPr>
          <w:rFonts w:ascii="Times New Roman" w:hAnsi="Times New Roman" w:eastAsia="宋体"/>
          <w:sz w:val="24"/>
          <w:highlight w:val="none"/>
        </w:rPr>
        <w:t>乙方如有转包或未经甲方同意的分包行为，甲方有权解除合同。</w:t>
      </w:r>
    </w:p>
    <w:p w14:paraId="603C95C1">
      <w:pPr>
        <w:spacing w:line="520" w:lineRule="exact"/>
        <w:ind w:firstLine="482" w:firstLineChars="200"/>
        <w:rPr>
          <w:rFonts w:ascii="Times New Roman" w:hAnsi="Times New Roman"/>
          <w:b/>
          <w:sz w:val="24"/>
          <w:highlight w:val="none"/>
        </w:rPr>
      </w:pPr>
      <w:r>
        <w:rPr>
          <w:rFonts w:ascii="Times New Roman" w:hAnsi="Times New Roman"/>
          <w:b/>
          <w:sz w:val="24"/>
          <w:highlight w:val="none"/>
        </w:rPr>
        <w:t>九、税费</w:t>
      </w:r>
    </w:p>
    <w:p w14:paraId="6BFD7DCB">
      <w:pPr>
        <w:spacing w:line="520" w:lineRule="exact"/>
        <w:ind w:firstLine="480" w:firstLineChars="200"/>
        <w:rPr>
          <w:rFonts w:ascii="Times New Roman" w:hAnsi="Times New Roman"/>
          <w:sz w:val="24"/>
          <w:highlight w:val="none"/>
        </w:rPr>
      </w:pPr>
      <w:r>
        <w:rPr>
          <w:rFonts w:ascii="Times New Roman" w:hAnsi="Times New Roman"/>
          <w:sz w:val="24"/>
          <w:highlight w:val="none"/>
        </w:rPr>
        <w:t>本合同执行中相关的一切税费均由乙方负担。</w:t>
      </w:r>
    </w:p>
    <w:p w14:paraId="25888E6A">
      <w:pPr>
        <w:spacing w:line="520" w:lineRule="exact"/>
        <w:ind w:firstLine="482" w:firstLineChars="200"/>
        <w:rPr>
          <w:rFonts w:ascii="Times New Roman" w:hAnsi="Times New Roman"/>
          <w:b/>
          <w:sz w:val="24"/>
          <w:highlight w:val="none"/>
        </w:rPr>
      </w:pPr>
      <w:r>
        <w:rPr>
          <w:rFonts w:ascii="Times New Roman" w:hAnsi="Times New Roman"/>
          <w:b/>
          <w:sz w:val="24"/>
          <w:highlight w:val="none"/>
        </w:rPr>
        <w:t>十、</w:t>
      </w:r>
      <w:r>
        <w:rPr>
          <w:rFonts w:ascii="Times New Roman" w:hAnsi="Times New Roman" w:cs="Times New Roman"/>
          <w:b/>
          <w:highlight w:val="none"/>
        </w:rPr>
        <w:t>安全管理</w:t>
      </w:r>
    </w:p>
    <w:p w14:paraId="35CFB08F">
      <w:pPr>
        <w:spacing w:line="520" w:lineRule="exact"/>
        <w:ind w:firstLine="482" w:firstLineChars="200"/>
        <w:rPr>
          <w:rFonts w:ascii="Times New Roman" w:hAnsi="Times New Roman"/>
          <w:b/>
          <w:sz w:val="24"/>
          <w:highlight w:val="none"/>
        </w:rPr>
      </w:pPr>
      <w:r>
        <w:rPr>
          <w:rFonts w:hint="eastAsia" w:ascii="Times New Roman" w:hAnsi="Times New Roman"/>
          <w:b/>
          <w:sz w:val="24"/>
          <w:highlight w:val="none"/>
          <w:lang w:val="en-US" w:eastAsia="zh-CN"/>
        </w:rPr>
        <w:t>1.</w:t>
      </w:r>
      <w:r>
        <w:rPr>
          <w:rFonts w:hint="eastAsia" w:ascii="Times New Roman" w:hAnsi="Times New Roman"/>
          <w:b/>
          <w:sz w:val="24"/>
          <w:highlight w:val="none"/>
        </w:rPr>
        <w:t>为保障公安机关安全管理秩序，任何相关方（乙方）均不得违反：</w:t>
      </w:r>
    </w:p>
    <w:p w14:paraId="43CD7B3E">
      <w:pPr>
        <w:pStyle w:val="46"/>
        <w:keepNext w:val="0"/>
        <w:keepLines w:val="0"/>
        <w:pageBreakBefore w:val="0"/>
        <w:widowControl w:val="0"/>
        <w:numPr>
          <w:ilvl w:val="0"/>
          <w:numId w:val="0"/>
        </w:numPr>
        <w:shd w:val="clear"/>
        <w:tabs>
          <w:tab w:val="left" w:pos="454"/>
        </w:tabs>
        <w:kinsoku/>
        <w:wordWrap/>
        <w:overflowPunct/>
        <w:topLinePunct w:val="0"/>
        <w:autoSpaceDE/>
        <w:autoSpaceDN/>
        <w:bidi w:val="0"/>
        <w:adjustRightInd/>
        <w:snapToGrid/>
        <w:spacing w:line="400" w:lineRule="exact"/>
        <w:ind w:left="0" w:firstLine="480" w:firstLineChars="200"/>
        <w:textAlignment w:val="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1.1网络安全方面，严禁擅自建立跨网跨域运维通道，禁止违规连接公安网络，不得在系统中设置应用系统后门、植入木马等恶意程序，禁止对公安网络及系统进行恶意探测、扫描，不得拆除、破坏监管设施与相关程序等；</w:t>
      </w:r>
    </w:p>
    <w:p w14:paraId="63A41A16">
      <w:pPr>
        <w:pStyle w:val="46"/>
        <w:keepNext w:val="0"/>
        <w:keepLines w:val="0"/>
        <w:pageBreakBefore w:val="0"/>
        <w:widowControl w:val="0"/>
        <w:numPr>
          <w:ilvl w:val="0"/>
          <w:numId w:val="0"/>
        </w:numPr>
        <w:shd w:val="clear"/>
        <w:tabs>
          <w:tab w:val="left" w:pos="454"/>
        </w:tabs>
        <w:kinsoku/>
        <w:wordWrap/>
        <w:overflowPunct/>
        <w:topLinePunct w:val="0"/>
        <w:autoSpaceDE/>
        <w:autoSpaceDN/>
        <w:bidi w:val="0"/>
        <w:adjustRightInd/>
        <w:snapToGrid/>
        <w:spacing w:line="400" w:lineRule="exact"/>
        <w:ind w:left="0" w:firstLine="480" w:firstLineChars="200"/>
        <w:textAlignment w:val="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1.2数据安全方面，严禁违规下载、留存、使用公安数据，不得对公安数据进行篡改、毁损、出售公安数据，以及以其他非法方式处置公安数据；</w:t>
      </w:r>
    </w:p>
    <w:p w14:paraId="059FAE5A">
      <w:pPr>
        <w:pStyle w:val="46"/>
        <w:keepNext w:val="0"/>
        <w:keepLines w:val="0"/>
        <w:pageBreakBefore w:val="0"/>
        <w:widowControl w:val="0"/>
        <w:numPr>
          <w:ilvl w:val="0"/>
          <w:numId w:val="0"/>
        </w:numPr>
        <w:shd w:val="clear"/>
        <w:tabs>
          <w:tab w:val="left" w:pos="454"/>
        </w:tabs>
        <w:kinsoku/>
        <w:wordWrap/>
        <w:overflowPunct/>
        <w:topLinePunct w:val="0"/>
        <w:autoSpaceDE/>
        <w:autoSpaceDN/>
        <w:bidi w:val="0"/>
        <w:adjustRightInd/>
        <w:snapToGrid/>
        <w:spacing w:line="400" w:lineRule="exact"/>
        <w:ind w:left="0" w:firstLine="480" w:firstLineChars="200"/>
        <w:textAlignment w:val="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1.3安全保密方面，严禁擅自扩大与合作事项相关信息的知悉范围，对离职离岗或不再参与公安信息化建设的人员未及时清除、收回其持有的公安文档资料、数据，或未收回相关存储载体、访问权限的，均属于违规；</w:t>
      </w:r>
    </w:p>
    <w:p w14:paraId="3D225DE8">
      <w:pPr>
        <w:pStyle w:val="46"/>
        <w:tabs>
          <w:tab w:val="left" w:pos="454"/>
        </w:tabs>
        <w:spacing w:line="520" w:lineRule="exact"/>
        <w:ind w:firstLine="480" w:firstLineChars="200"/>
        <w:rPr>
          <w:rFonts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1.4其他方面：除上述三类外，任何其他可能对公安机关安全管理造成危害的行为，均需严格禁止。</w:t>
      </w:r>
    </w:p>
    <w:p w14:paraId="3F18D4BA">
      <w:pPr>
        <w:pStyle w:val="79"/>
        <w:widowControl w:val="0"/>
        <w:spacing w:before="0" w:beforeAutospacing="0" w:after="0" w:afterAutospacing="0" w:line="520" w:lineRule="exact"/>
        <w:ind w:firstLine="482" w:firstLineChars="200"/>
        <w:jc w:val="both"/>
        <w:rPr>
          <w:rFonts w:ascii="Times New Roman" w:hAnsi="Times New Roman" w:cs="Times New Roman"/>
          <w:bCs/>
          <w:highlight w:val="none"/>
        </w:rPr>
      </w:pPr>
      <w:r>
        <w:rPr>
          <w:rFonts w:hint="eastAsia" w:ascii="Times New Roman" w:hAnsi="Times New Roman" w:cs="Times New Roman"/>
          <w:b/>
          <w:highlight w:val="none"/>
          <w:lang w:val="en-US" w:eastAsia="zh-CN"/>
        </w:rPr>
        <w:t>2.</w:t>
      </w:r>
      <w:r>
        <w:rPr>
          <w:rFonts w:ascii="Times New Roman" w:hAnsi="Times New Roman" w:cs="Times New Roman"/>
          <w:b/>
          <w:highlight w:val="none"/>
        </w:rPr>
        <w:t>违反安全管理行为需承担的责任，包括但不限于：</w:t>
      </w:r>
    </w:p>
    <w:p w14:paraId="2F7376F3">
      <w:pPr>
        <w:pStyle w:val="46"/>
        <w:tabs>
          <w:tab w:val="left" w:pos="454"/>
        </w:tabs>
        <w:spacing w:line="520" w:lineRule="exact"/>
        <w:ind w:firstLine="480" w:firstLineChars="200"/>
        <w:rPr>
          <w:rFonts w:hint="eastAsia" w:ascii="Times New Roman" w:hAnsi="Times New Roman" w:eastAsia="宋体"/>
          <w:sz w:val="24"/>
          <w:highlight w:val="none"/>
          <w:lang w:val="en-US" w:eastAsia="zh-CN"/>
        </w:rPr>
      </w:pPr>
      <w:r>
        <w:rPr>
          <w:rFonts w:hint="eastAsia" w:ascii="Times New Roman" w:hAnsi="Times New Roman" w:eastAsia="宋体"/>
          <w:sz w:val="24"/>
          <w:highlight w:val="none"/>
          <w:lang w:val="en-US" w:eastAsia="zh-CN"/>
        </w:rPr>
        <w:t>若乙方违反上述任意一项禁止性行为，需按以下方式承担责任，具体责任范围根据违约情节严重程度确定：</w:t>
      </w:r>
    </w:p>
    <w:p w14:paraId="4A6C91AA">
      <w:pPr>
        <w:pStyle w:val="46"/>
        <w:tabs>
          <w:tab w:val="left" w:pos="454"/>
        </w:tabs>
        <w:spacing w:line="520" w:lineRule="exact"/>
        <w:ind w:firstLine="480" w:firstLineChars="200"/>
        <w:rPr>
          <w:rFonts w:hint="eastAsia" w:ascii="Times New Roman" w:hAnsi="Times New Roman" w:eastAsia="宋体"/>
          <w:sz w:val="24"/>
          <w:highlight w:val="none"/>
          <w:lang w:val="en-US" w:eastAsia="zh-CN"/>
        </w:rPr>
      </w:pPr>
      <w:r>
        <w:rPr>
          <w:rFonts w:hint="eastAsia" w:ascii="Times New Roman" w:hAnsi="Times New Roman" w:eastAsia="宋体"/>
          <w:sz w:val="24"/>
          <w:highlight w:val="none"/>
          <w:lang w:val="en-US" w:eastAsia="zh-CN"/>
        </w:rPr>
        <w:t>2.1支付违约金。违反安全管理行为乙方应按付款总额的百分之十向甲方支付违约金，并直接从本项目的合同款中直接扣除；若违约金不足以弥补造成的损失的，超出部分由乙方继续承担赔偿责任；对逾期支付违约金的，应按逾期付款总额每日万分之五向甲方额外支付违约金逾期利息；乙方需承担消除负面影响产生的诉讼费、取证费、律师费等相关费用。</w:t>
      </w:r>
    </w:p>
    <w:p w14:paraId="4E8C30A4">
      <w:pPr>
        <w:pStyle w:val="46"/>
        <w:tabs>
          <w:tab w:val="left" w:pos="454"/>
        </w:tabs>
        <w:spacing w:line="520" w:lineRule="exact"/>
        <w:ind w:firstLine="480" w:firstLineChars="200"/>
        <w:rPr>
          <w:rFonts w:hint="eastAsia" w:ascii="Times New Roman" w:hAnsi="Times New Roman" w:eastAsia="宋体"/>
          <w:sz w:val="24"/>
          <w:highlight w:val="none"/>
          <w:lang w:val="en-US" w:eastAsia="zh-CN"/>
        </w:rPr>
      </w:pPr>
      <w:r>
        <w:rPr>
          <w:rFonts w:hint="eastAsia" w:ascii="Times New Roman" w:hAnsi="Times New Roman" w:eastAsia="宋体"/>
          <w:sz w:val="24"/>
          <w:highlight w:val="none"/>
          <w:lang w:val="en-US" w:eastAsia="zh-CN"/>
        </w:rPr>
        <w:t>2.2采取补救措施。发生违约行为后乙方必须在甲方要求的期限内提交切实可行的补救方案并执行。补救措施需结合违约涉及的软硬件产品及服务类型制定，例如减少后续运维经费、免费提供替代的软硬件产品以弥补损失、对受损系统或数据进行修复等，确保尽可能降低违约造成的影响。</w:t>
      </w:r>
    </w:p>
    <w:p w14:paraId="17186A0D">
      <w:pPr>
        <w:pStyle w:val="46"/>
        <w:tabs>
          <w:tab w:val="left" w:pos="454"/>
        </w:tabs>
        <w:spacing w:line="520" w:lineRule="exact"/>
        <w:ind w:firstLine="480" w:firstLineChars="200"/>
        <w:rPr>
          <w:rFonts w:hint="eastAsia" w:ascii="Times New Roman" w:hAnsi="Times New Roman" w:eastAsia="宋体"/>
          <w:sz w:val="24"/>
          <w:highlight w:val="none"/>
          <w:lang w:val="en-US" w:eastAsia="zh-CN"/>
        </w:rPr>
      </w:pPr>
      <w:r>
        <w:rPr>
          <w:rFonts w:hint="eastAsia" w:ascii="Times New Roman" w:hAnsi="Times New Roman" w:eastAsia="宋体"/>
          <w:sz w:val="24"/>
          <w:highlight w:val="none"/>
          <w:lang w:val="en-US" w:eastAsia="zh-CN"/>
        </w:rPr>
        <w:t>2.3提前解除合同。若乙方的违约行为属于不可整改类型（如数据已被出售且无法追回），或整改后仍不符合公安安全管理要求，以及违约行为直接导致本项目合同目的无法实现（如核心系统因恶意程序瘫痪且无法恢复），甲方有权单方面解除项目合同，且无需承担任何违约责任。</w:t>
      </w:r>
    </w:p>
    <w:p w14:paraId="2F34F8E7">
      <w:pPr>
        <w:pStyle w:val="46"/>
        <w:tabs>
          <w:tab w:val="left" w:pos="454"/>
        </w:tabs>
        <w:spacing w:line="520" w:lineRule="exact"/>
        <w:ind w:firstLine="480" w:firstLineChars="200"/>
        <w:rPr>
          <w:rFonts w:hint="eastAsia" w:ascii="Times New Roman" w:hAnsi="Times New Roman" w:eastAsia="宋体"/>
          <w:sz w:val="24"/>
          <w:highlight w:val="none"/>
          <w:lang w:val="en-US" w:eastAsia="zh-CN"/>
        </w:rPr>
      </w:pPr>
      <w:r>
        <w:rPr>
          <w:rFonts w:hint="eastAsia" w:ascii="Times New Roman" w:hAnsi="Times New Roman" w:eastAsia="宋体"/>
          <w:sz w:val="24"/>
          <w:highlight w:val="none"/>
          <w:lang w:val="en-US" w:eastAsia="zh-CN"/>
        </w:rPr>
        <w:t>2.4失信惩戒措施。对同时构成违法犯罪的违约行为，甲方有权提请将涉事参与单位及人员列入政府采购严重违法失信行为记录名单、市场监督管理严重失信名单。</w:t>
      </w:r>
    </w:p>
    <w:p w14:paraId="17B462BF">
      <w:pPr>
        <w:pStyle w:val="46"/>
        <w:tabs>
          <w:tab w:val="left" w:pos="454"/>
        </w:tabs>
        <w:spacing w:line="520" w:lineRule="exact"/>
        <w:ind w:firstLine="480" w:firstLineChars="200"/>
        <w:rPr>
          <w:rFonts w:ascii="Times New Roman" w:hAnsi="Times New Roman" w:eastAsia="宋体"/>
          <w:sz w:val="24"/>
          <w:highlight w:val="none"/>
        </w:rPr>
      </w:pPr>
      <w:r>
        <w:rPr>
          <w:rFonts w:hint="eastAsia" w:ascii="Times New Roman" w:hAnsi="Times New Roman" w:eastAsia="宋体"/>
          <w:sz w:val="24"/>
          <w:highlight w:val="none"/>
          <w:lang w:val="en-US" w:eastAsia="zh-CN"/>
        </w:rPr>
        <w:t>2.5后续追偿权利。考虑到部分违约行为的后果可能存在滞后性（如恶意程序潜伏一段时间后才引发系统故障），或违约造成的损失数额难以在短期内一次性确认，双方约定：公安机关（甲方）保留在后续发现新的违约后果或确认新增损失时，向乙方进一步追偿的权利，乙方需对后续确认的损失继续承担赔偿责任。</w:t>
      </w:r>
    </w:p>
    <w:p w14:paraId="3069DA41">
      <w:pPr>
        <w:spacing w:line="520" w:lineRule="exact"/>
        <w:ind w:firstLine="482" w:firstLineChars="200"/>
        <w:rPr>
          <w:rFonts w:ascii="Times New Roman" w:hAnsi="Times New Roman"/>
          <w:b/>
          <w:sz w:val="24"/>
          <w:highlight w:val="none"/>
        </w:rPr>
      </w:pPr>
      <w:r>
        <w:rPr>
          <w:rFonts w:hint="eastAsia" w:ascii="Times New Roman" w:hAnsi="Times New Roman"/>
          <w:b/>
          <w:sz w:val="24"/>
          <w:highlight w:val="none"/>
          <w:lang w:val="en-US" w:eastAsia="zh-CN"/>
        </w:rPr>
        <w:t>十一</w:t>
      </w:r>
      <w:r>
        <w:rPr>
          <w:rFonts w:ascii="Times New Roman" w:hAnsi="Times New Roman"/>
          <w:b/>
          <w:sz w:val="24"/>
          <w:highlight w:val="none"/>
        </w:rPr>
        <w:t>、项目验收</w:t>
      </w:r>
    </w:p>
    <w:p w14:paraId="60A5AA55">
      <w:pPr>
        <w:spacing w:line="520" w:lineRule="exact"/>
        <w:ind w:firstLine="480" w:firstLineChars="200"/>
        <w:rPr>
          <w:rFonts w:ascii="Times New Roman" w:hAnsi="Times New Roman"/>
          <w:sz w:val="24"/>
          <w:highlight w:val="none"/>
        </w:rPr>
      </w:pPr>
      <w:r>
        <w:rPr>
          <w:rFonts w:ascii="Times New Roman" w:hAnsi="Times New Roman"/>
          <w:sz w:val="24"/>
          <w:highlight w:val="none"/>
        </w:rPr>
        <w:t>1.甲方依法组织履约验收工作。</w:t>
      </w:r>
    </w:p>
    <w:p w14:paraId="49AEA5C5">
      <w:pPr>
        <w:spacing w:line="520" w:lineRule="exact"/>
        <w:ind w:firstLine="480" w:firstLineChars="200"/>
        <w:rPr>
          <w:rFonts w:ascii="Times New Roman" w:hAnsi="Times New Roman"/>
          <w:sz w:val="24"/>
          <w:highlight w:val="none"/>
        </w:rPr>
      </w:pPr>
      <w:r>
        <w:rPr>
          <w:rFonts w:ascii="Times New Roman" w:hAnsi="Times New Roman"/>
          <w:sz w:val="24"/>
          <w:highlight w:val="none"/>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56FD740">
      <w:pPr>
        <w:spacing w:line="520" w:lineRule="exact"/>
        <w:ind w:firstLine="480" w:firstLineChars="200"/>
        <w:rPr>
          <w:rFonts w:ascii="Times New Roman" w:hAnsi="Times New Roman"/>
          <w:sz w:val="24"/>
          <w:highlight w:val="none"/>
        </w:rPr>
      </w:pPr>
      <w:r>
        <w:rPr>
          <w:rFonts w:ascii="Times New Roman" w:hAnsi="Times New Roman"/>
          <w:sz w:val="24"/>
          <w:highlight w:val="none"/>
        </w:rPr>
        <w:t>3.如有必要，甲方邀请参加本项目的其他供应商或第三方专业机构及专家参与验收，相关意见将作为验收书的参考资料。</w:t>
      </w:r>
    </w:p>
    <w:p w14:paraId="741869C1">
      <w:pPr>
        <w:spacing w:line="520" w:lineRule="exact"/>
        <w:ind w:firstLine="480" w:firstLineChars="200"/>
        <w:rPr>
          <w:rFonts w:ascii="Times New Roman" w:hAnsi="Times New Roman"/>
          <w:sz w:val="24"/>
          <w:highlight w:val="none"/>
        </w:rPr>
      </w:pPr>
      <w:r>
        <w:rPr>
          <w:rFonts w:ascii="Times New Roman" w:hAnsi="Times New Roman"/>
          <w:sz w:val="24"/>
          <w:highlight w:val="none"/>
        </w:rPr>
        <w:t>4.甲方成立验收小组，按照采购合同的约定对乙方的履约情况进行验收。验收时</w:t>
      </w:r>
      <w:r>
        <w:rPr>
          <w:rFonts w:hint="eastAsia" w:ascii="Times New Roman" w:hAnsi="Times New Roman"/>
          <w:sz w:val="24"/>
          <w:highlight w:val="none"/>
        </w:rPr>
        <w:t>，</w:t>
      </w:r>
      <w:r>
        <w:rPr>
          <w:rFonts w:ascii="Times New Roman" w:hAnsi="Times New Roman"/>
          <w:sz w:val="24"/>
          <w:highlight w:val="none"/>
        </w:rPr>
        <w:t>甲方按照采购合同的约定对每一项技术、服务、安全标准的履约情况进行确认。验收结束后</w:t>
      </w:r>
      <w:r>
        <w:rPr>
          <w:rFonts w:hint="eastAsia" w:ascii="Times New Roman" w:hAnsi="Times New Roman"/>
          <w:sz w:val="24"/>
          <w:highlight w:val="none"/>
        </w:rPr>
        <w:t>，</w:t>
      </w:r>
      <w:r>
        <w:rPr>
          <w:rFonts w:ascii="Times New Roman" w:hAnsi="Times New Roman"/>
          <w:sz w:val="24"/>
          <w:highlight w:val="none"/>
        </w:rPr>
        <w:t>验收小组出具验收书</w:t>
      </w:r>
      <w:r>
        <w:rPr>
          <w:rFonts w:hint="eastAsia" w:ascii="Times New Roman" w:hAnsi="Times New Roman"/>
          <w:sz w:val="24"/>
          <w:highlight w:val="none"/>
        </w:rPr>
        <w:t>，</w:t>
      </w:r>
      <w:r>
        <w:rPr>
          <w:rFonts w:ascii="Times New Roman" w:hAnsi="Times New Roman"/>
          <w:sz w:val="24"/>
          <w:highlight w:val="none"/>
        </w:rPr>
        <w:t>列明各项标准的验收情况及项目总体评价</w:t>
      </w:r>
      <w:r>
        <w:rPr>
          <w:rFonts w:hint="eastAsia" w:ascii="Times New Roman" w:hAnsi="Times New Roman"/>
          <w:sz w:val="24"/>
          <w:highlight w:val="none"/>
        </w:rPr>
        <w:t>，</w:t>
      </w:r>
      <w:r>
        <w:rPr>
          <w:rFonts w:ascii="Times New Roman" w:hAnsi="Times New Roman"/>
          <w:sz w:val="24"/>
          <w:highlight w:val="none"/>
        </w:rPr>
        <w:t>由验收双方共同签署。验收结果与采购合同约定的资金支付及履约保证金返还条件挂钩。履约验收的各项资料存档备查。</w:t>
      </w:r>
    </w:p>
    <w:p w14:paraId="4FD44834">
      <w:pPr>
        <w:spacing w:line="520" w:lineRule="exact"/>
        <w:ind w:firstLine="480" w:firstLineChars="200"/>
        <w:rPr>
          <w:rFonts w:ascii="Times New Roman" w:hAnsi="Times New Roman"/>
          <w:sz w:val="24"/>
          <w:highlight w:val="none"/>
        </w:rPr>
      </w:pPr>
      <w:r>
        <w:rPr>
          <w:rFonts w:ascii="Times New Roman" w:hAnsi="Times New Roman"/>
          <w:sz w:val="24"/>
          <w:highlight w:val="none"/>
        </w:rPr>
        <w:t>5.验收合格的项目</w:t>
      </w:r>
      <w:r>
        <w:rPr>
          <w:rFonts w:hint="eastAsia" w:ascii="Times New Roman" w:hAnsi="Times New Roman"/>
          <w:sz w:val="24"/>
          <w:highlight w:val="none"/>
        </w:rPr>
        <w:t>，</w:t>
      </w:r>
      <w:r>
        <w:rPr>
          <w:rFonts w:ascii="Times New Roman" w:hAnsi="Times New Roman"/>
          <w:sz w:val="24"/>
          <w:highlight w:val="none"/>
        </w:rPr>
        <w:t>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Times New Roman" w:hAnsi="Times New Roman"/>
          <w:sz w:val="24"/>
          <w:highlight w:val="none"/>
        </w:rPr>
        <w:t>，</w:t>
      </w:r>
      <w:r>
        <w:rPr>
          <w:rFonts w:ascii="Times New Roman" w:hAnsi="Times New Roman"/>
          <w:sz w:val="24"/>
          <w:highlight w:val="none"/>
        </w:rPr>
        <w:t>甲方将及时报告本级财政部门。</w:t>
      </w:r>
    </w:p>
    <w:p w14:paraId="6EA0C6E9">
      <w:pPr>
        <w:spacing w:line="520" w:lineRule="exact"/>
        <w:ind w:firstLine="482" w:firstLineChars="200"/>
        <w:rPr>
          <w:rFonts w:ascii="Times New Roman" w:hAnsi="Times New Roman"/>
          <w:b/>
          <w:sz w:val="24"/>
          <w:highlight w:val="none"/>
        </w:rPr>
      </w:pPr>
      <w:r>
        <w:rPr>
          <w:rFonts w:ascii="Times New Roman" w:hAnsi="Times New Roman"/>
          <w:b/>
          <w:sz w:val="24"/>
          <w:highlight w:val="none"/>
        </w:rPr>
        <w:t>十</w:t>
      </w:r>
      <w:r>
        <w:rPr>
          <w:rFonts w:hint="eastAsia" w:ascii="Times New Roman" w:hAnsi="Times New Roman"/>
          <w:b/>
          <w:sz w:val="24"/>
          <w:highlight w:val="none"/>
          <w:lang w:val="en-US" w:eastAsia="zh-CN"/>
        </w:rPr>
        <w:t>二</w:t>
      </w:r>
      <w:r>
        <w:rPr>
          <w:rFonts w:ascii="Times New Roman" w:hAnsi="Times New Roman"/>
          <w:b/>
          <w:sz w:val="24"/>
          <w:highlight w:val="none"/>
        </w:rPr>
        <w:t xml:space="preserve">、违约责任 </w:t>
      </w:r>
    </w:p>
    <w:p w14:paraId="4920628D">
      <w:pPr>
        <w:spacing w:line="520" w:lineRule="exact"/>
        <w:ind w:firstLine="480" w:firstLineChars="200"/>
        <w:rPr>
          <w:rFonts w:ascii="Times New Roman" w:hAnsi="Times New Roman"/>
          <w:sz w:val="24"/>
          <w:highlight w:val="none"/>
        </w:rPr>
      </w:pPr>
      <w:r>
        <w:rPr>
          <w:rFonts w:ascii="Times New Roman" w:hAnsi="Times New Roman"/>
          <w:sz w:val="24"/>
          <w:highlight w:val="none"/>
        </w:rPr>
        <w:t>1. 甲方无正当理由拒绝接受乙方提供服务的，甲方向乙方偿付拒绝接受服务合同价款总值的</w:t>
      </w:r>
      <w:r>
        <w:rPr>
          <w:rFonts w:ascii="Times New Roman" w:hAnsi="Times New Roman"/>
          <w:b/>
          <w:sz w:val="24"/>
          <w:highlight w:val="none"/>
        </w:rPr>
        <w:t>百分之五</w:t>
      </w:r>
      <w:r>
        <w:rPr>
          <w:rFonts w:ascii="Times New Roman" w:hAnsi="Times New Roman"/>
          <w:sz w:val="24"/>
          <w:highlight w:val="none"/>
        </w:rPr>
        <w:t>违约金。</w:t>
      </w:r>
    </w:p>
    <w:p w14:paraId="2706A43C">
      <w:pPr>
        <w:spacing w:line="520" w:lineRule="exact"/>
        <w:ind w:firstLine="480" w:firstLineChars="200"/>
        <w:rPr>
          <w:rFonts w:ascii="Times New Roman" w:hAnsi="Times New Roman"/>
          <w:sz w:val="24"/>
          <w:highlight w:val="none"/>
        </w:rPr>
      </w:pPr>
      <w:r>
        <w:rPr>
          <w:rFonts w:ascii="Times New Roman" w:hAnsi="Times New Roman"/>
          <w:sz w:val="24"/>
          <w:highlight w:val="none"/>
        </w:rPr>
        <w:t>2.甲方无故逾期验收和办理相关手续的</w:t>
      </w:r>
      <w:r>
        <w:rPr>
          <w:rFonts w:hint="eastAsia" w:ascii="Times New Roman" w:hAnsi="Times New Roman"/>
          <w:sz w:val="24"/>
          <w:highlight w:val="none"/>
        </w:rPr>
        <w:t>，</w:t>
      </w:r>
      <w:r>
        <w:rPr>
          <w:rFonts w:ascii="Times New Roman" w:hAnsi="Times New Roman"/>
          <w:sz w:val="24"/>
          <w:highlight w:val="none"/>
        </w:rPr>
        <w:t>甲方应按逾期付款总额每日万分之五向乙方支付违约金。</w:t>
      </w:r>
    </w:p>
    <w:p w14:paraId="4A80F214">
      <w:pPr>
        <w:spacing w:line="520" w:lineRule="exact"/>
        <w:ind w:firstLine="480" w:firstLineChars="200"/>
        <w:rPr>
          <w:rFonts w:ascii="Times New Roman" w:hAnsi="Times New Roman"/>
          <w:sz w:val="24"/>
          <w:highlight w:val="none"/>
        </w:rPr>
      </w:pPr>
      <w:r>
        <w:rPr>
          <w:rFonts w:ascii="Times New Roman" w:hAnsi="Times New Roman"/>
          <w:sz w:val="24"/>
          <w:highlight w:val="none"/>
        </w:rPr>
        <w:t>3.乙方须确保在合同工期内竣工（以乙方中标时承诺工期为准），并通过甲方的验收。乙方必须严格按合同工期完成（因不可抗力和甲方原因引起并经甲方书面确认的工期延误除外）合同约定范围的所有服务。乙方逾期提供服务的，乙方应按逾期提供服务合同总额每日</w:t>
      </w:r>
      <w:r>
        <w:rPr>
          <w:rFonts w:ascii="Times New Roman" w:hAnsi="Times New Roman"/>
          <w:b/>
          <w:sz w:val="24"/>
          <w:highlight w:val="none"/>
        </w:rPr>
        <w:t>千分之二</w:t>
      </w:r>
      <w:r>
        <w:rPr>
          <w:rFonts w:ascii="Times New Roman" w:hAnsi="Times New Roman"/>
          <w:sz w:val="24"/>
          <w:highlight w:val="none"/>
        </w:rPr>
        <w:t>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Times New Roman" w:hAnsi="Times New Roman"/>
          <w:sz w:val="24"/>
          <w:highlight w:val="none"/>
          <w:u w:val="single"/>
        </w:rPr>
        <w:t>20%</w:t>
      </w:r>
      <w:r>
        <w:rPr>
          <w:rFonts w:ascii="Times New Roman" w:hAnsi="Times New Roman"/>
          <w:sz w:val="24"/>
          <w:highlight w:val="none"/>
        </w:rPr>
        <w:t>的违约金，如造成甲方损失超过违约金的，超出部分由乙方继续承担赔偿责任。</w:t>
      </w:r>
    </w:p>
    <w:p w14:paraId="2F4BB4CC">
      <w:pPr>
        <w:spacing w:line="520" w:lineRule="exact"/>
        <w:ind w:firstLine="480" w:firstLineChars="200"/>
        <w:rPr>
          <w:rFonts w:ascii="Times New Roman" w:hAnsi="Times New Roman"/>
          <w:sz w:val="24"/>
          <w:highlight w:val="none"/>
        </w:rPr>
      </w:pPr>
      <w:r>
        <w:rPr>
          <w:rFonts w:ascii="Times New Roman" w:hAnsi="Times New Roman"/>
          <w:sz w:val="24"/>
          <w:highlight w:val="none"/>
        </w:rPr>
        <w:t>4.大型会议、重大活动期间乙方须确保设备正常运行，涉及到的重要设备乙方须提供备用设备确保活动正常进行，并增派技术保障团队参与现场维护。乙方如不响应甲方要求的或造成重大影响的，每次扣10000元；因维保不力，影响案件侦破的，每有一起，扣50000元。</w:t>
      </w:r>
    </w:p>
    <w:p w14:paraId="27D731AB">
      <w:pPr>
        <w:spacing w:line="520" w:lineRule="exact"/>
        <w:ind w:firstLine="480" w:firstLineChars="200"/>
        <w:rPr>
          <w:rFonts w:ascii="Times New Roman" w:hAnsi="Times New Roman"/>
          <w:sz w:val="24"/>
          <w:highlight w:val="none"/>
        </w:rPr>
      </w:pPr>
      <w:r>
        <w:rPr>
          <w:rFonts w:ascii="Times New Roman" w:hAnsi="Times New Roman"/>
          <w:sz w:val="24"/>
          <w:highlight w:val="none"/>
        </w:rPr>
        <w:t>5.乙方不得擅自更换项目负责人及现场配备人员，否则甲方有权终止合同，因此给甲方造成损失的，甲方将依法追偿。如项目实施过程中，提供的人员不能胜任工作的，甲方将有权建议更换，直至更换至能胜任现场工作为止，并且甲方有权处乙方不少于5000元/人的处罚，在当年度合同价款中予以扣减。</w:t>
      </w:r>
    </w:p>
    <w:p w14:paraId="44D9642D">
      <w:pPr>
        <w:spacing w:line="520" w:lineRule="exact"/>
        <w:ind w:firstLine="480" w:firstLineChars="200"/>
        <w:rPr>
          <w:rFonts w:ascii="Times New Roman" w:hAnsi="Times New Roman"/>
          <w:sz w:val="24"/>
          <w:highlight w:val="none"/>
        </w:rPr>
      </w:pPr>
      <w:r>
        <w:rPr>
          <w:rFonts w:ascii="Times New Roman" w:hAnsi="Times New Roman"/>
          <w:sz w:val="24"/>
          <w:highlight w:val="none"/>
        </w:rPr>
        <w:t>6.本项目不得转包分包。乙方违法转让业务；以他人名义或者准许他人以本单位（自然人）名义承揽业务的；一旦查实，没收保证金，并列入不良信用信息的社会法人名单(严重失信行为)。</w:t>
      </w:r>
    </w:p>
    <w:p w14:paraId="1D9117F4">
      <w:pPr>
        <w:widowControl/>
        <w:snapToGrid w:val="0"/>
        <w:spacing w:line="520" w:lineRule="exact"/>
        <w:ind w:firstLine="480" w:firstLineChars="200"/>
        <w:rPr>
          <w:rFonts w:ascii="Times New Roman" w:hAnsi="Times New Roman"/>
          <w:bCs/>
          <w:sz w:val="24"/>
          <w:highlight w:val="none"/>
        </w:rPr>
      </w:pPr>
      <w:r>
        <w:rPr>
          <w:rFonts w:ascii="Times New Roman" w:hAnsi="Times New Roman"/>
          <w:bCs/>
          <w:sz w:val="24"/>
          <w:highlight w:val="none"/>
        </w:rPr>
        <w:t>7.在合同履行期间，乙方服务不满足甲方要求或不服从甲方日常管理超过三次及以上的，经甲方提出仍整改不到位的，甲方有权将其列为严重失信行为人。</w:t>
      </w:r>
    </w:p>
    <w:p w14:paraId="6AAE78CE">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对有严重失信行为的社会法人，可以依法采取下列方式予以惩戒：</w:t>
      </w:r>
    </w:p>
    <w:p w14:paraId="782875FF">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（一）列为重点监控和监督检查对象；</w:t>
      </w:r>
    </w:p>
    <w:p w14:paraId="3B271907">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（二）向社会公开失信信息；</w:t>
      </w:r>
    </w:p>
    <w:p w14:paraId="637F9B30">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（三）撤销相关荣誉称号，撤销或者降低相关评估等级，禁止参与评优、评先；</w:t>
      </w:r>
    </w:p>
    <w:p w14:paraId="68EF41A9">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（四）不作为政府购买服务对象；</w:t>
      </w:r>
    </w:p>
    <w:p w14:paraId="3CB40201">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（五）限制上市融资、发行企业债券等；</w:t>
      </w:r>
    </w:p>
    <w:p w14:paraId="480DE4FA">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（六）不给予优惠政策或者财政资金补贴；</w:t>
      </w:r>
    </w:p>
    <w:p w14:paraId="086E98F6">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（七）严格限制新增项目审批、核准以及用地审批、矿业权审批等；</w:t>
      </w:r>
    </w:p>
    <w:p w14:paraId="4643D662">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（八）不予批准设立信用担保机构等具有金融类业务的机构；</w:t>
      </w:r>
    </w:p>
    <w:p w14:paraId="2007F902">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（九）禁止参加政府采购活动；</w:t>
      </w:r>
    </w:p>
    <w:p w14:paraId="297300B7">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（十）限制或者取消其参与政府主导的建设项目、设备、公共工程项目、公共资源分配项目等招标投标活动，以及建设用地使用权、矿业权招拍挂出让活动的资格；</w:t>
      </w:r>
    </w:p>
    <w:p w14:paraId="77AA28EA">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 xml:space="preserve">（十一）法律、法规、规章规定的其他惩戒方式。 </w:t>
      </w:r>
    </w:p>
    <w:p w14:paraId="47E99EAE">
      <w:pPr>
        <w:widowControl/>
        <w:snapToGrid w:val="0"/>
        <w:spacing w:line="520" w:lineRule="exact"/>
        <w:ind w:firstLine="480" w:firstLineChars="200"/>
        <w:rPr>
          <w:rFonts w:ascii="Times New Roman" w:hAnsi="Times New Roman"/>
          <w:sz w:val="24"/>
          <w:highlight w:val="none"/>
        </w:rPr>
      </w:pPr>
      <w:r>
        <w:rPr>
          <w:rFonts w:ascii="Times New Roman" w:hAnsi="Times New Roman"/>
          <w:sz w:val="24"/>
          <w:highlight w:val="none"/>
        </w:rPr>
        <w:t>8.乙方出现《盐城市社会法人和自然人守信激励与失信惩戒实施办法》第十条情形或其他失信行为的，列入不良信用信息的社会法人名单。依法限制或禁止其参与政府采购活动、项目招投标。</w:t>
      </w:r>
    </w:p>
    <w:p w14:paraId="796A0BEC">
      <w:pPr>
        <w:spacing w:line="520" w:lineRule="exact"/>
        <w:ind w:firstLine="482" w:firstLineChars="200"/>
        <w:rPr>
          <w:rFonts w:ascii="Times New Roman" w:hAnsi="Times New Roman"/>
          <w:b/>
          <w:sz w:val="24"/>
          <w:highlight w:val="none"/>
        </w:rPr>
      </w:pPr>
      <w:r>
        <w:rPr>
          <w:rFonts w:ascii="Times New Roman" w:hAnsi="Times New Roman"/>
          <w:b/>
          <w:sz w:val="24"/>
          <w:highlight w:val="none"/>
        </w:rPr>
        <w:t>十</w:t>
      </w:r>
      <w:r>
        <w:rPr>
          <w:rFonts w:hint="eastAsia" w:ascii="Times New Roman" w:hAnsi="Times New Roman"/>
          <w:b/>
          <w:sz w:val="24"/>
          <w:highlight w:val="none"/>
          <w:lang w:val="en-US" w:eastAsia="zh-CN"/>
        </w:rPr>
        <w:t>三</w:t>
      </w:r>
      <w:r>
        <w:rPr>
          <w:rFonts w:ascii="Times New Roman" w:hAnsi="Times New Roman"/>
          <w:b/>
          <w:sz w:val="24"/>
          <w:highlight w:val="none"/>
        </w:rPr>
        <w:t>、设备货物包装、发运及运输</w:t>
      </w:r>
    </w:p>
    <w:p w14:paraId="161F66D4">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1.乙方应在货物发运前对其进行满足运输距离、防潮、防震、防锈和防破损装卸等要求包装，以保证货物安全运达甲方指定地点。</w:t>
      </w:r>
    </w:p>
    <w:p w14:paraId="6DD214E8">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2.使用说明书、质量检验证明书、随配附件和工具以及清单一并附于货物内。</w:t>
      </w:r>
    </w:p>
    <w:p w14:paraId="6ACD2D1E">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3.货物在安装前及安装后的风险均由乙方负责。</w:t>
      </w:r>
    </w:p>
    <w:p w14:paraId="21E7DBBC">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4.货物在规定的交付期限内由乙方送达甲方指定的地点，乙方同时需通知甲方。</w:t>
      </w:r>
    </w:p>
    <w:p w14:paraId="103BBAF2">
      <w:pPr>
        <w:spacing w:line="520" w:lineRule="exact"/>
        <w:ind w:firstLine="482" w:firstLineChars="200"/>
        <w:rPr>
          <w:rFonts w:ascii="Times New Roman" w:hAnsi="Times New Roman"/>
          <w:b/>
          <w:sz w:val="24"/>
          <w:highlight w:val="none"/>
        </w:rPr>
      </w:pPr>
      <w:r>
        <w:rPr>
          <w:rFonts w:ascii="Times New Roman" w:hAnsi="Times New Roman"/>
          <w:b/>
          <w:sz w:val="24"/>
          <w:highlight w:val="none"/>
        </w:rPr>
        <w:t>十</w:t>
      </w:r>
      <w:r>
        <w:rPr>
          <w:rFonts w:hint="eastAsia" w:ascii="Times New Roman" w:hAnsi="Times New Roman"/>
          <w:b/>
          <w:sz w:val="24"/>
          <w:highlight w:val="none"/>
          <w:lang w:val="en-US" w:eastAsia="zh-CN"/>
        </w:rPr>
        <w:t>四</w:t>
      </w:r>
      <w:r>
        <w:rPr>
          <w:rFonts w:ascii="Times New Roman" w:hAnsi="Times New Roman"/>
          <w:b/>
          <w:sz w:val="24"/>
          <w:highlight w:val="none"/>
        </w:rPr>
        <w:t>、驻场服务要求</w:t>
      </w:r>
    </w:p>
    <w:p w14:paraId="79A004F4">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1.本项目乙方必须实行7*24小时响应。乙方必须配备</w:t>
      </w:r>
      <w:r>
        <w:rPr>
          <w:rFonts w:hint="eastAsia" w:ascii="Times New Roman" w:hAnsi="Times New Roman"/>
          <w:bCs/>
          <w:sz w:val="24"/>
          <w:highlight w:val="none"/>
          <w:lang w:val="en-US" w:eastAsia="zh-CN"/>
        </w:rPr>
        <w:t>2名</w:t>
      </w:r>
      <w:r>
        <w:rPr>
          <w:rFonts w:ascii="Times New Roman" w:hAnsi="Times New Roman"/>
          <w:bCs/>
          <w:sz w:val="24"/>
          <w:highlight w:val="none"/>
        </w:rPr>
        <w:t>维保人员提供驻场服务。驻场人员须经甲方面试同意后方可驻场，驻场时间同步甲方日常工作时间（含节假日加班、夜间值班等）。驻场人员须及时响应甲方服务需求，响应到达时间、服务质量等列入日常考核管理。</w:t>
      </w:r>
    </w:p>
    <w:p w14:paraId="6A965DE1">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2.驻场人员办公设备由乙方自行提供，甲方提供办公场地。</w:t>
      </w:r>
    </w:p>
    <w:p w14:paraId="000ECE47">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3.驻场人员须在竣工验收合格后一周内进场，如未按甲方要求配备相应人员或人员未及时进场的，甲方按250元/人/日历天进行处罚，在当年度合同价款中予以扣减；配备的人员须参与甲方日常考核，如乙方未经甲方同意擅自更换配备人员或驻场时间不满足甲方要求或不服从甲方日常管理的，甲方每通报一次，罚款2000元，在当年度合同价款中予以扣减。经甲方多次通报仍不整改的，甲方保留合同余款酌情扣减的权利。</w:t>
      </w:r>
    </w:p>
    <w:p w14:paraId="093D89AF">
      <w:pPr>
        <w:spacing w:line="520" w:lineRule="exact"/>
        <w:ind w:firstLine="482" w:firstLineChars="200"/>
        <w:rPr>
          <w:rFonts w:ascii="Times New Roman" w:hAnsi="Times New Roman"/>
          <w:b/>
          <w:sz w:val="24"/>
          <w:highlight w:val="none"/>
        </w:rPr>
      </w:pPr>
      <w:r>
        <w:rPr>
          <w:rFonts w:ascii="Times New Roman" w:hAnsi="Times New Roman"/>
          <w:b/>
          <w:sz w:val="24"/>
          <w:highlight w:val="none"/>
        </w:rPr>
        <w:t>十</w:t>
      </w:r>
      <w:r>
        <w:rPr>
          <w:rFonts w:hint="eastAsia" w:ascii="Times New Roman" w:hAnsi="Times New Roman"/>
          <w:b/>
          <w:sz w:val="24"/>
          <w:highlight w:val="none"/>
          <w:lang w:val="en-US" w:eastAsia="zh-CN"/>
        </w:rPr>
        <w:t>五</w:t>
      </w:r>
      <w:r>
        <w:rPr>
          <w:rFonts w:ascii="Times New Roman" w:hAnsi="Times New Roman"/>
          <w:b/>
          <w:sz w:val="24"/>
          <w:highlight w:val="none"/>
        </w:rPr>
        <w:t>、服务成果交接</w:t>
      </w:r>
    </w:p>
    <w:p w14:paraId="678E6268">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1.乙方在服务过程中，应对甲方进行相关说明和培训。</w:t>
      </w:r>
    </w:p>
    <w:p w14:paraId="538B87C7">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2.乙方在服务期满前，对服务作出全面检查、对服务期内按合同要求产生的相关成果文件进行整理，并列出清单。</w:t>
      </w:r>
    </w:p>
    <w:p w14:paraId="5FF94648">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3.服务期满时，乙方应将完整的资料清单及成果文件移交甲方存档。</w:t>
      </w:r>
    </w:p>
    <w:p w14:paraId="160EBDDC">
      <w:pPr>
        <w:widowControl/>
        <w:snapToGrid w:val="0"/>
        <w:spacing w:line="520" w:lineRule="exact"/>
        <w:ind w:firstLine="480" w:firstLineChars="200"/>
        <w:rPr>
          <w:rFonts w:ascii="Times New Roman" w:hAnsi="Times New Roman"/>
          <w:sz w:val="24"/>
          <w:highlight w:val="none"/>
        </w:rPr>
      </w:pPr>
      <w:r>
        <w:rPr>
          <w:rFonts w:ascii="Times New Roman" w:hAnsi="Times New Roman"/>
          <w:bCs/>
          <w:sz w:val="24"/>
          <w:highlight w:val="none"/>
        </w:rPr>
        <w:t>4.合同标的在服务期满前发生的风险均由乙方负责。</w:t>
      </w:r>
    </w:p>
    <w:p w14:paraId="6AF3A7D3">
      <w:pPr>
        <w:spacing w:line="520" w:lineRule="exact"/>
        <w:ind w:firstLine="482" w:firstLineChars="200"/>
        <w:rPr>
          <w:rFonts w:ascii="Times New Roman" w:hAnsi="Times New Roman"/>
          <w:b/>
          <w:sz w:val="24"/>
          <w:highlight w:val="none"/>
        </w:rPr>
      </w:pPr>
      <w:r>
        <w:rPr>
          <w:rFonts w:ascii="Times New Roman" w:hAnsi="Times New Roman"/>
          <w:b/>
          <w:sz w:val="24"/>
          <w:highlight w:val="none"/>
        </w:rPr>
        <w:t>十</w:t>
      </w:r>
      <w:r>
        <w:rPr>
          <w:rFonts w:hint="eastAsia" w:ascii="Times New Roman" w:hAnsi="Times New Roman"/>
          <w:b/>
          <w:sz w:val="24"/>
          <w:highlight w:val="none"/>
          <w:lang w:val="en-US" w:eastAsia="zh-CN"/>
        </w:rPr>
        <w:t>六</w:t>
      </w:r>
      <w:r>
        <w:rPr>
          <w:rFonts w:ascii="Times New Roman" w:hAnsi="Times New Roman"/>
          <w:b/>
          <w:sz w:val="24"/>
          <w:highlight w:val="none"/>
        </w:rPr>
        <w:t>、保密</w:t>
      </w:r>
    </w:p>
    <w:p w14:paraId="2447B45B">
      <w:pPr>
        <w:pStyle w:val="46"/>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1.乙方应严格遵守甲方的信息保密制度，严禁复制、盗用、泄露甲方有关信息以及服务过程中获悉的甲方其他信息，如有违反，甲方有权终止合同，且不支付任何服务费用，并保留采用法律手段追究相关责任的权利。</w:t>
      </w:r>
    </w:p>
    <w:p w14:paraId="58E50BC6">
      <w:pPr>
        <w:pStyle w:val="46"/>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2.甲乙双方同意对本合同的签订及内容承担保密义务，未经对方事先书面许可，不得故意或无意地透露给第三方。任何一方违反本条保密义务，应承担违约责任，赔偿对方由此造成的损失。</w:t>
      </w:r>
    </w:p>
    <w:p w14:paraId="7812EB2B">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3.乙方应保证其工作人员、代理人等遵守本条有关保密的约定，且该约定不因本合同终止或者解除而失效。</w:t>
      </w:r>
    </w:p>
    <w:p w14:paraId="39718D14">
      <w:pPr>
        <w:spacing w:line="520" w:lineRule="exact"/>
        <w:ind w:firstLine="482" w:firstLineChars="200"/>
        <w:rPr>
          <w:rFonts w:ascii="Times New Roman" w:hAnsi="Times New Roman"/>
          <w:b/>
          <w:sz w:val="24"/>
          <w:highlight w:val="none"/>
        </w:rPr>
      </w:pPr>
      <w:r>
        <w:rPr>
          <w:rFonts w:ascii="Times New Roman" w:hAnsi="Times New Roman"/>
          <w:b/>
          <w:sz w:val="24"/>
          <w:highlight w:val="none"/>
        </w:rPr>
        <w:t>十</w:t>
      </w:r>
      <w:r>
        <w:rPr>
          <w:rFonts w:hint="eastAsia" w:ascii="Times New Roman" w:hAnsi="Times New Roman"/>
          <w:b/>
          <w:sz w:val="24"/>
          <w:highlight w:val="none"/>
          <w:lang w:val="en-US" w:eastAsia="zh-CN"/>
        </w:rPr>
        <w:t>七</w:t>
      </w:r>
      <w:r>
        <w:rPr>
          <w:rFonts w:ascii="Times New Roman" w:hAnsi="Times New Roman"/>
          <w:b/>
          <w:sz w:val="24"/>
          <w:highlight w:val="none"/>
        </w:rPr>
        <w:t>、不可抗力事件处理</w:t>
      </w:r>
    </w:p>
    <w:p w14:paraId="487BCA5F">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1.在合同有效期内，任何一方因不可抗力事件导致不能履行合同，则合同履行期可延长，其延长期与不可抗力影响期相同。</w:t>
      </w:r>
    </w:p>
    <w:p w14:paraId="7E68797A">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2.不可抗力事件发生后，应立即通知对方，并寄送有关权威机构出具的证明。</w:t>
      </w:r>
    </w:p>
    <w:p w14:paraId="54057CB5">
      <w:pPr>
        <w:spacing w:line="520" w:lineRule="exact"/>
        <w:ind w:firstLine="480" w:firstLineChars="200"/>
        <w:rPr>
          <w:rFonts w:ascii="Times New Roman" w:hAnsi="Times New Roman"/>
          <w:bCs/>
          <w:sz w:val="24"/>
          <w:highlight w:val="none"/>
        </w:rPr>
      </w:pPr>
      <w:r>
        <w:rPr>
          <w:rFonts w:ascii="Times New Roman" w:hAnsi="Times New Roman"/>
          <w:bCs/>
          <w:sz w:val="24"/>
          <w:highlight w:val="none"/>
        </w:rPr>
        <w:t>3.不可抗力事件延续120天以上，双方应通过友好协商，确定是否继续履行合同。</w:t>
      </w:r>
    </w:p>
    <w:p w14:paraId="703D1738">
      <w:pPr>
        <w:pStyle w:val="46"/>
        <w:spacing w:line="520" w:lineRule="exact"/>
        <w:ind w:firstLine="482" w:firstLineChars="200"/>
        <w:rPr>
          <w:rFonts w:ascii="Times New Roman" w:hAnsi="Times New Roman" w:eastAsia="宋体"/>
          <w:b/>
          <w:sz w:val="24"/>
          <w:highlight w:val="none"/>
        </w:rPr>
      </w:pPr>
      <w:r>
        <w:rPr>
          <w:rFonts w:ascii="Times New Roman" w:hAnsi="Times New Roman" w:eastAsia="宋体"/>
          <w:b/>
          <w:sz w:val="24"/>
          <w:highlight w:val="none"/>
        </w:rPr>
        <w:t>十</w:t>
      </w:r>
      <w:r>
        <w:rPr>
          <w:rFonts w:hint="eastAsia" w:ascii="Times New Roman" w:hAnsi="Times New Roman" w:eastAsia="宋体"/>
          <w:b/>
          <w:sz w:val="24"/>
          <w:highlight w:val="none"/>
          <w:lang w:val="en-US" w:eastAsia="zh-CN"/>
        </w:rPr>
        <w:t>八</w:t>
      </w:r>
      <w:r>
        <w:rPr>
          <w:rFonts w:ascii="Times New Roman" w:hAnsi="Times New Roman" w:eastAsia="宋体"/>
          <w:b/>
          <w:sz w:val="24"/>
          <w:highlight w:val="none"/>
        </w:rPr>
        <w:t>、解决争议的方法</w:t>
      </w:r>
    </w:p>
    <w:p w14:paraId="6D05FE2C">
      <w:pPr>
        <w:spacing w:line="520" w:lineRule="exact"/>
        <w:ind w:firstLine="480" w:firstLineChars="200"/>
        <w:rPr>
          <w:rFonts w:ascii="Times New Roman" w:hAnsi="Times New Roman"/>
          <w:sz w:val="24"/>
          <w:highlight w:val="none"/>
        </w:rPr>
      </w:pPr>
      <w:r>
        <w:rPr>
          <w:rFonts w:ascii="Times New Roman" w:hAnsi="Times New Roman"/>
          <w:sz w:val="24"/>
          <w:highlight w:val="none"/>
        </w:rPr>
        <w:t>双方在签订、履行合同中所发生的一切争议，应通过友好协商解决。如协商不成，由甲方住所地人民法院管辖。</w:t>
      </w:r>
    </w:p>
    <w:p w14:paraId="45951C85">
      <w:pPr>
        <w:pStyle w:val="46"/>
        <w:spacing w:line="520" w:lineRule="exact"/>
        <w:ind w:firstLine="482" w:firstLineChars="200"/>
        <w:rPr>
          <w:rFonts w:ascii="Times New Roman" w:hAnsi="Times New Roman" w:eastAsia="宋体"/>
          <w:b/>
          <w:sz w:val="24"/>
          <w:highlight w:val="none"/>
        </w:rPr>
      </w:pPr>
      <w:r>
        <w:rPr>
          <w:rFonts w:hint="eastAsia" w:ascii="Times New Roman" w:hAnsi="Times New Roman" w:eastAsia="宋体"/>
          <w:b/>
          <w:sz w:val="24"/>
          <w:highlight w:val="none"/>
          <w:lang w:val="en-US" w:eastAsia="zh-CN"/>
        </w:rPr>
        <w:t>十九</w:t>
      </w:r>
      <w:r>
        <w:rPr>
          <w:rFonts w:ascii="Times New Roman" w:hAnsi="Times New Roman" w:eastAsia="宋体"/>
          <w:b/>
          <w:sz w:val="24"/>
          <w:highlight w:val="none"/>
        </w:rPr>
        <w:t>、合同生效及其它</w:t>
      </w:r>
    </w:p>
    <w:p w14:paraId="326DE2F8">
      <w:pPr>
        <w:pStyle w:val="46"/>
        <w:numPr>
          <w:ilvl w:val="0"/>
          <w:numId w:val="2"/>
        </w:numPr>
        <w:tabs>
          <w:tab w:val="left" w:pos="454"/>
        </w:tabs>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合同经双方法定代表人或授权委托代表人签字并加盖单位公章后生效。</w:t>
      </w:r>
    </w:p>
    <w:p w14:paraId="31A85FF8">
      <w:pPr>
        <w:pStyle w:val="46"/>
        <w:numPr>
          <w:ilvl w:val="0"/>
          <w:numId w:val="2"/>
        </w:numPr>
        <w:tabs>
          <w:tab w:val="left" w:pos="454"/>
        </w:tabs>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本合同未尽事宜，遵照《中华人民共和国民法典》、《政府采购法》有关条文执行。</w:t>
      </w:r>
    </w:p>
    <w:p w14:paraId="545863FA">
      <w:pPr>
        <w:pStyle w:val="46"/>
        <w:numPr>
          <w:ilvl w:val="0"/>
          <w:numId w:val="2"/>
        </w:numPr>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本合同一式肆份，甲方、乙方各执贰份，自甲乙双方签字、盖章之日起生效。</w:t>
      </w:r>
    </w:p>
    <w:p w14:paraId="2D6408D6">
      <w:pPr>
        <w:pStyle w:val="46"/>
        <w:spacing w:line="520" w:lineRule="exact"/>
        <w:ind w:firstLine="480" w:firstLineChars="200"/>
        <w:rPr>
          <w:rFonts w:ascii="Times New Roman" w:hAnsi="Times New Roman" w:eastAsia="宋体"/>
          <w:sz w:val="24"/>
          <w:highlight w:val="none"/>
        </w:rPr>
      </w:pPr>
    </w:p>
    <w:p w14:paraId="0CA4A114">
      <w:pPr>
        <w:pStyle w:val="46"/>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甲方：                                    乙方：</w:t>
      </w:r>
    </w:p>
    <w:p w14:paraId="60BF4B64">
      <w:pPr>
        <w:pStyle w:val="46"/>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地址：                                    地址：</w:t>
      </w:r>
    </w:p>
    <w:p w14:paraId="25B74ADB">
      <w:pPr>
        <w:pStyle w:val="46"/>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法定代表人或授权代表：                    法定代表人或授权代表：</w:t>
      </w:r>
    </w:p>
    <w:p w14:paraId="75FC0B49">
      <w:pPr>
        <w:pStyle w:val="46"/>
        <w:spacing w:line="520" w:lineRule="exact"/>
        <w:ind w:firstLine="480" w:firstLineChars="200"/>
        <w:rPr>
          <w:rFonts w:ascii="Times New Roman" w:hAnsi="Times New Roman" w:eastAsia="宋体"/>
          <w:sz w:val="24"/>
          <w:highlight w:val="none"/>
        </w:rPr>
      </w:pPr>
      <w:r>
        <w:rPr>
          <w:rFonts w:ascii="Times New Roman" w:hAnsi="Times New Roman" w:eastAsia="宋体"/>
          <w:sz w:val="24"/>
          <w:highlight w:val="none"/>
        </w:rPr>
        <w:t>联系电话：                                联系电话：</w:t>
      </w:r>
    </w:p>
    <w:p w14:paraId="2A79992E">
      <w:pPr>
        <w:pStyle w:val="46"/>
        <w:snapToGrid w:val="0"/>
        <w:spacing w:line="520" w:lineRule="exact"/>
        <w:ind w:firstLine="480" w:firstLineChars="200"/>
        <w:rPr>
          <w:rFonts w:ascii="Times New Roman" w:hAnsi="Times New Roman" w:eastAsia="宋体"/>
          <w:sz w:val="24"/>
          <w:highlight w:val="none"/>
        </w:rPr>
      </w:pPr>
    </w:p>
    <w:p w14:paraId="76A47A69">
      <w:pPr>
        <w:autoSpaceDE w:val="0"/>
        <w:autoSpaceDN w:val="0"/>
        <w:adjustRightInd w:val="0"/>
        <w:snapToGrid w:val="0"/>
        <w:spacing w:line="520" w:lineRule="exact"/>
        <w:ind w:firstLine="480" w:firstLineChars="200"/>
        <w:jc w:val="center"/>
        <w:rPr>
          <w:rStyle w:val="510"/>
          <w:rFonts w:ascii="Times New Roman" w:hAnsi="Times New Roman"/>
          <w:sz w:val="24"/>
          <w:szCs w:val="24"/>
          <w:highlight w:val="none"/>
        </w:rPr>
      </w:pPr>
      <w:r>
        <w:rPr>
          <w:rFonts w:ascii="Times New Roman" w:hAnsi="Times New Roman"/>
          <w:sz w:val="24"/>
          <w:highlight w:val="none"/>
        </w:rPr>
        <w:t xml:space="preserve">                          签订日期：      年   月   日</w:t>
      </w:r>
    </w:p>
    <w:p w14:paraId="53F1E71C">
      <w:pPr>
        <w:rPr>
          <w:rFonts w:ascii="Times New Roman" w:hAnsi="Times New Roman"/>
          <w:bCs/>
          <w:sz w:val="24"/>
          <w:highlight w:val="none"/>
        </w:rPr>
      </w:pPr>
      <w:r>
        <w:rPr>
          <w:rFonts w:ascii="Times New Roman" w:hAnsi="Times New Roman"/>
          <w:bCs/>
          <w:sz w:val="24"/>
          <w:highlight w:val="none"/>
        </w:rPr>
        <w:br w:type="page"/>
      </w:r>
    </w:p>
    <w:p w14:paraId="6A8EDCF0">
      <w:pPr>
        <w:pStyle w:val="46"/>
        <w:snapToGrid w:val="0"/>
        <w:spacing w:line="520" w:lineRule="exact"/>
        <w:rPr>
          <w:rFonts w:ascii="Times New Roman" w:hAnsi="Times New Roman" w:eastAsia="宋体"/>
          <w:bCs/>
          <w:sz w:val="24"/>
          <w:highlight w:val="none"/>
        </w:rPr>
        <w:sectPr>
          <w:footerReference r:id="rId5" w:type="default"/>
          <w:pgSz w:w="11906" w:h="16838"/>
          <w:pgMar w:top="1134" w:right="1247" w:bottom="1134" w:left="1247" w:header="851" w:footer="992" w:gutter="0"/>
          <w:pgNumType w:fmt="numberInDash" w:start="1"/>
          <w:cols w:space="720" w:num="1"/>
          <w:docGrid w:type="lines" w:linePitch="312" w:charSpace="0"/>
        </w:sectPr>
      </w:pPr>
    </w:p>
    <w:p w14:paraId="5F9BCCC5">
      <w:pPr>
        <w:pStyle w:val="85"/>
        <w:ind w:firstLine="0"/>
        <w:rPr>
          <w:rFonts w:cs="宋体" w:asciiTheme="minorEastAsia" w:hAnsiTheme="minorEastAsia" w:eastAsiaTheme="minorEastAsia"/>
          <w:b/>
          <w:szCs w:val="28"/>
          <w:highlight w:val="none"/>
        </w:rPr>
      </w:pPr>
      <w:r>
        <w:rPr>
          <w:rFonts w:hint="eastAsia" w:cs="宋体" w:asciiTheme="minorEastAsia" w:hAnsiTheme="minorEastAsia" w:eastAsiaTheme="minorEastAsia"/>
          <w:b/>
          <w:szCs w:val="28"/>
          <w:highlight w:val="none"/>
        </w:rPr>
        <w:t xml:space="preserve"> </w:t>
      </w:r>
    </w:p>
    <w:p w14:paraId="21DC1E71">
      <w:pPr>
        <w:spacing w:line="360" w:lineRule="auto"/>
        <w:jc w:val="center"/>
        <w:rPr>
          <w:rFonts w:ascii="宋体" w:hAnsi="宋体" w:cs="宋体"/>
          <w:b/>
          <w:bCs/>
          <w:sz w:val="32"/>
          <w:szCs w:val="32"/>
          <w:highlight w:val="none"/>
        </w:rPr>
      </w:pPr>
      <w:r>
        <w:rPr>
          <w:rFonts w:hint="eastAsia" w:ascii="宋体" w:hAnsi="宋体" w:cs="宋体"/>
          <w:b/>
          <w:bCs/>
          <w:sz w:val="32"/>
          <w:szCs w:val="32"/>
          <w:highlight w:val="none"/>
        </w:rPr>
        <w:t>第四部分  采购需求</w:t>
      </w:r>
    </w:p>
    <w:p w14:paraId="7AFEF0BB">
      <w:pPr>
        <w:pStyle w:val="46"/>
        <w:spacing w:line="400" w:lineRule="exact"/>
        <w:ind w:firstLine="482" w:firstLineChars="200"/>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一、项目需求清单</w:t>
      </w:r>
    </w:p>
    <w:p w14:paraId="25C491B8">
      <w:pPr>
        <w:spacing w:line="400" w:lineRule="exact"/>
        <w:ind w:firstLine="500" w:firstLineChars="200"/>
        <w:rPr>
          <w:rFonts w:hint="default" w:asciiTheme="minorEastAsia" w:hAnsiTheme="minorEastAsia" w:eastAsiaTheme="minorEastAsia" w:cstheme="minorEastAsia"/>
          <w:bCs/>
          <w:sz w:val="24"/>
          <w:highlight w:val="none"/>
          <w:lang w:val="en-US" w:eastAsia="zh-CN"/>
        </w:rPr>
      </w:pPr>
      <w:r>
        <w:rPr>
          <w:rFonts w:ascii="Arial" w:hAnsi="Arial" w:eastAsia="宋体" w:cs="Arial"/>
          <w:i w:val="0"/>
          <w:iCs w:val="0"/>
          <w:caps w:val="0"/>
          <w:color w:val="192338"/>
          <w:spacing w:val="5"/>
          <w:sz w:val="24"/>
          <w:szCs w:val="24"/>
          <w:highlight w:val="none"/>
          <w:shd w:val="clear" w:fill="FFFFFF"/>
        </w:rPr>
        <w:t>本次维保项目主要针对以下系统进行维护</w:t>
      </w:r>
      <w:r>
        <w:rPr>
          <w:rFonts w:hint="eastAsia" w:asciiTheme="minorEastAsia" w:hAnsiTheme="minorEastAsia" w:eastAsiaTheme="minorEastAsia" w:cstheme="minorEastAsia"/>
          <w:bCs/>
          <w:sz w:val="24"/>
          <w:highlight w:val="none"/>
          <w:lang w:val="en-US" w:eastAsia="zh-CN"/>
        </w:rPr>
        <w:t>：计算机网络系统、安防监控系统、一卡通、停车场、会议系统、大屏幕显示系统、分布式坐席管理系统、电子数据勘验实验室、数据机房系统、电动汽车充电桩、电脑及打印机、指挥中心控制台、PDT群组基站、智能枪弹柜等。</w:t>
      </w:r>
    </w:p>
    <w:p w14:paraId="1B65C4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lang w:val="en-US" w:eastAsia="zh-CN"/>
        </w:rPr>
        <w:t>具体明细详见</w:t>
      </w:r>
      <w:r>
        <w:rPr>
          <w:rFonts w:hint="eastAsia" w:asciiTheme="minorEastAsia" w:hAnsiTheme="minorEastAsia" w:eastAsiaTheme="minorEastAsia" w:cstheme="minorEastAsia"/>
          <w:bCs/>
          <w:sz w:val="24"/>
          <w:highlight w:val="none"/>
        </w:rPr>
        <w:t>招标清单。</w:t>
      </w:r>
    </w:p>
    <w:p w14:paraId="52E3AE47">
      <w:pPr>
        <w:pStyle w:val="4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二、维保要求及考核办法</w:t>
      </w:r>
    </w:p>
    <w:p w14:paraId="08FA04AD">
      <w:pPr>
        <w:spacing w:line="400" w:lineRule="exact"/>
        <w:ind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lang w:eastAsia="zh-CN"/>
        </w:rPr>
        <w:t>（</w:t>
      </w:r>
      <w:r>
        <w:rPr>
          <w:rFonts w:hint="eastAsia" w:asciiTheme="minorEastAsia" w:hAnsiTheme="minorEastAsia" w:eastAsiaTheme="minorEastAsia" w:cstheme="minorEastAsia"/>
          <w:b/>
          <w:sz w:val="24"/>
          <w:highlight w:val="none"/>
          <w:lang w:val="en-US" w:eastAsia="zh-CN"/>
        </w:rPr>
        <w:t>一）</w:t>
      </w:r>
      <w:r>
        <w:rPr>
          <w:rFonts w:hint="eastAsia" w:asciiTheme="minorEastAsia" w:hAnsiTheme="minorEastAsia" w:eastAsiaTheme="minorEastAsia" w:cstheme="minorEastAsia"/>
          <w:b/>
          <w:sz w:val="24"/>
          <w:highlight w:val="none"/>
        </w:rPr>
        <w:t>维保服务的基本要求</w:t>
      </w:r>
    </w:p>
    <w:p w14:paraId="0271672B">
      <w:pPr>
        <w:spacing w:line="400" w:lineRule="exact"/>
        <w:ind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1、设备维保</w:t>
      </w:r>
    </w:p>
    <w:p w14:paraId="1D882441">
      <w:pPr>
        <w:spacing w:line="400" w:lineRule="exact"/>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备品备件采购与更换规范：中标后，中标人须依据本项目采购清单中详列的种类及数量要求，采购足额备品备件。针对无法修复的设备，中标人有责任及时予以更换，以保证设备的持续正常运行。更换所使用的备品备件，原则上必须与原有设备同品牌同型号；若原备品备件已历经更新换代，则必须选用性能更为优越、功能更加完善强大的替代产品，但在改型替代前，需向采购方进行报备，获得采购方批准后方可执行更换操作。所有经过更换的产品，其质保期不得低于3年。</w:t>
      </w:r>
    </w:p>
    <w:p w14:paraId="73D1F3C0">
      <w:pPr>
        <w:spacing w:line="400" w:lineRule="exact"/>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维护记录管理：中标人需建立规范的项目定期维护记录表及详尽的维护日志，对设备的启用、停用、大修、故障以及重要测试数据等信息进行妥善保存，以备后续查阅和追溯。</w:t>
      </w:r>
    </w:p>
    <w:p w14:paraId="58B744C7">
      <w:pPr>
        <w:spacing w:line="400" w:lineRule="exact"/>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设备维保工作保障：在维保工作过程中，中标人应全力确保所有维保设备处于良好的工作状态，满足并保障采购方的正常工作需求。在维保期间，维保设备的保管、损坏、更换等相关事宜均由中标人负责，并且由此产生的所有费用（除战争及重大自然灾害等不可抗力因素外）亦由中标人承担，采购方不再承担任何额外费用。</w:t>
      </w:r>
    </w:p>
    <w:p w14:paraId="307735EF">
      <w:pPr>
        <w:spacing w:line="400" w:lineRule="exact"/>
        <w:ind w:firstLine="482" w:firstLineChars="200"/>
        <w:rPr>
          <w:rFonts w:asciiTheme="minorEastAsia" w:hAnsiTheme="minorEastAsia" w:eastAsiaTheme="minorEastAsia" w:cstheme="minorEastAsia"/>
          <w:b/>
          <w:sz w:val="24"/>
          <w:highlight w:val="none"/>
          <w:lang w:val="zh-CN"/>
        </w:rPr>
      </w:pPr>
      <w:r>
        <w:rPr>
          <w:rFonts w:hint="eastAsia" w:asciiTheme="minorEastAsia" w:hAnsiTheme="minorEastAsia" w:eastAsiaTheme="minorEastAsia" w:cstheme="minorEastAsia"/>
          <w:b/>
          <w:sz w:val="24"/>
          <w:highlight w:val="none"/>
        </w:rPr>
        <w:t>2、现场派驻人员管理规定</w:t>
      </w:r>
      <w:r>
        <w:rPr>
          <w:rFonts w:hint="eastAsia" w:asciiTheme="minorEastAsia" w:hAnsiTheme="minorEastAsia" w:eastAsiaTheme="minorEastAsia" w:cstheme="minorEastAsia"/>
          <w:b/>
          <w:sz w:val="24"/>
          <w:highlight w:val="none"/>
          <w:lang w:val="zh-CN"/>
        </w:rPr>
        <w:t>：</w:t>
      </w:r>
    </w:p>
    <w:p w14:paraId="4753207E">
      <w:pPr>
        <w:spacing w:line="400" w:lineRule="exact"/>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派驻人员数量及职责：现场须常驻不少于</w:t>
      </w:r>
      <w:r>
        <w:rPr>
          <w:rFonts w:hint="eastAsia" w:asciiTheme="minorEastAsia" w:hAnsiTheme="minorEastAsia" w:eastAsiaTheme="minorEastAsia" w:cstheme="minorEastAsia"/>
          <w:bCs/>
          <w:sz w:val="24"/>
          <w:highlight w:val="none"/>
          <w:lang w:val="en-US" w:eastAsia="zh-CN"/>
        </w:rPr>
        <w:t>2</w:t>
      </w:r>
      <w:r>
        <w:rPr>
          <w:rFonts w:hint="eastAsia" w:asciiTheme="minorEastAsia" w:hAnsiTheme="minorEastAsia" w:eastAsiaTheme="minorEastAsia" w:cstheme="minorEastAsia"/>
          <w:bCs/>
          <w:sz w:val="24"/>
          <w:highlight w:val="none"/>
        </w:rPr>
        <w:t>名专业人员，负责处理分局设备的报修事宜，包括联系原厂或第三方进行维修，以及备件的订购工作。驻场团队需全天候7*24小时待命，随时响应各类服务需求。</w:t>
      </w:r>
    </w:p>
    <w:p w14:paraId="69EFBEAE">
      <w:pPr>
        <w:spacing w:line="400" w:lineRule="exact"/>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进场时间要求：驻场人员必须在项目竣工验收合格后的一周内全部到位。若未能按招标方要求配备足额人员或人员未能及时到岗，招标方将按每人每天250元的标准从当年度合同价款中扣除相应违约金。</w:t>
      </w:r>
    </w:p>
    <w:p w14:paraId="72A964C4">
      <w:pPr>
        <w:spacing w:line="400" w:lineRule="exact"/>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工作时间和应急响应：派驻人员的工作与休息安排应与分局同步，休息日及夜间亦需根据分局需求，提供不间断的7*24小时应急服务保障。</w:t>
      </w:r>
    </w:p>
    <w:p w14:paraId="6409B591">
      <w:pPr>
        <w:spacing w:line="400" w:lineRule="exact"/>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日常考核与纪律要求：派驻人员须纳入招标方的日常考核体系。若中标方未经招标方同意擅自更换人员、驻场时间不符合要求、不服从工作安排和监督或不遵守招标方的日常管理规范，每次通报将处以2000元罚款，并从当年度合同价款中扣除。对于屡教不改者，招标方保留进一步扣减合同余款的权利。</w:t>
      </w:r>
    </w:p>
    <w:p w14:paraId="794329A2">
      <w:pPr>
        <w:spacing w:line="400" w:lineRule="exact"/>
        <w:ind w:firstLine="480" w:firstLineChars="200"/>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Cs/>
          <w:sz w:val="24"/>
          <w:highlight w:val="none"/>
        </w:rPr>
        <w:t>人员稳定性与胜任能力：中标方不得擅自更换项目负责人及现场配备人员，否则招标方有权立即终止合同，并依法追究因合同终止给招标方带来的损失赔偿责任。若发现派驻人员不能胜任工作，招标方有权提出更换要求，直至派驻人员能够胜任现场工作为止。同时，对于不胜任的人员，招标方有权对中标方处以每人不少于5000元的处罚，并从当年度合同价款中扣除。</w:t>
      </w:r>
    </w:p>
    <w:p w14:paraId="5F2C95F9">
      <w:pPr>
        <w:spacing w:line="400" w:lineRule="exact"/>
        <w:ind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3、其他要求</w:t>
      </w:r>
    </w:p>
    <w:p w14:paraId="40EAEAA3">
      <w:pPr>
        <w:spacing w:line="400" w:lineRule="exact"/>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紧急保障应急方案：针对用户设备具体应用环境及需求，指定设备在遇到重大故障且可能影响使用时所要采取的应急处理方案，确保在设备发生故障时，能在最短时间内恢复正常。</w:t>
      </w:r>
    </w:p>
    <w:p w14:paraId="6A41360A">
      <w:pPr>
        <w:spacing w:line="400" w:lineRule="exact"/>
        <w:ind w:firstLine="480"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响应服务要求：在接到采购人的故障通知后5分钟内响应，需要现场维修的15分钟内到达现场，非工作时间1小时内到达。一般故障24小时内修复，特殊情况需更换配件且配件需临时采购的72小时内修复。中标人响应不及时，影响重特大案事件取证的，采购人有权全额没收履约保证金（约定性赔偿）并终止合同（视为中标人服务不能本质上达到采购人的招标需求）。</w:t>
      </w:r>
    </w:p>
    <w:p w14:paraId="379080B6">
      <w:pPr>
        <w:spacing w:line="400" w:lineRule="exact"/>
        <w:ind w:firstLine="480" w:firstLineChars="200"/>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 w:val="24"/>
          <w:highlight w:val="none"/>
        </w:rPr>
        <w:t>特别说明（要求）：中标人必须对采购人现有设备具有准确、及时的评估与安全防范措施。服务（维修、线路维保及设备维保）期内，中标人必须严格遵守有关操作规定与安全规定等相关要求。必须完全确保采购人现有设备处于良好的工作状态，必须完全确保并防止采购人的现有设备、工作人员等相关当事方出现安全事故（含对第三方产生的损害）。服务（维修、线路维保及设备维保）期内，因采购人现有设备产生的任何问题或安全事故（除战争及重大自然灾害以外，不计任何原因）均由中标人承担（采购人已完全委托给中标人，与采购人无关）。</w:t>
      </w:r>
    </w:p>
    <w:p w14:paraId="5A6A32AA">
      <w:pPr>
        <w:spacing w:line="400" w:lineRule="exact"/>
        <w:ind w:firstLine="482" w:firstLineChars="20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lang w:eastAsia="zh-CN"/>
        </w:rPr>
        <w:t>（</w:t>
      </w:r>
      <w:r>
        <w:rPr>
          <w:rFonts w:hint="eastAsia" w:asciiTheme="minorEastAsia" w:hAnsiTheme="minorEastAsia" w:eastAsiaTheme="minorEastAsia" w:cstheme="minorEastAsia"/>
          <w:b/>
          <w:sz w:val="24"/>
          <w:highlight w:val="none"/>
          <w:lang w:val="en-US" w:eastAsia="zh-CN"/>
        </w:rPr>
        <w:t>二）</w:t>
      </w:r>
      <w:r>
        <w:rPr>
          <w:rFonts w:hint="eastAsia" w:asciiTheme="minorEastAsia" w:hAnsiTheme="minorEastAsia" w:eastAsiaTheme="minorEastAsia" w:cstheme="minorEastAsia"/>
          <w:b/>
          <w:sz w:val="24"/>
          <w:highlight w:val="none"/>
        </w:rPr>
        <w:t>考核方法</w:t>
      </w:r>
    </w:p>
    <w:p w14:paraId="0B67EA1C">
      <w:pPr>
        <w:spacing w:line="400" w:lineRule="exact"/>
        <w:ind w:firstLine="482" w:firstLineChars="200"/>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
          <w:sz w:val="24"/>
          <w:highlight w:val="none"/>
        </w:rPr>
        <w:t>1、计分方式</w:t>
      </w:r>
    </w:p>
    <w:tbl>
      <w:tblPr>
        <w:tblStyle w:val="87"/>
        <w:tblW w:w="9012" w:type="dxa"/>
        <w:tblInd w:w="93" w:type="dxa"/>
        <w:tblLayout w:type="fixed"/>
        <w:tblCellMar>
          <w:top w:w="0" w:type="dxa"/>
          <w:left w:w="108" w:type="dxa"/>
          <w:bottom w:w="0" w:type="dxa"/>
          <w:right w:w="108" w:type="dxa"/>
        </w:tblCellMar>
      </w:tblPr>
      <w:tblGrid>
        <w:gridCol w:w="854"/>
        <w:gridCol w:w="4427"/>
        <w:gridCol w:w="2231"/>
        <w:gridCol w:w="656"/>
        <w:gridCol w:w="844"/>
      </w:tblGrid>
      <w:tr w14:paraId="2FCDB1BF">
        <w:tblPrEx>
          <w:tblCellMar>
            <w:top w:w="0" w:type="dxa"/>
            <w:left w:w="108" w:type="dxa"/>
            <w:bottom w:w="0" w:type="dxa"/>
            <w:right w:w="108" w:type="dxa"/>
          </w:tblCellMar>
        </w:tblPrEx>
        <w:trPr>
          <w:trHeight w:val="600"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B996B">
            <w:pPr>
              <w:widowControl/>
              <w:jc w:val="center"/>
              <w:textAlignment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项目</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5AEA9">
            <w:pPr>
              <w:widowControl/>
              <w:jc w:val="center"/>
              <w:textAlignment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标准要求</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47C5C">
            <w:pPr>
              <w:widowControl/>
              <w:jc w:val="center"/>
              <w:textAlignment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评分方法</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BCF3">
            <w:pPr>
              <w:widowControl/>
              <w:jc w:val="center"/>
              <w:textAlignment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分值</w:t>
            </w: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45162">
            <w:pPr>
              <w:widowControl/>
              <w:jc w:val="center"/>
              <w:textAlignment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考核情况</w:t>
            </w:r>
          </w:p>
        </w:tc>
      </w:tr>
      <w:tr w14:paraId="6D2C179A">
        <w:tblPrEx>
          <w:tblCellMar>
            <w:top w:w="0" w:type="dxa"/>
            <w:left w:w="108" w:type="dxa"/>
            <w:bottom w:w="0" w:type="dxa"/>
            <w:right w:w="108" w:type="dxa"/>
          </w:tblCellMar>
        </w:tblPrEx>
        <w:trPr>
          <w:trHeight w:val="617" w:hRule="atLeast"/>
        </w:trPr>
        <w:tc>
          <w:tcPr>
            <w:tcW w:w="52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FB8FE2">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一、保密责任（10分）</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E91B5">
            <w:pPr>
              <w:rPr>
                <w:rFonts w:asciiTheme="minorEastAsia" w:hAnsiTheme="minorEastAsia" w:eastAsiaTheme="minorEastAsia" w:cstheme="minorEastAsia"/>
                <w:szCs w:val="21"/>
                <w:highlight w:val="none"/>
              </w:rPr>
            </w:pP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A259A">
            <w:pPr>
              <w:rPr>
                <w:rFonts w:asciiTheme="minorEastAsia" w:hAnsiTheme="minorEastAsia" w:eastAsiaTheme="minorEastAsia" w:cstheme="minorEastAsia"/>
                <w:szCs w:val="21"/>
                <w:highlight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FCCE4">
            <w:pPr>
              <w:rPr>
                <w:rFonts w:asciiTheme="minorEastAsia" w:hAnsiTheme="minorEastAsia" w:eastAsiaTheme="minorEastAsia" w:cstheme="minorEastAsia"/>
                <w:szCs w:val="21"/>
                <w:highlight w:val="none"/>
              </w:rPr>
            </w:pPr>
          </w:p>
        </w:tc>
      </w:tr>
      <w:tr w14:paraId="5A6F469F">
        <w:tblPrEx>
          <w:tblCellMar>
            <w:top w:w="0" w:type="dxa"/>
            <w:left w:w="108" w:type="dxa"/>
            <w:bottom w:w="0" w:type="dxa"/>
            <w:right w:w="108" w:type="dxa"/>
          </w:tblCellMar>
        </w:tblPrEx>
        <w:trPr>
          <w:trHeight w:val="1220" w:hRule="atLeast"/>
        </w:trPr>
        <w:tc>
          <w:tcPr>
            <w:tcW w:w="52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DAEF66">
            <w:pPr>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t>驻场人员必须严格遵守保密协议，不得泄露任何涉密信息，并且不得将涉密设备接入互联网或其他公共信息网络。</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95A99">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如有发生，清退驻场人员，并扣10分/次。</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453E">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10</w:t>
            </w: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B83E5">
            <w:pPr>
              <w:rPr>
                <w:rFonts w:asciiTheme="minorEastAsia" w:hAnsiTheme="minorEastAsia" w:eastAsiaTheme="minorEastAsia" w:cstheme="minorEastAsia"/>
                <w:szCs w:val="21"/>
                <w:highlight w:val="none"/>
              </w:rPr>
            </w:pPr>
          </w:p>
        </w:tc>
      </w:tr>
      <w:tr w14:paraId="7D1ECD77">
        <w:tblPrEx>
          <w:tblCellMar>
            <w:top w:w="0" w:type="dxa"/>
            <w:left w:w="108" w:type="dxa"/>
            <w:bottom w:w="0" w:type="dxa"/>
            <w:right w:w="108" w:type="dxa"/>
          </w:tblCellMar>
        </w:tblPrEx>
        <w:trPr>
          <w:trHeight w:val="600" w:hRule="atLeast"/>
        </w:trPr>
        <w:tc>
          <w:tcPr>
            <w:tcW w:w="52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77DA14">
            <w:pPr>
              <w:widowControl/>
              <w:jc w:val="left"/>
              <w:textAlignment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二、综合管理指标（20分）</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8C68">
            <w:pPr>
              <w:rPr>
                <w:rFonts w:asciiTheme="minorEastAsia" w:hAnsiTheme="minorEastAsia" w:eastAsiaTheme="minorEastAsia" w:cstheme="minorEastAsia"/>
                <w:szCs w:val="21"/>
                <w:highlight w:val="none"/>
              </w:rPr>
            </w:pP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4157">
            <w:pPr>
              <w:rPr>
                <w:rFonts w:asciiTheme="minorEastAsia" w:hAnsiTheme="minorEastAsia" w:eastAsiaTheme="minorEastAsia" w:cstheme="minorEastAsia"/>
                <w:szCs w:val="21"/>
                <w:highlight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9D058">
            <w:pPr>
              <w:rPr>
                <w:rFonts w:asciiTheme="minorEastAsia" w:hAnsiTheme="minorEastAsia" w:eastAsiaTheme="minorEastAsia" w:cstheme="minorEastAsia"/>
                <w:szCs w:val="21"/>
                <w:highlight w:val="none"/>
              </w:rPr>
            </w:pPr>
          </w:p>
        </w:tc>
      </w:tr>
      <w:tr w14:paraId="5574BB0D">
        <w:tblPrEx>
          <w:tblCellMar>
            <w:top w:w="0" w:type="dxa"/>
            <w:left w:w="108" w:type="dxa"/>
            <w:bottom w:w="0" w:type="dxa"/>
            <w:right w:w="108" w:type="dxa"/>
          </w:tblCellMar>
        </w:tblPrEx>
        <w:trPr>
          <w:trHeight w:val="1340"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C77F4">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纪律</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DA3AB">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落实各项法律法规和规章制度，无迟到、早退、脱岗、玩游戏等违反分局规章制度的行为；工作场所保持清洁卫生，用品摆放整齐；驻场人员需服从甲方工作安排和监督，包括工作内容、工作时间等</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614D">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部门管理综合评分，发生旷工扣</w:t>
            </w:r>
            <w:r>
              <w:rPr>
                <w:rFonts w:hint="eastAsia" w:asciiTheme="minorEastAsia" w:hAnsiTheme="minorEastAsia" w:cstheme="minorEastAsia"/>
                <w:szCs w:val="21"/>
                <w:highlight w:val="none"/>
              </w:rPr>
              <w:t>3</w:t>
            </w:r>
            <w:r>
              <w:rPr>
                <w:rFonts w:hint="eastAsia" w:asciiTheme="minorEastAsia" w:hAnsiTheme="minorEastAsia" w:eastAsiaTheme="minorEastAsia" w:cstheme="minorEastAsia"/>
                <w:szCs w:val="21"/>
                <w:highlight w:val="none"/>
              </w:rPr>
              <w:t>分/</w:t>
            </w:r>
            <w:r>
              <w:rPr>
                <w:rFonts w:hint="eastAsia" w:asciiTheme="minorEastAsia" w:hAnsiTheme="minorEastAsia" w:cstheme="minorEastAsia"/>
                <w:szCs w:val="21"/>
                <w:highlight w:val="none"/>
              </w:rPr>
              <w:t>天，</w:t>
            </w:r>
            <w:r>
              <w:rPr>
                <w:rFonts w:hint="eastAsia" w:asciiTheme="minorEastAsia" w:hAnsiTheme="minorEastAsia" w:eastAsiaTheme="minorEastAsia" w:cstheme="minorEastAsia"/>
                <w:szCs w:val="21"/>
                <w:highlight w:val="none"/>
              </w:rPr>
              <w:t>迟到、早退、脱岗等现象的扣1分/次，不服从安排和监督的扣2分/次。</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AE4D">
            <w:pPr>
              <w:widowControl/>
              <w:jc w:val="center"/>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w:t>
            </w: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F70C9">
            <w:pPr>
              <w:rPr>
                <w:rFonts w:asciiTheme="minorEastAsia" w:hAnsiTheme="minorEastAsia" w:eastAsiaTheme="minorEastAsia" w:cstheme="minorEastAsia"/>
                <w:szCs w:val="21"/>
                <w:highlight w:val="none"/>
              </w:rPr>
            </w:pPr>
          </w:p>
        </w:tc>
      </w:tr>
      <w:tr w14:paraId="6B7FD00A">
        <w:tblPrEx>
          <w:tblCellMar>
            <w:top w:w="0" w:type="dxa"/>
            <w:left w:w="108" w:type="dxa"/>
            <w:bottom w:w="0" w:type="dxa"/>
            <w:right w:w="108" w:type="dxa"/>
          </w:tblCellMar>
        </w:tblPrEx>
        <w:trPr>
          <w:trHeight w:val="1340"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F824A">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协作能力</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CA30B">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工作积极、服务主动，服务满意度达95%以上。</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00A41">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满意度≥95%不扣分，每降低1%扣1分；因协作不好造成较大影响的扣2分/次。此项可累计扣分，不受总分影响。</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F09F2">
            <w:pPr>
              <w:widowControl/>
              <w:jc w:val="center"/>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10</w:t>
            </w: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9F359">
            <w:pPr>
              <w:rPr>
                <w:rFonts w:asciiTheme="minorEastAsia" w:hAnsiTheme="minorEastAsia" w:eastAsiaTheme="minorEastAsia" w:cstheme="minorEastAsia"/>
                <w:szCs w:val="21"/>
                <w:highlight w:val="none"/>
              </w:rPr>
            </w:pPr>
          </w:p>
        </w:tc>
      </w:tr>
      <w:tr w14:paraId="31B3D112">
        <w:tblPrEx>
          <w:tblCellMar>
            <w:top w:w="0" w:type="dxa"/>
            <w:left w:w="108" w:type="dxa"/>
            <w:bottom w:w="0" w:type="dxa"/>
            <w:right w:w="108" w:type="dxa"/>
          </w:tblCellMar>
        </w:tblPrEx>
        <w:trPr>
          <w:trHeight w:val="1221"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82808">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服务形象</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91DF">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工作认真负责，巡检设备细心到位，落实规范服务、岗位特色服务和令人感动服务。</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6DF24">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工作人员仪表、仪容、语言沟通、行为等不符合规范要求扣1分/次。</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FA568">
            <w:pPr>
              <w:widowControl/>
              <w:jc w:val="center"/>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w:t>
            </w: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F2CE7">
            <w:pPr>
              <w:rPr>
                <w:rFonts w:asciiTheme="minorEastAsia" w:hAnsiTheme="minorEastAsia" w:eastAsiaTheme="minorEastAsia" w:cstheme="minorEastAsia"/>
                <w:szCs w:val="21"/>
                <w:highlight w:val="none"/>
              </w:rPr>
            </w:pPr>
          </w:p>
        </w:tc>
      </w:tr>
      <w:tr w14:paraId="0994872A">
        <w:tblPrEx>
          <w:tblCellMar>
            <w:top w:w="0" w:type="dxa"/>
            <w:left w:w="108" w:type="dxa"/>
            <w:bottom w:w="0" w:type="dxa"/>
            <w:right w:w="108" w:type="dxa"/>
          </w:tblCellMar>
        </w:tblPrEx>
        <w:trPr>
          <w:trHeight w:val="600" w:hRule="atLeast"/>
        </w:trPr>
        <w:tc>
          <w:tcPr>
            <w:tcW w:w="52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C07CDD">
            <w:pPr>
              <w:widowControl/>
              <w:jc w:val="left"/>
              <w:textAlignment w:val="center"/>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三、履行职能指标（70分）</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8FEB">
            <w:pPr>
              <w:rPr>
                <w:rFonts w:asciiTheme="minorEastAsia" w:hAnsiTheme="minorEastAsia" w:eastAsiaTheme="minorEastAsia" w:cstheme="minorEastAsia"/>
                <w:szCs w:val="21"/>
                <w:highlight w:val="none"/>
              </w:rPr>
            </w:pP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1DE0">
            <w:pPr>
              <w:rPr>
                <w:rFonts w:asciiTheme="minorEastAsia" w:hAnsiTheme="minorEastAsia" w:eastAsiaTheme="minorEastAsia" w:cstheme="minorEastAsia"/>
                <w:szCs w:val="21"/>
                <w:highlight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0E888">
            <w:pPr>
              <w:rPr>
                <w:rFonts w:asciiTheme="minorEastAsia" w:hAnsiTheme="minorEastAsia" w:eastAsiaTheme="minorEastAsia" w:cstheme="minorEastAsia"/>
                <w:szCs w:val="21"/>
                <w:highlight w:val="none"/>
              </w:rPr>
            </w:pPr>
          </w:p>
        </w:tc>
      </w:tr>
      <w:tr w14:paraId="50D12709">
        <w:tblPrEx>
          <w:tblCellMar>
            <w:top w:w="0" w:type="dxa"/>
            <w:left w:w="108" w:type="dxa"/>
            <w:bottom w:w="0" w:type="dxa"/>
            <w:right w:w="108" w:type="dxa"/>
          </w:tblCellMar>
        </w:tblPrEx>
        <w:trPr>
          <w:trHeight w:val="3800"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76DEB">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维修服务</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3A56">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能对维修申请进行快速响应，应急处置及时。</w:t>
            </w:r>
            <w:r>
              <w:rPr>
                <w:rFonts w:hint="eastAsia" w:asciiTheme="minorEastAsia" w:hAnsiTheme="minorEastAsia" w:eastAsiaTheme="minorEastAsia" w:cstheme="minorEastAsia"/>
                <w:szCs w:val="21"/>
                <w:highlight w:val="none"/>
              </w:rPr>
              <w:br w:type="textWrapping"/>
            </w:r>
            <w:r>
              <w:rPr>
                <w:rFonts w:hint="eastAsia" w:asciiTheme="minorEastAsia" w:hAnsiTheme="minorEastAsia" w:cstheme="minorEastAsia"/>
                <w:szCs w:val="21"/>
                <w:highlight w:val="none"/>
              </w:rPr>
              <w:t>1.</w:t>
            </w:r>
            <w:r>
              <w:rPr>
                <w:rFonts w:hint="eastAsia" w:asciiTheme="minorEastAsia" w:hAnsiTheme="minorEastAsia" w:eastAsiaTheme="minorEastAsia" w:cstheme="minorEastAsia"/>
                <w:szCs w:val="21"/>
                <w:highlight w:val="none"/>
              </w:rPr>
              <w:t>响应时间：接到采购人的故障通知后5分钟内响应，需要现场维修的15分钟内到达现场，非工作时间1小时内到达。</w:t>
            </w:r>
            <w:r>
              <w:rPr>
                <w:rFonts w:hint="eastAsia" w:asciiTheme="minorEastAsia" w:hAnsiTheme="minorEastAsia" w:eastAsiaTheme="minorEastAsia" w:cstheme="minorEastAsia"/>
                <w:szCs w:val="21"/>
                <w:highlight w:val="none"/>
              </w:rPr>
              <w:br w:type="textWrapping"/>
            </w:r>
            <w:r>
              <w:rPr>
                <w:rFonts w:hint="eastAsia" w:asciiTheme="minorEastAsia" w:hAnsiTheme="minorEastAsia" w:cstheme="minorEastAsia"/>
                <w:szCs w:val="21"/>
                <w:highlight w:val="none"/>
              </w:rPr>
              <w:t>2.</w:t>
            </w:r>
            <w:r>
              <w:rPr>
                <w:rFonts w:hint="eastAsia" w:asciiTheme="minorEastAsia" w:hAnsiTheme="minorEastAsia" w:eastAsiaTheme="minorEastAsia" w:cstheme="minorEastAsia"/>
                <w:szCs w:val="21"/>
                <w:highlight w:val="none"/>
              </w:rPr>
              <w:t>修复时间：一般故障24小时内修复，特殊情况需更换配件且配件需临时采购的72小时内修复。</w:t>
            </w:r>
            <w:r>
              <w:rPr>
                <w:rFonts w:hint="eastAsia" w:asciiTheme="minorEastAsia" w:hAnsiTheme="minorEastAsia" w:eastAsiaTheme="minorEastAsia" w:cstheme="minorEastAsia"/>
                <w:szCs w:val="21"/>
                <w:highlight w:val="none"/>
              </w:rPr>
              <w:br w:type="textWrapping"/>
            </w:r>
            <w:r>
              <w:rPr>
                <w:rFonts w:hint="eastAsia" w:asciiTheme="minorEastAsia" w:hAnsiTheme="minorEastAsia" w:cstheme="minorEastAsia"/>
                <w:szCs w:val="21"/>
                <w:highlight w:val="none"/>
              </w:rPr>
              <w:t>3.</w:t>
            </w:r>
            <w:r>
              <w:rPr>
                <w:rFonts w:hint="eastAsia" w:asciiTheme="minorEastAsia" w:hAnsiTheme="minorEastAsia" w:eastAsiaTheme="minorEastAsia" w:cstheme="minorEastAsia"/>
                <w:szCs w:val="21"/>
                <w:highlight w:val="none"/>
              </w:rPr>
              <w:t>按月周期内同故障连续出现3次及超过72小时不能修复的，招标人可直接向其他服务商要求维修，费用由中标方承担</w:t>
            </w:r>
            <w:r>
              <w:rPr>
                <w:rFonts w:hint="eastAsia" w:asciiTheme="minorEastAsia" w:hAnsiTheme="minorEastAsia" w:cstheme="minorEastAsia"/>
                <w:szCs w:val="21"/>
                <w:highlight w:val="none"/>
              </w:rPr>
              <w:t>（否则</w:t>
            </w:r>
            <w:r>
              <w:rPr>
                <w:rFonts w:hint="eastAsia" w:asciiTheme="minorEastAsia" w:hAnsiTheme="minorEastAsia" w:eastAsiaTheme="minorEastAsia" w:cstheme="minorEastAsia"/>
                <w:szCs w:val="21"/>
                <w:highlight w:val="none"/>
              </w:rPr>
              <w:t>在服务费中直接扣除</w:t>
            </w:r>
            <w:r>
              <w:rPr>
                <w:rFonts w:hint="eastAsia" w:asciiTheme="minorEastAsia" w:hAnsiTheme="minorEastAsia" w:cstheme="minorEastAsia"/>
                <w:szCs w:val="21"/>
                <w:highlight w:val="none"/>
              </w:rPr>
              <w:t>）</w:t>
            </w:r>
            <w:r>
              <w:rPr>
                <w:rFonts w:hint="eastAsia" w:asciiTheme="minorEastAsia" w:hAnsiTheme="minorEastAsia" w:eastAsiaTheme="minorEastAsia" w:cstheme="minorEastAsia"/>
                <w:szCs w:val="21"/>
                <w:highlight w:val="none"/>
              </w:rPr>
              <w:t>。</w:t>
            </w:r>
            <w:r>
              <w:rPr>
                <w:rFonts w:hint="eastAsia" w:asciiTheme="minorEastAsia" w:hAnsiTheme="minorEastAsia" w:eastAsiaTheme="minorEastAsia" w:cstheme="minorEastAsia"/>
                <w:szCs w:val="21"/>
                <w:highlight w:val="none"/>
              </w:rPr>
              <w:br w:type="textWrapping"/>
            </w:r>
            <w:r>
              <w:rPr>
                <w:rFonts w:hint="eastAsia" w:asciiTheme="minorEastAsia" w:hAnsiTheme="minorEastAsia" w:cstheme="minorEastAsia"/>
                <w:szCs w:val="21"/>
                <w:highlight w:val="none"/>
              </w:rPr>
              <w:t>4.</w:t>
            </w:r>
            <w:r>
              <w:rPr>
                <w:rFonts w:hint="eastAsia" w:asciiTheme="minorEastAsia" w:hAnsiTheme="minorEastAsia" w:eastAsiaTheme="minorEastAsia" w:cstheme="minorEastAsia"/>
                <w:szCs w:val="21"/>
                <w:highlight w:val="none"/>
              </w:rPr>
              <w:t>所有配件如需更换均应使用原厂或满足原厂条件的备件。</w:t>
            </w:r>
            <w:r>
              <w:rPr>
                <w:rFonts w:hint="eastAsia" w:asciiTheme="minorEastAsia" w:hAnsiTheme="minorEastAsia" w:eastAsiaTheme="minorEastAsia" w:cstheme="minorEastAsia"/>
                <w:szCs w:val="21"/>
                <w:highlight w:val="none"/>
              </w:rPr>
              <w:br w:type="textWrapping"/>
            </w:r>
            <w:r>
              <w:rPr>
                <w:rFonts w:hint="eastAsia" w:asciiTheme="minorEastAsia" w:hAnsiTheme="minorEastAsia" w:cstheme="minorEastAsia"/>
                <w:szCs w:val="21"/>
                <w:highlight w:val="none"/>
              </w:rPr>
              <w:t>5.</w:t>
            </w:r>
            <w:r>
              <w:rPr>
                <w:rFonts w:hint="eastAsia" w:asciiTheme="minorEastAsia" w:hAnsiTheme="minorEastAsia" w:eastAsiaTheme="minorEastAsia" w:cstheme="minorEastAsia"/>
                <w:szCs w:val="21"/>
                <w:highlight w:val="none"/>
              </w:rPr>
              <w:t>维修记录完善，有使用部门确认和评价。</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55F54">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未在要求时间内响应扣2分/次；没有完整维修记录扣1分/次。</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8D58">
            <w:pPr>
              <w:widowControl/>
              <w:jc w:val="center"/>
              <w:textAlignment w:val="center"/>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3</w:t>
            </w:r>
            <w:r>
              <w:rPr>
                <w:rFonts w:hint="eastAsia" w:asciiTheme="minorEastAsia" w:hAnsiTheme="minorEastAsia" w:eastAsiaTheme="minorEastAsia" w:cstheme="minorEastAsia"/>
                <w:szCs w:val="21"/>
                <w:highlight w:val="none"/>
                <w:lang w:val="en-US" w:eastAsia="zh-CN"/>
              </w:rPr>
              <w:t>0</w:t>
            </w: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B1195">
            <w:pPr>
              <w:rPr>
                <w:rFonts w:asciiTheme="minorEastAsia" w:hAnsiTheme="minorEastAsia" w:eastAsiaTheme="minorEastAsia" w:cstheme="minorEastAsia"/>
                <w:szCs w:val="21"/>
                <w:highlight w:val="none"/>
              </w:rPr>
            </w:pPr>
          </w:p>
        </w:tc>
      </w:tr>
      <w:tr w14:paraId="48FAA2CC">
        <w:tblPrEx>
          <w:tblCellMar>
            <w:top w:w="0" w:type="dxa"/>
            <w:left w:w="108" w:type="dxa"/>
            <w:bottom w:w="0" w:type="dxa"/>
            <w:right w:w="108" w:type="dxa"/>
          </w:tblCellMar>
        </w:tblPrEx>
        <w:trPr>
          <w:trHeight w:val="5020"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8F89">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巡检、保养</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255B">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编制分局设备的巡检保养执行计划，确定巡检保养的具体内容、周期并制定相应计划与流程，根据计划实施巡检保养并做好相应记录。</w:t>
            </w:r>
            <w:r>
              <w:rPr>
                <w:rFonts w:hint="eastAsia" w:asciiTheme="minorEastAsia" w:hAnsiTheme="minorEastAsia" w:eastAsiaTheme="minorEastAsia" w:cstheme="minorEastAsia"/>
                <w:szCs w:val="21"/>
                <w:highlight w:val="none"/>
              </w:rPr>
              <w:br w:type="textWrapping"/>
            </w:r>
            <w:r>
              <w:rPr>
                <w:rFonts w:hint="eastAsia" w:asciiTheme="minorEastAsia" w:hAnsiTheme="minorEastAsia" w:cstheme="minorEastAsia"/>
                <w:szCs w:val="21"/>
                <w:highlight w:val="none"/>
              </w:rPr>
              <w:t>1.</w:t>
            </w:r>
            <w:r>
              <w:rPr>
                <w:rFonts w:hint="eastAsia" w:asciiTheme="minorEastAsia" w:hAnsiTheme="minorEastAsia" w:eastAsiaTheme="minorEastAsia" w:cstheme="minorEastAsia"/>
                <w:szCs w:val="21"/>
                <w:highlight w:val="none"/>
              </w:rPr>
              <w:t>定期巡检：对设备进行定期除尘和清洁，对分局设备的风险等级、运行情况、磨损和老化程度进行检查，以便早期发现设备存在的隐患并及时进行处理，避免或减少突发故障，减少设备故障率，提高设备使用率。</w:t>
            </w:r>
            <w:r>
              <w:rPr>
                <w:rFonts w:hint="eastAsia" w:asciiTheme="minorEastAsia" w:hAnsiTheme="minorEastAsia" w:eastAsiaTheme="minorEastAsia" w:cstheme="minorEastAsia"/>
                <w:szCs w:val="21"/>
                <w:highlight w:val="none"/>
              </w:rPr>
              <w:br w:type="textWrapping"/>
            </w:r>
            <w:r>
              <w:rPr>
                <w:rFonts w:hint="eastAsia" w:asciiTheme="minorEastAsia" w:hAnsiTheme="minorEastAsia" w:cstheme="minorEastAsia"/>
                <w:szCs w:val="21"/>
                <w:highlight w:val="none"/>
              </w:rPr>
              <w:t>2.</w:t>
            </w:r>
            <w:r>
              <w:rPr>
                <w:rFonts w:hint="eastAsia" w:asciiTheme="minorEastAsia" w:hAnsiTheme="minorEastAsia" w:eastAsiaTheme="minorEastAsia" w:cstheme="minorEastAsia"/>
                <w:szCs w:val="21"/>
                <w:highlight w:val="none"/>
              </w:rPr>
              <w:t>巡检周期：大屏、会议系统等常用设备每</w:t>
            </w:r>
            <w:r>
              <w:rPr>
                <w:rFonts w:hint="eastAsia" w:asciiTheme="minorEastAsia" w:hAnsiTheme="minorEastAsia" w:cstheme="minorEastAsia"/>
                <w:szCs w:val="21"/>
                <w:highlight w:val="none"/>
              </w:rPr>
              <w:t>周</w:t>
            </w:r>
            <w:r>
              <w:rPr>
                <w:rFonts w:hint="eastAsia" w:asciiTheme="minorEastAsia" w:hAnsiTheme="minorEastAsia" w:eastAsiaTheme="minorEastAsia" w:cstheme="minorEastAsia"/>
                <w:szCs w:val="21"/>
                <w:highlight w:val="none"/>
              </w:rPr>
              <w:t>至少巡检</w:t>
            </w:r>
            <w:r>
              <w:rPr>
                <w:rFonts w:hint="eastAsia" w:asciiTheme="minorEastAsia" w:hAnsiTheme="minorEastAsia" w:cstheme="minorEastAsia"/>
                <w:szCs w:val="21"/>
                <w:highlight w:val="none"/>
              </w:rPr>
              <w:t>两</w:t>
            </w:r>
            <w:r>
              <w:rPr>
                <w:rFonts w:hint="eastAsia" w:asciiTheme="minorEastAsia" w:hAnsiTheme="minorEastAsia" w:eastAsiaTheme="minorEastAsia" w:cstheme="minorEastAsia"/>
                <w:szCs w:val="21"/>
                <w:highlight w:val="none"/>
              </w:rPr>
              <w:t>次，其他设备</w:t>
            </w:r>
            <w:r>
              <w:rPr>
                <w:rFonts w:hint="eastAsia" w:asciiTheme="minorEastAsia" w:hAnsiTheme="minorEastAsia" w:cstheme="minorEastAsia"/>
                <w:szCs w:val="21"/>
                <w:highlight w:val="none"/>
              </w:rPr>
              <w:t>、系统</w:t>
            </w:r>
            <w:r>
              <w:rPr>
                <w:rFonts w:hint="eastAsia" w:asciiTheme="minorEastAsia" w:hAnsiTheme="minorEastAsia" w:eastAsiaTheme="minorEastAsia" w:cstheme="minorEastAsia"/>
                <w:szCs w:val="21"/>
                <w:highlight w:val="none"/>
              </w:rPr>
              <w:t>每</w:t>
            </w:r>
            <w:r>
              <w:rPr>
                <w:rFonts w:hint="eastAsia" w:asciiTheme="minorEastAsia" w:hAnsiTheme="minorEastAsia" w:cstheme="minorEastAsia"/>
                <w:szCs w:val="21"/>
                <w:highlight w:val="none"/>
              </w:rPr>
              <w:t>半</w:t>
            </w:r>
            <w:r>
              <w:rPr>
                <w:rFonts w:hint="eastAsia" w:asciiTheme="minorEastAsia" w:hAnsiTheme="minorEastAsia" w:eastAsiaTheme="minorEastAsia" w:cstheme="minorEastAsia"/>
                <w:szCs w:val="21"/>
                <w:highlight w:val="none"/>
              </w:rPr>
              <w:t>月至少巡检一次。</w:t>
            </w:r>
            <w:r>
              <w:rPr>
                <w:rFonts w:hint="eastAsia" w:asciiTheme="minorEastAsia" w:hAnsiTheme="minorEastAsia" w:eastAsiaTheme="minorEastAsia" w:cstheme="minorEastAsia"/>
                <w:szCs w:val="21"/>
                <w:highlight w:val="none"/>
              </w:rPr>
              <w:br w:type="textWrapping"/>
            </w:r>
            <w:r>
              <w:rPr>
                <w:rFonts w:hint="eastAsia" w:asciiTheme="minorEastAsia" w:hAnsiTheme="minorEastAsia" w:eastAsiaTheme="minorEastAsia" w:cstheme="minorEastAsia"/>
                <w:szCs w:val="21"/>
                <w:highlight w:val="none"/>
              </w:rPr>
              <w:t>巡检内容：设备外观检查、设备开机运行状态（功能、性能、噪音、电池寿命等）检查等</w:t>
            </w:r>
            <w:r>
              <w:rPr>
                <w:rFonts w:hint="eastAsia" w:asciiTheme="minorEastAsia" w:hAnsiTheme="minorEastAsia" w:cstheme="minorEastAsia"/>
                <w:szCs w:val="21"/>
                <w:highlight w:val="none"/>
              </w:rPr>
              <w:t>，软件平台运行情况，数据备份等</w:t>
            </w:r>
            <w:r>
              <w:rPr>
                <w:rFonts w:hint="eastAsia" w:asciiTheme="minorEastAsia" w:hAnsiTheme="minorEastAsia" w:eastAsiaTheme="minorEastAsia" w:cstheme="minorEastAsia"/>
                <w:szCs w:val="21"/>
                <w:highlight w:val="none"/>
              </w:rPr>
              <w:t>。</w:t>
            </w:r>
            <w:r>
              <w:rPr>
                <w:rFonts w:hint="eastAsia" w:asciiTheme="minorEastAsia" w:hAnsiTheme="minorEastAsia" w:eastAsiaTheme="minorEastAsia" w:cstheme="minorEastAsia"/>
                <w:szCs w:val="21"/>
                <w:highlight w:val="none"/>
              </w:rPr>
              <w:br w:type="textWrapping"/>
            </w:r>
            <w:r>
              <w:rPr>
                <w:rFonts w:hint="eastAsia" w:asciiTheme="minorEastAsia" w:hAnsiTheme="minorEastAsia" w:cstheme="minorEastAsia"/>
                <w:szCs w:val="21"/>
                <w:highlight w:val="none"/>
              </w:rPr>
              <w:t>3.</w:t>
            </w:r>
            <w:r>
              <w:rPr>
                <w:rFonts w:hint="eastAsia" w:asciiTheme="minorEastAsia" w:hAnsiTheme="minorEastAsia" w:eastAsiaTheme="minorEastAsia" w:cstheme="minorEastAsia"/>
                <w:szCs w:val="21"/>
                <w:highlight w:val="none"/>
              </w:rPr>
              <w:t>巡检记录：巡检人员应定期记录设备使用当前的状态，同时询问设备日常使用人员有关设备的日常使用与保养的情况，做好相关记录，有问题及时处理。</w:t>
            </w:r>
            <w:r>
              <w:rPr>
                <w:rFonts w:hint="eastAsia" w:asciiTheme="minorEastAsia" w:hAnsiTheme="minorEastAsia" w:eastAsiaTheme="minorEastAsia" w:cstheme="minorEastAsia"/>
                <w:szCs w:val="21"/>
                <w:highlight w:val="none"/>
              </w:rPr>
              <w:br w:type="textWrapping"/>
            </w:r>
            <w:r>
              <w:rPr>
                <w:rFonts w:hint="eastAsia" w:asciiTheme="minorEastAsia" w:hAnsiTheme="minorEastAsia" w:cstheme="minorEastAsia"/>
                <w:szCs w:val="21"/>
                <w:highlight w:val="none"/>
              </w:rPr>
              <w:t>4.</w:t>
            </w:r>
            <w:r>
              <w:rPr>
                <w:rFonts w:hint="eastAsia" w:asciiTheme="minorEastAsia" w:hAnsiTheme="minorEastAsia" w:eastAsiaTheme="minorEastAsia" w:cstheme="minorEastAsia"/>
                <w:szCs w:val="21"/>
                <w:highlight w:val="none"/>
              </w:rPr>
              <w:t>按要求做好记录，并定期不定期分析汇总，相关资料及时归档。</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C7E24">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未制定巡检保养计划</w:t>
            </w:r>
            <w:r>
              <w:rPr>
                <w:rFonts w:hint="eastAsia" w:asciiTheme="minorEastAsia" w:hAnsiTheme="minorEastAsia" w:cstheme="minorEastAsia"/>
                <w:szCs w:val="21"/>
                <w:highlight w:val="none"/>
              </w:rPr>
              <w:t>扣10分</w:t>
            </w:r>
            <w:r>
              <w:rPr>
                <w:rFonts w:hint="eastAsia" w:asciiTheme="minorEastAsia" w:hAnsiTheme="minorEastAsia" w:eastAsiaTheme="minorEastAsia" w:cstheme="minorEastAsia"/>
                <w:szCs w:val="21"/>
                <w:highlight w:val="none"/>
              </w:rPr>
              <w:t>；未按计划落实扣2分/</w:t>
            </w:r>
            <w:r>
              <w:rPr>
                <w:rFonts w:hint="eastAsia" w:asciiTheme="minorEastAsia" w:hAnsiTheme="minorEastAsia" w:cstheme="minorEastAsia"/>
                <w:szCs w:val="21"/>
                <w:highlight w:val="none"/>
              </w:rPr>
              <w:t>项</w:t>
            </w:r>
            <w:r>
              <w:rPr>
                <w:rFonts w:hint="eastAsia" w:asciiTheme="minorEastAsia" w:hAnsiTheme="minorEastAsia" w:eastAsiaTheme="minorEastAsia" w:cstheme="minorEastAsia"/>
                <w:szCs w:val="21"/>
                <w:highlight w:val="none"/>
              </w:rPr>
              <w:t>。</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D7D4">
            <w:pPr>
              <w:widowControl/>
              <w:jc w:val="center"/>
              <w:textAlignment w:val="center"/>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3</w:t>
            </w:r>
            <w:r>
              <w:rPr>
                <w:rFonts w:hint="eastAsia" w:asciiTheme="minorEastAsia" w:hAnsiTheme="minorEastAsia" w:eastAsiaTheme="minorEastAsia" w:cstheme="minorEastAsia"/>
                <w:szCs w:val="21"/>
                <w:highlight w:val="none"/>
                <w:lang w:val="en-US" w:eastAsia="zh-CN"/>
              </w:rPr>
              <w:t>0</w:t>
            </w: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89CFF">
            <w:pPr>
              <w:rPr>
                <w:rFonts w:asciiTheme="minorEastAsia" w:hAnsiTheme="minorEastAsia" w:eastAsiaTheme="minorEastAsia" w:cstheme="minorEastAsia"/>
                <w:szCs w:val="21"/>
                <w:highlight w:val="none"/>
              </w:rPr>
            </w:pPr>
          </w:p>
        </w:tc>
      </w:tr>
      <w:tr w14:paraId="563F3F0C">
        <w:tblPrEx>
          <w:tblCellMar>
            <w:top w:w="0" w:type="dxa"/>
            <w:left w:w="108" w:type="dxa"/>
            <w:bottom w:w="0" w:type="dxa"/>
            <w:right w:w="108" w:type="dxa"/>
          </w:tblCellMar>
        </w:tblPrEx>
        <w:trPr>
          <w:trHeight w:val="1220"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0B947">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管理记录</w:t>
            </w:r>
          </w:p>
        </w:tc>
        <w:tc>
          <w:tcPr>
            <w:tcW w:w="44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11A98">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设备资产管理、维修管理、保养管理﹑特殊设备管理等记录填写准确、完整、符实。</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79947">
            <w:pPr>
              <w:widowControl/>
              <w:jc w:val="left"/>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发现设备维修、维护记录不规范、不全扣1分/次。</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7EC7E">
            <w:pPr>
              <w:widowControl/>
              <w:jc w:val="center"/>
              <w:textAlignment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10</w:t>
            </w: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43565">
            <w:pPr>
              <w:rPr>
                <w:rFonts w:asciiTheme="minorEastAsia" w:hAnsiTheme="minorEastAsia" w:eastAsiaTheme="minorEastAsia" w:cstheme="minorEastAsia"/>
                <w:szCs w:val="21"/>
                <w:highlight w:val="none"/>
              </w:rPr>
            </w:pPr>
          </w:p>
        </w:tc>
      </w:tr>
      <w:tr w14:paraId="079CA560">
        <w:tblPrEx>
          <w:tblCellMar>
            <w:top w:w="0" w:type="dxa"/>
            <w:left w:w="108" w:type="dxa"/>
            <w:bottom w:w="0" w:type="dxa"/>
            <w:right w:w="108" w:type="dxa"/>
          </w:tblCellMar>
        </w:tblPrEx>
        <w:trPr>
          <w:trHeight w:val="554" w:hRule="atLeast"/>
        </w:trPr>
        <w:tc>
          <w:tcPr>
            <w:tcW w:w="52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F136DF">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四、奖励</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A15E">
            <w:pPr>
              <w:rPr>
                <w:rFonts w:asciiTheme="minorEastAsia" w:hAnsiTheme="minorEastAsia" w:eastAsiaTheme="minorEastAsia" w:cstheme="minorEastAsia"/>
                <w:szCs w:val="21"/>
                <w:highlight w:val="none"/>
              </w:rPr>
            </w:pP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33A92">
            <w:pPr>
              <w:jc w:val="center"/>
              <w:rPr>
                <w:rFonts w:asciiTheme="minorEastAsia" w:hAnsiTheme="minorEastAsia" w:eastAsiaTheme="minorEastAsia" w:cstheme="minorEastAsia"/>
                <w:szCs w:val="21"/>
                <w:highlight w:val="none"/>
              </w:rPr>
            </w:pP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35409">
            <w:pPr>
              <w:rPr>
                <w:rFonts w:asciiTheme="minorEastAsia" w:hAnsiTheme="minorEastAsia" w:eastAsiaTheme="minorEastAsia" w:cstheme="minorEastAsia"/>
                <w:szCs w:val="21"/>
                <w:highlight w:val="none"/>
              </w:rPr>
            </w:pPr>
          </w:p>
        </w:tc>
      </w:tr>
      <w:tr w14:paraId="73900F05">
        <w:tblPrEx>
          <w:tblCellMar>
            <w:top w:w="0" w:type="dxa"/>
            <w:left w:w="108" w:type="dxa"/>
            <w:bottom w:w="0" w:type="dxa"/>
            <w:right w:w="108" w:type="dxa"/>
          </w:tblCellMar>
        </w:tblPrEx>
        <w:trPr>
          <w:trHeight w:val="1220" w:hRule="atLeast"/>
        </w:trPr>
        <w:tc>
          <w:tcPr>
            <w:tcW w:w="528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78DA7C">
            <w:pPr>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t>故障处理及时，技术过硬，素质全面，表现突出</w:t>
            </w:r>
            <w:r>
              <w:rPr>
                <w:rFonts w:hint="eastAsia" w:asciiTheme="minorEastAsia" w:hAnsiTheme="minorEastAsia" w:eastAsiaTheme="minorEastAsia" w:cstheme="minorEastAsia"/>
                <w:szCs w:val="21"/>
                <w:highlight w:val="none"/>
              </w:rPr>
              <w:t>；全年未发生安全事故；其它方面表现好的。</w:t>
            </w:r>
          </w:p>
        </w:tc>
        <w:tc>
          <w:tcPr>
            <w:tcW w:w="22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C9A5">
            <w:pP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酌情加分，最多加5分</w:t>
            </w:r>
          </w:p>
        </w:tc>
        <w:tc>
          <w:tcPr>
            <w:tcW w:w="6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33571">
            <w:pPr>
              <w:jc w:val="center"/>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w:t>
            </w:r>
          </w:p>
        </w:tc>
        <w:tc>
          <w:tcPr>
            <w:tcW w:w="8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EFEA2">
            <w:pPr>
              <w:rPr>
                <w:rFonts w:asciiTheme="minorEastAsia" w:hAnsiTheme="minorEastAsia" w:eastAsiaTheme="minorEastAsia" w:cstheme="minorEastAsia"/>
                <w:szCs w:val="21"/>
                <w:highlight w:val="none"/>
              </w:rPr>
            </w:pPr>
          </w:p>
        </w:tc>
      </w:tr>
    </w:tbl>
    <w:p w14:paraId="159E18A0">
      <w:pPr>
        <w:spacing w:line="400" w:lineRule="exact"/>
        <w:ind w:firstLine="480" w:firstLineChars="200"/>
        <w:rPr>
          <w:rFonts w:asciiTheme="minorEastAsia" w:hAnsiTheme="minorEastAsia" w:eastAsiaTheme="minorEastAsia" w:cstheme="minorEastAsia"/>
          <w:bCs/>
          <w:sz w:val="24"/>
          <w:highlight w:val="none"/>
        </w:rPr>
      </w:pPr>
    </w:p>
    <w:p w14:paraId="20613D4D">
      <w:pPr>
        <w:spacing w:line="400" w:lineRule="exact"/>
        <w:ind w:firstLine="480" w:firstLineChars="200"/>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说明：各项数据以工作处理单或故障诊断系统数据为准。</w:t>
      </w:r>
    </w:p>
    <w:p w14:paraId="44B4BF41">
      <w:pPr>
        <w:spacing w:line="520" w:lineRule="exact"/>
        <w:ind w:firstLine="480" w:firstLineChars="200"/>
        <w:rPr>
          <w:rFonts w:ascii="Times New Roman" w:hAnsi="Times New Roman"/>
          <w:sz w:val="24"/>
          <w:highlight w:val="none"/>
        </w:rPr>
      </w:pPr>
      <w:r>
        <w:rPr>
          <w:rFonts w:hint="eastAsia" w:ascii="Times New Roman" w:hAnsi="Times New Roman"/>
          <w:sz w:val="24"/>
          <w:highlight w:val="none"/>
          <w:lang w:val="en-US" w:eastAsia="zh-CN"/>
        </w:rPr>
        <w:t>1.1</w:t>
      </w:r>
      <w:r>
        <w:rPr>
          <w:rFonts w:ascii="Times New Roman" w:hAnsi="Times New Roman"/>
          <w:sz w:val="24"/>
          <w:highlight w:val="none"/>
        </w:rPr>
        <w:t>当95分≤考评结果，实际付款金额=应付金额*100%；</w:t>
      </w:r>
    </w:p>
    <w:p w14:paraId="101B1F54">
      <w:pPr>
        <w:spacing w:line="520" w:lineRule="exact"/>
        <w:ind w:firstLine="480" w:firstLineChars="200"/>
        <w:rPr>
          <w:rFonts w:ascii="Times New Roman" w:hAnsi="Times New Roman"/>
          <w:sz w:val="24"/>
          <w:highlight w:val="none"/>
        </w:rPr>
      </w:pPr>
      <w:r>
        <w:rPr>
          <w:rFonts w:hint="eastAsia" w:ascii="Times New Roman" w:hAnsi="Times New Roman"/>
          <w:sz w:val="24"/>
          <w:highlight w:val="none"/>
          <w:lang w:val="en-US" w:eastAsia="zh-CN"/>
        </w:rPr>
        <w:t>1.2</w:t>
      </w:r>
      <w:r>
        <w:rPr>
          <w:rFonts w:ascii="Times New Roman" w:hAnsi="Times New Roman"/>
          <w:sz w:val="24"/>
          <w:highlight w:val="none"/>
        </w:rPr>
        <w:t>当90分≤考评结果＜95分，实际付款金额=应付金额*95%；</w:t>
      </w:r>
    </w:p>
    <w:p w14:paraId="7382EA6F">
      <w:pPr>
        <w:spacing w:line="520" w:lineRule="exact"/>
        <w:ind w:firstLine="480" w:firstLineChars="200"/>
        <w:rPr>
          <w:rFonts w:ascii="Times New Roman" w:hAnsi="Times New Roman"/>
          <w:sz w:val="24"/>
          <w:highlight w:val="none"/>
        </w:rPr>
      </w:pPr>
      <w:r>
        <w:rPr>
          <w:rFonts w:hint="eastAsia" w:ascii="Times New Roman" w:hAnsi="Times New Roman"/>
          <w:sz w:val="24"/>
          <w:highlight w:val="none"/>
          <w:lang w:val="en-US" w:eastAsia="zh-CN"/>
        </w:rPr>
        <w:t>1.3</w:t>
      </w:r>
      <w:r>
        <w:rPr>
          <w:rFonts w:ascii="Times New Roman" w:hAnsi="Times New Roman"/>
          <w:sz w:val="24"/>
          <w:highlight w:val="none"/>
        </w:rPr>
        <w:t>当80分≤考评结果＜90分，实际付款金额=应付金额*90%；</w:t>
      </w:r>
    </w:p>
    <w:p w14:paraId="194B1161">
      <w:pPr>
        <w:spacing w:line="520" w:lineRule="exact"/>
        <w:ind w:firstLine="480" w:firstLineChars="200"/>
        <w:rPr>
          <w:rFonts w:ascii="Times New Roman" w:hAnsi="Times New Roman"/>
          <w:sz w:val="24"/>
          <w:highlight w:val="none"/>
        </w:rPr>
      </w:pPr>
      <w:r>
        <w:rPr>
          <w:rFonts w:hint="eastAsia" w:ascii="Times New Roman" w:hAnsi="Times New Roman"/>
          <w:sz w:val="24"/>
          <w:highlight w:val="none"/>
          <w:lang w:val="en-US" w:eastAsia="zh-CN"/>
        </w:rPr>
        <w:t>1.4</w:t>
      </w:r>
      <w:r>
        <w:rPr>
          <w:rFonts w:ascii="Times New Roman" w:hAnsi="Times New Roman"/>
          <w:sz w:val="24"/>
          <w:highlight w:val="none"/>
        </w:rPr>
        <w:t>当70分≤考评结果＜80分，实际付款金额=应付金额*80%；</w:t>
      </w:r>
    </w:p>
    <w:p w14:paraId="587A7AB8">
      <w:pPr>
        <w:spacing w:line="520" w:lineRule="exact"/>
        <w:ind w:firstLine="480" w:firstLineChars="200"/>
        <w:rPr>
          <w:rFonts w:hint="default" w:ascii="宋体" w:hAnsi="宋体" w:eastAsia="宋体" w:cs="宋体"/>
          <w:color w:val="auto"/>
          <w:sz w:val="24"/>
          <w:szCs w:val="24"/>
          <w:highlight w:val="none"/>
          <w:lang w:val="en-US" w:eastAsia="zh-CN" w:bidi="ar-SA"/>
        </w:rPr>
      </w:pPr>
      <w:r>
        <w:rPr>
          <w:rFonts w:hint="eastAsia" w:ascii="Times New Roman" w:hAnsi="Times New Roman"/>
          <w:sz w:val="24"/>
          <w:highlight w:val="none"/>
          <w:lang w:val="en-US" w:eastAsia="zh-CN"/>
        </w:rPr>
        <w:t>1.5</w:t>
      </w:r>
      <w:r>
        <w:rPr>
          <w:rFonts w:ascii="Times New Roman" w:hAnsi="Times New Roman"/>
          <w:sz w:val="24"/>
          <w:highlight w:val="none"/>
        </w:rPr>
        <w:t>当60分≤考评结果＜70分，实际付</w:t>
      </w:r>
      <w:r>
        <w:rPr>
          <w:rFonts w:hint="default" w:ascii="宋体" w:hAnsi="宋体" w:eastAsia="宋体" w:cs="宋体"/>
          <w:color w:val="auto"/>
          <w:sz w:val="24"/>
          <w:szCs w:val="24"/>
          <w:highlight w:val="none"/>
          <w:lang w:val="en-US" w:eastAsia="zh-CN" w:bidi="ar-SA"/>
        </w:rPr>
        <w:t>款金额=应付金额*70%；</w:t>
      </w:r>
    </w:p>
    <w:p w14:paraId="63A55620">
      <w:pPr>
        <w:spacing w:line="520" w:lineRule="exact"/>
        <w:ind w:firstLine="480" w:firstLineChars="20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1.6</w:t>
      </w:r>
      <w:r>
        <w:rPr>
          <w:rFonts w:hint="default" w:ascii="宋体" w:hAnsi="宋体" w:eastAsia="宋体" w:cs="宋体"/>
          <w:color w:val="auto"/>
          <w:sz w:val="24"/>
          <w:szCs w:val="24"/>
          <w:highlight w:val="none"/>
          <w:lang w:val="en-US" w:eastAsia="zh-CN" w:bidi="ar-SA"/>
        </w:rPr>
        <w:t>当考评结果＜60分，招标人有权拒绝付款（视为未达到招标人最基本的服务要求）。</w:t>
      </w:r>
    </w:p>
    <w:p w14:paraId="0428990D">
      <w:pPr>
        <w:spacing w:line="400" w:lineRule="exact"/>
        <w:ind w:firstLine="480" w:firstLineChars="20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w:t>
      </w:r>
    </w:p>
    <w:p w14:paraId="227E1D8E">
      <w:pPr>
        <w:spacing w:line="400" w:lineRule="exact"/>
        <w:ind w:firstLine="480" w:firstLineChars="20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a.每季度末采购人组织相关人员对中标人进行一次考核，每年所有季度考核的平均分作为当年的考评结果；</w:t>
      </w:r>
    </w:p>
    <w:p w14:paraId="68958E35">
      <w:pPr>
        <w:spacing w:line="400" w:lineRule="exact"/>
        <w:ind w:firstLine="480" w:firstLineChars="20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b.先维修，后维保，维保服务期从设备安装调试完成并经验收合格后开始计算；</w:t>
      </w:r>
    </w:p>
    <w:p w14:paraId="1B5C41C5">
      <w:pPr>
        <w:pStyle w:val="46"/>
        <w:spacing w:line="360" w:lineRule="auto"/>
        <w:ind w:firstLine="482"/>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c.连续两个季度考核分值低于60分，终止合同，扣除当年剩余费用。</w:t>
      </w:r>
    </w:p>
    <w:p w14:paraId="1348C915">
      <w:pPr>
        <w:keepNext w:val="0"/>
        <w:keepLines w:val="0"/>
        <w:pageBreakBefore w:val="0"/>
        <w:widowControl w:val="0"/>
        <w:tabs>
          <w:tab w:val="left" w:pos="720"/>
          <w:tab w:val="left" w:pos="1080"/>
        </w:tabs>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w:t>
      </w:r>
      <w:r>
        <w:rPr>
          <w:rFonts w:hint="eastAsia" w:ascii="宋体" w:hAnsi="宋体" w:cs="宋体"/>
          <w:b/>
          <w:color w:val="auto"/>
          <w:sz w:val="24"/>
          <w:highlight w:val="none"/>
          <w:lang w:val="en-US" w:eastAsia="zh-CN"/>
        </w:rPr>
        <w:t>三</w:t>
      </w:r>
      <w:r>
        <w:rPr>
          <w:rFonts w:hint="eastAsia" w:ascii="宋体" w:hAnsi="宋体" w:eastAsia="宋体" w:cs="宋体"/>
          <w:b/>
          <w:color w:val="auto"/>
          <w:sz w:val="24"/>
          <w:highlight w:val="none"/>
          <w:lang w:val="en-US" w:eastAsia="zh-CN"/>
        </w:rPr>
        <w:t>）资产移交</w:t>
      </w:r>
    </w:p>
    <w:p w14:paraId="1AC57101">
      <w:pPr>
        <w:keepNext w:val="0"/>
        <w:keepLines w:val="0"/>
        <w:pageBreakBefore w:val="0"/>
        <w:widowControl w:val="0"/>
        <w:tabs>
          <w:tab w:val="left" w:pos="720"/>
          <w:tab w:val="left" w:pos="1080"/>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项目所有设施、设备在运维期间均由维保单位负责保管（移交分局的设备除外）、维修。项目维保到期后，须确保资产的完好，经分局（或分局选择的第三方单位）确认、清点完毕后移交。若有损坏或遗失的，按合同价在尾款中进行扣除。</w:t>
      </w:r>
    </w:p>
    <w:p w14:paraId="5FAE4BA9">
      <w:pPr>
        <w:keepNext w:val="0"/>
        <w:keepLines w:val="0"/>
        <w:pageBreakBefore w:val="0"/>
        <w:widowControl w:val="0"/>
        <w:tabs>
          <w:tab w:val="left" w:pos="720"/>
          <w:tab w:val="left" w:pos="1080"/>
        </w:tabs>
        <w:kinsoku/>
        <w:wordWrap/>
        <w:overflowPunct/>
        <w:topLinePunct w:val="0"/>
        <w:autoSpaceDE/>
        <w:autoSpaceDN/>
        <w:bidi w:val="0"/>
        <w:adjustRightInd/>
        <w:snapToGrid/>
        <w:spacing w:line="400" w:lineRule="exact"/>
        <w:ind w:firstLine="482" w:firstLineChars="200"/>
        <w:textAlignment w:val="auto"/>
        <w:rPr>
          <w:rFonts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三、</w:t>
      </w:r>
      <w:r>
        <w:rPr>
          <w:rFonts w:ascii="宋体" w:hAnsi="宋体" w:eastAsia="宋体" w:cs="宋体"/>
          <w:b/>
          <w:color w:val="auto"/>
          <w:sz w:val="24"/>
          <w:highlight w:val="none"/>
        </w:rPr>
        <w:t>综合说明及其它要求</w:t>
      </w:r>
    </w:p>
    <w:p w14:paraId="48FE9B54">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1.投标人投标前可以与招标人联系，进行现场勘察，充分了解本项目招标人采购需求及有关事宜。 </w:t>
      </w:r>
    </w:p>
    <w:p w14:paraId="03E2E6D1">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2.投标人拟提供的设备技术参数不得低于招标参数要求，所投设备必须明确所响应产品的品牌、型号、规格及一些必须说明的技术参数（自制品要求有详细的技术参数的说明），否则投标将被拒绝。</w:t>
      </w:r>
    </w:p>
    <w:p w14:paraId="24893BCE">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3.所供商品（货物采购及服务响应时提供的货物）均为原厂正宗原配产品（包括在标配基础上增加的配件也必须为原厂原配）。</w:t>
      </w:r>
    </w:p>
    <w:p w14:paraId="272182EE">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4.上述技术要求中未明确的，须符合国家现行规范标准要求。投标人必须承诺响应招标文件中提出的全部技术规格与要求，如果其中某些条款不响应时，应在文件中逐条列出。</w:t>
      </w:r>
    </w:p>
    <w:p w14:paraId="6014C21C">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5.投标单位必须在响应文件中提供完整、详细、合理、真实的项目实施方案、施工计划、人员安排和施工进度表。必须承诺采购文件中提出的全部要求，如果其中某些条款不响应时，应在投标文件中逐条列出，未列出的视同响应。</w:t>
      </w:r>
    </w:p>
    <w:p w14:paraId="05078626">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6.本次招标采购清单等仅供参考，如有不满足项目整体正常运行的，请各投标人在投标时自行考虑，中标后中标人须确保项目整体正常运行。此部分费用请各投标人包含在投标综合单价当中。招标人不再另行增加费用。</w:t>
      </w:r>
    </w:p>
    <w:p w14:paraId="0B64BD34">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7.投标人须保证所供货物、服务或其任何一部分等不受第三方提出侵犯其专利权、商标权、版权和工业设计权的指控。因专利权引起的相关事宜由投标单位自行负责解决，与采购方无关。</w:t>
      </w:r>
    </w:p>
    <w:p w14:paraId="7E4329FD">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8.中标人负责项目所有设备的供货及安装过程中所需的工程辅料等，所有费用均含在投标报价中。</w:t>
      </w:r>
    </w:p>
    <w:p w14:paraId="7E1463C9">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9.如由于招标内容中对部分采购商品要求（需求）不详细，请各投标人在投标时必须补充说明其详细型号规格配置质保（需求）等。如不作明确说明，评标委员会可认定其所报配置型号（需求）为可能存在情况的最高标准。</w:t>
      </w:r>
    </w:p>
    <w:p w14:paraId="62DE2CB3">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10.投标人中标后需及时与招标人联系采购货物具体情况，所供货物及相关服务需满足招标人要求。</w:t>
      </w:r>
    </w:p>
    <w:p w14:paraId="6D54A0C4">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11.为保证产品质量，投标人中标后需向招标人提供符合国家规定验收标准的相关产品质量合格证书、质保书、检测报告等相关资料。如中标人弄虚作假，未能提供产品相关资料，招标人有权拒收产品，取消中标人中标资格并报招标主管部门通报，并追究责任。</w:t>
      </w:r>
    </w:p>
    <w:p w14:paraId="4701AE33">
      <w:pPr>
        <w:keepNext w:val="0"/>
        <w:keepLines w:val="0"/>
        <w:pageBreakBefore w:val="0"/>
        <w:widowControl w:val="0"/>
        <w:tabs>
          <w:tab w:val="left" w:pos="720"/>
          <w:tab w:val="left" w:pos="1080"/>
        </w:tabs>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四、工期要求</w:t>
      </w:r>
    </w:p>
    <w:p w14:paraId="14BD9A0B">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1.接到招标人通知后，中标人应当在</w:t>
      </w:r>
      <w:r>
        <w:rPr>
          <w:rFonts w:hint="eastAsia" w:ascii="宋体" w:hAnsi="宋体" w:eastAsia="宋体" w:cs="宋体"/>
          <w:color w:val="auto"/>
          <w:sz w:val="24"/>
          <w:highlight w:val="none"/>
          <w:lang w:val="en-US" w:eastAsia="zh-CN"/>
        </w:rPr>
        <w:t>30</w:t>
      </w:r>
      <w:r>
        <w:rPr>
          <w:rFonts w:hint="default" w:ascii="宋体" w:hAnsi="宋体" w:eastAsia="宋体" w:cs="宋体"/>
          <w:color w:val="auto"/>
          <w:sz w:val="24"/>
          <w:highlight w:val="none"/>
          <w:lang w:val="en-US" w:eastAsia="zh-CN"/>
        </w:rPr>
        <w:t>个日历天内竣工（合同工期以承包人承诺工期为准）。中标人必须严格按合同工期完成（因不可抗力和招标人原因引起并经招标人书面确认的工期延误除外）合同约定范围的所有工程。若中标人不能够按期完成合同约定范围的所有工程，招标人将追究承包人的违约责任，如中标人不能按期完成的，将按每延误一天以合同总价的千分之二的违约金进行扣除，并直接从本项目的合同价款中直接扣除。</w:t>
      </w:r>
    </w:p>
    <w:p w14:paraId="646A98FD">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2.在供货期间招标人对照经招标人批准后的项目进度计划（项目进度计划在中标后2日内提供）进行考核，并按每三天为一个考核周期，连续两个考核期没完成的，中标人必须提交切实可行的抢工措施，如果中标人在此后的连续七天内仍达不到招标人要求的工期进度，并已确实影响到整个工期目标的实现。招标人立即没收其全部履约保证金。情节严重的招标人有权单方面终止合同，中标人还须承担由此给招标人造成的实际损失。</w:t>
      </w:r>
    </w:p>
    <w:p w14:paraId="5FE5239F">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3.本项目实施过程中，所有矛盾均由中标人自行解决，由此产生的相关费用自行承担。因此类问题延误工期的，按照工期违约进行处理。</w:t>
      </w:r>
    </w:p>
    <w:p w14:paraId="4B6F3D83">
      <w:pPr>
        <w:keepNext w:val="0"/>
        <w:keepLines w:val="0"/>
        <w:pageBreakBefore w:val="0"/>
        <w:widowControl w:val="0"/>
        <w:tabs>
          <w:tab w:val="left" w:pos="720"/>
          <w:tab w:val="left" w:pos="1080"/>
        </w:tabs>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五、项目组要求</w:t>
      </w:r>
    </w:p>
    <w:p w14:paraId="1449E5CF">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default" w:ascii="宋体" w:hAnsi="宋体" w:eastAsia="宋体" w:cs="宋体"/>
          <w:color w:val="auto"/>
          <w:sz w:val="24"/>
          <w:highlight w:val="none"/>
          <w:lang w:val="en-US" w:eastAsia="zh-CN"/>
        </w:rPr>
        <w:t>1.</w:t>
      </w:r>
      <w:r>
        <w:rPr>
          <w:rFonts w:hint="eastAsia" w:ascii="宋体" w:hAnsi="宋体"/>
          <w:color w:val="000000" w:themeColor="text1"/>
          <w:sz w:val="24"/>
          <w:highlight w:val="none"/>
          <w14:textFill>
            <w14:solidFill>
              <w14:schemeClr w14:val="tx1"/>
            </w14:solidFill>
          </w14:textFill>
        </w:rPr>
        <w:t>本项目涉及重大危险源、粉尘涉爆、数据软件、特殊作业管理等多类业务，对专业性和技术性要求较高，</w:t>
      </w:r>
      <w:r>
        <w:rPr>
          <w:rFonts w:hint="eastAsia" w:ascii="宋体" w:hAnsi="宋体"/>
          <w:color w:val="000000" w:themeColor="text1"/>
          <w:sz w:val="24"/>
          <w:highlight w:val="none"/>
          <w:lang w:val="en-US" w:eastAsia="zh-CN"/>
          <w14:textFill>
            <w14:solidFill>
              <w14:schemeClr w14:val="tx1"/>
            </w14:solidFill>
          </w14:textFill>
        </w:rPr>
        <w:t>需要</w:t>
      </w:r>
      <w:r>
        <w:rPr>
          <w:rFonts w:hint="eastAsia" w:ascii="宋体" w:hAnsi="宋体"/>
          <w:color w:val="000000" w:themeColor="text1"/>
          <w:sz w:val="24"/>
          <w:highlight w:val="none"/>
          <w14:textFill>
            <w14:solidFill>
              <w14:schemeClr w14:val="tx1"/>
            </w14:solidFill>
          </w14:textFill>
        </w:rPr>
        <w:t>配备安全管理、信息化技术等领域专业人员，包含但不限于系统集成项目管理工程师、信息安全工程师</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szCs w:val="21"/>
          <w:highlight w:val="none"/>
        </w:rPr>
        <w:t>信息</w:t>
      </w:r>
      <w:r>
        <w:rPr>
          <w:rFonts w:hint="eastAsia" w:ascii="宋体" w:hAnsi="宋体"/>
          <w:szCs w:val="21"/>
          <w:highlight w:val="none"/>
          <w:lang w:val="en-US" w:eastAsia="zh-CN"/>
        </w:rPr>
        <w:t>系统管理工程师</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网络工程师（软考）</w:t>
      </w:r>
      <w:r>
        <w:rPr>
          <w:rFonts w:hint="eastAsia" w:ascii="宋体" w:hAnsi="宋体"/>
          <w:color w:val="000000" w:themeColor="text1"/>
          <w:sz w:val="24"/>
          <w:highlight w:val="none"/>
          <w:lang w:eastAsia="zh-CN"/>
          <w14:textFill>
            <w14:solidFill>
              <w14:schemeClr w14:val="tx1"/>
            </w14:solidFill>
          </w14:textFill>
        </w:rPr>
        <w:t>、计算机硬件工程师</w:t>
      </w:r>
      <w:r>
        <w:rPr>
          <w:rFonts w:hint="eastAsia" w:ascii="宋体" w:hAnsi="宋体"/>
          <w:color w:val="000000" w:themeColor="text1"/>
          <w:sz w:val="24"/>
          <w:highlight w:val="none"/>
          <w14:textFill>
            <w14:solidFill>
              <w14:schemeClr w14:val="tx1"/>
            </w14:solidFill>
          </w14:textFill>
        </w:rPr>
        <w:t>等。</w:t>
      </w:r>
      <w:r>
        <w:rPr>
          <w:rFonts w:hint="eastAsia" w:ascii="宋体" w:hAnsi="宋体" w:cs="宋体"/>
          <w:color w:val="000000" w:themeColor="text1"/>
          <w:sz w:val="24"/>
          <w:highlight w:val="none"/>
          <w14:textFill>
            <w14:solidFill>
              <w14:schemeClr w14:val="tx1"/>
            </w14:solidFill>
          </w14:textFill>
        </w:rPr>
        <w:t>中标人须确保在项目实施期间实施团队人员与投标时拟派项目团队人员一致，因人员离职等原因确须调整的，须报采购人同意且拟替换人员所持证书及业务水平不得低于原团队成员。</w:t>
      </w:r>
    </w:p>
    <w:p w14:paraId="23494F20">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default" w:ascii="宋体" w:hAnsi="宋体" w:eastAsia="宋体" w:cs="宋体"/>
          <w:color w:val="auto"/>
          <w:sz w:val="24"/>
          <w:highlight w:val="none"/>
          <w:lang w:val="en-US" w:eastAsia="zh-CN"/>
        </w:rPr>
        <w:t>.项目实施期间，中标人不得转包、分包，一经发现，招标人有权终止合同。</w:t>
      </w:r>
    </w:p>
    <w:p w14:paraId="704AF5E3">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r>
        <w:rPr>
          <w:rFonts w:hint="default" w:ascii="宋体" w:hAnsi="宋体" w:eastAsia="宋体" w:cs="宋体"/>
          <w:color w:val="auto"/>
          <w:sz w:val="24"/>
          <w:highlight w:val="none"/>
          <w:lang w:val="en-US" w:eastAsia="zh-CN"/>
        </w:rPr>
        <w:t>.中标人不得擅自更换项目负责人及现场配备人员，否则招标人有权终止合同，因此给招标人造成损失的，招标人将依法追偿。如项目实施过程中，提供的人员不能胜任工作的，招标人将有权建议更换，直至更换至能胜任现场工作为止，并且招标人有权处中标人不少于5000元/人的扣除，在当年度合同价款中予以扣减。</w:t>
      </w:r>
    </w:p>
    <w:p w14:paraId="7BBB5B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00" w:lineRule="exact"/>
        <w:ind w:left="0" w:right="0" w:firstLine="482" w:firstLineChars="200"/>
        <w:jc w:val="both"/>
        <w:textAlignment w:val="auto"/>
        <w:rPr>
          <w:b/>
          <w:bCs/>
          <w:color w:val="auto"/>
          <w:highlight w:val="none"/>
        </w:rPr>
      </w:pPr>
      <w:r>
        <w:rPr>
          <w:rFonts w:hint="eastAsia" w:ascii="宋体" w:hAnsi="宋体" w:eastAsia="宋体" w:cs="宋体"/>
          <w:b/>
          <w:bCs/>
          <w:color w:val="auto"/>
          <w:sz w:val="24"/>
          <w:highlight w:val="none"/>
          <w:lang w:val="en-US" w:eastAsia="zh-CN"/>
        </w:rPr>
        <w:t>五</w:t>
      </w:r>
      <w:r>
        <w:rPr>
          <w:rFonts w:ascii="宋体" w:hAnsi="宋体" w:eastAsia="宋体" w:cs="宋体"/>
          <w:b/>
          <w:bCs/>
          <w:color w:val="auto"/>
          <w:sz w:val="24"/>
          <w:highlight w:val="none"/>
        </w:rPr>
        <w:t>、质量要求</w:t>
      </w:r>
    </w:p>
    <w:p w14:paraId="6AF26B35">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1.中标人按照国家、省、市、区规定的标准和招标规定的标准执行。</w:t>
      </w:r>
    </w:p>
    <w:p w14:paraId="4AC5D461">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2.本项目涉及的所有设备材料必须具有产品质量合格证，性能可靠，并严格按照技术方案、招标要求及现行的相关规范标准或有关部门最新颁布的相应标准执行。本项目质量达合格等级并确保验收通过。如在验货或使用过程中发现中标人弄虚作假，则承担一切经济和法律责任。</w:t>
      </w:r>
    </w:p>
    <w:p w14:paraId="163CD208">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3.中标人须保证所提供货物包括相关附件为相应货物厂家原装正品，符合国家有关规定；有义务保证招标人系统的完整性，部分连接运行配件未在招标材料中明示的，中标人应在投标时予以补充，如项目实施过程中因缺少设备、配件或服务导致招标人系统无法正常运行，中标人须承诺免费提供；除招标人明确提出的变更外，本项目不再增加任何费用，报价风险由其自行承担。本项目软件及升级服务均由中标人免费提供。</w:t>
      </w:r>
    </w:p>
    <w:p w14:paraId="06B1346D">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4.合同质量按中标人投标时的承诺质量目标执行；如果达不到承诺质量目标，中标人必须无偿整改达到承诺质量目标，招标人还将对中标人按中标价1.0%进行扣除工程款，并从合同款中直接扣除。由此造成的工期延误将不予顺延，给招标人造成实际损失的还将承担经济赔偿责任。</w:t>
      </w:r>
    </w:p>
    <w:p w14:paraId="3DEE2086">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5.中标人应按招标文件规定的货物性能、技术要求、质量标准向招标人提供未经使用的全新产品。 </w:t>
      </w:r>
    </w:p>
    <w:p w14:paraId="1EFCD5F4">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6.中标人提供的货物在质保期内因货物本身的质量问题发生故障，中标人应负责免费更换。</w:t>
      </w:r>
    </w:p>
    <w:p w14:paraId="63932091">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7.对达不到技术要求者，根据实际情况，经双方协商，可按以下办法处理：⑴更换：由中标人承担所发生的全部费用。</w:t>
      </w:r>
    </w:p>
    <w:p w14:paraId="0CADD7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sz w:val="24"/>
          <w:highlight w:val="none"/>
        </w:rPr>
      </w:pPr>
      <w:r>
        <w:rPr>
          <w:rFonts w:hint="default" w:ascii="宋体" w:hAnsi="宋体" w:eastAsia="宋体" w:cs="宋体"/>
          <w:color w:val="auto"/>
          <w:sz w:val="24"/>
          <w:highlight w:val="none"/>
          <w:lang w:val="en-US" w:eastAsia="zh-CN"/>
        </w:rPr>
        <w:t>8.在质保期内，中标人应对货物出现的质量及安全问题负责处理解决并承担一切费用。</w:t>
      </w:r>
    </w:p>
    <w:p w14:paraId="76BAFBF4">
      <w:pPr>
        <w:pStyle w:val="46"/>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b/>
          <w:sz w:val="24"/>
          <w:highlight w:val="none"/>
          <w:lang w:eastAsia="zh-CN"/>
        </w:rPr>
      </w:pPr>
      <w:r>
        <w:rPr>
          <w:rFonts w:hint="eastAsia" w:asciiTheme="minorEastAsia" w:hAnsiTheme="minorEastAsia" w:eastAsiaTheme="minorEastAsia"/>
          <w:b/>
          <w:sz w:val="24"/>
          <w:highlight w:val="none"/>
          <w:lang w:val="en-US" w:eastAsia="zh-CN"/>
        </w:rPr>
        <w:t>六</w:t>
      </w:r>
      <w:r>
        <w:rPr>
          <w:rFonts w:hint="eastAsia" w:asciiTheme="minorEastAsia" w:hAnsiTheme="minorEastAsia" w:eastAsiaTheme="minorEastAsia"/>
          <w:b/>
          <w:sz w:val="24"/>
          <w:highlight w:val="none"/>
        </w:rPr>
        <w:t>、其它</w:t>
      </w:r>
      <w:r>
        <w:rPr>
          <w:rFonts w:hint="eastAsia" w:asciiTheme="minorEastAsia" w:hAnsiTheme="minorEastAsia" w:eastAsiaTheme="minorEastAsia"/>
          <w:b/>
          <w:sz w:val="24"/>
          <w:highlight w:val="none"/>
          <w:lang w:val="en-US" w:eastAsia="zh-CN"/>
        </w:rPr>
        <w:t>事项</w:t>
      </w:r>
    </w:p>
    <w:p w14:paraId="24E11492">
      <w:pPr>
        <w:pStyle w:val="308"/>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highlight w:val="none"/>
          <w:lang w:val="en-US" w:eastAsia="zh-CN"/>
        </w:rPr>
      </w:pPr>
      <w:bookmarkStart w:id="0" w:name="OLE_LINK29"/>
      <w:r>
        <w:rPr>
          <w:rFonts w:hint="eastAsia" w:ascii="宋体" w:hAnsi="宋体" w:eastAsia="宋体" w:cs="宋体"/>
          <w:color w:val="auto"/>
          <w:sz w:val="24"/>
          <w:highlight w:val="none"/>
          <w:lang w:val="en-US" w:eastAsia="zh-CN"/>
        </w:rPr>
        <w:t>1.鼓励</w:t>
      </w:r>
      <w:bookmarkEnd w:id="0"/>
      <w:r>
        <w:rPr>
          <w:rFonts w:hint="default" w:ascii="宋体" w:hAnsi="宋体" w:eastAsia="宋体" w:cs="宋体"/>
          <w:color w:val="auto"/>
          <w:sz w:val="24"/>
          <w:highlight w:val="none"/>
          <w:lang w:val="en-US" w:eastAsia="zh-CN"/>
        </w:rPr>
        <w:t>项目负责人具有</w:t>
      </w:r>
      <w:r>
        <w:rPr>
          <w:rFonts w:hint="eastAsia" w:ascii="宋体" w:hAnsi="宋体" w:eastAsia="宋体" w:cs="宋体"/>
          <w:color w:val="auto"/>
          <w:sz w:val="24"/>
          <w:highlight w:val="none"/>
          <w:lang w:val="en-US" w:eastAsia="zh-CN"/>
        </w:rPr>
        <w:t>中级工程师及以上职称、信息系统项目管理师的优先，鼓励项目组成员中</w:t>
      </w:r>
      <w:r>
        <w:rPr>
          <w:rFonts w:hint="default" w:ascii="宋体" w:hAnsi="宋体" w:eastAsia="宋体" w:cs="宋体"/>
          <w:color w:val="auto"/>
          <w:sz w:val="24"/>
          <w:highlight w:val="none"/>
          <w:lang w:val="en-US" w:eastAsia="zh-CN"/>
        </w:rPr>
        <w:t>项目组成员中具有</w:t>
      </w:r>
      <w:r>
        <w:rPr>
          <w:rFonts w:hint="eastAsia" w:ascii="宋体" w:hAnsi="宋体" w:eastAsia="宋体" w:cs="宋体"/>
          <w:color w:val="auto"/>
          <w:sz w:val="24"/>
          <w:highlight w:val="none"/>
          <w:lang w:val="en-US" w:eastAsia="zh-CN"/>
        </w:rPr>
        <w:t>系统集成项目管理工程师、信息安全工程师</w:t>
      </w:r>
      <w:r>
        <w:rPr>
          <w:rFonts w:hint="eastAsia" w:ascii="宋体" w:hAnsi="宋体" w:cs="宋体"/>
          <w:color w:val="auto"/>
          <w:sz w:val="24"/>
          <w:highlight w:val="none"/>
          <w:lang w:val="en-US" w:eastAsia="zh-CN"/>
        </w:rPr>
        <w:t>、</w:t>
      </w:r>
      <w:r>
        <w:rPr>
          <w:rFonts w:hint="eastAsia" w:ascii="宋体" w:hAnsi="宋体"/>
          <w:szCs w:val="21"/>
          <w:highlight w:val="none"/>
        </w:rPr>
        <w:t>信息</w:t>
      </w:r>
      <w:r>
        <w:rPr>
          <w:rFonts w:hint="eastAsia" w:ascii="宋体" w:hAnsi="宋体"/>
          <w:szCs w:val="21"/>
          <w:highlight w:val="none"/>
          <w:lang w:val="en-US" w:eastAsia="zh-CN"/>
        </w:rPr>
        <w:t>系统管理工程师</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网络工程师（软考）</w:t>
      </w:r>
      <w:r>
        <w:rPr>
          <w:rFonts w:hint="eastAsia" w:ascii="宋体" w:hAnsi="宋体" w:cs="宋体"/>
          <w:color w:val="auto"/>
          <w:sz w:val="24"/>
          <w:highlight w:val="none"/>
          <w:lang w:val="en-US" w:eastAsia="zh-CN"/>
        </w:rPr>
        <w:t>、计算机硬件工程师</w:t>
      </w:r>
      <w:r>
        <w:rPr>
          <w:rFonts w:hint="eastAsia" w:ascii="宋体" w:hAnsi="宋体" w:eastAsia="宋体" w:cs="宋体"/>
          <w:color w:val="auto"/>
          <w:sz w:val="24"/>
          <w:highlight w:val="none"/>
          <w:lang w:val="en-US" w:eastAsia="zh-CN"/>
        </w:rPr>
        <w:t>的</w:t>
      </w:r>
      <w:bookmarkStart w:id="1" w:name="OLE_LINK30"/>
      <w:r>
        <w:rPr>
          <w:rFonts w:hint="eastAsia" w:ascii="宋体" w:hAnsi="宋体" w:eastAsia="宋体" w:cs="宋体"/>
          <w:color w:val="auto"/>
          <w:sz w:val="24"/>
          <w:highlight w:val="none"/>
          <w:lang w:val="en-US" w:eastAsia="zh-CN"/>
        </w:rPr>
        <w:t>优先</w:t>
      </w:r>
      <w:bookmarkEnd w:id="1"/>
      <w:r>
        <w:rPr>
          <w:rFonts w:hint="eastAsia" w:ascii="宋体" w:hAnsi="宋体" w:eastAsia="宋体" w:cs="宋体"/>
          <w:color w:val="auto"/>
          <w:sz w:val="24"/>
          <w:highlight w:val="none"/>
          <w:lang w:val="en-US" w:eastAsia="zh-CN"/>
        </w:rPr>
        <w:t>。鼓励</w:t>
      </w:r>
      <w:r>
        <w:rPr>
          <w:rFonts w:hint="default" w:ascii="宋体" w:hAnsi="宋体" w:eastAsia="宋体" w:cs="宋体"/>
          <w:color w:val="auto"/>
          <w:sz w:val="24"/>
          <w:highlight w:val="none"/>
          <w:lang w:val="en-US" w:eastAsia="zh-CN"/>
        </w:rPr>
        <w:t>在项目质保（维保）期间增加人</w:t>
      </w:r>
      <w:r>
        <w:rPr>
          <w:rFonts w:hint="eastAsia" w:ascii="宋体" w:hAnsi="宋体" w:eastAsia="宋体" w:cs="宋体"/>
          <w:color w:val="auto"/>
          <w:sz w:val="24"/>
          <w:highlight w:val="none"/>
          <w:lang w:val="en-US" w:eastAsia="zh-CN"/>
        </w:rPr>
        <w:t>员</w:t>
      </w:r>
      <w:r>
        <w:rPr>
          <w:rFonts w:hint="default" w:ascii="宋体" w:hAnsi="宋体" w:eastAsia="宋体" w:cs="宋体"/>
          <w:color w:val="auto"/>
          <w:sz w:val="24"/>
          <w:highlight w:val="none"/>
          <w:lang w:val="en-US" w:eastAsia="zh-CN"/>
        </w:rPr>
        <w:t>驻场服务的</w:t>
      </w:r>
      <w:bookmarkStart w:id="2" w:name="OLE_LINK31"/>
      <w:r>
        <w:rPr>
          <w:rFonts w:hint="eastAsia" w:ascii="宋体" w:hAnsi="宋体" w:eastAsia="宋体" w:cs="宋体"/>
          <w:color w:val="auto"/>
          <w:sz w:val="24"/>
          <w:highlight w:val="none"/>
          <w:lang w:val="en-US" w:eastAsia="zh-CN"/>
        </w:rPr>
        <w:t>的优先</w:t>
      </w:r>
      <w:bookmarkEnd w:id="2"/>
      <w:r>
        <w:rPr>
          <w:rFonts w:hint="eastAsia" w:ascii="宋体" w:hAnsi="宋体" w:eastAsia="宋体" w:cs="宋体"/>
          <w:color w:val="auto"/>
          <w:sz w:val="24"/>
          <w:highlight w:val="none"/>
          <w:lang w:val="en-US" w:eastAsia="zh-CN"/>
        </w:rPr>
        <w:t>。</w:t>
      </w:r>
    </w:p>
    <w:p w14:paraId="343456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40" w:after="240" w:line="400" w:lineRule="exact"/>
        <w:ind w:left="0" w:right="0"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2.鼓励投标人2022年1月1日以来（以合同签订日期为准），承担过类似业绩的的优先。</w:t>
      </w:r>
    </w:p>
    <w:p w14:paraId="6E5756F1">
      <w:pPr>
        <w:pStyle w:val="102"/>
        <w:rPr>
          <w:highlight w:val="none"/>
        </w:rPr>
      </w:pPr>
    </w:p>
    <w:p w14:paraId="73A2C723">
      <w:pPr>
        <w:pStyle w:val="102"/>
        <w:rPr>
          <w:highlight w:val="none"/>
        </w:rPr>
      </w:pPr>
    </w:p>
    <w:p w14:paraId="7BBEB6CD">
      <w:pPr>
        <w:pStyle w:val="102"/>
        <w:rPr>
          <w:highlight w:val="none"/>
        </w:rPr>
      </w:pPr>
    </w:p>
    <w:p w14:paraId="7DD64A0C">
      <w:pPr>
        <w:pStyle w:val="102"/>
        <w:rPr>
          <w:highlight w:val="none"/>
        </w:rPr>
      </w:pPr>
    </w:p>
    <w:p w14:paraId="4F286126">
      <w:pPr>
        <w:pStyle w:val="102"/>
        <w:rPr>
          <w:highlight w:val="none"/>
        </w:rPr>
      </w:pPr>
    </w:p>
    <w:p w14:paraId="5ACA4DD9">
      <w:pPr>
        <w:pStyle w:val="102"/>
        <w:rPr>
          <w:highlight w:val="none"/>
        </w:rPr>
      </w:pPr>
    </w:p>
    <w:p w14:paraId="1675E86A">
      <w:pPr>
        <w:pStyle w:val="46"/>
        <w:spacing w:line="400" w:lineRule="exact"/>
        <w:ind w:firstLine="482" w:firstLineChars="200"/>
        <w:rPr>
          <w:rFonts w:asciiTheme="minorEastAsia" w:hAnsiTheme="minorEastAsia" w:eastAsiaTheme="minorEastAsia"/>
          <w:b/>
          <w:sz w:val="24"/>
          <w:highlight w:val="none"/>
        </w:rPr>
      </w:pPr>
      <w:r>
        <w:rPr>
          <w:rFonts w:hint="eastAsia" w:asciiTheme="minorEastAsia" w:hAnsiTheme="minorEastAsia" w:eastAsiaTheme="minorEastAsia"/>
          <w:b/>
          <w:sz w:val="24"/>
          <w:highlight w:val="none"/>
          <w:lang w:val="en-US" w:eastAsia="zh-CN"/>
        </w:rPr>
        <w:t>七</w:t>
      </w:r>
      <w:r>
        <w:rPr>
          <w:rFonts w:hint="eastAsia" w:asciiTheme="minorEastAsia" w:hAnsiTheme="minorEastAsia" w:eastAsiaTheme="minorEastAsia"/>
          <w:b/>
          <w:sz w:val="24"/>
          <w:highlight w:val="none"/>
        </w:rPr>
        <w:t>、采购标的对应的中小企业划分标准所属行业一览表</w:t>
      </w:r>
    </w:p>
    <w:tbl>
      <w:tblPr>
        <w:tblStyle w:val="87"/>
        <w:tblW w:w="10559" w:type="dxa"/>
        <w:jc w:val="center"/>
        <w:tblCellSpacing w:w="0" w:type="dxa"/>
        <w:tblLayout w:type="fixed"/>
        <w:tblCellMar>
          <w:top w:w="0" w:type="dxa"/>
          <w:left w:w="108" w:type="dxa"/>
          <w:bottom w:w="0" w:type="dxa"/>
          <w:right w:w="108" w:type="dxa"/>
        </w:tblCellMar>
      </w:tblPr>
      <w:tblGrid>
        <w:gridCol w:w="909"/>
        <w:gridCol w:w="3946"/>
        <w:gridCol w:w="2852"/>
        <w:gridCol w:w="2852"/>
      </w:tblGrid>
      <w:tr w14:paraId="67AA4C7B">
        <w:tblPrEx>
          <w:tblCellMar>
            <w:top w:w="0" w:type="dxa"/>
            <w:left w:w="108" w:type="dxa"/>
            <w:bottom w:w="0" w:type="dxa"/>
            <w:right w:w="108" w:type="dxa"/>
          </w:tblCellMar>
        </w:tblPrEx>
        <w:trPr>
          <w:trHeight w:val="908" w:hRule="atLeast"/>
          <w:tblCellSpacing w:w="0" w:type="dxa"/>
          <w:jc w:val="center"/>
        </w:trPr>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2630A">
            <w:pPr>
              <w:pStyle w:val="79"/>
              <w:spacing w:beforeAutospacing="0" w:afterAutospacing="0" w:line="0" w:lineRule="atLeast"/>
              <w:jc w:val="center"/>
              <w:rPr>
                <w:highlight w:val="none"/>
              </w:rPr>
            </w:pPr>
            <w:r>
              <w:rPr>
                <w:rFonts w:hint="eastAsia"/>
                <w:highlight w:val="none"/>
              </w:rPr>
              <w:t>序号</w:t>
            </w:r>
          </w:p>
        </w:tc>
        <w:tc>
          <w:tcPr>
            <w:tcW w:w="3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F3F8F">
            <w:pPr>
              <w:pStyle w:val="79"/>
              <w:spacing w:beforeAutospacing="0" w:afterAutospacing="0" w:line="0" w:lineRule="atLeast"/>
              <w:jc w:val="center"/>
              <w:rPr>
                <w:highlight w:val="none"/>
              </w:rPr>
            </w:pPr>
            <w:r>
              <w:rPr>
                <w:rFonts w:hint="eastAsia"/>
                <w:highlight w:val="none"/>
              </w:rPr>
              <w:t>采购标的</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515CE">
            <w:pPr>
              <w:pStyle w:val="79"/>
              <w:spacing w:beforeAutospacing="0" w:afterAutospacing="0" w:line="0" w:lineRule="atLeast"/>
              <w:jc w:val="center"/>
              <w:rPr>
                <w:highlight w:val="none"/>
              </w:rPr>
            </w:pPr>
            <w:r>
              <w:rPr>
                <w:rFonts w:hint="eastAsia"/>
                <w:highlight w:val="none"/>
              </w:rPr>
              <w:t>对应</w:t>
            </w:r>
            <w:bookmarkStart w:id="3" w:name="OLE_LINK16"/>
            <w:r>
              <w:rPr>
                <w:rFonts w:hint="eastAsia"/>
                <w:highlight w:val="none"/>
              </w:rPr>
              <w:t>中小企业划分标准所属行业</w:t>
            </w:r>
            <w:bookmarkEnd w:id="3"/>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AC37B">
            <w:pPr>
              <w:pStyle w:val="79"/>
              <w:spacing w:beforeAutospacing="0" w:afterAutospacing="0" w:line="0" w:lineRule="atLeast"/>
              <w:jc w:val="center"/>
              <w:rPr>
                <w:rFonts w:hint="eastAsia"/>
                <w:highlight w:val="none"/>
              </w:rPr>
            </w:pPr>
          </w:p>
        </w:tc>
      </w:tr>
      <w:tr w14:paraId="55945A79">
        <w:tblPrEx>
          <w:tblCellMar>
            <w:top w:w="0" w:type="dxa"/>
            <w:left w:w="108" w:type="dxa"/>
            <w:bottom w:w="0" w:type="dxa"/>
            <w:right w:w="108" w:type="dxa"/>
          </w:tblCellMar>
        </w:tblPrEx>
        <w:trPr>
          <w:trHeight w:val="291" w:hRule="atLeast"/>
          <w:tblCellSpacing w:w="0" w:type="dxa"/>
          <w:jc w:val="center"/>
        </w:trPr>
        <w:tc>
          <w:tcPr>
            <w:tcW w:w="9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74862">
            <w:pPr>
              <w:pStyle w:val="79"/>
              <w:spacing w:beforeAutospacing="0" w:afterAutospacing="0" w:line="0" w:lineRule="atLeast"/>
              <w:jc w:val="center"/>
              <w:rPr>
                <w:highlight w:val="none"/>
              </w:rPr>
            </w:pPr>
            <w:r>
              <w:rPr>
                <w:rFonts w:hint="eastAsia"/>
                <w:highlight w:val="none"/>
              </w:rPr>
              <w:t>1</w:t>
            </w:r>
          </w:p>
        </w:tc>
        <w:tc>
          <w:tcPr>
            <w:tcW w:w="39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398A2">
            <w:pPr>
              <w:pStyle w:val="79"/>
              <w:spacing w:beforeAutospacing="0" w:afterAutospacing="0" w:line="0" w:lineRule="atLeast"/>
              <w:jc w:val="center"/>
              <w:rPr>
                <w:highlight w:val="none"/>
              </w:rPr>
            </w:pPr>
            <w:r>
              <w:rPr>
                <w:rFonts w:hint="eastAsia"/>
                <w:highlight w:val="none"/>
              </w:rPr>
              <w:t>警务中心智能化系统维保项目</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522DC">
            <w:pPr>
              <w:pStyle w:val="79"/>
              <w:spacing w:beforeAutospacing="0" w:afterAutospacing="0" w:line="0" w:lineRule="atLeast"/>
              <w:jc w:val="center"/>
              <w:rPr>
                <w:highlight w:val="none"/>
              </w:rPr>
            </w:pPr>
            <w:r>
              <w:rPr>
                <w:rFonts w:hint="eastAsia"/>
                <w:highlight w:val="none"/>
              </w:rPr>
              <w:t>软件和信息技术服务行业</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C65C2">
            <w:pPr>
              <w:pStyle w:val="79"/>
              <w:spacing w:beforeAutospacing="0" w:afterAutospacing="0" w:line="0" w:lineRule="atLeast"/>
              <w:jc w:val="center"/>
              <w:rPr>
                <w:rFonts w:hint="eastAsia"/>
                <w:highlight w:val="none"/>
              </w:rPr>
            </w:pPr>
          </w:p>
        </w:tc>
      </w:tr>
    </w:tbl>
    <w:p w14:paraId="07B4DE16">
      <w:pPr>
        <w:pageBreakBefore/>
        <w:spacing w:line="420" w:lineRule="atLeast"/>
        <w:jc w:val="center"/>
        <w:rPr>
          <w:rFonts w:ascii="Times New Roman" w:hAnsi="Times New Roman"/>
          <w:sz w:val="32"/>
          <w:szCs w:val="32"/>
          <w:highlight w:val="none"/>
        </w:rPr>
      </w:pPr>
      <w:r>
        <w:rPr>
          <w:rFonts w:ascii="Times New Roman" w:hAnsi="Times New Roman"/>
          <w:b/>
          <w:bCs/>
          <w:sz w:val="32"/>
          <w:szCs w:val="32"/>
          <w:highlight w:val="none"/>
        </w:rPr>
        <w:t>第</w:t>
      </w:r>
      <w:r>
        <w:rPr>
          <w:rFonts w:hint="eastAsia" w:ascii="Times New Roman" w:hAnsi="Times New Roman"/>
          <w:b/>
          <w:bCs/>
          <w:sz w:val="32"/>
          <w:szCs w:val="32"/>
          <w:highlight w:val="none"/>
        </w:rPr>
        <w:t>五</w:t>
      </w:r>
      <w:r>
        <w:rPr>
          <w:rFonts w:ascii="Times New Roman" w:hAnsi="Times New Roman"/>
          <w:b/>
          <w:bCs/>
          <w:sz w:val="32"/>
          <w:szCs w:val="32"/>
          <w:highlight w:val="none"/>
        </w:rPr>
        <w:t>部分  评标方法与评标标准</w:t>
      </w:r>
    </w:p>
    <w:p w14:paraId="13346EAA">
      <w:pPr>
        <w:spacing w:line="500" w:lineRule="exact"/>
        <w:ind w:firstLine="482"/>
        <w:rPr>
          <w:rFonts w:ascii="宋体" w:cs="Courier New"/>
          <w:b/>
          <w:bCs/>
          <w:sz w:val="24"/>
          <w:highlight w:val="none"/>
        </w:rPr>
      </w:pPr>
      <w:r>
        <w:rPr>
          <w:rFonts w:hint="eastAsia" w:ascii="宋体" w:hAnsi="宋体" w:cs="Courier New"/>
          <w:b/>
          <w:bCs/>
          <w:sz w:val="24"/>
          <w:highlight w:val="none"/>
        </w:rPr>
        <w:t>一、评标方法与定标原则</w:t>
      </w:r>
    </w:p>
    <w:p w14:paraId="2253C897">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500" w:lineRule="exact"/>
        <w:ind w:right="-4" w:firstLine="480"/>
        <w:rPr>
          <w:rFonts w:ascii="宋体" w:hAnsi="宋体" w:cs="Arial"/>
          <w:sz w:val="24"/>
          <w:highlight w:val="none"/>
        </w:rPr>
      </w:pPr>
      <w:r>
        <w:rPr>
          <w:rFonts w:hint="eastAsia" w:ascii="宋体" w:hAnsi="宋体" w:cs="宋体"/>
          <w:sz w:val="24"/>
          <w:szCs w:val="20"/>
          <w:highlight w:val="none"/>
        </w:rPr>
        <w:t>采用综合评分法的，评标结果按评审得分由高到低顺序排列。得分相同的，按投标报价由低到高顺序排列；</w:t>
      </w:r>
      <w:r>
        <w:rPr>
          <w:rFonts w:hint="eastAsia" w:ascii="宋体" w:hAnsi="宋体" w:cs="Arial"/>
          <w:sz w:val="24"/>
          <w:highlight w:val="none"/>
        </w:rPr>
        <w:t>得分且投标报价相同的，由评标委员会组织通过抽签的方式确定中标候选人的排序。</w:t>
      </w:r>
      <w:r>
        <w:rPr>
          <w:rFonts w:hint="eastAsia" w:ascii="宋体" w:hAnsi="宋体" w:cs="宋体"/>
          <w:sz w:val="24"/>
          <w:szCs w:val="20"/>
          <w:highlight w:val="none"/>
        </w:rPr>
        <w:t>投标文件满足招标文件全部实质性要求，且按照评审因素的量化指标评审得分最高的投标人为中标候选人，本项目选取</w:t>
      </w:r>
      <w:r>
        <w:rPr>
          <w:rFonts w:hint="eastAsia" w:eastAsia="Arial"/>
          <w:sz w:val="24"/>
          <w:szCs w:val="20"/>
          <w:highlight w:val="none"/>
        </w:rPr>
        <w:t xml:space="preserve"> 1</w:t>
      </w:r>
      <w:r>
        <w:rPr>
          <w:rFonts w:hint="eastAsia" w:ascii="宋体" w:hAnsi="宋体" w:cs="宋体"/>
          <w:sz w:val="24"/>
          <w:szCs w:val="20"/>
          <w:highlight w:val="none"/>
        </w:rPr>
        <w:t>家中标候选人</w:t>
      </w:r>
      <w:r>
        <w:rPr>
          <w:rFonts w:hint="eastAsia" w:ascii="宋体" w:hAnsi="宋体" w:cs="Arial"/>
          <w:sz w:val="24"/>
          <w:highlight w:val="none"/>
        </w:rPr>
        <w:t>。</w:t>
      </w:r>
    </w:p>
    <w:p w14:paraId="587F4D90">
      <w:pPr>
        <w:pStyle w:val="7"/>
        <w:spacing w:before="0" w:after="0" w:line="500" w:lineRule="exact"/>
        <w:ind w:firstLine="482"/>
        <w:rPr>
          <w:rFonts w:ascii="宋体" w:hAnsi="宋体" w:eastAsia="宋体"/>
          <w:sz w:val="24"/>
          <w:szCs w:val="24"/>
          <w:highlight w:val="none"/>
        </w:rPr>
      </w:pPr>
      <w:r>
        <w:rPr>
          <w:rFonts w:hint="eastAsia" w:ascii="宋体" w:hAnsi="宋体" w:eastAsia="宋体"/>
          <w:sz w:val="24"/>
          <w:szCs w:val="24"/>
          <w:highlight w:val="none"/>
        </w:rPr>
        <w:t>二、对投标文件的初审</w:t>
      </w:r>
    </w:p>
    <w:p w14:paraId="4B48FF0C">
      <w:pPr>
        <w:spacing w:line="500" w:lineRule="exact"/>
        <w:ind w:firstLine="480"/>
        <w:rPr>
          <w:rFonts w:ascii="宋体"/>
          <w:bCs/>
          <w:sz w:val="24"/>
          <w:highlight w:val="none"/>
        </w:rPr>
      </w:pPr>
      <w:r>
        <w:rPr>
          <w:rFonts w:hint="eastAsia" w:ascii="宋体" w:hAnsi="宋体"/>
          <w:bCs/>
          <w:sz w:val="24"/>
          <w:highlight w:val="none"/>
        </w:rPr>
        <w:t>投标文件初审分为资格审查和符合性审查。</w:t>
      </w:r>
    </w:p>
    <w:p w14:paraId="543C2EA8">
      <w:pPr>
        <w:spacing w:line="500" w:lineRule="exact"/>
        <w:ind w:firstLine="482"/>
        <w:rPr>
          <w:rFonts w:ascii="宋体"/>
          <w:b/>
          <w:bCs/>
          <w:sz w:val="24"/>
          <w:highlight w:val="none"/>
        </w:rPr>
      </w:pPr>
      <w:r>
        <w:rPr>
          <w:rFonts w:hint="eastAsia" w:ascii="宋体" w:hAnsi="宋体"/>
          <w:b/>
          <w:bCs/>
          <w:sz w:val="24"/>
          <w:highlight w:val="none"/>
        </w:rPr>
        <w:t>资格审查</w:t>
      </w:r>
    </w:p>
    <w:p w14:paraId="7701C401">
      <w:pPr>
        <w:spacing w:line="500" w:lineRule="exact"/>
        <w:ind w:firstLine="482"/>
        <w:rPr>
          <w:rFonts w:ascii="宋体"/>
          <w:b/>
          <w:bCs/>
          <w:sz w:val="24"/>
          <w:highlight w:val="none"/>
        </w:rPr>
      </w:pPr>
      <w:r>
        <w:rPr>
          <w:rFonts w:hint="eastAsia" w:ascii="宋体" w:hAnsi="宋体"/>
          <w:b/>
          <w:bCs/>
          <w:sz w:val="24"/>
          <w:highlight w:val="none"/>
        </w:rPr>
        <w:t>开标结束后，采购人或者采购代理机构依法对投标人的资格进行审查。</w:t>
      </w:r>
    </w:p>
    <w:p w14:paraId="76358325">
      <w:pPr>
        <w:spacing w:line="500" w:lineRule="exact"/>
        <w:ind w:firstLine="480"/>
        <w:rPr>
          <w:rFonts w:ascii="宋体" w:hAnsi="宋体"/>
          <w:bCs/>
          <w:sz w:val="24"/>
          <w:highlight w:val="none"/>
        </w:rPr>
      </w:pPr>
      <w:r>
        <w:rPr>
          <w:rFonts w:hint="eastAsia" w:ascii="宋体" w:hAnsi="宋体"/>
          <w:bCs/>
          <w:sz w:val="24"/>
          <w:highlight w:val="none"/>
        </w:rPr>
        <w:t>审查投标文件中的资格、资信证明文件等，以确定投标人是否具备投标资格。（资格审查需提供的材料详见《资格信誉等证明文件要求》）</w:t>
      </w:r>
    </w:p>
    <w:p w14:paraId="66DAE8F9">
      <w:pPr>
        <w:spacing w:line="500" w:lineRule="exact"/>
        <w:ind w:firstLine="482"/>
        <w:rPr>
          <w:rFonts w:ascii="宋体"/>
          <w:b/>
          <w:bCs/>
          <w:sz w:val="24"/>
          <w:highlight w:val="none"/>
        </w:rPr>
      </w:pPr>
      <w:r>
        <w:rPr>
          <w:rFonts w:hint="eastAsia" w:ascii="宋体" w:hAnsi="宋体"/>
          <w:b/>
          <w:bCs/>
          <w:sz w:val="24"/>
          <w:highlight w:val="none"/>
        </w:rPr>
        <w:t>符合性审查</w:t>
      </w:r>
    </w:p>
    <w:p w14:paraId="0EE74F86">
      <w:pPr>
        <w:spacing w:line="500" w:lineRule="exact"/>
        <w:ind w:firstLine="482"/>
        <w:rPr>
          <w:rFonts w:ascii="宋体"/>
          <w:b/>
          <w:bCs/>
          <w:sz w:val="24"/>
          <w:highlight w:val="none"/>
        </w:rPr>
      </w:pPr>
      <w:r>
        <w:rPr>
          <w:rFonts w:hint="eastAsia" w:ascii="宋体" w:hAnsi="宋体"/>
          <w:b/>
          <w:bCs/>
          <w:sz w:val="24"/>
          <w:highlight w:val="none"/>
        </w:rPr>
        <w:t>评标委员会对符合资格的投标人的投标文件进行符合性审查。</w:t>
      </w:r>
    </w:p>
    <w:p w14:paraId="7016BA61">
      <w:pPr>
        <w:spacing w:line="500" w:lineRule="exact"/>
        <w:ind w:firstLine="480"/>
        <w:rPr>
          <w:rFonts w:ascii="宋体"/>
          <w:bCs/>
          <w:sz w:val="24"/>
          <w:highlight w:val="none"/>
        </w:rPr>
      </w:pPr>
      <w:r>
        <w:rPr>
          <w:rFonts w:hint="eastAsia" w:ascii="宋体" w:hAnsi="宋体"/>
          <w:bCs/>
          <w:sz w:val="24"/>
          <w:highlight w:val="none"/>
        </w:rPr>
        <w:t>依据招标文件的规定，从投标文件的有效性、完整性和对招标文件的响应程度进行审查，以确定其是否满足招标文件的实质性要求。</w:t>
      </w:r>
    </w:p>
    <w:p w14:paraId="47A4D460">
      <w:pPr>
        <w:spacing w:line="500" w:lineRule="exact"/>
        <w:ind w:firstLine="480"/>
        <w:rPr>
          <w:rFonts w:ascii="宋体"/>
          <w:sz w:val="24"/>
          <w:highlight w:val="none"/>
        </w:rPr>
      </w:pPr>
      <w:r>
        <w:rPr>
          <w:rFonts w:hint="eastAsia" w:ascii="宋体" w:hAnsi="宋体"/>
          <w:sz w:val="24"/>
          <w:highlight w:val="none"/>
        </w:rPr>
        <w:t>明确响应的投标应该是与招标文件要求的全部条款、条件和规格相符，没有重大偏离或保留的投标。</w:t>
      </w:r>
    </w:p>
    <w:p w14:paraId="412F0E37">
      <w:pPr>
        <w:spacing w:line="500" w:lineRule="exact"/>
        <w:ind w:firstLine="480"/>
        <w:rPr>
          <w:rFonts w:ascii="宋体"/>
          <w:bCs/>
          <w:sz w:val="24"/>
          <w:highlight w:val="none"/>
        </w:rPr>
      </w:pPr>
      <w:r>
        <w:rPr>
          <w:rFonts w:hint="eastAsia" w:ascii="宋体" w:hAnsi="宋体"/>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highlight w:val="none"/>
        </w:rPr>
        <w:t>评委决定投标文件的响应性只根据投标文件本身的内容，而不寻求外部的证据。</w:t>
      </w:r>
    </w:p>
    <w:p w14:paraId="390C6FFA">
      <w:pPr>
        <w:spacing w:line="500" w:lineRule="exact"/>
        <w:ind w:firstLine="480"/>
        <w:rPr>
          <w:rFonts w:ascii="宋体" w:hAnsi="宋体"/>
          <w:sz w:val="24"/>
          <w:highlight w:val="none"/>
        </w:rPr>
      </w:pPr>
      <w:r>
        <w:rPr>
          <w:rFonts w:hint="eastAsia" w:ascii="宋体" w:hAnsi="宋体"/>
          <w:sz w:val="24"/>
          <w:highlight w:val="none"/>
        </w:rPr>
        <w:t>如果投标文件没有明确响应招标文件的要求，评标委员会将按无效投标处理，投标人不得通过修改或撤销不合要求的偏离或保留而使其投标成为明确响应的投标。</w:t>
      </w:r>
    </w:p>
    <w:p w14:paraId="5DFF5805">
      <w:pPr>
        <w:spacing w:line="500" w:lineRule="exact"/>
        <w:ind w:firstLine="480"/>
        <w:rPr>
          <w:rFonts w:ascii="宋体" w:hAnsi="宋体"/>
          <w:sz w:val="24"/>
          <w:highlight w:val="none"/>
        </w:rPr>
      </w:pPr>
      <w:r>
        <w:rPr>
          <w:rFonts w:hint="eastAsia" w:ascii="宋体" w:hAnsi="宋体"/>
          <w:sz w:val="24"/>
          <w:highlight w:val="none"/>
        </w:rPr>
        <w:t>评标委员会将对确定为明确响应的投标进行进一步审核，投标文件报价出现前后不一致的，除招标文件另有规定外，按照下列规定修正：</w:t>
      </w:r>
    </w:p>
    <w:p w14:paraId="11BA0307">
      <w:pPr>
        <w:spacing w:line="500" w:lineRule="exact"/>
        <w:ind w:firstLine="480"/>
        <w:rPr>
          <w:rFonts w:ascii="宋体" w:hAnsi="宋体"/>
          <w:sz w:val="24"/>
          <w:highlight w:val="none"/>
        </w:rPr>
      </w:pPr>
      <w:r>
        <w:rPr>
          <w:rFonts w:ascii="宋体" w:hAnsi="宋体"/>
          <w:sz w:val="24"/>
          <w:highlight w:val="none"/>
        </w:rPr>
        <w:t>1.</w:t>
      </w:r>
      <w:r>
        <w:rPr>
          <w:rFonts w:hint="eastAsia" w:ascii="宋体" w:hAnsi="宋体"/>
          <w:sz w:val="24"/>
          <w:highlight w:val="none"/>
        </w:rPr>
        <w:t>投标文件中开标一览表内容与投标文件中相应内容不一致的，以开标一览表为准；</w:t>
      </w:r>
    </w:p>
    <w:p w14:paraId="2B048174">
      <w:pPr>
        <w:spacing w:line="500" w:lineRule="exact"/>
        <w:ind w:firstLine="480"/>
        <w:rPr>
          <w:rFonts w:ascii="宋体" w:hAnsi="宋体"/>
          <w:sz w:val="24"/>
          <w:highlight w:val="none"/>
        </w:rPr>
      </w:pPr>
      <w:r>
        <w:rPr>
          <w:rFonts w:ascii="宋体" w:hAnsi="宋体"/>
          <w:sz w:val="24"/>
          <w:highlight w:val="none"/>
        </w:rPr>
        <w:t>2.</w:t>
      </w:r>
      <w:r>
        <w:rPr>
          <w:rFonts w:hint="eastAsia" w:ascii="宋体" w:hAnsi="宋体"/>
          <w:sz w:val="24"/>
          <w:highlight w:val="none"/>
        </w:rPr>
        <w:t>大写金额和小写金额不一致的，以大写金额为准；</w:t>
      </w:r>
    </w:p>
    <w:p w14:paraId="4C5ACDF6">
      <w:pPr>
        <w:spacing w:line="500" w:lineRule="exact"/>
        <w:ind w:firstLine="480"/>
        <w:rPr>
          <w:rFonts w:ascii="宋体" w:hAnsi="宋体"/>
          <w:sz w:val="24"/>
          <w:highlight w:val="none"/>
        </w:rPr>
      </w:pPr>
      <w:r>
        <w:rPr>
          <w:rFonts w:ascii="宋体" w:hAnsi="宋体"/>
          <w:sz w:val="24"/>
          <w:highlight w:val="none"/>
        </w:rPr>
        <w:t>3.</w:t>
      </w:r>
      <w:r>
        <w:rPr>
          <w:rFonts w:hint="eastAsia" w:ascii="宋体" w:hAnsi="宋体"/>
          <w:sz w:val="24"/>
          <w:highlight w:val="none"/>
        </w:rPr>
        <w:t>单价金额小数点或者百分比有明显错位的，以开标一览表的总价为准，并修改单价；</w:t>
      </w:r>
    </w:p>
    <w:p w14:paraId="5405A8FC">
      <w:pPr>
        <w:spacing w:line="500" w:lineRule="exact"/>
        <w:ind w:firstLine="480"/>
        <w:rPr>
          <w:rFonts w:ascii="宋体" w:hAnsi="宋体"/>
          <w:sz w:val="24"/>
          <w:highlight w:val="none"/>
        </w:rPr>
      </w:pPr>
      <w:r>
        <w:rPr>
          <w:rFonts w:ascii="宋体" w:hAnsi="宋体"/>
          <w:sz w:val="24"/>
          <w:highlight w:val="none"/>
        </w:rPr>
        <w:t>4.</w:t>
      </w:r>
      <w:r>
        <w:rPr>
          <w:rFonts w:hint="eastAsia" w:ascii="宋体" w:hAnsi="宋体"/>
          <w:sz w:val="24"/>
          <w:highlight w:val="none"/>
        </w:rPr>
        <w:t>总价金额与按单价汇总金额不一致的，以单价金额计算结果为准。</w:t>
      </w:r>
    </w:p>
    <w:p w14:paraId="19980DDF">
      <w:pPr>
        <w:spacing w:line="500" w:lineRule="exact"/>
        <w:ind w:firstLine="480"/>
        <w:rPr>
          <w:rFonts w:ascii="宋体" w:hAnsi="宋体"/>
          <w:sz w:val="24"/>
          <w:highlight w:val="none"/>
        </w:rPr>
      </w:pPr>
      <w:r>
        <w:rPr>
          <w:rFonts w:hint="eastAsia" w:ascii="宋体" w:hAnsi="宋体"/>
          <w:sz w:val="24"/>
          <w:highlight w:val="none"/>
        </w:rPr>
        <w:t>评标委员会将按上述修正错误的方法调整投标文件中的投标报价，修正后的报价应当采用书面形式，并加盖公章，或者由法定代表人或其授权的代表签字，经投标人确认后产生约束力，投标人不确认的，其投标无效。</w:t>
      </w:r>
    </w:p>
    <w:p w14:paraId="4BD63014">
      <w:pPr>
        <w:spacing w:line="500" w:lineRule="exact"/>
        <w:ind w:firstLine="480"/>
        <w:rPr>
          <w:rFonts w:ascii="宋体" w:hAnsi="宋体"/>
          <w:sz w:val="24"/>
          <w:highlight w:val="none"/>
        </w:rPr>
      </w:pPr>
      <w:r>
        <w:rPr>
          <w:rFonts w:hint="eastAsia" w:ascii="宋体" w:hAnsi="宋体"/>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8297D38">
      <w:pPr>
        <w:spacing w:line="360" w:lineRule="auto"/>
        <w:ind w:firstLine="482"/>
        <w:rPr>
          <w:rFonts w:ascii="宋体" w:hAnsi="宋体" w:cs="Courier New"/>
          <w:b/>
          <w:bCs/>
          <w:sz w:val="24"/>
          <w:highlight w:val="none"/>
        </w:rPr>
      </w:pPr>
      <w:r>
        <w:rPr>
          <w:rFonts w:hint="eastAsia" w:ascii="宋体" w:hAnsi="宋体" w:cs="Courier New"/>
          <w:b/>
          <w:bCs/>
          <w:sz w:val="24"/>
          <w:highlight w:val="none"/>
        </w:rPr>
        <w:t>三、评分标准</w:t>
      </w:r>
    </w:p>
    <w:p w14:paraId="6EF1E09D">
      <w:pPr>
        <w:spacing w:line="360" w:lineRule="auto"/>
        <w:ind w:firstLine="482"/>
        <w:rPr>
          <w:rFonts w:ascii="宋体" w:hAnsi="宋体" w:cs="宋体"/>
          <w:b/>
          <w:bCs/>
          <w:sz w:val="24"/>
          <w:highlight w:val="none"/>
        </w:rPr>
      </w:pPr>
      <w:r>
        <w:rPr>
          <w:rFonts w:hint="eastAsia" w:ascii="宋体" w:hAnsi="宋体" w:cs="宋体"/>
          <w:b/>
          <w:bCs/>
          <w:sz w:val="24"/>
          <w:highlight w:val="none"/>
        </w:rPr>
        <w:t>（一）政府采购政策功能落实</w:t>
      </w:r>
    </w:p>
    <w:p w14:paraId="504858BB">
      <w:pPr>
        <w:widowControl/>
        <w:spacing w:line="560" w:lineRule="exact"/>
        <w:ind w:firstLine="480"/>
        <w:rPr>
          <w:rFonts w:ascii="宋体" w:hAnsi="宋体" w:cs="宋体"/>
          <w:b/>
          <w:bCs/>
          <w:sz w:val="24"/>
          <w:szCs w:val="20"/>
          <w:highlight w:val="none"/>
          <w:lang w:val="zh-CN"/>
        </w:rPr>
      </w:pPr>
      <w:r>
        <w:rPr>
          <w:rFonts w:hint="eastAsia" w:ascii="宋体" w:hAnsi="宋体" w:cs="宋体"/>
          <w:b/>
          <w:bCs/>
          <w:sz w:val="24"/>
          <w:szCs w:val="20"/>
          <w:highlight w:val="none"/>
          <w:lang w:val="zh-CN"/>
        </w:rPr>
        <w:t>1</w:t>
      </w:r>
      <w:r>
        <w:rPr>
          <w:rFonts w:hint="eastAsia" w:ascii="宋体" w:hAnsi="宋体" w:cs="宋体"/>
          <w:b/>
          <w:bCs/>
          <w:sz w:val="24"/>
          <w:szCs w:val="20"/>
          <w:highlight w:val="none"/>
        </w:rPr>
        <w:t>.</w:t>
      </w:r>
      <w:r>
        <w:rPr>
          <w:rFonts w:hint="eastAsia" w:ascii="宋体" w:hAnsi="宋体" w:cs="宋体"/>
          <w:b/>
          <w:bCs/>
          <w:sz w:val="24"/>
          <w:szCs w:val="20"/>
          <w:highlight w:val="none"/>
          <w:lang w:val="zh-CN"/>
        </w:rPr>
        <w:t>小微型企业</w:t>
      </w:r>
    </w:p>
    <w:p w14:paraId="288340A5">
      <w:pPr>
        <w:widowControl/>
        <w:spacing w:line="560" w:lineRule="exact"/>
        <w:ind w:firstLine="480"/>
        <w:rPr>
          <w:rFonts w:ascii="宋体" w:hAnsi="宋体" w:cs="宋体"/>
          <w:sz w:val="24"/>
          <w:szCs w:val="20"/>
          <w:highlight w:val="none"/>
          <w:lang w:val="zh-CN"/>
        </w:rPr>
      </w:pPr>
      <w:r>
        <w:rPr>
          <w:rFonts w:hint="eastAsia" w:ascii="宋体" w:hAnsi="宋体" w:cs="宋体"/>
          <w:sz w:val="24"/>
          <w:szCs w:val="20"/>
          <w:highlight w:val="none"/>
          <w:lang w:val="zh-CN"/>
        </w:rPr>
        <w:t>（1）本项目对小型和微型企业报价给予20%的扣除价格，用扣除后的价格参与评审。</w:t>
      </w:r>
    </w:p>
    <w:p w14:paraId="5BD39409">
      <w:pPr>
        <w:widowControl/>
        <w:spacing w:line="560" w:lineRule="exact"/>
        <w:ind w:firstLine="480"/>
        <w:rPr>
          <w:rFonts w:ascii="宋体" w:hAnsi="宋体" w:cs="宋体"/>
          <w:sz w:val="24"/>
          <w:szCs w:val="20"/>
          <w:highlight w:val="none"/>
          <w:lang w:val="zh-CN"/>
        </w:rPr>
      </w:pPr>
      <w:r>
        <w:rPr>
          <w:rFonts w:hint="eastAsia" w:ascii="宋体" w:hAnsi="宋体" w:cs="宋体"/>
          <w:sz w:val="24"/>
          <w:szCs w:val="20"/>
          <w:highlight w:val="none"/>
          <w:lang w:val="zh-CN"/>
        </w:rPr>
        <w:t>（2）供应商需按照采购文件的要求提供相应的《</w:t>
      </w:r>
      <w:r>
        <w:rPr>
          <w:rFonts w:hint="eastAsia" w:ascii="宋体" w:hAnsi="宋体" w:cs="宋体"/>
          <w:sz w:val="24"/>
          <w:szCs w:val="20"/>
          <w:highlight w:val="none"/>
        </w:rPr>
        <w:t>中</w:t>
      </w:r>
      <w:r>
        <w:rPr>
          <w:rFonts w:hint="eastAsia" w:ascii="宋体" w:hAnsi="宋体" w:cs="宋体"/>
          <w:sz w:val="24"/>
          <w:szCs w:val="20"/>
          <w:highlight w:val="none"/>
          <w:lang w:val="zh-CN"/>
        </w:rPr>
        <w:t>小企业声明函》。</w:t>
      </w:r>
    </w:p>
    <w:p w14:paraId="7F953623">
      <w:pPr>
        <w:widowControl/>
        <w:spacing w:line="560" w:lineRule="exact"/>
        <w:ind w:firstLine="480"/>
        <w:rPr>
          <w:rFonts w:hint="eastAsia" w:ascii="宋体" w:hAnsi="宋体" w:cs="宋体"/>
          <w:sz w:val="24"/>
          <w:szCs w:val="20"/>
          <w:highlight w:val="none"/>
          <w:lang w:val="zh-CN"/>
        </w:rPr>
      </w:pPr>
      <w:r>
        <w:rPr>
          <w:rFonts w:hint="eastAsia" w:ascii="宋体" w:hAnsi="宋体" w:cs="宋体"/>
          <w:sz w:val="24"/>
          <w:szCs w:val="20"/>
          <w:highlight w:val="none"/>
          <w:lang w:val="zh-CN"/>
        </w:rPr>
        <w:t>（3）企业标准请参照《关于印发中小企业划型标准规定的通知》（工信部联企业〔2011〕300号）文件规定自行填写。</w:t>
      </w:r>
    </w:p>
    <w:p w14:paraId="1192E99A">
      <w:pPr>
        <w:widowControl/>
        <w:spacing w:line="560" w:lineRule="exact"/>
        <w:ind w:firstLine="480"/>
        <w:rPr>
          <w:rFonts w:ascii="宋体" w:hAnsi="宋体" w:cs="宋体"/>
          <w:b/>
          <w:bCs/>
          <w:sz w:val="24"/>
          <w:szCs w:val="20"/>
          <w:highlight w:val="none"/>
          <w:lang w:val="zh-CN"/>
        </w:rPr>
      </w:pPr>
      <w:r>
        <w:rPr>
          <w:rFonts w:hint="eastAsia" w:ascii="宋体" w:hAnsi="宋体" w:cs="宋体"/>
          <w:b/>
          <w:bCs/>
          <w:sz w:val="24"/>
          <w:szCs w:val="20"/>
          <w:highlight w:val="none"/>
          <w:lang w:val="zh-CN"/>
        </w:rPr>
        <w:t>2</w:t>
      </w:r>
      <w:r>
        <w:rPr>
          <w:rFonts w:hint="eastAsia" w:ascii="宋体" w:hAnsi="宋体" w:cs="宋体"/>
          <w:b/>
          <w:bCs/>
          <w:sz w:val="24"/>
          <w:szCs w:val="20"/>
          <w:highlight w:val="none"/>
        </w:rPr>
        <w:t>.</w:t>
      </w:r>
      <w:r>
        <w:rPr>
          <w:rFonts w:hint="eastAsia" w:ascii="宋体" w:hAnsi="宋体" w:cs="宋体"/>
          <w:b/>
          <w:bCs/>
          <w:sz w:val="24"/>
          <w:szCs w:val="20"/>
          <w:highlight w:val="none"/>
          <w:lang w:val="zh-CN"/>
        </w:rPr>
        <w:t>残疾人福利单位</w:t>
      </w:r>
    </w:p>
    <w:p w14:paraId="691A410D">
      <w:pPr>
        <w:widowControl/>
        <w:spacing w:line="560" w:lineRule="exact"/>
        <w:ind w:firstLine="480"/>
        <w:rPr>
          <w:rFonts w:ascii="宋体" w:hAnsi="宋体" w:cs="宋体"/>
          <w:sz w:val="24"/>
          <w:szCs w:val="20"/>
          <w:highlight w:val="none"/>
          <w:lang w:val="zh-CN"/>
        </w:rPr>
      </w:pPr>
      <w:r>
        <w:rPr>
          <w:rFonts w:hint="eastAsia" w:ascii="宋体" w:hAnsi="宋体" w:cs="宋体"/>
          <w:sz w:val="24"/>
          <w:szCs w:val="20"/>
          <w:highlight w:val="none"/>
          <w:lang w:val="zh-CN"/>
        </w:rPr>
        <w:t>（1）本项目对残疾人福利性单位视同小型、微型企业。</w:t>
      </w:r>
    </w:p>
    <w:p w14:paraId="5BC0E76B">
      <w:pPr>
        <w:widowControl/>
        <w:spacing w:line="560" w:lineRule="exact"/>
        <w:ind w:firstLine="480"/>
        <w:rPr>
          <w:rFonts w:ascii="宋体" w:hAnsi="宋体" w:cs="宋体"/>
          <w:sz w:val="24"/>
          <w:szCs w:val="20"/>
          <w:highlight w:val="none"/>
          <w:lang w:val="zh-CN"/>
        </w:rPr>
      </w:pPr>
      <w:r>
        <w:rPr>
          <w:rFonts w:hint="eastAsia" w:ascii="宋体" w:hAnsi="宋体" w:cs="宋体"/>
          <w:sz w:val="24"/>
          <w:szCs w:val="20"/>
          <w:highlight w:val="none"/>
          <w:lang w:val="zh-CN"/>
        </w:rPr>
        <w:t>（2）残疾人福利单位需按照采购文件的要求提供《残疾人福利性单位声明函》。</w:t>
      </w:r>
    </w:p>
    <w:p w14:paraId="7145D16D">
      <w:pPr>
        <w:widowControl/>
        <w:spacing w:line="560" w:lineRule="exact"/>
        <w:ind w:firstLine="480"/>
        <w:rPr>
          <w:rFonts w:ascii="宋体" w:hAnsi="宋体" w:cs="宋体"/>
          <w:sz w:val="24"/>
          <w:szCs w:val="20"/>
          <w:highlight w:val="none"/>
          <w:lang w:val="zh-CN"/>
        </w:rPr>
      </w:pPr>
      <w:r>
        <w:rPr>
          <w:rFonts w:hint="eastAsia" w:ascii="宋体" w:hAnsi="宋体" w:cs="宋体"/>
          <w:sz w:val="24"/>
          <w:szCs w:val="20"/>
          <w:highlight w:val="none"/>
          <w:lang w:val="zh-CN"/>
        </w:rPr>
        <w:t>（3）残疾人福利单位标准请参照《关于促进残疾人就业政府采购政策的通知》（财库〔2017〕141号）。</w:t>
      </w:r>
    </w:p>
    <w:p w14:paraId="134EC367">
      <w:pPr>
        <w:widowControl/>
        <w:spacing w:line="560" w:lineRule="exact"/>
        <w:ind w:firstLine="480"/>
        <w:rPr>
          <w:rFonts w:ascii="宋体" w:hAnsi="宋体" w:cs="宋体"/>
          <w:b/>
          <w:bCs/>
          <w:sz w:val="24"/>
          <w:szCs w:val="20"/>
          <w:highlight w:val="none"/>
          <w:lang w:val="zh-CN"/>
        </w:rPr>
      </w:pPr>
      <w:r>
        <w:rPr>
          <w:rFonts w:hint="eastAsia" w:ascii="宋体" w:hAnsi="宋体" w:cs="宋体"/>
          <w:b/>
          <w:bCs/>
          <w:sz w:val="24"/>
          <w:szCs w:val="20"/>
          <w:highlight w:val="none"/>
          <w:lang w:val="zh-CN"/>
        </w:rPr>
        <w:t>3</w:t>
      </w:r>
      <w:r>
        <w:rPr>
          <w:rFonts w:hint="eastAsia" w:ascii="宋体" w:hAnsi="宋体" w:cs="宋体"/>
          <w:b/>
          <w:bCs/>
          <w:sz w:val="24"/>
          <w:szCs w:val="20"/>
          <w:highlight w:val="none"/>
        </w:rPr>
        <w:t>.</w:t>
      </w:r>
      <w:r>
        <w:rPr>
          <w:rFonts w:hint="eastAsia" w:ascii="宋体" w:hAnsi="宋体" w:cs="宋体"/>
          <w:b/>
          <w:bCs/>
          <w:sz w:val="24"/>
          <w:szCs w:val="20"/>
          <w:highlight w:val="none"/>
          <w:lang w:val="zh-CN"/>
        </w:rPr>
        <w:t>监狱和戒毒企业</w:t>
      </w:r>
    </w:p>
    <w:p w14:paraId="55F157F6">
      <w:pPr>
        <w:widowControl/>
        <w:spacing w:line="560" w:lineRule="exact"/>
        <w:ind w:firstLine="480"/>
        <w:rPr>
          <w:rFonts w:ascii="宋体" w:hAnsi="宋体" w:cs="宋体"/>
          <w:sz w:val="24"/>
          <w:szCs w:val="20"/>
          <w:highlight w:val="none"/>
          <w:lang w:val="zh-CN"/>
        </w:rPr>
      </w:pPr>
      <w:r>
        <w:rPr>
          <w:rFonts w:hint="eastAsia" w:ascii="宋体" w:hAnsi="宋体" w:cs="宋体"/>
          <w:sz w:val="24"/>
          <w:szCs w:val="20"/>
          <w:highlight w:val="none"/>
          <w:lang w:val="zh-CN"/>
        </w:rPr>
        <w:t>（1）本项目对监狱和戒毒企业（简称监狱企业）视同小型、微型企业。</w:t>
      </w:r>
    </w:p>
    <w:p w14:paraId="73D5C5F4">
      <w:pPr>
        <w:widowControl/>
        <w:spacing w:line="560" w:lineRule="exact"/>
        <w:ind w:firstLine="480"/>
        <w:rPr>
          <w:rFonts w:ascii="宋体" w:hAnsi="宋体" w:cs="宋体"/>
          <w:sz w:val="24"/>
          <w:szCs w:val="20"/>
          <w:highlight w:val="none"/>
          <w:lang w:val="zh-CN"/>
        </w:rPr>
      </w:pPr>
      <w:r>
        <w:rPr>
          <w:rFonts w:hint="eastAsia" w:ascii="宋体" w:hAnsi="宋体" w:cs="宋体"/>
          <w:sz w:val="24"/>
          <w:szCs w:val="20"/>
          <w:highlight w:val="none"/>
          <w:lang w:val="zh-CN"/>
        </w:rPr>
        <w:t>（2）监狱企业参加政府采购活动时，需提供由省级以上监狱管理局、戒毒管理局(含新疆生产建设兵团)出具的属于监狱企业的证明文件。</w:t>
      </w:r>
    </w:p>
    <w:p w14:paraId="10F82845">
      <w:pPr>
        <w:widowControl/>
        <w:spacing w:line="560" w:lineRule="exact"/>
        <w:ind w:firstLine="480"/>
        <w:rPr>
          <w:rFonts w:ascii="宋体" w:hAnsi="宋体" w:cs="宋体"/>
          <w:sz w:val="24"/>
          <w:szCs w:val="20"/>
          <w:highlight w:val="none"/>
          <w:lang w:val="zh-CN"/>
        </w:rPr>
      </w:pPr>
      <w:r>
        <w:rPr>
          <w:rFonts w:hint="eastAsia" w:ascii="宋体" w:hAnsi="宋体" w:cs="宋体"/>
          <w:sz w:val="24"/>
          <w:szCs w:val="20"/>
          <w:highlight w:val="none"/>
          <w:lang w:val="zh-CN"/>
        </w:rPr>
        <w:t>（3）监狱企业标准请参照《关于政府采购支持监狱企业发展有关问题的通知》（财库〔2014〕68号）。</w:t>
      </w:r>
    </w:p>
    <w:p w14:paraId="6D8A79E9">
      <w:pPr>
        <w:widowControl/>
        <w:spacing w:line="560" w:lineRule="exact"/>
        <w:ind w:firstLine="480"/>
        <w:rPr>
          <w:rFonts w:ascii="宋体" w:hAnsi="宋体" w:cs="宋体"/>
          <w:sz w:val="24"/>
          <w:highlight w:val="none"/>
          <w:lang w:val="zh-CN"/>
        </w:rPr>
      </w:pPr>
      <w:r>
        <w:rPr>
          <w:rFonts w:hint="eastAsia" w:ascii="宋体" w:hAnsi="宋体" w:cs="宋体"/>
          <w:sz w:val="24"/>
          <w:highlight w:val="none"/>
          <w:lang w:val="zh-CN"/>
        </w:rPr>
        <w:t>4</w:t>
      </w:r>
      <w:r>
        <w:rPr>
          <w:rFonts w:hint="eastAsia" w:ascii="宋体" w:hAnsi="宋体" w:cs="宋体"/>
          <w:sz w:val="24"/>
          <w:highlight w:val="none"/>
        </w:rPr>
        <w:t>.</w:t>
      </w:r>
      <w:r>
        <w:rPr>
          <w:rFonts w:hint="eastAsia" w:ascii="宋体" w:hAnsi="宋体" w:cs="宋体"/>
          <w:sz w:val="24"/>
          <w:highlight w:val="none"/>
          <w:lang w:val="zh-CN"/>
        </w:rPr>
        <w:t>残疾人福利单位、监狱企业属于小型、微型企业的，不重复享受政策。</w:t>
      </w:r>
    </w:p>
    <w:p w14:paraId="6F5E318C">
      <w:pPr>
        <w:widowControl/>
        <w:spacing w:line="560" w:lineRule="exact"/>
        <w:ind w:firstLine="480"/>
        <w:rPr>
          <w:rFonts w:ascii="宋体" w:hAnsi="宋体" w:cs="宋体"/>
          <w:sz w:val="24"/>
          <w:highlight w:val="none"/>
        </w:rPr>
      </w:pPr>
      <w:r>
        <w:rPr>
          <w:rFonts w:hint="eastAsia" w:ascii="宋体" w:hAnsi="宋体" w:cs="宋体"/>
          <w:sz w:val="24"/>
          <w:highlight w:val="none"/>
          <w:lang w:val="zh-CN"/>
        </w:rPr>
        <w:t>5</w:t>
      </w:r>
      <w:r>
        <w:rPr>
          <w:rFonts w:hint="eastAsia" w:ascii="宋体" w:hAnsi="宋体" w:cs="宋体"/>
          <w:sz w:val="24"/>
          <w:highlight w:val="none"/>
        </w:rPr>
        <w:t>.</w:t>
      </w:r>
      <w:r>
        <w:rPr>
          <w:rFonts w:hint="eastAsia" w:ascii="宋体" w:hAnsi="宋体" w:cs="宋体"/>
          <w:sz w:val="24"/>
          <w:highlight w:val="none"/>
          <w:lang w:val="zh-CN"/>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highlight w:val="none"/>
        </w:rPr>
        <w:t>如属政府强制采购产品未提供认证证书的或认证证书提供不全的将视为未实质性响应采购要求。</w:t>
      </w:r>
      <w:r>
        <w:rPr>
          <w:rFonts w:hint="eastAsia" w:ascii="宋体" w:hAnsi="宋体" w:cs="宋体"/>
          <w:sz w:val="24"/>
          <w:highlight w:val="none"/>
        </w:rPr>
        <w:t>其他条件相同情况下，应当优先采购节能产品、环境标志产品。</w:t>
      </w:r>
    </w:p>
    <w:p w14:paraId="62675731">
      <w:pPr>
        <w:widowControl/>
        <w:spacing w:line="560" w:lineRule="exact"/>
        <w:ind w:firstLine="480"/>
        <w:rPr>
          <w:rFonts w:ascii="宋体" w:hAnsi="宋体" w:cs="宋体"/>
          <w:sz w:val="24"/>
          <w:highlight w:val="none"/>
          <w:lang w:val="zh-CN"/>
        </w:rPr>
      </w:pPr>
      <w:r>
        <w:rPr>
          <w:rFonts w:hint="eastAsia" w:ascii="宋体" w:hAnsi="宋体" w:cs="宋体"/>
          <w:sz w:val="24"/>
          <w:highlight w:val="none"/>
          <w:lang w:val="zh-CN"/>
        </w:rPr>
        <w:t>6.强化政府采购异常低价审查</w:t>
      </w:r>
    </w:p>
    <w:p w14:paraId="0C7DA545">
      <w:pPr>
        <w:widowControl/>
        <w:spacing w:line="560" w:lineRule="exact"/>
        <w:ind w:firstLine="480"/>
        <w:rPr>
          <w:rFonts w:ascii="宋体" w:hAnsi="宋体" w:cs="宋体"/>
          <w:sz w:val="24"/>
          <w:highlight w:val="none"/>
          <w:lang w:val="zh-CN"/>
        </w:rPr>
      </w:pPr>
      <w:r>
        <w:rPr>
          <w:rFonts w:hint="eastAsia" w:ascii="宋体" w:hAnsi="宋体" w:cs="宋体"/>
          <w:sz w:val="24"/>
          <w:highlight w:val="none"/>
          <w:lang w:val="zh-CN"/>
        </w:rPr>
        <w:t>采购人应在采购文件中明确评审委员会启动异常低价投标（响应）审查的情形和具体要求，包括：</w:t>
      </w:r>
    </w:p>
    <w:p w14:paraId="67006BD4">
      <w:pPr>
        <w:widowControl/>
        <w:spacing w:line="560" w:lineRule="exact"/>
        <w:ind w:firstLine="480"/>
        <w:rPr>
          <w:rFonts w:ascii="宋体" w:hAnsi="宋体" w:cs="宋体"/>
          <w:sz w:val="24"/>
          <w:highlight w:val="none"/>
          <w:lang w:val="zh-CN"/>
        </w:rPr>
      </w:pPr>
      <w:r>
        <w:rPr>
          <w:rFonts w:hint="eastAsia" w:ascii="宋体" w:hAnsi="宋体" w:cs="宋体"/>
          <w:sz w:val="24"/>
          <w:highlight w:val="none"/>
          <w:lang w:val="zh-CN"/>
        </w:rPr>
        <w:t> （一）评审过程中出现下列情形之一的，评审委员会应当启动异常低价投标（响应）审查程序：</w:t>
      </w:r>
    </w:p>
    <w:p w14:paraId="3B642E81">
      <w:pPr>
        <w:widowControl/>
        <w:spacing w:line="560" w:lineRule="exact"/>
        <w:ind w:firstLine="480"/>
        <w:rPr>
          <w:rFonts w:ascii="宋体" w:hAnsi="宋体" w:cs="宋体"/>
          <w:sz w:val="24"/>
          <w:highlight w:val="none"/>
          <w:lang w:val="zh-CN"/>
        </w:rPr>
      </w:pPr>
      <w:r>
        <w:rPr>
          <w:rFonts w:hint="eastAsia" w:ascii="宋体" w:hAnsi="宋体" w:cs="宋体"/>
          <w:sz w:val="24"/>
          <w:highlight w:val="none"/>
          <w:lang w:val="zh-CN"/>
        </w:rPr>
        <w:t>1.投标（响应）报价低于采购项目预算50%的，即投标（响应）报价&lt;采购项目预算×50%；</w:t>
      </w:r>
    </w:p>
    <w:p w14:paraId="37956CC5">
      <w:pPr>
        <w:widowControl/>
        <w:spacing w:line="560" w:lineRule="exact"/>
        <w:ind w:firstLine="480"/>
        <w:rPr>
          <w:rFonts w:ascii="宋体" w:hAnsi="宋体" w:cs="宋体"/>
          <w:sz w:val="24"/>
          <w:highlight w:val="none"/>
          <w:lang w:val="zh-CN"/>
        </w:rPr>
      </w:pPr>
      <w:r>
        <w:rPr>
          <w:rFonts w:hint="eastAsia" w:ascii="宋体" w:hAnsi="宋体" w:cs="宋体"/>
          <w:sz w:val="24"/>
          <w:highlight w:val="none"/>
          <w:lang w:val="zh-CN"/>
        </w:rPr>
        <w:t>2.投标（响应）报价低于采购项目最高限价45%的，即投标（响应）报价&lt;采购项目最高限价×45%；</w:t>
      </w:r>
    </w:p>
    <w:p w14:paraId="35005BA4">
      <w:pPr>
        <w:widowControl/>
        <w:spacing w:line="560" w:lineRule="exact"/>
        <w:ind w:firstLine="480"/>
        <w:rPr>
          <w:rFonts w:ascii="宋体" w:hAnsi="宋体" w:cs="宋体"/>
          <w:sz w:val="24"/>
          <w:highlight w:val="none"/>
          <w:lang w:val="zh-CN"/>
        </w:rPr>
      </w:pPr>
      <w:r>
        <w:rPr>
          <w:rFonts w:hint="eastAsia" w:ascii="宋体" w:hAnsi="宋体" w:cs="宋体"/>
          <w:sz w:val="24"/>
          <w:highlight w:val="none"/>
          <w:lang w:val="zh-CN"/>
        </w:rPr>
        <w:t>3.评审委员会认定的供应商报价过低、有可能影响产品质量或者不能诚信履约的其他情形。</w:t>
      </w:r>
    </w:p>
    <w:p w14:paraId="4AE5873C">
      <w:pPr>
        <w:widowControl/>
        <w:spacing w:line="560" w:lineRule="exact"/>
        <w:ind w:firstLine="240" w:firstLineChars="100"/>
        <w:rPr>
          <w:rFonts w:ascii="宋体" w:hAnsi="宋体" w:cs="宋体"/>
          <w:sz w:val="24"/>
          <w:highlight w:val="none"/>
          <w:lang w:val="zh-CN"/>
        </w:rPr>
      </w:pPr>
      <w:r>
        <w:rPr>
          <w:rFonts w:hint="eastAsia" w:ascii="宋体" w:hAnsi="宋体" w:cs="宋体"/>
          <w:sz w:val="24"/>
          <w:highlight w:val="none"/>
          <w:lang w:val="zh-CN"/>
        </w:rPr>
        <w:t xml:space="preserve"> （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D82DC4A">
      <w:pPr>
        <w:pStyle w:val="79"/>
        <w:widowControl w:val="0"/>
        <w:spacing w:before="120" w:beforeAutospacing="0" w:after="120" w:afterAutospacing="0" w:line="400" w:lineRule="atLeast"/>
        <w:ind w:firstLine="363"/>
        <w:rPr>
          <w:rFonts w:ascii="Times New Roman" w:hAnsi="Times New Roman"/>
          <w:highlight w:val="none"/>
        </w:rPr>
      </w:pPr>
      <w:r>
        <w:rPr>
          <w:rFonts w:hint="eastAsia" w:cs="Courier New"/>
          <w:b/>
          <w:bCs/>
          <w:highlight w:val="none"/>
        </w:rPr>
        <w:t>（二）本项目评分总分值为</w:t>
      </w:r>
      <w:r>
        <w:rPr>
          <w:rFonts w:cs="Courier New"/>
          <w:b/>
          <w:bCs/>
          <w:highlight w:val="none"/>
        </w:rPr>
        <w:t>100</w:t>
      </w:r>
      <w:r>
        <w:rPr>
          <w:rFonts w:hint="eastAsia" w:cs="Courier New"/>
          <w:b/>
          <w:bCs/>
          <w:highlight w:val="none"/>
        </w:rPr>
        <w:t>分。</w:t>
      </w:r>
    </w:p>
    <w:tbl>
      <w:tblPr>
        <w:tblStyle w:val="87"/>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907"/>
        <w:gridCol w:w="1248"/>
        <w:gridCol w:w="6519"/>
      </w:tblGrid>
      <w:tr w14:paraId="7D6C4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675" w:type="dxa"/>
            <w:vAlign w:val="center"/>
          </w:tcPr>
          <w:p w14:paraId="1F4C0977">
            <w:pPr>
              <w:widowControl/>
              <w:spacing w:line="460" w:lineRule="exact"/>
              <w:rPr>
                <w:rFonts w:ascii="宋体" w:hAnsi="宋体"/>
                <w:szCs w:val="21"/>
                <w:highlight w:val="none"/>
              </w:rPr>
            </w:pPr>
            <w:bookmarkStart w:id="4" w:name="OLE_LINK14"/>
            <w:bookmarkStart w:id="5" w:name="OLE_LINK13"/>
            <w:r>
              <w:rPr>
                <w:rFonts w:hint="eastAsia" w:ascii="宋体" w:hAnsi="宋体"/>
                <w:szCs w:val="21"/>
                <w:highlight w:val="none"/>
              </w:rPr>
              <w:t>序号</w:t>
            </w:r>
          </w:p>
        </w:tc>
        <w:tc>
          <w:tcPr>
            <w:tcW w:w="1907" w:type="dxa"/>
            <w:vAlign w:val="center"/>
          </w:tcPr>
          <w:p w14:paraId="5110C4FE">
            <w:pPr>
              <w:widowControl/>
              <w:spacing w:line="400" w:lineRule="exact"/>
              <w:jc w:val="center"/>
              <w:rPr>
                <w:rFonts w:ascii="宋体" w:hAnsi="宋体"/>
                <w:szCs w:val="21"/>
                <w:highlight w:val="none"/>
              </w:rPr>
            </w:pPr>
            <w:r>
              <w:rPr>
                <w:rFonts w:hint="eastAsia" w:ascii="宋体" w:hAnsi="宋体"/>
                <w:szCs w:val="21"/>
                <w:highlight w:val="none"/>
              </w:rPr>
              <w:t>评分内容</w:t>
            </w:r>
          </w:p>
        </w:tc>
        <w:tc>
          <w:tcPr>
            <w:tcW w:w="7767" w:type="dxa"/>
            <w:gridSpan w:val="2"/>
            <w:vAlign w:val="center"/>
          </w:tcPr>
          <w:p w14:paraId="2C64AFE7">
            <w:pPr>
              <w:spacing w:line="460" w:lineRule="exact"/>
              <w:jc w:val="center"/>
              <w:rPr>
                <w:rFonts w:ascii="宋体" w:hAnsi="宋体"/>
                <w:bCs/>
                <w:szCs w:val="21"/>
                <w:highlight w:val="none"/>
              </w:rPr>
            </w:pPr>
            <w:r>
              <w:rPr>
                <w:rFonts w:hint="eastAsia" w:ascii="宋体" w:hAnsi="宋体"/>
                <w:bCs/>
                <w:szCs w:val="21"/>
                <w:highlight w:val="none"/>
              </w:rPr>
              <w:t>详细评审标准</w:t>
            </w:r>
          </w:p>
        </w:tc>
      </w:tr>
      <w:tr w14:paraId="163A2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675" w:type="dxa"/>
            <w:vAlign w:val="center"/>
          </w:tcPr>
          <w:p w14:paraId="012ACBAD">
            <w:pPr>
              <w:widowControl/>
              <w:spacing w:line="460" w:lineRule="exact"/>
              <w:rPr>
                <w:rFonts w:ascii="宋体" w:hAnsi="宋体"/>
                <w:b/>
                <w:szCs w:val="21"/>
                <w:highlight w:val="none"/>
              </w:rPr>
            </w:pPr>
            <w:r>
              <w:rPr>
                <w:rFonts w:ascii="宋体" w:hAnsi="宋体"/>
                <w:b/>
                <w:szCs w:val="21"/>
                <w:highlight w:val="none"/>
              </w:rPr>
              <w:t>一</w:t>
            </w:r>
          </w:p>
        </w:tc>
        <w:tc>
          <w:tcPr>
            <w:tcW w:w="1907" w:type="dxa"/>
            <w:vAlign w:val="center"/>
          </w:tcPr>
          <w:p w14:paraId="619AF358">
            <w:pPr>
              <w:spacing w:line="440" w:lineRule="exact"/>
              <w:jc w:val="center"/>
              <w:rPr>
                <w:rFonts w:ascii="宋体" w:hAnsi="宋体"/>
                <w:szCs w:val="21"/>
                <w:highlight w:val="none"/>
              </w:rPr>
            </w:pPr>
            <w:r>
              <w:rPr>
                <w:rFonts w:hint="eastAsia" w:ascii="宋体" w:hAnsi="宋体"/>
                <w:szCs w:val="21"/>
                <w:highlight w:val="none"/>
              </w:rPr>
              <w:t>投标报价(20分)</w:t>
            </w:r>
          </w:p>
        </w:tc>
        <w:tc>
          <w:tcPr>
            <w:tcW w:w="7767" w:type="dxa"/>
            <w:gridSpan w:val="2"/>
            <w:shd w:val="clear" w:color="auto" w:fill="auto"/>
            <w:vAlign w:val="center"/>
          </w:tcPr>
          <w:p w14:paraId="367DD556">
            <w:pPr>
              <w:spacing w:line="380" w:lineRule="exact"/>
              <w:jc w:val="left"/>
              <w:rPr>
                <w:highlight w:val="none"/>
              </w:rPr>
            </w:pPr>
            <w:r>
              <w:rPr>
                <w:rFonts w:hint="eastAsia" w:ascii="宋体" w:hAnsi="宋体"/>
                <w:szCs w:val="21"/>
                <w:highlight w:val="none"/>
              </w:rPr>
              <w:t>满足招标文件要求且投标价格最低的投标报价为评标基准价，其价格分为满分。其他投标人的价格分，统一按照下列公式计算：</w:t>
            </w:r>
            <w:r>
              <w:rPr>
                <w:rFonts w:hint="eastAsia" w:ascii="宋体" w:hAnsi="宋体"/>
                <w:szCs w:val="21"/>
                <w:highlight w:val="none"/>
              </w:rPr>
              <w:br w:type="textWrapping"/>
            </w:r>
            <w:r>
              <w:rPr>
                <w:rFonts w:hint="eastAsia" w:ascii="宋体" w:hAnsi="宋体"/>
                <w:szCs w:val="21"/>
                <w:highlight w:val="none"/>
              </w:rPr>
              <w:t>投标报价得分=(评标基准价/投标报价)x20(该结果四舍五入，保留两位小数)</w:t>
            </w:r>
          </w:p>
        </w:tc>
      </w:tr>
      <w:tr w14:paraId="17F85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675" w:type="dxa"/>
            <w:vMerge w:val="restart"/>
            <w:vAlign w:val="center"/>
          </w:tcPr>
          <w:p w14:paraId="4AB8519C">
            <w:pPr>
              <w:widowControl/>
              <w:spacing w:line="460" w:lineRule="exact"/>
              <w:rPr>
                <w:rFonts w:ascii="宋体" w:hAnsi="宋体"/>
                <w:b/>
                <w:szCs w:val="21"/>
                <w:highlight w:val="none"/>
              </w:rPr>
            </w:pPr>
            <w:r>
              <w:rPr>
                <w:rFonts w:hint="eastAsia" w:ascii="宋体" w:hAnsi="宋体"/>
                <w:b/>
                <w:szCs w:val="21"/>
                <w:highlight w:val="none"/>
              </w:rPr>
              <w:t>二</w:t>
            </w:r>
          </w:p>
        </w:tc>
        <w:tc>
          <w:tcPr>
            <w:tcW w:w="1907" w:type="dxa"/>
            <w:vMerge w:val="restart"/>
            <w:vAlign w:val="center"/>
          </w:tcPr>
          <w:p w14:paraId="09BA6C5E">
            <w:pPr>
              <w:spacing w:line="460" w:lineRule="exact"/>
              <w:jc w:val="center"/>
              <w:rPr>
                <w:rFonts w:ascii="宋体" w:hAnsi="宋体" w:cs="宋体"/>
                <w:bCs/>
                <w:szCs w:val="21"/>
                <w:highlight w:val="none"/>
              </w:rPr>
            </w:pPr>
            <w:r>
              <w:rPr>
                <w:rFonts w:hint="eastAsia" w:ascii="宋体" w:hAnsi="宋体" w:cs="宋体"/>
                <w:bCs/>
                <w:szCs w:val="21"/>
                <w:highlight w:val="none"/>
              </w:rPr>
              <w:t>企业综合实力（20分）</w:t>
            </w:r>
          </w:p>
        </w:tc>
        <w:tc>
          <w:tcPr>
            <w:tcW w:w="1248" w:type="dxa"/>
            <w:vAlign w:val="center"/>
          </w:tcPr>
          <w:p w14:paraId="75BC5D6B">
            <w:pPr>
              <w:spacing w:line="380" w:lineRule="exact"/>
              <w:jc w:val="left"/>
              <w:rPr>
                <w:rFonts w:ascii="宋体" w:hAnsi="宋体"/>
                <w:szCs w:val="21"/>
                <w:highlight w:val="none"/>
              </w:rPr>
            </w:pPr>
            <w:bookmarkStart w:id="6" w:name="OLE_LINK1"/>
            <w:r>
              <w:rPr>
                <w:rFonts w:hint="eastAsia" w:ascii="宋体" w:hAnsi="宋体"/>
                <w:szCs w:val="21"/>
                <w:highlight w:val="none"/>
              </w:rPr>
              <w:t>拟派项目团队实力</w:t>
            </w:r>
            <w:bookmarkEnd w:id="6"/>
            <w:r>
              <w:rPr>
                <w:rFonts w:hint="eastAsia" w:ascii="宋体" w:hAnsi="宋体" w:cs="宋体"/>
                <w:bCs/>
                <w:szCs w:val="21"/>
                <w:highlight w:val="none"/>
              </w:rPr>
              <w:t>（11分）</w:t>
            </w:r>
          </w:p>
        </w:tc>
        <w:tc>
          <w:tcPr>
            <w:tcW w:w="6519" w:type="dxa"/>
            <w:vAlign w:val="center"/>
          </w:tcPr>
          <w:p w14:paraId="732EF03F">
            <w:pPr>
              <w:spacing w:line="380" w:lineRule="exact"/>
              <w:jc w:val="left"/>
              <w:rPr>
                <w:rFonts w:ascii="宋体" w:hAnsi="宋体"/>
                <w:szCs w:val="21"/>
                <w:highlight w:val="none"/>
              </w:rPr>
            </w:pPr>
            <w:r>
              <w:rPr>
                <w:rFonts w:hint="eastAsia" w:ascii="宋体" w:hAnsi="宋体"/>
                <w:szCs w:val="21"/>
                <w:highlight w:val="none"/>
              </w:rPr>
              <w:t>1.项目负责人(</w:t>
            </w:r>
            <w:r>
              <w:rPr>
                <w:rFonts w:hint="eastAsia" w:ascii="宋体" w:hAnsi="宋体"/>
                <w:szCs w:val="21"/>
                <w:highlight w:val="none"/>
                <w:lang w:val="en-US" w:eastAsia="zh-CN"/>
              </w:rPr>
              <w:t>6</w:t>
            </w:r>
            <w:r>
              <w:rPr>
                <w:rFonts w:hint="eastAsia" w:ascii="宋体" w:hAnsi="宋体"/>
                <w:szCs w:val="21"/>
                <w:highlight w:val="none"/>
              </w:rPr>
              <w:t>分)</w:t>
            </w:r>
          </w:p>
          <w:p w14:paraId="5B71F80E">
            <w:pPr>
              <w:spacing w:line="380" w:lineRule="exact"/>
              <w:jc w:val="left"/>
              <w:rPr>
                <w:rFonts w:hint="eastAsia" w:ascii="宋体" w:hAnsi="宋体" w:eastAsia="宋体"/>
                <w:szCs w:val="21"/>
                <w:highlight w:val="none"/>
                <w:lang w:val="en-US" w:eastAsia="zh-CN"/>
              </w:rPr>
            </w:pPr>
            <w:r>
              <w:rPr>
                <w:rFonts w:hint="eastAsia" w:ascii="宋体" w:hAnsi="宋体"/>
                <w:szCs w:val="21"/>
                <w:highlight w:val="none"/>
              </w:rPr>
              <w:t>(1)</w:t>
            </w:r>
            <w:r>
              <w:rPr>
                <w:rFonts w:hint="eastAsia" w:ascii="宋体" w:hAnsi="宋体"/>
                <w:szCs w:val="21"/>
                <w:highlight w:val="none"/>
                <w:lang w:val="en-US" w:eastAsia="zh-CN"/>
              </w:rPr>
              <w:t>具</w:t>
            </w:r>
            <w:r>
              <w:rPr>
                <w:rFonts w:hint="eastAsia" w:ascii="宋体" w:hAnsi="宋体"/>
                <w:szCs w:val="21"/>
                <w:highlight w:val="none"/>
              </w:rPr>
              <w:t>有中级工程师</w:t>
            </w:r>
            <w:r>
              <w:rPr>
                <w:rFonts w:hint="eastAsia" w:ascii="宋体" w:hAnsi="宋体"/>
                <w:szCs w:val="21"/>
                <w:highlight w:val="none"/>
                <w:lang w:val="en-US" w:eastAsia="zh-CN"/>
              </w:rPr>
              <w:t>职称的</w:t>
            </w:r>
            <w:r>
              <w:rPr>
                <w:rFonts w:hint="eastAsia" w:ascii="宋体" w:hAnsi="宋体"/>
                <w:szCs w:val="21"/>
                <w:highlight w:val="none"/>
              </w:rPr>
              <w:t>得</w:t>
            </w:r>
            <w:r>
              <w:rPr>
                <w:rFonts w:hint="eastAsia" w:ascii="宋体" w:hAnsi="宋体"/>
                <w:szCs w:val="21"/>
                <w:highlight w:val="none"/>
                <w:lang w:val="en-US" w:eastAsia="zh-CN"/>
              </w:rPr>
              <w:t>2</w:t>
            </w:r>
            <w:r>
              <w:rPr>
                <w:rFonts w:hint="eastAsia" w:ascii="宋体" w:hAnsi="宋体"/>
                <w:szCs w:val="21"/>
                <w:highlight w:val="none"/>
              </w:rPr>
              <w:t>分</w:t>
            </w:r>
            <w:r>
              <w:rPr>
                <w:rFonts w:hint="eastAsia" w:ascii="宋体" w:hAnsi="宋体"/>
                <w:szCs w:val="21"/>
                <w:highlight w:val="none"/>
                <w:lang w:eastAsia="zh-CN"/>
              </w:rPr>
              <w:t>，</w:t>
            </w:r>
            <w:r>
              <w:rPr>
                <w:rFonts w:hint="eastAsia" w:ascii="宋体" w:hAnsi="宋体"/>
                <w:szCs w:val="21"/>
                <w:highlight w:val="none"/>
                <w:lang w:val="en-US" w:eastAsia="zh-CN"/>
              </w:rPr>
              <w:t>具有高级工程师</w:t>
            </w:r>
            <w:r>
              <w:rPr>
                <w:rFonts w:hint="eastAsia" w:ascii="宋体" w:hAnsi="宋体"/>
                <w:szCs w:val="21"/>
                <w:highlight w:val="none"/>
              </w:rPr>
              <w:t>及以上职称的，得</w:t>
            </w:r>
            <w:r>
              <w:rPr>
                <w:rFonts w:hint="eastAsia" w:ascii="宋体" w:hAnsi="宋体"/>
                <w:szCs w:val="21"/>
                <w:highlight w:val="none"/>
                <w:lang w:val="en-US" w:eastAsia="zh-CN"/>
              </w:rPr>
              <w:t>4</w:t>
            </w:r>
            <w:r>
              <w:rPr>
                <w:rFonts w:hint="eastAsia" w:ascii="宋体" w:hAnsi="宋体"/>
                <w:szCs w:val="21"/>
                <w:highlight w:val="none"/>
              </w:rPr>
              <w:t>分。本项最多得</w:t>
            </w:r>
            <w:r>
              <w:rPr>
                <w:rFonts w:hint="eastAsia" w:ascii="宋体" w:hAnsi="宋体"/>
                <w:szCs w:val="21"/>
                <w:highlight w:val="none"/>
                <w:lang w:val="en-US" w:eastAsia="zh-CN"/>
              </w:rPr>
              <w:t>4</w:t>
            </w:r>
            <w:r>
              <w:rPr>
                <w:rFonts w:hint="eastAsia" w:ascii="宋体" w:hAnsi="宋体"/>
                <w:szCs w:val="21"/>
                <w:highlight w:val="none"/>
              </w:rPr>
              <w:t>分。</w:t>
            </w:r>
          </w:p>
          <w:p w14:paraId="7D40E591">
            <w:pPr>
              <w:spacing w:line="380" w:lineRule="exact"/>
              <w:jc w:val="left"/>
              <w:rPr>
                <w:rFonts w:ascii="宋体" w:hAnsi="宋体"/>
                <w:szCs w:val="21"/>
                <w:highlight w:val="none"/>
              </w:rPr>
            </w:pPr>
            <w:r>
              <w:rPr>
                <w:rFonts w:hint="eastAsia" w:ascii="宋体" w:hAnsi="宋体"/>
                <w:szCs w:val="21"/>
                <w:highlight w:val="none"/>
              </w:rPr>
              <w:t>(2)具有信息系统项目管理师的，得2分，本项最多得2分。</w:t>
            </w:r>
          </w:p>
          <w:p w14:paraId="669B83CD">
            <w:pPr>
              <w:spacing w:line="380" w:lineRule="exact"/>
              <w:jc w:val="left"/>
              <w:rPr>
                <w:rFonts w:hint="eastAsia" w:ascii="宋体" w:hAnsi="宋体"/>
                <w:szCs w:val="21"/>
                <w:highlight w:val="none"/>
              </w:rPr>
            </w:pPr>
            <w:r>
              <w:rPr>
                <w:rFonts w:hint="eastAsia" w:ascii="宋体" w:hAnsi="宋体"/>
                <w:szCs w:val="21"/>
                <w:highlight w:val="none"/>
              </w:rPr>
              <w:t>2.实施团队成员(不含项目负责人)(5分)除项目负责人外，团队成员不得少于5人，具有</w:t>
            </w:r>
            <w:r>
              <w:rPr>
                <w:rFonts w:hint="eastAsia" w:ascii="宋体" w:hAnsi="宋体"/>
                <w:szCs w:val="21"/>
                <w:highlight w:val="none"/>
              </w:rPr>
              <w:fldChar w:fldCharType="begin"/>
            </w:r>
            <w:r>
              <w:rPr>
                <w:rFonts w:hint="eastAsia" w:ascii="宋体" w:hAnsi="宋体"/>
                <w:szCs w:val="21"/>
                <w:highlight w:val="none"/>
              </w:rPr>
              <w:instrText xml:space="preserve"> = 1 \* GB3 \* MERGEFORMAT </w:instrText>
            </w:r>
            <w:r>
              <w:rPr>
                <w:rFonts w:hint="eastAsia" w:ascii="宋体" w:hAnsi="宋体"/>
                <w:szCs w:val="21"/>
                <w:highlight w:val="none"/>
              </w:rPr>
              <w:fldChar w:fldCharType="separate"/>
            </w:r>
            <w:r>
              <w:rPr>
                <w:highlight w:val="none"/>
              </w:rPr>
              <w:t>①</w:t>
            </w:r>
            <w:r>
              <w:rPr>
                <w:rFonts w:hint="eastAsia" w:ascii="宋体" w:hAnsi="宋体"/>
                <w:szCs w:val="21"/>
                <w:highlight w:val="none"/>
              </w:rPr>
              <w:fldChar w:fldCharType="end"/>
            </w:r>
            <w:r>
              <w:rPr>
                <w:rFonts w:hint="eastAsia" w:ascii="宋体" w:hAnsi="宋体"/>
                <w:szCs w:val="21"/>
                <w:highlight w:val="none"/>
              </w:rPr>
              <w:t>系统集成项目管理工程师②信息安全工程师③信息</w:t>
            </w:r>
            <w:r>
              <w:rPr>
                <w:rFonts w:hint="eastAsia" w:ascii="宋体" w:hAnsi="宋体"/>
                <w:szCs w:val="21"/>
                <w:highlight w:val="none"/>
                <w:lang w:val="en-US" w:eastAsia="zh-CN"/>
              </w:rPr>
              <w:t>系统管理工程师</w:t>
            </w:r>
            <w:r>
              <w:rPr>
                <w:rFonts w:hint="eastAsia" w:ascii="宋体" w:hAnsi="宋体"/>
                <w:szCs w:val="21"/>
                <w:highlight w:val="none"/>
              </w:rPr>
              <w:t>④网络工程师（软考）⑤计算机硬件工程师，</w:t>
            </w:r>
            <w:r>
              <w:rPr>
                <w:rFonts w:hint="eastAsia" w:ascii="宋体" w:hAnsi="宋体"/>
                <w:szCs w:val="21"/>
                <w:highlight w:val="none"/>
                <w:lang w:val="en-US" w:eastAsia="zh-CN"/>
              </w:rPr>
              <w:t>同一人员持有多个证书的仅计一类证书，多人持有同一证书仅计一类证书，不重复计分，</w:t>
            </w:r>
            <w:r>
              <w:rPr>
                <w:rFonts w:hint="eastAsia" w:ascii="宋体" w:hAnsi="宋体"/>
                <w:szCs w:val="21"/>
                <w:highlight w:val="none"/>
              </w:rPr>
              <w:t>每有一类证书得1分</w:t>
            </w:r>
            <w:r>
              <w:rPr>
                <w:rFonts w:hint="eastAsia" w:ascii="宋体" w:hAnsi="宋体"/>
                <w:szCs w:val="21"/>
                <w:highlight w:val="none"/>
                <w:lang w:eastAsia="zh-CN"/>
              </w:rPr>
              <w:t>，</w:t>
            </w:r>
            <w:r>
              <w:rPr>
                <w:rFonts w:hint="eastAsia" w:ascii="宋体" w:hAnsi="宋体"/>
                <w:szCs w:val="21"/>
                <w:highlight w:val="none"/>
              </w:rPr>
              <w:t>最多得</w:t>
            </w:r>
            <w:r>
              <w:rPr>
                <w:rFonts w:hint="eastAsia" w:ascii="宋体" w:hAnsi="宋体"/>
                <w:szCs w:val="21"/>
                <w:highlight w:val="none"/>
                <w:lang w:val="en-US" w:eastAsia="zh-CN"/>
              </w:rPr>
              <w:t>5</w:t>
            </w:r>
            <w:r>
              <w:rPr>
                <w:rFonts w:hint="eastAsia" w:ascii="宋体" w:hAnsi="宋体"/>
                <w:szCs w:val="21"/>
                <w:highlight w:val="none"/>
              </w:rPr>
              <w:t>分。</w:t>
            </w:r>
          </w:p>
          <w:p w14:paraId="0D0F78F5">
            <w:pPr>
              <w:spacing w:line="380" w:lineRule="exact"/>
              <w:jc w:val="left"/>
              <w:rPr>
                <w:rFonts w:hint="eastAsia" w:ascii="宋体" w:hAnsi="宋体" w:eastAsia="宋体"/>
                <w:szCs w:val="21"/>
                <w:highlight w:val="none"/>
                <w:lang w:val="en-US" w:eastAsia="zh-CN"/>
              </w:rPr>
            </w:pPr>
            <w:r>
              <w:rPr>
                <w:rFonts w:hint="eastAsia" w:ascii="宋体" w:hAnsi="宋体"/>
                <w:szCs w:val="21"/>
                <w:highlight w:val="none"/>
              </w:rPr>
              <w:t>注：以提供相关证书的原件彩色扫描件为计分依据</w:t>
            </w:r>
            <w:r>
              <w:rPr>
                <w:rFonts w:hint="eastAsia" w:ascii="宋体" w:hAnsi="宋体"/>
                <w:szCs w:val="21"/>
                <w:highlight w:val="none"/>
                <w:lang w:eastAsia="zh-CN"/>
              </w:rPr>
              <w:t>。</w:t>
            </w:r>
          </w:p>
        </w:tc>
      </w:tr>
      <w:tr w14:paraId="123A9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jc w:val="center"/>
        </w:trPr>
        <w:tc>
          <w:tcPr>
            <w:tcW w:w="675" w:type="dxa"/>
            <w:vMerge w:val="continue"/>
            <w:vAlign w:val="center"/>
          </w:tcPr>
          <w:p w14:paraId="19A395F2">
            <w:pPr>
              <w:widowControl/>
              <w:spacing w:line="460" w:lineRule="exact"/>
              <w:rPr>
                <w:rFonts w:ascii="宋体" w:hAnsi="宋体"/>
                <w:b/>
                <w:szCs w:val="21"/>
                <w:highlight w:val="none"/>
              </w:rPr>
            </w:pPr>
          </w:p>
        </w:tc>
        <w:tc>
          <w:tcPr>
            <w:tcW w:w="1907" w:type="dxa"/>
            <w:vMerge w:val="continue"/>
            <w:vAlign w:val="center"/>
          </w:tcPr>
          <w:p w14:paraId="6063FDA1">
            <w:pPr>
              <w:spacing w:line="460" w:lineRule="exact"/>
              <w:jc w:val="center"/>
              <w:rPr>
                <w:rFonts w:ascii="宋体" w:hAnsi="宋体" w:cs="宋体"/>
                <w:bCs/>
                <w:szCs w:val="21"/>
                <w:highlight w:val="none"/>
              </w:rPr>
            </w:pPr>
          </w:p>
        </w:tc>
        <w:tc>
          <w:tcPr>
            <w:tcW w:w="1248" w:type="dxa"/>
            <w:vAlign w:val="center"/>
          </w:tcPr>
          <w:p w14:paraId="44F3B2A2">
            <w:pPr>
              <w:spacing w:line="380" w:lineRule="exact"/>
              <w:jc w:val="left"/>
              <w:rPr>
                <w:rFonts w:ascii="宋体" w:hAnsi="宋体"/>
                <w:szCs w:val="21"/>
                <w:highlight w:val="none"/>
              </w:rPr>
            </w:pPr>
            <w:r>
              <w:rPr>
                <w:rFonts w:hint="eastAsia" w:ascii="宋体" w:hAnsi="宋体"/>
                <w:szCs w:val="21"/>
                <w:highlight w:val="none"/>
              </w:rPr>
              <w:t>类似业绩（6分）</w:t>
            </w:r>
          </w:p>
        </w:tc>
        <w:tc>
          <w:tcPr>
            <w:tcW w:w="6519" w:type="dxa"/>
            <w:vAlign w:val="center"/>
          </w:tcPr>
          <w:p w14:paraId="4A944528">
            <w:pPr>
              <w:spacing w:line="380" w:lineRule="exact"/>
              <w:jc w:val="left"/>
              <w:rPr>
                <w:rFonts w:ascii="Times New Roman" w:hAnsi="Times New Roman"/>
                <w:szCs w:val="21"/>
                <w:highlight w:val="none"/>
              </w:rPr>
            </w:pPr>
            <w:r>
              <w:rPr>
                <w:rFonts w:hint="eastAsia" w:ascii="Times New Roman" w:hAnsi="Times New Roman"/>
                <w:szCs w:val="21"/>
                <w:highlight w:val="none"/>
              </w:rPr>
              <w:t>1.投标人自 2022年1月1日以来(以合同</w:t>
            </w:r>
            <w:r>
              <w:rPr>
                <w:rFonts w:hint="eastAsia" w:ascii="Times New Roman" w:hAnsi="Times New Roman"/>
                <w:szCs w:val="21"/>
                <w:highlight w:val="none"/>
                <w:lang w:val="en-US" w:eastAsia="zh-CN"/>
              </w:rPr>
              <w:t>签订</w:t>
            </w:r>
            <w:r>
              <w:rPr>
                <w:rFonts w:hint="eastAsia" w:ascii="Times New Roman" w:hAnsi="Times New Roman"/>
                <w:szCs w:val="21"/>
                <w:highlight w:val="none"/>
              </w:rPr>
              <w:t>时间为准)具有类似运维项目，每有一个得2分，最多得6分。注：评审时需提供的业绩合同扫描件，合同中需能够清晰、明确体现合同签订时间、合同标的内容、合同盖章等主要信息；若合同中不能清晰载明，则另需提供业绩采购人的书面证明（格式自拟）或相关佐证材料，未按要求提供或未提供的不得分。</w:t>
            </w:r>
          </w:p>
        </w:tc>
      </w:tr>
      <w:tr w14:paraId="09C27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675" w:type="dxa"/>
            <w:vMerge w:val="continue"/>
            <w:vAlign w:val="center"/>
          </w:tcPr>
          <w:p w14:paraId="723086E3">
            <w:pPr>
              <w:widowControl/>
              <w:spacing w:line="460" w:lineRule="exact"/>
              <w:rPr>
                <w:rFonts w:ascii="宋体" w:hAnsi="宋体"/>
                <w:b/>
                <w:szCs w:val="21"/>
                <w:highlight w:val="none"/>
              </w:rPr>
            </w:pPr>
          </w:p>
        </w:tc>
        <w:tc>
          <w:tcPr>
            <w:tcW w:w="1907" w:type="dxa"/>
            <w:vMerge w:val="continue"/>
            <w:vAlign w:val="center"/>
          </w:tcPr>
          <w:p w14:paraId="495F4292">
            <w:pPr>
              <w:spacing w:line="460" w:lineRule="exact"/>
              <w:jc w:val="center"/>
              <w:rPr>
                <w:rFonts w:ascii="宋体" w:hAnsi="宋体" w:cs="宋体"/>
                <w:bCs/>
                <w:szCs w:val="21"/>
                <w:highlight w:val="none"/>
              </w:rPr>
            </w:pPr>
          </w:p>
        </w:tc>
        <w:tc>
          <w:tcPr>
            <w:tcW w:w="1248" w:type="dxa"/>
            <w:vAlign w:val="center"/>
          </w:tcPr>
          <w:p w14:paraId="69338849">
            <w:pPr>
              <w:spacing w:line="380" w:lineRule="exact"/>
              <w:jc w:val="left"/>
              <w:rPr>
                <w:rFonts w:ascii="宋体" w:hAnsi="宋体"/>
                <w:szCs w:val="21"/>
                <w:highlight w:val="none"/>
              </w:rPr>
            </w:pPr>
            <w:r>
              <w:rPr>
                <w:rFonts w:hint="eastAsia" w:ascii="宋体" w:hAnsi="宋体"/>
                <w:szCs w:val="21"/>
                <w:highlight w:val="none"/>
              </w:rPr>
              <w:t>企业证书（3分）</w:t>
            </w:r>
          </w:p>
        </w:tc>
        <w:tc>
          <w:tcPr>
            <w:tcW w:w="6519" w:type="dxa"/>
            <w:vAlign w:val="center"/>
          </w:tcPr>
          <w:p w14:paraId="2B44E27C">
            <w:pPr>
              <w:spacing w:line="380" w:lineRule="exact"/>
              <w:jc w:val="left"/>
              <w:rPr>
                <w:rFonts w:ascii="宋体" w:hAnsi="宋体"/>
                <w:szCs w:val="21"/>
                <w:highlight w:val="none"/>
              </w:rPr>
            </w:pPr>
            <w:r>
              <w:rPr>
                <w:rFonts w:hint="eastAsia" w:ascii="宋体" w:hAnsi="宋体"/>
                <w:szCs w:val="21"/>
                <w:highlight w:val="none"/>
              </w:rPr>
              <w:t>投标人具有</w:t>
            </w:r>
            <w:r>
              <w:rPr>
                <w:rFonts w:hint="eastAsia" w:ascii="宋体" w:hAnsi="宋体"/>
                <w:szCs w:val="21"/>
                <w:highlight w:val="none"/>
                <w:lang w:val="en-US" w:eastAsia="zh-CN"/>
              </w:rPr>
              <w:t>有效期内</w:t>
            </w:r>
            <w:r>
              <w:rPr>
                <w:rFonts w:hint="eastAsia" w:ascii="宋体" w:hAnsi="宋体"/>
                <w:szCs w:val="21"/>
                <w:highlight w:val="none"/>
              </w:rPr>
              <w:t>质量管理体系认证证书、环境管理体系认证证书、职业健康安全管理体系认证证书的，每有一个得1分，本项最多的3分。</w:t>
            </w:r>
          </w:p>
          <w:p w14:paraId="7AF5A7AC">
            <w:pPr>
              <w:spacing w:line="380" w:lineRule="exact"/>
              <w:jc w:val="left"/>
              <w:rPr>
                <w:rFonts w:ascii="Times New Roman" w:hAnsi="Times New Roman"/>
                <w:szCs w:val="21"/>
                <w:highlight w:val="none"/>
              </w:rPr>
            </w:pPr>
            <w:r>
              <w:rPr>
                <w:rFonts w:hint="eastAsia" w:ascii="宋体" w:hAnsi="宋体"/>
                <w:szCs w:val="21"/>
                <w:highlight w:val="none"/>
              </w:rPr>
              <w:t>注：以提供相关证书原件彩色扫描件为计分依据。</w:t>
            </w:r>
          </w:p>
        </w:tc>
      </w:tr>
      <w:tr w14:paraId="196A9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5" w:hRule="atLeast"/>
          <w:jc w:val="center"/>
        </w:trPr>
        <w:tc>
          <w:tcPr>
            <w:tcW w:w="675" w:type="dxa"/>
            <w:vMerge w:val="restart"/>
            <w:vAlign w:val="center"/>
          </w:tcPr>
          <w:p w14:paraId="46512FE2">
            <w:pPr>
              <w:widowControl/>
              <w:spacing w:line="460" w:lineRule="exact"/>
              <w:jc w:val="center"/>
              <w:rPr>
                <w:rFonts w:ascii="宋体" w:hAnsi="宋体"/>
                <w:b/>
                <w:szCs w:val="21"/>
                <w:highlight w:val="none"/>
              </w:rPr>
            </w:pPr>
            <w:r>
              <w:rPr>
                <w:rFonts w:hint="eastAsia" w:ascii="宋体" w:hAnsi="宋体"/>
                <w:b/>
                <w:szCs w:val="21"/>
                <w:highlight w:val="none"/>
              </w:rPr>
              <w:t>三</w:t>
            </w:r>
          </w:p>
        </w:tc>
        <w:tc>
          <w:tcPr>
            <w:tcW w:w="1907" w:type="dxa"/>
            <w:vMerge w:val="restart"/>
            <w:vAlign w:val="center"/>
          </w:tcPr>
          <w:p w14:paraId="45C70988">
            <w:pPr>
              <w:spacing w:line="460" w:lineRule="exact"/>
              <w:jc w:val="center"/>
              <w:rPr>
                <w:rFonts w:ascii="宋体" w:hAnsi="宋体" w:cs="宋体"/>
                <w:bCs/>
                <w:szCs w:val="21"/>
                <w:highlight w:val="none"/>
              </w:rPr>
            </w:pPr>
            <w:r>
              <w:rPr>
                <w:rFonts w:hint="eastAsia" w:ascii="宋体" w:hAnsi="宋体" w:cs="宋体"/>
                <w:bCs/>
                <w:szCs w:val="21"/>
                <w:highlight w:val="none"/>
              </w:rPr>
              <w:t>方案</w:t>
            </w:r>
          </w:p>
          <w:p w14:paraId="65EEA35D">
            <w:pPr>
              <w:spacing w:line="460" w:lineRule="exact"/>
              <w:jc w:val="center"/>
              <w:rPr>
                <w:rFonts w:ascii="宋体" w:hAnsi="宋体"/>
                <w:szCs w:val="21"/>
                <w:highlight w:val="none"/>
              </w:rPr>
            </w:pPr>
            <w:r>
              <w:rPr>
                <w:rFonts w:hint="eastAsia" w:ascii="宋体" w:hAnsi="宋体" w:cs="宋体"/>
                <w:bCs/>
                <w:szCs w:val="21"/>
                <w:highlight w:val="none"/>
              </w:rPr>
              <w:t>（60分）</w:t>
            </w:r>
          </w:p>
        </w:tc>
        <w:tc>
          <w:tcPr>
            <w:tcW w:w="1248" w:type="dxa"/>
            <w:vAlign w:val="center"/>
          </w:tcPr>
          <w:p w14:paraId="6A0D22BE">
            <w:pPr>
              <w:spacing w:line="380" w:lineRule="exact"/>
              <w:jc w:val="center"/>
              <w:rPr>
                <w:rFonts w:ascii="宋体" w:hAnsi="宋体"/>
                <w:bCs/>
                <w:szCs w:val="21"/>
                <w:highlight w:val="none"/>
              </w:rPr>
            </w:pPr>
            <w:r>
              <w:rPr>
                <w:rFonts w:hint="eastAsia" w:ascii="宋体" w:hAnsi="宋体"/>
                <w:bCs/>
                <w:szCs w:val="21"/>
                <w:highlight w:val="none"/>
              </w:rPr>
              <w:t>技术方案</w:t>
            </w:r>
          </w:p>
          <w:p w14:paraId="49614617">
            <w:pPr>
              <w:pStyle w:val="34"/>
              <w:ind w:firstLine="0"/>
              <w:jc w:val="center"/>
              <w:rPr>
                <w:color w:val="auto"/>
                <w:highlight w:val="none"/>
              </w:rPr>
            </w:pPr>
            <w:r>
              <w:rPr>
                <w:rFonts w:hint="eastAsia"/>
                <w:bCs/>
                <w:color w:val="auto"/>
                <w:highlight w:val="none"/>
              </w:rPr>
              <w:t>（20分）</w:t>
            </w:r>
          </w:p>
        </w:tc>
        <w:tc>
          <w:tcPr>
            <w:tcW w:w="6519" w:type="dxa"/>
            <w:vAlign w:val="top"/>
          </w:tcPr>
          <w:p w14:paraId="118E7C5A">
            <w:pPr>
              <w:spacing w:line="380" w:lineRule="exact"/>
              <w:jc w:val="both"/>
              <w:rPr>
                <w:rFonts w:ascii="宋体" w:hAnsi="宋体"/>
                <w:b/>
                <w:bCs/>
                <w:szCs w:val="21"/>
                <w:highlight w:val="none"/>
              </w:rPr>
            </w:pPr>
            <w:r>
              <w:rPr>
                <w:rFonts w:hint="eastAsia" w:ascii="宋体" w:hAnsi="宋体"/>
                <w:b/>
                <w:bCs/>
                <w:szCs w:val="21"/>
                <w:highlight w:val="none"/>
              </w:rPr>
              <w:t>技术方案</w:t>
            </w:r>
          </w:p>
          <w:p w14:paraId="0B58A96A">
            <w:pPr>
              <w:spacing w:line="380" w:lineRule="exact"/>
              <w:jc w:val="both"/>
              <w:rPr>
                <w:rFonts w:ascii="宋体" w:hAnsi="宋体"/>
                <w:bCs/>
                <w:szCs w:val="21"/>
                <w:highlight w:val="none"/>
              </w:rPr>
            </w:pPr>
            <w:r>
              <w:rPr>
                <w:rFonts w:hint="eastAsia" w:ascii="宋体" w:hAnsi="宋体"/>
                <w:bCs/>
                <w:szCs w:val="21"/>
                <w:highlight w:val="none"/>
              </w:rPr>
              <w:t>根据项目实际情况和采购需求提出相吻合的方案，针对项目关键内容、功能设计分析、配置指标等作出详细响应方案，以满足本项目的完整性高、实用性强、结构合理的要求。评标委员会根据上述内容进行评分。</w:t>
            </w:r>
          </w:p>
          <w:p w14:paraId="45C8C309">
            <w:pPr>
              <w:spacing w:line="380" w:lineRule="exact"/>
              <w:jc w:val="both"/>
              <w:rPr>
                <w:rFonts w:hint="default" w:ascii="宋体" w:hAnsi="宋体" w:eastAsia="宋体"/>
                <w:bCs/>
                <w:szCs w:val="21"/>
                <w:highlight w:val="none"/>
                <w:lang w:val="en-US" w:eastAsia="zh-CN"/>
              </w:rPr>
            </w:pPr>
            <w:r>
              <w:rPr>
                <w:rFonts w:hint="eastAsia" w:ascii="宋体" w:hAnsi="宋体"/>
                <w:bCs/>
                <w:szCs w:val="21"/>
                <w:highlight w:val="none"/>
              </w:rPr>
              <w:t>优于</w:t>
            </w:r>
            <w:r>
              <w:rPr>
                <w:rFonts w:hint="eastAsia" w:ascii="宋体" w:hAnsi="宋体"/>
                <w:bCs/>
                <w:szCs w:val="21"/>
                <w:highlight w:val="none"/>
                <w:lang w:val="en-US" w:eastAsia="zh-CN"/>
              </w:rPr>
              <w:t>方案要求</w:t>
            </w:r>
            <w:r>
              <w:rPr>
                <w:rFonts w:hint="eastAsia" w:ascii="宋体" w:hAnsi="宋体"/>
                <w:bCs/>
                <w:szCs w:val="21"/>
                <w:highlight w:val="none"/>
              </w:rPr>
              <w:t>的得20分；满足</w:t>
            </w:r>
            <w:r>
              <w:rPr>
                <w:rFonts w:hint="eastAsia" w:ascii="宋体" w:hAnsi="宋体"/>
                <w:bCs/>
                <w:szCs w:val="21"/>
                <w:highlight w:val="none"/>
                <w:lang w:val="en-US" w:eastAsia="zh-CN"/>
              </w:rPr>
              <w:t>方案要求</w:t>
            </w:r>
            <w:r>
              <w:rPr>
                <w:rFonts w:hint="eastAsia" w:ascii="宋体" w:hAnsi="宋体"/>
                <w:bCs/>
                <w:szCs w:val="21"/>
                <w:highlight w:val="none"/>
              </w:rPr>
              <w:t>要求的得15分；不满足或未提供的不得分。</w:t>
            </w:r>
          </w:p>
        </w:tc>
      </w:tr>
      <w:tr w14:paraId="24B9F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0" w:hRule="atLeast"/>
          <w:jc w:val="center"/>
        </w:trPr>
        <w:tc>
          <w:tcPr>
            <w:tcW w:w="675" w:type="dxa"/>
            <w:vMerge w:val="continue"/>
            <w:vAlign w:val="center"/>
          </w:tcPr>
          <w:p w14:paraId="0A33D3C5">
            <w:pPr>
              <w:widowControl/>
              <w:spacing w:line="460" w:lineRule="exact"/>
              <w:jc w:val="center"/>
              <w:rPr>
                <w:rFonts w:ascii="宋体" w:hAnsi="宋体"/>
                <w:b/>
                <w:szCs w:val="21"/>
                <w:highlight w:val="none"/>
              </w:rPr>
            </w:pPr>
          </w:p>
        </w:tc>
        <w:tc>
          <w:tcPr>
            <w:tcW w:w="1907" w:type="dxa"/>
            <w:vMerge w:val="continue"/>
            <w:vAlign w:val="center"/>
          </w:tcPr>
          <w:p w14:paraId="3CAB7026">
            <w:pPr>
              <w:spacing w:line="460" w:lineRule="exact"/>
              <w:jc w:val="center"/>
              <w:rPr>
                <w:rFonts w:ascii="宋体" w:hAnsi="宋体"/>
                <w:szCs w:val="21"/>
                <w:highlight w:val="none"/>
              </w:rPr>
            </w:pPr>
          </w:p>
        </w:tc>
        <w:tc>
          <w:tcPr>
            <w:tcW w:w="1248" w:type="dxa"/>
            <w:vAlign w:val="center"/>
          </w:tcPr>
          <w:p w14:paraId="72FA3028">
            <w:pPr>
              <w:spacing w:line="380" w:lineRule="exact"/>
              <w:jc w:val="left"/>
              <w:rPr>
                <w:rFonts w:ascii="Times New Roman" w:hAnsi="Times New Roman"/>
                <w:szCs w:val="21"/>
                <w:highlight w:val="none"/>
              </w:rPr>
            </w:pPr>
            <w:r>
              <w:rPr>
                <w:rFonts w:hint="eastAsia" w:ascii="宋体" w:hAnsi="宋体"/>
                <w:bCs/>
                <w:szCs w:val="21"/>
                <w:highlight w:val="none"/>
              </w:rPr>
              <w:t>服务方案（40分）</w:t>
            </w:r>
          </w:p>
        </w:tc>
        <w:tc>
          <w:tcPr>
            <w:tcW w:w="6519" w:type="dxa"/>
            <w:vAlign w:val="center"/>
          </w:tcPr>
          <w:p w14:paraId="4FD9DD6C">
            <w:pPr>
              <w:spacing w:line="380" w:lineRule="exact"/>
              <w:jc w:val="left"/>
              <w:rPr>
                <w:rFonts w:ascii="宋体" w:hAnsi="宋体"/>
                <w:b/>
                <w:bCs/>
                <w:szCs w:val="21"/>
                <w:highlight w:val="none"/>
              </w:rPr>
            </w:pPr>
            <w:r>
              <w:rPr>
                <w:rFonts w:hint="eastAsia" w:ascii="宋体" w:hAnsi="宋体"/>
                <w:b/>
                <w:bCs/>
                <w:szCs w:val="21"/>
                <w:highlight w:val="none"/>
              </w:rPr>
              <w:t>1.项目实施方案</w:t>
            </w:r>
          </w:p>
          <w:p w14:paraId="0E5DA982">
            <w:pPr>
              <w:spacing w:line="380" w:lineRule="exact"/>
              <w:jc w:val="left"/>
              <w:rPr>
                <w:rFonts w:hint="eastAsia" w:ascii="宋体" w:hAnsi="宋体"/>
                <w:bCs/>
                <w:szCs w:val="21"/>
                <w:highlight w:val="none"/>
              </w:rPr>
            </w:pPr>
            <w:r>
              <w:rPr>
                <w:rFonts w:hint="eastAsia" w:ascii="宋体" w:hAnsi="宋体"/>
                <w:bCs/>
                <w:szCs w:val="21"/>
                <w:highlight w:val="none"/>
              </w:rPr>
              <w:t>根据项目实际情况提出项目实施方案，包括但不限于项目质量管理、实施进度及保障措施、人员配置及分工等。评标委员会根据上述内容进行评分。</w:t>
            </w:r>
          </w:p>
          <w:p w14:paraId="27B13AF9">
            <w:pPr>
              <w:spacing w:line="380" w:lineRule="exact"/>
              <w:jc w:val="left"/>
              <w:rPr>
                <w:rFonts w:ascii="宋体" w:hAnsi="宋体"/>
                <w:bCs/>
                <w:szCs w:val="21"/>
                <w:highlight w:val="none"/>
              </w:rPr>
            </w:pPr>
            <w:r>
              <w:rPr>
                <w:rFonts w:hint="eastAsia" w:ascii="宋体" w:hAnsi="宋体"/>
                <w:bCs/>
                <w:szCs w:val="21"/>
                <w:highlight w:val="none"/>
              </w:rPr>
              <w:t>优于</w:t>
            </w:r>
            <w:r>
              <w:rPr>
                <w:rFonts w:hint="eastAsia" w:ascii="宋体" w:hAnsi="宋体"/>
                <w:bCs/>
                <w:szCs w:val="21"/>
                <w:highlight w:val="none"/>
                <w:lang w:val="en-US" w:eastAsia="zh-CN"/>
              </w:rPr>
              <w:t>方案要求的</w:t>
            </w:r>
            <w:r>
              <w:rPr>
                <w:rFonts w:hint="eastAsia" w:ascii="宋体" w:hAnsi="宋体"/>
                <w:bCs/>
                <w:szCs w:val="21"/>
                <w:highlight w:val="none"/>
              </w:rPr>
              <w:t>得20分；满足</w:t>
            </w:r>
            <w:r>
              <w:rPr>
                <w:rFonts w:hint="eastAsia" w:ascii="宋体" w:hAnsi="宋体"/>
                <w:bCs/>
                <w:szCs w:val="21"/>
                <w:highlight w:val="none"/>
                <w:lang w:val="en-US" w:eastAsia="zh-CN"/>
              </w:rPr>
              <w:t>方案要求的</w:t>
            </w:r>
            <w:r>
              <w:rPr>
                <w:rFonts w:hint="eastAsia" w:ascii="宋体" w:hAnsi="宋体"/>
                <w:bCs/>
                <w:szCs w:val="21"/>
                <w:highlight w:val="none"/>
              </w:rPr>
              <w:t>得15分；不满足或未提供的不得分。</w:t>
            </w:r>
          </w:p>
          <w:p w14:paraId="18B01E22">
            <w:pPr>
              <w:numPr>
                <w:ilvl w:val="0"/>
                <w:numId w:val="10"/>
              </w:numPr>
              <w:spacing w:line="380" w:lineRule="exact"/>
              <w:jc w:val="left"/>
              <w:rPr>
                <w:rFonts w:ascii="宋体" w:hAnsi="宋体"/>
                <w:b/>
                <w:bCs/>
                <w:szCs w:val="21"/>
                <w:highlight w:val="none"/>
              </w:rPr>
            </w:pPr>
            <w:r>
              <w:rPr>
                <w:rFonts w:hint="eastAsia" w:ascii="宋体" w:hAnsi="宋体"/>
                <w:b/>
                <w:bCs/>
                <w:szCs w:val="21"/>
                <w:highlight w:val="none"/>
              </w:rPr>
              <w:t>测试与运维方案</w:t>
            </w:r>
          </w:p>
          <w:p w14:paraId="5304FE59">
            <w:pPr>
              <w:spacing w:line="380" w:lineRule="exact"/>
              <w:jc w:val="left"/>
              <w:rPr>
                <w:rFonts w:hint="eastAsia" w:ascii="宋体" w:hAnsi="宋体"/>
                <w:bCs/>
                <w:szCs w:val="21"/>
                <w:highlight w:val="none"/>
              </w:rPr>
            </w:pPr>
            <w:r>
              <w:rPr>
                <w:rFonts w:hint="eastAsia" w:ascii="宋体" w:hAnsi="宋体"/>
                <w:bCs/>
                <w:szCs w:val="21"/>
                <w:highlight w:val="none"/>
              </w:rPr>
              <w:t>根据项目具有详细的测试方案和运行维护系统方案，测试运维方案必须符合各项要求，包括但不限于安全及运维保障体系、设备培训计划等。评标委员会根据上述内容进行评分。</w:t>
            </w:r>
          </w:p>
          <w:p w14:paraId="3D4CE611">
            <w:pPr>
              <w:spacing w:line="380" w:lineRule="exact"/>
              <w:jc w:val="left"/>
              <w:rPr>
                <w:rFonts w:ascii="宋体" w:hAnsi="宋体"/>
                <w:bCs/>
                <w:szCs w:val="21"/>
                <w:highlight w:val="none"/>
              </w:rPr>
            </w:pPr>
            <w:r>
              <w:rPr>
                <w:rFonts w:hint="eastAsia" w:ascii="宋体" w:hAnsi="宋体"/>
                <w:bCs/>
                <w:szCs w:val="21"/>
                <w:highlight w:val="none"/>
              </w:rPr>
              <w:t>优于</w:t>
            </w:r>
            <w:r>
              <w:rPr>
                <w:rFonts w:hint="eastAsia" w:ascii="宋体" w:hAnsi="宋体"/>
                <w:bCs/>
                <w:szCs w:val="21"/>
                <w:highlight w:val="none"/>
                <w:lang w:val="en-US" w:eastAsia="zh-CN"/>
              </w:rPr>
              <w:t>方案</w:t>
            </w:r>
            <w:r>
              <w:rPr>
                <w:rFonts w:hint="eastAsia" w:ascii="宋体" w:hAnsi="宋体"/>
                <w:bCs/>
                <w:szCs w:val="21"/>
                <w:highlight w:val="none"/>
              </w:rPr>
              <w:t>要求</w:t>
            </w:r>
            <w:r>
              <w:rPr>
                <w:rFonts w:hint="eastAsia" w:ascii="宋体" w:hAnsi="宋体"/>
                <w:bCs/>
                <w:szCs w:val="21"/>
                <w:highlight w:val="none"/>
                <w:lang w:eastAsia="zh-CN"/>
              </w:rPr>
              <w:t>的</w:t>
            </w:r>
            <w:r>
              <w:rPr>
                <w:rFonts w:hint="eastAsia" w:ascii="宋体" w:hAnsi="宋体"/>
                <w:bCs/>
                <w:szCs w:val="21"/>
                <w:highlight w:val="none"/>
              </w:rPr>
              <w:t>得10分；满足</w:t>
            </w:r>
            <w:r>
              <w:rPr>
                <w:rFonts w:hint="eastAsia" w:ascii="宋体" w:hAnsi="宋体"/>
                <w:bCs/>
                <w:szCs w:val="21"/>
                <w:highlight w:val="none"/>
                <w:lang w:val="en-US" w:eastAsia="zh-CN"/>
              </w:rPr>
              <w:t>方案要求的</w:t>
            </w:r>
            <w:r>
              <w:rPr>
                <w:rFonts w:hint="eastAsia" w:ascii="宋体" w:hAnsi="宋体"/>
                <w:bCs/>
                <w:szCs w:val="21"/>
                <w:highlight w:val="none"/>
              </w:rPr>
              <w:t>得</w:t>
            </w:r>
            <w:r>
              <w:rPr>
                <w:rFonts w:hint="eastAsia" w:ascii="宋体" w:hAnsi="宋体"/>
                <w:bCs/>
                <w:szCs w:val="21"/>
                <w:highlight w:val="none"/>
                <w:lang w:val="en-US" w:eastAsia="zh-CN"/>
              </w:rPr>
              <w:t>7.5</w:t>
            </w:r>
            <w:r>
              <w:rPr>
                <w:rFonts w:hint="eastAsia" w:ascii="宋体" w:hAnsi="宋体"/>
                <w:bCs/>
                <w:szCs w:val="21"/>
                <w:highlight w:val="none"/>
              </w:rPr>
              <w:t>分</w:t>
            </w:r>
            <w:r>
              <w:rPr>
                <w:rFonts w:hint="eastAsia" w:ascii="宋体" w:hAnsi="宋体"/>
                <w:bCs/>
                <w:szCs w:val="21"/>
                <w:highlight w:val="none"/>
                <w:lang w:eastAsia="zh-CN"/>
              </w:rPr>
              <w:t>；</w:t>
            </w:r>
            <w:r>
              <w:rPr>
                <w:rFonts w:hint="eastAsia" w:ascii="宋体" w:hAnsi="宋体"/>
                <w:bCs/>
                <w:szCs w:val="21"/>
                <w:highlight w:val="none"/>
              </w:rPr>
              <w:t>不满足或未提供的不得分。</w:t>
            </w:r>
          </w:p>
          <w:p w14:paraId="3EADE1B3">
            <w:pPr>
              <w:spacing w:line="380" w:lineRule="exact"/>
              <w:jc w:val="left"/>
              <w:rPr>
                <w:rFonts w:ascii="宋体" w:hAnsi="宋体"/>
                <w:b/>
                <w:bCs/>
                <w:szCs w:val="21"/>
                <w:highlight w:val="none"/>
              </w:rPr>
            </w:pPr>
            <w:r>
              <w:rPr>
                <w:rFonts w:hint="eastAsia" w:ascii="宋体" w:hAnsi="宋体"/>
                <w:b/>
                <w:bCs/>
                <w:szCs w:val="21"/>
                <w:highlight w:val="none"/>
              </w:rPr>
              <w:t>3.售后服务方案</w:t>
            </w:r>
          </w:p>
          <w:p w14:paraId="2A2B4EB7">
            <w:pPr>
              <w:spacing w:line="380" w:lineRule="exact"/>
              <w:jc w:val="left"/>
              <w:rPr>
                <w:rFonts w:hint="eastAsia" w:ascii="宋体" w:hAnsi="宋体"/>
                <w:bCs/>
                <w:szCs w:val="21"/>
                <w:highlight w:val="none"/>
              </w:rPr>
            </w:pPr>
            <w:r>
              <w:rPr>
                <w:rFonts w:hint="eastAsia" w:ascii="宋体" w:hAnsi="宋体"/>
                <w:bCs/>
                <w:szCs w:val="21"/>
                <w:highlight w:val="none"/>
              </w:rPr>
              <w:t>根据项目实际情况提出售后服务方案，包括但不限于技术支持服务、定期回访、配送及售后服务</w:t>
            </w:r>
            <w:r>
              <w:rPr>
                <w:rFonts w:hint="eastAsia" w:ascii="宋体" w:hAnsi="宋体"/>
                <w:bCs/>
                <w:szCs w:val="21"/>
                <w:highlight w:val="none"/>
                <w:lang w:val="en-US" w:eastAsia="zh-CN"/>
              </w:rPr>
              <w:t>及承诺现场处理故障时间和设备维修时间</w:t>
            </w:r>
            <w:r>
              <w:rPr>
                <w:rFonts w:hint="eastAsia" w:ascii="宋体" w:hAnsi="宋体"/>
                <w:bCs/>
                <w:szCs w:val="21"/>
                <w:highlight w:val="none"/>
              </w:rPr>
              <w:t>等。评标委员会根据上述内容进行评分。</w:t>
            </w:r>
          </w:p>
          <w:p w14:paraId="5DC791F1">
            <w:pPr>
              <w:spacing w:line="380" w:lineRule="exact"/>
              <w:jc w:val="left"/>
              <w:rPr>
                <w:rFonts w:hint="default" w:ascii="宋体" w:hAnsi="宋体" w:eastAsia="宋体"/>
                <w:bCs/>
                <w:szCs w:val="21"/>
                <w:highlight w:val="none"/>
                <w:lang w:val="en-US" w:eastAsia="zh-CN"/>
              </w:rPr>
            </w:pPr>
            <w:r>
              <w:rPr>
                <w:rFonts w:hint="eastAsia" w:ascii="宋体" w:hAnsi="宋体"/>
                <w:bCs/>
                <w:szCs w:val="21"/>
                <w:highlight w:val="none"/>
              </w:rPr>
              <w:t>优于</w:t>
            </w:r>
            <w:r>
              <w:rPr>
                <w:rFonts w:hint="eastAsia" w:ascii="宋体" w:hAnsi="宋体"/>
                <w:bCs/>
                <w:szCs w:val="21"/>
                <w:highlight w:val="none"/>
                <w:lang w:val="en-US" w:eastAsia="zh-CN"/>
              </w:rPr>
              <w:t>方案</w:t>
            </w:r>
            <w:r>
              <w:rPr>
                <w:rFonts w:hint="eastAsia" w:ascii="宋体" w:hAnsi="宋体"/>
                <w:bCs/>
                <w:szCs w:val="21"/>
                <w:highlight w:val="none"/>
              </w:rPr>
              <w:t>要求</w:t>
            </w:r>
            <w:r>
              <w:rPr>
                <w:rFonts w:hint="eastAsia" w:ascii="宋体" w:hAnsi="宋体"/>
                <w:bCs/>
                <w:szCs w:val="21"/>
                <w:highlight w:val="none"/>
                <w:lang w:eastAsia="zh-CN"/>
              </w:rPr>
              <w:t>的</w:t>
            </w:r>
            <w:r>
              <w:rPr>
                <w:rFonts w:hint="eastAsia" w:ascii="宋体" w:hAnsi="宋体"/>
                <w:bCs/>
                <w:szCs w:val="21"/>
                <w:highlight w:val="none"/>
              </w:rPr>
              <w:t>得10分；满足</w:t>
            </w:r>
            <w:r>
              <w:rPr>
                <w:rFonts w:hint="eastAsia" w:ascii="宋体" w:hAnsi="宋体"/>
                <w:bCs/>
                <w:szCs w:val="21"/>
                <w:highlight w:val="none"/>
                <w:lang w:val="en-US" w:eastAsia="zh-CN"/>
              </w:rPr>
              <w:t>方案</w:t>
            </w:r>
            <w:r>
              <w:rPr>
                <w:rFonts w:hint="eastAsia" w:ascii="宋体" w:hAnsi="宋体"/>
                <w:bCs/>
                <w:szCs w:val="21"/>
                <w:highlight w:val="none"/>
              </w:rPr>
              <w:t>要求</w:t>
            </w:r>
            <w:r>
              <w:rPr>
                <w:rFonts w:hint="eastAsia" w:ascii="宋体" w:hAnsi="宋体"/>
                <w:bCs/>
                <w:szCs w:val="21"/>
                <w:highlight w:val="none"/>
                <w:lang w:eastAsia="zh-CN"/>
              </w:rPr>
              <w:t>的</w:t>
            </w:r>
            <w:r>
              <w:rPr>
                <w:rFonts w:hint="eastAsia" w:ascii="宋体" w:hAnsi="宋体"/>
                <w:bCs/>
                <w:szCs w:val="21"/>
                <w:highlight w:val="none"/>
              </w:rPr>
              <w:t>得</w:t>
            </w:r>
            <w:r>
              <w:rPr>
                <w:rFonts w:hint="eastAsia" w:ascii="宋体" w:hAnsi="宋体"/>
                <w:bCs/>
                <w:szCs w:val="21"/>
                <w:highlight w:val="none"/>
                <w:lang w:val="en-US" w:eastAsia="zh-CN"/>
              </w:rPr>
              <w:t>7.5</w:t>
            </w:r>
            <w:r>
              <w:rPr>
                <w:rFonts w:hint="eastAsia" w:ascii="宋体" w:hAnsi="宋体"/>
                <w:bCs/>
                <w:szCs w:val="21"/>
                <w:highlight w:val="none"/>
              </w:rPr>
              <w:t>分</w:t>
            </w:r>
            <w:r>
              <w:rPr>
                <w:rFonts w:hint="eastAsia" w:ascii="宋体" w:hAnsi="宋体"/>
                <w:bCs/>
                <w:szCs w:val="21"/>
                <w:highlight w:val="none"/>
                <w:lang w:eastAsia="zh-CN"/>
              </w:rPr>
              <w:t>；</w:t>
            </w:r>
            <w:r>
              <w:rPr>
                <w:rFonts w:hint="eastAsia" w:ascii="宋体" w:hAnsi="宋体"/>
                <w:bCs/>
                <w:szCs w:val="21"/>
                <w:highlight w:val="none"/>
              </w:rPr>
              <w:t>不满足或未提供的不得分。</w:t>
            </w:r>
          </w:p>
        </w:tc>
      </w:tr>
      <w:bookmarkEnd w:id="4"/>
      <w:bookmarkEnd w:id="5"/>
    </w:tbl>
    <w:p w14:paraId="28769EF2">
      <w:pPr>
        <w:pageBreakBefore/>
        <w:spacing w:line="420" w:lineRule="atLeast"/>
        <w:jc w:val="center"/>
        <w:rPr>
          <w:rFonts w:ascii="Times New Roman" w:hAnsi="Times New Roman"/>
          <w:b/>
          <w:bCs/>
          <w:sz w:val="32"/>
          <w:szCs w:val="32"/>
          <w:highlight w:val="none"/>
        </w:rPr>
      </w:pPr>
      <w:r>
        <w:rPr>
          <w:rFonts w:hint="eastAsia" w:ascii="Times New Roman" w:hAnsi="Times New Roman"/>
          <w:b/>
          <w:bCs/>
          <w:sz w:val="32"/>
          <w:szCs w:val="32"/>
          <w:highlight w:val="none"/>
        </w:rPr>
        <w:t>第六部分  投标文件格式</w:t>
      </w:r>
    </w:p>
    <w:p w14:paraId="6164C887">
      <w:pPr>
        <w:jc w:val="center"/>
        <w:rPr>
          <w:rFonts w:ascii="宋体" w:hAnsi="宋体" w:cs="宋体"/>
          <w:sz w:val="40"/>
          <w:szCs w:val="30"/>
          <w:highlight w:val="none"/>
        </w:rPr>
      </w:pPr>
    </w:p>
    <w:p w14:paraId="3CD09DF5">
      <w:pPr>
        <w:jc w:val="center"/>
        <w:rPr>
          <w:rFonts w:ascii="Times New Roman" w:hAnsi="Times New Roman" w:eastAsia="方正小标宋_GBK"/>
          <w:sz w:val="84"/>
          <w:szCs w:val="84"/>
          <w:highlight w:val="none"/>
        </w:rPr>
      </w:pPr>
    </w:p>
    <w:p w14:paraId="470972A3">
      <w:pPr>
        <w:jc w:val="center"/>
        <w:rPr>
          <w:rFonts w:ascii="宋体" w:hAnsi="宋体" w:cs="宋体"/>
          <w:b/>
          <w:bCs/>
          <w:sz w:val="72"/>
          <w:szCs w:val="72"/>
          <w:highlight w:val="none"/>
        </w:rPr>
      </w:pPr>
      <w:r>
        <w:rPr>
          <w:rFonts w:hint="eastAsia" w:ascii="宋体" w:hAnsi="宋体" w:cs="宋体"/>
          <w:b/>
          <w:bCs/>
          <w:sz w:val="72"/>
          <w:szCs w:val="72"/>
          <w:highlight w:val="none"/>
        </w:rPr>
        <w:t>投  标  文  件</w:t>
      </w:r>
    </w:p>
    <w:p w14:paraId="44FAACFD">
      <w:pPr>
        <w:jc w:val="left"/>
        <w:rPr>
          <w:rFonts w:ascii="宋体" w:hAnsi="宋体"/>
          <w:sz w:val="36"/>
          <w:szCs w:val="36"/>
          <w:highlight w:val="none"/>
        </w:rPr>
      </w:pPr>
    </w:p>
    <w:p w14:paraId="24E7976A">
      <w:pPr>
        <w:jc w:val="left"/>
        <w:rPr>
          <w:rFonts w:ascii="宋体" w:hAnsi="宋体"/>
          <w:sz w:val="36"/>
          <w:szCs w:val="36"/>
          <w:highlight w:val="none"/>
        </w:rPr>
      </w:pPr>
    </w:p>
    <w:p w14:paraId="1C04BB83">
      <w:pPr>
        <w:jc w:val="left"/>
        <w:rPr>
          <w:rFonts w:ascii="宋体" w:hAnsi="宋体"/>
          <w:sz w:val="36"/>
          <w:szCs w:val="36"/>
          <w:highlight w:val="none"/>
        </w:rPr>
      </w:pPr>
    </w:p>
    <w:p w14:paraId="0CFF4BFD">
      <w:pPr>
        <w:ind w:firstLine="1440"/>
        <w:jc w:val="left"/>
        <w:rPr>
          <w:rFonts w:ascii="宋体" w:hAnsi="宋体"/>
          <w:sz w:val="36"/>
          <w:szCs w:val="36"/>
          <w:highlight w:val="none"/>
        </w:rPr>
      </w:pPr>
      <w:r>
        <w:rPr>
          <w:rFonts w:ascii="宋体" w:hAnsi="宋体"/>
          <w:sz w:val="36"/>
          <w:szCs w:val="36"/>
          <w:highlight w:val="none"/>
        </w:rPr>
        <w:t>项 目 名 称：</w:t>
      </w:r>
      <w:r>
        <w:rPr>
          <w:rFonts w:ascii="宋体" w:hAnsi="宋体"/>
          <w:sz w:val="36"/>
          <w:szCs w:val="36"/>
          <w:highlight w:val="none"/>
          <w:u w:val="single"/>
        </w:rPr>
        <w:t xml:space="preserve">                </w:t>
      </w:r>
    </w:p>
    <w:p w14:paraId="22D94E38">
      <w:pPr>
        <w:ind w:firstLine="1440"/>
        <w:jc w:val="left"/>
        <w:rPr>
          <w:rFonts w:ascii="宋体" w:hAnsi="宋体"/>
          <w:sz w:val="36"/>
          <w:szCs w:val="36"/>
          <w:highlight w:val="none"/>
        </w:rPr>
      </w:pPr>
      <w:r>
        <w:rPr>
          <w:rFonts w:hint="eastAsia" w:ascii="宋体" w:hAnsi="宋体"/>
          <w:sz w:val="36"/>
          <w:szCs w:val="36"/>
          <w:highlight w:val="none"/>
        </w:rPr>
        <w:t>项</w:t>
      </w:r>
      <w:r>
        <w:rPr>
          <w:rFonts w:ascii="宋体" w:hAnsi="宋体"/>
          <w:sz w:val="36"/>
          <w:szCs w:val="36"/>
          <w:highlight w:val="none"/>
        </w:rPr>
        <w:t xml:space="preserve"> </w:t>
      </w:r>
      <w:r>
        <w:rPr>
          <w:rFonts w:hint="eastAsia" w:ascii="宋体" w:hAnsi="宋体"/>
          <w:sz w:val="36"/>
          <w:szCs w:val="36"/>
          <w:highlight w:val="none"/>
        </w:rPr>
        <w:t>目</w:t>
      </w:r>
      <w:r>
        <w:rPr>
          <w:rFonts w:ascii="宋体" w:hAnsi="宋体"/>
          <w:sz w:val="36"/>
          <w:szCs w:val="36"/>
          <w:highlight w:val="none"/>
        </w:rPr>
        <w:t xml:space="preserve"> 编 号：</w:t>
      </w:r>
      <w:r>
        <w:rPr>
          <w:rFonts w:ascii="宋体" w:hAnsi="宋体"/>
          <w:sz w:val="36"/>
          <w:szCs w:val="36"/>
          <w:highlight w:val="none"/>
          <w:u w:val="single"/>
        </w:rPr>
        <w:t xml:space="preserve">                </w:t>
      </w:r>
    </w:p>
    <w:p w14:paraId="6A9F5FBF">
      <w:pPr>
        <w:spacing w:line="480" w:lineRule="auto"/>
        <w:ind w:firstLine="1440"/>
        <w:rPr>
          <w:rFonts w:ascii="宋体" w:hAnsi="宋体"/>
          <w:sz w:val="36"/>
          <w:szCs w:val="36"/>
          <w:highlight w:val="none"/>
        </w:rPr>
      </w:pPr>
      <w:r>
        <w:rPr>
          <w:rFonts w:ascii="宋体" w:hAnsi="宋体"/>
          <w:sz w:val="36"/>
          <w:szCs w:val="36"/>
          <w:highlight w:val="none"/>
        </w:rPr>
        <w:t>投标人名称 ：</w:t>
      </w:r>
      <w:r>
        <w:rPr>
          <w:rFonts w:ascii="宋体" w:hAnsi="宋体"/>
          <w:sz w:val="36"/>
          <w:szCs w:val="36"/>
          <w:highlight w:val="none"/>
          <w:u w:val="single"/>
        </w:rPr>
        <w:t xml:space="preserve">             </w:t>
      </w:r>
      <w:r>
        <w:rPr>
          <w:rFonts w:hint="eastAsia" w:ascii="宋体" w:hAnsi="宋体"/>
          <w:b/>
          <w:sz w:val="36"/>
          <w:szCs w:val="36"/>
          <w:highlight w:val="none"/>
          <w:u w:val="single"/>
        </w:rPr>
        <w:t>（加盖CA电子公章）</w:t>
      </w:r>
    </w:p>
    <w:p w14:paraId="787B53D1">
      <w:pPr>
        <w:ind w:firstLine="1440"/>
        <w:jc w:val="left"/>
        <w:rPr>
          <w:rFonts w:ascii="Times New Roman" w:hAnsi="Times New Roman" w:eastAsia="方正黑体_GBK"/>
          <w:sz w:val="36"/>
          <w:szCs w:val="36"/>
          <w:highlight w:val="none"/>
          <w:u w:val="single"/>
        </w:rPr>
      </w:pPr>
      <w:r>
        <w:rPr>
          <w:rFonts w:ascii="宋体" w:hAnsi="宋体"/>
          <w:sz w:val="36"/>
          <w:szCs w:val="36"/>
          <w:highlight w:val="none"/>
        </w:rPr>
        <w:t>日      期 ：</w:t>
      </w:r>
      <w:r>
        <w:rPr>
          <w:rFonts w:ascii="宋体" w:hAnsi="宋体"/>
          <w:sz w:val="36"/>
          <w:szCs w:val="36"/>
          <w:highlight w:val="none"/>
          <w:u w:val="single"/>
        </w:rPr>
        <w:t xml:space="preserve">                </w:t>
      </w:r>
    </w:p>
    <w:p w14:paraId="51B002AA">
      <w:pPr>
        <w:spacing w:line="500" w:lineRule="exact"/>
        <w:ind w:firstLine="880"/>
        <w:jc w:val="center"/>
        <w:rPr>
          <w:rFonts w:ascii="新宋体" w:hAnsi="新宋体" w:eastAsia="新宋体"/>
          <w:bCs/>
          <w:highlight w:val="none"/>
        </w:rPr>
      </w:pPr>
      <w:r>
        <w:rPr>
          <w:rFonts w:ascii="Times New Roman" w:hAnsi="Times New Roman" w:eastAsia="方正黑体_GBK"/>
          <w:sz w:val="44"/>
          <w:szCs w:val="44"/>
          <w:highlight w:val="none"/>
        </w:rPr>
        <w:br w:type="page" w:clear="all"/>
      </w:r>
    </w:p>
    <w:p w14:paraId="42B79FD8">
      <w:pPr>
        <w:pStyle w:val="79"/>
        <w:widowControl w:val="0"/>
        <w:spacing w:before="0" w:beforeAutospacing="0" w:after="0" w:afterAutospacing="0" w:line="0" w:lineRule="atLeast"/>
        <w:jc w:val="center"/>
        <w:rPr>
          <w:highlight w:val="none"/>
        </w:rPr>
      </w:pPr>
      <w:r>
        <w:rPr>
          <w:rFonts w:hint="eastAsia"/>
          <w:b/>
          <w:sz w:val="32"/>
          <w:szCs w:val="32"/>
          <w:highlight w:val="none"/>
        </w:rPr>
        <w:t>投标文件目录</w:t>
      </w:r>
    </w:p>
    <w:p w14:paraId="7B12BE28">
      <w:pPr>
        <w:pStyle w:val="79"/>
        <w:widowControl w:val="0"/>
        <w:spacing w:before="0" w:beforeAutospacing="0" w:after="0" w:afterAutospacing="0" w:line="0" w:lineRule="atLeast"/>
        <w:jc w:val="center"/>
        <w:rPr>
          <w:highlight w:val="none"/>
        </w:rPr>
      </w:pPr>
      <w:r>
        <w:rPr>
          <w:highlight w:val="none"/>
        </w:rPr>
        <w:t> </w:t>
      </w:r>
    </w:p>
    <w:p w14:paraId="4112F539">
      <w:pPr>
        <w:pStyle w:val="79"/>
        <w:spacing w:beforeAutospacing="0" w:afterAutospacing="0" w:line="276" w:lineRule="auto"/>
        <w:ind w:left="480"/>
        <w:jc w:val="both"/>
        <w:rPr>
          <w:i/>
          <w:highlight w:val="none"/>
          <w:u w:val="single"/>
        </w:rPr>
      </w:pPr>
      <w:r>
        <w:rPr>
          <w:rFonts w:hint="eastAsia"/>
          <w:i/>
          <w:highlight w:val="none"/>
          <w:u w:val="single"/>
        </w:rPr>
        <w:t>一、法人或者其他组织的营业执照等证明文件，自然人的身份证明</w:t>
      </w:r>
    </w:p>
    <w:p w14:paraId="4FEDEDA9">
      <w:pPr>
        <w:tabs>
          <w:tab w:val="left" w:pos="1331"/>
        </w:tabs>
        <w:spacing w:line="276" w:lineRule="auto"/>
        <w:ind w:firstLine="480"/>
        <w:jc w:val="left"/>
        <w:rPr>
          <w:rFonts w:ascii="宋体" w:hAnsi="宋体" w:cs="宋体"/>
          <w:bCs/>
          <w:i/>
          <w:sz w:val="24"/>
          <w:highlight w:val="none"/>
          <w:u w:val="single"/>
        </w:rPr>
      </w:pPr>
      <w:r>
        <w:rPr>
          <w:rFonts w:hint="eastAsia" w:ascii="宋体" w:hAnsi="宋体" w:cs="宋体"/>
          <w:i/>
          <w:sz w:val="24"/>
          <w:highlight w:val="none"/>
          <w:u w:val="single"/>
        </w:rPr>
        <w:t>二、上一年度的财务状况报表</w:t>
      </w:r>
      <w:r>
        <w:rPr>
          <w:rFonts w:hint="eastAsia" w:ascii="宋体" w:hAnsi="宋体" w:cs="宋体"/>
          <w:i/>
          <w:iCs/>
          <w:sz w:val="24"/>
          <w:highlight w:val="none"/>
          <w:u w:val="single"/>
        </w:rPr>
        <w:t>（至少提供资产负债表、利润表、现金流量表，投标人成立不满一年无需提供）</w:t>
      </w:r>
    </w:p>
    <w:p w14:paraId="3A50B08A">
      <w:pPr>
        <w:pStyle w:val="79"/>
        <w:spacing w:beforeAutospacing="0" w:afterAutospacing="0" w:line="276" w:lineRule="auto"/>
        <w:ind w:left="480"/>
        <w:jc w:val="both"/>
        <w:rPr>
          <w:i/>
          <w:highlight w:val="none"/>
          <w:u w:val="single"/>
        </w:rPr>
      </w:pPr>
      <w:r>
        <w:rPr>
          <w:rFonts w:hint="eastAsia"/>
          <w:i/>
          <w:highlight w:val="none"/>
          <w:u w:val="single"/>
        </w:rPr>
        <w:t>三、具备履行合同所必需的设备和专业技术能力的书面声明</w:t>
      </w:r>
    </w:p>
    <w:p w14:paraId="02E03155">
      <w:pPr>
        <w:pStyle w:val="79"/>
        <w:spacing w:beforeAutospacing="0" w:afterAutospacing="0" w:line="276" w:lineRule="auto"/>
        <w:ind w:firstLine="480"/>
        <w:jc w:val="both"/>
        <w:rPr>
          <w:i/>
          <w:highlight w:val="none"/>
          <w:u w:val="single"/>
        </w:rPr>
      </w:pPr>
      <w:r>
        <w:rPr>
          <w:rFonts w:hint="eastAsia"/>
          <w:i/>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0F67992">
      <w:pPr>
        <w:pStyle w:val="79"/>
        <w:spacing w:beforeAutospacing="0" w:afterAutospacing="0" w:line="276" w:lineRule="auto"/>
        <w:ind w:left="480"/>
        <w:jc w:val="both"/>
        <w:rPr>
          <w:i/>
          <w:highlight w:val="none"/>
          <w:u w:val="single"/>
        </w:rPr>
      </w:pPr>
      <w:r>
        <w:rPr>
          <w:rFonts w:hint="eastAsia"/>
          <w:i/>
          <w:highlight w:val="none"/>
          <w:u w:val="single"/>
        </w:rPr>
        <w:t>五、参加政府采购活动前 3 年内在经营活动中没有重大违法记录的书面声明</w:t>
      </w:r>
    </w:p>
    <w:p w14:paraId="3F940812">
      <w:pPr>
        <w:pStyle w:val="79"/>
        <w:spacing w:beforeAutospacing="0" w:afterAutospacing="0" w:line="276" w:lineRule="auto"/>
        <w:ind w:firstLine="480"/>
        <w:jc w:val="both"/>
        <w:rPr>
          <w:i/>
          <w:highlight w:val="none"/>
          <w:u w:val="single"/>
        </w:rPr>
      </w:pPr>
      <w:r>
        <w:rPr>
          <w:rFonts w:hint="eastAsia"/>
          <w:i/>
          <w:highlight w:val="none"/>
          <w:u w:val="single"/>
        </w:rPr>
        <w:t>六、单位负责人为同一人或者存在直接控股、管理关系的不同供应商，不得参加同一合同项下的政府采购活动的书面声明。</w:t>
      </w:r>
    </w:p>
    <w:p w14:paraId="7EE564F5">
      <w:pPr>
        <w:pStyle w:val="79"/>
        <w:spacing w:beforeAutospacing="0" w:afterAutospacing="0" w:line="276" w:lineRule="auto"/>
        <w:ind w:left="480"/>
        <w:jc w:val="both"/>
        <w:rPr>
          <w:i/>
          <w:highlight w:val="none"/>
          <w:u w:val="single"/>
        </w:rPr>
      </w:pPr>
      <w:r>
        <w:rPr>
          <w:rFonts w:hint="eastAsia"/>
          <w:i/>
          <w:highlight w:val="none"/>
          <w:u w:val="single"/>
        </w:rPr>
        <w:t>七、法人授权书</w:t>
      </w:r>
    </w:p>
    <w:p w14:paraId="7BA7FFF0">
      <w:pPr>
        <w:pStyle w:val="79"/>
        <w:widowControl w:val="0"/>
        <w:spacing w:before="0" w:beforeAutospacing="0" w:after="0" w:afterAutospacing="0" w:line="360" w:lineRule="auto"/>
        <w:ind w:left="480"/>
        <w:jc w:val="both"/>
        <w:rPr>
          <w:highlight w:val="none"/>
        </w:rPr>
      </w:pPr>
      <w:r>
        <w:rPr>
          <w:rFonts w:hint="eastAsia"/>
          <w:i/>
          <w:highlight w:val="none"/>
          <w:u w:val="single"/>
        </w:rPr>
        <w:t>八、投标函</w:t>
      </w:r>
    </w:p>
    <w:p w14:paraId="3E851DDE">
      <w:pPr>
        <w:pStyle w:val="79"/>
        <w:widowControl w:val="0"/>
        <w:spacing w:before="0" w:beforeAutospacing="0" w:after="0" w:afterAutospacing="0" w:line="360" w:lineRule="auto"/>
        <w:ind w:left="480"/>
        <w:jc w:val="both"/>
        <w:rPr>
          <w:highlight w:val="none"/>
        </w:rPr>
      </w:pPr>
      <w:r>
        <w:rPr>
          <w:rFonts w:hint="eastAsia"/>
          <w:highlight w:val="none"/>
        </w:rPr>
        <w:t>九、中小企业声明函（服务）、残疾人福利性单位声明函</w:t>
      </w:r>
    </w:p>
    <w:p w14:paraId="09054474">
      <w:pPr>
        <w:pStyle w:val="79"/>
        <w:widowControl w:val="0"/>
        <w:spacing w:before="0" w:beforeAutospacing="0" w:after="0" w:afterAutospacing="0" w:line="360" w:lineRule="auto"/>
        <w:ind w:left="480"/>
        <w:jc w:val="both"/>
        <w:rPr>
          <w:highlight w:val="none"/>
        </w:rPr>
      </w:pPr>
      <w:r>
        <w:rPr>
          <w:rFonts w:hint="eastAsia"/>
          <w:highlight w:val="none"/>
        </w:rPr>
        <w:t>十、联合体协议</w:t>
      </w:r>
    </w:p>
    <w:p w14:paraId="27792B18">
      <w:pPr>
        <w:pStyle w:val="79"/>
        <w:widowControl w:val="0"/>
        <w:spacing w:before="0" w:beforeAutospacing="0" w:after="0" w:afterAutospacing="0" w:line="360" w:lineRule="auto"/>
        <w:ind w:left="480"/>
        <w:jc w:val="both"/>
        <w:rPr>
          <w:highlight w:val="none"/>
        </w:rPr>
      </w:pPr>
      <w:r>
        <w:rPr>
          <w:rFonts w:hint="eastAsia"/>
          <w:highlight w:val="none"/>
        </w:rPr>
        <w:t>十一、投标分项报价表</w:t>
      </w:r>
    </w:p>
    <w:p w14:paraId="4B3B319E">
      <w:pPr>
        <w:pStyle w:val="79"/>
        <w:widowControl w:val="0"/>
        <w:spacing w:before="0" w:beforeAutospacing="0" w:after="0" w:afterAutospacing="0" w:line="360" w:lineRule="auto"/>
        <w:ind w:left="480"/>
        <w:jc w:val="both"/>
        <w:rPr>
          <w:highlight w:val="none"/>
        </w:rPr>
      </w:pPr>
      <w:r>
        <w:rPr>
          <w:rFonts w:hint="eastAsia"/>
          <w:highlight w:val="none"/>
        </w:rPr>
        <w:t>十二、技术要求响应及偏离表</w:t>
      </w:r>
    </w:p>
    <w:p w14:paraId="0DFC26C1">
      <w:pPr>
        <w:pStyle w:val="79"/>
        <w:widowControl w:val="0"/>
        <w:spacing w:before="0" w:beforeAutospacing="0" w:after="0" w:afterAutospacing="0" w:line="360" w:lineRule="auto"/>
        <w:ind w:left="480"/>
        <w:jc w:val="both"/>
        <w:rPr>
          <w:highlight w:val="none"/>
        </w:rPr>
      </w:pPr>
      <w:r>
        <w:rPr>
          <w:rFonts w:hint="eastAsia"/>
          <w:highlight w:val="none"/>
        </w:rPr>
        <w:t>十三、商务要求响应及偏离表</w:t>
      </w:r>
    </w:p>
    <w:p w14:paraId="64C89C5A">
      <w:pPr>
        <w:pStyle w:val="79"/>
        <w:widowControl w:val="0"/>
        <w:spacing w:before="0" w:beforeAutospacing="0" w:after="0" w:afterAutospacing="0" w:line="360" w:lineRule="auto"/>
        <w:ind w:left="480"/>
        <w:jc w:val="both"/>
        <w:rPr>
          <w:highlight w:val="none"/>
        </w:rPr>
      </w:pPr>
      <w:r>
        <w:rPr>
          <w:rFonts w:hint="eastAsia"/>
          <w:highlight w:val="none"/>
        </w:rPr>
        <w:t>十四、开标一览表</w:t>
      </w:r>
    </w:p>
    <w:p w14:paraId="766F3D6B">
      <w:pPr>
        <w:pStyle w:val="79"/>
        <w:widowControl w:val="0"/>
        <w:spacing w:before="0" w:beforeAutospacing="0" w:after="0" w:afterAutospacing="0" w:line="360" w:lineRule="auto"/>
        <w:ind w:left="480"/>
        <w:jc w:val="both"/>
        <w:rPr>
          <w:highlight w:val="none"/>
        </w:rPr>
      </w:pPr>
      <w:r>
        <w:rPr>
          <w:rFonts w:hint="eastAsia"/>
          <w:highlight w:val="none"/>
        </w:rPr>
        <w:t>十五、技术方案、服务承诺、培训承诺等（如有）</w:t>
      </w:r>
    </w:p>
    <w:p w14:paraId="14BA32B0">
      <w:pPr>
        <w:pStyle w:val="79"/>
        <w:widowControl w:val="0"/>
        <w:spacing w:before="0" w:beforeAutospacing="0" w:after="0" w:afterAutospacing="0" w:line="360" w:lineRule="auto"/>
        <w:ind w:left="480"/>
        <w:jc w:val="both"/>
        <w:rPr>
          <w:highlight w:val="none"/>
        </w:rPr>
      </w:pPr>
      <w:r>
        <w:rPr>
          <w:rFonts w:hint="eastAsia"/>
          <w:highlight w:val="none"/>
        </w:rPr>
        <w:t>十六、盐城经济技术开发区政府采购事前信用承诺书</w:t>
      </w:r>
    </w:p>
    <w:p w14:paraId="658AECCA">
      <w:pPr>
        <w:pStyle w:val="79"/>
        <w:widowControl w:val="0"/>
        <w:spacing w:before="0" w:beforeAutospacing="0" w:after="0" w:afterAutospacing="0" w:line="360" w:lineRule="auto"/>
        <w:ind w:left="480"/>
        <w:jc w:val="both"/>
        <w:rPr>
          <w:highlight w:val="none"/>
        </w:rPr>
      </w:pPr>
      <w:r>
        <w:rPr>
          <w:rFonts w:hint="eastAsia"/>
          <w:highlight w:val="none"/>
        </w:rPr>
        <w:t>十七、投标人认为需要提供的其他材料</w:t>
      </w:r>
    </w:p>
    <w:p w14:paraId="5EA3895D">
      <w:pPr>
        <w:spacing w:before="50" w:after="50"/>
        <w:rPr>
          <w:rFonts w:ascii="黑体" w:eastAsia="黑体" w:cs="黑体"/>
          <w:i/>
          <w:sz w:val="32"/>
          <w:szCs w:val="32"/>
          <w:highlight w:val="none"/>
          <w:u w:val="single"/>
        </w:rPr>
      </w:pPr>
      <w:r>
        <w:rPr>
          <w:rFonts w:ascii="黑体" w:eastAsia="黑体" w:cs="黑体"/>
          <w:i/>
          <w:sz w:val="32"/>
          <w:szCs w:val="32"/>
          <w:highlight w:val="none"/>
          <w:u w:val="single"/>
        </w:rPr>
        <w:t>注：如</w:t>
      </w:r>
      <w:r>
        <w:rPr>
          <w:rFonts w:hint="eastAsia" w:ascii="黑体" w:eastAsia="黑体" w:cs="黑体"/>
          <w:i/>
          <w:sz w:val="32"/>
          <w:szCs w:val="32"/>
          <w:highlight w:val="none"/>
          <w:u w:val="single"/>
        </w:rPr>
        <w:t>联合体投标，上述一、二、四、五、六、九、十六项材料联合体中所有成员均须分别提供。</w:t>
      </w:r>
    </w:p>
    <w:p w14:paraId="40C31E4B">
      <w:pPr>
        <w:widowControl/>
        <w:spacing w:before="50" w:after="156"/>
        <w:ind w:firstLine="480"/>
        <w:jc w:val="left"/>
        <w:rPr>
          <w:highlight w:val="none"/>
        </w:rPr>
      </w:pPr>
      <w:r>
        <w:rPr>
          <w:rFonts w:ascii="黑体" w:eastAsia="黑体" w:cs="黑体"/>
          <w:i/>
          <w:sz w:val="32"/>
          <w:szCs w:val="32"/>
          <w:highlight w:val="none"/>
          <w:u w:val="single"/>
        </w:rPr>
        <w:br w:type="page" w:clear="all"/>
      </w:r>
      <w:r>
        <w:rPr>
          <w:rFonts w:hint="eastAsia" w:ascii="黑体" w:eastAsia="黑体" w:cs="黑体"/>
          <w:i/>
          <w:sz w:val="32"/>
          <w:szCs w:val="32"/>
          <w:highlight w:val="none"/>
          <w:u w:val="single"/>
        </w:rPr>
        <w:t>一、法人或者其他组织的营业执照等证明文件，自然人的身份证明</w:t>
      </w:r>
    </w:p>
    <w:p w14:paraId="2375B251">
      <w:pPr>
        <w:pStyle w:val="79"/>
        <w:spacing w:beforeAutospacing="0" w:afterAutospacing="0" w:line="0" w:lineRule="atLeast"/>
        <w:ind w:firstLine="480"/>
        <w:jc w:val="both"/>
        <w:rPr>
          <w:highlight w:val="none"/>
        </w:rPr>
      </w:pPr>
      <w:r>
        <w:rPr>
          <w:highlight w:val="none"/>
        </w:rPr>
        <w:t> </w:t>
      </w:r>
    </w:p>
    <w:p w14:paraId="0F6FA32A">
      <w:pPr>
        <w:pStyle w:val="79"/>
        <w:spacing w:beforeAutospacing="0" w:afterAutospacing="0"/>
        <w:jc w:val="both"/>
        <w:rPr>
          <w:rFonts w:ascii="黑体" w:eastAsia="黑体" w:cs="黑体"/>
          <w:i/>
          <w:sz w:val="32"/>
          <w:szCs w:val="32"/>
          <w:highlight w:val="none"/>
          <w:u w:val="single"/>
        </w:rPr>
      </w:pPr>
      <w:r>
        <w:rPr>
          <w:rFonts w:ascii="黑体" w:eastAsia="黑体" w:cs="黑体"/>
          <w:i/>
          <w:sz w:val="32"/>
          <w:szCs w:val="32"/>
          <w:highlight w:val="none"/>
          <w:u w:val="single"/>
        </w:rPr>
        <w:br w:type="page" w:clear="all"/>
      </w:r>
      <w:r>
        <w:rPr>
          <w:rFonts w:hint="eastAsia" w:ascii="黑体" w:eastAsia="黑体" w:cs="黑体"/>
          <w:i/>
          <w:sz w:val="32"/>
          <w:szCs w:val="32"/>
          <w:highlight w:val="none"/>
          <w:u w:val="single"/>
        </w:rPr>
        <w:t>二、上一年度的财务状况报表</w:t>
      </w:r>
    </w:p>
    <w:p w14:paraId="1105F713">
      <w:pPr>
        <w:pStyle w:val="79"/>
        <w:spacing w:beforeAutospacing="0" w:afterAutospacing="0"/>
        <w:ind w:firstLine="480"/>
        <w:jc w:val="both"/>
        <w:rPr>
          <w:highlight w:val="none"/>
        </w:rPr>
      </w:pPr>
      <w:r>
        <w:rPr>
          <w:rFonts w:hint="eastAsia"/>
          <w:highlight w:val="none"/>
        </w:rPr>
        <w:t>至少提供资产负债表、利润表、现金流量表，投标人成立不满一年无需提供</w:t>
      </w:r>
    </w:p>
    <w:p w14:paraId="0C4E02C8">
      <w:pPr>
        <w:pStyle w:val="79"/>
        <w:spacing w:beforeAutospacing="0" w:afterAutospacing="0"/>
        <w:jc w:val="both"/>
        <w:rPr>
          <w:highlight w:val="none"/>
        </w:rPr>
      </w:pPr>
    </w:p>
    <w:p w14:paraId="4690AFB5">
      <w:pPr>
        <w:pStyle w:val="79"/>
        <w:spacing w:beforeAutospacing="0" w:afterAutospacing="0"/>
        <w:jc w:val="both"/>
        <w:rPr>
          <w:highlight w:val="none"/>
        </w:rPr>
      </w:pPr>
      <w:r>
        <w:rPr>
          <w:rFonts w:ascii="黑体" w:eastAsia="黑体" w:cs="黑体"/>
          <w:i/>
          <w:sz w:val="32"/>
          <w:szCs w:val="32"/>
          <w:highlight w:val="none"/>
          <w:u w:val="single"/>
        </w:rPr>
        <w:br w:type="page" w:clear="all"/>
      </w:r>
      <w:r>
        <w:rPr>
          <w:rFonts w:hint="eastAsia" w:ascii="黑体" w:eastAsia="黑体" w:cs="黑体"/>
          <w:i/>
          <w:sz w:val="32"/>
          <w:szCs w:val="32"/>
          <w:highlight w:val="none"/>
          <w:u w:val="single"/>
        </w:rPr>
        <w:t>三、具备履行合同所必需的设备和专业技术能力的书面声明</w:t>
      </w:r>
    </w:p>
    <w:p w14:paraId="46CA9CEA">
      <w:pPr>
        <w:pStyle w:val="79"/>
        <w:spacing w:beforeAutospacing="0" w:afterAutospacing="0" w:line="0" w:lineRule="atLeast"/>
        <w:ind w:firstLine="492"/>
        <w:jc w:val="both"/>
        <w:rPr>
          <w:highlight w:val="none"/>
        </w:rPr>
      </w:pPr>
      <w:r>
        <w:rPr>
          <w:rFonts w:hint="eastAsia"/>
          <w:highlight w:val="none"/>
        </w:rPr>
        <w:t>我单位郑重声明：我单位具备履行本项采购合同所必需的设备和专业技术能力，为履行本项采购合同我公司具备如下主要设备和主要专业技术能力：</w:t>
      </w:r>
    </w:p>
    <w:p w14:paraId="242FAA0C">
      <w:pPr>
        <w:pStyle w:val="79"/>
        <w:spacing w:beforeAutospacing="0" w:afterAutospacing="0" w:line="0" w:lineRule="atLeast"/>
        <w:ind w:firstLine="492"/>
        <w:jc w:val="both"/>
        <w:rPr>
          <w:highlight w:val="none"/>
        </w:rPr>
      </w:pPr>
      <w:r>
        <w:rPr>
          <w:rFonts w:hint="eastAsia"/>
          <w:highlight w:val="none"/>
        </w:rPr>
        <w:t>主要设备有：</w:t>
      </w:r>
      <w:r>
        <w:rPr>
          <w:rFonts w:hint="eastAsia"/>
          <w:highlight w:val="none"/>
          <w:u w:val="single"/>
        </w:rPr>
        <w:t xml:space="preserve">  </w:t>
      </w:r>
      <w:r>
        <w:rPr>
          <w:rFonts w:hint="eastAsia"/>
          <w:highlight w:val="none"/>
        </w:rPr>
        <w:t>。</w:t>
      </w:r>
    </w:p>
    <w:p w14:paraId="31E88491">
      <w:pPr>
        <w:pStyle w:val="79"/>
        <w:spacing w:beforeAutospacing="0" w:afterAutospacing="0"/>
        <w:ind w:firstLine="480"/>
        <w:jc w:val="both"/>
        <w:rPr>
          <w:highlight w:val="none"/>
        </w:rPr>
      </w:pPr>
      <w:r>
        <w:rPr>
          <w:rFonts w:hint="eastAsia"/>
          <w:highlight w:val="none"/>
        </w:rPr>
        <w:t>主要专业技术能力有：</w:t>
      </w:r>
      <w:r>
        <w:rPr>
          <w:rFonts w:hint="eastAsia"/>
          <w:highlight w:val="none"/>
          <w:u w:val="single"/>
        </w:rPr>
        <w:t xml:space="preserve">   </w:t>
      </w:r>
      <w:r>
        <w:rPr>
          <w:rFonts w:hint="eastAsia"/>
          <w:highlight w:val="none"/>
        </w:rPr>
        <w:t>。</w:t>
      </w:r>
    </w:p>
    <w:p w14:paraId="316F6600">
      <w:pPr>
        <w:pStyle w:val="79"/>
        <w:spacing w:beforeAutospacing="0" w:afterAutospacing="0"/>
        <w:ind w:firstLine="480"/>
        <w:jc w:val="both"/>
        <w:rPr>
          <w:highlight w:val="none"/>
        </w:rPr>
      </w:pPr>
    </w:p>
    <w:p w14:paraId="39317B48">
      <w:pPr>
        <w:spacing w:line="480" w:lineRule="auto"/>
        <w:rPr>
          <w:rFonts w:ascii="宋体" w:hAnsi="宋体" w:cs="宋体"/>
          <w:bCs/>
          <w:sz w:val="24"/>
          <w:highlight w:val="none"/>
        </w:rPr>
      </w:pPr>
      <w:r>
        <w:rPr>
          <w:rFonts w:hint="eastAsia" w:ascii="宋体" w:hAnsi="宋体" w:cs="宋体"/>
          <w:iCs/>
          <w:sz w:val="24"/>
          <w:highlight w:val="none"/>
        </w:rPr>
        <w:t xml:space="preserve">                                     </w:t>
      </w:r>
      <w:r>
        <w:rPr>
          <w:rFonts w:hint="eastAsia" w:ascii="宋体" w:hAnsi="宋体" w:cs="宋体"/>
          <w:bCs/>
          <w:sz w:val="24"/>
          <w:highlight w:val="none"/>
        </w:rPr>
        <w:t>供应商名称（公章）：</w:t>
      </w:r>
      <w:r>
        <w:rPr>
          <w:rFonts w:hint="eastAsia" w:ascii="宋体" w:hAnsi="宋体" w:cs="宋体"/>
          <w:b/>
          <w:i/>
          <w:iCs/>
          <w:sz w:val="24"/>
          <w:highlight w:val="none"/>
          <w:u w:val="single"/>
        </w:rPr>
        <w:t>（加盖CA电子公章）</w:t>
      </w:r>
    </w:p>
    <w:p w14:paraId="70237DCE">
      <w:pPr>
        <w:spacing w:line="360" w:lineRule="auto"/>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sz w:val="24"/>
          <w:highlight w:val="none"/>
        </w:rPr>
        <w:t>法定代表人或授权代表（签字或盖章）：</w:t>
      </w:r>
    </w:p>
    <w:p w14:paraId="517E6692">
      <w:pPr>
        <w:pStyle w:val="79"/>
        <w:spacing w:beforeAutospacing="0" w:afterAutospacing="0"/>
        <w:ind w:firstLine="480"/>
        <w:jc w:val="both"/>
        <w:rPr>
          <w:highlight w:val="none"/>
        </w:rPr>
      </w:pPr>
      <w:r>
        <w:rPr>
          <w:rFonts w:hint="eastAsia"/>
          <w:bCs/>
          <w:highlight w:val="none"/>
        </w:rPr>
        <w:t xml:space="preserve">                                      日期：</w:t>
      </w:r>
      <w:r>
        <w:rPr>
          <w:rFonts w:hint="eastAsia"/>
          <w:bCs/>
          <w:highlight w:val="none"/>
          <w:u w:val="single"/>
        </w:rPr>
        <w:t xml:space="preserve">     </w:t>
      </w:r>
      <w:r>
        <w:rPr>
          <w:rFonts w:hint="eastAsia"/>
          <w:bCs/>
          <w:highlight w:val="none"/>
        </w:rPr>
        <w:t>年</w:t>
      </w:r>
      <w:r>
        <w:rPr>
          <w:rFonts w:hint="eastAsia"/>
          <w:bCs/>
          <w:highlight w:val="none"/>
          <w:u w:val="single"/>
        </w:rPr>
        <w:t xml:space="preserve">    </w:t>
      </w:r>
      <w:r>
        <w:rPr>
          <w:rFonts w:hint="eastAsia"/>
          <w:bCs/>
          <w:highlight w:val="none"/>
        </w:rPr>
        <w:t>月</w:t>
      </w:r>
      <w:r>
        <w:rPr>
          <w:rFonts w:hint="eastAsia"/>
          <w:bCs/>
          <w:highlight w:val="none"/>
          <w:u w:val="single"/>
        </w:rPr>
        <w:t xml:space="preserve">    </w:t>
      </w:r>
      <w:r>
        <w:rPr>
          <w:rFonts w:hint="eastAsia"/>
          <w:bCs/>
          <w:highlight w:val="none"/>
        </w:rPr>
        <w:t>日</w:t>
      </w:r>
    </w:p>
    <w:p w14:paraId="57DAEEA2">
      <w:pPr>
        <w:pStyle w:val="79"/>
        <w:spacing w:beforeAutospacing="0" w:afterAutospacing="0"/>
        <w:jc w:val="both"/>
        <w:rPr>
          <w:highlight w:val="none"/>
        </w:rPr>
      </w:pPr>
      <w:r>
        <w:rPr>
          <w:rFonts w:ascii="黑体" w:eastAsia="黑体" w:cs="黑体"/>
          <w:i/>
          <w:sz w:val="32"/>
          <w:szCs w:val="32"/>
          <w:highlight w:val="none"/>
          <w:u w:val="single"/>
        </w:rPr>
        <w:br w:type="page" w:clear="all"/>
      </w:r>
      <w:r>
        <w:rPr>
          <w:rFonts w:hint="eastAsia" w:ascii="黑体" w:eastAsia="黑体" w:cs="黑体"/>
          <w:i/>
          <w:sz w:val="32"/>
          <w:szCs w:val="32"/>
          <w:highlight w:val="none"/>
          <w:u w:val="single"/>
        </w:rPr>
        <w:t>四、依法缴纳税收和社会保障资金的相关材料</w:t>
      </w:r>
    </w:p>
    <w:p w14:paraId="6A196715">
      <w:pPr>
        <w:pStyle w:val="79"/>
        <w:spacing w:beforeAutospacing="0" w:afterAutospacing="0"/>
        <w:ind w:firstLine="480"/>
        <w:jc w:val="both"/>
        <w:rPr>
          <w:highlight w:val="none"/>
        </w:rPr>
      </w:pPr>
      <w:bookmarkStart w:id="7" w:name="_Toc120614284"/>
      <w:r>
        <w:rPr>
          <w:rFonts w:hint="eastAsia"/>
          <w:highlight w:val="none"/>
        </w:rPr>
        <w:t>提供提交投标文件截止时间前一年内至少一个月依法缴纳税收及缴纳社会保障资金的证明材料。投标人依法享受缓缴、免缴税收、社会保障资金的提供证明材料。</w:t>
      </w:r>
      <w:bookmarkEnd w:id="7"/>
    </w:p>
    <w:p w14:paraId="37697634">
      <w:pPr>
        <w:pStyle w:val="79"/>
        <w:spacing w:beforeAutospacing="0" w:afterAutospacing="0"/>
        <w:jc w:val="both"/>
        <w:rPr>
          <w:highlight w:val="none"/>
        </w:rPr>
      </w:pPr>
      <w:r>
        <w:rPr>
          <w:rFonts w:ascii="黑体" w:eastAsia="黑体" w:cs="黑体"/>
          <w:i/>
          <w:sz w:val="32"/>
          <w:szCs w:val="32"/>
          <w:highlight w:val="none"/>
          <w:u w:val="single"/>
        </w:rPr>
        <w:br w:type="page" w:clear="all"/>
      </w:r>
      <w:r>
        <w:rPr>
          <w:rFonts w:hint="eastAsia" w:ascii="黑体" w:eastAsia="黑体" w:cs="黑体"/>
          <w:i/>
          <w:sz w:val="32"/>
          <w:szCs w:val="32"/>
          <w:highlight w:val="none"/>
          <w:u w:val="single"/>
        </w:rPr>
        <w:t>五、参加政府采购活动前 3 年内在经营活动中没有重大违法记录的书面声明</w:t>
      </w:r>
    </w:p>
    <w:p w14:paraId="277CC6DE">
      <w:pPr>
        <w:pStyle w:val="79"/>
        <w:spacing w:beforeAutospacing="0" w:afterAutospacing="0" w:line="0" w:lineRule="atLeast"/>
        <w:jc w:val="both"/>
        <w:rPr>
          <w:highlight w:val="none"/>
        </w:rPr>
      </w:pPr>
      <w:r>
        <w:rPr>
          <w:rFonts w:hint="eastAsia"/>
          <w:b/>
          <w:sz w:val="44"/>
          <w:szCs w:val="44"/>
          <w:highlight w:val="none"/>
        </w:rPr>
        <w:t>       声  明</w:t>
      </w:r>
    </w:p>
    <w:p w14:paraId="1E4F4480">
      <w:pPr>
        <w:pStyle w:val="79"/>
        <w:widowControl w:val="0"/>
        <w:spacing w:before="0" w:beforeAutospacing="0" w:after="0" w:afterAutospacing="0"/>
        <w:jc w:val="both"/>
        <w:rPr>
          <w:bCs/>
          <w:highlight w:val="none"/>
        </w:rPr>
      </w:pPr>
      <w:r>
        <w:rPr>
          <w:rFonts w:hint="eastAsia"/>
          <w:b/>
          <w:highlight w:val="none"/>
        </w:rPr>
        <w:t xml:space="preserve">    </w:t>
      </w:r>
      <w:r>
        <w:rPr>
          <w:rFonts w:hint="eastAsia"/>
          <w:highlight w:val="none"/>
        </w:rPr>
        <w:t>我单位郑重声明：参加本次政府采购活动前 3 年内，我单位在经营活动中没有因违法经营受到刑事处罚或者责令停产停业、吊销许可证或者执照、较大数额罚款等行政处罚。</w:t>
      </w:r>
    </w:p>
    <w:p w14:paraId="3AEC2424">
      <w:pPr>
        <w:pStyle w:val="79"/>
        <w:widowControl w:val="0"/>
        <w:spacing w:before="0" w:beforeAutospacing="0" w:after="0" w:afterAutospacing="0" w:line="0" w:lineRule="atLeast"/>
        <w:ind w:firstLine="848"/>
        <w:jc w:val="both"/>
        <w:rPr>
          <w:iCs/>
          <w:highlight w:val="none"/>
        </w:rPr>
      </w:pPr>
    </w:p>
    <w:p w14:paraId="548DADB1">
      <w:pPr>
        <w:pStyle w:val="79"/>
        <w:widowControl w:val="0"/>
        <w:spacing w:before="0" w:beforeAutospacing="0" w:after="0" w:afterAutospacing="0"/>
        <w:jc w:val="both"/>
        <w:rPr>
          <w:iCs/>
          <w:highlight w:val="none"/>
        </w:rPr>
      </w:pPr>
      <w:r>
        <w:rPr>
          <w:iCs/>
          <w:highlight w:val="none"/>
        </w:rPr>
        <w:t> </w:t>
      </w:r>
    </w:p>
    <w:p w14:paraId="4575DE22">
      <w:pPr>
        <w:spacing w:line="480" w:lineRule="auto"/>
        <w:ind w:firstLine="4560"/>
        <w:rPr>
          <w:rFonts w:ascii="宋体" w:hAnsi="宋体" w:cs="宋体"/>
          <w:bCs/>
          <w:sz w:val="24"/>
          <w:highlight w:val="none"/>
        </w:rPr>
      </w:pPr>
      <w:r>
        <w:rPr>
          <w:rFonts w:hint="eastAsia" w:ascii="宋体" w:hAnsi="宋体" w:cs="宋体"/>
          <w:bCs/>
          <w:sz w:val="24"/>
          <w:highlight w:val="none"/>
        </w:rPr>
        <w:t>供应商名称（公章）：</w:t>
      </w:r>
      <w:r>
        <w:rPr>
          <w:rFonts w:hint="eastAsia" w:ascii="宋体" w:hAnsi="宋体" w:cs="宋体"/>
          <w:b/>
          <w:i/>
          <w:iCs/>
          <w:sz w:val="24"/>
          <w:highlight w:val="none"/>
          <w:u w:val="single"/>
        </w:rPr>
        <w:t>（加盖CA电子公章）</w:t>
      </w:r>
    </w:p>
    <w:p w14:paraId="4D16C5B1">
      <w:pPr>
        <w:spacing w:line="460" w:lineRule="exact"/>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sz w:val="24"/>
          <w:highlight w:val="none"/>
        </w:rPr>
        <w:t>法定代表人或授权代表（签字或盖章）：</w:t>
      </w:r>
    </w:p>
    <w:p w14:paraId="1973FDC3">
      <w:pPr>
        <w:pStyle w:val="79"/>
        <w:widowControl w:val="0"/>
        <w:spacing w:before="0" w:beforeAutospacing="0" w:after="0" w:afterAutospacing="0"/>
        <w:jc w:val="both"/>
        <w:rPr>
          <w:iCs/>
          <w:highlight w:val="none"/>
        </w:rPr>
      </w:pPr>
      <w:r>
        <w:rPr>
          <w:rFonts w:hint="eastAsia"/>
          <w:bCs/>
          <w:highlight w:val="none"/>
        </w:rPr>
        <w:t xml:space="preserve">                                      日期：</w:t>
      </w:r>
      <w:r>
        <w:rPr>
          <w:rFonts w:hint="eastAsia"/>
          <w:bCs/>
          <w:highlight w:val="none"/>
          <w:u w:val="single"/>
        </w:rPr>
        <w:t xml:space="preserve">     </w:t>
      </w:r>
      <w:r>
        <w:rPr>
          <w:rFonts w:hint="eastAsia"/>
          <w:bCs/>
          <w:highlight w:val="none"/>
        </w:rPr>
        <w:t>年</w:t>
      </w:r>
      <w:r>
        <w:rPr>
          <w:rFonts w:hint="eastAsia"/>
          <w:bCs/>
          <w:highlight w:val="none"/>
          <w:u w:val="single"/>
        </w:rPr>
        <w:t xml:space="preserve">    </w:t>
      </w:r>
      <w:r>
        <w:rPr>
          <w:rFonts w:hint="eastAsia"/>
          <w:bCs/>
          <w:highlight w:val="none"/>
        </w:rPr>
        <w:t>月</w:t>
      </w:r>
      <w:r>
        <w:rPr>
          <w:rFonts w:hint="eastAsia"/>
          <w:bCs/>
          <w:highlight w:val="none"/>
          <w:u w:val="single"/>
        </w:rPr>
        <w:t xml:space="preserve">    </w:t>
      </w:r>
      <w:r>
        <w:rPr>
          <w:rFonts w:hint="eastAsia"/>
          <w:bCs/>
          <w:highlight w:val="none"/>
        </w:rPr>
        <w:t>日</w:t>
      </w:r>
    </w:p>
    <w:p w14:paraId="15CF32E9">
      <w:pPr>
        <w:widowControl/>
        <w:jc w:val="left"/>
        <w:rPr>
          <w:rFonts w:ascii="宋体" w:hAnsi="宋体" w:cs="宋体"/>
          <w:b/>
          <w:bCs/>
          <w:iCs/>
          <w:sz w:val="28"/>
          <w:szCs w:val="28"/>
          <w:highlight w:val="none"/>
          <w:u w:val="single"/>
        </w:rPr>
      </w:pPr>
      <w:r>
        <w:rPr>
          <w:b/>
          <w:bCs/>
          <w:iCs/>
          <w:sz w:val="28"/>
          <w:szCs w:val="28"/>
          <w:highlight w:val="none"/>
          <w:u w:val="single"/>
        </w:rPr>
        <w:br w:type="page" w:clear="all"/>
      </w:r>
    </w:p>
    <w:p w14:paraId="7E87B440">
      <w:pPr>
        <w:pStyle w:val="79"/>
        <w:spacing w:beforeAutospacing="0" w:afterAutospacing="0"/>
        <w:jc w:val="both"/>
        <w:rPr>
          <w:rFonts w:ascii="黑体" w:eastAsia="黑体" w:cs="黑体"/>
          <w:i/>
          <w:sz w:val="32"/>
          <w:szCs w:val="32"/>
          <w:highlight w:val="none"/>
          <w:u w:val="single"/>
        </w:rPr>
      </w:pPr>
      <w:r>
        <w:rPr>
          <w:rFonts w:hint="eastAsia" w:ascii="黑体" w:eastAsia="黑体" w:cs="黑体"/>
          <w:i/>
          <w:sz w:val="32"/>
          <w:szCs w:val="32"/>
          <w:highlight w:val="none"/>
          <w:u w:val="single"/>
        </w:rPr>
        <w:t>六、单位负责人为同一人或者存在直接控股、管理关系的不同供应商，不得参加同一合同项下的政府采购活动的书面声明。</w:t>
      </w:r>
    </w:p>
    <w:p w14:paraId="0C5AED3B">
      <w:pPr>
        <w:widowControl/>
        <w:jc w:val="left"/>
        <w:rPr>
          <w:rFonts w:ascii="宋体" w:hAnsi="宋体" w:cs="宋体"/>
          <w:sz w:val="24"/>
          <w:highlight w:val="none"/>
        </w:rPr>
      </w:pPr>
    </w:p>
    <w:p w14:paraId="12FCE3A1">
      <w:pPr>
        <w:widowControl/>
        <w:jc w:val="left"/>
        <w:rPr>
          <w:rFonts w:ascii="宋体" w:hAnsi="宋体" w:cs="宋体"/>
          <w:sz w:val="24"/>
          <w:highlight w:val="none"/>
        </w:rPr>
      </w:pPr>
    </w:p>
    <w:p w14:paraId="0C40CF45">
      <w:pPr>
        <w:widowControl/>
        <w:jc w:val="left"/>
        <w:rPr>
          <w:rFonts w:ascii="宋体" w:hAnsi="宋体" w:cs="宋体"/>
          <w:sz w:val="24"/>
          <w:highlight w:val="none"/>
        </w:rPr>
      </w:pPr>
    </w:p>
    <w:p w14:paraId="6D1AFC61">
      <w:pPr>
        <w:widowControl/>
        <w:jc w:val="left"/>
        <w:rPr>
          <w:rFonts w:ascii="宋体" w:hAnsi="宋体" w:cs="宋体"/>
          <w:sz w:val="24"/>
          <w:highlight w:val="none"/>
        </w:rPr>
      </w:pPr>
    </w:p>
    <w:p w14:paraId="043F071C">
      <w:pPr>
        <w:pStyle w:val="79"/>
        <w:spacing w:beforeAutospacing="0" w:afterAutospacing="0" w:line="0" w:lineRule="atLeast"/>
        <w:jc w:val="center"/>
        <w:rPr>
          <w:highlight w:val="none"/>
        </w:rPr>
      </w:pPr>
      <w:r>
        <w:rPr>
          <w:rFonts w:hint="eastAsia"/>
          <w:b/>
          <w:sz w:val="44"/>
          <w:szCs w:val="44"/>
          <w:highlight w:val="none"/>
        </w:rPr>
        <w:t>声  明</w:t>
      </w:r>
    </w:p>
    <w:p w14:paraId="728C4787">
      <w:pPr>
        <w:pStyle w:val="79"/>
        <w:rPr>
          <w:highlight w:val="none"/>
        </w:rPr>
      </w:pPr>
      <w:r>
        <w:rPr>
          <w:rFonts w:hint="eastAsia"/>
          <w:b/>
          <w:highlight w:val="none"/>
        </w:rPr>
        <w:t xml:space="preserve">    </w:t>
      </w:r>
      <w:r>
        <w:rPr>
          <w:rFonts w:hint="eastAsia"/>
          <w:highlight w:val="none"/>
        </w:rPr>
        <w:t>我单位郑重声明：在参加本次政府采购活动不存在与参加本项目的其它供应商单位负责人为同一人或者存在直接控股、管理关系。本单位对上述承诺的真实性负责。如有虚假，将依法承担相应责任。</w:t>
      </w:r>
    </w:p>
    <w:p w14:paraId="732231F3">
      <w:pPr>
        <w:pStyle w:val="79"/>
        <w:widowControl w:val="0"/>
        <w:spacing w:before="0" w:beforeAutospacing="0" w:after="0" w:afterAutospacing="0" w:line="0" w:lineRule="atLeast"/>
        <w:ind w:firstLine="848"/>
        <w:jc w:val="both"/>
        <w:rPr>
          <w:iCs/>
          <w:highlight w:val="none"/>
        </w:rPr>
      </w:pPr>
    </w:p>
    <w:p w14:paraId="38C4266C">
      <w:pPr>
        <w:pStyle w:val="79"/>
        <w:widowControl w:val="0"/>
        <w:spacing w:before="0" w:beforeAutospacing="0" w:after="0" w:afterAutospacing="0"/>
        <w:jc w:val="both"/>
        <w:rPr>
          <w:iCs/>
          <w:highlight w:val="none"/>
        </w:rPr>
      </w:pPr>
      <w:r>
        <w:rPr>
          <w:iCs/>
          <w:highlight w:val="none"/>
        </w:rPr>
        <w:t> </w:t>
      </w:r>
    </w:p>
    <w:p w14:paraId="2077DD0E">
      <w:pPr>
        <w:spacing w:line="480" w:lineRule="auto"/>
        <w:ind w:firstLine="4560"/>
        <w:rPr>
          <w:rFonts w:ascii="宋体" w:hAnsi="宋体" w:cs="宋体"/>
          <w:bCs/>
          <w:sz w:val="24"/>
          <w:highlight w:val="none"/>
        </w:rPr>
      </w:pPr>
      <w:r>
        <w:rPr>
          <w:rFonts w:hint="eastAsia" w:ascii="宋体" w:hAnsi="宋体" w:cs="宋体"/>
          <w:bCs/>
          <w:sz w:val="24"/>
          <w:highlight w:val="none"/>
        </w:rPr>
        <w:t>供应商名称（公章）：</w:t>
      </w:r>
      <w:r>
        <w:rPr>
          <w:rFonts w:hint="eastAsia" w:ascii="宋体" w:hAnsi="宋体" w:cs="宋体"/>
          <w:b/>
          <w:i/>
          <w:iCs/>
          <w:sz w:val="24"/>
          <w:highlight w:val="none"/>
          <w:u w:val="single"/>
        </w:rPr>
        <w:t>（加盖CA电子公章）</w:t>
      </w:r>
    </w:p>
    <w:p w14:paraId="3DB1EBD4">
      <w:pPr>
        <w:spacing w:line="460" w:lineRule="exact"/>
        <w:rPr>
          <w:rFonts w:ascii="宋体" w:hAnsi="宋体" w:cs="宋体"/>
          <w:bCs/>
          <w:sz w:val="24"/>
          <w:highlight w:val="none"/>
        </w:rPr>
      </w:pPr>
      <w:r>
        <w:rPr>
          <w:rFonts w:hint="eastAsia" w:ascii="宋体" w:hAnsi="宋体" w:cs="宋体"/>
          <w:bCs/>
          <w:sz w:val="24"/>
          <w:highlight w:val="none"/>
        </w:rPr>
        <w:t xml:space="preserve">                                      </w:t>
      </w:r>
      <w:r>
        <w:rPr>
          <w:rFonts w:hint="eastAsia" w:ascii="宋体" w:hAnsi="宋体" w:cs="宋体"/>
          <w:sz w:val="24"/>
          <w:highlight w:val="none"/>
        </w:rPr>
        <w:t>法定代表人或授权代表（签字或盖章）：</w:t>
      </w:r>
    </w:p>
    <w:p w14:paraId="3D64C04E">
      <w:pPr>
        <w:widowControl/>
        <w:jc w:val="left"/>
        <w:rPr>
          <w:rFonts w:ascii="宋体" w:hAnsi="宋体" w:cs="宋体"/>
          <w:b/>
          <w:iCs/>
          <w:sz w:val="28"/>
          <w:szCs w:val="28"/>
          <w:highlight w:val="none"/>
          <w:u w:val="single"/>
        </w:rPr>
      </w:pPr>
      <w:r>
        <w:rPr>
          <w:rFonts w:hint="eastAsia"/>
          <w:bCs/>
          <w:highlight w:val="none"/>
        </w:rPr>
        <w:t xml:space="preserve">                                      日期：</w:t>
      </w:r>
      <w:r>
        <w:rPr>
          <w:rFonts w:hint="eastAsia"/>
          <w:bCs/>
          <w:highlight w:val="none"/>
          <w:u w:val="single"/>
        </w:rPr>
        <w:t xml:space="preserve">     </w:t>
      </w:r>
      <w:r>
        <w:rPr>
          <w:rFonts w:hint="eastAsia"/>
          <w:bCs/>
          <w:highlight w:val="none"/>
        </w:rPr>
        <w:t>年</w:t>
      </w:r>
      <w:r>
        <w:rPr>
          <w:rFonts w:hint="eastAsia"/>
          <w:bCs/>
          <w:highlight w:val="none"/>
          <w:u w:val="single"/>
        </w:rPr>
        <w:t xml:space="preserve">    </w:t>
      </w:r>
      <w:r>
        <w:rPr>
          <w:rFonts w:hint="eastAsia"/>
          <w:bCs/>
          <w:highlight w:val="none"/>
        </w:rPr>
        <w:t>月</w:t>
      </w:r>
      <w:r>
        <w:rPr>
          <w:rFonts w:hint="eastAsia"/>
          <w:bCs/>
          <w:highlight w:val="none"/>
          <w:u w:val="single"/>
        </w:rPr>
        <w:t xml:space="preserve">    </w:t>
      </w:r>
      <w:r>
        <w:rPr>
          <w:rFonts w:hint="eastAsia"/>
          <w:bCs/>
          <w:highlight w:val="none"/>
        </w:rPr>
        <w:t>日</w:t>
      </w:r>
      <w:r>
        <w:rPr>
          <w:b/>
          <w:iCs/>
          <w:sz w:val="28"/>
          <w:szCs w:val="28"/>
          <w:highlight w:val="none"/>
          <w:u w:val="single"/>
        </w:rPr>
        <w:br w:type="page" w:clear="all"/>
      </w:r>
    </w:p>
    <w:p w14:paraId="53988991">
      <w:pPr>
        <w:pStyle w:val="79"/>
        <w:widowControl w:val="0"/>
        <w:spacing w:before="0" w:beforeAutospacing="0" w:after="0" w:afterAutospacing="0" w:line="360" w:lineRule="auto"/>
        <w:jc w:val="center"/>
        <w:rPr>
          <w:b/>
          <w:bCs/>
          <w:iCs/>
          <w:sz w:val="28"/>
          <w:szCs w:val="28"/>
          <w:highlight w:val="none"/>
          <w:u w:val="single"/>
        </w:rPr>
      </w:pPr>
      <w:r>
        <w:rPr>
          <w:rFonts w:hint="eastAsia"/>
          <w:b/>
          <w:iCs/>
          <w:sz w:val="28"/>
          <w:szCs w:val="28"/>
          <w:highlight w:val="none"/>
          <w:u w:val="single"/>
        </w:rPr>
        <w:t>七</w:t>
      </w:r>
      <w:r>
        <w:rPr>
          <w:b/>
          <w:iCs/>
          <w:sz w:val="28"/>
          <w:szCs w:val="28"/>
          <w:highlight w:val="none"/>
          <w:u w:val="single"/>
        </w:rPr>
        <w:t>、</w:t>
      </w:r>
      <w:r>
        <w:rPr>
          <w:rFonts w:hint="eastAsia"/>
          <w:b/>
          <w:iCs/>
          <w:sz w:val="28"/>
          <w:szCs w:val="28"/>
          <w:highlight w:val="none"/>
          <w:u w:val="single"/>
        </w:rPr>
        <w:t>法人授权书</w:t>
      </w:r>
    </w:p>
    <w:p w14:paraId="20D8461E">
      <w:pPr>
        <w:pStyle w:val="79"/>
        <w:widowControl w:val="0"/>
        <w:tabs>
          <w:tab w:val="left" w:pos="360"/>
        </w:tabs>
        <w:spacing w:before="0" w:beforeAutospacing="0" w:after="0" w:afterAutospacing="0" w:line="360" w:lineRule="auto"/>
        <w:ind w:firstLine="480"/>
        <w:jc w:val="both"/>
        <w:rPr>
          <w:rFonts w:ascii="Times New Roman" w:hAnsi="Times New Roman" w:cs="Times New Roman"/>
          <w:highlight w:val="none"/>
        </w:rPr>
      </w:pPr>
    </w:p>
    <w:p w14:paraId="3227E86E">
      <w:pPr>
        <w:pStyle w:val="79"/>
        <w:widowControl w:val="0"/>
        <w:tabs>
          <w:tab w:val="left" w:pos="360"/>
        </w:tabs>
        <w:spacing w:before="0" w:beforeAutospacing="0" w:after="0" w:afterAutospacing="0" w:line="480" w:lineRule="auto"/>
        <w:ind w:firstLine="480"/>
        <w:jc w:val="both"/>
        <w:rPr>
          <w:highlight w:val="none"/>
        </w:rPr>
      </w:pPr>
      <w:r>
        <w:rPr>
          <w:rFonts w:ascii="Times New Roman" w:hAnsi="Times New Roman" w:cs="Times New Roman"/>
          <w:highlight w:val="none"/>
        </w:rPr>
        <w:t>本授权书声明：____________（投标人名称）授权________________（被授权人的姓名）为我方就</w:t>
      </w:r>
      <w:r>
        <w:rPr>
          <w:rFonts w:hint="eastAsia" w:ascii="Times New Roman" w:hAnsi="Times New Roman" w:cs="Times New Roman"/>
          <w:highlight w:val="none"/>
          <w:u w:val="single"/>
        </w:rPr>
        <w:t xml:space="preserve">              </w:t>
      </w:r>
      <w:r>
        <w:rPr>
          <w:rFonts w:ascii="Times New Roman" w:hAnsi="Times New Roman" w:cs="Times New Roman"/>
          <w:highlight w:val="none"/>
        </w:rPr>
        <w:t>号</w:t>
      </w:r>
      <w:r>
        <w:rPr>
          <w:rFonts w:hint="eastAsia" w:ascii="Times New Roman" w:hAnsi="Times New Roman" w:cs="Times New Roman"/>
          <w:highlight w:val="none"/>
          <w:u w:val="single"/>
        </w:rPr>
        <w:t xml:space="preserve">       </w:t>
      </w:r>
      <w:r>
        <w:rPr>
          <w:rFonts w:ascii="Times New Roman" w:hAnsi="Times New Roman" w:cs="Times New Roman"/>
          <w:highlight w:val="none"/>
        </w:rPr>
        <w:t>项目采购活动的合法代理人，以本单位名义全权处理一切与该项目采购有关的事务。</w:t>
      </w:r>
    </w:p>
    <w:p w14:paraId="06596202">
      <w:pPr>
        <w:pStyle w:val="79"/>
        <w:widowControl w:val="0"/>
        <w:tabs>
          <w:tab w:val="left" w:pos="360"/>
        </w:tabs>
        <w:spacing w:before="0" w:beforeAutospacing="0" w:after="0" w:afterAutospacing="0" w:line="480" w:lineRule="auto"/>
        <w:ind w:firstLine="480"/>
        <w:jc w:val="both"/>
        <w:rPr>
          <w:highlight w:val="none"/>
        </w:rPr>
      </w:pPr>
      <w:r>
        <w:rPr>
          <w:rFonts w:ascii="Times New Roman" w:hAnsi="Times New Roman" w:cs="Times New Roman"/>
          <w:highlight w:val="none"/>
        </w:rPr>
        <w:t>本授权书于______年____月____日起生效，特此声明。</w:t>
      </w:r>
    </w:p>
    <w:p w14:paraId="5970612A">
      <w:pPr>
        <w:pStyle w:val="79"/>
        <w:widowControl w:val="0"/>
        <w:tabs>
          <w:tab w:val="left" w:pos="360"/>
        </w:tabs>
        <w:spacing w:before="0" w:beforeAutospacing="0" w:after="0" w:afterAutospacing="0" w:line="480" w:lineRule="auto"/>
        <w:jc w:val="both"/>
        <w:rPr>
          <w:highlight w:val="none"/>
        </w:rPr>
      </w:pPr>
      <w:r>
        <w:rPr>
          <w:rFonts w:ascii="Times New Roman" w:hAnsi="Times New Roman" w:cs="Times New Roman"/>
          <w:highlight w:val="none"/>
        </w:rPr>
        <w:t>          被授权人身份证号码：</w:t>
      </w:r>
      <w:r>
        <w:rPr>
          <w:rFonts w:ascii="Times New Roman" w:hAnsi="Times New Roman" w:cs="Times New Roman"/>
          <w:highlight w:val="none"/>
          <w:u w:val="single"/>
        </w:rPr>
        <w:t xml:space="preserve">                              </w:t>
      </w:r>
    </w:p>
    <w:p w14:paraId="42CF868B">
      <w:pPr>
        <w:pStyle w:val="79"/>
        <w:widowControl w:val="0"/>
        <w:tabs>
          <w:tab w:val="left" w:pos="360"/>
        </w:tabs>
        <w:spacing w:before="0" w:beforeAutospacing="0" w:after="0" w:afterAutospacing="0" w:line="480" w:lineRule="auto"/>
        <w:jc w:val="both"/>
        <w:rPr>
          <w:highlight w:val="none"/>
        </w:rPr>
      </w:pPr>
      <w:r>
        <w:rPr>
          <w:rFonts w:ascii="Times New Roman" w:hAnsi="Times New Roman" w:cs="Times New Roman"/>
          <w:highlight w:val="none"/>
        </w:rPr>
        <w:t>          被授权人联系电话：（手机）</w:t>
      </w:r>
      <w:r>
        <w:rPr>
          <w:rFonts w:ascii="Times New Roman" w:hAnsi="Times New Roman" w:cs="Times New Roman"/>
          <w:highlight w:val="none"/>
          <w:u w:val="single"/>
        </w:rPr>
        <w:t xml:space="preserve">                          </w:t>
      </w:r>
    </w:p>
    <w:p w14:paraId="031946DE">
      <w:pPr>
        <w:pStyle w:val="79"/>
        <w:widowControl w:val="0"/>
        <w:tabs>
          <w:tab w:val="left" w:pos="360"/>
        </w:tabs>
        <w:spacing w:before="0" w:beforeAutospacing="0" w:after="0" w:afterAutospacing="0" w:line="480" w:lineRule="auto"/>
        <w:ind w:firstLine="720"/>
        <w:jc w:val="both"/>
        <w:rPr>
          <w:highlight w:val="none"/>
        </w:rPr>
      </w:pPr>
      <w:r>
        <w:rPr>
          <w:rFonts w:ascii="Times New Roman" w:hAnsi="Times New Roman" w:cs="Times New Roman"/>
          <w:highlight w:val="none"/>
        </w:rPr>
        <w:t>授权单位名称：</w:t>
      </w:r>
      <w:r>
        <w:rPr>
          <w:rFonts w:ascii="Times New Roman" w:hAnsi="Times New Roman" w:cs="Times New Roman"/>
          <w:i/>
          <w:iCs/>
          <w:highlight w:val="none"/>
          <w:u w:val="single"/>
        </w:rPr>
        <w:t>（加盖CA电子公章）</w:t>
      </w:r>
    </w:p>
    <w:p w14:paraId="489E2F9D">
      <w:pPr>
        <w:pStyle w:val="79"/>
        <w:widowControl w:val="0"/>
        <w:tabs>
          <w:tab w:val="left" w:pos="360"/>
        </w:tabs>
        <w:spacing w:before="0" w:beforeAutospacing="0" w:after="0" w:afterAutospacing="0" w:line="480" w:lineRule="auto"/>
        <w:ind w:firstLine="480"/>
        <w:jc w:val="both"/>
        <w:rPr>
          <w:highlight w:val="none"/>
        </w:rPr>
      </w:pPr>
      <w:r>
        <w:rPr>
          <w:rFonts w:ascii="Times New Roman" w:hAnsi="Times New Roman" w:cs="Times New Roman"/>
          <w:highlight w:val="none"/>
        </w:rPr>
        <w:t>    单位地址：</w:t>
      </w:r>
      <w:r>
        <w:rPr>
          <w:rFonts w:ascii="Times New Roman" w:hAnsi="Times New Roman" w:cs="Times New Roman"/>
          <w:highlight w:val="none"/>
          <w:u w:val="single"/>
        </w:rPr>
        <w:t xml:space="preserve">                                         </w:t>
      </w:r>
    </w:p>
    <w:p w14:paraId="2FCC8A09">
      <w:pPr>
        <w:pStyle w:val="79"/>
        <w:widowControl w:val="0"/>
        <w:tabs>
          <w:tab w:val="left" w:pos="360"/>
        </w:tabs>
        <w:spacing w:before="0" w:beforeAutospacing="0" w:after="0" w:afterAutospacing="0" w:line="480" w:lineRule="auto"/>
        <w:ind w:firstLine="480"/>
        <w:jc w:val="both"/>
        <w:rPr>
          <w:highlight w:val="none"/>
        </w:rPr>
      </w:pPr>
      <w:r>
        <w:rPr>
          <w:rFonts w:ascii="Times New Roman" w:hAnsi="Times New Roman" w:cs="Times New Roman"/>
          <w:highlight w:val="none"/>
        </w:rPr>
        <w:t>    日</w:t>
      </w:r>
      <w:r>
        <w:rPr>
          <w:rFonts w:hint="eastAsia" w:ascii="Times New Roman" w:hAnsi="Times New Roman" w:cs="Times New Roman"/>
          <w:highlight w:val="none"/>
        </w:rPr>
        <w:t xml:space="preserve">    </w:t>
      </w:r>
      <w:r>
        <w:rPr>
          <w:rFonts w:ascii="Times New Roman" w:hAnsi="Times New Roman" w:cs="Times New Roman"/>
          <w:highlight w:val="none"/>
        </w:rPr>
        <w:t>期：</w:t>
      </w:r>
      <w:r>
        <w:rPr>
          <w:rFonts w:ascii="Times New Roman" w:hAnsi="Times New Roman" w:cs="Times New Roman"/>
          <w:highlight w:val="none"/>
          <w:u w:val="single"/>
        </w:rPr>
        <w:t xml:space="preserve">                                         </w:t>
      </w:r>
    </w:p>
    <w:p w14:paraId="15E95575">
      <w:pPr>
        <w:pStyle w:val="79"/>
        <w:widowControl w:val="0"/>
        <w:spacing w:before="0" w:beforeAutospacing="0" w:after="0" w:afterAutospacing="0" w:line="360" w:lineRule="auto"/>
        <w:ind w:firstLine="420"/>
        <w:jc w:val="both"/>
        <w:rPr>
          <w:highlight w:val="none"/>
        </w:rPr>
      </w:pPr>
      <w:r>
        <w:rPr>
          <w:highlight w:val="none"/>
        </w:rPr>
        <w:t> </w:t>
      </w:r>
    </w:p>
    <w:p w14:paraId="57EEEC82">
      <w:pPr>
        <w:pStyle w:val="79"/>
        <w:widowControl w:val="0"/>
        <w:spacing w:before="0" w:beforeAutospacing="0" w:after="0" w:afterAutospacing="0"/>
        <w:jc w:val="both"/>
        <w:rPr>
          <w:highlight w:val="none"/>
        </w:rPr>
      </w:pPr>
      <w:r>
        <w:rPr>
          <w:highlight w:val="none"/>
        </w:rPr>
        <w:t> </w:t>
      </w:r>
    </w:p>
    <w:p w14:paraId="72908EC2">
      <w:pPr>
        <w:pStyle w:val="79"/>
        <w:widowControl w:val="0"/>
        <w:spacing w:before="0" w:beforeAutospacing="0" w:after="0" w:afterAutospacing="0" w:line="0" w:lineRule="atLeast"/>
        <w:jc w:val="both"/>
        <w:rPr>
          <w:highlight w:val="none"/>
        </w:rPr>
      </w:pPr>
      <w:r>
        <w:rPr>
          <w:highlight w:val="none"/>
        </w:rPr>
        <w:t> </w:t>
      </w:r>
    </w:p>
    <w:p w14:paraId="4F0196D5">
      <w:pPr>
        <w:pStyle w:val="79"/>
        <w:spacing w:beforeAutospacing="0" w:afterAutospacing="0" w:line="276" w:lineRule="auto"/>
        <w:jc w:val="center"/>
        <w:rPr>
          <w:b/>
          <w:sz w:val="28"/>
          <w:szCs w:val="28"/>
          <w:highlight w:val="none"/>
        </w:rPr>
      </w:pPr>
      <w:r>
        <w:rPr>
          <w:rFonts w:hint="eastAsia"/>
          <w:b/>
          <w:highlight w:val="none"/>
        </w:rPr>
        <w:br w:type="page" w:clear="all"/>
      </w:r>
    </w:p>
    <w:p w14:paraId="40C6DA8C">
      <w:pPr>
        <w:pStyle w:val="79"/>
        <w:keepNext/>
        <w:keepLines/>
        <w:widowControl w:val="0"/>
        <w:spacing w:before="260" w:beforeAutospacing="0" w:after="260" w:afterAutospacing="0" w:line="415" w:lineRule="auto"/>
        <w:ind w:firstLine="3390"/>
        <w:jc w:val="both"/>
        <w:rPr>
          <w:highlight w:val="none"/>
        </w:rPr>
      </w:pPr>
      <w:r>
        <w:rPr>
          <w:rFonts w:hint="eastAsia"/>
          <w:b/>
          <w:iCs/>
          <w:sz w:val="28"/>
          <w:szCs w:val="28"/>
          <w:highlight w:val="none"/>
          <w:u w:val="single"/>
        </w:rPr>
        <w:t>八、投标函</w:t>
      </w:r>
    </w:p>
    <w:p w14:paraId="6701E023">
      <w:pPr>
        <w:pStyle w:val="79"/>
        <w:widowControl w:val="0"/>
        <w:spacing w:before="0" w:beforeAutospacing="0" w:after="0" w:afterAutospacing="0" w:line="360" w:lineRule="auto"/>
        <w:rPr>
          <w:highlight w:val="none"/>
          <w:u w:val="single"/>
        </w:rPr>
      </w:pPr>
      <w:r>
        <w:rPr>
          <w:rFonts w:hint="eastAsia"/>
          <w:highlight w:val="none"/>
        </w:rPr>
        <w:t>致：</w:t>
      </w:r>
      <w:r>
        <w:rPr>
          <w:rFonts w:hint="eastAsia"/>
          <w:highlight w:val="none"/>
          <w:u w:val="single"/>
        </w:rPr>
        <w:t xml:space="preserve"> （采购人）    </w:t>
      </w:r>
    </w:p>
    <w:p w14:paraId="200F7E93">
      <w:pPr>
        <w:pStyle w:val="79"/>
        <w:widowControl w:val="0"/>
        <w:spacing w:before="0" w:beforeAutospacing="0" w:after="0" w:afterAutospacing="0" w:line="360" w:lineRule="auto"/>
        <w:ind w:firstLine="480"/>
        <w:rPr>
          <w:highlight w:val="none"/>
        </w:rPr>
      </w:pPr>
      <w:r>
        <w:rPr>
          <w:rFonts w:hint="eastAsia"/>
          <w:highlight w:val="none"/>
        </w:rPr>
        <w:t>根据贵方的</w:t>
      </w:r>
      <w:r>
        <w:rPr>
          <w:rFonts w:hint="eastAsia"/>
          <w:highlight w:val="none"/>
          <w:u w:val="single"/>
        </w:rPr>
        <w:t xml:space="preserve">       </w:t>
      </w:r>
      <w:r>
        <w:rPr>
          <w:rFonts w:hint="eastAsia"/>
          <w:highlight w:val="none"/>
        </w:rPr>
        <w:t>号招标文件，正式授权下述签字人_________________(姓名)代表我方______________（投标人的名称），全权处理本次项目投标的有关事宜。</w:t>
      </w:r>
    </w:p>
    <w:p w14:paraId="2ED61525">
      <w:pPr>
        <w:pStyle w:val="79"/>
        <w:widowControl w:val="0"/>
        <w:spacing w:before="0" w:beforeAutospacing="0" w:after="0" w:afterAutospacing="0" w:line="360" w:lineRule="auto"/>
        <w:ind w:firstLine="480"/>
        <w:rPr>
          <w:highlight w:val="none"/>
        </w:rPr>
      </w:pPr>
      <w:r>
        <w:rPr>
          <w:rFonts w:hint="eastAsia"/>
          <w:highlight w:val="none"/>
        </w:rPr>
        <w:t>据此函，__________签字人兹宣布同意如下：</w:t>
      </w:r>
    </w:p>
    <w:p w14:paraId="30B93125">
      <w:pPr>
        <w:pStyle w:val="79"/>
        <w:widowControl w:val="0"/>
        <w:spacing w:before="0" w:beforeAutospacing="0" w:after="0" w:afterAutospacing="0" w:line="360" w:lineRule="auto"/>
        <w:ind w:firstLine="480"/>
        <w:rPr>
          <w:highlight w:val="none"/>
        </w:rPr>
      </w:pPr>
      <w:r>
        <w:rPr>
          <w:rFonts w:hint="eastAsia"/>
          <w:highlight w:val="none"/>
        </w:rPr>
        <w:t>1.按招标文件规定的各项要求，向买方提供所需服务（包含与服务相关的货物）。</w:t>
      </w:r>
    </w:p>
    <w:p w14:paraId="32359B24">
      <w:pPr>
        <w:pStyle w:val="79"/>
        <w:widowControl w:val="0"/>
        <w:spacing w:before="0" w:beforeAutospacing="0" w:after="0" w:afterAutospacing="0" w:line="360" w:lineRule="auto"/>
        <w:ind w:firstLine="480"/>
        <w:rPr>
          <w:highlight w:val="none"/>
        </w:rPr>
      </w:pPr>
      <w:r>
        <w:rPr>
          <w:rFonts w:hint="eastAsia"/>
          <w:highlight w:val="none"/>
        </w:rPr>
        <w:t>2.我们完全理解贵方不一定将合同授予最低报价的投标人。</w:t>
      </w:r>
    </w:p>
    <w:p w14:paraId="6086CFF0">
      <w:pPr>
        <w:pStyle w:val="79"/>
        <w:widowControl w:val="0"/>
        <w:spacing w:before="0" w:beforeAutospacing="0" w:after="0" w:afterAutospacing="0" w:line="360" w:lineRule="auto"/>
        <w:ind w:firstLine="480"/>
        <w:rPr>
          <w:highlight w:val="none"/>
        </w:rPr>
      </w:pPr>
      <w:r>
        <w:rPr>
          <w:rFonts w:hint="eastAsia"/>
          <w:highlight w:val="none"/>
        </w:rPr>
        <w:t>3.我们已详细审核全部招标文件及其有效补充文件，我们知道必须放弃提出含糊不清或误解问题的权利。</w:t>
      </w:r>
    </w:p>
    <w:p w14:paraId="0A799EBF">
      <w:pPr>
        <w:pStyle w:val="79"/>
        <w:widowControl w:val="0"/>
        <w:spacing w:before="0" w:beforeAutospacing="0" w:after="0" w:afterAutospacing="0" w:line="360" w:lineRule="auto"/>
        <w:ind w:firstLine="480"/>
        <w:rPr>
          <w:highlight w:val="none"/>
        </w:rPr>
      </w:pPr>
      <w:r>
        <w:rPr>
          <w:rFonts w:hint="eastAsia"/>
          <w:highlight w:val="none"/>
        </w:rPr>
        <w:t>4.我们同意从规定的开标日期起遵循本投标文件，并在规定的投标有效期期满之前均具有约束力。</w:t>
      </w:r>
    </w:p>
    <w:p w14:paraId="4260315E">
      <w:pPr>
        <w:pStyle w:val="79"/>
        <w:widowControl w:val="0"/>
        <w:spacing w:before="0" w:beforeAutospacing="0" w:after="0" w:afterAutospacing="0" w:line="360" w:lineRule="auto"/>
        <w:ind w:firstLine="480"/>
        <w:rPr>
          <w:highlight w:val="none"/>
        </w:rPr>
      </w:pPr>
      <w:r>
        <w:rPr>
          <w:rFonts w:hint="eastAsia"/>
          <w:highlight w:val="none"/>
        </w:rPr>
        <w:t>5.同意向贵方提供贵方可能另外要求的与投标有关的任何证据或资料，并保证我方已提供和将要提供的文件是真实的、准确的。</w:t>
      </w:r>
    </w:p>
    <w:p w14:paraId="23731F1F">
      <w:pPr>
        <w:pStyle w:val="79"/>
        <w:widowControl w:val="0"/>
        <w:spacing w:before="0" w:beforeAutospacing="0" w:after="0" w:afterAutospacing="0" w:line="360" w:lineRule="auto"/>
        <w:ind w:firstLine="480"/>
        <w:rPr>
          <w:highlight w:val="none"/>
        </w:rPr>
      </w:pPr>
      <w:r>
        <w:rPr>
          <w:rFonts w:hint="eastAsia"/>
          <w:highlight w:val="none"/>
        </w:rPr>
        <w:t>6.一旦我方中标，我方将根据招标文件的规定，严格履行合同的责任和义务，并保证在招标文件规定的时间完成项目，交付买方验收、使用。</w:t>
      </w:r>
    </w:p>
    <w:p w14:paraId="7386156C">
      <w:pPr>
        <w:pStyle w:val="79"/>
        <w:widowControl w:val="0"/>
        <w:spacing w:before="0" w:beforeAutospacing="0" w:after="0" w:afterAutospacing="0" w:line="360" w:lineRule="auto"/>
        <w:ind w:left="425"/>
        <w:rPr>
          <w:highlight w:val="none"/>
        </w:rPr>
      </w:pPr>
      <w:r>
        <w:rPr>
          <w:rFonts w:hint="eastAsia"/>
          <w:highlight w:val="none"/>
        </w:rPr>
        <w:t>7.与本投标有关的正式通讯地址为：</w:t>
      </w:r>
    </w:p>
    <w:p w14:paraId="568FBDA5">
      <w:pPr>
        <w:pStyle w:val="79"/>
        <w:widowControl w:val="0"/>
        <w:spacing w:before="0" w:beforeAutospacing="0" w:after="0" w:afterAutospacing="0" w:line="360" w:lineRule="auto"/>
        <w:ind w:left="420" w:firstLine="480"/>
        <w:rPr>
          <w:highlight w:val="none"/>
        </w:rPr>
      </w:pPr>
      <w:r>
        <w:rPr>
          <w:rFonts w:hint="eastAsia"/>
          <w:highlight w:val="none"/>
        </w:rPr>
        <w:t>地          址：</w:t>
      </w:r>
    </w:p>
    <w:p w14:paraId="48AAEBE4">
      <w:pPr>
        <w:pStyle w:val="79"/>
        <w:widowControl w:val="0"/>
        <w:spacing w:before="0" w:beforeAutospacing="0" w:after="0" w:afterAutospacing="0" w:line="360" w:lineRule="auto"/>
        <w:ind w:left="420" w:firstLine="480"/>
        <w:rPr>
          <w:highlight w:val="none"/>
        </w:rPr>
      </w:pPr>
      <w:r>
        <w:rPr>
          <w:rFonts w:hint="eastAsia"/>
          <w:highlight w:val="none"/>
        </w:rPr>
        <w:t>邮          编：</w:t>
      </w:r>
    </w:p>
    <w:p w14:paraId="26817D52">
      <w:pPr>
        <w:pStyle w:val="79"/>
        <w:widowControl w:val="0"/>
        <w:spacing w:before="0" w:beforeAutospacing="0" w:after="0" w:afterAutospacing="0" w:line="360" w:lineRule="auto"/>
        <w:ind w:left="420" w:firstLine="480"/>
        <w:rPr>
          <w:highlight w:val="none"/>
        </w:rPr>
      </w:pPr>
      <w:r>
        <w:rPr>
          <w:rFonts w:hint="eastAsia"/>
          <w:highlight w:val="none"/>
        </w:rPr>
        <w:t>电          话：</w:t>
      </w:r>
    </w:p>
    <w:p w14:paraId="6314DE39">
      <w:pPr>
        <w:pStyle w:val="79"/>
        <w:widowControl w:val="0"/>
        <w:spacing w:before="0" w:beforeAutospacing="0" w:after="0" w:afterAutospacing="0" w:line="360" w:lineRule="auto"/>
        <w:ind w:left="420" w:firstLine="480"/>
        <w:rPr>
          <w:highlight w:val="none"/>
        </w:rPr>
      </w:pPr>
      <w:r>
        <w:rPr>
          <w:rFonts w:hint="eastAsia"/>
          <w:highlight w:val="none"/>
        </w:rPr>
        <w:t>传          真：</w:t>
      </w:r>
    </w:p>
    <w:p w14:paraId="207F0C03">
      <w:pPr>
        <w:pStyle w:val="79"/>
        <w:widowControl w:val="0"/>
        <w:spacing w:before="0" w:beforeAutospacing="0" w:after="0" w:afterAutospacing="0" w:line="360" w:lineRule="auto"/>
        <w:ind w:left="420" w:firstLine="480"/>
        <w:rPr>
          <w:highlight w:val="none"/>
        </w:rPr>
      </w:pPr>
      <w:r>
        <w:rPr>
          <w:rFonts w:hint="eastAsia"/>
          <w:highlight w:val="none"/>
        </w:rPr>
        <w:t>投标人开户行：</w:t>
      </w:r>
    </w:p>
    <w:p w14:paraId="237C5C4B">
      <w:pPr>
        <w:pStyle w:val="79"/>
        <w:widowControl w:val="0"/>
        <w:spacing w:before="0" w:beforeAutospacing="0" w:after="0" w:afterAutospacing="0" w:line="360" w:lineRule="auto"/>
        <w:ind w:left="420" w:firstLine="480"/>
        <w:rPr>
          <w:highlight w:val="none"/>
        </w:rPr>
      </w:pPr>
      <w:r>
        <w:rPr>
          <w:rFonts w:hint="eastAsia"/>
          <w:highlight w:val="none"/>
        </w:rPr>
        <w:t xml:space="preserve">账          号： </w:t>
      </w:r>
    </w:p>
    <w:p w14:paraId="6AD59DF2">
      <w:pPr>
        <w:pStyle w:val="79"/>
        <w:widowControl w:val="0"/>
        <w:spacing w:before="0" w:beforeAutospacing="0" w:after="0" w:afterAutospacing="0" w:line="360" w:lineRule="auto"/>
        <w:ind w:left="420" w:firstLine="480"/>
        <w:rPr>
          <w:highlight w:val="none"/>
        </w:rPr>
      </w:pPr>
      <w:r>
        <w:rPr>
          <w:rFonts w:hint="eastAsia"/>
          <w:highlight w:val="none"/>
        </w:rPr>
        <w:t>日           期：________年____月____日</w:t>
      </w:r>
    </w:p>
    <w:p w14:paraId="2E353176">
      <w:pPr>
        <w:pStyle w:val="79"/>
        <w:widowControl w:val="0"/>
        <w:spacing w:before="0" w:beforeAutospacing="0" w:after="0" w:afterAutospacing="0" w:line="0" w:lineRule="atLeast"/>
        <w:ind w:firstLine="240"/>
        <w:jc w:val="center"/>
        <w:rPr>
          <w:highlight w:val="none"/>
        </w:rPr>
      </w:pPr>
      <w:r>
        <w:rPr>
          <w:highlight w:val="none"/>
        </w:rPr>
        <w:t> </w:t>
      </w:r>
    </w:p>
    <w:p w14:paraId="486C21F5">
      <w:pPr>
        <w:pStyle w:val="79"/>
        <w:widowControl w:val="0"/>
        <w:spacing w:before="0" w:beforeAutospacing="0" w:after="0" w:afterAutospacing="0" w:line="0" w:lineRule="atLeast"/>
        <w:ind w:firstLine="240"/>
        <w:jc w:val="center"/>
        <w:rPr>
          <w:highlight w:val="none"/>
        </w:rPr>
      </w:pPr>
      <w:r>
        <w:rPr>
          <w:highlight w:val="none"/>
        </w:rPr>
        <w:t> </w:t>
      </w:r>
    </w:p>
    <w:p w14:paraId="73AD8845">
      <w:pPr>
        <w:pStyle w:val="79"/>
        <w:widowControl w:val="0"/>
        <w:spacing w:before="0" w:beforeAutospacing="0" w:after="0" w:afterAutospacing="0" w:line="0" w:lineRule="atLeast"/>
        <w:ind w:firstLine="240"/>
        <w:jc w:val="center"/>
        <w:rPr>
          <w:highlight w:val="none"/>
        </w:rPr>
      </w:pPr>
      <w:r>
        <w:rPr>
          <w:highlight w:val="none"/>
        </w:rPr>
        <w:t> </w:t>
      </w:r>
    </w:p>
    <w:p w14:paraId="191E6714">
      <w:pPr>
        <w:pStyle w:val="79"/>
        <w:widowControl w:val="0"/>
        <w:spacing w:before="0" w:beforeAutospacing="0" w:after="0" w:afterAutospacing="0" w:line="0" w:lineRule="atLeast"/>
        <w:ind w:firstLine="240"/>
        <w:jc w:val="center"/>
        <w:rPr>
          <w:highlight w:val="none"/>
        </w:rPr>
      </w:pPr>
    </w:p>
    <w:p w14:paraId="6E722AE4">
      <w:pPr>
        <w:pStyle w:val="79"/>
        <w:widowControl w:val="0"/>
        <w:spacing w:before="0" w:beforeAutospacing="0" w:after="0" w:afterAutospacing="0" w:line="0" w:lineRule="atLeast"/>
        <w:ind w:firstLine="240"/>
        <w:jc w:val="center"/>
        <w:rPr>
          <w:highlight w:val="none"/>
        </w:rPr>
      </w:pPr>
    </w:p>
    <w:p w14:paraId="29070C31">
      <w:pPr>
        <w:pStyle w:val="79"/>
        <w:widowControl w:val="0"/>
        <w:spacing w:before="0" w:beforeAutospacing="0" w:after="0" w:afterAutospacing="0" w:line="0" w:lineRule="atLeast"/>
        <w:jc w:val="both"/>
        <w:rPr>
          <w:sz w:val="28"/>
          <w:szCs w:val="28"/>
          <w:highlight w:val="none"/>
        </w:rPr>
      </w:pPr>
      <w:r>
        <w:rPr>
          <w:sz w:val="28"/>
          <w:szCs w:val="28"/>
          <w:highlight w:val="none"/>
        </w:rPr>
        <w:t> </w:t>
      </w:r>
    </w:p>
    <w:p w14:paraId="13592627">
      <w:pPr>
        <w:spacing w:line="440" w:lineRule="exact"/>
        <w:jc w:val="center"/>
        <w:rPr>
          <w:rFonts w:cs="宋体"/>
          <w:b/>
          <w:sz w:val="28"/>
          <w:szCs w:val="28"/>
          <w:highlight w:val="none"/>
        </w:rPr>
      </w:pPr>
    </w:p>
    <w:p w14:paraId="43286CFE">
      <w:pPr>
        <w:widowControl/>
        <w:jc w:val="left"/>
        <w:rPr>
          <w:rFonts w:cs="宋体"/>
          <w:b/>
          <w:sz w:val="28"/>
          <w:szCs w:val="28"/>
          <w:highlight w:val="none"/>
        </w:rPr>
      </w:pPr>
      <w:r>
        <w:rPr>
          <w:rFonts w:cs="宋体"/>
          <w:b/>
          <w:sz w:val="28"/>
          <w:szCs w:val="28"/>
          <w:highlight w:val="none"/>
        </w:rPr>
        <w:br w:type="page" w:clear="all"/>
      </w:r>
    </w:p>
    <w:p w14:paraId="6EE93051">
      <w:pPr>
        <w:spacing w:line="440" w:lineRule="exact"/>
        <w:jc w:val="center"/>
        <w:rPr>
          <w:rFonts w:ascii="宋体" w:hAnsi="宋体"/>
          <w:b/>
          <w:bCs/>
          <w:sz w:val="32"/>
          <w:szCs w:val="32"/>
          <w:highlight w:val="none"/>
        </w:rPr>
      </w:pPr>
      <w:r>
        <w:rPr>
          <w:rFonts w:hint="eastAsia" w:cs="宋体"/>
          <w:b/>
          <w:sz w:val="28"/>
          <w:szCs w:val="28"/>
          <w:highlight w:val="none"/>
        </w:rPr>
        <w:t>九、</w:t>
      </w:r>
      <w:r>
        <w:rPr>
          <w:rFonts w:hint="eastAsia" w:ascii="宋体" w:hAnsi="宋体"/>
          <w:b/>
          <w:bCs/>
          <w:sz w:val="32"/>
          <w:szCs w:val="32"/>
          <w:highlight w:val="none"/>
        </w:rPr>
        <w:t>中小企业声明函（服务）</w:t>
      </w:r>
    </w:p>
    <w:p w14:paraId="232C7D6A">
      <w:pPr>
        <w:spacing w:line="440" w:lineRule="exact"/>
        <w:rPr>
          <w:rFonts w:ascii="宋体" w:hAnsi="宋体"/>
          <w:b/>
          <w:bCs/>
          <w:sz w:val="28"/>
          <w:szCs w:val="28"/>
          <w:highlight w:val="none"/>
        </w:rPr>
      </w:pPr>
    </w:p>
    <w:p w14:paraId="40E004F9">
      <w:pPr>
        <w:widowControl/>
        <w:spacing w:line="440" w:lineRule="exact"/>
        <w:ind w:firstLine="480"/>
        <w:jc w:val="left"/>
        <w:rPr>
          <w:rFonts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 号）的规定，本公司参加  </w:t>
      </w:r>
      <w:r>
        <w:rPr>
          <w:rFonts w:hint="eastAsia" w:ascii="宋体" w:hAnsi="宋体" w:cs="宋体"/>
          <w:sz w:val="24"/>
          <w:highlight w:val="none"/>
          <w:u w:val="single"/>
        </w:rPr>
        <w:t xml:space="preserve">（采购单位名称）  </w:t>
      </w:r>
      <w:r>
        <w:rPr>
          <w:rFonts w:hint="eastAsia" w:ascii="宋体" w:hAnsi="宋体" w:cs="宋体"/>
          <w:sz w:val="24"/>
          <w:highlight w:val="none"/>
        </w:rPr>
        <w:t xml:space="preserve">的  </w:t>
      </w:r>
      <w:r>
        <w:rPr>
          <w:rFonts w:hint="eastAsia" w:ascii="宋体" w:hAnsi="宋体" w:cs="宋体"/>
          <w:sz w:val="24"/>
          <w:highlight w:val="none"/>
          <w:u w:val="single"/>
        </w:rPr>
        <w:t xml:space="preserve">（采购项目名称）  </w:t>
      </w:r>
      <w:r>
        <w:rPr>
          <w:rFonts w:hint="eastAsia" w:ascii="宋体" w:hAnsi="宋体" w:cs="宋体"/>
          <w:sz w:val="24"/>
          <w:highlight w:val="none"/>
        </w:rPr>
        <w:t>采购活动，服务全部由符合政策要求的中小企业承接。相关企业的具体情况如下：</w:t>
      </w:r>
    </w:p>
    <w:p w14:paraId="7B99E58E">
      <w:pPr>
        <w:widowControl/>
        <w:spacing w:line="440" w:lineRule="exact"/>
        <w:ind w:firstLine="480"/>
        <w:jc w:val="left"/>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u w:val="single"/>
        </w:rPr>
        <w:t xml:space="preserve">（标的名称） </w:t>
      </w:r>
      <w:r>
        <w:rPr>
          <w:rFonts w:hint="eastAsia" w:ascii="宋体" w:hAnsi="宋体" w:cs="宋体"/>
          <w:sz w:val="24"/>
          <w:highlight w:val="none"/>
        </w:rPr>
        <w:t>，属于</w:t>
      </w:r>
      <w:r>
        <w:rPr>
          <w:rFonts w:hint="eastAsia" w:ascii="宋体" w:hAnsi="宋体" w:cs="宋体"/>
          <w:sz w:val="24"/>
          <w:highlight w:val="none"/>
          <w:u w:val="single"/>
        </w:rPr>
        <w:t>（招标文件中明确的所属行业）</w:t>
      </w:r>
      <w:r>
        <w:rPr>
          <w:rFonts w:hint="eastAsia" w:ascii="宋体" w:hAnsi="宋体" w:cs="宋体"/>
          <w:sz w:val="24"/>
          <w:highlight w:val="none"/>
        </w:rPr>
        <w:t>行业；承接企业为</w:t>
      </w:r>
      <w:r>
        <w:rPr>
          <w:rFonts w:hint="eastAsia" w:ascii="宋体" w:hAnsi="宋体" w:cs="宋体"/>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6CF8409A">
      <w:pPr>
        <w:widowControl/>
        <w:numPr>
          <w:ilvl w:val="0"/>
          <w:numId w:val="11"/>
        </w:numPr>
        <w:spacing w:line="440" w:lineRule="exact"/>
        <w:ind w:firstLine="480"/>
        <w:jc w:val="left"/>
        <w:rPr>
          <w:rFonts w:ascii="宋体" w:hAnsi="宋体" w:cs="宋体"/>
          <w:sz w:val="24"/>
          <w:highlight w:val="none"/>
        </w:rPr>
      </w:pPr>
      <w:r>
        <w:rPr>
          <w:rFonts w:hint="eastAsia" w:ascii="宋体" w:hAnsi="宋体" w:cs="宋体"/>
          <w:sz w:val="24"/>
          <w:highlight w:val="none"/>
          <w:u w:val="single"/>
        </w:rPr>
        <w:t xml:space="preserve">（标的名称） </w:t>
      </w:r>
      <w:r>
        <w:rPr>
          <w:rFonts w:hint="eastAsia" w:ascii="宋体" w:hAnsi="宋体" w:cs="宋体"/>
          <w:sz w:val="24"/>
          <w:highlight w:val="none"/>
        </w:rPr>
        <w:t>，属于</w:t>
      </w:r>
      <w:r>
        <w:rPr>
          <w:rFonts w:hint="eastAsia" w:ascii="宋体" w:hAnsi="宋体" w:cs="宋体"/>
          <w:sz w:val="24"/>
          <w:highlight w:val="none"/>
          <w:u w:val="single"/>
        </w:rPr>
        <w:t>（招标文件中明确的所属行业）</w:t>
      </w:r>
      <w:r>
        <w:rPr>
          <w:rFonts w:hint="eastAsia" w:ascii="宋体" w:hAnsi="宋体" w:cs="宋体"/>
          <w:sz w:val="24"/>
          <w:highlight w:val="none"/>
        </w:rPr>
        <w:t>行业；承接企业为</w:t>
      </w:r>
      <w:r>
        <w:rPr>
          <w:rFonts w:hint="eastAsia" w:ascii="宋体" w:hAnsi="宋体" w:cs="宋体"/>
          <w:sz w:val="24"/>
          <w:highlight w:val="none"/>
          <w:u w:val="single"/>
        </w:rPr>
        <w:t>（企业名称）</w:t>
      </w:r>
      <w:r>
        <w:rPr>
          <w:rFonts w:hint="eastAsia" w:ascii="宋体" w:hAnsi="宋体" w:cs="宋体"/>
          <w:sz w:val="24"/>
          <w:highlight w:val="none"/>
        </w:rPr>
        <w:t>，从业人员</w:t>
      </w:r>
      <w:r>
        <w:rPr>
          <w:rFonts w:hint="eastAsia" w:ascii="宋体" w:hAnsi="宋体" w:cs="宋体"/>
          <w:sz w:val="24"/>
          <w:highlight w:val="none"/>
          <w:u w:val="single"/>
        </w:rPr>
        <w:t xml:space="preserve">        </w:t>
      </w:r>
      <w:r>
        <w:rPr>
          <w:rFonts w:hint="eastAsia" w:ascii="宋体" w:hAnsi="宋体" w:cs="宋体"/>
          <w:sz w:val="24"/>
          <w:highlight w:val="none"/>
        </w:rPr>
        <w:t>人，营业收入为</w:t>
      </w:r>
      <w:r>
        <w:rPr>
          <w:rFonts w:hint="eastAsia" w:ascii="宋体" w:hAnsi="宋体" w:cs="宋体"/>
          <w:sz w:val="24"/>
          <w:highlight w:val="none"/>
          <w:u w:val="single"/>
        </w:rPr>
        <w:t xml:space="preserve">        </w:t>
      </w:r>
      <w:r>
        <w:rPr>
          <w:rFonts w:hint="eastAsia" w:ascii="宋体" w:hAnsi="宋体" w:cs="宋体"/>
          <w:sz w:val="24"/>
          <w:highlight w:val="none"/>
        </w:rPr>
        <w:t>万元，资产总额为</w:t>
      </w:r>
      <w:r>
        <w:rPr>
          <w:rFonts w:hint="eastAsia" w:ascii="宋体" w:hAnsi="宋体" w:cs="宋体"/>
          <w:sz w:val="24"/>
          <w:highlight w:val="none"/>
          <w:u w:val="single"/>
        </w:rPr>
        <w:t xml:space="preserve">        </w:t>
      </w:r>
      <w:r>
        <w:rPr>
          <w:rFonts w:hint="eastAsia" w:ascii="宋体" w:hAnsi="宋体" w:cs="宋体"/>
          <w:sz w:val="24"/>
          <w:highlight w:val="none"/>
        </w:rPr>
        <w:t>万元，属于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14:paraId="557E2282">
      <w:pPr>
        <w:widowControl/>
        <w:spacing w:line="440" w:lineRule="exact"/>
        <w:ind w:firstLine="480"/>
        <w:jc w:val="left"/>
        <w:rPr>
          <w:rFonts w:ascii="宋体" w:hAnsi="宋体" w:cs="宋体"/>
          <w:sz w:val="24"/>
          <w:highlight w:val="none"/>
        </w:rPr>
      </w:pPr>
      <w:r>
        <w:rPr>
          <w:rFonts w:hint="eastAsia" w:ascii="宋体" w:hAnsi="宋体" w:cs="宋体"/>
          <w:sz w:val="24"/>
          <w:highlight w:val="none"/>
        </w:rPr>
        <w:t>……</w:t>
      </w:r>
    </w:p>
    <w:p w14:paraId="6223C486">
      <w:pPr>
        <w:widowControl/>
        <w:spacing w:line="440" w:lineRule="exact"/>
        <w:ind w:firstLine="480"/>
        <w:jc w:val="left"/>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14:paraId="35D6B041">
      <w:pPr>
        <w:widowControl/>
        <w:spacing w:line="440" w:lineRule="exact"/>
        <w:ind w:firstLine="480"/>
        <w:jc w:val="left"/>
        <w:rPr>
          <w:rFonts w:ascii="宋体" w:hAnsi="宋体" w:cs="宋体"/>
          <w:sz w:val="24"/>
          <w:highlight w:val="none"/>
        </w:rPr>
      </w:pPr>
      <w:r>
        <w:rPr>
          <w:rFonts w:hint="eastAsia" w:ascii="宋体" w:hAnsi="宋体" w:cs="宋体"/>
          <w:sz w:val="24"/>
          <w:highlight w:val="none"/>
        </w:rPr>
        <w:t>本企业对上述声明内容的真实性负责。如有虚假，将依法承担相应责任。</w:t>
      </w:r>
    </w:p>
    <w:p w14:paraId="3B788942">
      <w:pPr>
        <w:widowControl/>
        <w:spacing w:line="440" w:lineRule="exact"/>
        <w:ind w:firstLine="4080"/>
        <w:jc w:val="left"/>
        <w:rPr>
          <w:rFonts w:ascii="宋体" w:hAnsi="宋体" w:cs="宋体"/>
          <w:sz w:val="24"/>
          <w:highlight w:val="none"/>
        </w:rPr>
      </w:pPr>
    </w:p>
    <w:p w14:paraId="2D7125D5">
      <w:pPr>
        <w:widowControl/>
        <w:spacing w:line="440" w:lineRule="exact"/>
        <w:ind w:firstLine="4080"/>
        <w:jc w:val="left"/>
        <w:rPr>
          <w:rFonts w:ascii="宋体" w:hAnsi="宋体" w:cs="宋体"/>
          <w:sz w:val="24"/>
          <w:highlight w:val="none"/>
        </w:rPr>
      </w:pPr>
    </w:p>
    <w:p w14:paraId="1CEB6E9C">
      <w:pPr>
        <w:widowControl/>
        <w:spacing w:line="440" w:lineRule="exact"/>
        <w:ind w:firstLine="4080"/>
        <w:jc w:val="left"/>
        <w:rPr>
          <w:rFonts w:ascii="宋体" w:hAnsi="宋体" w:cs="宋体"/>
          <w:sz w:val="24"/>
          <w:highlight w:val="none"/>
        </w:rPr>
      </w:pPr>
      <w:r>
        <w:rPr>
          <w:rFonts w:hint="eastAsia" w:ascii="宋体" w:hAnsi="宋体" w:cs="宋体"/>
          <w:sz w:val="24"/>
          <w:highlight w:val="none"/>
        </w:rPr>
        <w:t>企业名称（盖章）：</w:t>
      </w:r>
    </w:p>
    <w:p w14:paraId="170F61B1">
      <w:pPr>
        <w:widowControl/>
        <w:spacing w:line="440" w:lineRule="exact"/>
        <w:ind w:firstLine="4080"/>
        <w:jc w:val="left"/>
        <w:rPr>
          <w:rFonts w:ascii="宋体" w:hAnsi="宋体" w:cs="宋体"/>
          <w:sz w:val="24"/>
          <w:highlight w:val="none"/>
        </w:rPr>
      </w:pPr>
    </w:p>
    <w:p w14:paraId="0F6EF221">
      <w:pPr>
        <w:widowControl/>
        <w:spacing w:line="440" w:lineRule="exact"/>
        <w:ind w:firstLine="4080"/>
        <w:jc w:val="left"/>
        <w:rPr>
          <w:rFonts w:ascii="宋体" w:hAnsi="宋体" w:cs="宋体"/>
          <w:sz w:val="24"/>
          <w:highlight w:val="none"/>
        </w:rPr>
      </w:pPr>
      <w:r>
        <w:rPr>
          <w:rFonts w:hint="eastAsia" w:ascii="宋体" w:hAnsi="宋体" w:cs="宋体"/>
          <w:sz w:val="24"/>
          <w:highlight w:val="none"/>
        </w:rPr>
        <w:t>日期：</w:t>
      </w:r>
    </w:p>
    <w:p w14:paraId="42CA6FBD">
      <w:pPr>
        <w:spacing w:line="440" w:lineRule="exact"/>
        <w:jc w:val="center"/>
        <w:rPr>
          <w:rFonts w:ascii="宋体" w:hAnsi="宋体"/>
          <w:b/>
          <w:bCs/>
          <w:sz w:val="24"/>
          <w:highlight w:val="none"/>
        </w:rPr>
      </w:pPr>
    </w:p>
    <w:p w14:paraId="4296D3E7">
      <w:pPr>
        <w:spacing w:line="440" w:lineRule="exact"/>
        <w:jc w:val="center"/>
        <w:rPr>
          <w:rFonts w:ascii="宋体" w:hAnsi="宋体"/>
          <w:b/>
          <w:bCs/>
          <w:sz w:val="24"/>
          <w:highlight w:val="none"/>
        </w:rPr>
      </w:pPr>
    </w:p>
    <w:p w14:paraId="35A51A93">
      <w:pPr>
        <w:spacing w:line="420" w:lineRule="exact"/>
        <w:jc w:val="left"/>
        <w:rPr>
          <w:rFonts w:ascii="宋体" w:hAnsi="宋体"/>
          <w:b/>
          <w:bCs/>
          <w:sz w:val="24"/>
          <w:highlight w:val="none"/>
        </w:rPr>
      </w:pPr>
      <w:r>
        <w:rPr>
          <w:rFonts w:hint="eastAsia" w:ascii="宋体" w:hAnsi="宋体"/>
          <w:b/>
          <w:bCs/>
          <w:sz w:val="24"/>
          <w:highlight w:val="none"/>
        </w:rPr>
        <w:t>注：1、从业人员、营业收入、资产总额填报上一年度数据，无上一年度数据的新成立企业可不填报。</w:t>
      </w:r>
    </w:p>
    <w:p w14:paraId="278A6DED">
      <w:pPr>
        <w:pStyle w:val="35"/>
        <w:spacing w:line="420" w:lineRule="exact"/>
        <w:ind w:firstLine="482"/>
        <w:rPr>
          <w:rFonts w:ascii="宋体" w:hAnsi="宋体" w:eastAsia="宋体"/>
          <w:b/>
          <w:bCs/>
          <w:sz w:val="24"/>
          <w:szCs w:val="24"/>
          <w:highlight w:val="none"/>
        </w:rPr>
      </w:pPr>
      <w:r>
        <w:rPr>
          <w:rFonts w:hint="eastAsia" w:ascii="宋体" w:hAnsi="宋体" w:eastAsia="宋体"/>
          <w:b/>
          <w:bCs/>
          <w:sz w:val="24"/>
          <w:szCs w:val="24"/>
          <w:highlight w:val="none"/>
        </w:rPr>
        <w:t>2、所属行业，投标人根据《工业和信息化部、国家统计局、国家发展和改革委员会、财政部关于印发中小企业划型标准规定的通知》（工信部联企业【2011】300号）规定的划分标准填写。</w:t>
      </w:r>
    </w:p>
    <w:p w14:paraId="14209DEB">
      <w:pPr>
        <w:spacing w:line="560" w:lineRule="exact"/>
        <w:ind w:firstLine="2036"/>
        <w:rPr>
          <w:rFonts w:ascii="宋体" w:hAnsi="宋体" w:cs="宋体"/>
          <w:b/>
          <w:sz w:val="24"/>
          <w:highlight w:val="none"/>
        </w:rPr>
      </w:pPr>
    </w:p>
    <w:p w14:paraId="573A6710">
      <w:pPr>
        <w:spacing w:line="560" w:lineRule="exact"/>
        <w:ind w:firstLine="2036"/>
        <w:rPr>
          <w:rFonts w:ascii="宋体" w:hAnsi="宋体" w:cs="宋体"/>
          <w:b/>
          <w:sz w:val="24"/>
          <w:highlight w:val="none"/>
        </w:rPr>
      </w:pPr>
    </w:p>
    <w:p w14:paraId="059AFA60">
      <w:pPr>
        <w:spacing w:line="560" w:lineRule="exact"/>
        <w:rPr>
          <w:rFonts w:ascii="宋体" w:hAnsi="宋体" w:cs="宋体"/>
          <w:b/>
          <w:sz w:val="24"/>
          <w:highlight w:val="none"/>
        </w:rPr>
      </w:pPr>
    </w:p>
    <w:p w14:paraId="34362D80">
      <w:pPr>
        <w:widowControl/>
        <w:jc w:val="left"/>
        <w:rPr>
          <w:rFonts w:ascii="宋体" w:hAnsi="宋体" w:cs="宋体"/>
          <w:b/>
          <w:sz w:val="28"/>
          <w:szCs w:val="28"/>
          <w:highlight w:val="none"/>
        </w:rPr>
      </w:pPr>
      <w:r>
        <w:rPr>
          <w:b/>
          <w:sz w:val="28"/>
          <w:szCs w:val="28"/>
          <w:highlight w:val="none"/>
        </w:rPr>
        <w:br w:type="page" w:clear="all"/>
      </w:r>
    </w:p>
    <w:p w14:paraId="4BD564BB">
      <w:pPr>
        <w:pStyle w:val="79"/>
        <w:widowControl w:val="0"/>
        <w:spacing w:before="0" w:beforeAutospacing="0" w:after="0" w:afterAutospacing="0" w:line="0" w:lineRule="atLeast"/>
        <w:jc w:val="center"/>
        <w:rPr>
          <w:sz w:val="28"/>
          <w:szCs w:val="28"/>
          <w:highlight w:val="none"/>
        </w:rPr>
      </w:pPr>
      <w:r>
        <w:rPr>
          <w:rFonts w:hint="eastAsia"/>
          <w:b/>
          <w:sz w:val="28"/>
          <w:szCs w:val="28"/>
          <w:highlight w:val="none"/>
        </w:rPr>
        <w:t>残疾人福利性单位声明函</w:t>
      </w:r>
    </w:p>
    <w:p w14:paraId="349C6090">
      <w:pPr>
        <w:pStyle w:val="79"/>
        <w:widowControl w:val="0"/>
        <w:spacing w:before="0" w:beforeAutospacing="0" w:after="0" w:afterAutospacing="0" w:line="360" w:lineRule="auto"/>
        <w:ind w:firstLine="480"/>
        <w:jc w:val="both"/>
        <w:rPr>
          <w:highlight w:val="none"/>
        </w:rPr>
      </w:pPr>
    </w:p>
    <w:p w14:paraId="325B110F">
      <w:pPr>
        <w:pStyle w:val="79"/>
        <w:widowControl w:val="0"/>
        <w:spacing w:before="0" w:beforeAutospacing="0" w:after="0" w:afterAutospacing="0" w:line="360" w:lineRule="auto"/>
        <w:ind w:firstLine="480"/>
        <w:jc w:val="both"/>
        <w:rPr>
          <w:highlight w:val="none"/>
        </w:rPr>
      </w:pPr>
      <w:r>
        <w:rPr>
          <w:rFonts w:hint="eastAsia"/>
          <w:highlight w:val="none"/>
        </w:rPr>
        <w:t xml:space="preserve">本单位郑重声明，根据《财政部 民政部 中国残疾人联合会关于促进残疾人就业政府采购政策的通知》（财库〔2017〕 141号）的规定，本单位为符合条件的残疾人福利性单位，且本公司 </w:t>
      </w:r>
      <w:r>
        <w:rPr>
          <w:rFonts w:hint="eastAsia"/>
          <w:highlight w:val="none"/>
          <w:u w:val="single"/>
        </w:rPr>
        <w:t xml:space="preserve">          </w:t>
      </w:r>
      <w:r>
        <w:rPr>
          <w:rFonts w:hint="eastAsia"/>
          <w:highlight w:val="none"/>
        </w:rPr>
        <w:t>参加</w:t>
      </w:r>
      <w:r>
        <w:rPr>
          <w:rFonts w:hint="eastAsia"/>
          <w:highlight w:val="none"/>
          <w:u w:val="single"/>
        </w:rPr>
        <w:t>（单位名称）</w:t>
      </w:r>
      <w:r>
        <w:rPr>
          <w:rFonts w:hint="eastAsia"/>
          <w:highlight w:val="none"/>
        </w:rPr>
        <w:t>的</w:t>
      </w:r>
      <w:r>
        <w:rPr>
          <w:rFonts w:hint="eastAsia"/>
          <w:highlight w:val="none"/>
          <w:u w:val="single"/>
        </w:rPr>
        <w:t>（项目名称）</w:t>
      </w:r>
      <w:r>
        <w:rPr>
          <w:rFonts w:hint="eastAsia"/>
          <w:highlight w:val="none"/>
        </w:rPr>
        <w:t>采购活动提供本单位服务。</w:t>
      </w:r>
    </w:p>
    <w:p w14:paraId="1EBE309B">
      <w:pPr>
        <w:pStyle w:val="79"/>
        <w:widowControl w:val="0"/>
        <w:spacing w:before="0" w:beforeAutospacing="0" w:after="0" w:afterAutospacing="0" w:line="360" w:lineRule="auto"/>
        <w:ind w:firstLine="480"/>
        <w:jc w:val="both"/>
        <w:rPr>
          <w:highlight w:val="none"/>
        </w:rPr>
      </w:pPr>
      <w:r>
        <w:rPr>
          <w:rFonts w:hint="eastAsia"/>
          <w:highlight w:val="none"/>
        </w:rPr>
        <w:t>本单位对上述声明的真实性负责。如有虚假，将依法承担相应责任。</w:t>
      </w:r>
    </w:p>
    <w:p w14:paraId="0E154B19">
      <w:pPr>
        <w:pStyle w:val="79"/>
        <w:widowControl w:val="0"/>
        <w:spacing w:before="0" w:beforeAutospacing="0" w:after="0" w:afterAutospacing="0" w:line="360" w:lineRule="auto"/>
        <w:ind w:firstLine="480"/>
        <w:jc w:val="both"/>
        <w:rPr>
          <w:highlight w:val="none"/>
        </w:rPr>
      </w:pPr>
      <w:r>
        <w:rPr>
          <w:highlight w:val="none"/>
        </w:rPr>
        <w:t> </w:t>
      </w:r>
    </w:p>
    <w:p w14:paraId="29220090">
      <w:pPr>
        <w:pStyle w:val="79"/>
        <w:widowControl w:val="0"/>
        <w:spacing w:before="0" w:beforeAutospacing="0" w:after="0" w:afterAutospacing="0" w:line="360" w:lineRule="auto"/>
        <w:ind w:firstLine="480"/>
        <w:jc w:val="both"/>
        <w:rPr>
          <w:highlight w:val="none"/>
        </w:rPr>
      </w:pPr>
      <w:r>
        <w:rPr>
          <w:rFonts w:hint="eastAsia"/>
          <w:highlight w:val="none"/>
        </w:rPr>
        <w:t>注：1、供应商如不提供此声明函，价格将不做相应扣除。</w:t>
      </w:r>
    </w:p>
    <w:p w14:paraId="72564931">
      <w:pPr>
        <w:pStyle w:val="79"/>
        <w:widowControl w:val="0"/>
        <w:spacing w:before="0" w:beforeAutospacing="0" w:after="0" w:afterAutospacing="0" w:line="360" w:lineRule="auto"/>
        <w:ind w:firstLine="480"/>
        <w:jc w:val="both"/>
        <w:rPr>
          <w:highlight w:val="none"/>
        </w:rPr>
      </w:pPr>
      <w:r>
        <w:rPr>
          <w:rFonts w:hint="eastAsia"/>
          <w:highlight w:val="none"/>
        </w:rPr>
        <w:t>2、成交供应商为残疾人福利单位的，此声明函将随成交结果同时公告，接受社会监督）</w:t>
      </w:r>
    </w:p>
    <w:p w14:paraId="3C6921DE">
      <w:pPr>
        <w:pStyle w:val="79"/>
        <w:widowControl w:val="0"/>
        <w:spacing w:before="0" w:beforeAutospacing="0" w:after="0" w:afterAutospacing="0" w:line="360" w:lineRule="auto"/>
        <w:ind w:firstLine="624"/>
        <w:jc w:val="both"/>
        <w:rPr>
          <w:highlight w:val="none"/>
        </w:rPr>
      </w:pPr>
      <w:r>
        <w:rPr>
          <w:highlight w:val="none"/>
        </w:rPr>
        <w:t> </w:t>
      </w:r>
    </w:p>
    <w:p w14:paraId="7F623DD9">
      <w:pPr>
        <w:pStyle w:val="79"/>
        <w:widowControl w:val="0"/>
        <w:tabs>
          <w:tab w:val="left" w:pos="4864"/>
        </w:tabs>
        <w:spacing w:before="0" w:beforeAutospacing="0" w:after="0" w:afterAutospacing="0" w:line="360" w:lineRule="auto"/>
        <w:ind w:right="1560" w:firstLine="624"/>
        <w:jc w:val="center"/>
        <w:rPr>
          <w:highlight w:val="none"/>
        </w:rPr>
      </w:pPr>
      <w:r>
        <w:rPr>
          <w:rFonts w:ascii="仿宋_GB2312" w:eastAsia="仿宋_GB2312" w:cs="仿宋_GB2312"/>
          <w:highlight w:val="none"/>
        </w:rPr>
        <w:t>            </w:t>
      </w:r>
      <w:r>
        <w:rPr>
          <w:rFonts w:hint="eastAsia" w:ascii="仿宋_GB2312" w:eastAsia="仿宋_GB2312" w:cs="仿宋_GB2312"/>
          <w:highlight w:val="none"/>
        </w:rPr>
        <w:t xml:space="preserve"> </w:t>
      </w:r>
      <w:r>
        <w:rPr>
          <w:rFonts w:hint="eastAsia"/>
          <w:highlight w:val="none"/>
        </w:rPr>
        <w:t xml:space="preserve">        供应商全称（加盖CA电子公章）：</w:t>
      </w:r>
    </w:p>
    <w:p w14:paraId="71035AEE">
      <w:pPr>
        <w:pStyle w:val="79"/>
        <w:widowControl w:val="0"/>
        <w:tabs>
          <w:tab w:val="left" w:pos="4864"/>
        </w:tabs>
        <w:spacing w:before="0" w:beforeAutospacing="0" w:after="0" w:afterAutospacing="0" w:line="360" w:lineRule="auto"/>
        <w:ind w:right="1560" w:firstLine="480"/>
        <w:jc w:val="center"/>
        <w:rPr>
          <w:highlight w:val="none"/>
        </w:rPr>
      </w:pPr>
      <w:r>
        <w:rPr>
          <w:rFonts w:hint="eastAsia"/>
          <w:highlight w:val="none"/>
        </w:rPr>
        <w:t>        日  期：</w:t>
      </w:r>
    </w:p>
    <w:p w14:paraId="6607C044">
      <w:pPr>
        <w:pStyle w:val="79"/>
        <w:widowControl w:val="0"/>
        <w:spacing w:before="0" w:beforeAutospacing="0" w:after="0" w:afterAutospacing="0" w:line="0" w:lineRule="atLeast"/>
        <w:jc w:val="center"/>
        <w:rPr>
          <w:highlight w:val="none"/>
        </w:rPr>
      </w:pPr>
      <w:r>
        <w:rPr>
          <w:highlight w:val="none"/>
        </w:rPr>
        <w:t> </w:t>
      </w:r>
    </w:p>
    <w:p w14:paraId="6CCD91E5">
      <w:pPr>
        <w:pStyle w:val="79"/>
        <w:widowControl w:val="0"/>
        <w:spacing w:before="0" w:beforeAutospacing="0" w:after="0" w:afterAutospacing="0" w:line="0" w:lineRule="atLeast"/>
        <w:jc w:val="center"/>
        <w:rPr>
          <w:highlight w:val="none"/>
        </w:rPr>
      </w:pPr>
      <w:r>
        <w:rPr>
          <w:highlight w:val="none"/>
        </w:rPr>
        <w:t> </w:t>
      </w:r>
    </w:p>
    <w:p w14:paraId="56FF8CB9">
      <w:pPr>
        <w:pStyle w:val="79"/>
        <w:widowControl w:val="0"/>
        <w:spacing w:before="0" w:beforeAutospacing="0" w:after="0" w:afterAutospacing="0" w:line="0" w:lineRule="atLeast"/>
        <w:jc w:val="center"/>
        <w:rPr>
          <w:highlight w:val="none"/>
        </w:rPr>
      </w:pPr>
      <w:r>
        <w:rPr>
          <w:highlight w:val="none"/>
        </w:rPr>
        <w:t> </w:t>
      </w:r>
    </w:p>
    <w:p w14:paraId="63EFA731">
      <w:pPr>
        <w:pStyle w:val="79"/>
        <w:widowControl w:val="0"/>
        <w:spacing w:before="0" w:beforeAutospacing="0" w:after="0" w:afterAutospacing="0" w:line="0" w:lineRule="atLeast"/>
        <w:jc w:val="center"/>
        <w:rPr>
          <w:highlight w:val="none"/>
        </w:rPr>
      </w:pPr>
      <w:r>
        <w:rPr>
          <w:highlight w:val="none"/>
        </w:rPr>
        <w:t> </w:t>
      </w:r>
    </w:p>
    <w:p w14:paraId="7815A79F">
      <w:pPr>
        <w:pStyle w:val="79"/>
        <w:widowControl w:val="0"/>
        <w:spacing w:before="0" w:beforeAutospacing="0" w:after="0" w:afterAutospacing="0" w:line="0" w:lineRule="atLeast"/>
        <w:jc w:val="center"/>
        <w:rPr>
          <w:highlight w:val="none"/>
        </w:rPr>
      </w:pPr>
      <w:r>
        <w:rPr>
          <w:highlight w:val="none"/>
        </w:rPr>
        <w:t> </w:t>
      </w:r>
    </w:p>
    <w:p w14:paraId="2DDB67A8">
      <w:pPr>
        <w:pStyle w:val="79"/>
        <w:widowControl w:val="0"/>
        <w:spacing w:before="0" w:beforeAutospacing="0" w:after="0" w:afterAutospacing="0" w:line="0" w:lineRule="atLeast"/>
        <w:jc w:val="center"/>
        <w:rPr>
          <w:highlight w:val="none"/>
        </w:rPr>
      </w:pPr>
      <w:r>
        <w:rPr>
          <w:highlight w:val="none"/>
        </w:rPr>
        <w:t> </w:t>
      </w:r>
    </w:p>
    <w:p w14:paraId="1E27EB29">
      <w:pPr>
        <w:pStyle w:val="79"/>
        <w:widowControl w:val="0"/>
        <w:spacing w:before="0" w:beforeAutospacing="0" w:after="0" w:afterAutospacing="0" w:line="0" w:lineRule="atLeast"/>
        <w:jc w:val="center"/>
        <w:rPr>
          <w:highlight w:val="none"/>
        </w:rPr>
      </w:pPr>
      <w:r>
        <w:rPr>
          <w:highlight w:val="none"/>
        </w:rPr>
        <w:t> </w:t>
      </w:r>
    </w:p>
    <w:p w14:paraId="3B41A3A4">
      <w:pPr>
        <w:pStyle w:val="79"/>
        <w:widowControl w:val="0"/>
        <w:spacing w:before="0" w:beforeAutospacing="0" w:after="0" w:afterAutospacing="0" w:line="0" w:lineRule="atLeast"/>
        <w:jc w:val="center"/>
        <w:rPr>
          <w:highlight w:val="none"/>
        </w:rPr>
      </w:pPr>
      <w:r>
        <w:rPr>
          <w:highlight w:val="none"/>
        </w:rPr>
        <w:t> </w:t>
      </w:r>
    </w:p>
    <w:p w14:paraId="53154E69">
      <w:pPr>
        <w:pStyle w:val="79"/>
        <w:widowControl w:val="0"/>
        <w:spacing w:before="0" w:beforeAutospacing="0" w:after="0" w:afterAutospacing="0" w:line="0" w:lineRule="atLeast"/>
        <w:jc w:val="center"/>
        <w:rPr>
          <w:highlight w:val="none"/>
        </w:rPr>
      </w:pPr>
      <w:r>
        <w:rPr>
          <w:highlight w:val="none"/>
        </w:rPr>
        <w:t> </w:t>
      </w:r>
    </w:p>
    <w:p w14:paraId="624C7FB3">
      <w:pPr>
        <w:pStyle w:val="79"/>
        <w:widowControl w:val="0"/>
        <w:spacing w:before="0" w:beforeAutospacing="0" w:after="0" w:afterAutospacing="0" w:line="0" w:lineRule="atLeast"/>
        <w:jc w:val="center"/>
        <w:rPr>
          <w:highlight w:val="none"/>
        </w:rPr>
      </w:pPr>
      <w:r>
        <w:rPr>
          <w:highlight w:val="none"/>
        </w:rPr>
        <w:t> </w:t>
      </w:r>
    </w:p>
    <w:p w14:paraId="48F524FA">
      <w:pPr>
        <w:pStyle w:val="79"/>
        <w:widowControl w:val="0"/>
        <w:spacing w:before="0" w:beforeAutospacing="0" w:after="0" w:afterAutospacing="0" w:line="0" w:lineRule="atLeast"/>
        <w:jc w:val="both"/>
        <w:rPr>
          <w:highlight w:val="none"/>
        </w:rPr>
      </w:pPr>
      <w:r>
        <w:rPr>
          <w:highlight w:val="none"/>
        </w:rPr>
        <w:t> </w:t>
      </w:r>
    </w:p>
    <w:p w14:paraId="6901AFF1">
      <w:pPr>
        <w:pStyle w:val="79"/>
        <w:widowControl w:val="0"/>
        <w:spacing w:before="0" w:beforeAutospacing="0" w:after="0" w:afterAutospacing="0" w:line="0" w:lineRule="atLeast"/>
        <w:jc w:val="both"/>
        <w:rPr>
          <w:highlight w:val="none"/>
        </w:rPr>
      </w:pPr>
      <w:r>
        <w:rPr>
          <w:highlight w:val="none"/>
        </w:rPr>
        <w:t> </w:t>
      </w:r>
    </w:p>
    <w:p w14:paraId="74364B9C">
      <w:pPr>
        <w:pStyle w:val="79"/>
        <w:widowControl w:val="0"/>
        <w:spacing w:before="0" w:beforeAutospacing="0" w:after="0" w:afterAutospacing="0" w:line="0" w:lineRule="atLeast"/>
        <w:jc w:val="both"/>
        <w:rPr>
          <w:highlight w:val="none"/>
        </w:rPr>
      </w:pPr>
      <w:r>
        <w:rPr>
          <w:highlight w:val="none"/>
        </w:rPr>
        <w:t> </w:t>
      </w:r>
    </w:p>
    <w:p w14:paraId="2AC30CAF">
      <w:pPr>
        <w:pStyle w:val="79"/>
        <w:widowControl w:val="0"/>
        <w:spacing w:before="0" w:beforeAutospacing="0" w:after="0" w:afterAutospacing="0" w:line="0" w:lineRule="atLeast"/>
        <w:jc w:val="both"/>
        <w:rPr>
          <w:highlight w:val="none"/>
        </w:rPr>
      </w:pPr>
    </w:p>
    <w:p w14:paraId="76858CFC">
      <w:pPr>
        <w:pStyle w:val="79"/>
        <w:widowControl w:val="0"/>
        <w:spacing w:before="0" w:beforeAutospacing="0" w:after="0" w:afterAutospacing="0" w:line="0" w:lineRule="atLeast"/>
        <w:jc w:val="both"/>
        <w:rPr>
          <w:highlight w:val="none"/>
        </w:rPr>
      </w:pPr>
    </w:p>
    <w:p w14:paraId="2AD32BC8">
      <w:pPr>
        <w:pStyle w:val="79"/>
        <w:widowControl w:val="0"/>
        <w:spacing w:before="0" w:beforeAutospacing="0" w:after="0" w:afterAutospacing="0" w:line="0" w:lineRule="atLeast"/>
        <w:jc w:val="both"/>
        <w:rPr>
          <w:highlight w:val="none"/>
        </w:rPr>
      </w:pPr>
    </w:p>
    <w:p w14:paraId="7579E25F">
      <w:pPr>
        <w:pStyle w:val="79"/>
        <w:widowControl w:val="0"/>
        <w:spacing w:before="0" w:beforeAutospacing="0" w:after="0" w:afterAutospacing="0" w:line="0" w:lineRule="atLeast"/>
        <w:jc w:val="both"/>
        <w:rPr>
          <w:highlight w:val="none"/>
        </w:rPr>
      </w:pPr>
      <w:r>
        <w:rPr>
          <w:highlight w:val="none"/>
        </w:rPr>
        <w:t> </w:t>
      </w:r>
    </w:p>
    <w:p w14:paraId="65FFC546">
      <w:pPr>
        <w:pStyle w:val="79"/>
        <w:widowControl w:val="0"/>
        <w:spacing w:before="0" w:beforeAutospacing="0" w:after="0" w:afterAutospacing="0" w:line="0" w:lineRule="atLeast"/>
        <w:jc w:val="both"/>
        <w:rPr>
          <w:highlight w:val="none"/>
        </w:rPr>
      </w:pPr>
      <w:r>
        <w:rPr>
          <w:highlight w:val="none"/>
        </w:rPr>
        <w:t> </w:t>
      </w:r>
    </w:p>
    <w:p w14:paraId="77FC31FC">
      <w:pPr>
        <w:pStyle w:val="79"/>
        <w:widowControl w:val="0"/>
        <w:spacing w:before="0" w:beforeAutospacing="0" w:after="0" w:afterAutospacing="0" w:line="0" w:lineRule="atLeast"/>
        <w:jc w:val="both"/>
        <w:rPr>
          <w:highlight w:val="none"/>
        </w:rPr>
      </w:pPr>
      <w:r>
        <w:rPr>
          <w:highlight w:val="none"/>
        </w:rPr>
        <w:t> </w:t>
      </w:r>
    </w:p>
    <w:p w14:paraId="7864BC0D">
      <w:pPr>
        <w:pStyle w:val="79"/>
        <w:widowControl w:val="0"/>
        <w:spacing w:before="0" w:beforeAutospacing="0" w:after="0" w:afterAutospacing="0"/>
        <w:jc w:val="both"/>
        <w:rPr>
          <w:highlight w:val="none"/>
        </w:rPr>
      </w:pPr>
      <w:r>
        <w:rPr>
          <w:highlight w:val="none"/>
        </w:rPr>
        <w:t> </w:t>
      </w:r>
    </w:p>
    <w:p w14:paraId="34008188">
      <w:pPr>
        <w:pStyle w:val="79"/>
        <w:widowControl w:val="0"/>
        <w:spacing w:before="0" w:beforeAutospacing="0" w:after="0" w:afterAutospacing="0" w:line="0" w:lineRule="atLeast"/>
        <w:jc w:val="center"/>
        <w:rPr>
          <w:b/>
          <w:sz w:val="32"/>
          <w:szCs w:val="32"/>
          <w:highlight w:val="none"/>
        </w:rPr>
      </w:pPr>
    </w:p>
    <w:p w14:paraId="38917588">
      <w:pPr>
        <w:pStyle w:val="79"/>
        <w:widowControl w:val="0"/>
        <w:spacing w:before="0" w:beforeAutospacing="0" w:after="0" w:afterAutospacing="0" w:line="0" w:lineRule="atLeast"/>
        <w:jc w:val="center"/>
        <w:rPr>
          <w:b/>
          <w:sz w:val="32"/>
          <w:szCs w:val="32"/>
          <w:highlight w:val="none"/>
        </w:rPr>
      </w:pPr>
    </w:p>
    <w:p w14:paraId="2ABAC3A2">
      <w:pPr>
        <w:pStyle w:val="79"/>
        <w:widowControl w:val="0"/>
        <w:spacing w:before="0" w:beforeAutospacing="0" w:after="0" w:afterAutospacing="0" w:line="0" w:lineRule="atLeast"/>
        <w:jc w:val="center"/>
        <w:rPr>
          <w:b/>
          <w:sz w:val="32"/>
          <w:szCs w:val="32"/>
          <w:highlight w:val="none"/>
        </w:rPr>
      </w:pPr>
    </w:p>
    <w:p w14:paraId="46C718C3">
      <w:pPr>
        <w:pStyle w:val="79"/>
        <w:spacing w:beforeAutospacing="0" w:afterAutospacing="0" w:line="0" w:lineRule="atLeast"/>
        <w:jc w:val="center"/>
        <w:rPr>
          <w:highlight w:val="none"/>
        </w:rPr>
      </w:pPr>
      <w:r>
        <w:rPr>
          <w:b/>
          <w:sz w:val="28"/>
          <w:szCs w:val="28"/>
          <w:highlight w:val="none"/>
        </w:rPr>
        <w:br w:type="page" w:clear="all"/>
      </w:r>
      <w:r>
        <w:rPr>
          <w:rFonts w:hint="eastAsia" w:ascii="黑体" w:eastAsia="黑体" w:cs="黑体"/>
          <w:b/>
          <w:sz w:val="32"/>
          <w:szCs w:val="32"/>
          <w:highlight w:val="none"/>
        </w:rPr>
        <w:t>十、联合体协议（参考格式）</w:t>
      </w:r>
    </w:p>
    <w:p w14:paraId="1B28696B">
      <w:pPr>
        <w:spacing w:line="0" w:lineRule="atLeast"/>
        <w:rPr>
          <w:sz w:val="24"/>
          <w:highlight w:val="none"/>
        </w:rPr>
      </w:pPr>
      <w:r>
        <w:rPr>
          <w:rFonts w:hint="eastAsia" w:ascii="宋体" w:hAnsi="宋体" w:cs="宋体"/>
          <w:sz w:val="24"/>
          <w:highlight w:val="none"/>
        </w:rPr>
        <w:t>（联合体中各供应商全称）在此达成以下协议：</w:t>
      </w:r>
    </w:p>
    <w:p w14:paraId="79FF505B">
      <w:pPr>
        <w:spacing w:line="0" w:lineRule="atLeast"/>
        <w:ind w:firstLine="645"/>
        <w:rPr>
          <w:sz w:val="24"/>
          <w:highlight w:val="none"/>
        </w:rPr>
      </w:pPr>
      <w:r>
        <w:rPr>
          <w:rFonts w:hint="eastAsia" w:ascii="宋体" w:hAnsi="宋体" w:cs="宋体"/>
          <w:sz w:val="24"/>
          <w:highlight w:val="none"/>
        </w:rPr>
        <w:t>1、我们</w:t>
      </w:r>
      <w:r>
        <w:rPr>
          <w:rFonts w:hint="eastAsia" w:ascii="宋体" w:hAnsi="宋体" w:cs="宋体"/>
          <w:sz w:val="24"/>
          <w:highlight w:val="none"/>
          <w:u w:val="single"/>
        </w:rPr>
        <w:t xml:space="preserve"> （供应商1），（供应商2） ，……</w:t>
      </w:r>
      <w:r>
        <w:rPr>
          <w:rFonts w:hint="eastAsia" w:ascii="宋体" w:hAnsi="宋体" w:cs="宋体"/>
          <w:sz w:val="24"/>
          <w:highlight w:val="none"/>
        </w:rPr>
        <w:t>自愿组成联合体，参加盐城市政府采购中心组织的采购编号为</w:t>
      </w:r>
      <w:r>
        <w:rPr>
          <w:rFonts w:hint="eastAsia" w:ascii="宋体" w:hAnsi="宋体" w:cs="宋体"/>
          <w:sz w:val="24"/>
          <w:highlight w:val="none"/>
          <w:u w:val="single"/>
        </w:rPr>
        <w:t>（编号全称），（项目全称）</w:t>
      </w:r>
      <w:r>
        <w:rPr>
          <w:rFonts w:hint="eastAsia" w:ascii="宋体" w:hAnsi="宋体" w:cs="宋体"/>
          <w:sz w:val="24"/>
          <w:highlight w:val="none"/>
        </w:rPr>
        <w:t>项目（分包号：**）的政府采购活动，我联合体指定</w:t>
      </w:r>
      <w:r>
        <w:rPr>
          <w:rFonts w:hint="eastAsia" w:ascii="宋体" w:hAnsi="宋体" w:cs="宋体"/>
          <w:sz w:val="24"/>
          <w:highlight w:val="none"/>
          <w:u w:val="single"/>
        </w:rPr>
        <w:t>（供应商*）</w:t>
      </w:r>
      <w:r>
        <w:rPr>
          <w:rFonts w:hint="eastAsia" w:ascii="宋体" w:hAnsi="宋体" w:cs="宋体"/>
          <w:sz w:val="24"/>
          <w:highlight w:val="none"/>
        </w:rPr>
        <w:t>为牵头单位（牵头单位必须为联合体成员）。</w:t>
      </w:r>
    </w:p>
    <w:p w14:paraId="07551E07">
      <w:pPr>
        <w:spacing w:line="0" w:lineRule="atLeast"/>
        <w:ind w:firstLine="645"/>
        <w:rPr>
          <w:sz w:val="24"/>
          <w:highlight w:val="none"/>
        </w:rPr>
      </w:pPr>
      <w:r>
        <w:rPr>
          <w:rFonts w:hint="eastAsia" w:ascii="宋体" w:hAnsi="宋体" w:cs="宋体"/>
          <w:sz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5153B2BA">
      <w:pPr>
        <w:spacing w:line="0" w:lineRule="atLeast"/>
        <w:ind w:firstLine="645"/>
        <w:rPr>
          <w:sz w:val="24"/>
          <w:highlight w:val="none"/>
        </w:rPr>
      </w:pPr>
      <w:r>
        <w:rPr>
          <w:rFonts w:hint="eastAsia" w:ascii="宋体" w:hAnsi="宋体" w:cs="宋体"/>
          <w:sz w:val="24"/>
          <w:highlight w:val="none"/>
        </w:rPr>
        <w:t>3、其中</w:t>
      </w:r>
      <w:r>
        <w:rPr>
          <w:rFonts w:hint="eastAsia" w:ascii="宋体" w:hAnsi="宋体" w:cs="宋体"/>
          <w:sz w:val="24"/>
          <w:highlight w:val="none"/>
          <w:u w:val="single"/>
        </w:rPr>
        <w:t xml:space="preserve">      </w:t>
      </w:r>
      <w:r>
        <w:rPr>
          <w:rFonts w:hint="eastAsia" w:ascii="宋体" w:hAnsi="宋体" w:cs="宋体"/>
          <w:sz w:val="24"/>
          <w:highlight w:val="none"/>
        </w:rPr>
        <w:t>（小型、微型企业/残疾人福利性单位/监狱企业全称）为</w:t>
      </w:r>
      <w:r>
        <w:rPr>
          <w:rFonts w:hint="eastAsia" w:ascii="宋体" w:hAnsi="宋体" w:cs="宋体"/>
          <w:sz w:val="24"/>
          <w:highlight w:val="none"/>
          <w:u w:val="single"/>
        </w:rPr>
        <w:t xml:space="preserve">    </w:t>
      </w:r>
      <w:r>
        <w:rPr>
          <w:rFonts w:hint="eastAsia" w:ascii="宋体" w:hAnsi="宋体" w:cs="宋体"/>
          <w:sz w:val="24"/>
          <w:highlight w:val="none"/>
        </w:rPr>
        <w:t>（小型、微型企业/残疾人福利性单位/监狱企业）企业，且我们约定该公司/单位所承担的合同金额将占本项目合同总金额的</w:t>
      </w:r>
      <w:r>
        <w:rPr>
          <w:rFonts w:hint="eastAsia" w:ascii="宋体" w:hAnsi="宋体" w:cs="宋体"/>
          <w:sz w:val="24"/>
          <w:highlight w:val="none"/>
          <w:u w:val="single"/>
        </w:rPr>
        <w:t xml:space="preserve">  </w:t>
      </w:r>
      <w:r>
        <w:rPr>
          <w:rFonts w:hint="eastAsia" w:ascii="宋体" w:hAnsi="宋体" w:cs="宋体"/>
          <w:sz w:val="24"/>
          <w:highlight w:val="none"/>
        </w:rPr>
        <w:t>%。</w:t>
      </w:r>
    </w:p>
    <w:p w14:paraId="19A6F49A">
      <w:pPr>
        <w:spacing w:line="0" w:lineRule="atLeast"/>
        <w:ind w:firstLine="645"/>
        <w:rPr>
          <w:sz w:val="24"/>
          <w:highlight w:val="none"/>
        </w:rPr>
      </w:pPr>
      <w:r>
        <w:rPr>
          <w:sz w:val="24"/>
          <w:highlight w:val="none"/>
        </w:rPr>
        <w:t> </w:t>
      </w:r>
    </w:p>
    <w:p w14:paraId="6A0BB95E">
      <w:pPr>
        <w:spacing w:line="0" w:lineRule="atLeast"/>
        <w:ind w:firstLine="645"/>
        <w:rPr>
          <w:sz w:val="24"/>
          <w:highlight w:val="none"/>
        </w:rPr>
      </w:pPr>
      <w:r>
        <w:rPr>
          <w:rFonts w:hint="eastAsia" w:ascii="宋体" w:hAnsi="宋体" w:cs="宋体"/>
          <w:sz w:val="24"/>
          <w:highlight w:val="none"/>
        </w:rPr>
        <w:t>备注：本招标文件中要求加盖CA电子签章的地方，仅需加盖牵头单位的CA电子签章。</w:t>
      </w:r>
    </w:p>
    <w:p w14:paraId="75F70182">
      <w:pPr>
        <w:spacing w:line="0" w:lineRule="atLeast"/>
        <w:ind w:firstLine="645"/>
        <w:rPr>
          <w:sz w:val="24"/>
          <w:highlight w:val="none"/>
        </w:rPr>
      </w:pPr>
      <w:r>
        <w:rPr>
          <w:rFonts w:hint="eastAsia" w:ascii="宋体" w:hAnsi="宋体" w:cs="宋体"/>
          <w:sz w:val="24"/>
          <w:highlight w:val="none"/>
        </w:rPr>
        <w:t xml:space="preserve">                                          </w:t>
      </w:r>
    </w:p>
    <w:p w14:paraId="7E32C77E">
      <w:pPr>
        <w:spacing w:line="0" w:lineRule="atLeast"/>
        <w:ind w:firstLine="645"/>
        <w:jc w:val="right"/>
        <w:rPr>
          <w:sz w:val="24"/>
          <w:highlight w:val="none"/>
        </w:rPr>
      </w:pPr>
      <w:r>
        <w:rPr>
          <w:rFonts w:hint="eastAsia" w:ascii="宋体" w:hAnsi="宋体" w:cs="宋体"/>
          <w:sz w:val="24"/>
          <w:highlight w:val="none"/>
        </w:rPr>
        <w:t xml:space="preserve">联合体中各供应商全称（公章）：     </w:t>
      </w:r>
    </w:p>
    <w:p w14:paraId="331F347D">
      <w:pPr>
        <w:widowControl/>
        <w:jc w:val="left"/>
        <w:rPr>
          <w:rFonts w:ascii="宋体" w:hAnsi="宋体" w:cs="宋体"/>
          <w:b/>
          <w:sz w:val="28"/>
          <w:szCs w:val="28"/>
          <w:highlight w:val="none"/>
        </w:rPr>
      </w:pPr>
      <w:r>
        <w:rPr>
          <w:rFonts w:hint="eastAsia" w:ascii="宋体" w:hAnsi="宋体" w:cs="宋体"/>
          <w:highlight w:val="none"/>
        </w:rPr>
        <w:t>                                        日期：</w:t>
      </w:r>
    </w:p>
    <w:p w14:paraId="6A9805AA">
      <w:pPr>
        <w:widowControl/>
        <w:jc w:val="left"/>
        <w:rPr>
          <w:rFonts w:ascii="宋体" w:hAnsi="宋体" w:cs="宋体"/>
          <w:b/>
          <w:sz w:val="28"/>
          <w:szCs w:val="28"/>
          <w:highlight w:val="none"/>
        </w:rPr>
      </w:pPr>
      <w:r>
        <w:rPr>
          <w:b/>
          <w:sz w:val="28"/>
          <w:szCs w:val="28"/>
          <w:highlight w:val="none"/>
        </w:rPr>
        <w:br w:type="page" w:clear="all"/>
      </w:r>
    </w:p>
    <w:p w14:paraId="2BAEB4E3">
      <w:pPr>
        <w:pStyle w:val="79"/>
        <w:widowControl w:val="0"/>
        <w:spacing w:before="0" w:beforeAutospacing="0" w:after="0" w:afterAutospacing="0" w:line="0" w:lineRule="atLeast"/>
        <w:jc w:val="center"/>
        <w:rPr>
          <w:highlight w:val="none"/>
        </w:rPr>
      </w:pPr>
      <w:r>
        <w:rPr>
          <w:b/>
          <w:sz w:val="28"/>
          <w:szCs w:val="28"/>
          <w:highlight w:val="none"/>
        </w:rPr>
        <w:t>十一、</w:t>
      </w:r>
      <w:r>
        <w:rPr>
          <w:rFonts w:hint="eastAsia"/>
          <w:b/>
          <w:sz w:val="28"/>
          <w:szCs w:val="28"/>
          <w:highlight w:val="none"/>
        </w:rPr>
        <w:t>投标分项报价表</w:t>
      </w:r>
    </w:p>
    <w:p w14:paraId="52385BA3">
      <w:pPr>
        <w:widowControl/>
        <w:jc w:val="left"/>
        <w:rPr>
          <w:rFonts w:ascii="宋体" w:hAnsi="宋体" w:cs="宋体"/>
          <w:szCs w:val="21"/>
          <w:highlight w:val="none"/>
        </w:rPr>
      </w:pPr>
    </w:p>
    <w:p w14:paraId="182C7116">
      <w:pPr>
        <w:widowControl/>
        <w:spacing w:line="480" w:lineRule="atLeast"/>
        <w:jc w:val="left"/>
        <w:rPr>
          <w:rFonts w:ascii="宋体" w:hAnsi="宋体" w:cs="宋体"/>
          <w:sz w:val="24"/>
          <w:highlight w:val="none"/>
          <w:u w:val="single"/>
        </w:rPr>
      </w:pPr>
      <w:r>
        <w:rPr>
          <w:rFonts w:hint="eastAsia" w:hAnsi="宋体" w:cs="宋体"/>
          <w:b/>
          <w:bCs/>
          <w:sz w:val="24"/>
          <w:highlight w:val="none"/>
          <w:u w:val="single"/>
          <w:lang w:eastAsia="zh-CN"/>
        </w:rPr>
        <w:t>盐城市公安局盐城经济技术开发区分局</w:t>
      </w:r>
      <w:r>
        <w:rPr>
          <w:rFonts w:hint="eastAsia" w:hAnsi="宋体" w:cs="宋体"/>
          <w:b/>
          <w:bCs/>
          <w:sz w:val="24"/>
          <w:highlight w:val="none"/>
          <w:u w:val="single"/>
        </w:rPr>
        <w:t>：</w:t>
      </w:r>
    </w:p>
    <w:p w14:paraId="28BD2D33">
      <w:pPr>
        <w:widowControl/>
        <w:spacing w:line="500" w:lineRule="exact"/>
        <w:ind w:firstLine="480"/>
        <w:jc w:val="left"/>
        <w:rPr>
          <w:rFonts w:ascii="宋体" w:hAnsi="宋体"/>
          <w:sz w:val="24"/>
          <w:highlight w:val="none"/>
        </w:rPr>
      </w:pPr>
      <w:r>
        <w:rPr>
          <w:rFonts w:hint="eastAsia" w:ascii="宋体" w:hAnsi="宋体"/>
          <w:sz w:val="24"/>
          <w:highlight w:val="none"/>
        </w:rPr>
        <w:t>我单位愿意按照招标文件的要求和下面的报价提供所需服务，并保证所供服务质量</w:t>
      </w:r>
      <w:r>
        <w:rPr>
          <w:rFonts w:ascii="宋体" w:hAnsi="宋体"/>
          <w:sz w:val="24"/>
          <w:highlight w:val="none"/>
        </w:rPr>
        <w:t>。</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单位：人民币元</w:t>
      </w:r>
    </w:p>
    <w:tbl>
      <w:tblPr>
        <w:tblStyle w:val="87"/>
        <w:tblW w:w="9594" w:type="dxa"/>
        <w:jc w:val="center"/>
        <w:tblCellSpacing w:w="0" w:type="dxa"/>
        <w:tblLayout w:type="fixed"/>
        <w:tblCellMar>
          <w:top w:w="0" w:type="dxa"/>
          <w:left w:w="108" w:type="dxa"/>
          <w:bottom w:w="0" w:type="dxa"/>
          <w:right w:w="108" w:type="dxa"/>
        </w:tblCellMar>
      </w:tblPr>
      <w:tblGrid>
        <w:gridCol w:w="780"/>
        <w:gridCol w:w="1020"/>
        <w:gridCol w:w="1095"/>
        <w:gridCol w:w="1170"/>
        <w:gridCol w:w="1110"/>
        <w:gridCol w:w="931"/>
        <w:gridCol w:w="930"/>
        <w:gridCol w:w="1290"/>
        <w:gridCol w:w="1268"/>
      </w:tblGrid>
      <w:tr w14:paraId="7A4BF542">
        <w:tblPrEx>
          <w:tblCellMar>
            <w:top w:w="0" w:type="dxa"/>
            <w:left w:w="108" w:type="dxa"/>
            <w:bottom w:w="0" w:type="dxa"/>
            <w:right w:w="108" w:type="dxa"/>
          </w:tblCellMar>
        </w:tblPrEx>
        <w:trPr>
          <w:trHeight w:val="544" w:hRule="atLeast"/>
          <w:tblCellSpacing w:w="0" w:type="dxa"/>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EF020">
            <w:pPr>
              <w:spacing w:line="0" w:lineRule="atLeast"/>
              <w:jc w:val="center"/>
              <w:rPr>
                <w:sz w:val="24"/>
                <w:highlight w:val="none"/>
              </w:rPr>
            </w:pPr>
            <w:r>
              <w:rPr>
                <w:rFonts w:hint="eastAsia" w:ascii="宋体" w:hAnsi="宋体" w:cs="宋体"/>
                <w:sz w:val="24"/>
                <w:highlight w:val="none"/>
              </w:rPr>
              <w:t>序号</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BC34B">
            <w:pPr>
              <w:spacing w:line="0" w:lineRule="atLeast"/>
              <w:jc w:val="center"/>
              <w:rPr>
                <w:sz w:val="24"/>
                <w:highlight w:val="none"/>
              </w:rPr>
            </w:pPr>
            <w:r>
              <w:rPr>
                <w:rFonts w:hint="eastAsia" w:ascii="宋体" w:hAnsi="宋体" w:cs="宋体"/>
                <w:sz w:val="24"/>
                <w:highlight w:val="none"/>
              </w:rPr>
              <w:t>1</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1AA67">
            <w:pPr>
              <w:spacing w:line="0" w:lineRule="atLeast"/>
              <w:jc w:val="center"/>
              <w:rPr>
                <w:sz w:val="24"/>
                <w:highlight w:val="none"/>
              </w:rPr>
            </w:pPr>
            <w:r>
              <w:rPr>
                <w:rFonts w:hint="eastAsia" w:ascii="宋体" w:hAnsi="宋体" w:cs="宋体"/>
                <w:sz w:val="24"/>
                <w:highlight w:val="none"/>
              </w:rPr>
              <w:t>2</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4FA79">
            <w:pPr>
              <w:spacing w:line="0" w:lineRule="atLeast"/>
              <w:jc w:val="center"/>
              <w:rPr>
                <w:sz w:val="24"/>
                <w:highlight w:val="none"/>
              </w:rPr>
            </w:pPr>
            <w:r>
              <w:rPr>
                <w:rFonts w:hint="eastAsia" w:ascii="宋体" w:hAnsi="宋体" w:cs="宋体"/>
                <w:sz w:val="24"/>
                <w:highlight w:val="none"/>
              </w:rPr>
              <w:t>3</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3DA8F">
            <w:pPr>
              <w:spacing w:line="0" w:lineRule="atLeast"/>
              <w:jc w:val="center"/>
              <w:rPr>
                <w:sz w:val="24"/>
                <w:highlight w:val="none"/>
              </w:rPr>
            </w:pPr>
            <w:r>
              <w:rPr>
                <w:rFonts w:hint="eastAsia" w:ascii="宋体" w:hAnsi="宋体" w:cs="宋体"/>
                <w:sz w:val="24"/>
                <w:highlight w:val="none"/>
              </w:rPr>
              <w:t>4</w:t>
            </w: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F8427">
            <w:pPr>
              <w:spacing w:line="0" w:lineRule="atLeast"/>
              <w:jc w:val="center"/>
              <w:rPr>
                <w:sz w:val="24"/>
                <w:highlight w:val="none"/>
              </w:rPr>
            </w:pPr>
            <w:r>
              <w:rPr>
                <w:rFonts w:hint="eastAsia" w:ascii="宋体" w:hAnsi="宋体" w:cs="宋体"/>
                <w:sz w:val="24"/>
                <w:highlight w:val="none"/>
              </w:rPr>
              <w:t>5</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C9522">
            <w:pPr>
              <w:spacing w:line="0" w:lineRule="atLeast"/>
              <w:jc w:val="center"/>
              <w:rPr>
                <w:sz w:val="24"/>
                <w:highlight w:val="none"/>
              </w:rPr>
            </w:pPr>
            <w:r>
              <w:rPr>
                <w:rFonts w:hint="eastAsia" w:ascii="宋体" w:hAnsi="宋体" w:cs="宋体"/>
                <w:sz w:val="24"/>
                <w:highlight w:val="none"/>
              </w:rPr>
              <w:t>6</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3CA7">
            <w:pPr>
              <w:spacing w:line="0" w:lineRule="atLeast"/>
              <w:jc w:val="center"/>
              <w:rPr>
                <w:sz w:val="24"/>
                <w:highlight w:val="none"/>
              </w:rPr>
            </w:pPr>
            <w:r>
              <w:rPr>
                <w:rFonts w:hint="eastAsia" w:ascii="宋体" w:hAnsi="宋体" w:cs="宋体"/>
                <w:sz w:val="24"/>
                <w:highlight w:val="none"/>
              </w:rPr>
              <w:t>7</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CD9E2">
            <w:pPr>
              <w:spacing w:line="0" w:lineRule="atLeast"/>
              <w:jc w:val="center"/>
              <w:rPr>
                <w:sz w:val="24"/>
                <w:highlight w:val="none"/>
              </w:rPr>
            </w:pPr>
            <w:r>
              <w:rPr>
                <w:rFonts w:hint="eastAsia" w:ascii="宋体" w:hAnsi="宋体" w:cs="宋体"/>
                <w:sz w:val="24"/>
                <w:highlight w:val="none"/>
              </w:rPr>
              <w:t>8</w:t>
            </w:r>
          </w:p>
        </w:tc>
      </w:tr>
      <w:tr w14:paraId="6359B6AA">
        <w:tblPrEx>
          <w:tblCellMar>
            <w:top w:w="0" w:type="dxa"/>
            <w:left w:w="108" w:type="dxa"/>
            <w:bottom w:w="0" w:type="dxa"/>
            <w:right w:w="108" w:type="dxa"/>
          </w:tblCellMar>
        </w:tblPrEx>
        <w:trPr>
          <w:trHeight w:val="294" w:hRule="atLeast"/>
          <w:tblCellSpacing w:w="0" w:type="dxa"/>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57D1E">
            <w:pPr>
              <w:spacing w:line="0" w:lineRule="atLeast"/>
              <w:jc w:val="center"/>
              <w:rPr>
                <w:sz w:val="24"/>
                <w:highlight w:val="none"/>
              </w:rPr>
            </w:pPr>
            <w:r>
              <w:rPr>
                <w:rFonts w:hint="eastAsia" w:ascii="宋体" w:hAnsi="宋体" w:cs="宋体"/>
                <w:sz w:val="24"/>
                <w:highlight w:val="none"/>
              </w:rPr>
              <w:t>1</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F2A62">
            <w:pPr>
              <w:spacing w:line="0" w:lineRule="atLeast"/>
              <w:jc w:val="center"/>
              <w:rPr>
                <w:sz w:val="24"/>
                <w:highlight w:val="none"/>
              </w:rPr>
            </w:pPr>
            <w:r>
              <w:rPr>
                <w:rFonts w:hint="eastAsia" w:ascii="宋体" w:hAnsi="宋体" w:cs="宋体"/>
                <w:sz w:val="24"/>
                <w:highlight w:val="none"/>
              </w:rPr>
              <w:t>产品</w:t>
            </w:r>
          </w:p>
          <w:p w14:paraId="6AF6512E">
            <w:pPr>
              <w:spacing w:line="0" w:lineRule="atLeast"/>
              <w:jc w:val="center"/>
              <w:rPr>
                <w:sz w:val="24"/>
                <w:highlight w:val="none"/>
              </w:rPr>
            </w:pPr>
            <w:r>
              <w:rPr>
                <w:rFonts w:hint="eastAsia" w:ascii="宋体" w:hAnsi="宋体" w:cs="宋体"/>
                <w:sz w:val="24"/>
                <w:highlight w:val="none"/>
              </w:rPr>
              <w:t>名称</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10C89">
            <w:pPr>
              <w:spacing w:line="0" w:lineRule="atLeast"/>
              <w:jc w:val="center"/>
              <w:rPr>
                <w:sz w:val="24"/>
                <w:highlight w:val="none"/>
              </w:rPr>
            </w:pPr>
            <w:r>
              <w:rPr>
                <w:rFonts w:hint="eastAsia" w:ascii="宋体" w:hAnsi="宋体" w:cs="宋体"/>
                <w:sz w:val="24"/>
                <w:highlight w:val="none"/>
              </w:rPr>
              <w:t>品牌</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F57A8">
            <w:pPr>
              <w:spacing w:line="0" w:lineRule="atLeast"/>
              <w:jc w:val="center"/>
              <w:rPr>
                <w:sz w:val="24"/>
                <w:highlight w:val="none"/>
              </w:rPr>
            </w:pPr>
            <w:r>
              <w:rPr>
                <w:rFonts w:hint="eastAsia" w:ascii="宋体" w:hAnsi="宋体" w:cs="宋体"/>
                <w:sz w:val="24"/>
                <w:highlight w:val="none"/>
              </w:rPr>
              <w:t>规格</w:t>
            </w:r>
          </w:p>
          <w:p w14:paraId="4C8C691A">
            <w:pPr>
              <w:spacing w:line="0" w:lineRule="atLeast"/>
              <w:jc w:val="center"/>
              <w:rPr>
                <w:sz w:val="24"/>
                <w:highlight w:val="none"/>
              </w:rPr>
            </w:pPr>
            <w:r>
              <w:rPr>
                <w:rFonts w:hint="eastAsia" w:ascii="宋体" w:hAnsi="宋体" w:cs="宋体"/>
                <w:sz w:val="24"/>
                <w:highlight w:val="none"/>
              </w:rPr>
              <w:t>型号</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758E">
            <w:pPr>
              <w:spacing w:line="0" w:lineRule="atLeast"/>
              <w:jc w:val="center"/>
              <w:rPr>
                <w:sz w:val="24"/>
                <w:highlight w:val="none"/>
              </w:rPr>
            </w:pPr>
            <w:r>
              <w:rPr>
                <w:rFonts w:hint="eastAsia" w:ascii="宋体" w:hAnsi="宋体" w:cs="宋体"/>
                <w:sz w:val="24"/>
                <w:highlight w:val="none"/>
              </w:rPr>
              <w:t>产地</w:t>
            </w: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7041F">
            <w:pPr>
              <w:spacing w:line="0" w:lineRule="atLeast"/>
              <w:jc w:val="center"/>
              <w:rPr>
                <w:sz w:val="24"/>
                <w:highlight w:val="none"/>
              </w:rPr>
            </w:pPr>
            <w:r>
              <w:rPr>
                <w:rFonts w:hint="eastAsia" w:ascii="宋体" w:hAnsi="宋体" w:cs="宋体"/>
                <w:sz w:val="24"/>
                <w:highlight w:val="none"/>
              </w:rPr>
              <w:t>交付期</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D670A">
            <w:pPr>
              <w:spacing w:line="0" w:lineRule="atLeast"/>
              <w:jc w:val="center"/>
              <w:rPr>
                <w:sz w:val="24"/>
                <w:highlight w:val="none"/>
              </w:rPr>
            </w:pPr>
            <w:r>
              <w:rPr>
                <w:rFonts w:hint="eastAsia" w:ascii="宋体" w:hAnsi="宋体" w:cs="宋体"/>
                <w:sz w:val="24"/>
                <w:highlight w:val="none"/>
              </w:rPr>
              <w:t>数量</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DC82">
            <w:pPr>
              <w:spacing w:line="0" w:lineRule="atLeast"/>
              <w:jc w:val="center"/>
              <w:rPr>
                <w:sz w:val="24"/>
                <w:highlight w:val="none"/>
              </w:rPr>
            </w:pPr>
            <w:r>
              <w:rPr>
                <w:rFonts w:hint="eastAsia" w:ascii="宋体" w:hAnsi="宋体" w:cs="宋体"/>
                <w:sz w:val="24"/>
                <w:highlight w:val="none"/>
              </w:rPr>
              <w:t>分项单价</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76FE">
            <w:pPr>
              <w:spacing w:line="0" w:lineRule="atLeast"/>
              <w:jc w:val="center"/>
              <w:rPr>
                <w:sz w:val="24"/>
                <w:highlight w:val="none"/>
              </w:rPr>
            </w:pPr>
            <w:r>
              <w:rPr>
                <w:rFonts w:hint="eastAsia" w:ascii="宋体" w:hAnsi="宋体" w:cs="宋体"/>
                <w:sz w:val="24"/>
                <w:highlight w:val="none"/>
              </w:rPr>
              <w:t>分项总价</w:t>
            </w:r>
          </w:p>
        </w:tc>
      </w:tr>
      <w:tr w14:paraId="5A0595B6">
        <w:tblPrEx>
          <w:tblCellMar>
            <w:top w:w="0" w:type="dxa"/>
            <w:left w:w="108" w:type="dxa"/>
            <w:bottom w:w="0" w:type="dxa"/>
            <w:right w:w="108" w:type="dxa"/>
          </w:tblCellMar>
        </w:tblPrEx>
        <w:trPr>
          <w:trHeight w:val="696" w:hRule="atLeast"/>
          <w:tblCellSpacing w:w="0" w:type="dxa"/>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2B204">
            <w:pPr>
              <w:spacing w:line="0" w:lineRule="atLeast"/>
              <w:jc w:val="center"/>
              <w:rPr>
                <w:sz w:val="24"/>
                <w:highlight w:val="none"/>
              </w:rPr>
            </w:pPr>
            <w:r>
              <w:rPr>
                <w:rFonts w:hint="eastAsia" w:ascii="宋体" w:hAnsi="宋体" w:cs="宋体"/>
                <w:sz w:val="24"/>
                <w:highlight w:val="none"/>
              </w:rPr>
              <w:t>2</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D0000">
            <w:pPr>
              <w:spacing w:line="0" w:lineRule="atLeast"/>
              <w:rPr>
                <w:sz w:val="24"/>
                <w:highlight w:val="none"/>
              </w:rPr>
            </w:pPr>
            <w:r>
              <w:rPr>
                <w:sz w:val="24"/>
                <w:highlight w:val="none"/>
              </w:rPr>
              <w:t> </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BFB60">
            <w:pPr>
              <w:spacing w:line="0" w:lineRule="atLeast"/>
              <w:rPr>
                <w:sz w:val="24"/>
                <w:highlight w:val="none"/>
              </w:rPr>
            </w:pPr>
            <w:r>
              <w:rPr>
                <w:sz w:val="24"/>
                <w:highlight w:val="none"/>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15A26">
            <w:pPr>
              <w:spacing w:line="0" w:lineRule="atLeast"/>
              <w:rPr>
                <w:sz w:val="24"/>
                <w:highlight w:val="none"/>
              </w:rPr>
            </w:pPr>
            <w:r>
              <w:rPr>
                <w:sz w:val="24"/>
                <w:highlight w:val="none"/>
              </w:rPr>
              <w:t>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D85DA">
            <w:pPr>
              <w:spacing w:line="0" w:lineRule="atLeast"/>
              <w:rPr>
                <w:sz w:val="24"/>
                <w:highlight w:val="none"/>
              </w:rPr>
            </w:pPr>
            <w:r>
              <w:rPr>
                <w:sz w:val="24"/>
                <w:highlight w:val="none"/>
              </w:rPr>
              <w:t> </w:t>
            </w: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D608">
            <w:pPr>
              <w:spacing w:line="0" w:lineRule="atLeast"/>
              <w:rPr>
                <w:sz w:val="24"/>
                <w:highlight w:val="none"/>
              </w:rPr>
            </w:pPr>
            <w:r>
              <w:rPr>
                <w:sz w:val="24"/>
                <w:highlight w:val="none"/>
              </w:rPr>
              <w:t>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BD2CE">
            <w:pPr>
              <w:spacing w:line="0" w:lineRule="atLeast"/>
              <w:rPr>
                <w:sz w:val="24"/>
                <w:highlight w:val="none"/>
              </w:rPr>
            </w:pPr>
            <w:r>
              <w:rPr>
                <w:sz w:val="24"/>
                <w:highlight w:val="none"/>
              </w:rPr>
              <w:t>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7D256">
            <w:pPr>
              <w:spacing w:line="0" w:lineRule="atLeast"/>
              <w:rPr>
                <w:sz w:val="24"/>
                <w:highlight w:val="none"/>
              </w:rPr>
            </w:pPr>
            <w:r>
              <w:rPr>
                <w:sz w:val="24"/>
                <w:highlight w:val="none"/>
              </w:rPr>
              <w:t> </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722A">
            <w:pPr>
              <w:spacing w:line="0" w:lineRule="atLeast"/>
              <w:rPr>
                <w:sz w:val="24"/>
                <w:highlight w:val="none"/>
              </w:rPr>
            </w:pPr>
            <w:r>
              <w:rPr>
                <w:sz w:val="24"/>
                <w:highlight w:val="none"/>
              </w:rPr>
              <w:t> </w:t>
            </w:r>
          </w:p>
        </w:tc>
      </w:tr>
      <w:tr w14:paraId="2296BE72">
        <w:tblPrEx>
          <w:tblCellMar>
            <w:top w:w="0" w:type="dxa"/>
            <w:left w:w="108" w:type="dxa"/>
            <w:bottom w:w="0" w:type="dxa"/>
            <w:right w:w="108" w:type="dxa"/>
          </w:tblCellMar>
        </w:tblPrEx>
        <w:trPr>
          <w:trHeight w:val="724" w:hRule="atLeast"/>
          <w:tblCellSpacing w:w="0" w:type="dxa"/>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BD94">
            <w:pPr>
              <w:spacing w:line="0" w:lineRule="atLeast"/>
              <w:jc w:val="center"/>
              <w:rPr>
                <w:sz w:val="24"/>
                <w:highlight w:val="none"/>
              </w:rPr>
            </w:pPr>
            <w:r>
              <w:rPr>
                <w:rFonts w:hint="eastAsia" w:ascii="宋体" w:hAnsi="宋体" w:cs="宋体"/>
                <w:sz w:val="24"/>
                <w:highlight w:val="none"/>
              </w:rPr>
              <w:t>3</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F489D">
            <w:pPr>
              <w:spacing w:line="0" w:lineRule="atLeast"/>
              <w:rPr>
                <w:sz w:val="24"/>
                <w:highlight w:val="none"/>
              </w:rPr>
            </w:pPr>
            <w:r>
              <w:rPr>
                <w:sz w:val="24"/>
                <w:highlight w:val="none"/>
              </w:rPr>
              <w:t> </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5EA9">
            <w:pPr>
              <w:spacing w:line="0" w:lineRule="atLeast"/>
              <w:rPr>
                <w:sz w:val="24"/>
                <w:highlight w:val="none"/>
              </w:rPr>
            </w:pPr>
            <w:r>
              <w:rPr>
                <w:sz w:val="24"/>
                <w:highlight w:val="none"/>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6D5E">
            <w:pPr>
              <w:spacing w:line="0" w:lineRule="atLeast"/>
              <w:rPr>
                <w:sz w:val="24"/>
                <w:highlight w:val="none"/>
              </w:rPr>
            </w:pPr>
            <w:r>
              <w:rPr>
                <w:sz w:val="24"/>
                <w:highlight w:val="none"/>
              </w:rPr>
              <w:t>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630DA">
            <w:pPr>
              <w:spacing w:line="0" w:lineRule="atLeast"/>
              <w:rPr>
                <w:sz w:val="24"/>
                <w:highlight w:val="none"/>
              </w:rPr>
            </w:pPr>
            <w:r>
              <w:rPr>
                <w:sz w:val="24"/>
                <w:highlight w:val="none"/>
              </w:rPr>
              <w:t> </w:t>
            </w: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9561E">
            <w:pPr>
              <w:spacing w:line="0" w:lineRule="atLeast"/>
              <w:rPr>
                <w:sz w:val="24"/>
                <w:highlight w:val="none"/>
              </w:rPr>
            </w:pPr>
            <w:r>
              <w:rPr>
                <w:sz w:val="24"/>
                <w:highlight w:val="none"/>
              </w:rPr>
              <w:t>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30109">
            <w:pPr>
              <w:spacing w:line="0" w:lineRule="atLeast"/>
              <w:rPr>
                <w:sz w:val="24"/>
                <w:highlight w:val="none"/>
              </w:rPr>
            </w:pPr>
            <w:r>
              <w:rPr>
                <w:sz w:val="24"/>
                <w:highlight w:val="none"/>
              </w:rPr>
              <w:t>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186C2">
            <w:pPr>
              <w:spacing w:line="0" w:lineRule="atLeast"/>
              <w:rPr>
                <w:sz w:val="24"/>
                <w:highlight w:val="none"/>
              </w:rPr>
            </w:pPr>
            <w:r>
              <w:rPr>
                <w:sz w:val="24"/>
                <w:highlight w:val="none"/>
              </w:rPr>
              <w:t> </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E015">
            <w:pPr>
              <w:spacing w:line="0" w:lineRule="atLeast"/>
              <w:rPr>
                <w:sz w:val="24"/>
                <w:highlight w:val="none"/>
              </w:rPr>
            </w:pPr>
            <w:r>
              <w:rPr>
                <w:sz w:val="24"/>
                <w:highlight w:val="none"/>
              </w:rPr>
              <w:t> </w:t>
            </w:r>
          </w:p>
        </w:tc>
      </w:tr>
      <w:tr w14:paraId="2D52EDF9">
        <w:tblPrEx>
          <w:tblCellMar>
            <w:top w:w="0" w:type="dxa"/>
            <w:left w:w="108" w:type="dxa"/>
            <w:bottom w:w="0" w:type="dxa"/>
            <w:right w:w="108" w:type="dxa"/>
          </w:tblCellMar>
        </w:tblPrEx>
        <w:trPr>
          <w:trHeight w:val="640" w:hRule="atLeast"/>
          <w:tblCellSpacing w:w="0" w:type="dxa"/>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E356B">
            <w:pPr>
              <w:spacing w:line="0" w:lineRule="atLeast"/>
              <w:jc w:val="center"/>
              <w:rPr>
                <w:sz w:val="24"/>
                <w:highlight w:val="none"/>
              </w:rPr>
            </w:pPr>
            <w:r>
              <w:rPr>
                <w:rFonts w:hint="eastAsia" w:ascii="宋体" w:hAnsi="宋体" w:cs="宋体"/>
                <w:sz w:val="24"/>
                <w:highlight w:val="none"/>
              </w:rPr>
              <w:t>4</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A52A6">
            <w:pPr>
              <w:spacing w:line="0" w:lineRule="atLeast"/>
              <w:rPr>
                <w:sz w:val="24"/>
                <w:highlight w:val="none"/>
              </w:rPr>
            </w:pPr>
            <w:r>
              <w:rPr>
                <w:sz w:val="24"/>
                <w:highlight w:val="none"/>
              </w:rPr>
              <w:t> </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5D54">
            <w:pPr>
              <w:spacing w:line="0" w:lineRule="atLeast"/>
              <w:rPr>
                <w:sz w:val="24"/>
                <w:highlight w:val="none"/>
              </w:rPr>
            </w:pPr>
            <w:r>
              <w:rPr>
                <w:sz w:val="24"/>
                <w:highlight w:val="none"/>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58BBC">
            <w:pPr>
              <w:spacing w:line="0" w:lineRule="atLeast"/>
              <w:rPr>
                <w:sz w:val="24"/>
                <w:highlight w:val="none"/>
              </w:rPr>
            </w:pPr>
            <w:r>
              <w:rPr>
                <w:sz w:val="24"/>
                <w:highlight w:val="none"/>
              </w:rPr>
              <w:t>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2A773">
            <w:pPr>
              <w:spacing w:line="0" w:lineRule="atLeast"/>
              <w:rPr>
                <w:sz w:val="24"/>
                <w:highlight w:val="none"/>
              </w:rPr>
            </w:pPr>
            <w:r>
              <w:rPr>
                <w:sz w:val="24"/>
                <w:highlight w:val="none"/>
              </w:rPr>
              <w:t> </w:t>
            </w: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09D4C">
            <w:pPr>
              <w:spacing w:line="0" w:lineRule="atLeast"/>
              <w:rPr>
                <w:sz w:val="24"/>
                <w:highlight w:val="none"/>
              </w:rPr>
            </w:pPr>
            <w:r>
              <w:rPr>
                <w:sz w:val="24"/>
                <w:highlight w:val="none"/>
              </w:rPr>
              <w:t>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ED6C7">
            <w:pPr>
              <w:spacing w:line="0" w:lineRule="atLeast"/>
              <w:rPr>
                <w:sz w:val="24"/>
                <w:highlight w:val="none"/>
              </w:rPr>
            </w:pPr>
            <w:r>
              <w:rPr>
                <w:sz w:val="24"/>
                <w:highlight w:val="none"/>
              </w:rPr>
              <w:t>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DAF0">
            <w:pPr>
              <w:spacing w:line="0" w:lineRule="atLeast"/>
              <w:rPr>
                <w:sz w:val="24"/>
                <w:highlight w:val="none"/>
              </w:rPr>
            </w:pPr>
            <w:r>
              <w:rPr>
                <w:sz w:val="24"/>
                <w:highlight w:val="none"/>
              </w:rPr>
              <w:t> </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148C1">
            <w:pPr>
              <w:spacing w:line="0" w:lineRule="atLeast"/>
              <w:rPr>
                <w:sz w:val="24"/>
                <w:highlight w:val="none"/>
              </w:rPr>
            </w:pPr>
            <w:r>
              <w:rPr>
                <w:sz w:val="24"/>
                <w:highlight w:val="none"/>
              </w:rPr>
              <w:t> </w:t>
            </w:r>
          </w:p>
        </w:tc>
      </w:tr>
      <w:tr w14:paraId="4CD07171">
        <w:tblPrEx>
          <w:tblCellMar>
            <w:top w:w="0" w:type="dxa"/>
            <w:left w:w="108" w:type="dxa"/>
            <w:bottom w:w="0" w:type="dxa"/>
            <w:right w:w="108" w:type="dxa"/>
          </w:tblCellMar>
        </w:tblPrEx>
        <w:trPr>
          <w:trHeight w:val="580" w:hRule="atLeast"/>
          <w:tblCellSpacing w:w="0" w:type="dxa"/>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5E9A">
            <w:pPr>
              <w:spacing w:line="0" w:lineRule="atLeast"/>
              <w:jc w:val="center"/>
              <w:rPr>
                <w:sz w:val="24"/>
                <w:highlight w:val="none"/>
              </w:rPr>
            </w:pPr>
            <w:r>
              <w:rPr>
                <w:rFonts w:hint="eastAsia" w:ascii="宋体" w:hAnsi="宋体" w:cs="宋体"/>
                <w:sz w:val="24"/>
                <w:highlight w:val="none"/>
              </w:rPr>
              <w:t>…</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F7242">
            <w:pPr>
              <w:spacing w:line="0" w:lineRule="atLeast"/>
              <w:rPr>
                <w:sz w:val="24"/>
                <w:highlight w:val="none"/>
              </w:rPr>
            </w:pPr>
            <w:r>
              <w:rPr>
                <w:rFonts w:hint="eastAsia" w:ascii="宋体" w:hAnsi="宋体" w:cs="宋体"/>
                <w:sz w:val="24"/>
                <w:highlight w:val="none"/>
              </w:rPr>
              <w:t>……</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7DDFF">
            <w:pPr>
              <w:spacing w:line="0" w:lineRule="atLeast"/>
              <w:rPr>
                <w:sz w:val="24"/>
                <w:highlight w:val="none"/>
              </w:rPr>
            </w:pPr>
            <w:r>
              <w:rPr>
                <w:sz w:val="24"/>
                <w:highlight w:val="none"/>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A5854">
            <w:pPr>
              <w:spacing w:line="0" w:lineRule="atLeast"/>
              <w:rPr>
                <w:sz w:val="24"/>
                <w:highlight w:val="none"/>
              </w:rPr>
            </w:pPr>
            <w:r>
              <w:rPr>
                <w:sz w:val="24"/>
                <w:highlight w:val="none"/>
              </w:rPr>
              <w:t> </w:t>
            </w:r>
          </w:p>
        </w:tc>
        <w:tc>
          <w:tcPr>
            <w:tcW w:w="11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A56B7">
            <w:pPr>
              <w:spacing w:line="0" w:lineRule="atLeast"/>
              <w:rPr>
                <w:sz w:val="24"/>
                <w:highlight w:val="none"/>
              </w:rPr>
            </w:pPr>
            <w:r>
              <w:rPr>
                <w:sz w:val="24"/>
                <w:highlight w:val="none"/>
              </w:rPr>
              <w:t> </w:t>
            </w:r>
          </w:p>
        </w:tc>
        <w:tc>
          <w:tcPr>
            <w:tcW w:w="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01C3D">
            <w:pPr>
              <w:spacing w:line="0" w:lineRule="atLeast"/>
              <w:rPr>
                <w:sz w:val="24"/>
                <w:highlight w:val="none"/>
              </w:rPr>
            </w:pPr>
            <w:r>
              <w:rPr>
                <w:sz w:val="24"/>
                <w:highlight w:val="none"/>
              </w:rPr>
              <w:t> </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01D89">
            <w:pPr>
              <w:spacing w:line="0" w:lineRule="atLeast"/>
              <w:rPr>
                <w:sz w:val="24"/>
                <w:highlight w:val="none"/>
              </w:rPr>
            </w:pPr>
            <w:r>
              <w:rPr>
                <w:sz w:val="24"/>
                <w:highlight w:val="none"/>
              </w:rPr>
              <w:t> </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C91C4">
            <w:pPr>
              <w:spacing w:line="0" w:lineRule="atLeast"/>
              <w:rPr>
                <w:sz w:val="24"/>
                <w:highlight w:val="none"/>
              </w:rPr>
            </w:pPr>
            <w:r>
              <w:rPr>
                <w:sz w:val="24"/>
                <w:highlight w:val="none"/>
              </w:rPr>
              <w:t> </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62F22">
            <w:pPr>
              <w:spacing w:line="0" w:lineRule="atLeast"/>
              <w:rPr>
                <w:sz w:val="24"/>
                <w:highlight w:val="none"/>
              </w:rPr>
            </w:pPr>
            <w:r>
              <w:rPr>
                <w:sz w:val="24"/>
                <w:highlight w:val="none"/>
              </w:rPr>
              <w:t> </w:t>
            </w:r>
          </w:p>
        </w:tc>
      </w:tr>
      <w:tr w14:paraId="0B007371">
        <w:tblPrEx>
          <w:tblCellMar>
            <w:top w:w="0" w:type="dxa"/>
            <w:left w:w="108" w:type="dxa"/>
            <w:bottom w:w="0" w:type="dxa"/>
            <w:right w:w="108" w:type="dxa"/>
          </w:tblCellMar>
        </w:tblPrEx>
        <w:trPr>
          <w:trHeight w:val="1030" w:hRule="atLeast"/>
          <w:tblCellSpacing w:w="0" w:type="dxa"/>
          <w:jc w:val="center"/>
        </w:trPr>
        <w:tc>
          <w:tcPr>
            <w:tcW w:w="832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E5A14C5">
            <w:pPr>
              <w:jc w:val="center"/>
              <w:rPr>
                <w:sz w:val="24"/>
                <w:highlight w:val="none"/>
              </w:rPr>
            </w:pPr>
            <w:r>
              <w:rPr>
                <w:rFonts w:hint="eastAsia" w:ascii="宋体" w:hAnsi="宋体" w:cs="宋体"/>
                <w:sz w:val="24"/>
                <w:highlight w:val="none"/>
              </w:rPr>
              <w:t>投标总报价（人民币：元）</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4B73">
            <w:pPr>
              <w:rPr>
                <w:sz w:val="24"/>
                <w:highlight w:val="none"/>
              </w:rPr>
            </w:pPr>
            <w:r>
              <w:rPr>
                <w:sz w:val="24"/>
                <w:highlight w:val="none"/>
              </w:rPr>
              <w:t> </w:t>
            </w:r>
          </w:p>
        </w:tc>
      </w:tr>
    </w:tbl>
    <w:p w14:paraId="3920CD6E">
      <w:pPr>
        <w:widowControl/>
        <w:jc w:val="left"/>
        <w:rPr>
          <w:rFonts w:ascii="宋体" w:hAnsi="宋体" w:cs="宋体"/>
          <w:szCs w:val="21"/>
          <w:highlight w:val="none"/>
        </w:rPr>
      </w:pPr>
    </w:p>
    <w:p w14:paraId="4EDA356B">
      <w:pPr>
        <w:widowControl/>
        <w:jc w:val="left"/>
        <w:rPr>
          <w:rFonts w:ascii="宋体" w:hAnsi="宋体" w:cs="宋体"/>
          <w:szCs w:val="21"/>
          <w:highlight w:val="none"/>
        </w:rPr>
      </w:pPr>
    </w:p>
    <w:p w14:paraId="635D5764">
      <w:pPr>
        <w:widowControl/>
        <w:jc w:val="left"/>
        <w:rPr>
          <w:rFonts w:ascii="宋体" w:hAnsi="宋体" w:cs="宋体"/>
          <w:szCs w:val="21"/>
          <w:highlight w:val="none"/>
        </w:rPr>
      </w:pPr>
      <w:r>
        <w:rPr>
          <w:rFonts w:hint="eastAsia" w:ascii="宋体" w:hAnsi="宋体" w:cs="宋体"/>
          <w:szCs w:val="21"/>
          <w:highlight w:val="none"/>
        </w:rPr>
        <w:t>备注：</w:t>
      </w:r>
    </w:p>
    <w:p w14:paraId="6898700E">
      <w:pPr>
        <w:widowControl/>
        <w:jc w:val="left"/>
        <w:rPr>
          <w:rFonts w:ascii="宋体" w:hAnsi="宋体" w:cs="宋体"/>
          <w:szCs w:val="21"/>
          <w:highlight w:val="none"/>
        </w:rPr>
      </w:pPr>
      <w:r>
        <w:rPr>
          <w:rFonts w:hint="eastAsia" w:ascii="宋体" w:hAnsi="宋体" w:cs="宋体"/>
          <w:szCs w:val="21"/>
          <w:highlight w:val="none"/>
        </w:rPr>
        <w:t>1.投标报价采用总承包方式，投标人在投标报价均包括完成该项目的所需的成本、安全措施费、风险费、保险、利润、税金等所有费用，是包括满足规程规范要求和通过验收要求的一切费用，是招标文件所确定的招标范围内全部工作内容的价格表现。投标单价为计入完成该工程项目的所需的成本、人工费、零配件及辅材费、检修报告费、安全措施费、风险费、保险、利润、税金等所有费用的全费用单价。</w:t>
      </w:r>
    </w:p>
    <w:p w14:paraId="05FA7F97">
      <w:pPr>
        <w:widowControl/>
        <w:jc w:val="left"/>
        <w:rPr>
          <w:rFonts w:ascii="宋体" w:hAnsi="宋体" w:cs="宋体"/>
          <w:szCs w:val="21"/>
          <w:highlight w:val="none"/>
        </w:rPr>
      </w:pPr>
      <w:r>
        <w:rPr>
          <w:rFonts w:hint="eastAsia" w:ascii="宋体" w:hAnsi="宋体" w:cs="宋体"/>
          <w:szCs w:val="21"/>
          <w:highlight w:val="none"/>
        </w:rPr>
        <w:t>2.“投标分项报价表”中“投标总报价”数额应当与“开标一览表”中“投标总报价”数额一致。</w:t>
      </w:r>
    </w:p>
    <w:p w14:paraId="5D2585E5">
      <w:pPr>
        <w:pStyle w:val="147"/>
        <w:numPr>
          <w:ilvl w:val="0"/>
          <w:numId w:val="3"/>
        </w:numPr>
        <w:rPr>
          <w:rFonts w:ascii="宋体" w:hAnsi="宋体"/>
          <w:b/>
          <w:sz w:val="28"/>
          <w:szCs w:val="28"/>
          <w:highlight w:val="none"/>
          <w:lang w:eastAsia="zh-CN"/>
        </w:rPr>
      </w:pPr>
      <w:r>
        <w:rPr>
          <w:b/>
          <w:sz w:val="28"/>
          <w:szCs w:val="28"/>
          <w:highlight w:val="none"/>
          <w:lang w:eastAsia="zh-CN"/>
        </w:rPr>
        <w:br w:type="page" w:clear="all"/>
      </w:r>
    </w:p>
    <w:p w14:paraId="21C0FC4B">
      <w:pPr>
        <w:pStyle w:val="79"/>
        <w:widowControl w:val="0"/>
        <w:spacing w:before="0" w:beforeAutospacing="0" w:after="0" w:afterAutospacing="0" w:line="0" w:lineRule="atLeast"/>
        <w:jc w:val="center"/>
        <w:rPr>
          <w:b/>
          <w:sz w:val="28"/>
          <w:szCs w:val="28"/>
          <w:highlight w:val="none"/>
        </w:rPr>
      </w:pPr>
      <w:r>
        <w:rPr>
          <w:rFonts w:hint="eastAsia"/>
          <w:b/>
          <w:sz w:val="28"/>
          <w:szCs w:val="28"/>
          <w:highlight w:val="none"/>
        </w:rPr>
        <w:t>十二、技术要求响应及偏离表</w:t>
      </w:r>
    </w:p>
    <w:tbl>
      <w:tblPr>
        <w:tblStyle w:val="87"/>
        <w:tblW w:w="9157" w:type="dxa"/>
        <w:jc w:val="center"/>
        <w:tblCellSpacing w:w="0" w:type="dxa"/>
        <w:tblLayout w:type="fixed"/>
        <w:tblCellMar>
          <w:top w:w="0" w:type="dxa"/>
          <w:left w:w="108" w:type="dxa"/>
          <w:bottom w:w="0" w:type="dxa"/>
          <w:right w:w="108" w:type="dxa"/>
        </w:tblCellMar>
      </w:tblPr>
      <w:tblGrid>
        <w:gridCol w:w="538"/>
        <w:gridCol w:w="3026"/>
        <w:gridCol w:w="2608"/>
        <w:gridCol w:w="1247"/>
        <w:gridCol w:w="1738"/>
      </w:tblGrid>
      <w:tr w14:paraId="341DE4BA">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53D941F4">
            <w:pPr>
              <w:pStyle w:val="79"/>
              <w:widowControl w:val="0"/>
              <w:spacing w:before="0" w:beforeAutospacing="0" w:after="0" w:afterAutospacing="0"/>
              <w:jc w:val="center"/>
              <w:rPr>
                <w:highlight w:val="none"/>
              </w:rPr>
            </w:pPr>
            <w:r>
              <w:rPr>
                <w:rFonts w:hint="eastAsia"/>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3FB241B7">
            <w:pPr>
              <w:pStyle w:val="79"/>
              <w:widowControl w:val="0"/>
              <w:spacing w:before="0" w:beforeAutospacing="0" w:after="0" w:afterAutospacing="0"/>
              <w:jc w:val="center"/>
              <w:rPr>
                <w:highlight w:val="none"/>
              </w:rPr>
            </w:pPr>
            <w:r>
              <w:rPr>
                <w:rFonts w:hint="eastAsia"/>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73180195">
            <w:pPr>
              <w:pStyle w:val="79"/>
              <w:widowControl w:val="0"/>
              <w:spacing w:before="0" w:beforeAutospacing="0" w:after="0" w:afterAutospacing="0"/>
              <w:jc w:val="center"/>
              <w:rPr>
                <w:highlight w:val="none"/>
              </w:rPr>
            </w:pPr>
            <w:r>
              <w:rPr>
                <w:rFonts w:hint="eastAsia"/>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3D7D4036">
            <w:pPr>
              <w:pStyle w:val="79"/>
              <w:widowControl w:val="0"/>
              <w:spacing w:before="0" w:beforeAutospacing="0" w:after="0" w:afterAutospacing="0"/>
              <w:jc w:val="center"/>
              <w:rPr>
                <w:highlight w:val="none"/>
              </w:rPr>
            </w:pPr>
            <w:r>
              <w:rPr>
                <w:rFonts w:hint="eastAsia"/>
                <w:highlight w:val="none"/>
              </w:rPr>
              <w:t>超出、符合或偏离</w:t>
            </w:r>
          </w:p>
        </w:tc>
        <w:tc>
          <w:tcPr>
            <w:tcW w:w="1738" w:type="dxa"/>
            <w:tcBorders>
              <w:top w:val="single" w:color="000000" w:sz="4" w:space="0"/>
              <w:left w:val="single" w:color="000000" w:sz="4" w:space="0"/>
              <w:bottom w:val="single" w:color="000000" w:sz="4" w:space="0"/>
              <w:right w:val="single" w:color="000000" w:sz="4" w:space="0"/>
            </w:tcBorders>
            <w:vAlign w:val="center"/>
          </w:tcPr>
          <w:p w14:paraId="711B28CA">
            <w:pPr>
              <w:pStyle w:val="79"/>
              <w:widowControl w:val="0"/>
              <w:spacing w:before="0" w:beforeAutospacing="0" w:after="0" w:afterAutospacing="0"/>
              <w:jc w:val="center"/>
              <w:rPr>
                <w:highlight w:val="none"/>
              </w:rPr>
            </w:pPr>
            <w:r>
              <w:rPr>
                <w:rFonts w:hint="eastAsia"/>
                <w:highlight w:val="none"/>
              </w:rPr>
              <w:t>证明</w:t>
            </w:r>
          </w:p>
          <w:p w14:paraId="7A557453">
            <w:pPr>
              <w:pStyle w:val="79"/>
              <w:widowControl w:val="0"/>
              <w:spacing w:before="0" w:beforeAutospacing="0" w:after="0" w:afterAutospacing="0"/>
              <w:jc w:val="center"/>
              <w:rPr>
                <w:highlight w:val="none"/>
              </w:rPr>
            </w:pPr>
            <w:r>
              <w:rPr>
                <w:rFonts w:hint="eastAsia"/>
                <w:highlight w:val="none"/>
              </w:rPr>
              <w:t>材料</w:t>
            </w:r>
          </w:p>
        </w:tc>
      </w:tr>
      <w:tr w14:paraId="6BCCEABD">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6DB923CE">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B1C8B90">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BB984FE">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7624B43">
            <w:pPr>
              <w:pStyle w:val="79"/>
              <w:widowControl w:val="0"/>
              <w:spacing w:before="0" w:beforeAutospacing="0" w:after="0" w:afterAutospacing="0"/>
              <w:jc w:val="center"/>
              <w:rPr>
                <w:highlight w:val="none"/>
              </w:rPr>
            </w:pPr>
            <w:r>
              <w:rPr>
                <w:highlight w:val="none"/>
              </w:rPr>
              <w:t> </w:t>
            </w:r>
          </w:p>
        </w:tc>
        <w:tc>
          <w:tcPr>
            <w:tcW w:w="1738" w:type="dxa"/>
            <w:tcBorders>
              <w:top w:val="single" w:color="000000" w:sz="4" w:space="0"/>
              <w:left w:val="single" w:color="000000" w:sz="4" w:space="0"/>
              <w:bottom w:val="single" w:color="000000" w:sz="4" w:space="0"/>
              <w:right w:val="single" w:color="000000" w:sz="4" w:space="0"/>
            </w:tcBorders>
            <w:vAlign w:val="center"/>
          </w:tcPr>
          <w:p w14:paraId="39EB139F">
            <w:pPr>
              <w:pStyle w:val="79"/>
              <w:widowControl w:val="0"/>
              <w:spacing w:before="0" w:beforeAutospacing="0" w:after="0" w:afterAutospacing="0"/>
              <w:jc w:val="center"/>
              <w:rPr>
                <w:highlight w:val="none"/>
              </w:rPr>
            </w:pPr>
            <w:r>
              <w:rPr>
                <w:highlight w:val="none"/>
              </w:rPr>
              <w:t> </w:t>
            </w:r>
          </w:p>
        </w:tc>
      </w:tr>
      <w:tr w14:paraId="3D91F0C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703D5BD0">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A7690A2">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1DA7DBF">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FB14E28">
            <w:pPr>
              <w:pStyle w:val="79"/>
              <w:widowControl w:val="0"/>
              <w:spacing w:before="0" w:beforeAutospacing="0" w:after="0" w:afterAutospacing="0"/>
              <w:jc w:val="center"/>
              <w:rPr>
                <w:highlight w:val="none"/>
              </w:rPr>
            </w:pPr>
            <w:r>
              <w:rPr>
                <w:highlight w:val="none"/>
              </w:rPr>
              <w:t> </w:t>
            </w:r>
          </w:p>
        </w:tc>
        <w:tc>
          <w:tcPr>
            <w:tcW w:w="1738" w:type="dxa"/>
            <w:tcBorders>
              <w:top w:val="single" w:color="000000" w:sz="4" w:space="0"/>
              <w:left w:val="single" w:color="000000" w:sz="4" w:space="0"/>
              <w:bottom w:val="single" w:color="000000" w:sz="4" w:space="0"/>
              <w:right w:val="single" w:color="000000" w:sz="4" w:space="0"/>
            </w:tcBorders>
            <w:vAlign w:val="center"/>
          </w:tcPr>
          <w:p w14:paraId="17D097BC">
            <w:pPr>
              <w:pStyle w:val="79"/>
              <w:widowControl w:val="0"/>
              <w:spacing w:before="0" w:beforeAutospacing="0" w:after="0" w:afterAutospacing="0"/>
              <w:jc w:val="center"/>
              <w:rPr>
                <w:highlight w:val="none"/>
              </w:rPr>
            </w:pPr>
            <w:r>
              <w:rPr>
                <w:highlight w:val="none"/>
              </w:rPr>
              <w:t> </w:t>
            </w:r>
          </w:p>
        </w:tc>
      </w:tr>
      <w:tr w14:paraId="39DFD175">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7530169F">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6890AC6">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419CC6C">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851F351">
            <w:pPr>
              <w:pStyle w:val="79"/>
              <w:widowControl w:val="0"/>
              <w:spacing w:before="0" w:beforeAutospacing="0" w:after="0" w:afterAutospacing="0"/>
              <w:jc w:val="center"/>
              <w:rPr>
                <w:highlight w:val="none"/>
              </w:rPr>
            </w:pPr>
            <w:r>
              <w:rPr>
                <w:highlight w:val="none"/>
              </w:rPr>
              <w:t> </w:t>
            </w:r>
          </w:p>
        </w:tc>
        <w:tc>
          <w:tcPr>
            <w:tcW w:w="1738" w:type="dxa"/>
            <w:tcBorders>
              <w:top w:val="single" w:color="000000" w:sz="4" w:space="0"/>
              <w:left w:val="single" w:color="000000" w:sz="4" w:space="0"/>
              <w:bottom w:val="single" w:color="000000" w:sz="4" w:space="0"/>
              <w:right w:val="single" w:color="000000" w:sz="4" w:space="0"/>
            </w:tcBorders>
            <w:vAlign w:val="center"/>
          </w:tcPr>
          <w:p w14:paraId="409691D2">
            <w:pPr>
              <w:pStyle w:val="79"/>
              <w:widowControl w:val="0"/>
              <w:spacing w:before="0" w:beforeAutospacing="0" w:after="0" w:afterAutospacing="0"/>
              <w:jc w:val="center"/>
              <w:rPr>
                <w:highlight w:val="none"/>
              </w:rPr>
            </w:pPr>
            <w:r>
              <w:rPr>
                <w:highlight w:val="none"/>
              </w:rPr>
              <w:t> </w:t>
            </w:r>
          </w:p>
        </w:tc>
      </w:tr>
      <w:tr w14:paraId="6B55C0FA">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0FC93E7A">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77219D8">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FFEACBE">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314A262">
            <w:pPr>
              <w:pStyle w:val="79"/>
              <w:widowControl w:val="0"/>
              <w:spacing w:before="0" w:beforeAutospacing="0" w:after="0" w:afterAutospacing="0"/>
              <w:jc w:val="center"/>
              <w:rPr>
                <w:highlight w:val="none"/>
              </w:rPr>
            </w:pPr>
            <w:r>
              <w:rPr>
                <w:highlight w:val="none"/>
              </w:rPr>
              <w:t> </w:t>
            </w:r>
          </w:p>
        </w:tc>
        <w:tc>
          <w:tcPr>
            <w:tcW w:w="1738" w:type="dxa"/>
            <w:tcBorders>
              <w:top w:val="single" w:color="000000" w:sz="4" w:space="0"/>
              <w:left w:val="single" w:color="000000" w:sz="4" w:space="0"/>
              <w:bottom w:val="single" w:color="000000" w:sz="4" w:space="0"/>
              <w:right w:val="single" w:color="000000" w:sz="4" w:space="0"/>
            </w:tcBorders>
            <w:vAlign w:val="center"/>
          </w:tcPr>
          <w:p w14:paraId="06C1FB5B">
            <w:pPr>
              <w:pStyle w:val="79"/>
              <w:widowControl w:val="0"/>
              <w:spacing w:before="0" w:beforeAutospacing="0" w:after="0" w:afterAutospacing="0"/>
              <w:jc w:val="center"/>
              <w:rPr>
                <w:highlight w:val="none"/>
              </w:rPr>
            </w:pPr>
            <w:r>
              <w:rPr>
                <w:highlight w:val="none"/>
              </w:rPr>
              <w:t> </w:t>
            </w:r>
          </w:p>
        </w:tc>
      </w:tr>
      <w:tr w14:paraId="323FE935">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0653DF20">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3FB4B15">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854A17F">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FE1942A">
            <w:pPr>
              <w:pStyle w:val="79"/>
              <w:widowControl w:val="0"/>
              <w:spacing w:before="0" w:beforeAutospacing="0" w:after="0" w:afterAutospacing="0"/>
              <w:jc w:val="center"/>
              <w:rPr>
                <w:highlight w:val="none"/>
              </w:rPr>
            </w:pPr>
            <w:r>
              <w:rPr>
                <w:highlight w:val="none"/>
              </w:rPr>
              <w:t> </w:t>
            </w:r>
          </w:p>
        </w:tc>
        <w:tc>
          <w:tcPr>
            <w:tcW w:w="1738" w:type="dxa"/>
            <w:tcBorders>
              <w:top w:val="single" w:color="000000" w:sz="4" w:space="0"/>
              <w:left w:val="single" w:color="000000" w:sz="4" w:space="0"/>
              <w:bottom w:val="single" w:color="000000" w:sz="4" w:space="0"/>
              <w:right w:val="single" w:color="000000" w:sz="4" w:space="0"/>
            </w:tcBorders>
            <w:vAlign w:val="center"/>
          </w:tcPr>
          <w:p w14:paraId="13655D95">
            <w:pPr>
              <w:pStyle w:val="79"/>
              <w:widowControl w:val="0"/>
              <w:spacing w:before="0" w:beforeAutospacing="0" w:after="0" w:afterAutospacing="0"/>
              <w:jc w:val="center"/>
              <w:rPr>
                <w:highlight w:val="none"/>
              </w:rPr>
            </w:pPr>
            <w:r>
              <w:rPr>
                <w:highlight w:val="none"/>
              </w:rPr>
              <w:t> </w:t>
            </w:r>
          </w:p>
        </w:tc>
      </w:tr>
      <w:tr w14:paraId="0B57502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6F6C3F8D">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64B06A5">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4263309">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287B1A3">
            <w:pPr>
              <w:pStyle w:val="79"/>
              <w:widowControl w:val="0"/>
              <w:spacing w:before="0" w:beforeAutospacing="0" w:after="0" w:afterAutospacing="0"/>
              <w:jc w:val="center"/>
              <w:rPr>
                <w:highlight w:val="none"/>
              </w:rPr>
            </w:pPr>
            <w:r>
              <w:rPr>
                <w:highlight w:val="none"/>
              </w:rPr>
              <w:t> </w:t>
            </w:r>
          </w:p>
        </w:tc>
        <w:tc>
          <w:tcPr>
            <w:tcW w:w="1738" w:type="dxa"/>
            <w:tcBorders>
              <w:top w:val="single" w:color="000000" w:sz="4" w:space="0"/>
              <w:left w:val="single" w:color="000000" w:sz="4" w:space="0"/>
              <w:bottom w:val="single" w:color="000000" w:sz="4" w:space="0"/>
              <w:right w:val="single" w:color="000000" w:sz="4" w:space="0"/>
            </w:tcBorders>
            <w:vAlign w:val="center"/>
          </w:tcPr>
          <w:p w14:paraId="322908AD">
            <w:pPr>
              <w:pStyle w:val="79"/>
              <w:widowControl w:val="0"/>
              <w:spacing w:before="0" w:beforeAutospacing="0" w:after="0" w:afterAutospacing="0"/>
              <w:jc w:val="center"/>
              <w:rPr>
                <w:highlight w:val="none"/>
              </w:rPr>
            </w:pPr>
            <w:r>
              <w:rPr>
                <w:highlight w:val="none"/>
              </w:rPr>
              <w:t> </w:t>
            </w:r>
          </w:p>
        </w:tc>
      </w:tr>
      <w:tr w14:paraId="48D7E601">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7F04BE72">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68471E1">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F761CCA">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A5792DA">
            <w:pPr>
              <w:pStyle w:val="79"/>
              <w:widowControl w:val="0"/>
              <w:spacing w:before="0" w:beforeAutospacing="0" w:after="0" w:afterAutospacing="0"/>
              <w:jc w:val="center"/>
              <w:rPr>
                <w:highlight w:val="none"/>
              </w:rPr>
            </w:pPr>
            <w:r>
              <w:rPr>
                <w:highlight w:val="none"/>
              </w:rPr>
              <w:t> </w:t>
            </w:r>
          </w:p>
        </w:tc>
        <w:tc>
          <w:tcPr>
            <w:tcW w:w="1738" w:type="dxa"/>
            <w:tcBorders>
              <w:top w:val="single" w:color="000000" w:sz="4" w:space="0"/>
              <w:left w:val="single" w:color="000000" w:sz="4" w:space="0"/>
              <w:bottom w:val="single" w:color="000000" w:sz="4" w:space="0"/>
              <w:right w:val="single" w:color="000000" w:sz="4" w:space="0"/>
            </w:tcBorders>
            <w:vAlign w:val="center"/>
          </w:tcPr>
          <w:p w14:paraId="66D60268">
            <w:pPr>
              <w:pStyle w:val="79"/>
              <w:widowControl w:val="0"/>
              <w:spacing w:before="0" w:beforeAutospacing="0" w:after="0" w:afterAutospacing="0"/>
              <w:jc w:val="center"/>
              <w:rPr>
                <w:highlight w:val="none"/>
              </w:rPr>
            </w:pPr>
            <w:r>
              <w:rPr>
                <w:highlight w:val="none"/>
              </w:rPr>
              <w:t> </w:t>
            </w:r>
          </w:p>
        </w:tc>
      </w:tr>
      <w:tr w14:paraId="2FDA73C1">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3725F34B">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2DED623">
            <w:pPr>
              <w:pStyle w:val="79"/>
              <w:widowControl w:val="0"/>
              <w:spacing w:before="0" w:beforeAutospacing="0" w:after="0" w:afterAutospacing="0"/>
              <w:jc w:val="center"/>
              <w:rPr>
                <w:highlight w:val="none"/>
              </w:rPr>
            </w:pPr>
            <w:r>
              <w:rPr>
                <w:rFonts w:hint="eastAsia"/>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3CBEF2FA">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9BA152C">
            <w:pPr>
              <w:pStyle w:val="79"/>
              <w:widowControl w:val="0"/>
              <w:spacing w:before="0" w:beforeAutospacing="0" w:after="0" w:afterAutospacing="0"/>
              <w:jc w:val="center"/>
              <w:rPr>
                <w:highlight w:val="none"/>
              </w:rPr>
            </w:pPr>
            <w:r>
              <w:rPr>
                <w:highlight w:val="none"/>
              </w:rPr>
              <w:t> </w:t>
            </w:r>
          </w:p>
        </w:tc>
        <w:tc>
          <w:tcPr>
            <w:tcW w:w="1738" w:type="dxa"/>
            <w:tcBorders>
              <w:top w:val="single" w:color="000000" w:sz="4" w:space="0"/>
              <w:left w:val="single" w:color="000000" w:sz="4" w:space="0"/>
              <w:bottom w:val="single" w:color="000000" w:sz="4" w:space="0"/>
              <w:right w:val="single" w:color="000000" w:sz="4" w:space="0"/>
            </w:tcBorders>
            <w:vAlign w:val="center"/>
          </w:tcPr>
          <w:p w14:paraId="42F7AE98">
            <w:pPr>
              <w:pStyle w:val="79"/>
              <w:widowControl w:val="0"/>
              <w:spacing w:before="0" w:beforeAutospacing="0" w:after="0" w:afterAutospacing="0"/>
              <w:jc w:val="center"/>
              <w:rPr>
                <w:highlight w:val="none"/>
              </w:rPr>
            </w:pPr>
            <w:r>
              <w:rPr>
                <w:highlight w:val="none"/>
              </w:rPr>
              <w:t> </w:t>
            </w:r>
          </w:p>
        </w:tc>
      </w:tr>
    </w:tbl>
    <w:p w14:paraId="5EF4E8EC">
      <w:pPr>
        <w:pStyle w:val="79"/>
        <w:widowControl w:val="0"/>
        <w:spacing w:before="0" w:beforeAutospacing="0" w:after="0" w:afterAutospacing="0"/>
        <w:jc w:val="both"/>
        <w:rPr>
          <w:highlight w:val="none"/>
        </w:rPr>
      </w:pPr>
      <w:r>
        <w:rPr>
          <w:rFonts w:hint="eastAsia"/>
          <w:highlight w:val="none"/>
        </w:rPr>
        <w:t>注： 行数不够，可自行添加。</w:t>
      </w:r>
    </w:p>
    <w:p w14:paraId="550E77EF">
      <w:pPr>
        <w:pStyle w:val="79"/>
        <w:widowControl w:val="0"/>
        <w:spacing w:before="0" w:beforeAutospacing="0" w:after="0" w:afterAutospacing="0"/>
        <w:jc w:val="center"/>
        <w:rPr>
          <w:highlight w:val="none"/>
        </w:rPr>
      </w:pPr>
      <w:r>
        <w:rPr>
          <w:highlight w:val="none"/>
        </w:rPr>
        <w:t> </w:t>
      </w:r>
    </w:p>
    <w:p w14:paraId="3EA3AFE0">
      <w:pPr>
        <w:pStyle w:val="79"/>
        <w:widowControl w:val="0"/>
        <w:spacing w:before="0" w:beforeAutospacing="0" w:after="0" w:afterAutospacing="0"/>
        <w:jc w:val="center"/>
        <w:rPr>
          <w:highlight w:val="none"/>
        </w:rPr>
      </w:pPr>
      <w:r>
        <w:rPr>
          <w:highlight w:val="none"/>
        </w:rPr>
        <w:t> </w:t>
      </w:r>
    </w:p>
    <w:p w14:paraId="737F2F41">
      <w:pPr>
        <w:rPr>
          <w:rFonts w:ascii="宋体" w:hAnsi="宋体"/>
          <w:highlight w:val="none"/>
        </w:rPr>
      </w:pPr>
      <w:r>
        <w:rPr>
          <w:rFonts w:hint="eastAsia" w:ascii="宋体" w:hAnsi="宋体"/>
          <w:highlight w:val="none"/>
        </w:rPr>
        <w:t>投标方：（单位盖章）</w:t>
      </w:r>
    </w:p>
    <w:p w14:paraId="4F63D749">
      <w:pPr>
        <w:rPr>
          <w:rFonts w:ascii="宋体" w:hAnsi="宋体"/>
          <w:highlight w:val="none"/>
        </w:rPr>
      </w:pPr>
      <w:r>
        <w:rPr>
          <w:rFonts w:hint="eastAsia" w:ascii="宋体" w:hAnsi="宋体"/>
          <w:highlight w:val="none"/>
        </w:rPr>
        <w:t xml:space="preserve">法定代表人或授权委托人：（签字或盖章）   </w:t>
      </w:r>
    </w:p>
    <w:p w14:paraId="34716F02">
      <w:pPr>
        <w:pStyle w:val="79"/>
        <w:widowControl w:val="0"/>
        <w:spacing w:before="0" w:beforeAutospacing="0" w:after="0" w:afterAutospacing="0"/>
        <w:rPr>
          <w:highlight w:val="none"/>
        </w:rPr>
      </w:pPr>
      <w:r>
        <w:rPr>
          <w:rFonts w:hint="eastAsia"/>
          <w:highlight w:val="none"/>
        </w:rPr>
        <w:t>日期：         年</w:t>
      </w:r>
      <w:r>
        <w:rPr>
          <w:highlight w:val="none"/>
        </w:rPr>
        <w:t xml:space="preserve"> </w:t>
      </w:r>
      <w:r>
        <w:rPr>
          <w:rFonts w:hint="eastAsia"/>
          <w:highlight w:val="none"/>
        </w:rPr>
        <w:t xml:space="preserve">     </w:t>
      </w:r>
      <w:r>
        <w:rPr>
          <w:highlight w:val="none"/>
        </w:rPr>
        <w:t xml:space="preserve"> </w:t>
      </w:r>
      <w:r>
        <w:rPr>
          <w:rFonts w:hint="eastAsia"/>
          <w:highlight w:val="none"/>
        </w:rPr>
        <w:t>月</w:t>
      </w:r>
      <w:r>
        <w:rPr>
          <w:highlight w:val="none"/>
        </w:rPr>
        <w:t xml:space="preserve"> </w:t>
      </w:r>
      <w:r>
        <w:rPr>
          <w:rFonts w:hint="eastAsia"/>
          <w:highlight w:val="none"/>
        </w:rPr>
        <w:t xml:space="preserve">    </w:t>
      </w:r>
      <w:r>
        <w:rPr>
          <w:highlight w:val="none"/>
        </w:rPr>
        <w:t xml:space="preserve"> </w:t>
      </w:r>
      <w:r>
        <w:rPr>
          <w:rFonts w:hint="eastAsia"/>
          <w:highlight w:val="none"/>
        </w:rPr>
        <w:t>日</w:t>
      </w:r>
      <w:r>
        <w:rPr>
          <w:highlight w:val="none"/>
        </w:rPr>
        <w:t> </w:t>
      </w:r>
    </w:p>
    <w:p w14:paraId="1B6B9901">
      <w:pPr>
        <w:pStyle w:val="79"/>
        <w:widowControl w:val="0"/>
        <w:spacing w:before="0" w:beforeAutospacing="0" w:after="0" w:afterAutospacing="0"/>
        <w:jc w:val="center"/>
        <w:rPr>
          <w:highlight w:val="none"/>
        </w:rPr>
      </w:pPr>
      <w:r>
        <w:rPr>
          <w:highlight w:val="none"/>
        </w:rPr>
        <w:t> </w:t>
      </w:r>
    </w:p>
    <w:p w14:paraId="252F81DD">
      <w:pPr>
        <w:pStyle w:val="79"/>
        <w:widowControl w:val="0"/>
        <w:spacing w:before="0" w:beforeAutospacing="0" w:after="0" w:afterAutospacing="0"/>
        <w:jc w:val="both"/>
        <w:rPr>
          <w:highlight w:val="none"/>
        </w:rPr>
      </w:pPr>
      <w:r>
        <w:rPr>
          <w:highlight w:val="none"/>
        </w:rPr>
        <w:t> </w:t>
      </w:r>
    </w:p>
    <w:p w14:paraId="6C8AF9D9">
      <w:pPr>
        <w:pStyle w:val="79"/>
        <w:widowControl w:val="0"/>
        <w:spacing w:before="0" w:beforeAutospacing="0" w:after="0" w:afterAutospacing="0"/>
        <w:jc w:val="both"/>
        <w:rPr>
          <w:highlight w:val="none"/>
        </w:rPr>
      </w:pPr>
      <w:r>
        <w:rPr>
          <w:highlight w:val="none"/>
        </w:rPr>
        <w:t> </w:t>
      </w:r>
    </w:p>
    <w:p w14:paraId="48FEC8D1">
      <w:pPr>
        <w:pStyle w:val="79"/>
        <w:widowControl w:val="0"/>
        <w:spacing w:before="0" w:beforeAutospacing="0" w:after="0" w:afterAutospacing="0"/>
        <w:jc w:val="both"/>
        <w:rPr>
          <w:highlight w:val="none"/>
        </w:rPr>
      </w:pPr>
      <w:r>
        <w:rPr>
          <w:highlight w:val="none"/>
        </w:rPr>
        <w:t> </w:t>
      </w:r>
    </w:p>
    <w:p w14:paraId="28B4E2CE">
      <w:pPr>
        <w:pStyle w:val="79"/>
        <w:widowControl w:val="0"/>
        <w:spacing w:before="0" w:beforeAutospacing="0" w:after="0" w:afterAutospacing="0"/>
        <w:jc w:val="both"/>
        <w:rPr>
          <w:highlight w:val="none"/>
        </w:rPr>
      </w:pPr>
      <w:r>
        <w:rPr>
          <w:highlight w:val="none"/>
        </w:rPr>
        <w:t> </w:t>
      </w:r>
    </w:p>
    <w:p w14:paraId="15C80FB8">
      <w:pPr>
        <w:pStyle w:val="79"/>
        <w:widowControl w:val="0"/>
        <w:spacing w:before="0" w:beforeAutospacing="0" w:after="0" w:afterAutospacing="0"/>
        <w:jc w:val="both"/>
        <w:rPr>
          <w:highlight w:val="none"/>
        </w:rPr>
      </w:pPr>
    </w:p>
    <w:p w14:paraId="333B5857">
      <w:pPr>
        <w:pStyle w:val="79"/>
        <w:widowControl w:val="0"/>
        <w:spacing w:before="0" w:beforeAutospacing="0" w:after="0" w:afterAutospacing="0"/>
        <w:jc w:val="both"/>
        <w:rPr>
          <w:highlight w:val="none"/>
        </w:rPr>
      </w:pPr>
    </w:p>
    <w:p w14:paraId="607E945B">
      <w:pPr>
        <w:pStyle w:val="79"/>
        <w:widowControl w:val="0"/>
        <w:spacing w:before="0" w:beforeAutospacing="0" w:after="0" w:afterAutospacing="0"/>
        <w:jc w:val="both"/>
        <w:rPr>
          <w:highlight w:val="none"/>
        </w:rPr>
      </w:pPr>
    </w:p>
    <w:p w14:paraId="3164F6F5">
      <w:pPr>
        <w:pStyle w:val="79"/>
        <w:widowControl w:val="0"/>
        <w:spacing w:before="0" w:beforeAutospacing="0" w:after="0" w:afterAutospacing="0"/>
        <w:jc w:val="both"/>
        <w:rPr>
          <w:highlight w:val="none"/>
        </w:rPr>
      </w:pPr>
    </w:p>
    <w:p w14:paraId="594BEB2C">
      <w:pPr>
        <w:pStyle w:val="79"/>
        <w:widowControl w:val="0"/>
        <w:spacing w:before="0" w:beforeAutospacing="0" w:after="0" w:afterAutospacing="0"/>
        <w:jc w:val="both"/>
        <w:rPr>
          <w:highlight w:val="none"/>
        </w:rPr>
      </w:pPr>
    </w:p>
    <w:p w14:paraId="217BA8D8">
      <w:pPr>
        <w:pStyle w:val="79"/>
        <w:widowControl w:val="0"/>
        <w:spacing w:before="0" w:beforeAutospacing="0" w:after="0" w:afterAutospacing="0"/>
        <w:jc w:val="both"/>
        <w:rPr>
          <w:highlight w:val="none"/>
        </w:rPr>
      </w:pPr>
    </w:p>
    <w:p w14:paraId="4E43EB5F">
      <w:pPr>
        <w:pStyle w:val="79"/>
        <w:widowControl w:val="0"/>
        <w:spacing w:before="0" w:beforeAutospacing="0" w:after="0" w:afterAutospacing="0"/>
        <w:jc w:val="both"/>
        <w:rPr>
          <w:highlight w:val="none"/>
        </w:rPr>
      </w:pPr>
    </w:p>
    <w:p w14:paraId="07B75982">
      <w:pPr>
        <w:pStyle w:val="79"/>
        <w:widowControl w:val="0"/>
        <w:spacing w:before="0" w:beforeAutospacing="0" w:after="0" w:afterAutospacing="0"/>
        <w:jc w:val="both"/>
        <w:rPr>
          <w:highlight w:val="none"/>
        </w:rPr>
      </w:pPr>
    </w:p>
    <w:p w14:paraId="3CEE4DB0">
      <w:pPr>
        <w:pStyle w:val="79"/>
        <w:widowControl w:val="0"/>
        <w:spacing w:before="0" w:beforeAutospacing="0" w:after="0" w:afterAutospacing="0" w:line="0" w:lineRule="atLeast"/>
        <w:jc w:val="center"/>
        <w:rPr>
          <w:b/>
          <w:sz w:val="28"/>
          <w:szCs w:val="28"/>
          <w:highlight w:val="none"/>
        </w:rPr>
      </w:pPr>
      <w:r>
        <w:rPr>
          <w:b/>
          <w:sz w:val="28"/>
          <w:szCs w:val="28"/>
          <w:highlight w:val="none"/>
        </w:rPr>
        <w:br w:type="page" w:clear="all"/>
      </w:r>
      <w:r>
        <w:rPr>
          <w:rFonts w:hint="eastAsia"/>
          <w:b/>
          <w:sz w:val="28"/>
          <w:szCs w:val="28"/>
          <w:highlight w:val="none"/>
        </w:rPr>
        <w:t>十三、商务要求响应及偏离表</w:t>
      </w:r>
    </w:p>
    <w:tbl>
      <w:tblPr>
        <w:tblStyle w:val="87"/>
        <w:tblW w:w="8520" w:type="dxa"/>
        <w:jc w:val="center"/>
        <w:tblCellSpacing w:w="0" w:type="dxa"/>
        <w:tblLayout w:type="fixed"/>
        <w:tblCellMar>
          <w:top w:w="0" w:type="dxa"/>
          <w:left w:w="108" w:type="dxa"/>
          <w:bottom w:w="0" w:type="dxa"/>
          <w:right w:w="108" w:type="dxa"/>
        </w:tblCellMar>
      </w:tblPr>
      <w:tblGrid>
        <w:gridCol w:w="538"/>
        <w:gridCol w:w="3026"/>
        <w:gridCol w:w="2608"/>
        <w:gridCol w:w="1247"/>
        <w:gridCol w:w="1101"/>
      </w:tblGrid>
      <w:tr w14:paraId="5770FA08">
        <w:tblPrEx>
          <w:tblCellMar>
            <w:top w:w="0" w:type="dxa"/>
            <w:left w:w="108" w:type="dxa"/>
            <w:bottom w:w="0" w:type="dxa"/>
            <w:right w:w="108" w:type="dxa"/>
          </w:tblCellMar>
        </w:tblPrEx>
        <w:trPr>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4123ED02">
            <w:pPr>
              <w:pStyle w:val="79"/>
              <w:widowControl w:val="0"/>
              <w:spacing w:before="0" w:beforeAutospacing="0" w:after="0" w:afterAutospacing="0"/>
              <w:jc w:val="center"/>
              <w:rPr>
                <w:highlight w:val="none"/>
              </w:rPr>
            </w:pPr>
            <w:bookmarkStart w:id="8" w:name="_Hlt26955056"/>
            <w:bookmarkStart w:id="9" w:name="_Hlt26782999"/>
            <w:bookmarkStart w:id="10" w:name="_Hlt26671343"/>
            <w:bookmarkStart w:id="11" w:name="_Hlt26609391"/>
            <w:bookmarkStart w:id="12" w:name="_Hlt24879081"/>
            <w:bookmarkStart w:id="13" w:name="_Hlt26671372"/>
            <w:bookmarkStart w:id="14" w:name="_Hlt26580838"/>
            <w:bookmarkStart w:id="15" w:name="_Hlt26955064"/>
            <w:r>
              <w:rPr>
                <w:rFonts w:hint="eastAsia"/>
                <w:highlight w:val="none"/>
              </w:rPr>
              <w:t>序号</w:t>
            </w:r>
            <w:bookmarkEnd w:id="8"/>
            <w:bookmarkEnd w:id="9"/>
            <w:bookmarkEnd w:id="10"/>
            <w:bookmarkEnd w:id="11"/>
            <w:bookmarkEnd w:id="12"/>
            <w:bookmarkEnd w:id="13"/>
            <w:bookmarkEnd w:id="14"/>
            <w:bookmarkEnd w:id="15"/>
          </w:p>
        </w:tc>
        <w:tc>
          <w:tcPr>
            <w:tcW w:w="3026" w:type="dxa"/>
            <w:tcBorders>
              <w:top w:val="single" w:color="000000" w:sz="4" w:space="0"/>
              <w:left w:val="single" w:color="000000" w:sz="4" w:space="0"/>
              <w:bottom w:val="single" w:color="000000" w:sz="4" w:space="0"/>
              <w:right w:val="single" w:color="000000" w:sz="4" w:space="0"/>
            </w:tcBorders>
            <w:vAlign w:val="center"/>
          </w:tcPr>
          <w:p w14:paraId="1FF90A6B">
            <w:pPr>
              <w:pStyle w:val="79"/>
              <w:widowControl w:val="0"/>
              <w:spacing w:before="0" w:beforeAutospacing="0" w:after="0" w:afterAutospacing="0"/>
              <w:jc w:val="center"/>
              <w:rPr>
                <w:highlight w:val="none"/>
              </w:rPr>
            </w:pPr>
            <w:r>
              <w:rPr>
                <w:rFonts w:hint="eastAsia"/>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06A77FA6">
            <w:pPr>
              <w:pStyle w:val="79"/>
              <w:widowControl w:val="0"/>
              <w:spacing w:before="0" w:beforeAutospacing="0" w:after="0" w:afterAutospacing="0"/>
              <w:jc w:val="center"/>
              <w:rPr>
                <w:highlight w:val="none"/>
              </w:rPr>
            </w:pPr>
            <w:r>
              <w:rPr>
                <w:rFonts w:hint="eastAsia"/>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686FBC94">
            <w:pPr>
              <w:pStyle w:val="79"/>
              <w:widowControl w:val="0"/>
              <w:spacing w:before="0" w:beforeAutospacing="0" w:after="0" w:afterAutospacing="0"/>
              <w:jc w:val="center"/>
              <w:rPr>
                <w:highlight w:val="none"/>
              </w:rPr>
            </w:pPr>
            <w:r>
              <w:rPr>
                <w:rFonts w:hint="eastAsia"/>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027917B8">
            <w:pPr>
              <w:pStyle w:val="79"/>
              <w:widowControl w:val="0"/>
              <w:spacing w:before="0" w:beforeAutospacing="0" w:after="0" w:afterAutospacing="0"/>
              <w:jc w:val="center"/>
              <w:rPr>
                <w:highlight w:val="none"/>
              </w:rPr>
            </w:pPr>
            <w:r>
              <w:rPr>
                <w:rFonts w:hint="eastAsia"/>
                <w:highlight w:val="none"/>
              </w:rPr>
              <w:t>证明</w:t>
            </w:r>
          </w:p>
          <w:p w14:paraId="39B242D0">
            <w:pPr>
              <w:pStyle w:val="79"/>
              <w:widowControl w:val="0"/>
              <w:spacing w:before="0" w:beforeAutospacing="0" w:after="0" w:afterAutospacing="0"/>
              <w:jc w:val="center"/>
              <w:rPr>
                <w:highlight w:val="none"/>
              </w:rPr>
            </w:pPr>
            <w:r>
              <w:rPr>
                <w:rFonts w:hint="eastAsia"/>
                <w:highlight w:val="none"/>
              </w:rPr>
              <w:t>材料</w:t>
            </w:r>
          </w:p>
        </w:tc>
      </w:tr>
      <w:tr w14:paraId="4A37FC39">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172D27C2">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ED42483">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91C8DDC">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B73E45F">
            <w:pPr>
              <w:pStyle w:val="79"/>
              <w:widowControl w:val="0"/>
              <w:spacing w:before="0" w:beforeAutospacing="0" w:after="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2264557">
            <w:pPr>
              <w:pStyle w:val="79"/>
              <w:widowControl w:val="0"/>
              <w:spacing w:before="0" w:beforeAutospacing="0" w:after="0" w:afterAutospacing="0"/>
              <w:jc w:val="center"/>
              <w:rPr>
                <w:highlight w:val="none"/>
              </w:rPr>
            </w:pPr>
            <w:r>
              <w:rPr>
                <w:highlight w:val="none"/>
              </w:rPr>
              <w:t> </w:t>
            </w:r>
          </w:p>
        </w:tc>
      </w:tr>
      <w:tr w14:paraId="79ACCDC0">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21743D0E">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BFA22F8">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A7D829F">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512D93A">
            <w:pPr>
              <w:pStyle w:val="79"/>
              <w:widowControl w:val="0"/>
              <w:spacing w:before="0" w:beforeAutospacing="0" w:after="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0A916CC">
            <w:pPr>
              <w:pStyle w:val="79"/>
              <w:widowControl w:val="0"/>
              <w:spacing w:before="0" w:beforeAutospacing="0" w:after="0" w:afterAutospacing="0"/>
              <w:jc w:val="center"/>
              <w:rPr>
                <w:highlight w:val="none"/>
              </w:rPr>
            </w:pPr>
            <w:r>
              <w:rPr>
                <w:highlight w:val="none"/>
              </w:rPr>
              <w:t> </w:t>
            </w:r>
          </w:p>
        </w:tc>
      </w:tr>
      <w:tr w14:paraId="4F07570E">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240D62FF">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0170DEB">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BB291C1">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6BC0855">
            <w:pPr>
              <w:pStyle w:val="79"/>
              <w:widowControl w:val="0"/>
              <w:spacing w:before="0" w:beforeAutospacing="0" w:after="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BA7588A">
            <w:pPr>
              <w:pStyle w:val="79"/>
              <w:widowControl w:val="0"/>
              <w:spacing w:before="0" w:beforeAutospacing="0" w:after="0" w:afterAutospacing="0"/>
              <w:jc w:val="center"/>
              <w:rPr>
                <w:highlight w:val="none"/>
              </w:rPr>
            </w:pPr>
            <w:r>
              <w:rPr>
                <w:highlight w:val="none"/>
              </w:rPr>
              <w:t> </w:t>
            </w:r>
          </w:p>
        </w:tc>
      </w:tr>
      <w:tr w14:paraId="25EEA710">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78952AD5">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439AA99">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26EE5A2">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3B5A789">
            <w:pPr>
              <w:pStyle w:val="79"/>
              <w:widowControl w:val="0"/>
              <w:spacing w:before="0" w:beforeAutospacing="0" w:after="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E5B881D">
            <w:pPr>
              <w:pStyle w:val="79"/>
              <w:widowControl w:val="0"/>
              <w:spacing w:before="0" w:beforeAutospacing="0" w:after="0" w:afterAutospacing="0"/>
              <w:jc w:val="center"/>
              <w:rPr>
                <w:highlight w:val="none"/>
              </w:rPr>
            </w:pPr>
            <w:r>
              <w:rPr>
                <w:highlight w:val="none"/>
              </w:rPr>
              <w:t> </w:t>
            </w:r>
          </w:p>
        </w:tc>
      </w:tr>
      <w:tr w14:paraId="1882340C">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6D8A4156">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CA63869">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94A5F58">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6D651F6">
            <w:pPr>
              <w:pStyle w:val="79"/>
              <w:widowControl w:val="0"/>
              <w:spacing w:before="0" w:beforeAutospacing="0" w:after="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E761016">
            <w:pPr>
              <w:pStyle w:val="79"/>
              <w:widowControl w:val="0"/>
              <w:spacing w:before="0" w:beforeAutospacing="0" w:after="0" w:afterAutospacing="0"/>
              <w:jc w:val="center"/>
              <w:rPr>
                <w:highlight w:val="none"/>
              </w:rPr>
            </w:pPr>
            <w:r>
              <w:rPr>
                <w:highlight w:val="none"/>
              </w:rPr>
              <w:t> </w:t>
            </w:r>
          </w:p>
        </w:tc>
      </w:tr>
      <w:tr w14:paraId="76800343">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1704509B">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D8BCB0C">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ABFC743">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7511950">
            <w:pPr>
              <w:pStyle w:val="79"/>
              <w:widowControl w:val="0"/>
              <w:spacing w:before="0" w:beforeAutospacing="0" w:after="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281B057">
            <w:pPr>
              <w:pStyle w:val="79"/>
              <w:widowControl w:val="0"/>
              <w:spacing w:before="0" w:beforeAutospacing="0" w:after="0" w:afterAutospacing="0"/>
              <w:jc w:val="center"/>
              <w:rPr>
                <w:highlight w:val="none"/>
              </w:rPr>
            </w:pPr>
            <w:r>
              <w:rPr>
                <w:highlight w:val="none"/>
              </w:rPr>
              <w:t> </w:t>
            </w:r>
          </w:p>
        </w:tc>
      </w:tr>
      <w:tr w14:paraId="58018FB0">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625BE83A">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6844C4F">
            <w:pPr>
              <w:pStyle w:val="79"/>
              <w:widowControl w:val="0"/>
              <w:spacing w:before="0" w:beforeAutospacing="0" w:after="0" w:afterAutospacing="0"/>
              <w:jc w:val="center"/>
              <w:rPr>
                <w:highlight w:val="none"/>
              </w:rPr>
            </w:pPr>
            <w:r>
              <w:rPr>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47CEA90">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67275D6">
            <w:pPr>
              <w:pStyle w:val="79"/>
              <w:widowControl w:val="0"/>
              <w:spacing w:before="0" w:beforeAutospacing="0" w:after="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9155428">
            <w:pPr>
              <w:pStyle w:val="79"/>
              <w:widowControl w:val="0"/>
              <w:spacing w:before="0" w:beforeAutospacing="0" w:after="0" w:afterAutospacing="0"/>
              <w:jc w:val="center"/>
              <w:rPr>
                <w:highlight w:val="none"/>
              </w:rPr>
            </w:pPr>
            <w:r>
              <w:rPr>
                <w:highlight w:val="none"/>
              </w:rPr>
              <w:t> </w:t>
            </w:r>
          </w:p>
        </w:tc>
      </w:tr>
      <w:tr w14:paraId="05A957BB">
        <w:tblPrEx>
          <w:tblCellMar>
            <w:top w:w="0" w:type="dxa"/>
            <w:left w:w="108" w:type="dxa"/>
            <w:bottom w:w="0" w:type="dxa"/>
            <w:right w:w="108" w:type="dxa"/>
          </w:tblCellMar>
        </w:tblPrEx>
        <w:trPr>
          <w:trHeight w:val="640" w:hRule="atLeast"/>
          <w:tblCellSpacing w:w="0" w:type="dxa"/>
          <w:jc w:val="center"/>
        </w:trPr>
        <w:tc>
          <w:tcPr>
            <w:tcW w:w="538" w:type="dxa"/>
            <w:tcBorders>
              <w:top w:val="single" w:color="000000" w:sz="4" w:space="0"/>
              <w:left w:val="single" w:color="000000" w:sz="4" w:space="0"/>
              <w:bottom w:val="single" w:color="000000" w:sz="4" w:space="0"/>
              <w:right w:val="single" w:color="000000" w:sz="4" w:space="0"/>
            </w:tcBorders>
            <w:vAlign w:val="center"/>
          </w:tcPr>
          <w:p w14:paraId="12AE7574">
            <w:pPr>
              <w:pStyle w:val="79"/>
              <w:widowControl w:val="0"/>
              <w:spacing w:before="0" w:beforeAutospacing="0" w:after="0" w:afterAutospacing="0"/>
              <w:jc w:val="center"/>
              <w:rPr>
                <w:highlight w:val="none"/>
              </w:rPr>
            </w:pPr>
            <w:r>
              <w:rPr>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B1DB1D7">
            <w:pPr>
              <w:pStyle w:val="79"/>
              <w:widowControl w:val="0"/>
              <w:spacing w:before="0" w:beforeAutospacing="0" w:after="0" w:afterAutospacing="0"/>
              <w:jc w:val="center"/>
              <w:rPr>
                <w:highlight w:val="none"/>
              </w:rPr>
            </w:pPr>
            <w:r>
              <w:rPr>
                <w:rFonts w:hint="eastAsia"/>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2AA5CEC1">
            <w:pPr>
              <w:pStyle w:val="79"/>
              <w:widowControl w:val="0"/>
              <w:spacing w:before="0" w:beforeAutospacing="0" w:after="0" w:afterAutospacing="0"/>
              <w:jc w:val="center"/>
              <w:rPr>
                <w:highlight w:val="none"/>
              </w:rPr>
            </w:pPr>
            <w:r>
              <w:rPr>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4E10356">
            <w:pPr>
              <w:pStyle w:val="79"/>
              <w:widowControl w:val="0"/>
              <w:spacing w:before="0" w:beforeAutospacing="0" w:after="0" w:afterAutospacing="0"/>
              <w:jc w:val="center"/>
              <w:rPr>
                <w:highlight w:val="none"/>
              </w:rPr>
            </w:pPr>
            <w:r>
              <w:rPr>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7C533BB">
            <w:pPr>
              <w:pStyle w:val="79"/>
              <w:widowControl w:val="0"/>
              <w:spacing w:before="0" w:beforeAutospacing="0" w:after="0" w:afterAutospacing="0"/>
              <w:jc w:val="center"/>
              <w:rPr>
                <w:highlight w:val="none"/>
              </w:rPr>
            </w:pPr>
            <w:r>
              <w:rPr>
                <w:highlight w:val="none"/>
              </w:rPr>
              <w:t> </w:t>
            </w:r>
          </w:p>
        </w:tc>
      </w:tr>
    </w:tbl>
    <w:p w14:paraId="7E44AC61">
      <w:pPr>
        <w:pStyle w:val="79"/>
        <w:widowControl w:val="0"/>
        <w:spacing w:before="0" w:beforeAutospacing="0" w:after="0" w:afterAutospacing="0"/>
        <w:jc w:val="both"/>
        <w:rPr>
          <w:highlight w:val="none"/>
        </w:rPr>
      </w:pPr>
      <w:r>
        <w:rPr>
          <w:rFonts w:hint="eastAsia"/>
          <w:highlight w:val="none"/>
        </w:rPr>
        <w:t>注： 行数不够，可自行添加。</w:t>
      </w:r>
    </w:p>
    <w:p w14:paraId="33C923FB">
      <w:pPr>
        <w:pStyle w:val="79"/>
        <w:widowControl w:val="0"/>
        <w:spacing w:before="0" w:beforeAutospacing="0" w:after="0" w:afterAutospacing="0" w:line="480" w:lineRule="auto"/>
        <w:jc w:val="both"/>
        <w:rPr>
          <w:highlight w:val="none"/>
        </w:rPr>
      </w:pPr>
      <w:r>
        <w:rPr>
          <w:highlight w:val="none"/>
        </w:rPr>
        <w:t> </w:t>
      </w:r>
    </w:p>
    <w:p w14:paraId="55DD5A70">
      <w:pPr>
        <w:rPr>
          <w:rFonts w:ascii="宋体" w:hAnsi="宋体"/>
          <w:highlight w:val="none"/>
        </w:rPr>
      </w:pPr>
      <w:r>
        <w:rPr>
          <w:highlight w:val="none"/>
        </w:rPr>
        <w:t> </w:t>
      </w:r>
      <w:r>
        <w:rPr>
          <w:rFonts w:hint="eastAsia" w:ascii="宋体" w:hAnsi="宋体"/>
          <w:highlight w:val="none"/>
        </w:rPr>
        <w:t>投标方：（单位盖章）</w:t>
      </w:r>
    </w:p>
    <w:p w14:paraId="530C4852">
      <w:pPr>
        <w:rPr>
          <w:rFonts w:ascii="宋体" w:hAnsi="宋体"/>
          <w:highlight w:val="none"/>
        </w:rPr>
      </w:pPr>
      <w:r>
        <w:rPr>
          <w:rFonts w:hint="eastAsia" w:ascii="宋体" w:hAnsi="宋体"/>
          <w:highlight w:val="none"/>
        </w:rPr>
        <w:t xml:space="preserve">法定代表人或授权委托人：（签字或盖章）   </w:t>
      </w:r>
    </w:p>
    <w:p w14:paraId="201367AD">
      <w:pPr>
        <w:pStyle w:val="79"/>
        <w:widowControl w:val="0"/>
        <w:spacing w:before="0" w:beforeAutospacing="0" w:after="0" w:afterAutospacing="0" w:line="480" w:lineRule="auto"/>
        <w:jc w:val="both"/>
        <w:rPr>
          <w:highlight w:val="none"/>
        </w:rPr>
      </w:pPr>
      <w:r>
        <w:rPr>
          <w:rFonts w:hint="eastAsia"/>
          <w:highlight w:val="none"/>
        </w:rPr>
        <w:t>日期：         年</w:t>
      </w:r>
      <w:r>
        <w:rPr>
          <w:highlight w:val="none"/>
        </w:rPr>
        <w:t xml:space="preserve"> </w:t>
      </w:r>
      <w:r>
        <w:rPr>
          <w:rFonts w:hint="eastAsia"/>
          <w:highlight w:val="none"/>
        </w:rPr>
        <w:t xml:space="preserve">     </w:t>
      </w:r>
      <w:r>
        <w:rPr>
          <w:highlight w:val="none"/>
        </w:rPr>
        <w:t xml:space="preserve"> </w:t>
      </w:r>
      <w:r>
        <w:rPr>
          <w:rFonts w:hint="eastAsia"/>
          <w:highlight w:val="none"/>
        </w:rPr>
        <w:t>月</w:t>
      </w:r>
      <w:r>
        <w:rPr>
          <w:highlight w:val="none"/>
        </w:rPr>
        <w:t xml:space="preserve"> </w:t>
      </w:r>
      <w:r>
        <w:rPr>
          <w:rFonts w:hint="eastAsia"/>
          <w:highlight w:val="none"/>
        </w:rPr>
        <w:t xml:space="preserve">    </w:t>
      </w:r>
      <w:r>
        <w:rPr>
          <w:highlight w:val="none"/>
        </w:rPr>
        <w:t xml:space="preserve"> </w:t>
      </w:r>
      <w:r>
        <w:rPr>
          <w:rFonts w:hint="eastAsia"/>
          <w:highlight w:val="none"/>
        </w:rPr>
        <w:t>日</w:t>
      </w:r>
      <w:r>
        <w:rPr>
          <w:highlight w:val="none"/>
        </w:rPr>
        <w:t> </w:t>
      </w:r>
    </w:p>
    <w:p w14:paraId="7F33723C">
      <w:pPr>
        <w:pStyle w:val="79"/>
        <w:widowControl w:val="0"/>
        <w:spacing w:before="0" w:beforeAutospacing="0" w:after="0" w:afterAutospacing="0"/>
        <w:jc w:val="center"/>
        <w:rPr>
          <w:highlight w:val="none"/>
        </w:rPr>
      </w:pPr>
    </w:p>
    <w:p w14:paraId="4195280A">
      <w:pPr>
        <w:pStyle w:val="79"/>
        <w:widowControl w:val="0"/>
        <w:spacing w:before="0" w:beforeAutospacing="0" w:after="0" w:afterAutospacing="0"/>
        <w:jc w:val="center"/>
        <w:rPr>
          <w:highlight w:val="none"/>
        </w:rPr>
      </w:pPr>
    </w:p>
    <w:p w14:paraId="486F8CEC">
      <w:pPr>
        <w:pStyle w:val="79"/>
        <w:widowControl w:val="0"/>
        <w:spacing w:before="0" w:beforeAutospacing="0" w:after="0" w:afterAutospacing="0"/>
        <w:jc w:val="center"/>
        <w:rPr>
          <w:highlight w:val="none"/>
        </w:rPr>
      </w:pPr>
    </w:p>
    <w:p w14:paraId="15D11BCC">
      <w:pPr>
        <w:pStyle w:val="79"/>
        <w:widowControl w:val="0"/>
        <w:spacing w:before="0" w:beforeAutospacing="0" w:after="0" w:afterAutospacing="0"/>
        <w:jc w:val="center"/>
        <w:rPr>
          <w:highlight w:val="none"/>
        </w:rPr>
      </w:pPr>
    </w:p>
    <w:p w14:paraId="6B7CD575">
      <w:pPr>
        <w:pStyle w:val="79"/>
        <w:widowControl w:val="0"/>
        <w:spacing w:before="0" w:beforeAutospacing="0" w:after="0" w:afterAutospacing="0"/>
        <w:jc w:val="center"/>
        <w:rPr>
          <w:highlight w:val="none"/>
        </w:rPr>
      </w:pPr>
    </w:p>
    <w:p w14:paraId="294CBD96">
      <w:pPr>
        <w:pStyle w:val="79"/>
        <w:widowControl w:val="0"/>
        <w:spacing w:before="0" w:beforeAutospacing="0" w:after="0" w:afterAutospacing="0"/>
        <w:jc w:val="center"/>
        <w:rPr>
          <w:highlight w:val="none"/>
        </w:rPr>
      </w:pPr>
    </w:p>
    <w:p w14:paraId="6CDB8BF0">
      <w:pPr>
        <w:pStyle w:val="79"/>
        <w:widowControl w:val="0"/>
        <w:spacing w:before="0" w:beforeAutospacing="0" w:after="0" w:afterAutospacing="0"/>
        <w:jc w:val="center"/>
        <w:rPr>
          <w:highlight w:val="none"/>
        </w:rPr>
      </w:pPr>
    </w:p>
    <w:p w14:paraId="1A4F32B3">
      <w:pPr>
        <w:pStyle w:val="79"/>
        <w:widowControl w:val="0"/>
        <w:spacing w:before="0" w:beforeAutospacing="0" w:after="0" w:afterAutospacing="0"/>
        <w:jc w:val="center"/>
        <w:rPr>
          <w:highlight w:val="none"/>
        </w:rPr>
      </w:pPr>
    </w:p>
    <w:p w14:paraId="38BD4B90">
      <w:pPr>
        <w:pStyle w:val="79"/>
        <w:widowControl w:val="0"/>
        <w:spacing w:before="0" w:beforeAutospacing="0" w:after="0" w:afterAutospacing="0"/>
        <w:jc w:val="center"/>
        <w:rPr>
          <w:highlight w:val="none"/>
        </w:rPr>
      </w:pPr>
    </w:p>
    <w:p w14:paraId="3B1059E2">
      <w:pPr>
        <w:pStyle w:val="79"/>
        <w:widowControl w:val="0"/>
        <w:spacing w:before="0" w:beforeAutospacing="0" w:after="0" w:afterAutospacing="0"/>
        <w:jc w:val="center"/>
        <w:rPr>
          <w:highlight w:val="none"/>
        </w:rPr>
      </w:pPr>
    </w:p>
    <w:p w14:paraId="03453607">
      <w:pPr>
        <w:pStyle w:val="79"/>
        <w:widowControl w:val="0"/>
        <w:spacing w:before="0" w:beforeAutospacing="0" w:after="0" w:afterAutospacing="0"/>
        <w:jc w:val="center"/>
        <w:rPr>
          <w:highlight w:val="none"/>
        </w:rPr>
      </w:pPr>
    </w:p>
    <w:p w14:paraId="7B51989E">
      <w:pPr>
        <w:pStyle w:val="79"/>
        <w:widowControl w:val="0"/>
        <w:spacing w:before="0" w:beforeAutospacing="0" w:after="0" w:afterAutospacing="0"/>
        <w:jc w:val="center"/>
        <w:rPr>
          <w:highlight w:val="none"/>
        </w:rPr>
      </w:pPr>
      <w:r>
        <w:rPr>
          <w:highlight w:val="none"/>
        </w:rPr>
        <w:t> </w:t>
      </w:r>
    </w:p>
    <w:p w14:paraId="0C6AB8C0">
      <w:pPr>
        <w:pStyle w:val="79"/>
        <w:widowControl w:val="0"/>
        <w:spacing w:before="0" w:beforeAutospacing="0" w:after="0" w:afterAutospacing="0"/>
        <w:jc w:val="center"/>
        <w:rPr>
          <w:highlight w:val="none"/>
        </w:rPr>
      </w:pPr>
      <w:r>
        <w:rPr>
          <w:highlight w:val="none"/>
        </w:rPr>
        <w:t> </w:t>
      </w:r>
    </w:p>
    <w:p w14:paraId="1D0D72D3">
      <w:pPr>
        <w:pStyle w:val="79"/>
        <w:widowControl w:val="0"/>
        <w:spacing w:before="0" w:beforeAutospacing="0" w:after="0" w:afterAutospacing="0"/>
        <w:jc w:val="center"/>
        <w:rPr>
          <w:highlight w:val="none"/>
        </w:rPr>
      </w:pPr>
    </w:p>
    <w:p w14:paraId="6A27D38A">
      <w:pPr>
        <w:pStyle w:val="79"/>
        <w:widowControl w:val="0"/>
        <w:spacing w:before="0" w:beforeAutospacing="0" w:after="0" w:afterAutospacing="0"/>
        <w:jc w:val="center"/>
        <w:rPr>
          <w:highlight w:val="none"/>
        </w:rPr>
      </w:pPr>
      <w:r>
        <w:rPr>
          <w:highlight w:val="none"/>
        </w:rPr>
        <w:t> </w:t>
      </w:r>
    </w:p>
    <w:p w14:paraId="21648CE2">
      <w:pPr>
        <w:pStyle w:val="79"/>
        <w:widowControl w:val="0"/>
        <w:spacing w:before="0" w:beforeAutospacing="0" w:after="0" w:afterAutospacing="0"/>
        <w:jc w:val="center"/>
        <w:rPr>
          <w:highlight w:val="none"/>
        </w:rPr>
      </w:pPr>
    </w:p>
    <w:p w14:paraId="0FB17657">
      <w:pPr>
        <w:pStyle w:val="79"/>
        <w:widowControl w:val="0"/>
        <w:spacing w:before="0" w:beforeAutospacing="0" w:after="0" w:afterAutospacing="0" w:line="0" w:lineRule="atLeast"/>
        <w:jc w:val="center"/>
        <w:rPr>
          <w:b/>
          <w:sz w:val="28"/>
          <w:szCs w:val="28"/>
          <w:highlight w:val="none"/>
        </w:rPr>
      </w:pPr>
    </w:p>
    <w:p w14:paraId="1A26592B">
      <w:pPr>
        <w:pStyle w:val="79"/>
        <w:widowControl w:val="0"/>
        <w:spacing w:before="0" w:beforeAutospacing="0" w:after="0" w:afterAutospacing="0" w:line="0" w:lineRule="atLeast"/>
        <w:jc w:val="center"/>
        <w:rPr>
          <w:b/>
          <w:sz w:val="28"/>
          <w:szCs w:val="28"/>
          <w:highlight w:val="none"/>
        </w:rPr>
      </w:pPr>
    </w:p>
    <w:p w14:paraId="45C34985">
      <w:pPr>
        <w:pStyle w:val="79"/>
        <w:widowControl w:val="0"/>
        <w:spacing w:before="0" w:beforeAutospacing="0" w:after="0" w:afterAutospacing="0" w:line="0" w:lineRule="atLeast"/>
        <w:jc w:val="center"/>
        <w:rPr>
          <w:b/>
          <w:sz w:val="28"/>
          <w:szCs w:val="28"/>
          <w:highlight w:val="none"/>
        </w:rPr>
      </w:pPr>
      <w:r>
        <w:rPr>
          <w:rFonts w:hint="eastAsia"/>
          <w:b/>
          <w:sz w:val="28"/>
          <w:szCs w:val="28"/>
          <w:highlight w:val="none"/>
        </w:rPr>
        <w:t>十四、开标一览表</w:t>
      </w:r>
    </w:p>
    <w:p w14:paraId="155F7C1F">
      <w:pPr>
        <w:pStyle w:val="79"/>
        <w:widowControl w:val="0"/>
        <w:spacing w:before="0" w:beforeAutospacing="0" w:after="0" w:afterAutospacing="0"/>
        <w:ind w:firstLine="480"/>
        <w:rPr>
          <w:highlight w:val="none"/>
        </w:rPr>
      </w:pPr>
    </w:p>
    <w:p w14:paraId="58B388AB">
      <w:pPr>
        <w:pStyle w:val="79"/>
        <w:widowControl w:val="0"/>
        <w:spacing w:before="0" w:beforeAutospacing="0" w:after="0" w:afterAutospacing="0"/>
        <w:ind w:firstLine="480"/>
        <w:rPr>
          <w:highlight w:val="none"/>
        </w:rPr>
      </w:pPr>
      <w:r>
        <w:rPr>
          <w:rFonts w:hint="eastAsia"/>
          <w:highlight w:val="none"/>
        </w:rPr>
        <w:t>项目编号：</w:t>
      </w:r>
    </w:p>
    <w:p w14:paraId="6F4DF8D4">
      <w:pPr>
        <w:pStyle w:val="79"/>
        <w:widowControl w:val="0"/>
        <w:spacing w:before="0" w:beforeAutospacing="0" w:after="0" w:afterAutospacing="0"/>
        <w:ind w:firstLine="480"/>
        <w:rPr>
          <w:highlight w:val="none"/>
        </w:rPr>
      </w:pPr>
      <w:r>
        <w:rPr>
          <w:rFonts w:hint="eastAsia"/>
          <w:highlight w:val="none"/>
        </w:rPr>
        <w:t>货币单位：人民币元</w:t>
      </w:r>
    </w:p>
    <w:tbl>
      <w:tblPr>
        <w:tblStyle w:val="87"/>
        <w:tblW w:w="8413" w:type="dxa"/>
        <w:jc w:val="center"/>
        <w:tblCellSpacing w:w="0" w:type="dxa"/>
        <w:tblLayout w:type="fixed"/>
        <w:tblCellMar>
          <w:top w:w="0" w:type="dxa"/>
          <w:left w:w="108" w:type="dxa"/>
          <w:bottom w:w="0" w:type="dxa"/>
          <w:right w:w="108" w:type="dxa"/>
        </w:tblCellMar>
      </w:tblPr>
      <w:tblGrid>
        <w:gridCol w:w="2804"/>
        <w:gridCol w:w="17"/>
        <w:gridCol w:w="2787"/>
        <w:gridCol w:w="2805"/>
      </w:tblGrid>
      <w:tr w14:paraId="2A38387C">
        <w:tblPrEx>
          <w:tblCellMar>
            <w:top w:w="0" w:type="dxa"/>
            <w:left w:w="108" w:type="dxa"/>
            <w:bottom w:w="0" w:type="dxa"/>
            <w:right w:w="108" w:type="dxa"/>
          </w:tblCellMar>
        </w:tblPrEx>
        <w:trPr>
          <w:trHeight w:val="725" w:hRule="atLeast"/>
          <w:tblCellSpacing w:w="0" w:type="dxa"/>
          <w:jc w:val="center"/>
        </w:trPr>
        <w:tc>
          <w:tcPr>
            <w:tcW w:w="2804" w:type="dxa"/>
            <w:tcBorders>
              <w:top w:val="single" w:color="000000" w:sz="4" w:space="0"/>
              <w:left w:val="single" w:color="000000" w:sz="4" w:space="0"/>
              <w:bottom w:val="single" w:color="000000" w:sz="4" w:space="0"/>
              <w:right w:val="single" w:color="000000" w:sz="4" w:space="0"/>
            </w:tcBorders>
            <w:vAlign w:val="center"/>
          </w:tcPr>
          <w:p w14:paraId="74FC913E">
            <w:pPr>
              <w:pStyle w:val="79"/>
              <w:widowControl w:val="0"/>
              <w:spacing w:before="0" w:beforeAutospacing="0" w:after="0" w:afterAutospacing="0"/>
              <w:jc w:val="center"/>
              <w:rPr>
                <w:highlight w:val="none"/>
              </w:rPr>
            </w:pPr>
            <w:r>
              <w:rPr>
                <w:highlight w:val="none"/>
              </w:rPr>
              <w:t>项目名称</w:t>
            </w:r>
          </w:p>
        </w:tc>
        <w:tc>
          <w:tcPr>
            <w:tcW w:w="2804" w:type="dxa"/>
            <w:gridSpan w:val="2"/>
            <w:tcBorders>
              <w:top w:val="single" w:color="000000" w:sz="4" w:space="0"/>
              <w:left w:val="single" w:color="000000" w:sz="4" w:space="0"/>
              <w:bottom w:val="single" w:color="000000" w:sz="4" w:space="0"/>
              <w:right w:val="single" w:color="000000" w:sz="4" w:space="0"/>
            </w:tcBorders>
            <w:vAlign w:val="center"/>
          </w:tcPr>
          <w:p w14:paraId="31FEE79F">
            <w:pPr>
              <w:pStyle w:val="79"/>
              <w:widowControl w:val="0"/>
              <w:spacing w:before="0" w:beforeAutospacing="0" w:after="0" w:afterAutospacing="0"/>
              <w:jc w:val="center"/>
              <w:rPr>
                <w:highlight w:val="none"/>
              </w:rPr>
            </w:pPr>
            <w:r>
              <w:rPr>
                <w:highlight w:val="none"/>
              </w:rPr>
              <w:t>项目内容</w:t>
            </w:r>
          </w:p>
        </w:tc>
        <w:tc>
          <w:tcPr>
            <w:tcW w:w="2805" w:type="dxa"/>
            <w:tcBorders>
              <w:top w:val="single" w:color="000000" w:sz="4" w:space="0"/>
              <w:left w:val="single" w:color="000000" w:sz="4" w:space="0"/>
              <w:bottom w:val="single" w:color="000000" w:sz="4" w:space="0"/>
              <w:right w:val="single" w:color="000000" w:sz="4" w:space="0"/>
            </w:tcBorders>
            <w:vAlign w:val="center"/>
          </w:tcPr>
          <w:p w14:paraId="72AA8690">
            <w:pPr>
              <w:pStyle w:val="79"/>
              <w:widowControl w:val="0"/>
              <w:spacing w:before="0" w:beforeAutospacing="0" w:after="0" w:afterAutospacing="0"/>
              <w:jc w:val="center"/>
              <w:rPr>
                <w:highlight w:val="none"/>
              </w:rPr>
            </w:pPr>
            <w:r>
              <w:rPr>
                <w:highlight w:val="none"/>
              </w:rPr>
              <w:t>总价（小写）</w:t>
            </w:r>
          </w:p>
        </w:tc>
      </w:tr>
      <w:tr w14:paraId="09D786C9">
        <w:tblPrEx>
          <w:tblCellMar>
            <w:top w:w="0" w:type="dxa"/>
            <w:left w:w="108" w:type="dxa"/>
            <w:bottom w:w="0" w:type="dxa"/>
            <w:right w:w="108" w:type="dxa"/>
          </w:tblCellMar>
        </w:tblPrEx>
        <w:trPr>
          <w:trHeight w:val="1436" w:hRule="atLeast"/>
          <w:tblCellSpacing w:w="0" w:type="dxa"/>
          <w:jc w:val="center"/>
        </w:trPr>
        <w:tc>
          <w:tcPr>
            <w:tcW w:w="2804" w:type="dxa"/>
            <w:tcBorders>
              <w:top w:val="single" w:color="000000" w:sz="4" w:space="0"/>
              <w:left w:val="single" w:color="000000" w:sz="4" w:space="0"/>
              <w:bottom w:val="single" w:color="000000" w:sz="4" w:space="0"/>
              <w:right w:val="single" w:color="000000" w:sz="4" w:space="0"/>
            </w:tcBorders>
            <w:vAlign w:val="center"/>
          </w:tcPr>
          <w:p w14:paraId="61DE09F1">
            <w:pPr>
              <w:pStyle w:val="79"/>
              <w:widowControl w:val="0"/>
              <w:spacing w:before="0" w:beforeAutospacing="0" w:after="0" w:afterAutospacing="0" w:line="0" w:lineRule="atLeast"/>
              <w:rPr>
                <w:highlight w:val="none"/>
              </w:rPr>
            </w:pPr>
            <w:r>
              <w:rPr>
                <w:rFonts w:hint="eastAsia"/>
                <w:highlight w:val="none"/>
              </w:rPr>
              <w:t>警务中心智能化系统维保项目</w:t>
            </w:r>
          </w:p>
        </w:tc>
        <w:tc>
          <w:tcPr>
            <w:tcW w:w="2804" w:type="dxa"/>
            <w:gridSpan w:val="2"/>
            <w:tcBorders>
              <w:top w:val="single" w:color="000000" w:sz="4" w:space="0"/>
              <w:left w:val="single" w:color="000000" w:sz="4" w:space="0"/>
              <w:bottom w:val="single" w:color="000000" w:sz="4" w:space="0"/>
              <w:right w:val="single" w:color="000000" w:sz="4" w:space="0"/>
            </w:tcBorders>
            <w:vAlign w:val="center"/>
          </w:tcPr>
          <w:p w14:paraId="614A6133">
            <w:pPr>
              <w:pStyle w:val="79"/>
              <w:widowControl w:val="0"/>
              <w:spacing w:before="0" w:beforeAutospacing="0" w:after="0" w:afterAutospacing="0" w:line="0" w:lineRule="atLeast"/>
              <w:jc w:val="center"/>
              <w:rPr>
                <w:highlight w:val="none"/>
              </w:rPr>
            </w:pPr>
            <w:r>
              <w:rPr>
                <w:highlight w:val="none"/>
              </w:rPr>
              <w:t>详见投标文件</w:t>
            </w:r>
          </w:p>
        </w:tc>
        <w:tc>
          <w:tcPr>
            <w:tcW w:w="2805" w:type="dxa"/>
            <w:tcBorders>
              <w:top w:val="single" w:color="000000" w:sz="4" w:space="0"/>
              <w:left w:val="single" w:color="000000" w:sz="4" w:space="0"/>
              <w:bottom w:val="single" w:color="000000" w:sz="4" w:space="0"/>
              <w:right w:val="single" w:color="000000" w:sz="4" w:space="0"/>
            </w:tcBorders>
            <w:vAlign w:val="center"/>
          </w:tcPr>
          <w:p w14:paraId="5F4CA4E8">
            <w:pPr>
              <w:pStyle w:val="79"/>
              <w:widowControl w:val="0"/>
              <w:spacing w:before="0" w:beforeAutospacing="0" w:after="0" w:afterAutospacing="0" w:line="0" w:lineRule="atLeast"/>
              <w:ind w:firstLine="1920"/>
              <w:rPr>
                <w:highlight w:val="none"/>
              </w:rPr>
            </w:pPr>
            <w:r>
              <w:rPr>
                <w:highlight w:val="none"/>
              </w:rPr>
              <w:t>元</w:t>
            </w:r>
          </w:p>
        </w:tc>
      </w:tr>
      <w:tr w14:paraId="66385BB5">
        <w:tblPrEx>
          <w:tblCellMar>
            <w:top w:w="0" w:type="dxa"/>
            <w:left w:w="108" w:type="dxa"/>
            <w:bottom w:w="0" w:type="dxa"/>
            <w:right w:w="108" w:type="dxa"/>
          </w:tblCellMar>
        </w:tblPrEx>
        <w:trPr>
          <w:trHeight w:val="612" w:hRule="atLeast"/>
          <w:tblCellSpacing w:w="0" w:type="dxa"/>
          <w:jc w:val="center"/>
        </w:trPr>
        <w:tc>
          <w:tcPr>
            <w:tcW w:w="2821" w:type="dxa"/>
            <w:gridSpan w:val="2"/>
            <w:tcBorders>
              <w:top w:val="single" w:color="000000" w:sz="4" w:space="0"/>
              <w:left w:val="single" w:color="000000" w:sz="4" w:space="0"/>
              <w:bottom w:val="single" w:color="000000" w:sz="4" w:space="0"/>
              <w:right w:val="single" w:color="000000" w:sz="4" w:space="0"/>
            </w:tcBorders>
            <w:vAlign w:val="center"/>
          </w:tcPr>
          <w:p w14:paraId="236E16CF">
            <w:pPr>
              <w:spacing w:line="360" w:lineRule="auto"/>
              <w:rPr>
                <w:rFonts w:ascii="宋体"/>
                <w:b/>
                <w:bCs/>
                <w:sz w:val="24"/>
                <w:highlight w:val="none"/>
              </w:rPr>
            </w:pPr>
            <w:r>
              <w:rPr>
                <w:highlight w:val="none"/>
              </w:rPr>
              <w:t>总价（大写）：</w:t>
            </w:r>
          </w:p>
        </w:tc>
        <w:tc>
          <w:tcPr>
            <w:tcW w:w="5592" w:type="dxa"/>
            <w:gridSpan w:val="2"/>
            <w:tcBorders>
              <w:top w:val="single" w:color="000000" w:sz="4" w:space="0"/>
              <w:left w:val="single" w:color="000000" w:sz="4" w:space="0"/>
              <w:bottom w:val="single" w:color="000000" w:sz="4" w:space="0"/>
              <w:right w:val="single" w:color="000000" w:sz="4" w:space="0"/>
            </w:tcBorders>
            <w:vAlign w:val="center"/>
          </w:tcPr>
          <w:p w14:paraId="226AA3FF">
            <w:pPr>
              <w:spacing w:line="360" w:lineRule="auto"/>
              <w:rPr>
                <w:rFonts w:ascii="宋体"/>
                <w:b/>
                <w:bCs/>
                <w:sz w:val="24"/>
                <w:highlight w:val="none"/>
              </w:rPr>
            </w:pPr>
            <w:r>
              <w:rPr>
                <w:rStyle w:val="334"/>
                <w:highlight w:val="none"/>
              </w:rPr>
              <w:t>金额大写</w:t>
            </w:r>
            <w:r>
              <w:rPr>
                <w:highlight w:val="none"/>
              </w:rPr>
              <w:t> </w:t>
            </w:r>
          </w:p>
        </w:tc>
      </w:tr>
    </w:tbl>
    <w:p w14:paraId="654AFCDF">
      <w:pPr>
        <w:pStyle w:val="79"/>
        <w:widowControl w:val="0"/>
        <w:spacing w:before="0" w:beforeAutospacing="0" w:after="0" w:afterAutospacing="0"/>
        <w:jc w:val="both"/>
        <w:rPr>
          <w:highlight w:val="none"/>
        </w:rPr>
      </w:pPr>
      <w:r>
        <w:rPr>
          <w:highlight w:val="none"/>
        </w:rPr>
        <w:t> </w:t>
      </w:r>
    </w:p>
    <w:p w14:paraId="5E7E8058">
      <w:pPr>
        <w:pStyle w:val="79"/>
        <w:widowControl w:val="0"/>
        <w:spacing w:before="0" w:beforeAutospacing="0" w:after="0" w:afterAutospacing="0"/>
        <w:ind w:firstLine="480"/>
        <w:jc w:val="both"/>
        <w:rPr>
          <w:highlight w:val="none"/>
        </w:rPr>
      </w:pPr>
      <w:r>
        <w:rPr>
          <w:rFonts w:hint="eastAsia"/>
          <w:highlight w:val="none"/>
        </w:rPr>
        <w:t>     </w:t>
      </w:r>
      <w:r>
        <w:rPr>
          <w:highlight w:val="none"/>
        </w:rPr>
        <w:t>投标人公章：               （电子签章）</w:t>
      </w:r>
    </w:p>
    <w:p w14:paraId="1FBAC4EB">
      <w:pPr>
        <w:pStyle w:val="79"/>
        <w:widowControl w:val="0"/>
        <w:spacing w:before="0" w:beforeAutospacing="0" w:after="0" w:afterAutospacing="0"/>
        <w:ind w:firstLine="480"/>
        <w:jc w:val="both"/>
        <w:rPr>
          <w:highlight w:val="none"/>
        </w:rPr>
      </w:pPr>
    </w:p>
    <w:p w14:paraId="66E4B1FF">
      <w:pPr>
        <w:pStyle w:val="79"/>
        <w:widowControl w:val="0"/>
        <w:spacing w:before="0" w:beforeAutospacing="0" w:after="0" w:afterAutospacing="0"/>
        <w:ind w:firstLine="480"/>
        <w:jc w:val="both"/>
        <w:rPr>
          <w:highlight w:val="none"/>
        </w:rPr>
      </w:pPr>
    </w:p>
    <w:p w14:paraId="3BE25274">
      <w:pPr>
        <w:pStyle w:val="79"/>
        <w:widowControl w:val="0"/>
        <w:spacing w:before="0" w:beforeAutospacing="0" w:after="0" w:afterAutospacing="0"/>
        <w:ind w:firstLine="480"/>
        <w:jc w:val="both"/>
        <w:rPr>
          <w:highlight w:val="none"/>
        </w:rPr>
      </w:pPr>
    </w:p>
    <w:p w14:paraId="415AFA14">
      <w:pPr>
        <w:pStyle w:val="79"/>
        <w:widowControl w:val="0"/>
        <w:spacing w:before="0" w:beforeAutospacing="0" w:after="0" w:afterAutospacing="0"/>
        <w:ind w:firstLine="480"/>
        <w:jc w:val="both"/>
        <w:rPr>
          <w:highlight w:val="none"/>
        </w:rPr>
      </w:pPr>
    </w:p>
    <w:p w14:paraId="1E41CE1A">
      <w:pPr>
        <w:spacing w:line="500" w:lineRule="exact"/>
        <w:rPr>
          <w:rFonts w:ascii="新宋体" w:hAnsi="新宋体" w:eastAsia="新宋体"/>
          <w:bCs/>
          <w:highlight w:val="none"/>
        </w:rPr>
      </w:pPr>
    </w:p>
    <w:p w14:paraId="5871CA7B">
      <w:pPr>
        <w:spacing w:line="500" w:lineRule="exact"/>
        <w:rPr>
          <w:rFonts w:ascii="新宋体" w:hAnsi="新宋体" w:eastAsia="新宋体"/>
          <w:bCs/>
          <w:highlight w:val="none"/>
        </w:rPr>
      </w:pPr>
    </w:p>
    <w:p w14:paraId="1411108A">
      <w:pPr>
        <w:spacing w:line="500" w:lineRule="exact"/>
        <w:rPr>
          <w:rFonts w:ascii="新宋体" w:hAnsi="新宋体" w:eastAsia="新宋体"/>
          <w:bCs/>
          <w:highlight w:val="none"/>
        </w:rPr>
      </w:pPr>
    </w:p>
    <w:p w14:paraId="18F4B55E">
      <w:pPr>
        <w:spacing w:line="500" w:lineRule="exact"/>
        <w:rPr>
          <w:rFonts w:ascii="新宋体" w:hAnsi="新宋体" w:eastAsia="新宋体"/>
          <w:bCs/>
          <w:highlight w:val="none"/>
        </w:rPr>
      </w:pPr>
    </w:p>
    <w:p w14:paraId="620EFC35">
      <w:pPr>
        <w:spacing w:line="500" w:lineRule="exact"/>
        <w:rPr>
          <w:rFonts w:ascii="新宋体" w:hAnsi="新宋体" w:eastAsia="新宋体"/>
          <w:bCs/>
          <w:highlight w:val="none"/>
        </w:rPr>
      </w:pPr>
    </w:p>
    <w:p w14:paraId="791A991D">
      <w:pPr>
        <w:spacing w:line="500" w:lineRule="exact"/>
        <w:rPr>
          <w:rFonts w:ascii="新宋体" w:hAnsi="新宋体" w:eastAsia="新宋体"/>
          <w:bCs/>
          <w:highlight w:val="none"/>
        </w:rPr>
      </w:pPr>
    </w:p>
    <w:p w14:paraId="67AF6B22">
      <w:pPr>
        <w:spacing w:line="500" w:lineRule="exact"/>
        <w:rPr>
          <w:rFonts w:ascii="新宋体" w:hAnsi="新宋体" w:eastAsia="新宋体"/>
          <w:bCs/>
          <w:highlight w:val="none"/>
        </w:rPr>
      </w:pPr>
    </w:p>
    <w:p w14:paraId="1AB56AEB">
      <w:pPr>
        <w:spacing w:line="500" w:lineRule="exact"/>
        <w:rPr>
          <w:rFonts w:ascii="新宋体" w:hAnsi="新宋体" w:eastAsia="新宋体"/>
          <w:bCs/>
          <w:highlight w:val="none"/>
        </w:rPr>
      </w:pPr>
    </w:p>
    <w:p w14:paraId="4B6EA07D">
      <w:pPr>
        <w:spacing w:line="500" w:lineRule="exact"/>
        <w:rPr>
          <w:rFonts w:ascii="新宋体" w:hAnsi="新宋体" w:eastAsia="新宋体"/>
          <w:bCs/>
          <w:highlight w:val="none"/>
        </w:rPr>
      </w:pPr>
    </w:p>
    <w:p w14:paraId="5BAC93A8">
      <w:pPr>
        <w:spacing w:line="500" w:lineRule="exact"/>
        <w:rPr>
          <w:rFonts w:ascii="新宋体" w:hAnsi="新宋体" w:eastAsia="新宋体"/>
          <w:bCs/>
          <w:highlight w:val="none"/>
        </w:rPr>
      </w:pPr>
    </w:p>
    <w:p w14:paraId="64934F9E">
      <w:pPr>
        <w:spacing w:line="500" w:lineRule="exact"/>
        <w:rPr>
          <w:rFonts w:ascii="新宋体" w:hAnsi="新宋体" w:eastAsia="新宋体"/>
          <w:bCs/>
          <w:highlight w:val="none"/>
        </w:rPr>
      </w:pPr>
    </w:p>
    <w:p w14:paraId="2046CA6F">
      <w:pPr>
        <w:spacing w:line="500" w:lineRule="exact"/>
        <w:rPr>
          <w:rFonts w:ascii="新宋体" w:hAnsi="新宋体" w:eastAsia="新宋体"/>
          <w:bCs/>
          <w:highlight w:val="none"/>
        </w:rPr>
      </w:pPr>
    </w:p>
    <w:p w14:paraId="00491E72">
      <w:pPr>
        <w:spacing w:line="500" w:lineRule="exact"/>
        <w:rPr>
          <w:rFonts w:ascii="新宋体" w:hAnsi="新宋体" w:eastAsia="新宋体"/>
          <w:bCs/>
          <w:highlight w:val="none"/>
        </w:rPr>
      </w:pPr>
    </w:p>
    <w:p w14:paraId="20C98C1E">
      <w:pPr>
        <w:widowControl/>
        <w:jc w:val="left"/>
        <w:rPr>
          <w:rFonts w:ascii="宋体" w:hAnsi="宋体" w:cs="宋体"/>
          <w:b/>
          <w:bCs/>
          <w:sz w:val="28"/>
          <w:szCs w:val="28"/>
          <w:highlight w:val="none"/>
        </w:rPr>
      </w:pPr>
      <w:r>
        <w:rPr>
          <w:rFonts w:ascii="宋体" w:hAnsi="宋体" w:cs="宋体"/>
          <w:b/>
          <w:bCs/>
          <w:sz w:val="28"/>
          <w:szCs w:val="28"/>
          <w:highlight w:val="none"/>
        </w:rPr>
        <w:br w:type="page" w:clear="all"/>
      </w:r>
    </w:p>
    <w:p w14:paraId="2AB88A35">
      <w:pPr>
        <w:pStyle w:val="79"/>
        <w:widowControl w:val="0"/>
        <w:spacing w:before="0" w:beforeAutospacing="0" w:after="0" w:afterAutospacing="0" w:line="0" w:lineRule="atLeast"/>
        <w:jc w:val="center"/>
        <w:rPr>
          <w:b/>
          <w:sz w:val="28"/>
          <w:szCs w:val="28"/>
          <w:highlight w:val="none"/>
        </w:rPr>
      </w:pPr>
      <w:r>
        <w:rPr>
          <w:rFonts w:hint="eastAsia"/>
          <w:b/>
          <w:sz w:val="28"/>
          <w:szCs w:val="28"/>
          <w:highlight w:val="none"/>
        </w:rPr>
        <w:t>十五、技术方案、服务承诺、培训承诺等</w:t>
      </w:r>
    </w:p>
    <w:p w14:paraId="64C3AE41">
      <w:pPr>
        <w:widowControl/>
        <w:jc w:val="left"/>
        <w:rPr>
          <w:rFonts w:ascii="宋体" w:hAnsi="宋体" w:cs="宋体"/>
          <w:b/>
          <w:bCs/>
          <w:sz w:val="28"/>
          <w:szCs w:val="28"/>
          <w:highlight w:val="none"/>
        </w:rPr>
      </w:pPr>
      <w:r>
        <w:rPr>
          <w:rFonts w:ascii="宋体" w:hAnsi="宋体" w:cs="宋体"/>
          <w:b/>
          <w:bCs/>
          <w:sz w:val="28"/>
          <w:szCs w:val="28"/>
          <w:highlight w:val="none"/>
        </w:rPr>
        <w:br w:type="page" w:clear="all"/>
      </w:r>
    </w:p>
    <w:p w14:paraId="62850B41">
      <w:pPr>
        <w:widowControl/>
        <w:spacing w:line="500" w:lineRule="exact"/>
        <w:jc w:val="center"/>
        <w:rPr>
          <w:rFonts w:ascii="宋体" w:hAnsi="宋体" w:cs="宋体"/>
          <w:b/>
          <w:bCs/>
          <w:sz w:val="28"/>
          <w:szCs w:val="28"/>
          <w:highlight w:val="none"/>
        </w:rPr>
      </w:pPr>
      <w:r>
        <w:rPr>
          <w:rFonts w:hint="eastAsia" w:ascii="宋体" w:hAnsi="宋体" w:cs="宋体"/>
          <w:b/>
          <w:bCs/>
          <w:sz w:val="28"/>
          <w:szCs w:val="28"/>
          <w:highlight w:val="none"/>
        </w:rPr>
        <w:t>十六、盐城经济技术开发区政府采购事前信用承诺书</w:t>
      </w:r>
    </w:p>
    <w:p w14:paraId="708BEC6E">
      <w:pPr>
        <w:widowControl/>
        <w:spacing w:line="500" w:lineRule="exact"/>
        <w:ind w:firstLine="640"/>
        <w:jc w:val="left"/>
        <w:rPr>
          <w:rFonts w:ascii="方正仿宋_GBK" w:hAnsi="宋体" w:eastAsia="方正仿宋_GBK" w:cs="宋体"/>
          <w:sz w:val="32"/>
          <w:szCs w:val="32"/>
          <w:highlight w:val="none"/>
        </w:rPr>
      </w:pPr>
    </w:p>
    <w:p w14:paraId="712CBD35">
      <w:pPr>
        <w:widowControl/>
        <w:spacing w:line="500" w:lineRule="exact"/>
        <w:ind w:firstLine="480"/>
        <w:jc w:val="left"/>
        <w:rPr>
          <w:rFonts w:ascii="宋体" w:hAnsi="宋体"/>
          <w:sz w:val="24"/>
          <w:highlight w:val="none"/>
        </w:rPr>
      </w:pPr>
      <w:r>
        <w:rPr>
          <w:rFonts w:hint="eastAsia" w:ascii="宋体" w:hAnsi="宋体"/>
          <w:sz w:val="24"/>
          <w:highlight w:val="none"/>
        </w:rPr>
        <w:t>为营造盐城经济技术开发区公开、公平、公正、诚实守信的政府采购交易环境，树立诚信守法的投标人形象，本人代表本单位作出以下承诺：</w:t>
      </w:r>
    </w:p>
    <w:p w14:paraId="63D5472A">
      <w:pPr>
        <w:widowControl/>
        <w:spacing w:line="500" w:lineRule="exact"/>
        <w:jc w:val="left"/>
        <w:rPr>
          <w:rFonts w:ascii="宋体" w:hAnsi="宋体"/>
          <w:sz w:val="24"/>
          <w:highlight w:val="none"/>
        </w:rPr>
      </w:pPr>
      <w:r>
        <w:rPr>
          <w:rFonts w:hint="eastAsia" w:ascii="宋体" w:hAnsi="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5080C7C">
      <w:pPr>
        <w:widowControl/>
        <w:spacing w:line="500" w:lineRule="exact"/>
        <w:ind w:firstLine="480"/>
        <w:jc w:val="left"/>
        <w:rPr>
          <w:rFonts w:ascii="宋体" w:hAnsi="宋体"/>
          <w:sz w:val="24"/>
          <w:highlight w:val="none"/>
        </w:rPr>
      </w:pPr>
      <w:r>
        <w:rPr>
          <w:rFonts w:hint="eastAsia" w:ascii="宋体" w:hAnsi="宋体"/>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B21CF11">
      <w:pPr>
        <w:widowControl/>
        <w:spacing w:line="500" w:lineRule="exact"/>
        <w:jc w:val="left"/>
        <w:rPr>
          <w:rFonts w:ascii="宋体" w:hAnsi="宋体"/>
          <w:sz w:val="24"/>
          <w:highlight w:val="none"/>
        </w:rPr>
      </w:pPr>
      <w:r>
        <w:rPr>
          <w:rFonts w:hint="eastAsia" w:ascii="宋体" w:hAnsi="宋体"/>
          <w:sz w:val="24"/>
          <w:highlight w:val="none"/>
        </w:rPr>
        <w:t xml:space="preserve">   （三）严格依照国家和省、市关于政府采购的法律、法规、规章、规范性文件，参加政府采购投标活动；积极履行社会责任，促进廉政建设； </w:t>
      </w:r>
    </w:p>
    <w:p w14:paraId="5D20AED2">
      <w:pPr>
        <w:widowControl/>
        <w:spacing w:line="500" w:lineRule="exact"/>
        <w:jc w:val="left"/>
        <w:rPr>
          <w:rFonts w:ascii="宋体" w:hAnsi="宋体"/>
          <w:sz w:val="24"/>
          <w:highlight w:val="none"/>
        </w:rPr>
      </w:pPr>
      <w:r>
        <w:rPr>
          <w:rFonts w:hint="eastAsia" w:ascii="宋体" w:hAnsi="宋体"/>
          <w:sz w:val="24"/>
          <w:highlight w:val="none"/>
        </w:rPr>
        <w:t>   （四）严格遵守即时信息公示规定，及时维护和更新盐城市政府采购网等网站中与本单位相关的信息；</w:t>
      </w:r>
    </w:p>
    <w:p w14:paraId="7499892D">
      <w:pPr>
        <w:widowControl/>
        <w:spacing w:line="500" w:lineRule="exact"/>
        <w:jc w:val="left"/>
        <w:rPr>
          <w:rFonts w:ascii="宋体" w:hAnsi="宋体"/>
          <w:sz w:val="24"/>
          <w:highlight w:val="none"/>
        </w:rPr>
      </w:pPr>
      <w:r>
        <w:rPr>
          <w:rFonts w:hint="eastAsia" w:ascii="宋体" w:hAnsi="宋体"/>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D778626">
      <w:pPr>
        <w:widowControl/>
        <w:spacing w:line="500" w:lineRule="exact"/>
        <w:jc w:val="left"/>
        <w:rPr>
          <w:rFonts w:ascii="宋体" w:hAnsi="宋体"/>
          <w:sz w:val="24"/>
          <w:highlight w:val="none"/>
        </w:rPr>
      </w:pPr>
      <w:r>
        <w:rPr>
          <w:rFonts w:hint="eastAsia" w:ascii="宋体" w:hAnsi="宋体"/>
          <w:sz w:val="24"/>
          <w:highlight w:val="none"/>
        </w:rPr>
        <w:t>   （六）自觉接受政府、行业组织、社会公众、新闻舆论的监督；</w:t>
      </w:r>
    </w:p>
    <w:p w14:paraId="4DB4192E">
      <w:pPr>
        <w:widowControl/>
        <w:spacing w:line="500" w:lineRule="exact"/>
        <w:ind w:firstLine="480"/>
        <w:jc w:val="left"/>
        <w:rPr>
          <w:rFonts w:ascii="宋体" w:hAnsi="宋体"/>
          <w:sz w:val="24"/>
          <w:highlight w:val="none"/>
        </w:rPr>
      </w:pPr>
      <w:r>
        <w:rPr>
          <w:rFonts w:hint="eastAsia" w:ascii="宋体" w:hAnsi="宋体"/>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1A06BBD">
      <w:pPr>
        <w:widowControl/>
        <w:spacing w:line="500" w:lineRule="exact"/>
        <w:jc w:val="left"/>
        <w:rPr>
          <w:rFonts w:ascii="宋体" w:hAnsi="宋体"/>
          <w:sz w:val="24"/>
          <w:highlight w:val="none"/>
        </w:rPr>
      </w:pPr>
      <w:r>
        <w:rPr>
          <w:rFonts w:hint="eastAsia" w:ascii="宋体" w:hAnsi="宋体"/>
          <w:sz w:val="24"/>
          <w:highlight w:val="none"/>
        </w:rPr>
        <w:t>   （八）本人已认真阅读了上述承诺，并向本单位员工作了宣传教育。</w:t>
      </w:r>
    </w:p>
    <w:p w14:paraId="29F425C4">
      <w:pPr>
        <w:widowControl/>
        <w:spacing w:line="500" w:lineRule="exact"/>
        <w:jc w:val="left"/>
        <w:rPr>
          <w:rFonts w:ascii="宋体" w:hAnsi="宋体"/>
          <w:sz w:val="24"/>
          <w:highlight w:val="none"/>
        </w:rPr>
      </w:pPr>
    </w:p>
    <w:p w14:paraId="6C8D9C02">
      <w:pPr>
        <w:widowControl/>
        <w:spacing w:line="500" w:lineRule="exact"/>
        <w:jc w:val="center"/>
        <w:rPr>
          <w:rFonts w:ascii="宋体" w:hAnsi="宋体"/>
          <w:sz w:val="24"/>
          <w:highlight w:val="none"/>
        </w:rPr>
      </w:pPr>
      <w:r>
        <w:rPr>
          <w:rFonts w:hint="eastAsia" w:ascii="宋体" w:hAnsi="宋体"/>
          <w:sz w:val="24"/>
          <w:highlight w:val="none"/>
        </w:rPr>
        <w:t xml:space="preserve">                          法定代表人签名：</w:t>
      </w:r>
    </w:p>
    <w:p w14:paraId="1A9B57A6">
      <w:pPr>
        <w:spacing w:line="480" w:lineRule="auto"/>
        <w:rPr>
          <w:rFonts w:ascii="宋体" w:hAnsi="宋体"/>
          <w:sz w:val="24"/>
          <w:highlight w:val="none"/>
        </w:rPr>
      </w:pPr>
      <w:r>
        <w:rPr>
          <w:rFonts w:hint="eastAsia" w:ascii="宋体" w:hAnsi="宋体"/>
          <w:sz w:val="24"/>
          <w:highlight w:val="none"/>
        </w:rPr>
        <w:t xml:space="preserve">                                              单位名称（盖章）：</w:t>
      </w:r>
      <w:r>
        <w:rPr>
          <w:rFonts w:hint="eastAsia" w:ascii="宋体" w:hAnsi="宋体" w:cs="宋体"/>
          <w:b/>
          <w:i/>
          <w:iCs/>
          <w:sz w:val="24"/>
          <w:highlight w:val="none"/>
          <w:u w:val="single"/>
        </w:rPr>
        <w:t>（加盖CA电子公章）</w:t>
      </w:r>
    </w:p>
    <w:p w14:paraId="64672C72">
      <w:pPr>
        <w:widowControl/>
        <w:spacing w:line="500" w:lineRule="exact"/>
        <w:jc w:val="center"/>
        <w:rPr>
          <w:rFonts w:ascii="宋体" w:hAnsi="宋体"/>
          <w:sz w:val="24"/>
          <w:highlight w:val="none"/>
        </w:rPr>
      </w:pPr>
      <w:r>
        <w:rPr>
          <w:rFonts w:hint="eastAsia" w:ascii="宋体" w:hAnsi="宋体"/>
          <w:sz w:val="24"/>
          <w:highlight w:val="none"/>
        </w:rPr>
        <w:t xml:space="preserve">                      年    月    日</w:t>
      </w:r>
    </w:p>
    <w:p w14:paraId="75C98900">
      <w:pPr>
        <w:widowControl/>
        <w:spacing w:line="500" w:lineRule="exact"/>
        <w:jc w:val="center"/>
        <w:rPr>
          <w:rFonts w:ascii="宋体" w:hAnsi="宋体" w:cs="宋体"/>
          <w:b/>
          <w:bCs/>
          <w:sz w:val="28"/>
          <w:szCs w:val="28"/>
          <w:highlight w:val="none"/>
        </w:rPr>
      </w:pPr>
      <w:r>
        <w:rPr>
          <w:rFonts w:ascii="宋体" w:hAnsi="宋体"/>
          <w:sz w:val="24"/>
          <w:highlight w:val="none"/>
        </w:rPr>
        <w:br w:type="page" w:clear="all"/>
      </w:r>
      <w:r>
        <w:rPr>
          <w:rFonts w:hint="eastAsia" w:ascii="宋体" w:hAnsi="宋体" w:cs="宋体"/>
          <w:b/>
          <w:bCs/>
          <w:sz w:val="28"/>
          <w:szCs w:val="28"/>
          <w:highlight w:val="none"/>
        </w:rPr>
        <w:t>十七、投标人认为需要提供的其他材料</w:t>
      </w:r>
    </w:p>
    <w:p w14:paraId="3BC2EA80">
      <w:pPr>
        <w:pStyle w:val="85"/>
        <w:ind w:firstLine="240"/>
        <w:rPr>
          <w:rFonts w:ascii="宋体" w:hAnsi="宋体"/>
          <w:b/>
          <w:bCs/>
          <w:sz w:val="24"/>
          <w:highlight w:val="none"/>
        </w:rPr>
      </w:pPr>
    </w:p>
    <w:sectPr>
      <w:footerReference r:id="rId6" w:type="default"/>
      <w:pgSz w:w="11906" w:h="16838"/>
      <w:pgMar w:top="1418" w:right="885" w:bottom="1134" w:left="1161" w:header="851" w:footer="992" w:gutter="0"/>
      <w:pgNumType w:fmt="numberInDash" w:start="28"/>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Lucida Sans">
    <w:altName w:val="Lucida Sans Unicode"/>
    <w:panose1 w:val="020B0602030504020204"/>
    <w:charset w:val="00"/>
    <w:family w:val="swiss"/>
    <w:pitch w:val="default"/>
    <w:sig w:usb0="00000000" w:usb1="00000000" w:usb2="00000000" w:usb3="00000000" w:csb0="20000001" w:csb1="00000000"/>
  </w:font>
  <w:font w:name="Cambria">
    <w:panose1 w:val="02040503050406030204"/>
    <w:charset w:val="00"/>
    <w:family w:val="roman"/>
    <w:pitch w:val="default"/>
    <w:sig w:usb0="E00002FF" w:usb1="400004FF" w:usb2="00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等线">
    <w:altName w:val="微软雅黑"/>
    <w:panose1 w:val="02010600030101010101"/>
    <w:charset w:val="86"/>
    <w:family w:val="auto"/>
    <w:pitch w:val="default"/>
    <w:sig w:usb0="00000000" w:usb1="00000000" w:usb2="00000016" w:usb3="00000000" w:csb0="0004000F" w:csb1="00000000"/>
  </w:font>
  <w:font w:name="等线 Light">
    <w:altName w:val="宋体"/>
    <w:panose1 w:val="02010600030101010101"/>
    <w:charset w:val="86"/>
    <w:family w:val="auto"/>
    <w:pitch w:val="default"/>
    <w:sig w:usb0="00000000" w:usb1="00000000" w:usb2="00000016" w:usb3="00000000" w:csb0="0004000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_GBK">
    <w:altName w:val="微软雅黑"/>
    <w:panose1 w:val="03000509000000000000"/>
    <w:charset w:val="86"/>
    <w:family w:val="script"/>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方正仿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6F01B">
    <w:pPr>
      <w:pStyle w:val="56"/>
    </w:pPr>
  </w:p>
  <w:p w14:paraId="43E1B9F4">
    <w:pPr>
      <w:pStyle w:val="5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32FDC">
    <w:pPr>
      <w:pStyle w:val="56"/>
    </w:pPr>
  </w:p>
  <w:p w14:paraId="5F93DF39">
    <w:pPr>
      <w:pStyle w:val="5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38290">
    <w:pPr>
      <w:pStyle w:val="56"/>
    </w:pPr>
  </w:p>
  <w:p w14:paraId="07881D3C">
    <w:pPr>
      <w:pStyle w:val="5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3230778">
                          <w:pPr>
                            <w:pStyle w:val="56"/>
                          </w:pPr>
                          <w:r>
                            <w:fldChar w:fldCharType="begin"/>
                          </w:r>
                          <w:r>
                            <w:instrText xml:space="preserve"> PAGE  \* MERGEFORMAT </w:instrText>
                          </w:r>
                          <w:r>
                            <w:fldChar w:fldCharType="separate"/>
                          </w:r>
                          <w:r>
                            <w:t>- 33 -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14:paraId="73230778">
                    <w:pPr>
                      <w:pStyle w:val="56"/>
                    </w:pPr>
                    <w:r>
                      <w:fldChar w:fldCharType="begin"/>
                    </w:r>
                    <w:r>
                      <w:instrText xml:space="preserve"> PAGE  \* MERGEFORMAT </w:instrText>
                    </w:r>
                    <w:r>
                      <w:fldChar w:fldCharType="separate"/>
                    </w:r>
                    <w:r>
                      <w:t>- 33 -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CA536">
    <w:pPr>
      <w:pStyle w:val="5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CE90A96">
                          <w:pPr>
                            <w:pStyle w:val="56"/>
                            <w:jc w:val="center"/>
                          </w:pPr>
                          <w:r>
                            <w:fldChar w:fldCharType="begin"/>
                          </w:r>
                          <w:r>
                            <w:instrText xml:space="preserve">PAGE \* MERGEFORMAT</w:instrText>
                          </w:r>
                          <w:r>
                            <w:fldChar w:fldCharType="separate"/>
                          </w:r>
                          <w:r>
                            <w:t>- 7 -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3CE90A96">
                    <w:pPr>
                      <w:pStyle w:val="56"/>
                      <w:jc w:val="center"/>
                    </w:pPr>
                    <w:r>
                      <w:fldChar w:fldCharType="begin"/>
                    </w:r>
                    <w:r>
                      <w:instrText xml:space="preserve">PAGE \* MERGEFORMAT</w:instrText>
                    </w:r>
                    <w:r>
                      <w:fldChar w:fldCharType="separate"/>
                    </w:r>
                    <w:r>
                      <w:t>- 7 -</w:t>
                    </w:r>
                    <w:r>
                      <w:fldChar w:fldCharType="end"/>
                    </w:r>
                  </w:p>
                </w:txbxContent>
              </v:textbox>
            </v:shape>
          </w:pict>
        </mc:Fallback>
      </mc:AlternateContent>
    </w:r>
    <w:r>
      <w:rPr>
        <w:rFonts w:hint="eastAsia"/>
        <w:lang w:val="en-US" w:eastAsia="zh-CN"/>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25147E"/>
    <w:multiLevelType w:val="singleLevel"/>
    <w:tmpl w:val="8525147E"/>
    <w:lvl w:ilvl="0" w:tentative="0">
      <w:start w:val="3"/>
      <w:numFmt w:val="decimal"/>
      <w:lvlText w:val="%1."/>
      <w:lvlJc w:val="left"/>
      <w:pPr>
        <w:tabs>
          <w:tab w:val="left" w:pos="312"/>
        </w:tabs>
      </w:pPr>
    </w:lvl>
  </w:abstractNum>
  <w:abstractNum w:abstractNumId="1">
    <w:nsid w:val="9239341B"/>
    <w:multiLevelType w:val="multilevel"/>
    <w:tmpl w:val="9239341B"/>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5E306ED"/>
    <w:multiLevelType w:val="multilevel"/>
    <w:tmpl w:val="B5E306ED"/>
    <w:lvl w:ilvl="0" w:tentative="0">
      <w:start w:val="1"/>
      <w:numFmt w:val="decimal"/>
      <w:pStyle w:val="47"/>
      <w:suff w:val="nothing"/>
      <w:lvlText w:val="%1."/>
      <w:lvlJc w:val="left"/>
      <w:pPr>
        <w:ind w:left="0" w:firstLine="454"/>
      </w:pPr>
      <w:rPr>
        <w:b w:val="0"/>
        <w:bCs/>
      </w:rPr>
    </w:lvl>
    <w:lvl w:ilvl="1" w:tentative="0">
      <w:start w:val="1"/>
      <w:numFmt w:val="lowerLetter"/>
      <w:lvlText w:val="%2)"/>
      <w:lvlJc w:val="left"/>
      <w:pPr>
        <w:tabs>
          <w:tab w:val="left" w:pos="-840"/>
        </w:tabs>
        <w:ind w:left="480" w:hanging="420"/>
      </w:pPr>
    </w:lvl>
    <w:lvl w:ilvl="2" w:tentative="0">
      <w:start w:val="1"/>
      <w:numFmt w:val="lowerRoman"/>
      <w:lvlText w:val="%3."/>
      <w:lvlJc w:val="right"/>
      <w:pPr>
        <w:tabs>
          <w:tab w:val="left" w:pos="-840"/>
        </w:tabs>
        <w:ind w:left="900" w:hanging="420"/>
      </w:pPr>
    </w:lvl>
    <w:lvl w:ilvl="3" w:tentative="0">
      <w:start w:val="1"/>
      <w:numFmt w:val="decimal"/>
      <w:lvlText w:val="%4."/>
      <w:lvlJc w:val="left"/>
      <w:pPr>
        <w:tabs>
          <w:tab w:val="left" w:pos="-840"/>
        </w:tabs>
        <w:ind w:left="1320" w:hanging="420"/>
      </w:pPr>
    </w:lvl>
    <w:lvl w:ilvl="4" w:tentative="0">
      <w:start w:val="1"/>
      <w:numFmt w:val="lowerLetter"/>
      <w:lvlText w:val="%5)"/>
      <w:lvlJc w:val="left"/>
      <w:pPr>
        <w:tabs>
          <w:tab w:val="left" w:pos="-840"/>
        </w:tabs>
        <w:ind w:left="1740" w:hanging="420"/>
      </w:pPr>
    </w:lvl>
    <w:lvl w:ilvl="5" w:tentative="0">
      <w:start w:val="1"/>
      <w:numFmt w:val="lowerRoman"/>
      <w:lvlText w:val="%6."/>
      <w:lvlJc w:val="right"/>
      <w:pPr>
        <w:tabs>
          <w:tab w:val="left" w:pos="-840"/>
        </w:tabs>
        <w:ind w:left="2160" w:hanging="420"/>
      </w:pPr>
    </w:lvl>
    <w:lvl w:ilvl="6" w:tentative="0">
      <w:start w:val="1"/>
      <w:numFmt w:val="decimal"/>
      <w:lvlText w:val="%7."/>
      <w:lvlJc w:val="left"/>
      <w:pPr>
        <w:tabs>
          <w:tab w:val="left" w:pos="-840"/>
        </w:tabs>
        <w:ind w:left="2580" w:hanging="420"/>
      </w:pPr>
    </w:lvl>
    <w:lvl w:ilvl="7" w:tentative="0">
      <w:start w:val="1"/>
      <w:numFmt w:val="lowerLetter"/>
      <w:lvlText w:val="%8)"/>
      <w:lvlJc w:val="left"/>
      <w:pPr>
        <w:tabs>
          <w:tab w:val="left" w:pos="-840"/>
        </w:tabs>
        <w:ind w:left="3000" w:hanging="420"/>
      </w:pPr>
    </w:lvl>
    <w:lvl w:ilvl="8" w:tentative="0">
      <w:start w:val="1"/>
      <w:numFmt w:val="lowerRoman"/>
      <w:lvlText w:val="%9."/>
      <w:lvlJc w:val="right"/>
      <w:pPr>
        <w:tabs>
          <w:tab w:val="left" w:pos="-840"/>
        </w:tabs>
        <w:ind w:left="3420" w:hanging="420"/>
      </w:pPr>
    </w:lvl>
  </w:abstractNum>
  <w:abstractNum w:abstractNumId="3">
    <w:nsid w:val="BF205925"/>
    <w:multiLevelType w:val="multilevel"/>
    <w:tmpl w:val="BF205925"/>
    <w:lvl w:ilvl="0" w:tentative="0">
      <w:start w:val="1"/>
      <w:numFmt w:val="decimal"/>
      <w:pStyle w:val="37"/>
      <w:suff w:val="nothing"/>
      <w:lvlText w:val="%1."/>
      <w:lvlJc w:val="left"/>
      <w:pPr>
        <w:ind w:left="0" w:firstLine="454"/>
      </w:pPr>
      <w:rPr>
        <w:b w:val="0"/>
        <w:bCs/>
      </w:rPr>
    </w:lvl>
    <w:lvl w:ilvl="1" w:tentative="0">
      <w:start w:val="1"/>
      <w:numFmt w:val="lowerLetter"/>
      <w:lvlText w:val="%2)"/>
      <w:lvlJc w:val="left"/>
      <w:pPr>
        <w:tabs>
          <w:tab w:val="left" w:pos="-840"/>
        </w:tabs>
        <w:ind w:left="480" w:hanging="420"/>
      </w:pPr>
    </w:lvl>
    <w:lvl w:ilvl="2" w:tentative="0">
      <w:start w:val="1"/>
      <w:numFmt w:val="lowerRoman"/>
      <w:lvlText w:val="%3."/>
      <w:lvlJc w:val="right"/>
      <w:pPr>
        <w:tabs>
          <w:tab w:val="left" w:pos="-840"/>
        </w:tabs>
        <w:ind w:left="900" w:hanging="420"/>
      </w:pPr>
    </w:lvl>
    <w:lvl w:ilvl="3" w:tentative="0">
      <w:start w:val="1"/>
      <w:numFmt w:val="decimal"/>
      <w:lvlText w:val="%4."/>
      <w:lvlJc w:val="left"/>
      <w:pPr>
        <w:tabs>
          <w:tab w:val="left" w:pos="-840"/>
        </w:tabs>
        <w:ind w:left="1320" w:hanging="420"/>
      </w:pPr>
    </w:lvl>
    <w:lvl w:ilvl="4" w:tentative="0">
      <w:start w:val="1"/>
      <w:numFmt w:val="lowerLetter"/>
      <w:lvlText w:val="%5)"/>
      <w:lvlJc w:val="left"/>
      <w:pPr>
        <w:tabs>
          <w:tab w:val="left" w:pos="-840"/>
        </w:tabs>
        <w:ind w:left="1740" w:hanging="420"/>
      </w:pPr>
    </w:lvl>
    <w:lvl w:ilvl="5" w:tentative="0">
      <w:start w:val="1"/>
      <w:numFmt w:val="lowerRoman"/>
      <w:lvlText w:val="%6."/>
      <w:lvlJc w:val="right"/>
      <w:pPr>
        <w:tabs>
          <w:tab w:val="left" w:pos="-840"/>
        </w:tabs>
        <w:ind w:left="2160" w:hanging="420"/>
      </w:pPr>
    </w:lvl>
    <w:lvl w:ilvl="6" w:tentative="0">
      <w:start w:val="1"/>
      <w:numFmt w:val="decimal"/>
      <w:lvlText w:val="%7."/>
      <w:lvlJc w:val="left"/>
      <w:pPr>
        <w:tabs>
          <w:tab w:val="left" w:pos="-840"/>
        </w:tabs>
        <w:ind w:left="2580" w:hanging="420"/>
      </w:pPr>
    </w:lvl>
    <w:lvl w:ilvl="7" w:tentative="0">
      <w:start w:val="1"/>
      <w:numFmt w:val="lowerLetter"/>
      <w:lvlText w:val="%8)"/>
      <w:lvlJc w:val="left"/>
      <w:pPr>
        <w:tabs>
          <w:tab w:val="left" w:pos="-840"/>
        </w:tabs>
        <w:ind w:left="3000" w:hanging="420"/>
      </w:pPr>
    </w:lvl>
    <w:lvl w:ilvl="8" w:tentative="0">
      <w:start w:val="1"/>
      <w:numFmt w:val="lowerRoman"/>
      <w:lvlText w:val="%9."/>
      <w:lvlJc w:val="right"/>
      <w:pPr>
        <w:tabs>
          <w:tab w:val="left" w:pos="-840"/>
        </w:tabs>
        <w:ind w:left="3420" w:hanging="420"/>
      </w:pPr>
    </w:lvl>
  </w:abstractNum>
  <w:abstractNum w:abstractNumId="4">
    <w:nsid w:val="CF092B84"/>
    <w:multiLevelType w:val="multilevel"/>
    <w:tmpl w:val="CF092B84"/>
    <w:lvl w:ilvl="0" w:tentative="0">
      <w:start w:val="1"/>
      <w:numFmt w:val="decimal"/>
      <w:pStyle w:val="295"/>
      <w:lvlText w:val="%1、"/>
      <w:lvlJc w:val="left"/>
      <w:pPr>
        <w:tabs>
          <w:tab w:val="left" w:pos="27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FEA360D9"/>
    <w:multiLevelType w:val="singleLevel"/>
    <w:tmpl w:val="FEA360D9"/>
    <w:lvl w:ilvl="0" w:tentative="0">
      <w:start w:val="2"/>
      <w:numFmt w:val="decimal"/>
      <w:lvlText w:val="%1."/>
      <w:lvlJc w:val="left"/>
      <w:pPr>
        <w:tabs>
          <w:tab w:val="left" w:pos="312"/>
        </w:tabs>
      </w:pPr>
    </w:lvl>
  </w:abstractNum>
  <w:abstractNum w:abstractNumId="6">
    <w:nsid w:val="0053208E"/>
    <w:multiLevelType w:val="multilevel"/>
    <w:tmpl w:val="0053208E"/>
    <w:lvl w:ilvl="0" w:tentative="0">
      <w:start w:val="1"/>
      <w:numFmt w:val="decimal"/>
      <w:pStyle w:val="62"/>
      <w:lvlText w:val="%1"/>
      <w:lvlJc w:val="left"/>
      <w:pPr>
        <w:ind w:left="425" w:hanging="425"/>
      </w:pPr>
      <w:rPr>
        <w:rFonts w:ascii="黑体" w:hAnsi="黑体" w:eastAsia="黑体"/>
      </w:rPr>
    </w:lvl>
    <w:lvl w:ilvl="1" w:tentative="0">
      <w:start w:val="1"/>
      <w:numFmt w:val="decimal"/>
      <w:pStyle w:val="314"/>
      <w:lvlText w:val="%1.%2"/>
      <w:lvlJc w:val="left"/>
      <w:pPr>
        <w:ind w:left="992" w:hanging="567"/>
      </w:pPr>
    </w:lvl>
    <w:lvl w:ilvl="2" w:tentative="0">
      <w:start w:val="1"/>
      <w:numFmt w:val="decimal"/>
      <w:lvlText w:val="%1.%2.%3"/>
      <w:lvlJc w:val="left"/>
      <w:pPr>
        <w:ind w:left="993"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7">
    <w:nsid w:val="0248C179"/>
    <w:multiLevelType w:val="multilevel"/>
    <w:tmpl w:val="0248C179"/>
    <w:lvl w:ilvl="0" w:tentative="0">
      <w:start w:val="1"/>
      <w:numFmt w:val="decimal"/>
      <w:suff w:val="nothing"/>
      <w:lvlText w:val="%1."/>
      <w:lvlJc w:val="left"/>
      <w:pPr>
        <w:ind w:left="-34" w:firstLine="454"/>
      </w:pPr>
      <w:rPr>
        <w:b w:val="0"/>
        <w:bCs/>
      </w:rPr>
    </w:lvl>
    <w:lvl w:ilvl="1" w:tentative="0">
      <w:start w:val="1"/>
      <w:numFmt w:val="lowerLetter"/>
      <w:lvlText w:val="%2)"/>
      <w:lvlJc w:val="left"/>
      <w:pPr>
        <w:tabs>
          <w:tab w:val="left" w:pos="-840"/>
        </w:tabs>
        <w:ind w:left="480" w:hanging="420"/>
      </w:pPr>
    </w:lvl>
    <w:lvl w:ilvl="2" w:tentative="0">
      <w:start w:val="1"/>
      <w:numFmt w:val="lowerRoman"/>
      <w:lvlText w:val="%3."/>
      <w:lvlJc w:val="right"/>
      <w:pPr>
        <w:tabs>
          <w:tab w:val="left" w:pos="-840"/>
        </w:tabs>
        <w:ind w:left="900" w:hanging="420"/>
      </w:pPr>
    </w:lvl>
    <w:lvl w:ilvl="3" w:tentative="0">
      <w:start w:val="1"/>
      <w:numFmt w:val="decimal"/>
      <w:lvlText w:val="%4."/>
      <w:lvlJc w:val="left"/>
      <w:pPr>
        <w:tabs>
          <w:tab w:val="left" w:pos="-840"/>
        </w:tabs>
        <w:ind w:left="1320" w:hanging="420"/>
      </w:pPr>
    </w:lvl>
    <w:lvl w:ilvl="4" w:tentative="0">
      <w:start w:val="1"/>
      <w:numFmt w:val="lowerLetter"/>
      <w:lvlText w:val="%5)"/>
      <w:lvlJc w:val="left"/>
      <w:pPr>
        <w:tabs>
          <w:tab w:val="left" w:pos="-840"/>
        </w:tabs>
        <w:ind w:left="1740" w:hanging="420"/>
      </w:pPr>
    </w:lvl>
    <w:lvl w:ilvl="5" w:tentative="0">
      <w:start w:val="1"/>
      <w:numFmt w:val="lowerRoman"/>
      <w:lvlText w:val="%6."/>
      <w:lvlJc w:val="right"/>
      <w:pPr>
        <w:tabs>
          <w:tab w:val="left" w:pos="-840"/>
        </w:tabs>
        <w:ind w:left="2160" w:hanging="420"/>
      </w:pPr>
    </w:lvl>
    <w:lvl w:ilvl="6" w:tentative="0">
      <w:start w:val="1"/>
      <w:numFmt w:val="decimal"/>
      <w:lvlText w:val="%7."/>
      <w:lvlJc w:val="left"/>
      <w:pPr>
        <w:tabs>
          <w:tab w:val="left" w:pos="-840"/>
        </w:tabs>
        <w:ind w:left="2580" w:hanging="420"/>
      </w:pPr>
    </w:lvl>
    <w:lvl w:ilvl="7" w:tentative="0">
      <w:start w:val="1"/>
      <w:numFmt w:val="lowerLetter"/>
      <w:lvlText w:val="%8)"/>
      <w:lvlJc w:val="left"/>
      <w:pPr>
        <w:tabs>
          <w:tab w:val="left" w:pos="-840"/>
        </w:tabs>
        <w:ind w:left="3000" w:hanging="420"/>
      </w:pPr>
    </w:lvl>
    <w:lvl w:ilvl="8" w:tentative="0">
      <w:start w:val="1"/>
      <w:numFmt w:val="lowerRoman"/>
      <w:lvlText w:val="%9."/>
      <w:lvlJc w:val="right"/>
      <w:pPr>
        <w:tabs>
          <w:tab w:val="left" w:pos="-840"/>
        </w:tabs>
        <w:ind w:left="3420" w:hanging="420"/>
      </w:pPr>
    </w:lvl>
  </w:abstractNum>
  <w:abstractNum w:abstractNumId="8">
    <w:nsid w:val="03D62ECE"/>
    <w:multiLevelType w:val="multilevel"/>
    <w:tmpl w:val="03D62ECE"/>
    <w:lvl w:ilvl="0" w:tentative="0">
      <w:start w:val="1"/>
      <w:numFmt w:val="chineseCountingThousand"/>
      <w:pStyle w:val="48"/>
      <w:suff w:val="space"/>
      <w:lvlText w:val="第%1章"/>
      <w:lvlJc w:val="left"/>
      <w:pPr>
        <w:ind w:left="0" w:firstLine="0"/>
      </w:pPr>
    </w:lvl>
    <w:lvl w:ilvl="1" w:tentative="0">
      <w:start w:val="1"/>
      <w:numFmt w:val="decimal"/>
      <w:isLgl/>
      <w:suff w:val="space"/>
      <w:lvlText w:val="%1.%2"/>
      <w:lvlJc w:val="left"/>
      <w:pPr>
        <w:ind w:left="0" w:firstLine="0"/>
      </w:pPr>
    </w:lvl>
    <w:lvl w:ilvl="2" w:tentative="0">
      <w:start w:val="1"/>
      <w:numFmt w:val="decimal"/>
      <w:isLgl/>
      <w:lvlText w:val="%1.%2.%3"/>
      <w:lvlJc w:val="left"/>
      <w:pPr>
        <w:ind w:left="114" w:firstLine="0"/>
      </w:pPr>
    </w:lvl>
    <w:lvl w:ilvl="3" w:tentative="0">
      <w:start w:val="1"/>
      <w:numFmt w:val="decimal"/>
      <w:isLgl/>
      <w:lvlText w:val="%1.%2.%3.%4"/>
      <w:lvlJc w:val="left"/>
      <w:pPr>
        <w:ind w:left="171" w:firstLine="0"/>
      </w:pPr>
    </w:lvl>
    <w:lvl w:ilvl="4" w:tentative="0">
      <w:start w:val="1"/>
      <w:numFmt w:val="decimal"/>
      <w:isLgl/>
      <w:lvlText w:val="%1.%2.%3.%4.%5"/>
      <w:lvlJc w:val="left"/>
      <w:pPr>
        <w:ind w:left="228" w:firstLine="0"/>
      </w:pPr>
    </w:lvl>
    <w:lvl w:ilvl="5" w:tentative="0">
      <w:start w:val="1"/>
      <w:numFmt w:val="decimal"/>
      <w:isLgl/>
      <w:lvlText w:val="%1.%2.%3.%4.%5.%6"/>
      <w:lvlJc w:val="left"/>
      <w:pPr>
        <w:ind w:left="285" w:firstLine="0"/>
      </w:pPr>
    </w:lvl>
    <w:lvl w:ilvl="6" w:tentative="0">
      <w:start w:val="1"/>
      <w:numFmt w:val="decimal"/>
      <w:isLgl/>
      <w:lvlText w:val="%1.%2.%3.%4.%5.%6.%7"/>
      <w:lvlJc w:val="left"/>
      <w:pPr>
        <w:ind w:left="342" w:firstLine="0"/>
      </w:pPr>
    </w:lvl>
    <w:lvl w:ilvl="7" w:tentative="0">
      <w:start w:val="1"/>
      <w:numFmt w:val="decimal"/>
      <w:isLgl/>
      <w:lvlText w:val="%1.%2.%3.%4.%5.%6.%7.%8"/>
      <w:lvlJc w:val="left"/>
      <w:pPr>
        <w:ind w:left="399" w:firstLine="0"/>
      </w:pPr>
    </w:lvl>
    <w:lvl w:ilvl="8" w:tentative="0">
      <w:start w:val="1"/>
      <w:numFmt w:val="decimal"/>
      <w:isLgl/>
      <w:lvlText w:val="%1.%2.%3.%4.%5.%6.%7.%8.%9"/>
      <w:lvlJc w:val="left"/>
      <w:pPr>
        <w:ind w:left="456" w:firstLine="0"/>
      </w:pPr>
    </w:lvl>
  </w:abstractNum>
  <w:abstractNum w:abstractNumId="9">
    <w:nsid w:val="25B654F3"/>
    <w:multiLevelType w:val="multilevel"/>
    <w:tmpl w:val="25B654F3"/>
    <w:lvl w:ilvl="0" w:tentative="0">
      <w:start w:val="1"/>
      <w:numFmt w:val="decimal"/>
      <w:pStyle w:val="403"/>
      <w:lvlText w:val="（%1）"/>
      <w:lvlJc w:val="left"/>
      <w:pPr>
        <w:ind w:left="900" w:hanging="420"/>
      </w:pPr>
    </w:lvl>
    <w:lvl w:ilvl="1" w:tentative="0">
      <w:start w:val="1"/>
      <w:numFmt w:val="lowerLetter"/>
      <w:pStyle w:val="405"/>
      <w:lvlText w:val="%2)"/>
      <w:lvlJc w:val="left"/>
      <w:pPr>
        <w:ind w:left="1320" w:hanging="420"/>
      </w:pPr>
    </w:lvl>
    <w:lvl w:ilvl="2" w:tentative="0">
      <w:start w:val="1"/>
      <w:numFmt w:val="lowerRoman"/>
      <w:pStyle w:val="407"/>
      <w:lvlText w:val="%3."/>
      <w:lvlJc w:val="right"/>
      <w:pPr>
        <w:ind w:left="1740" w:hanging="420"/>
      </w:pPr>
    </w:lvl>
    <w:lvl w:ilvl="3" w:tentative="0">
      <w:start w:val="1"/>
      <w:numFmt w:val="decimal"/>
      <w:pStyle w:val="409"/>
      <w:lvlText w:val="%4."/>
      <w:lvlJc w:val="left"/>
      <w:pPr>
        <w:ind w:left="2160" w:hanging="420"/>
      </w:pPr>
    </w:lvl>
    <w:lvl w:ilvl="4" w:tentative="0">
      <w:start w:val="1"/>
      <w:numFmt w:val="lowerLetter"/>
      <w:pStyle w:val="410"/>
      <w:lvlText w:val="%5)"/>
      <w:lvlJc w:val="left"/>
      <w:pPr>
        <w:ind w:left="2580" w:hanging="420"/>
      </w:pPr>
    </w:lvl>
    <w:lvl w:ilvl="5" w:tentative="0">
      <w:start w:val="1"/>
      <w:numFmt w:val="lowerRoman"/>
      <w:pStyle w:val="411"/>
      <w:lvlText w:val="%6."/>
      <w:lvlJc w:val="right"/>
      <w:pPr>
        <w:ind w:left="3000" w:hanging="420"/>
      </w:pPr>
    </w:lvl>
    <w:lvl w:ilvl="6" w:tentative="0">
      <w:start w:val="1"/>
      <w:numFmt w:val="decimal"/>
      <w:pStyle w:val="412"/>
      <w:lvlText w:val="%7."/>
      <w:lvlJc w:val="left"/>
      <w:pPr>
        <w:ind w:left="3420" w:hanging="420"/>
      </w:pPr>
    </w:lvl>
    <w:lvl w:ilvl="7" w:tentative="0">
      <w:start w:val="1"/>
      <w:numFmt w:val="lowerLetter"/>
      <w:pStyle w:val="413"/>
      <w:lvlText w:val="%8)"/>
      <w:lvlJc w:val="left"/>
      <w:pPr>
        <w:ind w:left="3840" w:hanging="420"/>
      </w:pPr>
    </w:lvl>
    <w:lvl w:ilvl="8" w:tentative="0">
      <w:start w:val="1"/>
      <w:numFmt w:val="lowerRoman"/>
      <w:pStyle w:val="414"/>
      <w:lvlText w:val="%9."/>
      <w:lvlJc w:val="right"/>
      <w:pPr>
        <w:ind w:left="4260" w:hanging="420"/>
      </w:pPr>
    </w:lvl>
  </w:abstractNum>
  <w:abstractNum w:abstractNumId="10">
    <w:nsid w:val="59ADCABA"/>
    <w:multiLevelType w:val="multilevel"/>
    <w:tmpl w:val="59ADCABA"/>
    <w:lvl w:ilvl="0" w:tentative="0">
      <w:start w:val="3"/>
      <w:numFmt w:val="chineseCounting"/>
      <w:pStyle w:val="20"/>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0"/>
  </w:num>
  <w:num w:numId="2">
    <w:abstractNumId w:val="3"/>
  </w:num>
  <w:num w:numId="3">
    <w:abstractNumId w:val="2"/>
  </w:num>
  <w:num w:numId="4">
    <w:abstractNumId w:val="8"/>
  </w:num>
  <w:num w:numId="5">
    <w:abstractNumId w:val="6"/>
  </w:num>
  <w:num w:numId="6">
    <w:abstractNumId w:val="4"/>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7"/>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A0D"/>
    <w:rsid w:val="00526788"/>
    <w:rsid w:val="00592A0D"/>
    <w:rsid w:val="005C7911"/>
    <w:rsid w:val="008A4E6D"/>
    <w:rsid w:val="00B112AF"/>
    <w:rsid w:val="01B85F94"/>
    <w:rsid w:val="02193782"/>
    <w:rsid w:val="028C5A73"/>
    <w:rsid w:val="028D1C62"/>
    <w:rsid w:val="067C2076"/>
    <w:rsid w:val="083F0B68"/>
    <w:rsid w:val="08AE6343"/>
    <w:rsid w:val="08E51639"/>
    <w:rsid w:val="0AA0795F"/>
    <w:rsid w:val="0B4D203E"/>
    <w:rsid w:val="0B643A99"/>
    <w:rsid w:val="0C3E79DE"/>
    <w:rsid w:val="0D7768F2"/>
    <w:rsid w:val="0E15651D"/>
    <w:rsid w:val="10632BDB"/>
    <w:rsid w:val="10C21796"/>
    <w:rsid w:val="12C0114D"/>
    <w:rsid w:val="13FC1636"/>
    <w:rsid w:val="14157A08"/>
    <w:rsid w:val="14C95931"/>
    <w:rsid w:val="15623C99"/>
    <w:rsid w:val="15F85750"/>
    <w:rsid w:val="162C08A7"/>
    <w:rsid w:val="198A754D"/>
    <w:rsid w:val="1E0C77DB"/>
    <w:rsid w:val="1FE756CF"/>
    <w:rsid w:val="259B33B4"/>
    <w:rsid w:val="25CE2B3A"/>
    <w:rsid w:val="28583EBB"/>
    <w:rsid w:val="28A71C91"/>
    <w:rsid w:val="29A82468"/>
    <w:rsid w:val="2BB64993"/>
    <w:rsid w:val="2CEB1C08"/>
    <w:rsid w:val="31997CA0"/>
    <w:rsid w:val="31D81B3D"/>
    <w:rsid w:val="32171FB4"/>
    <w:rsid w:val="32384737"/>
    <w:rsid w:val="34767465"/>
    <w:rsid w:val="362414AD"/>
    <w:rsid w:val="3AD924FC"/>
    <w:rsid w:val="3C2D41FA"/>
    <w:rsid w:val="3E401D34"/>
    <w:rsid w:val="3FBF5A2B"/>
    <w:rsid w:val="414F52C6"/>
    <w:rsid w:val="41551B80"/>
    <w:rsid w:val="43186340"/>
    <w:rsid w:val="449F7F48"/>
    <w:rsid w:val="45520FDB"/>
    <w:rsid w:val="48DD5AEC"/>
    <w:rsid w:val="4A0F2706"/>
    <w:rsid w:val="4D646FC9"/>
    <w:rsid w:val="4EBB29BD"/>
    <w:rsid w:val="502D192A"/>
    <w:rsid w:val="50795EBC"/>
    <w:rsid w:val="57B869CC"/>
    <w:rsid w:val="5AE605F2"/>
    <w:rsid w:val="5BDD1924"/>
    <w:rsid w:val="5D186A5C"/>
    <w:rsid w:val="5E396C11"/>
    <w:rsid w:val="60A9793E"/>
    <w:rsid w:val="632E187D"/>
    <w:rsid w:val="63322936"/>
    <w:rsid w:val="64B34D51"/>
    <w:rsid w:val="64EB24DD"/>
    <w:rsid w:val="661A1A97"/>
    <w:rsid w:val="69556468"/>
    <w:rsid w:val="6A5D0610"/>
    <w:rsid w:val="6E84797F"/>
    <w:rsid w:val="70E92F39"/>
    <w:rsid w:val="73DC4ED4"/>
    <w:rsid w:val="764430FD"/>
    <w:rsid w:val="782E6469"/>
    <w:rsid w:val="79880B9F"/>
    <w:rsid w:val="7CDD764F"/>
    <w:rsid w:val="7ECB4A57"/>
    <w:rsid w:val="7EF94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iPriority="0" w:semiHidden="0" w:name="index 1"/>
    <w:lsdException w:qFormat="1" w:uiPriority="0" w:semiHidden="0" w:name="index 2"/>
    <w:lsdException w:qFormat="1" w:uiPriority="0" w:semiHidden="0" w:name="index 3"/>
    <w:lsdException w:qFormat="1" w:unhideWhenUsed="0"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96" w:semiHidden="0" w:name="header"/>
    <w:lsdException w:qFormat="1" w:unhideWhenUsed="0" w:uiPriority="97" w:semiHidden="0" w:name="footer"/>
    <w:lsdException w:uiPriority="99" w:name="index heading"/>
    <w:lsdException w:qFormat="1" w:uiPriority="0" w:semiHidden="0" w:name="caption"/>
    <w:lsdException w:qFormat="1" w:uiPriority="0" w:semiHidden="0"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99" w:semiHidden="0" w:name="page number"/>
    <w:lsdException w:qFormat="1" w:uiPriority="0" w:semiHidden="0" w:name="endnote reference"/>
    <w:lsdException w:qFormat="1" w:uiPriority="0" w:semiHidden="0" w:name="endnote text"/>
    <w:lsdException w:qFormat="1" w:uiPriority="0" w:semiHidden="0" w:name="table of authorities"/>
    <w:lsdException w:qFormat="1" w:unhideWhenUsed="0" w:uiPriority="0" w:semiHidden="0" w:name="macro"/>
    <w:lsdException w:uiPriority="99" w:name="toa heading"/>
    <w:lsdException w:qFormat="1" w:uiPriority="99" w:semiHidden="0" w:name="List"/>
    <w:lsdException w:qFormat="1" w:unhideWhenUsed="0" w:uiPriority="0" w:semiHidden="0" w:name="List Bullet"/>
    <w:lsdException w:qFormat="1" w:unhideWhenUsed="0" w:uiPriority="99" w:semiHidden="0" w:name="List Number"/>
    <w:lsdException w:qFormat="1" w:unhideWhenUsed="0" w:uiPriority="0" w:semiHidden="0" w:name="List 2"/>
    <w:lsdException w:qFormat="1" w:uiPriority="99" w:semiHidden="0" w:name="List 3"/>
    <w:lsdException w:qFormat="1" w:uiPriority="99" w:semiHidden="0" w:name="List 4"/>
    <w:lsdException w:qFormat="1" w:uiPriority="0" w:semiHidden="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qFormat="1" w:uiPriority="0" w:semiHidden="0" w:name="List Number 2"/>
    <w:lsdException w:qFormat="1" w:uiPriority="0" w:semiHidden="0" w:name="List Number 3"/>
    <w:lsdException w:qFormat="1" w:uiPriority="0" w:semiHidden="0" w:name="List Number 4"/>
    <w:lsdException w:qFormat="1" w:unhideWhenUsed="0" w:uiPriority="0" w:semiHidden="0" w:name="List Number 5"/>
    <w:lsdException w:qFormat="1" w:unhideWhenUsed="0" w:uiPriority="0" w:semiHidden="0" w:name="Title"/>
    <w:lsdException w:qFormat="1" w:uiPriority="0" w:semiHidden="0" w:name="Closing"/>
    <w:lsdException w:qFormat="1"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qFormat="1" w:uiPriority="99" w:semiHidden="0" w:name="List Continue"/>
    <w:lsdException w:qFormat="1" w:uiPriority="0" w:semiHidden="0" w:name="List Continue 2"/>
    <w:lsdException w:qFormat="1" w:uiPriority="0" w:semiHidden="0" w:name="List Continue 3"/>
    <w:lsdException w:qFormat="1" w:uiPriority="0" w:semiHidden="0" w:name="List Continue 4"/>
    <w:lsdException w:qFormat="1" w:uiPriority="0" w:semiHidden="0" w:name="List Continue 5"/>
    <w:lsdException w:qFormat="1" w:unhideWhenUsed="0" w:uiPriority="0" w:semiHidden="0" w:name="Message Header"/>
    <w:lsdException w:qFormat="1" w:unhideWhenUsed="0" w:uiPriority="0" w:semiHidden="0" w:name="Subtitle"/>
    <w:lsdException w:qFormat="1" w:uiPriority="0" w:semiHidden="0" w:name="Salutation"/>
    <w:lsdException w:qFormat="1" w:uiPriority="99" w:semiHidden="0" w:name="Date"/>
    <w:lsdException w:qFormat="1" w:unhideWhenUsed="0" w:uiPriority="99" w:semiHidden="0" w:name="Body Text First Indent"/>
    <w:lsdException w:qFormat="1" w:unhideWhenUsed="0" w:uiPriority="0" w:semiHidden="0" w:name="Body Text First Indent 2"/>
    <w:lsdException w:qFormat="1" w:uiPriority="0" w:semiHidden="0"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iPriority="0" w:semiHidden="0" w:name="E-mail Signature"/>
    <w:lsdException w:qFormat="1" w:uiPriority="99" w:semiHidden="0" w:name="Normal (Web)"/>
    <w:lsdException w:uiPriority="99" w:name="HTML Acronym"/>
    <w:lsdException w:qFormat="1" w:uiPriority="0" w:semiHidden="0" w:name="HTML Address"/>
    <w:lsdException w:uiPriority="99" w:name="HTML Cite"/>
    <w:lsdException w:qFormat="1" w:uiPriority="0" w:semiHidden="0" w:name="HTML Code"/>
    <w:lsdException w:uiPriority="99" w:name="HTML Definition"/>
    <w:lsdException w:qFormat="1" w:uiPriority="0" w:semiHidden="0" w:name="HTML Keyboard"/>
    <w:lsdException w:qFormat="1" w:uiPriority="0" w:semiHidden="0" w:name="HTML Preformatted"/>
    <w:lsdException w:qFormat="1" w:uiPriority="0" w:semiHidden="0" w:name="HTML Sample"/>
    <w:lsdException w:qFormat="1" w:uiPriority="0" w:semiHidden="0"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4"/>
      <w:lang w:val="en-US" w:eastAsia="zh-CN" w:bidi="ar-SA"/>
    </w:rPr>
  </w:style>
  <w:style w:type="paragraph" w:styleId="3">
    <w:name w:val="heading 1"/>
    <w:basedOn w:val="1"/>
    <w:next w:val="1"/>
    <w:link w:val="138"/>
    <w:qFormat/>
    <w:uiPriority w:val="9"/>
    <w:pPr>
      <w:keepNext/>
      <w:keepLines/>
      <w:tabs>
        <w:tab w:val="left" w:pos="432"/>
      </w:tabs>
      <w:spacing w:before="340" w:after="330" w:line="578" w:lineRule="auto"/>
      <w:ind w:left="425" w:hanging="425"/>
      <w:outlineLvl w:val="0"/>
    </w:pPr>
    <w:rPr>
      <w:rFonts w:eastAsia="楷体_GB2312"/>
      <w:b/>
      <w:bCs/>
      <w:sz w:val="44"/>
      <w:szCs w:val="44"/>
    </w:rPr>
  </w:style>
  <w:style w:type="paragraph" w:styleId="4">
    <w:name w:val="heading 2"/>
    <w:basedOn w:val="1"/>
    <w:next w:val="1"/>
    <w:link w:val="139"/>
    <w:qFormat/>
    <w:uiPriority w:val="9"/>
    <w:pPr>
      <w:keepNext/>
      <w:keepLines/>
      <w:tabs>
        <w:tab w:val="left" w:pos="3686"/>
      </w:tabs>
      <w:spacing w:before="260" w:after="260" w:line="416" w:lineRule="auto"/>
      <w:ind w:left="3686" w:hanging="567"/>
      <w:outlineLvl w:val="1"/>
    </w:pPr>
    <w:rPr>
      <w:rFonts w:ascii="Arial" w:hAnsi="Arial" w:eastAsia="黑体"/>
      <w:b/>
      <w:bCs/>
      <w:sz w:val="32"/>
      <w:szCs w:val="32"/>
    </w:rPr>
  </w:style>
  <w:style w:type="paragraph" w:styleId="5">
    <w:name w:val="heading 3"/>
    <w:basedOn w:val="1"/>
    <w:next w:val="6"/>
    <w:link w:val="140"/>
    <w:qFormat/>
    <w:uiPriority w:val="9"/>
    <w:pPr>
      <w:keepNext/>
      <w:keepLines/>
      <w:tabs>
        <w:tab w:val="left" w:pos="2978"/>
      </w:tabs>
      <w:spacing w:before="260" w:after="260" w:line="416" w:lineRule="auto"/>
      <w:ind w:left="2978" w:hanging="709"/>
      <w:outlineLvl w:val="2"/>
    </w:pPr>
    <w:rPr>
      <w:rFonts w:eastAsia="仿宋_GB2312"/>
      <w:b/>
      <w:bCs/>
      <w:sz w:val="32"/>
      <w:szCs w:val="32"/>
    </w:rPr>
  </w:style>
  <w:style w:type="paragraph" w:styleId="7">
    <w:name w:val="heading 4"/>
    <w:basedOn w:val="1"/>
    <w:next w:val="1"/>
    <w:link w:val="287"/>
    <w:qFormat/>
    <w:uiPriority w:val="9"/>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142"/>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143"/>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144"/>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145"/>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146"/>
    <w:unhideWhenUsed/>
    <w:qFormat/>
    <w:uiPriority w:val="9"/>
    <w:pPr>
      <w:keepNext/>
      <w:keepLines/>
      <w:spacing w:before="320" w:after="200"/>
      <w:outlineLvl w:val="8"/>
    </w:pPr>
    <w:rPr>
      <w:rFonts w:ascii="Arial" w:hAnsi="Arial" w:eastAsia="Arial" w:cs="Arial"/>
      <w:i/>
      <w:iCs/>
      <w:szCs w:val="21"/>
    </w:rPr>
  </w:style>
  <w:style w:type="character" w:default="1" w:styleId="89">
    <w:name w:val="Default Paragraph Font"/>
    <w:semiHidden/>
    <w:unhideWhenUsed/>
    <w:qFormat/>
    <w:uiPriority w:val="1"/>
  </w:style>
  <w:style w:type="table" w:default="1" w:styleId="87">
    <w:name w:val="Normal Table"/>
    <w:semiHidden/>
    <w:unhideWhenUsed/>
    <w:qFormat/>
    <w:uiPriority w:val="99"/>
    <w:tblPr>
      <w:tblCellMar>
        <w:top w:w="0" w:type="dxa"/>
        <w:left w:w="108" w:type="dxa"/>
        <w:bottom w:w="0" w:type="dxa"/>
        <w:right w:w="108" w:type="dxa"/>
      </w:tblCellMar>
    </w:tblPr>
  </w:style>
  <w:style w:type="paragraph" w:styleId="2">
    <w:name w:val="macro"/>
    <w:link w:val="340"/>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Courier New"/>
      <w:sz w:val="24"/>
      <w:szCs w:val="24"/>
      <w:lang w:val="en-US" w:eastAsia="zh-CN" w:bidi="ar-SA"/>
    </w:rPr>
  </w:style>
  <w:style w:type="paragraph" w:styleId="6">
    <w:name w:val="Normal Indent"/>
    <w:basedOn w:val="1"/>
    <w:next w:val="1"/>
    <w:link w:val="286"/>
    <w:qFormat/>
    <w:uiPriority w:val="0"/>
    <w:pPr>
      <w:ind w:firstLine="420"/>
    </w:pPr>
  </w:style>
  <w:style w:type="paragraph" w:styleId="13">
    <w:name w:val="List 3"/>
    <w:basedOn w:val="1"/>
    <w:unhideWhenUsed/>
    <w:qFormat/>
    <w:uiPriority w:val="99"/>
    <w:pPr>
      <w:widowControl/>
      <w:spacing w:line="360" w:lineRule="auto"/>
      <w:ind w:left="100" w:hanging="200"/>
      <w:contextualSpacing/>
      <w:jc w:val="left"/>
    </w:pPr>
    <w:rPr>
      <w:sz w:val="24"/>
      <w:szCs w:val="20"/>
    </w:rPr>
  </w:style>
  <w:style w:type="paragraph" w:styleId="14">
    <w:name w:val="toc 7"/>
    <w:basedOn w:val="1"/>
    <w:next w:val="1"/>
    <w:unhideWhenUsed/>
    <w:qFormat/>
    <w:uiPriority w:val="39"/>
    <w:pPr>
      <w:spacing w:after="57"/>
      <w:ind w:left="1701"/>
    </w:pPr>
  </w:style>
  <w:style w:type="paragraph" w:styleId="15">
    <w:name w:val="List Number 2"/>
    <w:basedOn w:val="1"/>
    <w:unhideWhenUsed/>
    <w:qFormat/>
    <w:uiPriority w:val="0"/>
    <w:pPr>
      <w:widowControl/>
      <w:tabs>
        <w:tab w:val="left" w:pos="360"/>
      </w:tabs>
      <w:spacing w:line="360" w:lineRule="auto"/>
      <w:ind w:firstLine="200"/>
      <w:contextualSpacing/>
      <w:jc w:val="left"/>
    </w:pPr>
    <w:rPr>
      <w:sz w:val="24"/>
      <w:szCs w:val="20"/>
    </w:rPr>
  </w:style>
  <w:style w:type="paragraph" w:styleId="16">
    <w:name w:val="table of authorities"/>
    <w:basedOn w:val="1"/>
    <w:next w:val="1"/>
    <w:unhideWhenUsed/>
    <w:qFormat/>
    <w:uiPriority w:val="0"/>
    <w:pPr>
      <w:widowControl/>
      <w:spacing w:line="360" w:lineRule="auto"/>
      <w:ind w:left="420" w:firstLine="200"/>
      <w:jc w:val="left"/>
    </w:pPr>
    <w:rPr>
      <w:sz w:val="24"/>
      <w:szCs w:val="20"/>
    </w:rPr>
  </w:style>
  <w:style w:type="paragraph" w:styleId="17">
    <w:name w:val="Note Heading"/>
    <w:basedOn w:val="1"/>
    <w:next w:val="1"/>
    <w:link w:val="352"/>
    <w:unhideWhenUsed/>
    <w:qFormat/>
    <w:uiPriority w:val="0"/>
    <w:pPr>
      <w:widowControl/>
      <w:spacing w:line="360" w:lineRule="auto"/>
      <w:ind w:firstLine="200"/>
      <w:jc w:val="center"/>
    </w:pPr>
    <w:rPr>
      <w:sz w:val="24"/>
      <w:szCs w:val="20"/>
    </w:rPr>
  </w:style>
  <w:style w:type="paragraph" w:styleId="18">
    <w:name w:val="List Bullet 4"/>
    <w:basedOn w:val="1"/>
    <w:unhideWhenUsed/>
    <w:qFormat/>
    <w:uiPriority w:val="0"/>
    <w:pPr>
      <w:widowControl/>
      <w:tabs>
        <w:tab w:val="left" w:pos="270"/>
      </w:tabs>
      <w:spacing w:line="360" w:lineRule="auto"/>
      <w:ind w:firstLine="200"/>
      <w:contextualSpacing/>
      <w:jc w:val="left"/>
    </w:pPr>
    <w:rPr>
      <w:sz w:val="24"/>
      <w:szCs w:val="20"/>
    </w:rPr>
  </w:style>
  <w:style w:type="paragraph" w:styleId="19">
    <w:name w:val="index 8"/>
    <w:basedOn w:val="1"/>
    <w:next w:val="1"/>
    <w:unhideWhenUsed/>
    <w:qFormat/>
    <w:uiPriority w:val="0"/>
    <w:pPr>
      <w:widowControl/>
      <w:spacing w:line="360" w:lineRule="auto"/>
      <w:ind w:left="1400" w:firstLine="200"/>
      <w:jc w:val="left"/>
    </w:pPr>
    <w:rPr>
      <w:sz w:val="24"/>
      <w:szCs w:val="20"/>
    </w:rPr>
  </w:style>
  <w:style w:type="paragraph" w:styleId="20">
    <w:name w:val="E-mail Signature"/>
    <w:basedOn w:val="1"/>
    <w:link w:val="354"/>
    <w:unhideWhenUsed/>
    <w:qFormat/>
    <w:uiPriority w:val="0"/>
    <w:pPr>
      <w:widowControl/>
      <w:numPr>
        <w:ilvl w:val="0"/>
        <w:numId w:val="1"/>
      </w:numPr>
      <w:spacing w:line="360" w:lineRule="auto"/>
      <w:ind w:firstLine="200"/>
      <w:jc w:val="left"/>
    </w:pPr>
    <w:rPr>
      <w:sz w:val="24"/>
      <w:szCs w:val="20"/>
    </w:rPr>
  </w:style>
  <w:style w:type="paragraph" w:styleId="21">
    <w:name w:val="List Number"/>
    <w:basedOn w:val="1"/>
    <w:qFormat/>
    <w:uiPriority w:val="99"/>
    <w:pPr>
      <w:widowControl/>
      <w:tabs>
        <w:tab w:val="left" w:pos="360"/>
      </w:tabs>
      <w:spacing w:line="360" w:lineRule="auto"/>
      <w:ind w:left="360" w:hanging="360"/>
      <w:jc w:val="left"/>
    </w:pPr>
    <w:rPr>
      <w:rFonts w:ascii="Times New Roman" w:hAnsi="Times New Roman"/>
      <w:sz w:val="24"/>
    </w:rPr>
  </w:style>
  <w:style w:type="paragraph" w:styleId="22">
    <w:name w:val="caption"/>
    <w:basedOn w:val="1"/>
    <w:next w:val="1"/>
    <w:link w:val="355"/>
    <w:unhideWhenUsed/>
    <w:qFormat/>
    <w:uiPriority w:val="0"/>
    <w:pPr>
      <w:spacing w:line="276" w:lineRule="auto"/>
    </w:pPr>
    <w:rPr>
      <w:b/>
      <w:bCs/>
      <w:color w:val="4F81BD" w:themeColor="accent1"/>
      <w:sz w:val="18"/>
      <w:szCs w:val="18"/>
      <w14:textFill>
        <w14:solidFill>
          <w14:schemeClr w14:val="accent1"/>
        </w14:solidFill>
      </w14:textFill>
    </w:rPr>
  </w:style>
  <w:style w:type="paragraph" w:styleId="23">
    <w:name w:val="index 5"/>
    <w:basedOn w:val="1"/>
    <w:next w:val="1"/>
    <w:unhideWhenUsed/>
    <w:qFormat/>
    <w:uiPriority w:val="0"/>
    <w:pPr>
      <w:widowControl/>
      <w:spacing w:line="360" w:lineRule="auto"/>
      <w:ind w:left="800" w:firstLine="200"/>
      <w:jc w:val="left"/>
    </w:pPr>
    <w:rPr>
      <w:sz w:val="24"/>
      <w:szCs w:val="20"/>
    </w:rPr>
  </w:style>
  <w:style w:type="paragraph" w:styleId="24">
    <w:name w:val="List Bullet"/>
    <w:basedOn w:val="1"/>
    <w:qFormat/>
    <w:uiPriority w:val="0"/>
    <w:pPr>
      <w:widowControl/>
      <w:tabs>
        <w:tab w:val="left" w:pos="360"/>
      </w:tabs>
      <w:spacing w:line="360" w:lineRule="auto"/>
      <w:ind w:left="360" w:hanging="360"/>
      <w:jc w:val="left"/>
    </w:pPr>
    <w:rPr>
      <w:rFonts w:ascii="Times New Roman" w:hAnsi="Times New Roman" w:cs="Lucida Sans"/>
      <w:sz w:val="24"/>
    </w:rPr>
  </w:style>
  <w:style w:type="paragraph" w:styleId="25">
    <w:name w:val="Document Map"/>
    <w:basedOn w:val="1"/>
    <w:link w:val="356"/>
    <w:qFormat/>
    <w:uiPriority w:val="0"/>
    <w:rPr>
      <w:rFonts w:ascii="Times New Roman" w:hAnsi="Times New Roman"/>
    </w:rPr>
  </w:style>
  <w:style w:type="paragraph" w:styleId="26">
    <w:name w:val="annotation text"/>
    <w:basedOn w:val="1"/>
    <w:link w:val="336"/>
    <w:qFormat/>
    <w:uiPriority w:val="99"/>
    <w:pPr>
      <w:jc w:val="left"/>
    </w:pPr>
  </w:style>
  <w:style w:type="paragraph" w:styleId="27">
    <w:name w:val="index 6"/>
    <w:basedOn w:val="1"/>
    <w:next w:val="1"/>
    <w:unhideWhenUsed/>
    <w:qFormat/>
    <w:uiPriority w:val="0"/>
    <w:pPr>
      <w:widowControl/>
      <w:spacing w:line="360" w:lineRule="auto"/>
      <w:ind w:left="1000" w:firstLine="200"/>
      <w:jc w:val="left"/>
    </w:pPr>
    <w:rPr>
      <w:sz w:val="24"/>
      <w:szCs w:val="20"/>
    </w:rPr>
  </w:style>
  <w:style w:type="paragraph" w:styleId="28">
    <w:name w:val="Salutation"/>
    <w:basedOn w:val="1"/>
    <w:next w:val="1"/>
    <w:link w:val="359"/>
    <w:unhideWhenUsed/>
    <w:qFormat/>
    <w:uiPriority w:val="0"/>
    <w:pPr>
      <w:widowControl/>
      <w:spacing w:line="360" w:lineRule="auto"/>
      <w:ind w:firstLine="200"/>
      <w:jc w:val="left"/>
    </w:pPr>
    <w:rPr>
      <w:sz w:val="24"/>
      <w:szCs w:val="20"/>
    </w:rPr>
  </w:style>
  <w:style w:type="paragraph" w:styleId="29">
    <w:name w:val="Closing"/>
    <w:basedOn w:val="1"/>
    <w:link w:val="361"/>
    <w:unhideWhenUsed/>
    <w:qFormat/>
    <w:uiPriority w:val="0"/>
    <w:pPr>
      <w:widowControl/>
      <w:spacing w:line="360" w:lineRule="auto"/>
      <w:ind w:left="100" w:firstLine="200"/>
      <w:jc w:val="left"/>
    </w:pPr>
    <w:rPr>
      <w:sz w:val="24"/>
      <w:szCs w:val="20"/>
    </w:rPr>
  </w:style>
  <w:style w:type="paragraph" w:styleId="30">
    <w:name w:val="List Bullet 3"/>
    <w:basedOn w:val="1"/>
    <w:unhideWhenUsed/>
    <w:qFormat/>
    <w:uiPriority w:val="0"/>
    <w:pPr>
      <w:widowControl/>
      <w:tabs>
        <w:tab w:val="left" w:pos="360"/>
      </w:tabs>
      <w:spacing w:line="360" w:lineRule="auto"/>
      <w:ind w:firstLine="200"/>
      <w:contextualSpacing/>
      <w:jc w:val="left"/>
    </w:pPr>
    <w:rPr>
      <w:sz w:val="24"/>
      <w:szCs w:val="20"/>
    </w:rPr>
  </w:style>
  <w:style w:type="paragraph" w:styleId="31">
    <w:name w:val="Body Text"/>
    <w:basedOn w:val="1"/>
    <w:next w:val="32"/>
    <w:link w:val="288"/>
    <w:qFormat/>
    <w:uiPriority w:val="99"/>
    <w:pPr>
      <w:spacing w:after="120"/>
    </w:pPr>
  </w:style>
  <w:style w:type="paragraph" w:customStyle="1" w:styleId="32">
    <w:name w:val="一级条标题"/>
    <w:basedOn w:val="33"/>
    <w:next w:val="34"/>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3">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34">
    <w:name w:val="段"/>
    <w:next w:val="1"/>
    <w:qFormat/>
    <w:uiPriority w:val="0"/>
    <w:pPr>
      <w:widowControl w:val="0"/>
      <w:ind w:firstLine="200"/>
      <w:jc w:val="both"/>
    </w:pPr>
    <w:rPr>
      <w:rFonts w:ascii="宋体" w:hAnsi="宋体" w:eastAsia="宋体" w:cs="宋体"/>
      <w:color w:val="000000"/>
      <w:sz w:val="21"/>
      <w:szCs w:val="21"/>
      <w:lang w:val="en-US" w:eastAsia="zh-CN" w:bidi="ar-SA"/>
    </w:rPr>
  </w:style>
  <w:style w:type="paragraph" w:styleId="35">
    <w:name w:val="Body Text Indent"/>
    <w:basedOn w:val="1"/>
    <w:next w:val="36"/>
    <w:link w:val="289"/>
    <w:qFormat/>
    <w:uiPriority w:val="99"/>
    <w:pPr>
      <w:ind w:firstLine="645"/>
    </w:pPr>
    <w:rPr>
      <w:rFonts w:ascii="楷体_GB2312" w:hAnsi="Times New Roman" w:eastAsia="楷体_GB2312"/>
      <w:sz w:val="32"/>
      <w:szCs w:val="32"/>
    </w:rPr>
  </w:style>
  <w:style w:type="paragraph" w:styleId="36">
    <w:name w:val="envelope return"/>
    <w:basedOn w:val="1"/>
    <w:qFormat/>
    <w:uiPriority w:val="0"/>
    <w:rPr>
      <w:rFonts w:ascii="Arial" w:hAnsi="Arial"/>
    </w:rPr>
  </w:style>
  <w:style w:type="paragraph" w:styleId="37">
    <w:name w:val="List Number 3"/>
    <w:basedOn w:val="1"/>
    <w:unhideWhenUsed/>
    <w:qFormat/>
    <w:uiPriority w:val="0"/>
    <w:pPr>
      <w:widowControl/>
      <w:numPr>
        <w:ilvl w:val="0"/>
        <w:numId w:val="2"/>
      </w:numPr>
      <w:spacing w:line="360" w:lineRule="auto"/>
      <w:ind w:firstLine="200"/>
      <w:contextualSpacing/>
      <w:jc w:val="left"/>
    </w:pPr>
    <w:rPr>
      <w:sz w:val="24"/>
      <w:szCs w:val="20"/>
    </w:rPr>
  </w:style>
  <w:style w:type="paragraph" w:styleId="38">
    <w:name w:val="List 2"/>
    <w:basedOn w:val="1"/>
    <w:qFormat/>
    <w:uiPriority w:val="0"/>
    <w:pPr>
      <w:spacing w:line="360" w:lineRule="auto"/>
      <w:ind w:left="100" w:hanging="200"/>
    </w:pPr>
    <w:rPr>
      <w:rFonts w:ascii="Times New Roman" w:hAnsi="Times New Roman" w:eastAsia="仿宋_GB2312"/>
    </w:rPr>
  </w:style>
  <w:style w:type="paragraph" w:styleId="39">
    <w:name w:val="List Continue"/>
    <w:basedOn w:val="1"/>
    <w:unhideWhenUsed/>
    <w:qFormat/>
    <w:uiPriority w:val="99"/>
    <w:pPr>
      <w:widowControl/>
      <w:spacing w:after="120" w:line="360" w:lineRule="auto"/>
      <w:ind w:left="420" w:firstLine="200"/>
      <w:contextualSpacing/>
      <w:jc w:val="left"/>
    </w:pPr>
    <w:rPr>
      <w:sz w:val="24"/>
      <w:szCs w:val="20"/>
    </w:rPr>
  </w:style>
  <w:style w:type="paragraph" w:styleId="40">
    <w:name w:val="Block Text"/>
    <w:basedOn w:val="1"/>
    <w:qFormat/>
    <w:uiPriority w:val="0"/>
    <w:pPr>
      <w:tabs>
        <w:tab w:val="left" w:pos="9000"/>
      </w:tabs>
      <w:spacing w:after="120"/>
      <w:ind w:left="1440" w:right="1440"/>
    </w:pPr>
  </w:style>
  <w:style w:type="paragraph" w:styleId="41">
    <w:name w:val="List Bullet 2"/>
    <w:basedOn w:val="1"/>
    <w:unhideWhenUsed/>
    <w:qFormat/>
    <w:uiPriority w:val="0"/>
    <w:pPr>
      <w:widowControl/>
      <w:tabs>
        <w:tab w:val="left" w:pos="360"/>
      </w:tabs>
      <w:spacing w:line="360" w:lineRule="auto"/>
      <w:ind w:firstLine="200"/>
      <w:contextualSpacing/>
      <w:jc w:val="left"/>
    </w:pPr>
    <w:rPr>
      <w:sz w:val="24"/>
      <w:szCs w:val="20"/>
    </w:rPr>
  </w:style>
  <w:style w:type="paragraph" w:styleId="42">
    <w:name w:val="HTML Address"/>
    <w:basedOn w:val="1"/>
    <w:link w:val="365"/>
    <w:unhideWhenUsed/>
    <w:qFormat/>
    <w:uiPriority w:val="0"/>
    <w:pPr>
      <w:widowControl/>
      <w:spacing w:line="360" w:lineRule="auto"/>
      <w:ind w:firstLine="200"/>
      <w:jc w:val="left"/>
    </w:pPr>
    <w:rPr>
      <w:i/>
      <w:iCs/>
      <w:sz w:val="24"/>
      <w:szCs w:val="20"/>
    </w:rPr>
  </w:style>
  <w:style w:type="paragraph" w:styleId="43">
    <w:name w:val="index 4"/>
    <w:basedOn w:val="1"/>
    <w:next w:val="1"/>
    <w:qFormat/>
    <w:uiPriority w:val="0"/>
    <w:pPr>
      <w:ind w:left="600"/>
    </w:pPr>
    <w:rPr>
      <w:szCs w:val="21"/>
    </w:rPr>
  </w:style>
  <w:style w:type="paragraph" w:styleId="44">
    <w:name w:val="toc 5"/>
    <w:basedOn w:val="1"/>
    <w:next w:val="1"/>
    <w:unhideWhenUsed/>
    <w:qFormat/>
    <w:uiPriority w:val="39"/>
    <w:pPr>
      <w:spacing w:after="57"/>
      <w:ind w:left="1134"/>
    </w:pPr>
  </w:style>
  <w:style w:type="paragraph" w:styleId="45">
    <w:name w:val="toc 3"/>
    <w:basedOn w:val="1"/>
    <w:next w:val="1"/>
    <w:unhideWhenUsed/>
    <w:qFormat/>
    <w:uiPriority w:val="39"/>
    <w:pPr>
      <w:spacing w:after="57"/>
      <w:ind w:left="567"/>
    </w:pPr>
  </w:style>
  <w:style w:type="paragraph" w:styleId="46">
    <w:name w:val="Plain Text"/>
    <w:basedOn w:val="1"/>
    <w:link w:val="290"/>
    <w:qFormat/>
    <w:uiPriority w:val="0"/>
    <w:rPr>
      <w:rFonts w:ascii="宋体" w:hAnsi="Courier New" w:eastAsia="楷体_GB2312"/>
    </w:rPr>
  </w:style>
  <w:style w:type="paragraph" w:styleId="47">
    <w:name w:val="List Bullet 5"/>
    <w:basedOn w:val="1"/>
    <w:unhideWhenUsed/>
    <w:qFormat/>
    <w:uiPriority w:val="0"/>
    <w:pPr>
      <w:widowControl/>
      <w:numPr>
        <w:ilvl w:val="0"/>
        <w:numId w:val="3"/>
      </w:numPr>
      <w:spacing w:line="360" w:lineRule="auto"/>
      <w:ind w:firstLine="200"/>
      <w:contextualSpacing/>
      <w:jc w:val="left"/>
    </w:pPr>
    <w:rPr>
      <w:sz w:val="24"/>
      <w:szCs w:val="20"/>
    </w:rPr>
  </w:style>
  <w:style w:type="paragraph" w:styleId="48">
    <w:name w:val="List Number 4"/>
    <w:basedOn w:val="1"/>
    <w:unhideWhenUsed/>
    <w:qFormat/>
    <w:uiPriority w:val="0"/>
    <w:pPr>
      <w:widowControl/>
      <w:numPr>
        <w:ilvl w:val="0"/>
        <w:numId w:val="4"/>
      </w:numPr>
      <w:spacing w:line="360" w:lineRule="auto"/>
      <w:ind w:firstLine="200"/>
      <w:contextualSpacing/>
      <w:jc w:val="left"/>
    </w:pPr>
    <w:rPr>
      <w:sz w:val="24"/>
      <w:szCs w:val="20"/>
    </w:rPr>
  </w:style>
  <w:style w:type="paragraph" w:styleId="49">
    <w:name w:val="toc 8"/>
    <w:basedOn w:val="1"/>
    <w:next w:val="1"/>
    <w:unhideWhenUsed/>
    <w:qFormat/>
    <w:uiPriority w:val="39"/>
    <w:pPr>
      <w:spacing w:after="57"/>
      <w:ind w:left="1984"/>
    </w:pPr>
  </w:style>
  <w:style w:type="paragraph" w:styleId="50">
    <w:name w:val="index 3"/>
    <w:basedOn w:val="1"/>
    <w:next w:val="1"/>
    <w:unhideWhenUsed/>
    <w:qFormat/>
    <w:uiPriority w:val="0"/>
    <w:pPr>
      <w:widowControl/>
      <w:spacing w:line="360" w:lineRule="auto"/>
      <w:ind w:left="400" w:firstLine="200"/>
      <w:jc w:val="left"/>
    </w:pPr>
    <w:rPr>
      <w:sz w:val="24"/>
      <w:szCs w:val="20"/>
    </w:rPr>
  </w:style>
  <w:style w:type="paragraph" w:styleId="51">
    <w:name w:val="Date"/>
    <w:basedOn w:val="1"/>
    <w:next w:val="1"/>
    <w:link w:val="367"/>
    <w:unhideWhenUsed/>
    <w:qFormat/>
    <w:uiPriority w:val="99"/>
    <w:pPr>
      <w:spacing w:line="360" w:lineRule="auto"/>
      <w:ind w:left="100" w:firstLine="200"/>
    </w:pPr>
    <w:rPr>
      <w:rFonts w:ascii="Times New Roman" w:hAnsi="Times New Roman"/>
      <w:sz w:val="24"/>
      <w:szCs w:val="22"/>
    </w:rPr>
  </w:style>
  <w:style w:type="paragraph" w:styleId="52">
    <w:name w:val="Body Text Indent 2"/>
    <w:basedOn w:val="1"/>
    <w:link w:val="291"/>
    <w:qFormat/>
    <w:uiPriority w:val="0"/>
    <w:pPr>
      <w:spacing w:after="120" w:line="480" w:lineRule="auto"/>
      <w:ind w:left="420"/>
    </w:pPr>
  </w:style>
  <w:style w:type="paragraph" w:styleId="53">
    <w:name w:val="endnote text"/>
    <w:basedOn w:val="1"/>
    <w:link w:val="284"/>
    <w:unhideWhenUsed/>
    <w:qFormat/>
    <w:uiPriority w:val="0"/>
    <w:rPr>
      <w:sz w:val="20"/>
    </w:rPr>
  </w:style>
  <w:style w:type="paragraph" w:styleId="54">
    <w:name w:val="List Continue 5"/>
    <w:basedOn w:val="1"/>
    <w:unhideWhenUsed/>
    <w:qFormat/>
    <w:uiPriority w:val="0"/>
    <w:pPr>
      <w:widowControl/>
      <w:spacing w:after="120" w:line="360" w:lineRule="auto"/>
      <w:ind w:left="2100" w:firstLine="200"/>
      <w:contextualSpacing/>
      <w:jc w:val="left"/>
    </w:pPr>
    <w:rPr>
      <w:sz w:val="24"/>
      <w:szCs w:val="20"/>
    </w:rPr>
  </w:style>
  <w:style w:type="paragraph" w:styleId="55">
    <w:name w:val="Balloon Text"/>
    <w:basedOn w:val="1"/>
    <w:link w:val="292"/>
    <w:qFormat/>
    <w:uiPriority w:val="99"/>
    <w:rPr>
      <w:sz w:val="18"/>
      <w:szCs w:val="18"/>
    </w:rPr>
  </w:style>
  <w:style w:type="paragraph" w:styleId="56">
    <w:name w:val="footer"/>
    <w:basedOn w:val="1"/>
    <w:link w:val="293"/>
    <w:qFormat/>
    <w:uiPriority w:val="97"/>
    <w:pPr>
      <w:tabs>
        <w:tab w:val="center" w:pos="4153"/>
        <w:tab w:val="right" w:pos="8306"/>
      </w:tabs>
      <w:jc w:val="left"/>
    </w:pPr>
    <w:rPr>
      <w:sz w:val="18"/>
    </w:rPr>
  </w:style>
  <w:style w:type="paragraph" w:styleId="57">
    <w:name w:val="header"/>
    <w:basedOn w:val="1"/>
    <w:link w:val="155"/>
    <w:qFormat/>
    <w:uiPriority w:val="96"/>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styleId="58">
    <w:name w:val="Signature"/>
    <w:basedOn w:val="1"/>
    <w:link w:val="373"/>
    <w:unhideWhenUsed/>
    <w:qFormat/>
    <w:uiPriority w:val="0"/>
    <w:pPr>
      <w:widowControl/>
      <w:spacing w:line="360" w:lineRule="auto"/>
      <w:ind w:left="100" w:firstLine="200"/>
      <w:jc w:val="left"/>
    </w:pPr>
    <w:rPr>
      <w:sz w:val="24"/>
      <w:szCs w:val="20"/>
    </w:rPr>
  </w:style>
  <w:style w:type="paragraph" w:styleId="59">
    <w:name w:val="toc 1"/>
    <w:basedOn w:val="1"/>
    <w:next w:val="1"/>
    <w:unhideWhenUsed/>
    <w:qFormat/>
    <w:uiPriority w:val="39"/>
    <w:pPr>
      <w:spacing w:after="57"/>
    </w:pPr>
  </w:style>
  <w:style w:type="paragraph" w:styleId="60">
    <w:name w:val="List Continue 4"/>
    <w:basedOn w:val="1"/>
    <w:unhideWhenUsed/>
    <w:qFormat/>
    <w:uiPriority w:val="0"/>
    <w:pPr>
      <w:widowControl/>
      <w:spacing w:after="120" w:line="360" w:lineRule="auto"/>
      <w:ind w:left="1680" w:firstLine="200"/>
      <w:contextualSpacing/>
      <w:jc w:val="left"/>
    </w:pPr>
    <w:rPr>
      <w:sz w:val="24"/>
      <w:szCs w:val="20"/>
    </w:rPr>
  </w:style>
  <w:style w:type="paragraph" w:styleId="61">
    <w:name w:val="toc 4"/>
    <w:basedOn w:val="1"/>
    <w:next w:val="1"/>
    <w:unhideWhenUsed/>
    <w:qFormat/>
    <w:uiPriority w:val="39"/>
    <w:pPr>
      <w:spacing w:after="57"/>
      <w:ind w:left="850"/>
    </w:pPr>
  </w:style>
  <w:style w:type="paragraph" w:styleId="62">
    <w:name w:val="Subtitle"/>
    <w:basedOn w:val="1"/>
    <w:next w:val="1"/>
    <w:link w:val="150"/>
    <w:qFormat/>
    <w:uiPriority w:val="0"/>
    <w:pPr>
      <w:numPr>
        <w:ilvl w:val="0"/>
        <w:numId w:val="5"/>
      </w:numPr>
      <w:spacing w:before="240" w:after="60" w:line="312" w:lineRule="auto"/>
      <w:jc w:val="left"/>
      <w:outlineLvl w:val="1"/>
    </w:pPr>
    <w:rPr>
      <w:rFonts w:ascii="黑体" w:hAnsi="黑体" w:eastAsia="黑体"/>
      <w:b/>
      <w:bCs/>
      <w:sz w:val="28"/>
      <w:szCs w:val="36"/>
    </w:rPr>
  </w:style>
  <w:style w:type="paragraph" w:styleId="63">
    <w:name w:val="List Number 5"/>
    <w:basedOn w:val="1"/>
    <w:qFormat/>
    <w:uiPriority w:val="0"/>
    <w:pPr>
      <w:widowControl/>
      <w:tabs>
        <w:tab w:val="left" w:pos="2040"/>
      </w:tabs>
      <w:spacing w:line="360" w:lineRule="auto"/>
      <w:ind w:left="2040" w:hanging="360"/>
      <w:jc w:val="left"/>
    </w:pPr>
    <w:rPr>
      <w:rFonts w:ascii="Times New Roman" w:hAnsi="Times New Roman"/>
      <w:sz w:val="24"/>
    </w:rPr>
  </w:style>
  <w:style w:type="paragraph" w:styleId="64">
    <w:name w:val="List"/>
    <w:basedOn w:val="1"/>
    <w:unhideWhenUsed/>
    <w:qFormat/>
    <w:uiPriority w:val="99"/>
    <w:pPr>
      <w:widowControl/>
      <w:spacing w:line="360" w:lineRule="auto"/>
      <w:ind w:left="200" w:hanging="200"/>
      <w:contextualSpacing/>
      <w:jc w:val="left"/>
    </w:pPr>
    <w:rPr>
      <w:sz w:val="24"/>
      <w:szCs w:val="20"/>
    </w:rPr>
  </w:style>
  <w:style w:type="paragraph" w:styleId="65">
    <w:name w:val="footnote text"/>
    <w:basedOn w:val="1"/>
    <w:link w:val="283"/>
    <w:unhideWhenUsed/>
    <w:qFormat/>
    <w:uiPriority w:val="0"/>
    <w:pPr>
      <w:spacing w:after="40"/>
    </w:pPr>
    <w:rPr>
      <w:sz w:val="18"/>
    </w:rPr>
  </w:style>
  <w:style w:type="paragraph" w:styleId="66">
    <w:name w:val="toc 6"/>
    <w:basedOn w:val="1"/>
    <w:next w:val="1"/>
    <w:unhideWhenUsed/>
    <w:qFormat/>
    <w:uiPriority w:val="39"/>
    <w:pPr>
      <w:spacing w:after="57"/>
      <w:ind w:left="1417"/>
    </w:pPr>
  </w:style>
  <w:style w:type="paragraph" w:styleId="67">
    <w:name w:val="List 5"/>
    <w:basedOn w:val="1"/>
    <w:unhideWhenUsed/>
    <w:qFormat/>
    <w:uiPriority w:val="0"/>
    <w:pPr>
      <w:widowControl/>
      <w:spacing w:line="360" w:lineRule="auto"/>
      <w:ind w:left="100" w:hanging="200"/>
      <w:contextualSpacing/>
      <w:jc w:val="left"/>
    </w:pPr>
    <w:rPr>
      <w:sz w:val="24"/>
      <w:szCs w:val="20"/>
    </w:rPr>
  </w:style>
  <w:style w:type="paragraph" w:styleId="68">
    <w:name w:val="Body Text Indent 3"/>
    <w:basedOn w:val="1"/>
    <w:link w:val="294"/>
    <w:qFormat/>
    <w:uiPriority w:val="0"/>
    <w:pPr>
      <w:spacing w:after="120"/>
      <w:ind w:left="420"/>
    </w:pPr>
    <w:rPr>
      <w:rFonts w:ascii="Times New Roman" w:hAnsi="Times New Roman"/>
      <w:sz w:val="16"/>
      <w:szCs w:val="16"/>
    </w:rPr>
  </w:style>
  <w:style w:type="paragraph" w:styleId="69">
    <w:name w:val="index 7"/>
    <w:basedOn w:val="1"/>
    <w:next w:val="1"/>
    <w:unhideWhenUsed/>
    <w:qFormat/>
    <w:uiPriority w:val="0"/>
    <w:pPr>
      <w:widowControl/>
      <w:spacing w:line="360" w:lineRule="auto"/>
      <w:ind w:left="1200" w:firstLine="200"/>
      <w:jc w:val="left"/>
    </w:pPr>
    <w:rPr>
      <w:sz w:val="24"/>
      <w:szCs w:val="20"/>
    </w:rPr>
  </w:style>
  <w:style w:type="paragraph" w:styleId="70">
    <w:name w:val="index 9"/>
    <w:basedOn w:val="1"/>
    <w:next w:val="1"/>
    <w:unhideWhenUsed/>
    <w:qFormat/>
    <w:uiPriority w:val="0"/>
    <w:pPr>
      <w:widowControl/>
      <w:spacing w:line="360" w:lineRule="auto"/>
      <w:ind w:left="1600" w:firstLine="200"/>
      <w:jc w:val="left"/>
    </w:pPr>
    <w:rPr>
      <w:sz w:val="24"/>
      <w:szCs w:val="20"/>
    </w:rPr>
  </w:style>
  <w:style w:type="paragraph" w:styleId="71">
    <w:name w:val="table of figures"/>
    <w:basedOn w:val="1"/>
    <w:next w:val="1"/>
    <w:unhideWhenUsed/>
    <w:qFormat/>
    <w:uiPriority w:val="0"/>
  </w:style>
  <w:style w:type="paragraph" w:styleId="72">
    <w:name w:val="toc 2"/>
    <w:basedOn w:val="1"/>
    <w:next w:val="1"/>
    <w:unhideWhenUsed/>
    <w:qFormat/>
    <w:uiPriority w:val="39"/>
    <w:pPr>
      <w:spacing w:after="57"/>
      <w:ind w:left="283"/>
    </w:pPr>
  </w:style>
  <w:style w:type="paragraph" w:styleId="73">
    <w:name w:val="toc 9"/>
    <w:basedOn w:val="1"/>
    <w:next w:val="1"/>
    <w:unhideWhenUsed/>
    <w:qFormat/>
    <w:uiPriority w:val="39"/>
    <w:pPr>
      <w:spacing w:after="57"/>
      <w:ind w:left="2268"/>
    </w:pPr>
  </w:style>
  <w:style w:type="paragraph" w:styleId="74">
    <w:name w:val="Body Text 2"/>
    <w:basedOn w:val="1"/>
    <w:qFormat/>
    <w:uiPriority w:val="0"/>
    <w:pPr>
      <w:spacing w:after="120" w:line="360" w:lineRule="auto"/>
      <w:ind w:firstLine="510"/>
    </w:pPr>
    <w:rPr>
      <w:sz w:val="24"/>
    </w:rPr>
  </w:style>
  <w:style w:type="paragraph" w:styleId="75">
    <w:name w:val="List 4"/>
    <w:basedOn w:val="1"/>
    <w:unhideWhenUsed/>
    <w:qFormat/>
    <w:uiPriority w:val="99"/>
    <w:pPr>
      <w:widowControl/>
      <w:spacing w:line="360" w:lineRule="auto"/>
      <w:ind w:left="100" w:hanging="200"/>
      <w:contextualSpacing/>
      <w:jc w:val="left"/>
    </w:pPr>
    <w:rPr>
      <w:sz w:val="24"/>
      <w:szCs w:val="20"/>
    </w:rPr>
  </w:style>
  <w:style w:type="paragraph" w:styleId="76">
    <w:name w:val="List Continue 2"/>
    <w:basedOn w:val="1"/>
    <w:unhideWhenUsed/>
    <w:qFormat/>
    <w:uiPriority w:val="0"/>
    <w:pPr>
      <w:widowControl/>
      <w:spacing w:after="120" w:line="360" w:lineRule="auto"/>
      <w:ind w:left="840" w:firstLine="200"/>
      <w:contextualSpacing/>
      <w:jc w:val="left"/>
    </w:pPr>
    <w:rPr>
      <w:sz w:val="24"/>
      <w:szCs w:val="20"/>
    </w:rPr>
  </w:style>
  <w:style w:type="paragraph" w:styleId="77">
    <w:name w:val="Message Header"/>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sz w:val="24"/>
    </w:rPr>
  </w:style>
  <w:style w:type="paragraph" w:styleId="78">
    <w:name w:val="HTML Preformatted"/>
    <w:basedOn w:val="1"/>
    <w:link w:val="377"/>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200"/>
      <w:jc w:val="left"/>
    </w:pPr>
    <w:rPr>
      <w:rFonts w:ascii="Courier New" w:hAnsi="Courier New" w:cs="Courier New"/>
      <w:sz w:val="20"/>
      <w:szCs w:val="20"/>
    </w:rPr>
  </w:style>
  <w:style w:type="paragraph" w:styleId="79">
    <w:name w:val="Normal (Web)"/>
    <w:basedOn w:val="1"/>
    <w:link w:val="335"/>
    <w:unhideWhenUsed/>
    <w:qFormat/>
    <w:uiPriority w:val="99"/>
    <w:pPr>
      <w:widowControl/>
      <w:spacing w:before="100" w:beforeAutospacing="1" w:after="100" w:afterAutospacing="1"/>
      <w:jc w:val="left"/>
    </w:pPr>
    <w:rPr>
      <w:rFonts w:ascii="宋体" w:hAnsi="宋体" w:cs="宋体"/>
      <w:sz w:val="24"/>
    </w:rPr>
  </w:style>
  <w:style w:type="paragraph" w:styleId="80">
    <w:name w:val="List Continue 3"/>
    <w:basedOn w:val="1"/>
    <w:unhideWhenUsed/>
    <w:qFormat/>
    <w:uiPriority w:val="0"/>
    <w:pPr>
      <w:widowControl/>
      <w:spacing w:after="120" w:line="360" w:lineRule="auto"/>
      <w:ind w:left="1260" w:firstLine="200"/>
      <w:contextualSpacing/>
      <w:jc w:val="left"/>
    </w:pPr>
    <w:rPr>
      <w:sz w:val="24"/>
      <w:szCs w:val="20"/>
    </w:rPr>
  </w:style>
  <w:style w:type="paragraph" w:styleId="81">
    <w:name w:val="index 1"/>
    <w:basedOn w:val="1"/>
    <w:next w:val="1"/>
    <w:unhideWhenUsed/>
    <w:qFormat/>
    <w:uiPriority w:val="0"/>
    <w:pPr>
      <w:widowControl/>
      <w:spacing w:line="360" w:lineRule="auto"/>
      <w:ind w:firstLine="200"/>
      <w:jc w:val="left"/>
    </w:pPr>
    <w:rPr>
      <w:rFonts w:ascii="Times New Roman" w:hAnsi="Times New Roman"/>
      <w:sz w:val="24"/>
    </w:rPr>
  </w:style>
  <w:style w:type="paragraph" w:styleId="82">
    <w:name w:val="index 2"/>
    <w:basedOn w:val="1"/>
    <w:next w:val="1"/>
    <w:unhideWhenUsed/>
    <w:qFormat/>
    <w:uiPriority w:val="0"/>
    <w:pPr>
      <w:widowControl/>
      <w:spacing w:line="360" w:lineRule="auto"/>
      <w:ind w:left="200" w:firstLine="200"/>
      <w:jc w:val="left"/>
    </w:pPr>
    <w:rPr>
      <w:sz w:val="24"/>
      <w:szCs w:val="20"/>
    </w:rPr>
  </w:style>
  <w:style w:type="paragraph" w:styleId="83">
    <w:name w:val="Title"/>
    <w:basedOn w:val="1"/>
    <w:next w:val="1"/>
    <w:link w:val="149"/>
    <w:qFormat/>
    <w:uiPriority w:val="0"/>
    <w:pPr>
      <w:spacing w:before="300" w:after="200"/>
      <w:contextualSpacing/>
    </w:pPr>
    <w:rPr>
      <w:sz w:val="48"/>
      <w:szCs w:val="48"/>
    </w:rPr>
  </w:style>
  <w:style w:type="paragraph" w:styleId="84">
    <w:name w:val="annotation subject"/>
    <w:basedOn w:val="26"/>
    <w:next w:val="26"/>
    <w:link w:val="337"/>
    <w:unhideWhenUsed/>
    <w:qFormat/>
    <w:uiPriority w:val="99"/>
    <w:rPr>
      <w:b/>
      <w:bCs/>
    </w:rPr>
  </w:style>
  <w:style w:type="paragraph" w:styleId="85">
    <w:name w:val="Body Text First Indent"/>
    <w:basedOn w:val="1"/>
    <w:link w:val="380"/>
    <w:qFormat/>
    <w:uiPriority w:val="99"/>
    <w:pPr>
      <w:widowControl/>
      <w:spacing w:after="120"/>
      <w:ind w:firstLine="420"/>
    </w:pPr>
    <w:rPr>
      <w:rFonts w:eastAsia="仿宋_GB2312"/>
    </w:rPr>
  </w:style>
  <w:style w:type="paragraph" w:styleId="86">
    <w:name w:val="Body Text First Indent 2"/>
    <w:basedOn w:val="35"/>
    <w:link w:val="381"/>
    <w:qFormat/>
    <w:uiPriority w:val="0"/>
    <w:pPr>
      <w:spacing w:after="120"/>
      <w:ind w:left="420" w:firstLine="420"/>
    </w:pPr>
    <w:rPr>
      <w:rFonts w:ascii="Cambria" w:hAnsi="Cambria" w:eastAsia="华文细黑"/>
      <w:sz w:val="21"/>
    </w:rPr>
  </w:style>
  <w:style w:type="table" w:styleId="88">
    <w:name w:val="Table Grid"/>
    <w:basedOn w:val="8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Strong"/>
    <w:qFormat/>
    <w:uiPriority w:val="22"/>
    <w:rPr>
      <w:b/>
      <w:bCs/>
    </w:rPr>
  </w:style>
  <w:style w:type="character" w:styleId="91">
    <w:name w:val="endnote reference"/>
    <w:unhideWhenUsed/>
    <w:qFormat/>
    <w:uiPriority w:val="0"/>
    <w:rPr>
      <w:vertAlign w:val="superscript"/>
    </w:rPr>
  </w:style>
  <w:style w:type="character" w:styleId="92">
    <w:name w:val="page number"/>
    <w:qFormat/>
    <w:uiPriority w:val="99"/>
  </w:style>
  <w:style w:type="character" w:styleId="93">
    <w:name w:val="FollowedHyperlink"/>
    <w:qFormat/>
    <w:uiPriority w:val="99"/>
    <w:rPr>
      <w:color w:val="555555"/>
      <w:u w:val="none"/>
    </w:rPr>
  </w:style>
  <w:style w:type="character" w:styleId="94">
    <w:name w:val="Emphasis"/>
    <w:qFormat/>
    <w:uiPriority w:val="0"/>
    <w:rPr>
      <w:i/>
      <w:iCs/>
    </w:rPr>
  </w:style>
  <w:style w:type="character" w:styleId="95">
    <w:name w:val="HTML Typewriter"/>
    <w:unhideWhenUsed/>
    <w:qFormat/>
    <w:uiPriority w:val="0"/>
    <w:rPr>
      <w:rFonts w:hint="default" w:ascii="Courier New" w:hAnsi="Courier New" w:eastAsia="Times New Roman" w:cs="Courier New"/>
      <w:sz w:val="24"/>
      <w:szCs w:val="24"/>
    </w:rPr>
  </w:style>
  <w:style w:type="character" w:styleId="96">
    <w:name w:val="Hyperlink"/>
    <w:qFormat/>
    <w:uiPriority w:val="99"/>
    <w:rPr>
      <w:color w:val="555555"/>
      <w:u w:val="none"/>
    </w:rPr>
  </w:style>
  <w:style w:type="character" w:styleId="97">
    <w:name w:val="HTML Code"/>
    <w:unhideWhenUsed/>
    <w:qFormat/>
    <w:uiPriority w:val="0"/>
    <w:rPr>
      <w:rFonts w:hint="default" w:ascii="Courier New" w:hAnsi="Courier New" w:eastAsia="Times New Roman" w:cs="Courier New"/>
      <w:sz w:val="24"/>
      <w:szCs w:val="24"/>
    </w:rPr>
  </w:style>
  <w:style w:type="character" w:styleId="98">
    <w:name w:val="annotation reference"/>
    <w:qFormat/>
    <w:uiPriority w:val="99"/>
    <w:rPr>
      <w:sz w:val="21"/>
      <w:szCs w:val="21"/>
    </w:rPr>
  </w:style>
  <w:style w:type="character" w:styleId="99">
    <w:name w:val="footnote reference"/>
    <w:unhideWhenUsed/>
    <w:qFormat/>
    <w:uiPriority w:val="0"/>
    <w:rPr>
      <w:vertAlign w:val="superscript"/>
    </w:rPr>
  </w:style>
  <w:style w:type="character" w:styleId="100">
    <w:name w:val="HTML Keyboard"/>
    <w:unhideWhenUsed/>
    <w:qFormat/>
    <w:uiPriority w:val="0"/>
    <w:rPr>
      <w:rFonts w:hint="default" w:ascii="Courier New" w:hAnsi="Courier New" w:eastAsia="Times New Roman" w:cs="Courier New"/>
      <w:sz w:val="24"/>
      <w:szCs w:val="24"/>
    </w:rPr>
  </w:style>
  <w:style w:type="character" w:styleId="101">
    <w:name w:val="HTML Sample"/>
    <w:unhideWhenUsed/>
    <w:qFormat/>
    <w:uiPriority w:val="0"/>
    <w:rPr>
      <w:rFonts w:hint="default" w:ascii="Courier New" w:hAnsi="Courier New" w:eastAsia="Times New Roman" w:cs="Courier New"/>
    </w:rPr>
  </w:style>
  <w:style w:type="paragraph" w:customStyle="1" w:styleId="102">
    <w:name w:val="Default"/>
    <w:link w:val="385"/>
    <w:qFormat/>
    <w:uiPriority w:val="0"/>
    <w:pPr>
      <w:widowControl w:val="0"/>
    </w:pPr>
    <w:rPr>
      <w:rFonts w:ascii="宋体" w:hAnsi="宋体" w:eastAsia="宋体" w:cs="宋体"/>
      <w:color w:val="000000"/>
      <w:sz w:val="24"/>
      <w:szCs w:val="24"/>
      <w:lang w:val="en-US" w:eastAsia="zh-CN" w:bidi="ar-SA"/>
    </w:rPr>
  </w:style>
  <w:style w:type="paragraph" w:customStyle="1" w:styleId="103">
    <w:name w:val="正文 A"/>
    <w:next w:val="34"/>
    <w:qFormat/>
    <w:uiPriority w:val="0"/>
    <w:pPr>
      <w:widowControl w:val="0"/>
      <w:jc w:val="both"/>
    </w:pPr>
    <w:rPr>
      <w:rFonts w:ascii="Calibri" w:hAnsi="Calibri" w:eastAsia="Calibri" w:cs="Calibri"/>
      <w:color w:val="000000"/>
      <w:sz w:val="21"/>
      <w:szCs w:val="21"/>
      <w:lang w:val="en-US" w:eastAsia="zh-CN" w:bidi="ar-SA"/>
    </w:rPr>
  </w:style>
  <w:style w:type="table" w:customStyle="1" w:styleId="104">
    <w:name w:val="Plain Table 1"/>
    <w:basedOn w:val="8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5">
    <w:name w:val="Plain Table 2"/>
    <w:basedOn w:val="8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6">
    <w:name w:val="Plain Table 3"/>
    <w:basedOn w:val="8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Plain Table 4"/>
    <w:basedOn w:val="8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Plain Table 5"/>
    <w:basedOn w:val="8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Grid Table 1 Light"/>
    <w:basedOn w:val="8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0">
    <w:name w:val="Grid Table 2"/>
    <w:basedOn w:val="8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w:basedOn w:val="8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4"/>
    <w:basedOn w:val="8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5 Dark"/>
    <w:basedOn w:val="8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6 Colorful"/>
    <w:basedOn w:val="8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w:basedOn w:val="8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List Table 1 Light"/>
    <w:basedOn w:val="8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2"/>
    <w:basedOn w:val="8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3"/>
    <w:basedOn w:val="8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9">
    <w:name w:val="List Table 4"/>
    <w:basedOn w:val="8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5 Dark"/>
    <w:basedOn w:val="8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1">
    <w:name w:val="List Table 6 Colorful"/>
    <w:basedOn w:val="8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2">
    <w:name w:val="List Table 7 Colorful"/>
    <w:basedOn w:val="8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23">
    <w:name w:val="Heading 1 Char"/>
    <w:basedOn w:val="89"/>
    <w:qFormat/>
    <w:uiPriority w:val="9"/>
    <w:rPr>
      <w:rFonts w:ascii="Arial" w:hAnsi="Arial" w:eastAsia="Arial" w:cs="Arial"/>
      <w:sz w:val="40"/>
      <w:szCs w:val="40"/>
    </w:rPr>
  </w:style>
  <w:style w:type="character" w:customStyle="1" w:styleId="124">
    <w:name w:val="Heading 2 Char"/>
    <w:basedOn w:val="89"/>
    <w:qFormat/>
    <w:uiPriority w:val="9"/>
    <w:rPr>
      <w:rFonts w:ascii="Arial" w:hAnsi="Arial" w:eastAsia="Arial" w:cs="Arial"/>
      <w:sz w:val="34"/>
    </w:rPr>
  </w:style>
  <w:style w:type="character" w:customStyle="1" w:styleId="125">
    <w:name w:val="Heading 3 Char"/>
    <w:basedOn w:val="89"/>
    <w:qFormat/>
    <w:uiPriority w:val="9"/>
    <w:rPr>
      <w:rFonts w:ascii="Arial" w:hAnsi="Arial" w:eastAsia="Arial" w:cs="Arial"/>
      <w:sz w:val="30"/>
      <w:szCs w:val="30"/>
    </w:rPr>
  </w:style>
  <w:style w:type="character" w:customStyle="1" w:styleId="126">
    <w:name w:val="Heading 5 Char"/>
    <w:basedOn w:val="89"/>
    <w:qFormat/>
    <w:uiPriority w:val="9"/>
    <w:rPr>
      <w:rFonts w:ascii="Arial" w:hAnsi="Arial" w:eastAsia="Arial" w:cs="Arial"/>
      <w:b/>
      <w:bCs/>
      <w:sz w:val="24"/>
      <w:szCs w:val="24"/>
    </w:rPr>
  </w:style>
  <w:style w:type="character" w:customStyle="1" w:styleId="127">
    <w:name w:val="Heading 6 Char"/>
    <w:basedOn w:val="89"/>
    <w:qFormat/>
    <w:uiPriority w:val="9"/>
    <w:rPr>
      <w:rFonts w:ascii="Arial" w:hAnsi="Arial" w:eastAsia="Arial" w:cs="Arial"/>
      <w:b/>
      <w:bCs/>
      <w:sz w:val="22"/>
      <w:szCs w:val="22"/>
    </w:rPr>
  </w:style>
  <w:style w:type="character" w:customStyle="1" w:styleId="128">
    <w:name w:val="Heading 7 Char"/>
    <w:basedOn w:val="89"/>
    <w:qFormat/>
    <w:uiPriority w:val="9"/>
    <w:rPr>
      <w:rFonts w:ascii="Arial" w:hAnsi="Arial" w:eastAsia="Arial" w:cs="Arial"/>
      <w:b/>
      <w:bCs/>
      <w:i/>
      <w:iCs/>
      <w:sz w:val="22"/>
      <w:szCs w:val="22"/>
    </w:rPr>
  </w:style>
  <w:style w:type="character" w:customStyle="1" w:styleId="129">
    <w:name w:val="Heading 8 Char"/>
    <w:basedOn w:val="89"/>
    <w:qFormat/>
    <w:uiPriority w:val="9"/>
    <w:rPr>
      <w:rFonts w:ascii="Arial" w:hAnsi="Arial" w:eastAsia="Arial" w:cs="Arial"/>
      <w:i/>
      <w:iCs/>
      <w:sz w:val="22"/>
      <w:szCs w:val="22"/>
    </w:rPr>
  </w:style>
  <w:style w:type="character" w:customStyle="1" w:styleId="130">
    <w:name w:val="Heading 9 Char"/>
    <w:basedOn w:val="89"/>
    <w:qFormat/>
    <w:uiPriority w:val="9"/>
    <w:rPr>
      <w:rFonts w:ascii="Arial" w:hAnsi="Arial" w:eastAsia="Arial" w:cs="Arial"/>
      <w:i/>
      <w:iCs/>
      <w:sz w:val="21"/>
      <w:szCs w:val="21"/>
    </w:rPr>
  </w:style>
  <w:style w:type="character" w:customStyle="1" w:styleId="131">
    <w:name w:val="Title Char"/>
    <w:basedOn w:val="89"/>
    <w:qFormat/>
    <w:uiPriority w:val="10"/>
    <w:rPr>
      <w:sz w:val="48"/>
      <w:szCs w:val="48"/>
    </w:rPr>
  </w:style>
  <w:style w:type="character" w:customStyle="1" w:styleId="132">
    <w:name w:val="Subtitle Char"/>
    <w:basedOn w:val="89"/>
    <w:qFormat/>
    <w:uiPriority w:val="11"/>
    <w:rPr>
      <w:sz w:val="24"/>
      <w:szCs w:val="24"/>
    </w:rPr>
  </w:style>
  <w:style w:type="character" w:customStyle="1" w:styleId="133">
    <w:name w:val="Quote Char"/>
    <w:qFormat/>
    <w:uiPriority w:val="29"/>
    <w:rPr>
      <w:i/>
    </w:rPr>
  </w:style>
  <w:style w:type="character" w:customStyle="1" w:styleId="134">
    <w:name w:val="Intense Quote Char"/>
    <w:qFormat/>
    <w:uiPriority w:val="30"/>
    <w:rPr>
      <w:i/>
    </w:rPr>
  </w:style>
  <w:style w:type="character" w:customStyle="1" w:styleId="135">
    <w:name w:val="Header Char"/>
    <w:basedOn w:val="89"/>
    <w:qFormat/>
    <w:uiPriority w:val="99"/>
  </w:style>
  <w:style w:type="character" w:customStyle="1" w:styleId="136">
    <w:name w:val="Footnote Text Char"/>
    <w:qFormat/>
    <w:uiPriority w:val="99"/>
    <w:rPr>
      <w:sz w:val="18"/>
    </w:rPr>
  </w:style>
  <w:style w:type="character" w:customStyle="1" w:styleId="137">
    <w:name w:val="Endnote Text Char"/>
    <w:qFormat/>
    <w:uiPriority w:val="99"/>
    <w:rPr>
      <w:sz w:val="20"/>
    </w:rPr>
  </w:style>
  <w:style w:type="character" w:customStyle="1" w:styleId="138">
    <w:name w:val="标题 1 Char"/>
    <w:link w:val="3"/>
    <w:qFormat/>
    <w:uiPriority w:val="9"/>
    <w:rPr>
      <w:rFonts w:ascii="Arial" w:hAnsi="Arial" w:eastAsia="Arial" w:cs="Arial"/>
      <w:sz w:val="40"/>
      <w:szCs w:val="40"/>
    </w:rPr>
  </w:style>
  <w:style w:type="character" w:customStyle="1" w:styleId="139">
    <w:name w:val="标题 2 Char"/>
    <w:link w:val="4"/>
    <w:qFormat/>
    <w:uiPriority w:val="9"/>
    <w:rPr>
      <w:rFonts w:ascii="Arial" w:hAnsi="Arial" w:eastAsia="Arial" w:cs="Arial"/>
      <w:sz w:val="34"/>
    </w:rPr>
  </w:style>
  <w:style w:type="character" w:customStyle="1" w:styleId="140">
    <w:name w:val="标题 3 Char"/>
    <w:link w:val="5"/>
    <w:qFormat/>
    <w:uiPriority w:val="9"/>
    <w:rPr>
      <w:rFonts w:ascii="Arial" w:hAnsi="Arial" w:eastAsia="Arial" w:cs="Arial"/>
      <w:sz w:val="30"/>
      <w:szCs w:val="30"/>
    </w:rPr>
  </w:style>
  <w:style w:type="character" w:customStyle="1" w:styleId="141">
    <w:name w:val="Heading 4 Char"/>
    <w:qFormat/>
    <w:uiPriority w:val="9"/>
    <w:rPr>
      <w:rFonts w:ascii="Arial" w:hAnsi="Arial" w:eastAsia="Arial" w:cs="Arial"/>
      <w:b/>
      <w:bCs/>
      <w:sz w:val="26"/>
      <w:szCs w:val="26"/>
    </w:rPr>
  </w:style>
  <w:style w:type="character" w:customStyle="1" w:styleId="142">
    <w:name w:val="标题 5 Char"/>
    <w:link w:val="8"/>
    <w:qFormat/>
    <w:uiPriority w:val="9"/>
    <w:rPr>
      <w:rFonts w:ascii="Arial" w:hAnsi="Arial" w:eastAsia="Arial" w:cs="Arial"/>
      <w:b/>
      <w:bCs/>
      <w:sz w:val="24"/>
      <w:szCs w:val="24"/>
    </w:rPr>
  </w:style>
  <w:style w:type="character" w:customStyle="1" w:styleId="143">
    <w:name w:val="标题 6 Char"/>
    <w:link w:val="9"/>
    <w:qFormat/>
    <w:uiPriority w:val="9"/>
    <w:rPr>
      <w:rFonts w:ascii="Arial" w:hAnsi="Arial" w:eastAsia="Arial" w:cs="Arial"/>
      <w:b/>
      <w:bCs/>
      <w:sz w:val="22"/>
      <w:szCs w:val="22"/>
    </w:rPr>
  </w:style>
  <w:style w:type="character" w:customStyle="1" w:styleId="144">
    <w:name w:val="标题 7 Char"/>
    <w:link w:val="10"/>
    <w:qFormat/>
    <w:uiPriority w:val="9"/>
    <w:rPr>
      <w:rFonts w:ascii="Arial" w:hAnsi="Arial" w:eastAsia="Arial" w:cs="Arial"/>
      <w:b/>
      <w:bCs/>
      <w:i/>
      <w:iCs/>
      <w:sz w:val="22"/>
      <w:szCs w:val="22"/>
    </w:rPr>
  </w:style>
  <w:style w:type="character" w:customStyle="1" w:styleId="145">
    <w:name w:val="标题 8 Char"/>
    <w:link w:val="11"/>
    <w:qFormat/>
    <w:uiPriority w:val="9"/>
    <w:rPr>
      <w:rFonts w:ascii="Arial" w:hAnsi="Arial" w:eastAsia="Arial" w:cs="Arial"/>
      <w:i/>
      <w:iCs/>
      <w:sz w:val="22"/>
      <w:szCs w:val="22"/>
    </w:rPr>
  </w:style>
  <w:style w:type="character" w:customStyle="1" w:styleId="146">
    <w:name w:val="标题 9 Char"/>
    <w:link w:val="12"/>
    <w:qFormat/>
    <w:uiPriority w:val="9"/>
    <w:rPr>
      <w:rFonts w:ascii="Arial" w:hAnsi="Arial" w:eastAsia="Arial" w:cs="Arial"/>
      <w:i/>
      <w:iCs/>
      <w:sz w:val="21"/>
      <w:szCs w:val="21"/>
    </w:rPr>
  </w:style>
  <w:style w:type="paragraph" w:styleId="147">
    <w:name w:val="List Paragraph"/>
    <w:basedOn w:val="1"/>
    <w:qFormat/>
    <w:uiPriority w:val="0"/>
    <w:pPr>
      <w:widowControl/>
      <w:ind w:left="720"/>
      <w:contextualSpacing/>
      <w:jc w:val="left"/>
    </w:pPr>
    <w:rPr>
      <w:rFonts w:cs="宋体"/>
      <w:sz w:val="24"/>
      <w:lang w:eastAsia="en-US"/>
    </w:rPr>
  </w:style>
  <w:style w:type="paragraph" w:styleId="148">
    <w:name w:val="No Spacing"/>
    <w:qFormat/>
    <w:uiPriority w:val="1"/>
    <w:rPr>
      <w:rFonts w:ascii="Times New Roman" w:hAnsi="Times New Roman" w:eastAsia="宋体" w:cs="Times New Roman"/>
      <w:lang w:val="en-US" w:eastAsia="zh-CN" w:bidi="ar-SA"/>
    </w:rPr>
  </w:style>
  <w:style w:type="character" w:customStyle="1" w:styleId="149">
    <w:name w:val="标题 Char"/>
    <w:link w:val="83"/>
    <w:qFormat/>
    <w:uiPriority w:val="10"/>
    <w:rPr>
      <w:sz w:val="48"/>
      <w:szCs w:val="48"/>
    </w:rPr>
  </w:style>
  <w:style w:type="character" w:customStyle="1" w:styleId="150">
    <w:name w:val="副标题 Char"/>
    <w:link w:val="62"/>
    <w:qFormat/>
    <w:uiPriority w:val="11"/>
    <w:rPr>
      <w:sz w:val="24"/>
      <w:szCs w:val="24"/>
    </w:rPr>
  </w:style>
  <w:style w:type="paragraph" w:styleId="151">
    <w:name w:val="Quote"/>
    <w:basedOn w:val="1"/>
    <w:next w:val="1"/>
    <w:link w:val="152"/>
    <w:qFormat/>
    <w:uiPriority w:val="29"/>
    <w:pPr>
      <w:ind w:left="720" w:right="720"/>
    </w:pPr>
    <w:rPr>
      <w:i/>
    </w:rPr>
  </w:style>
  <w:style w:type="character" w:customStyle="1" w:styleId="152">
    <w:name w:val="引用 Char"/>
    <w:link w:val="151"/>
    <w:qFormat/>
    <w:uiPriority w:val="29"/>
    <w:rPr>
      <w:i/>
    </w:rPr>
  </w:style>
  <w:style w:type="paragraph" w:styleId="153">
    <w:name w:val="Intense Quote"/>
    <w:basedOn w:val="1"/>
    <w:next w:val="1"/>
    <w:link w:val="1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4">
    <w:name w:val="明显引用 Char"/>
    <w:link w:val="153"/>
    <w:qFormat/>
    <w:uiPriority w:val="30"/>
    <w:rPr>
      <w:i/>
    </w:rPr>
  </w:style>
  <w:style w:type="character" w:customStyle="1" w:styleId="155">
    <w:name w:val="页眉 Char"/>
    <w:link w:val="57"/>
    <w:qFormat/>
    <w:uiPriority w:val="99"/>
  </w:style>
  <w:style w:type="character" w:customStyle="1" w:styleId="156">
    <w:name w:val="Footer Char"/>
    <w:qFormat/>
    <w:uiPriority w:val="99"/>
  </w:style>
  <w:style w:type="character" w:customStyle="1" w:styleId="157">
    <w:name w:val="Caption Char"/>
    <w:qFormat/>
    <w:uiPriority w:val="99"/>
  </w:style>
  <w:style w:type="table" w:customStyle="1" w:styleId="15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5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6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6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6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6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6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6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6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6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7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7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7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7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7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7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7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7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7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8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8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8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8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8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8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8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8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8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8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9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9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9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9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9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9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9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9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9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9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20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20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20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20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20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21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21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21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21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21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21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21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21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21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22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2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2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2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2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2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2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2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22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22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23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23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23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23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23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23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23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23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3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3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4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4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24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4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4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4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4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4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4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4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5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5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5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5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5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5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5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5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5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5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6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6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6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6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6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6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6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6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6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6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7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7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7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7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7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7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7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7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7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7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8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8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8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83">
    <w:name w:val="脚注文本 Char"/>
    <w:link w:val="65"/>
    <w:qFormat/>
    <w:uiPriority w:val="99"/>
    <w:rPr>
      <w:sz w:val="18"/>
    </w:rPr>
  </w:style>
  <w:style w:type="character" w:customStyle="1" w:styleId="284">
    <w:name w:val="尾注文本 Char"/>
    <w:link w:val="53"/>
    <w:qFormat/>
    <w:uiPriority w:val="99"/>
    <w:rPr>
      <w:sz w:val="20"/>
    </w:rPr>
  </w:style>
  <w:style w:type="paragraph" w:customStyle="1" w:styleId="285">
    <w:name w:val="TOC 标题1"/>
    <w:unhideWhenUsed/>
    <w:qFormat/>
    <w:uiPriority w:val="39"/>
    <w:rPr>
      <w:rFonts w:ascii="Times New Roman" w:hAnsi="Times New Roman" w:eastAsia="宋体" w:cs="Times New Roman"/>
      <w:lang w:val="en-US" w:eastAsia="zh-CN" w:bidi="ar-SA"/>
    </w:rPr>
  </w:style>
  <w:style w:type="character" w:customStyle="1" w:styleId="286">
    <w:name w:val="正文缩进 Char"/>
    <w:link w:val="6"/>
    <w:qFormat/>
    <w:uiPriority w:val="0"/>
    <w:rPr>
      <w:rFonts w:ascii="Calibri" w:hAnsi="Calibri"/>
      <w:sz w:val="21"/>
      <w:szCs w:val="24"/>
    </w:rPr>
  </w:style>
  <w:style w:type="character" w:customStyle="1" w:styleId="287">
    <w:name w:val="标题 4 Char"/>
    <w:link w:val="7"/>
    <w:qFormat/>
    <w:uiPriority w:val="99"/>
    <w:rPr>
      <w:rFonts w:ascii="Arial" w:hAnsi="Arial" w:eastAsia="黑体" w:cs="Arial"/>
      <w:b/>
      <w:bCs/>
      <w:sz w:val="28"/>
      <w:szCs w:val="28"/>
    </w:rPr>
  </w:style>
  <w:style w:type="character" w:customStyle="1" w:styleId="288">
    <w:name w:val="正文文本 Char"/>
    <w:link w:val="31"/>
    <w:qFormat/>
    <w:uiPriority w:val="0"/>
    <w:rPr>
      <w:rFonts w:ascii="Calibri" w:hAnsi="Calibri"/>
      <w:sz w:val="21"/>
      <w:szCs w:val="24"/>
    </w:rPr>
  </w:style>
  <w:style w:type="character" w:customStyle="1" w:styleId="289">
    <w:name w:val="正文文本缩进 Char"/>
    <w:link w:val="35"/>
    <w:qFormat/>
    <w:uiPriority w:val="99"/>
    <w:rPr>
      <w:rFonts w:ascii="楷体_GB2312" w:eastAsia="楷体_GB2312"/>
      <w:sz w:val="32"/>
      <w:szCs w:val="32"/>
    </w:rPr>
  </w:style>
  <w:style w:type="character" w:customStyle="1" w:styleId="290">
    <w:name w:val="纯文本 Char2"/>
    <w:link w:val="46"/>
    <w:qFormat/>
    <w:uiPriority w:val="99"/>
    <w:rPr>
      <w:rFonts w:ascii="宋体" w:hAnsi="Courier New"/>
      <w:sz w:val="21"/>
      <w:szCs w:val="21"/>
    </w:rPr>
  </w:style>
  <w:style w:type="character" w:customStyle="1" w:styleId="291">
    <w:name w:val="正文文本缩进 2 Char"/>
    <w:link w:val="52"/>
    <w:qFormat/>
    <w:uiPriority w:val="0"/>
    <w:rPr>
      <w:rFonts w:ascii="Calibri" w:hAnsi="Calibri"/>
      <w:sz w:val="21"/>
      <w:szCs w:val="24"/>
    </w:rPr>
  </w:style>
  <w:style w:type="character" w:customStyle="1" w:styleId="292">
    <w:name w:val="批注框文本 Char"/>
    <w:link w:val="55"/>
    <w:qFormat/>
    <w:uiPriority w:val="0"/>
    <w:rPr>
      <w:rFonts w:ascii="Calibri" w:hAnsi="Calibri"/>
      <w:sz w:val="18"/>
      <w:szCs w:val="18"/>
    </w:rPr>
  </w:style>
  <w:style w:type="character" w:customStyle="1" w:styleId="293">
    <w:name w:val="页脚 Char"/>
    <w:link w:val="56"/>
    <w:qFormat/>
    <w:uiPriority w:val="99"/>
    <w:rPr>
      <w:rFonts w:ascii="Calibri" w:hAnsi="Calibri"/>
      <w:sz w:val="18"/>
      <w:szCs w:val="24"/>
    </w:rPr>
  </w:style>
  <w:style w:type="character" w:customStyle="1" w:styleId="294">
    <w:name w:val="正文文本缩进 3 Char"/>
    <w:link w:val="68"/>
    <w:qFormat/>
    <w:uiPriority w:val="0"/>
    <w:rPr>
      <w:sz w:val="16"/>
      <w:szCs w:val="16"/>
    </w:rPr>
  </w:style>
  <w:style w:type="paragraph" w:customStyle="1" w:styleId="295">
    <w:name w:val="正文1"/>
    <w:basedOn w:val="1"/>
    <w:next w:val="1"/>
    <w:qFormat/>
    <w:uiPriority w:val="0"/>
    <w:pPr>
      <w:numPr>
        <w:ilvl w:val="0"/>
        <w:numId w:val="6"/>
      </w:numPr>
      <w:tabs>
        <w:tab w:val="left" w:pos="480"/>
      </w:tabs>
      <w:spacing w:line="500" w:lineRule="exact"/>
      <w:ind w:left="359" w:hanging="359"/>
    </w:pPr>
    <w:rPr>
      <w:rFonts w:ascii="黑体" w:hAnsi="宋体"/>
    </w:rPr>
  </w:style>
  <w:style w:type="character" w:customStyle="1" w:styleId="296">
    <w:name w:val="font91"/>
    <w:qFormat/>
    <w:uiPriority w:val="0"/>
    <w:rPr>
      <w:rFonts w:hint="eastAsia" w:ascii="宋体" w:hAnsi="宋体" w:eastAsia="宋体" w:cs="宋体"/>
      <w:color w:val="000000"/>
      <w:sz w:val="21"/>
      <w:szCs w:val="21"/>
      <w:u w:val="single"/>
    </w:rPr>
  </w:style>
  <w:style w:type="character" w:customStyle="1" w:styleId="297">
    <w:name w:val="font21"/>
    <w:qFormat/>
    <w:uiPriority w:val="0"/>
    <w:rPr>
      <w:rFonts w:ascii="等线" w:hAnsi="等线" w:eastAsia="等线" w:cs="等线"/>
      <w:color w:val="FF0000"/>
      <w:sz w:val="20"/>
      <w:szCs w:val="20"/>
      <w:u w:val="none"/>
    </w:rPr>
  </w:style>
  <w:style w:type="character" w:customStyle="1" w:styleId="298">
    <w:name w:val="正文文本缩进 3 Char1"/>
    <w:qFormat/>
    <w:uiPriority w:val="0"/>
    <w:rPr>
      <w:rFonts w:ascii="Calibri" w:hAnsi="Calibri"/>
      <w:sz w:val="16"/>
      <w:szCs w:val="16"/>
    </w:rPr>
  </w:style>
  <w:style w:type="character" w:customStyle="1" w:styleId="299">
    <w:name w:val="font61"/>
    <w:qFormat/>
    <w:uiPriority w:val="0"/>
    <w:rPr>
      <w:rFonts w:hint="eastAsia" w:ascii="宋体" w:hAnsi="宋体" w:eastAsia="宋体" w:cs="宋体"/>
      <w:color w:val="000000"/>
      <w:sz w:val="21"/>
      <w:szCs w:val="21"/>
      <w:u w:val="none"/>
    </w:rPr>
  </w:style>
  <w:style w:type="character" w:customStyle="1" w:styleId="300">
    <w:name w:val="font31"/>
    <w:qFormat/>
    <w:uiPriority w:val="0"/>
    <w:rPr>
      <w:rFonts w:ascii="等线" w:hAnsi="等线" w:eastAsia="等线" w:cs="等线"/>
      <w:color w:val="000000"/>
      <w:sz w:val="20"/>
      <w:szCs w:val="20"/>
      <w:u w:val="none"/>
    </w:rPr>
  </w:style>
  <w:style w:type="character" w:customStyle="1" w:styleId="301">
    <w:name w:val="正文2 Char"/>
    <w:link w:val="302"/>
    <w:qFormat/>
    <w:uiPriority w:val="99"/>
    <w:rPr>
      <w:sz w:val="24"/>
      <w:szCs w:val="24"/>
      <w:lang w:val="en-US" w:eastAsia="zh-CN" w:bidi="ar-SA"/>
    </w:rPr>
  </w:style>
  <w:style w:type="paragraph" w:customStyle="1" w:styleId="302">
    <w:name w:val="正文2"/>
    <w:link w:val="301"/>
    <w:qFormat/>
    <w:uiPriority w:val="99"/>
    <w:rPr>
      <w:rFonts w:ascii="Times New Roman" w:hAnsi="Times New Roman" w:eastAsia="宋体" w:cs="Times New Roman"/>
      <w:sz w:val="24"/>
      <w:szCs w:val="24"/>
      <w:lang w:val="en-US" w:eastAsia="zh-CN" w:bidi="ar-SA"/>
    </w:rPr>
  </w:style>
  <w:style w:type="character" w:customStyle="1" w:styleId="303">
    <w:name w:val="纯文本 Char1"/>
    <w:qFormat/>
    <w:uiPriority w:val="0"/>
    <w:rPr>
      <w:rFonts w:ascii="宋体" w:hAnsi="Courier New" w:cs="Courier New"/>
      <w:sz w:val="21"/>
      <w:szCs w:val="21"/>
    </w:rPr>
  </w:style>
  <w:style w:type="character" w:customStyle="1" w:styleId="304">
    <w:name w:val="fontstyle01"/>
    <w:qFormat/>
    <w:uiPriority w:val="0"/>
    <w:rPr>
      <w:rFonts w:hint="eastAsia" w:ascii="宋体" w:hAnsi="宋体" w:eastAsia="宋体"/>
      <w:color w:val="000000"/>
      <w:sz w:val="24"/>
      <w:szCs w:val="24"/>
    </w:rPr>
  </w:style>
  <w:style w:type="character" w:customStyle="1" w:styleId="305">
    <w:name w:val="font81"/>
    <w:qFormat/>
    <w:uiPriority w:val="0"/>
    <w:rPr>
      <w:rFonts w:hint="eastAsia" w:ascii="宋体" w:hAnsi="宋体" w:eastAsia="宋体" w:cs="宋体"/>
      <w:color w:val="000000"/>
      <w:sz w:val="21"/>
      <w:szCs w:val="21"/>
      <w:u w:val="none"/>
    </w:rPr>
  </w:style>
  <w:style w:type="character" w:customStyle="1" w:styleId="306">
    <w:name w:val="font101"/>
    <w:qFormat/>
    <w:uiPriority w:val="0"/>
    <w:rPr>
      <w:rFonts w:ascii="Times New Roman" w:hAnsi="Times New Roman" w:cs="Times New Roman"/>
      <w:color w:val="000000"/>
      <w:sz w:val="21"/>
      <w:szCs w:val="21"/>
      <w:u w:val="single"/>
    </w:rPr>
  </w:style>
  <w:style w:type="character" w:customStyle="1" w:styleId="307">
    <w:name w:val="17"/>
    <w:qFormat/>
    <w:uiPriority w:val="0"/>
  </w:style>
  <w:style w:type="paragraph" w:customStyle="1" w:styleId="308">
    <w:name w:val="普通正文"/>
    <w:basedOn w:val="1"/>
    <w:qFormat/>
    <w:uiPriority w:val="0"/>
    <w:pPr>
      <w:spacing w:before="120" w:after="120" w:line="360" w:lineRule="auto"/>
      <w:ind w:firstLine="480"/>
      <w:jc w:val="left"/>
    </w:pPr>
    <w:rPr>
      <w:rFonts w:ascii="Arial" w:hAnsi="Arial"/>
      <w:sz w:val="24"/>
    </w:rPr>
  </w:style>
  <w:style w:type="paragraph" w:customStyle="1" w:styleId="309">
    <w:name w:val="文档标题"/>
    <w:basedOn w:val="1"/>
    <w:qFormat/>
    <w:uiPriority w:val="0"/>
    <w:pPr>
      <w:spacing w:line="300" w:lineRule="auto"/>
      <w:jc w:val="center"/>
    </w:pPr>
    <w:rPr>
      <w:rFonts w:ascii="Arial" w:hAnsi="Arial" w:eastAsia="黑体" w:cs="Arial"/>
      <w:b/>
      <w:sz w:val="48"/>
      <w:szCs w:val="32"/>
    </w:rPr>
  </w:style>
  <w:style w:type="paragraph" w:customStyle="1" w:styleId="310">
    <w:name w:val="Plain Text1"/>
    <w:basedOn w:val="1"/>
    <w:qFormat/>
    <w:uiPriority w:val="0"/>
    <w:rPr>
      <w:rFonts w:ascii="宋体" w:hAnsi="Courier New" w:eastAsia="楷体_GB2312"/>
      <w:sz w:val="26"/>
    </w:rPr>
  </w:style>
  <w:style w:type="paragraph" w:customStyle="1" w:styleId="311">
    <w:name w:val="列出段落1"/>
    <w:basedOn w:val="1"/>
    <w:qFormat/>
    <w:uiPriority w:val="34"/>
    <w:pPr>
      <w:ind w:firstLine="420"/>
    </w:pPr>
    <w:rPr>
      <w:szCs w:val="22"/>
    </w:rPr>
  </w:style>
  <w:style w:type="paragraph" w:customStyle="1" w:styleId="312">
    <w:name w:val="首行缩进"/>
    <w:basedOn w:val="1"/>
    <w:qFormat/>
    <w:uiPriority w:val="0"/>
    <w:pPr>
      <w:spacing w:line="360" w:lineRule="auto"/>
      <w:ind w:firstLine="480"/>
      <w:jc w:val="left"/>
    </w:pPr>
  </w:style>
  <w:style w:type="paragraph" w:customStyle="1" w:styleId="313">
    <w:name w:val="Andy_正文"/>
    <w:basedOn w:val="1"/>
    <w:qFormat/>
    <w:uiPriority w:val="0"/>
    <w:pPr>
      <w:spacing w:line="360" w:lineRule="auto"/>
      <w:ind w:firstLine="480"/>
    </w:pPr>
    <w:rPr>
      <w:sz w:val="24"/>
    </w:rPr>
  </w:style>
  <w:style w:type="paragraph" w:customStyle="1" w:styleId="314">
    <w:name w:val="第二级"/>
    <w:next w:val="1"/>
    <w:qFormat/>
    <w:uiPriority w:val="0"/>
    <w:pPr>
      <w:numPr>
        <w:ilvl w:val="1"/>
        <w:numId w:val="5"/>
      </w:numPr>
      <w:spacing w:line="360" w:lineRule="auto"/>
      <w:outlineLvl w:val="2"/>
    </w:pPr>
    <w:rPr>
      <w:rFonts w:ascii="Arial" w:hAnsi="Arial" w:eastAsia="黑体" w:cs="Times New Roman"/>
      <w:bCs/>
      <w:sz w:val="30"/>
      <w:szCs w:val="44"/>
      <w:lang w:val="en-US" w:eastAsia="zh-CN" w:bidi="ar-SA"/>
    </w:rPr>
  </w:style>
  <w:style w:type="character" w:customStyle="1" w:styleId="315">
    <w:name w:val="font51"/>
    <w:qFormat/>
    <w:uiPriority w:val="0"/>
    <w:rPr>
      <w:rFonts w:hint="eastAsia" w:ascii="宋体" w:hAnsi="宋体" w:eastAsia="宋体" w:cs="宋体"/>
      <w:color w:val="000000"/>
      <w:sz w:val="20"/>
      <w:szCs w:val="20"/>
      <w:u w:val="none"/>
    </w:rPr>
  </w:style>
  <w:style w:type="character" w:customStyle="1" w:styleId="316">
    <w:name w:val="font01"/>
    <w:qFormat/>
    <w:uiPriority w:val="0"/>
    <w:rPr>
      <w:rFonts w:hint="eastAsia" w:ascii="宋体" w:hAnsi="宋体" w:eastAsia="宋体" w:cs="宋体"/>
      <w:color w:val="000000"/>
      <w:sz w:val="20"/>
      <w:szCs w:val="20"/>
      <w:u w:val="none"/>
    </w:rPr>
  </w:style>
  <w:style w:type="character" w:customStyle="1" w:styleId="317">
    <w:name w:val="font41"/>
    <w:qFormat/>
    <w:uiPriority w:val="0"/>
    <w:rPr>
      <w:rFonts w:hint="eastAsia" w:ascii="宋体" w:hAnsi="宋体" w:eastAsia="宋体" w:cs="宋体"/>
      <w:color w:val="000000"/>
      <w:sz w:val="20"/>
      <w:szCs w:val="20"/>
      <w:u w:val="none"/>
    </w:rPr>
  </w:style>
  <w:style w:type="character" w:customStyle="1" w:styleId="318">
    <w:name w:val="NormalCharacter1"/>
    <w:qFormat/>
    <w:uiPriority w:val="0"/>
    <w:rPr>
      <w:sz w:val="21"/>
      <w:szCs w:val="24"/>
      <w:lang w:val="en-US" w:eastAsia="zh-CN" w:bidi="ar-SA"/>
    </w:rPr>
  </w:style>
  <w:style w:type="character" w:customStyle="1" w:styleId="319">
    <w:name w:val="apple-converted-space"/>
    <w:qFormat/>
    <w:uiPriority w:val="0"/>
  </w:style>
  <w:style w:type="paragraph" w:customStyle="1" w:styleId="320">
    <w:name w:val="列出段落2"/>
    <w:basedOn w:val="1"/>
    <w:qFormat/>
    <w:uiPriority w:val="0"/>
    <w:pPr>
      <w:ind w:firstLine="420"/>
    </w:pPr>
    <w:rPr>
      <w:szCs w:val="22"/>
    </w:rPr>
  </w:style>
  <w:style w:type="paragraph" w:customStyle="1" w:styleId="321">
    <w:name w:val="_Style 2"/>
    <w:basedOn w:val="3"/>
    <w:next w:val="1"/>
    <w:qFormat/>
    <w:uiPriority w:val="0"/>
    <w:pPr>
      <w:outlineLvl w:val="9"/>
    </w:pPr>
    <w:rPr>
      <w:rFonts w:ascii="Times New Roman" w:eastAsia="宋体"/>
    </w:rPr>
  </w:style>
  <w:style w:type="paragraph" w:customStyle="1" w:styleId="322">
    <w:name w:val="无间隔1"/>
    <w:qFormat/>
    <w:uiPriority w:val="1"/>
    <w:pPr>
      <w:widowControl w:val="0"/>
      <w:spacing w:line="360" w:lineRule="auto"/>
      <w:jc w:val="both"/>
    </w:pPr>
    <w:rPr>
      <w:rFonts w:ascii="Calibri" w:hAnsi="Calibri" w:eastAsia="宋体" w:cs="Times New Roman"/>
      <w:sz w:val="24"/>
      <w:szCs w:val="22"/>
      <w:lang w:val="en-US" w:eastAsia="zh-CN" w:bidi="ar-SA"/>
    </w:rPr>
  </w:style>
  <w:style w:type="paragraph" w:customStyle="1" w:styleId="323">
    <w:name w:val="Table Paragraph"/>
    <w:basedOn w:val="1"/>
    <w:qFormat/>
    <w:uiPriority w:val="1"/>
    <w:rPr>
      <w:rFonts w:ascii="宋体" w:hAnsi="宋体" w:cs="宋体"/>
      <w:lang w:val="zh-CN" w:bidi="zh-CN"/>
    </w:rPr>
  </w:style>
  <w:style w:type="paragraph" w:customStyle="1" w:styleId="324">
    <w:name w:val="UserStyle_20"/>
    <w:qFormat/>
    <w:uiPriority w:val="0"/>
    <w:pPr>
      <w:spacing w:before="120" w:after="120" w:line="180" w:lineRule="auto"/>
      <w:ind w:firstLine="200"/>
    </w:pPr>
    <w:rPr>
      <w:rFonts w:ascii="Times New Roman" w:hAnsi="Times New Roman" w:eastAsia="宋体" w:cs="Times New Roman"/>
      <w:sz w:val="21"/>
      <w:szCs w:val="21"/>
      <w:lang w:val="en-US" w:eastAsia="zh-CN" w:bidi="ar-SA"/>
    </w:rPr>
  </w:style>
  <w:style w:type="paragraph" w:customStyle="1" w:styleId="325">
    <w:name w:val="*正文"/>
    <w:basedOn w:val="1"/>
    <w:qFormat/>
    <w:uiPriority w:val="0"/>
    <w:pPr>
      <w:widowControl/>
      <w:spacing w:line="300" w:lineRule="auto"/>
      <w:ind w:firstLine="480"/>
      <w:jc w:val="left"/>
    </w:pPr>
    <w:rPr>
      <w:rFonts w:ascii="宋体" w:hAnsi="宋体"/>
      <w:sz w:val="20"/>
    </w:rPr>
  </w:style>
  <w:style w:type="paragraph" w:customStyle="1" w:styleId="326">
    <w:name w:val="文本块1"/>
    <w:basedOn w:val="1"/>
    <w:qFormat/>
    <w:uiPriority w:val="99"/>
    <w:pPr>
      <w:widowControl/>
      <w:tabs>
        <w:tab w:val="left" w:pos="9000"/>
      </w:tabs>
      <w:spacing w:after="120" w:line="276" w:lineRule="auto"/>
      <w:ind w:left="1440" w:right="1440"/>
      <w:jc w:val="left"/>
    </w:pPr>
    <w:rPr>
      <w:rFonts w:ascii="Times New Roman" w:hAnsi="Times New Roman"/>
      <w:sz w:val="22"/>
      <w:szCs w:val="22"/>
      <w:lang w:eastAsia="en-US"/>
    </w:rPr>
  </w:style>
  <w:style w:type="paragraph" w:customStyle="1" w:styleId="327">
    <w:name w:val="p0"/>
    <w:basedOn w:val="1"/>
    <w:qFormat/>
    <w:uiPriority w:val="0"/>
    <w:pPr>
      <w:widowControl/>
      <w:spacing w:before="100" w:beforeAutospacing="1" w:after="100" w:afterAutospacing="1"/>
      <w:jc w:val="left"/>
    </w:pPr>
    <w:rPr>
      <w:rFonts w:ascii="宋体" w:hAnsi="宋体" w:cs="宋体"/>
      <w:sz w:val="24"/>
    </w:rPr>
  </w:style>
  <w:style w:type="paragraph" w:customStyle="1" w:styleId="328">
    <w:name w:val="4"/>
    <w:basedOn w:val="1"/>
    <w:next w:val="68"/>
    <w:qFormat/>
    <w:uiPriority w:val="0"/>
    <w:pPr>
      <w:spacing w:line="360" w:lineRule="auto"/>
      <w:ind w:firstLine="420"/>
    </w:pPr>
    <w:rPr>
      <w:color w:val="FF0000"/>
      <w:sz w:val="24"/>
    </w:rPr>
  </w:style>
  <w:style w:type="character" w:customStyle="1" w:styleId="329">
    <w:name w:val="15"/>
    <w:qFormat/>
    <w:uiPriority w:val="0"/>
    <w:rPr>
      <w:rFonts w:hint="eastAsia" w:ascii="宋体" w:hAnsi="宋体" w:eastAsia="宋体" w:cs="Times New Roman"/>
      <w:b/>
      <w:bCs/>
      <w:color w:val="000000"/>
      <w:sz w:val="24"/>
      <w:szCs w:val="24"/>
    </w:rPr>
  </w:style>
  <w:style w:type="character" w:customStyle="1" w:styleId="330">
    <w:name w:val="纯文本 Char"/>
    <w:qFormat/>
    <w:uiPriority w:val="0"/>
    <w:rPr>
      <w:rFonts w:ascii="宋体" w:hAnsi="Courier New" w:eastAsia="等线" w:cs="Courier New"/>
    </w:rPr>
  </w:style>
  <w:style w:type="character" w:customStyle="1" w:styleId="331">
    <w:name w:val="NormalCharacter11"/>
    <w:qFormat/>
    <w:uiPriority w:val="99"/>
    <w:rPr>
      <w:rFonts w:ascii="Calibri" w:hAnsi="Calibri" w:eastAsia="宋体"/>
    </w:rPr>
  </w:style>
  <w:style w:type="character" w:customStyle="1" w:styleId="332">
    <w:name w:val="font11"/>
    <w:qFormat/>
    <w:uiPriority w:val="0"/>
    <w:rPr>
      <w:rFonts w:ascii="Times New Roman" w:hAnsi="Times New Roman" w:eastAsia="宋体" w:cs="Times New Roman"/>
      <w:sz w:val="21"/>
      <w:szCs w:val="21"/>
      <w:lang w:val="en-US" w:eastAsia="zh-CN" w:bidi="ar-SA"/>
    </w:rPr>
  </w:style>
  <w:style w:type="paragraph" w:customStyle="1" w:styleId="333">
    <w:name w:val="UserStyle_53"/>
    <w:basedOn w:val="35"/>
    <w:next w:val="86"/>
    <w:qFormat/>
    <w:uiPriority w:val="0"/>
    <w:pPr>
      <w:spacing w:after="120"/>
      <w:ind w:left="420" w:firstLine="420"/>
    </w:pPr>
    <w:rPr>
      <w:rFonts w:ascii="Cambria" w:hAnsi="Cambria" w:eastAsia="华文细黑"/>
      <w:sz w:val="21"/>
      <w:lang w:eastAsia="en-US"/>
    </w:rPr>
  </w:style>
  <w:style w:type="character" w:customStyle="1" w:styleId="334">
    <w:name w:val="custom-tag-placeholder-class"/>
    <w:qFormat/>
    <w:uiPriority w:val="0"/>
  </w:style>
  <w:style w:type="character" w:customStyle="1" w:styleId="335">
    <w:name w:val="普通(网站) Char"/>
    <w:link w:val="79"/>
    <w:qFormat/>
    <w:uiPriority w:val="99"/>
    <w:rPr>
      <w:rFonts w:ascii="宋体" w:hAnsi="宋体" w:cs="宋体"/>
      <w:sz w:val="24"/>
      <w:szCs w:val="24"/>
    </w:rPr>
  </w:style>
  <w:style w:type="character" w:customStyle="1" w:styleId="336">
    <w:name w:val="批注文字 Char"/>
    <w:basedOn w:val="89"/>
    <w:link w:val="26"/>
    <w:qFormat/>
    <w:uiPriority w:val="0"/>
    <w:rPr>
      <w:rFonts w:ascii="Calibri" w:hAnsi="Calibri"/>
      <w:sz w:val="21"/>
      <w:szCs w:val="24"/>
    </w:rPr>
  </w:style>
  <w:style w:type="character" w:customStyle="1" w:styleId="337">
    <w:name w:val="批注主题 Char"/>
    <w:basedOn w:val="336"/>
    <w:link w:val="84"/>
    <w:semiHidden/>
    <w:qFormat/>
    <w:uiPriority w:val="99"/>
    <w:rPr>
      <w:rFonts w:ascii="Calibri" w:hAnsi="Calibri"/>
      <w:b/>
      <w:bCs/>
      <w:sz w:val="21"/>
      <w:szCs w:val="24"/>
    </w:rPr>
  </w:style>
  <w:style w:type="paragraph" w:customStyle="1" w:styleId="338">
    <w:name w:val="pa-30"/>
    <w:basedOn w:val="1"/>
    <w:qFormat/>
    <w:uiPriority w:val="0"/>
    <w:pPr>
      <w:widowControl/>
      <w:spacing w:before="150" w:after="150"/>
      <w:jc w:val="left"/>
    </w:pPr>
    <w:rPr>
      <w:rFonts w:ascii="宋体" w:hAnsi="宋体" w:cs="宋体"/>
      <w:sz w:val="24"/>
    </w:rPr>
  </w:style>
  <w:style w:type="character" w:customStyle="1" w:styleId="339">
    <w:name w:val="宏文本 Char"/>
    <w:basedOn w:val="89"/>
    <w:semiHidden/>
    <w:qFormat/>
    <w:uiPriority w:val="99"/>
    <w:rPr>
      <w:rFonts w:ascii="Courier New" w:hAnsi="Courier New" w:cs="Courier New"/>
      <w:sz w:val="24"/>
      <w:szCs w:val="24"/>
    </w:rPr>
  </w:style>
  <w:style w:type="character" w:customStyle="1" w:styleId="340">
    <w:name w:val="宏文本 Char1"/>
    <w:link w:val="2"/>
    <w:qFormat/>
    <w:uiPriority w:val="0"/>
    <w:rPr>
      <w:rFonts w:ascii="Courier New" w:hAnsi="Courier New" w:cs="Courier New"/>
      <w:sz w:val="24"/>
      <w:szCs w:val="24"/>
    </w:rPr>
  </w:style>
  <w:style w:type="character" w:customStyle="1" w:styleId="341">
    <w:name w:val="标题 1 字符"/>
    <w:qFormat/>
    <w:uiPriority w:val="9"/>
    <w:rPr>
      <w:rFonts w:ascii="宋体" w:hAnsi="宋体" w:eastAsia="黑体" w:cs="宋体"/>
      <w:sz w:val="32"/>
      <w:szCs w:val="32"/>
    </w:rPr>
  </w:style>
  <w:style w:type="character" w:customStyle="1" w:styleId="342">
    <w:name w:val="标题 2 字符"/>
    <w:qFormat/>
    <w:uiPriority w:val="9"/>
    <w:rPr>
      <w:rFonts w:ascii="宋体" w:hAnsi="宋体" w:eastAsia="黑体" w:cs="宋体"/>
      <w:sz w:val="30"/>
      <w:szCs w:val="30"/>
    </w:rPr>
  </w:style>
  <w:style w:type="character" w:customStyle="1" w:styleId="343">
    <w:name w:val="标题 3 字符"/>
    <w:qFormat/>
    <w:uiPriority w:val="9"/>
    <w:rPr>
      <w:rFonts w:ascii="黑体" w:hAnsi="黑体" w:eastAsia="黑体" w:cs="黑体"/>
      <w:sz w:val="28"/>
      <w:szCs w:val="28"/>
    </w:rPr>
  </w:style>
  <w:style w:type="character" w:customStyle="1" w:styleId="344">
    <w:name w:val="标题 4 字符"/>
    <w:qFormat/>
    <w:uiPriority w:val="9"/>
    <w:rPr>
      <w:rFonts w:ascii="宋体" w:hAnsi="宋体" w:eastAsia="黑体" w:cs="宋体"/>
      <w:sz w:val="28"/>
      <w:szCs w:val="28"/>
    </w:rPr>
  </w:style>
  <w:style w:type="character" w:customStyle="1" w:styleId="345">
    <w:name w:val="标题 5 字符"/>
    <w:qFormat/>
    <w:uiPriority w:val="9"/>
    <w:rPr>
      <w:rFonts w:ascii="宋体" w:hAnsi="宋体" w:eastAsia="黑体" w:cs="宋体"/>
      <w:sz w:val="28"/>
      <w:szCs w:val="24"/>
    </w:rPr>
  </w:style>
  <w:style w:type="character" w:customStyle="1" w:styleId="346">
    <w:name w:val="标题 6 字符"/>
    <w:qFormat/>
    <w:uiPriority w:val="9"/>
    <w:rPr>
      <w:rFonts w:ascii="黑体" w:hAnsi="黑体" w:eastAsia="黑体" w:cs="黑体"/>
      <w:sz w:val="28"/>
      <w:szCs w:val="28"/>
    </w:rPr>
  </w:style>
  <w:style w:type="character" w:customStyle="1" w:styleId="347">
    <w:name w:val="标题 7 字符"/>
    <w:qFormat/>
    <w:uiPriority w:val="9"/>
    <w:rPr>
      <w:rFonts w:ascii="仿宋" w:hAnsi="仿宋" w:eastAsia="仿宋" w:cs="仿宋"/>
      <w:b/>
      <w:bCs/>
      <w:sz w:val="28"/>
      <w:szCs w:val="24"/>
    </w:rPr>
  </w:style>
  <w:style w:type="character" w:customStyle="1" w:styleId="348">
    <w:name w:val="标题 8 字符"/>
    <w:qFormat/>
    <w:uiPriority w:val="9"/>
    <w:rPr>
      <w:rFonts w:ascii="等线 Light" w:hAnsi="等线 Light" w:eastAsia="等线 Light"/>
      <w:sz w:val="28"/>
      <w:szCs w:val="24"/>
    </w:rPr>
  </w:style>
  <w:style w:type="character" w:customStyle="1" w:styleId="349">
    <w:name w:val="标题 9 字符"/>
    <w:qFormat/>
    <w:uiPriority w:val="9"/>
    <w:rPr>
      <w:rFonts w:ascii="等线 Light" w:hAnsi="等线 Light" w:eastAsia="等线 Light"/>
      <w:sz w:val="24"/>
      <w:szCs w:val="21"/>
    </w:rPr>
  </w:style>
  <w:style w:type="paragraph" w:customStyle="1" w:styleId="350">
    <w:name w:val="StGen0"/>
    <w:basedOn w:val="1"/>
    <w:next w:val="147"/>
    <w:link w:val="383"/>
    <w:qFormat/>
    <w:uiPriority w:val="34"/>
    <w:pPr>
      <w:spacing w:line="360" w:lineRule="auto"/>
      <w:ind w:firstLine="420"/>
    </w:pPr>
    <w:rPr>
      <w:rFonts w:ascii="Times New Roman" w:hAnsi="Times New Roman"/>
      <w:sz w:val="20"/>
      <w:szCs w:val="20"/>
    </w:rPr>
  </w:style>
  <w:style w:type="character" w:customStyle="1" w:styleId="351">
    <w:name w:val="注释标题 Char"/>
    <w:basedOn w:val="89"/>
    <w:semiHidden/>
    <w:qFormat/>
    <w:uiPriority w:val="99"/>
    <w:rPr>
      <w:rFonts w:ascii="Calibri" w:hAnsi="Calibri"/>
      <w:sz w:val="21"/>
      <w:szCs w:val="24"/>
    </w:rPr>
  </w:style>
  <w:style w:type="character" w:customStyle="1" w:styleId="352">
    <w:name w:val="注释标题 Char1"/>
    <w:link w:val="17"/>
    <w:qFormat/>
    <w:uiPriority w:val="0"/>
    <w:rPr>
      <w:rFonts w:ascii="Calibri" w:hAnsi="Calibri"/>
      <w:sz w:val="24"/>
    </w:rPr>
  </w:style>
  <w:style w:type="character" w:customStyle="1" w:styleId="353">
    <w:name w:val="电子邮件签名 Char"/>
    <w:basedOn w:val="89"/>
    <w:semiHidden/>
    <w:qFormat/>
    <w:uiPriority w:val="99"/>
    <w:rPr>
      <w:rFonts w:ascii="Calibri" w:hAnsi="Calibri"/>
      <w:sz w:val="21"/>
      <w:szCs w:val="24"/>
    </w:rPr>
  </w:style>
  <w:style w:type="character" w:customStyle="1" w:styleId="354">
    <w:name w:val="电子邮件签名 Char1"/>
    <w:link w:val="20"/>
    <w:qFormat/>
    <w:uiPriority w:val="0"/>
    <w:rPr>
      <w:rFonts w:ascii="Calibri" w:hAnsi="Calibri"/>
      <w:sz w:val="24"/>
    </w:rPr>
  </w:style>
  <w:style w:type="character" w:customStyle="1" w:styleId="355">
    <w:name w:val="题注 Char"/>
    <w:link w:val="22"/>
    <w:qFormat/>
    <w:uiPriority w:val="0"/>
    <w:rPr>
      <w:rFonts w:ascii="Calibri" w:hAnsi="Calibri"/>
      <w:b/>
      <w:bCs/>
      <w:color w:val="4F81BD" w:themeColor="accent1"/>
      <w:sz w:val="18"/>
      <w:szCs w:val="18"/>
      <w14:textFill>
        <w14:solidFill>
          <w14:schemeClr w14:val="accent1"/>
        </w14:solidFill>
      </w14:textFill>
    </w:rPr>
  </w:style>
  <w:style w:type="character" w:customStyle="1" w:styleId="356">
    <w:name w:val="文档结构图 Char"/>
    <w:link w:val="25"/>
    <w:qFormat/>
    <w:uiPriority w:val="0"/>
    <w:rPr>
      <w:sz w:val="21"/>
      <w:szCs w:val="24"/>
    </w:rPr>
  </w:style>
  <w:style w:type="character" w:customStyle="1" w:styleId="357">
    <w:name w:val="批注文字 字符"/>
    <w:semiHidden/>
    <w:qFormat/>
    <w:uiPriority w:val="99"/>
  </w:style>
  <w:style w:type="character" w:customStyle="1" w:styleId="358">
    <w:name w:val="称呼 Char"/>
    <w:basedOn w:val="89"/>
    <w:semiHidden/>
    <w:qFormat/>
    <w:uiPriority w:val="99"/>
    <w:rPr>
      <w:rFonts w:ascii="Calibri" w:hAnsi="Calibri"/>
      <w:sz w:val="21"/>
      <w:szCs w:val="24"/>
    </w:rPr>
  </w:style>
  <w:style w:type="character" w:customStyle="1" w:styleId="359">
    <w:name w:val="称呼 Char1"/>
    <w:link w:val="28"/>
    <w:qFormat/>
    <w:uiPriority w:val="0"/>
    <w:rPr>
      <w:rFonts w:ascii="Calibri" w:hAnsi="Calibri"/>
      <w:sz w:val="24"/>
    </w:rPr>
  </w:style>
  <w:style w:type="character" w:customStyle="1" w:styleId="360">
    <w:name w:val="结束语 Char"/>
    <w:basedOn w:val="89"/>
    <w:semiHidden/>
    <w:qFormat/>
    <w:uiPriority w:val="99"/>
    <w:rPr>
      <w:rFonts w:ascii="Calibri" w:hAnsi="Calibri"/>
      <w:sz w:val="21"/>
      <w:szCs w:val="24"/>
    </w:rPr>
  </w:style>
  <w:style w:type="character" w:customStyle="1" w:styleId="361">
    <w:name w:val="结束语 Char1"/>
    <w:link w:val="29"/>
    <w:qFormat/>
    <w:uiPriority w:val="0"/>
    <w:rPr>
      <w:rFonts w:ascii="Calibri" w:hAnsi="Calibri"/>
      <w:sz w:val="24"/>
    </w:rPr>
  </w:style>
  <w:style w:type="character" w:customStyle="1" w:styleId="362">
    <w:name w:val="正文文本 字符"/>
    <w:semiHidden/>
    <w:qFormat/>
    <w:uiPriority w:val="99"/>
  </w:style>
  <w:style w:type="character" w:customStyle="1" w:styleId="363">
    <w:name w:val="正文文本缩进 字符"/>
    <w:qFormat/>
    <w:uiPriority w:val="99"/>
    <w:rPr>
      <w:rFonts w:ascii="Times New Roman" w:hAnsi="Times New Roman" w:eastAsia="宋体"/>
      <w:sz w:val="24"/>
      <w:szCs w:val="24"/>
    </w:rPr>
  </w:style>
  <w:style w:type="character" w:customStyle="1" w:styleId="364">
    <w:name w:val="HTML 地址 Char"/>
    <w:basedOn w:val="89"/>
    <w:semiHidden/>
    <w:qFormat/>
    <w:uiPriority w:val="99"/>
    <w:rPr>
      <w:rFonts w:ascii="Calibri" w:hAnsi="Calibri"/>
      <w:i/>
      <w:iCs/>
      <w:sz w:val="21"/>
      <w:szCs w:val="24"/>
    </w:rPr>
  </w:style>
  <w:style w:type="character" w:customStyle="1" w:styleId="365">
    <w:name w:val="HTML 地址 Char1"/>
    <w:link w:val="42"/>
    <w:qFormat/>
    <w:uiPriority w:val="0"/>
    <w:rPr>
      <w:rFonts w:ascii="Calibri" w:hAnsi="Calibri"/>
      <w:i/>
      <w:iCs/>
      <w:sz w:val="24"/>
    </w:rPr>
  </w:style>
  <w:style w:type="character" w:customStyle="1" w:styleId="366">
    <w:name w:val="日期 Char"/>
    <w:basedOn w:val="89"/>
    <w:semiHidden/>
    <w:qFormat/>
    <w:uiPriority w:val="99"/>
    <w:rPr>
      <w:rFonts w:ascii="Calibri" w:hAnsi="Calibri"/>
      <w:sz w:val="21"/>
      <w:szCs w:val="24"/>
    </w:rPr>
  </w:style>
  <w:style w:type="character" w:customStyle="1" w:styleId="367">
    <w:name w:val="日期 Char1"/>
    <w:link w:val="51"/>
    <w:qFormat/>
    <w:uiPriority w:val="99"/>
    <w:rPr>
      <w:sz w:val="24"/>
      <w:szCs w:val="22"/>
    </w:rPr>
  </w:style>
  <w:style w:type="character" w:customStyle="1" w:styleId="368">
    <w:name w:val="尾注文本 字符"/>
    <w:qFormat/>
    <w:uiPriority w:val="0"/>
    <w:rPr>
      <w:rFonts w:ascii="Calibri" w:hAnsi="Calibri" w:eastAsia="宋体"/>
      <w:sz w:val="24"/>
    </w:rPr>
  </w:style>
  <w:style w:type="character" w:customStyle="1" w:styleId="369">
    <w:name w:val="批注框文本 字符"/>
    <w:semiHidden/>
    <w:qFormat/>
    <w:uiPriority w:val="99"/>
    <w:rPr>
      <w:sz w:val="18"/>
      <w:szCs w:val="18"/>
    </w:rPr>
  </w:style>
  <w:style w:type="character" w:customStyle="1" w:styleId="370">
    <w:name w:val="页脚 字符"/>
    <w:qFormat/>
    <w:uiPriority w:val="99"/>
    <w:rPr>
      <w:sz w:val="18"/>
      <w:szCs w:val="18"/>
    </w:rPr>
  </w:style>
  <w:style w:type="character" w:customStyle="1" w:styleId="371">
    <w:name w:val="页眉 字符"/>
    <w:qFormat/>
    <w:uiPriority w:val="99"/>
    <w:rPr>
      <w:sz w:val="18"/>
      <w:szCs w:val="18"/>
    </w:rPr>
  </w:style>
  <w:style w:type="character" w:customStyle="1" w:styleId="372">
    <w:name w:val="签名 Char"/>
    <w:basedOn w:val="89"/>
    <w:semiHidden/>
    <w:qFormat/>
    <w:uiPriority w:val="99"/>
    <w:rPr>
      <w:rFonts w:ascii="Calibri" w:hAnsi="Calibri"/>
      <w:sz w:val="21"/>
      <w:szCs w:val="24"/>
    </w:rPr>
  </w:style>
  <w:style w:type="character" w:customStyle="1" w:styleId="373">
    <w:name w:val="签名 Char1"/>
    <w:link w:val="58"/>
    <w:qFormat/>
    <w:uiPriority w:val="0"/>
    <w:rPr>
      <w:rFonts w:ascii="Calibri" w:hAnsi="Calibri"/>
      <w:sz w:val="24"/>
    </w:rPr>
  </w:style>
  <w:style w:type="character" w:customStyle="1" w:styleId="374">
    <w:name w:val="副标题 字符"/>
    <w:qFormat/>
    <w:uiPriority w:val="0"/>
    <w:rPr>
      <w:rFonts w:ascii="Cambria" w:hAnsi="Cambria" w:eastAsia="宋体"/>
      <w:b/>
      <w:bCs/>
      <w:sz w:val="32"/>
      <w:szCs w:val="32"/>
      <w:lang w:val="zh-CN"/>
    </w:rPr>
  </w:style>
  <w:style w:type="character" w:customStyle="1" w:styleId="375">
    <w:name w:val="脚注文本 字符"/>
    <w:qFormat/>
    <w:uiPriority w:val="0"/>
    <w:rPr>
      <w:rFonts w:ascii="Calibri" w:hAnsi="Calibri" w:eastAsia="宋体"/>
      <w:sz w:val="18"/>
      <w:szCs w:val="18"/>
    </w:rPr>
  </w:style>
  <w:style w:type="character" w:customStyle="1" w:styleId="376">
    <w:name w:val="HTML 预设格式 Char"/>
    <w:basedOn w:val="89"/>
    <w:semiHidden/>
    <w:qFormat/>
    <w:uiPriority w:val="99"/>
    <w:rPr>
      <w:rFonts w:ascii="Courier New" w:hAnsi="Courier New" w:cs="Courier New"/>
    </w:rPr>
  </w:style>
  <w:style w:type="character" w:customStyle="1" w:styleId="377">
    <w:name w:val="HTML 预设格式 Char1"/>
    <w:link w:val="78"/>
    <w:qFormat/>
    <w:uiPriority w:val="0"/>
    <w:rPr>
      <w:rFonts w:ascii="Courier New" w:hAnsi="Courier New" w:cs="Courier New"/>
    </w:rPr>
  </w:style>
  <w:style w:type="character" w:customStyle="1" w:styleId="378">
    <w:name w:val="标题 字符"/>
    <w:qFormat/>
    <w:uiPriority w:val="0"/>
    <w:rPr>
      <w:rFonts w:ascii="Cambria" w:hAnsi="Cambria" w:eastAsia="宋体"/>
      <w:b/>
      <w:bCs/>
      <w:sz w:val="32"/>
      <w:szCs w:val="32"/>
      <w:lang w:val="zh-CN"/>
    </w:rPr>
  </w:style>
  <w:style w:type="character" w:customStyle="1" w:styleId="379">
    <w:name w:val="批注主题 字符"/>
    <w:semiHidden/>
    <w:qFormat/>
    <w:uiPriority w:val="99"/>
    <w:rPr>
      <w:b/>
      <w:bCs/>
    </w:rPr>
  </w:style>
  <w:style w:type="character" w:customStyle="1" w:styleId="380">
    <w:name w:val="正文首行缩进 Char"/>
    <w:link w:val="85"/>
    <w:qFormat/>
    <w:uiPriority w:val="99"/>
    <w:rPr>
      <w:rFonts w:ascii="Calibri" w:hAnsi="Calibri" w:eastAsia="仿宋_GB2312"/>
      <w:sz w:val="21"/>
      <w:szCs w:val="24"/>
    </w:rPr>
  </w:style>
  <w:style w:type="character" w:customStyle="1" w:styleId="381">
    <w:name w:val="正文首行缩进 2 Char"/>
    <w:link w:val="86"/>
    <w:qFormat/>
    <w:uiPriority w:val="0"/>
    <w:rPr>
      <w:rFonts w:ascii="Cambria" w:hAnsi="Cambria" w:eastAsia="华文细黑"/>
      <w:sz w:val="21"/>
      <w:szCs w:val="32"/>
    </w:rPr>
  </w:style>
  <w:style w:type="paragraph" w:customStyle="1" w:styleId="382">
    <w:name w:val="默认段落字体 Para Char Char Char Char Char Char Char Char Char"/>
    <w:basedOn w:val="1"/>
    <w:qFormat/>
    <w:uiPriority w:val="0"/>
    <w:pPr>
      <w:spacing w:line="360" w:lineRule="auto"/>
      <w:ind w:firstLine="200"/>
    </w:pPr>
    <w:rPr>
      <w:rFonts w:ascii="Tahoma" w:hAnsi="Tahoma" w:eastAsia="仿宋"/>
      <w:sz w:val="24"/>
      <w:szCs w:val="20"/>
    </w:rPr>
  </w:style>
  <w:style w:type="character" w:customStyle="1" w:styleId="383">
    <w:name w:val="列表段落 字符"/>
    <w:link w:val="350"/>
    <w:qFormat/>
    <w:uiPriority w:val="34"/>
  </w:style>
  <w:style w:type="character" w:customStyle="1" w:styleId="384">
    <w:name w:val="正文文本首行缩进 字符1"/>
    <w:semiHidden/>
    <w:qFormat/>
    <w:uiPriority w:val="99"/>
  </w:style>
  <w:style w:type="character" w:customStyle="1" w:styleId="385">
    <w:name w:val="Default Char"/>
    <w:link w:val="102"/>
    <w:qFormat/>
    <w:uiPriority w:val="0"/>
    <w:rPr>
      <w:rFonts w:ascii="宋体" w:hAnsi="宋体" w:cs="宋体"/>
      <w:color w:val="000000"/>
      <w:sz w:val="24"/>
      <w:szCs w:val="24"/>
    </w:rPr>
  </w:style>
  <w:style w:type="paragraph" w:customStyle="1" w:styleId="386">
    <w:name w:val="00表格文字"/>
    <w:basedOn w:val="1"/>
    <w:qFormat/>
    <w:uiPriority w:val="0"/>
    <w:pPr>
      <w:spacing w:line="360" w:lineRule="auto"/>
      <w:ind w:firstLine="200"/>
    </w:pPr>
    <w:rPr>
      <w:rFonts w:ascii="Times New Roman" w:hAnsi="Times New Roman" w:eastAsia="仿宋"/>
      <w:sz w:val="28"/>
      <w:szCs w:val="22"/>
    </w:rPr>
  </w:style>
  <w:style w:type="paragraph" w:customStyle="1" w:styleId="387">
    <w:name w:val="TOC 标题2"/>
    <w:basedOn w:val="3"/>
    <w:next w:val="1"/>
    <w:qFormat/>
    <w:uiPriority w:val="39"/>
    <w:pPr>
      <w:widowControl/>
      <w:tabs>
        <w:tab w:val="clear" w:pos="432"/>
      </w:tabs>
      <w:spacing w:before="240" w:after="0" w:line="259" w:lineRule="auto"/>
      <w:ind w:left="0" w:firstLine="0"/>
      <w:jc w:val="left"/>
      <w:outlineLvl w:val="9"/>
    </w:pPr>
    <w:rPr>
      <w:rFonts w:ascii="等线 Light" w:hAnsi="等线 Light" w:eastAsia="等线 Light"/>
      <w:b w:val="0"/>
      <w:bCs w:val="0"/>
      <w:color w:val="2F5496"/>
      <w:sz w:val="32"/>
      <w:szCs w:val="32"/>
    </w:rPr>
  </w:style>
  <w:style w:type="character" w:customStyle="1" w:styleId="388">
    <w:name w:val="样式3 字符"/>
    <w:link w:val="389"/>
    <w:qFormat/>
    <w:uiPriority w:val="0"/>
    <w:rPr>
      <w:rFonts w:ascii="黑体" w:hAnsi="黑体" w:eastAsia="黑体"/>
    </w:rPr>
  </w:style>
  <w:style w:type="paragraph" w:customStyle="1" w:styleId="389">
    <w:name w:val="样式3"/>
    <w:basedOn w:val="22"/>
    <w:link w:val="388"/>
    <w:qFormat/>
    <w:uiPriority w:val="0"/>
    <w:pPr>
      <w:widowControl/>
      <w:spacing w:line="360" w:lineRule="auto"/>
      <w:ind w:firstLine="200"/>
      <w:jc w:val="center"/>
    </w:pPr>
    <w:rPr>
      <w:rFonts w:ascii="黑体" w:hAnsi="黑体" w:eastAsia="黑体"/>
      <w:b w:val="0"/>
      <w:bCs w:val="0"/>
      <w:color w:val="auto"/>
      <w:sz w:val="20"/>
      <w:szCs w:val="20"/>
    </w:rPr>
  </w:style>
  <w:style w:type="character" w:customStyle="1" w:styleId="390">
    <w:name w:val="未处理的提及1"/>
    <w:unhideWhenUsed/>
    <w:qFormat/>
    <w:uiPriority w:val="99"/>
    <w:rPr>
      <w:color w:val="605E5C"/>
      <w:shd w:val="clear" w:color="auto" w:fill="E1DFDD"/>
    </w:rPr>
  </w:style>
  <w:style w:type="paragraph" w:customStyle="1" w:styleId="391">
    <w:name w:val="- 0正文（首行缩进2字符）"/>
    <w:basedOn w:val="1"/>
    <w:link w:val="392"/>
    <w:qFormat/>
    <w:uiPriority w:val="0"/>
    <w:pPr>
      <w:spacing w:line="360" w:lineRule="auto"/>
      <w:ind w:firstLine="200"/>
    </w:pPr>
    <w:rPr>
      <w:rFonts w:ascii="Arial" w:hAnsi="Arial"/>
      <w:sz w:val="24"/>
      <w:szCs w:val="28"/>
    </w:rPr>
  </w:style>
  <w:style w:type="character" w:customStyle="1" w:styleId="392">
    <w:name w:val="- 0正文（首行缩进2字符） 字符"/>
    <w:link w:val="391"/>
    <w:qFormat/>
    <w:uiPriority w:val="0"/>
    <w:rPr>
      <w:rFonts w:ascii="Arial" w:hAnsi="Arial"/>
      <w:sz w:val="24"/>
      <w:szCs w:val="28"/>
    </w:rPr>
  </w:style>
  <w:style w:type="paragraph" w:customStyle="1" w:styleId="393">
    <w:name w:val="DL"/>
    <w:basedOn w:val="1"/>
    <w:qFormat/>
    <w:uiPriority w:val="0"/>
    <w:pPr>
      <w:spacing w:line="360" w:lineRule="auto"/>
      <w:ind w:left="560" w:firstLine="1040"/>
      <w:jc w:val="left"/>
    </w:pPr>
    <w:rPr>
      <w:rFonts w:hint="eastAsia" w:ascii="宋体" w:hAnsi="宋体" w:cs="宋体"/>
      <w:sz w:val="32"/>
      <w:szCs w:val="52"/>
    </w:rPr>
  </w:style>
  <w:style w:type="paragraph" w:customStyle="1" w:styleId="394">
    <w:name w:val="正文样式"/>
    <w:basedOn w:val="1"/>
    <w:link w:val="395"/>
    <w:qFormat/>
    <w:uiPriority w:val="0"/>
    <w:pPr>
      <w:spacing w:line="360" w:lineRule="auto"/>
      <w:ind w:firstLine="480"/>
    </w:pPr>
    <w:rPr>
      <w:rFonts w:ascii="Times New Roman" w:hAnsi="Times New Roman"/>
      <w:sz w:val="24"/>
    </w:rPr>
  </w:style>
  <w:style w:type="character" w:customStyle="1" w:styleId="395">
    <w:name w:val="正文样式 Char"/>
    <w:link w:val="394"/>
    <w:qFormat/>
    <w:uiPriority w:val="0"/>
    <w:rPr>
      <w:sz w:val="24"/>
      <w:szCs w:val="24"/>
    </w:rPr>
  </w:style>
  <w:style w:type="paragraph" w:customStyle="1" w:styleId="396">
    <w:name w:val="_Style 74"/>
    <w:basedOn w:val="35"/>
    <w:next w:val="86"/>
    <w:unhideWhenUsed/>
    <w:qFormat/>
    <w:uiPriority w:val="99"/>
    <w:pPr>
      <w:spacing w:after="120"/>
      <w:ind w:left="420" w:firstLine="420"/>
    </w:pPr>
    <w:rPr>
      <w:rFonts w:ascii="等线" w:hAnsi="等线" w:eastAsia="等线"/>
      <w:sz w:val="21"/>
      <w:szCs w:val="22"/>
    </w:rPr>
  </w:style>
  <w:style w:type="character" w:customStyle="1" w:styleId="397">
    <w:name w:val="引用 字符"/>
    <w:qFormat/>
    <w:uiPriority w:val="29"/>
    <w:rPr>
      <w:rFonts w:ascii="宋体" w:eastAsia="宋体"/>
      <w:i/>
      <w:iCs/>
      <w:color w:val="000000"/>
    </w:rPr>
  </w:style>
  <w:style w:type="character" w:customStyle="1" w:styleId="398">
    <w:name w:val="明显引用 字符"/>
    <w:qFormat/>
    <w:uiPriority w:val="30"/>
    <w:rPr>
      <w:rFonts w:ascii="宋体" w:eastAsia="宋体"/>
      <w:b/>
      <w:bCs/>
      <w:i/>
      <w:iCs/>
      <w:color w:val="4F81BD"/>
    </w:rPr>
  </w:style>
  <w:style w:type="character" w:customStyle="1" w:styleId="399">
    <w:name w:val="图表 字符"/>
    <w:link w:val="400"/>
    <w:qFormat/>
    <w:uiPriority w:val="10"/>
    <w:rPr>
      <w:szCs w:val="24"/>
    </w:rPr>
  </w:style>
  <w:style w:type="paragraph" w:customStyle="1" w:styleId="400">
    <w:name w:val="图表"/>
    <w:next w:val="1"/>
    <w:link w:val="399"/>
    <w:qFormat/>
    <w:uiPriority w:val="10"/>
    <w:pPr>
      <w:spacing w:line="360" w:lineRule="auto"/>
    </w:pPr>
    <w:rPr>
      <w:rFonts w:ascii="Times New Roman" w:hAnsi="Times New Roman" w:eastAsia="宋体" w:cs="Times New Roman"/>
      <w:szCs w:val="24"/>
      <w:lang w:val="en-US" w:eastAsia="zh-CN" w:bidi="ar-SA"/>
    </w:rPr>
  </w:style>
  <w:style w:type="paragraph" w:customStyle="1" w:styleId="401">
    <w:name w:val="H0正文2"/>
    <w:basedOn w:val="1"/>
    <w:link w:val="402"/>
    <w:qFormat/>
    <w:uiPriority w:val="0"/>
    <w:pPr>
      <w:widowControl/>
      <w:spacing w:line="360" w:lineRule="auto"/>
      <w:ind w:firstLine="200"/>
      <w:jc w:val="left"/>
    </w:pPr>
    <w:rPr>
      <w:rFonts w:ascii="Times New Roman" w:hAnsi="Times New Roman"/>
      <w:sz w:val="24"/>
      <w:szCs w:val="20"/>
    </w:rPr>
  </w:style>
  <w:style w:type="character" w:customStyle="1" w:styleId="402">
    <w:name w:val="H0正文2 字符"/>
    <w:link w:val="401"/>
    <w:qFormat/>
    <w:uiPriority w:val="0"/>
    <w:rPr>
      <w:sz w:val="24"/>
    </w:rPr>
  </w:style>
  <w:style w:type="paragraph" w:customStyle="1" w:styleId="403">
    <w:name w:val="JH一级标题"/>
    <w:basedOn w:val="1"/>
    <w:link w:val="404"/>
    <w:qFormat/>
    <w:uiPriority w:val="0"/>
    <w:pPr>
      <w:numPr>
        <w:ilvl w:val="0"/>
        <w:numId w:val="7"/>
      </w:numPr>
      <w:jc w:val="left"/>
      <w:outlineLvl w:val="0"/>
    </w:pPr>
    <w:rPr>
      <w:rFonts w:ascii="黑体" w:hAnsi="黑体" w:eastAsia="黑体" w:cs="宋体"/>
      <w:b/>
      <w:bCs/>
      <w:sz w:val="30"/>
      <w:szCs w:val="28"/>
    </w:rPr>
  </w:style>
  <w:style w:type="character" w:customStyle="1" w:styleId="404">
    <w:name w:val="JH一级标题 字符"/>
    <w:link w:val="403"/>
    <w:qFormat/>
    <w:uiPriority w:val="0"/>
    <w:rPr>
      <w:rFonts w:ascii="黑体" w:hAnsi="黑体" w:eastAsia="黑体" w:cs="宋体"/>
      <w:b/>
      <w:bCs/>
      <w:sz w:val="30"/>
      <w:szCs w:val="28"/>
    </w:rPr>
  </w:style>
  <w:style w:type="paragraph" w:customStyle="1" w:styleId="405">
    <w:name w:val="JH二级标题"/>
    <w:basedOn w:val="1"/>
    <w:link w:val="406"/>
    <w:qFormat/>
    <w:uiPriority w:val="0"/>
    <w:pPr>
      <w:numPr>
        <w:ilvl w:val="1"/>
        <w:numId w:val="7"/>
      </w:numPr>
      <w:ind w:left="0" w:firstLine="562"/>
      <w:outlineLvl w:val="1"/>
    </w:pPr>
    <w:rPr>
      <w:rFonts w:ascii="宋体" w:hAnsi="宋体" w:cs="宋体"/>
      <w:b/>
      <w:bCs/>
      <w:sz w:val="28"/>
      <w:szCs w:val="28"/>
    </w:rPr>
  </w:style>
  <w:style w:type="character" w:customStyle="1" w:styleId="406">
    <w:name w:val="JH二级标题 字符"/>
    <w:link w:val="405"/>
    <w:qFormat/>
    <w:uiPriority w:val="0"/>
    <w:rPr>
      <w:rFonts w:ascii="宋体" w:hAnsi="宋体" w:cs="宋体"/>
      <w:b/>
      <w:bCs/>
      <w:sz w:val="28"/>
      <w:szCs w:val="28"/>
    </w:rPr>
  </w:style>
  <w:style w:type="paragraph" w:customStyle="1" w:styleId="407">
    <w:name w:val="JH三级标题"/>
    <w:basedOn w:val="1"/>
    <w:link w:val="408"/>
    <w:qFormat/>
    <w:uiPriority w:val="0"/>
    <w:pPr>
      <w:numPr>
        <w:ilvl w:val="2"/>
        <w:numId w:val="7"/>
      </w:numPr>
      <w:ind w:left="0" w:firstLine="0"/>
      <w:outlineLvl w:val="2"/>
    </w:pPr>
    <w:rPr>
      <w:rFonts w:ascii="宋体" w:hAnsi="宋体" w:cs="宋体"/>
      <w:b/>
      <w:bCs/>
      <w:sz w:val="28"/>
      <w:szCs w:val="28"/>
    </w:rPr>
  </w:style>
  <w:style w:type="character" w:customStyle="1" w:styleId="408">
    <w:name w:val="JH三级标题 字符"/>
    <w:link w:val="407"/>
    <w:qFormat/>
    <w:uiPriority w:val="0"/>
    <w:rPr>
      <w:rFonts w:ascii="宋体" w:hAnsi="宋体" w:cs="宋体"/>
      <w:b/>
      <w:bCs/>
      <w:sz w:val="28"/>
      <w:szCs w:val="28"/>
    </w:rPr>
  </w:style>
  <w:style w:type="paragraph" w:customStyle="1" w:styleId="409">
    <w:name w:val="JH四级标题"/>
    <w:basedOn w:val="1"/>
    <w:qFormat/>
    <w:uiPriority w:val="0"/>
    <w:pPr>
      <w:numPr>
        <w:ilvl w:val="3"/>
        <w:numId w:val="7"/>
      </w:numPr>
      <w:ind w:left="171" w:firstLine="0"/>
      <w:outlineLvl w:val="3"/>
    </w:pPr>
    <w:rPr>
      <w:rFonts w:ascii="宋体" w:hAnsi="宋体" w:cs="宋体"/>
      <w:b/>
      <w:bCs/>
      <w:sz w:val="28"/>
      <w:szCs w:val="28"/>
    </w:rPr>
  </w:style>
  <w:style w:type="paragraph" w:customStyle="1" w:styleId="410">
    <w:name w:val="JH五级标题"/>
    <w:basedOn w:val="1"/>
    <w:qFormat/>
    <w:uiPriority w:val="0"/>
    <w:pPr>
      <w:numPr>
        <w:ilvl w:val="4"/>
        <w:numId w:val="7"/>
      </w:numPr>
      <w:ind w:left="228" w:firstLine="0"/>
      <w:outlineLvl w:val="4"/>
    </w:pPr>
    <w:rPr>
      <w:rFonts w:ascii="宋体" w:hAnsi="宋体" w:cs="宋体"/>
      <w:b/>
      <w:bCs/>
      <w:sz w:val="28"/>
      <w:szCs w:val="28"/>
    </w:rPr>
  </w:style>
  <w:style w:type="paragraph" w:customStyle="1" w:styleId="411">
    <w:name w:val="JH六级标题"/>
    <w:basedOn w:val="1"/>
    <w:qFormat/>
    <w:uiPriority w:val="0"/>
    <w:pPr>
      <w:numPr>
        <w:ilvl w:val="5"/>
        <w:numId w:val="7"/>
      </w:numPr>
      <w:ind w:left="285" w:firstLine="0"/>
      <w:outlineLvl w:val="5"/>
    </w:pPr>
    <w:rPr>
      <w:rFonts w:ascii="宋体" w:hAnsi="宋体" w:cs="宋体"/>
      <w:b/>
      <w:bCs/>
      <w:sz w:val="28"/>
      <w:szCs w:val="28"/>
    </w:rPr>
  </w:style>
  <w:style w:type="paragraph" w:customStyle="1" w:styleId="412">
    <w:name w:val="JH七级标题"/>
    <w:basedOn w:val="1"/>
    <w:qFormat/>
    <w:uiPriority w:val="0"/>
    <w:pPr>
      <w:numPr>
        <w:ilvl w:val="6"/>
        <w:numId w:val="7"/>
      </w:numPr>
      <w:ind w:left="342" w:firstLine="0"/>
      <w:outlineLvl w:val="6"/>
    </w:pPr>
    <w:rPr>
      <w:rFonts w:ascii="宋体" w:hAnsi="宋体" w:cs="宋体"/>
      <w:b/>
      <w:bCs/>
      <w:sz w:val="28"/>
      <w:szCs w:val="28"/>
    </w:rPr>
  </w:style>
  <w:style w:type="paragraph" w:customStyle="1" w:styleId="413">
    <w:name w:val="JH八级标题"/>
    <w:basedOn w:val="1"/>
    <w:qFormat/>
    <w:uiPriority w:val="0"/>
    <w:pPr>
      <w:numPr>
        <w:ilvl w:val="7"/>
        <w:numId w:val="7"/>
      </w:numPr>
      <w:ind w:left="399" w:firstLine="0"/>
      <w:outlineLvl w:val="7"/>
    </w:pPr>
    <w:rPr>
      <w:rFonts w:ascii="宋体" w:hAnsi="宋体" w:cs="宋体"/>
      <w:b/>
      <w:bCs/>
      <w:sz w:val="28"/>
      <w:szCs w:val="28"/>
    </w:rPr>
  </w:style>
  <w:style w:type="paragraph" w:customStyle="1" w:styleId="414">
    <w:name w:val="JH九级标题"/>
    <w:basedOn w:val="1"/>
    <w:qFormat/>
    <w:uiPriority w:val="0"/>
    <w:pPr>
      <w:numPr>
        <w:ilvl w:val="8"/>
        <w:numId w:val="7"/>
      </w:numPr>
      <w:ind w:left="456" w:firstLine="0"/>
      <w:outlineLvl w:val="8"/>
    </w:pPr>
    <w:rPr>
      <w:rFonts w:ascii="宋体" w:hAnsi="宋体" w:cs="宋体"/>
      <w:b/>
      <w:bCs/>
      <w:sz w:val="28"/>
      <w:szCs w:val="28"/>
    </w:rPr>
  </w:style>
  <w:style w:type="paragraph" w:customStyle="1" w:styleId="415">
    <w:name w:val="JH正文格式"/>
    <w:basedOn w:val="1"/>
    <w:link w:val="416"/>
    <w:qFormat/>
    <w:uiPriority w:val="0"/>
    <w:pPr>
      <w:spacing w:line="360" w:lineRule="auto"/>
      <w:ind w:firstLine="560"/>
    </w:pPr>
    <w:rPr>
      <w:rFonts w:ascii="宋体" w:hAnsi="宋体" w:cs="宋体"/>
      <w:sz w:val="24"/>
      <w:szCs w:val="28"/>
    </w:rPr>
  </w:style>
  <w:style w:type="character" w:customStyle="1" w:styleId="416">
    <w:name w:val="JH正文格式 字符"/>
    <w:link w:val="415"/>
    <w:qFormat/>
    <w:uiPriority w:val="0"/>
    <w:rPr>
      <w:rFonts w:ascii="宋体" w:hAnsi="宋体" w:cs="宋体"/>
      <w:sz w:val="24"/>
      <w:szCs w:val="28"/>
    </w:rPr>
  </w:style>
  <w:style w:type="paragraph" w:customStyle="1" w:styleId="417">
    <w:name w:val="修订1"/>
    <w:unhideWhenUsed/>
    <w:qFormat/>
    <w:uiPriority w:val="99"/>
    <w:rPr>
      <w:rFonts w:ascii="Times New Roman" w:hAnsi="Times New Roman" w:eastAsia="宋体" w:cs="Times New Roman"/>
      <w:sz w:val="24"/>
      <w:szCs w:val="22"/>
      <w:lang w:val="en-US" w:eastAsia="zh-CN" w:bidi="ar-SA"/>
    </w:rPr>
  </w:style>
  <w:style w:type="paragraph" w:customStyle="1" w:styleId="418">
    <w:name w:val="msonormal"/>
    <w:basedOn w:val="1"/>
    <w:qFormat/>
    <w:uiPriority w:val="0"/>
    <w:pPr>
      <w:widowControl/>
      <w:spacing w:before="100" w:beforeAutospacing="1" w:after="100" w:afterAutospacing="1"/>
      <w:jc w:val="left"/>
    </w:pPr>
    <w:rPr>
      <w:rFonts w:ascii="宋体" w:hAnsi="宋体" w:cs="宋体"/>
      <w:sz w:val="24"/>
    </w:rPr>
  </w:style>
  <w:style w:type="paragraph" w:customStyle="1" w:styleId="419">
    <w:name w:val="font5"/>
    <w:basedOn w:val="1"/>
    <w:qFormat/>
    <w:uiPriority w:val="0"/>
    <w:pPr>
      <w:widowControl/>
      <w:spacing w:before="100" w:beforeAutospacing="1" w:after="100" w:afterAutospacing="1"/>
      <w:jc w:val="left"/>
    </w:pPr>
    <w:rPr>
      <w:rFonts w:ascii="等线" w:hAnsi="等线" w:eastAsia="等线" w:cs="宋体"/>
      <w:sz w:val="18"/>
      <w:szCs w:val="18"/>
    </w:rPr>
  </w:style>
  <w:style w:type="paragraph" w:customStyle="1" w:styleId="42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2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22">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423">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A6A6A6"/>
      <w:spacing w:before="100" w:beforeAutospacing="1" w:after="100" w:afterAutospacing="1"/>
      <w:jc w:val="center"/>
    </w:pPr>
    <w:rPr>
      <w:rFonts w:ascii="宋体" w:hAnsi="宋体" w:cs="宋体"/>
      <w:b/>
      <w:bCs/>
      <w:color w:val="000000"/>
      <w:sz w:val="24"/>
    </w:rPr>
  </w:style>
  <w:style w:type="paragraph" w:customStyle="1" w:styleId="424">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4"/>
    </w:rPr>
  </w:style>
  <w:style w:type="paragraph" w:customStyle="1" w:styleId="42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426">
    <w:name w:val="xl73"/>
    <w:basedOn w:val="1"/>
    <w:qFormat/>
    <w:uiPriority w:val="0"/>
    <w:pPr>
      <w:widowControl/>
      <w:spacing w:before="100" w:beforeAutospacing="1" w:after="100" w:afterAutospacing="1"/>
      <w:jc w:val="left"/>
    </w:pPr>
    <w:rPr>
      <w:rFonts w:ascii="宋体" w:hAnsi="宋体" w:cs="宋体"/>
      <w:sz w:val="24"/>
    </w:rPr>
  </w:style>
  <w:style w:type="paragraph" w:customStyle="1" w:styleId="42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42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29">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jc w:val="center"/>
    </w:pPr>
    <w:rPr>
      <w:rFonts w:ascii="宋体" w:hAnsi="宋体" w:cs="宋体"/>
      <w:b/>
      <w:bCs/>
      <w:color w:val="000000"/>
      <w:sz w:val="24"/>
    </w:rPr>
  </w:style>
  <w:style w:type="paragraph" w:customStyle="1" w:styleId="43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sz w:val="24"/>
    </w:rPr>
  </w:style>
  <w:style w:type="paragraph" w:customStyle="1" w:styleId="431">
    <w:name w:val="xl7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4"/>
    </w:rPr>
  </w:style>
  <w:style w:type="paragraph" w:customStyle="1" w:styleId="432">
    <w:name w:val="xl79"/>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4"/>
    </w:rPr>
  </w:style>
  <w:style w:type="paragraph" w:customStyle="1" w:styleId="433">
    <w:name w:val="xl80"/>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4"/>
    </w:rPr>
  </w:style>
  <w:style w:type="paragraph" w:customStyle="1" w:styleId="434">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435">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436">
    <w:name w:val="xl8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43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sz w:val="24"/>
    </w:rPr>
  </w:style>
  <w:style w:type="paragraph" w:customStyle="1" w:styleId="43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sz w:val="24"/>
    </w:rPr>
  </w:style>
  <w:style w:type="paragraph" w:customStyle="1" w:styleId="439">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40">
    <w:name w:val="xl87"/>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441">
    <w:name w:val="xl88"/>
    <w:basedOn w:val="1"/>
    <w:qFormat/>
    <w:uiPriority w:val="0"/>
    <w:pPr>
      <w:widowControl/>
      <w:pBdr>
        <w:bottom w:val="single" w:color="auto" w:sz="4" w:space="0"/>
        <w:right w:val="single" w:color="auto" w:sz="4" w:space="0"/>
      </w:pBdr>
      <w:shd w:val="clear" w:color="000000" w:fill="FFFFFF"/>
      <w:spacing w:before="100" w:beforeAutospacing="1" w:after="100" w:afterAutospacing="1"/>
      <w:jc w:val="center"/>
    </w:pPr>
    <w:rPr>
      <w:rFonts w:ascii="宋体" w:hAnsi="宋体" w:cs="宋体"/>
      <w:sz w:val="24"/>
    </w:rPr>
  </w:style>
  <w:style w:type="paragraph" w:customStyle="1" w:styleId="442">
    <w:name w:val="xl89"/>
    <w:basedOn w:val="1"/>
    <w:qFormat/>
    <w:uiPriority w:val="0"/>
    <w:pPr>
      <w:widowControl/>
      <w:pBdr>
        <w:top w:val="single" w:color="auto" w:sz="4" w:space="0"/>
        <w:left w:val="single" w:color="auto" w:sz="4" w:space="0"/>
        <w:right w:val="single" w:color="000000" w:sz="4" w:space="0"/>
      </w:pBdr>
      <w:spacing w:before="100" w:beforeAutospacing="1" w:after="100" w:afterAutospacing="1"/>
      <w:jc w:val="center"/>
    </w:pPr>
    <w:rPr>
      <w:rFonts w:ascii="宋体" w:hAnsi="宋体" w:cs="宋体"/>
      <w:sz w:val="24"/>
    </w:rPr>
  </w:style>
  <w:style w:type="paragraph" w:customStyle="1" w:styleId="443">
    <w:name w:val="xl90"/>
    <w:basedOn w:val="1"/>
    <w:qFormat/>
    <w:uiPriority w:val="0"/>
    <w:pPr>
      <w:widowControl/>
      <w:pBdr>
        <w:left w:val="single" w:color="auto" w:sz="4" w:space="0"/>
        <w:right w:val="single" w:color="000000" w:sz="4" w:space="0"/>
      </w:pBdr>
      <w:spacing w:before="100" w:beforeAutospacing="1" w:after="100" w:afterAutospacing="1"/>
      <w:jc w:val="center"/>
    </w:pPr>
    <w:rPr>
      <w:rFonts w:ascii="宋体" w:hAnsi="宋体" w:cs="宋体"/>
      <w:sz w:val="24"/>
    </w:rPr>
  </w:style>
  <w:style w:type="paragraph" w:customStyle="1" w:styleId="444">
    <w:name w:val="xl91"/>
    <w:basedOn w:val="1"/>
    <w:qFormat/>
    <w:uiPriority w:val="0"/>
    <w:pPr>
      <w:widowControl/>
      <w:pBdr>
        <w:left w:val="single" w:color="auto" w:sz="4" w:space="0"/>
        <w:bottom w:val="single" w:color="auto" w:sz="4" w:space="0"/>
        <w:right w:val="single" w:color="000000" w:sz="4" w:space="0"/>
      </w:pBdr>
      <w:spacing w:before="100" w:beforeAutospacing="1" w:after="100" w:afterAutospacing="1"/>
      <w:jc w:val="center"/>
    </w:pPr>
    <w:rPr>
      <w:rFonts w:ascii="宋体" w:hAnsi="宋体" w:cs="宋体"/>
      <w:sz w:val="24"/>
    </w:rPr>
  </w:style>
  <w:style w:type="paragraph" w:customStyle="1" w:styleId="445">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46">
    <w:name w:val="xl93"/>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47">
    <w:name w:val="xl9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48">
    <w:name w:val="xl9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49">
    <w:name w:val="xl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cs="宋体"/>
      <w:sz w:val="24"/>
    </w:rPr>
  </w:style>
  <w:style w:type="paragraph" w:customStyle="1" w:styleId="450">
    <w:name w:val="xl97"/>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center"/>
    </w:pPr>
    <w:rPr>
      <w:rFonts w:ascii="宋体" w:hAnsi="宋体" w:cs="宋体"/>
      <w:sz w:val="24"/>
    </w:rPr>
  </w:style>
  <w:style w:type="paragraph" w:customStyle="1" w:styleId="451">
    <w:name w:val="xl98"/>
    <w:basedOn w:val="1"/>
    <w:qFormat/>
    <w:uiPriority w:val="0"/>
    <w:pPr>
      <w:widowControl/>
      <w:pBdr>
        <w:top w:val="single" w:color="auto" w:sz="4" w:space="0"/>
        <w:left w:val="single" w:color="auto"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52">
    <w:name w:val="xl99"/>
    <w:basedOn w:val="1"/>
    <w:qFormat/>
    <w:uiPriority w:val="0"/>
    <w:pPr>
      <w:widowControl/>
      <w:pBdr>
        <w:left w:val="single" w:color="auto"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53">
    <w:name w:val="xl100"/>
    <w:basedOn w:val="1"/>
    <w:qFormat/>
    <w:uiPriority w:val="0"/>
    <w:pPr>
      <w:widowControl/>
      <w:pBdr>
        <w:left w:val="single" w:color="auto" w:sz="4" w:space="0"/>
        <w:bottom w:val="single" w:color="auto"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454">
    <w:name w:val="xl10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sz w:val="24"/>
    </w:rPr>
  </w:style>
  <w:style w:type="paragraph" w:customStyle="1" w:styleId="455">
    <w:name w:val="xl102"/>
    <w:basedOn w:val="1"/>
    <w:qFormat/>
    <w:uiPriority w:val="0"/>
    <w:pPr>
      <w:widowControl/>
      <w:pBdr>
        <w:left w:val="single" w:color="auto" w:sz="4" w:space="0"/>
      </w:pBdr>
      <w:spacing w:before="100" w:beforeAutospacing="1" w:after="100" w:afterAutospacing="1"/>
      <w:jc w:val="center"/>
    </w:pPr>
    <w:rPr>
      <w:rFonts w:ascii="宋体" w:hAnsi="宋体" w:cs="宋体"/>
      <w:sz w:val="24"/>
    </w:rPr>
  </w:style>
  <w:style w:type="paragraph" w:customStyle="1" w:styleId="456">
    <w:name w:val="xl10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sz w:val="24"/>
    </w:rPr>
  </w:style>
  <w:style w:type="paragraph" w:customStyle="1" w:styleId="457">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rPr>
  </w:style>
  <w:style w:type="paragraph" w:customStyle="1" w:styleId="458">
    <w:name w:val="xl10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459">
    <w:name w:val="xl10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460">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24"/>
    </w:rPr>
  </w:style>
  <w:style w:type="paragraph" w:customStyle="1" w:styleId="46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6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63">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464">
    <w:name w:val="xl111"/>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cs="宋体"/>
      <w:color w:val="000000"/>
      <w:sz w:val="24"/>
    </w:rPr>
  </w:style>
  <w:style w:type="paragraph" w:customStyle="1" w:styleId="465">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rPr>
  </w:style>
  <w:style w:type="paragraph" w:customStyle="1" w:styleId="466">
    <w:name w:val="xl113"/>
    <w:basedOn w:val="1"/>
    <w:qFormat/>
    <w:uiPriority w:val="0"/>
    <w:pPr>
      <w:widowControl/>
      <w:spacing w:before="100" w:beforeAutospacing="1" w:after="100" w:afterAutospacing="1"/>
      <w:jc w:val="center"/>
    </w:pPr>
    <w:rPr>
      <w:rFonts w:ascii="宋体" w:hAnsi="宋体" w:cs="宋体"/>
      <w:color w:val="000000"/>
      <w:sz w:val="24"/>
    </w:rPr>
  </w:style>
  <w:style w:type="paragraph" w:customStyle="1" w:styleId="467">
    <w:name w:val="xl114"/>
    <w:basedOn w:val="1"/>
    <w:qFormat/>
    <w:uiPriority w:val="0"/>
    <w:pPr>
      <w:widowControl/>
      <w:spacing w:before="100" w:beforeAutospacing="1" w:after="100" w:afterAutospacing="1"/>
      <w:jc w:val="center"/>
    </w:pPr>
    <w:rPr>
      <w:rFonts w:ascii="宋体" w:hAnsi="宋体" w:cs="宋体"/>
      <w:sz w:val="24"/>
    </w:rPr>
  </w:style>
  <w:style w:type="paragraph" w:customStyle="1" w:styleId="468">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69">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sz w:val="24"/>
    </w:rPr>
  </w:style>
  <w:style w:type="paragraph" w:customStyle="1" w:styleId="470">
    <w:name w:val="xl117"/>
    <w:basedOn w:val="1"/>
    <w:qFormat/>
    <w:uiPriority w:val="0"/>
    <w:pPr>
      <w:widowControl/>
      <w:pBdr>
        <w:top w:val="single" w:color="auto" w:sz="4" w:space="0"/>
        <w:left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1">
    <w:name w:val="xl118"/>
    <w:basedOn w:val="1"/>
    <w:qFormat/>
    <w:uiPriority w:val="0"/>
    <w:pPr>
      <w:widowControl/>
      <w:pBdr>
        <w:left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2">
    <w:name w:val="xl119"/>
    <w:basedOn w:val="1"/>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3">
    <w:name w:val="xl120"/>
    <w:basedOn w:val="1"/>
    <w:qFormat/>
    <w:uiPriority w:val="0"/>
    <w:pPr>
      <w:widowControl/>
      <w:pBdr>
        <w:left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4"/>
    </w:rPr>
  </w:style>
  <w:style w:type="paragraph" w:customStyle="1" w:styleId="474">
    <w:name w:val="xl121"/>
    <w:basedOn w:val="1"/>
    <w:qFormat/>
    <w:uiPriority w:val="0"/>
    <w:pPr>
      <w:widowControl/>
      <w:pBdr>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sz w:val="24"/>
    </w:rPr>
  </w:style>
  <w:style w:type="character" w:customStyle="1" w:styleId="475">
    <w:name w:val="font71"/>
    <w:qFormat/>
    <w:uiPriority w:val="0"/>
    <w:rPr>
      <w:rFonts w:ascii="微软雅黑" w:hAnsi="微软雅黑" w:eastAsia="微软雅黑" w:cs="微软雅黑"/>
      <w:color w:val="000000"/>
      <w:sz w:val="20"/>
      <w:szCs w:val="20"/>
      <w:u w:val="none"/>
    </w:rPr>
  </w:style>
  <w:style w:type="paragraph" w:customStyle="1" w:styleId="476">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477">
    <w:name w:val="font7"/>
    <w:basedOn w:val="1"/>
    <w:qFormat/>
    <w:uiPriority w:val="0"/>
    <w:pPr>
      <w:widowControl/>
      <w:spacing w:before="100" w:beforeAutospacing="1" w:after="100" w:afterAutospacing="1"/>
      <w:jc w:val="left"/>
    </w:pPr>
    <w:rPr>
      <w:rFonts w:ascii="宋体" w:hAnsi="宋体" w:cs="宋体"/>
      <w:b/>
      <w:bCs/>
      <w:color w:val="000000"/>
      <w:sz w:val="22"/>
      <w:szCs w:val="22"/>
    </w:rPr>
  </w:style>
  <w:style w:type="paragraph" w:customStyle="1" w:styleId="478">
    <w:name w:val="font8"/>
    <w:basedOn w:val="1"/>
    <w:qFormat/>
    <w:uiPriority w:val="0"/>
    <w:pPr>
      <w:widowControl/>
      <w:spacing w:before="100" w:beforeAutospacing="1" w:after="100" w:afterAutospacing="1"/>
      <w:jc w:val="left"/>
    </w:pPr>
    <w:rPr>
      <w:rFonts w:ascii="微软雅黑" w:hAnsi="微软雅黑" w:eastAsia="微软雅黑" w:cs="宋体"/>
      <w:sz w:val="20"/>
      <w:szCs w:val="20"/>
    </w:rPr>
  </w:style>
  <w:style w:type="paragraph" w:customStyle="1" w:styleId="479">
    <w:name w:val="font9"/>
    <w:basedOn w:val="1"/>
    <w:qFormat/>
    <w:uiPriority w:val="0"/>
    <w:pPr>
      <w:widowControl/>
      <w:spacing w:before="100" w:beforeAutospacing="1" w:after="100" w:afterAutospacing="1"/>
      <w:jc w:val="left"/>
    </w:pPr>
    <w:rPr>
      <w:rFonts w:cs="Calibri"/>
      <w:sz w:val="20"/>
      <w:szCs w:val="20"/>
    </w:rPr>
  </w:style>
  <w:style w:type="paragraph" w:customStyle="1" w:styleId="480">
    <w:name w:val="font10"/>
    <w:basedOn w:val="1"/>
    <w:qFormat/>
    <w:uiPriority w:val="0"/>
    <w:pPr>
      <w:widowControl/>
      <w:spacing w:before="100" w:beforeAutospacing="1" w:after="100" w:afterAutospacing="1"/>
      <w:jc w:val="left"/>
    </w:pPr>
    <w:rPr>
      <w:rFonts w:ascii="Times New Roman" w:hAnsi="Times New Roman"/>
      <w:sz w:val="20"/>
      <w:szCs w:val="20"/>
    </w:rPr>
  </w:style>
  <w:style w:type="paragraph" w:customStyle="1" w:styleId="481">
    <w:name w:val="xl12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宋体" w:hAnsi="宋体" w:cs="宋体"/>
      <w:sz w:val="20"/>
      <w:szCs w:val="20"/>
    </w:rPr>
  </w:style>
  <w:style w:type="paragraph" w:customStyle="1" w:styleId="482">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483">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484">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485">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486">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4"/>
    </w:rPr>
  </w:style>
  <w:style w:type="paragraph" w:customStyle="1" w:styleId="487">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488">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0"/>
      <w:szCs w:val="20"/>
    </w:rPr>
  </w:style>
  <w:style w:type="paragraph" w:customStyle="1" w:styleId="489">
    <w:name w:val="xl13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490">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491">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492">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szCs w:val="20"/>
    </w:rPr>
  </w:style>
  <w:style w:type="paragraph" w:customStyle="1" w:styleId="493">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494">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495">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496">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497">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498">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499">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FF0000"/>
      <w:sz w:val="20"/>
      <w:szCs w:val="20"/>
    </w:rPr>
  </w:style>
  <w:style w:type="paragraph" w:customStyle="1" w:styleId="500">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0"/>
      <w:szCs w:val="20"/>
    </w:rPr>
  </w:style>
  <w:style w:type="paragraph" w:customStyle="1" w:styleId="501">
    <w:name w:val="xl14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sz w:val="20"/>
      <w:szCs w:val="20"/>
    </w:rPr>
  </w:style>
  <w:style w:type="paragraph" w:customStyle="1" w:styleId="502">
    <w:name w:val="xl14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sz w:val="20"/>
      <w:szCs w:val="20"/>
    </w:rPr>
  </w:style>
  <w:style w:type="paragraph" w:customStyle="1" w:styleId="503">
    <w:name w:val="xl1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504">
    <w:name w:val="xl14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505">
    <w:name w:val="xl14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0"/>
      <w:szCs w:val="20"/>
    </w:rPr>
  </w:style>
  <w:style w:type="paragraph" w:customStyle="1" w:styleId="506">
    <w:name w:val="xl14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color w:val="FF0000"/>
      <w:sz w:val="20"/>
      <w:szCs w:val="20"/>
    </w:rPr>
  </w:style>
  <w:style w:type="paragraph" w:customStyle="1" w:styleId="507">
    <w:name w:val="xl1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08">
    <w:name w:val="xl14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0"/>
      <w:szCs w:val="20"/>
    </w:rPr>
  </w:style>
  <w:style w:type="paragraph" w:customStyle="1" w:styleId="509">
    <w:name w:val="普通(网站)12"/>
    <w:basedOn w:val="1"/>
    <w:qFormat/>
    <w:uiPriority w:val="99"/>
    <w:pPr>
      <w:widowControl/>
      <w:spacing w:before="100" w:beforeAutospacing="1" w:after="100" w:afterAutospacing="1"/>
      <w:jc w:val="left"/>
    </w:pPr>
    <w:rPr>
      <w:rFonts w:ascii="宋体" w:hAnsi="宋体" w:cs="宋体"/>
      <w:sz w:val="24"/>
    </w:rPr>
  </w:style>
  <w:style w:type="character" w:customStyle="1" w:styleId="510">
    <w:name w:val="NormalCharacter"/>
    <w:qFormat/>
    <w:uiPriority w:val="0"/>
    <w:rPr>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HP</Company>
  <Pages>61</Pages>
  <Words>31830</Words>
  <Characters>33231</Characters>
  <Lines>240</Lines>
  <Paragraphs>67</Paragraphs>
  <TotalTime>15</TotalTime>
  <ScaleCrop>false</ScaleCrop>
  <LinksUpToDate>false</LinksUpToDate>
  <CharactersWithSpaces>34895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2025-07-01T13:15:00Z</dcterms:created>
  <dc:creator>lenovo</dc:creator>
  <cp:lastModifiedBy>开心果</cp:lastModifiedBy>
  <cp:lastPrinted>2025-10-14T03:44:00Z</cp:lastPrinted>
  <dcterms:modified xsi:type="dcterms:W3CDTF">2025-12-31T01:20:22Z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eyJoZGlkIjoiZDljNjNlMGQ5ZmEyNmVlZTkyNzU4YTFiM2M2NjUzMjciLCJ1c2VySWQiOiIyNjY5MTM0OTYifQ==</vt:lpwstr>
  </property>
  <property fmtid="{D5CDD505-2E9C-101B-9397-08002B2CF9AE}" pid="3" name="KSOProductBuildVer">
    <vt:lpwstr>2052-12.1.0.24657</vt:lpwstr>
  </property>
  <property fmtid="{D5CDD505-2E9C-101B-9397-08002B2CF9AE}" pid="4" name="ICV">
    <vt:lpwstr>C3EF359707B04EC892EC59B12E2AC53F_13</vt:lpwstr>
  </property>
</Properties>
</file>